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02BD" w14:textId="77777777" w:rsidR="00E25DA9" w:rsidRPr="00CC5607" w:rsidRDefault="00E25DA9" w:rsidP="00E25DA9">
      <w:pPr>
        <w:keepNext/>
        <w:keepLines/>
        <w:spacing w:before="0" w:after="360" w:line="240" w:lineRule="auto"/>
        <w:ind w:left="788"/>
        <w:jc w:val="center"/>
        <w:outlineLvl w:val="0"/>
        <w:rPr>
          <w:rFonts w:ascii="Arial" w:hAnsi="Arial" w:cs="Arial"/>
          <w:b/>
          <w:bCs/>
          <w:color w:val="000080"/>
          <w:sz w:val="36"/>
          <w:szCs w:val="36"/>
        </w:rPr>
      </w:pPr>
      <w:r w:rsidRPr="00F268B7">
        <w:rPr>
          <w:rFonts w:ascii="Arial" w:eastAsiaTheme="majorEastAsia" w:hAnsi="Arial" w:cs="Arial"/>
          <w:b/>
          <w:bCs/>
          <w:color w:val="000080"/>
          <w:sz w:val="36"/>
          <w:szCs w:val="36"/>
        </w:rPr>
        <w:t>Medical Services Advisory Committee (MSAC)</w:t>
      </w:r>
      <w:r w:rsidRPr="00F268B7">
        <w:rPr>
          <w:rFonts w:ascii="Arial" w:eastAsiaTheme="majorEastAsia" w:hAnsi="Arial" w:cs="Arial"/>
          <w:b/>
          <w:bCs/>
          <w:color w:val="000080"/>
          <w:sz w:val="36"/>
          <w:szCs w:val="36"/>
        </w:rPr>
        <w:br/>
      </w:r>
      <w:r w:rsidRPr="00F76D74">
        <w:rPr>
          <w:rFonts w:ascii="Arial" w:hAnsi="Arial" w:cs="Arial"/>
          <w:b/>
          <w:bCs/>
          <w:color w:val="000080"/>
          <w:sz w:val="36"/>
          <w:szCs w:val="36"/>
        </w:rPr>
        <w:t>Public Summary Document</w:t>
      </w:r>
    </w:p>
    <w:p w14:paraId="258BE40A" w14:textId="5E6FFF5D" w:rsidR="00F94314" w:rsidRPr="005534AD" w:rsidRDefault="00F94314" w:rsidP="00BD78F6">
      <w:pPr>
        <w:spacing w:after="240"/>
        <w:jc w:val="center"/>
        <w:rPr>
          <w:rFonts w:ascii="Arial" w:hAnsi="Arial" w:cs="Arial"/>
          <w:b/>
          <w:bCs/>
          <w:i/>
          <w:iCs/>
          <w:color w:val="000080"/>
          <w:sz w:val="28"/>
          <w:szCs w:val="28"/>
        </w:rPr>
      </w:pPr>
      <w:r w:rsidRPr="005534AD">
        <w:rPr>
          <w:rFonts w:ascii="Arial" w:hAnsi="Arial" w:cs="Arial"/>
          <w:b/>
          <w:bCs/>
          <w:i/>
          <w:iCs/>
          <w:color w:val="000080"/>
          <w:sz w:val="28"/>
          <w:szCs w:val="28"/>
        </w:rPr>
        <w:t>Application No</w:t>
      </w:r>
      <w:r w:rsidR="005534AD" w:rsidRPr="005534AD">
        <w:rPr>
          <w:rFonts w:ascii="Arial" w:hAnsi="Arial" w:cs="Arial"/>
          <w:b/>
          <w:bCs/>
          <w:i/>
          <w:iCs/>
          <w:color w:val="000080"/>
          <w:sz w:val="28"/>
          <w:szCs w:val="28"/>
        </w:rPr>
        <w:t xml:space="preserve">. </w:t>
      </w:r>
      <w:r w:rsidR="00734B8A">
        <w:rPr>
          <w:rFonts w:ascii="Arial" w:hAnsi="Arial" w:cs="Arial"/>
          <w:b/>
          <w:bCs/>
          <w:i/>
          <w:iCs/>
          <w:color w:val="000080"/>
          <w:sz w:val="28"/>
          <w:szCs w:val="28"/>
        </w:rPr>
        <w:t xml:space="preserve">1712.1 – </w:t>
      </w:r>
      <w:r w:rsidR="00734B8A" w:rsidRPr="00734B8A">
        <w:rPr>
          <w:rFonts w:ascii="Arial" w:hAnsi="Arial" w:cs="Arial"/>
          <w:b/>
          <w:bCs/>
          <w:i/>
          <w:iCs/>
          <w:color w:val="000080"/>
          <w:sz w:val="28"/>
          <w:szCs w:val="28"/>
        </w:rPr>
        <w:t>Level 2 sleep studies for the diagnosis and management of sleep disordered breathing in children and adolescents</w:t>
      </w:r>
    </w:p>
    <w:p w14:paraId="02B823F6" w14:textId="3B058F60" w:rsidR="004E320F" w:rsidRDefault="00BD78F6" w:rsidP="002E2BAD">
      <w:pPr>
        <w:pStyle w:val="BodyText"/>
        <w:tabs>
          <w:tab w:val="left" w:pos="3686"/>
        </w:tabs>
        <w:spacing w:after="240"/>
        <w:rPr>
          <w:rFonts w:ascii="Arial" w:hAnsi="Arial" w:cs="Arial"/>
          <w:b/>
          <w:bCs/>
        </w:rPr>
      </w:pPr>
      <w:r w:rsidRPr="00A860CC">
        <w:rPr>
          <w:rFonts w:ascii="Arial" w:hAnsi="Arial" w:cs="Arial"/>
          <w:b/>
          <w:bCs/>
        </w:rPr>
        <w:t>Applicant</w:t>
      </w:r>
      <w:r w:rsidR="00762A85" w:rsidRPr="00A860CC">
        <w:rPr>
          <w:rFonts w:ascii="Arial" w:hAnsi="Arial" w:cs="Arial"/>
          <w:b/>
          <w:bCs/>
        </w:rPr>
        <w:t>:</w:t>
      </w:r>
      <w:r w:rsidRPr="00A860CC">
        <w:rPr>
          <w:rFonts w:ascii="Arial" w:hAnsi="Arial" w:cs="Arial"/>
          <w:b/>
          <w:bCs/>
        </w:rPr>
        <w:tab/>
      </w:r>
      <w:r w:rsidR="00FD5E77">
        <w:rPr>
          <w:rFonts w:ascii="Arial" w:hAnsi="Arial" w:cs="Arial"/>
          <w:b/>
          <w:bCs/>
        </w:rPr>
        <w:t>Australasian Sleep Association</w:t>
      </w:r>
    </w:p>
    <w:p w14:paraId="6D483D0D" w14:textId="39ABAA9D" w:rsidR="002E2BAD" w:rsidRDefault="00A860CC" w:rsidP="002E2BAD">
      <w:pPr>
        <w:pStyle w:val="BodyText"/>
        <w:tabs>
          <w:tab w:val="left" w:pos="3686"/>
        </w:tabs>
        <w:spacing w:after="240"/>
        <w:rPr>
          <w:rFonts w:ascii="Arial" w:hAnsi="Arial" w:cs="Arial"/>
          <w:b/>
          <w:bCs/>
        </w:rPr>
      </w:pPr>
      <w:r>
        <w:rPr>
          <w:rFonts w:ascii="Arial" w:hAnsi="Arial" w:cs="Arial"/>
          <w:b/>
          <w:bCs/>
        </w:rPr>
        <w:t>Date of MSAC consideration</w:t>
      </w:r>
      <w:r w:rsidR="0091197D">
        <w:rPr>
          <w:rFonts w:ascii="Arial" w:hAnsi="Arial" w:cs="Arial"/>
          <w:b/>
          <w:bCs/>
        </w:rPr>
        <w:tab/>
      </w:r>
      <w:r w:rsidR="00834681" w:rsidRPr="00834681">
        <w:rPr>
          <w:rFonts w:ascii="Arial" w:hAnsi="Arial" w:cs="Arial"/>
          <w:b/>
          <w:bCs/>
        </w:rPr>
        <w:t>31 July 2025</w:t>
      </w:r>
    </w:p>
    <w:p w14:paraId="7D416857" w14:textId="1C97EECB" w:rsidR="00E25DA9" w:rsidRPr="00333EDF" w:rsidRDefault="00E25DA9" w:rsidP="00E25DA9">
      <w:pPr>
        <w:spacing w:after="240"/>
        <w:rPr>
          <w:color w:val="0000FF"/>
          <w:u w:val="single"/>
        </w:rPr>
      </w:pPr>
      <w:bookmarkStart w:id="0" w:name="_Hlk194308493"/>
      <w:r w:rsidRPr="00333EDF">
        <w:t xml:space="preserve">Context for decision: MSAC makes its advice in accordance with its Terms of Reference, </w:t>
      </w:r>
      <w:hyperlink r:id="rId11" w:tooltip="Link to Medical Services Advisory Committee website" w:history="1">
        <w:r w:rsidRPr="000D2098">
          <w:rPr>
            <w:rStyle w:val="Hyperlink"/>
            <w:color w:val="007BB8"/>
          </w:rPr>
          <w:t>visit the MSAC website</w:t>
        </w:r>
      </w:hyperlink>
    </w:p>
    <w:p w14:paraId="08A4DD43" w14:textId="3D1E12C7" w:rsidR="00E87D4B" w:rsidRDefault="006B4E47" w:rsidP="004105F1">
      <w:pPr>
        <w:pStyle w:val="ExecSumHeading2"/>
        <w:numPr>
          <w:ilvl w:val="0"/>
          <w:numId w:val="28"/>
        </w:numPr>
        <w:ind w:hanging="720"/>
      </w:pPr>
      <w:bookmarkStart w:id="1" w:name="_Toc200550239"/>
      <w:bookmarkEnd w:id="0"/>
      <w:r>
        <w:t>Purpose of application</w:t>
      </w:r>
      <w:bookmarkEnd w:id="1"/>
    </w:p>
    <w:p w14:paraId="37C8F8F4" w14:textId="2CF35292" w:rsidR="00D817C5" w:rsidRDefault="00AB1560" w:rsidP="0034224B">
      <w:pPr>
        <w:pStyle w:val="BodyText"/>
      </w:pPr>
      <w:r w:rsidRPr="00AB1560">
        <w:t xml:space="preserve">A </w:t>
      </w:r>
      <w:r w:rsidR="008907BD">
        <w:t>re-</w:t>
      </w:r>
      <w:r w:rsidRPr="00AB1560">
        <w:t xml:space="preserve">application requesting </w:t>
      </w:r>
      <w:r w:rsidRPr="000A0AA4">
        <w:t xml:space="preserve">Medicare Benefits Schedule (MBS) listing </w:t>
      </w:r>
      <w:r w:rsidRPr="00AB1560">
        <w:t xml:space="preserve">of </w:t>
      </w:r>
      <w:r w:rsidR="00ED7EBE">
        <w:t xml:space="preserve">Level 2 </w:t>
      </w:r>
      <w:r w:rsidR="00186584">
        <w:t xml:space="preserve">polysomnography (PSG) </w:t>
      </w:r>
      <w:r w:rsidR="00ED7EBE">
        <w:t>out-of-laboratory sleep studies</w:t>
      </w:r>
      <w:r w:rsidRPr="00AB1560">
        <w:t xml:space="preserve"> for </w:t>
      </w:r>
      <w:r w:rsidR="00E13255">
        <w:t xml:space="preserve">the diagnosis and </w:t>
      </w:r>
      <w:r w:rsidR="00FF757F">
        <w:t>management of sleep disordered breathing (SDB)</w:t>
      </w:r>
      <w:r w:rsidR="00CB7E6E">
        <w:t xml:space="preserve"> in children and adolescents</w:t>
      </w:r>
      <w:r w:rsidRPr="00AB1560">
        <w:t xml:space="preserve"> was received from the </w:t>
      </w:r>
      <w:r w:rsidR="002667BC" w:rsidRPr="002667BC">
        <w:t>Australasian Sleep Association</w:t>
      </w:r>
      <w:r w:rsidRPr="00AB1560">
        <w:t xml:space="preserve"> by the Department of Health</w:t>
      </w:r>
      <w:r w:rsidR="00D3471F">
        <w:t>, Disability</w:t>
      </w:r>
      <w:r w:rsidR="000628F6">
        <w:t xml:space="preserve"> and Age</w:t>
      </w:r>
      <w:r w:rsidR="00D3471F">
        <w:t>ing</w:t>
      </w:r>
      <w:r w:rsidR="00143252">
        <w:t>.</w:t>
      </w:r>
      <w:r w:rsidR="002667BC">
        <w:t xml:space="preserve"> </w:t>
      </w:r>
    </w:p>
    <w:p w14:paraId="3868374D" w14:textId="77777777" w:rsidR="00E25DA9" w:rsidRPr="00D155C0" w:rsidRDefault="00E25DA9" w:rsidP="004105F1">
      <w:pPr>
        <w:pStyle w:val="ExecSumHeading2"/>
        <w:numPr>
          <w:ilvl w:val="0"/>
          <w:numId w:val="28"/>
        </w:numPr>
        <w:ind w:hanging="720"/>
      </w:pPr>
      <w:bookmarkStart w:id="2" w:name="_Hlk193982496"/>
      <w:bookmarkStart w:id="3" w:name="_Hlk194308564"/>
      <w:r w:rsidRPr="00D155C0">
        <w:t>MSAC’s advice to the Minister</w:t>
      </w:r>
    </w:p>
    <w:p w14:paraId="388DEA07" w14:textId="3A767F2E" w:rsidR="004E1314" w:rsidRPr="004E1314" w:rsidRDefault="00E25DA9" w:rsidP="005F658F">
      <w:pPr>
        <w:pStyle w:val="TableFooter"/>
        <w:contextualSpacing w:val="0"/>
        <w:jc w:val="left"/>
        <w:rPr>
          <w:rFonts w:ascii="Franklin Gothic Book" w:eastAsia="Franklin Gothic Book" w:hAnsi="Franklin Gothic Book"/>
          <w:sz w:val="22"/>
          <w:szCs w:val="22"/>
        </w:rPr>
      </w:pPr>
      <w:r w:rsidRPr="00333EDF">
        <w:rPr>
          <w:rFonts w:ascii="Franklin Gothic Book" w:hAnsi="Franklin Gothic Book"/>
          <w:sz w:val="22"/>
          <w:szCs w:val="22"/>
        </w:rPr>
        <w:t xml:space="preserve">After considering the strength of the available evidence in relation to comparative safety, clinical effectiveness, cost-effectiveness and total cost, </w:t>
      </w:r>
      <w:r w:rsidR="004E1314" w:rsidRPr="004E1314">
        <w:rPr>
          <w:rFonts w:ascii="Franklin Gothic Book" w:eastAsia="Franklin Gothic Book" w:hAnsi="Franklin Gothic Book"/>
          <w:sz w:val="22"/>
          <w:szCs w:val="22"/>
        </w:rPr>
        <w:t>MSAC supported the creation of new MBS items for Level 2 PSG out-of-laboratory sleep studies for the diagnosis and management of SBD in children (ages 3-11</w:t>
      </w:r>
      <w:r w:rsidR="002748B9">
        <w:rPr>
          <w:rFonts w:ascii="Franklin Gothic Book" w:eastAsia="Franklin Gothic Book" w:hAnsi="Franklin Gothic Book"/>
          <w:sz w:val="22"/>
          <w:szCs w:val="22"/>
        </w:rPr>
        <w:t xml:space="preserve"> years</w:t>
      </w:r>
      <w:r w:rsidR="004E1314" w:rsidRPr="004E1314">
        <w:rPr>
          <w:rFonts w:ascii="Franklin Gothic Book" w:eastAsia="Franklin Gothic Book" w:hAnsi="Franklin Gothic Book"/>
          <w:sz w:val="22"/>
          <w:szCs w:val="22"/>
        </w:rPr>
        <w:t>, inclusive) and adolescents (ages 12-17</w:t>
      </w:r>
      <w:r w:rsidR="002748B9">
        <w:rPr>
          <w:rFonts w:ascii="Franklin Gothic Book" w:eastAsia="Franklin Gothic Book" w:hAnsi="Franklin Gothic Book"/>
          <w:sz w:val="22"/>
          <w:szCs w:val="22"/>
        </w:rPr>
        <w:t xml:space="preserve"> years</w:t>
      </w:r>
      <w:r w:rsidR="004E1314" w:rsidRPr="004E1314">
        <w:rPr>
          <w:rFonts w:ascii="Franklin Gothic Book" w:eastAsia="Franklin Gothic Book" w:hAnsi="Franklin Gothic Book"/>
          <w:sz w:val="22"/>
          <w:szCs w:val="22"/>
        </w:rPr>
        <w:t>, inclusive). MSAC considered the updated waitlist data demonstrated a clear clinical need for Level 2 PSG to increase testing capacity for children and adolescents. MSAC considered MBS</w:t>
      </w:r>
      <w:r w:rsidR="0016285F">
        <w:rPr>
          <w:rFonts w:ascii="Franklin Gothic Book" w:eastAsia="Franklin Gothic Book" w:hAnsi="Franklin Gothic Book"/>
          <w:sz w:val="22"/>
          <w:szCs w:val="22"/>
        </w:rPr>
        <w:t xml:space="preserve"> </w:t>
      </w:r>
      <w:r w:rsidR="004E1314" w:rsidRPr="004E1314">
        <w:rPr>
          <w:rFonts w:ascii="Franklin Gothic Book" w:eastAsia="Franklin Gothic Book" w:hAnsi="Franklin Gothic Book"/>
          <w:sz w:val="22"/>
          <w:szCs w:val="22"/>
        </w:rPr>
        <w:t>listing of Level 2 PSG would only partially address wait times for sleep studies due to the low number of referring paediatric sleep physicians, although noted a recent increase, with an expectation that this number would increase further given those in training.</w:t>
      </w:r>
      <w:r w:rsidR="00DD14CE">
        <w:rPr>
          <w:rFonts w:ascii="Franklin Gothic Book" w:eastAsia="Franklin Gothic Book" w:hAnsi="Franklin Gothic Book"/>
          <w:sz w:val="22"/>
          <w:szCs w:val="22"/>
        </w:rPr>
        <w:t xml:space="preserve"> </w:t>
      </w:r>
      <w:r w:rsidR="004E1314" w:rsidRPr="004E1314">
        <w:rPr>
          <w:rFonts w:ascii="Franklin Gothic Book" w:eastAsia="Franklin Gothic Book" w:hAnsi="Franklin Gothic Book"/>
          <w:sz w:val="22"/>
          <w:szCs w:val="22"/>
        </w:rPr>
        <w:t xml:space="preserve">MSAC considered referral by a sleep physician is important to ensure patients are appropriately </w:t>
      </w:r>
      <w:r w:rsidR="007345FC">
        <w:rPr>
          <w:rFonts w:ascii="Franklin Gothic Book" w:eastAsia="Franklin Gothic Book" w:hAnsi="Franklin Gothic Book"/>
          <w:sz w:val="22"/>
          <w:szCs w:val="22"/>
        </w:rPr>
        <w:t>referred</w:t>
      </w:r>
      <w:r w:rsidR="007345FC" w:rsidRPr="004E1314">
        <w:rPr>
          <w:rFonts w:ascii="Franklin Gothic Book" w:eastAsia="Franklin Gothic Book" w:hAnsi="Franklin Gothic Book"/>
          <w:sz w:val="22"/>
          <w:szCs w:val="22"/>
        </w:rPr>
        <w:t xml:space="preserve"> </w:t>
      </w:r>
      <w:r w:rsidR="004E1314" w:rsidRPr="004E1314">
        <w:rPr>
          <w:rFonts w:ascii="Franklin Gothic Book" w:eastAsia="Franklin Gothic Book" w:hAnsi="Franklin Gothic Book"/>
          <w:sz w:val="22"/>
          <w:szCs w:val="22"/>
        </w:rPr>
        <w:t xml:space="preserve">to either Level 1 or 2 studies. </w:t>
      </w:r>
    </w:p>
    <w:p w14:paraId="52F1DCB6" w14:textId="416EC8AB" w:rsidR="00E25DA9" w:rsidRPr="004E1314" w:rsidRDefault="004E1314" w:rsidP="005F658F">
      <w:pPr>
        <w:pStyle w:val="TableFooter"/>
        <w:contextualSpacing w:val="0"/>
        <w:jc w:val="left"/>
        <w:rPr>
          <w:rFonts w:ascii="Franklin Gothic Book" w:eastAsia="Franklin Gothic Book" w:hAnsi="Franklin Gothic Book"/>
          <w:sz w:val="22"/>
          <w:szCs w:val="22"/>
        </w:rPr>
      </w:pPr>
      <w:r w:rsidRPr="004E1314">
        <w:rPr>
          <w:rFonts w:ascii="Franklin Gothic Book" w:eastAsia="Franklin Gothic Book" w:hAnsi="Franklin Gothic Book"/>
          <w:sz w:val="22"/>
          <w:szCs w:val="22"/>
        </w:rPr>
        <w:t>MSAC recalled it had previously considered Level 2 PSG non-inferior in test accuracy, effectiveness and safety compared to Level 1 PSG in the proposed population. MSAC considered test success may be lower with Level 2 PSG but considered this was acceptable to improve access to sleep studies</w:t>
      </w:r>
      <w:r w:rsidR="00DB5BA7">
        <w:rPr>
          <w:rFonts w:ascii="Franklin Gothic Book" w:eastAsia="Franklin Gothic Book" w:hAnsi="Franklin Gothic Book"/>
          <w:sz w:val="22"/>
          <w:szCs w:val="22"/>
        </w:rPr>
        <w:t>.</w:t>
      </w:r>
      <w:r w:rsidRPr="004E1314">
        <w:rPr>
          <w:rFonts w:ascii="Franklin Gothic Book" w:eastAsia="Franklin Gothic Book" w:hAnsi="Franklin Gothic Book"/>
          <w:sz w:val="22"/>
          <w:szCs w:val="22"/>
        </w:rPr>
        <w:t xml:space="preserve"> MSAC noted that Level 2 PSGs are currently publicly funded under the MBS for adult patients aged 18 years or older. MSAC noted the revised economic evaluation found that Level 2 PSG was cost-saving relative to Level 1 PSG. The revised financial analysis indicated MBS funding of Level 2 PSG would be cost saving in the first year with a modest increase in subsequent years as utilisation grows, predominantly in children (ages 3-11, inclusive). </w:t>
      </w:r>
      <w:r w:rsidRPr="00662FB7">
        <w:rPr>
          <w:rFonts w:ascii="Franklin Gothic Book" w:eastAsia="Franklin Gothic Book" w:hAnsi="Franklin Gothic Book"/>
          <w:sz w:val="22"/>
          <w:szCs w:val="22"/>
        </w:rPr>
        <w:t>However, MSAC considered the proposed MBS items (including the fee) required amendments to ensure equitable access. MSAC supported two MBS items, one for children and another for adolescents, with fees of $466.30 and $433.30, respectively, and access to telehealth support for all patients. MSAC did not support any separate MBS item(s) with alternative fees for patients from rural or remote areas, noting the service provided is the same regardless of location. MSAC advised the utilisation of the new items should be reviewed 2 years after implementation.</w:t>
      </w:r>
    </w:p>
    <w:tbl>
      <w:tblPr>
        <w:tblStyle w:val="Section3-footnot1"/>
        <w:tblW w:w="0" w:type="auto"/>
        <w:tblLook w:val="04A0" w:firstRow="1" w:lastRow="0" w:firstColumn="1" w:lastColumn="0" w:noHBand="0" w:noVBand="1"/>
        <w:tblDescription w:val="Consumer summary of MSAC consideration"/>
      </w:tblPr>
      <w:tblGrid>
        <w:gridCol w:w="9016"/>
      </w:tblGrid>
      <w:tr w:rsidR="00E25DA9" w:rsidRPr="00F91D6E" w14:paraId="418DDDB8" w14:textId="77777777">
        <w:trPr>
          <w:tblHeader/>
        </w:trPr>
        <w:tc>
          <w:tcPr>
            <w:tcW w:w="9016" w:type="dxa"/>
          </w:tcPr>
          <w:p w14:paraId="23AD11BA" w14:textId="77777777" w:rsidR="00E25DA9" w:rsidRPr="00F91D6E" w:rsidRDefault="00E25DA9">
            <w:pPr>
              <w:keepNext/>
              <w:keepLines/>
              <w:rPr>
                <w:rFonts w:eastAsia="Calibri"/>
                <w:b/>
                <w:bCs/>
              </w:rPr>
            </w:pPr>
            <w:r w:rsidRPr="00F91D6E">
              <w:rPr>
                <w:b/>
                <w:bCs/>
              </w:rPr>
              <w:lastRenderedPageBreak/>
              <w:t>Consumer summary</w:t>
            </w:r>
          </w:p>
        </w:tc>
      </w:tr>
      <w:tr w:rsidR="00E25DA9" w:rsidRPr="00F91D6E" w14:paraId="15A2F27E" w14:textId="77777777">
        <w:tc>
          <w:tcPr>
            <w:tcW w:w="9016" w:type="dxa"/>
          </w:tcPr>
          <w:p w14:paraId="14C3DB8D" w14:textId="5B432D24" w:rsidR="00BE1533" w:rsidRDefault="00BE1533" w:rsidP="00BE1533">
            <w:r w:rsidRPr="00AF46D8">
              <w:t xml:space="preserve">This </w:t>
            </w:r>
            <w:r>
              <w:t>re-</w:t>
            </w:r>
            <w:r w:rsidRPr="00AF46D8">
              <w:t xml:space="preserve">application from </w:t>
            </w:r>
            <w:r>
              <w:t>the Australasian Sleep Association</w:t>
            </w:r>
            <w:r w:rsidRPr="00AF46D8">
              <w:t xml:space="preserve"> request</w:t>
            </w:r>
            <w:r w:rsidR="00C16D71">
              <w:t>ed</w:t>
            </w:r>
            <w:r w:rsidRPr="00AF46D8">
              <w:t xml:space="preserve"> Medicare Benefits Schedule (MBS) listing o</w:t>
            </w:r>
            <w:r>
              <w:t xml:space="preserve">f </w:t>
            </w:r>
            <w:r w:rsidRPr="00026AEF">
              <w:t>Level 2</w:t>
            </w:r>
            <w:r w:rsidR="005B4BA9" w:rsidRPr="00A732A8">
              <w:t xml:space="preserve"> polysom</w:t>
            </w:r>
            <w:r w:rsidR="00A61148" w:rsidRPr="00A732A8">
              <w:t>n</w:t>
            </w:r>
            <w:r w:rsidR="005B4BA9" w:rsidRPr="00A732A8">
              <w:t>ography</w:t>
            </w:r>
            <w:r w:rsidR="00A61148" w:rsidRPr="00A732A8">
              <w:t xml:space="preserve"> (PSG)</w:t>
            </w:r>
            <w:r w:rsidRPr="00026AEF">
              <w:t xml:space="preserve"> out-of-laboratory sleep studies for </w:t>
            </w:r>
            <w:r>
              <w:t xml:space="preserve">the diagnosis and management of sleep disordered breathing in children </w:t>
            </w:r>
            <w:r w:rsidR="00885528">
              <w:t>(ages 3-11</w:t>
            </w:r>
            <w:r w:rsidR="00450B41">
              <w:t xml:space="preserve"> years</w:t>
            </w:r>
            <w:r w:rsidR="00885528">
              <w:t xml:space="preserve">) </w:t>
            </w:r>
            <w:r>
              <w:t>and adolescents</w:t>
            </w:r>
            <w:r w:rsidR="00885528">
              <w:t xml:space="preserve"> (ages 12-17</w:t>
            </w:r>
            <w:r w:rsidR="00450B41">
              <w:t xml:space="preserve"> years</w:t>
            </w:r>
            <w:r w:rsidR="00885528">
              <w:t>)</w:t>
            </w:r>
            <w:r>
              <w:t>. This is the third time MSAC has considered public funding of Level 2 PSG for children</w:t>
            </w:r>
            <w:r w:rsidR="00B92B68">
              <w:t xml:space="preserve"> and adolescents</w:t>
            </w:r>
            <w:r>
              <w:t>.</w:t>
            </w:r>
          </w:p>
          <w:p w14:paraId="38CA626D" w14:textId="608FA02B" w:rsidR="00BE1533" w:rsidRPr="00C71BFC" w:rsidRDefault="00BE1533" w:rsidP="00BE1533">
            <w:r w:rsidRPr="00C71BFC">
              <w:t>Sleep disordered breathing is common in children</w:t>
            </w:r>
            <w:r>
              <w:t xml:space="preserve"> and adolescents</w:t>
            </w:r>
            <w:r w:rsidRPr="00C71BFC">
              <w:t>, with obstructive sleep apnoea</w:t>
            </w:r>
            <w:r w:rsidR="0031718D">
              <w:t xml:space="preserve"> </w:t>
            </w:r>
            <w:r w:rsidR="00A86513">
              <w:t>being</w:t>
            </w:r>
            <w:r w:rsidR="0031718D">
              <w:t xml:space="preserve"> </w:t>
            </w:r>
            <w:r w:rsidRPr="00C71BFC">
              <w:t xml:space="preserve">the most </w:t>
            </w:r>
            <w:r w:rsidR="000D0FB4">
              <w:t>common</w:t>
            </w:r>
            <w:r w:rsidRPr="00C71BFC">
              <w:t xml:space="preserve"> </w:t>
            </w:r>
            <w:r w:rsidR="00025AEF">
              <w:t>reason</w:t>
            </w:r>
            <w:r w:rsidRPr="00C71BFC">
              <w:t>. Obstructive sleep apnoea is a partial or complete closing of the airway during sleep that results in lower oxygen levels within the body, snoring, daytime sleepiness and other health problems. Potential causes of sleep disordered breathing in children include enlarged adenoids and tonsils, obesity, reduced muscle tone of the airway and abnormalities of airway shape or size.</w:t>
            </w:r>
          </w:p>
          <w:p w14:paraId="472EBDE6" w14:textId="7B46E368" w:rsidR="00BE1533" w:rsidRPr="008A2358" w:rsidRDefault="00BE1533" w:rsidP="00BE1533">
            <w:r w:rsidRPr="004E42E4">
              <w:t xml:space="preserve">Obstructive sleep apnoea can be diagnosed with a sleep study. The </w:t>
            </w:r>
            <w:r w:rsidR="007A31E8">
              <w:t xml:space="preserve">traditional and most complete </w:t>
            </w:r>
            <w:r w:rsidRPr="004E42E4">
              <w:t xml:space="preserve">type of sleep study is a Level 1 PSG, which </w:t>
            </w:r>
            <w:r>
              <w:t>is</w:t>
            </w:r>
            <w:r w:rsidRPr="004E42E4">
              <w:t xml:space="preserve"> done as an overnight stay in a hospital or sleep clinic with a sleep technician or sleep nurse </w:t>
            </w:r>
            <w:r>
              <w:t>monitoring the whole study</w:t>
            </w:r>
            <w:r w:rsidRPr="004E42E4">
              <w:t xml:space="preserve">. However, there are several reasons why </w:t>
            </w:r>
            <w:r w:rsidR="00684C65">
              <w:t>some</w:t>
            </w:r>
            <w:r w:rsidRPr="004E42E4">
              <w:t xml:space="preserve"> patients cannot stay in a hospital or clinic overnight, including</w:t>
            </w:r>
            <w:r w:rsidR="00434487">
              <w:t xml:space="preserve"> that</w:t>
            </w:r>
            <w:r w:rsidRPr="004E42E4">
              <w:t xml:space="preserve"> they live too far away (such as in a rural or r</w:t>
            </w:r>
            <w:r w:rsidRPr="00026AEF">
              <w:t>emote area). Level</w:t>
            </w:r>
            <w:r w:rsidR="00FE2181">
              <w:t xml:space="preserve"> </w:t>
            </w:r>
            <w:r w:rsidRPr="00026AEF">
              <w:t>2 PSG</w:t>
            </w:r>
            <w:r w:rsidR="00A064B3">
              <w:t xml:space="preserve"> </w:t>
            </w:r>
            <w:r w:rsidR="00A064B3" w:rsidRPr="00026AEF">
              <w:t>out-of-laboratory</w:t>
            </w:r>
            <w:r w:rsidR="008F38FC" w:rsidRPr="00D23F66">
              <w:t xml:space="preserve"> sleep studies</w:t>
            </w:r>
            <w:r w:rsidR="009F1B92" w:rsidRPr="00D23F66">
              <w:t xml:space="preserve"> </w:t>
            </w:r>
            <w:r w:rsidR="00FE2181" w:rsidRPr="00026AEF">
              <w:t xml:space="preserve">can </w:t>
            </w:r>
            <w:r w:rsidR="00FE2181" w:rsidRPr="001C7463">
              <w:t xml:space="preserve">be done at home or at </w:t>
            </w:r>
            <w:r w:rsidR="00FE2181" w:rsidRPr="008A2358">
              <w:t xml:space="preserve">another location that is not a sleep laboratory. </w:t>
            </w:r>
            <w:r w:rsidRPr="00026AEF">
              <w:t>Level 2 PSG</w:t>
            </w:r>
            <w:r w:rsidR="00FE2181">
              <w:t>s</w:t>
            </w:r>
            <w:r w:rsidR="00A064B3">
              <w:t xml:space="preserve"> </w:t>
            </w:r>
            <w:r w:rsidR="001E5D67" w:rsidRPr="00A732A8">
              <w:t xml:space="preserve">record </w:t>
            </w:r>
            <w:r w:rsidR="00C21629">
              <w:t>fewer</w:t>
            </w:r>
            <w:r w:rsidR="001E5D67" w:rsidRPr="00A732A8">
              <w:t xml:space="preserve"> parameters than a Level 1 PS</w:t>
            </w:r>
            <w:r w:rsidR="00D218F1" w:rsidRPr="00A732A8">
              <w:t>G</w:t>
            </w:r>
            <w:r w:rsidR="001E5D67" w:rsidRPr="00A732A8">
              <w:t xml:space="preserve"> but</w:t>
            </w:r>
            <w:r w:rsidR="008F38FC">
              <w:t xml:space="preserve"> </w:t>
            </w:r>
            <w:r w:rsidR="00967CF3">
              <w:t>overall collect similar information</w:t>
            </w:r>
            <w:r w:rsidR="008F38FC">
              <w:t xml:space="preserve"> </w:t>
            </w:r>
            <w:r w:rsidR="00466115">
              <w:t>and can be used to diagnose</w:t>
            </w:r>
            <w:r w:rsidR="008F38FC">
              <w:t xml:space="preserve"> </w:t>
            </w:r>
            <w:r w:rsidR="00152BA1">
              <w:t>obstructive sleep apnoea.</w:t>
            </w:r>
            <w:r w:rsidR="00102BCB">
              <w:t xml:space="preserve"> </w:t>
            </w:r>
            <w:r w:rsidRPr="008A2358">
              <w:t xml:space="preserve">A sleep technician helps parents or carers (either in person or via telehealth) to set </w:t>
            </w:r>
            <w:r>
              <w:t xml:space="preserve">up </w:t>
            </w:r>
            <w:r w:rsidRPr="008A2358">
              <w:t>the equipment at home</w:t>
            </w:r>
            <w:r w:rsidR="00976610">
              <w:t xml:space="preserve">, including correctly sticking-on the electrodes that </w:t>
            </w:r>
            <w:r w:rsidR="009B6348">
              <w:t xml:space="preserve">collect the child’s data </w:t>
            </w:r>
            <w:r w:rsidR="00976610">
              <w:t>overnight</w:t>
            </w:r>
            <w:r w:rsidRPr="008A2358">
              <w:t xml:space="preserve">. However, </w:t>
            </w:r>
            <w:r>
              <w:t xml:space="preserve">unlike Level 1 PSG, </w:t>
            </w:r>
            <w:r w:rsidRPr="008A2358">
              <w:t xml:space="preserve">the technician does not continuously monitor the signals </w:t>
            </w:r>
            <w:r w:rsidR="00884ACE">
              <w:t>overnight</w:t>
            </w:r>
            <w:r w:rsidR="00976D4F">
              <w:t xml:space="preserve"> in real time</w:t>
            </w:r>
            <w:r w:rsidR="00976610">
              <w:t>. I</w:t>
            </w:r>
            <w:r w:rsidRPr="008A2358">
              <w:t xml:space="preserve">nstead, the signals are recorded </w:t>
            </w:r>
            <w:r w:rsidR="00BC2CAA" w:rsidRPr="008A2358">
              <w:t>overnight,</w:t>
            </w:r>
            <w:r w:rsidRPr="008A2358">
              <w:t xml:space="preserve"> and data </w:t>
            </w:r>
            <w:r>
              <w:t>are</w:t>
            </w:r>
            <w:r w:rsidRPr="008A2358">
              <w:t xml:space="preserve"> downloaded and analysed after the sleep study. </w:t>
            </w:r>
            <w:r w:rsidR="002562C4">
              <w:t>P</w:t>
            </w:r>
            <w:r w:rsidRPr="008A2358">
              <w:t xml:space="preserve">atients </w:t>
            </w:r>
            <w:r w:rsidR="00EE22A6">
              <w:t>may also</w:t>
            </w:r>
            <w:r w:rsidRPr="008A2358">
              <w:t xml:space="preserve"> visit a local centre where staff would place the electrodes </w:t>
            </w:r>
            <w:r>
              <w:t>on the child who would</w:t>
            </w:r>
            <w:r w:rsidRPr="008A2358">
              <w:t xml:space="preserve"> the</w:t>
            </w:r>
            <w:r>
              <w:t>n</w:t>
            </w:r>
            <w:r w:rsidRPr="008A2358">
              <w:t xml:space="preserve"> return home to do the sleep study.</w:t>
            </w:r>
          </w:p>
          <w:p w14:paraId="72F9756F" w14:textId="33A15212" w:rsidR="00BB23A5" w:rsidRDefault="00BE1533" w:rsidP="00BE1533">
            <w:r>
              <w:t>MSAC noted that Level 2 PSG is already MBS</w:t>
            </w:r>
            <w:r w:rsidR="0016285F">
              <w:t xml:space="preserve"> </w:t>
            </w:r>
            <w:r>
              <w:t xml:space="preserve">listed for adults. MSAC acknowledged that there is a </w:t>
            </w:r>
            <w:r w:rsidRPr="009D67F0">
              <w:t xml:space="preserve">clinical need </w:t>
            </w:r>
            <w:r>
              <w:t xml:space="preserve">for this test, as current </w:t>
            </w:r>
            <w:r w:rsidRPr="009D67F0">
              <w:t xml:space="preserve">wait </w:t>
            </w:r>
            <w:r>
              <w:t>times</w:t>
            </w:r>
            <w:r w:rsidRPr="009D67F0">
              <w:t xml:space="preserve"> </w:t>
            </w:r>
            <w:r w:rsidR="001E6AF0">
              <w:t>for Level 1 PS</w:t>
            </w:r>
            <w:r w:rsidR="00C63D8D">
              <w:t>G</w:t>
            </w:r>
            <w:r w:rsidR="001E6AF0">
              <w:t xml:space="preserve"> </w:t>
            </w:r>
            <w:r>
              <w:t>are unacceptably long (12–18 months).</w:t>
            </w:r>
            <w:r w:rsidR="00B97FE7">
              <w:t xml:space="preserve"> MSAC consider</w:t>
            </w:r>
            <w:r w:rsidR="00154984">
              <w:t xml:space="preserve">ed MBS listing of Level 2 PSG may help reduce wait times but was uncertain about how much it would reduce wait times. This is because a patient must be referred for the Level 2 PGS by a sleep physician and there </w:t>
            </w:r>
            <w:r w:rsidR="0017202A">
              <w:t>are only 83</w:t>
            </w:r>
            <w:r w:rsidR="007847E0">
              <w:t xml:space="preserve"> paediatric sleep physicians in Australia. However, MSAC noted the </w:t>
            </w:r>
            <w:r w:rsidR="00BB23A5">
              <w:t xml:space="preserve">recent increase in trainees is expected to increase the </w:t>
            </w:r>
            <w:r w:rsidR="007847E0">
              <w:t>number of paediatric sleep physicians.</w:t>
            </w:r>
            <w:r>
              <w:t xml:space="preserve"> </w:t>
            </w:r>
          </w:p>
          <w:p w14:paraId="687CB2A6" w14:textId="23117858" w:rsidR="00E25DA9" w:rsidRDefault="00BE1533" w:rsidP="002748B9">
            <w:r>
              <w:t xml:space="preserve">MSAC also noted that Level 2 PSG is at least as safe and as accurate as Level 1 PSG. </w:t>
            </w:r>
            <w:r w:rsidR="004D3E23">
              <w:t xml:space="preserve">MSAC noted </w:t>
            </w:r>
            <w:r>
              <w:t>Level 2 PSG</w:t>
            </w:r>
            <w:r w:rsidR="00003715">
              <w:t>s</w:t>
            </w:r>
            <w:r>
              <w:t xml:space="preserve"> ha</w:t>
            </w:r>
            <w:r w:rsidR="00003715">
              <w:t>ve</w:t>
            </w:r>
            <w:r w:rsidR="004D3E23">
              <w:t xml:space="preserve"> a </w:t>
            </w:r>
            <w:r w:rsidR="00880FBF">
              <w:t xml:space="preserve">higher </w:t>
            </w:r>
            <w:r>
              <w:t xml:space="preserve">testing </w:t>
            </w:r>
            <w:r w:rsidR="00880FBF">
              <w:t xml:space="preserve">failure </w:t>
            </w:r>
            <w:r w:rsidR="004D3E23">
              <w:t>rate</w:t>
            </w:r>
            <w:r w:rsidR="00880FBF">
              <w:t xml:space="preserve"> </w:t>
            </w:r>
            <w:r>
              <w:t>than Level 1</w:t>
            </w:r>
            <w:r w:rsidR="00880FBF">
              <w:t xml:space="preserve"> PSG</w:t>
            </w:r>
            <w:r>
              <w:t xml:space="preserve"> (failure rate of 9–19%</w:t>
            </w:r>
            <w:r w:rsidR="004D3E23">
              <w:t>)</w:t>
            </w:r>
            <w:r w:rsidR="008D3260">
              <w:t xml:space="preserve">, due to problems such as </w:t>
            </w:r>
            <w:r w:rsidR="004B4B52">
              <w:t xml:space="preserve">the </w:t>
            </w:r>
            <w:r w:rsidR="004D3E23">
              <w:t>sensors falling off during the night or</w:t>
            </w:r>
            <w:r w:rsidR="008D3260">
              <w:t xml:space="preserve"> </w:t>
            </w:r>
            <w:r w:rsidR="004B4B52">
              <w:t>the recording not working</w:t>
            </w:r>
            <w:r w:rsidR="00306F72">
              <w:t>. However, Level 2 PSG</w:t>
            </w:r>
            <w:r w:rsidR="007C28B1">
              <w:t xml:space="preserve">s have many benefits </w:t>
            </w:r>
            <w:r w:rsidR="000B08ED">
              <w:t xml:space="preserve">such as being </w:t>
            </w:r>
            <w:r w:rsidR="00736852">
              <w:t>more convenient</w:t>
            </w:r>
            <w:r w:rsidR="000D76BC">
              <w:t xml:space="preserve"> than </w:t>
            </w:r>
            <w:r w:rsidR="00E1571F">
              <w:t xml:space="preserve">Level 1 </w:t>
            </w:r>
            <w:r w:rsidR="00BC2CAA">
              <w:t>PSG, which</w:t>
            </w:r>
            <w:r w:rsidR="001213FE">
              <w:t xml:space="preserve"> may be particularly helpful for </w:t>
            </w:r>
            <w:r w:rsidR="00E1571F">
              <w:t xml:space="preserve">people </w:t>
            </w:r>
            <w:r>
              <w:t xml:space="preserve">living in rural and remote areas. Additionally, </w:t>
            </w:r>
            <w:r w:rsidR="00CF179B">
              <w:t xml:space="preserve">the proposed fee for </w:t>
            </w:r>
            <w:r>
              <w:t xml:space="preserve">Level 2 PSG </w:t>
            </w:r>
            <w:r w:rsidR="00CF179B">
              <w:t xml:space="preserve">is less than the fee for </w:t>
            </w:r>
            <w:r>
              <w:t xml:space="preserve">Level 1 </w:t>
            </w:r>
            <w:r w:rsidR="00CF179B">
              <w:t>PSG</w:t>
            </w:r>
            <w:r w:rsidR="008439FF">
              <w:t xml:space="preserve">. Therefore, when a Level 2 PSG is performed instead of </w:t>
            </w:r>
            <w:r w:rsidR="008F6F13">
              <w:t>a Level 1 PSG</w:t>
            </w:r>
            <w:r>
              <w:t xml:space="preserve"> it will potentially be cost saving to the government</w:t>
            </w:r>
            <w:r w:rsidR="00470780">
              <w:t xml:space="preserve">. It is expected that </w:t>
            </w:r>
            <w:r w:rsidR="00A05328">
              <w:t>if Level 2 PSG is MBS funded, the</w:t>
            </w:r>
            <w:r w:rsidR="00470780">
              <w:t xml:space="preserve"> </w:t>
            </w:r>
            <w:r w:rsidR="003D4537">
              <w:t xml:space="preserve">demand for </w:t>
            </w:r>
            <w:r w:rsidR="00A05328">
              <w:t>them</w:t>
            </w:r>
            <w:r w:rsidR="003D4537">
              <w:t xml:space="preserve"> </w:t>
            </w:r>
            <w:r w:rsidR="003F6D49">
              <w:t>will</w:t>
            </w:r>
            <w:r w:rsidR="003D4537">
              <w:t xml:space="preserve"> increase</w:t>
            </w:r>
            <w:r w:rsidR="00136899">
              <w:t xml:space="preserve">. MSAC also noted that out-of-pocket costs </w:t>
            </w:r>
            <w:r w:rsidR="00EE22A6">
              <w:t xml:space="preserve">for </w:t>
            </w:r>
            <w:r w:rsidR="006C48B3">
              <w:t xml:space="preserve">MBS funded Level 1 PSG </w:t>
            </w:r>
            <w:r w:rsidR="00EE22A6">
              <w:t xml:space="preserve">have </w:t>
            </w:r>
            <w:r w:rsidR="006C48B3">
              <w:t xml:space="preserve">been increasing and </w:t>
            </w:r>
            <w:r w:rsidR="00A95437">
              <w:t xml:space="preserve">it was uncertain whether this will increase or decrease </w:t>
            </w:r>
            <w:r w:rsidR="00090C6F">
              <w:t>if Level 2 PSG is MBS</w:t>
            </w:r>
            <w:r w:rsidR="0016285F">
              <w:t xml:space="preserve"> </w:t>
            </w:r>
            <w:r w:rsidR="00090C6F">
              <w:t>listed</w:t>
            </w:r>
            <w:r w:rsidR="002748B9">
              <w:t>. Overall,</w:t>
            </w:r>
            <w:r>
              <w:t xml:space="preserve"> MSAC supported public funding of Level 2 PSG for children and adolescents</w:t>
            </w:r>
            <w:r w:rsidR="002748B9">
              <w:t>, but</w:t>
            </w:r>
            <w:r>
              <w:t xml:space="preserve"> advised that utilisation and out-of-pocket costs be reviewed after 2 years.</w:t>
            </w:r>
          </w:p>
          <w:p w14:paraId="12DE6B91" w14:textId="77777777" w:rsidR="00E25DA9" w:rsidRPr="00AF46D8" w:rsidRDefault="00E25DA9" w:rsidP="00BE1533">
            <w:pPr>
              <w:pStyle w:val="Heading3"/>
              <w:spacing w:before="240" w:after="120"/>
            </w:pPr>
            <w:r w:rsidRPr="00AF46D8">
              <w:lastRenderedPageBreak/>
              <w:t>MSAC’s advice to the Commonwealth Minister for Health</w:t>
            </w:r>
            <w:r>
              <w:t>, Disability and Ageing</w:t>
            </w:r>
          </w:p>
          <w:p w14:paraId="4FEB6C34" w14:textId="416F971F" w:rsidR="00E25DA9" w:rsidRPr="00F91D6E" w:rsidRDefault="00BE1533" w:rsidP="004B55B6">
            <w:r w:rsidRPr="00AF46D8">
              <w:t>MSAC supported</w:t>
            </w:r>
            <w:r>
              <w:t xml:space="preserve"> MBS listing of Level 2 PSG for the diagnosis and management of sleep-disordered breathing in children </w:t>
            </w:r>
            <w:r w:rsidR="00885528">
              <w:t xml:space="preserve">(ages </w:t>
            </w:r>
            <w:r w:rsidR="00450B41">
              <w:t xml:space="preserve">3-11 years) </w:t>
            </w:r>
            <w:r>
              <w:t>and adolescents</w:t>
            </w:r>
            <w:r w:rsidR="00450B41">
              <w:t xml:space="preserve"> (ages 12-17 years)</w:t>
            </w:r>
            <w:r>
              <w:t xml:space="preserve">. </w:t>
            </w:r>
            <w:r w:rsidR="009246B8">
              <w:t xml:space="preserve">MSAC considered </w:t>
            </w:r>
            <w:r>
              <w:t>Level 2 PSG is at least as safe and accurate as Level 1 PSG</w:t>
            </w:r>
            <w:r w:rsidR="002E322E">
              <w:t>,</w:t>
            </w:r>
            <w:r>
              <w:t xml:space="preserve"> will help address equity of access</w:t>
            </w:r>
            <w:r w:rsidR="002E322E">
              <w:t xml:space="preserve">, and would be </w:t>
            </w:r>
            <w:r>
              <w:t>good value for money.</w:t>
            </w:r>
            <w:r w:rsidR="004B55B6">
              <w:t xml:space="preserve"> </w:t>
            </w:r>
            <w:r>
              <w:t xml:space="preserve">MSAC advised that utilisation and out-of-pocket costs should be </w:t>
            </w:r>
            <w:r w:rsidR="00F11A24">
              <w:t>r</w:t>
            </w:r>
            <w:r w:rsidR="005D3DA7">
              <w:t>evie</w:t>
            </w:r>
            <w:r w:rsidR="00CC5D32">
              <w:t>wed</w:t>
            </w:r>
            <w:r>
              <w:t xml:space="preserve"> after 2 years.</w:t>
            </w:r>
          </w:p>
        </w:tc>
      </w:tr>
    </w:tbl>
    <w:p w14:paraId="273D78F5" w14:textId="77777777" w:rsidR="00E25DA9" w:rsidRPr="00D155C0" w:rsidRDefault="00E25DA9" w:rsidP="004105F1">
      <w:pPr>
        <w:pStyle w:val="ExecSumHeading2"/>
        <w:numPr>
          <w:ilvl w:val="0"/>
          <w:numId w:val="28"/>
        </w:numPr>
        <w:ind w:hanging="720"/>
      </w:pPr>
      <w:r w:rsidRPr="003A793E">
        <w:lastRenderedPageBreak/>
        <w:t>Summary of consideration and rationale for MSAC’s advice</w:t>
      </w:r>
    </w:p>
    <w:p w14:paraId="19ECB9E4" w14:textId="6B302ED8" w:rsidR="009A28D4" w:rsidRDefault="009A28D4" w:rsidP="009A28D4">
      <w:bookmarkStart w:id="4" w:name="_Toc200550240"/>
      <w:bookmarkEnd w:id="2"/>
      <w:bookmarkEnd w:id="3"/>
      <w:r>
        <w:t>MSAC recalled that it ha</w:t>
      </w:r>
      <w:r w:rsidR="008E2541">
        <w:t>d previously</w:t>
      </w:r>
      <w:r>
        <w:t xml:space="preserve"> considered public funding of </w:t>
      </w:r>
      <w:r w:rsidR="00872806">
        <w:t xml:space="preserve">Level 2 </w:t>
      </w:r>
      <w:r>
        <w:t xml:space="preserve">PSG. In </w:t>
      </w:r>
      <w:r w:rsidR="00BA4467">
        <w:t>2010 (</w:t>
      </w:r>
      <w:hyperlink r:id="rId12" w:history="1">
        <w:r w:rsidRPr="005F658F">
          <w:rPr>
            <w:rStyle w:val="Hyperlink"/>
            <w:color w:val="007BB8"/>
          </w:rPr>
          <w:t>MSAC Application 1130</w:t>
        </w:r>
      </w:hyperlink>
      <w:r w:rsidR="00BA4467">
        <w:t>)</w:t>
      </w:r>
      <w:r>
        <w:t xml:space="preserve">, MSAC supported </w:t>
      </w:r>
      <w:r w:rsidR="00986CFE">
        <w:t xml:space="preserve">MBS listing of </w:t>
      </w:r>
      <w:r>
        <w:t>Level 2 PSG for adults but did not support paediatric out-of-laboratory sleep studies due to a lack of comparative evidence and sparse linked evidence of effectiveness. In 2024</w:t>
      </w:r>
      <w:r w:rsidR="00BD15FA">
        <w:t xml:space="preserve"> (</w:t>
      </w:r>
      <w:hyperlink r:id="rId13" w:history="1">
        <w:r w:rsidR="00BD15FA" w:rsidRPr="005F658F">
          <w:rPr>
            <w:rStyle w:val="Hyperlink"/>
            <w:color w:val="007BB8"/>
          </w:rPr>
          <w:t>MSAC Application 1712</w:t>
        </w:r>
      </w:hyperlink>
      <w:r w:rsidR="00BD15FA">
        <w:t>)</w:t>
      </w:r>
      <w:r>
        <w:t>, MSAC considered</w:t>
      </w:r>
      <w:r w:rsidR="003B1C77">
        <w:t xml:space="preserve"> but did not support</w:t>
      </w:r>
      <w:r>
        <w:t xml:space="preserve"> MBS listing of Level 2 and 3 PSG in children and adolescents (ages 3 to &lt;18 years). MSAC </w:t>
      </w:r>
      <w:r w:rsidR="00683705">
        <w:t>recalled that</w:t>
      </w:r>
      <w:r>
        <w:t xml:space="preserve"> it </w:t>
      </w:r>
      <w:r w:rsidR="00D7119E">
        <w:t xml:space="preserve">had previously </w:t>
      </w:r>
      <w:r>
        <w:t>acknowledge</w:t>
      </w:r>
      <w:r w:rsidR="00D7119E">
        <w:t>d</w:t>
      </w:r>
      <w:r>
        <w:t xml:space="preserve"> that:</w:t>
      </w:r>
    </w:p>
    <w:p w14:paraId="212F2B44" w14:textId="4B41E3CE" w:rsidR="004B1627" w:rsidRDefault="009A28D4" w:rsidP="004105F1">
      <w:pPr>
        <w:pStyle w:val="ListParagraph"/>
        <w:numPr>
          <w:ilvl w:val="0"/>
          <w:numId w:val="32"/>
        </w:numPr>
        <w:spacing w:before="0" w:after="0" w:line="240" w:lineRule="auto"/>
      </w:pPr>
      <w:r>
        <w:t>there is a potential clinical need for Level 2 PSG</w:t>
      </w:r>
    </w:p>
    <w:p w14:paraId="27AE23B3" w14:textId="39CD3EA9" w:rsidR="00DB17E3" w:rsidRDefault="009A28D4" w:rsidP="004105F1">
      <w:pPr>
        <w:pStyle w:val="ListParagraph"/>
        <w:numPr>
          <w:ilvl w:val="0"/>
          <w:numId w:val="32"/>
        </w:numPr>
        <w:spacing w:before="0" w:after="0" w:line="240" w:lineRule="auto"/>
      </w:pPr>
      <w:r>
        <w:t>compared to Level 1 PSG, Level 2 PSG has non-inferior accuracy, effectiveness and safety</w:t>
      </w:r>
    </w:p>
    <w:p w14:paraId="1709A310" w14:textId="50B05F08" w:rsidR="009A28D4" w:rsidRDefault="009A28D4" w:rsidP="00B13A7E">
      <w:pPr>
        <w:pStyle w:val="ListParagraph"/>
        <w:numPr>
          <w:ilvl w:val="0"/>
          <w:numId w:val="32"/>
        </w:numPr>
        <w:spacing w:before="0" w:after="0" w:line="240" w:lineRule="auto"/>
      </w:pPr>
      <w:r>
        <w:t xml:space="preserve">although </w:t>
      </w:r>
      <w:r w:rsidR="005A6D60">
        <w:t>Level 2 PSG</w:t>
      </w:r>
      <w:r>
        <w:t xml:space="preserve"> is likely inferior in testing success (failure rates of 9–19%)</w:t>
      </w:r>
      <w:r w:rsidR="00B13A7E">
        <w:t>,</w:t>
      </w:r>
      <w:r w:rsidR="002C0C6E">
        <w:t xml:space="preserve"> </w:t>
      </w:r>
      <w:r w:rsidR="00D77C7D">
        <w:t>this</w:t>
      </w:r>
      <w:r>
        <w:t xml:space="preserve"> may be offset by the convenience and accessibility of home-based testing.</w:t>
      </w:r>
    </w:p>
    <w:p w14:paraId="7E76F573" w14:textId="38B03499" w:rsidR="009A28D4" w:rsidRDefault="00DA2A84" w:rsidP="009A28D4">
      <w:r>
        <w:t>MSAC noted t</w:t>
      </w:r>
      <w:r w:rsidR="009A28D4">
        <w:t xml:space="preserve">his re-application </w:t>
      </w:r>
      <w:r>
        <w:t xml:space="preserve">from </w:t>
      </w:r>
      <w:r w:rsidR="009C3CC4">
        <w:t xml:space="preserve">the Australian Sleep Association was narrowed to seeking MBS funding </w:t>
      </w:r>
      <w:r w:rsidR="009A28D4">
        <w:t>for Level 2 PSG only</w:t>
      </w:r>
      <w:r w:rsidR="00682791">
        <w:t xml:space="preserve"> and focussed on addressing </w:t>
      </w:r>
      <w:r w:rsidR="000E369D">
        <w:t xml:space="preserve">MSAC’s </w:t>
      </w:r>
      <w:r w:rsidR="009A28D4">
        <w:t xml:space="preserve">key matters of concern </w:t>
      </w:r>
      <w:r w:rsidR="0057752B">
        <w:t xml:space="preserve">outlined in </w:t>
      </w:r>
      <w:r w:rsidR="007B2C76">
        <w:t xml:space="preserve">the </w:t>
      </w:r>
      <w:r w:rsidR="007F7A05">
        <w:t>Public Summary Document</w:t>
      </w:r>
      <w:r w:rsidR="007B2C76">
        <w:t xml:space="preserve"> for MSAC </w:t>
      </w:r>
      <w:r w:rsidR="00866922">
        <w:t>A</w:t>
      </w:r>
      <w:r w:rsidR="007B2C76">
        <w:t>pplication 1712</w:t>
      </w:r>
      <w:r w:rsidR="009A28D4">
        <w:t>.</w:t>
      </w:r>
    </w:p>
    <w:p w14:paraId="704A7921" w14:textId="55A80084" w:rsidR="007B7140" w:rsidRDefault="009A28D4" w:rsidP="009A28D4">
      <w:r>
        <w:t>Regarding clinical need, MSAC noted data from 3 tertiary paediatric hospitals demonstrate</w:t>
      </w:r>
      <w:r w:rsidR="00B9254B">
        <w:t>d</w:t>
      </w:r>
      <w:r>
        <w:t xml:space="preserve"> wait times for medically uncomplicated patients</w:t>
      </w:r>
      <w:r w:rsidR="00951FEB">
        <w:t xml:space="preserve"> are long (12-18 months)</w:t>
      </w:r>
      <w:r>
        <w:t>.</w:t>
      </w:r>
      <w:r w:rsidR="00B960DC">
        <w:t xml:space="preserve"> </w:t>
      </w:r>
      <w:r w:rsidR="00686E39">
        <w:t>Limited data were available for the private sector, but MSAC noted that one</w:t>
      </w:r>
      <w:r>
        <w:t xml:space="preserve"> private clinic </w:t>
      </w:r>
      <w:r w:rsidR="00E82136">
        <w:t xml:space="preserve">reported </w:t>
      </w:r>
      <w:r>
        <w:t xml:space="preserve">no patients on their waitlist. </w:t>
      </w:r>
      <w:r w:rsidR="00BF15F9">
        <w:t>Further,</w:t>
      </w:r>
      <w:r w:rsidR="006427D3">
        <w:t xml:space="preserve"> </w:t>
      </w:r>
      <w:r w:rsidR="00216D2C">
        <w:t xml:space="preserve">the </w:t>
      </w:r>
      <w:r w:rsidR="00267A31">
        <w:t>a</w:t>
      </w:r>
      <w:r w:rsidR="00D440F3">
        <w:t>pplicant’s data indicated</w:t>
      </w:r>
      <w:r w:rsidR="00BF15F9">
        <w:t xml:space="preserve"> approximately 30% of patients </w:t>
      </w:r>
      <w:r w:rsidR="00970CB9">
        <w:t>waiting for a Level 1 PSG</w:t>
      </w:r>
      <w:r w:rsidR="006917AF">
        <w:t xml:space="preserve"> </w:t>
      </w:r>
      <w:r w:rsidR="00BF15F9">
        <w:t xml:space="preserve">would be suitable for a Level 2 PSG. </w:t>
      </w:r>
      <w:r>
        <w:t xml:space="preserve">MSAC considered the current wait times to be </w:t>
      </w:r>
      <w:r w:rsidR="00AB52D3">
        <w:t>concerning</w:t>
      </w:r>
      <w:r w:rsidR="002716C5">
        <w:t xml:space="preserve"> and that there </w:t>
      </w:r>
      <w:r w:rsidR="00DD730C">
        <w:t xml:space="preserve">was a </w:t>
      </w:r>
      <w:r w:rsidR="001A61F1">
        <w:t xml:space="preserve">clear clinical need to increase </w:t>
      </w:r>
      <w:r w:rsidR="00920F11">
        <w:t>testing capacity for children and adolescents</w:t>
      </w:r>
      <w:r>
        <w:t xml:space="preserve">. </w:t>
      </w:r>
    </w:p>
    <w:p w14:paraId="57D321FC" w14:textId="16BC69F7" w:rsidR="009A28D4" w:rsidRDefault="007B7140" w:rsidP="009A28D4">
      <w:r w:rsidRPr="00FC407E">
        <w:t>MSAC noted there are only 83 registered paediatric respiratory and sleep physicians in Australia</w:t>
      </w:r>
      <w:r w:rsidR="00E347F4" w:rsidRPr="00FC407E">
        <w:t xml:space="preserve"> and </w:t>
      </w:r>
      <w:r w:rsidRPr="00FC407E">
        <w:t xml:space="preserve">access to paediatric sleep physicians may become </w:t>
      </w:r>
      <w:r w:rsidR="0091471B" w:rsidRPr="00FC407E">
        <w:t>the new barrier</w:t>
      </w:r>
      <w:r w:rsidR="00CC70E8" w:rsidRPr="00FC407E">
        <w:t xml:space="preserve"> to </w:t>
      </w:r>
      <w:r w:rsidR="0079782A" w:rsidRPr="00FC407E">
        <w:t>accessing sleep studies</w:t>
      </w:r>
      <w:r w:rsidRPr="00FC407E">
        <w:t xml:space="preserve">. </w:t>
      </w:r>
      <w:r w:rsidR="009A28D4" w:rsidRPr="00FC407E">
        <w:t xml:space="preserve">MSAC noted the </w:t>
      </w:r>
      <w:r w:rsidR="00267A31" w:rsidRPr="00FC407E">
        <w:t>a</w:t>
      </w:r>
      <w:r w:rsidR="008252C1" w:rsidRPr="00FC407E">
        <w:t xml:space="preserve">pplicant’s </w:t>
      </w:r>
      <w:r w:rsidR="009A28D4" w:rsidRPr="00FC407E">
        <w:t xml:space="preserve">pre-MSAC response clarified that long wait times </w:t>
      </w:r>
      <w:r w:rsidR="00FC2B61" w:rsidRPr="00FC407E">
        <w:t xml:space="preserve">for sleep studies </w:t>
      </w:r>
      <w:r w:rsidR="009A28D4" w:rsidRPr="00FC407E">
        <w:t>are due to the limited capacity of sleep laboratories.</w:t>
      </w:r>
      <w:r w:rsidR="002F5D5F" w:rsidRPr="00FC407E">
        <w:t xml:space="preserve"> </w:t>
      </w:r>
      <w:r w:rsidR="007936CF" w:rsidRPr="00FC407E">
        <w:t xml:space="preserve">The </w:t>
      </w:r>
      <w:r w:rsidR="00267A31" w:rsidRPr="00FC407E">
        <w:t>a</w:t>
      </w:r>
      <w:r w:rsidR="007936CF" w:rsidRPr="00FC407E">
        <w:t>pplicant’s</w:t>
      </w:r>
      <w:r w:rsidR="009A28D4" w:rsidRPr="00FC407E">
        <w:t xml:space="preserve"> pre-MSAC response also stated the current wait times for paediatric sleep </w:t>
      </w:r>
      <w:r w:rsidR="00DD43A5" w:rsidRPr="00FC407E">
        <w:t xml:space="preserve">physicians </w:t>
      </w:r>
      <w:r w:rsidR="009A28D4" w:rsidRPr="00FC407E">
        <w:t>had likely peaked</w:t>
      </w:r>
      <w:r w:rsidR="00F977BF" w:rsidRPr="00FC407E">
        <w:t xml:space="preserve">. MSAC also noted that </w:t>
      </w:r>
      <w:r w:rsidR="006B39AC" w:rsidRPr="00FC407E">
        <w:t xml:space="preserve">increased numbers of </w:t>
      </w:r>
      <w:r w:rsidR="0083313A" w:rsidRPr="00FC407E">
        <w:t>paediatric sleep</w:t>
      </w:r>
      <w:r w:rsidR="006B39AC" w:rsidRPr="00FC407E">
        <w:t xml:space="preserve"> trainees and the use</w:t>
      </w:r>
      <w:r w:rsidR="00544769" w:rsidRPr="00FC407E">
        <w:t xml:space="preserve"> of</w:t>
      </w:r>
      <w:r w:rsidR="006B39AC" w:rsidRPr="00FC407E">
        <w:t xml:space="preserve"> telehealth </w:t>
      </w:r>
      <w:r w:rsidR="00E77F94" w:rsidRPr="00FC407E">
        <w:t xml:space="preserve">is expected to increase </w:t>
      </w:r>
      <w:r w:rsidR="00866AD0" w:rsidRPr="00FC407E">
        <w:t xml:space="preserve">the </w:t>
      </w:r>
      <w:r w:rsidR="00F977BF" w:rsidRPr="00FC407E">
        <w:t xml:space="preserve">number </w:t>
      </w:r>
      <w:r w:rsidR="00627CBA" w:rsidRPr="00FC407E">
        <w:t xml:space="preserve">and capacity of </w:t>
      </w:r>
      <w:r w:rsidR="009A28D4" w:rsidRPr="00FC407E">
        <w:t>paediatric sleep physician</w:t>
      </w:r>
      <w:r w:rsidR="00935D7F" w:rsidRPr="00FC407E">
        <w:t>s.</w:t>
      </w:r>
      <w:r w:rsidR="009A28D4" w:rsidRPr="00FC407E">
        <w:t xml:space="preserve"> </w:t>
      </w:r>
      <w:r w:rsidR="00823636" w:rsidRPr="00FC407E">
        <w:t xml:space="preserve">Further, adolescents can be referred </w:t>
      </w:r>
      <w:r w:rsidR="004B1055" w:rsidRPr="00FC407E">
        <w:t xml:space="preserve">for </w:t>
      </w:r>
      <w:r w:rsidR="00081E8F" w:rsidRPr="00FC407E">
        <w:t xml:space="preserve">sleep studies </w:t>
      </w:r>
      <w:r w:rsidR="00823636" w:rsidRPr="00FC407E">
        <w:t>by either an adult or paediatric sleep physician</w:t>
      </w:r>
      <w:r w:rsidR="00081E8F" w:rsidRPr="00FC407E">
        <w:t xml:space="preserve">, which </w:t>
      </w:r>
      <w:r w:rsidR="007D1248" w:rsidRPr="00FC407E">
        <w:t>reduces</w:t>
      </w:r>
      <w:r w:rsidR="00081E8F" w:rsidRPr="00FC407E">
        <w:t xml:space="preserve"> pressure on paediatric sleep physicians</w:t>
      </w:r>
      <w:r w:rsidR="0040625E" w:rsidRPr="00FC407E">
        <w:t xml:space="preserve">. </w:t>
      </w:r>
      <w:r w:rsidR="009A28D4" w:rsidRPr="00FC407E">
        <w:t xml:space="preserve">However, </w:t>
      </w:r>
      <w:r w:rsidR="00931A5E" w:rsidRPr="00FC407E">
        <w:t xml:space="preserve">MSAC noted </w:t>
      </w:r>
      <w:r w:rsidR="009A28D4" w:rsidRPr="00FC407E">
        <w:t xml:space="preserve">the resubmission did not consider the potential for increased demand for both sleep studies and referring sleep physicians if Level 2 PSG </w:t>
      </w:r>
      <w:r w:rsidR="00C63B9C" w:rsidRPr="00FC407E">
        <w:t>was</w:t>
      </w:r>
      <w:r w:rsidR="009A28D4" w:rsidRPr="00FC407E">
        <w:t xml:space="preserve"> available, including for children who are already receiving care in the private sector or who might not otherwise be tested. </w:t>
      </w:r>
      <w:r w:rsidR="009175C0" w:rsidRPr="00FC407E">
        <w:t xml:space="preserve">While MSAC considered that Level 2 PSG </w:t>
      </w:r>
      <w:r w:rsidR="00725EF4" w:rsidRPr="00FC407E">
        <w:t>has the potential to</w:t>
      </w:r>
      <w:r w:rsidR="009175C0" w:rsidRPr="00FC407E">
        <w:t xml:space="preserve"> reduce wait times for sleep studies, the </w:t>
      </w:r>
      <w:r w:rsidR="001015FA" w:rsidRPr="00FC407E">
        <w:t xml:space="preserve">extent to which Level 2 PSG will reduce wait times </w:t>
      </w:r>
      <w:r w:rsidR="00725EF4" w:rsidRPr="00FC407E">
        <w:t xml:space="preserve">in </w:t>
      </w:r>
      <w:r w:rsidR="0007377E" w:rsidRPr="00FC407E">
        <w:t xml:space="preserve">practice </w:t>
      </w:r>
      <w:r w:rsidR="001015FA" w:rsidRPr="00FC407E">
        <w:t>remained uncertain.</w:t>
      </w:r>
      <w:r w:rsidR="00F53BBE">
        <w:t xml:space="preserve"> </w:t>
      </w:r>
    </w:p>
    <w:p w14:paraId="59CBB1D6" w14:textId="436B995A" w:rsidR="009A28D4" w:rsidRDefault="009A28D4" w:rsidP="009A28D4">
      <w:r>
        <w:lastRenderedPageBreak/>
        <w:t xml:space="preserve">MSAC noted that </w:t>
      </w:r>
      <w:r w:rsidR="00CD4094">
        <w:t>a</w:t>
      </w:r>
      <w:r w:rsidR="002D0174">
        <w:t xml:space="preserve">n appropriately qualified sleep physician is responsible for </w:t>
      </w:r>
      <w:r w:rsidR="0090320F">
        <w:t xml:space="preserve">ensuring the test is performed appropriately </w:t>
      </w:r>
      <w:r w:rsidR="004174DE">
        <w:t xml:space="preserve">and in accordance with professional guidelines. </w:t>
      </w:r>
      <w:r w:rsidR="00B35944">
        <w:t xml:space="preserve">Further test performance </w:t>
      </w:r>
      <w:r>
        <w:t>oversight will be</w:t>
      </w:r>
      <w:r w:rsidR="00B35944">
        <w:t xml:space="preserve"> </w:t>
      </w:r>
      <w:r>
        <w:t>provided by</w:t>
      </w:r>
      <w:r w:rsidR="006D5253">
        <w:t xml:space="preserve"> </w:t>
      </w:r>
      <w:r w:rsidR="00E30EE0">
        <w:t xml:space="preserve">the </w:t>
      </w:r>
      <w:r>
        <w:t xml:space="preserve">sleep technician </w:t>
      </w:r>
      <w:r w:rsidR="0027033B">
        <w:t>who</w:t>
      </w:r>
      <w:r w:rsidR="00E30EE0">
        <w:t xml:space="preserve"> </w:t>
      </w:r>
      <w:r>
        <w:t>set</w:t>
      </w:r>
      <w:r w:rsidR="0027033B">
        <w:t>s</w:t>
      </w:r>
      <w:r>
        <w:t xml:space="preserve"> up the equipment </w:t>
      </w:r>
      <w:r w:rsidR="006D5253">
        <w:t>(</w:t>
      </w:r>
      <w:r>
        <w:t>or supervise</w:t>
      </w:r>
      <w:r w:rsidR="006D5253">
        <w:t>s</w:t>
      </w:r>
      <w:r>
        <w:t xml:space="preserve"> the parent or caregiver via telehealth</w:t>
      </w:r>
      <w:r w:rsidR="00E30EE0">
        <w:t>)</w:t>
      </w:r>
      <w:r w:rsidR="0027033B">
        <w:t xml:space="preserve"> and provides </w:t>
      </w:r>
      <w:r>
        <w:t xml:space="preserve">technical </w:t>
      </w:r>
      <w:r w:rsidR="001B5F56">
        <w:t xml:space="preserve">assistance </w:t>
      </w:r>
      <w:r w:rsidR="00261CF3">
        <w:t xml:space="preserve">overnight </w:t>
      </w:r>
      <w:r w:rsidR="001B5F56">
        <w:t>to parents or caregivers</w:t>
      </w:r>
      <w:r w:rsidR="00261CF3">
        <w:t xml:space="preserve"> </w:t>
      </w:r>
      <w:r>
        <w:t xml:space="preserve">(which is predicted to be rarely required, based on Australian experiences). </w:t>
      </w:r>
      <w:r w:rsidR="00816C78">
        <w:t xml:space="preserve">MSAC noted the </w:t>
      </w:r>
      <w:r w:rsidR="00FA072B">
        <w:t xml:space="preserve">applicant’s </w:t>
      </w:r>
      <w:r w:rsidR="00816C78">
        <w:t xml:space="preserve">pre-MSAC response advised </w:t>
      </w:r>
      <w:r w:rsidR="0073427B">
        <w:t>against</w:t>
      </w:r>
      <w:r w:rsidR="00816C78">
        <w:t xml:space="preserve"> using a community health provider to set up the equipment, as </w:t>
      </w:r>
      <w:r w:rsidR="00093C39">
        <w:t>this</w:t>
      </w:r>
      <w:r w:rsidR="001034FB">
        <w:t xml:space="preserve"> </w:t>
      </w:r>
      <w:r w:rsidR="00816C78">
        <w:t>would require extensive training</w:t>
      </w:r>
      <w:r w:rsidR="00DA11C8">
        <w:t>.</w:t>
      </w:r>
      <w:r w:rsidR="00524FAE">
        <w:t xml:space="preserve"> </w:t>
      </w:r>
      <w:r w:rsidR="00DA11C8">
        <w:t xml:space="preserve">In addition, </w:t>
      </w:r>
      <w:r w:rsidR="00031C4A">
        <w:t>because the equipment would likely be applied during business hours</w:t>
      </w:r>
      <w:r w:rsidR="001467CA">
        <w:t>,</w:t>
      </w:r>
      <w:r w:rsidR="00031C4A">
        <w:t xml:space="preserve"> </w:t>
      </w:r>
      <w:r w:rsidR="00524FAE">
        <w:t>c</w:t>
      </w:r>
      <w:r w:rsidR="00816C78">
        <w:t xml:space="preserve">hildren </w:t>
      </w:r>
      <w:r w:rsidR="00524FAE">
        <w:t>may consequently</w:t>
      </w:r>
      <w:r w:rsidR="00816C78">
        <w:t xml:space="preserve"> wear the </w:t>
      </w:r>
      <w:r w:rsidR="006F2C1F">
        <w:t>equipment</w:t>
      </w:r>
      <w:r w:rsidR="00816C78">
        <w:t xml:space="preserve"> for longer before bedtime</w:t>
      </w:r>
      <w:r w:rsidR="00CD3F05">
        <w:t xml:space="preserve"> which may be difficult for them to tolerate</w:t>
      </w:r>
      <w:r w:rsidR="000B7F45">
        <w:t xml:space="preserve"> and sensor</w:t>
      </w:r>
      <w:r w:rsidR="00A31FB3">
        <w:t>s</w:t>
      </w:r>
      <w:r w:rsidR="000B7F45">
        <w:t xml:space="preserve"> may </w:t>
      </w:r>
      <w:r w:rsidR="00BD6EAA">
        <w:t xml:space="preserve">move or </w:t>
      </w:r>
      <w:r w:rsidR="007C26EA">
        <w:t xml:space="preserve">be </w:t>
      </w:r>
      <w:r w:rsidR="00BD6EAA">
        <w:t>removed by children</w:t>
      </w:r>
      <w:r w:rsidR="00816C78">
        <w:t>,</w:t>
      </w:r>
      <w:r w:rsidR="00BF63D2">
        <w:t xml:space="preserve"> </w:t>
      </w:r>
      <w:r w:rsidR="00CD436C">
        <w:t>potentially</w:t>
      </w:r>
      <w:r w:rsidR="00816C78">
        <w:t xml:space="preserve"> leading to higher test failure rates.</w:t>
      </w:r>
      <w:r w:rsidR="00DA1B57">
        <w:t xml:space="preserve"> </w:t>
      </w:r>
      <w:r>
        <w:t>MSAC considered</w:t>
      </w:r>
      <w:r w:rsidR="00EF643E">
        <w:t xml:space="preserve"> </w:t>
      </w:r>
      <w:r w:rsidR="00247E6E">
        <w:t>referral</w:t>
      </w:r>
      <w:r w:rsidR="00245317">
        <w:t xml:space="preserve"> for Level 2 PSG by</w:t>
      </w:r>
      <w:r w:rsidR="00525EED">
        <w:t xml:space="preserve"> </w:t>
      </w:r>
      <w:r>
        <w:t xml:space="preserve">a sleep </w:t>
      </w:r>
      <w:r w:rsidR="00261CF3">
        <w:t xml:space="preserve">physician </w:t>
      </w:r>
      <w:r w:rsidR="002C67DA">
        <w:t>to be</w:t>
      </w:r>
      <w:r w:rsidR="00245317">
        <w:t xml:space="preserve"> important </w:t>
      </w:r>
      <w:r w:rsidDel="00245317">
        <w:t>as it will</w:t>
      </w:r>
      <w:r>
        <w:t xml:space="preserve"> ensure appropriate patient selection and reduce </w:t>
      </w:r>
      <w:r w:rsidR="0037647D">
        <w:t>inappropriate use</w:t>
      </w:r>
      <w:r w:rsidR="001E1E1A">
        <w:t>. MSAC also consider</w:t>
      </w:r>
      <w:r w:rsidR="0037647D">
        <w:t>ed</w:t>
      </w:r>
      <w:r w:rsidR="001E1E1A">
        <w:t xml:space="preserve"> the </w:t>
      </w:r>
      <w:r w:rsidR="00791501">
        <w:t xml:space="preserve">technical oversight by </w:t>
      </w:r>
      <w:r>
        <w:t>a sleep technician</w:t>
      </w:r>
      <w:r w:rsidR="0037647D">
        <w:t xml:space="preserve"> to be important and</w:t>
      </w:r>
      <w:r>
        <w:t xml:space="preserve"> </w:t>
      </w:r>
      <w:r w:rsidR="00CB7DF8">
        <w:t xml:space="preserve">that it </w:t>
      </w:r>
      <w:r>
        <w:t xml:space="preserve">should be specified in the MBS item descriptor. </w:t>
      </w:r>
    </w:p>
    <w:p w14:paraId="1AA05362" w14:textId="02336BFF" w:rsidR="009A28D4" w:rsidRDefault="009A28D4" w:rsidP="009A28D4">
      <w:r>
        <w:t>MSAC noted the applicant</w:t>
      </w:r>
      <w:r w:rsidR="00FD42CC">
        <w:t xml:space="preserve"> had surveyed</w:t>
      </w:r>
      <w:r>
        <w:t xml:space="preserve"> 6 parents whose children had previously undergone in-laboratory PSG. Responses suggest</w:t>
      </w:r>
      <w:r w:rsidR="000D32EB">
        <w:t>ed</w:t>
      </w:r>
      <w:r>
        <w:t xml:space="preserve"> that </w:t>
      </w:r>
      <w:r w:rsidR="00241358">
        <w:t>telehealth-assisted equipment set-up</w:t>
      </w:r>
      <w:r>
        <w:t xml:space="preserve"> is acceptable to families</w:t>
      </w:r>
      <w:r w:rsidR="000C3BA4">
        <w:t>. Further,</w:t>
      </w:r>
      <w:r>
        <w:t xml:space="preserve"> </w:t>
      </w:r>
      <w:r w:rsidR="00DD0EF8">
        <w:t>the parents noted that out-of-laboratory sleep studies</w:t>
      </w:r>
      <w:r w:rsidR="000C3BA4">
        <w:t xml:space="preserve"> </w:t>
      </w:r>
      <w:r>
        <w:t xml:space="preserve">would provide several benefits, including saving families time, money and travel, and providing a more comfortable environment for children. MSAC considered that, although in-person set-up is preferable, telehealth-assisted set-up is a reasonable alternative to address access and equity issues, and </w:t>
      </w:r>
      <w:r w:rsidR="00353065">
        <w:t>it should be available to all patients regardless of location</w:t>
      </w:r>
      <w:r w:rsidR="00473C82">
        <w:t xml:space="preserve"> and without needing to justify choosing this option</w:t>
      </w:r>
      <w:r>
        <w:t>.</w:t>
      </w:r>
    </w:p>
    <w:p w14:paraId="3EFB47C5" w14:textId="48E1365E" w:rsidR="00562C25" w:rsidRDefault="00562C25" w:rsidP="00562C25">
      <w:r w:rsidRPr="00167E02">
        <w:t xml:space="preserve">MSAC considered that the reason for the service should be documented, to avoid </w:t>
      </w:r>
      <w:r w:rsidR="009F0BA5" w:rsidRPr="00167E02">
        <w:t>inappropriate use, such as</w:t>
      </w:r>
      <w:r w:rsidRPr="00167E02">
        <w:t xml:space="preserve"> </w:t>
      </w:r>
      <w:r w:rsidR="001404CC" w:rsidRPr="00167E02">
        <w:t xml:space="preserve">utilisation for monitoring the efficiency of continuous positive airway pressure (CPAP) treatment without </w:t>
      </w:r>
      <w:r w:rsidR="00FF4E21" w:rsidRPr="00167E02">
        <w:t xml:space="preserve">a clinical </w:t>
      </w:r>
      <w:r w:rsidR="001404CC" w:rsidRPr="00167E02">
        <w:t>reason</w:t>
      </w:r>
      <w:r w:rsidRPr="00167E02">
        <w:t>. MSAC also considered that the explanatory notes should:</w:t>
      </w:r>
    </w:p>
    <w:p w14:paraId="48FD14C0" w14:textId="73DADC36" w:rsidR="00562C25" w:rsidRDefault="00562C25" w:rsidP="00562C25">
      <w:pPr>
        <w:pStyle w:val="ListParagraph"/>
        <w:numPr>
          <w:ilvl w:val="0"/>
          <w:numId w:val="34"/>
        </w:numPr>
        <w:spacing w:before="0" w:after="0" w:line="240" w:lineRule="auto"/>
      </w:pPr>
      <w:r>
        <w:t xml:space="preserve">specify that sleep studies that fail for technical </w:t>
      </w:r>
      <w:r w:rsidR="001404CC">
        <w:t>reasons</w:t>
      </w:r>
      <w:r>
        <w:t>, such as unacceptable signal loss, and cannot meet the item descriptor in full are not eligible for reimbursement</w:t>
      </w:r>
    </w:p>
    <w:p w14:paraId="3011EED4" w14:textId="77777777" w:rsidR="00562C25" w:rsidRDefault="00562C25" w:rsidP="00562C25">
      <w:pPr>
        <w:pStyle w:val="ListParagraph"/>
        <w:numPr>
          <w:ilvl w:val="0"/>
          <w:numId w:val="34"/>
        </w:numPr>
        <w:spacing w:before="0" w:after="0" w:line="240" w:lineRule="auto"/>
      </w:pPr>
      <w:r>
        <w:t>clearly state that repeat testing is for either</w:t>
      </w:r>
    </w:p>
    <w:p w14:paraId="3B041621" w14:textId="77777777" w:rsidR="00562C25" w:rsidRDefault="00562C25" w:rsidP="00562C25">
      <w:pPr>
        <w:pStyle w:val="ListParagraph"/>
        <w:numPr>
          <w:ilvl w:val="1"/>
          <w:numId w:val="34"/>
        </w:numPr>
        <w:spacing w:before="0" w:after="0" w:line="240" w:lineRule="auto"/>
      </w:pPr>
      <w:r>
        <w:t>a failed or inconclusive test other than for failure due to technical issues</w:t>
      </w:r>
    </w:p>
    <w:p w14:paraId="26D1C509" w14:textId="77777777" w:rsidR="00562C25" w:rsidRDefault="00562C25" w:rsidP="00562C25">
      <w:pPr>
        <w:pStyle w:val="ListParagraph"/>
        <w:numPr>
          <w:ilvl w:val="1"/>
          <w:numId w:val="34"/>
        </w:numPr>
        <w:spacing w:before="0" w:after="0" w:line="240" w:lineRule="auto"/>
      </w:pPr>
      <w:r>
        <w:t>testing for residual disease, when required, following treatment</w:t>
      </w:r>
    </w:p>
    <w:p w14:paraId="28B0A26C" w14:textId="102F5B54" w:rsidR="00D1341D" w:rsidRDefault="00562C25" w:rsidP="00562C25">
      <w:pPr>
        <w:pStyle w:val="ListParagraph"/>
        <w:numPr>
          <w:ilvl w:val="0"/>
          <w:numId w:val="34"/>
        </w:numPr>
        <w:spacing w:before="0" w:after="0" w:line="240" w:lineRule="auto"/>
      </w:pPr>
      <w:r>
        <w:t>clarify that videoconferencing is expected to be the default mode for telehealth but can be supplemented by telephone in geographic locations where video communication is difficult to establish or maintain</w:t>
      </w:r>
    </w:p>
    <w:p w14:paraId="7C1EDB6C" w14:textId="5A1F0F53" w:rsidR="00562C25" w:rsidRDefault="00562C25" w:rsidP="000C4A28">
      <w:pPr>
        <w:pStyle w:val="ListParagraph"/>
        <w:numPr>
          <w:ilvl w:val="0"/>
          <w:numId w:val="34"/>
        </w:numPr>
        <w:spacing w:before="0" w:after="0" w:line="240" w:lineRule="auto"/>
      </w:pPr>
      <w:r>
        <w:t>clarify that, if using telehealth, technician support is to be provided throughout the process of applying the PSG equipment to the patient.</w:t>
      </w:r>
    </w:p>
    <w:p w14:paraId="56AA0CF9" w14:textId="56405F20" w:rsidR="009A28D4" w:rsidRDefault="009A28D4" w:rsidP="009A28D4">
      <w:r w:rsidRPr="00A810E9">
        <w:t xml:space="preserve">MSAC noted the cost breakdown </w:t>
      </w:r>
      <w:r w:rsidR="00951B23" w:rsidRPr="00A810E9">
        <w:t>for the</w:t>
      </w:r>
      <w:r w:rsidRPr="00A810E9">
        <w:t xml:space="preserve"> proposed fees </w:t>
      </w:r>
      <w:r w:rsidR="00FE2320" w:rsidRPr="00A810E9">
        <w:t>included</w:t>
      </w:r>
      <w:r w:rsidR="005F69B3" w:rsidRPr="00A810E9">
        <w:t xml:space="preserve"> professional services </w:t>
      </w:r>
      <w:r w:rsidR="006D3E31" w:rsidRPr="00A810E9">
        <w:t xml:space="preserve">during equipment </w:t>
      </w:r>
      <w:r w:rsidR="005F69B3" w:rsidRPr="00A810E9">
        <w:t xml:space="preserve">set-up </w:t>
      </w:r>
      <w:r w:rsidR="006D3E31" w:rsidRPr="00A810E9">
        <w:t xml:space="preserve">(either in person or via </w:t>
      </w:r>
      <w:r w:rsidR="005F69B3" w:rsidRPr="00A810E9">
        <w:t>telehealth</w:t>
      </w:r>
      <w:r w:rsidR="00544D82" w:rsidRPr="00A810E9">
        <w:t>)</w:t>
      </w:r>
      <w:r w:rsidR="005F69B3" w:rsidRPr="00A810E9">
        <w:t xml:space="preserve">, </w:t>
      </w:r>
      <w:r w:rsidR="00F8003B" w:rsidRPr="00A810E9">
        <w:t>on-call technical support overnight</w:t>
      </w:r>
      <w:r w:rsidR="00B04520" w:rsidRPr="00A810E9">
        <w:t xml:space="preserve">, data download, analysis, scoring and interpretation. </w:t>
      </w:r>
      <w:r w:rsidR="00CE5497" w:rsidRPr="00A810E9">
        <w:t xml:space="preserve">Costs also included consumables and </w:t>
      </w:r>
      <w:r w:rsidR="00402A32" w:rsidRPr="00A810E9">
        <w:t>shipping of equipment.</w:t>
      </w:r>
      <w:r w:rsidR="00520E7E" w:rsidRPr="00A810E9">
        <w:t xml:space="preserve"> </w:t>
      </w:r>
      <w:r w:rsidR="00F553A7" w:rsidRPr="00A810E9">
        <w:t xml:space="preserve">MSAC noted that the proposed fees were higher than </w:t>
      </w:r>
      <w:r w:rsidR="00AB24E4" w:rsidRPr="00A810E9">
        <w:t xml:space="preserve">current fees for </w:t>
      </w:r>
      <w:r w:rsidR="00F553A7" w:rsidRPr="00A810E9">
        <w:t>private home sleep studies (for children: $240 if fitted in rooms and $279 if fitted in the patient’s home; set-up time of 30 minutes)</w:t>
      </w:r>
      <w:r w:rsidR="00F553A7" w:rsidRPr="00A810E9">
        <w:rPr>
          <w:rStyle w:val="FootnoteReference"/>
        </w:rPr>
        <w:footnoteReference w:id="2"/>
      </w:r>
      <w:r w:rsidR="00F553A7" w:rsidRPr="00A810E9">
        <w:t>.</w:t>
      </w:r>
      <w:r w:rsidR="00D56CD4" w:rsidRPr="00A810E9">
        <w:t xml:space="preserve"> </w:t>
      </w:r>
      <w:r w:rsidRPr="00A810E9">
        <w:t xml:space="preserve">MSAC considered that the </w:t>
      </w:r>
      <w:r w:rsidR="00F90949" w:rsidRPr="00A810E9">
        <w:t xml:space="preserve">proposed </w:t>
      </w:r>
      <w:r w:rsidR="00B13209" w:rsidRPr="00A810E9">
        <w:t xml:space="preserve">Level 2 PSG items and </w:t>
      </w:r>
      <w:r w:rsidRPr="00A810E9">
        <w:t>fee</w:t>
      </w:r>
      <w:r w:rsidR="00ED76A1" w:rsidRPr="00A810E9">
        <w:t>s</w:t>
      </w:r>
      <w:r w:rsidRPr="00A810E9">
        <w:t xml:space="preserve"> </w:t>
      </w:r>
      <w:r w:rsidR="00F90949" w:rsidRPr="00A810E9">
        <w:t xml:space="preserve">for children and adolescents </w:t>
      </w:r>
      <w:r w:rsidRPr="00A810E9">
        <w:t xml:space="preserve">should align with </w:t>
      </w:r>
      <w:r w:rsidR="00E94C97" w:rsidRPr="00A810E9">
        <w:t>MBS item 12250</w:t>
      </w:r>
      <w:r w:rsidRPr="00A810E9">
        <w:t xml:space="preserve"> (Level 2 PSG for adults; fee of $391.10</w:t>
      </w:r>
      <w:r w:rsidR="005707C0" w:rsidRPr="00A810E9">
        <w:t>)</w:t>
      </w:r>
      <w:r w:rsidR="005B2B1B" w:rsidRPr="00A810E9">
        <w:t>. MSAC noted</w:t>
      </w:r>
      <w:r w:rsidR="00ED76A1" w:rsidRPr="00A810E9">
        <w:t xml:space="preserve"> </w:t>
      </w:r>
      <w:r w:rsidR="00A20C69" w:rsidRPr="00A810E9">
        <w:t>that</w:t>
      </w:r>
      <w:r w:rsidR="000E2B42" w:rsidRPr="00A810E9">
        <w:t xml:space="preserve"> listing</w:t>
      </w:r>
      <w:r w:rsidR="005B2B1B" w:rsidRPr="00A810E9">
        <w:t xml:space="preserve"> separate items for </w:t>
      </w:r>
      <w:r w:rsidR="00CD19BF" w:rsidRPr="00A810E9">
        <w:t>metropo</w:t>
      </w:r>
      <w:r w:rsidR="00BE3DE2" w:rsidRPr="00A810E9">
        <w:t xml:space="preserve">litan and </w:t>
      </w:r>
      <w:r w:rsidR="00A45C5C" w:rsidRPr="00A810E9">
        <w:t xml:space="preserve">rural/remote patients (in Modified Monash 3-7 locations) </w:t>
      </w:r>
      <w:r w:rsidR="00ED76A1" w:rsidRPr="00A810E9">
        <w:t>was</w:t>
      </w:r>
      <w:r w:rsidR="00A45C5C" w:rsidRPr="00A810E9">
        <w:t xml:space="preserve"> not consistent with </w:t>
      </w:r>
      <w:r w:rsidR="005B40EE" w:rsidRPr="00A810E9">
        <w:t>the</w:t>
      </w:r>
      <w:r w:rsidR="006A39CA" w:rsidRPr="00A810E9">
        <w:t xml:space="preserve"> single</w:t>
      </w:r>
      <w:r w:rsidR="00EE1751" w:rsidRPr="00A810E9">
        <w:t xml:space="preserve"> MBS item for</w:t>
      </w:r>
      <w:r w:rsidR="005B40EE" w:rsidRPr="00A810E9">
        <w:t xml:space="preserve"> </w:t>
      </w:r>
      <w:r w:rsidR="00A45C5C" w:rsidRPr="00A810E9">
        <w:t xml:space="preserve">adult Level 2 </w:t>
      </w:r>
      <w:r w:rsidR="00A45C5C" w:rsidRPr="00A810E9">
        <w:lastRenderedPageBreak/>
        <w:t>PSG</w:t>
      </w:r>
      <w:r w:rsidR="00C62AAE" w:rsidRPr="00A810E9">
        <w:t xml:space="preserve"> and could be avoided by</w:t>
      </w:r>
      <w:r w:rsidRPr="00A810E9">
        <w:t xml:space="preserve"> </w:t>
      </w:r>
      <w:r w:rsidR="001703FA" w:rsidRPr="00A810E9">
        <w:t>adjusting the</w:t>
      </w:r>
      <w:r w:rsidRPr="00A810E9">
        <w:t xml:space="preserve"> fee </w:t>
      </w:r>
      <w:r w:rsidR="006A062B" w:rsidRPr="00A810E9">
        <w:t xml:space="preserve">to </w:t>
      </w:r>
      <w:r w:rsidRPr="00A810E9">
        <w:t>cover set-up costs for all patients</w:t>
      </w:r>
      <w:r w:rsidR="0074388B" w:rsidRPr="00A810E9">
        <w:t>.</w:t>
      </w:r>
      <w:r w:rsidR="00B272BE" w:rsidRPr="00A810E9">
        <w:t xml:space="preserve"> </w:t>
      </w:r>
      <w:r w:rsidRPr="00A810E9">
        <w:t>MSAC considered</w:t>
      </w:r>
      <w:r w:rsidR="006A062B" w:rsidRPr="00A810E9">
        <w:t xml:space="preserve"> the</w:t>
      </w:r>
      <w:r w:rsidRPr="00A810E9">
        <w:t xml:space="preserve"> </w:t>
      </w:r>
      <w:r w:rsidR="00346AE5" w:rsidRPr="00A810E9">
        <w:t>fee</w:t>
      </w:r>
      <w:r w:rsidR="006A062B" w:rsidRPr="00A810E9">
        <w:t>s</w:t>
      </w:r>
      <w:r w:rsidR="00346AE5" w:rsidRPr="00A810E9">
        <w:t xml:space="preserve"> should include</w:t>
      </w:r>
      <w:r w:rsidR="00B272BE" w:rsidRPr="00A810E9">
        <w:t xml:space="preserve"> </w:t>
      </w:r>
      <w:r w:rsidR="009C3B38" w:rsidRPr="00A810E9">
        <w:t xml:space="preserve">the additional </w:t>
      </w:r>
      <w:r w:rsidR="0018433A" w:rsidRPr="00A810E9">
        <w:t xml:space="preserve">cost </w:t>
      </w:r>
      <w:r w:rsidR="007B082E" w:rsidRPr="00A810E9">
        <w:t xml:space="preserve">component </w:t>
      </w:r>
      <w:r w:rsidR="0018433A" w:rsidRPr="00A810E9">
        <w:t>for telehealth set</w:t>
      </w:r>
      <w:r w:rsidR="0039768B" w:rsidRPr="00A810E9">
        <w:t>-</w:t>
      </w:r>
      <w:r w:rsidR="0018433A" w:rsidRPr="00A810E9">
        <w:t>up</w:t>
      </w:r>
      <w:r w:rsidR="009C3B38" w:rsidRPr="00A810E9">
        <w:t xml:space="preserve"> </w:t>
      </w:r>
      <w:r w:rsidR="007B082E" w:rsidRPr="00A810E9">
        <w:t xml:space="preserve">($16.50) </w:t>
      </w:r>
      <w:r w:rsidR="009C3B38" w:rsidRPr="00A810E9">
        <w:t xml:space="preserve">and </w:t>
      </w:r>
      <w:r w:rsidRPr="00A810E9">
        <w:t xml:space="preserve">a flat delivery </w:t>
      </w:r>
      <w:r w:rsidR="00A041B7" w:rsidRPr="00A810E9">
        <w:t xml:space="preserve">cost </w:t>
      </w:r>
      <w:r w:rsidR="00BC6C27" w:rsidRPr="00A810E9">
        <w:t xml:space="preserve">component </w:t>
      </w:r>
      <w:r w:rsidR="007B082E" w:rsidRPr="00A810E9">
        <w:t>(</w:t>
      </w:r>
      <w:r w:rsidRPr="00A810E9">
        <w:t>$12.80</w:t>
      </w:r>
      <w:r w:rsidR="007B082E" w:rsidRPr="00A810E9">
        <w:t xml:space="preserve">, </w:t>
      </w:r>
      <w:r w:rsidRPr="00A810E9">
        <w:t xml:space="preserve">based on an estimate that 12.8% of the annualised population over 6 years will require </w:t>
      </w:r>
      <w:r w:rsidR="00552339" w:rsidRPr="00A810E9">
        <w:t xml:space="preserve">equipment </w:t>
      </w:r>
      <w:r w:rsidRPr="00A810E9">
        <w:t>delivery</w:t>
      </w:r>
      <w:r w:rsidR="00552339" w:rsidRPr="00A810E9">
        <w:t xml:space="preserve"> and return</w:t>
      </w:r>
      <w:r w:rsidR="006A39CA" w:rsidRPr="00A810E9">
        <w:t>, priced</w:t>
      </w:r>
      <w:r w:rsidR="00BC6C27" w:rsidRPr="00A810E9">
        <w:t xml:space="preserve"> at </w:t>
      </w:r>
      <w:r w:rsidR="00B272BE" w:rsidRPr="00A810E9">
        <w:t>$100)</w:t>
      </w:r>
      <w:r w:rsidR="00346AE5" w:rsidRPr="00A810E9">
        <w:t>.</w:t>
      </w:r>
      <w:r w:rsidR="00B272BE" w:rsidRPr="00A810E9">
        <w:t xml:space="preserve"> </w:t>
      </w:r>
      <w:r w:rsidR="006539F9" w:rsidRPr="00A810E9">
        <w:t xml:space="preserve">MSAC also considered the cost component for </w:t>
      </w:r>
      <w:r w:rsidR="008108C0" w:rsidRPr="00A810E9">
        <w:t xml:space="preserve">data </w:t>
      </w:r>
      <w:r w:rsidR="00E40588" w:rsidRPr="00A810E9">
        <w:t>download and analysis was over estimated and that 1 hour at $70/hour would be more appr</w:t>
      </w:r>
      <w:r w:rsidR="003C3FD0" w:rsidRPr="00A810E9">
        <w:t>opriate.</w:t>
      </w:r>
      <w:r w:rsidRPr="00A810E9">
        <w:t xml:space="preserve"> MSAC therefore considered </w:t>
      </w:r>
      <w:r w:rsidR="00047FE4" w:rsidRPr="00A810E9">
        <w:t xml:space="preserve">the </w:t>
      </w:r>
      <w:r w:rsidRPr="00A810E9">
        <w:t>fee</w:t>
      </w:r>
      <w:r w:rsidR="00047FE4" w:rsidRPr="00A810E9">
        <w:t xml:space="preserve"> for Level 2 PSG for children and adolescents should be</w:t>
      </w:r>
      <w:r w:rsidRPr="00A810E9">
        <w:t xml:space="preserve"> $466.30 </w:t>
      </w:r>
      <w:r w:rsidR="00047FE4" w:rsidRPr="00A810E9">
        <w:t xml:space="preserve">and </w:t>
      </w:r>
      <w:r w:rsidRPr="00A810E9">
        <w:t>$433.30</w:t>
      </w:r>
      <w:r w:rsidR="00047FE4" w:rsidRPr="00A810E9">
        <w:t>, respectively.</w:t>
      </w:r>
      <w:r>
        <w:t xml:space="preserve"> </w:t>
      </w:r>
    </w:p>
    <w:p w14:paraId="54C07EA7" w14:textId="7E10486B" w:rsidR="009A28D4" w:rsidRDefault="009A28D4" w:rsidP="009A28D4">
      <w:r>
        <w:t>MSAC noted that many children living in rural and remote areas will be First Nations</w:t>
      </w:r>
      <w:r w:rsidR="00A67390">
        <w:t xml:space="preserve"> people</w:t>
      </w:r>
      <w:r>
        <w:t xml:space="preserve">, and </w:t>
      </w:r>
      <w:r w:rsidR="00287A67">
        <w:t xml:space="preserve">queried </w:t>
      </w:r>
      <w:r w:rsidR="00491E79">
        <w:t>whether the</w:t>
      </w:r>
      <w:r w:rsidR="00287A67">
        <w:t>re are equity concerns</w:t>
      </w:r>
      <w:r w:rsidR="00837778">
        <w:t xml:space="preserve"> due to</w:t>
      </w:r>
      <w:r w:rsidR="00491E79">
        <w:t xml:space="preserve"> increased rates of test failures w</w:t>
      </w:r>
      <w:r w:rsidR="00287A67">
        <w:t>ith Level 2</w:t>
      </w:r>
      <w:r w:rsidR="008A55F3">
        <w:t xml:space="preserve"> PSG</w:t>
      </w:r>
      <w:r>
        <w:t>.</w:t>
      </w:r>
      <w:r w:rsidR="00837778">
        <w:t xml:space="preserve"> MSAC also noted that sleep studies that fail for technical reasons are ineligible for MBS reimbursement.</w:t>
      </w:r>
      <w:r w:rsidR="00E11329">
        <w:t xml:space="preserve"> </w:t>
      </w:r>
      <w:r w:rsidR="006A39CA">
        <w:t>S</w:t>
      </w:r>
      <w:r w:rsidR="00E11329">
        <w:t>leep lab</w:t>
      </w:r>
      <w:r w:rsidR="00012A0B">
        <w:t>orat</w:t>
      </w:r>
      <w:r w:rsidR="00F75620">
        <w:t>or</w:t>
      </w:r>
      <w:r w:rsidR="00012A0B">
        <w:t>ies</w:t>
      </w:r>
      <w:r w:rsidR="00E11329">
        <w:t xml:space="preserve"> may absorb the cost of a repeat test if the first test fails due to technical issues. </w:t>
      </w:r>
      <w:r w:rsidR="00A5664C">
        <w:t xml:space="preserve">However, </w:t>
      </w:r>
      <w:r w:rsidR="00837778">
        <w:t xml:space="preserve">MSAC considered it important to ensure parents are aware of this </w:t>
      </w:r>
      <w:r w:rsidR="00A5664C">
        <w:t xml:space="preserve">issue </w:t>
      </w:r>
      <w:r w:rsidR="00837778">
        <w:t xml:space="preserve">when considering a </w:t>
      </w:r>
      <w:r w:rsidR="00FD34D2">
        <w:t>Level 2 PSG</w:t>
      </w:r>
      <w:r w:rsidR="00837778">
        <w:t>.</w:t>
      </w:r>
      <w:r>
        <w:t xml:space="preserve"> MSAC also considered possible equity issues for children with </w:t>
      </w:r>
      <w:r w:rsidR="00BC2CAA">
        <w:t>disability but</w:t>
      </w:r>
      <w:r>
        <w:t xml:space="preserve"> concluded that more</w:t>
      </w:r>
      <w:r w:rsidR="007E63D9">
        <w:t xml:space="preserve"> </w:t>
      </w:r>
      <w:r>
        <w:t xml:space="preserve">complex </w:t>
      </w:r>
      <w:r w:rsidR="003F59EB">
        <w:t xml:space="preserve">patients </w:t>
      </w:r>
      <w:r>
        <w:t xml:space="preserve">would </w:t>
      </w:r>
      <w:r w:rsidR="000F4484">
        <w:t xml:space="preserve">likely </w:t>
      </w:r>
      <w:r w:rsidR="009A763E">
        <w:t xml:space="preserve">undergo a Level 1 PSG in a sleep laboratory or hospital setting </w:t>
      </w:r>
      <w:r>
        <w:t xml:space="preserve">for initial diagnosis and </w:t>
      </w:r>
      <w:r w:rsidR="00592D2B">
        <w:t xml:space="preserve">may </w:t>
      </w:r>
      <w:r>
        <w:t xml:space="preserve">undergo treatment monitoring at home if it is deemed appropriate by the sleep physician. </w:t>
      </w:r>
    </w:p>
    <w:p w14:paraId="77C7B078" w14:textId="51B733D8" w:rsidR="009A28D4" w:rsidRDefault="009A28D4" w:rsidP="009A28D4">
      <w:r w:rsidRPr="00A810E9">
        <w:t xml:space="preserve">MSAC noted </w:t>
      </w:r>
      <w:r w:rsidR="00C779A8" w:rsidRPr="00A810E9">
        <w:t>a revised</w:t>
      </w:r>
      <w:r w:rsidRPr="00A810E9">
        <w:t xml:space="preserve"> cost-minimisation analysis</w:t>
      </w:r>
      <w:r w:rsidR="008508B5" w:rsidRPr="00A810E9">
        <w:t xml:space="preserve"> was presented</w:t>
      </w:r>
      <w:r w:rsidR="00C779A8" w:rsidRPr="00A810E9">
        <w:t xml:space="preserve"> that</w:t>
      </w:r>
      <w:r w:rsidRPr="00A810E9">
        <w:t xml:space="preserve"> incorporate</w:t>
      </w:r>
      <w:r w:rsidR="004C03C8" w:rsidRPr="00A810E9">
        <w:t>d</w:t>
      </w:r>
      <w:r w:rsidRPr="00A810E9">
        <w:t xml:space="preserve"> changes to include </w:t>
      </w:r>
      <w:r w:rsidR="00A5664C" w:rsidRPr="00A810E9">
        <w:t xml:space="preserve">delivery </w:t>
      </w:r>
      <w:r w:rsidRPr="00A810E9">
        <w:t>and set-up costs via telehealth</w:t>
      </w:r>
      <w:r w:rsidR="00CD0BAA" w:rsidRPr="00A810E9">
        <w:t xml:space="preserve">. The </w:t>
      </w:r>
      <w:r w:rsidR="004C0AF5" w:rsidRPr="00A810E9">
        <w:t xml:space="preserve">revised economic evaluation reported </w:t>
      </w:r>
      <w:r w:rsidR="009C744F" w:rsidRPr="00A810E9">
        <w:t>the cost per diagnosis for Level 2 PSG was lower than that for Level 1 PSG resulting in a</w:t>
      </w:r>
      <w:r w:rsidR="00CD0BAA" w:rsidRPr="00A810E9">
        <w:t xml:space="preserve"> </w:t>
      </w:r>
      <w:r w:rsidRPr="00A810E9">
        <w:t>cost saving of $432.69 per accurate diagnosis</w:t>
      </w:r>
      <w:r w:rsidR="004C0AF5" w:rsidRPr="00A810E9">
        <w:t>. MSAC noted thi</w:t>
      </w:r>
      <w:r w:rsidR="009C744F" w:rsidRPr="00A810E9">
        <w:t>s cost saving was reasonable bu</w:t>
      </w:r>
      <w:r w:rsidR="00D479FE" w:rsidRPr="00A810E9">
        <w:t xml:space="preserve">t was less than </w:t>
      </w:r>
      <w:r w:rsidR="000A5CCB" w:rsidRPr="00A810E9">
        <w:t>the</w:t>
      </w:r>
      <w:r w:rsidR="00D479FE" w:rsidRPr="00A810E9">
        <w:t xml:space="preserve"> estimate</w:t>
      </w:r>
      <w:r w:rsidR="000A5CCB" w:rsidRPr="00A810E9">
        <w:t xml:space="preserve"> provided</w:t>
      </w:r>
      <w:r w:rsidR="00D479FE" w:rsidRPr="00A810E9">
        <w:t xml:space="preserve"> in the previous application </w:t>
      </w:r>
      <w:r w:rsidRPr="00A810E9">
        <w:t>(</w:t>
      </w:r>
      <w:r w:rsidR="00F67252" w:rsidRPr="00A810E9">
        <w:t>MSAC application 1712 estimated a cost</w:t>
      </w:r>
      <w:r w:rsidRPr="00A810E9">
        <w:t xml:space="preserve"> saving of $645.29 per accurate diagnosis</w:t>
      </w:r>
      <w:r w:rsidR="00BC2CAA" w:rsidRPr="00A810E9">
        <w:t>).</w:t>
      </w:r>
    </w:p>
    <w:p w14:paraId="42C9E9B3" w14:textId="4CD820D7" w:rsidR="009A28D4" w:rsidRDefault="009A28D4" w:rsidP="009A28D4">
      <w:r>
        <w:t xml:space="preserve">MSAC noted </w:t>
      </w:r>
      <w:r w:rsidR="00E53A17">
        <w:t xml:space="preserve">the revised financial analysis estimated that </w:t>
      </w:r>
      <w:r w:rsidR="009F73CF">
        <w:t>MBS</w:t>
      </w:r>
      <w:r w:rsidR="0016285F">
        <w:t xml:space="preserve"> </w:t>
      </w:r>
      <w:r w:rsidR="009F73CF">
        <w:t xml:space="preserve">listing of Level 2 PSG </w:t>
      </w:r>
      <w:r w:rsidR="00E53A17">
        <w:t>would</w:t>
      </w:r>
      <w:r w:rsidR="00D313C8" w:rsidRPr="000A40DC">
        <w:t xml:space="preserve"> initially </w:t>
      </w:r>
      <w:r w:rsidR="00E53A17">
        <w:t>be</w:t>
      </w:r>
      <w:r>
        <w:t xml:space="preserve"> cost saving in year 1 (</w:t>
      </w:r>
      <w:r w:rsidR="00BE61EA">
        <w:t xml:space="preserve">saving of </w:t>
      </w:r>
      <w:r>
        <w:t>$117,845 for children and $12,832 for adolescents) but from year 2 onwards</w:t>
      </w:r>
      <w:r w:rsidR="00800457">
        <w:t xml:space="preserve"> there would be a modest increase in MBS expenditure </w:t>
      </w:r>
      <w:r>
        <w:t xml:space="preserve">(in year 6: </w:t>
      </w:r>
      <w:r w:rsidR="00BE61EA">
        <w:t xml:space="preserve">increase of </w:t>
      </w:r>
      <w:r>
        <w:t>$1.2 million for children, $282,796 for adolescents). The additional cost from the second year</w:t>
      </w:r>
      <w:r w:rsidR="00475E8E">
        <w:t xml:space="preserve"> onwards</w:t>
      </w:r>
      <w:r>
        <w:t xml:space="preserve"> is due to the </w:t>
      </w:r>
      <w:r w:rsidR="00475E8E">
        <w:t xml:space="preserve">increased </w:t>
      </w:r>
      <w:r w:rsidR="00BC2CAA">
        <w:t>utilisation of</w:t>
      </w:r>
      <w:r>
        <w:t xml:space="preserve"> Level 2 </w:t>
      </w:r>
      <w:r w:rsidR="00475E8E">
        <w:t xml:space="preserve">PSG </w:t>
      </w:r>
      <w:r>
        <w:t>compared to Level 1</w:t>
      </w:r>
      <w:r w:rsidR="00475E8E">
        <w:t xml:space="preserve"> PSG</w:t>
      </w:r>
      <w:r>
        <w:t xml:space="preserve">. MSAC considered the estimated utilisation to be reasonable based on the use of comparable items for adults, although the estimated use in rural and remote areas was </w:t>
      </w:r>
      <w:r w:rsidR="00BC2CAA">
        <w:t>likely overestimated</w:t>
      </w:r>
      <w:r>
        <w:t xml:space="preserve">. </w:t>
      </w:r>
      <w:r w:rsidR="00271CA0">
        <w:t>MSAC also noted that out-of-pocket costs with MBS funded Level 1 PSG has been increasing and it was uncertain whether this will increase or decrease if Level 2 PSG is MBS</w:t>
      </w:r>
      <w:r w:rsidR="0016285F">
        <w:t xml:space="preserve"> </w:t>
      </w:r>
      <w:r w:rsidR="00271CA0">
        <w:t>listed</w:t>
      </w:r>
      <w:r w:rsidR="00BA3DE6">
        <w:t xml:space="preserve">. </w:t>
      </w:r>
    </w:p>
    <w:p w14:paraId="7BB0914A" w14:textId="23665E4C" w:rsidR="00F21362" w:rsidRPr="00167E02" w:rsidRDefault="009A28D4" w:rsidP="009A28D4">
      <w:r w:rsidRPr="00A810E9">
        <w:t xml:space="preserve">Overall, MSAC supported MBS listing of Level 2 PSG for the diagnosis and management of SDB in children and adolescents. </w:t>
      </w:r>
      <w:r w:rsidR="005422C2" w:rsidRPr="00A810E9">
        <w:t xml:space="preserve">MSAC noted </w:t>
      </w:r>
      <w:r w:rsidR="002E4026" w:rsidRPr="00A810E9">
        <w:t xml:space="preserve">adults </w:t>
      </w:r>
      <w:r w:rsidR="00722153" w:rsidRPr="00A810E9">
        <w:t xml:space="preserve">are able to access MBS funded Level 2 PSG </w:t>
      </w:r>
      <w:r w:rsidR="00BC2CAA" w:rsidRPr="00A810E9">
        <w:t>and that</w:t>
      </w:r>
      <w:r w:rsidR="003F1E6C" w:rsidRPr="00A810E9">
        <w:t xml:space="preserve"> there is</w:t>
      </w:r>
      <w:r w:rsidRPr="00A810E9">
        <w:t xml:space="preserve"> a clear clinical need for </w:t>
      </w:r>
      <w:r w:rsidR="006F45D9" w:rsidRPr="00A810E9">
        <w:t xml:space="preserve">Level 2 PSG </w:t>
      </w:r>
      <w:r w:rsidR="002522B8" w:rsidRPr="00A810E9">
        <w:t xml:space="preserve">for </w:t>
      </w:r>
      <w:r w:rsidRPr="00A810E9">
        <w:t>children and adolescents</w:t>
      </w:r>
      <w:r w:rsidR="006F45D9" w:rsidRPr="00A810E9">
        <w:t xml:space="preserve"> to address the </w:t>
      </w:r>
      <w:r w:rsidR="00F062CC" w:rsidRPr="00A810E9">
        <w:t>long wait times for sleep studies</w:t>
      </w:r>
      <w:r w:rsidRPr="00A810E9">
        <w:t xml:space="preserve">. </w:t>
      </w:r>
      <w:r w:rsidR="00EB7835" w:rsidRPr="00A810E9">
        <w:t xml:space="preserve">MSAC also considered that </w:t>
      </w:r>
      <w:r w:rsidR="00B00CD7" w:rsidRPr="00A810E9">
        <w:t>Level 2 PSG</w:t>
      </w:r>
      <w:r w:rsidRPr="00A810E9">
        <w:t xml:space="preserve"> </w:t>
      </w:r>
      <w:r w:rsidR="004F2778" w:rsidRPr="00A810E9">
        <w:t>is</w:t>
      </w:r>
      <w:r w:rsidRPr="00A810E9">
        <w:t xml:space="preserve"> </w:t>
      </w:r>
      <w:r w:rsidR="00471483" w:rsidRPr="00A810E9">
        <w:rPr>
          <w:rFonts w:eastAsia="Franklin Gothic Book"/>
        </w:rPr>
        <w:t>non-inferior in test accuracy, effectiveness and safety compared to Level 1 PSG in the proposed population</w:t>
      </w:r>
      <w:r w:rsidRPr="00A810E9">
        <w:t xml:space="preserve">. The economic evaluation </w:t>
      </w:r>
      <w:r w:rsidR="005F034D" w:rsidRPr="00A810E9">
        <w:t>indicated that Level 2 PSG is cost saving compared to Level 1 PSG</w:t>
      </w:r>
      <w:r w:rsidRPr="00A810E9">
        <w:t>, and the financial impact</w:t>
      </w:r>
      <w:r w:rsidR="005F034D" w:rsidRPr="00A810E9">
        <w:t xml:space="preserve"> to the MBS</w:t>
      </w:r>
      <w:r w:rsidRPr="00A810E9">
        <w:t xml:space="preserve"> is likely to be modest.</w:t>
      </w:r>
      <w:r>
        <w:t xml:space="preserve"> </w:t>
      </w:r>
      <w:r w:rsidRPr="00167E02">
        <w:t xml:space="preserve">MSAC </w:t>
      </w:r>
      <w:r w:rsidR="004E6791" w:rsidRPr="00167E02">
        <w:t>supported</w:t>
      </w:r>
      <w:r w:rsidR="003E106E" w:rsidRPr="00167E02">
        <w:t xml:space="preserve"> </w:t>
      </w:r>
      <w:r w:rsidRPr="00167E02">
        <w:t>the creation of 2 MBS items</w:t>
      </w:r>
      <w:r w:rsidR="009B362B" w:rsidRPr="00167E02">
        <w:t xml:space="preserve"> (as shown below)</w:t>
      </w:r>
      <w:r w:rsidRPr="00167E02">
        <w:t xml:space="preserve"> </w:t>
      </w:r>
      <w:r w:rsidR="00BD5A39" w:rsidRPr="00167E02">
        <w:t>with revised fees that would ensure equitable access for all patients</w:t>
      </w:r>
      <w:r w:rsidRPr="00167E02">
        <w:t>: one for children aged 3–11 with a fee of $466.30, and one for adolescents aged 12–17 with a fee of $433.30.</w:t>
      </w:r>
      <w:r w:rsidR="000979C5" w:rsidRPr="00167E02">
        <w:t xml:space="preserve"> MSAC also advised </w:t>
      </w:r>
      <w:r w:rsidR="008C7D2E" w:rsidRPr="00167E02">
        <w:t xml:space="preserve">that the </w:t>
      </w:r>
      <w:r w:rsidRPr="00167E02">
        <w:t xml:space="preserve">utilisation and out-of-pocket costs should be </w:t>
      </w:r>
      <w:r w:rsidR="008C7D2E" w:rsidRPr="00167E02">
        <w:t xml:space="preserve">reviewed </w:t>
      </w:r>
      <w:r w:rsidRPr="00167E02">
        <w:t xml:space="preserve">2 years </w:t>
      </w:r>
      <w:r w:rsidR="008C7D2E" w:rsidRPr="00167E02">
        <w:t xml:space="preserve">after </w:t>
      </w:r>
      <w:r w:rsidRPr="00167E02">
        <w:t>implementation.</w:t>
      </w:r>
    </w:p>
    <w:p w14:paraId="5E0F5D99" w14:textId="7A1657E9" w:rsidR="00D1697F" w:rsidRDefault="00D1697F" w:rsidP="009A28D4">
      <w:r w:rsidRPr="00167E02">
        <w:t>MSAC supported the availability of three publicly funded sleep studies per year, as is currently the case for Level 1 PSG (items 12210 and 12213), but clarified this means three studies in total of either type, not three of each.</w:t>
      </w:r>
    </w:p>
    <w:p w14:paraId="41CE1FC6" w14:textId="4A58D7A5" w:rsidR="009A28D4" w:rsidRDefault="00F21362" w:rsidP="000C4A28">
      <w:pPr>
        <w:pStyle w:val="Caption"/>
      </w:pPr>
      <w:r w:rsidRPr="00CE28E3">
        <w:lastRenderedPageBreak/>
        <w:t>Table</w:t>
      </w:r>
      <w:r>
        <w:t> </w:t>
      </w:r>
      <w:r w:rsidR="00BC2CAA">
        <w:fldChar w:fldCharType="begin"/>
      </w:r>
      <w:r w:rsidR="00BC2CAA">
        <w:instrText xml:space="preserve"> SEQ Table \* ARABIC </w:instrText>
      </w:r>
      <w:r w:rsidR="00BC2CAA">
        <w:fldChar w:fldCharType="separate"/>
      </w:r>
      <w:r w:rsidR="00BC2CAA">
        <w:rPr>
          <w:noProof/>
        </w:rPr>
        <w:t>1</w:t>
      </w:r>
      <w:r w:rsidR="00BC2CAA">
        <w:rPr>
          <w:noProof/>
        </w:rPr>
        <w:fldChar w:fldCharType="end"/>
      </w:r>
      <w:r w:rsidRPr="00CE28E3">
        <w:tab/>
      </w:r>
      <w:r>
        <w:t>MSAC supported</w:t>
      </w:r>
      <w:r w:rsidRPr="00CE28E3">
        <w:t xml:space="preserve"> item descriptor for </w:t>
      </w:r>
      <w:r>
        <w:t>paediatric Level 2 PSG in children aged 3-11 years (inclusive)</w:t>
      </w:r>
    </w:p>
    <w:tbl>
      <w:tblPr>
        <w:tblStyle w:val="TableGrid"/>
        <w:tblW w:w="0" w:type="auto"/>
        <w:tblLook w:val="04A0" w:firstRow="1" w:lastRow="0" w:firstColumn="1" w:lastColumn="0" w:noHBand="0" w:noVBand="1"/>
        <w:tblCaption w:val="Proposed item descriptor for paediatric Level 2 PSG conducted using equipment delivered to a rural or remote location, in children aged 3-11 years (inclusive)"/>
        <w:tblDescription w:val="Proposed item descriptor and fee."/>
      </w:tblPr>
      <w:tblGrid>
        <w:gridCol w:w="9016"/>
      </w:tblGrid>
      <w:tr w:rsidR="006347D8" w:rsidRPr="00D57431" w14:paraId="30F37F38" w14:textId="77777777" w:rsidTr="006347D8">
        <w:trPr>
          <w:trHeight w:val="350"/>
        </w:trPr>
        <w:tc>
          <w:tcPr>
            <w:tcW w:w="9016" w:type="dxa"/>
          </w:tcPr>
          <w:p w14:paraId="6A6D9BAE" w14:textId="77777777" w:rsidR="006347D8" w:rsidRPr="00D57431" w:rsidRDefault="006347D8" w:rsidP="000E152B">
            <w:pPr>
              <w:pStyle w:val="TableText"/>
              <w:keepNext/>
              <w:jc w:val="right"/>
              <w:rPr>
                <w:b/>
                <w:sz w:val="18"/>
                <w:szCs w:val="18"/>
              </w:rPr>
            </w:pPr>
            <w:r w:rsidRPr="00D57431">
              <w:rPr>
                <w:b/>
                <w:sz w:val="18"/>
                <w:szCs w:val="18"/>
              </w:rPr>
              <w:t>Category 2: Diagnostic Procedures and Investigations</w:t>
            </w:r>
          </w:p>
          <w:p w14:paraId="09FA4FD6" w14:textId="77777777" w:rsidR="006347D8" w:rsidRPr="00D57431" w:rsidRDefault="006347D8" w:rsidP="000E152B">
            <w:pPr>
              <w:pStyle w:val="TableText"/>
              <w:keepNext/>
              <w:jc w:val="right"/>
              <w:rPr>
                <w:b/>
                <w:sz w:val="18"/>
                <w:szCs w:val="18"/>
              </w:rPr>
            </w:pPr>
            <w:r w:rsidRPr="00D57431">
              <w:rPr>
                <w:b/>
                <w:sz w:val="18"/>
                <w:szCs w:val="18"/>
              </w:rPr>
              <w:t>Group D1. Miscellaneous Diagnostic Procedures And Investigation</w:t>
            </w:r>
          </w:p>
          <w:p w14:paraId="62D56E40" w14:textId="77777777" w:rsidR="006347D8" w:rsidRPr="00D57431" w:rsidRDefault="006347D8" w:rsidP="000E152B">
            <w:pPr>
              <w:pStyle w:val="TableText"/>
              <w:keepNext/>
              <w:jc w:val="right"/>
            </w:pPr>
            <w:r w:rsidRPr="00D57431">
              <w:rPr>
                <w:b/>
                <w:sz w:val="18"/>
                <w:szCs w:val="18"/>
              </w:rPr>
              <w:t>Subgroup 10. Other Diagnostic Procedures And Investigations</w:t>
            </w:r>
          </w:p>
        </w:tc>
      </w:tr>
      <w:tr w:rsidR="006347D8" w:rsidRPr="00D57431" w14:paraId="197F9946" w14:textId="77777777" w:rsidTr="006347D8">
        <w:trPr>
          <w:trHeight w:val="223"/>
        </w:trPr>
        <w:tc>
          <w:tcPr>
            <w:tcW w:w="9016" w:type="dxa"/>
          </w:tcPr>
          <w:p w14:paraId="08644563" w14:textId="77777777" w:rsidR="006347D8" w:rsidRPr="00D57431" w:rsidRDefault="006347D8" w:rsidP="000E152B">
            <w:pPr>
              <w:pStyle w:val="TableText"/>
              <w:rPr>
                <w:b/>
                <w:bCs/>
                <w:sz w:val="18"/>
                <w:szCs w:val="18"/>
                <w:lang w:val="en-US" w:eastAsia="ja-JP"/>
              </w:rPr>
            </w:pPr>
            <w:r w:rsidRPr="00D57431">
              <w:rPr>
                <w:b/>
                <w:bCs/>
                <w:sz w:val="18"/>
                <w:szCs w:val="18"/>
                <w:lang w:val="en-US" w:eastAsia="ja-JP"/>
              </w:rPr>
              <w:t>MBS item AAAA</w:t>
            </w:r>
          </w:p>
          <w:p w14:paraId="09C6A9BB" w14:textId="77777777" w:rsidR="006347D8" w:rsidRPr="00D57431" w:rsidRDefault="006347D8" w:rsidP="000E152B">
            <w:pPr>
              <w:pStyle w:val="TableText"/>
              <w:spacing w:before="80"/>
              <w:rPr>
                <w:sz w:val="18"/>
                <w:szCs w:val="18"/>
                <w:lang w:val="en-US" w:eastAsia="ja-JP"/>
              </w:rPr>
            </w:pPr>
            <w:r w:rsidRPr="00D57431">
              <w:rPr>
                <w:sz w:val="18"/>
                <w:szCs w:val="18"/>
                <w:lang w:val="en-US" w:eastAsia="ja-JP"/>
              </w:rPr>
              <w:t xml:space="preserve">Overnight investigation of sleep for at least 8 hours, for a patient aged at least 3 years but less than 12 years to confirm diagnosis of obstructive sleep apnoea, </w:t>
            </w:r>
            <w:r w:rsidRPr="001F5ECC">
              <w:rPr>
                <w:sz w:val="18"/>
                <w:szCs w:val="18"/>
                <w:lang w:val="en-US" w:eastAsia="ja-JP"/>
              </w:rPr>
              <w:t>or for assessment and titration of respiratory support</w:t>
            </w:r>
            <w:r w:rsidRPr="22640C8C">
              <w:rPr>
                <w:sz w:val="18"/>
                <w:szCs w:val="18"/>
                <w:lang w:val="en-US" w:eastAsia="ja-JP"/>
              </w:rPr>
              <w:t xml:space="preserve">, </w:t>
            </w:r>
            <w:r w:rsidRPr="00D57431">
              <w:rPr>
                <w:sz w:val="18"/>
                <w:szCs w:val="18"/>
                <w:lang w:val="en-US" w:eastAsia="ja-JP"/>
              </w:rPr>
              <w:t>if:</w:t>
            </w:r>
          </w:p>
          <w:p w14:paraId="256A1858" w14:textId="77777777" w:rsidR="006347D8" w:rsidRPr="00D57431" w:rsidRDefault="006347D8" w:rsidP="000E152B">
            <w:pPr>
              <w:pStyle w:val="TableText"/>
              <w:spacing w:before="80"/>
              <w:ind w:left="720"/>
              <w:rPr>
                <w:sz w:val="18"/>
                <w:szCs w:val="18"/>
                <w:lang w:val="en-US" w:eastAsia="ja-JP"/>
              </w:rPr>
            </w:pPr>
            <w:r w:rsidRPr="00D57431">
              <w:rPr>
                <w:sz w:val="18"/>
                <w:szCs w:val="18"/>
                <w:lang w:val="en-US" w:eastAsia="ja-JP"/>
              </w:rPr>
              <w:t>(a) the patient has been referred by a medical practitioner to a qualified paediatric sleep medicine practitioner; and</w:t>
            </w:r>
          </w:p>
          <w:p w14:paraId="72349E4A" w14:textId="77777777" w:rsidR="006347D8" w:rsidRPr="00D57431" w:rsidRDefault="006347D8" w:rsidP="000E152B">
            <w:pPr>
              <w:pStyle w:val="TableText"/>
              <w:spacing w:before="80"/>
              <w:ind w:left="720"/>
              <w:rPr>
                <w:sz w:val="18"/>
                <w:szCs w:val="18"/>
                <w:lang w:val="en-US" w:eastAsia="ja-JP"/>
              </w:rPr>
            </w:pPr>
            <w:r>
              <w:rPr>
                <w:sz w:val="18"/>
                <w:szCs w:val="18"/>
                <w:lang w:val="en-US" w:eastAsia="ja-JP"/>
              </w:rPr>
              <w:t xml:space="preserve">(b) </w:t>
            </w:r>
            <w:r w:rsidRPr="00D57431" w:rsidDel="009B3B18">
              <w:rPr>
                <w:sz w:val="18"/>
                <w:szCs w:val="18"/>
                <w:lang w:val="en-US" w:eastAsia="ja-JP"/>
              </w:rPr>
              <w:t xml:space="preserve">following </w:t>
            </w:r>
            <w:r w:rsidRPr="00D57431">
              <w:rPr>
                <w:sz w:val="18"/>
                <w:szCs w:val="18"/>
                <w:lang w:val="en-US" w:eastAsia="ja-JP"/>
              </w:rPr>
              <w:t>professional attendance on the patient (either face to face or by video conference)</w:t>
            </w:r>
            <w:r>
              <w:rPr>
                <w:sz w:val="18"/>
                <w:szCs w:val="18"/>
                <w:lang w:val="en-US" w:eastAsia="ja-JP"/>
              </w:rPr>
              <w:t>,</w:t>
            </w:r>
            <w:r w:rsidRPr="00D57431">
              <w:rPr>
                <w:sz w:val="18"/>
                <w:szCs w:val="18"/>
                <w:lang w:val="en-US" w:eastAsia="ja-JP"/>
              </w:rPr>
              <w:t xml:space="preserve"> </w:t>
            </w:r>
            <w:r>
              <w:rPr>
                <w:sz w:val="18"/>
                <w:szCs w:val="18"/>
                <w:lang w:val="en-US" w:eastAsia="ja-JP"/>
              </w:rPr>
              <w:t>the</w:t>
            </w:r>
            <w:r w:rsidRPr="00D57431">
              <w:rPr>
                <w:sz w:val="18"/>
                <w:szCs w:val="18"/>
                <w:lang w:val="en-US" w:eastAsia="ja-JP"/>
              </w:rPr>
              <w:t xml:space="preserve"> qualified paediatric sleep medicine </w:t>
            </w:r>
            <w:r>
              <w:rPr>
                <w:sz w:val="18"/>
                <w:szCs w:val="18"/>
                <w:lang w:val="en-US" w:eastAsia="ja-JP"/>
              </w:rPr>
              <w:t>practitioner</w:t>
            </w:r>
            <w:r w:rsidRPr="00D57431">
              <w:rPr>
                <w:sz w:val="18"/>
                <w:szCs w:val="18"/>
                <w:lang w:val="en-US" w:eastAsia="ja-JP"/>
              </w:rPr>
              <w:t xml:space="preserve"> </w:t>
            </w:r>
            <w:r>
              <w:rPr>
                <w:sz w:val="18"/>
                <w:szCs w:val="18"/>
                <w:lang w:val="en-US" w:eastAsia="ja-JP"/>
              </w:rPr>
              <w:t>has</w:t>
            </w:r>
            <w:r w:rsidRPr="00D57431">
              <w:rPr>
                <w:sz w:val="18"/>
                <w:szCs w:val="18"/>
                <w:lang w:val="en-US" w:eastAsia="ja-JP"/>
              </w:rPr>
              <w:t xml:space="preserve"> determine</w:t>
            </w:r>
            <w:r>
              <w:rPr>
                <w:sz w:val="18"/>
                <w:szCs w:val="18"/>
                <w:lang w:val="en-US" w:eastAsia="ja-JP"/>
              </w:rPr>
              <w:t>d</w:t>
            </w:r>
            <w:r w:rsidRPr="00D57431">
              <w:rPr>
                <w:sz w:val="18"/>
                <w:szCs w:val="18"/>
                <w:lang w:val="en-US" w:eastAsia="ja-JP"/>
              </w:rPr>
              <w:t xml:space="preserve"> that </w:t>
            </w:r>
            <w:r>
              <w:rPr>
                <w:sz w:val="18"/>
                <w:szCs w:val="18"/>
                <w:lang w:val="en-US" w:eastAsia="ja-JP"/>
              </w:rPr>
              <w:t>the</w:t>
            </w:r>
            <w:r w:rsidRPr="00D57431">
              <w:rPr>
                <w:sz w:val="18"/>
                <w:szCs w:val="18"/>
                <w:lang w:val="en-US" w:eastAsia="ja-JP"/>
              </w:rPr>
              <w:t xml:space="preserve"> investigation is necessary and that an out-of-laboratory setting is appropriate for the sleep study; and</w:t>
            </w:r>
          </w:p>
          <w:p w14:paraId="67A9712B" w14:textId="77777777" w:rsidR="006347D8" w:rsidRPr="00D57431" w:rsidRDefault="006347D8" w:rsidP="000E152B">
            <w:pPr>
              <w:pStyle w:val="TableText"/>
              <w:spacing w:before="80"/>
              <w:ind w:left="720"/>
              <w:rPr>
                <w:sz w:val="18"/>
                <w:szCs w:val="18"/>
                <w:lang w:val="en-US" w:eastAsia="ja-JP"/>
              </w:rPr>
            </w:pPr>
            <w:r w:rsidRPr="00D57431">
              <w:rPr>
                <w:sz w:val="18"/>
                <w:szCs w:val="18"/>
                <w:lang w:val="en-US" w:eastAsia="ja-JP"/>
              </w:rPr>
              <w:t>(</w:t>
            </w:r>
            <w:r>
              <w:rPr>
                <w:sz w:val="18"/>
                <w:szCs w:val="18"/>
                <w:lang w:val="en-US" w:eastAsia="ja-JP"/>
              </w:rPr>
              <w:t>c</w:t>
            </w:r>
            <w:r w:rsidRPr="00D57431">
              <w:rPr>
                <w:sz w:val="18"/>
                <w:szCs w:val="18"/>
                <w:lang w:val="en-US" w:eastAsia="ja-JP"/>
              </w:rPr>
              <w:t>) during a period of sleep, there is continuous monitoring and recording performed in accordance with current professional guidelines, of a minimum of 7 channels that include (i) to (vii) of</w:t>
            </w:r>
            <w:r w:rsidRPr="00D57431">
              <w:rPr>
                <w:strike/>
                <w:sz w:val="18"/>
                <w:szCs w:val="18"/>
                <w:lang w:val="en-US" w:eastAsia="ja-JP"/>
              </w:rPr>
              <w:t xml:space="preserve"> </w:t>
            </w:r>
            <w:r w:rsidRPr="00D57431">
              <w:rPr>
                <w:sz w:val="18"/>
                <w:szCs w:val="18"/>
                <w:lang w:val="en-US" w:eastAsia="ja-JP"/>
              </w:rPr>
              <w:t>the following measures:</w:t>
            </w:r>
          </w:p>
          <w:p w14:paraId="6A677B39" w14:textId="77777777" w:rsidR="006347D8" w:rsidRPr="00D57431" w:rsidRDefault="006347D8" w:rsidP="000E152B">
            <w:pPr>
              <w:pStyle w:val="TableText"/>
              <w:widowControl w:val="0"/>
              <w:spacing w:before="80"/>
              <w:ind w:left="1309" w:hanging="284"/>
              <w:rPr>
                <w:sz w:val="18"/>
                <w:szCs w:val="18"/>
                <w:lang w:val="en-US" w:eastAsia="ja-JP"/>
              </w:rPr>
            </w:pPr>
            <w:r w:rsidRPr="00D57431">
              <w:rPr>
                <w:sz w:val="18"/>
                <w:szCs w:val="18"/>
                <w:lang w:val="en-US" w:eastAsia="ja-JP"/>
              </w:rPr>
              <w:t>(i) airflow;</w:t>
            </w:r>
          </w:p>
          <w:p w14:paraId="1EEF3C89" w14:textId="77777777" w:rsidR="006347D8" w:rsidRPr="00D57431" w:rsidRDefault="006347D8" w:rsidP="000E152B">
            <w:pPr>
              <w:pStyle w:val="TableText"/>
              <w:widowControl w:val="0"/>
              <w:spacing w:before="80"/>
              <w:ind w:left="1309" w:hanging="284"/>
              <w:rPr>
                <w:sz w:val="18"/>
                <w:szCs w:val="18"/>
                <w:lang w:val="en-US" w:eastAsia="ja-JP"/>
              </w:rPr>
            </w:pPr>
            <w:r w:rsidRPr="00D57431">
              <w:rPr>
                <w:sz w:val="18"/>
                <w:szCs w:val="18"/>
                <w:lang w:val="en-US" w:eastAsia="ja-JP"/>
              </w:rPr>
              <w:t>(ii) EEG;</w:t>
            </w:r>
          </w:p>
          <w:p w14:paraId="5AF20CCA" w14:textId="77777777" w:rsidR="006347D8" w:rsidRPr="00D57431" w:rsidRDefault="006347D8" w:rsidP="000E152B">
            <w:pPr>
              <w:pStyle w:val="TableText"/>
              <w:widowControl w:val="0"/>
              <w:spacing w:before="80"/>
              <w:ind w:left="1309" w:hanging="284"/>
              <w:rPr>
                <w:sz w:val="18"/>
                <w:szCs w:val="18"/>
                <w:lang w:val="en-US" w:eastAsia="ja-JP"/>
              </w:rPr>
            </w:pPr>
            <w:r w:rsidRPr="00D57431">
              <w:rPr>
                <w:sz w:val="18"/>
                <w:szCs w:val="18"/>
                <w:lang w:val="en-US" w:eastAsia="ja-JP"/>
              </w:rPr>
              <w:t>(iii) EMG;</w:t>
            </w:r>
          </w:p>
          <w:p w14:paraId="12E183FE" w14:textId="77777777" w:rsidR="006347D8" w:rsidRPr="00D57431" w:rsidRDefault="006347D8" w:rsidP="000E152B">
            <w:pPr>
              <w:pStyle w:val="TableText"/>
              <w:widowControl w:val="0"/>
              <w:spacing w:before="80"/>
              <w:ind w:left="1309" w:hanging="284"/>
              <w:rPr>
                <w:sz w:val="18"/>
                <w:szCs w:val="18"/>
                <w:lang w:val="en-US" w:eastAsia="ja-JP"/>
              </w:rPr>
            </w:pPr>
            <w:r w:rsidRPr="00D57431">
              <w:rPr>
                <w:sz w:val="18"/>
                <w:szCs w:val="18"/>
                <w:lang w:val="en-US" w:eastAsia="ja-JP"/>
              </w:rPr>
              <w:t>(iv) EOG;</w:t>
            </w:r>
          </w:p>
          <w:p w14:paraId="70915C3F" w14:textId="77777777" w:rsidR="006347D8" w:rsidRPr="00D57431" w:rsidRDefault="006347D8" w:rsidP="000E152B">
            <w:pPr>
              <w:pStyle w:val="TableText"/>
              <w:widowControl w:val="0"/>
              <w:spacing w:before="80"/>
              <w:ind w:left="1309" w:hanging="284"/>
              <w:rPr>
                <w:sz w:val="18"/>
                <w:szCs w:val="18"/>
                <w:lang w:val="en-US" w:eastAsia="ja-JP"/>
              </w:rPr>
            </w:pPr>
            <w:r w:rsidRPr="00D57431">
              <w:rPr>
                <w:sz w:val="18"/>
                <w:szCs w:val="18"/>
                <w:lang w:val="en-US" w:eastAsia="ja-JP"/>
              </w:rPr>
              <w:t>(v) ECG or heart rate;</w:t>
            </w:r>
          </w:p>
          <w:p w14:paraId="138CC6D7" w14:textId="77777777" w:rsidR="006347D8" w:rsidRPr="00D57431" w:rsidRDefault="006347D8" w:rsidP="000E152B">
            <w:pPr>
              <w:pStyle w:val="TableText"/>
              <w:widowControl w:val="0"/>
              <w:spacing w:before="80"/>
              <w:ind w:left="1309" w:hanging="284"/>
              <w:rPr>
                <w:sz w:val="18"/>
                <w:szCs w:val="18"/>
                <w:lang w:val="en-US" w:eastAsia="ja-JP"/>
              </w:rPr>
            </w:pPr>
            <w:r w:rsidRPr="00D57431">
              <w:rPr>
                <w:sz w:val="18"/>
                <w:szCs w:val="18"/>
                <w:lang w:val="en-US" w:eastAsia="ja-JP"/>
              </w:rPr>
              <w:t>(vi) oxygen saturation;</w:t>
            </w:r>
          </w:p>
          <w:p w14:paraId="1AB4D397" w14:textId="77777777" w:rsidR="006347D8" w:rsidRPr="00D57431" w:rsidRDefault="006347D8" w:rsidP="000E152B">
            <w:pPr>
              <w:pStyle w:val="TableText"/>
              <w:widowControl w:val="0"/>
              <w:spacing w:before="80"/>
              <w:ind w:left="1309" w:hanging="284"/>
              <w:rPr>
                <w:sz w:val="18"/>
                <w:szCs w:val="18"/>
                <w:lang w:val="en-US" w:eastAsia="ja-JP"/>
              </w:rPr>
            </w:pPr>
            <w:r w:rsidRPr="00D57431">
              <w:rPr>
                <w:sz w:val="18"/>
                <w:szCs w:val="18"/>
                <w:lang w:val="en-US" w:eastAsia="ja-JP"/>
              </w:rPr>
              <w:t>(vii) respiratory effort;</w:t>
            </w:r>
          </w:p>
          <w:p w14:paraId="26260526" w14:textId="77777777" w:rsidR="006347D8" w:rsidRPr="00D57431" w:rsidRDefault="006347D8" w:rsidP="000E152B">
            <w:pPr>
              <w:pStyle w:val="TableText"/>
              <w:spacing w:before="80"/>
              <w:ind w:left="720"/>
              <w:rPr>
                <w:sz w:val="18"/>
                <w:szCs w:val="18"/>
                <w:lang w:val="en-US" w:eastAsia="ja-JP"/>
              </w:rPr>
            </w:pPr>
            <w:r w:rsidRPr="00D57431">
              <w:rPr>
                <w:sz w:val="18"/>
                <w:szCs w:val="18"/>
                <w:lang w:val="en-US" w:eastAsia="ja-JP"/>
              </w:rPr>
              <w:t>(</w:t>
            </w:r>
            <w:r>
              <w:rPr>
                <w:sz w:val="18"/>
                <w:szCs w:val="18"/>
                <w:lang w:val="en-US" w:eastAsia="ja-JP"/>
              </w:rPr>
              <w:t>d</w:t>
            </w:r>
            <w:r w:rsidRPr="00D57431">
              <w:rPr>
                <w:sz w:val="18"/>
                <w:szCs w:val="18"/>
                <w:lang w:val="en-US" w:eastAsia="ja-JP"/>
              </w:rPr>
              <w:t xml:space="preserve">) the investigation is performed under the supervision of a qualified paediatric sleep medicine practitioner; and </w:t>
            </w:r>
          </w:p>
          <w:p w14:paraId="1BA04C9D" w14:textId="77777777" w:rsidR="006347D8" w:rsidRPr="00D57431" w:rsidRDefault="006347D8" w:rsidP="000E152B">
            <w:pPr>
              <w:pStyle w:val="TableText"/>
              <w:spacing w:before="80"/>
              <w:ind w:left="720"/>
              <w:rPr>
                <w:sz w:val="18"/>
                <w:szCs w:val="18"/>
                <w:lang w:val="en-US" w:eastAsia="ja-JP"/>
              </w:rPr>
            </w:pPr>
            <w:r w:rsidRPr="00D57431">
              <w:rPr>
                <w:sz w:val="18"/>
                <w:szCs w:val="18"/>
                <w:lang w:val="en-US" w:eastAsia="ja-JP"/>
              </w:rPr>
              <w:t>(</w:t>
            </w:r>
            <w:r>
              <w:rPr>
                <w:sz w:val="18"/>
                <w:szCs w:val="18"/>
                <w:lang w:val="en-US" w:eastAsia="ja-JP"/>
              </w:rPr>
              <w:t>e</w:t>
            </w:r>
            <w:r w:rsidRPr="00D57431">
              <w:rPr>
                <w:sz w:val="18"/>
                <w:szCs w:val="18"/>
                <w:lang w:val="en-US" w:eastAsia="ja-JP"/>
              </w:rPr>
              <w:t>) either:</w:t>
            </w:r>
          </w:p>
          <w:p w14:paraId="6FA7D349" w14:textId="77777777" w:rsidR="006347D8" w:rsidRPr="00D57431" w:rsidRDefault="006347D8" w:rsidP="000E152B">
            <w:pPr>
              <w:pStyle w:val="TableText"/>
              <w:widowControl w:val="0"/>
              <w:spacing w:before="80"/>
              <w:ind w:left="1309" w:hanging="284"/>
              <w:rPr>
                <w:sz w:val="18"/>
                <w:szCs w:val="18"/>
                <w:lang w:val="en-US" w:eastAsia="ja-JP"/>
              </w:rPr>
            </w:pPr>
            <w:r w:rsidRPr="00D57431">
              <w:rPr>
                <w:sz w:val="18"/>
                <w:szCs w:val="18"/>
                <w:lang w:val="en-US" w:eastAsia="ja-JP"/>
              </w:rPr>
              <w:t>(i) the equipment is applied to the patient by a sleep technician; or</w:t>
            </w:r>
          </w:p>
          <w:p w14:paraId="146196D3" w14:textId="7C4CD2C9" w:rsidR="006347D8" w:rsidRPr="00D57431" w:rsidRDefault="006347D8" w:rsidP="000E152B">
            <w:pPr>
              <w:pStyle w:val="TableText"/>
              <w:widowControl w:val="0"/>
              <w:spacing w:before="80"/>
              <w:ind w:left="1309" w:hanging="284"/>
              <w:rPr>
                <w:sz w:val="18"/>
                <w:szCs w:val="18"/>
                <w:lang w:val="en-US" w:eastAsia="ja-JP"/>
              </w:rPr>
            </w:pPr>
            <w:r w:rsidRPr="00D57431">
              <w:rPr>
                <w:sz w:val="18"/>
                <w:szCs w:val="18"/>
                <w:lang w:val="en-US" w:eastAsia="ja-JP"/>
              </w:rPr>
              <w:t xml:space="preserve">(ii) a sleep </w:t>
            </w:r>
            <w:r w:rsidR="00270E14">
              <w:rPr>
                <w:sz w:val="18"/>
                <w:szCs w:val="18"/>
                <w:lang w:val="en-US" w:eastAsia="ja-JP"/>
              </w:rPr>
              <w:t>technician</w:t>
            </w:r>
            <w:r w:rsidR="00270E14" w:rsidRPr="00D57431">
              <w:rPr>
                <w:sz w:val="18"/>
                <w:szCs w:val="18"/>
                <w:lang w:val="en-US" w:eastAsia="ja-JP"/>
              </w:rPr>
              <w:t xml:space="preserve"> </w:t>
            </w:r>
            <w:r w:rsidRPr="00D57431">
              <w:rPr>
                <w:sz w:val="18"/>
                <w:szCs w:val="18"/>
                <w:lang w:val="en-US" w:eastAsia="ja-JP"/>
              </w:rPr>
              <w:t>provides telehealth support to a parent or caregiver during the entire process while the parent or caregiver applies the equipment to the patient</w:t>
            </w:r>
            <w:r>
              <w:rPr>
                <w:sz w:val="18"/>
                <w:szCs w:val="18"/>
                <w:lang w:val="en-US" w:eastAsia="ja-JP"/>
              </w:rPr>
              <w:t>,</w:t>
            </w:r>
            <w:r w:rsidRPr="00D57431">
              <w:rPr>
                <w:sz w:val="18"/>
                <w:szCs w:val="18"/>
                <w:lang w:val="en-US" w:eastAsia="ja-JP"/>
              </w:rPr>
              <w:t xml:space="preserve"> the parent/caregiver </w:t>
            </w:r>
            <w:r>
              <w:rPr>
                <w:sz w:val="18"/>
                <w:szCs w:val="18"/>
                <w:lang w:val="en-US" w:eastAsia="ja-JP"/>
              </w:rPr>
              <w:t xml:space="preserve">is provided </w:t>
            </w:r>
            <w:r w:rsidRPr="00D57431">
              <w:rPr>
                <w:sz w:val="18"/>
                <w:szCs w:val="18"/>
                <w:lang w:val="en-US" w:eastAsia="ja-JP"/>
              </w:rPr>
              <w:t>with written</w:t>
            </w:r>
            <w:r>
              <w:rPr>
                <w:sz w:val="18"/>
                <w:szCs w:val="18"/>
                <w:lang w:val="en-US" w:eastAsia="ja-JP"/>
              </w:rPr>
              <w:t xml:space="preserve"> and/or videoed</w:t>
            </w:r>
            <w:r w:rsidRPr="00D57431">
              <w:rPr>
                <w:sz w:val="18"/>
                <w:szCs w:val="18"/>
                <w:lang w:val="en-US" w:eastAsia="ja-JP"/>
              </w:rPr>
              <w:t xml:space="preserve"> instructions describing the set-up process</w:t>
            </w:r>
            <w:r>
              <w:rPr>
                <w:sz w:val="18"/>
                <w:szCs w:val="18"/>
                <w:lang w:val="en-US" w:eastAsia="ja-JP"/>
              </w:rPr>
              <w:t xml:space="preserve">; and the </w:t>
            </w:r>
            <w:r w:rsidRPr="00D57431">
              <w:rPr>
                <w:sz w:val="18"/>
                <w:szCs w:val="18"/>
                <w:lang w:val="en-US" w:eastAsia="ja-JP"/>
              </w:rPr>
              <w:t xml:space="preserve">use of telehealth during equipment set-up </w:t>
            </w:r>
            <w:r>
              <w:rPr>
                <w:sz w:val="18"/>
                <w:szCs w:val="18"/>
                <w:lang w:val="en-US" w:eastAsia="ja-JP"/>
              </w:rPr>
              <w:t>is</w:t>
            </w:r>
            <w:r w:rsidRPr="00D57431">
              <w:rPr>
                <w:sz w:val="18"/>
                <w:szCs w:val="18"/>
                <w:lang w:val="en-US" w:eastAsia="ja-JP"/>
              </w:rPr>
              <w:t xml:space="preserve"> documented; and</w:t>
            </w:r>
          </w:p>
          <w:p w14:paraId="7EE3E781" w14:textId="77777777" w:rsidR="006347D8" w:rsidRDefault="006347D8" w:rsidP="000E152B">
            <w:pPr>
              <w:pStyle w:val="TableText"/>
              <w:spacing w:before="80"/>
              <w:ind w:left="720"/>
              <w:rPr>
                <w:sz w:val="18"/>
                <w:szCs w:val="18"/>
                <w:lang w:val="en-US" w:eastAsia="ja-JP"/>
              </w:rPr>
            </w:pPr>
            <w:r>
              <w:rPr>
                <w:sz w:val="18"/>
                <w:szCs w:val="18"/>
                <w:lang w:val="en-US" w:eastAsia="ja-JP"/>
              </w:rPr>
              <w:t xml:space="preserve">(f) the </w:t>
            </w:r>
            <w:r w:rsidRPr="006D05D1">
              <w:rPr>
                <w:sz w:val="18"/>
                <w:szCs w:val="18"/>
                <w:lang w:val="en-US" w:eastAsia="ja-JP"/>
              </w:rPr>
              <w:t xml:space="preserve">parent or caregiver </w:t>
            </w:r>
            <w:r>
              <w:rPr>
                <w:sz w:val="18"/>
                <w:szCs w:val="18"/>
                <w:lang w:val="en-US" w:eastAsia="ja-JP"/>
              </w:rPr>
              <w:t xml:space="preserve">is provided with </w:t>
            </w:r>
            <w:r w:rsidRPr="006D05D1">
              <w:rPr>
                <w:sz w:val="18"/>
                <w:szCs w:val="18"/>
                <w:lang w:val="en-US" w:eastAsia="ja-JP"/>
              </w:rPr>
              <w:t>written</w:t>
            </w:r>
            <w:r>
              <w:rPr>
                <w:sz w:val="18"/>
                <w:szCs w:val="18"/>
                <w:lang w:val="en-US" w:eastAsia="ja-JP"/>
              </w:rPr>
              <w:t xml:space="preserve"> and/or videoed</w:t>
            </w:r>
            <w:r w:rsidRPr="006D05D1">
              <w:rPr>
                <w:sz w:val="18"/>
                <w:szCs w:val="18"/>
                <w:lang w:val="en-US" w:eastAsia="ja-JP"/>
              </w:rPr>
              <w:t xml:space="preserve"> instructions describing how to monitor the patient overnight, and a phone contact or data link to </w:t>
            </w:r>
            <w:r>
              <w:rPr>
                <w:sz w:val="18"/>
                <w:szCs w:val="18"/>
                <w:lang w:val="en-US" w:eastAsia="ja-JP"/>
              </w:rPr>
              <w:t>a</w:t>
            </w:r>
            <w:r w:rsidRPr="006D05D1">
              <w:rPr>
                <w:sz w:val="18"/>
                <w:szCs w:val="18"/>
                <w:lang w:val="en-US" w:eastAsia="ja-JP"/>
              </w:rPr>
              <w:t xml:space="preserve"> sleep technician to enable trouble shooting</w:t>
            </w:r>
            <w:r>
              <w:rPr>
                <w:sz w:val="18"/>
                <w:szCs w:val="18"/>
                <w:lang w:val="en-US" w:eastAsia="ja-JP"/>
              </w:rPr>
              <w:t xml:space="preserve"> </w:t>
            </w:r>
            <w:r w:rsidRPr="006D05D1">
              <w:rPr>
                <w:sz w:val="18"/>
                <w:szCs w:val="18"/>
                <w:lang w:val="en-US" w:eastAsia="ja-JP"/>
              </w:rPr>
              <w:t>overnight; and</w:t>
            </w:r>
          </w:p>
          <w:p w14:paraId="08352B50" w14:textId="77777777" w:rsidR="006347D8" w:rsidRPr="00D57431" w:rsidRDefault="006347D8" w:rsidP="000E152B">
            <w:pPr>
              <w:pStyle w:val="TableText"/>
              <w:spacing w:before="80"/>
              <w:ind w:left="720"/>
              <w:rPr>
                <w:sz w:val="18"/>
                <w:szCs w:val="18"/>
                <w:lang w:val="en-US" w:eastAsia="ja-JP"/>
              </w:rPr>
            </w:pPr>
            <w:r w:rsidRPr="00D57431">
              <w:rPr>
                <w:sz w:val="18"/>
                <w:szCs w:val="18"/>
                <w:lang w:val="en-US" w:eastAsia="ja-JP"/>
              </w:rPr>
              <w:t>(</w:t>
            </w:r>
            <w:r>
              <w:rPr>
                <w:sz w:val="18"/>
                <w:szCs w:val="18"/>
                <w:lang w:val="en-US" w:eastAsia="ja-JP"/>
              </w:rPr>
              <w:t>g</w:t>
            </w:r>
            <w:r w:rsidRPr="00D57431">
              <w:rPr>
                <w:sz w:val="18"/>
                <w:szCs w:val="18"/>
                <w:lang w:val="en-US" w:eastAsia="ja-JP"/>
              </w:rPr>
              <w:t>) polygraphic records are:</w:t>
            </w:r>
          </w:p>
          <w:p w14:paraId="7ACB61D1" w14:textId="77777777" w:rsidR="006347D8" w:rsidRPr="00D57431" w:rsidRDefault="006347D8" w:rsidP="000E152B">
            <w:pPr>
              <w:pStyle w:val="TableText"/>
              <w:widowControl w:val="0"/>
              <w:spacing w:before="80"/>
              <w:ind w:left="1309" w:hanging="284"/>
              <w:rPr>
                <w:sz w:val="18"/>
                <w:szCs w:val="18"/>
                <w:lang w:val="en-US" w:eastAsia="ja-JP"/>
              </w:rPr>
            </w:pPr>
            <w:r w:rsidRPr="00D57431">
              <w:rPr>
                <w:sz w:val="18"/>
                <w:szCs w:val="18"/>
                <w:lang w:val="en-US" w:eastAsia="ja-JP"/>
              </w:rPr>
              <w:t>(i) analysed for assessment of sleep stage, arousals, respiratory events, and cardiac abnormalities using manual scoring, or manual correction of computerised scoring in epochs of not more than 1 minute; and</w:t>
            </w:r>
          </w:p>
          <w:p w14:paraId="6774933F" w14:textId="77777777" w:rsidR="006347D8" w:rsidRPr="00D57431" w:rsidRDefault="006347D8" w:rsidP="000E152B">
            <w:pPr>
              <w:pStyle w:val="TableText"/>
              <w:widowControl w:val="0"/>
              <w:spacing w:before="80"/>
              <w:ind w:left="1309" w:hanging="284"/>
              <w:rPr>
                <w:sz w:val="18"/>
                <w:szCs w:val="18"/>
                <w:lang w:val="en-US" w:eastAsia="ja-JP"/>
              </w:rPr>
            </w:pPr>
            <w:r w:rsidRPr="00D57431">
              <w:rPr>
                <w:sz w:val="18"/>
                <w:szCs w:val="18"/>
                <w:lang w:val="en-US" w:eastAsia="ja-JP"/>
              </w:rPr>
              <w:t>(ii) stored for interpretation and preparation of a report; and</w:t>
            </w:r>
          </w:p>
          <w:p w14:paraId="7E41CFB2" w14:textId="77777777" w:rsidR="006347D8" w:rsidRPr="00D57431" w:rsidRDefault="006347D8" w:rsidP="000E152B">
            <w:pPr>
              <w:pStyle w:val="TableText"/>
              <w:widowControl w:val="0"/>
              <w:spacing w:before="80"/>
              <w:ind w:left="1004" w:hanging="284"/>
              <w:rPr>
                <w:sz w:val="18"/>
                <w:szCs w:val="18"/>
                <w:lang w:val="en-US" w:eastAsia="ja-JP"/>
              </w:rPr>
            </w:pPr>
            <w:r w:rsidRPr="00D57431">
              <w:rPr>
                <w:sz w:val="18"/>
                <w:szCs w:val="18"/>
                <w:lang w:val="en-US" w:eastAsia="ja-JP"/>
              </w:rPr>
              <w:t>(</w:t>
            </w:r>
            <w:r>
              <w:rPr>
                <w:sz w:val="18"/>
                <w:szCs w:val="18"/>
                <w:lang w:val="en-US" w:eastAsia="ja-JP"/>
              </w:rPr>
              <w:t>h</w:t>
            </w:r>
            <w:r w:rsidRPr="00D57431">
              <w:rPr>
                <w:sz w:val="18"/>
                <w:szCs w:val="18"/>
                <w:lang w:val="en-US" w:eastAsia="ja-JP"/>
              </w:rPr>
              <w:t>) the reason for the service</w:t>
            </w:r>
            <w:r>
              <w:rPr>
                <w:sz w:val="18"/>
                <w:szCs w:val="18"/>
                <w:lang w:val="en-US" w:eastAsia="ja-JP"/>
              </w:rPr>
              <w:t xml:space="preserve"> is documented - either</w:t>
            </w:r>
            <w:r w:rsidRPr="00D57431">
              <w:rPr>
                <w:sz w:val="18"/>
                <w:szCs w:val="18"/>
                <w:lang w:val="en-US" w:eastAsia="ja-JP"/>
              </w:rPr>
              <w:t>:</w:t>
            </w:r>
          </w:p>
          <w:p w14:paraId="3DC9CA83" w14:textId="77777777" w:rsidR="006347D8" w:rsidRPr="00D57431" w:rsidRDefault="006347D8" w:rsidP="000E152B">
            <w:pPr>
              <w:pStyle w:val="TableText"/>
              <w:widowControl w:val="0"/>
              <w:spacing w:before="80"/>
              <w:ind w:left="1288" w:hanging="284"/>
              <w:rPr>
                <w:sz w:val="18"/>
                <w:szCs w:val="18"/>
                <w:lang w:val="en-US" w:eastAsia="ja-JP"/>
              </w:rPr>
            </w:pPr>
            <w:r w:rsidRPr="00D57431">
              <w:rPr>
                <w:sz w:val="18"/>
                <w:szCs w:val="18"/>
                <w:lang w:val="en-US" w:eastAsia="ja-JP"/>
              </w:rPr>
              <w:t>(i) initial diagnosis; or</w:t>
            </w:r>
          </w:p>
          <w:p w14:paraId="016ADE55" w14:textId="77777777" w:rsidR="006347D8" w:rsidRPr="00D57431" w:rsidRDefault="006347D8" w:rsidP="000E152B">
            <w:pPr>
              <w:pStyle w:val="TableText"/>
              <w:widowControl w:val="0"/>
              <w:spacing w:before="80"/>
              <w:ind w:left="1288" w:hanging="284"/>
              <w:rPr>
                <w:sz w:val="18"/>
                <w:szCs w:val="18"/>
                <w:lang w:val="en-US" w:eastAsia="ja-JP"/>
              </w:rPr>
            </w:pPr>
            <w:r w:rsidRPr="00D57431">
              <w:rPr>
                <w:sz w:val="18"/>
                <w:szCs w:val="18"/>
                <w:lang w:val="en-US" w:eastAsia="ja-JP"/>
              </w:rPr>
              <w:t>(ii) repeat study for titration of respiratory support to optimize therapy; or to assess significant change in clinical status to determine the need for or the adequacy of respiratory support; and</w:t>
            </w:r>
          </w:p>
          <w:p w14:paraId="7BE01514" w14:textId="77777777" w:rsidR="006347D8" w:rsidRPr="00D57431" w:rsidRDefault="006347D8" w:rsidP="000E152B">
            <w:pPr>
              <w:pStyle w:val="TableText"/>
              <w:spacing w:before="80"/>
              <w:ind w:left="720"/>
              <w:rPr>
                <w:sz w:val="18"/>
                <w:szCs w:val="18"/>
                <w:lang w:val="en-US" w:eastAsia="ja-JP"/>
              </w:rPr>
            </w:pPr>
            <w:r w:rsidRPr="00D57431">
              <w:rPr>
                <w:sz w:val="18"/>
                <w:szCs w:val="18"/>
                <w:lang w:val="en-US" w:eastAsia="ja-JP"/>
              </w:rPr>
              <w:t>(</w:t>
            </w:r>
            <w:r>
              <w:rPr>
                <w:sz w:val="18"/>
                <w:szCs w:val="18"/>
                <w:lang w:val="en-US" w:eastAsia="ja-JP"/>
              </w:rPr>
              <w:t>i</w:t>
            </w:r>
            <w:r w:rsidRPr="00D57431">
              <w:rPr>
                <w:sz w:val="18"/>
                <w:szCs w:val="18"/>
                <w:lang w:val="en-US" w:eastAsia="ja-JP"/>
              </w:rPr>
              <w:t>) interpretation and preparation of a permanent report is provided by a qualified paediatric sleep medicine specialist with personal direct review of raw data from the original recording of polygraphic data from the patient; and</w:t>
            </w:r>
          </w:p>
          <w:p w14:paraId="5E9594EE" w14:textId="77777777" w:rsidR="006347D8" w:rsidRPr="00D57431" w:rsidRDefault="006347D8" w:rsidP="000E152B">
            <w:pPr>
              <w:pStyle w:val="TableText"/>
              <w:spacing w:before="80"/>
              <w:ind w:left="720"/>
              <w:rPr>
                <w:sz w:val="18"/>
                <w:szCs w:val="18"/>
                <w:lang w:val="en-US" w:eastAsia="ja-JP"/>
              </w:rPr>
            </w:pPr>
            <w:r w:rsidRPr="00D57431">
              <w:rPr>
                <w:sz w:val="18"/>
                <w:szCs w:val="18"/>
                <w:lang w:val="en-US" w:eastAsia="ja-JP"/>
              </w:rPr>
              <w:t>(</w:t>
            </w:r>
            <w:r>
              <w:rPr>
                <w:sz w:val="18"/>
                <w:szCs w:val="18"/>
                <w:lang w:val="en-US" w:eastAsia="ja-JP"/>
              </w:rPr>
              <w:t>j</w:t>
            </w:r>
            <w:r w:rsidRPr="00D57431">
              <w:rPr>
                <w:sz w:val="18"/>
                <w:szCs w:val="18"/>
                <w:lang w:val="en-US" w:eastAsia="ja-JP"/>
              </w:rPr>
              <w:t>) the investigation is not provided to the patient on the same occasion that a service mentioned in any of items 11000, 11003, 11004, 11005, 11503, 11704, 11705, 11707, 11714, 11716, 11717, 11723, 11735 and 12203</w:t>
            </w:r>
          </w:p>
          <w:p w14:paraId="2B7F4CCC" w14:textId="77777777" w:rsidR="006347D8" w:rsidRPr="00D57431" w:rsidRDefault="006347D8" w:rsidP="000E152B">
            <w:pPr>
              <w:pStyle w:val="TableText"/>
              <w:spacing w:before="200"/>
              <w:rPr>
                <w:i/>
                <w:iCs/>
                <w:sz w:val="18"/>
                <w:szCs w:val="18"/>
              </w:rPr>
            </w:pPr>
            <w:r w:rsidRPr="00D57431">
              <w:rPr>
                <w:sz w:val="18"/>
                <w:szCs w:val="18"/>
              </w:rPr>
              <w:t xml:space="preserve">For each patient – </w:t>
            </w:r>
            <w:r>
              <w:rPr>
                <w:sz w:val="18"/>
                <w:szCs w:val="18"/>
              </w:rPr>
              <w:t xml:space="preserve">up to a maximum of 3 investigations from AAAA, BBBB, 12210 and 12213 </w:t>
            </w:r>
            <w:r w:rsidRPr="00D57431">
              <w:rPr>
                <w:sz w:val="18"/>
                <w:szCs w:val="18"/>
              </w:rPr>
              <w:t xml:space="preserve">in any 12-month period. </w:t>
            </w:r>
          </w:p>
          <w:p w14:paraId="4DB1FBE2" w14:textId="77777777" w:rsidR="006347D8" w:rsidRPr="00D57431" w:rsidRDefault="006347D8" w:rsidP="000E152B">
            <w:pPr>
              <w:pStyle w:val="TableText"/>
              <w:spacing w:before="200"/>
              <w:rPr>
                <w:sz w:val="18"/>
                <w:szCs w:val="18"/>
              </w:rPr>
            </w:pPr>
            <w:r w:rsidRPr="00D57431">
              <w:rPr>
                <w:b/>
                <w:sz w:val="18"/>
                <w:szCs w:val="18"/>
              </w:rPr>
              <w:t xml:space="preserve">Fee: </w:t>
            </w:r>
            <w:r w:rsidRPr="00D57431">
              <w:rPr>
                <w:bCs/>
                <w:sz w:val="18"/>
                <w:szCs w:val="18"/>
              </w:rPr>
              <w:t>$466.30</w:t>
            </w:r>
            <w:r w:rsidRPr="00D57431">
              <w:rPr>
                <w:b/>
                <w:sz w:val="18"/>
                <w:szCs w:val="18"/>
              </w:rPr>
              <w:tab/>
              <w:t xml:space="preserve">Benefit: </w:t>
            </w:r>
            <w:r w:rsidRPr="00D57431">
              <w:rPr>
                <w:bCs/>
                <w:sz w:val="18"/>
                <w:szCs w:val="18"/>
              </w:rPr>
              <w:t>75% = $349.75</w:t>
            </w:r>
            <w:r w:rsidRPr="00D57431">
              <w:rPr>
                <w:bCs/>
                <w:sz w:val="18"/>
                <w:szCs w:val="18"/>
              </w:rPr>
              <w:tab/>
              <w:t>85% = $396.50</w:t>
            </w:r>
          </w:p>
          <w:p w14:paraId="4018FBC5" w14:textId="77777777" w:rsidR="006347D8" w:rsidRPr="00D57431" w:rsidRDefault="006347D8" w:rsidP="000E152B">
            <w:pPr>
              <w:pStyle w:val="TableText"/>
              <w:spacing w:before="200"/>
              <w:rPr>
                <w:sz w:val="18"/>
                <w:szCs w:val="18"/>
              </w:rPr>
            </w:pPr>
            <w:r w:rsidRPr="00D57431">
              <w:rPr>
                <w:sz w:val="18"/>
                <w:szCs w:val="18"/>
              </w:rPr>
              <w:t>(See para DN.1.17 of explanatory notes to this Category)</w:t>
            </w:r>
          </w:p>
        </w:tc>
      </w:tr>
    </w:tbl>
    <w:p w14:paraId="0015E9E8" w14:textId="7BD1977C" w:rsidR="009A28D4" w:rsidRDefault="001779DB" w:rsidP="00D458F3">
      <w:pPr>
        <w:pStyle w:val="Caption"/>
        <w:keepLines/>
        <w:widowControl w:val="0"/>
      </w:pPr>
      <w:r w:rsidRPr="00CE28E3">
        <w:lastRenderedPageBreak/>
        <w:t>Table</w:t>
      </w:r>
      <w:r>
        <w:t> </w:t>
      </w:r>
      <w:r w:rsidR="00BC2CAA">
        <w:fldChar w:fldCharType="begin"/>
      </w:r>
      <w:r w:rsidR="00BC2CAA">
        <w:instrText xml:space="preserve"> SEQ Table \* ARABIC </w:instrText>
      </w:r>
      <w:r w:rsidR="00BC2CAA">
        <w:fldChar w:fldCharType="separate"/>
      </w:r>
      <w:r w:rsidR="00BC2CAA">
        <w:rPr>
          <w:noProof/>
        </w:rPr>
        <w:t>2</w:t>
      </w:r>
      <w:r w:rsidR="00BC2CAA">
        <w:rPr>
          <w:noProof/>
        </w:rPr>
        <w:fldChar w:fldCharType="end"/>
      </w:r>
      <w:r w:rsidRPr="00CE28E3">
        <w:tab/>
      </w:r>
      <w:r>
        <w:t>MSAC supported</w:t>
      </w:r>
      <w:r w:rsidRPr="00CE28E3">
        <w:t xml:space="preserve"> item descriptor for </w:t>
      </w:r>
      <w:r>
        <w:t>paediatric Level 2 PSG in adolescents aged 12-17 years (inclusive)</w:t>
      </w:r>
    </w:p>
    <w:tbl>
      <w:tblPr>
        <w:tblStyle w:val="TableGrid"/>
        <w:tblW w:w="0" w:type="auto"/>
        <w:tblLook w:val="04A0" w:firstRow="1" w:lastRow="0" w:firstColumn="1" w:lastColumn="0" w:noHBand="0" w:noVBand="1"/>
        <w:tblCaption w:val="Proposed item descriptor for paediatric Level 2 PSG conducted using equipment delivered to a rural or remote location, in children aged 3-11 years (inclusive)"/>
        <w:tblDescription w:val="Proposed item descriptor and fee."/>
      </w:tblPr>
      <w:tblGrid>
        <w:gridCol w:w="9016"/>
      </w:tblGrid>
      <w:tr w:rsidR="00804659" w:rsidRPr="00D57431" w14:paraId="7326162E" w14:textId="77777777" w:rsidTr="00804659">
        <w:trPr>
          <w:trHeight w:val="350"/>
        </w:trPr>
        <w:tc>
          <w:tcPr>
            <w:tcW w:w="9016" w:type="dxa"/>
          </w:tcPr>
          <w:p w14:paraId="114D86A6" w14:textId="77777777" w:rsidR="00804659" w:rsidRPr="00D57431" w:rsidRDefault="00804659" w:rsidP="00D458F3">
            <w:pPr>
              <w:pStyle w:val="TableText"/>
              <w:keepNext/>
              <w:keepLines/>
              <w:jc w:val="right"/>
              <w:rPr>
                <w:b/>
                <w:sz w:val="18"/>
                <w:szCs w:val="18"/>
              </w:rPr>
            </w:pPr>
            <w:r w:rsidRPr="00D57431">
              <w:rPr>
                <w:b/>
                <w:sz w:val="18"/>
                <w:szCs w:val="18"/>
              </w:rPr>
              <w:t>Category 2: Diagnostic Procedures and Investigations</w:t>
            </w:r>
          </w:p>
          <w:p w14:paraId="663356D5" w14:textId="77777777" w:rsidR="00804659" w:rsidRPr="00D57431" w:rsidRDefault="00804659" w:rsidP="00D458F3">
            <w:pPr>
              <w:pStyle w:val="TableText"/>
              <w:keepNext/>
              <w:keepLines/>
              <w:jc w:val="right"/>
              <w:rPr>
                <w:b/>
                <w:sz w:val="18"/>
                <w:szCs w:val="18"/>
              </w:rPr>
            </w:pPr>
            <w:r w:rsidRPr="00D57431">
              <w:rPr>
                <w:b/>
                <w:sz w:val="18"/>
                <w:szCs w:val="18"/>
              </w:rPr>
              <w:t>Group D1. Miscellaneous Diagnostic Procedures And Investigation</w:t>
            </w:r>
          </w:p>
          <w:p w14:paraId="5A9722FC" w14:textId="77777777" w:rsidR="00804659" w:rsidRPr="00D57431" w:rsidRDefault="00804659" w:rsidP="00D458F3">
            <w:pPr>
              <w:pStyle w:val="TableText"/>
              <w:keepNext/>
              <w:keepLines/>
              <w:jc w:val="right"/>
            </w:pPr>
            <w:r w:rsidRPr="00D57431">
              <w:rPr>
                <w:b/>
                <w:sz w:val="18"/>
                <w:szCs w:val="18"/>
              </w:rPr>
              <w:t>Subgroup 10. Other Diagnostic Procedures And Investigations</w:t>
            </w:r>
          </w:p>
        </w:tc>
      </w:tr>
      <w:tr w:rsidR="00804659" w:rsidRPr="00D57431" w14:paraId="3D0E21BF" w14:textId="77777777" w:rsidTr="00804659">
        <w:trPr>
          <w:trHeight w:val="223"/>
        </w:trPr>
        <w:tc>
          <w:tcPr>
            <w:tcW w:w="9016" w:type="dxa"/>
          </w:tcPr>
          <w:p w14:paraId="172DCD7D" w14:textId="77777777" w:rsidR="00804659" w:rsidRPr="00D57431" w:rsidRDefault="00804659" w:rsidP="00D458F3">
            <w:pPr>
              <w:pStyle w:val="TableText"/>
              <w:keepNext/>
              <w:keepLines/>
              <w:rPr>
                <w:b/>
                <w:bCs/>
                <w:sz w:val="18"/>
                <w:szCs w:val="18"/>
                <w:lang w:val="en-US" w:eastAsia="ja-JP"/>
              </w:rPr>
            </w:pPr>
            <w:r w:rsidRPr="00D57431">
              <w:rPr>
                <w:b/>
                <w:bCs/>
                <w:sz w:val="18"/>
                <w:szCs w:val="18"/>
                <w:lang w:val="en-US" w:eastAsia="ja-JP"/>
              </w:rPr>
              <w:t>MBS item BBBB</w:t>
            </w:r>
          </w:p>
          <w:p w14:paraId="5330E1BE" w14:textId="77777777" w:rsidR="00804659" w:rsidRPr="00D57431" w:rsidRDefault="00804659" w:rsidP="00D458F3">
            <w:pPr>
              <w:pStyle w:val="TableText"/>
              <w:keepNext/>
              <w:keepLines/>
              <w:spacing w:before="80"/>
              <w:rPr>
                <w:sz w:val="18"/>
                <w:szCs w:val="18"/>
                <w:lang w:val="en-US" w:eastAsia="ja-JP"/>
              </w:rPr>
            </w:pPr>
            <w:r w:rsidRPr="00D57431">
              <w:rPr>
                <w:sz w:val="18"/>
                <w:szCs w:val="18"/>
                <w:lang w:val="en-US" w:eastAsia="ja-JP"/>
              </w:rPr>
              <w:t xml:space="preserve">Overnight investigation of sleep for at least 8 hours, for a patient aged at least 12 years but less than 18 years to confirm diagnosis of obstructive sleep apnoea, </w:t>
            </w:r>
            <w:r w:rsidRPr="001F5ECC">
              <w:rPr>
                <w:sz w:val="18"/>
                <w:szCs w:val="18"/>
                <w:lang w:val="en-US" w:eastAsia="ja-JP"/>
              </w:rPr>
              <w:t>or for assessment and titration of respiratory support, if:</w:t>
            </w:r>
          </w:p>
          <w:p w14:paraId="15510BBF" w14:textId="77777777" w:rsidR="00804659" w:rsidRPr="00D57431" w:rsidRDefault="00804659" w:rsidP="00D458F3">
            <w:pPr>
              <w:pStyle w:val="TableText"/>
              <w:keepNext/>
              <w:keepLines/>
              <w:spacing w:before="80"/>
              <w:ind w:left="720"/>
              <w:rPr>
                <w:sz w:val="18"/>
                <w:szCs w:val="18"/>
                <w:lang w:val="en-US" w:eastAsia="ja-JP"/>
              </w:rPr>
            </w:pPr>
            <w:r w:rsidRPr="00D57431">
              <w:rPr>
                <w:sz w:val="18"/>
                <w:szCs w:val="18"/>
                <w:lang w:val="en-US" w:eastAsia="ja-JP"/>
              </w:rPr>
              <w:t xml:space="preserve">(a) the patient has been referred by a medical practitioner to a qualified paediatric </w:t>
            </w:r>
            <w:r>
              <w:rPr>
                <w:sz w:val="18"/>
                <w:szCs w:val="18"/>
                <w:lang w:val="en-US" w:eastAsia="ja-JP"/>
              </w:rPr>
              <w:t xml:space="preserve">or adult </w:t>
            </w:r>
            <w:r w:rsidRPr="00D57431">
              <w:rPr>
                <w:sz w:val="18"/>
                <w:szCs w:val="18"/>
                <w:lang w:val="en-US" w:eastAsia="ja-JP"/>
              </w:rPr>
              <w:t>sleep medicine practitioner; and</w:t>
            </w:r>
          </w:p>
          <w:p w14:paraId="613C4A11" w14:textId="2CF3CA10" w:rsidR="00804659" w:rsidRPr="00D57431" w:rsidRDefault="00804659" w:rsidP="00D458F3">
            <w:pPr>
              <w:pStyle w:val="TableText"/>
              <w:keepNext/>
              <w:keepLines/>
              <w:spacing w:before="80"/>
              <w:ind w:left="720"/>
              <w:rPr>
                <w:sz w:val="18"/>
                <w:szCs w:val="18"/>
                <w:lang w:val="en-US" w:eastAsia="ja-JP"/>
              </w:rPr>
            </w:pPr>
            <w:r>
              <w:rPr>
                <w:sz w:val="18"/>
                <w:szCs w:val="18"/>
                <w:lang w:val="en-US" w:eastAsia="ja-JP"/>
              </w:rPr>
              <w:t xml:space="preserve">(b) </w:t>
            </w:r>
            <w:r w:rsidRPr="00D57431" w:rsidDel="009B3B18">
              <w:rPr>
                <w:sz w:val="18"/>
                <w:szCs w:val="18"/>
                <w:lang w:val="en-US" w:eastAsia="ja-JP"/>
              </w:rPr>
              <w:t xml:space="preserve">following </w:t>
            </w:r>
            <w:r w:rsidRPr="00D57431">
              <w:rPr>
                <w:sz w:val="18"/>
                <w:szCs w:val="18"/>
                <w:lang w:val="en-US" w:eastAsia="ja-JP"/>
              </w:rPr>
              <w:t>professional attendance on the patient (either face to face or by video conference)</w:t>
            </w:r>
            <w:r>
              <w:rPr>
                <w:sz w:val="18"/>
                <w:szCs w:val="18"/>
                <w:lang w:val="en-US" w:eastAsia="ja-JP"/>
              </w:rPr>
              <w:t xml:space="preserve">, </w:t>
            </w:r>
            <w:r w:rsidRPr="00D57431">
              <w:rPr>
                <w:sz w:val="18"/>
                <w:szCs w:val="18"/>
                <w:lang w:val="en-US" w:eastAsia="ja-JP"/>
              </w:rPr>
              <w:t xml:space="preserve">a qualified paediatric or adult sleep medicine </w:t>
            </w:r>
            <w:r>
              <w:rPr>
                <w:sz w:val="18"/>
                <w:szCs w:val="18"/>
                <w:lang w:val="en-US" w:eastAsia="ja-JP"/>
              </w:rPr>
              <w:t>practitioner</w:t>
            </w:r>
            <w:r w:rsidRPr="00D57431">
              <w:rPr>
                <w:sz w:val="18"/>
                <w:szCs w:val="18"/>
                <w:lang w:val="en-US" w:eastAsia="ja-JP"/>
              </w:rPr>
              <w:t xml:space="preserve"> </w:t>
            </w:r>
            <w:r>
              <w:rPr>
                <w:sz w:val="18"/>
                <w:szCs w:val="18"/>
                <w:lang w:val="en-US" w:eastAsia="ja-JP"/>
              </w:rPr>
              <w:t>has</w:t>
            </w:r>
            <w:r w:rsidRPr="00D57431">
              <w:rPr>
                <w:sz w:val="18"/>
                <w:szCs w:val="18"/>
                <w:lang w:val="en-US" w:eastAsia="ja-JP"/>
              </w:rPr>
              <w:t xml:space="preserve"> determine</w:t>
            </w:r>
            <w:r>
              <w:rPr>
                <w:sz w:val="18"/>
                <w:szCs w:val="18"/>
                <w:lang w:val="en-US" w:eastAsia="ja-JP"/>
              </w:rPr>
              <w:t>d</w:t>
            </w:r>
            <w:r w:rsidRPr="00D57431">
              <w:rPr>
                <w:sz w:val="18"/>
                <w:szCs w:val="18"/>
                <w:lang w:val="en-US" w:eastAsia="ja-JP"/>
              </w:rPr>
              <w:t xml:space="preserve"> that </w:t>
            </w:r>
            <w:r>
              <w:rPr>
                <w:sz w:val="18"/>
                <w:szCs w:val="18"/>
                <w:lang w:val="en-US" w:eastAsia="ja-JP"/>
              </w:rPr>
              <w:t>the</w:t>
            </w:r>
            <w:r w:rsidRPr="00D57431">
              <w:rPr>
                <w:sz w:val="18"/>
                <w:szCs w:val="18"/>
                <w:lang w:val="en-US" w:eastAsia="ja-JP"/>
              </w:rPr>
              <w:t xml:space="preserve"> investigation is necessary and that an out-of-laboratory setting is appropriate for the sleep study; and</w:t>
            </w:r>
          </w:p>
          <w:p w14:paraId="60F26A68" w14:textId="77777777" w:rsidR="00804659" w:rsidRPr="00D57431" w:rsidRDefault="00804659" w:rsidP="00D458F3">
            <w:pPr>
              <w:pStyle w:val="TableText"/>
              <w:keepNext/>
              <w:keepLines/>
              <w:spacing w:before="80"/>
              <w:ind w:left="720"/>
              <w:rPr>
                <w:sz w:val="18"/>
                <w:szCs w:val="18"/>
                <w:lang w:val="en-US" w:eastAsia="ja-JP"/>
              </w:rPr>
            </w:pPr>
            <w:r w:rsidRPr="00D57431">
              <w:rPr>
                <w:sz w:val="18"/>
                <w:szCs w:val="18"/>
                <w:lang w:val="en-US" w:eastAsia="ja-JP"/>
              </w:rPr>
              <w:t>(</w:t>
            </w:r>
            <w:r>
              <w:rPr>
                <w:sz w:val="18"/>
                <w:szCs w:val="18"/>
                <w:lang w:val="en-US" w:eastAsia="ja-JP"/>
              </w:rPr>
              <w:t>c</w:t>
            </w:r>
            <w:r w:rsidRPr="00D57431">
              <w:rPr>
                <w:sz w:val="18"/>
                <w:szCs w:val="18"/>
                <w:lang w:val="en-US" w:eastAsia="ja-JP"/>
              </w:rPr>
              <w:t>) during a period of sleep, there is continuous monitoring and recording performed in accordance with current professional guidelines, of a minimum of 7 channels that include (i) to (vii) of</w:t>
            </w:r>
            <w:r w:rsidRPr="00D57431">
              <w:rPr>
                <w:strike/>
                <w:sz w:val="18"/>
                <w:szCs w:val="18"/>
                <w:lang w:val="en-US" w:eastAsia="ja-JP"/>
              </w:rPr>
              <w:t xml:space="preserve"> </w:t>
            </w:r>
            <w:r w:rsidRPr="00D57431">
              <w:rPr>
                <w:sz w:val="18"/>
                <w:szCs w:val="18"/>
                <w:lang w:val="en-US" w:eastAsia="ja-JP"/>
              </w:rPr>
              <w:t>the following measures:</w:t>
            </w:r>
          </w:p>
          <w:p w14:paraId="4EE8F7C4" w14:textId="77777777" w:rsidR="00804659" w:rsidRPr="00D57431" w:rsidRDefault="00804659" w:rsidP="00D458F3">
            <w:pPr>
              <w:pStyle w:val="TableText"/>
              <w:keepNext/>
              <w:keepLines/>
              <w:spacing w:before="80"/>
              <w:ind w:left="1309" w:hanging="284"/>
              <w:rPr>
                <w:sz w:val="18"/>
                <w:szCs w:val="18"/>
                <w:lang w:val="en-US" w:eastAsia="ja-JP"/>
              </w:rPr>
            </w:pPr>
            <w:r w:rsidRPr="00D57431">
              <w:rPr>
                <w:sz w:val="18"/>
                <w:szCs w:val="18"/>
                <w:lang w:val="en-US" w:eastAsia="ja-JP"/>
              </w:rPr>
              <w:t>(i) airflow;</w:t>
            </w:r>
          </w:p>
          <w:p w14:paraId="5A75E7D4" w14:textId="77777777" w:rsidR="00804659" w:rsidRPr="00D57431" w:rsidRDefault="00804659" w:rsidP="00D458F3">
            <w:pPr>
              <w:pStyle w:val="TableText"/>
              <w:keepNext/>
              <w:keepLines/>
              <w:spacing w:before="80"/>
              <w:ind w:left="1309" w:hanging="284"/>
              <w:rPr>
                <w:sz w:val="18"/>
                <w:szCs w:val="18"/>
                <w:lang w:val="en-US" w:eastAsia="ja-JP"/>
              </w:rPr>
            </w:pPr>
            <w:r w:rsidRPr="00D57431">
              <w:rPr>
                <w:sz w:val="18"/>
                <w:szCs w:val="18"/>
                <w:lang w:val="en-US" w:eastAsia="ja-JP"/>
              </w:rPr>
              <w:t>(ii) EEG;</w:t>
            </w:r>
          </w:p>
          <w:p w14:paraId="784B90BF" w14:textId="77777777" w:rsidR="00804659" w:rsidRPr="00D57431" w:rsidRDefault="00804659" w:rsidP="00D458F3">
            <w:pPr>
              <w:pStyle w:val="TableText"/>
              <w:keepNext/>
              <w:keepLines/>
              <w:spacing w:before="80"/>
              <w:ind w:left="1309" w:hanging="284"/>
              <w:rPr>
                <w:sz w:val="18"/>
                <w:szCs w:val="18"/>
                <w:lang w:val="en-US" w:eastAsia="ja-JP"/>
              </w:rPr>
            </w:pPr>
            <w:r w:rsidRPr="00D57431">
              <w:rPr>
                <w:sz w:val="18"/>
                <w:szCs w:val="18"/>
                <w:lang w:val="en-US" w:eastAsia="ja-JP"/>
              </w:rPr>
              <w:t>(iii) EMG;</w:t>
            </w:r>
          </w:p>
          <w:p w14:paraId="05FCDC56" w14:textId="77777777" w:rsidR="00804659" w:rsidRPr="00D57431" w:rsidRDefault="00804659" w:rsidP="00D458F3">
            <w:pPr>
              <w:pStyle w:val="TableText"/>
              <w:keepNext/>
              <w:keepLines/>
              <w:spacing w:before="80"/>
              <w:ind w:left="1309" w:hanging="284"/>
              <w:rPr>
                <w:sz w:val="18"/>
                <w:szCs w:val="18"/>
                <w:lang w:val="en-US" w:eastAsia="ja-JP"/>
              </w:rPr>
            </w:pPr>
            <w:r w:rsidRPr="00D57431">
              <w:rPr>
                <w:sz w:val="18"/>
                <w:szCs w:val="18"/>
                <w:lang w:val="en-US" w:eastAsia="ja-JP"/>
              </w:rPr>
              <w:t>(iv) EOG;</w:t>
            </w:r>
          </w:p>
          <w:p w14:paraId="509D86EA" w14:textId="77777777" w:rsidR="00804659" w:rsidRPr="00D57431" w:rsidRDefault="00804659" w:rsidP="00D458F3">
            <w:pPr>
              <w:pStyle w:val="TableText"/>
              <w:keepNext/>
              <w:keepLines/>
              <w:spacing w:before="80"/>
              <w:ind w:left="1309" w:hanging="284"/>
              <w:rPr>
                <w:sz w:val="18"/>
                <w:szCs w:val="18"/>
                <w:lang w:val="en-US" w:eastAsia="ja-JP"/>
              </w:rPr>
            </w:pPr>
            <w:r w:rsidRPr="00D57431">
              <w:rPr>
                <w:sz w:val="18"/>
                <w:szCs w:val="18"/>
                <w:lang w:val="en-US" w:eastAsia="ja-JP"/>
              </w:rPr>
              <w:t>(v) ECG or heart rate;</w:t>
            </w:r>
          </w:p>
          <w:p w14:paraId="464D9746" w14:textId="77777777" w:rsidR="00804659" w:rsidRPr="00D57431" w:rsidRDefault="00804659" w:rsidP="00D458F3">
            <w:pPr>
              <w:pStyle w:val="TableText"/>
              <w:keepNext/>
              <w:keepLines/>
              <w:spacing w:before="80"/>
              <w:ind w:left="1309" w:hanging="284"/>
              <w:rPr>
                <w:sz w:val="18"/>
                <w:szCs w:val="18"/>
                <w:lang w:val="en-US" w:eastAsia="ja-JP"/>
              </w:rPr>
            </w:pPr>
            <w:r w:rsidRPr="00D57431">
              <w:rPr>
                <w:sz w:val="18"/>
                <w:szCs w:val="18"/>
                <w:lang w:val="en-US" w:eastAsia="ja-JP"/>
              </w:rPr>
              <w:t>(vi) oxygen saturation;</w:t>
            </w:r>
          </w:p>
          <w:p w14:paraId="29B13139" w14:textId="77777777" w:rsidR="00804659" w:rsidRPr="00D57431" w:rsidRDefault="00804659" w:rsidP="00D458F3">
            <w:pPr>
              <w:pStyle w:val="TableText"/>
              <w:keepNext/>
              <w:keepLines/>
              <w:spacing w:before="80"/>
              <w:ind w:left="1309" w:hanging="284"/>
              <w:rPr>
                <w:sz w:val="18"/>
                <w:szCs w:val="18"/>
                <w:lang w:val="en-US" w:eastAsia="ja-JP"/>
              </w:rPr>
            </w:pPr>
            <w:r w:rsidRPr="00D57431">
              <w:rPr>
                <w:sz w:val="18"/>
                <w:szCs w:val="18"/>
                <w:lang w:val="en-US" w:eastAsia="ja-JP"/>
              </w:rPr>
              <w:t>(vii) respiratory effort;</w:t>
            </w:r>
          </w:p>
          <w:p w14:paraId="0DBA148D" w14:textId="77777777" w:rsidR="00804659" w:rsidRPr="00D57431" w:rsidRDefault="00804659" w:rsidP="00D458F3">
            <w:pPr>
              <w:pStyle w:val="TableText"/>
              <w:keepNext/>
              <w:keepLines/>
              <w:spacing w:before="80"/>
              <w:ind w:left="720"/>
              <w:rPr>
                <w:sz w:val="18"/>
                <w:szCs w:val="18"/>
                <w:lang w:val="en-US" w:eastAsia="ja-JP"/>
              </w:rPr>
            </w:pPr>
            <w:r w:rsidRPr="00D57431">
              <w:rPr>
                <w:sz w:val="18"/>
                <w:szCs w:val="18"/>
                <w:lang w:val="en-US" w:eastAsia="ja-JP"/>
              </w:rPr>
              <w:t>(</w:t>
            </w:r>
            <w:r>
              <w:rPr>
                <w:sz w:val="18"/>
                <w:szCs w:val="18"/>
                <w:lang w:val="en-US" w:eastAsia="ja-JP"/>
              </w:rPr>
              <w:t>d</w:t>
            </w:r>
            <w:r w:rsidRPr="00D57431">
              <w:rPr>
                <w:sz w:val="18"/>
                <w:szCs w:val="18"/>
                <w:lang w:val="en-US" w:eastAsia="ja-JP"/>
              </w:rPr>
              <w:t xml:space="preserve">) the investigation is performed under the supervision of a qualified paediatric or adult sleep medicine practitioner; and </w:t>
            </w:r>
          </w:p>
          <w:p w14:paraId="36B32B95" w14:textId="77777777" w:rsidR="00804659" w:rsidRPr="00D57431" w:rsidRDefault="00804659" w:rsidP="00D458F3">
            <w:pPr>
              <w:pStyle w:val="TableText"/>
              <w:keepNext/>
              <w:keepLines/>
              <w:spacing w:before="80"/>
              <w:ind w:left="720"/>
              <w:rPr>
                <w:sz w:val="18"/>
                <w:szCs w:val="18"/>
                <w:lang w:val="en-US" w:eastAsia="ja-JP"/>
              </w:rPr>
            </w:pPr>
            <w:r w:rsidRPr="00D57431">
              <w:rPr>
                <w:sz w:val="18"/>
                <w:szCs w:val="18"/>
                <w:lang w:val="en-US" w:eastAsia="ja-JP"/>
              </w:rPr>
              <w:t>(</w:t>
            </w:r>
            <w:r>
              <w:rPr>
                <w:sz w:val="18"/>
                <w:szCs w:val="18"/>
                <w:lang w:val="en-US" w:eastAsia="ja-JP"/>
              </w:rPr>
              <w:t>e</w:t>
            </w:r>
            <w:r w:rsidRPr="00D57431">
              <w:rPr>
                <w:sz w:val="18"/>
                <w:szCs w:val="18"/>
                <w:lang w:val="en-US" w:eastAsia="ja-JP"/>
              </w:rPr>
              <w:t>) either:</w:t>
            </w:r>
          </w:p>
          <w:p w14:paraId="129BBC1D" w14:textId="77777777" w:rsidR="00804659" w:rsidRPr="00D57431" w:rsidRDefault="00804659" w:rsidP="00D458F3">
            <w:pPr>
              <w:pStyle w:val="TableText"/>
              <w:keepNext/>
              <w:keepLines/>
              <w:spacing w:before="80"/>
              <w:ind w:left="1309" w:hanging="284"/>
              <w:rPr>
                <w:sz w:val="18"/>
                <w:szCs w:val="18"/>
                <w:lang w:val="en-US" w:eastAsia="ja-JP"/>
              </w:rPr>
            </w:pPr>
            <w:r w:rsidRPr="00D57431">
              <w:rPr>
                <w:sz w:val="18"/>
                <w:szCs w:val="18"/>
                <w:lang w:val="en-US" w:eastAsia="ja-JP"/>
              </w:rPr>
              <w:t>(i) the equipment is applied to the patient by a sleep technician; or</w:t>
            </w:r>
          </w:p>
          <w:p w14:paraId="7B8C54DC" w14:textId="1F9B9D28" w:rsidR="00804659" w:rsidRPr="00D57431" w:rsidRDefault="00804659" w:rsidP="00D458F3">
            <w:pPr>
              <w:pStyle w:val="TableText"/>
              <w:keepNext/>
              <w:keepLines/>
              <w:spacing w:before="80"/>
              <w:ind w:left="1309" w:hanging="284"/>
              <w:rPr>
                <w:sz w:val="18"/>
                <w:szCs w:val="18"/>
                <w:lang w:val="en-US" w:eastAsia="ja-JP"/>
              </w:rPr>
            </w:pPr>
            <w:r w:rsidRPr="00D57431">
              <w:rPr>
                <w:sz w:val="18"/>
                <w:szCs w:val="18"/>
                <w:lang w:val="en-US" w:eastAsia="ja-JP"/>
              </w:rPr>
              <w:t xml:space="preserve">(ii) a sleep </w:t>
            </w:r>
            <w:r w:rsidR="00F30C55" w:rsidRPr="00D57431">
              <w:rPr>
                <w:sz w:val="18"/>
                <w:szCs w:val="18"/>
                <w:lang w:val="en-US" w:eastAsia="ja-JP"/>
              </w:rPr>
              <w:t>t</w:t>
            </w:r>
            <w:r w:rsidR="00F30C55">
              <w:rPr>
                <w:sz w:val="18"/>
                <w:szCs w:val="18"/>
                <w:lang w:val="en-US" w:eastAsia="ja-JP"/>
              </w:rPr>
              <w:t xml:space="preserve">echnician </w:t>
            </w:r>
            <w:r w:rsidRPr="00D57431">
              <w:rPr>
                <w:sz w:val="18"/>
                <w:szCs w:val="18"/>
                <w:lang w:val="en-US" w:eastAsia="ja-JP"/>
              </w:rPr>
              <w:t xml:space="preserve">provides telehealth support to a parent or caregiver during the entire process while the parent or caregiver applies the equipment to the patient; the parent/caregiver </w:t>
            </w:r>
            <w:r>
              <w:rPr>
                <w:sz w:val="18"/>
                <w:szCs w:val="18"/>
                <w:lang w:val="en-US" w:eastAsia="ja-JP"/>
              </w:rPr>
              <w:t>is provided</w:t>
            </w:r>
            <w:r w:rsidRPr="00D57431">
              <w:rPr>
                <w:sz w:val="18"/>
                <w:szCs w:val="18"/>
                <w:lang w:val="en-US" w:eastAsia="ja-JP"/>
              </w:rPr>
              <w:t xml:space="preserve"> with written</w:t>
            </w:r>
            <w:r>
              <w:rPr>
                <w:sz w:val="18"/>
                <w:szCs w:val="18"/>
                <w:lang w:val="en-US" w:eastAsia="ja-JP"/>
              </w:rPr>
              <w:t>/and or videoed</w:t>
            </w:r>
            <w:r w:rsidRPr="00D57431">
              <w:rPr>
                <w:sz w:val="18"/>
                <w:szCs w:val="18"/>
                <w:lang w:val="en-US" w:eastAsia="ja-JP"/>
              </w:rPr>
              <w:t xml:space="preserve"> instructions describing the set-up process, </w:t>
            </w:r>
            <w:r>
              <w:rPr>
                <w:sz w:val="18"/>
                <w:szCs w:val="18"/>
                <w:lang w:val="en-US" w:eastAsia="ja-JP"/>
              </w:rPr>
              <w:t>and</w:t>
            </w:r>
            <w:r w:rsidRPr="00D57431">
              <w:rPr>
                <w:sz w:val="18"/>
                <w:szCs w:val="18"/>
                <w:lang w:val="en-US" w:eastAsia="ja-JP"/>
              </w:rPr>
              <w:t xml:space="preserve"> the use of telehealth during equipment set-up </w:t>
            </w:r>
            <w:r>
              <w:rPr>
                <w:sz w:val="18"/>
                <w:szCs w:val="18"/>
                <w:lang w:val="en-US" w:eastAsia="ja-JP"/>
              </w:rPr>
              <w:t xml:space="preserve">is </w:t>
            </w:r>
            <w:r w:rsidRPr="00D57431">
              <w:rPr>
                <w:sz w:val="18"/>
                <w:szCs w:val="18"/>
                <w:lang w:val="en-US" w:eastAsia="ja-JP"/>
              </w:rPr>
              <w:t>documented; and</w:t>
            </w:r>
          </w:p>
          <w:p w14:paraId="51A08231" w14:textId="77777777" w:rsidR="00804659" w:rsidRDefault="00804659" w:rsidP="00D458F3">
            <w:pPr>
              <w:pStyle w:val="TableText"/>
              <w:keepNext/>
              <w:keepLines/>
              <w:spacing w:before="80"/>
              <w:ind w:left="720"/>
              <w:rPr>
                <w:sz w:val="18"/>
                <w:szCs w:val="18"/>
                <w:lang w:val="en-US" w:eastAsia="ja-JP"/>
              </w:rPr>
            </w:pPr>
            <w:r>
              <w:rPr>
                <w:sz w:val="18"/>
                <w:szCs w:val="18"/>
                <w:lang w:val="en-US" w:eastAsia="ja-JP"/>
              </w:rPr>
              <w:t xml:space="preserve">(f) the </w:t>
            </w:r>
            <w:r w:rsidRPr="006D05D1">
              <w:rPr>
                <w:sz w:val="18"/>
                <w:szCs w:val="18"/>
                <w:lang w:val="en-US" w:eastAsia="ja-JP"/>
              </w:rPr>
              <w:t xml:space="preserve">parent or caregiver </w:t>
            </w:r>
            <w:r>
              <w:rPr>
                <w:sz w:val="18"/>
                <w:szCs w:val="18"/>
                <w:lang w:val="en-US" w:eastAsia="ja-JP"/>
              </w:rPr>
              <w:t xml:space="preserve">is provided with </w:t>
            </w:r>
            <w:r w:rsidRPr="006D05D1">
              <w:rPr>
                <w:sz w:val="18"/>
                <w:szCs w:val="18"/>
                <w:lang w:val="en-US" w:eastAsia="ja-JP"/>
              </w:rPr>
              <w:t>written</w:t>
            </w:r>
            <w:r>
              <w:rPr>
                <w:sz w:val="18"/>
                <w:szCs w:val="18"/>
                <w:lang w:val="en-US" w:eastAsia="ja-JP"/>
              </w:rPr>
              <w:t xml:space="preserve"> and/or videoed</w:t>
            </w:r>
            <w:r w:rsidRPr="006D05D1">
              <w:rPr>
                <w:sz w:val="18"/>
                <w:szCs w:val="18"/>
                <w:lang w:val="en-US" w:eastAsia="ja-JP"/>
              </w:rPr>
              <w:t xml:space="preserve"> instructions describing how to monitor the patient overnight, and a phone contact or data link to </w:t>
            </w:r>
            <w:r>
              <w:rPr>
                <w:sz w:val="18"/>
                <w:szCs w:val="18"/>
                <w:lang w:val="en-US" w:eastAsia="ja-JP"/>
              </w:rPr>
              <w:t>a</w:t>
            </w:r>
            <w:r w:rsidRPr="006D05D1">
              <w:rPr>
                <w:sz w:val="18"/>
                <w:szCs w:val="18"/>
                <w:lang w:val="en-US" w:eastAsia="ja-JP"/>
              </w:rPr>
              <w:t xml:space="preserve"> sleep technician to enable trouble shooting</w:t>
            </w:r>
            <w:r>
              <w:rPr>
                <w:sz w:val="18"/>
                <w:szCs w:val="18"/>
                <w:lang w:val="en-US" w:eastAsia="ja-JP"/>
              </w:rPr>
              <w:t xml:space="preserve"> </w:t>
            </w:r>
            <w:r w:rsidRPr="006D05D1">
              <w:rPr>
                <w:sz w:val="18"/>
                <w:szCs w:val="18"/>
                <w:lang w:val="en-US" w:eastAsia="ja-JP"/>
              </w:rPr>
              <w:t>overnight;</w:t>
            </w:r>
            <w:r>
              <w:rPr>
                <w:sz w:val="18"/>
                <w:szCs w:val="18"/>
                <w:lang w:val="en-US" w:eastAsia="ja-JP"/>
              </w:rPr>
              <w:t xml:space="preserve"> and</w:t>
            </w:r>
          </w:p>
          <w:p w14:paraId="15AF7ED3" w14:textId="77777777" w:rsidR="00804659" w:rsidRPr="00D57431" w:rsidRDefault="00804659" w:rsidP="00D458F3">
            <w:pPr>
              <w:pStyle w:val="TableText"/>
              <w:keepNext/>
              <w:keepLines/>
              <w:spacing w:before="80"/>
              <w:ind w:left="720"/>
              <w:rPr>
                <w:sz w:val="18"/>
                <w:szCs w:val="18"/>
                <w:lang w:val="en-US" w:eastAsia="ja-JP"/>
              </w:rPr>
            </w:pPr>
            <w:r w:rsidRPr="00D57431">
              <w:rPr>
                <w:sz w:val="18"/>
                <w:szCs w:val="18"/>
                <w:lang w:val="en-US" w:eastAsia="ja-JP"/>
              </w:rPr>
              <w:t>(</w:t>
            </w:r>
            <w:r>
              <w:rPr>
                <w:sz w:val="18"/>
                <w:szCs w:val="18"/>
                <w:lang w:val="en-US" w:eastAsia="ja-JP"/>
              </w:rPr>
              <w:t>g</w:t>
            </w:r>
            <w:r w:rsidRPr="00D57431">
              <w:rPr>
                <w:sz w:val="18"/>
                <w:szCs w:val="18"/>
                <w:lang w:val="en-US" w:eastAsia="ja-JP"/>
              </w:rPr>
              <w:t>) polygraphic records are:</w:t>
            </w:r>
          </w:p>
          <w:p w14:paraId="08A12325" w14:textId="77777777" w:rsidR="00804659" w:rsidRPr="00D57431" w:rsidRDefault="00804659" w:rsidP="00D458F3">
            <w:pPr>
              <w:pStyle w:val="TableText"/>
              <w:keepNext/>
              <w:keepLines/>
              <w:spacing w:before="80"/>
              <w:ind w:left="1309" w:hanging="284"/>
              <w:rPr>
                <w:sz w:val="18"/>
                <w:szCs w:val="18"/>
                <w:lang w:val="en-US" w:eastAsia="ja-JP"/>
              </w:rPr>
            </w:pPr>
            <w:r w:rsidRPr="00D57431">
              <w:rPr>
                <w:sz w:val="18"/>
                <w:szCs w:val="18"/>
                <w:lang w:val="en-US" w:eastAsia="ja-JP"/>
              </w:rPr>
              <w:t>(i) analysed for assessment of sleep stage, arousals, respiratory events, and cardiac abnormalities using manual scoring, or manual correction of computerised scoring in epochs of not more than 1 minute; and</w:t>
            </w:r>
          </w:p>
          <w:p w14:paraId="28CE08A7" w14:textId="77777777" w:rsidR="00804659" w:rsidRPr="00D57431" w:rsidRDefault="00804659" w:rsidP="00D458F3">
            <w:pPr>
              <w:pStyle w:val="TableText"/>
              <w:keepNext/>
              <w:keepLines/>
              <w:spacing w:before="80"/>
              <w:ind w:left="1309" w:hanging="284"/>
              <w:rPr>
                <w:sz w:val="18"/>
                <w:szCs w:val="18"/>
                <w:lang w:val="en-US" w:eastAsia="ja-JP"/>
              </w:rPr>
            </w:pPr>
            <w:r w:rsidRPr="00D57431">
              <w:rPr>
                <w:sz w:val="18"/>
                <w:szCs w:val="18"/>
                <w:lang w:val="en-US" w:eastAsia="ja-JP"/>
              </w:rPr>
              <w:t>(ii) stored for interpretation and preparation of a report; and</w:t>
            </w:r>
          </w:p>
          <w:p w14:paraId="032EA9B7" w14:textId="77777777" w:rsidR="00804659" w:rsidRPr="00D57431" w:rsidRDefault="00804659" w:rsidP="00D458F3">
            <w:pPr>
              <w:pStyle w:val="TableText"/>
              <w:keepNext/>
              <w:keepLines/>
              <w:spacing w:before="80"/>
              <w:ind w:left="1004" w:hanging="284"/>
              <w:rPr>
                <w:sz w:val="18"/>
                <w:szCs w:val="18"/>
                <w:lang w:val="en-US" w:eastAsia="ja-JP"/>
              </w:rPr>
            </w:pPr>
            <w:r w:rsidRPr="00D57431">
              <w:rPr>
                <w:sz w:val="18"/>
                <w:szCs w:val="18"/>
                <w:lang w:val="en-US" w:eastAsia="ja-JP"/>
              </w:rPr>
              <w:t>(</w:t>
            </w:r>
            <w:r>
              <w:rPr>
                <w:sz w:val="18"/>
                <w:szCs w:val="18"/>
                <w:lang w:val="en-US" w:eastAsia="ja-JP"/>
              </w:rPr>
              <w:t>h</w:t>
            </w:r>
            <w:r w:rsidRPr="00D57431">
              <w:rPr>
                <w:sz w:val="18"/>
                <w:szCs w:val="18"/>
                <w:lang w:val="en-US" w:eastAsia="ja-JP"/>
              </w:rPr>
              <w:t>) the reason for the service</w:t>
            </w:r>
            <w:r>
              <w:rPr>
                <w:sz w:val="18"/>
                <w:szCs w:val="18"/>
                <w:lang w:val="en-US" w:eastAsia="ja-JP"/>
              </w:rPr>
              <w:t xml:space="preserve"> is documented - either</w:t>
            </w:r>
            <w:r w:rsidRPr="00D57431">
              <w:rPr>
                <w:sz w:val="18"/>
                <w:szCs w:val="18"/>
                <w:lang w:val="en-US" w:eastAsia="ja-JP"/>
              </w:rPr>
              <w:t>:</w:t>
            </w:r>
          </w:p>
          <w:p w14:paraId="30318A0D" w14:textId="77777777" w:rsidR="00804659" w:rsidRPr="00D57431" w:rsidRDefault="00804659" w:rsidP="00D458F3">
            <w:pPr>
              <w:pStyle w:val="TableText"/>
              <w:keepNext/>
              <w:keepLines/>
              <w:spacing w:before="80"/>
              <w:ind w:left="1288" w:hanging="284"/>
              <w:rPr>
                <w:sz w:val="18"/>
                <w:szCs w:val="18"/>
                <w:lang w:val="en-US" w:eastAsia="ja-JP"/>
              </w:rPr>
            </w:pPr>
            <w:r w:rsidRPr="00D57431">
              <w:rPr>
                <w:sz w:val="18"/>
                <w:szCs w:val="18"/>
                <w:lang w:val="en-US" w:eastAsia="ja-JP"/>
              </w:rPr>
              <w:t>(i) initial diagnosis; or</w:t>
            </w:r>
          </w:p>
          <w:p w14:paraId="7789F3E2" w14:textId="77777777" w:rsidR="00804659" w:rsidRPr="00D57431" w:rsidRDefault="00804659" w:rsidP="00D458F3">
            <w:pPr>
              <w:pStyle w:val="TableText"/>
              <w:keepNext/>
              <w:keepLines/>
              <w:spacing w:before="80"/>
              <w:ind w:left="1288" w:hanging="284"/>
              <w:rPr>
                <w:sz w:val="18"/>
                <w:szCs w:val="18"/>
                <w:lang w:val="en-US" w:eastAsia="ja-JP"/>
              </w:rPr>
            </w:pPr>
            <w:r w:rsidRPr="00D57431">
              <w:rPr>
                <w:sz w:val="18"/>
                <w:szCs w:val="18"/>
                <w:lang w:val="en-US" w:eastAsia="ja-JP"/>
              </w:rPr>
              <w:t>(ii) repeat study for titration of respiratory support to optimize therapy; or to assess significant change in clinical status to determine the need for or the adequacy of respiratory support; and</w:t>
            </w:r>
          </w:p>
          <w:p w14:paraId="025E09CF" w14:textId="77777777" w:rsidR="00804659" w:rsidRPr="00D57431" w:rsidRDefault="00804659" w:rsidP="00D458F3">
            <w:pPr>
              <w:pStyle w:val="TableText"/>
              <w:keepNext/>
              <w:keepLines/>
              <w:spacing w:before="80"/>
              <w:ind w:left="720"/>
              <w:rPr>
                <w:sz w:val="18"/>
                <w:szCs w:val="18"/>
                <w:lang w:val="en-US" w:eastAsia="ja-JP"/>
              </w:rPr>
            </w:pPr>
            <w:r w:rsidRPr="00D57431">
              <w:rPr>
                <w:sz w:val="18"/>
                <w:szCs w:val="18"/>
                <w:lang w:val="en-US" w:eastAsia="ja-JP"/>
              </w:rPr>
              <w:t>(</w:t>
            </w:r>
            <w:r>
              <w:rPr>
                <w:sz w:val="18"/>
                <w:szCs w:val="18"/>
                <w:lang w:val="en-US" w:eastAsia="ja-JP"/>
              </w:rPr>
              <w:t>i</w:t>
            </w:r>
            <w:r w:rsidRPr="00D57431">
              <w:rPr>
                <w:sz w:val="18"/>
                <w:szCs w:val="18"/>
                <w:lang w:val="en-US" w:eastAsia="ja-JP"/>
              </w:rPr>
              <w:t>) interpretation and preparation of a permanent report is provided by a qualified paediatric or adult sleep medicine specialist with personal direct review of raw data from the original recording of polygraphic data from the patient; and</w:t>
            </w:r>
          </w:p>
          <w:p w14:paraId="6CAB0278" w14:textId="77777777" w:rsidR="00804659" w:rsidRPr="00D57431" w:rsidRDefault="00804659" w:rsidP="00D458F3">
            <w:pPr>
              <w:pStyle w:val="TableText"/>
              <w:keepNext/>
              <w:keepLines/>
              <w:spacing w:before="80"/>
              <w:ind w:left="720"/>
              <w:rPr>
                <w:sz w:val="18"/>
                <w:szCs w:val="18"/>
                <w:lang w:val="en-US" w:eastAsia="ja-JP"/>
              </w:rPr>
            </w:pPr>
            <w:r w:rsidRPr="00D57431">
              <w:rPr>
                <w:sz w:val="18"/>
                <w:szCs w:val="18"/>
                <w:lang w:val="en-US" w:eastAsia="ja-JP"/>
              </w:rPr>
              <w:t>(</w:t>
            </w:r>
            <w:r>
              <w:rPr>
                <w:sz w:val="18"/>
                <w:szCs w:val="18"/>
                <w:lang w:val="en-US" w:eastAsia="ja-JP"/>
              </w:rPr>
              <w:t>j</w:t>
            </w:r>
            <w:r w:rsidRPr="00D57431">
              <w:rPr>
                <w:sz w:val="18"/>
                <w:szCs w:val="18"/>
                <w:lang w:val="en-US" w:eastAsia="ja-JP"/>
              </w:rPr>
              <w:t>) the investigation is not provided to the patient on the same occasion that a service mentioned in any of items 11000, 11003, 11004, 11005, 11503, 11704, 11705, 11707, 11714, 11716, 11717, 11723, 11735 and 12203.</w:t>
            </w:r>
          </w:p>
          <w:p w14:paraId="778A9F3E" w14:textId="77777777" w:rsidR="00804659" w:rsidRPr="00D57431" w:rsidRDefault="00804659" w:rsidP="00D458F3">
            <w:pPr>
              <w:pStyle w:val="TableText"/>
              <w:keepNext/>
              <w:keepLines/>
              <w:spacing w:before="200"/>
              <w:rPr>
                <w:i/>
                <w:iCs/>
                <w:sz w:val="18"/>
                <w:szCs w:val="18"/>
              </w:rPr>
            </w:pPr>
            <w:r w:rsidRPr="00D57431">
              <w:rPr>
                <w:sz w:val="18"/>
                <w:szCs w:val="18"/>
              </w:rPr>
              <w:t xml:space="preserve">For each patient – </w:t>
            </w:r>
            <w:r>
              <w:rPr>
                <w:sz w:val="18"/>
                <w:szCs w:val="18"/>
              </w:rPr>
              <w:t>up to a maximum of 3 investigations from BBBB, AAAA, 12210 and 12213</w:t>
            </w:r>
            <w:r w:rsidRPr="00D57431">
              <w:rPr>
                <w:sz w:val="18"/>
                <w:szCs w:val="18"/>
              </w:rPr>
              <w:t xml:space="preserve"> in any 12-month period. </w:t>
            </w:r>
          </w:p>
          <w:p w14:paraId="1C0C02CA" w14:textId="77777777" w:rsidR="00804659" w:rsidRPr="00D57431" w:rsidRDefault="00804659" w:rsidP="00D458F3">
            <w:pPr>
              <w:pStyle w:val="TableText"/>
              <w:keepNext/>
              <w:keepLines/>
              <w:spacing w:before="200"/>
              <w:rPr>
                <w:sz w:val="18"/>
                <w:szCs w:val="18"/>
              </w:rPr>
            </w:pPr>
            <w:r w:rsidRPr="00D57431">
              <w:rPr>
                <w:b/>
                <w:sz w:val="18"/>
                <w:szCs w:val="18"/>
              </w:rPr>
              <w:t xml:space="preserve">Fee: </w:t>
            </w:r>
            <w:r w:rsidRPr="00D57431">
              <w:rPr>
                <w:bCs/>
                <w:sz w:val="18"/>
                <w:szCs w:val="18"/>
              </w:rPr>
              <w:t>$433.30</w:t>
            </w:r>
            <w:r w:rsidRPr="00D57431">
              <w:rPr>
                <w:b/>
                <w:sz w:val="18"/>
                <w:szCs w:val="18"/>
              </w:rPr>
              <w:tab/>
              <w:t xml:space="preserve">Benefit: </w:t>
            </w:r>
            <w:r w:rsidRPr="00D57431">
              <w:rPr>
                <w:bCs/>
                <w:sz w:val="18"/>
                <w:szCs w:val="18"/>
              </w:rPr>
              <w:t>75% = $325</w:t>
            </w:r>
            <w:r w:rsidRPr="00D57431">
              <w:rPr>
                <w:bCs/>
                <w:sz w:val="18"/>
                <w:szCs w:val="18"/>
              </w:rPr>
              <w:tab/>
              <w:t>85% = $368.50</w:t>
            </w:r>
          </w:p>
          <w:p w14:paraId="13D3BD34" w14:textId="77777777" w:rsidR="00804659" w:rsidRPr="00D57431" w:rsidRDefault="00804659" w:rsidP="00D458F3">
            <w:pPr>
              <w:pStyle w:val="TableText"/>
              <w:keepNext/>
              <w:keepLines/>
              <w:spacing w:before="200"/>
              <w:rPr>
                <w:sz w:val="18"/>
                <w:szCs w:val="18"/>
              </w:rPr>
            </w:pPr>
            <w:r w:rsidRPr="00D57431">
              <w:rPr>
                <w:sz w:val="18"/>
                <w:szCs w:val="18"/>
              </w:rPr>
              <w:t>(See para DN.1.17 of explanatory notes to this Category)</w:t>
            </w:r>
          </w:p>
        </w:tc>
      </w:tr>
    </w:tbl>
    <w:p w14:paraId="5A481046" w14:textId="031C100F" w:rsidR="009A28D4" w:rsidRPr="00DF3BBC" w:rsidRDefault="009A28D4" w:rsidP="009A28D4">
      <w:pPr>
        <w:pStyle w:val="Heading2"/>
        <w:numPr>
          <w:ilvl w:val="0"/>
          <w:numId w:val="0"/>
        </w:numPr>
      </w:pPr>
      <w:r>
        <w:t>Other discussion</w:t>
      </w:r>
    </w:p>
    <w:p w14:paraId="19A53343" w14:textId="47795202" w:rsidR="009A28D4" w:rsidRPr="00AF46D8" w:rsidRDefault="009A28D4" w:rsidP="009A28D4">
      <w:r>
        <w:t>MSAC noted that usage of current paediatric Level 1 PSG MBS items</w:t>
      </w:r>
      <w:r w:rsidR="009F5DE6">
        <w:t xml:space="preserve"> </w:t>
      </w:r>
      <w:r w:rsidR="0097685D">
        <w:t>for repeat investigations</w:t>
      </w:r>
      <w:r>
        <w:t> (</w:t>
      </w:r>
      <w:hyperlink r:id="rId14" w:history="1">
        <w:r w:rsidRPr="005F658F">
          <w:rPr>
            <w:rStyle w:val="Hyperlink"/>
            <w:color w:val="007BB8"/>
          </w:rPr>
          <w:t>12215</w:t>
        </w:r>
      </w:hyperlink>
      <w:r>
        <w:t xml:space="preserve"> and </w:t>
      </w:r>
      <w:hyperlink r:id="rId15" w:history="1">
        <w:r w:rsidRPr="005F658F">
          <w:rPr>
            <w:rStyle w:val="Hyperlink"/>
            <w:color w:val="007BB8"/>
          </w:rPr>
          <w:t>12217</w:t>
        </w:r>
      </w:hyperlink>
      <w:r>
        <w:t xml:space="preserve">) was very low in the previous financial year, so suggested that the department explore the </w:t>
      </w:r>
      <w:r w:rsidR="00A025A0">
        <w:t>ongoing need for</w:t>
      </w:r>
      <w:r>
        <w:t xml:space="preserve"> these items.</w:t>
      </w:r>
    </w:p>
    <w:p w14:paraId="34038986" w14:textId="630C8576" w:rsidR="00742FD9" w:rsidRDefault="00742FD9" w:rsidP="004105F1">
      <w:pPr>
        <w:pStyle w:val="ExecSumHeading2"/>
        <w:numPr>
          <w:ilvl w:val="0"/>
          <w:numId w:val="28"/>
        </w:numPr>
        <w:ind w:hanging="720"/>
      </w:pPr>
      <w:r>
        <w:lastRenderedPageBreak/>
        <w:t>Background</w:t>
      </w:r>
      <w:bookmarkEnd w:id="4"/>
    </w:p>
    <w:p w14:paraId="5F5A5C75" w14:textId="68FF62E5" w:rsidR="00EB73C0" w:rsidRDefault="00441B89" w:rsidP="00EB73C0">
      <w:pPr>
        <w:pStyle w:val="BodyText"/>
      </w:pPr>
      <w:r>
        <w:t>The Medical Ser</w:t>
      </w:r>
      <w:r w:rsidR="00DB21F7">
        <w:t>vice</w:t>
      </w:r>
      <w:r w:rsidR="002D5B63">
        <w:t>s</w:t>
      </w:r>
      <w:r w:rsidR="00DB21F7">
        <w:t xml:space="preserve"> Advisory Committee (</w:t>
      </w:r>
      <w:r w:rsidR="00672B46">
        <w:t>MSAC</w:t>
      </w:r>
      <w:r w:rsidR="00DB21F7">
        <w:t>)</w:t>
      </w:r>
      <w:r w:rsidR="00672B46">
        <w:t xml:space="preserve"> has previously considered out-of-laboratory sleep studies in the diagnosis and management of </w:t>
      </w:r>
      <w:r w:rsidR="008F7E68">
        <w:t>obstructive sleep apnoea (</w:t>
      </w:r>
      <w:r w:rsidR="00672B46">
        <w:t>OSA</w:t>
      </w:r>
      <w:r w:rsidR="008F7E68">
        <w:t>)</w:t>
      </w:r>
      <w:r w:rsidR="00672B46">
        <w:t xml:space="preserve"> </w:t>
      </w:r>
      <w:r w:rsidR="00263D3F">
        <w:t xml:space="preserve">on 2 occasions: </w:t>
      </w:r>
      <w:r w:rsidR="00571B26">
        <w:t xml:space="preserve">for </w:t>
      </w:r>
      <w:r w:rsidR="0014539A">
        <w:t xml:space="preserve">adult and paediatric patients in </w:t>
      </w:r>
      <w:r w:rsidR="001C3DB1">
        <w:t>(</w:t>
      </w:r>
      <w:r w:rsidR="00263D3F">
        <w:t>March 2010</w:t>
      </w:r>
      <w:r w:rsidR="001C3DB1">
        <w:t>)</w:t>
      </w:r>
      <w:r w:rsidR="008D384B">
        <w:t xml:space="preserve"> and</w:t>
      </w:r>
      <w:r w:rsidR="0014539A">
        <w:t xml:space="preserve"> paediatric patients in</w:t>
      </w:r>
      <w:r w:rsidR="00672B46">
        <w:t xml:space="preserve"> </w:t>
      </w:r>
      <w:r w:rsidR="001C3DB1">
        <w:t>(</w:t>
      </w:r>
      <w:r w:rsidR="00D35079">
        <w:t>April 2024</w:t>
      </w:r>
      <w:r w:rsidR="001C3DB1">
        <w:t>)</w:t>
      </w:r>
      <w:r w:rsidR="00672B46" w:rsidRPr="00654FF9">
        <w:t>.</w:t>
      </w:r>
    </w:p>
    <w:p w14:paraId="14FFA6DF" w14:textId="15E67047" w:rsidR="007B6C68" w:rsidRDefault="00130A4A" w:rsidP="007B6C68">
      <w:r>
        <w:t xml:space="preserve">In 2010 </w:t>
      </w:r>
      <w:r w:rsidR="007B6C68">
        <w:t xml:space="preserve">, MSAC supported Level 2 </w:t>
      </w:r>
      <w:r w:rsidR="007E73D8">
        <w:t xml:space="preserve">polysomnography (PSG) </w:t>
      </w:r>
      <w:r w:rsidR="007B6C68">
        <w:t>studies for the investigation of OSA in adults on a referred basis</w:t>
      </w:r>
      <w:r w:rsidR="00953C0D">
        <w:t xml:space="preserve"> (</w:t>
      </w:r>
      <w:hyperlink r:id="rId16" w:tooltip="Hyperlink to MSAC application 1130 on the MSAC website" w:history="1">
        <w:r w:rsidR="00B10E57" w:rsidRPr="005F658F">
          <w:rPr>
            <w:rStyle w:val="Hyperlink"/>
            <w:color w:val="007BB8"/>
          </w:rPr>
          <w:t>MSAC Application 1130</w:t>
        </w:r>
      </w:hyperlink>
      <w:r w:rsidR="002A6A53">
        <w:t>)</w:t>
      </w:r>
      <w:r w:rsidR="007B6C68">
        <w:t xml:space="preserve">. MSAC </w:t>
      </w:r>
      <w:r w:rsidR="007B6C68" w:rsidRPr="00F16AAD">
        <w:t xml:space="preserve">did not support </w:t>
      </w:r>
      <w:r w:rsidR="007B6C68">
        <w:t xml:space="preserve">public funding for </w:t>
      </w:r>
      <w:r w:rsidR="007B6C68" w:rsidRPr="00F16AAD">
        <w:t xml:space="preserve">Level 3 </w:t>
      </w:r>
      <w:r w:rsidR="000530F5" w:rsidRPr="000530F5">
        <w:t xml:space="preserve">cardiorespiratory polygraphy (CRP) </w:t>
      </w:r>
      <w:r w:rsidR="000E0B4D">
        <w:t xml:space="preserve">studies </w:t>
      </w:r>
      <w:r w:rsidR="007B6C68">
        <w:t>or</w:t>
      </w:r>
      <w:r w:rsidR="007B6C68" w:rsidRPr="00F16AAD">
        <w:t xml:space="preserve"> Level 4 </w:t>
      </w:r>
      <w:r w:rsidR="00200225" w:rsidRPr="00200225">
        <w:t>pulse oximetry</w:t>
      </w:r>
      <w:r w:rsidR="007B6C68" w:rsidRPr="00F16AAD">
        <w:t xml:space="preserve"> studies for adults</w:t>
      </w:r>
      <w:r w:rsidR="007D0F3F">
        <w:t xml:space="preserve">. </w:t>
      </w:r>
      <w:r w:rsidR="007D0F3F" w:rsidDel="0012434D">
        <w:t>For paediatrics, MSAC did not support</w:t>
      </w:r>
      <w:r w:rsidR="007B6C68" w:rsidRPr="00F16AAD" w:rsidDel="0012434D">
        <w:t xml:space="preserve"> any out-of-laboratory sleep studies because </w:t>
      </w:r>
      <w:r w:rsidR="00541A74">
        <w:t xml:space="preserve">at the time of the application </w:t>
      </w:r>
      <w:r w:rsidR="007B6C68" w:rsidRPr="00F16AAD" w:rsidDel="0012434D">
        <w:t xml:space="preserve">there was a lack of comparative evidence and sparse linked evidence to indicate the effectiveness of out-of-laboratory sleep studies for a paediatric population compared to Level 1 </w:t>
      </w:r>
      <w:r w:rsidR="000E0B4D" w:rsidDel="0012434D">
        <w:t>PSG</w:t>
      </w:r>
      <w:r w:rsidR="007B6C68" w:rsidRPr="00F16AAD" w:rsidDel="0012434D">
        <w:t>.</w:t>
      </w:r>
      <w:r w:rsidR="007B6C68" w:rsidDel="0012434D">
        <w:t xml:space="preserve"> </w:t>
      </w:r>
    </w:p>
    <w:p w14:paraId="4004D8D8" w14:textId="36E7B290" w:rsidR="007B6C68" w:rsidRDefault="007A4686" w:rsidP="0065419A">
      <w:r>
        <w:t xml:space="preserve">In 2024, </w:t>
      </w:r>
      <w:r w:rsidR="00B10E57">
        <w:t>MSAC considered</w:t>
      </w:r>
      <w:r w:rsidR="00D65EB6">
        <w:t xml:space="preserve"> but did not support</w:t>
      </w:r>
      <w:r w:rsidR="00B10E57">
        <w:t xml:space="preserve"> </w:t>
      </w:r>
      <w:r w:rsidR="00CD7820" w:rsidRPr="003B4D43">
        <w:t>MBS listing of out-of-laboratory sleep studies (Levels 2 and 3) for investigation of SDB in children and adolescents (aged 3 to &lt;18 years</w:t>
      </w:r>
      <w:r w:rsidR="00597B50">
        <w:t xml:space="preserve">; </w:t>
      </w:r>
      <w:hyperlink r:id="rId17" w:tooltip="Hyperlink to MSAC application 1712 on the MSAC website" w:history="1">
        <w:r w:rsidR="00597B50" w:rsidRPr="005F658F">
          <w:rPr>
            <w:rStyle w:val="Hyperlink"/>
            <w:color w:val="007BB8"/>
          </w:rPr>
          <w:t>MSAC Application 1712</w:t>
        </w:r>
      </w:hyperlink>
      <w:r w:rsidR="00597B50">
        <w:t>)</w:t>
      </w:r>
      <w:r w:rsidR="00CD7820" w:rsidRPr="003B4D43">
        <w:t>.</w:t>
      </w:r>
      <w:r w:rsidR="00CD7820">
        <w:t xml:space="preserve"> </w:t>
      </w:r>
      <w:r w:rsidR="00F8716D" w:rsidRPr="00BD06E0">
        <w:t>However, MSAC acknowledged there was a potential clinical need for Level 2 PSG</w:t>
      </w:r>
      <w:r w:rsidR="00F8716D">
        <w:t xml:space="preserve"> and</w:t>
      </w:r>
      <w:r w:rsidR="00F8716D" w:rsidRPr="00F8716D">
        <w:t xml:space="preserve"> </w:t>
      </w:r>
      <w:r w:rsidR="00F8716D" w:rsidRPr="00BD06E0">
        <w:t xml:space="preserve">considered that Level 2 PSG studies </w:t>
      </w:r>
      <w:r w:rsidR="00F8716D">
        <w:t>are</w:t>
      </w:r>
      <w:r w:rsidR="00F8716D" w:rsidRPr="00BD06E0">
        <w:t xml:space="preserve"> non-inferior in test accuracy, effectiveness and safety, although likely inferior in testing success (failure rates of 9-19%)</w:t>
      </w:r>
      <w:r w:rsidR="00010A44">
        <w:t>,</w:t>
      </w:r>
      <w:r w:rsidR="00F8716D" w:rsidRPr="00BD06E0">
        <w:t xml:space="preserve"> compared to Level 1 </w:t>
      </w:r>
      <w:r w:rsidR="00093889">
        <w:t xml:space="preserve">PSG </w:t>
      </w:r>
      <w:r w:rsidR="00F8716D" w:rsidRPr="00BD06E0">
        <w:t>studies</w:t>
      </w:r>
      <w:r w:rsidR="00F8716D">
        <w:t>. MSAC acknowledged that inferior testing success may be offset by the convenience and accessibility of home-based testing.</w:t>
      </w:r>
    </w:p>
    <w:p w14:paraId="35825DAA" w14:textId="622FC20E" w:rsidR="00E25FB7" w:rsidRPr="00EB73C0" w:rsidRDefault="00E25FB7" w:rsidP="00EB73C0">
      <w:pPr>
        <w:pStyle w:val="BodyText"/>
      </w:pPr>
      <w:r>
        <w:fldChar w:fldCharType="begin"/>
      </w:r>
      <w:r>
        <w:instrText xml:space="preserve"> REF _Ref198472662 \h </w:instrText>
      </w:r>
      <w:r>
        <w:fldChar w:fldCharType="separate"/>
      </w:r>
      <w:r w:rsidR="00BC2CAA">
        <w:t xml:space="preserve">Table </w:t>
      </w:r>
      <w:r w:rsidR="00BC2CAA">
        <w:rPr>
          <w:noProof/>
        </w:rPr>
        <w:t>3</w:t>
      </w:r>
      <w:r>
        <w:fldChar w:fldCharType="end"/>
      </w:r>
      <w:r>
        <w:t xml:space="preserve"> lists the key matters of concern </w:t>
      </w:r>
      <w:r w:rsidR="00BE16A6">
        <w:t xml:space="preserve">raised in the </w:t>
      </w:r>
      <w:r w:rsidR="00B44BA0">
        <w:t>Public Summary Document (</w:t>
      </w:r>
      <w:r w:rsidR="00BE16A6">
        <w:t>PSD</w:t>
      </w:r>
      <w:r w:rsidR="00B44BA0">
        <w:t>)</w:t>
      </w:r>
      <w:r w:rsidR="00BE16A6">
        <w:t xml:space="preserve"> for MSAC Application 1712</w:t>
      </w:r>
      <w:r w:rsidR="00835113">
        <w:t xml:space="preserve">, specifically for </w:t>
      </w:r>
      <w:r w:rsidR="00061A94">
        <w:t>Level 2 PSG for diagnosis and m</w:t>
      </w:r>
      <w:r w:rsidR="008B6113">
        <w:t>anagement</w:t>
      </w:r>
      <w:r w:rsidR="00DD4270">
        <w:t xml:space="preserve"> of SD</w:t>
      </w:r>
      <w:r w:rsidR="00047AD6">
        <w:t>B</w:t>
      </w:r>
      <w:r w:rsidR="00DD4270">
        <w:t xml:space="preserve"> in children and adolescents,</w:t>
      </w:r>
      <w:r w:rsidR="00BE16A6">
        <w:t xml:space="preserve"> and how these are addressed in </w:t>
      </w:r>
      <w:r w:rsidR="00F93035">
        <w:t>Application 1712.1.</w:t>
      </w:r>
    </w:p>
    <w:p w14:paraId="06BFAE34" w14:textId="5D347BC2" w:rsidR="00742FD9" w:rsidRDefault="00A34BCC" w:rsidP="00A34BCC">
      <w:pPr>
        <w:pStyle w:val="Caption"/>
      </w:pPr>
      <w:bookmarkStart w:id="5" w:name="_Ref198472662"/>
      <w:r>
        <w:t xml:space="preserve">Table </w:t>
      </w:r>
      <w:r w:rsidR="00BC2CAA">
        <w:fldChar w:fldCharType="begin"/>
      </w:r>
      <w:r w:rsidR="00BC2CAA">
        <w:instrText xml:space="preserve"> SEQ Table \* ARABIC </w:instrText>
      </w:r>
      <w:r w:rsidR="00BC2CAA">
        <w:fldChar w:fldCharType="separate"/>
      </w:r>
      <w:r w:rsidR="00BC2CAA">
        <w:rPr>
          <w:noProof/>
        </w:rPr>
        <w:t>3</w:t>
      </w:r>
      <w:r w:rsidR="00BC2CAA">
        <w:rPr>
          <w:noProof/>
        </w:rPr>
        <w:fldChar w:fldCharType="end"/>
      </w:r>
      <w:bookmarkEnd w:id="5"/>
      <w:r>
        <w:tab/>
      </w:r>
      <w:r w:rsidR="00303378" w:rsidRPr="00303378">
        <w:t>Summary of key matters of concern</w:t>
      </w:r>
    </w:p>
    <w:tbl>
      <w:tblPr>
        <w:tblStyle w:val="TableGrid"/>
        <w:tblW w:w="9068" w:type="dxa"/>
        <w:tblLayout w:type="fixed"/>
        <w:tblLook w:val="04A0" w:firstRow="1" w:lastRow="0" w:firstColumn="1" w:lastColumn="0" w:noHBand="0" w:noVBand="1"/>
        <w:tblCaption w:val="Summary of key matters of concern"/>
        <w:tblDescription w:val="Table lists each matter of concern raised by MSAC in the PSD for application 1712 and how the current assessment report addresses it."/>
      </w:tblPr>
      <w:tblGrid>
        <w:gridCol w:w="1413"/>
        <w:gridCol w:w="2551"/>
        <w:gridCol w:w="5104"/>
      </w:tblGrid>
      <w:tr w:rsidR="002B3104" w:rsidRPr="002B3104" w14:paraId="3312751F" w14:textId="77777777" w:rsidTr="0065419A">
        <w:trPr>
          <w:tblHeader/>
        </w:trPr>
        <w:tc>
          <w:tcPr>
            <w:tcW w:w="1413" w:type="dxa"/>
          </w:tcPr>
          <w:p w14:paraId="6BCFDE85" w14:textId="77777777" w:rsidR="002B3104" w:rsidRPr="002B3104" w:rsidRDefault="002B3104" w:rsidP="00B929F7">
            <w:pPr>
              <w:pStyle w:val="011TableHeading"/>
              <w:keepNext/>
            </w:pPr>
            <w:r w:rsidRPr="002B3104">
              <w:t>Component</w:t>
            </w:r>
          </w:p>
        </w:tc>
        <w:tc>
          <w:tcPr>
            <w:tcW w:w="2551" w:type="dxa"/>
          </w:tcPr>
          <w:p w14:paraId="20988383" w14:textId="77777777" w:rsidR="002B3104" w:rsidRPr="002B3104" w:rsidRDefault="002B3104" w:rsidP="00B929F7">
            <w:pPr>
              <w:pStyle w:val="011TableHeading"/>
              <w:keepNext/>
            </w:pPr>
            <w:r w:rsidRPr="002B3104">
              <w:t>Matter of concern</w:t>
            </w:r>
          </w:p>
        </w:tc>
        <w:tc>
          <w:tcPr>
            <w:tcW w:w="5104" w:type="dxa"/>
          </w:tcPr>
          <w:p w14:paraId="15FA0159" w14:textId="77777777" w:rsidR="002B3104" w:rsidRPr="002B3104" w:rsidRDefault="002B3104" w:rsidP="00B929F7">
            <w:pPr>
              <w:pStyle w:val="011TableHeading"/>
              <w:keepNext/>
            </w:pPr>
            <w:r w:rsidRPr="002B3104">
              <w:t>How the current assessment report addresses it</w:t>
            </w:r>
          </w:p>
        </w:tc>
      </w:tr>
      <w:tr w:rsidR="00925F28" w:rsidRPr="002B3104" w14:paraId="5518362C" w14:textId="77777777" w:rsidTr="0065419A">
        <w:tc>
          <w:tcPr>
            <w:tcW w:w="1413" w:type="dxa"/>
          </w:tcPr>
          <w:p w14:paraId="6623EC2B" w14:textId="195BA726" w:rsidR="00925F28" w:rsidRPr="002B3104" w:rsidRDefault="00925F28" w:rsidP="00925F28">
            <w:pPr>
              <w:pStyle w:val="051Tabletext22"/>
            </w:pPr>
            <w:r w:rsidRPr="00F2507C">
              <w:t>Clinical need</w:t>
            </w:r>
          </w:p>
        </w:tc>
        <w:tc>
          <w:tcPr>
            <w:tcW w:w="2551" w:type="dxa"/>
          </w:tcPr>
          <w:p w14:paraId="0B281985" w14:textId="6A43CC74" w:rsidR="00925F28" w:rsidRPr="002B3104" w:rsidRDefault="00925F28" w:rsidP="00925F28">
            <w:pPr>
              <w:pStyle w:val="051Tabletext22"/>
            </w:pPr>
            <w:r w:rsidRPr="00F2507C">
              <w:t>Demonstrate a clear clinical need and provide a clear description of how the service will meet this need (PSD p.8</w:t>
            </w:r>
            <w:r w:rsidR="0F7DE147">
              <w:t>)</w:t>
            </w:r>
            <w:r w:rsidR="782429D1">
              <w:t>.</w:t>
            </w:r>
          </w:p>
        </w:tc>
        <w:tc>
          <w:tcPr>
            <w:tcW w:w="5104" w:type="dxa"/>
            <w:vAlign w:val="center"/>
          </w:tcPr>
          <w:p w14:paraId="7D593D06" w14:textId="6372DC46" w:rsidR="00925F28" w:rsidRDefault="00925F28" w:rsidP="00925F28">
            <w:pPr>
              <w:pStyle w:val="TableText"/>
            </w:pPr>
            <w:r>
              <w:t>Partially</w:t>
            </w:r>
            <w:r w:rsidRPr="007546FF">
              <w:t xml:space="preserve"> addressed</w:t>
            </w:r>
            <w:r>
              <w:t>.</w:t>
            </w:r>
          </w:p>
          <w:p w14:paraId="638701D1" w14:textId="3F74704F" w:rsidR="00925F28" w:rsidRDefault="00925F28" w:rsidP="00925F28">
            <w:pPr>
              <w:pStyle w:val="TableText"/>
            </w:pPr>
            <w:r w:rsidRPr="00F2507C">
              <w:t xml:space="preserve">The </w:t>
            </w:r>
            <w:r>
              <w:t>application state</w:t>
            </w:r>
            <w:r w:rsidR="0093609B">
              <w:t>d</w:t>
            </w:r>
            <w:r>
              <w:t xml:space="preserve"> that the clinical need is to reduce long wait times for paediatric laboratory sleep studies by allocating some medically uncomplicated patients to the out-of-laboratory setting where bed space is not a capacity constraint. Data from 3 tertiary paediatric hospitals have been provided by the applicant to demonstrate wait times for medically uncomplicated patients (12-18 months). A single private clinic </w:t>
            </w:r>
            <w:r w:rsidR="00B06C97">
              <w:t>with</w:t>
            </w:r>
            <w:r w:rsidR="001E1956">
              <w:t xml:space="preserve"> no patients on their</w:t>
            </w:r>
            <w:r>
              <w:t xml:space="preserve"> </w:t>
            </w:r>
            <w:r w:rsidR="006153F2">
              <w:t xml:space="preserve">waitlist also </w:t>
            </w:r>
            <w:r>
              <w:t>provided data</w:t>
            </w:r>
            <w:r w:rsidR="001B37D5">
              <w:t>, which indicated private clinics may be an option for some patients (i.e. those who can afford to pay privately for a sleep study).</w:t>
            </w:r>
            <w:r>
              <w:t xml:space="preserve"> </w:t>
            </w:r>
          </w:p>
          <w:p w14:paraId="51F96AF6" w14:textId="5D30C7DC" w:rsidR="00FC7A8C" w:rsidRDefault="3FD8015C" w:rsidP="00925F28">
            <w:pPr>
              <w:pStyle w:val="TableText"/>
            </w:pPr>
            <w:r>
              <w:t>The application stated that</w:t>
            </w:r>
            <w:r w:rsidR="53A6AA49">
              <w:t xml:space="preserve"> other paediatric sub-specialities</w:t>
            </w:r>
            <w:r w:rsidR="23BFC9B2">
              <w:t xml:space="preserve"> (apart from </w:t>
            </w:r>
            <w:r w:rsidR="50BEB9B6">
              <w:t>paediatric sleep medicine)</w:t>
            </w:r>
            <w:r w:rsidR="53A6AA49">
              <w:t xml:space="preserve"> </w:t>
            </w:r>
            <w:r w:rsidR="1BF35AA6">
              <w:t>can</w:t>
            </w:r>
            <w:r w:rsidR="675C1FA1">
              <w:t xml:space="preserve"> refer </w:t>
            </w:r>
            <w:r w:rsidR="1A9230B1">
              <w:t xml:space="preserve">their </w:t>
            </w:r>
            <w:r w:rsidR="675C1FA1">
              <w:t xml:space="preserve">medically uncomplicated patients to </w:t>
            </w:r>
            <w:r w:rsidR="61DA95E4">
              <w:t xml:space="preserve">other local community </w:t>
            </w:r>
            <w:r w:rsidR="42F007DC">
              <w:t>specialists,</w:t>
            </w:r>
            <w:r w:rsidR="61DA95E4">
              <w:t xml:space="preserve"> </w:t>
            </w:r>
            <w:r w:rsidR="7EFAB45F">
              <w:t>but this ability does not exist for paediatric sleep medicine</w:t>
            </w:r>
            <w:r w:rsidR="076DBCAE">
              <w:t xml:space="preserve"> practitioner</w:t>
            </w:r>
            <w:r w:rsidR="2DD56FF3">
              <w:t>s</w:t>
            </w:r>
            <w:r w:rsidR="076DBCAE">
              <w:t xml:space="preserve"> requiring sleep </w:t>
            </w:r>
            <w:r w:rsidR="42EF3125">
              <w:t>studies</w:t>
            </w:r>
            <w:r w:rsidR="076DBCAE">
              <w:t xml:space="preserve"> for their medically uncomplicated patients</w:t>
            </w:r>
            <w:r w:rsidR="7EFAB45F">
              <w:t>.</w:t>
            </w:r>
            <w:r w:rsidR="11D6EDF3">
              <w:t xml:space="preserve"> However, the </w:t>
            </w:r>
            <w:r w:rsidR="150C3E82">
              <w:t>assessment grou</w:t>
            </w:r>
            <w:r w:rsidR="382852FA">
              <w:t xml:space="preserve">p </w:t>
            </w:r>
            <w:r w:rsidR="11D6EDF3">
              <w:t>notes that</w:t>
            </w:r>
            <w:r w:rsidR="08B0319F">
              <w:t xml:space="preserve"> availability of ‘local community specialists’ may also be limited for other subspecial</w:t>
            </w:r>
            <w:r w:rsidR="399D2373">
              <w:t>ties.</w:t>
            </w:r>
          </w:p>
          <w:p w14:paraId="1C67CC60" w14:textId="2E80D55A" w:rsidR="00925F28" w:rsidRPr="002B3104" w:rsidRDefault="00925F28" w:rsidP="00925F28">
            <w:pPr>
              <w:pStyle w:val="051Tabletext22"/>
            </w:pPr>
            <w:r>
              <w:t>Patient-level data to enable calculation of actual wait times w</w:t>
            </w:r>
            <w:r w:rsidR="00054FE5">
              <w:t>ere</w:t>
            </w:r>
            <w:r>
              <w:t xml:space="preserve"> not available. The extent to which the proposed service will impact wait times is uncertain.</w:t>
            </w:r>
          </w:p>
        </w:tc>
      </w:tr>
      <w:tr w:rsidR="00925F28" w:rsidRPr="002B3104" w14:paraId="0FA287FF" w14:textId="77777777" w:rsidTr="0065419A">
        <w:tc>
          <w:tcPr>
            <w:tcW w:w="1413" w:type="dxa"/>
          </w:tcPr>
          <w:p w14:paraId="1CE311C6" w14:textId="4AABA31A" w:rsidR="00925F28" w:rsidRPr="002B3104" w:rsidRDefault="00925F28" w:rsidP="00925F28">
            <w:pPr>
              <w:pStyle w:val="051Tabletext22"/>
            </w:pPr>
            <w:r w:rsidRPr="00F2507C">
              <w:lastRenderedPageBreak/>
              <w:t>Clinical need</w:t>
            </w:r>
            <w:r w:rsidR="00D66CC3">
              <w:t xml:space="preserve"> </w:t>
            </w:r>
          </w:p>
        </w:tc>
        <w:tc>
          <w:tcPr>
            <w:tcW w:w="2551" w:type="dxa"/>
          </w:tcPr>
          <w:p w14:paraId="4E2D9FF6" w14:textId="395073BF" w:rsidR="00925F28" w:rsidRPr="002B3104" w:rsidRDefault="00605DE5" w:rsidP="00925F28">
            <w:pPr>
              <w:pStyle w:val="051Tabletext22"/>
            </w:pPr>
            <w:r>
              <w:t>Justify the</w:t>
            </w:r>
            <w:r w:rsidRPr="00F2507C" w:rsidDel="007861B1">
              <w:t xml:space="preserve"> </w:t>
            </w:r>
            <w:r w:rsidR="00925F28" w:rsidRPr="00F2507C">
              <w:t>estimate</w:t>
            </w:r>
            <w:r w:rsidR="007861B1">
              <w:t xml:space="preserve"> that</w:t>
            </w:r>
            <w:r w:rsidR="00925F28" w:rsidRPr="00F2507C">
              <w:t xml:space="preserve"> 30% of wait-list</w:t>
            </w:r>
            <w:r w:rsidR="006D3B67">
              <w:t>ed</w:t>
            </w:r>
            <w:r w:rsidR="00925F28" w:rsidRPr="00F2507C">
              <w:t xml:space="preserve"> patients can be assessed with a Level 2 PSG in place of in-laboratory</w:t>
            </w:r>
            <w:r w:rsidR="00313349">
              <w:t xml:space="preserve"> Level 1</w:t>
            </w:r>
            <w:r w:rsidR="00925F28" w:rsidRPr="00F2507C">
              <w:t xml:space="preserve"> PSG (PSD p.8).</w:t>
            </w:r>
          </w:p>
        </w:tc>
        <w:tc>
          <w:tcPr>
            <w:tcW w:w="5104" w:type="dxa"/>
          </w:tcPr>
          <w:p w14:paraId="5B11261A" w14:textId="77777777" w:rsidR="00925F28" w:rsidRDefault="00925F28" w:rsidP="00925F28">
            <w:pPr>
              <w:pStyle w:val="TableText"/>
            </w:pPr>
            <w:r>
              <w:t>Addressed.</w:t>
            </w:r>
          </w:p>
          <w:p w14:paraId="475E81B3" w14:textId="5E753D14" w:rsidR="00925F28" w:rsidRPr="002B3104" w:rsidRDefault="00925F28" w:rsidP="00925F28">
            <w:pPr>
              <w:pStyle w:val="051Tabletext22"/>
            </w:pPr>
            <w:r w:rsidRPr="00EB00F0">
              <w:t>The application</w:t>
            </w:r>
            <w:r>
              <w:t xml:space="preserve"> provided new data to </w:t>
            </w:r>
            <w:r w:rsidR="00BF12A2">
              <w:t xml:space="preserve">demonstrate </w:t>
            </w:r>
            <w:r>
              <w:t>the proportion of patients on waitlists for Level 1 PSG who would be suitable for Level 2 PSG.</w:t>
            </w:r>
          </w:p>
        </w:tc>
      </w:tr>
      <w:tr w:rsidR="00925F28" w:rsidRPr="002B3104" w14:paraId="1E8A26B8" w14:textId="77777777" w:rsidTr="0065419A">
        <w:tc>
          <w:tcPr>
            <w:tcW w:w="1413" w:type="dxa"/>
          </w:tcPr>
          <w:p w14:paraId="6947FE8D" w14:textId="20902BD5" w:rsidR="00925F28" w:rsidRPr="002B3104" w:rsidRDefault="00925F28" w:rsidP="00925F28">
            <w:pPr>
              <w:pStyle w:val="051Tabletext22"/>
            </w:pPr>
            <w:r w:rsidRPr="00F2507C">
              <w:t>Clinical need</w:t>
            </w:r>
          </w:p>
        </w:tc>
        <w:tc>
          <w:tcPr>
            <w:tcW w:w="2551" w:type="dxa"/>
          </w:tcPr>
          <w:p w14:paraId="09FD5AEA" w14:textId="32F82781" w:rsidR="00925F28" w:rsidRPr="002B3104" w:rsidRDefault="00925F28" w:rsidP="00925F28">
            <w:pPr>
              <w:pStyle w:val="051Tabletext22"/>
            </w:pPr>
            <w:r w:rsidRPr="00F2507C">
              <w:t>Explain how the requirement for a patient to be referred to a paediatric sleep physician will address waiting times, noting the relatively low number and distribution of paediatric sleep physicians (PSD p.8).</w:t>
            </w:r>
          </w:p>
        </w:tc>
        <w:tc>
          <w:tcPr>
            <w:tcW w:w="5104" w:type="dxa"/>
          </w:tcPr>
          <w:p w14:paraId="0C518277" w14:textId="77777777" w:rsidR="00925F28" w:rsidRDefault="00925F28" w:rsidP="00925F28">
            <w:pPr>
              <w:pStyle w:val="TableText"/>
            </w:pPr>
            <w:r>
              <w:t>Partially addressed.</w:t>
            </w:r>
          </w:p>
          <w:p w14:paraId="2E06D849" w14:textId="16D37E9F" w:rsidR="00925F28" w:rsidRDefault="00925F28" w:rsidP="00925F28">
            <w:pPr>
              <w:pStyle w:val="TableText"/>
            </w:pPr>
            <w:r w:rsidRPr="00F2507C">
              <w:t>The application</w:t>
            </w:r>
            <w:r>
              <w:t xml:space="preserve"> state</w:t>
            </w:r>
            <w:r w:rsidR="00C224B7">
              <w:t>d</w:t>
            </w:r>
            <w:r>
              <w:t xml:space="preserve"> that this requirement will not change with the introduction of the proposed service</w:t>
            </w:r>
            <w:r w:rsidR="00405F99">
              <w:t xml:space="preserve"> as it is already required for access to Level 1</w:t>
            </w:r>
            <w:r w:rsidR="00704480">
              <w:t xml:space="preserve"> PSG.</w:t>
            </w:r>
            <w:r>
              <w:t xml:space="preserve"> </w:t>
            </w:r>
            <w:r w:rsidR="00704480">
              <w:t>A</w:t>
            </w:r>
            <w:r>
              <w:t xml:space="preserve">ccess </w:t>
            </w:r>
            <w:r w:rsidR="009F7BB9">
              <w:t>to paediatric sleep physicians</w:t>
            </w:r>
            <w:r>
              <w:t xml:space="preserve"> has improved in recent years due to the availability of telehealth. </w:t>
            </w:r>
            <w:r w:rsidR="00026670">
              <w:t>T</w:t>
            </w:r>
            <w:r w:rsidR="002508EA">
              <w:t xml:space="preserve">he application </w:t>
            </w:r>
            <w:r w:rsidR="00C21116">
              <w:t>did not cons</w:t>
            </w:r>
            <w:r w:rsidR="00645E36">
              <w:t>i</w:t>
            </w:r>
            <w:r w:rsidR="00C21116">
              <w:t xml:space="preserve">der </w:t>
            </w:r>
            <w:r w:rsidR="00026670">
              <w:t>the</w:t>
            </w:r>
            <w:r w:rsidR="00710120">
              <w:t xml:space="preserve"> </w:t>
            </w:r>
            <w:r w:rsidR="003D612D">
              <w:t>potential</w:t>
            </w:r>
            <w:r w:rsidR="00026670">
              <w:t xml:space="preserve"> for</w:t>
            </w:r>
            <w:r w:rsidR="003D612D">
              <w:t xml:space="preserve"> increased</w:t>
            </w:r>
            <w:r w:rsidR="00710120">
              <w:t xml:space="preserve"> demand</w:t>
            </w:r>
            <w:r w:rsidR="0038070C">
              <w:t xml:space="preserve"> for </w:t>
            </w:r>
            <w:r w:rsidR="0038070C" w:rsidRPr="00CE0367">
              <w:t xml:space="preserve">both </w:t>
            </w:r>
            <w:r w:rsidR="007A5E20" w:rsidRPr="00CE0367">
              <w:t>sleep studies and</w:t>
            </w:r>
            <w:r w:rsidR="007A5E20">
              <w:t xml:space="preserve"> referring sleep physicians</w:t>
            </w:r>
            <w:r w:rsidR="00710120">
              <w:t xml:space="preserve"> if Level 2 PSG is available.</w:t>
            </w:r>
          </w:p>
          <w:p w14:paraId="579587DE" w14:textId="4AAD4692" w:rsidR="00925F28" w:rsidRPr="002B3104" w:rsidRDefault="00925F28" w:rsidP="00925F28">
            <w:pPr>
              <w:pStyle w:val="051Tabletext22"/>
            </w:pPr>
            <w:r>
              <w:t xml:space="preserve">As with current Level 1 PSG, adolescents </w:t>
            </w:r>
            <w:r w:rsidR="002C4474">
              <w:t xml:space="preserve">can be </w:t>
            </w:r>
            <w:r>
              <w:t>referr</w:t>
            </w:r>
            <w:r w:rsidR="002C4474">
              <w:t>ed by either</w:t>
            </w:r>
            <w:r>
              <w:t xml:space="preserve"> an adult or paediatric sleep physician</w:t>
            </w:r>
            <w:r w:rsidR="00A6629D">
              <w:t>, spreading the demand across a larger pool of sleep medicine practitioners.</w:t>
            </w:r>
          </w:p>
        </w:tc>
      </w:tr>
      <w:tr w:rsidR="00B77008" w:rsidRPr="002B3104" w14:paraId="610C4C26" w14:textId="77777777" w:rsidTr="0065419A">
        <w:tc>
          <w:tcPr>
            <w:tcW w:w="1413" w:type="dxa"/>
          </w:tcPr>
          <w:p w14:paraId="091EEC93" w14:textId="4B43E34B" w:rsidR="00B77008" w:rsidRPr="00F2507C" w:rsidRDefault="00B77008" w:rsidP="00B77008">
            <w:pPr>
              <w:pStyle w:val="051Tabletext22"/>
            </w:pPr>
            <w:r>
              <w:t>Proposal for public funding</w:t>
            </w:r>
          </w:p>
        </w:tc>
        <w:tc>
          <w:tcPr>
            <w:tcW w:w="2551" w:type="dxa"/>
          </w:tcPr>
          <w:p w14:paraId="02667E00" w14:textId="208B0677" w:rsidR="00B77008" w:rsidRPr="00F2507C" w:rsidRDefault="00B77008" w:rsidP="00B77008">
            <w:pPr>
              <w:pStyle w:val="051Tabletext22"/>
            </w:pPr>
            <w:r w:rsidRPr="009C7413">
              <w:t xml:space="preserve">Demonstrate how </w:t>
            </w:r>
            <w:r w:rsidR="00FF7238">
              <w:t xml:space="preserve">the </w:t>
            </w:r>
            <w:r w:rsidRPr="009C7413">
              <w:t>proposed funding approach is aligned with the principle of a complete medical service and current MBS sleep study items (PSD p.9</w:t>
            </w:r>
            <w:r>
              <w:t>)</w:t>
            </w:r>
            <w:r w:rsidR="1E92BC2A">
              <w:t>.</w:t>
            </w:r>
          </w:p>
        </w:tc>
        <w:tc>
          <w:tcPr>
            <w:tcW w:w="5104" w:type="dxa"/>
          </w:tcPr>
          <w:p w14:paraId="1C1B7CC7" w14:textId="77777777" w:rsidR="00B77008" w:rsidRDefault="00B77008" w:rsidP="00B77008">
            <w:pPr>
              <w:pStyle w:val="TableText"/>
              <w:rPr>
                <w:rFonts w:eastAsia="Times New Roman" w:cs="Arial"/>
                <w:bCs/>
                <w:snapToGrid w:val="0"/>
                <w:szCs w:val="20"/>
              </w:rPr>
            </w:pPr>
            <w:r>
              <w:rPr>
                <w:rFonts w:eastAsia="Times New Roman" w:cs="Arial"/>
                <w:bCs/>
                <w:snapToGrid w:val="0"/>
                <w:szCs w:val="20"/>
              </w:rPr>
              <w:t>Addressed.</w:t>
            </w:r>
          </w:p>
          <w:p w14:paraId="30FC7B20" w14:textId="6A54C182" w:rsidR="00B77008" w:rsidRDefault="00B77008" w:rsidP="00B77008">
            <w:pPr>
              <w:pStyle w:val="TableText"/>
            </w:pPr>
            <w:r>
              <w:rPr>
                <w:rFonts w:eastAsia="Times New Roman" w:cs="Arial"/>
                <w:bCs/>
                <w:snapToGrid w:val="0"/>
                <w:szCs w:val="20"/>
              </w:rPr>
              <w:t>Cost breakdown has been provided for the proposed fee</w:t>
            </w:r>
            <w:r w:rsidR="00FC58E3">
              <w:rPr>
                <w:rFonts w:eastAsia="Times New Roman" w:cs="Arial"/>
                <w:bCs/>
                <w:snapToGrid w:val="0"/>
                <w:szCs w:val="20"/>
              </w:rPr>
              <w:t>,</w:t>
            </w:r>
            <w:r>
              <w:rPr>
                <w:rFonts w:eastAsia="Times New Roman" w:cs="Arial"/>
                <w:bCs/>
                <w:snapToGrid w:val="0"/>
                <w:szCs w:val="20"/>
              </w:rPr>
              <w:t xml:space="preserve"> including postage for equipment and telehealth support for patients in regional and remote locations, and overnight access to technical support for all patients. Proposed fees are based on estimated time rather than on adult fees for unattended sleep studies.</w:t>
            </w:r>
            <w:r w:rsidRPr="006F314B">
              <w:rPr>
                <w:rFonts w:eastAsia="Times New Roman" w:cs="Arial"/>
                <w:bCs/>
                <w:snapToGrid w:val="0"/>
                <w:szCs w:val="20"/>
              </w:rPr>
              <w:t xml:space="preserve"> </w:t>
            </w:r>
          </w:p>
        </w:tc>
      </w:tr>
      <w:tr w:rsidR="00B77008" w:rsidRPr="002B3104" w14:paraId="6CBCA626" w14:textId="77777777" w:rsidTr="0065419A">
        <w:tc>
          <w:tcPr>
            <w:tcW w:w="1413" w:type="dxa"/>
          </w:tcPr>
          <w:p w14:paraId="6EDF98A9" w14:textId="2955A5EC" w:rsidR="00B77008" w:rsidRPr="00F2507C" w:rsidRDefault="00B77008" w:rsidP="00B77008">
            <w:pPr>
              <w:pStyle w:val="051Tabletext22"/>
            </w:pPr>
            <w:r>
              <w:t>Proposal for public funding</w:t>
            </w:r>
          </w:p>
        </w:tc>
        <w:tc>
          <w:tcPr>
            <w:tcW w:w="2551" w:type="dxa"/>
          </w:tcPr>
          <w:p w14:paraId="55CB10F8" w14:textId="7705370B" w:rsidR="00B77008" w:rsidRDefault="00B77008" w:rsidP="00B77008">
            <w:pPr>
              <w:pStyle w:val="TableText"/>
            </w:pPr>
            <w:r>
              <w:t>Demonstrate how the entire Level 2 PSG service will be funded, including all sources such as MBS and non-MBS funding</w:t>
            </w:r>
            <w:r w:rsidR="00E60294">
              <w:t>, and</w:t>
            </w:r>
            <w:r>
              <w:t xml:space="preserve"> taking into account how the following may be mitigated:</w:t>
            </w:r>
          </w:p>
          <w:p w14:paraId="6A56E9CF" w14:textId="77777777" w:rsidR="00B77008" w:rsidRDefault="00B77008" w:rsidP="004105F1">
            <w:pPr>
              <w:pStyle w:val="TableText"/>
              <w:numPr>
                <w:ilvl w:val="0"/>
                <w:numId w:val="5"/>
              </w:numPr>
              <w:ind w:left="171" w:hanging="171"/>
            </w:pPr>
            <w:r>
              <w:t>out-of-pocket costs</w:t>
            </w:r>
          </w:p>
          <w:p w14:paraId="2354A3BC" w14:textId="77777777" w:rsidR="00B77008" w:rsidRDefault="00B77008" w:rsidP="004105F1">
            <w:pPr>
              <w:pStyle w:val="TableText"/>
              <w:numPr>
                <w:ilvl w:val="0"/>
                <w:numId w:val="5"/>
              </w:numPr>
              <w:ind w:left="171" w:hanging="171"/>
            </w:pPr>
            <w:r>
              <w:t>equity and access barriers.</w:t>
            </w:r>
          </w:p>
          <w:p w14:paraId="12F06DDA" w14:textId="011A2E9B" w:rsidR="00B77008" w:rsidRPr="00F2507C" w:rsidRDefault="00B77008" w:rsidP="00B77008">
            <w:pPr>
              <w:pStyle w:val="051Tabletext22"/>
            </w:pPr>
            <w:r>
              <w:t>(PSD, p.9)</w:t>
            </w:r>
          </w:p>
        </w:tc>
        <w:tc>
          <w:tcPr>
            <w:tcW w:w="5104" w:type="dxa"/>
          </w:tcPr>
          <w:p w14:paraId="647A9279" w14:textId="77777777" w:rsidR="00B77008" w:rsidRDefault="00B77008" w:rsidP="00B77008">
            <w:pPr>
              <w:pStyle w:val="TableText"/>
              <w:rPr>
                <w:rFonts w:eastAsia="Times New Roman" w:cs="Arial"/>
                <w:bCs/>
                <w:snapToGrid w:val="0"/>
                <w:szCs w:val="20"/>
              </w:rPr>
            </w:pPr>
            <w:r>
              <w:rPr>
                <w:rFonts w:eastAsia="Times New Roman" w:cs="Arial"/>
                <w:bCs/>
                <w:snapToGrid w:val="0"/>
                <w:szCs w:val="20"/>
              </w:rPr>
              <w:t>Addressed.</w:t>
            </w:r>
          </w:p>
          <w:p w14:paraId="4D522591" w14:textId="77777777" w:rsidR="00B77008" w:rsidRPr="0094390D" w:rsidRDefault="00B77008" w:rsidP="00B77008">
            <w:pPr>
              <w:pStyle w:val="TableText"/>
              <w:rPr>
                <w:rFonts w:eastAsia="Times New Roman" w:cs="Arial"/>
                <w:bCs/>
                <w:snapToGrid w:val="0"/>
                <w:szCs w:val="20"/>
              </w:rPr>
            </w:pPr>
            <w:r w:rsidRPr="0094390D">
              <w:rPr>
                <w:rFonts w:eastAsia="Times New Roman" w:cs="Arial"/>
                <w:bCs/>
                <w:snapToGrid w:val="0"/>
                <w:szCs w:val="20"/>
              </w:rPr>
              <w:t>Anticipated out</w:t>
            </w:r>
            <w:r>
              <w:rPr>
                <w:rFonts w:eastAsia="Times New Roman" w:cs="Arial"/>
                <w:bCs/>
                <w:snapToGrid w:val="0"/>
                <w:szCs w:val="20"/>
              </w:rPr>
              <w:t>-</w:t>
            </w:r>
            <w:r w:rsidRPr="0094390D">
              <w:rPr>
                <w:rFonts w:eastAsia="Times New Roman" w:cs="Arial"/>
                <w:bCs/>
                <w:snapToGrid w:val="0"/>
                <w:szCs w:val="20"/>
              </w:rPr>
              <w:t>of</w:t>
            </w:r>
            <w:r>
              <w:rPr>
                <w:rFonts w:eastAsia="Times New Roman" w:cs="Arial"/>
                <w:bCs/>
                <w:snapToGrid w:val="0"/>
                <w:szCs w:val="20"/>
              </w:rPr>
              <w:t>-</w:t>
            </w:r>
            <w:r w:rsidRPr="0094390D">
              <w:rPr>
                <w:rFonts w:eastAsia="Times New Roman" w:cs="Arial"/>
                <w:bCs/>
                <w:snapToGrid w:val="0"/>
                <w:szCs w:val="20"/>
              </w:rPr>
              <w:t>pocket costs include travel to collect the equipment from the sleep study provider.</w:t>
            </w:r>
          </w:p>
          <w:p w14:paraId="2CB311BF" w14:textId="5C2D8D20" w:rsidR="00B77008" w:rsidRDefault="00B77008" w:rsidP="00B77008">
            <w:pPr>
              <w:pStyle w:val="TableText"/>
            </w:pPr>
            <w:r w:rsidRPr="0094390D">
              <w:rPr>
                <w:rFonts w:eastAsia="Times New Roman" w:cs="Arial"/>
                <w:bCs/>
                <w:snapToGrid w:val="0"/>
                <w:szCs w:val="20"/>
              </w:rPr>
              <w:t>Measures to overcome equity and access barriers for rural and remote patients include</w:t>
            </w:r>
            <w:r>
              <w:rPr>
                <w:rFonts w:eastAsia="Times New Roman" w:cs="Arial"/>
                <w:bCs/>
                <w:snapToGrid w:val="0"/>
                <w:szCs w:val="20"/>
              </w:rPr>
              <w:t>:</w:t>
            </w:r>
            <w:r w:rsidRPr="0094390D">
              <w:rPr>
                <w:rFonts w:eastAsia="Times New Roman" w:cs="Arial"/>
                <w:bCs/>
                <w:snapToGrid w:val="0"/>
                <w:szCs w:val="20"/>
              </w:rPr>
              <w:t xml:space="preserve"> providing telehealth assistance for equipment set-up at the same cost as in-person set-up, which removes the need to travel to access a sleep study</w:t>
            </w:r>
            <w:r>
              <w:rPr>
                <w:rFonts w:eastAsia="Times New Roman" w:cs="Arial"/>
                <w:bCs/>
                <w:snapToGrid w:val="0"/>
                <w:szCs w:val="20"/>
              </w:rPr>
              <w:t>;</w:t>
            </w:r>
            <w:r w:rsidRPr="0094390D">
              <w:rPr>
                <w:rFonts w:eastAsia="Times New Roman" w:cs="Arial"/>
                <w:bCs/>
                <w:snapToGrid w:val="0"/>
                <w:szCs w:val="20"/>
              </w:rPr>
              <w:t xml:space="preserve"> and higher schedule fees attached to the item descriptors targeted at these patients</w:t>
            </w:r>
            <w:r>
              <w:rPr>
                <w:rFonts w:eastAsia="Times New Roman" w:cs="Arial"/>
                <w:bCs/>
                <w:snapToGrid w:val="0"/>
                <w:szCs w:val="20"/>
              </w:rPr>
              <w:t>,</w:t>
            </w:r>
            <w:r w:rsidRPr="0094390D">
              <w:rPr>
                <w:rFonts w:eastAsia="Times New Roman" w:cs="Arial"/>
                <w:bCs/>
                <w:snapToGrid w:val="0"/>
                <w:szCs w:val="20"/>
              </w:rPr>
              <w:t xml:space="preserve"> to account for the additional cost </w:t>
            </w:r>
            <w:r w:rsidR="00876474">
              <w:rPr>
                <w:rFonts w:eastAsia="Times New Roman" w:cs="Arial"/>
                <w:bCs/>
                <w:snapToGrid w:val="0"/>
                <w:szCs w:val="20"/>
              </w:rPr>
              <w:t>of</w:t>
            </w:r>
            <w:r w:rsidRPr="0094390D">
              <w:rPr>
                <w:rFonts w:eastAsia="Times New Roman" w:cs="Arial"/>
                <w:bCs/>
                <w:snapToGrid w:val="0"/>
                <w:szCs w:val="20"/>
              </w:rPr>
              <w:t xml:space="preserve"> equipment delivery (including return of equipment).</w:t>
            </w:r>
          </w:p>
        </w:tc>
      </w:tr>
      <w:tr w:rsidR="00B77008" w:rsidRPr="002B3104" w14:paraId="725FFEB9" w14:textId="77777777" w:rsidTr="0065419A">
        <w:tc>
          <w:tcPr>
            <w:tcW w:w="1413" w:type="dxa"/>
          </w:tcPr>
          <w:p w14:paraId="75374D54" w14:textId="0F0DE3E7" w:rsidR="00B77008" w:rsidRPr="00F2507C" w:rsidRDefault="00B77008" w:rsidP="00B77008">
            <w:pPr>
              <w:pStyle w:val="051Tabletext22"/>
            </w:pPr>
            <w:r>
              <w:t>Proposal for public funding</w:t>
            </w:r>
          </w:p>
        </w:tc>
        <w:tc>
          <w:tcPr>
            <w:tcW w:w="2551" w:type="dxa"/>
          </w:tcPr>
          <w:p w14:paraId="22ECD7D5" w14:textId="2978741D" w:rsidR="00B77008" w:rsidRDefault="00B77008" w:rsidP="00B77008">
            <w:pPr>
              <w:pStyle w:val="TableText"/>
            </w:pPr>
            <w:r>
              <w:t>Demonstrate a mechanism by which service providers can provide robust oversight to Level 2 PSG testing (PSD p</w:t>
            </w:r>
            <w:r w:rsidR="00D64559">
              <w:t>.</w:t>
            </w:r>
            <w:r>
              <w:t>9). Ensure that:</w:t>
            </w:r>
          </w:p>
          <w:p w14:paraId="7320C1B8" w14:textId="26CBB372" w:rsidR="00CC21FC" w:rsidRDefault="00B77008" w:rsidP="004105F1">
            <w:pPr>
              <w:pStyle w:val="TableText"/>
              <w:numPr>
                <w:ilvl w:val="0"/>
                <w:numId w:val="5"/>
              </w:numPr>
              <w:ind w:left="171" w:hanging="171"/>
            </w:pPr>
            <w:r>
              <w:t>parents</w:t>
            </w:r>
            <w:r w:rsidR="00404B5C">
              <w:t>/caregivers</w:t>
            </w:r>
            <w:r>
              <w:t xml:space="preserve"> are properly briefed on how to use the equipment and the supervision </w:t>
            </w:r>
            <w:r w:rsidR="001441D3">
              <w:t xml:space="preserve">of the child/adolescent </w:t>
            </w:r>
            <w:r>
              <w:t>required</w:t>
            </w:r>
            <w:r w:rsidR="0094242D">
              <w:t xml:space="preserve"> overnight</w:t>
            </w:r>
            <w:r>
              <w:t>, or</w:t>
            </w:r>
          </w:p>
          <w:p w14:paraId="659E7F02" w14:textId="4AB4AAA7" w:rsidR="00B77008" w:rsidRPr="00F2507C" w:rsidRDefault="00B77008" w:rsidP="004105F1">
            <w:pPr>
              <w:pStyle w:val="TableText"/>
              <w:numPr>
                <w:ilvl w:val="0"/>
                <w:numId w:val="5"/>
              </w:numPr>
              <w:ind w:left="171" w:hanging="171"/>
            </w:pPr>
            <w:r w:rsidRPr="008C1BE4">
              <w:t>offer the option of a community health provider to attach the leads</w:t>
            </w:r>
            <w:r>
              <w:t>.</w:t>
            </w:r>
          </w:p>
        </w:tc>
        <w:tc>
          <w:tcPr>
            <w:tcW w:w="5104" w:type="dxa"/>
          </w:tcPr>
          <w:p w14:paraId="74D4BA09" w14:textId="27429FE1" w:rsidR="00B77008" w:rsidRDefault="00B77008" w:rsidP="00B77008">
            <w:pPr>
              <w:pStyle w:val="TableText"/>
              <w:rPr>
                <w:rFonts w:eastAsia="Times New Roman" w:cs="Arial"/>
                <w:bCs/>
                <w:snapToGrid w:val="0"/>
                <w:szCs w:val="20"/>
              </w:rPr>
            </w:pPr>
            <w:r>
              <w:rPr>
                <w:rFonts w:eastAsia="Times New Roman" w:cs="Arial"/>
                <w:bCs/>
                <w:snapToGrid w:val="0"/>
                <w:szCs w:val="20"/>
              </w:rPr>
              <w:t>Partially addressed.</w:t>
            </w:r>
          </w:p>
          <w:p w14:paraId="4145194D" w14:textId="2443CEDB" w:rsidR="00B77008" w:rsidRDefault="00363620" w:rsidP="00B77008">
            <w:pPr>
              <w:pStyle w:val="TableText"/>
              <w:rPr>
                <w:rFonts w:eastAsia="Times New Roman" w:cs="Arial"/>
                <w:bCs/>
                <w:snapToGrid w:val="0"/>
                <w:szCs w:val="20"/>
              </w:rPr>
            </w:pPr>
            <w:r>
              <w:rPr>
                <w:rFonts w:eastAsia="Times New Roman" w:cs="Arial"/>
                <w:bCs/>
                <w:snapToGrid w:val="0"/>
                <w:szCs w:val="20"/>
              </w:rPr>
              <w:t>The application state</w:t>
            </w:r>
            <w:r w:rsidR="00E6583B">
              <w:rPr>
                <w:rFonts w:eastAsia="Times New Roman" w:cs="Arial"/>
                <w:bCs/>
                <w:snapToGrid w:val="0"/>
                <w:szCs w:val="20"/>
              </w:rPr>
              <w:t>d</w:t>
            </w:r>
            <w:r>
              <w:rPr>
                <w:rFonts w:eastAsia="Times New Roman" w:cs="Arial"/>
                <w:bCs/>
                <w:snapToGrid w:val="0"/>
                <w:szCs w:val="20"/>
              </w:rPr>
              <w:t xml:space="preserve"> that o</w:t>
            </w:r>
            <w:r w:rsidR="00B77008">
              <w:rPr>
                <w:rFonts w:eastAsia="Times New Roman" w:cs="Arial"/>
                <w:bCs/>
                <w:snapToGrid w:val="0"/>
                <w:szCs w:val="20"/>
              </w:rPr>
              <w:t xml:space="preserve">versight is addressed by the requirement </w:t>
            </w:r>
            <w:r w:rsidR="00597907">
              <w:rPr>
                <w:rFonts w:eastAsia="Times New Roman" w:cs="Arial"/>
                <w:bCs/>
                <w:snapToGrid w:val="0"/>
                <w:szCs w:val="20"/>
              </w:rPr>
              <w:t>for</w:t>
            </w:r>
            <w:r w:rsidR="00B77008">
              <w:rPr>
                <w:rFonts w:eastAsia="Times New Roman" w:cs="Arial"/>
                <w:bCs/>
                <w:snapToGrid w:val="0"/>
                <w:szCs w:val="20"/>
              </w:rPr>
              <w:t xml:space="preserve"> the supervising physician to be appropriately qualified and </w:t>
            </w:r>
            <w:r w:rsidR="00734B08">
              <w:rPr>
                <w:rFonts w:eastAsia="Times New Roman" w:cs="Arial"/>
                <w:bCs/>
                <w:snapToGrid w:val="0"/>
                <w:szCs w:val="20"/>
              </w:rPr>
              <w:t xml:space="preserve">take </w:t>
            </w:r>
            <w:r w:rsidR="00B77008">
              <w:rPr>
                <w:rFonts w:eastAsia="Times New Roman" w:cs="Arial"/>
                <w:bCs/>
                <w:snapToGrid w:val="0"/>
                <w:szCs w:val="20"/>
              </w:rPr>
              <w:t>responsib</w:t>
            </w:r>
            <w:r w:rsidR="00734B08">
              <w:rPr>
                <w:rFonts w:eastAsia="Times New Roman" w:cs="Arial"/>
                <w:bCs/>
                <w:snapToGrid w:val="0"/>
                <w:szCs w:val="20"/>
              </w:rPr>
              <w:t>ility</w:t>
            </w:r>
            <w:r w:rsidR="00B77008">
              <w:rPr>
                <w:rFonts w:eastAsia="Times New Roman" w:cs="Arial"/>
                <w:bCs/>
                <w:snapToGrid w:val="0"/>
                <w:szCs w:val="20"/>
              </w:rPr>
              <w:t xml:space="preserve"> for </w:t>
            </w:r>
            <w:r w:rsidR="00734B08">
              <w:rPr>
                <w:rFonts w:eastAsia="Times New Roman" w:cs="Arial"/>
                <w:bCs/>
                <w:snapToGrid w:val="0"/>
                <w:szCs w:val="20"/>
              </w:rPr>
              <w:t>appropriate performance of the test</w:t>
            </w:r>
            <w:r w:rsidR="00B77008">
              <w:rPr>
                <w:rFonts w:eastAsia="Times New Roman" w:cs="Arial"/>
                <w:bCs/>
                <w:snapToGrid w:val="0"/>
                <w:szCs w:val="20"/>
              </w:rPr>
              <w:t>.</w:t>
            </w:r>
            <w:r w:rsidR="00EA4637">
              <w:rPr>
                <w:rFonts w:eastAsia="Times New Roman" w:cs="Arial"/>
                <w:bCs/>
                <w:snapToGrid w:val="0"/>
                <w:szCs w:val="20"/>
              </w:rPr>
              <w:t xml:space="preserve"> The test would also be performed acc</w:t>
            </w:r>
            <w:r w:rsidR="000C5336">
              <w:rPr>
                <w:rFonts w:eastAsia="Times New Roman" w:cs="Arial"/>
                <w:bCs/>
                <w:snapToGrid w:val="0"/>
                <w:szCs w:val="20"/>
              </w:rPr>
              <w:t>ording to current professional guidelines</w:t>
            </w:r>
            <w:r w:rsidR="00B77008">
              <w:rPr>
                <w:rFonts w:eastAsia="Times New Roman" w:cs="Arial"/>
                <w:bCs/>
                <w:snapToGrid w:val="0"/>
                <w:szCs w:val="20"/>
              </w:rPr>
              <w:t xml:space="preserve"> </w:t>
            </w:r>
            <w:r w:rsidR="00F25150">
              <w:rPr>
                <w:rFonts w:eastAsia="Times New Roman" w:cs="Arial"/>
                <w:bCs/>
                <w:snapToGrid w:val="0"/>
                <w:szCs w:val="20"/>
              </w:rPr>
              <w:t xml:space="preserve">(as </w:t>
            </w:r>
            <w:r w:rsidR="00467A41">
              <w:rPr>
                <w:rFonts w:eastAsia="Times New Roman" w:cs="Arial"/>
                <w:bCs/>
                <w:snapToGrid w:val="0"/>
                <w:szCs w:val="20"/>
              </w:rPr>
              <w:t xml:space="preserve">is </w:t>
            </w:r>
            <w:r w:rsidR="00F25150">
              <w:rPr>
                <w:rFonts w:eastAsia="Times New Roman" w:cs="Arial"/>
                <w:bCs/>
                <w:snapToGrid w:val="0"/>
                <w:szCs w:val="20"/>
              </w:rPr>
              <w:t>specified</w:t>
            </w:r>
            <w:r w:rsidR="00B77008">
              <w:rPr>
                <w:rFonts w:eastAsia="Times New Roman" w:cs="Arial"/>
                <w:bCs/>
                <w:snapToGrid w:val="0"/>
                <w:szCs w:val="20"/>
              </w:rPr>
              <w:t xml:space="preserve"> in the explanatory note for all </w:t>
            </w:r>
            <w:r w:rsidR="00F25150">
              <w:rPr>
                <w:rFonts w:eastAsia="Times New Roman" w:cs="Arial"/>
                <w:bCs/>
                <w:snapToGrid w:val="0"/>
                <w:szCs w:val="20"/>
              </w:rPr>
              <w:t xml:space="preserve">currently listed </w:t>
            </w:r>
            <w:r w:rsidR="00B77008">
              <w:rPr>
                <w:rFonts w:eastAsia="Times New Roman" w:cs="Arial"/>
                <w:bCs/>
                <w:snapToGrid w:val="0"/>
                <w:szCs w:val="20"/>
              </w:rPr>
              <w:t xml:space="preserve">MBS </w:t>
            </w:r>
            <w:r w:rsidR="00F25150">
              <w:rPr>
                <w:rFonts w:eastAsia="Times New Roman" w:cs="Arial"/>
                <w:bCs/>
                <w:snapToGrid w:val="0"/>
                <w:szCs w:val="20"/>
              </w:rPr>
              <w:t>items for</w:t>
            </w:r>
            <w:r w:rsidR="00B77008">
              <w:rPr>
                <w:rFonts w:eastAsia="Times New Roman" w:cs="Arial"/>
                <w:bCs/>
                <w:snapToGrid w:val="0"/>
                <w:szCs w:val="20"/>
              </w:rPr>
              <w:t xml:space="preserve"> sleep studies</w:t>
            </w:r>
            <w:r w:rsidR="00F25150">
              <w:rPr>
                <w:rFonts w:eastAsia="Times New Roman" w:cs="Arial"/>
                <w:bCs/>
                <w:snapToGrid w:val="0"/>
                <w:szCs w:val="20"/>
              </w:rPr>
              <w:t>)</w:t>
            </w:r>
            <w:r w:rsidR="00B77008">
              <w:rPr>
                <w:rFonts w:eastAsia="Times New Roman" w:cs="Arial"/>
                <w:bCs/>
                <w:snapToGrid w:val="0"/>
                <w:szCs w:val="20"/>
              </w:rPr>
              <w:t xml:space="preserve">. </w:t>
            </w:r>
          </w:p>
          <w:p w14:paraId="546D19CD" w14:textId="47708E2E" w:rsidR="00363620" w:rsidRDefault="00191F46" w:rsidP="00B77008">
            <w:pPr>
              <w:pStyle w:val="TableText"/>
              <w:rPr>
                <w:rFonts w:eastAsia="Times New Roman" w:cs="Arial"/>
                <w:bCs/>
                <w:snapToGrid w:val="0"/>
                <w:szCs w:val="20"/>
              </w:rPr>
            </w:pPr>
            <w:r>
              <w:rPr>
                <w:rFonts w:eastAsia="Times New Roman" w:cs="Arial"/>
                <w:bCs/>
                <w:snapToGrid w:val="0"/>
                <w:szCs w:val="20"/>
              </w:rPr>
              <w:t>At a practical level, o</w:t>
            </w:r>
            <w:r w:rsidR="00363620">
              <w:rPr>
                <w:rFonts w:eastAsia="Times New Roman" w:cs="Arial"/>
                <w:bCs/>
                <w:snapToGrid w:val="0"/>
                <w:szCs w:val="20"/>
              </w:rPr>
              <w:t xml:space="preserve">versight is provided by the </w:t>
            </w:r>
            <w:r w:rsidR="00270087">
              <w:rPr>
                <w:rFonts w:eastAsia="Times New Roman" w:cs="Arial"/>
                <w:bCs/>
                <w:snapToGrid w:val="0"/>
                <w:szCs w:val="20"/>
              </w:rPr>
              <w:t xml:space="preserve">requirement for a </w:t>
            </w:r>
            <w:r w:rsidR="00C25EB5">
              <w:rPr>
                <w:rFonts w:eastAsia="Times New Roman" w:cs="Arial"/>
                <w:bCs/>
                <w:snapToGrid w:val="0"/>
                <w:szCs w:val="20"/>
              </w:rPr>
              <w:t xml:space="preserve">sleep technician </w:t>
            </w:r>
            <w:r w:rsidR="00270087">
              <w:rPr>
                <w:rFonts w:eastAsia="Times New Roman" w:cs="Arial"/>
                <w:bCs/>
                <w:snapToGrid w:val="0"/>
                <w:szCs w:val="20"/>
              </w:rPr>
              <w:t xml:space="preserve">to </w:t>
            </w:r>
            <w:r w:rsidR="00AA2D95">
              <w:rPr>
                <w:rFonts w:eastAsia="Times New Roman" w:cs="Arial"/>
                <w:bCs/>
                <w:snapToGrid w:val="0"/>
                <w:szCs w:val="20"/>
              </w:rPr>
              <w:t xml:space="preserve">either </w:t>
            </w:r>
            <w:r w:rsidR="00C25EB5">
              <w:rPr>
                <w:rFonts w:eastAsia="Times New Roman" w:cs="Arial"/>
                <w:bCs/>
                <w:snapToGrid w:val="0"/>
                <w:szCs w:val="20"/>
              </w:rPr>
              <w:t xml:space="preserve">set up the equipment in person or </w:t>
            </w:r>
            <w:r w:rsidR="00AA2D95">
              <w:rPr>
                <w:rFonts w:eastAsia="Times New Roman" w:cs="Arial"/>
                <w:bCs/>
                <w:snapToGrid w:val="0"/>
                <w:szCs w:val="20"/>
              </w:rPr>
              <w:t xml:space="preserve">supervise the parent/caregiver in doing so </w:t>
            </w:r>
            <w:r w:rsidR="00C25EB5">
              <w:rPr>
                <w:rFonts w:eastAsia="Times New Roman" w:cs="Arial"/>
                <w:bCs/>
                <w:snapToGrid w:val="0"/>
                <w:szCs w:val="20"/>
              </w:rPr>
              <w:t>via telehealth</w:t>
            </w:r>
            <w:r w:rsidR="00AA2D95">
              <w:rPr>
                <w:rFonts w:eastAsia="Times New Roman" w:cs="Arial"/>
                <w:bCs/>
                <w:snapToGrid w:val="0"/>
                <w:szCs w:val="20"/>
              </w:rPr>
              <w:t>,</w:t>
            </w:r>
            <w:r w:rsidR="00C25EB5">
              <w:rPr>
                <w:rFonts w:eastAsia="Times New Roman" w:cs="Arial"/>
                <w:bCs/>
                <w:snapToGrid w:val="0"/>
                <w:szCs w:val="20"/>
              </w:rPr>
              <w:t xml:space="preserve"> and </w:t>
            </w:r>
            <w:r w:rsidR="006C1925">
              <w:rPr>
                <w:rFonts w:eastAsia="Times New Roman" w:cs="Arial"/>
                <w:bCs/>
                <w:snapToGrid w:val="0"/>
                <w:szCs w:val="20"/>
              </w:rPr>
              <w:t xml:space="preserve">access to technical help overnight. </w:t>
            </w:r>
          </w:p>
          <w:p w14:paraId="0C7B545C" w14:textId="440B5E97" w:rsidR="00B31CCB" w:rsidRDefault="00AD1916" w:rsidP="00B77008">
            <w:pPr>
              <w:pStyle w:val="TableText"/>
            </w:pPr>
            <w:r>
              <w:rPr>
                <w:rFonts w:eastAsia="Times New Roman" w:cs="Arial"/>
                <w:bCs/>
                <w:snapToGrid w:val="0"/>
                <w:szCs w:val="20"/>
              </w:rPr>
              <w:t>Use</w:t>
            </w:r>
            <w:r w:rsidR="00B31CCB">
              <w:rPr>
                <w:rFonts w:eastAsia="Times New Roman" w:cs="Arial"/>
                <w:bCs/>
                <w:snapToGrid w:val="0"/>
                <w:szCs w:val="20"/>
              </w:rPr>
              <w:t xml:space="preserve"> of a community health provider to </w:t>
            </w:r>
            <w:r w:rsidR="00997523">
              <w:rPr>
                <w:rFonts w:eastAsia="Times New Roman" w:cs="Arial"/>
                <w:bCs/>
                <w:snapToGrid w:val="0"/>
                <w:szCs w:val="20"/>
              </w:rPr>
              <w:t>set up the equipment</w:t>
            </w:r>
            <w:r w:rsidR="00B31CCB">
              <w:rPr>
                <w:rFonts w:eastAsia="Times New Roman" w:cs="Arial"/>
                <w:bCs/>
                <w:snapToGrid w:val="0"/>
                <w:szCs w:val="20"/>
              </w:rPr>
              <w:t xml:space="preserve"> was not </w:t>
            </w:r>
            <w:r w:rsidR="00977FD0">
              <w:rPr>
                <w:rFonts w:eastAsia="Times New Roman" w:cs="Arial"/>
                <w:bCs/>
                <w:snapToGrid w:val="0"/>
                <w:szCs w:val="20"/>
              </w:rPr>
              <w:t>considered</w:t>
            </w:r>
            <w:r w:rsidR="001D5F8E">
              <w:rPr>
                <w:rFonts w:eastAsia="Times New Roman" w:cs="Arial"/>
                <w:bCs/>
                <w:snapToGrid w:val="0"/>
                <w:szCs w:val="20"/>
              </w:rPr>
              <w:t xml:space="preserve"> an appropriate option</w:t>
            </w:r>
            <w:r w:rsidR="00B31CCB">
              <w:rPr>
                <w:rFonts w:eastAsia="Times New Roman" w:cs="Arial"/>
                <w:bCs/>
                <w:snapToGrid w:val="0"/>
                <w:szCs w:val="20"/>
              </w:rPr>
              <w:t xml:space="preserve"> in the application.</w:t>
            </w:r>
            <w:r>
              <w:rPr>
                <w:rFonts w:eastAsia="Times New Roman" w:cs="Arial"/>
                <w:bCs/>
                <w:snapToGrid w:val="0"/>
                <w:szCs w:val="20"/>
              </w:rPr>
              <w:t xml:space="preserve"> No alternative models of care </w:t>
            </w:r>
            <w:r w:rsidR="008F4860">
              <w:rPr>
                <w:rFonts w:eastAsia="Times New Roman" w:cs="Arial"/>
                <w:bCs/>
                <w:snapToGrid w:val="0"/>
                <w:szCs w:val="20"/>
              </w:rPr>
              <w:t>were</w:t>
            </w:r>
            <w:r>
              <w:rPr>
                <w:rFonts w:eastAsia="Times New Roman" w:cs="Arial"/>
                <w:bCs/>
                <w:snapToGrid w:val="0"/>
                <w:szCs w:val="20"/>
              </w:rPr>
              <w:t xml:space="preserve"> suggested.</w:t>
            </w:r>
          </w:p>
        </w:tc>
      </w:tr>
      <w:tr w:rsidR="00B77008" w:rsidRPr="002B3104" w14:paraId="71ACCF0B" w14:textId="77777777" w:rsidTr="0065419A">
        <w:tc>
          <w:tcPr>
            <w:tcW w:w="1413" w:type="dxa"/>
          </w:tcPr>
          <w:p w14:paraId="62DD8C9B" w14:textId="15F4A618" w:rsidR="00B77008" w:rsidRPr="00F2507C" w:rsidRDefault="00B77008" w:rsidP="00B77008">
            <w:pPr>
              <w:pStyle w:val="051Tabletext22"/>
            </w:pPr>
            <w:r>
              <w:t>Economic analysis</w:t>
            </w:r>
          </w:p>
        </w:tc>
        <w:tc>
          <w:tcPr>
            <w:tcW w:w="2551" w:type="dxa"/>
          </w:tcPr>
          <w:p w14:paraId="6868031A" w14:textId="6AA08435" w:rsidR="00B77008" w:rsidRPr="00F2507C" w:rsidRDefault="00B77008" w:rsidP="00B77008">
            <w:pPr>
              <w:pStyle w:val="051Tabletext22"/>
            </w:pPr>
            <w:r>
              <w:t>Revise to incorporate the above considerations (PSD p.9)</w:t>
            </w:r>
            <w:r w:rsidR="168284AC">
              <w:t>.</w:t>
            </w:r>
          </w:p>
        </w:tc>
        <w:tc>
          <w:tcPr>
            <w:tcW w:w="5104" w:type="dxa"/>
          </w:tcPr>
          <w:p w14:paraId="110EC04A" w14:textId="77777777" w:rsidR="00B77008" w:rsidRDefault="00B77008" w:rsidP="00B77008">
            <w:pPr>
              <w:pStyle w:val="TableText"/>
              <w:rPr>
                <w:rFonts w:eastAsia="Times New Roman" w:cs="Arial"/>
                <w:bCs/>
                <w:snapToGrid w:val="0"/>
                <w:szCs w:val="20"/>
              </w:rPr>
            </w:pPr>
            <w:r>
              <w:rPr>
                <w:rFonts w:eastAsia="Times New Roman" w:cs="Arial"/>
                <w:bCs/>
                <w:snapToGrid w:val="0"/>
                <w:szCs w:val="20"/>
              </w:rPr>
              <w:t>Addressed.</w:t>
            </w:r>
          </w:p>
          <w:p w14:paraId="794BF2C1" w14:textId="7DF37ED1" w:rsidR="00B77008" w:rsidRDefault="00B77008" w:rsidP="00B77008">
            <w:pPr>
              <w:pStyle w:val="TableText"/>
            </w:pPr>
            <w:r>
              <w:rPr>
                <w:rFonts w:eastAsia="Times New Roman" w:cs="Arial"/>
                <w:bCs/>
                <w:snapToGrid w:val="0"/>
                <w:szCs w:val="20"/>
              </w:rPr>
              <w:t>Economic analysis revised to incorporate changed funding request.</w:t>
            </w:r>
          </w:p>
        </w:tc>
      </w:tr>
      <w:tr w:rsidR="00B77008" w:rsidRPr="002B3104" w14:paraId="6E7117DC" w14:textId="77777777" w:rsidTr="0065419A">
        <w:tc>
          <w:tcPr>
            <w:tcW w:w="1413" w:type="dxa"/>
          </w:tcPr>
          <w:p w14:paraId="17686E60" w14:textId="01551104" w:rsidR="00B77008" w:rsidRPr="00F2507C" w:rsidRDefault="00B77008" w:rsidP="00B77008">
            <w:pPr>
              <w:pStyle w:val="051Tabletext22"/>
            </w:pPr>
            <w:r>
              <w:t>Financial analysis</w:t>
            </w:r>
          </w:p>
        </w:tc>
        <w:tc>
          <w:tcPr>
            <w:tcW w:w="2551" w:type="dxa"/>
          </w:tcPr>
          <w:p w14:paraId="1C5F236E" w14:textId="465E9AAF" w:rsidR="00B77008" w:rsidRPr="00F2507C" w:rsidRDefault="00B77008" w:rsidP="00B77008">
            <w:pPr>
              <w:pStyle w:val="051Tabletext22"/>
            </w:pPr>
            <w:r>
              <w:t>Revise to incorporate the above considerations (PSD p.9)</w:t>
            </w:r>
            <w:r w:rsidR="63A34045">
              <w:t>.</w:t>
            </w:r>
          </w:p>
        </w:tc>
        <w:tc>
          <w:tcPr>
            <w:tcW w:w="5104" w:type="dxa"/>
          </w:tcPr>
          <w:p w14:paraId="6DF2902B" w14:textId="77777777" w:rsidR="00B77008" w:rsidRDefault="00B77008" w:rsidP="00B77008">
            <w:pPr>
              <w:pStyle w:val="TableText"/>
              <w:rPr>
                <w:rFonts w:eastAsia="Times New Roman" w:cs="Arial"/>
                <w:bCs/>
                <w:snapToGrid w:val="0"/>
                <w:szCs w:val="20"/>
              </w:rPr>
            </w:pPr>
            <w:r>
              <w:rPr>
                <w:rFonts w:eastAsia="Times New Roman" w:cs="Arial"/>
                <w:bCs/>
                <w:snapToGrid w:val="0"/>
                <w:szCs w:val="20"/>
              </w:rPr>
              <w:t>Addressed.</w:t>
            </w:r>
          </w:p>
          <w:p w14:paraId="08DF028A" w14:textId="0D91C473" w:rsidR="00B77008" w:rsidRDefault="00B77008" w:rsidP="00B77008">
            <w:pPr>
              <w:pStyle w:val="TableText"/>
            </w:pPr>
            <w:r>
              <w:rPr>
                <w:rFonts w:eastAsia="Times New Roman" w:cs="Arial"/>
                <w:bCs/>
                <w:snapToGrid w:val="0"/>
                <w:szCs w:val="20"/>
              </w:rPr>
              <w:t>Financial analysis revised to incorporate changed funding request.</w:t>
            </w:r>
          </w:p>
        </w:tc>
      </w:tr>
    </w:tbl>
    <w:p w14:paraId="7B5D5096" w14:textId="77777777" w:rsidR="00B77008" w:rsidRPr="006B0C1E" w:rsidRDefault="00B77008" w:rsidP="00A83F08">
      <w:pPr>
        <w:pStyle w:val="111Tablefootnoteslast-nostick"/>
      </w:pPr>
      <w:r>
        <w:rPr>
          <w:szCs w:val="20"/>
        </w:rPr>
        <w:t xml:space="preserve">MBS = Medicare Benefits Schedule; </w:t>
      </w:r>
      <w:r w:rsidRPr="006D7211">
        <w:t>PSD = Public Summary Document</w:t>
      </w:r>
      <w:r>
        <w:t>; PSG = polysomnography.</w:t>
      </w:r>
    </w:p>
    <w:p w14:paraId="32D217D3" w14:textId="600FB280" w:rsidR="009735B4" w:rsidRDefault="009735B4" w:rsidP="009735B4">
      <w:pPr>
        <w:pStyle w:val="111Tablefootnoteslast-nostick"/>
      </w:pPr>
      <w:r w:rsidRPr="006F1E02">
        <w:t xml:space="preserve">Source: </w:t>
      </w:r>
      <w:r>
        <w:t xml:space="preserve">Table </w:t>
      </w:r>
      <w:r w:rsidR="009827B5">
        <w:t>24</w:t>
      </w:r>
      <w:r w:rsidR="009827B5" w:rsidRPr="006F1E02">
        <w:t xml:space="preserve"> </w:t>
      </w:r>
      <w:r w:rsidR="00D32186">
        <w:t>of</w:t>
      </w:r>
      <w:r w:rsidRPr="006F1E02">
        <w:t xml:space="preserve"> MSAC Application 1712</w:t>
      </w:r>
      <w:r>
        <w:t>.1</w:t>
      </w:r>
      <w:r w:rsidRPr="006F1E02">
        <w:t>.</w:t>
      </w:r>
    </w:p>
    <w:p w14:paraId="028AB02D" w14:textId="3732ACEA" w:rsidR="00742FD9" w:rsidRPr="002F5377" w:rsidRDefault="00742FD9" w:rsidP="004105F1">
      <w:pPr>
        <w:pStyle w:val="ExecSumHeading2"/>
        <w:numPr>
          <w:ilvl w:val="0"/>
          <w:numId w:val="28"/>
        </w:numPr>
        <w:ind w:hanging="720"/>
      </w:pPr>
      <w:bookmarkStart w:id="6" w:name="_Toc200550241"/>
      <w:r w:rsidRPr="002F5377">
        <w:lastRenderedPageBreak/>
        <w:t>Prerequisites to implementation of any funding</w:t>
      </w:r>
      <w:r w:rsidR="00E502D1" w:rsidRPr="002F5377">
        <w:t xml:space="preserve"> advice</w:t>
      </w:r>
      <w:bookmarkEnd w:id="6"/>
    </w:p>
    <w:p w14:paraId="75B255E1" w14:textId="267F5EA6" w:rsidR="00B378A8" w:rsidRPr="002F5377" w:rsidRDefault="00B378A8" w:rsidP="0091228F">
      <w:r w:rsidRPr="002F5377">
        <w:t xml:space="preserve">The proposed services are performed </w:t>
      </w:r>
      <w:r w:rsidR="005002AC" w:rsidRPr="002F5377">
        <w:t xml:space="preserve">under the supervision </w:t>
      </w:r>
      <w:r w:rsidR="00272841" w:rsidRPr="002F5377">
        <w:t xml:space="preserve">of a qualified </w:t>
      </w:r>
      <w:r w:rsidR="00175248" w:rsidRPr="002F5377">
        <w:t xml:space="preserve">paediatric </w:t>
      </w:r>
      <w:r w:rsidR="00272841" w:rsidRPr="002F5377">
        <w:t xml:space="preserve">sleep </w:t>
      </w:r>
      <w:r w:rsidR="003C3D3D" w:rsidRPr="002F5377">
        <w:t>medicine practitioner</w:t>
      </w:r>
      <w:r w:rsidR="00272841" w:rsidRPr="002F5377">
        <w:t xml:space="preserve"> </w:t>
      </w:r>
      <w:r w:rsidR="003C7353">
        <w:t xml:space="preserve">(or adult sleep medicine practitioner for adolescents) </w:t>
      </w:r>
      <w:r w:rsidRPr="002F5377">
        <w:t xml:space="preserve">using sleep monitoring </w:t>
      </w:r>
      <w:r w:rsidR="00A0713D" w:rsidRPr="002F5377">
        <w:t xml:space="preserve">sensors and </w:t>
      </w:r>
      <w:r w:rsidR="00EC7CE1" w:rsidRPr="002F5377">
        <w:t>equipment that</w:t>
      </w:r>
      <w:r w:rsidR="00722000" w:rsidRPr="002F5377">
        <w:t xml:space="preserve"> </w:t>
      </w:r>
      <w:r w:rsidR="00C1665C" w:rsidRPr="002F5377">
        <w:t>are</w:t>
      </w:r>
      <w:r w:rsidR="005D6314" w:rsidRPr="002F5377">
        <w:t xml:space="preserve"> suitable</w:t>
      </w:r>
      <w:r w:rsidRPr="002F5377">
        <w:t xml:space="preserve"> for use in paediatrics. Several medical devices that are used in out-of-laboratory sleep studies are currently included on the Australian Register of Therapeutic Goods (ARTG).</w:t>
      </w:r>
    </w:p>
    <w:p w14:paraId="1D955311" w14:textId="49C982F9" w:rsidR="00742FD9" w:rsidRDefault="003C3D15" w:rsidP="0091228F">
      <w:r w:rsidRPr="002F5377">
        <w:t xml:space="preserve">In </w:t>
      </w:r>
      <w:r w:rsidR="00187576" w:rsidRPr="002F5377">
        <w:t>relation to</w:t>
      </w:r>
      <w:r w:rsidRPr="002F5377">
        <w:t xml:space="preserve"> Application 1712, </w:t>
      </w:r>
      <w:r w:rsidR="00B378A8" w:rsidRPr="002F5377">
        <w:t xml:space="preserve">MSAC </w:t>
      </w:r>
      <w:r w:rsidR="00BC190E" w:rsidRPr="002F5377">
        <w:t xml:space="preserve">noted </w:t>
      </w:r>
      <w:r w:rsidR="00B378A8" w:rsidRPr="002F5377">
        <w:t xml:space="preserve">that National Association of Testing Authorities (NATA) accreditation </w:t>
      </w:r>
      <w:r w:rsidR="00BC190E" w:rsidRPr="002F5377">
        <w:t xml:space="preserve">is not a current requirement for </w:t>
      </w:r>
      <w:r w:rsidR="009D47BC" w:rsidRPr="002F5377">
        <w:t xml:space="preserve">existing </w:t>
      </w:r>
      <w:r w:rsidR="00BC190E" w:rsidRPr="002F5377">
        <w:t xml:space="preserve">MBS sleep study items and </w:t>
      </w:r>
      <w:r w:rsidR="003C173D" w:rsidRPr="002F5377">
        <w:t xml:space="preserve">may inadvertently restrict access to subsidised care. MSAC </w:t>
      </w:r>
      <w:r w:rsidR="00235F7C" w:rsidRPr="002F5377">
        <w:t xml:space="preserve">advised that </w:t>
      </w:r>
      <w:r w:rsidR="003C173D" w:rsidRPr="002F5377">
        <w:t>NATA accreditation</w:t>
      </w:r>
      <w:r w:rsidR="00235F7C" w:rsidRPr="002F5377">
        <w:t xml:space="preserve"> </w:t>
      </w:r>
      <w:r w:rsidR="00B378A8" w:rsidRPr="002F5377">
        <w:t xml:space="preserve">should not be a mandatory requirement for the delivery of Level 2 PSG </w:t>
      </w:r>
      <w:r w:rsidR="00655CAB" w:rsidRPr="002F5377">
        <w:t xml:space="preserve">services </w:t>
      </w:r>
      <w:r w:rsidR="00B378A8" w:rsidRPr="002F5377">
        <w:t>in paediatric patients.</w:t>
      </w:r>
    </w:p>
    <w:p w14:paraId="04A066CF" w14:textId="57425C5A" w:rsidR="00742FD9" w:rsidRDefault="00E502D1" w:rsidP="004105F1">
      <w:pPr>
        <w:pStyle w:val="ExecSumHeading2"/>
        <w:numPr>
          <w:ilvl w:val="0"/>
          <w:numId w:val="28"/>
        </w:numPr>
        <w:ind w:hanging="720"/>
      </w:pPr>
      <w:bookmarkStart w:id="7" w:name="_Toc200550242"/>
      <w:r>
        <w:t>Proposal for public funding</w:t>
      </w:r>
      <w:bookmarkEnd w:id="7"/>
    </w:p>
    <w:p w14:paraId="1894BD16" w14:textId="227BD768" w:rsidR="00742FD9" w:rsidRDefault="00FD7C01" w:rsidP="0034224B">
      <w:pPr>
        <w:pStyle w:val="BodyText"/>
      </w:pPr>
      <w:r>
        <w:t xml:space="preserve">Currently, diagnosis of SDB in children and adolescents is undertaken in a sleep laboratory (Level 1 PSG) and this service is MBS listed. The proposed medical service is out-of-laboratory </w:t>
      </w:r>
      <w:r w:rsidR="002D65C9">
        <w:t>PSG</w:t>
      </w:r>
      <w:r>
        <w:t>, usually in the patients’ homes (Level 2 PSG).</w:t>
      </w:r>
    </w:p>
    <w:p w14:paraId="45E52BAB" w14:textId="0EB06439" w:rsidR="00FE6C7E" w:rsidRDefault="008B2E77" w:rsidP="0034224B">
      <w:pPr>
        <w:pStyle w:val="BodyText"/>
      </w:pPr>
      <w:r>
        <w:t>The application proposed</w:t>
      </w:r>
      <w:r w:rsidR="003A0AEE">
        <w:t xml:space="preserve"> four</w:t>
      </w:r>
      <w:r>
        <w:t xml:space="preserve"> s</w:t>
      </w:r>
      <w:r w:rsidR="00FD7C01">
        <w:t>eparate MBS items for children and adolescents and for services in rural/remote and metropolitan locations</w:t>
      </w:r>
      <w:r w:rsidR="00B72E1D">
        <w:t xml:space="preserve"> (</w:t>
      </w:r>
      <w:r w:rsidR="00B72E1D">
        <w:fldChar w:fldCharType="begin"/>
      </w:r>
      <w:r w:rsidR="00B72E1D">
        <w:instrText xml:space="preserve"> REF _Ref198474320 \h </w:instrText>
      </w:r>
      <w:r w:rsidR="00B72E1D">
        <w:fldChar w:fldCharType="separate"/>
      </w:r>
      <w:r w:rsidR="00BC2CAA">
        <w:t xml:space="preserve">Table </w:t>
      </w:r>
      <w:r w:rsidR="00BC2CAA">
        <w:rPr>
          <w:noProof/>
        </w:rPr>
        <w:t>4</w:t>
      </w:r>
      <w:r w:rsidR="00B72E1D">
        <w:fldChar w:fldCharType="end"/>
      </w:r>
      <w:r w:rsidR="00B72E1D">
        <w:t>)</w:t>
      </w:r>
      <w:r w:rsidR="00FD7C01">
        <w:t xml:space="preserve">. </w:t>
      </w:r>
      <w:r w:rsidR="00FD7C01" w:rsidRPr="00611E5C">
        <w:t xml:space="preserve">The Modified Monash </w:t>
      </w:r>
      <w:r w:rsidR="006C033C">
        <w:t>(MM)</w:t>
      </w:r>
      <w:r w:rsidR="006C033C" w:rsidRPr="00611E5C">
        <w:t xml:space="preserve"> </w:t>
      </w:r>
      <w:r w:rsidR="00FD7C01" w:rsidRPr="00611E5C">
        <w:t>Model</w:t>
      </w:r>
      <w:r w:rsidR="00FD7C01">
        <w:t xml:space="preserve"> </w:t>
      </w:r>
      <w:r w:rsidR="00BF46AD">
        <w:t>wa</w:t>
      </w:r>
      <w:r w:rsidR="00FD7C01" w:rsidRPr="00611E5C">
        <w:t xml:space="preserve">s </w:t>
      </w:r>
      <w:r w:rsidR="00FD7C01">
        <w:t>used</w:t>
      </w:r>
      <w:r w:rsidR="00FD7C01" w:rsidRPr="00611E5C">
        <w:t xml:space="preserve"> to define whether a location is metropolitan, rural, remote or very remote</w:t>
      </w:r>
      <w:r w:rsidR="000810D3">
        <w:t>,</w:t>
      </w:r>
      <w:r w:rsidR="00FD7C01" w:rsidRPr="00611E5C">
        <w:t xml:space="preserve"> in keeping with </w:t>
      </w:r>
      <w:r w:rsidR="00FD7C01">
        <w:t xml:space="preserve">its </w:t>
      </w:r>
      <w:r w:rsidR="00FD7C01" w:rsidRPr="00611E5C">
        <w:t>use in other</w:t>
      </w:r>
      <w:r w:rsidR="00FD7C01">
        <w:t xml:space="preserve"> MBS</w:t>
      </w:r>
      <w:r w:rsidR="00FD7C01" w:rsidRPr="00611E5C">
        <w:t xml:space="preserve"> item </w:t>
      </w:r>
      <w:r w:rsidR="00FD7C01">
        <w:t>descriptors</w:t>
      </w:r>
      <w:r w:rsidR="00FD7C01" w:rsidRPr="00611E5C">
        <w:t>. MM</w:t>
      </w:r>
      <w:r w:rsidR="006F01BF">
        <w:t xml:space="preserve"> category</w:t>
      </w:r>
      <w:r w:rsidR="00E10988">
        <w:t xml:space="preserve"> </w:t>
      </w:r>
      <w:r w:rsidR="00FD7C01" w:rsidRPr="00611E5C">
        <w:t>1 is a major city and MM</w:t>
      </w:r>
      <w:r w:rsidR="006C033C">
        <w:t xml:space="preserve"> category</w:t>
      </w:r>
      <w:r w:rsidR="00E10988">
        <w:t xml:space="preserve"> </w:t>
      </w:r>
      <w:r w:rsidR="00FD7C01" w:rsidRPr="00611E5C">
        <w:t>7 is very remote</w:t>
      </w:r>
      <w:r w:rsidR="00467ED5">
        <w:t>.</w:t>
      </w:r>
      <w:r w:rsidR="00834CF2">
        <w:t xml:space="preserve"> </w:t>
      </w:r>
    </w:p>
    <w:p w14:paraId="54707777" w14:textId="3C99C940" w:rsidR="00F22D82" w:rsidRDefault="00F22D82" w:rsidP="0034224B">
      <w:pPr>
        <w:pStyle w:val="BodyText"/>
      </w:pPr>
      <w:r>
        <w:t xml:space="preserve">The department proposed </w:t>
      </w:r>
      <w:r w:rsidR="00821325">
        <w:t>an alternative model involving</w:t>
      </w:r>
      <w:r w:rsidR="003A0AEE">
        <w:t xml:space="preserve"> two</w:t>
      </w:r>
      <w:r w:rsidR="00821325">
        <w:t xml:space="preserve"> </w:t>
      </w:r>
      <w:r>
        <w:t>separate MBS items for children and adolescents (as per the application)</w:t>
      </w:r>
      <w:r w:rsidR="00C60C67">
        <w:t>,</w:t>
      </w:r>
      <w:r w:rsidR="003A0AEE">
        <w:t xml:space="preserve"> plus one</w:t>
      </w:r>
      <w:r w:rsidR="00323FD9">
        <w:t xml:space="preserve"> MBS item for Level 2 PSG undertaken in rural/remote areas to be applied as a loading</w:t>
      </w:r>
      <w:r w:rsidR="00C60C67">
        <w:t xml:space="preserve"> for eligible patients</w:t>
      </w:r>
      <w:r w:rsidR="00323FD9">
        <w:t>.</w:t>
      </w:r>
    </w:p>
    <w:p w14:paraId="0ADE4CB9" w14:textId="36FB290D" w:rsidR="003D70A3" w:rsidRDefault="00834CF2" w:rsidP="002F1FC0">
      <w:r>
        <w:t xml:space="preserve">All items for children </w:t>
      </w:r>
      <w:r w:rsidR="00450E5A">
        <w:t>(aged 3 to 11</w:t>
      </w:r>
      <w:r w:rsidR="00C25DC7">
        <w:t xml:space="preserve"> years</w:t>
      </w:r>
      <w:r w:rsidR="00450E5A">
        <w:t xml:space="preserve">, inclusive) </w:t>
      </w:r>
      <w:r>
        <w:t xml:space="preserve">require </w:t>
      </w:r>
      <w:r w:rsidR="00C66D04">
        <w:t xml:space="preserve">consultation with, </w:t>
      </w:r>
      <w:r>
        <w:t xml:space="preserve">referral </w:t>
      </w:r>
      <w:r w:rsidR="00391214">
        <w:t>from</w:t>
      </w:r>
      <w:r w:rsidR="007C758D">
        <w:t xml:space="preserve">, </w:t>
      </w:r>
      <w:r w:rsidR="009922E6">
        <w:t xml:space="preserve">and oversight </w:t>
      </w:r>
      <w:r w:rsidR="00391214">
        <w:t>by</w:t>
      </w:r>
      <w:r w:rsidR="00B93503">
        <w:t xml:space="preserve"> </w:t>
      </w:r>
      <w:r>
        <w:t xml:space="preserve">a </w:t>
      </w:r>
      <w:r w:rsidR="007D2816">
        <w:t xml:space="preserve">qualified </w:t>
      </w:r>
      <w:r>
        <w:t>paediatric sleep medicine practitioner</w:t>
      </w:r>
      <w:r w:rsidR="00FB0607">
        <w:t xml:space="preserve">. </w:t>
      </w:r>
      <w:r w:rsidR="00C25DC7">
        <w:t>Items for adolescent</w:t>
      </w:r>
      <w:r>
        <w:t xml:space="preserve">s </w:t>
      </w:r>
      <w:r w:rsidR="00C25DC7">
        <w:t xml:space="preserve">(aged 12 to 17 years, inclusive) </w:t>
      </w:r>
      <w:r w:rsidR="00B9544C">
        <w:t xml:space="preserve">require </w:t>
      </w:r>
      <w:r w:rsidR="0093079D">
        <w:t xml:space="preserve">consultation with, </w:t>
      </w:r>
      <w:r w:rsidR="00B9544C">
        <w:t xml:space="preserve">referral </w:t>
      </w:r>
      <w:r w:rsidR="00391214">
        <w:t>from</w:t>
      </w:r>
      <w:r w:rsidR="009B1018">
        <w:t xml:space="preserve">, </w:t>
      </w:r>
      <w:r w:rsidR="00B9544C">
        <w:t xml:space="preserve">and oversight </w:t>
      </w:r>
      <w:r w:rsidR="00391214">
        <w:t>by</w:t>
      </w:r>
      <w:r>
        <w:t xml:space="preserve"> either a </w:t>
      </w:r>
      <w:r w:rsidR="00340CBF">
        <w:t xml:space="preserve">qualified </w:t>
      </w:r>
      <w:r>
        <w:t>paediatric or adult sleep medicine practitioner.</w:t>
      </w:r>
      <w:r w:rsidR="00FE6C7E">
        <w:t xml:space="preserve"> </w:t>
      </w:r>
      <w:r w:rsidR="00473640">
        <w:t xml:space="preserve">In contrast, adults </w:t>
      </w:r>
      <w:r w:rsidR="00F51670">
        <w:t>can be referred to a</w:t>
      </w:r>
      <w:r w:rsidR="00F0256B">
        <w:t xml:space="preserve"> diagnostic sleep study </w:t>
      </w:r>
      <w:r w:rsidR="0032745D">
        <w:t>via a general practitioner</w:t>
      </w:r>
      <w:r w:rsidR="00473640">
        <w:t xml:space="preserve"> (GP)</w:t>
      </w:r>
      <w:r w:rsidR="00571F06">
        <w:t xml:space="preserve"> without a consultation with a</w:t>
      </w:r>
      <w:r w:rsidR="00930040">
        <w:t xml:space="preserve"> sleep practitioner</w:t>
      </w:r>
      <w:r w:rsidR="00EB44DD">
        <w:t xml:space="preserve"> or respiratory physician</w:t>
      </w:r>
      <w:r w:rsidR="0032745D">
        <w:t>.</w:t>
      </w:r>
      <w:r w:rsidR="002F1FC0" w:rsidRPr="002F1FC0">
        <w:t xml:space="preserve"> </w:t>
      </w:r>
    </w:p>
    <w:p w14:paraId="75ABF56D" w14:textId="24B33AAA" w:rsidR="00FD7C01" w:rsidRDefault="002F1FC0" w:rsidP="002F1FC0">
      <w:r>
        <w:t xml:space="preserve">The requested frequency of the proposed </w:t>
      </w:r>
      <w:r w:rsidR="008D4128">
        <w:t xml:space="preserve">paediatric </w:t>
      </w:r>
      <w:r>
        <w:t xml:space="preserve">MBS items is a maximum of 3 Level 2 PSG studies to be delivered to any one patient in any 12-month period. </w:t>
      </w:r>
    </w:p>
    <w:p w14:paraId="2D638404" w14:textId="72CA7171" w:rsidR="00196153" w:rsidRDefault="00196153" w:rsidP="005F658F">
      <w:pPr>
        <w:pStyle w:val="Caption"/>
        <w:keepLines/>
      </w:pPr>
      <w:bookmarkStart w:id="8" w:name="_Ref198474320"/>
      <w:r>
        <w:lastRenderedPageBreak/>
        <w:t xml:space="preserve">Table </w:t>
      </w:r>
      <w:r w:rsidR="00BC2CAA">
        <w:fldChar w:fldCharType="begin"/>
      </w:r>
      <w:r w:rsidR="00BC2CAA">
        <w:instrText xml:space="preserve"> SEQ Table \* ARABIC </w:instrText>
      </w:r>
      <w:r w:rsidR="00BC2CAA">
        <w:fldChar w:fldCharType="separate"/>
      </w:r>
      <w:r w:rsidR="00BC2CAA">
        <w:rPr>
          <w:noProof/>
        </w:rPr>
        <w:t>4</w:t>
      </w:r>
      <w:r w:rsidR="00BC2CAA">
        <w:rPr>
          <w:noProof/>
        </w:rPr>
        <w:fldChar w:fldCharType="end"/>
      </w:r>
      <w:bookmarkEnd w:id="8"/>
      <w:r>
        <w:tab/>
      </w:r>
      <w:r w:rsidR="00467ED5">
        <w:t>Summary of proposed MBS items for out-of-laboratory sleep studies (Level 2 PSG)</w:t>
      </w:r>
    </w:p>
    <w:tbl>
      <w:tblPr>
        <w:tblStyle w:val="TableGrid"/>
        <w:tblW w:w="0" w:type="auto"/>
        <w:tblLook w:val="04A0" w:firstRow="1" w:lastRow="0" w:firstColumn="1" w:lastColumn="0" w:noHBand="0" w:noVBand="1"/>
        <w:tblCaption w:val="Summary of proposed MBS items for out-of-laboratory sleep studies (Level 2 PSG)"/>
        <w:tblDescription w:val="Table shows the key features of the proposed MBS items, including the intended age, Schedule fee, purpose, geographic location and intended frequency. The table includes the items proposed in application 1712 and the updated items in application 1712.1, including items proposed by teh department."/>
      </w:tblPr>
      <w:tblGrid>
        <w:gridCol w:w="1246"/>
        <w:gridCol w:w="1159"/>
        <w:gridCol w:w="567"/>
        <w:gridCol w:w="88"/>
        <w:gridCol w:w="337"/>
        <w:gridCol w:w="142"/>
        <w:gridCol w:w="917"/>
        <w:gridCol w:w="1707"/>
        <w:gridCol w:w="1262"/>
        <w:gridCol w:w="1591"/>
      </w:tblGrid>
      <w:tr w:rsidR="00677F12" w14:paraId="0B1A13F6" w14:textId="77777777">
        <w:trPr>
          <w:tblHeader/>
        </w:trPr>
        <w:tc>
          <w:tcPr>
            <w:tcW w:w="1246" w:type="dxa"/>
          </w:tcPr>
          <w:p w14:paraId="7A3D6DB0" w14:textId="77777777" w:rsidR="00677F12" w:rsidRDefault="00677F12" w:rsidP="005F658F">
            <w:pPr>
              <w:pStyle w:val="TableHeading0"/>
              <w:keepNext/>
              <w:keepLines/>
            </w:pPr>
            <w:r>
              <w:t>Proposed MBS Item</w:t>
            </w:r>
          </w:p>
        </w:tc>
        <w:tc>
          <w:tcPr>
            <w:tcW w:w="1814" w:type="dxa"/>
            <w:gridSpan w:val="3"/>
          </w:tcPr>
          <w:p w14:paraId="21A5EE5A" w14:textId="77777777" w:rsidR="00677F12" w:rsidRDefault="00677F12" w:rsidP="005F658F">
            <w:pPr>
              <w:pStyle w:val="TableHeading0"/>
              <w:keepNext/>
              <w:keepLines/>
            </w:pPr>
            <w:r>
              <w:t>Age (years)</w:t>
            </w:r>
          </w:p>
        </w:tc>
        <w:tc>
          <w:tcPr>
            <w:tcW w:w="1396" w:type="dxa"/>
            <w:gridSpan w:val="3"/>
            <w:tcBorders>
              <w:bottom w:val="single" w:sz="4" w:space="0" w:color="auto"/>
            </w:tcBorders>
          </w:tcPr>
          <w:p w14:paraId="75B5BE72" w14:textId="77777777" w:rsidR="00677F12" w:rsidRDefault="00677F12" w:rsidP="005F658F">
            <w:pPr>
              <w:pStyle w:val="TableHeading0"/>
              <w:keepNext/>
              <w:keepLines/>
            </w:pPr>
            <w:r>
              <w:t>Proposed Schedule Fee</w:t>
            </w:r>
          </w:p>
        </w:tc>
        <w:tc>
          <w:tcPr>
            <w:tcW w:w="1707" w:type="dxa"/>
            <w:tcBorders>
              <w:bottom w:val="single" w:sz="4" w:space="0" w:color="auto"/>
            </w:tcBorders>
          </w:tcPr>
          <w:p w14:paraId="58580DC1" w14:textId="77777777" w:rsidR="00677F12" w:rsidRDefault="00677F12" w:rsidP="005F658F">
            <w:pPr>
              <w:pStyle w:val="TableHeading0"/>
              <w:keepNext/>
              <w:keepLines/>
            </w:pPr>
            <w:r>
              <w:t>Purpose</w:t>
            </w:r>
          </w:p>
        </w:tc>
        <w:tc>
          <w:tcPr>
            <w:tcW w:w="1262" w:type="dxa"/>
            <w:tcBorders>
              <w:bottom w:val="single" w:sz="4" w:space="0" w:color="auto"/>
            </w:tcBorders>
          </w:tcPr>
          <w:p w14:paraId="45148625" w14:textId="77777777" w:rsidR="00677F12" w:rsidRDefault="00677F12" w:rsidP="005F658F">
            <w:pPr>
              <w:pStyle w:val="TableHeading0"/>
              <w:keepNext/>
              <w:keepLines/>
            </w:pPr>
            <w:r>
              <w:t>Geographic location</w:t>
            </w:r>
          </w:p>
        </w:tc>
        <w:tc>
          <w:tcPr>
            <w:tcW w:w="1591" w:type="dxa"/>
          </w:tcPr>
          <w:p w14:paraId="3F6B1BE6" w14:textId="77777777" w:rsidR="00677F12" w:rsidRDefault="00677F12" w:rsidP="005F658F">
            <w:pPr>
              <w:pStyle w:val="TableHeading0"/>
              <w:keepNext/>
              <w:keepLines/>
            </w:pPr>
            <w:r>
              <w:t>Max. frequency (in 12 months)</w:t>
            </w:r>
          </w:p>
        </w:tc>
      </w:tr>
      <w:tr w:rsidR="00677F12" w14:paraId="7E3A5DE8" w14:textId="77777777" w:rsidTr="0065419A">
        <w:tc>
          <w:tcPr>
            <w:tcW w:w="2405" w:type="dxa"/>
            <w:gridSpan w:val="2"/>
            <w:tcBorders>
              <w:right w:val="nil"/>
            </w:tcBorders>
          </w:tcPr>
          <w:p w14:paraId="027C69D6" w14:textId="77777777" w:rsidR="00677F12" w:rsidRPr="00B72E1D" w:rsidRDefault="00677F12" w:rsidP="005F658F">
            <w:pPr>
              <w:pStyle w:val="TableText"/>
              <w:keepNext/>
              <w:keepLines/>
              <w:rPr>
                <w:b/>
                <w:bCs/>
              </w:rPr>
            </w:pPr>
            <w:r w:rsidRPr="00B72E1D">
              <w:rPr>
                <w:b/>
                <w:bCs/>
              </w:rPr>
              <w:t>DCAR 1712 PICO Set 1</w:t>
            </w:r>
          </w:p>
        </w:tc>
        <w:tc>
          <w:tcPr>
            <w:tcW w:w="655" w:type="dxa"/>
            <w:gridSpan w:val="2"/>
            <w:tcBorders>
              <w:left w:val="nil"/>
              <w:right w:val="nil"/>
            </w:tcBorders>
          </w:tcPr>
          <w:p w14:paraId="79F4E352" w14:textId="77777777" w:rsidR="00677F12" w:rsidRPr="00B72E1D" w:rsidRDefault="00677F12" w:rsidP="005F658F">
            <w:pPr>
              <w:pStyle w:val="TableText"/>
              <w:keepNext/>
              <w:keepLines/>
              <w:rPr>
                <w:b/>
                <w:bCs/>
              </w:rPr>
            </w:pPr>
          </w:p>
        </w:tc>
        <w:tc>
          <w:tcPr>
            <w:tcW w:w="1396" w:type="dxa"/>
            <w:gridSpan w:val="3"/>
            <w:tcBorders>
              <w:left w:val="nil"/>
              <w:right w:val="nil"/>
            </w:tcBorders>
          </w:tcPr>
          <w:p w14:paraId="42C1C3EB" w14:textId="77777777" w:rsidR="00677F12" w:rsidRPr="00B72E1D" w:rsidRDefault="00677F12" w:rsidP="005F658F">
            <w:pPr>
              <w:pStyle w:val="TableText"/>
              <w:keepNext/>
              <w:keepLines/>
              <w:rPr>
                <w:b/>
                <w:bCs/>
              </w:rPr>
            </w:pPr>
          </w:p>
        </w:tc>
        <w:tc>
          <w:tcPr>
            <w:tcW w:w="1707" w:type="dxa"/>
            <w:tcBorders>
              <w:left w:val="nil"/>
              <w:right w:val="nil"/>
            </w:tcBorders>
          </w:tcPr>
          <w:p w14:paraId="1E85D3FB" w14:textId="77777777" w:rsidR="00677F12" w:rsidRPr="00B72E1D" w:rsidRDefault="00677F12" w:rsidP="005F658F">
            <w:pPr>
              <w:pStyle w:val="TableText"/>
              <w:keepNext/>
              <w:keepLines/>
              <w:rPr>
                <w:b/>
                <w:bCs/>
                <w:szCs w:val="20"/>
              </w:rPr>
            </w:pPr>
          </w:p>
        </w:tc>
        <w:tc>
          <w:tcPr>
            <w:tcW w:w="1262" w:type="dxa"/>
            <w:tcBorders>
              <w:left w:val="nil"/>
              <w:right w:val="nil"/>
            </w:tcBorders>
          </w:tcPr>
          <w:p w14:paraId="0F221436" w14:textId="77777777" w:rsidR="00677F12" w:rsidRPr="00B72E1D" w:rsidRDefault="00677F12" w:rsidP="005F658F">
            <w:pPr>
              <w:pStyle w:val="TableText"/>
              <w:keepNext/>
              <w:keepLines/>
              <w:rPr>
                <w:b/>
                <w:bCs/>
              </w:rPr>
            </w:pPr>
          </w:p>
        </w:tc>
        <w:tc>
          <w:tcPr>
            <w:tcW w:w="1591" w:type="dxa"/>
            <w:tcBorders>
              <w:left w:val="nil"/>
            </w:tcBorders>
            <w:vAlign w:val="center"/>
          </w:tcPr>
          <w:p w14:paraId="296E0ECB" w14:textId="77777777" w:rsidR="00677F12" w:rsidRPr="00B72E1D" w:rsidRDefault="00677F12" w:rsidP="005F658F">
            <w:pPr>
              <w:pStyle w:val="TableText"/>
              <w:keepNext/>
              <w:keepLines/>
              <w:rPr>
                <w:b/>
                <w:bCs/>
                <w:szCs w:val="20"/>
              </w:rPr>
            </w:pPr>
          </w:p>
        </w:tc>
      </w:tr>
      <w:tr w:rsidR="00677F12" w14:paraId="67492E3B" w14:textId="77777777" w:rsidTr="0065419A">
        <w:tc>
          <w:tcPr>
            <w:tcW w:w="1246" w:type="dxa"/>
          </w:tcPr>
          <w:p w14:paraId="20317728" w14:textId="77777777" w:rsidR="00677F12" w:rsidRPr="00B72E1D" w:rsidRDefault="00677F12" w:rsidP="005F658F">
            <w:pPr>
              <w:pStyle w:val="TableText"/>
              <w:keepNext/>
              <w:keepLines/>
            </w:pPr>
            <w:r w:rsidRPr="00B72E1D">
              <w:t>XXXX</w:t>
            </w:r>
          </w:p>
        </w:tc>
        <w:tc>
          <w:tcPr>
            <w:tcW w:w="1814" w:type="dxa"/>
            <w:gridSpan w:val="3"/>
          </w:tcPr>
          <w:p w14:paraId="24B50656" w14:textId="77777777" w:rsidR="00677F12" w:rsidRPr="00B72E1D" w:rsidRDefault="00677F12" w:rsidP="005F658F">
            <w:pPr>
              <w:pStyle w:val="TableText"/>
              <w:keepNext/>
              <w:keepLines/>
            </w:pPr>
            <w:r w:rsidRPr="00B72E1D">
              <w:t xml:space="preserve">Children </w:t>
            </w:r>
            <w:r w:rsidRPr="00B72E1D">
              <w:br/>
              <w:t>(3 to 11, inclusive)</w:t>
            </w:r>
          </w:p>
        </w:tc>
        <w:tc>
          <w:tcPr>
            <w:tcW w:w="1396" w:type="dxa"/>
            <w:gridSpan w:val="3"/>
          </w:tcPr>
          <w:p w14:paraId="4FC0CBB0" w14:textId="77777777" w:rsidR="00677F12" w:rsidRPr="00B72E1D" w:rsidRDefault="00677F12" w:rsidP="005F658F">
            <w:pPr>
              <w:pStyle w:val="TableText"/>
              <w:keepNext/>
              <w:keepLines/>
            </w:pPr>
            <w:r w:rsidRPr="00B72E1D">
              <w:t>$415.65</w:t>
            </w:r>
          </w:p>
        </w:tc>
        <w:tc>
          <w:tcPr>
            <w:tcW w:w="1707" w:type="dxa"/>
          </w:tcPr>
          <w:p w14:paraId="3252EC7D" w14:textId="77777777" w:rsidR="00677F12" w:rsidRPr="00B72E1D" w:rsidRDefault="00677F12" w:rsidP="005F658F">
            <w:pPr>
              <w:pStyle w:val="TableText"/>
              <w:keepNext/>
              <w:keepLines/>
              <w:rPr>
                <w:szCs w:val="20"/>
              </w:rPr>
            </w:pPr>
            <w:r w:rsidRPr="00B72E1D">
              <w:rPr>
                <w:szCs w:val="20"/>
              </w:rPr>
              <w:t>Investigation of suspected OSA</w:t>
            </w:r>
          </w:p>
        </w:tc>
        <w:tc>
          <w:tcPr>
            <w:tcW w:w="1262" w:type="dxa"/>
          </w:tcPr>
          <w:p w14:paraId="3247512D" w14:textId="77777777" w:rsidR="00677F12" w:rsidRPr="00B72E1D" w:rsidRDefault="00677F12" w:rsidP="005F658F">
            <w:pPr>
              <w:pStyle w:val="TableText"/>
              <w:keepNext/>
              <w:keepLines/>
            </w:pPr>
            <w:r w:rsidRPr="00B72E1D">
              <w:t>Not specified</w:t>
            </w:r>
          </w:p>
        </w:tc>
        <w:tc>
          <w:tcPr>
            <w:tcW w:w="1591" w:type="dxa"/>
          </w:tcPr>
          <w:p w14:paraId="7501F60C" w14:textId="77777777" w:rsidR="00677F12" w:rsidRPr="00B72E1D" w:rsidRDefault="00677F12" w:rsidP="005F658F">
            <w:pPr>
              <w:pStyle w:val="TableText"/>
              <w:keepNext/>
              <w:keepLines/>
              <w:rPr>
                <w:szCs w:val="20"/>
              </w:rPr>
            </w:pPr>
            <w:r w:rsidRPr="00B72E1D">
              <w:rPr>
                <w:szCs w:val="20"/>
              </w:rPr>
              <w:t>3 of any Level 2 PSG studies</w:t>
            </w:r>
          </w:p>
        </w:tc>
      </w:tr>
      <w:tr w:rsidR="00677F12" w14:paraId="06E1B720" w14:textId="77777777" w:rsidTr="0065419A">
        <w:tc>
          <w:tcPr>
            <w:tcW w:w="1246" w:type="dxa"/>
          </w:tcPr>
          <w:p w14:paraId="7D7F81A5" w14:textId="77777777" w:rsidR="00677F12" w:rsidRPr="00B72E1D" w:rsidRDefault="00677F12" w:rsidP="005F658F">
            <w:pPr>
              <w:pStyle w:val="TableText"/>
              <w:keepNext/>
              <w:keepLines/>
            </w:pPr>
            <w:r w:rsidRPr="00B72E1D">
              <w:t>YYYY</w:t>
            </w:r>
          </w:p>
        </w:tc>
        <w:tc>
          <w:tcPr>
            <w:tcW w:w="1814" w:type="dxa"/>
            <w:gridSpan w:val="3"/>
          </w:tcPr>
          <w:p w14:paraId="1F9D8C95" w14:textId="77777777" w:rsidR="00677F12" w:rsidRPr="00B72E1D" w:rsidRDefault="00677F12" w:rsidP="005F658F">
            <w:pPr>
              <w:pStyle w:val="TableText"/>
              <w:keepNext/>
              <w:keepLines/>
            </w:pPr>
            <w:r w:rsidRPr="00B72E1D">
              <w:t xml:space="preserve">Adolescents </w:t>
            </w:r>
            <w:r w:rsidRPr="00B72E1D">
              <w:br/>
              <w:t>(12 to 17, inclusive)</w:t>
            </w:r>
          </w:p>
        </w:tc>
        <w:tc>
          <w:tcPr>
            <w:tcW w:w="1396" w:type="dxa"/>
            <w:gridSpan w:val="3"/>
            <w:tcBorders>
              <w:bottom w:val="single" w:sz="4" w:space="0" w:color="auto"/>
            </w:tcBorders>
          </w:tcPr>
          <w:p w14:paraId="7A26EA7F" w14:textId="77777777" w:rsidR="00677F12" w:rsidRPr="00B72E1D" w:rsidRDefault="00677F12" w:rsidP="005F658F">
            <w:pPr>
              <w:pStyle w:val="TableText"/>
              <w:keepNext/>
              <w:keepLines/>
            </w:pPr>
            <w:r w:rsidRPr="00B72E1D">
              <w:t>$364.32</w:t>
            </w:r>
          </w:p>
        </w:tc>
        <w:tc>
          <w:tcPr>
            <w:tcW w:w="1707" w:type="dxa"/>
            <w:tcBorders>
              <w:bottom w:val="single" w:sz="4" w:space="0" w:color="auto"/>
            </w:tcBorders>
          </w:tcPr>
          <w:p w14:paraId="41FEF715" w14:textId="77777777" w:rsidR="00677F12" w:rsidRPr="00B72E1D" w:rsidRDefault="00677F12" w:rsidP="005F658F">
            <w:pPr>
              <w:pStyle w:val="TableText"/>
              <w:keepNext/>
              <w:keepLines/>
              <w:rPr>
                <w:szCs w:val="20"/>
              </w:rPr>
            </w:pPr>
            <w:r w:rsidRPr="00B72E1D">
              <w:rPr>
                <w:szCs w:val="20"/>
              </w:rPr>
              <w:t>Investigation of suspected OSA</w:t>
            </w:r>
          </w:p>
        </w:tc>
        <w:tc>
          <w:tcPr>
            <w:tcW w:w="1262" w:type="dxa"/>
            <w:tcBorders>
              <w:bottom w:val="single" w:sz="4" w:space="0" w:color="auto"/>
            </w:tcBorders>
          </w:tcPr>
          <w:p w14:paraId="6D59BEA9" w14:textId="77777777" w:rsidR="00677F12" w:rsidRPr="00B72E1D" w:rsidRDefault="00677F12" w:rsidP="005F658F">
            <w:pPr>
              <w:pStyle w:val="TableText"/>
              <w:keepNext/>
              <w:keepLines/>
            </w:pPr>
            <w:r w:rsidRPr="00B72E1D">
              <w:t>Not specified</w:t>
            </w:r>
          </w:p>
        </w:tc>
        <w:tc>
          <w:tcPr>
            <w:tcW w:w="1591" w:type="dxa"/>
          </w:tcPr>
          <w:p w14:paraId="26F45806" w14:textId="77777777" w:rsidR="00677F12" w:rsidRPr="00B72E1D" w:rsidRDefault="00677F12" w:rsidP="005F658F">
            <w:pPr>
              <w:pStyle w:val="TableText"/>
              <w:keepNext/>
              <w:keepLines/>
              <w:rPr>
                <w:szCs w:val="20"/>
              </w:rPr>
            </w:pPr>
            <w:r w:rsidRPr="00B72E1D">
              <w:rPr>
                <w:szCs w:val="20"/>
              </w:rPr>
              <w:t>3 of any Level 2 PSG studies</w:t>
            </w:r>
          </w:p>
        </w:tc>
      </w:tr>
      <w:tr w:rsidR="00677F12" w14:paraId="5D01B5D0" w14:textId="77777777" w:rsidTr="00A77078">
        <w:tc>
          <w:tcPr>
            <w:tcW w:w="2972" w:type="dxa"/>
            <w:gridSpan w:val="3"/>
            <w:tcBorders>
              <w:right w:val="nil"/>
            </w:tcBorders>
          </w:tcPr>
          <w:p w14:paraId="1C3AEB0B" w14:textId="200F1459" w:rsidR="00677F12" w:rsidRPr="00F353BE" w:rsidRDefault="00A77078" w:rsidP="005F658F">
            <w:pPr>
              <w:pStyle w:val="TableText"/>
              <w:keepNext/>
              <w:keepLines/>
              <w:rPr>
                <w:b/>
                <w:bCs/>
              </w:rPr>
            </w:pPr>
            <w:r>
              <w:rPr>
                <w:b/>
                <w:bCs/>
              </w:rPr>
              <w:t>Applicant proposal</w:t>
            </w:r>
            <w:r w:rsidRPr="00F353BE">
              <w:rPr>
                <w:b/>
                <w:bCs/>
              </w:rPr>
              <w:t xml:space="preserve"> </w:t>
            </w:r>
            <w:r w:rsidR="00677F12" w:rsidRPr="00F353BE">
              <w:rPr>
                <w:b/>
                <w:bCs/>
              </w:rPr>
              <w:t>(DCAR 1712.1)</w:t>
            </w:r>
          </w:p>
        </w:tc>
        <w:tc>
          <w:tcPr>
            <w:tcW w:w="567" w:type="dxa"/>
            <w:gridSpan w:val="3"/>
            <w:tcBorders>
              <w:left w:val="nil"/>
              <w:right w:val="nil"/>
            </w:tcBorders>
          </w:tcPr>
          <w:p w14:paraId="1B57C31D" w14:textId="77777777" w:rsidR="00677F12" w:rsidRPr="00F353BE" w:rsidRDefault="00677F12" w:rsidP="005F658F">
            <w:pPr>
              <w:pStyle w:val="TableText"/>
              <w:keepNext/>
              <w:keepLines/>
              <w:rPr>
                <w:b/>
                <w:bCs/>
              </w:rPr>
            </w:pPr>
          </w:p>
        </w:tc>
        <w:tc>
          <w:tcPr>
            <w:tcW w:w="917" w:type="dxa"/>
            <w:tcBorders>
              <w:left w:val="nil"/>
              <w:right w:val="nil"/>
            </w:tcBorders>
          </w:tcPr>
          <w:p w14:paraId="10E4F945" w14:textId="77777777" w:rsidR="00677F12" w:rsidRPr="00F353BE" w:rsidRDefault="00677F12" w:rsidP="005F658F">
            <w:pPr>
              <w:pStyle w:val="TableText"/>
              <w:keepNext/>
              <w:keepLines/>
              <w:rPr>
                <w:b/>
                <w:bCs/>
              </w:rPr>
            </w:pPr>
          </w:p>
        </w:tc>
        <w:tc>
          <w:tcPr>
            <w:tcW w:w="1707" w:type="dxa"/>
            <w:tcBorders>
              <w:left w:val="nil"/>
              <w:right w:val="nil"/>
            </w:tcBorders>
          </w:tcPr>
          <w:p w14:paraId="3B3B755A" w14:textId="77777777" w:rsidR="00677F12" w:rsidRPr="00F353BE" w:rsidRDefault="00677F12" w:rsidP="005F658F">
            <w:pPr>
              <w:pStyle w:val="TableText"/>
              <w:keepNext/>
              <w:keepLines/>
              <w:rPr>
                <w:b/>
                <w:bCs/>
                <w:szCs w:val="20"/>
              </w:rPr>
            </w:pPr>
          </w:p>
        </w:tc>
        <w:tc>
          <w:tcPr>
            <w:tcW w:w="1262" w:type="dxa"/>
            <w:tcBorders>
              <w:left w:val="nil"/>
              <w:right w:val="nil"/>
            </w:tcBorders>
          </w:tcPr>
          <w:p w14:paraId="7311DAC1" w14:textId="77777777" w:rsidR="00677F12" w:rsidRPr="00F353BE" w:rsidRDefault="00677F12" w:rsidP="005F658F">
            <w:pPr>
              <w:pStyle w:val="TableText"/>
              <w:keepNext/>
              <w:keepLines/>
              <w:rPr>
                <w:b/>
                <w:bCs/>
              </w:rPr>
            </w:pPr>
          </w:p>
        </w:tc>
        <w:tc>
          <w:tcPr>
            <w:tcW w:w="1591" w:type="dxa"/>
            <w:tcBorders>
              <w:left w:val="nil"/>
            </w:tcBorders>
            <w:vAlign w:val="center"/>
          </w:tcPr>
          <w:p w14:paraId="0F020EE2" w14:textId="77777777" w:rsidR="00677F12" w:rsidRPr="00F353BE" w:rsidRDefault="00677F12" w:rsidP="005F658F">
            <w:pPr>
              <w:pStyle w:val="TableText"/>
              <w:keepNext/>
              <w:keepLines/>
              <w:rPr>
                <w:b/>
                <w:bCs/>
                <w:szCs w:val="20"/>
              </w:rPr>
            </w:pPr>
          </w:p>
        </w:tc>
      </w:tr>
      <w:tr w:rsidR="00677F12" w14:paraId="1FB259D4" w14:textId="77777777">
        <w:tc>
          <w:tcPr>
            <w:tcW w:w="1246" w:type="dxa"/>
          </w:tcPr>
          <w:p w14:paraId="25A8D1DE" w14:textId="77777777" w:rsidR="00677F12" w:rsidRDefault="00677F12" w:rsidP="005F658F">
            <w:pPr>
              <w:pStyle w:val="TableText"/>
              <w:keepNext/>
              <w:keepLines/>
            </w:pPr>
            <w:r>
              <w:t>AAAA</w:t>
            </w:r>
          </w:p>
        </w:tc>
        <w:tc>
          <w:tcPr>
            <w:tcW w:w="1814" w:type="dxa"/>
            <w:gridSpan w:val="3"/>
          </w:tcPr>
          <w:p w14:paraId="5887FB4D" w14:textId="77777777" w:rsidR="00677F12" w:rsidRDefault="00677F12" w:rsidP="005F658F">
            <w:pPr>
              <w:pStyle w:val="TableText"/>
              <w:keepNext/>
              <w:keepLines/>
            </w:pPr>
            <w:r>
              <w:t xml:space="preserve">Children </w:t>
            </w:r>
            <w:r>
              <w:br/>
              <w:t>(3 to 11, inclusive)</w:t>
            </w:r>
          </w:p>
        </w:tc>
        <w:tc>
          <w:tcPr>
            <w:tcW w:w="1396" w:type="dxa"/>
            <w:gridSpan w:val="3"/>
          </w:tcPr>
          <w:p w14:paraId="73C0A803" w14:textId="77777777" w:rsidR="00677F12" w:rsidRDefault="00677F12" w:rsidP="005F658F">
            <w:pPr>
              <w:pStyle w:val="TableText"/>
              <w:keepNext/>
              <w:keepLines/>
            </w:pPr>
            <w:r>
              <w:t>$507.00</w:t>
            </w:r>
          </w:p>
        </w:tc>
        <w:tc>
          <w:tcPr>
            <w:tcW w:w="1707" w:type="dxa"/>
          </w:tcPr>
          <w:p w14:paraId="40FA82A3" w14:textId="77777777" w:rsidR="00677F12" w:rsidRDefault="00677F12" w:rsidP="005F658F">
            <w:pPr>
              <w:pStyle w:val="TableText"/>
              <w:keepNext/>
              <w:keepLines/>
            </w:pPr>
            <w:r w:rsidRPr="00246A95">
              <w:rPr>
                <w:szCs w:val="20"/>
              </w:rPr>
              <w:t>Investigation of suspected OSA</w:t>
            </w:r>
          </w:p>
        </w:tc>
        <w:tc>
          <w:tcPr>
            <w:tcW w:w="1262" w:type="dxa"/>
          </w:tcPr>
          <w:p w14:paraId="65727151" w14:textId="6B9312A2" w:rsidR="00677F12" w:rsidRDefault="00677F12" w:rsidP="005F658F">
            <w:pPr>
              <w:pStyle w:val="TableText"/>
              <w:keepNext/>
              <w:keepLines/>
            </w:pPr>
            <w:r>
              <w:t xml:space="preserve">Not specified </w:t>
            </w:r>
          </w:p>
        </w:tc>
        <w:tc>
          <w:tcPr>
            <w:tcW w:w="1591" w:type="dxa"/>
          </w:tcPr>
          <w:p w14:paraId="727222EA" w14:textId="4F7B5D81" w:rsidR="00677F12" w:rsidRDefault="00677F12" w:rsidP="005F658F">
            <w:pPr>
              <w:pStyle w:val="TableText"/>
              <w:keepNext/>
              <w:keepLines/>
            </w:pPr>
            <w:r w:rsidRPr="00246A95">
              <w:rPr>
                <w:szCs w:val="20"/>
              </w:rPr>
              <w:t xml:space="preserve">3 </w:t>
            </w:r>
            <w:r>
              <w:rPr>
                <w:szCs w:val="20"/>
              </w:rPr>
              <w:t>Level 2 PSG studies</w:t>
            </w:r>
          </w:p>
        </w:tc>
      </w:tr>
      <w:tr w:rsidR="00677F12" w14:paraId="3888ACD5" w14:textId="77777777">
        <w:tc>
          <w:tcPr>
            <w:tcW w:w="1246" w:type="dxa"/>
          </w:tcPr>
          <w:p w14:paraId="182CE65F" w14:textId="77777777" w:rsidR="00677F12" w:rsidRDefault="00677F12" w:rsidP="005F658F">
            <w:pPr>
              <w:pStyle w:val="TableText"/>
              <w:keepNext/>
              <w:keepLines/>
            </w:pPr>
            <w:r>
              <w:t>BBBB</w:t>
            </w:r>
          </w:p>
        </w:tc>
        <w:tc>
          <w:tcPr>
            <w:tcW w:w="1814" w:type="dxa"/>
            <w:gridSpan w:val="3"/>
          </w:tcPr>
          <w:p w14:paraId="0D8E8183" w14:textId="77777777" w:rsidR="00677F12" w:rsidRDefault="00677F12" w:rsidP="005F658F">
            <w:pPr>
              <w:pStyle w:val="TableText"/>
              <w:keepNext/>
              <w:keepLines/>
            </w:pPr>
            <w:r>
              <w:t xml:space="preserve">Adolescents </w:t>
            </w:r>
            <w:r>
              <w:br/>
              <w:t>(12 to 17, inclusive)</w:t>
            </w:r>
          </w:p>
        </w:tc>
        <w:tc>
          <w:tcPr>
            <w:tcW w:w="1396" w:type="dxa"/>
            <w:gridSpan w:val="3"/>
          </w:tcPr>
          <w:p w14:paraId="2F0B3E81" w14:textId="77777777" w:rsidR="00677F12" w:rsidRDefault="00677F12" w:rsidP="005F658F">
            <w:pPr>
              <w:pStyle w:val="TableText"/>
              <w:keepNext/>
              <w:keepLines/>
            </w:pPr>
            <w:r w:rsidRPr="007F1416">
              <w:t>$4</w:t>
            </w:r>
            <w:r>
              <w:t>7</w:t>
            </w:r>
            <w:r w:rsidRPr="007F1416">
              <w:t>4.00</w:t>
            </w:r>
          </w:p>
        </w:tc>
        <w:tc>
          <w:tcPr>
            <w:tcW w:w="1707" w:type="dxa"/>
          </w:tcPr>
          <w:p w14:paraId="5D69B261" w14:textId="77777777" w:rsidR="00677F12" w:rsidRDefault="00677F12" w:rsidP="005F658F">
            <w:pPr>
              <w:pStyle w:val="TableText"/>
              <w:keepNext/>
              <w:keepLines/>
            </w:pPr>
            <w:r w:rsidRPr="00246A95">
              <w:rPr>
                <w:szCs w:val="20"/>
              </w:rPr>
              <w:t>Investigation of suspected OSA</w:t>
            </w:r>
          </w:p>
        </w:tc>
        <w:tc>
          <w:tcPr>
            <w:tcW w:w="1262" w:type="dxa"/>
          </w:tcPr>
          <w:p w14:paraId="3AED1312" w14:textId="1DFA65FE" w:rsidR="00677F12" w:rsidRDefault="00677F12" w:rsidP="005F658F">
            <w:pPr>
              <w:pStyle w:val="TableText"/>
              <w:keepNext/>
              <w:keepLines/>
            </w:pPr>
            <w:r>
              <w:t xml:space="preserve">Not specified </w:t>
            </w:r>
          </w:p>
        </w:tc>
        <w:tc>
          <w:tcPr>
            <w:tcW w:w="1591" w:type="dxa"/>
          </w:tcPr>
          <w:p w14:paraId="34017F98" w14:textId="2A278217" w:rsidR="00677F12" w:rsidRDefault="00677F12" w:rsidP="005F658F">
            <w:pPr>
              <w:pStyle w:val="TableText"/>
              <w:keepNext/>
              <w:keepLines/>
            </w:pPr>
            <w:r w:rsidRPr="00246A95">
              <w:rPr>
                <w:szCs w:val="20"/>
              </w:rPr>
              <w:t xml:space="preserve">3 </w:t>
            </w:r>
            <w:r>
              <w:rPr>
                <w:szCs w:val="20"/>
              </w:rPr>
              <w:t>Level 2 PSG studies</w:t>
            </w:r>
          </w:p>
        </w:tc>
      </w:tr>
      <w:tr w:rsidR="00677F12" w14:paraId="41CE54D8" w14:textId="77777777">
        <w:tc>
          <w:tcPr>
            <w:tcW w:w="1246" w:type="dxa"/>
          </w:tcPr>
          <w:p w14:paraId="6E5B2D36" w14:textId="77777777" w:rsidR="00677F12" w:rsidRDefault="00677F12" w:rsidP="005F658F">
            <w:pPr>
              <w:pStyle w:val="TableText"/>
              <w:keepNext/>
              <w:keepLines/>
            </w:pPr>
            <w:r>
              <w:t>CCCC</w:t>
            </w:r>
          </w:p>
        </w:tc>
        <w:tc>
          <w:tcPr>
            <w:tcW w:w="1814" w:type="dxa"/>
            <w:gridSpan w:val="3"/>
          </w:tcPr>
          <w:p w14:paraId="3AE2558C" w14:textId="77777777" w:rsidR="00677F12" w:rsidRDefault="00677F12" w:rsidP="005F658F">
            <w:pPr>
              <w:pStyle w:val="TableText"/>
              <w:keepNext/>
              <w:keepLines/>
            </w:pPr>
            <w:r>
              <w:t xml:space="preserve">Children </w:t>
            </w:r>
            <w:r>
              <w:br/>
              <w:t>(3 to 11, inclusive)</w:t>
            </w:r>
          </w:p>
        </w:tc>
        <w:tc>
          <w:tcPr>
            <w:tcW w:w="1396" w:type="dxa"/>
            <w:gridSpan w:val="3"/>
          </w:tcPr>
          <w:p w14:paraId="17F8A91D" w14:textId="77777777" w:rsidR="00677F12" w:rsidRDefault="00677F12" w:rsidP="005F658F">
            <w:pPr>
              <w:pStyle w:val="TableText"/>
              <w:keepNext/>
              <w:keepLines/>
            </w:pPr>
            <w:r w:rsidRPr="007F1416">
              <w:t>$</w:t>
            </w:r>
            <w:r>
              <w:t>623</w:t>
            </w:r>
            <w:r w:rsidRPr="007F1416">
              <w:t>.</w:t>
            </w:r>
            <w:r>
              <w:t>5</w:t>
            </w:r>
            <w:r w:rsidRPr="007F1416">
              <w:t>0</w:t>
            </w:r>
          </w:p>
        </w:tc>
        <w:tc>
          <w:tcPr>
            <w:tcW w:w="1707" w:type="dxa"/>
          </w:tcPr>
          <w:p w14:paraId="397C7B6D" w14:textId="77777777" w:rsidR="00677F12" w:rsidRDefault="00677F12" w:rsidP="005F658F">
            <w:pPr>
              <w:pStyle w:val="TableText"/>
              <w:keepNext/>
              <w:keepLines/>
            </w:pPr>
            <w:r w:rsidRPr="00246A95">
              <w:rPr>
                <w:szCs w:val="20"/>
              </w:rPr>
              <w:t>Investigation of suspected OSA</w:t>
            </w:r>
          </w:p>
        </w:tc>
        <w:tc>
          <w:tcPr>
            <w:tcW w:w="1262" w:type="dxa"/>
          </w:tcPr>
          <w:p w14:paraId="7797DFC8" w14:textId="77777777" w:rsidR="00677F12" w:rsidRDefault="00677F12" w:rsidP="005F658F">
            <w:pPr>
              <w:pStyle w:val="TableText"/>
              <w:keepNext/>
              <w:keepLines/>
            </w:pPr>
            <w:r>
              <w:t>MM 3-7</w:t>
            </w:r>
          </w:p>
        </w:tc>
        <w:tc>
          <w:tcPr>
            <w:tcW w:w="1591" w:type="dxa"/>
          </w:tcPr>
          <w:p w14:paraId="1870FE09" w14:textId="48B66467" w:rsidR="00677F12" w:rsidRDefault="00677F12" w:rsidP="005F658F">
            <w:pPr>
              <w:pStyle w:val="TableText"/>
              <w:keepNext/>
              <w:keepLines/>
            </w:pPr>
            <w:r w:rsidRPr="00246A95">
              <w:rPr>
                <w:szCs w:val="20"/>
              </w:rPr>
              <w:t xml:space="preserve">3 </w:t>
            </w:r>
            <w:r>
              <w:rPr>
                <w:szCs w:val="20"/>
              </w:rPr>
              <w:t>Level 2 PSG studies</w:t>
            </w:r>
          </w:p>
        </w:tc>
      </w:tr>
      <w:tr w:rsidR="00677F12" w14:paraId="179CD200" w14:textId="77777777">
        <w:tc>
          <w:tcPr>
            <w:tcW w:w="1246" w:type="dxa"/>
          </w:tcPr>
          <w:p w14:paraId="2399B771" w14:textId="77777777" w:rsidR="00677F12" w:rsidRDefault="00677F12" w:rsidP="005F658F">
            <w:pPr>
              <w:pStyle w:val="TableText"/>
              <w:keepNext/>
              <w:keepLines/>
            </w:pPr>
            <w:r>
              <w:t>DDDD</w:t>
            </w:r>
          </w:p>
        </w:tc>
        <w:tc>
          <w:tcPr>
            <w:tcW w:w="1814" w:type="dxa"/>
            <w:gridSpan w:val="3"/>
          </w:tcPr>
          <w:p w14:paraId="5B1F1CC7" w14:textId="77777777" w:rsidR="00677F12" w:rsidRDefault="00677F12" w:rsidP="005F658F">
            <w:pPr>
              <w:pStyle w:val="TableText"/>
              <w:keepNext/>
              <w:keepLines/>
            </w:pPr>
            <w:r>
              <w:t xml:space="preserve">Adolescents </w:t>
            </w:r>
            <w:r>
              <w:br/>
              <w:t>(12 to 17, inclusive)</w:t>
            </w:r>
          </w:p>
        </w:tc>
        <w:tc>
          <w:tcPr>
            <w:tcW w:w="1396" w:type="dxa"/>
            <w:gridSpan w:val="3"/>
          </w:tcPr>
          <w:p w14:paraId="539FD702" w14:textId="77777777" w:rsidR="00677F12" w:rsidRDefault="00677F12" w:rsidP="005F658F">
            <w:pPr>
              <w:pStyle w:val="TableText"/>
              <w:keepNext/>
              <w:keepLines/>
            </w:pPr>
            <w:r w:rsidRPr="007F1416">
              <w:t>$5</w:t>
            </w:r>
            <w:r>
              <w:t>90</w:t>
            </w:r>
            <w:r w:rsidRPr="007F1416">
              <w:t>.</w:t>
            </w:r>
            <w:r>
              <w:t>5</w:t>
            </w:r>
            <w:r w:rsidRPr="007F1416">
              <w:t>0</w:t>
            </w:r>
          </w:p>
        </w:tc>
        <w:tc>
          <w:tcPr>
            <w:tcW w:w="1707" w:type="dxa"/>
          </w:tcPr>
          <w:p w14:paraId="360843F7" w14:textId="77777777" w:rsidR="00677F12" w:rsidRDefault="00677F12" w:rsidP="005F658F">
            <w:pPr>
              <w:pStyle w:val="TableText"/>
              <w:keepNext/>
              <w:keepLines/>
            </w:pPr>
            <w:r w:rsidRPr="00246A95">
              <w:rPr>
                <w:szCs w:val="20"/>
              </w:rPr>
              <w:t>Investigation of suspected OSA</w:t>
            </w:r>
          </w:p>
        </w:tc>
        <w:tc>
          <w:tcPr>
            <w:tcW w:w="1262" w:type="dxa"/>
          </w:tcPr>
          <w:p w14:paraId="76242535" w14:textId="77777777" w:rsidR="00677F12" w:rsidRDefault="00677F12" w:rsidP="005F658F">
            <w:pPr>
              <w:pStyle w:val="TableText"/>
              <w:keepNext/>
              <w:keepLines/>
            </w:pPr>
            <w:r>
              <w:t>MM 3-7</w:t>
            </w:r>
          </w:p>
        </w:tc>
        <w:tc>
          <w:tcPr>
            <w:tcW w:w="1591" w:type="dxa"/>
          </w:tcPr>
          <w:p w14:paraId="63B45139" w14:textId="1836982A" w:rsidR="00677F12" w:rsidRDefault="00677F12" w:rsidP="005F658F">
            <w:pPr>
              <w:pStyle w:val="TableText"/>
              <w:keepNext/>
              <w:keepLines/>
            </w:pPr>
            <w:r w:rsidRPr="00246A95">
              <w:rPr>
                <w:szCs w:val="20"/>
              </w:rPr>
              <w:t xml:space="preserve">3 </w:t>
            </w:r>
            <w:r>
              <w:rPr>
                <w:szCs w:val="20"/>
              </w:rPr>
              <w:t>Level 2 PSG studies</w:t>
            </w:r>
          </w:p>
        </w:tc>
      </w:tr>
      <w:tr w:rsidR="00C62F5B" w14:paraId="5E682DF6" w14:textId="77777777" w:rsidTr="006929B4">
        <w:tc>
          <w:tcPr>
            <w:tcW w:w="3060" w:type="dxa"/>
            <w:gridSpan w:val="4"/>
            <w:tcBorders>
              <w:right w:val="nil"/>
            </w:tcBorders>
          </w:tcPr>
          <w:p w14:paraId="2AE7F0DF" w14:textId="77777777" w:rsidR="00C62F5B" w:rsidRPr="00F353BE" w:rsidRDefault="00C62F5B" w:rsidP="005F658F">
            <w:pPr>
              <w:pStyle w:val="TableText"/>
              <w:keepNext/>
              <w:keepLines/>
              <w:rPr>
                <w:b/>
                <w:bCs/>
              </w:rPr>
            </w:pPr>
            <w:r>
              <w:rPr>
                <w:b/>
                <w:bCs/>
              </w:rPr>
              <w:t>Department proposal</w:t>
            </w:r>
            <w:r w:rsidRPr="00F353BE">
              <w:rPr>
                <w:b/>
                <w:bCs/>
              </w:rPr>
              <w:t xml:space="preserve"> (DCAR 1712.1)</w:t>
            </w:r>
          </w:p>
        </w:tc>
        <w:tc>
          <w:tcPr>
            <w:tcW w:w="337" w:type="dxa"/>
            <w:tcBorders>
              <w:left w:val="nil"/>
              <w:right w:val="nil"/>
            </w:tcBorders>
          </w:tcPr>
          <w:p w14:paraId="1F105DF6" w14:textId="77777777" w:rsidR="00C62F5B" w:rsidRPr="00F353BE" w:rsidRDefault="00C62F5B" w:rsidP="005F658F">
            <w:pPr>
              <w:pStyle w:val="TableText"/>
              <w:keepNext/>
              <w:keepLines/>
              <w:rPr>
                <w:b/>
                <w:bCs/>
              </w:rPr>
            </w:pPr>
          </w:p>
        </w:tc>
        <w:tc>
          <w:tcPr>
            <w:tcW w:w="1059" w:type="dxa"/>
            <w:gridSpan w:val="2"/>
            <w:tcBorders>
              <w:left w:val="nil"/>
              <w:right w:val="nil"/>
            </w:tcBorders>
          </w:tcPr>
          <w:p w14:paraId="51F17860" w14:textId="77777777" w:rsidR="00C62F5B" w:rsidRPr="00F353BE" w:rsidRDefault="00C62F5B" w:rsidP="005F658F">
            <w:pPr>
              <w:pStyle w:val="TableText"/>
              <w:keepNext/>
              <w:keepLines/>
              <w:rPr>
                <w:b/>
                <w:bCs/>
              </w:rPr>
            </w:pPr>
          </w:p>
        </w:tc>
        <w:tc>
          <w:tcPr>
            <w:tcW w:w="1707" w:type="dxa"/>
            <w:tcBorders>
              <w:left w:val="nil"/>
              <w:right w:val="nil"/>
            </w:tcBorders>
          </w:tcPr>
          <w:p w14:paraId="37A3E071" w14:textId="77777777" w:rsidR="00C62F5B" w:rsidRPr="00F353BE" w:rsidRDefault="00C62F5B" w:rsidP="005F658F">
            <w:pPr>
              <w:pStyle w:val="TableText"/>
              <w:keepNext/>
              <w:keepLines/>
              <w:rPr>
                <w:b/>
                <w:bCs/>
                <w:szCs w:val="20"/>
              </w:rPr>
            </w:pPr>
          </w:p>
        </w:tc>
        <w:tc>
          <w:tcPr>
            <w:tcW w:w="1262" w:type="dxa"/>
            <w:tcBorders>
              <w:left w:val="nil"/>
              <w:right w:val="nil"/>
            </w:tcBorders>
          </w:tcPr>
          <w:p w14:paraId="24E61DE1" w14:textId="77777777" w:rsidR="00C62F5B" w:rsidRPr="00F353BE" w:rsidRDefault="00C62F5B" w:rsidP="005F658F">
            <w:pPr>
              <w:pStyle w:val="TableText"/>
              <w:keepNext/>
              <w:keepLines/>
              <w:rPr>
                <w:b/>
                <w:bCs/>
              </w:rPr>
            </w:pPr>
          </w:p>
        </w:tc>
        <w:tc>
          <w:tcPr>
            <w:tcW w:w="1591" w:type="dxa"/>
            <w:tcBorders>
              <w:left w:val="nil"/>
            </w:tcBorders>
            <w:vAlign w:val="center"/>
          </w:tcPr>
          <w:p w14:paraId="2B14F783" w14:textId="77777777" w:rsidR="00C62F5B" w:rsidRPr="00F353BE" w:rsidRDefault="00C62F5B" w:rsidP="005F658F">
            <w:pPr>
              <w:pStyle w:val="TableText"/>
              <w:keepNext/>
              <w:keepLines/>
              <w:rPr>
                <w:b/>
                <w:bCs/>
                <w:szCs w:val="20"/>
              </w:rPr>
            </w:pPr>
          </w:p>
        </w:tc>
      </w:tr>
      <w:tr w:rsidR="00C62F5B" w14:paraId="77A99251" w14:textId="77777777">
        <w:tc>
          <w:tcPr>
            <w:tcW w:w="1246" w:type="dxa"/>
          </w:tcPr>
          <w:p w14:paraId="5DB81A3F" w14:textId="77777777" w:rsidR="00C62F5B" w:rsidRDefault="00C62F5B" w:rsidP="005F658F">
            <w:pPr>
              <w:pStyle w:val="TableText"/>
              <w:keepNext/>
              <w:keepLines/>
            </w:pPr>
            <w:r>
              <w:t>AAAA</w:t>
            </w:r>
          </w:p>
        </w:tc>
        <w:tc>
          <w:tcPr>
            <w:tcW w:w="1814" w:type="dxa"/>
            <w:gridSpan w:val="3"/>
          </w:tcPr>
          <w:p w14:paraId="7AD3C198" w14:textId="77777777" w:rsidR="00C62F5B" w:rsidRDefault="00C62F5B" w:rsidP="005F658F">
            <w:pPr>
              <w:pStyle w:val="TableText"/>
              <w:keepNext/>
              <w:keepLines/>
            </w:pPr>
            <w:r>
              <w:t xml:space="preserve">Children </w:t>
            </w:r>
            <w:r>
              <w:br/>
              <w:t>(3 to 11, inclusive)</w:t>
            </w:r>
          </w:p>
        </w:tc>
        <w:tc>
          <w:tcPr>
            <w:tcW w:w="1396" w:type="dxa"/>
            <w:gridSpan w:val="3"/>
          </w:tcPr>
          <w:p w14:paraId="28B6D4D6" w14:textId="77777777" w:rsidR="00C62F5B" w:rsidRDefault="00C62F5B" w:rsidP="005F658F">
            <w:pPr>
              <w:pStyle w:val="TableText"/>
              <w:keepNext/>
              <w:keepLines/>
            </w:pPr>
            <w:r>
              <w:t>$507.00</w:t>
            </w:r>
          </w:p>
        </w:tc>
        <w:tc>
          <w:tcPr>
            <w:tcW w:w="1707" w:type="dxa"/>
          </w:tcPr>
          <w:p w14:paraId="090FEFE2" w14:textId="77777777" w:rsidR="00C62F5B" w:rsidRDefault="00C62F5B" w:rsidP="005F658F">
            <w:pPr>
              <w:pStyle w:val="TableText"/>
              <w:keepNext/>
              <w:keepLines/>
            </w:pPr>
            <w:r w:rsidRPr="00246A95">
              <w:rPr>
                <w:szCs w:val="20"/>
              </w:rPr>
              <w:t>Investigation of suspected OSA</w:t>
            </w:r>
          </w:p>
        </w:tc>
        <w:tc>
          <w:tcPr>
            <w:tcW w:w="1262" w:type="dxa"/>
          </w:tcPr>
          <w:p w14:paraId="43727849" w14:textId="77777777" w:rsidR="00C62F5B" w:rsidRDefault="00C62F5B" w:rsidP="005F658F">
            <w:pPr>
              <w:pStyle w:val="TableText"/>
              <w:keepNext/>
              <w:keepLines/>
            </w:pPr>
            <w:r>
              <w:t xml:space="preserve">Not specified </w:t>
            </w:r>
          </w:p>
        </w:tc>
        <w:tc>
          <w:tcPr>
            <w:tcW w:w="1591" w:type="dxa"/>
          </w:tcPr>
          <w:p w14:paraId="197D516D" w14:textId="77777777" w:rsidR="00C62F5B" w:rsidRDefault="00C62F5B" w:rsidP="005F658F">
            <w:pPr>
              <w:pStyle w:val="TableText"/>
              <w:keepNext/>
              <w:keepLines/>
            </w:pPr>
            <w:r w:rsidRPr="00246A95">
              <w:rPr>
                <w:szCs w:val="20"/>
              </w:rPr>
              <w:t xml:space="preserve">3 </w:t>
            </w:r>
            <w:r>
              <w:rPr>
                <w:szCs w:val="20"/>
              </w:rPr>
              <w:t>of AAAA and BBBB</w:t>
            </w:r>
          </w:p>
        </w:tc>
      </w:tr>
      <w:tr w:rsidR="00C62F5B" w14:paraId="5D42A4E1" w14:textId="77777777">
        <w:tc>
          <w:tcPr>
            <w:tcW w:w="1246" w:type="dxa"/>
          </w:tcPr>
          <w:p w14:paraId="3F5F37D2" w14:textId="77777777" w:rsidR="00C62F5B" w:rsidRDefault="00C62F5B" w:rsidP="005F658F">
            <w:pPr>
              <w:pStyle w:val="TableText"/>
              <w:keepNext/>
              <w:keepLines/>
            </w:pPr>
            <w:r>
              <w:t>BBBB</w:t>
            </w:r>
          </w:p>
        </w:tc>
        <w:tc>
          <w:tcPr>
            <w:tcW w:w="1814" w:type="dxa"/>
            <w:gridSpan w:val="3"/>
          </w:tcPr>
          <w:p w14:paraId="42ED39A6" w14:textId="77777777" w:rsidR="00C62F5B" w:rsidRDefault="00C62F5B" w:rsidP="005F658F">
            <w:pPr>
              <w:pStyle w:val="TableText"/>
              <w:keepNext/>
              <w:keepLines/>
            </w:pPr>
            <w:r>
              <w:t xml:space="preserve">Adolescents </w:t>
            </w:r>
            <w:r>
              <w:br/>
              <w:t>(12 to 17, inclusive)</w:t>
            </w:r>
          </w:p>
        </w:tc>
        <w:tc>
          <w:tcPr>
            <w:tcW w:w="1396" w:type="dxa"/>
            <w:gridSpan w:val="3"/>
          </w:tcPr>
          <w:p w14:paraId="21C95E49" w14:textId="77777777" w:rsidR="00C62F5B" w:rsidRDefault="00C62F5B" w:rsidP="005F658F">
            <w:pPr>
              <w:pStyle w:val="TableText"/>
              <w:keepNext/>
              <w:keepLines/>
            </w:pPr>
            <w:r w:rsidRPr="007F1416">
              <w:t>$4</w:t>
            </w:r>
            <w:r>
              <w:t>7</w:t>
            </w:r>
            <w:r w:rsidRPr="007F1416">
              <w:t>4.00</w:t>
            </w:r>
          </w:p>
        </w:tc>
        <w:tc>
          <w:tcPr>
            <w:tcW w:w="1707" w:type="dxa"/>
          </w:tcPr>
          <w:p w14:paraId="4532ED36" w14:textId="77777777" w:rsidR="00C62F5B" w:rsidRDefault="00C62F5B" w:rsidP="005F658F">
            <w:pPr>
              <w:pStyle w:val="TableText"/>
              <w:keepNext/>
              <w:keepLines/>
            </w:pPr>
            <w:r w:rsidRPr="00246A95">
              <w:rPr>
                <w:szCs w:val="20"/>
              </w:rPr>
              <w:t>Investigation of suspected OSA</w:t>
            </w:r>
          </w:p>
        </w:tc>
        <w:tc>
          <w:tcPr>
            <w:tcW w:w="1262" w:type="dxa"/>
          </w:tcPr>
          <w:p w14:paraId="4DC31086" w14:textId="77777777" w:rsidR="00C62F5B" w:rsidRDefault="00C62F5B" w:rsidP="005F658F">
            <w:pPr>
              <w:pStyle w:val="TableText"/>
              <w:keepNext/>
              <w:keepLines/>
            </w:pPr>
            <w:r>
              <w:t xml:space="preserve">Not specified </w:t>
            </w:r>
          </w:p>
        </w:tc>
        <w:tc>
          <w:tcPr>
            <w:tcW w:w="1591" w:type="dxa"/>
          </w:tcPr>
          <w:p w14:paraId="4F5DD1B3" w14:textId="77777777" w:rsidR="00C62F5B" w:rsidRDefault="00C62F5B" w:rsidP="005F658F">
            <w:pPr>
              <w:pStyle w:val="TableText"/>
              <w:keepNext/>
              <w:keepLines/>
            </w:pPr>
            <w:r w:rsidRPr="00246A95">
              <w:rPr>
                <w:szCs w:val="20"/>
              </w:rPr>
              <w:t xml:space="preserve">3 </w:t>
            </w:r>
            <w:r>
              <w:rPr>
                <w:szCs w:val="20"/>
              </w:rPr>
              <w:t>of AAAA and BBBB</w:t>
            </w:r>
          </w:p>
        </w:tc>
      </w:tr>
      <w:tr w:rsidR="00C62F5B" w14:paraId="24E29A51" w14:textId="77777777">
        <w:tc>
          <w:tcPr>
            <w:tcW w:w="1246" w:type="dxa"/>
          </w:tcPr>
          <w:p w14:paraId="60BC384F" w14:textId="77777777" w:rsidR="00C62F5B" w:rsidRDefault="00C62F5B" w:rsidP="005F658F">
            <w:pPr>
              <w:pStyle w:val="TableText"/>
              <w:keepNext/>
              <w:keepLines/>
            </w:pPr>
            <w:r>
              <w:t>CCCC</w:t>
            </w:r>
          </w:p>
        </w:tc>
        <w:tc>
          <w:tcPr>
            <w:tcW w:w="1814" w:type="dxa"/>
            <w:gridSpan w:val="3"/>
          </w:tcPr>
          <w:p w14:paraId="2FC9101B" w14:textId="77777777" w:rsidR="00C62F5B" w:rsidRDefault="00C62F5B" w:rsidP="005F658F">
            <w:pPr>
              <w:pStyle w:val="TableText"/>
              <w:keepNext/>
              <w:keepLines/>
            </w:pPr>
            <w:r>
              <w:t>Paediatric (3 to 17, inclusive)</w:t>
            </w:r>
          </w:p>
        </w:tc>
        <w:tc>
          <w:tcPr>
            <w:tcW w:w="1396" w:type="dxa"/>
            <w:gridSpan w:val="3"/>
          </w:tcPr>
          <w:p w14:paraId="4F7BBABE" w14:textId="77777777" w:rsidR="00C62F5B" w:rsidRPr="007F1416" w:rsidRDefault="00C62F5B" w:rsidP="005F658F">
            <w:pPr>
              <w:pStyle w:val="TableText"/>
              <w:keepNext/>
              <w:keepLines/>
            </w:pPr>
            <w:r>
              <w:t>$115</w:t>
            </w:r>
          </w:p>
        </w:tc>
        <w:tc>
          <w:tcPr>
            <w:tcW w:w="1707" w:type="dxa"/>
          </w:tcPr>
          <w:p w14:paraId="58B7EA2E" w14:textId="77777777" w:rsidR="00C62F5B" w:rsidRPr="00246A95" w:rsidRDefault="00C62F5B" w:rsidP="005F658F">
            <w:pPr>
              <w:pStyle w:val="TableText"/>
              <w:keepNext/>
              <w:keepLines/>
              <w:rPr>
                <w:szCs w:val="20"/>
              </w:rPr>
            </w:pPr>
            <w:r>
              <w:rPr>
                <w:szCs w:val="20"/>
              </w:rPr>
              <w:t>Investigation of suspected OSA – rural loading</w:t>
            </w:r>
          </w:p>
        </w:tc>
        <w:tc>
          <w:tcPr>
            <w:tcW w:w="1262" w:type="dxa"/>
          </w:tcPr>
          <w:p w14:paraId="229FDAC7" w14:textId="77777777" w:rsidR="00C62F5B" w:rsidRDefault="00C62F5B" w:rsidP="005F658F">
            <w:pPr>
              <w:pStyle w:val="TableText"/>
              <w:keepNext/>
              <w:keepLines/>
            </w:pPr>
            <w:r>
              <w:t>MM 3-7</w:t>
            </w:r>
          </w:p>
        </w:tc>
        <w:tc>
          <w:tcPr>
            <w:tcW w:w="1591" w:type="dxa"/>
          </w:tcPr>
          <w:p w14:paraId="6998C5A1" w14:textId="77777777" w:rsidR="00C62F5B" w:rsidRPr="00246A95" w:rsidRDefault="00C62F5B" w:rsidP="005F658F">
            <w:pPr>
              <w:pStyle w:val="TableText"/>
              <w:keepNext/>
              <w:keepLines/>
              <w:rPr>
                <w:szCs w:val="20"/>
              </w:rPr>
            </w:pPr>
            <w:r>
              <w:rPr>
                <w:szCs w:val="20"/>
              </w:rPr>
              <w:t>Not specified</w:t>
            </w:r>
          </w:p>
        </w:tc>
      </w:tr>
    </w:tbl>
    <w:p w14:paraId="66A45C4B" w14:textId="2ED4D5D5" w:rsidR="00196153" w:rsidRDefault="00F353BE" w:rsidP="005F658F">
      <w:pPr>
        <w:pStyle w:val="111Tablefootnoteslast-nostick"/>
        <w:keepNext/>
        <w:keepLines/>
      </w:pPr>
      <w:r>
        <w:t>DCAR = Department Contracted Assessment Report</w:t>
      </w:r>
      <w:r w:rsidR="00624FB7">
        <w:t xml:space="preserve">; </w:t>
      </w:r>
      <w:r w:rsidR="00196153">
        <w:t xml:space="preserve">MBS = Medicare Benefits Schedule; MM = </w:t>
      </w:r>
      <w:r w:rsidR="00196153" w:rsidRPr="00314FAF">
        <w:t xml:space="preserve">Modified Monash </w:t>
      </w:r>
      <w:r w:rsidR="00DB19A3">
        <w:t>category</w:t>
      </w:r>
      <w:r w:rsidR="00196153">
        <w:t>; OSA = obstructive sleep apnoea; PSG = polysomnography.</w:t>
      </w:r>
    </w:p>
    <w:p w14:paraId="485C8536" w14:textId="78A73F9A" w:rsidR="00234C6B" w:rsidRPr="00234C6B" w:rsidRDefault="00234C6B" w:rsidP="00234C6B">
      <w:pPr>
        <w:pStyle w:val="111Tablefootnoteslast-nostick"/>
      </w:pPr>
      <w:r w:rsidRPr="006F1E02">
        <w:t xml:space="preserve">Source: </w:t>
      </w:r>
      <w:r>
        <w:t xml:space="preserve">Table </w:t>
      </w:r>
      <w:r w:rsidR="00530021">
        <w:t>31</w:t>
      </w:r>
      <w:r w:rsidR="00530021" w:rsidRPr="006F1E02">
        <w:t xml:space="preserve"> </w:t>
      </w:r>
      <w:r w:rsidR="00D32186">
        <w:t>of</w:t>
      </w:r>
      <w:r w:rsidRPr="006F1E02">
        <w:t xml:space="preserve"> MSAC Application 1712</w:t>
      </w:r>
      <w:r>
        <w:t>.1</w:t>
      </w:r>
      <w:r w:rsidRPr="006F1E02">
        <w:t>.</w:t>
      </w:r>
    </w:p>
    <w:p w14:paraId="099E14C1" w14:textId="49AC15B8" w:rsidR="002D3CE1" w:rsidRDefault="00B7045E" w:rsidP="00C97DF7">
      <w:r>
        <w:t>In the application proposal, t</w:t>
      </w:r>
      <w:r w:rsidR="006A6244">
        <w:t xml:space="preserve">he main difference in costs for studies undertaken in metropolitan </w:t>
      </w:r>
      <w:r w:rsidR="00BA556D">
        <w:t xml:space="preserve">and regional </w:t>
      </w:r>
      <w:r w:rsidR="006A6244">
        <w:t>centres (MM</w:t>
      </w:r>
      <w:r w:rsidR="006658E1">
        <w:t xml:space="preserve"> </w:t>
      </w:r>
      <w:r w:rsidR="006A6244">
        <w:t>1</w:t>
      </w:r>
      <w:r w:rsidR="000B32F3">
        <w:t xml:space="preserve"> and </w:t>
      </w:r>
      <w:r w:rsidR="006A6244">
        <w:t xml:space="preserve">2) compared to </w:t>
      </w:r>
      <w:r w:rsidR="00F72BB1">
        <w:t xml:space="preserve">rural </w:t>
      </w:r>
      <w:r w:rsidR="006A6244">
        <w:t>and remote (MM 3</w:t>
      </w:r>
      <w:r w:rsidR="000B32F3">
        <w:t xml:space="preserve"> to </w:t>
      </w:r>
      <w:r w:rsidR="006A6244">
        <w:t>7)</w:t>
      </w:r>
      <w:r w:rsidR="009F19CF">
        <w:t xml:space="preserve"> areas</w:t>
      </w:r>
      <w:r w:rsidR="006A6244">
        <w:t xml:space="preserve"> is the additional cost for equipment delivery and postage. This has been estimated a</w:t>
      </w:r>
      <w:r w:rsidR="006161CF">
        <w:t>t</w:t>
      </w:r>
      <w:r w:rsidR="006A6244">
        <w:t xml:space="preserve"> an average cost of $100</w:t>
      </w:r>
      <w:r w:rsidR="00E90EEE">
        <w:t>, with acknowledgement that it would vary by location</w:t>
      </w:r>
      <w:r w:rsidR="006A6244">
        <w:t xml:space="preserve"> (device weighs approximately 3-5 kg and courier costs </w:t>
      </w:r>
      <w:r w:rsidR="00E90EEE">
        <w:t xml:space="preserve">are </w:t>
      </w:r>
      <w:r w:rsidR="006A6244">
        <w:t xml:space="preserve">up to $200 </w:t>
      </w:r>
      <w:r w:rsidR="00753A0F">
        <w:t>for deliveries to</w:t>
      </w:r>
      <w:r w:rsidR="00E90EEE">
        <w:t xml:space="preserve"> </w:t>
      </w:r>
      <w:r w:rsidR="006A6244">
        <w:t xml:space="preserve">far north Queensland). After equipment has been posted, set up would be undertaken via telehealth; this would require additional time as the sleep technician is coaching the parent or carer rather than undertaking the set up themselves. The additional time </w:t>
      </w:r>
      <w:r w:rsidR="00625B54">
        <w:t>was</w:t>
      </w:r>
      <w:r w:rsidR="006A6244">
        <w:t xml:space="preserve"> estimated at 15 minutes. </w:t>
      </w:r>
      <w:r w:rsidR="00C24AD2">
        <w:t>For patients in metropolitan regions, t</w:t>
      </w:r>
      <w:r w:rsidR="00C24AD2" w:rsidRPr="00FD385F">
        <w:t>he proposed MBS item</w:t>
      </w:r>
      <w:r w:rsidR="00476165">
        <w:t>s</w:t>
      </w:r>
      <w:r w:rsidR="00C24AD2" w:rsidRPr="00FD385F">
        <w:t xml:space="preserve"> </w:t>
      </w:r>
      <w:r w:rsidR="00C24AD2">
        <w:t xml:space="preserve">also </w:t>
      </w:r>
      <w:r w:rsidR="00C24AD2" w:rsidRPr="00FD385F">
        <w:t>include the option for telehealth-assisted set up if a justification is provided</w:t>
      </w:r>
      <w:r w:rsidR="00C24AD2">
        <w:t xml:space="preserve">. </w:t>
      </w:r>
    </w:p>
    <w:p w14:paraId="2DE58809" w14:textId="05A5E36D" w:rsidR="00E42A2D" w:rsidRDefault="00902CE7" w:rsidP="00C97DF7">
      <w:r>
        <w:t>I</w:t>
      </w:r>
      <w:r w:rsidR="00C24AD2">
        <w:t>n</w:t>
      </w:r>
      <w:r>
        <w:t xml:space="preserve"> the PSD for</w:t>
      </w:r>
      <w:r w:rsidR="00C24AD2">
        <w:t xml:space="preserve"> Application 1712</w:t>
      </w:r>
      <w:r>
        <w:t>, MSAC</w:t>
      </w:r>
      <w:r w:rsidR="00C24AD2">
        <w:t xml:space="preserve"> advised that an alternative option</w:t>
      </w:r>
      <w:r w:rsidR="00C97DF7">
        <w:t xml:space="preserve"> would be for the leads to be attached by a trained health professional located in the community </w:t>
      </w:r>
      <w:r>
        <w:t>(</w:t>
      </w:r>
      <w:r w:rsidR="00C97DF7">
        <w:t>such as pharmacists</w:t>
      </w:r>
      <w:r>
        <w:t>)</w:t>
      </w:r>
      <w:r w:rsidR="00C97DF7">
        <w:t xml:space="preserve"> but </w:t>
      </w:r>
      <w:r w:rsidR="47CF9944">
        <w:t xml:space="preserve">the applicant did not consider this </w:t>
      </w:r>
      <w:r w:rsidR="7486EC97">
        <w:t xml:space="preserve">an </w:t>
      </w:r>
      <w:r w:rsidR="26C8E129">
        <w:t>appropriate</w:t>
      </w:r>
      <w:r w:rsidR="50821E4A">
        <w:t xml:space="preserve"> option for any </w:t>
      </w:r>
      <w:r w:rsidR="00E210F5">
        <w:t>Level 2 PS</w:t>
      </w:r>
      <w:r w:rsidR="00BD39AE">
        <w:t>G</w:t>
      </w:r>
      <w:r w:rsidR="00E210F5">
        <w:t xml:space="preserve"> </w:t>
      </w:r>
      <w:r w:rsidR="50821E4A">
        <w:t xml:space="preserve">services in any </w:t>
      </w:r>
      <w:r w:rsidR="00E210F5">
        <w:t xml:space="preserve">geographic </w:t>
      </w:r>
      <w:r w:rsidR="50821E4A">
        <w:t>location</w:t>
      </w:r>
      <w:r w:rsidR="00604A3F">
        <w:t>.</w:t>
      </w:r>
      <w:r w:rsidR="26C8E129">
        <w:t xml:space="preserve"> </w:t>
      </w:r>
    </w:p>
    <w:p w14:paraId="4611E581" w14:textId="22774488" w:rsidR="004D4E7E" w:rsidRDefault="00851A2F" w:rsidP="00C97DF7">
      <w:r>
        <w:t>T</w:t>
      </w:r>
      <w:r w:rsidR="00DE182E">
        <w:t>he department propos</w:t>
      </w:r>
      <w:r>
        <w:t>ed basing the fee for a single modifier item</w:t>
      </w:r>
      <w:r w:rsidDel="00851A2F">
        <w:t xml:space="preserve"> </w:t>
      </w:r>
      <w:r>
        <w:t>on</w:t>
      </w:r>
      <w:r w:rsidR="00940A22">
        <w:t xml:space="preserve"> </w:t>
      </w:r>
      <w:r w:rsidR="735DF3A8">
        <w:t>the applicant</w:t>
      </w:r>
      <w:r>
        <w:t>-</w:t>
      </w:r>
      <w:r w:rsidR="735DF3A8">
        <w:t xml:space="preserve">proposed fee for </w:t>
      </w:r>
      <w:r w:rsidR="00940A22">
        <w:t>postage</w:t>
      </w:r>
      <w:r w:rsidR="00EA5D0D">
        <w:t>.</w:t>
      </w:r>
      <w:r w:rsidR="00940A22">
        <w:t xml:space="preserve"> </w:t>
      </w:r>
      <w:r w:rsidR="00EA5D0D">
        <w:t>T</w:t>
      </w:r>
      <w:r w:rsidR="00756859">
        <w:t>h</w:t>
      </w:r>
      <w:r>
        <w:t>is</w:t>
      </w:r>
      <w:r w:rsidR="00756859">
        <w:t xml:space="preserve"> item is intended to recognise the higher costs associated with service provision in regional and remote areas</w:t>
      </w:r>
      <w:r w:rsidR="00261323">
        <w:t xml:space="preserve"> - these</w:t>
      </w:r>
      <w:r w:rsidR="00AC1003">
        <w:t xml:space="preserve"> may include </w:t>
      </w:r>
      <w:r w:rsidR="005556D8">
        <w:t>delivery of equipment</w:t>
      </w:r>
      <w:r w:rsidR="00EA5D0D">
        <w:t xml:space="preserve">, but </w:t>
      </w:r>
      <w:r w:rsidR="00DE0200">
        <w:t>the item is</w:t>
      </w:r>
      <w:r w:rsidR="00EA5D0D">
        <w:t xml:space="preserve"> not prescriptive on </w:t>
      </w:r>
      <w:r w:rsidR="00F065B4">
        <w:t>how the service should actually be delivered to these patients</w:t>
      </w:r>
      <w:r w:rsidR="0045681E">
        <w:t>.</w:t>
      </w:r>
    </w:p>
    <w:p w14:paraId="0BFE3E66" w14:textId="38DDE633" w:rsidR="00FF1FC0" w:rsidRDefault="00500CD8" w:rsidP="00C97DF7">
      <w:r>
        <w:lastRenderedPageBreak/>
        <w:t>The additional fee proposed in the application for telehealth set up</w:t>
      </w:r>
      <w:r w:rsidR="005C36D6">
        <w:t xml:space="preserve"> in rural and remote areas is not included in the depar</w:t>
      </w:r>
      <w:r w:rsidR="005A5386">
        <w:t>t</w:t>
      </w:r>
      <w:r w:rsidR="005C36D6">
        <w:t xml:space="preserve">ment proposal. </w:t>
      </w:r>
      <w:r w:rsidR="007F57B8">
        <w:t>The rationale is that i</w:t>
      </w:r>
      <w:r w:rsidR="00FF1FC0">
        <w:t>f telehealth set up of equipment is</w:t>
      </w:r>
      <w:r w:rsidR="00FF1FC0" w:rsidDel="00512F5D">
        <w:t xml:space="preserve"> an</w:t>
      </w:r>
      <w:r w:rsidR="00FF1FC0">
        <w:t xml:space="preserve"> appropriate</w:t>
      </w:r>
      <w:r w:rsidR="00FF1FC0" w:rsidDel="00512F5D">
        <w:t xml:space="preserve"> model</w:t>
      </w:r>
      <w:r w:rsidR="00FF1FC0">
        <w:t xml:space="preserve">, then it should be </w:t>
      </w:r>
      <w:r w:rsidR="00F64C9D" w:rsidDel="00084402">
        <w:t>an option for</w:t>
      </w:r>
      <w:r w:rsidR="00FF1FC0">
        <w:t xml:space="preserve"> all patients regardless of location</w:t>
      </w:r>
      <w:r w:rsidR="00F64C9D">
        <w:t xml:space="preserve">. If there are concerns regarding telehealth equipment set up due to </w:t>
      </w:r>
      <w:r w:rsidR="00E028B9">
        <w:t>reduced test performance or safety, then additional justification is required to demonstrate that these risks are outweighed by the benefit</w:t>
      </w:r>
      <w:r w:rsidR="001579AA">
        <w:t xml:space="preserve"> of increased access</w:t>
      </w:r>
      <w:r w:rsidR="00E028B9">
        <w:t xml:space="preserve"> for rural and remote patients.</w:t>
      </w:r>
    </w:p>
    <w:p w14:paraId="388CCAD1" w14:textId="2AF3EF02" w:rsidR="001579AA" w:rsidRDefault="001579AA" w:rsidP="00C97DF7">
      <w:r>
        <w:t xml:space="preserve">A third option for equipment set up was included in the ratified PICO confirmation and DCAR 1712 but not </w:t>
      </w:r>
      <w:r w:rsidR="001B7834">
        <w:t xml:space="preserve">in </w:t>
      </w:r>
      <w:r>
        <w:t xml:space="preserve">the resubmission. This option is for the </w:t>
      </w:r>
      <w:r w:rsidR="00B251AE">
        <w:t xml:space="preserve">sleep technician to attend the </w:t>
      </w:r>
      <w:r w:rsidR="006C557D">
        <w:t>patients’</w:t>
      </w:r>
      <w:r w:rsidR="00B251AE">
        <w:t xml:space="preserve"> home with the equipment and set it up there. This may entail higher costs for the sleep service due to technician travel and associated costs</w:t>
      </w:r>
      <w:r w:rsidR="000F68F7">
        <w:t>;</w:t>
      </w:r>
      <w:r w:rsidR="00B251AE">
        <w:t xml:space="preserve"> however</w:t>
      </w:r>
      <w:r w:rsidR="000F68F7">
        <w:t>,</w:t>
      </w:r>
      <w:r w:rsidR="00B251AE">
        <w:t xml:space="preserve"> it could reduce out</w:t>
      </w:r>
      <w:r w:rsidR="00AD1D20">
        <w:t>-</w:t>
      </w:r>
      <w:r w:rsidR="00B251AE">
        <w:t>of</w:t>
      </w:r>
      <w:r w:rsidR="00AD1D20">
        <w:t>-</w:t>
      </w:r>
      <w:r w:rsidR="00B251AE">
        <w:t>pocket costs for families and carers as they would not need to travel to collect and return equipment.</w:t>
      </w:r>
    </w:p>
    <w:p w14:paraId="54567532" w14:textId="34163A4A" w:rsidR="006C7A91" w:rsidRDefault="00911C31" w:rsidP="006A6244">
      <w:r>
        <w:t>Regional centres (e.g</w:t>
      </w:r>
      <w:r w:rsidR="00674F7E">
        <w:t xml:space="preserve">. Ballarat, Albury, Toowoomba) are </w:t>
      </w:r>
      <w:r w:rsidR="00047E88">
        <w:t xml:space="preserve">MM 2 locations, however they are not currently serviced by paediatric sleep laboratories and patients </w:t>
      </w:r>
      <w:r w:rsidR="00241D23">
        <w:t xml:space="preserve">currently </w:t>
      </w:r>
      <w:r w:rsidR="00047E88">
        <w:t xml:space="preserve">need to travel to </w:t>
      </w:r>
      <w:r w:rsidR="007B78A0">
        <w:t>metropolitan</w:t>
      </w:r>
      <w:r w:rsidR="00FD1F7D">
        <w:t xml:space="preserve"> areas</w:t>
      </w:r>
      <w:r w:rsidR="008D4C1F">
        <w:t xml:space="preserve"> to access Level 1 </w:t>
      </w:r>
      <w:r w:rsidR="00E315C6">
        <w:t xml:space="preserve">PSG </w:t>
      </w:r>
      <w:r w:rsidR="008D4C1F">
        <w:t>services</w:t>
      </w:r>
      <w:r w:rsidR="007B78A0">
        <w:t>.</w:t>
      </w:r>
      <w:r w:rsidR="008D4C1F">
        <w:t xml:space="preserve"> </w:t>
      </w:r>
      <w:r w:rsidR="00B114D2">
        <w:t>Under the proposal</w:t>
      </w:r>
      <w:r w:rsidR="006B6B98">
        <w:t>s</w:t>
      </w:r>
      <w:r w:rsidR="00B114D2">
        <w:t xml:space="preserve">, these patients would be ineligible for the higher cost MBS items applicable for MM 3-7 but would likely face significant travel barriers if required to attend a laboratory to collect or be fitted with equipment. Consideration could be given to </w:t>
      </w:r>
      <w:r w:rsidR="00872214">
        <w:t>expanding</w:t>
      </w:r>
      <w:r w:rsidR="00B114D2">
        <w:t xml:space="preserve"> access to the higher cost items </w:t>
      </w:r>
      <w:r w:rsidR="00872214">
        <w:t>to include patients in MM</w:t>
      </w:r>
      <w:r w:rsidR="00B73D9C">
        <w:t xml:space="preserve"> </w:t>
      </w:r>
      <w:r w:rsidR="007E5E45">
        <w:t xml:space="preserve">2 </w:t>
      </w:r>
      <w:r w:rsidR="00B114D2">
        <w:t xml:space="preserve">locations. </w:t>
      </w:r>
      <w:r w:rsidR="001E1A7E">
        <w:t>Under this approach</w:t>
      </w:r>
      <w:r w:rsidR="00AE3BC7">
        <w:t>,</w:t>
      </w:r>
      <w:r w:rsidR="001E1A7E">
        <w:t xml:space="preserve"> </w:t>
      </w:r>
      <w:r w:rsidR="00CA179D">
        <w:t xml:space="preserve">items CCCC and DDDD </w:t>
      </w:r>
      <w:r w:rsidR="001E1A7E">
        <w:t>w</w:t>
      </w:r>
      <w:r w:rsidR="00CA179D">
        <w:t xml:space="preserve">ould </w:t>
      </w:r>
      <w:r w:rsidR="006F2FF1">
        <w:t xml:space="preserve">be amended to be applicable to </w:t>
      </w:r>
      <w:r w:rsidR="00CA179D">
        <w:t xml:space="preserve">patients </w:t>
      </w:r>
      <w:r w:rsidR="000655C4">
        <w:t>living in MM</w:t>
      </w:r>
      <w:r w:rsidR="00582724">
        <w:t xml:space="preserve"> </w:t>
      </w:r>
      <w:r w:rsidR="000655C4">
        <w:t>2 to 7 locations.</w:t>
      </w:r>
      <w:r w:rsidR="00824423">
        <w:t xml:space="preserve"> However, there is a risk that some patients with </w:t>
      </w:r>
      <w:r w:rsidR="0097109A">
        <w:t>local</w:t>
      </w:r>
      <w:r w:rsidR="00824423">
        <w:t xml:space="preserve"> access to paediatric sleep services would then be </w:t>
      </w:r>
      <w:r w:rsidR="006E1210">
        <w:t xml:space="preserve">eligible for the </w:t>
      </w:r>
      <w:r w:rsidR="0097109A">
        <w:t>items intended for rural and remote patients</w:t>
      </w:r>
      <w:r w:rsidR="00E268A2">
        <w:t>;</w:t>
      </w:r>
      <w:r w:rsidR="0097109A">
        <w:t xml:space="preserve"> for example, Darwin is MM 2 and has a paediatric sleep service</w:t>
      </w:r>
      <w:r w:rsidR="003542D6">
        <w:t xml:space="preserve">. It should also be recognised that some patients living in MM 1 areas may </w:t>
      </w:r>
      <w:r w:rsidR="002408E3">
        <w:t>face</w:t>
      </w:r>
      <w:r w:rsidR="003542D6">
        <w:t xml:space="preserve"> significant travel barriers </w:t>
      </w:r>
      <w:r w:rsidR="00244E39">
        <w:t xml:space="preserve">(e.g. </w:t>
      </w:r>
      <w:r w:rsidR="002408E3">
        <w:t>Rosebud to Monash</w:t>
      </w:r>
      <w:r w:rsidR="00180F46">
        <w:t xml:space="preserve"> Medical Centre</w:t>
      </w:r>
      <w:r w:rsidR="00CF22D5">
        <w:t xml:space="preserve"> in Victoria</w:t>
      </w:r>
      <w:r w:rsidR="00244E39">
        <w:t xml:space="preserve"> </w:t>
      </w:r>
      <w:r w:rsidR="009D59D1">
        <w:t>or Camden to Westmead</w:t>
      </w:r>
      <w:r w:rsidR="00180F46">
        <w:t xml:space="preserve"> Hospital</w:t>
      </w:r>
      <w:r w:rsidR="00CF22D5">
        <w:t xml:space="preserve"> in New South Wales</w:t>
      </w:r>
      <w:r w:rsidR="00244E39">
        <w:t>) particularly where travel is required on consecutive days to collect and return equipment</w:t>
      </w:r>
      <w:r w:rsidR="000D6F25">
        <w:t xml:space="preserve"> (compared to a Level 1 PSG that would require travel to the service, overnight stay, and return home the following day)</w:t>
      </w:r>
      <w:r w:rsidR="009D59D1">
        <w:t>.</w:t>
      </w:r>
    </w:p>
    <w:p w14:paraId="30487AA9" w14:textId="793D15CE" w:rsidR="00081228" w:rsidRDefault="006A6244" w:rsidP="006A6244">
      <w:r>
        <w:t xml:space="preserve">Set-up time varies between children and adolescents, with set up </w:t>
      </w:r>
      <w:r w:rsidR="002D7869">
        <w:t>for younger</w:t>
      </w:r>
      <w:r>
        <w:t xml:space="preserve"> children estimated to take </w:t>
      </w:r>
      <w:r w:rsidR="00527A1E">
        <w:t xml:space="preserve">around </w:t>
      </w:r>
      <w:r>
        <w:t>30 minutes longer than in adolescents</w:t>
      </w:r>
      <w:r w:rsidR="006953E2">
        <w:t>.</w:t>
      </w:r>
      <w:r w:rsidR="00E42A2D">
        <w:t xml:space="preserve"> </w:t>
      </w:r>
      <w:r w:rsidR="00527A1E">
        <w:t>This is</w:t>
      </w:r>
      <w:r w:rsidR="005813DE" w:rsidDel="00847945">
        <w:t xml:space="preserve"> </w:t>
      </w:r>
      <w:r w:rsidR="00847945">
        <w:t>because</w:t>
      </w:r>
      <w:r w:rsidR="00872080">
        <w:t xml:space="preserve"> it is more challenging </w:t>
      </w:r>
      <w:r w:rsidR="00AD4B6A">
        <w:t>to</w:t>
      </w:r>
      <w:r w:rsidR="00847945">
        <w:t xml:space="preserve"> </w:t>
      </w:r>
      <w:r w:rsidR="005A505B">
        <w:t>correctly</w:t>
      </w:r>
      <w:r w:rsidR="00181EEC">
        <w:t xml:space="preserve"> </w:t>
      </w:r>
      <w:r w:rsidR="00D77B20">
        <w:t xml:space="preserve">position </w:t>
      </w:r>
      <w:r w:rsidR="00E266F5">
        <w:t>the</w:t>
      </w:r>
      <w:r w:rsidR="00D77B20">
        <w:t xml:space="preserve"> equipment</w:t>
      </w:r>
      <w:r w:rsidR="00AD4B6A">
        <w:t xml:space="preserve"> </w:t>
      </w:r>
      <w:r w:rsidR="00875E11">
        <w:t>on younger children</w:t>
      </w:r>
      <w:r w:rsidR="00D77B20">
        <w:t>.</w:t>
      </w:r>
    </w:p>
    <w:p w14:paraId="40E262C3" w14:textId="690C7148" w:rsidR="006A6244" w:rsidRDefault="00FA5BA7" w:rsidP="006A6244">
      <w:r>
        <w:t>The proposed fees are</w:t>
      </w:r>
      <w:r w:rsidR="00D77B20">
        <w:t xml:space="preserve"> higher than </w:t>
      </w:r>
      <w:r w:rsidR="00BA0F20">
        <w:t>for</w:t>
      </w:r>
      <w:r w:rsidR="00D77B20">
        <w:t xml:space="preserve"> Level 2 PSG in adults</w:t>
      </w:r>
      <w:r w:rsidR="00BA0F20">
        <w:t>,</w:t>
      </w:r>
      <w:r w:rsidR="00D77B20">
        <w:t xml:space="preserve"> as </w:t>
      </w:r>
      <w:r w:rsidR="00685EB2">
        <w:t>adults have the option to apply the equipment themselves</w:t>
      </w:r>
      <w:r w:rsidR="002C47DD">
        <w:t>, enabling community-based testing models</w:t>
      </w:r>
      <w:r w:rsidR="00D04096">
        <w:t>.</w:t>
      </w:r>
      <w:r w:rsidR="002C47DD">
        <w:t xml:space="preserve"> </w:t>
      </w:r>
      <w:r w:rsidR="00915E39">
        <w:t>I</w:t>
      </w:r>
      <w:r w:rsidR="00FA0159">
        <w:t>n</w:t>
      </w:r>
      <w:r w:rsidR="000E0C2B" w:rsidRPr="000E0C2B">
        <w:t xml:space="preserve"> </w:t>
      </w:r>
      <w:r w:rsidR="000E0C2B">
        <w:t>children and adolescents</w:t>
      </w:r>
      <w:r w:rsidR="000E0C2B" w:rsidRPr="000E0C2B">
        <w:t>, where applying leads can be more difficult, it is more important to have a sleep technician available to provide support.</w:t>
      </w:r>
      <w:r w:rsidR="006C2625">
        <w:t xml:space="preserve"> Furthermore, </w:t>
      </w:r>
      <w:r w:rsidR="00B54263">
        <w:t>automatic scoring</w:t>
      </w:r>
      <w:r w:rsidR="002F63F1">
        <w:t xml:space="preserve"> of the sleep study</w:t>
      </w:r>
      <w:r w:rsidR="00B54263" w:rsidDel="00F02875">
        <w:t xml:space="preserve"> </w:t>
      </w:r>
      <w:r w:rsidR="00F02875">
        <w:t>– commonly</w:t>
      </w:r>
      <w:r w:rsidR="00B54263">
        <w:t xml:space="preserve"> used in adult studies</w:t>
      </w:r>
      <w:r w:rsidR="00D41D6D">
        <w:t xml:space="preserve"> </w:t>
      </w:r>
      <w:r w:rsidR="00DE0BFB">
        <w:t xml:space="preserve">– </w:t>
      </w:r>
      <w:r w:rsidR="00696EA4">
        <w:t>is less accurate</w:t>
      </w:r>
      <w:r w:rsidR="00DE0BFB">
        <w:t xml:space="preserve"> </w:t>
      </w:r>
      <w:r w:rsidR="00C03C53">
        <w:t>in children and adolescents</w:t>
      </w:r>
      <w:r w:rsidR="00DF38BD">
        <w:t>.</w:t>
      </w:r>
      <w:r w:rsidR="00C03C53">
        <w:t xml:space="preserve"> </w:t>
      </w:r>
      <w:r w:rsidR="00A6339C">
        <w:t>S</w:t>
      </w:r>
      <w:r w:rsidR="00C03C53">
        <w:t xml:space="preserve">coring must be </w:t>
      </w:r>
      <w:r w:rsidR="000C1431">
        <w:t>performed</w:t>
      </w:r>
      <w:r w:rsidR="00C03C53">
        <w:t xml:space="preserve"> manually by a suitably experienced technician</w:t>
      </w:r>
      <w:r w:rsidR="000C1431">
        <w:t>,</w:t>
      </w:r>
      <w:r w:rsidR="00C03C53">
        <w:t xml:space="preserve"> which takes longer than scoring in adults.</w:t>
      </w:r>
    </w:p>
    <w:p w14:paraId="7542D07F" w14:textId="52A0A9A3" w:rsidR="00907C70" w:rsidRDefault="00907C70" w:rsidP="006A6244">
      <w:r>
        <w:t>On-call technical support has been estimated at 0.3 hour</w:t>
      </w:r>
      <w:r w:rsidR="00AD7DAD">
        <w:t>s</w:t>
      </w:r>
      <w:r w:rsidR="004F4653">
        <w:t xml:space="preserve"> per patient and would need to be available regardless of whether </w:t>
      </w:r>
      <w:r w:rsidR="00D13CB2">
        <w:t>parents</w:t>
      </w:r>
      <w:r w:rsidR="00412661">
        <w:t xml:space="preserve"> need</w:t>
      </w:r>
      <w:r w:rsidR="00D13CB2">
        <w:t xml:space="preserve"> it</w:t>
      </w:r>
      <w:r w:rsidR="00412661">
        <w:t xml:space="preserve"> on </w:t>
      </w:r>
      <w:r w:rsidR="00481A30">
        <w:t>any given night</w:t>
      </w:r>
      <w:r>
        <w:t xml:space="preserve">. </w:t>
      </w:r>
      <w:r w:rsidR="00F25C79">
        <w:t>In the case of provider</w:t>
      </w:r>
      <w:r w:rsidR="00481A30">
        <w:t>s</w:t>
      </w:r>
      <w:r w:rsidR="00F25C79">
        <w:t xml:space="preserve"> also operating a Level 1 sleep laboratory, t</w:t>
      </w:r>
      <w:r>
        <w:t xml:space="preserve">his </w:t>
      </w:r>
      <w:r w:rsidR="00163890">
        <w:t xml:space="preserve">support </w:t>
      </w:r>
      <w:r w:rsidR="00F25C79">
        <w:t>would</w:t>
      </w:r>
      <w:r w:rsidR="00163890">
        <w:t xml:space="preserve"> typically </w:t>
      </w:r>
      <w:r w:rsidR="00F25C79">
        <w:t xml:space="preserve">be </w:t>
      </w:r>
      <w:r w:rsidR="00163890">
        <w:t>provided</w:t>
      </w:r>
      <w:r>
        <w:t xml:space="preserve"> by overnight staff</w:t>
      </w:r>
      <w:r w:rsidR="00F25C79">
        <w:t>.</w:t>
      </w:r>
      <w:r>
        <w:t xml:space="preserve"> </w:t>
      </w:r>
      <w:r w:rsidR="00F25C79">
        <w:t>It</w:t>
      </w:r>
      <w:r>
        <w:t xml:space="preserve"> </w:t>
      </w:r>
      <w:r w:rsidR="002517D7">
        <w:t xml:space="preserve">may </w:t>
      </w:r>
      <w:r>
        <w:t xml:space="preserve">be more </w:t>
      </w:r>
      <w:r w:rsidR="002517D7">
        <w:t xml:space="preserve">challenging </w:t>
      </w:r>
      <w:r w:rsidR="00481A30">
        <w:t>for providers</w:t>
      </w:r>
      <w:r>
        <w:t xml:space="preserve"> that exclusively </w:t>
      </w:r>
      <w:r w:rsidR="00481A30">
        <w:t xml:space="preserve">offer </w:t>
      </w:r>
      <w:r>
        <w:t>Level 2 PSG studies</w:t>
      </w:r>
      <w:r w:rsidR="00481A30">
        <w:t xml:space="preserve"> to provide this support</w:t>
      </w:r>
      <w:r>
        <w:t>.</w:t>
      </w:r>
      <w:r w:rsidR="00FD385F" w:rsidRPr="00FD385F">
        <w:t xml:space="preserve"> </w:t>
      </w:r>
    </w:p>
    <w:p w14:paraId="15F844E2" w14:textId="09E74A2F" w:rsidR="003F0273" w:rsidRDefault="003F0273" w:rsidP="003F0273">
      <w:r>
        <w:t xml:space="preserve">There is an extensive explanatory note for sleep studies </w:t>
      </w:r>
      <w:r w:rsidR="00895DE0">
        <w:t>(DN.1.17)</w:t>
      </w:r>
      <w:r>
        <w:t xml:space="preserve"> that </w:t>
      </w:r>
      <w:r w:rsidR="00AC4851">
        <w:t xml:space="preserve">could </w:t>
      </w:r>
      <w:r>
        <w:t xml:space="preserve">also be applicable for the proposed items. </w:t>
      </w:r>
      <w:r w:rsidR="00977A12">
        <w:t xml:space="preserve">The department proposed that it </w:t>
      </w:r>
      <w:r w:rsidR="00977A12" w:rsidRPr="006E5E07">
        <w:t>be amended to clarify that video conference is expected to be the default mode for telehealth but can be supplemented by telephone in geographic locations where video communication is difficult to establish or maintain</w:t>
      </w:r>
      <w:r>
        <w:t>.</w:t>
      </w:r>
    </w:p>
    <w:p w14:paraId="71E16D68" w14:textId="77777777" w:rsidR="00D83BBA" w:rsidRPr="002B3DAD" w:rsidRDefault="00D83BBA" w:rsidP="00D83BBA">
      <w:r>
        <w:t xml:space="preserve">In its consideration of Application 1712, MSAC requested that a resubmission demonstrate a mechanism by which service providers can provide robust oversight to Level 2 PSG testing. </w:t>
      </w:r>
    </w:p>
    <w:p w14:paraId="702F3294" w14:textId="77777777" w:rsidR="00D83BBA" w:rsidRPr="001D08B8" w:rsidRDefault="00D83BBA" w:rsidP="00D83BBA">
      <w:r>
        <w:t>The application stated that o</w:t>
      </w:r>
      <w:r w:rsidRPr="001D08B8">
        <w:t>versight for testing is provided by the fact that:</w:t>
      </w:r>
    </w:p>
    <w:p w14:paraId="5DB44516" w14:textId="77777777" w:rsidR="00D83BBA" w:rsidRPr="00350088" w:rsidRDefault="00D83BBA" w:rsidP="004105F1">
      <w:pPr>
        <w:pStyle w:val="BodyText"/>
        <w:numPr>
          <w:ilvl w:val="2"/>
          <w:numId w:val="7"/>
        </w:numPr>
      </w:pPr>
      <w:r>
        <w:t xml:space="preserve">Services </w:t>
      </w:r>
      <w:r w:rsidRPr="00350088">
        <w:t>need to be provided by a paediatric sleep service</w:t>
      </w:r>
      <w:r>
        <w:t xml:space="preserve"> for children, and by a paediatric </w:t>
      </w:r>
      <w:r w:rsidRPr="00350088">
        <w:t>or</w:t>
      </w:r>
      <w:r>
        <w:t xml:space="preserve"> </w:t>
      </w:r>
      <w:r w:rsidRPr="00350088">
        <w:t xml:space="preserve">adult </w:t>
      </w:r>
      <w:r>
        <w:t xml:space="preserve">sleep </w:t>
      </w:r>
      <w:r w:rsidRPr="00350088">
        <w:t xml:space="preserve">service for adolescents. </w:t>
      </w:r>
    </w:p>
    <w:p w14:paraId="67CB376E" w14:textId="77777777" w:rsidR="00D83BBA" w:rsidRDefault="00D83BBA" w:rsidP="004105F1">
      <w:pPr>
        <w:pStyle w:val="BodyText"/>
        <w:numPr>
          <w:ilvl w:val="2"/>
          <w:numId w:val="7"/>
        </w:numPr>
      </w:pPr>
      <w:r w:rsidRPr="00350088">
        <w:t>The supervising/billing physician takes responsibility for the appropriate performance of the test.</w:t>
      </w:r>
    </w:p>
    <w:p w14:paraId="7A1A5A03" w14:textId="23A11356" w:rsidR="00D83BBA" w:rsidRDefault="00D83BBA" w:rsidP="004105F1">
      <w:pPr>
        <w:pStyle w:val="BodyText"/>
        <w:numPr>
          <w:ilvl w:val="2"/>
          <w:numId w:val="7"/>
        </w:numPr>
      </w:pPr>
      <w:r w:rsidRPr="00350088">
        <w:t xml:space="preserve">The test is performed according to </w:t>
      </w:r>
      <w:r>
        <w:t>‘</w:t>
      </w:r>
      <w:r w:rsidRPr="00350088">
        <w:t>current professional guidelines</w:t>
      </w:r>
      <w:r>
        <w:t>’,</w:t>
      </w:r>
      <w:r w:rsidRPr="00350088">
        <w:t xml:space="preserve"> </w:t>
      </w:r>
      <w:r>
        <w:t>noting</w:t>
      </w:r>
      <w:r w:rsidRPr="00350088">
        <w:t xml:space="preserve"> this is already embedded in the Level 1 </w:t>
      </w:r>
      <w:r>
        <w:t xml:space="preserve">PSG </w:t>
      </w:r>
      <w:r w:rsidRPr="00350088">
        <w:t xml:space="preserve">items for paediatric and adult sleep </w:t>
      </w:r>
      <w:r>
        <w:t>study services (explanatory note DN.1.17).</w:t>
      </w:r>
    </w:p>
    <w:p w14:paraId="210D4D61" w14:textId="08DC49AC" w:rsidR="008467D7" w:rsidRDefault="008467D7" w:rsidP="00F44882">
      <w:pPr>
        <w:pStyle w:val="BodyText"/>
      </w:pPr>
      <w:r>
        <w:t xml:space="preserve">A summary of </w:t>
      </w:r>
      <w:r w:rsidR="0090351C">
        <w:t>key</w:t>
      </w:r>
      <w:r>
        <w:t xml:space="preserve"> issues to be addressed i</w:t>
      </w:r>
      <w:r w:rsidR="00B779D6">
        <w:t>n considering the propos</w:t>
      </w:r>
      <w:r w:rsidR="006C29B0">
        <w:t>ed</w:t>
      </w:r>
      <w:r w:rsidR="0090351C">
        <w:t xml:space="preserve"> MBS items is presented in </w:t>
      </w:r>
      <w:r w:rsidR="0090351C">
        <w:fldChar w:fldCharType="begin"/>
      </w:r>
      <w:r w:rsidR="0090351C">
        <w:instrText xml:space="preserve"> REF _Ref200539888 \h </w:instrText>
      </w:r>
      <w:r w:rsidR="0090351C">
        <w:fldChar w:fldCharType="separate"/>
      </w:r>
      <w:r w:rsidR="00BC2CAA">
        <w:t xml:space="preserve">Table </w:t>
      </w:r>
      <w:r w:rsidR="00BC2CAA">
        <w:rPr>
          <w:noProof/>
        </w:rPr>
        <w:t>5</w:t>
      </w:r>
      <w:r w:rsidR="0090351C">
        <w:fldChar w:fldCharType="end"/>
      </w:r>
      <w:r w:rsidR="0090351C">
        <w:t>.</w:t>
      </w:r>
    </w:p>
    <w:p w14:paraId="0F1F57AE" w14:textId="06030808" w:rsidR="006B7DAC" w:rsidRDefault="006B7DAC" w:rsidP="006B7DAC">
      <w:pPr>
        <w:pStyle w:val="Caption"/>
      </w:pPr>
      <w:bookmarkStart w:id="9" w:name="_Ref200539888"/>
      <w:r>
        <w:t xml:space="preserve">Table </w:t>
      </w:r>
      <w:r w:rsidR="00BC2CAA">
        <w:fldChar w:fldCharType="begin"/>
      </w:r>
      <w:r w:rsidR="00BC2CAA">
        <w:instrText xml:space="preserve"> SEQ Table \* ARABIC </w:instrText>
      </w:r>
      <w:r w:rsidR="00BC2CAA">
        <w:fldChar w:fldCharType="separate"/>
      </w:r>
      <w:r w:rsidR="00BC2CAA">
        <w:rPr>
          <w:noProof/>
        </w:rPr>
        <w:t>5</w:t>
      </w:r>
      <w:r w:rsidR="00BC2CAA">
        <w:rPr>
          <w:noProof/>
        </w:rPr>
        <w:fldChar w:fldCharType="end"/>
      </w:r>
      <w:bookmarkEnd w:id="9"/>
      <w:r>
        <w:tab/>
        <w:t>Issues to be addressed in the proposed item descriptors</w:t>
      </w:r>
    </w:p>
    <w:tbl>
      <w:tblPr>
        <w:tblStyle w:val="TableGrid"/>
        <w:tblW w:w="0" w:type="auto"/>
        <w:tblLook w:val="04A0" w:firstRow="1" w:lastRow="0" w:firstColumn="1" w:lastColumn="0" w:noHBand="0" w:noVBand="1"/>
        <w:tblCaption w:val="Issues to be addressed in the proposed item descriptors"/>
        <w:tblDescription w:val="Table describing four key issues; telehealth, postage costs, geographic location and scoring of study. Table also provides options for addressing these issues."/>
      </w:tblPr>
      <w:tblGrid>
        <w:gridCol w:w="1270"/>
        <w:gridCol w:w="3828"/>
        <w:gridCol w:w="3918"/>
      </w:tblGrid>
      <w:tr w:rsidR="006B7DAC" w14:paraId="5DC8A19F" w14:textId="77777777" w:rsidTr="36B19CEC">
        <w:trPr>
          <w:tblHeader/>
        </w:trPr>
        <w:tc>
          <w:tcPr>
            <w:tcW w:w="0" w:type="auto"/>
          </w:tcPr>
          <w:p w14:paraId="407366B5" w14:textId="77777777" w:rsidR="006B7DAC" w:rsidRDefault="006B7DAC" w:rsidP="00E90D5D">
            <w:pPr>
              <w:pStyle w:val="TableHeading0"/>
            </w:pPr>
            <w:r>
              <w:t xml:space="preserve">Issue </w:t>
            </w:r>
          </w:p>
        </w:tc>
        <w:tc>
          <w:tcPr>
            <w:tcW w:w="3828" w:type="dxa"/>
          </w:tcPr>
          <w:p w14:paraId="263805F2" w14:textId="77777777" w:rsidR="006B7DAC" w:rsidRDefault="006B7DAC" w:rsidP="00E90D5D">
            <w:pPr>
              <w:pStyle w:val="TableHeading0"/>
            </w:pPr>
            <w:r>
              <w:t>Description</w:t>
            </w:r>
          </w:p>
        </w:tc>
        <w:tc>
          <w:tcPr>
            <w:tcW w:w="3918" w:type="dxa"/>
          </w:tcPr>
          <w:p w14:paraId="4E48E6BC" w14:textId="77777777" w:rsidR="006B7DAC" w:rsidRDefault="006B7DAC" w:rsidP="00E90D5D">
            <w:pPr>
              <w:pStyle w:val="TableHeading0"/>
            </w:pPr>
            <w:r>
              <w:t>Options</w:t>
            </w:r>
          </w:p>
        </w:tc>
      </w:tr>
      <w:tr w:rsidR="006B7DAC" w14:paraId="6B446EAC" w14:textId="77777777" w:rsidTr="36B19CEC">
        <w:tc>
          <w:tcPr>
            <w:tcW w:w="0" w:type="auto"/>
          </w:tcPr>
          <w:p w14:paraId="74ED3D1B" w14:textId="77777777" w:rsidR="006B7DAC" w:rsidRDefault="006B7DAC" w:rsidP="00E90D5D">
            <w:pPr>
              <w:pStyle w:val="TableText"/>
            </w:pPr>
            <w:r>
              <w:t>Telehealth</w:t>
            </w:r>
          </w:p>
        </w:tc>
        <w:tc>
          <w:tcPr>
            <w:tcW w:w="3828" w:type="dxa"/>
          </w:tcPr>
          <w:p w14:paraId="4C4E27AC" w14:textId="77777777" w:rsidR="006B7DAC" w:rsidRDefault="006B7DAC" w:rsidP="00E90D5D">
            <w:pPr>
              <w:pStyle w:val="TableText"/>
            </w:pPr>
            <w:r>
              <w:t xml:space="preserve">Telehealth is included as an option for all locations. In the applicant’s proposal, a higher fee for this is proposed for patients in MM 3–7 locations. </w:t>
            </w:r>
          </w:p>
          <w:p w14:paraId="6D54DCDB" w14:textId="77777777" w:rsidR="006B7DAC" w:rsidRDefault="006B7DAC" w:rsidP="00E90D5D">
            <w:pPr>
              <w:pStyle w:val="TableText"/>
            </w:pPr>
            <w:r>
              <w:t>There was insufficient evidence available in DCAR 1712 to support or refute telehealth.</w:t>
            </w:r>
          </w:p>
        </w:tc>
        <w:tc>
          <w:tcPr>
            <w:tcW w:w="3918" w:type="dxa"/>
          </w:tcPr>
          <w:p w14:paraId="6BA9A28F" w14:textId="77777777" w:rsidR="006B7DAC" w:rsidRPr="00FC407E" w:rsidRDefault="006B7DAC" w:rsidP="004105F1">
            <w:pPr>
              <w:pStyle w:val="TableText"/>
              <w:numPr>
                <w:ilvl w:val="0"/>
                <w:numId w:val="23"/>
              </w:numPr>
            </w:pPr>
            <w:r w:rsidRPr="00FC407E">
              <w:t>Telehealth appropriate for all patients regardless of geographic location</w:t>
            </w:r>
          </w:p>
          <w:p w14:paraId="65CE4274" w14:textId="77777777" w:rsidR="006B7DAC" w:rsidRDefault="006B7DAC" w:rsidP="004105F1">
            <w:pPr>
              <w:pStyle w:val="TableText"/>
              <w:numPr>
                <w:ilvl w:val="0"/>
                <w:numId w:val="23"/>
              </w:numPr>
            </w:pPr>
            <w:r>
              <w:t>Telehealth appropriate only where benefits outweigh risks (lack of access versus safety and performance of test)</w:t>
            </w:r>
          </w:p>
          <w:p w14:paraId="34D85BBF" w14:textId="77777777" w:rsidR="006B7DAC" w:rsidRDefault="006B7DAC" w:rsidP="004105F1">
            <w:pPr>
              <w:pStyle w:val="TableText"/>
              <w:numPr>
                <w:ilvl w:val="0"/>
                <w:numId w:val="23"/>
              </w:numPr>
            </w:pPr>
            <w:r>
              <w:t>Telehealth not appropriate</w:t>
            </w:r>
          </w:p>
        </w:tc>
      </w:tr>
      <w:tr w:rsidR="006B7DAC" w14:paraId="6459DBCE" w14:textId="77777777" w:rsidTr="36B19CEC">
        <w:tc>
          <w:tcPr>
            <w:tcW w:w="0" w:type="auto"/>
          </w:tcPr>
          <w:p w14:paraId="3B56B6D8" w14:textId="1B1863A4" w:rsidR="006B7DAC" w:rsidRDefault="006B7D2B" w:rsidP="00E90D5D">
            <w:pPr>
              <w:pStyle w:val="TableText"/>
            </w:pPr>
            <w:r>
              <w:t>Delivery</w:t>
            </w:r>
            <w:r w:rsidR="006B7DAC">
              <w:t xml:space="preserve"> costs</w:t>
            </w:r>
          </w:p>
        </w:tc>
        <w:tc>
          <w:tcPr>
            <w:tcW w:w="3828" w:type="dxa"/>
          </w:tcPr>
          <w:p w14:paraId="08B147C6" w14:textId="021FEFE8" w:rsidR="006B7DAC" w:rsidRDefault="006B7DAC" w:rsidP="00E90D5D">
            <w:pPr>
              <w:pStyle w:val="TableText"/>
            </w:pPr>
            <w:r>
              <w:t xml:space="preserve">Flat rate for patients in MM 3–7 location proposed by applicant. Rate is used as basis for departments proposed modifier; however, department states that modifier item recognises that service provision entails additional costs in rural and remote locations and renumerates for this, but not necessarily directly, or only, through postage. Additional out-of-pocket costs could still be applied. </w:t>
            </w:r>
            <w:r w:rsidR="006C2049">
              <w:t>Delivery</w:t>
            </w:r>
            <w:r>
              <w:t xml:space="preserve"> may still be required in MM 1–2 areas where patients are accessing the service via telehealth.</w:t>
            </w:r>
          </w:p>
        </w:tc>
        <w:tc>
          <w:tcPr>
            <w:tcW w:w="3918" w:type="dxa"/>
          </w:tcPr>
          <w:p w14:paraId="141B3F77" w14:textId="77777777" w:rsidR="006B7DAC" w:rsidRDefault="006B7DAC" w:rsidP="004105F1">
            <w:pPr>
              <w:pStyle w:val="TableText"/>
              <w:numPr>
                <w:ilvl w:val="0"/>
                <w:numId w:val="24"/>
              </w:numPr>
            </w:pPr>
            <w:r>
              <w:t>Add wording to modifier to mandate bulk billing or prevent out-of-pocket costs</w:t>
            </w:r>
          </w:p>
          <w:p w14:paraId="745E651C" w14:textId="5E9890A6" w:rsidR="006B7DAC" w:rsidRDefault="006B7DAC" w:rsidP="004105F1">
            <w:pPr>
              <w:pStyle w:val="TableText"/>
              <w:numPr>
                <w:ilvl w:val="0"/>
                <w:numId w:val="24"/>
              </w:numPr>
            </w:pPr>
            <w:r>
              <w:t xml:space="preserve">Consider whether </w:t>
            </w:r>
            <w:r w:rsidR="006C2049">
              <w:t xml:space="preserve">delivery cost </w:t>
            </w:r>
            <w:r>
              <w:t>is the most suitable basis for the modifier fee</w:t>
            </w:r>
          </w:p>
        </w:tc>
      </w:tr>
      <w:tr w:rsidR="006B7DAC" w14:paraId="2FB74C74" w14:textId="77777777" w:rsidTr="36B19CEC">
        <w:tc>
          <w:tcPr>
            <w:tcW w:w="0" w:type="auto"/>
          </w:tcPr>
          <w:p w14:paraId="665258C2" w14:textId="77777777" w:rsidR="006B7DAC" w:rsidRDefault="006B7DAC" w:rsidP="00E90D5D">
            <w:pPr>
              <w:pStyle w:val="TableText"/>
            </w:pPr>
            <w:r>
              <w:t>Geographic location</w:t>
            </w:r>
          </w:p>
        </w:tc>
        <w:tc>
          <w:tcPr>
            <w:tcW w:w="3828" w:type="dxa"/>
          </w:tcPr>
          <w:p w14:paraId="0023EC0A" w14:textId="1C076DF8" w:rsidR="006B7DAC" w:rsidRDefault="006B7DAC" w:rsidP="00E90D5D">
            <w:pPr>
              <w:pStyle w:val="TableText"/>
            </w:pPr>
            <w:r>
              <w:t xml:space="preserve">There are MM 2 locations (and some MM 1 locations) with very limited access to paediatric sleep services. There are also paediatric sleep services in an MM 2 location (Darwin) although the sleep </w:t>
            </w:r>
            <w:r w:rsidR="006C2049">
              <w:t xml:space="preserve">medicine </w:t>
            </w:r>
            <w:r>
              <w:t>practitioner is based in Sydney. Unclear how proposal would impact on these existing services.</w:t>
            </w:r>
          </w:p>
        </w:tc>
        <w:tc>
          <w:tcPr>
            <w:tcW w:w="3918" w:type="dxa"/>
          </w:tcPr>
          <w:p w14:paraId="7D22DBC6" w14:textId="77777777" w:rsidR="006B7DAC" w:rsidRDefault="006B7DAC" w:rsidP="004105F1">
            <w:pPr>
              <w:pStyle w:val="TableText"/>
              <w:numPr>
                <w:ilvl w:val="0"/>
                <w:numId w:val="25"/>
              </w:numPr>
            </w:pPr>
            <w:r>
              <w:t>Consider whether MM 2–7 or MM 3–7 is most suitable for the modifier</w:t>
            </w:r>
          </w:p>
          <w:p w14:paraId="3D563836" w14:textId="17C100F0" w:rsidR="006B7DAC" w:rsidRDefault="006C2049" w:rsidP="004105F1">
            <w:pPr>
              <w:pStyle w:val="TableText"/>
              <w:numPr>
                <w:ilvl w:val="0"/>
                <w:numId w:val="25"/>
              </w:numPr>
            </w:pPr>
            <w:r>
              <w:t>Apply</w:t>
            </w:r>
            <w:r w:rsidR="006B7DAC">
              <w:t xml:space="preserve"> modifier where patient location is at a distance from provider (e.g. patient in </w:t>
            </w:r>
            <w:r w:rsidR="006B7DAC" w:rsidDel="00C42A19">
              <w:t xml:space="preserve">MM </w:t>
            </w:r>
            <w:r w:rsidR="006B7DAC">
              <w:t>2–7 location and at least 60 km by road from provider [e.g. MBS item 294]).</w:t>
            </w:r>
          </w:p>
        </w:tc>
      </w:tr>
      <w:tr w:rsidR="006B7DAC" w14:paraId="167D5695" w14:textId="77777777" w:rsidTr="36B19CEC">
        <w:tc>
          <w:tcPr>
            <w:tcW w:w="0" w:type="auto"/>
          </w:tcPr>
          <w:p w14:paraId="25FCDA01" w14:textId="77777777" w:rsidR="006B7DAC" w:rsidRDefault="006B7DAC" w:rsidP="00E90D5D">
            <w:pPr>
              <w:pStyle w:val="TableText"/>
            </w:pPr>
            <w:r>
              <w:t>Scoring of study</w:t>
            </w:r>
          </w:p>
        </w:tc>
        <w:tc>
          <w:tcPr>
            <w:tcW w:w="3828" w:type="dxa"/>
          </w:tcPr>
          <w:p w14:paraId="7044265C" w14:textId="77777777" w:rsidR="006B7DAC" w:rsidRDefault="006B7DAC" w:rsidP="00E90D5D">
            <w:pPr>
              <w:pStyle w:val="TableText"/>
            </w:pPr>
            <w:r>
              <w:t xml:space="preserve">Proposed item descriptor (and current paediatric item descriptors) do not differ from adult with respect to scoring and allows for ‘manual correction of computerised scoring’. Applicant advises paediatric studies require manual scoring. </w:t>
            </w:r>
          </w:p>
        </w:tc>
        <w:tc>
          <w:tcPr>
            <w:tcW w:w="3918" w:type="dxa"/>
          </w:tcPr>
          <w:p w14:paraId="01809B00" w14:textId="77777777" w:rsidR="006B7DAC" w:rsidRDefault="006B7DAC" w:rsidP="004105F1">
            <w:pPr>
              <w:pStyle w:val="TableText"/>
              <w:numPr>
                <w:ilvl w:val="0"/>
                <w:numId w:val="26"/>
              </w:numPr>
            </w:pPr>
            <w:r>
              <w:t>Remove reference to computerised scoring in the descriptor</w:t>
            </w:r>
          </w:p>
          <w:p w14:paraId="3DC700FA" w14:textId="538E348C" w:rsidR="006B7DAC" w:rsidRPr="00903C11" w:rsidRDefault="006B7DAC" w:rsidP="00903C11">
            <w:pPr>
              <w:pStyle w:val="TableText"/>
              <w:rPr>
                <w:strike/>
              </w:rPr>
            </w:pPr>
          </w:p>
        </w:tc>
      </w:tr>
    </w:tbl>
    <w:p w14:paraId="343FD01A" w14:textId="1F51E4F0" w:rsidR="006B7DAC" w:rsidRDefault="006B7DAC" w:rsidP="009047B1">
      <w:pPr>
        <w:pStyle w:val="111Tablefootnoteslast-nostick"/>
      </w:pPr>
      <w:r>
        <w:t>DCAR = Department Contracted Assessment Report, MM = Modified Monash</w:t>
      </w:r>
      <w:r w:rsidR="009D730B">
        <w:t>.</w:t>
      </w:r>
    </w:p>
    <w:p w14:paraId="5A17325D" w14:textId="5A183941" w:rsidR="007A051A" w:rsidRPr="00234C6B" w:rsidRDefault="007A051A" w:rsidP="007A051A">
      <w:pPr>
        <w:pStyle w:val="111Tablefootnoteslast-nostick"/>
      </w:pPr>
      <w:r w:rsidRPr="006F1E02">
        <w:t xml:space="preserve">Source: </w:t>
      </w:r>
      <w:r>
        <w:t>Table 3</w:t>
      </w:r>
      <w:r w:rsidR="009D730B">
        <w:t>4</w:t>
      </w:r>
      <w:r w:rsidRPr="006F1E02">
        <w:t xml:space="preserve"> </w:t>
      </w:r>
      <w:r>
        <w:t>of</w:t>
      </w:r>
      <w:r w:rsidRPr="006F1E02">
        <w:t xml:space="preserve"> MSAC Application 1712</w:t>
      </w:r>
      <w:r>
        <w:t>.1</w:t>
      </w:r>
      <w:r w:rsidRPr="006F1E02">
        <w:t>.</w:t>
      </w:r>
    </w:p>
    <w:p w14:paraId="6861F93C" w14:textId="3DE83258" w:rsidR="00C25DA0" w:rsidRDefault="00E9251D" w:rsidP="00800D26">
      <w:pPr>
        <w:pStyle w:val="111Tablefootnoteslast-nostick"/>
      </w:pPr>
      <w:r>
        <w:t>)</w:t>
      </w:r>
      <w:r w:rsidR="003E5DD0">
        <w:t>; MBS = Medical Benefits Schedule.</w:t>
      </w:r>
    </w:p>
    <w:p w14:paraId="1EF5E8FE" w14:textId="2E017F25" w:rsidR="00011BE7" w:rsidRDefault="00011BE7" w:rsidP="00011BE7">
      <w:pPr>
        <w:pStyle w:val="111Tablefootnoteslast-nostick"/>
      </w:pPr>
      <w:r w:rsidRPr="006F1E02">
        <w:t xml:space="preserve">Source: </w:t>
      </w:r>
      <w:r>
        <w:t xml:space="preserve">Table </w:t>
      </w:r>
      <w:r w:rsidR="00CE5F29">
        <w:t>38</w:t>
      </w:r>
      <w:r w:rsidR="00CE5F29" w:rsidRPr="006F1E02">
        <w:t xml:space="preserve"> </w:t>
      </w:r>
      <w:r w:rsidR="00D32186">
        <w:t>of</w:t>
      </w:r>
      <w:r w:rsidRPr="006F1E02">
        <w:t xml:space="preserve"> MSAC Application 1712</w:t>
      </w:r>
      <w:r>
        <w:t>.1</w:t>
      </w:r>
      <w:r w:rsidRPr="006F1E02">
        <w:t>.</w:t>
      </w:r>
    </w:p>
    <w:p w14:paraId="03DE9AA8" w14:textId="0FE041BF" w:rsidR="00D87D41" w:rsidRDefault="00A560F9" w:rsidP="00D87D41">
      <w:pPr>
        <w:pStyle w:val="ExecSumHeading3"/>
      </w:pPr>
      <w:r>
        <w:t xml:space="preserve">Proposed </w:t>
      </w:r>
      <w:r w:rsidR="00D87D41">
        <w:t xml:space="preserve">MBS item descriptors </w:t>
      </w:r>
    </w:p>
    <w:p w14:paraId="00AE14D4" w14:textId="2E6EE431" w:rsidR="00D87D41" w:rsidRPr="00D87D41" w:rsidRDefault="005207D5" w:rsidP="00D87D41">
      <w:pPr>
        <w:pStyle w:val="BodyText"/>
        <w:rPr>
          <w:lang w:val="en-US"/>
        </w:rPr>
      </w:pPr>
      <w:r>
        <w:t xml:space="preserve">The 4 item descriptors proposed by the applicant are shown on page 4-10 of </w:t>
      </w:r>
      <w:hyperlink r:id="rId18" w:history="1">
        <w:r w:rsidRPr="005F658F">
          <w:rPr>
            <w:rStyle w:val="Hyperlink"/>
            <w:color w:val="007BB8"/>
          </w:rPr>
          <w:t>MSAC 1712.1 Application Summary</w:t>
        </w:r>
      </w:hyperlink>
      <w:r>
        <w:t xml:space="preserve">. </w:t>
      </w:r>
      <w:r w:rsidR="00D87D41">
        <w:t xml:space="preserve">The </w:t>
      </w:r>
      <w:r w:rsidR="004217F5">
        <w:t xml:space="preserve">3 alternative </w:t>
      </w:r>
      <w:r w:rsidR="00D87D41">
        <w:t xml:space="preserve">item descriptors </w:t>
      </w:r>
      <w:r w:rsidR="004217F5">
        <w:t xml:space="preserve">proposed by the department </w:t>
      </w:r>
      <w:r w:rsidR="00D87D41">
        <w:t xml:space="preserve">are shown in </w:t>
      </w:r>
      <w:r w:rsidR="00D87D41">
        <w:fldChar w:fldCharType="begin"/>
      </w:r>
      <w:r w:rsidR="00D87D41">
        <w:instrText xml:space="preserve"> REF _Ref200447310 \h </w:instrText>
      </w:r>
      <w:r w:rsidR="00D87D41">
        <w:fldChar w:fldCharType="separate"/>
      </w:r>
      <w:r w:rsidR="00BC2CAA" w:rsidRPr="00CE28E3">
        <w:t>Table</w:t>
      </w:r>
      <w:r w:rsidR="00BC2CAA">
        <w:t> </w:t>
      </w:r>
      <w:r w:rsidR="00BC2CAA">
        <w:rPr>
          <w:noProof/>
        </w:rPr>
        <w:t>6</w:t>
      </w:r>
      <w:r w:rsidR="00D87D41">
        <w:fldChar w:fldCharType="end"/>
      </w:r>
      <w:r w:rsidR="00D87D41">
        <w:t xml:space="preserve"> to </w:t>
      </w:r>
      <w:r w:rsidR="00D87D41">
        <w:fldChar w:fldCharType="begin"/>
      </w:r>
      <w:r w:rsidR="00D87D41">
        <w:instrText xml:space="preserve"> REF _Ref200447313 \h </w:instrText>
      </w:r>
      <w:r w:rsidR="00D87D41">
        <w:fldChar w:fldCharType="separate"/>
      </w:r>
      <w:r w:rsidR="00BC2CAA" w:rsidRPr="00CE28E3">
        <w:t>Table</w:t>
      </w:r>
      <w:r w:rsidR="00BC2CAA">
        <w:t> </w:t>
      </w:r>
      <w:r w:rsidR="00BC2CAA">
        <w:rPr>
          <w:noProof/>
        </w:rPr>
        <w:t>8</w:t>
      </w:r>
      <w:r w:rsidR="00D87D41">
        <w:fldChar w:fldCharType="end"/>
      </w:r>
      <w:r w:rsidR="00D87D41">
        <w:t>.</w:t>
      </w:r>
      <w:r w:rsidR="00A5463C">
        <w:t xml:space="preserve"> </w:t>
      </w:r>
      <w:r>
        <w:t xml:space="preserve">The </w:t>
      </w:r>
      <w:r w:rsidR="001C72F1">
        <w:t xml:space="preserve">2 </w:t>
      </w:r>
      <w:r w:rsidR="00B03FBF" w:rsidRPr="00B03FBF">
        <w:t xml:space="preserve">MBS </w:t>
      </w:r>
      <w:r w:rsidR="00B03FBF">
        <w:t>items supported by MSAC</w:t>
      </w:r>
      <w:r w:rsidR="00B03FBF" w:rsidRPr="00B03FBF">
        <w:t xml:space="preserve"> with revised fees</w:t>
      </w:r>
      <w:r w:rsidR="00B03FBF">
        <w:t xml:space="preserve"> </w:t>
      </w:r>
      <w:r w:rsidR="00C7519B">
        <w:t xml:space="preserve">and reasoning for </w:t>
      </w:r>
      <w:r w:rsidR="00C91591">
        <w:t xml:space="preserve">simplifying the items </w:t>
      </w:r>
      <w:r w:rsidR="00B03FBF">
        <w:t xml:space="preserve">are shown </w:t>
      </w:r>
      <w:r w:rsidR="00F21362">
        <w:t>Section 3</w:t>
      </w:r>
      <w:r w:rsidR="00BB25BD">
        <w:t xml:space="preserve"> of this document. </w:t>
      </w:r>
    </w:p>
    <w:p w14:paraId="522F8851" w14:textId="6F34F215" w:rsidR="00161C29" w:rsidRPr="00CE28E3" w:rsidRDefault="00161C29" w:rsidP="00161C29">
      <w:pPr>
        <w:pStyle w:val="Caption"/>
      </w:pPr>
      <w:bookmarkStart w:id="10" w:name="_Ref200447310"/>
      <w:r w:rsidRPr="00CE28E3">
        <w:t>Table</w:t>
      </w:r>
      <w:r>
        <w:t> </w:t>
      </w:r>
      <w:r w:rsidR="00BC2CAA">
        <w:fldChar w:fldCharType="begin"/>
      </w:r>
      <w:r w:rsidR="00BC2CAA">
        <w:instrText xml:space="preserve"> SEQ Table \* ARABIC </w:instrText>
      </w:r>
      <w:r w:rsidR="00BC2CAA">
        <w:fldChar w:fldCharType="separate"/>
      </w:r>
      <w:r w:rsidR="00BC2CAA">
        <w:rPr>
          <w:noProof/>
        </w:rPr>
        <w:t>6</w:t>
      </w:r>
      <w:r w:rsidR="00BC2CAA">
        <w:rPr>
          <w:noProof/>
        </w:rPr>
        <w:fldChar w:fldCharType="end"/>
      </w:r>
      <w:bookmarkEnd w:id="10"/>
      <w:r w:rsidRPr="00CE28E3">
        <w:tab/>
      </w:r>
      <w:r>
        <w:t>Department p</w:t>
      </w:r>
      <w:r w:rsidRPr="00CE28E3">
        <w:t xml:space="preserve">roposed item descriptor for </w:t>
      </w:r>
      <w:r>
        <w:t>paediatric Level 2 PSG in children aged 3-11 years (inclusive)</w:t>
      </w:r>
    </w:p>
    <w:tbl>
      <w:tblPr>
        <w:tblStyle w:val="TableGrid"/>
        <w:tblW w:w="0" w:type="auto"/>
        <w:tblLook w:val="04A0" w:firstRow="1" w:lastRow="0" w:firstColumn="1" w:lastColumn="0" w:noHBand="0" w:noVBand="1"/>
        <w:tblCaption w:val="Department proposed item descriptor for paediatric Level 2 PSG in children aged 3-11 years (inclusive )"/>
        <w:tblDescription w:val="Proposed item descriptor for paediatric Level 2 PSG conducted in children aged 3-11 years (inclusive )"/>
      </w:tblPr>
      <w:tblGrid>
        <w:gridCol w:w="9016"/>
      </w:tblGrid>
      <w:tr w:rsidR="00161C29" w:rsidRPr="00CE28E3" w14:paraId="53A83A63" w14:textId="77777777">
        <w:trPr>
          <w:trHeight w:val="350"/>
        </w:trPr>
        <w:tc>
          <w:tcPr>
            <w:tcW w:w="9016" w:type="dxa"/>
          </w:tcPr>
          <w:p w14:paraId="048D66EB" w14:textId="77777777" w:rsidR="00161C29" w:rsidRPr="00610976" w:rsidRDefault="00161C29">
            <w:pPr>
              <w:pStyle w:val="TableText"/>
              <w:keepNext/>
              <w:jc w:val="right"/>
              <w:rPr>
                <w:b/>
                <w:sz w:val="18"/>
                <w:szCs w:val="18"/>
              </w:rPr>
            </w:pPr>
            <w:r w:rsidRPr="00610976">
              <w:rPr>
                <w:b/>
                <w:sz w:val="18"/>
                <w:szCs w:val="18"/>
              </w:rPr>
              <w:t>Category 2: Diagnostic Procedures and Investigations</w:t>
            </w:r>
          </w:p>
          <w:p w14:paraId="3FB1F088" w14:textId="77777777" w:rsidR="00161C29" w:rsidRPr="00610976" w:rsidRDefault="00161C29">
            <w:pPr>
              <w:pStyle w:val="TableText"/>
              <w:keepNext/>
              <w:jc w:val="right"/>
              <w:rPr>
                <w:b/>
                <w:sz w:val="18"/>
                <w:szCs w:val="18"/>
              </w:rPr>
            </w:pPr>
            <w:r w:rsidRPr="00610976">
              <w:rPr>
                <w:b/>
                <w:sz w:val="18"/>
                <w:szCs w:val="18"/>
              </w:rPr>
              <w:t>Group D1. Miscellaneous Diagnostic Procedures And Investigation</w:t>
            </w:r>
          </w:p>
          <w:p w14:paraId="28655CDC" w14:textId="77777777" w:rsidR="00161C29" w:rsidRPr="00170D5B" w:rsidRDefault="00161C29">
            <w:pPr>
              <w:pStyle w:val="TableText"/>
              <w:keepNext/>
              <w:jc w:val="right"/>
            </w:pPr>
            <w:r w:rsidRPr="00610976">
              <w:rPr>
                <w:b/>
                <w:sz w:val="18"/>
                <w:szCs w:val="18"/>
              </w:rPr>
              <w:t>Subgroup 10. Other Diagnostic Procedures And Investigations</w:t>
            </w:r>
          </w:p>
        </w:tc>
      </w:tr>
      <w:tr w:rsidR="00161C29" w:rsidRPr="00643257" w14:paraId="607B1D67" w14:textId="77777777">
        <w:tc>
          <w:tcPr>
            <w:tcW w:w="9016" w:type="dxa"/>
          </w:tcPr>
          <w:p w14:paraId="77D4D954" w14:textId="77777777" w:rsidR="00161C29" w:rsidRPr="00643257" w:rsidRDefault="00161C29">
            <w:pPr>
              <w:pStyle w:val="TableText"/>
              <w:spacing w:after="120"/>
              <w:rPr>
                <w:b/>
                <w:bCs/>
                <w:sz w:val="18"/>
                <w:szCs w:val="18"/>
                <w:lang w:val="en-US" w:eastAsia="ja-JP"/>
              </w:rPr>
            </w:pPr>
            <w:r w:rsidRPr="00643257">
              <w:rPr>
                <w:b/>
                <w:bCs/>
                <w:sz w:val="18"/>
                <w:szCs w:val="18"/>
                <w:lang w:val="en-US" w:eastAsia="ja-JP"/>
              </w:rPr>
              <w:t>MBS item AAAA</w:t>
            </w:r>
          </w:p>
          <w:p w14:paraId="3BA264E6" w14:textId="77777777" w:rsidR="00161C29" w:rsidRPr="00643257" w:rsidRDefault="00161C29">
            <w:pPr>
              <w:pStyle w:val="TableText"/>
              <w:spacing w:after="120"/>
              <w:rPr>
                <w:sz w:val="18"/>
                <w:szCs w:val="18"/>
                <w:lang w:val="en-US" w:eastAsia="ja-JP"/>
              </w:rPr>
            </w:pPr>
            <w:r w:rsidRPr="00643257">
              <w:rPr>
                <w:sz w:val="18"/>
                <w:szCs w:val="18"/>
                <w:lang w:val="en-US" w:eastAsia="ja-JP"/>
              </w:rPr>
              <w:t>Overnight investigation</w:t>
            </w:r>
            <w:r>
              <w:rPr>
                <w:sz w:val="18"/>
                <w:szCs w:val="18"/>
                <w:lang w:val="en-US" w:eastAsia="ja-JP"/>
              </w:rPr>
              <w:t xml:space="preserve"> of </w:t>
            </w:r>
            <w:r w:rsidRPr="00643257">
              <w:rPr>
                <w:sz w:val="18"/>
                <w:szCs w:val="18"/>
                <w:lang w:val="en-US" w:eastAsia="ja-JP"/>
              </w:rPr>
              <w:t>sleep for at least 8 hours, for a patient aged at least 3 years but less than 12 years</w:t>
            </w:r>
            <w:r>
              <w:rPr>
                <w:sz w:val="18"/>
                <w:szCs w:val="18"/>
                <w:lang w:val="en-US" w:eastAsia="ja-JP"/>
              </w:rPr>
              <w:t xml:space="preserve">, </w:t>
            </w:r>
            <w:r w:rsidRPr="00643257">
              <w:rPr>
                <w:sz w:val="18"/>
                <w:szCs w:val="18"/>
              </w:rPr>
              <w:t>to confirm diagnosis of obstructive sleep apnoea</w:t>
            </w:r>
            <w:r w:rsidRPr="00643257">
              <w:rPr>
                <w:sz w:val="18"/>
                <w:szCs w:val="18"/>
                <w:lang w:val="en-US" w:eastAsia="ja-JP"/>
              </w:rPr>
              <w:t>, if:</w:t>
            </w:r>
          </w:p>
          <w:p w14:paraId="6005AF48" w14:textId="77777777" w:rsidR="00161C29" w:rsidRDefault="00161C29" w:rsidP="004105F1">
            <w:pPr>
              <w:pStyle w:val="TableText"/>
              <w:numPr>
                <w:ilvl w:val="0"/>
                <w:numId w:val="17"/>
              </w:numPr>
              <w:spacing w:after="120"/>
              <w:ind w:left="589" w:hanging="425"/>
              <w:rPr>
                <w:sz w:val="18"/>
                <w:szCs w:val="18"/>
                <w:lang w:val="en-US" w:eastAsia="ja-JP"/>
              </w:rPr>
            </w:pPr>
            <w:r w:rsidRPr="00913D92">
              <w:rPr>
                <w:sz w:val="18"/>
                <w:szCs w:val="18"/>
                <w:lang w:val="en-US" w:eastAsia="ja-JP"/>
              </w:rPr>
              <w:t>the patient has been referred by a medical practitioner to a qualified paediatric sleep medicine practitioner; and</w:t>
            </w:r>
          </w:p>
          <w:p w14:paraId="5522544B" w14:textId="77777777" w:rsidR="00161C29" w:rsidRDefault="00161C29" w:rsidP="004105F1">
            <w:pPr>
              <w:pStyle w:val="TableText"/>
              <w:numPr>
                <w:ilvl w:val="0"/>
                <w:numId w:val="17"/>
              </w:numPr>
              <w:spacing w:after="120"/>
              <w:ind w:left="589" w:hanging="425"/>
              <w:rPr>
                <w:sz w:val="18"/>
                <w:szCs w:val="18"/>
                <w:lang w:val="en-US" w:eastAsia="ja-JP"/>
              </w:rPr>
            </w:pPr>
            <w:r w:rsidRPr="004B51E2">
              <w:rPr>
                <w:sz w:val="18"/>
                <w:szCs w:val="18"/>
                <w:lang w:val="en-US" w:eastAsia="ja-JP"/>
              </w:rPr>
              <w:t>following professional attendance on the patient (either face to face or by video conference), a qualified paediatric sleep medicine practitioner has determined that the investigation is necessary to confirm the diagnosis of obstructive sleep apnoea, and that an out-of-laboratory setting is appropriate for the sleep study; and</w:t>
            </w:r>
          </w:p>
          <w:p w14:paraId="210893BF" w14:textId="77777777" w:rsidR="00161C29" w:rsidRDefault="00161C29" w:rsidP="004105F1">
            <w:pPr>
              <w:pStyle w:val="TableText"/>
              <w:numPr>
                <w:ilvl w:val="0"/>
                <w:numId w:val="17"/>
              </w:numPr>
              <w:spacing w:after="120"/>
              <w:ind w:left="589" w:hanging="425"/>
              <w:rPr>
                <w:sz w:val="18"/>
                <w:szCs w:val="18"/>
                <w:lang w:val="en-US" w:eastAsia="ja-JP"/>
              </w:rPr>
            </w:pPr>
            <w:r w:rsidRPr="00BE4D9F">
              <w:rPr>
                <w:sz w:val="18"/>
                <w:szCs w:val="18"/>
                <w:lang w:val="en-US" w:eastAsia="ja-JP"/>
              </w:rPr>
              <w:t>during a period of sleep, there is continuous monitoring and recording performed in accordance with current professional guidelines, of a minimum of 7 channels that include (i) to (vii) of the following measures:</w:t>
            </w:r>
          </w:p>
          <w:p w14:paraId="6118B956" w14:textId="77777777" w:rsidR="00161C29" w:rsidRDefault="00161C29" w:rsidP="004105F1">
            <w:pPr>
              <w:pStyle w:val="TableText"/>
              <w:numPr>
                <w:ilvl w:val="0"/>
                <w:numId w:val="14"/>
              </w:numPr>
              <w:spacing w:after="120"/>
              <w:ind w:left="1014" w:hanging="425"/>
              <w:rPr>
                <w:sz w:val="18"/>
                <w:szCs w:val="18"/>
                <w:lang w:val="en-US" w:eastAsia="ja-JP"/>
              </w:rPr>
            </w:pPr>
            <w:r w:rsidRPr="00643257">
              <w:rPr>
                <w:sz w:val="18"/>
                <w:szCs w:val="18"/>
                <w:lang w:val="en-US" w:eastAsia="ja-JP"/>
              </w:rPr>
              <w:t>airflow;</w:t>
            </w:r>
          </w:p>
          <w:p w14:paraId="0C8B05DE" w14:textId="77777777" w:rsidR="00161C29" w:rsidRDefault="00161C29" w:rsidP="004105F1">
            <w:pPr>
              <w:pStyle w:val="TableText"/>
              <w:numPr>
                <w:ilvl w:val="0"/>
                <w:numId w:val="14"/>
              </w:numPr>
              <w:spacing w:after="120"/>
              <w:ind w:left="1014" w:hanging="425"/>
              <w:rPr>
                <w:sz w:val="18"/>
                <w:szCs w:val="18"/>
                <w:lang w:val="en-US" w:eastAsia="ja-JP"/>
              </w:rPr>
            </w:pPr>
            <w:r w:rsidRPr="00C66B1D">
              <w:rPr>
                <w:sz w:val="18"/>
                <w:szCs w:val="18"/>
                <w:lang w:val="en-US" w:eastAsia="ja-JP"/>
              </w:rPr>
              <w:t>EEG;</w:t>
            </w:r>
          </w:p>
          <w:p w14:paraId="4C6CBF29" w14:textId="77777777" w:rsidR="00161C29" w:rsidRDefault="00161C29" w:rsidP="004105F1">
            <w:pPr>
              <w:pStyle w:val="TableText"/>
              <w:numPr>
                <w:ilvl w:val="0"/>
                <w:numId w:val="14"/>
              </w:numPr>
              <w:spacing w:after="120"/>
              <w:ind w:left="1014" w:hanging="425"/>
              <w:rPr>
                <w:sz w:val="18"/>
                <w:szCs w:val="18"/>
                <w:lang w:val="en-US" w:eastAsia="ja-JP"/>
              </w:rPr>
            </w:pPr>
            <w:r w:rsidRPr="00C66B1D">
              <w:rPr>
                <w:sz w:val="18"/>
                <w:szCs w:val="18"/>
                <w:lang w:val="en-US" w:eastAsia="ja-JP"/>
              </w:rPr>
              <w:t>EMG;</w:t>
            </w:r>
          </w:p>
          <w:p w14:paraId="02EE5380" w14:textId="77777777" w:rsidR="00161C29" w:rsidRDefault="00161C29" w:rsidP="004105F1">
            <w:pPr>
              <w:pStyle w:val="TableText"/>
              <w:numPr>
                <w:ilvl w:val="0"/>
                <w:numId w:val="14"/>
              </w:numPr>
              <w:spacing w:after="120"/>
              <w:ind w:left="1014" w:hanging="425"/>
              <w:rPr>
                <w:sz w:val="18"/>
                <w:szCs w:val="18"/>
                <w:lang w:val="en-US" w:eastAsia="ja-JP"/>
              </w:rPr>
            </w:pPr>
            <w:r w:rsidRPr="00C66B1D">
              <w:rPr>
                <w:sz w:val="18"/>
                <w:szCs w:val="18"/>
                <w:lang w:val="en-US" w:eastAsia="ja-JP"/>
              </w:rPr>
              <w:t>EOG;</w:t>
            </w:r>
          </w:p>
          <w:p w14:paraId="0C06138B" w14:textId="77777777" w:rsidR="00161C29" w:rsidRDefault="00161C29" w:rsidP="004105F1">
            <w:pPr>
              <w:pStyle w:val="TableText"/>
              <w:numPr>
                <w:ilvl w:val="0"/>
                <w:numId w:val="14"/>
              </w:numPr>
              <w:spacing w:after="120"/>
              <w:ind w:left="1014" w:hanging="425"/>
              <w:rPr>
                <w:sz w:val="18"/>
                <w:szCs w:val="18"/>
                <w:lang w:val="en-US" w:eastAsia="ja-JP"/>
              </w:rPr>
            </w:pPr>
            <w:r w:rsidRPr="00C66B1D">
              <w:rPr>
                <w:sz w:val="18"/>
                <w:szCs w:val="18"/>
                <w:lang w:val="en-US" w:eastAsia="ja-JP"/>
              </w:rPr>
              <w:t>ECG or heart rate;</w:t>
            </w:r>
          </w:p>
          <w:p w14:paraId="60287E42" w14:textId="77777777" w:rsidR="00161C29" w:rsidRDefault="00161C29" w:rsidP="004105F1">
            <w:pPr>
              <w:pStyle w:val="TableText"/>
              <w:numPr>
                <w:ilvl w:val="0"/>
                <w:numId w:val="14"/>
              </w:numPr>
              <w:spacing w:after="120"/>
              <w:ind w:left="1014" w:hanging="425"/>
              <w:rPr>
                <w:sz w:val="18"/>
                <w:szCs w:val="18"/>
                <w:lang w:val="en-US" w:eastAsia="ja-JP"/>
              </w:rPr>
            </w:pPr>
            <w:r w:rsidRPr="00C66B1D">
              <w:rPr>
                <w:sz w:val="18"/>
                <w:szCs w:val="18"/>
                <w:lang w:val="en-US" w:eastAsia="ja-JP"/>
              </w:rPr>
              <w:t>oxygen saturation;</w:t>
            </w:r>
          </w:p>
          <w:p w14:paraId="0C8094BE" w14:textId="77777777" w:rsidR="00161C29" w:rsidRPr="00C66B1D" w:rsidRDefault="00161C29" w:rsidP="004105F1">
            <w:pPr>
              <w:pStyle w:val="TableText"/>
              <w:numPr>
                <w:ilvl w:val="0"/>
                <w:numId w:val="14"/>
              </w:numPr>
              <w:spacing w:after="120"/>
              <w:ind w:left="1014" w:hanging="425"/>
              <w:rPr>
                <w:sz w:val="18"/>
                <w:szCs w:val="18"/>
                <w:lang w:val="en-US" w:eastAsia="ja-JP"/>
              </w:rPr>
            </w:pPr>
            <w:r w:rsidRPr="00C66B1D">
              <w:rPr>
                <w:sz w:val="18"/>
                <w:szCs w:val="18"/>
                <w:lang w:val="en-US" w:eastAsia="ja-JP"/>
              </w:rPr>
              <w:t>respiratory effort;</w:t>
            </w:r>
          </w:p>
          <w:p w14:paraId="3BD7015C" w14:textId="77777777" w:rsidR="00161C29" w:rsidRDefault="00161C29" w:rsidP="004105F1">
            <w:pPr>
              <w:pStyle w:val="TableText"/>
              <w:numPr>
                <w:ilvl w:val="0"/>
                <w:numId w:val="17"/>
              </w:numPr>
              <w:spacing w:after="120"/>
              <w:ind w:left="589" w:hanging="425"/>
              <w:rPr>
                <w:sz w:val="18"/>
                <w:szCs w:val="18"/>
                <w:lang w:val="en-US" w:eastAsia="ja-JP"/>
              </w:rPr>
            </w:pPr>
            <w:r w:rsidRPr="007A2F89">
              <w:rPr>
                <w:sz w:val="18"/>
                <w:szCs w:val="18"/>
                <w:lang w:val="en-US" w:eastAsia="ja-JP"/>
              </w:rPr>
              <w:t>the investigation is performed under the supervision of a qualified paediatric sleep medicine practitioner; and</w:t>
            </w:r>
          </w:p>
          <w:p w14:paraId="425BF313" w14:textId="77777777" w:rsidR="00161C29" w:rsidRDefault="00161C29" w:rsidP="004105F1">
            <w:pPr>
              <w:pStyle w:val="TableText"/>
              <w:numPr>
                <w:ilvl w:val="0"/>
                <w:numId w:val="17"/>
              </w:numPr>
              <w:spacing w:after="120"/>
              <w:ind w:left="589" w:hanging="425"/>
              <w:rPr>
                <w:sz w:val="18"/>
                <w:szCs w:val="18"/>
                <w:lang w:val="en-US" w:eastAsia="ja-JP"/>
              </w:rPr>
            </w:pPr>
            <w:r>
              <w:rPr>
                <w:sz w:val="18"/>
                <w:szCs w:val="18"/>
                <w:lang w:val="en-US" w:eastAsia="ja-JP"/>
              </w:rPr>
              <w:t>either:</w:t>
            </w:r>
          </w:p>
          <w:p w14:paraId="5C88F2C6" w14:textId="77777777" w:rsidR="00161C29" w:rsidRPr="00643257" w:rsidRDefault="00161C29" w:rsidP="004105F1">
            <w:pPr>
              <w:pStyle w:val="TableText"/>
              <w:numPr>
                <w:ilvl w:val="0"/>
                <w:numId w:val="15"/>
              </w:numPr>
              <w:spacing w:after="120"/>
              <w:ind w:left="1014" w:hanging="425"/>
              <w:rPr>
                <w:sz w:val="18"/>
                <w:szCs w:val="18"/>
                <w:lang w:val="en-US" w:eastAsia="ja-JP"/>
              </w:rPr>
            </w:pPr>
            <w:r w:rsidRPr="00643257">
              <w:rPr>
                <w:sz w:val="18"/>
                <w:szCs w:val="18"/>
                <w:lang w:val="en-US" w:eastAsia="ja-JP"/>
              </w:rPr>
              <w:t>the equipment is applied to the patient by a sleep technician;</w:t>
            </w:r>
            <w:r w:rsidRPr="00D02DDB">
              <w:rPr>
                <w:sz w:val="18"/>
                <w:szCs w:val="18"/>
                <w:lang w:val="en-US" w:eastAsia="ja-JP"/>
              </w:rPr>
              <w:t xml:space="preserve"> or</w:t>
            </w:r>
          </w:p>
          <w:p w14:paraId="0CD66BBA" w14:textId="77777777" w:rsidR="00161C29" w:rsidRDefault="00161C29" w:rsidP="004105F1">
            <w:pPr>
              <w:pStyle w:val="TableText"/>
              <w:numPr>
                <w:ilvl w:val="0"/>
                <w:numId w:val="15"/>
              </w:numPr>
              <w:spacing w:after="120"/>
              <w:ind w:left="1014" w:hanging="425"/>
              <w:rPr>
                <w:sz w:val="18"/>
                <w:szCs w:val="18"/>
                <w:lang w:val="en-US" w:eastAsia="ja-JP"/>
              </w:rPr>
            </w:pPr>
            <w:r w:rsidRPr="00045664">
              <w:rPr>
                <w:sz w:val="18"/>
                <w:szCs w:val="18"/>
                <w:lang w:val="en-US" w:eastAsia="ja-JP"/>
              </w:rPr>
              <w:t>if this is not possible, a sleep technologist provides telehealth support to a parent or caregiver while the parent or caregiver applies the equipment to the patient; and</w:t>
            </w:r>
          </w:p>
          <w:p w14:paraId="18EF7139" w14:textId="77777777" w:rsidR="00161C29" w:rsidRDefault="00161C29" w:rsidP="004105F1">
            <w:pPr>
              <w:pStyle w:val="TableText"/>
              <w:numPr>
                <w:ilvl w:val="0"/>
                <w:numId w:val="13"/>
              </w:numPr>
              <w:spacing w:after="120"/>
              <w:ind w:left="1440" w:hanging="426"/>
              <w:rPr>
                <w:sz w:val="18"/>
                <w:szCs w:val="18"/>
                <w:lang w:val="en-US" w:eastAsia="ja-JP"/>
              </w:rPr>
            </w:pPr>
            <w:r>
              <w:rPr>
                <w:sz w:val="18"/>
                <w:szCs w:val="18"/>
                <w:lang w:val="en-US" w:eastAsia="ja-JP"/>
              </w:rPr>
              <w:t>t</w:t>
            </w:r>
            <w:r w:rsidRPr="00362012">
              <w:rPr>
                <w:sz w:val="18"/>
                <w:szCs w:val="18"/>
                <w:lang w:val="en-US" w:eastAsia="ja-JP"/>
              </w:rPr>
              <w:t>elehealth support is provided during the entire process of applying the equipment to the patient;</w:t>
            </w:r>
          </w:p>
          <w:p w14:paraId="34D76974" w14:textId="0E5BF34D" w:rsidR="00161C29" w:rsidRPr="004C6953" w:rsidRDefault="00161C29" w:rsidP="004105F1">
            <w:pPr>
              <w:pStyle w:val="TableText"/>
              <w:numPr>
                <w:ilvl w:val="0"/>
                <w:numId w:val="13"/>
              </w:numPr>
              <w:spacing w:after="120"/>
              <w:ind w:left="1440" w:hanging="426"/>
              <w:rPr>
                <w:sz w:val="18"/>
                <w:szCs w:val="18"/>
                <w:lang w:val="en-US" w:eastAsia="ja-JP"/>
              </w:rPr>
            </w:pPr>
            <w:r>
              <w:rPr>
                <w:sz w:val="18"/>
                <w:szCs w:val="18"/>
                <w:lang w:val="en-US" w:eastAsia="ja-JP"/>
              </w:rPr>
              <w:t>t</w:t>
            </w:r>
            <w:r w:rsidRPr="004C6953">
              <w:rPr>
                <w:sz w:val="18"/>
                <w:szCs w:val="18"/>
                <w:lang w:val="en-US" w:eastAsia="ja-JP"/>
              </w:rPr>
              <w:t xml:space="preserve">elehealth is supported by written </w:t>
            </w:r>
            <w:r w:rsidR="00C5440A">
              <w:rPr>
                <w:sz w:val="18"/>
                <w:szCs w:val="18"/>
                <w:lang w:val="en-US" w:eastAsia="ja-JP"/>
              </w:rPr>
              <w:t>and/or video</w:t>
            </w:r>
            <w:r w:rsidR="00B8361A">
              <w:rPr>
                <w:sz w:val="18"/>
                <w:szCs w:val="18"/>
                <w:lang w:val="en-US" w:eastAsia="ja-JP"/>
              </w:rPr>
              <w:t>ed</w:t>
            </w:r>
            <w:r w:rsidRPr="004C6953">
              <w:rPr>
                <w:sz w:val="18"/>
                <w:szCs w:val="18"/>
                <w:lang w:val="en-US" w:eastAsia="ja-JP"/>
              </w:rPr>
              <w:t xml:space="preserve"> instructions provided to the parent/caregiver;</w:t>
            </w:r>
          </w:p>
          <w:p w14:paraId="46F56780" w14:textId="77777777" w:rsidR="00161C29" w:rsidRPr="004C6953" w:rsidRDefault="00161C29" w:rsidP="004105F1">
            <w:pPr>
              <w:pStyle w:val="TableText"/>
              <w:numPr>
                <w:ilvl w:val="0"/>
                <w:numId w:val="13"/>
              </w:numPr>
              <w:spacing w:after="120"/>
              <w:ind w:left="1440" w:hanging="426"/>
              <w:rPr>
                <w:sz w:val="18"/>
                <w:szCs w:val="18"/>
                <w:lang w:val="en-US" w:eastAsia="ja-JP"/>
              </w:rPr>
            </w:pPr>
            <w:r>
              <w:rPr>
                <w:sz w:val="18"/>
                <w:szCs w:val="18"/>
                <w:lang w:val="en-US" w:eastAsia="ja-JP"/>
              </w:rPr>
              <w:t>t</w:t>
            </w:r>
            <w:r w:rsidRPr="004C6953">
              <w:rPr>
                <w:sz w:val="18"/>
                <w:szCs w:val="18"/>
                <w:lang w:val="en-US" w:eastAsia="ja-JP"/>
              </w:rPr>
              <w:t>he use of telehealth during equipment set up is documented; and</w:t>
            </w:r>
          </w:p>
          <w:p w14:paraId="4F90639A" w14:textId="77777777" w:rsidR="00161C29" w:rsidRDefault="00161C29" w:rsidP="004105F1">
            <w:pPr>
              <w:pStyle w:val="TableText"/>
              <w:numPr>
                <w:ilvl w:val="0"/>
                <w:numId w:val="13"/>
              </w:numPr>
              <w:spacing w:after="120"/>
              <w:ind w:left="1440" w:hanging="426"/>
              <w:rPr>
                <w:sz w:val="18"/>
                <w:szCs w:val="18"/>
                <w:lang w:val="en-US" w:eastAsia="ja-JP"/>
              </w:rPr>
            </w:pPr>
            <w:r>
              <w:rPr>
                <w:sz w:val="18"/>
                <w:szCs w:val="18"/>
                <w:lang w:val="en-US" w:eastAsia="ja-JP"/>
              </w:rPr>
              <w:t>t</w:t>
            </w:r>
            <w:r w:rsidRPr="004C6953">
              <w:rPr>
                <w:sz w:val="18"/>
                <w:szCs w:val="18"/>
                <w:lang w:val="en-US" w:eastAsia="ja-JP"/>
              </w:rPr>
              <w:t>he reason it is not possible for a sleep technologist to apply the equipment to the patient is documented</w:t>
            </w:r>
            <w:r>
              <w:rPr>
                <w:sz w:val="18"/>
                <w:szCs w:val="18"/>
                <w:lang w:val="en-US" w:eastAsia="ja-JP"/>
              </w:rPr>
              <w:t>; and</w:t>
            </w:r>
          </w:p>
          <w:p w14:paraId="7149FD6F" w14:textId="77777777" w:rsidR="00161C29" w:rsidRDefault="00161C29" w:rsidP="004105F1">
            <w:pPr>
              <w:pStyle w:val="TableText"/>
              <w:numPr>
                <w:ilvl w:val="0"/>
                <w:numId w:val="17"/>
              </w:numPr>
              <w:spacing w:after="120"/>
              <w:ind w:left="589" w:hanging="425"/>
              <w:rPr>
                <w:sz w:val="18"/>
                <w:szCs w:val="18"/>
                <w:lang w:val="en-US" w:eastAsia="ja-JP"/>
              </w:rPr>
            </w:pPr>
            <w:r w:rsidRPr="006D05D1">
              <w:rPr>
                <w:sz w:val="18"/>
                <w:szCs w:val="18"/>
                <w:lang w:val="en-US" w:eastAsia="ja-JP"/>
              </w:rPr>
              <w:t>written instructions are given to the parent or caregiver describing how to monitor the patient overnight, and a phone contact or data link to the sleep technician to enable trouble shooting overnight is provided; and</w:t>
            </w:r>
          </w:p>
          <w:p w14:paraId="3E8C7A25" w14:textId="77777777" w:rsidR="00161C29" w:rsidRDefault="00161C29" w:rsidP="004105F1">
            <w:pPr>
              <w:pStyle w:val="TableText"/>
              <w:numPr>
                <w:ilvl w:val="0"/>
                <w:numId w:val="17"/>
              </w:numPr>
              <w:spacing w:after="120"/>
              <w:ind w:left="589" w:hanging="425"/>
              <w:rPr>
                <w:sz w:val="18"/>
                <w:szCs w:val="18"/>
                <w:lang w:val="en-US" w:eastAsia="ja-JP"/>
              </w:rPr>
            </w:pPr>
            <w:r w:rsidRPr="006A0039">
              <w:rPr>
                <w:sz w:val="18"/>
                <w:szCs w:val="18"/>
                <w:lang w:val="en-US" w:eastAsia="ja-JP"/>
              </w:rPr>
              <w:t>polygraphic records are:</w:t>
            </w:r>
          </w:p>
          <w:p w14:paraId="2E36A9CB" w14:textId="77777777" w:rsidR="00161C29" w:rsidRPr="00643257" w:rsidRDefault="00161C29" w:rsidP="004105F1">
            <w:pPr>
              <w:pStyle w:val="TableText"/>
              <w:numPr>
                <w:ilvl w:val="0"/>
                <w:numId w:val="16"/>
              </w:numPr>
              <w:spacing w:after="120"/>
              <w:ind w:left="1014" w:hanging="425"/>
              <w:rPr>
                <w:sz w:val="18"/>
                <w:szCs w:val="18"/>
                <w:lang w:val="en-US" w:eastAsia="ja-JP"/>
              </w:rPr>
            </w:pPr>
            <w:r w:rsidRPr="00851621">
              <w:rPr>
                <w:sz w:val="18"/>
                <w:szCs w:val="18"/>
                <w:lang w:val="en-US" w:eastAsia="ja-JP"/>
              </w:rPr>
              <w:t>analysed (for assessment of sleep stage, arousals, respiratory events, and cardiac abnormalities) using manual scoring, or manual correction of computerised scoring in epochs of not more than 1 minute; and</w:t>
            </w:r>
          </w:p>
          <w:p w14:paraId="021CAE1C" w14:textId="77777777" w:rsidR="00161C29" w:rsidRPr="00643257" w:rsidRDefault="00161C29" w:rsidP="004105F1">
            <w:pPr>
              <w:pStyle w:val="TableText"/>
              <w:numPr>
                <w:ilvl w:val="0"/>
                <w:numId w:val="16"/>
              </w:numPr>
              <w:spacing w:after="120"/>
              <w:ind w:left="1014" w:hanging="425"/>
              <w:rPr>
                <w:sz w:val="18"/>
                <w:szCs w:val="18"/>
                <w:lang w:val="en-US" w:eastAsia="ja-JP"/>
              </w:rPr>
            </w:pPr>
            <w:r w:rsidRPr="00643257">
              <w:rPr>
                <w:sz w:val="18"/>
                <w:szCs w:val="18"/>
                <w:lang w:val="en-US" w:eastAsia="ja-JP"/>
              </w:rPr>
              <w:t>stored for interpretation and preparation of a report; and</w:t>
            </w:r>
          </w:p>
          <w:p w14:paraId="21502817" w14:textId="77777777" w:rsidR="00161C29" w:rsidRDefault="00161C29" w:rsidP="004105F1">
            <w:pPr>
              <w:pStyle w:val="TableText"/>
              <w:numPr>
                <w:ilvl w:val="0"/>
                <w:numId w:val="17"/>
              </w:numPr>
              <w:spacing w:after="120"/>
              <w:ind w:left="589" w:hanging="425"/>
              <w:rPr>
                <w:sz w:val="18"/>
                <w:szCs w:val="18"/>
                <w:lang w:val="en-US" w:eastAsia="ja-JP"/>
              </w:rPr>
            </w:pPr>
            <w:r w:rsidRPr="00E471A7">
              <w:rPr>
                <w:sz w:val="18"/>
                <w:szCs w:val="18"/>
                <w:lang w:val="en-US" w:eastAsia="ja-JP"/>
              </w:rPr>
              <w:t>interpretation and preparation of a permanent report is provided by a qualified paediatric sleep medicine practitioner with personal direct review of raw data from the original recording of polygraphic data from the patient; and</w:t>
            </w:r>
          </w:p>
          <w:p w14:paraId="1B1EAB83" w14:textId="77777777" w:rsidR="00161C29" w:rsidRPr="001427D1" w:rsidRDefault="00161C29" w:rsidP="004105F1">
            <w:pPr>
              <w:pStyle w:val="TableText"/>
              <w:numPr>
                <w:ilvl w:val="0"/>
                <w:numId w:val="17"/>
              </w:numPr>
              <w:spacing w:after="120"/>
              <w:ind w:left="589" w:hanging="425"/>
              <w:rPr>
                <w:sz w:val="18"/>
                <w:szCs w:val="18"/>
                <w:lang w:val="en-US" w:eastAsia="ja-JP"/>
              </w:rPr>
            </w:pPr>
            <w:r w:rsidRPr="00F219D2">
              <w:rPr>
                <w:sz w:val="18"/>
                <w:szCs w:val="18"/>
                <w:lang w:val="en-US" w:eastAsia="ja-JP"/>
              </w:rPr>
              <w:t xml:space="preserve">the investigation is not provided to the patient on the same occasion that a service mentioned in any of items </w:t>
            </w:r>
            <w:r w:rsidRPr="00042CB1">
              <w:rPr>
                <w:sz w:val="18"/>
                <w:szCs w:val="18"/>
                <w:lang w:val="en-US" w:eastAsia="ja-JP"/>
              </w:rPr>
              <w:t>11000, 11003, 11004, 11005, 11503, 11704, 11705, 11707, 11713, 11714, 11716, 11717, 11723, 11735 and 122</w:t>
            </w:r>
            <w:r>
              <w:rPr>
                <w:sz w:val="18"/>
                <w:szCs w:val="18"/>
                <w:lang w:val="en-US" w:eastAsia="ja-JP"/>
              </w:rPr>
              <w:t>13</w:t>
            </w:r>
          </w:p>
          <w:p w14:paraId="02A69111" w14:textId="77777777" w:rsidR="00161C29" w:rsidRDefault="00161C29">
            <w:pPr>
              <w:pStyle w:val="TableText"/>
              <w:spacing w:after="120"/>
              <w:rPr>
                <w:sz w:val="18"/>
                <w:szCs w:val="18"/>
              </w:rPr>
            </w:pPr>
            <w:r w:rsidRPr="0011338C">
              <w:rPr>
                <w:sz w:val="18"/>
                <w:szCs w:val="18"/>
              </w:rPr>
              <w:t>Up to a maximum of 3 sleep study items per patient from AAAA and BBBB in any 12-month period</w:t>
            </w:r>
            <w:r>
              <w:rPr>
                <w:sz w:val="18"/>
                <w:szCs w:val="18"/>
              </w:rPr>
              <w:t>.</w:t>
            </w:r>
          </w:p>
          <w:p w14:paraId="4B17EFCC" w14:textId="77777777" w:rsidR="00161C29" w:rsidRPr="0011338C" w:rsidRDefault="00161C29">
            <w:pPr>
              <w:pStyle w:val="TableText"/>
              <w:spacing w:after="120"/>
              <w:rPr>
                <w:bCs/>
                <w:sz w:val="18"/>
                <w:szCs w:val="18"/>
              </w:rPr>
            </w:pPr>
            <w:r w:rsidRPr="00185D03">
              <w:rPr>
                <w:b/>
                <w:sz w:val="18"/>
                <w:szCs w:val="18"/>
              </w:rPr>
              <w:t xml:space="preserve">Fee: </w:t>
            </w:r>
            <w:r w:rsidRPr="00263A11">
              <w:rPr>
                <w:bCs/>
                <w:sz w:val="18"/>
                <w:szCs w:val="18"/>
              </w:rPr>
              <w:t>$507.00</w:t>
            </w:r>
            <w:r w:rsidRPr="00263A11">
              <w:rPr>
                <w:bCs/>
                <w:sz w:val="18"/>
                <w:szCs w:val="18"/>
              </w:rPr>
              <w:tab/>
            </w:r>
            <w:r w:rsidRPr="00185D03">
              <w:rPr>
                <w:b/>
                <w:sz w:val="18"/>
                <w:szCs w:val="18"/>
              </w:rPr>
              <w:t xml:space="preserve">Benefit: </w:t>
            </w:r>
            <w:r w:rsidRPr="00263A11">
              <w:rPr>
                <w:bCs/>
                <w:sz w:val="18"/>
                <w:szCs w:val="18"/>
              </w:rPr>
              <w:t xml:space="preserve">75% = $380.25 </w:t>
            </w:r>
            <w:r w:rsidRPr="00263A11">
              <w:rPr>
                <w:bCs/>
                <w:sz w:val="18"/>
                <w:szCs w:val="18"/>
              </w:rPr>
              <w:tab/>
              <w:t>85% = $430.95</w:t>
            </w:r>
          </w:p>
          <w:p w14:paraId="70574EE8" w14:textId="77777777" w:rsidR="00161C29" w:rsidRPr="006E5E07" w:rsidRDefault="00161C29">
            <w:pPr>
              <w:pStyle w:val="TableText"/>
              <w:spacing w:after="120"/>
              <w:rPr>
                <w:sz w:val="18"/>
                <w:szCs w:val="18"/>
              </w:rPr>
            </w:pPr>
            <w:r w:rsidRPr="007614D6">
              <w:rPr>
                <w:sz w:val="18"/>
                <w:szCs w:val="18"/>
              </w:rPr>
              <w:t>(See para DN.1.17 of explanatory notes to this Category)</w:t>
            </w:r>
          </w:p>
        </w:tc>
      </w:tr>
    </w:tbl>
    <w:p w14:paraId="6E23F3D3" w14:textId="77777777" w:rsidR="00161C29" w:rsidRDefault="00161C29" w:rsidP="00161C29">
      <w:pPr>
        <w:pStyle w:val="111Tablefootnoteslast-nostick"/>
      </w:pPr>
      <w:r>
        <w:t xml:space="preserve">ECG = electrocardiogram (electrocardiography); EEG = electroencephalogram (electroencephalography); EMG = electromyogram (electromyography); EOG = electrooculogram (electrooculography); MBS = Medical Benefits Schedule; </w:t>
      </w:r>
      <w:r w:rsidRPr="009413F1">
        <w:t>PSG = polysomnography</w:t>
      </w:r>
      <w:r>
        <w:t>.</w:t>
      </w:r>
    </w:p>
    <w:p w14:paraId="642BCF94" w14:textId="57B57581" w:rsidR="00590CDE" w:rsidRPr="00011BE7" w:rsidRDefault="00590CDE" w:rsidP="00590CDE">
      <w:pPr>
        <w:pStyle w:val="111Tablefootnoteslast-nostick"/>
      </w:pPr>
      <w:r w:rsidRPr="006F1E02">
        <w:t xml:space="preserve">Source: </w:t>
      </w:r>
      <w:r>
        <w:t xml:space="preserve">Table </w:t>
      </w:r>
      <w:r w:rsidR="00CE5F29">
        <w:t>39</w:t>
      </w:r>
      <w:r>
        <w:t xml:space="preserve"> of</w:t>
      </w:r>
      <w:r w:rsidRPr="006F1E02">
        <w:t xml:space="preserve"> MSAC Application 1712</w:t>
      </w:r>
      <w:r>
        <w:t>.1</w:t>
      </w:r>
      <w:r w:rsidRPr="006F1E02">
        <w:t>.</w:t>
      </w:r>
    </w:p>
    <w:p w14:paraId="744DC5B5" w14:textId="41D84B92" w:rsidR="00161C29" w:rsidRPr="00CE28E3" w:rsidRDefault="00161C29" w:rsidP="00161C29">
      <w:pPr>
        <w:pStyle w:val="Caption"/>
      </w:pPr>
      <w:r w:rsidRPr="00CE28E3">
        <w:t>Table</w:t>
      </w:r>
      <w:r>
        <w:t> </w:t>
      </w:r>
      <w:r w:rsidR="00BC2CAA">
        <w:fldChar w:fldCharType="begin"/>
      </w:r>
      <w:r w:rsidR="00BC2CAA">
        <w:instrText xml:space="preserve"> SEQ Table \* ARABIC </w:instrText>
      </w:r>
      <w:r w:rsidR="00BC2CAA">
        <w:fldChar w:fldCharType="separate"/>
      </w:r>
      <w:r w:rsidR="00BC2CAA">
        <w:rPr>
          <w:noProof/>
        </w:rPr>
        <w:t>7</w:t>
      </w:r>
      <w:r w:rsidR="00BC2CAA">
        <w:rPr>
          <w:noProof/>
        </w:rPr>
        <w:fldChar w:fldCharType="end"/>
      </w:r>
      <w:r w:rsidRPr="00CE28E3">
        <w:tab/>
      </w:r>
      <w:r>
        <w:t>Department p</w:t>
      </w:r>
      <w:r w:rsidRPr="00CE28E3">
        <w:t xml:space="preserve">roposed item descriptor for </w:t>
      </w:r>
      <w:r>
        <w:t>paediatric Level 2 PSG in adolescents aged 12-17 years (inclusive)</w:t>
      </w:r>
    </w:p>
    <w:tbl>
      <w:tblPr>
        <w:tblStyle w:val="TableGrid"/>
        <w:tblW w:w="0" w:type="auto"/>
        <w:tblLook w:val="04A0" w:firstRow="1" w:lastRow="0" w:firstColumn="1" w:lastColumn="0" w:noHBand="0" w:noVBand="1"/>
        <w:tblCaption w:val="Proposed item descriptor for paediatric Level 2 PSG in adolescents aged 12-17 years (inclusive )"/>
        <w:tblDescription w:val="Proposed item descriptor for paediatric Level 2 PSG  in adolescents aged 12-17 years (inclusive )"/>
      </w:tblPr>
      <w:tblGrid>
        <w:gridCol w:w="9016"/>
      </w:tblGrid>
      <w:tr w:rsidR="00161C29" w:rsidRPr="00CE28E3" w14:paraId="759E347C" w14:textId="77777777">
        <w:trPr>
          <w:trHeight w:val="350"/>
        </w:trPr>
        <w:tc>
          <w:tcPr>
            <w:tcW w:w="9016" w:type="dxa"/>
          </w:tcPr>
          <w:p w14:paraId="66A6ABDC" w14:textId="77777777" w:rsidR="00161C29" w:rsidRPr="00610976" w:rsidRDefault="00161C29">
            <w:pPr>
              <w:pStyle w:val="TableText"/>
              <w:keepNext/>
              <w:jc w:val="right"/>
              <w:rPr>
                <w:b/>
                <w:sz w:val="18"/>
                <w:szCs w:val="18"/>
              </w:rPr>
            </w:pPr>
            <w:r w:rsidRPr="00610976">
              <w:rPr>
                <w:b/>
                <w:sz w:val="18"/>
                <w:szCs w:val="18"/>
              </w:rPr>
              <w:t>Category 2: Diagnostic Procedures and Investigations</w:t>
            </w:r>
          </w:p>
          <w:p w14:paraId="231C018C" w14:textId="77777777" w:rsidR="00161C29" w:rsidRPr="00610976" w:rsidRDefault="00161C29">
            <w:pPr>
              <w:pStyle w:val="TableText"/>
              <w:keepNext/>
              <w:jc w:val="right"/>
              <w:rPr>
                <w:b/>
                <w:sz w:val="18"/>
                <w:szCs w:val="18"/>
              </w:rPr>
            </w:pPr>
            <w:r w:rsidRPr="00610976">
              <w:rPr>
                <w:b/>
                <w:sz w:val="18"/>
                <w:szCs w:val="18"/>
              </w:rPr>
              <w:t>Group D1. Miscellaneous Diagnostic Procedures And Investigation</w:t>
            </w:r>
          </w:p>
          <w:p w14:paraId="04741D8C" w14:textId="77777777" w:rsidR="00161C29" w:rsidRPr="00170D5B" w:rsidRDefault="00161C29">
            <w:pPr>
              <w:pStyle w:val="TableText"/>
              <w:keepNext/>
              <w:jc w:val="right"/>
            </w:pPr>
            <w:r w:rsidRPr="00610976">
              <w:rPr>
                <w:b/>
                <w:sz w:val="18"/>
                <w:szCs w:val="18"/>
              </w:rPr>
              <w:t>Subgroup 10. Other Diagnostic Procedures And Investigations</w:t>
            </w:r>
          </w:p>
        </w:tc>
      </w:tr>
      <w:tr w:rsidR="00161C29" w:rsidRPr="00643257" w14:paraId="37B06896" w14:textId="77777777">
        <w:tc>
          <w:tcPr>
            <w:tcW w:w="9016" w:type="dxa"/>
          </w:tcPr>
          <w:p w14:paraId="515074D4" w14:textId="77777777" w:rsidR="00161C29" w:rsidRPr="00643257" w:rsidRDefault="00161C29">
            <w:pPr>
              <w:pStyle w:val="TableText"/>
              <w:spacing w:after="120"/>
              <w:rPr>
                <w:b/>
                <w:bCs/>
                <w:sz w:val="18"/>
                <w:szCs w:val="18"/>
                <w:lang w:val="en-US" w:eastAsia="ja-JP"/>
              </w:rPr>
            </w:pPr>
            <w:r w:rsidRPr="00643257">
              <w:rPr>
                <w:b/>
                <w:bCs/>
                <w:sz w:val="18"/>
                <w:szCs w:val="18"/>
                <w:lang w:val="en-US" w:eastAsia="ja-JP"/>
              </w:rPr>
              <w:t xml:space="preserve">MBS item </w:t>
            </w:r>
            <w:r>
              <w:rPr>
                <w:b/>
                <w:bCs/>
                <w:sz w:val="18"/>
                <w:szCs w:val="18"/>
                <w:lang w:val="en-US" w:eastAsia="ja-JP"/>
              </w:rPr>
              <w:t>BBBB</w:t>
            </w:r>
          </w:p>
          <w:p w14:paraId="169EC58E" w14:textId="77777777" w:rsidR="00161C29" w:rsidRPr="00643257" w:rsidRDefault="00161C29">
            <w:pPr>
              <w:pStyle w:val="TableText"/>
              <w:spacing w:after="120"/>
              <w:rPr>
                <w:sz w:val="18"/>
                <w:szCs w:val="18"/>
                <w:lang w:val="en-US" w:eastAsia="ja-JP"/>
              </w:rPr>
            </w:pPr>
            <w:r w:rsidRPr="00643257">
              <w:rPr>
                <w:sz w:val="18"/>
                <w:szCs w:val="18"/>
                <w:lang w:val="en-US" w:eastAsia="ja-JP"/>
              </w:rPr>
              <w:t>Overnight investigation</w:t>
            </w:r>
            <w:r>
              <w:rPr>
                <w:sz w:val="18"/>
                <w:szCs w:val="18"/>
                <w:lang w:val="en-US" w:eastAsia="ja-JP"/>
              </w:rPr>
              <w:t xml:space="preserve"> of </w:t>
            </w:r>
            <w:r w:rsidRPr="00643257">
              <w:rPr>
                <w:sz w:val="18"/>
                <w:szCs w:val="18"/>
                <w:lang w:val="en-US" w:eastAsia="ja-JP"/>
              </w:rPr>
              <w:t xml:space="preserve">sleep for at least 8 hours, for a patient aged at least </w:t>
            </w:r>
            <w:r>
              <w:rPr>
                <w:sz w:val="18"/>
                <w:szCs w:val="18"/>
                <w:lang w:val="en-US" w:eastAsia="ja-JP"/>
              </w:rPr>
              <w:t>12</w:t>
            </w:r>
            <w:r w:rsidRPr="00643257">
              <w:rPr>
                <w:sz w:val="18"/>
                <w:szCs w:val="18"/>
                <w:lang w:val="en-US" w:eastAsia="ja-JP"/>
              </w:rPr>
              <w:t xml:space="preserve"> years but less than 1</w:t>
            </w:r>
            <w:r>
              <w:rPr>
                <w:sz w:val="18"/>
                <w:szCs w:val="18"/>
                <w:lang w:val="en-US" w:eastAsia="ja-JP"/>
              </w:rPr>
              <w:t>8</w:t>
            </w:r>
            <w:r w:rsidRPr="00643257">
              <w:rPr>
                <w:sz w:val="18"/>
                <w:szCs w:val="18"/>
                <w:lang w:val="en-US" w:eastAsia="ja-JP"/>
              </w:rPr>
              <w:t xml:space="preserve"> years</w:t>
            </w:r>
            <w:r>
              <w:rPr>
                <w:sz w:val="18"/>
                <w:szCs w:val="18"/>
                <w:lang w:val="en-US" w:eastAsia="ja-JP"/>
              </w:rPr>
              <w:t xml:space="preserve">, </w:t>
            </w:r>
            <w:r w:rsidRPr="00643257">
              <w:rPr>
                <w:sz w:val="18"/>
                <w:szCs w:val="18"/>
              </w:rPr>
              <w:t>to confirm diagnosis of obstructive sleep apnoea</w:t>
            </w:r>
            <w:r w:rsidRPr="00643257">
              <w:rPr>
                <w:sz w:val="18"/>
                <w:szCs w:val="18"/>
                <w:lang w:val="en-US" w:eastAsia="ja-JP"/>
              </w:rPr>
              <w:t>, if:</w:t>
            </w:r>
          </w:p>
          <w:p w14:paraId="640D9893" w14:textId="77777777" w:rsidR="00161C29" w:rsidRDefault="00161C29" w:rsidP="004105F1">
            <w:pPr>
              <w:pStyle w:val="TableText"/>
              <w:numPr>
                <w:ilvl w:val="0"/>
                <w:numId w:val="27"/>
              </w:numPr>
              <w:spacing w:after="120"/>
              <w:ind w:left="589" w:hanging="425"/>
              <w:rPr>
                <w:sz w:val="18"/>
                <w:szCs w:val="18"/>
                <w:lang w:val="en-US" w:eastAsia="ja-JP"/>
              </w:rPr>
            </w:pPr>
            <w:r w:rsidRPr="00913D92">
              <w:rPr>
                <w:sz w:val="18"/>
                <w:szCs w:val="18"/>
                <w:lang w:val="en-US" w:eastAsia="ja-JP"/>
              </w:rPr>
              <w:t xml:space="preserve">the patient has been referred by a medical practitioner to a qualified paediatric </w:t>
            </w:r>
            <w:r>
              <w:rPr>
                <w:sz w:val="18"/>
                <w:szCs w:val="18"/>
                <w:lang w:val="en-US" w:eastAsia="ja-JP"/>
              </w:rPr>
              <w:t xml:space="preserve">or adult </w:t>
            </w:r>
            <w:r w:rsidRPr="00913D92">
              <w:rPr>
                <w:sz w:val="18"/>
                <w:szCs w:val="18"/>
                <w:lang w:val="en-US" w:eastAsia="ja-JP"/>
              </w:rPr>
              <w:t>sleep medicine practitioner; and</w:t>
            </w:r>
          </w:p>
          <w:p w14:paraId="78A31DE2" w14:textId="77777777" w:rsidR="00161C29" w:rsidRDefault="00161C29" w:rsidP="004105F1">
            <w:pPr>
              <w:pStyle w:val="TableText"/>
              <w:numPr>
                <w:ilvl w:val="0"/>
                <w:numId w:val="27"/>
              </w:numPr>
              <w:spacing w:after="120"/>
              <w:ind w:left="589" w:hanging="425"/>
              <w:rPr>
                <w:sz w:val="18"/>
                <w:szCs w:val="18"/>
                <w:lang w:val="en-US" w:eastAsia="ja-JP"/>
              </w:rPr>
            </w:pPr>
            <w:r w:rsidRPr="004B51E2">
              <w:rPr>
                <w:sz w:val="18"/>
                <w:szCs w:val="18"/>
                <w:lang w:val="en-US" w:eastAsia="ja-JP"/>
              </w:rPr>
              <w:t>following professional attendance on the patient (either face to face or by video conference), a qualified paediatric sleep medicine practitioner has determined that the investigation is necessary to confirm the diagnosis of obstructive sleep apnoea, and that an out-of-laboratory setting is appropriate for the sleep study; and</w:t>
            </w:r>
          </w:p>
          <w:p w14:paraId="24BE692E" w14:textId="77777777" w:rsidR="00161C29" w:rsidRDefault="00161C29" w:rsidP="004105F1">
            <w:pPr>
              <w:pStyle w:val="TableText"/>
              <w:numPr>
                <w:ilvl w:val="0"/>
                <w:numId w:val="27"/>
              </w:numPr>
              <w:spacing w:after="120"/>
              <w:ind w:left="589" w:hanging="425"/>
              <w:rPr>
                <w:sz w:val="18"/>
                <w:szCs w:val="18"/>
                <w:lang w:val="en-US" w:eastAsia="ja-JP"/>
              </w:rPr>
            </w:pPr>
            <w:r w:rsidRPr="00BE4D9F">
              <w:rPr>
                <w:sz w:val="18"/>
                <w:szCs w:val="18"/>
                <w:lang w:val="en-US" w:eastAsia="ja-JP"/>
              </w:rPr>
              <w:t>during a period of sleep, there is continuous monitoring and recording performed in accordance with current professional guidelines, of a minimum of 7 channels that include (i) to (vii) of the following measures:</w:t>
            </w:r>
          </w:p>
          <w:p w14:paraId="37D5C9C7" w14:textId="77777777" w:rsidR="00161C29" w:rsidRDefault="00161C29" w:rsidP="004105F1">
            <w:pPr>
              <w:pStyle w:val="TableText"/>
              <w:numPr>
                <w:ilvl w:val="0"/>
                <w:numId w:val="18"/>
              </w:numPr>
              <w:spacing w:after="120"/>
              <w:ind w:left="1014" w:hanging="425"/>
              <w:rPr>
                <w:sz w:val="18"/>
                <w:szCs w:val="18"/>
                <w:lang w:val="en-US" w:eastAsia="ja-JP"/>
              </w:rPr>
            </w:pPr>
            <w:r w:rsidRPr="00643257">
              <w:rPr>
                <w:sz w:val="18"/>
                <w:szCs w:val="18"/>
                <w:lang w:val="en-US" w:eastAsia="ja-JP"/>
              </w:rPr>
              <w:t>airflow;</w:t>
            </w:r>
          </w:p>
          <w:p w14:paraId="1FAA9663" w14:textId="77777777" w:rsidR="00161C29" w:rsidRDefault="00161C29" w:rsidP="004105F1">
            <w:pPr>
              <w:pStyle w:val="TableText"/>
              <w:numPr>
                <w:ilvl w:val="0"/>
                <w:numId w:val="18"/>
              </w:numPr>
              <w:spacing w:after="120"/>
              <w:ind w:left="1014" w:hanging="425"/>
              <w:rPr>
                <w:sz w:val="18"/>
                <w:szCs w:val="18"/>
                <w:lang w:val="en-US" w:eastAsia="ja-JP"/>
              </w:rPr>
            </w:pPr>
            <w:r w:rsidRPr="00C66B1D">
              <w:rPr>
                <w:sz w:val="18"/>
                <w:szCs w:val="18"/>
                <w:lang w:val="en-US" w:eastAsia="ja-JP"/>
              </w:rPr>
              <w:t>EEG;</w:t>
            </w:r>
          </w:p>
          <w:p w14:paraId="6E580531" w14:textId="77777777" w:rsidR="00161C29" w:rsidRDefault="00161C29" w:rsidP="004105F1">
            <w:pPr>
              <w:pStyle w:val="TableText"/>
              <w:numPr>
                <w:ilvl w:val="0"/>
                <w:numId w:val="18"/>
              </w:numPr>
              <w:spacing w:after="120"/>
              <w:ind w:left="1014" w:hanging="425"/>
              <w:rPr>
                <w:sz w:val="18"/>
                <w:szCs w:val="18"/>
                <w:lang w:val="en-US" w:eastAsia="ja-JP"/>
              </w:rPr>
            </w:pPr>
            <w:r w:rsidRPr="00C66B1D">
              <w:rPr>
                <w:sz w:val="18"/>
                <w:szCs w:val="18"/>
                <w:lang w:val="en-US" w:eastAsia="ja-JP"/>
              </w:rPr>
              <w:t>EMG;</w:t>
            </w:r>
          </w:p>
          <w:p w14:paraId="41CC0F9A" w14:textId="77777777" w:rsidR="00161C29" w:rsidRDefault="00161C29" w:rsidP="004105F1">
            <w:pPr>
              <w:pStyle w:val="TableText"/>
              <w:numPr>
                <w:ilvl w:val="0"/>
                <w:numId w:val="18"/>
              </w:numPr>
              <w:spacing w:after="120"/>
              <w:ind w:left="1014" w:hanging="425"/>
              <w:rPr>
                <w:sz w:val="18"/>
                <w:szCs w:val="18"/>
                <w:lang w:val="en-US" w:eastAsia="ja-JP"/>
              </w:rPr>
            </w:pPr>
            <w:r w:rsidRPr="00C66B1D">
              <w:rPr>
                <w:sz w:val="18"/>
                <w:szCs w:val="18"/>
                <w:lang w:val="en-US" w:eastAsia="ja-JP"/>
              </w:rPr>
              <w:t>EOG;</w:t>
            </w:r>
          </w:p>
          <w:p w14:paraId="4C7F68E0" w14:textId="77777777" w:rsidR="00161C29" w:rsidRDefault="00161C29" w:rsidP="004105F1">
            <w:pPr>
              <w:pStyle w:val="TableText"/>
              <w:numPr>
                <w:ilvl w:val="0"/>
                <w:numId w:val="18"/>
              </w:numPr>
              <w:spacing w:after="120"/>
              <w:ind w:left="1014" w:hanging="425"/>
              <w:rPr>
                <w:sz w:val="18"/>
                <w:szCs w:val="18"/>
                <w:lang w:val="en-US" w:eastAsia="ja-JP"/>
              </w:rPr>
            </w:pPr>
            <w:r w:rsidRPr="00C66B1D">
              <w:rPr>
                <w:sz w:val="18"/>
                <w:szCs w:val="18"/>
                <w:lang w:val="en-US" w:eastAsia="ja-JP"/>
              </w:rPr>
              <w:t>ECG or heart rate;</w:t>
            </w:r>
          </w:p>
          <w:p w14:paraId="4EE742B9" w14:textId="77777777" w:rsidR="00161C29" w:rsidRDefault="00161C29" w:rsidP="004105F1">
            <w:pPr>
              <w:pStyle w:val="TableText"/>
              <w:numPr>
                <w:ilvl w:val="0"/>
                <w:numId w:val="18"/>
              </w:numPr>
              <w:spacing w:after="120"/>
              <w:ind w:left="1014" w:hanging="425"/>
              <w:rPr>
                <w:sz w:val="18"/>
                <w:szCs w:val="18"/>
                <w:lang w:val="en-US" w:eastAsia="ja-JP"/>
              </w:rPr>
            </w:pPr>
            <w:r w:rsidRPr="00C66B1D">
              <w:rPr>
                <w:sz w:val="18"/>
                <w:szCs w:val="18"/>
                <w:lang w:val="en-US" w:eastAsia="ja-JP"/>
              </w:rPr>
              <w:t>oxygen saturation;</w:t>
            </w:r>
          </w:p>
          <w:p w14:paraId="18F79BE2" w14:textId="77777777" w:rsidR="00161C29" w:rsidRPr="00C66B1D" w:rsidRDefault="00161C29" w:rsidP="004105F1">
            <w:pPr>
              <w:pStyle w:val="TableText"/>
              <w:numPr>
                <w:ilvl w:val="0"/>
                <w:numId w:val="18"/>
              </w:numPr>
              <w:spacing w:after="120"/>
              <w:ind w:left="1014" w:hanging="425"/>
              <w:rPr>
                <w:sz w:val="18"/>
                <w:szCs w:val="18"/>
                <w:lang w:val="en-US" w:eastAsia="ja-JP"/>
              </w:rPr>
            </w:pPr>
            <w:r w:rsidRPr="00C66B1D">
              <w:rPr>
                <w:sz w:val="18"/>
                <w:szCs w:val="18"/>
                <w:lang w:val="en-US" w:eastAsia="ja-JP"/>
              </w:rPr>
              <w:t>respiratory effort;</w:t>
            </w:r>
          </w:p>
          <w:p w14:paraId="6E23FD6C" w14:textId="77777777" w:rsidR="00161C29" w:rsidRDefault="00161C29" w:rsidP="004105F1">
            <w:pPr>
              <w:pStyle w:val="TableText"/>
              <w:numPr>
                <w:ilvl w:val="0"/>
                <w:numId w:val="27"/>
              </w:numPr>
              <w:spacing w:after="120"/>
              <w:ind w:left="589" w:hanging="425"/>
              <w:rPr>
                <w:sz w:val="18"/>
                <w:szCs w:val="18"/>
                <w:lang w:val="en-US" w:eastAsia="ja-JP"/>
              </w:rPr>
            </w:pPr>
            <w:r w:rsidRPr="007A2F89">
              <w:rPr>
                <w:sz w:val="18"/>
                <w:szCs w:val="18"/>
                <w:lang w:val="en-US" w:eastAsia="ja-JP"/>
              </w:rPr>
              <w:t xml:space="preserve">the investigation is performed under the supervision of a qualified paediatric </w:t>
            </w:r>
            <w:r>
              <w:rPr>
                <w:sz w:val="18"/>
                <w:szCs w:val="18"/>
                <w:lang w:val="en-US" w:eastAsia="ja-JP"/>
              </w:rPr>
              <w:t xml:space="preserve">or adult </w:t>
            </w:r>
            <w:r w:rsidRPr="007A2F89">
              <w:rPr>
                <w:sz w:val="18"/>
                <w:szCs w:val="18"/>
                <w:lang w:val="en-US" w:eastAsia="ja-JP"/>
              </w:rPr>
              <w:t>sleep medicine practitioner; and</w:t>
            </w:r>
          </w:p>
          <w:p w14:paraId="75BE0DA5" w14:textId="77777777" w:rsidR="00161C29" w:rsidRDefault="00161C29" w:rsidP="004105F1">
            <w:pPr>
              <w:pStyle w:val="TableText"/>
              <w:numPr>
                <w:ilvl w:val="0"/>
                <w:numId w:val="27"/>
              </w:numPr>
              <w:spacing w:after="120"/>
              <w:ind w:left="589" w:hanging="425"/>
              <w:rPr>
                <w:sz w:val="18"/>
                <w:szCs w:val="18"/>
                <w:lang w:val="en-US" w:eastAsia="ja-JP"/>
              </w:rPr>
            </w:pPr>
            <w:r>
              <w:rPr>
                <w:sz w:val="18"/>
                <w:szCs w:val="18"/>
                <w:lang w:val="en-US" w:eastAsia="ja-JP"/>
              </w:rPr>
              <w:t>either:</w:t>
            </w:r>
          </w:p>
          <w:p w14:paraId="171E650F" w14:textId="77777777" w:rsidR="00161C29" w:rsidRPr="00643257" w:rsidRDefault="00161C29" w:rsidP="004105F1">
            <w:pPr>
              <w:pStyle w:val="TableText"/>
              <w:numPr>
                <w:ilvl w:val="0"/>
                <w:numId w:val="19"/>
              </w:numPr>
              <w:spacing w:after="120"/>
              <w:ind w:left="1014" w:hanging="425"/>
              <w:rPr>
                <w:sz w:val="18"/>
                <w:szCs w:val="18"/>
                <w:lang w:val="en-US" w:eastAsia="ja-JP"/>
              </w:rPr>
            </w:pPr>
            <w:r w:rsidRPr="00643257">
              <w:rPr>
                <w:sz w:val="18"/>
                <w:szCs w:val="18"/>
                <w:lang w:val="en-US" w:eastAsia="ja-JP"/>
              </w:rPr>
              <w:t>the equipment is applied to the patient by a sleep technician;</w:t>
            </w:r>
            <w:r w:rsidRPr="00D02DDB">
              <w:rPr>
                <w:sz w:val="18"/>
                <w:szCs w:val="18"/>
                <w:lang w:val="en-US" w:eastAsia="ja-JP"/>
              </w:rPr>
              <w:t xml:space="preserve"> or</w:t>
            </w:r>
          </w:p>
          <w:p w14:paraId="0417BC81" w14:textId="77777777" w:rsidR="00161C29" w:rsidRDefault="00161C29" w:rsidP="004105F1">
            <w:pPr>
              <w:pStyle w:val="TableText"/>
              <w:numPr>
                <w:ilvl w:val="0"/>
                <w:numId w:val="19"/>
              </w:numPr>
              <w:spacing w:after="120"/>
              <w:ind w:left="1014" w:hanging="425"/>
              <w:rPr>
                <w:sz w:val="18"/>
                <w:szCs w:val="18"/>
                <w:lang w:val="en-US" w:eastAsia="ja-JP"/>
              </w:rPr>
            </w:pPr>
            <w:r w:rsidRPr="00045664">
              <w:rPr>
                <w:sz w:val="18"/>
                <w:szCs w:val="18"/>
                <w:lang w:val="en-US" w:eastAsia="ja-JP"/>
              </w:rPr>
              <w:t>if this is not possible, a sleep technologist provides telehealth support to a parent or caregiver while the parent or caregiver applies the equipment to the patient; and</w:t>
            </w:r>
          </w:p>
          <w:p w14:paraId="1DA7625A" w14:textId="77777777" w:rsidR="00161C29" w:rsidRDefault="00161C29" w:rsidP="004105F1">
            <w:pPr>
              <w:pStyle w:val="TableText"/>
              <w:numPr>
                <w:ilvl w:val="0"/>
                <w:numId w:val="21"/>
              </w:numPr>
              <w:spacing w:after="120"/>
              <w:ind w:left="1440" w:hanging="426"/>
              <w:rPr>
                <w:sz w:val="18"/>
                <w:szCs w:val="18"/>
                <w:lang w:val="en-US" w:eastAsia="ja-JP"/>
              </w:rPr>
            </w:pPr>
            <w:r>
              <w:rPr>
                <w:sz w:val="18"/>
                <w:szCs w:val="18"/>
                <w:lang w:val="en-US" w:eastAsia="ja-JP"/>
              </w:rPr>
              <w:t>t</w:t>
            </w:r>
            <w:r w:rsidRPr="00362012">
              <w:rPr>
                <w:sz w:val="18"/>
                <w:szCs w:val="18"/>
                <w:lang w:val="en-US" w:eastAsia="ja-JP"/>
              </w:rPr>
              <w:t>elehealth support is provided during the entire process of applying the equipment to the patient;</w:t>
            </w:r>
          </w:p>
          <w:p w14:paraId="3974E718" w14:textId="5F8E691F" w:rsidR="00161C29" w:rsidRPr="004C6953" w:rsidRDefault="00161C29" w:rsidP="004105F1">
            <w:pPr>
              <w:pStyle w:val="TableText"/>
              <w:numPr>
                <w:ilvl w:val="0"/>
                <w:numId w:val="21"/>
              </w:numPr>
              <w:spacing w:after="120"/>
              <w:ind w:left="1440" w:hanging="426"/>
              <w:rPr>
                <w:sz w:val="18"/>
                <w:szCs w:val="18"/>
                <w:lang w:val="en-US" w:eastAsia="ja-JP"/>
              </w:rPr>
            </w:pPr>
            <w:r>
              <w:rPr>
                <w:sz w:val="18"/>
                <w:szCs w:val="18"/>
                <w:lang w:val="en-US" w:eastAsia="ja-JP"/>
              </w:rPr>
              <w:t>t</w:t>
            </w:r>
            <w:r w:rsidRPr="004C6953">
              <w:rPr>
                <w:sz w:val="18"/>
                <w:szCs w:val="18"/>
                <w:lang w:val="en-US" w:eastAsia="ja-JP"/>
              </w:rPr>
              <w:t xml:space="preserve">elehealth is supported by written </w:t>
            </w:r>
            <w:r w:rsidR="00B8361A">
              <w:rPr>
                <w:sz w:val="18"/>
                <w:szCs w:val="18"/>
                <w:lang w:val="en-US" w:eastAsia="ja-JP"/>
              </w:rPr>
              <w:t xml:space="preserve">and/or videoed </w:t>
            </w:r>
            <w:r w:rsidRPr="004C6953">
              <w:rPr>
                <w:sz w:val="18"/>
                <w:szCs w:val="18"/>
                <w:lang w:val="en-US" w:eastAsia="ja-JP"/>
              </w:rPr>
              <w:t>instructions provided to the parent/caregiver;</w:t>
            </w:r>
          </w:p>
          <w:p w14:paraId="54D259BC" w14:textId="77777777" w:rsidR="00161C29" w:rsidRPr="004C6953" w:rsidRDefault="00161C29" w:rsidP="004105F1">
            <w:pPr>
              <w:pStyle w:val="TableText"/>
              <w:numPr>
                <w:ilvl w:val="0"/>
                <w:numId w:val="21"/>
              </w:numPr>
              <w:spacing w:after="120"/>
              <w:ind w:left="1440" w:hanging="426"/>
              <w:rPr>
                <w:sz w:val="18"/>
                <w:szCs w:val="18"/>
                <w:lang w:val="en-US" w:eastAsia="ja-JP"/>
              </w:rPr>
            </w:pPr>
            <w:r>
              <w:rPr>
                <w:sz w:val="18"/>
                <w:szCs w:val="18"/>
                <w:lang w:val="en-US" w:eastAsia="ja-JP"/>
              </w:rPr>
              <w:t>t</w:t>
            </w:r>
            <w:r w:rsidRPr="004C6953">
              <w:rPr>
                <w:sz w:val="18"/>
                <w:szCs w:val="18"/>
                <w:lang w:val="en-US" w:eastAsia="ja-JP"/>
              </w:rPr>
              <w:t>he use of telehealth during equipment set up is documented; and</w:t>
            </w:r>
          </w:p>
          <w:p w14:paraId="24C96F38" w14:textId="77777777" w:rsidR="00161C29" w:rsidRDefault="00161C29" w:rsidP="004105F1">
            <w:pPr>
              <w:pStyle w:val="TableText"/>
              <w:numPr>
                <w:ilvl w:val="0"/>
                <w:numId w:val="21"/>
              </w:numPr>
              <w:spacing w:after="120"/>
              <w:ind w:left="1440" w:hanging="426"/>
              <w:rPr>
                <w:sz w:val="18"/>
                <w:szCs w:val="18"/>
                <w:lang w:val="en-US" w:eastAsia="ja-JP"/>
              </w:rPr>
            </w:pPr>
            <w:r>
              <w:rPr>
                <w:sz w:val="18"/>
                <w:szCs w:val="18"/>
                <w:lang w:val="en-US" w:eastAsia="ja-JP"/>
              </w:rPr>
              <w:t>t</w:t>
            </w:r>
            <w:r w:rsidRPr="004C6953">
              <w:rPr>
                <w:sz w:val="18"/>
                <w:szCs w:val="18"/>
                <w:lang w:val="en-US" w:eastAsia="ja-JP"/>
              </w:rPr>
              <w:t>he reason it is not possible for a sleep technologist to apply the equipment to the patient is documented</w:t>
            </w:r>
            <w:r>
              <w:rPr>
                <w:sz w:val="18"/>
                <w:szCs w:val="18"/>
                <w:lang w:val="en-US" w:eastAsia="ja-JP"/>
              </w:rPr>
              <w:t>; and</w:t>
            </w:r>
          </w:p>
          <w:p w14:paraId="5EBC7CBA" w14:textId="77777777" w:rsidR="00161C29" w:rsidRDefault="00161C29" w:rsidP="004105F1">
            <w:pPr>
              <w:pStyle w:val="TableText"/>
              <w:numPr>
                <w:ilvl w:val="0"/>
                <w:numId w:val="27"/>
              </w:numPr>
              <w:spacing w:after="120"/>
              <w:ind w:left="589" w:hanging="425"/>
              <w:rPr>
                <w:sz w:val="18"/>
                <w:szCs w:val="18"/>
                <w:lang w:val="en-US" w:eastAsia="ja-JP"/>
              </w:rPr>
            </w:pPr>
            <w:r w:rsidRPr="006D05D1">
              <w:rPr>
                <w:sz w:val="18"/>
                <w:szCs w:val="18"/>
                <w:lang w:val="en-US" w:eastAsia="ja-JP"/>
              </w:rPr>
              <w:t>written instructions are given to the parent or caregiver describing how to monitor the patient overnight, and a phone contact or data link to the sleep technician to enable trouble shooting overnight is provided; and</w:t>
            </w:r>
          </w:p>
          <w:p w14:paraId="0009CD0E" w14:textId="77777777" w:rsidR="00161C29" w:rsidRDefault="00161C29" w:rsidP="004105F1">
            <w:pPr>
              <w:pStyle w:val="TableText"/>
              <w:numPr>
                <w:ilvl w:val="0"/>
                <w:numId w:val="27"/>
              </w:numPr>
              <w:spacing w:after="120"/>
              <w:ind w:left="589" w:hanging="425"/>
              <w:rPr>
                <w:sz w:val="18"/>
                <w:szCs w:val="18"/>
                <w:lang w:val="en-US" w:eastAsia="ja-JP"/>
              </w:rPr>
            </w:pPr>
            <w:r w:rsidRPr="006A0039">
              <w:rPr>
                <w:sz w:val="18"/>
                <w:szCs w:val="18"/>
                <w:lang w:val="en-US" w:eastAsia="ja-JP"/>
              </w:rPr>
              <w:t>polygraphic records are:</w:t>
            </w:r>
          </w:p>
          <w:p w14:paraId="130C51A1" w14:textId="77777777" w:rsidR="00161C29" w:rsidRPr="00643257" w:rsidRDefault="00161C29" w:rsidP="004105F1">
            <w:pPr>
              <w:pStyle w:val="TableText"/>
              <w:numPr>
                <w:ilvl w:val="0"/>
                <w:numId w:val="20"/>
              </w:numPr>
              <w:spacing w:after="120"/>
              <w:ind w:left="1014" w:hanging="425"/>
              <w:rPr>
                <w:sz w:val="18"/>
                <w:szCs w:val="18"/>
                <w:lang w:val="en-US" w:eastAsia="ja-JP"/>
              </w:rPr>
            </w:pPr>
            <w:r w:rsidRPr="00851621">
              <w:rPr>
                <w:sz w:val="18"/>
                <w:szCs w:val="18"/>
                <w:lang w:val="en-US" w:eastAsia="ja-JP"/>
              </w:rPr>
              <w:t>analysed (for assessment of sleep stage, arousals, respiratory events, and cardiac abnormalities) using manual scoring, or manual correction of computerised scoring in epochs of not more than 1 minute; and</w:t>
            </w:r>
          </w:p>
          <w:p w14:paraId="5AA4422A" w14:textId="77777777" w:rsidR="00161C29" w:rsidRPr="00643257" w:rsidRDefault="00161C29" w:rsidP="004105F1">
            <w:pPr>
              <w:pStyle w:val="TableText"/>
              <w:numPr>
                <w:ilvl w:val="0"/>
                <w:numId w:val="20"/>
              </w:numPr>
              <w:spacing w:after="120"/>
              <w:ind w:left="1014" w:hanging="425"/>
              <w:rPr>
                <w:sz w:val="18"/>
                <w:szCs w:val="18"/>
                <w:lang w:val="en-US" w:eastAsia="ja-JP"/>
              </w:rPr>
            </w:pPr>
            <w:r w:rsidRPr="00643257">
              <w:rPr>
                <w:sz w:val="18"/>
                <w:szCs w:val="18"/>
                <w:lang w:val="en-US" w:eastAsia="ja-JP"/>
              </w:rPr>
              <w:t>stored for interpretation and preparation of a report; and</w:t>
            </w:r>
          </w:p>
          <w:p w14:paraId="6A8B20FD" w14:textId="77777777" w:rsidR="00161C29" w:rsidRDefault="00161C29" w:rsidP="004105F1">
            <w:pPr>
              <w:pStyle w:val="TableText"/>
              <w:numPr>
                <w:ilvl w:val="0"/>
                <w:numId w:val="27"/>
              </w:numPr>
              <w:spacing w:after="120"/>
              <w:ind w:left="589" w:hanging="425"/>
              <w:rPr>
                <w:sz w:val="18"/>
                <w:szCs w:val="18"/>
                <w:lang w:val="en-US" w:eastAsia="ja-JP"/>
              </w:rPr>
            </w:pPr>
            <w:r w:rsidRPr="00E471A7">
              <w:rPr>
                <w:sz w:val="18"/>
                <w:szCs w:val="18"/>
                <w:lang w:val="en-US" w:eastAsia="ja-JP"/>
              </w:rPr>
              <w:t xml:space="preserve">interpretation and preparation of a permanent report is provided by a qualified paediatric </w:t>
            </w:r>
            <w:r>
              <w:rPr>
                <w:sz w:val="18"/>
                <w:szCs w:val="18"/>
                <w:lang w:val="en-US" w:eastAsia="ja-JP"/>
              </w:rPr>
              <w:t xml:space="preserve">or adult </w:t>
            </w:r>
            <w:r w:rsidRPr="00E471A7">
              <w:rPr>
                <w:sz w:val="18"/>
                <w:szCs w:val="18"/>
                <w:lang w:val="en-US" w:eastAsia="ja-JP"/>
              </w:rPr>
              <w:t>sleep medicine practitioner with personal direct review of raw data from the original recording of polygraphic data from the patient; and</w:t>
            </w:r>
          </w:p>
          <w:p w14:paraId="767D6877" w14:textId="77777777" w:rsidR="00161C29" w:rsidRPr="001427D1" w:rsidRDefault="00161C29" w:rsidP="004105F1">
            <w:pPr>
              <w:pStyle w:val="TableText"/>
              <w:numPr>
                <w:ilvl w:val="0"/>
                <w:numId w:val="27"/>
              </w:numPr>
              <w:spacing w:after="120"/>
              <w:ind w:left="589" w:hanging="425"/>
              <w:rPr>
                <w:sz w:val="18"/>
                <w:szCs w:val="18"/>
                <w:lang w:val="en-US" w:eastAsia="ja-JP"/>
              </w:rPr>
            </w:pPr>
            <w:r w:rsidRPr="00F219D2">
              <w:rPr>
                <w:sz w:val="18"/>
                <w:szCs w:val="18"/>
                <w:lang w:val="en-US" w:eastAsia="ja-JP"/>
              </w:rPr>
              <w:t xml:space="preserve">the investigation is not provided to the patient on the same occasion that a service mentioned in any of items </w:t>
            </w:r>
            <w:r w:rsidRPr="00042CB1">
              <w:rPr>
                <w:sz w:val="18"/>
                <w:szCs w:val="18"/>
                <w:lang w:val="en-US" w:eastAsia="ja-JP"/>
              </w:rPr>
              <w:t>11000, 11003, 11004, 11005, 11503, 11704, 11705, 11707, 11713, 11714, 11716, 11717, 11723, 11735 and 122</w:t>
            </w:r>
            <w:r>
              <w:rPr>
                <w:sz w:val="18"/>
                <w:szCs w:val="18"/>
                <w:lang w:val="en-US" w:eastAsia="ja-JP"/>
              </w:rPr>
              <w:t>13</w:t>
            </w:r>
          </w:p>
          <w:p w14:paraId="441DA646" w14:textId="77777777" w:rsidR="00161C29" w:rsidRDefault="00161C29">
            <w:pPr>
              <w:pStyle w:val="TableText"/>
              <w:spacing w:after="120"/>
              <w:rPr>
                <w:sz w:val="18"/>
                <w:szCs w:val="18"/>
              </w:rPr>
            </w:pPr>
            <w:r w:rsidRPr="0011338C">
              <w:rPr>
                <w:sz w:val="18"/>
                <w:szCs w:val="18"/>
              </w:rPr>
              <w:t>Up to a maximum of 3 sleep study items per patient from AAAA and BBBB in any 12-month period</w:t>
            </w:r>
            <w:r>
              <w:rPr>
                <w:sz w:val="18"/>
                <w:szCs w:val="18"/>
              </w:rPr>
              <w:t>.</w:t>
            </w:r>
          </w:p>
          <w:p w14:paraId="4080ADD0" w14:textId="77777777" w:rsidR="00161C29" w:rsidRPr="0011338C" w:rsidRDefault="00161C29">
            <w:pPr>
              <w:pStyle w:val="TableText"/>
              <w:spacing w:after="120"/>
              <w:rPr>
                <w:bCs/>
                <w:sz w:val="18"/>
                <w:szCs w:val="18"/>
              </w:rPr>
            </w:pPr>
            <w:r w:rsidRPr="00185D03">
              <w:rPr>
                <w:b/>
                <w:sz w:val="18"/>
                <w:szCs w:val="18"/>
              </w:rPr>
              <w:t xml:space="preserve">Fee: </w:t>
            </w:r>
            <w:r w:rsidRPr="00263A11">
              <w:rPr>
                <w:bCs/>
                <w:sz w:val="18"/>
                <w:szCs w:val="18"/>
              </w:rPr>
              <w:t>$</w:t>
            </w:r>
            <w:r>
              <w:rPr>
                <w:bCs/>
                <w:sz w:val="18"/>
                <w:szCs w:val="18"/>
              </w:rPr>
              <w:t>474</w:t>
            </w:r>
            <w:r w:rsidRPr="00263A11">
              <w:rPr>
                <w:bCs/>
                <w:sz w:val="18"/>
                <w:szCs w:val="18"/>
              </w:rPr>
              <w:t>.00</w:t>
            </w:r>
            <w:r w:rsidRPr="00263A11">
              <w:rPr>
                <w:bCs/>
                <w:sz w:val="18"/>
                <w:szCs w:val="18"/>
              </w:rPr>
              <w:tab/>
            </w:r>
            <w:r w:rsidRPr="00185D03">
              <w:rPr>
                <w:b/>
                <w:sz w:val="18"/>
                <w:szCs w:val="18"/>
              </w:rPr>
              <w:t xml:space="preserve">Benefit: </w:t>
            </w:r>
            <w:r w:rsidRPr="00263A11">
              <w:rPr>
                <w:bCs/>
                <w:sz w:val="18"/>
                <w:szCs w:val="18"/>
              </w:rPr>
              <w:t>75% = $3</w:t>
            </w:r>
            <w:r>
              <w:rPr>
                <w:bCs/>
                <w:sz w:val="18"/>
                <w:szCs w:val="18"/>
              </w:rPr>
              <w:t>55</w:t>
            </w:r>
            <w:r w:rsidRPr="00263A11">
              <w:rPr>
                <w:bCs/>
                <w:sz w:val="18"/>
                <w:szCs w:val="18"/>
              </w:rPr>
              <w:t>.</w:t>
            </w:r>
            <w:r>
              <w:rPr>
                <w:bCs/>
                <w:sz w:val="18"/>
                <w:szCs w:val="18"/>
              </w:rPr>
              <w:t>50</w:t>
            </w:r>
            <w:r w:rsidRPr="00263A11">
              <w:rPr>
                <w:bCs/>
                <w:sz w:val="18"/>
                <w:szCs w:val="18"/>
              </w:rPr>
              <w:t xml:space="preserve"> </w:t>
            </w:r>
            <w:r w:rsidRPr="00263A11">
              <w:rPr>
                <w:bCs/>
                <w:sz w:val="18"/>
                <w:szCs w:val="18"/>
              </w:rPr>
              <w:tab/>
              <w:t>85% = $</w:t>
            </w:r>
            <w:r>
              <w:rPr>
                <w:bCs/>
                <w:sz w:val="18"/>
                <w:szCs w:val="18"/>
              </w:rPr>
              <w:t>402.90</w:t>
            </w:r>
          </w:p>
          <w:p w14:paraId="2398CAFF" w14:textId="77777777" w:rsidR="00161C29" w:rsidRPr="006E5E07" w:rsidRDefault="00161C29">
            <w:pPr>
              <w:pStyle w:val="TableText"/>
              <w:spacing w:after="120"/>
              <w:rPr>
                <w:sz w:val="18"/>
                <w:szCs w:val="18"/>
              </w:rPr>
            </w:pPr>
            <w:r w:rsidRPr="007614D6">
              <w:rPr>
                <w:sz w:val="18"/>
                <w:szCs w:val="18"/>
              </w:rPr>
              <w:t>(See para DN.1.17 of explanatory notes to this Category)</w:t>
            </w:r>
          </w:p>
        </w:tc>
      </w:tr>
    </w:tbl>
    <w:p w14:paraId="05A91511" w14:textId="77777777" w:rsidR="00161C29" w:rsidRPr="005D1B2A" w:rsidRDefault="00161C29" w:rsidP="00161C29">
      <w:pPr>
        <w:pStyle w:val="111Tablefootnoteslast-nostick"/>
      </w:pPr>
      <w:r>
        <w:t xml:space="preserve">ECG = electrocardiogram (electrocardiography); EEG = electroencephalogram (electroencephalography); EMG = electromyogram (electromyography); EOG = electrooculogram (electrooculography); MBS = Medical Benefits Schedule; </w:t>
      </w:r>
      <w:r w:rsidRPr="009413F1">
        <w:t>PSG = polysomnography</w:t>
      </w:r>
      <w:r>
        <w:t>.</w:t>
      </w:r>
    </w:p>
    <w:p w14:paraId="2E29813F" w14:textId="5509E800" w:rsidR="003F6B00" w:rsidRPr="003F6B00" w:rsidRDefault="00590CDE" w:rsidP="003F6B00">
      <w:pPr>
        <w:pStyle w:val="111Tablefootnoteslast-nostick"/>
      </w:pPr>
      <w:r w:rsidRPr="006F1E02">
        <w:t xml:space="preserve">Source: </w:t>
      </w:r>
      <w:r>
        <w:t xml:space="preserve">Table </w:t>
      </w:r>
      <w:r w:rsidR="00CE5F29">
        <w:t>40</w:t>
      </w:r>
      <w:r>
        <w:t xml:space="preserve"> of</w:t>
      </w:r>
      <w:r w:rsidRPr="006F1E02">
        <w:t xml:space="preserve"> MSAC Application 1712</w:t>
      </w:r>
      <w:r>
        <w:t>.1</w:t>
      </w:r>
      <w:r w:rsidRPr="006F1E02">
        <w:t>.</w:t>
      </w:r>
    </w:p>
    <w:p w14:paraId="4299E718" w14:textId="21D7E739" w:rsidR="00161C29" w:rsidRPr="00CE28E3" w:rsidRDefault="00161C29" w:rsidP="00161C29">
      <w:pPr>
        <w:pStyle w:val="Caption"/>
      </w:pPr>
      <w:bookmarkStart w:id="11" w:name="_Ref200447313"/>
      <w:r w:rsidRPr="00CE28E3">
        <w:t>Table</w:t>
      </w:r>
      <w:r>
        <w:t> </w:t>
      </w:r>
      <w:r w:rsidR="00BC2CAA">
        <w:fldChar w:fldCharType="begin"/>
      </w:r>
      <w:r w:rsidR="00BC2CAA">
        <w:instrText xml:space="preserve"> SEQ Table \* ARABIC </w:instrText>
      </w:r>
      <w:r w:rsidR="00BC2CAA">
        <w:fldChar w:fldCharType="separate"/>
      </w:r>
      <w:r w:rsidR="00BC2CAA">
        <w:rPr>
          <w:noProof/>
        </w:rPr>
        <w:t>8</w:t>
      </w:r>
      <w:r w:rsidR="00BC2CAA">
        <w:rPr>
          <w:noProof/>
        </w:rPr>
        <w:fldChar w:fldCharType="end"/>
      </w:r>
      <w:bookmarkEnd w:id="11"/>
      <w:r w:rsidRPr="00CE28E3">
        <w:tab/>
      </w:r>
      <w:r>
        <w:t>Department p</w:t>
      </w:r>
      <w:r w:rsidRPr="00CE28E3">
        <w:t xml:space="preserve">roposed item descriptor for </w:t>
      </w:r>
      <w:r>
        <w:t>a rural loading for paediatric patients</w:t>
      </w:r>
    </w:p>
    <w:tbl>
      <w:tblPr>
        <w:tblStyle w:val="TableGrid"/>
        <w:tblW w:w="0" w:type="auto"/>
        <w:tblLook w:val="04A0" w:firstRow="1" w:lastRow="0" w:firstColumn="1" w:lastColumn="0" w:noHBand="0" w:noVBand="1"/>
        <w:tblCaption w:val="Departmetn proposed item descriptor for a rural loading for paediatric patients"/>
        <w:tblDescription w:val="Proposed item descriptor for paediatric Level 2 PSG conducted in a rural or remote location to be applied as a loading."/>
      </w:tblPr>
      <w:tblGrid>
        <w:gridCol w:w="9016"/>
      </w:tblGrid>
      <w:tr w:rsidR="00161C29" w:rsidRPr="00CE28E3" w14:paraId="33C041C6" w14:textId="77777777">
        <w:trPr>
          <w:trHeight w:val="350"/>
        </w:trPr>
        <w:tc>
          <w:tcPr>
            <w:tcW w:w="9016" w:type="dxa"/>
          </w:tcPr>
          <w:p w14:paraId="25436D38" w14:textId="77777777" w:rsidR="00161C29" w:rsidRPr="00610976" w:rsidRDefault="00161C29">
            <w:pPr>
              <w:pStyle w:val="TableText"/>
              <w:keepNext/>
              <w:jc w:val="right"/>
              <w:rPr>
                <w:b/>
                <w:sz w:val="18"/>
                <w:szCs w:val="18"/>
              </w:rPr>
            </w:pPr>
            <w:r w:rsidRPr="00610976">
              <w:rPr>
                <w:b/>
                <w:sz w:val="18"/>
                <w:szCs w:val="18"/>
              </w:rPr>
              <w:t>Category 2: Diagnostic Procedures and Investigations</w:t>
            </w:r>
          </w:p>
          <w:p w14:paraId="26C1CD98" w14:textId="77777777" w:rsidR="00161C29" w:rsidRPr="00610976" w:rsidRDefault="00161C29">
            <w:pPr>
              <w:pStyle w:val="TableText"/>
              <w:keepNext/>
              <w:jc w:val="right"/>
              <w:rPr>
                <w:b/>
                <w:sz w:val="18"/>
                <w:szCs w:val="18"/>
              </w:rPr>
            </w:pPr>
            <w:r w:rsidRPr="00610976">
              <w:rPr>
                <w:b/>
                <w:sz w:val="18"/>
                <w:szCs w:val="18"/>
              </w:rPr>
              <w:t>Group D1. Miscellaneous Diagnostic Procedures And Investigation</w:t>
            </w:r>
          </w:p>
          <w:p w14:paraId="73F9084C" w14:textId="77777777" w:rsidR="00161C29" w:rsidRPr="00170D5B" w:rsidRDefault="00161C29">
            <w:pPr>
              <w:pStyle w:val="TableText"/>
              <w:keepNext/>
              <w:jc w:val="right"/>
            </w:pPr>
            <w:r w:rsidRPr="00610976">
              <w:rPr>
                <w:b/>
                <w:sz w:val="18"/>
                <w:szCs w:val="18"/>
              </w:rPr>
              <w:t>Subgroup 10. Other Diagnostic Procedures And Investigations</w:t>
            </w:r>
          </w:p>
        </w:tc>
      </w:tr>
      <w:tr w:rsidR="00161C29" w:rsidRPr="00643257" w14:paraId="4AB8ECB9" w14:textId="77777777">
        <w:tc>
          <w:tcPr>
            <w:tcW w:w="9016" w:type="dxa"/>
          </w:tcPr>
          <w:p w14:paraId="71A80DA3" w14:textId="77777777" w:rsidR="00161C29" w:rsidRPr="00643257" w:rsidRDefault="00161C29">
            <w:pPr>
              <w:pStyle w:val="TableText"/>
              <w:spacing w:after="120"/>
              <w:rPr>
                <w:b/>
                <w:bCs/>
                <w:sz w:val="18"/>
                <w:szCs w:val="18"/>
                <w:lang w:val="en-US" w:eastAsia="ja-JP"/>
              </w:rPr>
            </w:pPr>
            <w:r w:rsidRPr="00643257">
              <w:rPr>
                <w:b/>
                <w:bCs/>
                <w:sz w:val="18"/>
                <w:szCs w:val="18"/>
                <w:lang w:val="en-US" w:eastAsia="ja-JP"/>
              </w:rPr>
              <w:t xml:space="preserve">MBS item </w:t>
            </w:r>
            <w:r>
              <w:rPr>
                <w:b/>
                <w:bCs/>
                <w:sz w:val="18"/>
                <w:szCs w:val="18"/>
                <w:lang w:val="en-US" w:eastAsia="ja-JP"/>
              </w:rPr>
              <w:t>CCCC</w:t>
            </w:r>
          </w:p>
          <w:p w14:paraId="572015B5" w14:textId="77777777" w:rsidR="00161C29" w:rsidRPr="00643257" w:rsidRDefault="00161C29">
            <w:pPr>
              <w:pStyle w:val="TableText"/>
              <w:spacing w:after="120"/>
              <w:rPr>
                <w:sz w:val="18"/>
                <w:szCs w:val="18"/>
                <w:lang w:val="en-US" w:eastAsia="ja-JP"/>
              </w:rPr>
            </w:pPr>
            <w:r w:rsidRPr="00643257">
              <w:rPr>
                <w:sz w:val="18"/>
                <w:szCs w:val="18"/>
                <w:lang w:val="en-US" w:eastAsia="ja-JP"/>
              </w:rPr>
              <w:t>Overnight investigation</w:t>
            </w:r>
            <w:r>
              <w:rPr>
                <w:sz w:val="18"/>
                <w:szCs w:val="18"/>
                <w:lang w:val="en-US" w:eastAsia="ja-JP"/>
              </w:rPr>
              <w:t xml:space="preserve"> of </w:t>
            </w:r>
            <w:r w:rsidRPr="00643257">
              <w:rPr>
                <w:sz w:val="18"/>
                <w:szCs w:val="18"/>
                <w:lang w:val="en-US" w:eastAsia="ja-JP"/>
              </w:rPr>
              <w:t xml:space="preserve">sleep for at least 8 hours, for a patient aged at least </w:t>
            </w:r>
            <w:r>
              <w:rPr>
                <w:sz w:val="18"/>
                <w:szCs w:val="18"/>
                <w:lang w:val="en-US" w:eastAsia="ja-JP"/>
              </w:rPr>
              <w:t>3</w:t>
            </w:r>
            <w:r w:rsidRPr="00643257">
              <w:rPr>
                <w:sz w:val="18"/>
                <w:szCs w:val="18"/>
                <w:lang w:val="en-US" w:eastAsia="ja-JP"/>
              </w:rPr>
              <w:t xml:space="preserve"> years but less than 1</w:t>
            </w:r>
            <w:r>
              <w:rPr>
                <w:sz w:val="18"/>
                <w:szCs w:val="18"/>
                <w:lang w:val="en-US" w:eastAsia="ja-JP"/>
              </w:rPr>
              <w:t>8</w:t>
            </w:r>
            <w:r w:rsidRPr="00643257">
              <w:rPr>
                <w:sz w:val="18"/>
                <w:szCs w:val="18"/>
                <w:lang w:val="en-US" w:eastAsia="ja-JP"/>
              </w:rPr>
              <w:t xml:space="preserve"> years</w:t>
            </w:r>
            <w:r>
              <w:rPr>
                <w:sz w:val="18"/>
                <w:szCs w:val="18"/>
                <w:lang w:val="en-US" w:eastAsia="ja-JP"/>
              </w:rPr>
              <w:t xml:space="preserve">, </w:t>
            </w:r>
            <w:r w:rsidRPr="00643257">
              <w:rPr>
                <w:sz w:val="18"/>
                <w:szCs w:val="18"/>
              </w:rPr>
              <w:t>to confirm diagnosis of obstructive sleep apnoea</w:t>
            </w:r>
            <w:r w:rsidRPr="00643257">
              <w:rPr>
                <w:sz w:val="18"/>
                <w:szCs w:val="18"/>
                <w:lang w:val="en-US" w:eastAsia="ja-JP"/>
              </w:rPr>
              <w:t>, if:</w:t>
            </w:r>
          </w:p>
          <w:p w14:paraId="04EDA563" w14:textId="77777777" w:rsidR="00161C29" w:rsidRDefault="00161C29" w:rsidP="004105F1">
            <w:pPr>
              <w:pStyle w:val="TableText"/>
              <w:numPr>
                <w:ilvl w:val="0"/>
                <w:numId w:val="22"/>
              </w:numPr>
              <w:spacing w:after="120"/>
              <w:ind w:left="589" w:hanging="425"/>
              <w:rPr>
                <w:sz w:val="18"/>
                <w:szCs w:val="18"/>
                <w:lang w:val="en-US" w:eastAsia="ja-JP"/>
              </w:rPr>
            </w:pPr>
            <w:r w:rsidRPr="00FC70E3">
              <w:rPr>
                <w:sz w:val="18"/>
                <w:szCs w:val="18"/>
                <w:lang w:val="en-US" w:eastAsia="ja-JP"/>
              </w:rPr>
              <w:t>item AAAA or BBBB applies; and</w:t>
            </w:r>
          </w:p>
          <w:p w14:paraId="2BEE7845" w14:textId="77777777" w:rsidR="00161C29" w:rsidRPr="00B57021" w:rsidRDefault="00161C29" w:rsidP="004105F1">
            <w:pPr>
              <w:pStyle w:val="TableText"/>
              <w:numPr>
                <w:ilvl w:val="0"/>
                <w:numId w:val="22"/>
              </w:numPr>
              <w:spacing w:after="120"/>
              <w:ind w:left="589" w:hanging="425"/>
              <w:rPr>
                <w:sz w:val="18"/>
                <w:szCs w:val="18"/>
                <w:lang w:val="en-US" w:eastAsia="ja-JP"/>
              </w:rPr>
            </w:pPr>
            <w:r w:rsidRPr="009977AC">
              <w:rPr>
                <w:sz w:val="18"/>
                <w:szCs w:val="18"/>
                <w:lang w:val="en-US" w:eastAsia="ja-JP"/>
              </w:rPr>
              <w:t>the patient has been assessed as appropriate for an out-of-laboratory setting; and</w:t>
            </w:r>
          </w:p>
          <w:p w14:paraId="7688B678" w14:textId="77777777" w:rsidR="00161C29" w:rsidRPr="00B57021" w:rsidRDefault="00161C29" w:rsidP="004105F1">
            <w:pPr>
              <w:pStyle w:val="TableText"/>
              <w:numPr>
                <w:ilvl w:val="0"/>
                <w:numId w:val="22"/>
              </w:numPr>
              <w:spacing w:after="120"/>
              <w:ind w:left="589" w:hanging="425"/>
              <w:rPr>
                <w:sz w:val="18"/>
                <w:szCs w:val="18"/>
                <w:lang w:val="en-US" w:eastAsia="ja-JP"/>
              </w:rPr>
            </w:pPr>
            <w:r w:rsidRPr="009977AC">
              <w:rPr>
                <w:sz w:val="18"/>
                <w:szCs w:val="18"/>
                <w:lang w:val="en-US" w:eastAsia="ja-JP"/>
              </w:rPr>
              <w:t>the service is a referred service; and</w:t>
            </w:r>
          </w:p>
          <w:p w14:paraId="75CD1DC4" w14:textId="77777777" w:rsidR="00161C29" w:rsidRPr="00B57021" w:rsidRDefault="00161C29" w:rsidP="004105F1">
            <w:pPr>
              <w:pStyle w:val="TableText"/>
              <w:numPr>
                <w:ilvl w:val="0"/>
                <w:numId w:val="22"/>
              </w:numPr>
              <w:spacing w:after="120"/>
              <w:ind w:left="589" w:hanging="425"/>
              <w:rPr>
                <w:sz w:val="18"/>
                <w:szCs w:val="18"/>
                <w:lang w:val="en-US" w:eastAsia="ja-JP"/>
              </w:rPr>
            </w:pPr>
            <w:r w:rsidRPr="009977AC">
              <w:rPr>
                <w:sz w:val="18"/>
                <w:szCs w:val="18"/>
                <w:lang w:val="en-US" w:eastAsia="ja-JP"/>
              </w:rPr>
              <w:t>the patient is not an admitted patient of a hospital; and</w:t>
            </w:r>
          </w:p>
          <w:p w14:paraId="58FBD1ED" w14:textId="77777777" w:rsidR="00161C29" w:rsidRPr="00B57021" w:rsidRDefault="00161C29" w:rsidP="004105F1">
            <w:pPr>
              <w:pStyle w:val="TableText"/>
              <w:numPr>
                <w:ilvl w:val="0"/>
                <w:numId w:val="22"/>
              </w:numPr>
              <w:spacing w:after="120"/>
              <w:ind w:left="589" w:hanging="425"/>
              <w:rPr>
                <w:sz w:val="18"/>
                <w:szCs w:val="18"/>
                <w:lang w:val="en-US" w:eastAsia="ja-JP"/>
              </w:rPr>
            </w:pPr>
            <w:r w:rsidRPr="009977AC">
              <w:rPr>
                <w:sz w:val="18"/>
                <w:szCs w:val="18"/>
                <w:lang w:val="en-US" w:eastAsia="ja-JP"/>
              </w:rPr>
              <w:t>other than application and removal of equipment, the service is not provided at a practice location operated by the sleep study provider;</w:t>
            </w:r>
            <w:r>
              <w:rPr>
                <w:sz w:val="18"/>
                <w:szCs w:val="18"/>
                <w:lang w:val="en-US" w:eastAsia="ja-JP"/>
              </w:rPr>
              <w:t>; and</w:t>
            </w:r>
          </w:p>
          <w:p w14:paraId="4FB15653" w14:textId="77777777" w:rsidR="00161C29" w:rsidRPr="00B57021" w:rsidRDefault="00161C29" w:rsidP="004105F1">
            <w:pPr>
              <w:pStyle w:val="TableText"/>
              <w:numPr>
                <w:ilvl w:val="0"/>
                <w:numId w:val="22"/>
              </w:numPr>
              <w:spacing w:after="120"/>
              <w:ind w:left="589" w:hanging="425"/>
              <w:rPr>
                <w:sz w:val="18"/>
                <w:szCs w:val="18"/>
                <w:lang w:val="en-US" w:eastAsia="ja-JP"/>
              </w:rPr>
            </w:pPr>
            <w:r w:rsidRPr="009977AC">
              <w:rPr>
                <w:sz w:val="18"/>
                <w:szCs w:val="18"/>
                <w:lang w:val="en-US" w:eastAsia="ja-JP"/>
              </w:rPr>
              <w:t>the patient is located within a Modified Monash 3, 4, 5, 6 or 7 area at the time of the service; and</w:t>
            </w:r>
          </w:p>
          <w:p w14:paraId="61499733" w14:textId="77777777" w:rsidR="00161C29" w:rsidRPr="00B57021" w:rsidRDefault="00161C29" w:rsidP="004105F1">
            <w:pPr>
              <w:pStyle w:val="TableText"/>
              <w:numPr>
                <w:ilvl w:val="0"/>
                <w:numId w:val="22"/>
              </w:numPr>
              <w:spacing w:after="120"/>
              <w:ind w:left="589" w:hanging="425"/>
              <w:rPr>
                <w:sz w:val="18"/>
                <w:szCs w:val="18"/>
                <w:lang w:val="en-US" w:eastAsia="ja-JP"/>
              </w:rPr>
            </w:pPr>
            <w:r w:rsidRPr="009977AC">
              <w:rPr>
                <w:sz w:val="18"/>
                <w:szCs w:val="18"/>
                <w:lang w:val="en-US" w:eastAsia="ja-JP"/>
              </w:rPr>
              <w:t>the service is provided by a medical practitioner whose practice location is not in a Modified Monash area mentioned in paragraph f.</w:t>
            </w:r>
          </w:p>
          <w:p w14:paraId="5F3A72B1" w14:textId="7A1BCEEA" w:rsidR="00161C29" w:rsidRPr="0011338C" w:rsidRDefault="00161C29">
            <w:pPr>
              <w:pStyle w:val="TableText"/>
              <w:spacing w:after="120"/>
              <w:rPr>
                <w:bCs/>
                <w:sz w:val="18"/>
                <w:szCs w:val="18"/>
              </w:rPr>
            </w:pPr>
            <w:r w:rsidRPr="00185D03">
              <w:rPr>
                <w:b/>
                <w:sz w:val="18"/>
                <w:szCs w:val="18"/>
              </w:rPr>
              <w:t xml:space="preserve">Fee: </w:t>
            </w:r>
            <w:r w:rsidRPr="00263A11">
              <w:rPr>
                <w:bCs/>
                <w:sz w:val="18"/>
                <w:szCs w:val="18"/>
              </w:rPr>
              <w:t>$</w:t>
            </w:r>
            <w:r>
              <w:rPr>
                <w:bCs/>
                <w:sz w:val="18"/>
                <w:szCs w:val="18"/>
              </w:rPr>
              <w:t>115</w:t>
            </w:r>
            <w:r w:rsidRPr="00263A11">
              <w:rPr>
                <w:bCs/>
                <w:sz w:val="18"/>
                <w:szCs w:val="18"/>
              </w:rPr>
              <w:t>.00</w:t>
            </w:r>
            <w:r w:rsidRPr="00263A11">
              <w:rPr>
                <w:bCs/>
                <w:sz w:val="18"/>
                <w:szCs w:val="18"/>
              </w:rPr>
              <w:tab/>
            </w:r>
            <w:r w:rsidRPr="00185D03">
              <w:rPr>
                <w:b/>
                <w:sz w:val="18"/>
                <w:szCs w:val="18"/>
              </w:rPr>
              <w:t xml:space="preserve">Benefit: </w:t>
            </w:r>
            <w:r w:rsidRPr="006C2252">
              <w:rPr>
                <w:sz w:val="18"/>
                <w:szCs w:val="18"/>
              </w:rPr>
              <w:t>8</w:t>
            </w:r>
            <w:r w:rsidRPr="00263A11">
              <w:rPr>
                <w:bCs/>
                <w:sz w:val="18"/>
                <w:szCs w:val="18"/>
              </w:rPr>
              <w:t>5% = $</w:t>
            </w:r>
            <w:r w:rsidR="00DE7A75">
              <w:rPr>
                <w:bCs/>
                <w:sz w:val="18"/>
                <w:szCs w:val="18"/>
              </w:rPr>
              <w:t>97.</w:t>
            </w:r>
            <w:r w:rsidR="001634BC">
              <w:rPr>
                <w:bCs/>
                <w:sz w:val="18"/>
                <w:szCs w:val="18"/>
              </w:rPr>
              <w:t>75</w:t>
            </w:r>
          </w:p>
          <w:p w14:paraId="604ED11B" w14:textId="77777777" w:rsidR="00161C29" w:rsidRPr="006E5E07" w:rsidRDefault="00161C29">
            <w:pPr>
              <w:pStyle w:val="TableText"/>
              <w:spacing w:after="120"/>
              <w:rPr>
                <w:sz w:val="18"/>
                <w:szCs w:val="18"/>
              </w:rPr>
            </w:pPr>
            <w:r w:rsidRPr="007614D6">
              <w:rPr>
                <w:sz w:val="18"/>
                <w:szCs w:val="18"/>
              </w:rPr>
              <w:t>(See para DN.1.17 of explanatory notes to this Category)</w:t>
            </w:r>
          </w:p>
        </w:tc>
      </w:tr>
    </w:tbl>
    <w:p w14:paraId="5F62E234" w14:textId="40EB8C5E" w:rsidR="00161C29" w:rsidRDefault="00590CDE" w:rsidP="00E32BBE">
      <w:pPr>
        <w:pStyle w:val="111Tablefootnoteslast-nostick"/>
      </w:pPr>
      <w:r w:rsidRPr="006F1E02">
        <w:t xml:space="preserve">Source: </w:t>
      </w:r>
      <w:r>
        <w:t xml:space="preserve">Table </w:t>
      </w:r>
      <w:r w:rsidR="00CE5F29">
        <w:t>41</w:t>
      </w:r>
      <w:r>
        <w:t xml:space="preserve"> of</w:t>
      </w:r>
      <w:r w:rsidRPr="006F1E02">
        <w:t xml:space="preserve"> MSAC Application 1712</w:t>
      </w:r>
      <w:r>
        <w:t>.1</w:t>
      </w:r>
      <w:r w:rsidRPr="006F1E02">
        <w:t>.</w:t>
      </w:r>
    </w:p>
    <w:p w14:paraId="61E5F743" w14:textId="75D86CA6" w:rsidR="00C8640B" w:rsidRPr="00C467F5" w:rsidRDefault="00C8640B" w:rsidP="00C467F5">
      <w:pPr>
        <w:pStyle w:val="ExecSumHeading3"/>
        <w:rPr>
          <w:lang w:val="en-US"/>
        </w:rPr>
      </w:pPr>
      <w:r>
        <w:t xml:space="preserve">Explanatory note relating to existing </w:t>
      </w:r>
      <w:r w:rsidR="00C467F5">
        <w:t xml:space="preserve">sleep study </w:t>
      </w:r>
      <w:r w:rsidR="00496AC1">
        <w:t xml:space="preserve">MBS </w:t>
      </w:r>
      <w:r w:rsidR="00C467F5">
        <w:t>items</w:t>
      </w:r>
    </w:p>
    <w:p w14:paraId="2CDB8AF7" w14:textId="3154AB0A" w:rsidR="00D87D41" w:rsidRPr="004C70D5" w:rsidRDefault="00D87D41" w:rsidP="004C70D5">
      <w:r>
        <w:t xml:space="preserve">Explanatory note DN.1.17 is shown in </w:t>
      </w:r>
      <w:r>
        <w:fldChar w:fldCharType="begin"/>
      </w:r>
      <w:r>
        <w:instrText xml:space="preserve"> REF _Ref200485781 \h </w:instrText>
      </w:r>
      <w:r>
        <w:fldChar w:fldCharType="separate"/>
      </w:r>
      <w:r w:rsidR="00BC2CAA">
        <w:t xml:space="preserve">Table </w:t>
      </w:r>
      <w:r w:rsidR="00BC2CAA">
        <w:rPr>
          <w:noProof/>
        </w:rPr>
        <w:t>9</w:t>
      </w:r>
      <w:r>
        <w:fldChar w:fldCharType="end"/>
      </w:r>
      <w:r>
        <w:t>. Changes to this note have not been proposed in the application; however, it could be used to specify any additional requirements specific to paediatric Level 2 PSG, particularly in relation to manual scoring or manual correction of computerised scoring in paediatric patients.</w:t>
      </w:r>
      <w:r w:rsidR="00706555" w:rsidRPr="00706555">
        <w:t xml:space="preserve"> </w:t>
      </w:r>
      <w:r w:rsidR="00706555">
        <w:t>The department proposes the note</w:t>
      </w:r>
      <w:r w:rsidR="00706555" w:rsidRPr="006E5E07">
        <w:t xml:space="preserve"> be amended to clarify that video conference is expected to be the default mode for telehealth but can be supplemented by telephone in geographic locations where video communication is difficult to establish or maintain.</w:t>
      </w:r>
    </w:p>
    <w:p w14:paraId="108CE0C2" w14:textId="183263A6" w:rsidR="00E721B1" w:rsidRDefault="00E721B1" w:rsidP="0087237C">
      <w:pPr>
        <w:pStyle w:val="Caption"/>
      </w:pPr>
      <w:bookmarkStart w:id="12" w:name="_Ref200023080"/>
      <w:bookmarkStart w:id="13" w:name="_Ref200485781"/>
      <w:r>
        <w:t xml:space="preserve">Table </w:t>
      </w:r>
      <w:r w:rsidR="00BC2CAA">
        <w:fldChar w:fldCharType="begin"/>
      </w:r>
      <w:r w:rsidR="00BC2CAA">
        <w:instrText xml:space="preserve"> SEQ Table \* ARABIC </w:instrText>
      </w:r>
      <w:r w:rsidR="00BC2CAA">
        <w:fldChar w:fldCharType="separate"/>
      </w:r>
      <w:r w:rsidR="00BC2CAA">
        <w:rPr>
          <w:noProof/>
        </w:rPr>
        <w:t>9</w:t>
      </w:r>
      <w:r w:rsidR="00BC2CAA">
        <w:rPr>
          <w:noProof/>
        </w:rPr>
        <w:fldChar w:fldCharType="end"/>
      </w:r>
      <w:bookmarkEnd w:id="12"/>
      <w:bookmarkEnd w:id="13"/>
      <w:r w:rsidR="00C83708">
        <w:tab/>
        <w:t>Explanatory note DN</w:t>
      </w:r>
      <w:r w:rsidR="007103D2">
        <w:t>.</w:t>
      </w:r>
      <w:r w:rsidR="00C83708">
        <w:t>1.</w:t>
      </w:r>
      <w:r w:rsidR="007103D2">
        <w:t xml:space="preserve">17 </w:t>
      </w:r>
      <w:r w:rsidR="006B0B73">
        <w:t>for existing sleep study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C0" w:firstRow="0" w:lastRow="1" w:firstColumn="1" w:lastColumn="1" w:noHBand="0" w:noVBand="0"/>
        <w:tblCaption w:val="Existing MBS sleep study items - explanatory notes"/>
        <w:tblDescription w:val="The full text of the explanatory note DN.1.17 that applies to sleep studies eligible for MBS reimbursement"/>
      </w:tblPr>
      <w:tblGrid>
        <w:gridCol w:w="9016"/>
      </w:tblGrid>
      <w:tr w:rsidR="00196F82" w:rsidRPr="00AA4E27" w14:paraId="090A9CB4" w14:textId="77777777">
        <w:tc>
          <w:tcPr>
            <w:tcW w:w="5000" w:type="pct"/>
          </w:tcPr>
          <w:p w14:paraId="5B9F4AEF" w14:textId="77777777" w:rsidR="00196F82" w:rsidRPr="00AA4E27" w:rsidRDefault="00196F82">
            <w:pPr>
              <w:pStyle w:val="TableHeading"/>
              <w:spacing w:before="110" w:after="55"/>
              <w:jc w:val="right"/>
              <w:rPr>
                <w:sz w:val="18"/>
                <w:szCs w:val="18"/>
              </w:rPr>
            </w:pPr>
            <w:r w:rsidRPr="00AA4E27">
              <w:rPr>
                <w:sz w:val="18"/>
                <w:szCs w:val="18"/>
              </w:rPr>
              <w:t>Category 2 - DIAGNOSTIC PROCEDURES AND INVESTIGATIONS</w:t>
            </w:r>
          </w:p>
        </w:tc>
      </w:tr>
      <w:tr w:rsidR="00196F82" w:rsidRPr="00AA4E27" w14:paraId="2CA904F4" w14:textId="77777777">
        <w:tc>
          <w:tcPr>
            <w:tcW w:w="5000" w:type="pct"/>
          </w:tcPr>
          <w:p w14:paraId="772A4BC0" w14:textId="77777777" w:rsidR="00196F82" w:rsidRPr="00AA4E27" w:rsidRDefault="00196F82">
            <w:pPr>
              <w:pStyle w:val="TableHeading"/>
              <w:tabs>
                <w:tab w:val="left" w:pos="4277"/>
              </w:tabs>
              <w:spacing w:before="110" w:after="55"/>
              <w:rPr>
                <w:sz w:val="18"/>
                <w:szCs w:val="18"/>
              </w:rPr>
            </w:pPr>
            <w:r w:rsidRPr="00AA4E27">
              <w:rPr>
                <w:sz w:val="18"/>
                <w:szCs w:val="18"/>
              </w:rPr>
              <w:t>DN.1.17</w:t>
            </w:r>
            <w:r w:rsidRPr="00AA4E27">
              <w:rPr>
                <w:sz w:val="18"/>
                <w:szCs w:val="18"/>
              </w:rPr>
              <w:tab/>
              <w:t>Investigations for sleep disorders (Items 12203 to 12250)</w:t>
            </w:r>
          </w:p>
        </w:tc>
      </w:tr>
      <w:tr w:rsidR="00196F82" w:rsidRPr="009C364C" w14:paraId="0226E924" w14:textId="77777777">
        <w:tc>
          <w:tcPr>
            <w:tcW w:w="5000" w:type="pct"/>
          </w:tcPr>
          <w:p w14:paraId="6B2FD663" w14:textId="77777777" w:rsidR="00196F82" w:rsidRPr="009C364C" w:rsidRDefault="00196F82">
            <w:pPr>
              <w:pStyle w:val="Tabletext0"/>
              <w:keepNext/>
              <w:tabs>
                <w:tab w:val="left" w:pos="2268"/>
                <w:tab w:val="left" w:pos="3969"/>
              </w:tabs>
              <w:jc w:val="left"/>
              <w:rPr>
                <w:b/>
                <w:bCs/>
                <w:sz w:val="18"/>
                <w:szCs w:val="18"/>
              </w:rPr>
            </w:pPr>
            <w:r w:rsidRPr="009C364C">
              <w:rPr>
                <w:b/>
                <w:bCs/>
                <w:sz w:val="18"/>
                <w:szCs w:val="18"/>
              </w:rPr>
              <w:t>MBS Item</w:t>
            </w:r>
            <w:r w:rsidRPr="009C364C">
              <w:rPr>
                <w:b/>
                <w:bCs/>
                <w:sz w:val="18"/>
                <w:szCs w:val="18"/>
              </w:rPr>
              <w:tab/>
              <w:t>Service type</w:t>
            </w:r>
            <w:r w:rsidRPr="009C364C">
              <w:rPr>
                <w:b/>
                <w:bCs/>
                <w:sz w:val="18"/>
                <w:szCs w:val="18"/>
              </w:rPr>
              <w:tab/>
              <w:t>Study Level</w:t>
            </w:r>
          </w:p>
          <w:p w14:paraId="25407453" w14:textId="77777777" w:rsidR="00196F82" w:rsidRPr="009C364C" w:rsidRDefault="00196F82">
            <w:pPr>
              <w:pStyle w:val="Tabletext0"/>
              <w:keepNext/>
              <w:tabs>
                <w:tab w:val="left" w:pos="1701"/>
                <w:tab w:val="left" w:pos="4536"/>
              </w:tabs>
              <w:jc w:val="left"/>
              <w:rPr>
                <w:sz w:val="18"/>
                <w:szCs w:val="18"/>
              </w:rPr>
            </w:pPr>
            <w:r w:rsidRPr="009C364C">
              <w:rPr>
                <w:sz w:val="18"/>
                <w:szCs w:val="18"/>
              </w:rPr>
              <w:t>12203</w:t>
            </w:r>
            <w:r w:rsidRPr="009C364C">
              <w:rPr>
                <w:sz w:val="18"/>
                <w:szCs w:val="18"/>
              </w:rPr>
              <w:tab/>
            </w:r>
            <w:r w:rsidRPr="009C364C">
              <w:rPr>
                <w:sz w:val="18"/>
                <w:szCs w:val="18"/>
              </w:rPr>
              <w:tab/>
              <w:t>1</w:t>
            </w:r>
          </w:p>
          <w:p w14:paraId="34BB5E68" w14:textId="77777777" w:rsidR="00196F82" w:rsidRPr="009C364C" w:rsidRDefault="00196F82">
            <w:pPr>
              <w:pStyle w:val="Tabletext0"/>
              <w:keepNext/>
              <w:tabs>
                <w:tab w:val="left" w:pos="1701"/>
                <w:tab w:val="left" w:pos="4536"/>
              </w:tabs>
              <w:jc w:val="left"/>
              <w:rPr>
                <w:sz w:val="18"/>
                <w:szCs w:val="18"/>
              </w:rPr>
            </w:pPr>
            <w:r w:rsidRPr="009C364C">
              <w:rPr>
                <w:sz w:val="18"/>
                <w:szCs w:val="18"/>
              </w:rPr>
              <w:t>12204</w:t>
            </w:r>
            <w:r w:rsidRPr="009C364C">
              <w:rPr>
                <w:sz w:val="18"/>
                <w:szCs w:val="18"/>
              </w:rPr>
              <w:tab/>
            </w:r>
            <w:r w:rsidRPr="009C364C">
              <w:rPr>
                <w:sz w:val="18"/>
                <w:szCs w:val="18"/>
              </w:rPr>
              <w:tab/>
              <w:t>1</w:t>
            </w:r>
          </w:p>
          <w:p w14:paraId="132195D9" w14:textId="77777777" w:rsidR="00196F82" w:rsidRPr="009C364C" w:rsidRDefault="00196F82">
            <w:pPr>
              <w:pStyle w:val="Tabletext0"/>
              <w:keepNext/>
              <w:tabs>
                <w:tab w:val="left" w:pos="1701"/>
                <w:tab w:val="left" w:pos="4536"/>
              </w:tabs>
              <w:jc w:val="left"/>
              <w:rPr>
                <w:sz w:val="18"/>
                <w:szCs w:val="18"/>
              </w:rPr>
            </w:pPr>
            <w:r w:rsidRPr="009C364C">
              <w:rPr>
                <w:sz w:val="18"/>
                <w:szCs w:val="18"/>
              </w:rPr>
              <w:t>12205</w:t>
            </w:r>
            <w:r w:rsidRPr="009C364C">
              <w:rPr>
                <w:sz w:val="18"/>
                <w:szCs w:val="18"/>
              </w:rPr>
              <w:tab/>
              <w:t>Adult sleep study in Laboratory</w:t>
            </w:r>
            <w:r w:rsidRPr="009C364C">
              <w:rPr>
                <w:sz w:val="18"/>
                <w:szCs w:val="18"/>
              </w:rPr>
              <w:tab/>
              <w:t>1</w:t>
            </w:r>
          </w:p>
          <w:p w14:paraId="0A7E660D" w14:textId="77777777" w:rsidR="00196F82" w:rsidRPr="009C364C" w:rsidRDefault="00196F82">
            <w:pPr>
              <w:pStyle w:val="Tabletext0"/>
              <w:keepNext/>
              <w:tabs>
                <w:tab w:val="left" w:pos="1701"/>
                <w:tab w:val="left" w:pos="4536"/>
              </w:tabs>
              <w:jc w:val="left"/>
              <w:rPr>
                <w:sz w:val="18"/>
                <w:szCs w:val="18"/>
              </w:rPr>
            </w:pPr>
            <w:r w:rsidRPr="009C364C">
              <w:rPr>
                <w:sz w:val="18"/>
                <w:szCs w:val="18"/>
              </w:rPr>
              <w:t>12207</w:t>
            </w:r>
            <w:r w:rsidRPr="009C364C">
              <w:rPr>
                <w:sz w:val="18"/>
                <w:szCs w:val="18"/>
              </w:rPr>
              <w:tab/>
            </w:r>
            <w:r w:rsidRPr="009C364C">
              <w:rPr>
                <w:sz w:val="18"/>
                <w:szCs w:val="18"/>
              </w:rPr>
              <w:tab/>
              <w:t>1</w:t>
            </w:r>
          </w:p>
          <w:p w14:paraId="2E1DA763" w14:textId="77777777" w:rsidR="00196F82" w:rsidRDefault="00196F82">
            <w:pPr>
              <w:pStyle w:val="Tabletext0"/>
              <w:keepNext/>
              <w:pBdr>
                <w:bottom w:val="dotted" w:sz="4" w:space="1" w:color="auto"/>
              </w:pBdr>
              <w:tabs>
                <w:tab w:val="left" w:pos="1701"/>
                <w:tab w:val="left" w:pos="4536"/>
              </w:tabs>
              <w:jc w:val="left"/>
              <w:rPr>
                <w:sz w:val="18"/>
                <w:szCs w:val="18"/>
              </w:rPr>
            </w:pPr>
            <w:r w:rsidRPr="009C364C">
              <w:rPr>
                <w:sz w:val="18"/>
                <w:szCs w:val="18"/>
              </w:rPr>
              <w:t>12208</w:t>
            </w:r>
            <w:r w:rsidRPr="009C364C">
              <w:rPr>
                <w:sz w:val="18"/>
                <w:szCs w:val="18"/>
              </w:rPr>
              <w:tab/>
            </w:r>
            <w:r w:rsidRPr="009C364C">
              <w:rPr>
                <w:sz w:val="18"/>
                <w:szCs w:val="18"/>
              </w:rPr>
              <w:tab/>
              <w:t>1</w:t>
            </w:r>
          </w:p>
          <w:p w14:paraId="42AB5050" w14:textId="77777777" w:rsidR="00196F82" w:rsidRPr="009C364C" w:rsidRDefault="00196F82">
            <w:pPr>
              <w:pStyle w:val="Tabletext0"/>
              <w:keepNext/>
              <w:tabs>
                <w:tab w:val="left" w:pos="1701"/>
                <w:tab w:val="left" w:pos="4536"/>
              </w:tabs>
              <w:jc w:val="left"/>
              <w:rPr>
                <w:sz w:val="18"/>
                <w:szCs w:val="18"/>
              </w:rPr>
            </w:pPr>
            <w:r w:rsidRPr="009C364C">
              <w:rPr>
                <w:sz w:val="18"/>
                <w:szCs w:val="18"/>
              </w:rPr>
              <w:t>12210</w:t>
            </w:r>
            <w:r w:rsidRPr="009C364C">
              <w:rPr>
                <w:sz w:val="18"/>
                <w:szCs w:val="18"/>
              </w:rPr>
              <w:tab/>
            </w:r>
            <w:r w:rsidRPr="009C364C">
              <w:rPr>
                <w:sz w:val="18"/>
                <w:szCs w:val="18"/>
              </w:rPr>
              <w:tab/>
              <w:t>1</w:t>
            </w:r>
          </w:p>
          <w:p w14:paraId="4134F49D" w14:textId="77777777" w:rsidR="00196F82" w:rsidRPr="009C364C" w:rsidRDefault="00196F82">
            <w:pPr>
              <w:pStyle w:val="Tabletext0"/>
              <w:keepNext/>
              <w:tabs>
                <w:tab w:val="left" w:pos="1701"/>
                <w:tab w:val="left" w:pos="4536"/>
              </w:tabs>
              <w:jc w:val="left"/>
              <w:rPr>
                <w:sz w:val="18"/>
                <w:szCs w:val="18"/>
              </w:rPr>
            </w:pPr>
            <w:r w:rsidRPr="009C364C">
              <w:rPr>
                <w:sz w:val="18"/>
                <w:szCs w:val="18"/>
              </w:rPr>
              <w:t>12213</w:t>
            </w:r>
            <w:r w:rsidRPr="009C364C">
              <w:rPr>
                <w:sz w:val="18"/>
                <w:szCs w:val="18"/>
              </w:rPr>
              <w:tab/>
              <w:t>Paediatric sleep study in laboratory</w:t>
            </w:r>
            <w:r w:rsidRPr="009C364C">
              <w:rPr>
                <w:sz w:val="18"/>
                <w:szCs w:val="18"/>
              </w:rPr>
              <w:tab/>
              <w:t>1</w:t>
            </w:r>
          </w:p>
          <w:p w14:paraId="279905ED" w14:textId="77777777" w:rsidR="00196F82" w:rsidRPr="009C364C" w:rsidRDefault="00196F82">
            <w:pPr>
              <w:pStyle w:val="Tabletext0"/>
              <w:keepNext/>
              <w:tabs>
                <w:tab w:val="left" w:pos="1701"/>
                <w:tab w:val="left" w:pos="4536"/>
              </w:tabs>
              <w:jc w:val="left"/>
              <w:rPr>
                <w:sz w:val="18"/>
                <w:szCs w:val="18"/>
              </w:rPr>
            </w:pPr>
            <w:r w:rsidRPr="009C364C">
              <w:rPr>
                <w:sz w:val="18"/>
                <w:szCs w:val="18"/>
              </w:rPr>
              <w:t>12215</w:t>
            </w:r>
            <w:r w:rsidRPr="009C364C">
              <w:rPr>
                <w:sz w:val="18"/>
                <w:szCs w:val="18"/>
              </w:rPr>
              <w:tab/>
            </w:r>
            <w:r w:rsidRPr="009C364C">
              <w:rPr>
                <w:sz w:val="18"/>
                <w:szCs w:val="18"/>
              </w:rPr>
              <w:tab/>
              <w:t>1</w:t>
            </w:r>
          </w:p>
          <w:p w14:paraId="3485153D" w14:textId="77777777" w:rsidR="00196F82" w:rsidRPr="009C364C" w:rsidRDefault="00196F82">
            <w:pPr>
              <w:pStyle w:val="Tabletext0"/>
              <w:keepNext/>
              <w:pBdr>
                <w:bottom w:val="dotted" w:sz="4" w:space="1" w:color="auto"/>
              </w:pBdr>
              <w:tabs>
                <w:tab w:val="left" w:pos="1701"/>
                <w:tab w:val="left" w:pos="4536"/>
              </w:tabs>
              <w:jc w:val="left"/>
              <w:rPr>
                <w:sz w:val="18"/>
                <w:szCs w:val="18"/>
              </w:rPr>
            </w:pPr>
            <w:r w:rsidRPr="009C364C">
              <w:rPr>
                <w:sz w:val="18"/>
                <w:szCs w:val="18"/>
              </w:rPr>
              <w:t>12217</w:t>
            </w:r>
            <w:r w:rsidRPr="009C364C">
              <w:rPr>
                <w:sz w:val="18"/>
                <w:szCs w:val="18"/>
              </w:rPr>
              <w:tab/>
            </w:r>
            <w:r w:rsidRPr="009C364C">
              <w:rPr>
                <w:sz w:val="18"/>
                <w:szCs w:val="18"/>
              </w:rPr>
              <w:tab/>
              <w:t>1</w:t>
            </w:r>
          </w:p>
          <w:p w14:paraId="708C8B37" w14:textId="77777777" w:rsidR="00196F82" w:rsidRDefault="00196F82">
            <w:pPr>
              <w:pStyle w:val="Tabletext0"/>
              <w:keepNext/>
              <w:tabs>
                <w:tab w:val="left" w:pos="1701"/>
                <w:tab w:val="left" w:pos="4536"/>
              </w:tabs>
              <w:jc w:val="left"/>
              <w:rPr>
                <w:sz w:val="18"/>
                <w:szCs w:val="18"/>
              </w:rPr>
            </w:pPr>
            <w:r w:rsidRPr="009C364C">
              <w:rPr>
                <w:sz w:val="18"/>
                <w:szCs w:val="18"/>
              </w:rPr>
              <w:t>12250</w:t>
            </w:r>
            <w:r w:rsidRPr="009C364C">
              <w:rPr>
                <w:sz w:val="18"/>
                <w:szCs w:val="18"/>
              </w:rPr>
              <w:tab/>
              <w:t>Adult sleep study – unattended</w:t>
            </w:r>
            <w:r w:rsidRPr="009C364C">
              <w:rPr>
                <w:sz w:val="18"/>
                <w:szCs w:val="18"/>
              </w:rPr>
              <w:tab/>
              <w:t>2</w:t>
            </w:r>
          </w:p>
          <w:p w14:paraId="5AC5B6D0" w14:textId="77777777" w:rsidR="00196F82" w:rsidRDefault="00196F82" w:rsidP="003D06D4">
            <w:pPr>
              <w:pStyle w:val="TableText"/>
              <w:keepNext/>
              <w:spacing w:before="120" w:after="120"/>
              <w:rPr>
                <w:b/>
                <w:bCs/>
                <w:sz w:val="18"/>
                <w:szCs w:val="18"/>
                <w:lang w:eastAsia="en-AU"/>
              </w:rPr>
            </w:pPr>
            <w:r w:rsidRPr="001813FC">
              <w:rPr>
                <w:b/>
                <w:bCs/>
                <w:sz w:val="18"/>
                <w:szCs w:val="18"/>
                <w:lang w:eastAsia="en-AU"/>
              </w:rPr>
              <w:t>NB. Currently there are no MBS items available for levels 3 and 4 sleep studies.</w:t>
            </w:r>
          </w:p>
          <w:p w14:paraId="6E0330E3" w14:textId="77777777" w:rsidR="00196F82" w:rsidRPr="004F5504" w:rsidRDefault="00196F82" w:rsidP="00914460">
            <w:pPr>
              <w:pStyle w:val="TableText"/>
              <w:keepNext/>
              <w:spacing w:before="120" w:after="120"/>
              <w:rPr>
                <w:b/>
                <w:bCs/>
                <w:sz w:val="18"/>
                <w:szCs w:val="18"/>
              </w:rPr>
            </w:pPr>
            <w:r w:rsidRPr="004F5504">
              <w:rPr>
                <w:b/>
                <w:bCs/>
                <w:sz w:val="18"/>
                <w:szCs w:val="18"/>
              </w:rPr>
              <w:t>Applicable Guidelines</w:t>
            </w:r>
          </w:p>
          <w:p w14:paraId="0B7760D1" w14:textId="77777777" w:rsidR="00196F82" w:rsidRPr="004F5504" w:rsidRDefault="00196F82">
            <w:pPr>
              <w:pStyle w:val="TableText"/>
              <w:keepNext/>
              <w:rPr>
                <w:sz w:val="18"/>
                <w:szCs w:val="18"/>
              </w:rPr>
            </w:pPr>
            <w:r w:rsidRPr="004F5504">
              <w:rPr>
                <w:sz w:val="18"/>
                <w:szCs w:val="18"/>
              </w:rPr>
              <w:t>Guidelines for the performance of sleep studies in adults – a position statement of the Australasian Sleep Association</w:t>
            </w:r>
          </w:p>
          <w:p w14:paraId="7DC9D836" w14:textId="77777777" w:rsidR="00196F82" w:rsidRPr="004F5504" w:rsidRDefault="00196F82">
            <w:pPr>
              <w:pStyle w:val="TableText"/>
              <w:keepNext/>
              <w:spacing w:before="120"/>
              <w:rPr>
                <w:sz w:val="18"/>
                <w:szCs w:val="18"/>
              </w:rPr>
            </w:pPr>
            <w:r w:rsidRPr="004F5504">
              <w:rPr>
                <w:sz w:val="18"/>
                <w:szCs w:val="18"/>
              </w:rPr>
              <w:t>The American Academy of Sleep Medicine (AASM) Manual for the Scoring of Sleep and Associated Events: rules, terminology and technical specifications relating to the provision of polysomnography (PSG)</w:t>
            </w:r>
            <w:r>
              <w:rPr>
                <w:sz w:val="18"/>
                <w:szCs w:val="18"/>
              </w:rPr>
              <w:t>.</w:t>
            </w:r>
          </w:p>
          <w:p w14:paraId="437888DA" w14:textId="77777777" w:rsidR="00196F82" w:rsidRPr="00676816" w:rsidRDefault="00196F82">
            <w:pPr>
              <w:pStyle w:val="TableText"/>
              <w:keepNext/>
              <w:spacing w:before="120"/>
            </w:pPr>
            <w:r w:rsidRPr="004F5504">
              <w:rPr>
                <w:sz w:val="18"/>
                <w:szCs w:val="18"/>
              </w:rPr>
              <w:t>An Australian Commentary on the AASM Manual for the Scoring of Sleep and Associated Events relating to the provision of polysomnography</w:t>
            </w:r>
            <w:r>
              <w:rPr>
                <w:sz w:val="18"/>
                <w:szCs w:val="18"/>
              </w:rPr>
              <w:t xml:space="preserve"> (PSG).</w:t>
            </w:r>
          </w:p>
        </w:tc>
      </w:tr>
      <w:tr w:rsidR="00196F82" w:rsidRPr="009C364C" w14:paraId="7F69FDDF" w14:textId="77777777">
        <w:tc>
          <w:tcPr>
            <w:tcW w:w="5000" w:type="pct"/>
          </w:tcPr>
          <w:p w14:paraId="29CACAAB" w14:textId="77777777" w:rsidR="00196F82" w:rsidRPr="00F70A71" w:rsidRDefault="00196F82">
            <w:pPr>
              <w:pStyle w:val="TableText"/>
              <w:spacing w:before="120"/>
              <w:rPr>
                <w:b/>
                <w:bCs/>
                <w:sz w:val="18"/>
                <w:szCs w:val="18"/>
              </w:rPr>
            </w:pPr>
            <w:r w:rsidRPr="00F70A71">
              <w:rPr>
                <w:b/>
                <w:bCs/>
                <w:sz w:val="18"/>
                <w:szCs w:val="18"/>
              </w:rPr>
              <w:t>Current Professional Guidelines:</w:t>
            </w:r>
          </w:p>
          <w:p w14:paraId="63CDCBA0" w14:textId="77777777" w:rsidR="00196F82" w:rsidRPr="002E1FF7" w:rsidRDefault="00196F82">
            <w:pPr>
              <w:pStyle w:val="TableText"/>
              <w:spacing w:before="120"/>
              <w:rPr>
                <w:sz w:val="18"/>
                <w:szCs w:val="18"/>
              </w:rPr>
            </w:pPr>
            <w:r w:rsidRPr="002E1FF7">
              <w:rPr>
                <w:sz w:val="18"/>
                <w:szCs w:val="18"/>
              </w:rPr>
              <w:t>Items 12203 to 12250 require the continuous monitoring and recording of all listed parameters that are measured and performed in accordance with the current professional guidelines.</w:t>
            </w:r>
          </w:p>
          <w:p w14:paraId="6909B13C" w14:textId="77777777" w:rsidR="00196F82" w:rsidRPr="002E1FF7" w:rsidRDefault="00196F82">
            <w:pPr>
              <w:pStyle w:val="TableText"/>
              <w:spacing w:before="120"/>
              <w:rPr>
                <w:sz w:val="18"/>
                <w:szCs w:val="18"/>
              </w:rPr>
            </w:pPr>
            <w:r w:rsidRPr="002E1FF7">
              <w:rPr>
                <w:sz w:val="18"/>
                <w:szCs w:val="18"/>
              </w:rPr>
              <w:t>This means practitioners are required to ensure they are able to meet the polysomnography (PSG) requirements including technical specifications and electrode placements in the following documents:</w:t>
            </w:r>
          </w:p>
          <w:p w14:paraId="33E12B28" w14:textId="77777777" w:rsidR="00196F82" w:rsidRDefault="00196F82" w:rsidP="004105F1">
            <w:pPr>
              <w:pStyle w:val="TableText"/>
              <w:numPr>
                <w:ilvl w:val="0"/>
                <w:numId w:val="9"/>
              </w:numPr>
              <w:spacing w:before="120"/>
              <w:ind w:left="530"/>
              <w:rPr>
                <w:sz w:val="18"/>
                <w:szCs w:val="18"/>
              </w:rPr>
            </w:pPr>
            <w:r w:rsidRPr="002E1FF7">
              <w:rPr>
                <w:sz w:val="18"/>
                <w:szCs w:val="18"/>
              </w:rPr>
              <w:t>Guidelines for the performance of sleep studies in adults – a position statement of the Australasian Sleep Association. Refer to the document under the heading Sleep Studies in Adults - Position statements (sleep.org.au)</w:t>
            </w:r>
          </w:p>
          <w:p w14:paraId="604167A2" w14:textId="77777777" w:rsidR="00196F82" w:rsidRDefault="00196F82" w:rsidP="004105F1">
            <w:pPr>
              <w:pStyle w:val="TableText"/>
              <w:numPr>
                <w:ilvl w:val="0"/>
                <w:numId w:val="9"/>
              </w:numPr>
              <w:spacing w:before="120"/>
              <w:ind w:left="530"/>
              <w:rPr>
                <w:sz w:val="18"/>
                <w:szCs w:val="18"/>
              </w:rPr>
            </w:pPr>
            <w:r w:rsidRPr="002E1FF7">
              <w:rPr>
                <w:sz w:val="18"/>
                <w:szCs w:val="18"/>
              </w:rPr>
              <w:t>The American Academy of Sleep Medicine (AASM) Manual for the Scoring of Sleep and Associated Events: rules, terminology and technical specifications (you will require an account to access this resource). Refer to the section Sleep Staging Rules in the AASM Scoring Manual - American Academy of Sleep Medicine</w:t>
            </w:r>
          </w:p>
          <w:p w14:paraId="4831A458" w14:textId="77777777" w:rsidR="00196F82" w:rsidRPr="002E1FF7" w:rsidRDefault="00196F82" w:rsidP="004105F1">
            <w:pPr>
              <w:pStyle w:val="TableText"/>
              <w:numPr>
                <w:ilvl w:val="0"/>
                <w:numId w:val="9"/>
              </w:numPr>
              <w:spacing w:before="120"/>
              <w:ind w:left="530"/>
              <w:rPr>
                <w:sz w:val="18"/>
                <w:szCs w:val="18"/>
              </w:rPr>
            </w:pPr>
            <w:r w:rsidRPr="002E1FF7">
              <w:rPr>
                <w:sz w:val="18"/>
                <w:szCs w:val="18"/>
              </w:rPr>
              <w:t>An Australian Commentary on the AASM Manual for the Scoring of Sleep and Associated Events. Refer to the document under the heading Scoring of Sleep and Associated Events - Position statements (sleep.org.au)</w:t>
            </w:r>
          </w:p>
          <w:p w14:paraId="337A8C6D" w14:textId="77777777" w:rsidR="00196F82" w:rsidRPr="004F5504" w:rsidRDefault="00196F82">
            <w:pPr>
              <w:pStyle w:val="TableText"/>
              <w:spacing w:before="120"/>
              <w:rPr>
                <w:b/>
                <w:bCs/>
                <w:sz w:val="18"/>
                <w:szCs w:val="18"/>
              </w:rPr>
            </w:pPr>
            <w:r w:rsidRPr="00F70A71">
              <w:rPr>
                <w:b/>
                <w:bCs/>
                <w:sz w:val="18"/>
                <w:szCs w:val="18"/>
              </w:rPr>
              <w:t>Please note that for MBS purposes Home Sleep Apnoea Test (HSAT) requirements in the above documents apply to levels 3 and 4 sleep studies and are therefore not applicable for MBS items 12203 to 12250.</w:t>
            </w:r>
          </w:p>
        </w:tc>
      </w:tr>
      <w:tr w:rsidR="00196F82" w:rsidRPr="009C364C" w14:paraId="048D1FF6" w14:textId="77777777">
        <w:tc>
          <w:tcPr>
            <w:tcW w:w="5000" w:type="pct"/>
          </w:tcPr>
          <w:p w14:paraId="203D50C5" w14:textId="77777777" w:rsidR="00196F82" w:rsidRPr="00D226B1" w:rsidRDefault="00196F82" w:rsidP="00525E34">
            <w:pPr>
              <w:pStyle w:val="TableText"/>
              <w:spacing w:before="120"/>
              <w:rPr>
                <w:b/>
                <w:bCs/>
                <w:sz w:val="18"/>
                <w:szCs w:val="18"/>
              </w:rPr>
            </w:pPr>
            <w:r w:rsidRPr="00D226B1">
              <w:rPr>
                <w:b/>
                <w:bCs/>
                <w:sz w:val="18"/>
                <w:szCs w:val="18"/>
              </w:rPr>
              <w:t>Referral Criteria in items 12203 and 12250</w:t>
            </w:r>
          </w:p>
          <w:p w14:paraId="6B5059AD" w14:textId="77777777" w:rsidR="00196F82" w:rsidRPr="00D226B1" w:rsidRDefault="00196F82">
            <w:pPr>
              <w:pStyle w:val="TableText"/>
              <w:spacing w:before="120"/>
              <w:rPr>
                <w:sz w:val="18"/>
                <w:szCs w:val="18"/>
              </w:rPr>
            </w:pPr>
            <w:r w:rsidRPr="00D226B1">
              <w:rPr>
                <w:sz w:val="18"/>
                <w:szCs w:val="18"/>
              </w:rPr>
              <w:t>Items 12203 and 12250 are applicable for patients who require a diagnostic sleep study. They enable direct GP referral to a diagnostic sleep study without personal assessment by a sleep or respiratory physician, when validated screening questionnaires suggest a high pre-test probability for diagnosis of symptomatic, moderate to severe obstructive sleep apnoea (OSA). The screening questionnaires should be administered by the referring practitioner. Alternatively, the need for testing can be determined by a sleep or respiratory physician following direct clinical assessment (either face-to-face or by video conference).</w:t>
            </w:r>
          </w:p>
        </w:tc>
      </w:tr>
      <w:tr w:rsidR="00196F82" w:rsidRPr="00AA4E27" w14:paraId="5CE83EDF" w14:textId="77777777">
        <w:tc>
          <w:tcPr>
            <w:tcW w:w="5000" w:type="pct"/>
            <w:vAlign w:val="center"/>
          </w:tcPr>
          <w:p w14:paraId="350FD93D" w14:textId="77777777" w:rsidR="00196F82" w:rsidRPr="00AA4E27" w:rsidRDefault="00196F82" w:rsidP="00525E34">
            <w:pPr>
              <w:pStyle w:val="Tabletext0"/>
              <w:spacing w:after="120"/>
              <w:jc w:val="left"/>
              <w:rPr>
                <w:b/>
                <w:sz w:val="18"/>
                <w:szCs w:val="18"/>
              </w:rPr>
            </w:pPr>
            <w:r w:rsidRPr="00AA4E27">
              <w:rPr>
                <w:b/>
                <w:sz w:val="18"/>
                <w:szCs w:val="18"/>
              </w:rPr>
              <w:t xml:space="preserve">Screening Questionnaires </w:t>
            </w:r>
          </w:p>
          <w:p w14:paraId="3C0DCDD4" w14:textId="77777777" w:rsidR="00196F82" w:rsidRPr="00AA4E27" w:rsidRDefault="00196F82" w:rsidP="00525E34">
            <w:pPr>
              <w:pStyle w:val="Tabletext0"/>
              <w:spacing w:after="120"/>
              <w:ind w:right="-51"/>
              <w:jc w:val="left"/>
              <w:rPr>
                <w:sz w:val="18"/>
                <w:szCs w:val="18"/>
              </w:rPr>
            </w:pPr>
            <w:r w:rsidRPr="00AA4E27">
              <w:rPr>
                <w:sz w:val="18"/>
                <w:szCs w:val="18"/>
              </w:rPr>
              <w:t>For the purpose of items 12203 or 12250, a high probability for symptomatic, moderate to severe OSA would be indicated by one of the following clinical screening tool outcomes:</w:t>
            </w:r>
          </w:p>
          <w:p w14:paraId="789E2198" w14:textId="77777777" w:rsidR="00196F82" w:rsidRPr="00AA4E27" w:rsidRDefault="00196F82" w:rsidP="004105F1">
            <w:pPr>
              <w:pStyle w:val="Tabletext0"/>
              <w:numPr>
                <w:ilvl w:val="0"/>
                <w:numId w:val="11"/>
              </w:numPr>
              <w:spacing w:after="120"/>
              <w:ind w:left="530"/>
              <w:jc w:val="left"/>
              <w:rPr>
                <w:sz w:val="18"/>
                <w:szCs w:val="18"/>
              </w:rPr>
            </w:pPr>
            <w:r w:rsidRPr="00AA4E27">
              <w:rPr>
                <w:sz w:val="18"/>
                <w:szCs w:val="18"/>
              </w:rPr>
              <w:t>STOP-Bang score of 3 or more AND an Epworth Sleepiness Scale score of 8 or more;</w:t>
            </w:r>
          </w:p>
          <w:p w14:paraId="657BAD6B" w14:textId="77777777" w:rsidR="00196F82" w:rsidRPr="00AA4E27" w:rsidRDefault="00196F82" w:rsidP="00525E34">
            <w:pPr>
              <w:pStyle w:val="Tabletext0"/>
              <w:spacing w:after="120"/>
              <w:jc w:val="left"/>
              <w:rPr>
                <w:sz w:val="18"/>
                <w:szCs w:val="18"/>
              </w:rPr>
            </w:pPr>
            <w:r w:rsidRPr="00AA4E27">
              <w:rPr>
                <w:sz w:val="18"/>
                <w:szCs w:val="18"/>
              </w:rPr>
              <w:t>OR</w:t>
            </w:r>
          </w:p>
          <w:p w14:paraId="54B8BC9C" w14:textId="77777777" w:rsidR="00196F82" w:rsidRPr="00AA4E27" w:rsidRDefault="00196F82" w:rsidP="004105F1">
            <w:pPr>
              <w:pStyle w:val="Tabletext0"/>
              <w:numPr>
                <w:ilvl w:val="0"/>
                <w:numId w:val="11"/>
              </w:numPr>
              <w:spacing w:after="120"/>
              <w:ind w:left="530"/>
              <w:jc w:val="left"/>
              <w:rPr>
                <w:sz w:val="18"/>
                <w:szCs w:val="18"/>
              </w:rPr>
            </w:pPr>
            <w:r w:rsidRPr="00AA4E27">
              <w:rPr>
                <w:sz w:val="18"/>
                <w:szCs w:val="18"/>
              </w:rPr>
              <w:t>OSA50 score of 5 or more AND an Epworth Sleepiness Scale score of 8 or more;</w:t>
            </w:r>
          </w:p>
          <w:p w14:paraId="4E28853D" w14:textId="77777777" w:rsidR="00196F82" w:rsidRPr="00AA4E27" w:rsidRDefault="00196F82" w:rsidP="00525E34">
            <w:pPr>
              <w:pStyle w:val="Tabletext0"/>
              <w:spacing w:after="120"/>
              <w:jc w:val="left"/>
              <w:rPr>
                <w:sz w:val="18"/>
                <w:szCs w:val="18"/>
              </w:rPr>
            </w:pPr>
            <w:r w:rsidRPr="00AA4E27">
              <w:rPr>
                <w:sz w:val="18"/>
                <w:szCs w:val="18"/>
              </w:rPr>
              <w:t>OR</w:t>
            </w:r>
          </w:p>
          <w:p w14:paraId="038C4377" w14:textId="77777777" w:rsidR="00196F82" w:rsidRPr="00AA4E27" w:rsidRDefault="00196F82" w:rsidP="004105F1">
            <w:pPr>
              <w:pStyle w:val="Tabletext0"/>
              <w:numPr>
                <w:ilvl w:val="0"/>
                <w:numId w:val="11"/>
              </w:numPr>
              <w:spacing w:after="120"/>
              <w:ind w:left="530"/>
              <w:jc w:val="left"/>
              <w:rPr>
                <w:sz w:val="18"/>
                <w:szCs w:val="18"/>
              </w:rPr>
            </w:pPr>
            <w:r w:rsidRPr="00AA4E27">
              <w:rPr>
                <w:sz w:val="18"/>
                <w:szCs w:val="18"/>
              </w:rPr>
              <w:t>high risk score on the Berlin Questionnaire AND an Epworth Sleepiness Scale score of 8 or more.</w:t>
            </w:r>
          </w:p>
          <w:p w14:paraId="3704D897" w14:textId="77777777" w:rsidR="00196F82" w:rsidRPr="00AA4E27" w:rsidRDefault="00196F82" w:rsidP="00525E34">
            <w:pPr>
              <w:pStyle w:val="Tabletext0"/>
              <w:spacing w:after="120"/>
              <w:jc w:val="left"/>
              <w:rPr>
                <w:sz w:val="18"/>
                <w:szCs w:val="18"/>
              </w:rPr>
            </w:pPr>
            <w:r w:rsidRPr="00AA4E27">
              <w:rPr>
                <w:sz w:val="18"/>
                <w:szCs w:val="18"/>
              </w:rPr>
              <w:t>The STOP-Bang, OSA50, Berlin questionnaires and Epworth Sleepiness Scale can be accessed at Douglas et al, Guidelines for sleep studies in adults - a position statement of the Australasian Sleep Association. Sleep Med. 2017 Aug; 36 Suppl 1:S2-S22 (www.sleep.org.au/documents/item/2980) or on the American Thoracic Society website (www.thoracic.org/members/assemblies/assemblies/srn/questionaires/).</w:t>
            </w:r>
          </w:p>
          <w:p w14:paraId="4FF5E0B6" w14:textId="77777777" w:rsidR="00196F82" w:rsidRDefault="00196F82" w:rsidP="00525E34">
            <w:pPr>
              <w:pStyle w:val="Tabletext0"/>
              <w:spacing w:after="120"/>
              <w:jc w:val="left"/>
              <w:rPr>
                <w:sz w:val="18"/>
                <w:szCs w:val="18"/>
              </w:rPr>
            </w:pPr>
            <w:r w:rsidRPr="00AA4E27">
              <w:rPr>
                <w:sz w:val="18"/>
                <w:szCs w:val="18"/>
              </w:rPr>
              <w:t>Evidence of the screening tests being administered to the patient in full, including screening test scores must be recorded in the patient’s clinical record as this may be subject to audit.</w:t>
            </w:r>
          </w:p>
          <w:p w14:paraId="26BA8760" w14:textId="77777777" w:rsidR="00196F82" w:rsidRPr="00AA4E27" w:rsidRDefault="00196F82" w:rsidP="00525E34">
            <w:pPr>
              <w:pStyle w:val="Tabletext0"/>
              <w:spacing w:after="120"/>
              <w:jc w:val="left"/>
              <w:rPr>
                <w:sz w:val="18"/>
                <w:szCs w:val="18"/>
              </w:rPr>
            </w:pPr>
            <w:r w:rsidRPr="005A7E5B">
              <w:rPr>
                <w:sz w:val="18"/>
                <w:szCs w:val="18"/>
              </w:rPr>
              <w:t>Please note that the presence of a high probability for symptomatic, moderate to severe obstructive sleep apnoea in a patient does not mean a study can be provided under either 12203 or 12250 utilising the HSAT guidelines. The service being delivered must meet all the requirements contained in the MBS item number being claimed regardless of patient risk for obstructive sleep apnoea (which would be in accordance with the PSG guidelines)</w:t>
            </w:r>
            <w:r>
              <w:rPr>
                <w:sz w:val="18"/>
                <w:szCs w:val="18"/>
              </w:rPr>
              <w:t>.</w:t>
            </w:r>
          </w:p>
        </w:tc>
      </w:tr>
      <w:tr w:rsidR="00196F82" w:rsidRPr="00AA4E27" w14:paraId="4B4FE676" w14:textId="77777777">
        <w:tc>
          <w:tcPr>
            <w:tcW w:w="5000" w:type="pct"/>
            <w:vAlign w:val="center"/>
          </w:tcPr>
          <w:p w14:paraId="54C0D869" w14:textId="77777777" w:rsidR="00196F82" w:rsidRPr="00FA7084" w:rsidRDefault="00196F82" w:rsidP="00525E34">
            <w:pPr>
              <w:pStyle w:val="Tabletext0"/>
              <w:spacing w:after="240"/>
              <w:jc w:val="left"/>
              <w:rPr>
                <w:b/>
                <w:sz w:val="18"/>
                <w:szCs w:val="18"/>
              </w:rPr>
            </w:pPr>
            <w:r w:rsidRPr="00FA7084">
              <w:rPr>
                <w:b/>
                <w:sz w:val="18"/>
                <w:szCs w:val="18"/>
              </w:rPr>
              <w:t>Referrals for attended (Level 1) or unattended (level 2) diagnostic studies</w:t>
            </w:r>
          </w:p>
          <w:p w14:paraId="053B2777" w14:textId="77777777" w:rsidR="00196F82" w:rsidRPr="00FA7084" w:rsidRDefault="00196F82">
            <w:pPr>
              <w:pStyle w:val="Tabletext0"/>
              <w:spacing w:after="120"/>
              <w:jc w:val="left"/>
              <w:rPr>
                <w:bCs/>
                <w:sz w:val="18"/>
                <w:szCs w:val="18"/>
              </w:rPr>
            </w:pPr>
            <w:r w:rsidRPr="00FA7084">
              <w:rPr>
                <w:bCs/>
                <w:sz w:val="18"/>
                <w:szCs w:val="18"/>
              </w:rPr>
              <w:t>Where a patient with suspected OSA has been directly referred for a Level 1 sleep study under item 12203, but there is insufficient information to indicate if there are any contraindications for a Level 2 study, the following options are available:</w:t>
            </w:r>
          </w:p>
          <w:p w14:paraId="4965A23F" w14:textId="77777777" w:rsidR="00196F82" w:rsidRPr="00FA7084" w:rsidRDefault="00196F82">
            <w:pPr>
              <w:pStyle w:val="Tabletext0"/>
              <w:spacing w:after="120"/>
              <w:jc w:val="left"/>
              <w:rPr>
                <w:bCs/>
                <w:sz w:val="18"/>
                <w:szCs w:val="18"/>
              </w:rPr>
            </w:pPr>
            <w:r w:rsidRPr="00FA7084">
              <w:rPr>
                <w:bCs/>
                <w:sz w:val="18"/>
                <w:szCs w:val="18"/>
              </w:rPr>
              <w:t>The patient can be assessed by a qualified sleep medicine practitioner or consultant respiratory physician to determine the most suitable study (i.e. Level 1 or Level 2); or</w:t>
            </w:r>
          </w:p>
          <w:p w14:paraId="5B0E368F" w14:textId="77777777" w:rsidR="00196F82" w:rsidRPr="00AA4E27" w:rsidRDefault="00196F82" w:rsidP="004105F1">
            <w:pPr>
              <w:pStyle w:val="Tabletext0"/>
              <w:numPr>
                <w:ilvl w:val="0"/>
                <w:numId w:val="10"/>
              </w:numPr>
              <w:spacing w:after="240"/>
              <w:jc w:val="left"/>
              <w:rPr>
                <w:sz w:val="18"/>
                <w:szCs w:val="18"/>
              </w:rPr>
            </w:pPr>
            <w:r w:rsidRPr="00FA7084">
              <w:rPr>
                <w:bCs/>
                <w:sz w:val="18"/>
                <w:szCs w:val="18"/>
              </w:rPr>
              <w:t>The validated screening questionnaires can be administered to the patient by the sleep medicine practitioner, sleep technician or practice staff. If the screening questionnaires indicate a high pre-test probability for the diagnosis of symptomatic, moderate to severe OSA, the sleep provider can either – arrange for the patient to have a Level 2 study (notifying the referring practitioner of this decision); or seek additional information from the referring practitioner on why a Level 1 study is required (e.g. whether the patient has any contraindications for a Level 2 study). If there remains any uncertainty about the type of study which the patient should receive, a qualified sleep medicine practitioner or consultant respiratory physician should assess the patient.</w:t>
            </w:r>
            <w:r w:rsidRPr="00FA7084">
              <w:rPr>
                <w:b/>
                <w:sz w:val="18"/>
                <w:szCs w:val="18"/>
              </w:rPr>
              <w:t xml:space="preserve">   </w:t>
            </w:r>
          </w:p>
        </w:tc>
      </w:tr>
      <w:tr w:rsidR="00196F82" w:rsidRPr="00AA4E27" w14:paraId="356F5A5F" w14:textId="77777777">
        <w:tc>
          <w:tcPr>
            <w:tcW w:w="5000" w:type="pct"/>
            <w:vAlign w:val="center"/>
          </w:tcPr>
          <w:p w14:paraId="534926E4" w14:textId="77777777" w:rsidR="00196F82" w:rsidRPr="00BF58AD" w:rsidRDefault="00196F82">
            <w:pPr>
              <w:pStyle w:val="Tabletext0"/>
              <w:spacing w:after="120"/>
              <w:jc w:val="left"/>
              <w:rPr>
                <w:b/>
                <w:sz w:val="18"/>
                <w:szCs w:val="18"/>
              </w:rPr>
            </w:pPr>
            <w:r w:rsidRPr="00BF58AD">
              <w:rPr>
                <w:b/>
                <w:sz w:val="18"/>
                <w:szCs w:val="18"/>
              </w:rPr>
              <w:t>Referrals made without (or incomplete) screening questionnaires (Items 12203 and 12250)</w:t>
            </w:r>
          </w:p>
          <w:p w14:paraId="3865D37E" w14:textId="77777777" w:rsidR="00196F82" w:rsidRPr="00BF58AD" w:rsidRDefault="00196F82" w:rsidP="004105F1">
            <w:pPr>
              <w:pStyle w:val="Tabletext0"/>
              <w:keepNext/>
              <w:numPr>
                <w:ilvl w:val="0"/>
                <w:numId w:val="11"/>
              </w:numPr>
              <w:spacing w:after="120"/>
              <w:ind w:left="530"/>
              <w:jc w:val="left"/>
              <w:rPr>
                <w:bCs/>
                <w:sz w:val="18"/>
                <w:szCs w:val="18"/>
              </w:rPr>
            </w:pPr>
            <w:r w:rsidRPr="00BF58AD">
              <w:rPr>
                <w:bCs/>
                <w:sz w:val="18"/>
                <w:szCs w:val="18"/>
              </w:rPr>
              <w:t xml:space="preserve">If a patient has been directly referred to a qualified sleep medicine practitioner or consultant respiratory physician without the use of the screening questionnaires, the screening questionnaires can be administered to the patient by the sleep provider (e.g. by a sleep technician or </w:t>
            </w:r>
            <w:r w:rsidRPr="00CC3C17">
              <w:rPr>
                <w:sz w:val="18"/>
                <w:szCs w:val="18"/>
              </w:rPr>
              <w:t>other</w:t>
            </w:r>
            <w:r w:rsidRPr="00BF58AD">
              <w:rPr>
                <w:bCs/>
                <w:sz w:val="18"/>
                <w:szCs w:val="18"/>
              </w:rPr>
              <w:t xml:space="preserve"> practice staff). Where the screening questionnaires have been provided with the referral, but they are incomplete, the sleep provider may wish to contact the patient to determine what their responses were to the relevant questions.</w:t>
            </w:r>
          </w:p>
        </w:tc>
      </w:tr>
      <w:tr w:rsidR="00196F82" w:rsidRPr="00AA4E27" w14:paraId="21ABDC2D" w14:textId="77777777">
        <w:tc>
          <w:tcPr>
            <w:tcW w:w="5000" w:type="pct"/>
            <w:vAlign w:val="center"/>
          </w:tcPr>
          <w:p w14:paraId="0BEAC0F0" w14:textId="77777777" w:rsidR="00196F82" w:rsidRPr="0079216D" w:rsidRDefault="00196F82" w:rsidP="00525E34">
            <w:pPr>
              <w:pStyle w:val="Tabletext0"/>
              <w:spacing w:after="120"/>
              <w:jc w:val="left"/>
              <w:rPr>
                <w:b/>
                <w:sz w:val="18"/>
                <w:szCs w:val="18"/>
              </w:rPr>
            </w:pPr>
            <w:r w:rsidRPr="003A69FA">
              <w:rPr>
                <w:b/>
                <w:sz w:val="18"/>
                <w:szCs w:val="18"/>
              </w:rPr>
              <w:t>Attended (Level 1 study) versus unattended (Level 2 study) sleep studies</w:t>
            </w:r>
          </w:p>
          <w:p w14:paraId="47F8632C" w14:textId="77777777" w:rsidR="00196F82" w:rsidRPr="0079216D" w:rsidRDefault="00196F82">
            <w:pPr>
              <w:pStyle w:val="Tabletext0"/>
              <w:spacing w:after="120"/>
              <w:jc w:val="left"/>
              <w:rPr>
                <w:bCs/>
                <w:sz w:val="18"/>
                <w:szCs w:val="18"/>
              </w:rPr>
            </w:pPr>
            <w:r w:rsidRPr="0079216D">
              <w:rPr>
                <w:bCs/>
                <w:sz w:val="18"/>
                <w:szCs w:val="18"/>
              </w:rPr>
              <w:t>Determination of the need for a sleep study should conform with Australasian Sleep Association guidelines.</w:t>
            </w:r>
          </w:p>
          <w:p w14:paraId="1F015A5D" w14:textId="77777777" w:rsidR="00196F82" w:rsidRPr="0079216D" w:rsidRDefault="00196F82">
            <w:pPr>
              <w:pStyle w:val="Tabletext0"/>
              <w:spacing w:after="120"/>
              <w:jc w:val="left"/>
              <w:rPr>
                <w:bCs/>
                <w:sz w:val="18"/>
                <w:szCs w:val="18"/>
              </w:rPr>
            </w:pPr>
            <w:r w:rsidRPr="0079216D">
              <w:rPr>
                <w:bCs/>
                <w:sz w:val="18"/>
                <w:szCs w:val="18"/>
              </w:rPr>
              <w:t>Unattended sleep studies are suitable for many patients with suspected OSA but patients with other sleep disorders should undergo an attended study. Assessment for potential contraindications to an unattended sleep study can be undertaken by either the referring practitioner, qualified adult sleep medicine practitioner or consultant respiratory physician. Standardised referrals should request sufficient information to enable such assessment.</w:t>
            </w:r>
          </w:p>
          <w:p w14:paraId="11F4714A" w14:textId="77777777" w:rsidR="00196F82" w:rsidRPr="0079216D" w:rsidRDefault="00196F82">
            <w:pPr>
              <w:pStyle w:val="Tabletext0"/>
              <w:spacing w:after="120"/>
              <w:jc w:val="left"/>
              <w:rPr>
                <w:bCs/>
                <w:sz w:val="18"/>
                <w:szCs w:val="18"/>
              </w:rPr>
            </w:pPr>
            <w:r w:rsidRPr="0079216D">
              <w:rPr>
                <w:bCs/>
                <w:sz w:val="18"/>
                <w:szCs w:val="18"/>
              </w:rPr>
              <w:t>In accordance with the Australasian Sleep Association’s Guidelines for Sleep Studies in Adults, relative contraindications for an unattended sleep study to investigate suspected OSA include but are not limited to:</w:t>
            </w:r>
          </w:p>
          <w:p w14:paraId="69AACCA4" w14:textId="77777777" w:rsidR="00196F82" w:rsidRPr="0079216D" w:rsidRDefault="00196F82">
            <w:pPr>
              <w:pStyle w:val="Tabletext0"/>
              <w:spacing w:after="120"/>
              <w:ind w:left="170"/>
              <w:jc w:val="left"/>
              <w:rPr>
                <w:bCs/>
                <w:sz w:val="18"/>
                <w:szCs w:val="18"/>
              </w:rPr>
            </w:pPr>
            <w:r w:rsidRPr="0079216D">
              <w:rPr>
                <w:bCs/>
                <w:sz w:val="18"/>
                <w:szCs w:val="18"/>
              </w:rPr>
              <w:t>(a) intellectual disability or cognitive impairment;</w:t>
            </w:r>
          </w:p>
          <w:p w14:paraId="5879A896" w14:textId="77777777" w:rsidR="00196F82" w:rsidRPr="0079216D" w:rsidRDefault="00196F82">
            <w:pPr>
              <w:pStyle w:val="Tabletext0"/>
              <w:spacing w:after="120"/>
              <w:ind w:left="170"/>
              <w:jc w:val="left"/>
              <w:rPr>
                <w:bCs/>
                <w:sz w:val="18"/>
                <w:szCs w:val="18"/>
              </w:rPr>
            </w:pPr>
            <w:r w:rsidRPr="0079216D">
              <w:rPr>
                <w:bCs/>
                <w:sz w:val="18"/>
                <w:szCs w:val="18"/>
              </w:rPr>
              <w:t>(b) physical disability with inadequate carer attendance;</w:t>
            </w:r>
          </w:p>
          <w:p w14:paraId="4E4569BE" w14:textId="77777777" w:rsidR="00196F82" w:rsidRPr="0079216D" w:rsidRDefault="00196F82">
            <w:pPr>
              <w:pStyle w:val="Tabletext0"/>
              <w:spacing w:after="120"/>
              <w:ind w:left="170"/>
              <w:jc w:val="left"/>
              <w:rPr>
                <w:bCs/>
                <w:sz w:val="18"/>
                <w:szCs w:val="18"/>
              </w:rPr>
            </w:pPr>
            <w:r w:rsidRPr="0079216D">
              <w:rPr>
                <w:bCs/>
                <w:sz w:val="18"/>
                <w:szCs w:val="18"/>
              </w:rPr>
              <w:t>(c) significant co-morbid conditions including neuromuscular disease, heart failure or advanced respiratory disease where more complex disorders are likely;</w:t>
            </w:r>
          </w:p>
          <w:p w14:paraId="57F68366" w14:textId="77777777" w:rsidR="00196F82" w:rsidRPr="0079216D" w:rsidRDefault="00196F82">
            <w:pPr>
              <w:pStyle w:val="Tabletext0"/>
              <w:spacing w:after="120"/>
              <w:ind w:left="170"/>
              <w:jc w:val="left"/>
              <w:rPr>
                <w:bCs/>
                <w:sz w:val="18"/>
                <w:szCs w:val="18"/>
              </w:rPr>
            </w:pPr>
            <w:r w:rsidRPr="0079216D">
              <w:rPr>
                <w:bCs/>
                <w:sz w:val="18"/>
                <w:szCs w:val="18"/>
              </w:rPr>
              <w:t>(d) suspected respiratory failure where attended measurements are required, including measurement of carbon dioxide partial pressures;</w:t>
            </w:r>
          </w:p>
          <w:p w14:paraId="271BD70B" w14:textId="77777777" w:rsidR="00196F82" w:rsidRPr="0079216D" w:rsidRDefault="00196F82">
            <w:pPr>
              <w:pStyle w:val="Tabletext0"/>
              <w:spacing w:after="120"/>
              <w:ind w:left="170"/>
              <w:jc w:val="left"/>
              <w:rPr>
                <w:bCs/>
                <w:sz w:val="18"/>
                <w:szCs w:val="18"/>
              </w:rPr>
            </w:pPr>
            <w:r w:rsidRPr="0079216D">
              <w:rPr>
                <w:bCs/>
                <w:sz w:val="18"/>
                <w:szCs w:val="18"/>
              </w:rPr>
              <w:t>(e) suspected parasomnia or seizure disorder;</w:t>
            </w:r>
          </w:p>
          <w:p w14:paraId="7215858E" w14:textId="77777777" w:rsidR="00196F82" w:rsidRPr="0079216D" w:rsidRDefault="00196F82">
            <w:pPr>
              <w:pStyle w:val="Tabletext0"/>
              <w:spacing w:after="120"/>
              <w:ind w:left="170"/>
              <w:jc w:val="left"/>
              <w:rPr>
                <w:bCs/>
                <w:sz w:val="18"/>
                <w:szCs w:val="18"/>
              </w:rPr>
            </w:pPr>
            <w:r w:rsidRPr="0079216D">
              <w:rPr>
                <w:bCs/>
                <w:sz w:val="18"/>
                <w:szCs w:val="18"/>
              </w:rPr>
              <w:t>(f) suspected condition where recording of body position is considered to be essential and would not be recorded as part of an unattended sleep study;</w:t>
            </w:r>
          </w:p>
          <w:p w14:paraId="3EB17A25" w14:textId="77777777" w:rsidR="00196F82" w:rsidRPr="0079216D" w:rsidRDefault="00196F82">
            <w:pPr>
              <w:pStyle w:val="Tabletext0"/>
              <w:spacing w:after="120"/>
              <w:ind w:left="170"/>
              <w:jc w:val="left"/>
              <w:rPr>
                <w:bCs/>
                <w:sz w:val="18"/>
                <w:szCs w:val="18"/>
              </w:rPr>
            </w:pPr>
            <w:r w:rsidRPr="0079216D">
              <w:rPr>
                <w:bCs/>
                <w:sz w:val="18"/>
                <w:szCs w:val="18"/>
              </w:rPr>
              <w:t>(g) previously failed or inconclusive unattended sleep study;</w:t>
            </w:r>
          </w:p>
          <w:p w14:paraId="39A7A419" w14:textId="77777777" w:rsidR="00196F82" w:rsidRPr="0079216D" w:rsidRDefault="00196F82">
            <w:pPr>
              <w:pStyle w:val="Tabletext0"/>
              <w:spacing w:after="120"/>
              <w:ind w:left="170"/>
              <w:jc w:val="left"/>
              <w:rPr>
                <w:bCs/>
                <w:sz w:val="18"/>
                <w:szCs w:val="18"/>
              </w:rPr>
            </w:pPr>
            <w:r w:rsidRPr="0079216D">
              <w:rPr>
                <w:bCs/>
                <w:sz w:val="18"/>
                <w:szCs w:val="18"/>
              </w:rPr>
              <w:t>(h) unsuitable home environment including unsafe environments or where patients are homeless; and</w:t>
            </w:r>
          </w:p>
          <w:p w14:paraId="6F4F37EF" w14:textId="77777777" w:rsidR="00196F82" w:rsidRPr="0079216D" w:rsidRDefault="00196F82">
            <w:pPr>
              <w:pStyle w:val="Tabletext0"/>
              <w:spacing w:after="120"/>
              <w:ind w:left="170"/>
              <w:jc w:val="left"/>
              <w:rPr>
                <w:bCs/>
                <w:sz w:val="18"/>
                <w:szCs w:val="18"/>
              </w:rPr>
            </w:pPr>
            <w:r w:rsidRPr="0079216D">
              <w:rPr>
                <w:bCs/>
                <w:sz w:val="18"/>
                <w:szCs w:val="18"/>
              </w:rPr>
              <w:t>(i) consumer preference based on a high level of anxiety about location of study or where there is unreasonable cost or disruption based on distance to be travelled, or home circumstances.</w:t>
            </w:r>
          </w:p>
          <w:p w14:paraId="4D21B865" w14:textId="77777777" w:rsidR="00196F82" w:rsidRPr="0015089B" w:rsidRDefault="00196F82">
            <w:pPr>
              <w:pStyle w:val="Tabletext0"/>
              <w:spacing w:after="120"/>
              <w:jc w:val="left"/>
              <w:rPr>
                <w:bCs/>
                <w:sz w:val="18"/>
                <w:szCs w:val="18"/>
              </w:rPr>
            </w:pPr>
            <w:r w:rsidRPr="0079216D">
              <w:rPr>
                <w:bCs/>
                <w:sz w:val="18"/>
                <w:szCs w:val="18"/>
              </w:rPr>
              <w:t>Patients who have these features may be suitable for either attended (Level 1) or unattended (Level 2) studies.</w:t>
            </w:r>
          </w:p>
        </w:tc>
      </w:tr>
      <w:tr w:rsidR="00196F82" w:rsidRPr="00AA4E27" w14:paraId="7935595D" w14:textId="77777777">
        <w:tc>
          <w:tcPr>
            <w:tcW w:w="5000" w:type="pct"/>
            <w:vAlign w:val="center"/>
          </w:tcPr>
          <w:p w14:paraId="592A69E3" w14:textId="77777777" w:rsidR="00196F82" w:rsidRPr="00AA4E27" w:rsidRDefault="00196F82" w:rsidP="00525E34">
            <w:pPr>
              <w:pStyle w:val="Tabletext0"/>
              <w:spacing w:after="240"/>
              <w:rPr>
                <w:b/>
                <w:sz w:val="18"/>
                <w:szCs w:val="18"/>
              </w:rPr>
            </w:pPr>
            <w:r w:rsidRPr="00AA4E27">
              <w:rPr>
                <w:b/>
                <w:sz w:val="18"/>
                <w:szCs w:val="18"/>
              </w:rPr>
              <w:t>Treatment options following testing</w:t>
            </w:r>
          </w:p>
          <w:p w14:paraId="4B2D0481" w14:textId="77777777" w:rsidR="00196F82" w:rsidRPr="00AA4E27" w:rsidRDefault="00196F82">
            <w:pPr>
              <w:pStyle w:val="Tabletext0"/>
              <w:spacing w:after="120"/>
              <w:rPr>
                <w:sz w:val="18"/>
                <w:szCs w:val="18"/>
              </w:rPr>
            </w:pPr>
            <w:r w:rsidRPr="00AA4E27">
              <w:rPr>
                <w:sz w:val="18"/>
                <w:szCs w:val="18"/>
              </w:rPr>
              <w:t>The results and treatment options following any diagnostic sleep study should be discussed during a professional attendance with a medical practitioner before the initiation of any therapy. If there is uncertainty about the significance of test results or the appropriate management for that individual then referral to a sleep or respiratory medicine specialist is recommended.</w:t>
            </w:r>
          </w:p>
          <w:p w14:paraId="191296F1" w14:textId="77777777" w:rsidR="00196F82" w:rsidRPr="00AA4E27" w:rsidRDefault="00196F82">
            <w:pPr>
              <w:pStyle w:val="Tabletext0"/>
              <w:spacing w:after="120"/>
              <w:rPr>
                <w:sz w:val="18"/>
                <w:szCs w:val="18"/>
              </w:rPr>
            </w:pPr>
            <w:r w:rsidRPr="00AA4E27">
              <w:rPr>
                <w:sz w:val="18"/>
                <w:szCs w:val="18"/>
              </w:rPr>
              <w:t>Any professional attendance by a qualified sleep medicine practitioner or consultant respiratory physician associated with this service may be undertaken face-to-face or by video conference.</w:t>
            </w:r>
          </w:p>
        </w:tc>
      </w:tr>
      <w:tr w:rsidR="00196F82" w:rsidRPr="00AA4E27" w14:paraId="17DD7AB9" w14:textId="77777777">
        <w:tc>
          <w:tcPr>
            <w:tcW w:w="5000" w:type="pct"/>
            <w:vAlign w:val="center"/>
          </w:tcPr>
          <w:p w14:paraId="0EB23F5F" w14:textId="77777777" w:rsidR="00196F82" w:rsidRPr="00AA4E27" w:rsidRDefault="00196F82" w:rsidP="00525E34">
            <w:pPr>
              <w:pStyle w:val="Tabletext0"/>
              <w:spacing w:after="240"/>
              <w:rPr>
                <w:b/>
                <w:sz w:val="18"/>
                <w:szCs w:val="18"/>
              </w:rPr>
            </w:pPr>
            <w:r w:rsidRPr="00AA4E27">
              <w:rPr>
                <w:b/>
                <w:sz w:val="18"/>
                <w:szCs w:val="18"/>
              </w:rPr>
              <w:t>Meaning of ‘at least 8 hours’</w:t>
            </w:r>
          </w:p>
          <w:p w14:paraId="6735D948" w14:textId="77777777" w:rsidR="00196F82" w:rsidRPr="00AA4E27" w:rsidRDefault="00196F82">
            <w:pPr>
              <w:pStyle w:val="Tabletext0"/>
              <w:spacing w:after="120"/>
              <w:rPr>
                <w:sz w:val="18"/>
                <w:szCs w:val="18"/>
              </w:rPr>
            </w:pPr>
            <w:r w:rsidRPr="00AA4E27">
              <w:rPr>
                <w:sz w:val="18"/>
                <w:szCs w:val="18"/>
              </w:rPr>
              <w:t xml:space="preserve">The requirement ‘for at least 8 hours’ means the overnight investigation (including patient set-up time and actual period of recording) must be of at least 8 hours duration. Providers must keep evidence of the duration of the overnight investigation (including set-up time and period of recording) as part of their administrative records for MBS sleep studies. </w:t>
            </w:r>
          </w:p>
        </w:tc>
      </w:tr>
      <w:tr w:rsidR="00196F82" w:rsidRPr="00AA4E27" w14:paraId="4E10053E" w14:textId="77777777">
        <w:tc>
          <w:tcPr>
            <w:tcW w:w="5000" w:type="pct"/>
            <w:vAlign w:val="center"/>
          </w:tcPr>
          <w:p w14:paraId="26B9BD56" w14:textId="77777777" w:rsidR="00196F82" w:rsidRPr="00AA4E27" w:rsidRDefault="00196F82" w:rsidP="00525E34">
            <w:pPr>
              <w:pStyle w:val="Tabletext0"/>
              <w:spacing w:after="240"/>
              <w:rPr>
                <w:b/>
                <w:sz w:val="18"/>
                <w:szCs w:val="18"/>
              </w:rPr>
            </w:pPr>
            <w:r w:rsidRPr="00AA4E27">
              <w:rPr>
                <w:b/>
                <w:sz w:val="18"/>
                <w:szCs w:val="18"/>
              </w:rPr>
              <w:t>Polygraphic data</w:t>
            </w:r>
          </w:p>
          <w:p w14:paraId="3EA15393" w14:textId="77777777" w:rsidR="00196F82" w:rsidRPr="00AA4E27" w:rsidRDefault="00196F82">
            <w:pPr>
              <w:pStyle w:val="Tabletext0"/>
              <w:spacing w:after="120"/>
              <w:rPr>
                <w:sz w:val="18"/>
                <w:szCs w:val="18"/>
              </w:rPr>
            </w:pPr>
            <w:r w:rsidRPr="00AA4E27">
              <w:rPr>
                <w:sz w:val="18"/>
                <w:szCs w:val="18"/>
              </w:rPr>
              <w:t>Item 11503 is not for the purpose of investigation of sleep disorders. Polygraphic data obtained as part of a sleep study item in the range 12203 to 12250 cannot be used for the purpose of claiming item 11503.</w:t>
            </w:r>
          </w:p>
        </w:tc>
      </w:tr>
      <w:tr w:rsidR="00196F82" w:rsidRPr="00AA4E27" w14:paraId="1E213B60" w14:textId="77777777" w:rsidTr="006640D7">
        <w:tc>
          <w:tcPr>
            <w:tcW w:w="5000" w:type="pct"/>
            <w:vAlign w:val="center"/>
          </w:tcPr>
          <w:p w14:paraId="57A6095E" w14:textId="77777777" w:rsidR="00196F82" w:rsidRPr="00993636" w:rsidRDefault="00196F82">
            <w:pPr>
              <w:pStyle w:val="Tabletext0"/>
              <w:spacing w:after="240"/>
              <w:rPr>
                <w:b/>
                <w:sz w:val="18"/>
                <w:szCs w:val="18"/>
              </w:rPr>
            </w:pPr>
            <w:r w:rsidRPr="00993636">
              <w:rPr>
                <w:b/>
                <w:sz w:val="18"/>
                <w:szCs w:val="18"/>
              </w:rPr>
              <w:t>Billing requirements for level 1 and 2 sleep studies</w:t>
            </w:r>
          </w:p>
          <w:p w14:paraId="17C23FEE" w14:textId="77777777" w:rsidR="00196F82" w:rsidRPr="00993636" w:rsidRDefault="00196F82">
            <w:pPr>
              <w:pStyle w:val="Tabletext0"/>
              <w:spacing w:after="120"/>
              <w:rPr>
                <w:bCs/>
                <w:sz w:val="18"/>
                <w:szCs w:val="18"/>
              </w:rPr>
            </w:pPr>
            <w:r w:rsidRPr="00993636">
              <w:rPr>
                <w:bCs/>
                <w:sz w:val="18"/>
                <w:szCs w:val="18"/>
              </w:rPr>
              <w:t>All items are subject to MBS compliance processes and activities, including random and targeted audits which may require a provider to submit evidence about the services claimed. For sleep studies this would include a full copy of the PSG record that includes the raw data. The written report issued at the completion of the sleep study should include all of the requirements listed in the relevant clinical guidelines for types 1 and 2 sleep studies.</w:t>
            </w:r>
          </w:p>
          <w:p w14:paraId="121B4CB4" w14:textId="77777777" w:rsidR="00196F82" w:rsidRPr="00993636" w:rsidRDefault="00196F82">
            <w:pPr>
              <w:pStyle w:val="Tabletext0"/>
              <w:spacing w:after="120"/>
              <w:rPr>
                <w:bCs/>
                <w:sz w:val="18"/>
                <w:szCs w:val="18"/>
              </w:rPr>
            </w:pPr>
            <w:r w:rsidRPr="00993636">
              <w:rPr>
                <w:bCs/>
                <w:sz w:val="18"/>
                <w:szCs w:val="18"/>
              </w:rPr>
              <w:t>Items 12203 to 12250 do not support a figurehead billing arrangement. Figurehead or ‘headline’ billing is where one practitioner’s provider number is used to bill patients for the services provided by other practitioners.</w:t>
            </w:r>
          </w:p>
          <w:p w14:paraId="3C5A548E" w14:textId="77777777" w:rsidR="00196F82" w:rsidRPr="00993636" w:rsidRDefault="00196F82">
            <w:pPr>
              <w:pStyle w:val="Tabletext0"/>
              <w:spacing w:after="120"/>
              <w:rPr>
                <w:bCs/>
                <w:sz w:val="18"/>
                <w:szCs w:val="18"/>
              </w:rPr>
            </w:pPr>
            <w:r w:rsidRPr="00993636">
              <w:rPr>
                <w:bCs/>
                <w:sz w:val="18"/>
                <w:szCs w:val="18"/>
              </w:rPr>
              <w:t>While individual components of the sleep study service (e.g. supervision of the investigation and interpretation and preparation of a permanent report) do not need to be performed by the same qualified sleep medicine practitioner, it is an MBS requirement that the qualified sleep medicine practitioner who prepared the report on the results of the investigation bill the relevant item.</w:t>
            </w:r>
          </w:p>
          <w:p w14:paraId="706AAA25" w14:textId="77777777" w:rsidR="00196F82" w:rsidRPr="00993636" w:rsidRDefault="00196F82">
            <w:pPr>
              <w:pStyle w:val="Tabletext0"/>
              <w:spacing w:after="120"/>
              <w:rPr>
                <w:bCs/>
                <w:sz w:val="18"/>
                <w:szCs w:val="18"/>
              </w:rPr>
            </w:pPr>
            <w:r w:rsidRPr="00993636">
              <w:rPr>
                <w:bCs/>
                <w:sz w:val="18"/>
                <w:szCs w:val="18"/>
              </w:rPr>
              <w:t>Benefits are not payable for items 12203 to 12250 where the interpretation and preparation of a permanent report is provided by a technician or supervised staff rather than by a qualified sleep medicine practitioner.</w:t>
            </w:r>
          </w:p>
          <w:p w14:paraId="470E301F" w14:textId="77777777" w:rsidR="00196F82" w:rsidRPr="00993636" w:rsidRDefault="00196F82">
            <w:pPr>
              <w:pStyle w:val="Tabletext0"/>
              <w:spacing w:after="120"/>
              <w:rPr>
                <w:bCs/>
                <w:sz w:val="18"/>
                <w:szCs w:val="18"/>
              </w:rPr>
            </w:pPr>
            <w:r w:rsidRPr="00993636">
              <w:rPr>
                <w:bCs/>
                <w:sz w:val="18"/>
                <w:szCs w:val="18"/>
              </w:rPr>
              <w:t>Where the date of service for a sleep study item is the same as the date of service of any items 11000 to 11005, 11503, 11713 and 12203/12250, for a benefit to be payable, there must be written notification on the account identifying that the service under any of those items was not provided on the same occasion as the sleep study item.</w:t>
            </w:r>
          </w:p>
          <w:p w14:paraId="0658F7A5" w14:textId="77777777" w:rsidR="00196F82" w:rsidRPr="00993636" w:rsidRDefault="00196F82">
            <w:pPr>
              <w:pStyle w:val="Tabletext0"/>
              <w:spacing w:after="120"/>
              <w:rPr>
                <w:bCs/>
                <w:sz w:val="18"/>
                <w:szCs w:val="18"/>
              </w:rPr>
            </w:pPr>
            <w:r w:rsidRPr="00993636">
              <w:rPr>
                <w:bCs/>
                <w:sz w:val="18"/>
                <w:szCs w:val="18"/>
              </w:rPr>
              <w:t xml:space="preserve">The date of service for the purposes of items 12203 to 12250 is deemed to be the day of the morning the overnight investigation is completed. Billing for the service must only occur once all of the requirements of the item have been fulfilled. </w:t>
            </w:r>
            <w:r w:rsidRPr="00AA4E27">
              <w:rPr>
                <w:sz w:val="18"/>
                <w:szCs w:val="18"/>
              </w:rPr>
              <w:t xml:space="preserve"> </w:t>
            </w:r>
          </w:p>
        </w:tc>
      </w:tr>
      <w:tr w:rsidR="00196F82" w:rsidRPr="00AA4E27" w14:paraId="331FEE39" w14:textId="77777777" w:rsidTr="006640D7">
        <w:tc>
          <w:tcPr>
            <w:tcW w:w="5000" w:type="pct"/>
            <w:vAlign w:val="center"/>
          </w:tcPr>
          <w:p w14:paraId="7BEFA1D2" w14:textId="77777777" w:rsidR="00196F82" w:rsidRPr="00AA4E27" w:rsidRDefault="00196F82">
            <w:pPr>
              <w:pStyle w:val="Tabletext0"/>
              <w:spacing w:before="36" w:after="36"/>
              <w:rPr>
                <w:sz w:val="18"/>
                <w:szCs w:val="18"/>
              </w:rPr>
            </w:pPr>
            <w:r w:rsidRPr="00AA4E27">
              <w:rPr>
                <w:sz w:val="18"/>
                <w:szCs w:val="18"/>
              </w:rPr>
              <w:t>Related Items: 12203 12204 12205 12207 12208 12210 12213 12215 12217 12250</w:t>
            </w:r>
          </w:p>
        </w:tc>
      </w:tr>
    </w:tbl>
    <w:p w14:paraId="6B02E123" w14:textId="77777777" w:rsidR="00196F82" w:rsidRDefault="00196F82" w:rsidP="00196F82">
      <w:pPr>
        <w:pStyle w:val="111Tablefootnoteslast-nostick"/>
      </w:pPr>
      <w:r>
        <w:t xml:space="preserve">AASM = American Academy of Sleep Medicine; </w:t>
      </w:r>
      <w:r w:rsidRPr="001C25AD">
        <w:t xml:space="preserve">GP = general practitioner; </w:t>
      </w:r>
      <w:r>
        <w:t>HSAT = home sleep apnoea test; MBS = Medicare Benefits Schedule; OSA = obstructive sleep apnoea; PSG = polysomnography.</w:t>
      </w:r>
    </w:p>
    <w:p w14:paraId="6F232C82" w14:textId="0C38D1FA" w:rsidR="00DA4525" w:rsidRPr="00E65386" w:rsidRDefault="00196F82" w:rsidP="00E65386">
      <w:pPr>
        <w:pStyle w:val="111Tablefootnoteslast-nostick"/>
        <w:rPr>
          <w:lang w:val="en-GB"/>
        </w:rPr>
      </w:pPr>
      <w:r w:rsidRPr="00AA4E27">
        <w:t xml:space="preserve">Source: Medicare Benefits Schedule </w:t>
      </w:r>
      <w:r w:rsidRPr="00EE2D5D">
        <w:t>(14 May 2025).</w:t>
      </w:r>
    </w:p>
    <w:p w14:paraId="30A337EB" w14:textId="5BFDEA96" w:rsidR="008E1BC7" w:rsidRDefault="008E1BC7" w:rsidP="008E1BC7">
      <w:pPr>
        <w:pStyle w:val="ExecSumHeading3"/>
      </w:pPr>
      <w:r>
        <w:t>Clinical need</w:t>
      </w:r>
    </w:p>
    <w:p w14:paraId="776D4740" w14:textId="396916CD" w:rsidR="008E1BC7" w:rsidRDefault="008E1BC7" w:rsidP="008E1BC7">
      <w:pPr>
        <w:pStyle w:val="BodyText"/>
      </w:pPr>
      <w:r>
        <w:t xml:space="preserve">The re-application clarified the clinical need as addressing wait times, </w:t>
      </w:r>
      <w:r w:rsidR="00EC3ED7">
        <w:t xml:space="preserve">claiming </w:t>
      </w:r>
      <w:r>
        <w:t xml:space="preserve">that the </w:t>
      </w:r>
      <w:r w:rsidR="00A917F4">
        <w:t xml:space="preserve">primary </w:t>
      </w:r>
      <w:r>
        <w:t xml:space="preserve">delay in </w:t>
      </w:r>
      <w:r w:rsidR="00A917F4">
        <w:t xml:space="preserve">accessing </w:t>
      </w:r>
      <w:r>
        <w:t xml:space="preserve">sleep studies </w:t>
      </w:r>
      <w:r w:rsidR="00A917F4">
        <w:t xml:space="preserve">at </w:t>
      </w:r>
      <w:r>
        <w:t xml:space="preserve">tertiary paediatric hospitals in Australia </w:t>
      </w:r>
      <w:r w:rsidR="00412FB2">
        <w:t>occurs between consultation</w:t>
      </w:r>
      <w:r>
        <w:t xml:space="preserve"> </w:t>
      </w:r>
      <w:r w:rsidR="00412FB2">
        <w:t>with</w:t>
      </w:r>
      <w:r>
        <w:t xml:space="preserve"> a specialist sleep physician and </w:t>
      </w:r>
      <w:r w:rsidR="008B172B">
        <w:t xml:space="preserve">completion of </w:t>
      </w:r>
      <w:r>
        <w:t xml:space="preserve">a Level 1 </w:t>
      </w:r>
      <w:r w:rsidR="00D07552">
        <w:t>PSG</w:t>
      </w:r>
      <w:r>
        <w:t xml:space="preserve">. The average waiting time for </w:t>
      </w:r>
      <w:r w:rsidR="00FC72F1">
        <w:t>a</w:t>
      </w:r>
      <w:r>
        <w:t xml:space="preserve"> clinic appointment </w:t>
      </w:r>
      <w:r w:rsidR="00FC72F1">
        <w:t xml:space="preserve">with </w:t>
      </w:r>
      <w:r>
        <w:t xml:space="preserve">a paediatric sleep physician is estimated </w:t>
      </w:r>
      <w:r w:rsidR="00333BB8">
        <w:t>at</w:t>
      </w:r>
      <w:r w:rsidRPr="008D7D2D">
        <w:t xml:space="preserve"> 3-6 months</w:t>
      </w:r>
      <w:r>
        <w:t xml:space="preserve"> (</w:t>
      </w:r>
      <w:r w:rsidR="002575AE">
        <w:t xml:space="preserve">with </w:t>
      </w:r>
      <w:r>
        <w:t xml:space="preserve">telehealth </w:t>
      </w:r>
      <w:r w:rsidR="002575AE">
        <w:t>now available</w:t>
      </w:r>
      <w:r>
        <w:t xml:space="preserve">) and </w:t>
      </w:r>
      <w:r w:rsidR="00011554">
        <w:t>is not expected to</w:t>
      </w:r>
      <w:r w:rsidR="00DB2F2E">
        <w:t xml:space="preserve"> change with the proposed service.</w:t>
      </w:r>
      <w:r>
        <w:t xml:space="preserve"> </w:t>
      </w:r>
      <w:r w:rsidR="00A3691F">
        <w:t>However, the</w:t>
      </w:r>
      <w:r>
        <w:t xml:space="preserve"> average </w:t>
      </w:r>
      <w:r w:rsidRPr="008D7D2D">
        <w:t>waiting</w:t>
      </w:r>
      <w:r>
        <w:t xml:space="preserve"> time for a Level 1 PSG </w:t>
      </w:r>
      <w:r w:rsidRPr="009858B2">
        <w:t>after</w:t>
      </w:r>
      <w:r>
        <w:t xml:space="preserve"> seeing the specialist is </w:t>
      </w:r>
      <w:r w:rsidR="00137C2D">
        <w:t>significantly lon</w:t>
      </w:r>
      <w:r w:rsidR="00E67349">
        <w:t>g</w:t>
      </w:r>
      <w:r w:rsidR="00137C2D">
        <w:t>er – e</w:t>
      </w:r>
      <w:r w:rsidR="00E67349">
        <w:t>s</w:t>
      </w:r>
      <w:r w:rsidR="00137C2D">
        <w:t xml:space="preserve">timated </w:t>
      </w:r>
      <w:r w:rsidR="00E67349">
        <w:t xml:space="preserve">at </w:t>
      </w:r>
      <w:r>
        <w:t>12-18 months</w:t>
      </w:r>
      <w:r w:rsidR="001B6205">
        <w:t xml:space="preserve"> for medically uncomplicated pat</w:t>
      </w:r>
      <w:r w:rsidR="00C95BAE">
        <w:t>ients</w:t>
      </w:r>
      <w:r>
        <w:t>.</w:t>
      </w:r>
    </w:p>
    <w:p w14:paraId="4FFBEA27" w14:textId="77777777" w:rsidR="00523B5D" w:rsidRDefault="00523B5D" w:rsidP="00523B5D">
      <w:r>
        <w:t>In-laboratory sleep studies have a fixed capacity based on bed numbers and staffing. The following annual capacities are cited for 3 tertiary paediatric hospitals in Australia:</w:t>
      </w:r>
    </w:p>
    <w:p w14:paraId="0E52B5E2" w14:textId="77777777" w:rsidR="00523B5D" w:rsidRDefault="00523B5D" w:rsidP="004105F1">
      <w:pPr>
        <w:pStyle w:val="ListParagraph"/>
        <w:numPr>
          <w:ilvl w:val="0"/>
          <w:numId w:val="6"/>
        </w:numPr>
        <w:ind w:left="709" w:hanging="425"/>
      </w:pPr>
      <w:r>
        <w:t>Sydney Children’s Hospital Westmead – 1,000/year (20 studies per week [4 beds], 5 nights maximum)</w:t>
      </w:r>
    </w:p>
    <w:p w14:paraId="16185F2B" w14:textId="77777777" w:rsidR="00523B5D" w:rsidRDefault="00523B5D" w:rsidP="004105F1">
      <w:pPr>
        <w:pStyle w:val="ListParagraph"/>
        <w:numPr>
          <w:ilvl w:val="0"/>
          <w:numId w:val="6"/>
        </w:numPr>
        <w:ind w:left="709" w:hanging="425"/>
      </w:pPr>
      <w:r>
        <w:t xml:space="preserve">Royal Children’s Hospital – 552/year (12 studies per week operating 46 weeks per year) </w:t>
      </w:r>
    </w:p>
    <w:p w14:paraId="4007B3B6" w14:textId="77777777" w:rsidR="00523B5D" w:rsidRDefault="00523B5D" w:rsidP="004105F1">
      <w:pPr>
        <w:pStyle w:val="ListParagraph"/>
        <w:numPr>
          <w:ilvl w:val="0"/>
          <w:numId w:val="6"/>
        </w:numPr>
        <w:ind w:left="709" w:hanging="425"/>
      </w:pPr>
      <w:r>
        <w:t>Queensland Children’s Hospital – 1,380/year (30 studies per week [6 beds], 5 nights maximum for 46 weeks per year).</w:t>
      </w:r>
    </w:p>
    <w:p w14:paraId="1C7DE1C3" w14:textId="6943FFFE" w:rsidR="00466FA1" w:rsidRDefault="00523B5D" w:rsidP="00523B5D">
      <w:r>
        <w:t>The number of requests for in-laboratory sleep studies at Queensland Children’s Hospital in 2023 was 1,425 and for the Royal Children’s Hospital in 2024 it was 632. Therefore, requests exceed capacity in these settings</w:t>
      </w:r>
      <w:r w:rsidR="00B17579">
        <w:t xml:space="preserve"> and </w:t>
      </w:r>
      <w:r w:rsidR="00CA7C15">
        <w:t>less urgent (low acuity)</w:t>
      </w:r>
      <w:r w:rsidR="00B17579">
        <w:t xml:space="preserve"> patients </w:t>
      </w:r>
      <w:r w:rsidR="00693963">
        <w:t>wait the longest</w:t>
      </w:r>
      <w:r>
        <w:t>.</w:t>
      </w:r>
      <w:r w:rsidRPr="00523B5D">
        <w:t xml:space="preserve"> </w:t>
      </w:r>
      <w:r w:rsidR="006374C8">
        <w:t>Limited data are available for the private sector, however the application state</w:t>
      </w:r>
      <w:r w:rsidR="00E6583B">
        <w:t>d</w:t>
      </w:r>
      <w:r w:rsidR="006374C8">
        <w:t xml:space="preserve"> that Sydney Adventist Hospital provided in-laboratory sleep studies to 49 paediatric patients in November 2024 and had no </w:t>
      </w:r>
      <w:r w:rsidR="00C330DE">
        <w:t xml:space="preserve">patients on the </w:t>
      </w:r>
      <w:r w:rsidR="006374C8">
        <w:t>waitlist</w:t>
      </w:r>
      <w:r w:rsidR="00D250D8">
        <w:t>.</w:t>
      </w:r>
      <w:r w:rsidRPr="00523B5D">
        <w:t xml:space="preserve"> </w:t>
      </w:r>
      <w:r w:rsidR="008C2A7C">
        <w:t>Data on patient-level wait times (e.g. median, longest etc.) were not available.</w:t>
      </w:r>
    </w:p>
    <w:p w14:paraId="432EF735" w14:textId="0F9C7F88" w:rsidR="00523B5D" w:rsidRDefault="00523B5D" w:rsidP="00523B5D">
      <w:r>
        <w:t>In out-of-laboratory settings, capacity</w:t>
      </w:r>
      <w:r w:rsidRPr="008D0490">
        <w:t xml:space="preserve"> would be limited by </w:t>
      </w:r>
      <w:r w:rsidR="00811D3A" w:rsidRPr="008D0490">
        <w:t xml:space="preserve">equipment availability </w:t>
      </w:r>
      <w:r w:rsidR="00811D3A">
        <w:t xml:space="preserve">and </w:t>
      </w:r>
      <w:r w:rsidRPr="008D0490">
        <w:t>staffing capacity for set-up and reporting, but would not be capped by physical bed spaces.</w:t>
      </w:r>
      <w:r>
        <w:t xml:space="preserve"> The proposed service would target medically uncomplicated patients currently waiting for a sleep study.</w:t>
      </w:r>
    </w:p>
    <w:p w14:paraId="42857147" w14:textId="3863CE02" w:rsidR="00A524DA" w:rsidRDefault="006B55EE" w:rsidP="00523B5D">
      <w:pPr>
        <w:pStyle w:val="BodyText"/>
      </w:pPr>
      <w:r>
        <w:t>The provision of Level 2 PSG services</w:t>
      </w:r>
      <w:r w:rsidR="0040151D">
        <w:t xml:space="preserve"> also</w:t>
      </w:r>
      <w:r>
        <w:t xml:space="preserve"> aims to improve equity for paediatric patients by aligning access with that available to adults and improving access in rural and remote locations</w:t>
      </w:r>
      <w:r w:rsidR="00B32D58">
        <w:t>, where paediatric sleep laboratories are not typically located</w:t>
      </w:r>
      <w:r>
        <w:t>.</w:t>
      </w:r>
    </w:p>
    <w:p w14:paraId="12ABBB2F" w14:textId="1B7D63C9" w:rsidR="00523B5D" w:rsidRPr="008E1BC7" w:rsidRDefault="00654F00" w:rsidP="00523B5D">
      <w:pPr>
        <w:pStyle w:val="BodyText"/>
      </w:pPr>
      <w:r>
        <w:t xml:space="preserve">Unlike </w:t>
      </w:r>
      <w:r w:rsidRPr="00654F00">
        <w:t>adults, adenotonsillectomy represents first line treatment for children with OSA</w:t>
      </w:r>
      <w:r w:rsidR="00F66459">
        <w:t>.</w:t>
      </w:r>
      <w:r w:rsidR="00881B3C" w:rsidRPr="00881B3C">
        <w:t xml:space="preserve"> </w:t>
      </w:r>
      <w:r w:rsidR="00881B3C">
        <w:t>According to the PSD for MSAC Application 1712, MSAC noted that, based on the findings in the Australian Atlas of Healthcare Variation, the decision to undertake some adenotonsillectomy surgeries in Australia may not be supported by evidence. ESC and MSAC supported the referral</w:t>
      </w:r>
      <w:r w:rsidR="00881B3C" w:rsidRPr="00EA45EF">
        <w:t xml:space="preserve"> of adenotonsillectomy (MBS item 41789) </w:t>
      </w:r>
      <w:r w:rsidR="00881B3C">
        <w:t>to</w:t>
      </w:r>
      <w:r w:rsidR="00881B3C" w:rsidRPr="00EA45EF">
        <w:t xml:space="preserve"> the MBS Review Advisory Committee </w:t>
      </w:r>
      <w:r w:rsidR="00881B3C">
        <w:t>on the basis of variation in service number and mixed evidence of improved outcomes for OSA</w:t>
      </w:r>
      <w:r w:rsidR="008C2A7C">
        <w:t xml:space="preserve">. </w:t>
      </w:r>
      <w:r w:rsidR="00301C1A">
        <w:t>T</w:t>
      </w:r>
      <w:r w:rsidR="00EC4CE4">
        <w:t>he application</w:t>
      </w:r>
      <w:r w:rsidR="00301C1A">
        <w:t xml:space="preserve"> does not </w:t>
      </w:r>
      <w:r w:rsidR="008C2A7C">
        <w:t xml:space="preserve">cite any </w:t>
      </w:r>
      <w:r w:rsidR="002E312C">
        <w:t xml:space="preserve">potential </w:t>
      </w:r>
      <w:r w:rsidR="008C2A7C">
        <w:t xml:space="preserve">impact </w:t>
      </w:r>
      <w:r w:rsidR="002E312C">
        <w:t xml:space="preserve">of the proposed service </w:t>
      </w:r>
      <w:r w:rsidR="008C2A7C">
        <w:t>on the rate of inappropriate/appropriate tonsillectomies</w:t>
      </w:r>
      <w:r w:rsidR="00EC4CE4">
        <w:t>.</w:t>
      </w:r>
    </w:p>
    <w:p w14:paraId="1D26BD13" w14:textId="157E910F" w:rsidR="00742FD9" w:rsidRDefault="00E502D1" w:rsidP="004105F1">
      <w:pPr>
        <w:pStyle w:val="ExecSumHeading2"/>
        <w:numPr>
          <w:ilvl w:val="0"/>
          <w:numId w:val="28"/>
        </w:numPr>
        <w:ind w:hanging="720"/>
      </w:pPr>
      <w:bookmarkStart w:id="14" w:name="_Toc200550243"/>
      <w:r>
        <w:t>Population</w:t>
      </w:r>
      <w:bookmarkEnd w:id="14"/>
    </w:p>
    <w:p w14:paraId="7156034E" w14:textId="5B698429" w:rsidR="00AA2F4D" w:rsidRDefault="00AA2F4D" w:rsidP="0065419A">
      <w:r>
        <w:t xml:space="preserve">In adults, OSA is </w:t>
      </w:r>
      <w:r w:rsidR="00A92343">
        <w:t xml:space="preserve">most commonly associated with </w:t>
      </w:r>
      <w:r>
        <w:t xml:space="preserve">obesity. In children, the </w:t>
      </w:r>
      <w:r w:rsidR="00C51AA8">
        <w:t>leading</w:t>
      </w:r>
      <w:r>
        <w:t xml:space="preserve"> cause is enlarge</w:t>
      </w:r>
      <w:r w:rsidR="000D37A7">
        <w:t>d</w:t>
      </w:r>
      <w:r>
        <w:t xml:space="preserve"> tonsils and adenoids</w:t>
      </w:r>
      <w:r w:rsidR="00F97240">
        <w:t xml:space="preserve">, which </w:t>
      </w:r>
      <w:r>
        <w:t xml:space="preserve">grow most </w:t>
      </w:r>
      <w:r w:rsidR="00024282">
        <w:t>rapidly during</w:t>
      </w:r>
      <w:r>
        <w:t xml:space="preserve"> the pre-school years </w:t>
      </w:r>
      <w:r w:rsidR="001E0652">
        <w:t>–</w:t>
      </w:r>
      <w:r w:rsidR="008164AB">
        <w:t xml:space="preserve"> resulting in</w:t>
      </w:r>
      <w:r>
        <w:t xml:space="preserve"> a peak </w:t>
      </w:r>
      <w:r w:rsidR="00870CC9">
        <w:t>incidence</w:t>
      </w:r>
      <w:r w:rsidR="007D66E2">
        <w:t xml:space="preserve"> </w:t>
      </w:r>
      <w:r w:rsidR="00D527F3">
        <w:t xml:space="preserve">of </w:t>
      </w:r>
      <w:r>
        <w:t xml:space="preserve">OSA </w:t>
      </w:r>
      <w:r w:rsidR="00E02DEA">
        <w:t xml:space="preserve">between </w:t>
      </w:r>
      <w:r w:rsidR="000037CE">
        <w:t>2</w:t>
      </w:r>
      <w:r w:rsidR="00E02DEA">
        <w:t xml:space="preserve"> and </w:t>
      </w:r>
      <w:r w:rsidR="000037CE">
        <w:t>8</w:t>
      </w:r>
      <w:r w:rsidR="00E02DEA">
        <w:t xml:space="preserve"> years of age</w:t>
      </w:r>
      <w:r>
        <w:t>. Ear</w:t>
      </w:r>
      <w:r w:rsidR="0060723C">
        <w:t>,</w:t>
      </w:r>
      <w:r>
        <w:t xml:space="preserve"> </w:t>
      </w:r>
      <w:r w:rsidR="0060723C">
        <w:t>n</w:t>
      </w:r>
      <w:r>
        <w:t xml:space="preserve">ose </w:t>
      </w:r>
      <w:r w:rsidR="0060723C">
        <w:t>and t</w:t>
      </w:r>
      <w:r>
        <w:t xml:space="preserve">hroat (ENT) surgery, mainly adenotonsillectomy, is the mainstay of initial treatment for paediatric OSA. Level 1 PSG is </w:t>
      </w:r>
      <w:r w:rsidR="00656CF3">
        <w:t xml:space="preserve">considered </w:t>
      </w:r>
      <w:r>
        <w:t xml:space="preserve">the gold standard for diagnosing and </w:t>
      </w:r>
      <w:r w:rsidR="00C060E3">
        <w:t>assessing the</w:t>
      </w:r>
      <w:r w:rsidR="008939F2">
        <w:t xml:space="preserve"> severity of</w:t>
      </w:r>
      <w:r w:rsidR="00C060E3">
        <w:t xml:space="preserve"> </w:t>
      </w:r>
      <w:r>
        <w:t xml:space="preserve">OSA. However, </w:t>
      </w:r>
      <w:r w:rsidR="00095150">
        <w:t>it is not always</w:t>
      </w:r>
      <w:r>
        <w:t xml:space="preserve"> readily available, is time consuming</w:t>
      </w:r>
      <w:r w:rsidR="001B704C">
        <w:t>,</w:t>
      </w:r>
      <w:r>
        <w:t xml:space="preserve"> and </w:t>
      </w:r>
      <w:r w:rsidR="0044628F">
        <w:t>requires referral and interpretation</w:t>
      </w:r>
      <w:r>
        <w:t xml:space="preserve"> by a sleep specialist</w:t>
      </w:r>
      <w:r w:rsidR="00FD699C">
        <w:t xml:space="preserve"> for MBS reimbursement</w:t>
      </w:r>
      <w:r>
        <w:t xml:space="preserve">. </w:t>
      </w:r>
      <w:r w:rsidR="007462C9">
        <w:t>A</w:t>
      </w:r>
      <w:r w:rsidR="00627D73">
        <w:t>s</w:t>
      </w:r>
      <w:r w:rsidR="007462C9">
        <w:t xml:space="preserve"> a result, most</w:t>
      </w:r>
      <w:r>
        <w:t xml:space="preserve"> children undergo tonsillectomy </w:t>
      </w:r>
      <w:r w:rsidR="007462C9">
        <w:t xml:space="preserve">based on </w:t>
      </w:r>
      <w:r>
        <w:t>a clinical diagnosis of OSA</w:t>
      </w:r>
      <w:r w:rsidR="000B5A9E">
        <w:t>,</w:t>
      </w:r>
      <w:r>
        <w:t xml:space="preserve"> </w:t>
      </w:r>
      <w:r w:rsidR="000B5A9E">
        <w:t>without</w:t>
      </w:r>
      <w:r>
        <w:t xml:space="preserve"> </w:t>
      </w:r>
      <w:r w:rsidR="00A41412">
        <w:t xml:space="preserve">confirmation </w:t>
      </w:r>
      <w:r w:rsidR="000B5A9E">
        <w:t xml:space="preserve">by </w:t>
      </w:r>
      <w:r>
        <w:t>PSG.</w:t>
      </w:r>
    </w:p>
    <w:p w14:paraId="723051B3" w14:textId="79FFF9EC" w:rsidR="00742FD9" w:rsidRDefault="00AA2F4D" w:rsidP="0065419A">
      <w:r>
        <w:t>Children with certain underlying medical conditions</w:t>
      </w:r>
      <w:r w:rsidR="00DC4027">
        <w:t xml:space="preserve"> – especially </w:t>
      </w:r>
      <w:r>
        <w:t xml:space="preserve">those </w:t>
      </w:r>
      <w:r w:rsidR="00BC5B0C">
        <w:t>involving</w:t>
      </w:r>
      <w:r>
        <w:t xml:space="preserve"> muscle weakness, hypotonia and craniofacial abnormalities</w:t>
      </w:r>
      <w:r w:rsidR="007B4E88">
        <w:t xml:space="preserve"> – </w:t>
      </w:r>
      <w:r>
        <w:t xml:space="preserve">are </w:t>
      </w:r>
      <w:r w:rsidR="00DB0917">
        <w:t xml:space="preserve">at increased risk of developing </w:t>
      </w:r>
      <w:r>
        <w:t xml:space="preserve">OSA. </w:t>
      </w:r>
      <w:r w:rsidR="00271C6D">
        <w:t>Their breathing</w:t>
      </w:r>
      <w:r>
        <w:t xml:space="preserve"> disorders are </w:t>
      </w:r>
      <w:r w:rsidR="0033294E">
        <w:t xml:space="preserve">often </w:t>
      </w:r>
      <w:r>
        <w:t>more complex and multifactorial</w:t>
      </w:r>
      <w:r w:rsidR="005F046A">
        <w:t>,</w:t>
      </w:r>
      <w:r>
        <w:t xml:space="preserve"> </w:t>
      </w:r>
      <w:r w:rsidR="005F046A">
        <w:t xml:space="preserve">making them more likely to </w:t>
      </w:r>
      <w:r w:rsidR="008F6B66">
        <w:t>experience</w:t>
      </w:r>
      <w:r>
        <w:t xml:space="preserve"> residual OSA </w:t>
      </w:r>
      <w:r w:rsidR="008F6B66">
        <w:t xml:space="preserve">after </w:t>
      </w:r>
      <w:r w:rsidR="00D91198">
        <w:t xml:space="preserve">initial </w:t>
      </w:r>
      <w:r>
        <w:t>treatment</w:t>
      </w:r>
      <w:r w:rsidR="00D91198">
        <w:t xml:space="preserve"> for OSA</w:t>
      </w:r>
      <w:r>
        <w:t xml:space="preserve"> and to </w:t>
      </w:r>
      <w:r w:rsidR="00BD592E">
        <w:t xml:space="preserve">require </w:t>
      </w:r>
      <w:r>
        <w:t>repeat or ongoing sleep studies.</w:t>
      </w:r>
    </w:p>
    <w:p w14:paraId="373673C5" w14:textId="03D444E4" w:rsidR="00126339" w:rsidRDefault="00126339" w:rsidP="0065419A">
      <w:r>
        <w:t xml:space="preserve">The proposed population </w:t>
      </w:r>
      <w:r w:rsidR="003114FC">
        <w:t>included</w:t>
      </w:r>
      <w:r>
        <w:t xml:space="preserve"> children and adolescents </w:t>
      </w:r>
      <w:r w:rsidR="008E126F">
        <w:t>assessed</w:t>
      </w:r>
      <w:r>
        <w:t xml:space="preserve"> by a qualified sleep medicine practitioner </w:t>
      </w:r>
      <w:r w:rsidR="0038049B">
        <w:t xml:space="preserve">as </w:t>
      </w:r>
      <w:r>
        <w:t>requir</w:t>
      </w:r>
      <w:r w:rsidR="0038049B">
        <w:t>ing</w:t>
      </w:r>
      <w:r>
        <w:t xml:space="preserve"> PSG confirmation of suspected moderate to severe OSA</w:t>
      </w:r>
      <w:r w:rsidR="00BB4241">
        <w:t>,</w:t>
      </w:r>
      <w:r>
        <w:t xml:space="preserve"> and for whom an out-of-laboratory setting </w:t>
      </w:r>
      <w:r w:rsidR="00A33AE5">
        <w:t>was</w:t>
      </w:r>
      <w:r>
        <w:t xml:space="preserve"> </w:t>
      </w:r>
      <w:r w:rsidR="00A33AE5">
        <w:t xml:space="preserve">considered </w:t>
      </w:r>
      <w:r>
        <w:t xml:space="preserve">appropriate. The proposed intervention for this population was a Level 2 PSG study </w:t>
      </w:r>
      <w:r w:rsidR="00367572">
        <w:t>to diagnose</w:t>
      </w:r>
      <w:r>
        <w:t xml:space="preserve"> OSA.</w:t>
      </w:r>
    </w:p>
    <w:p w14:paraId="3F040E94" w14:textId="6005F544" w:rsidR="00126339" w:rsidRDefault="00126339" w:rsidP="0065419A">
      <w:r>
        <w:t xml:space="preserve">The population was </w:t>
      </w:r>
      <w:r w:rsidR="002144D9">
        <w:t xml:space="preserve">limited to </w:t>
      </w:r>
      <w:r>
        <w:t xml:space="preserve">uncomplicated </w:t>
      </w:r>
      <w:r w:rsidR="002144D9">
        <w:t>cases</w:t>
      </w:r>
      <w:r>
        <w:t>. H</w:t>
      </w:r>
      <w:r w:rsidRPr="00E71041">
        <w:t xml:space="preserve">igh risk patients </w:t>
      </w:r>
      <w:r w:rsidR="00653CDD">
        <w:t xml:space="preserve">– such </w:t>
      </w:r>
      <w:r w:rsidRPr="00E71041">
        <w:t xml:space="preserve">as those </w:t>
      </w:r>
      <w:r w:rsidR="007E1911">
        <w:t>with a</w:t>
      </w:r>
      <w:r w:rsidR="007E1911" w:rsidRPr="00E71041">
        <w:t xml:space="preserve"> </w:t>
      </w:r>
      <w:r w:rsidRPr="00E71041">
        <w:t>risk of hypoventilation (including obesity hypoventilation) or complex comorbidities (</w:t>
      </w:r>
      <w:r w:rsidR="00652A75">
        <w:t>e.g. cardiac conditions</w:t>
      </w:r>
      <w:r w:rsidRPr="00E71041">
        <w:t>)</w:t>
      </w:r>
      <w:r>
        <w:t xml:space="preserve"> </w:t>
      </w:r>
      <w:r w:rsidR="00C8503D">
        <w:t xml:space="preserve">– were deemed </w:t>
      </w:r>
      <w:r w:rsidR="008D351A">
        <w:t>un</w:t>
      </w:r>
      <w:r>
        <w:t xml:space="preserve">suitable for Level 2 PSG. The proposed intervention was for the investigation of </w:t>
      </w:r>
      <w:r w:rsidR="00F2434F">
        <w:t xml:space="preserve">suspected </w:t>
      </w:r>
      <w:r>
        <w:t>OSA and excluded patients</w:t>
      </w:r>
      <w:r w:rsidRPr="00E71041">
        <w:t xml:space="preserve"> </w:t>
      </w:r>
      <w:r w:rsidR="00695390">
        <w:t xml:space="preserve">with </w:t>
      </w:r>
      <w:r w:rsidRPr="00E71041">
        <w:t xml:space="preserve">suspected </w:t>
      </w:r>
      <w:r w:rsidRPr="00A77DBB">
        <w:t>sleep movement disorders, nocturnal seizures, atypical parasomnias, hypersomnia</w:t>
      </w:r>
      <w:r w:rsidR="007D4EE3">
        <w:t>,</w:t>
      </w:r>
      <w:r w:rsidRPr="00A77DBB">
        <w:t xml:space="preserve"> narcolepsy, or </w:t>
      </w:r>
      <w:r w:rsidR="003D3374">
        <w:t>those commencing</w:t>
      </w:r>
      <w:r>
        <w:t xml:space="preserve"> </w:t>
      </w:r>
      <w:r w:rsidRPr="00A77DBB">
        <w:t>respiratory support</w:t>
      </w:r>
      <w:r w:rsidRPr="00E71041">
        <w:t>.</w:t>
      </w:r>
    </w:p>
    <w:p w14:paraId="1228B28C" w14:textId="22D2E1E6" w:rsidR="00E80531" w:rsidRDefault="00E80531" w:rsidP="0065419A">
      <w:r>
        <w:t xml:space="preserve">The proposed population for Level 2 PSG studies is children aged 3 years to less than 12 years; </w:t>
      </w:r>
      <w:r w:rsidR="5BB5B428">
        <w:t xml:space="preserve">as </w:t>
      </w:r>
      <w:r>
        <w:t>children younger than 3 years should only be evaluated in an in-laboratory setting.</w:t>
      </w:r>
    </w:p>
    <w:p w14:paraId="11766DDB" w14:textId="6DCCBCCF" w:rsidR="00126339" w:rsidRDefault="00126339" w:rsidP="0065419A">
      <w:r>
        <w:t>The Level 2 PSG study was proposed as a replacement test for Level 1 PSG.</w:t>
      </w:r>
    </w:p>
    <w:p w14:paraId="42BB2B06" w14:textId="3BDE0602" w:rsidR="00742FD9" w:rsidRDefault="00E502D1" w:rsidP="004105F1">
      <w:pPr>
        <w:pStyle w:val="ExecSumHeading2"/>
        <w:numPr>
          <w:ilvl w:val="0"/>
          <w:numId w:val="28"/>
        </w:numPr>
        <w:ind w:hanging="720"/>
      </w:pPr>
      <w:bookmarkStart w:id="15" w:name="_Toc200550244"/>
      <w:r>
        <w:t>Comparator</w:t>
      </w:r>
      <w:bookmarkEnd w:id="15"/>
    </w:p>
    <w:p w14:paraId="216E6DB5" w14:textId="7B86422F" w:rsidR="00742FD9" w:rsidRDefault="0020515A" w:rsidP="0065419A">
      <w:r w:rsidRPr="00C02A3C">
        <w:t xml:space="preserve">The comparator for PICO Set 1 is a diagnostic Level 1 </w:t>
      </w:r>
      <w:r>
        <w:t xml:space="preserve">(in-laboratory) </w:t>
      </w:r>
      <w:r w:rsidRPr="00C02A3C">
        <w:t>PSG study under MBS item 12210 for children</w:t>
      </w:r>
      <w:r w:rsidRPr="0020515A">
        <w:t xml:space="preserve"> </w:t>
      </w:r>
      <w:r w:rsidRPr="00C02A3C">
        <w:t>or 12213 for adolescents</w:t>
      </w:r>
      <w:r>
        <w:t>.</w:t>
      </w:r>
    </w:p>
    <w:p w14:paraId="00AFCF18" w14:textId="77777777" w:rsidR="005178F7" w:rsidRDefault="005178F7" w:rsidP="004105F1">
      <w:pPr>
        <w:pStyle w:val="ExecSumHeading2"/>
        <w:numPr>
          <w:ilvl w:val="0"/>
          <w:numId w:val="28"/>
        </w:numPr>
        <w:ind w:hanging="720"/>
      </w:pPr>
      <w:bookmarkStart w:id="16" w:name="_Toc69491421"/>
      <w:bookmarkStart w:id="17" w:name="_Hlk193982804"/>
      <w:r w:rsidRPr="003A793E">
        <w:t>Summary of public consultation input</w:t>
      </w:r>
      <w:bookmarkEnd w:id="16"/>
    </w:p>
    <w:p w14:paraId="07C70A04" w14:textId="6E479609" w:rsidR="006E632B" w:rsidRDefault="00D163E9" w:rsidP="007D39A0">
      <w:pPr>
        <w:tabs>
          <w:tab w:val="left" w:pos="3686"/>
        </w:tabs>
        <w:spacing w:line="256" w:lineRule="auto"/>
        <w:rPr>
          <w:rFonts w:cstheme="minorHAnsi"/>
        </w:rPr>
      </w:pPr>
      <w:r>
        <w:rPr>
          <w:rFonts w:cstheme="minorHAnsi"/>
        </w:rPr>
        <w:t xml:space="preserve">The previous </w:t>
      </w:r>
      <w:r w:rsidR="00F955A4">
        <w:rPr>
          <w:rFonts w:cstheme="minorHAnsi"/>
        </w:rPr>
        <w:t>MSAC 1712 application received input from</w:t>
      </w:r>
      <w:r w:rsidR="007D39A0" w:rsidRPr="007D39A0">
        <w:t xml:space="preserve"> </w:t>
      </w:r>
      <w:r w:rsidR="007D39A0" w:rsidRPr="007D39A0">
        <w:rPr>
          <w:rFonts w:cstheme="minorHAnsi"/>
        </w:rPr>
        <w:t>four (4) professional organisations and (1) consumer</w:t>
      </w:r>
      <w:r w:rsidR="007D39A0">
        <w:rPr>
          <w:rFonts w:cstheme="minorHAnsi"/>
        </w:rPr>
        <w:t xml:space="preserve"> </w:t>
      </w:r>
      <w:r w:rsidR="007D39A0" w:rsidRPr="007D39A0">
        <w:rPr>
          <w:rFonts w:cstheme="minorHAnsi"/>
        </w:rPr>
        <w:t>organisation</w:t>
      </w:r>
      <w:r w:rsidR="007D39A0">
        <w:rPr>
          <w:rFonts w:cstheme="minorHAnsi"/>
        </w:rPr>
        <w:t xml:space="preserve">. This feedback was largely supportive and can be found in Section 9 of the </w:t>
      </w:r>
      <w:hyperlink r:id="rId19" w:history="1">
        <w:r w:rsidR="007D39A0" w:rsidRPr="005F658F">
          <w:rPr>
            <w:rStyle w:val="Hyperlink"/>
            <w:rFonts w:cstheme="minorHAnsi"/>
            <w:color w:val="007BB8"/>
          </w:rPr>
          <w:t>Public Summary Document for MSAC Application 1712</w:t>
        </w:r>
      </w:hyperlink>
      <w:r w:rsidR="007D39A0">
        <w:rPr>
          <w:rFonts w:cstheme="minorHAnsi"/>
        </w:rPr>
        <w:t xml:space="preserve">. </w:t>
      </w:r>
    </w:p>
    <w:p w14:paraId="72E52A04" w14:textId="54B10637" w:rsidR="00FA5C0F" w:rsidRPr="00393ED7" w:rsidRDefault="006E632B" w:rsidP="006E632B">
      <w:pPr>
        <w:tabs>
          <w:tab w:val="left" w:pos="3686"/>
        </w:tabs>
        <w:spacing w:line="256" w:lineRule="auto"/>
        <w:rPr>
          <w:rFonts w:eastAsia="Franklin Gothic Book" w:cs="Franklin Gothic Book"/>
        </w:rPr>
      </w:pPr>
      <w:r>
        <w:rPr>
          <w:rFonts w:cstheme="minorHAnsi"/>
        </w:rPr>
        <w:t>New c</w:t>
      </w:r>
      <w:r w:rsidR="005A6EE8" w:rsidRPr="006B42BA">
        <w:rPr>
          <w:rFonts w:cstheme="minorHAnsi"/>
        </w:rPr>
        <w:t>onsultation input was welcomed from</w:t>
      </w:r>
      <w:r>
        <w:rPr>
          <w:rFonts w:cstheme="minorHAnsi"/>
        </w:rPr>
        <w:t xml:space="preserve"> </w:t>
      </w:r>
      <w:r w:rsidR="000D7CAC">
        <w:rPr>
          <w:rFonts w:cstheme="minorHAnsi"/>
        </w:rPr>
        <w:t>two (</w:t>
      </w:r>
      <w:r>
        <w:rPr>
          <w:rFonts w:cstheme="minorHAnsi"/>
        </w:rPr>
        <w:t>2</w:t>
      </w:r>
      <w:r w:rsidR="000D7CAC">
        <w:rPr>
          <w:rFonts w:cstheme="minorHAnsi"/>
        </w:rPr>
        <w:t>)</w:t>
      </w:r>
      <w:r>
        <w:rPr>
          <w:rFonts w:cstheme="minorHAnsi"/>
        </w:rPr>
        <w:t xml:space="preserve"> professional organisations for this</w:t>
      </w:r>
      <w:r w:rsidR="00691158">
        <w:rPr>
          <w:rFonts w:cstheme="minorHAnsi"/>
        </w:rPr>
        <w:t xml:space="preserve"> </w:t>
      </w:r>
      <w:r w:rsidR="00CC1D58">
        <w:rPr>
          <w:rFonts w:cstheme="minorHAnsi"/>
        </w:rPr>
        <w:t>resubmission</w:t>
      </w:r>
      <w:r w:rsidR="00691158">
        <w:rPr>
          <w:rFonts w:cstheme="minorHAnsi"/>
        </w:rPr>
        <w:t>. The organisations that submitted input were</w:t>
      </w:r>
      <w:r w:rsidR="00FA5C0F" w:rsidRPr="7167A9C4">
        <w:rPr>
          <w:rFonts w:eastAsia="Franklin Gothic Book" w:cs="Franklin Gothic Book"/>
        </w:rPr>
        <w:t>:</w:t>
      </w:r>
    </w:p>
    <w:p w14:paraId="3EA0B7CF" w14:textId="77777777" w:rsidR="000D7E4D" w:rsidRDefault="000D7E4D" w:rsidP="004105F1">
      <w:pPr>
        <w:pStyle w:val="ListParagraph"/>
        <w:numPr>
          <w:ilvl w:val="0"/>
          <w:numId w:val="29"/>
        </w:numPr>
        <w:spacing w:before="0"/>
        <w:rPr>
          <w:rFonts w:eastAsia="Franklin Gothic Book" w:cs="Franklin Gothic Book"/>
        </w:rPr>
      </w:pPr>
      <w:r>
        <w:rPr>
          <w:rFonts w:eastAsia="Franklin Gothic Book" w:cs="Franklin Gothic Book"/>
        </w:rPr>
        <w:t>The Thoracic Society of Australia &amp; New Zealand (TSANZ)</w:t>
      </w:r>
    </w:p>
    <w:p w14:paraId="36B853BF" w14:textId="342B8C74" w:rsidR="000D7E4D" w:rsidRDefault="000D7E4D" w:rsidP="004105F1">
      <w:pPr>
        <w:pStyle w:val="ListParagraph"/>
        <w:numPr>
          <w:ilvl w:val="0"/>
          <w:numId w:val="29"/>
        </w:numPr>
        <w:spacing w:before="0"/>
        <w:rPr>
          <w:rFonts w:eastAsia="Franklin Gothic Book" w:cs="Franklin Gothic Book"/>
        </w:rPr>
      </w:pPr>
      <w:r>
        <w:rPr>
          <w:rFonts w:eastAsia="Franklin Gothic Book" w:cs="Franklin Gothic Book"/>
        </w:rPr>
        <w:t>Prader Willi Research Foundation Australia (PWRFA)</w:t>
      </w:r>
      <w:r w:rsidR="00691158">
        <w:rPr>
          <w:rFonts w:eastAsia="Franklin Gothic Book" w:cs="Franklin Gothic Book"/>
        </w:rPr>
        <w:t>.</w:t>
      </w:r>
    </w:p>
    <w:p w14:paraId="58718E2B" w14:textId="77777777" w:rsidR="000D7E4D" w:rsidRPr="000D7E4D" w:rsidRDefault="000D7E4D" w:rsidP="000D7E4D">
      <w:pPr>
        <w:pStyle w:val="ExecSumHeading3"/>
        <w:spacing w:after="120"/>
      </w:pPr>
      <w:r w:rsidRPr="000D7E4D">
        <w:t xml:space="preserve">Level of support for public funding </w:t>
      </w:r>
    </w:p>
    <w:p w14:paraId="07527CC4" w14:textId="5EEDA4F6" w:rsidR="000D7E4D" w:rsidRPr="000D7E4D" w:rsidRDefault="000D7E4D" w:rsidP="000D7E4D">
      <w:pPr>
        <w:tabs>
          <w:tab w:val="left" w:pos="3686"/>
        </w:tabs>
        <w:spacing w:line="256" w:lineRule="auto"/>
      </w:pPr>
      <w:r>
        <w:rPr>
          <w:rFonts w:eastAsia="Franklin Gothic Book" w:cs="Franklin Gothic Book"/>
        </w:rPr>
        <w:t>Both organisations expressed support for the public funding of the application, with TSANZ requesting further consultation and information regarding the proposed services in First Nations communities.</w:t>
      </w:r>
    </w:p>
    <w:p w14:paraId="02892BDF" w14:textId="77777777" w:rsidR="000D7E4D" w:rsidRPr="000D7E4D" w:rsidRDefault="000D7E4D" w:rsidP="000D7E4D">
      <w:pPr>
        <w:pStyle w:val="ExecSumHeading3"/>
        <w:spacing w:after="120"/>
      </w:pPr>
      <w:r w:rsidRPr="000D7E4D">
        <w:t xml:space="preserve">Comments on PICO </w:t>
      </w:r>
    </w:p>
    <w:p w14:paraId="6364B41F" w14:textId="77777777" w:rsidR="000D7E4D" w:rsidRDefault="000D7E4D" w:rsidP="004105F1">
      <w:pPr>
        <w:pStyle w:val="ListParagraph"/>
        <w:numPr>
          <w:ilvl w:val="0"/>
          <w:numId w:val="29"/>
        </w:numPr>
        <w:spacing w:before="0"/>
        <w:rPr>
          <w:rFonts w:eastAsia="Franklin Gothic Book" w:cs="Franklin Gothic Book"/>
        </w:rPr>
      </w:pPr>
      <w:r>
        <w:rPr>
          <w:rFonts w:eastAsia="Franklin Gothic Book" w:cs="Franklin Gothic Book"/>
        </w:rPr>
        <w:t>PWRFA noted that children and adolescents with neurodevelopmental conditions, particularly those with rare, high-support needs like Prader Willi Syndrome (PWS) should be considered a priority population for access. PWRFA noted these are individuals who are:</w:t>
      </w:r>
    </w:p>
    <w:p w14:paraId="295EE640" w14:textId="77777777" w:rsidR="000D7E4D" w:rsidRPr="009546FE" w:rsidRDefault="000D7E4D" w:rsidP="004105F1">
      <w:pPr>
        <w:pStyle w:val="ListParagraph"/>
        <w:numPr>
          <w:ilvl w:val="1"/>
          <w:numId w:val="29"/>
        </w:numPr>
        <w:spacing w:before="0"/>
        <w:rPr>
          <w:rFonts w:eastAsia="Franklin Gothic Book" w:cs="Franklin Gothic Book"/>
        </w:rPr>
      </w:pPr>
      <w:r w:rsidRPr="009546FE">
        <w:rPr>
          <w:rFonts w:eastAsia="Franklin Gothic Book" w:cs="Franklin Gothic Book"/>
        </w:rPr>
        <w:t>At high risk for undiagnosed and untreated sleep disordered breathing</w:t>
      </w:r>
    </w:p>
    <w:p w14:paraId="38B3FFB0" w14:textId="77777777" w:rsidR="000D7E4D" w:rsidRPr="009546FE" w:rsidRDefault="000D7E4D" w:rsidP="004105F1">
      <w:pPr>
        <w:pStyle w:val="ListParagraph"/>
        <w:numPr>
          <w:ilvl w:val="1"/>
          <w:numId w:val="29"/>
        </w:numPr>
        <w:spacing w:before="0"/>
        <w:rPr>
          <w:rFonts w:eastAsia="Franklin Gothic Book" w:cs="Franklin Gothic Book"/>
        </w:rPr>
      </w:pPr>
      <w:r w:rsidRPr="009546FE">
        <w:rPr>
          <w:rFonts w:eastAsia="Franklin Gothic Book" w:cs="Franklin Gothic Book"/>
        </w:rPr>
        <w:t>Often unable to tolerate overnight hospital stays</w:t>
      </w:r>
    </w:p>
    <w:p w14:paraId="75D8200E" w14:textId="4FB1460D" w:rsidR="000D7E4D" w:rsidRPr="000D7E4D" w:rsidRDefault="000D7E4D" w:rsidP="004105F1">
      <w:pPr>
        <w:pStyle w:val="ListParagraph"/>
        <w:numPr>
          <w:ilvl w:val="1"/>
          <w:numId w:val="29"/>
        </w:numPr>
        <w:spacing w:before="0"/>
        <w:rPr>
          <w:rFonts w:eastAsia="Franklin Gothic Book" w:cs="Franklin Gothic Book"/>
        </w:rPr>
      </w:pPr>
      <w:r w:rsidRPr="009546FE">
        <w:rPr>
          <w:rFonts w:eastAsia="Franklin Gothic Book" w:cs="Franklin Gothic Book"/>
        </w:rPr>
        <w:t>Underserved by current hospital-based sleep services</w:t>
      </w:r>
    </w:p>
    <w:p w14:paraId="7F52B0BE" w14:textId="77777777" w:rsidR="000D7E4D" w:rsidRPr="000D7E4D" w:rsidRDefault="000D7E4D" w:rsidP="000D7E4D">
      <w:pPr>
        <w:pStyle w:val="ExecSumHeading3"/>
      </w:pPr>
      <w:r w:rsidRPr="000D7E4D">
        <w:t xml:space="preserve">Perceived Advantages </w:t>
      </w:r>
    </w:p>
    <w:p w14:paraId="22536C60" w14:textId="77777777" w:rsidR="000D7E4D" w:rsidRDefault="000D7E4D" w:rsidP="004105F1">
      <w:pPr>
        <w:pStyle w:val="ListParagraph"/>
        <w:numPr>
          <w:ilvl w:val="0"/>
          <w:numId w:val="31"/>
        </w:numPr>
        <w:tabs>
          <w:tab w:val="left" w:pos="3686"/>
        </w:tabs>
        <w:spacing w:line="256" w:lineRule="auto"/>
        <w:rPr>
          <w:rFonts w:eastAsia="Franklin Gothic Book" w:cs="Franklin Gothic Book"/>
        </w:rPr>
      </w:pPr>
      <w:r>
        <w:rPr>
          <w:rFonts w:eastAsia="Franklin Gothic Book" w:cs="Franklin Gothic Book"/>
        </w:rPr>
        <w:t>PWRFA noted that out-of-laboratory sleep studies offer an alternative that is:</w:t>
      </w:r>
    </w:p>
    <w:p w14:paraId="75716262" w14:textId="77777777" w:rsidR="000D7E4D" w:rsidRPr="00315B90" w:rsidRDefault="000D7E4D" w:rsidP="004105F1">
      <w:pPr>
        <w:pStyle w:val="ListParagraph"/>
        <w:numPr>
          <w:ilvl w:val="1"/>
          <w:numId w:val="31"/>
        </w:numPr>
        <w:tabs>
          <w:tab w:val="left" w:pos="3686"/>
        </w:tabs>
        <w:spacing w:line="256" w:lineRule="auto"/>
        <w:rPr>
          <w:rFonts w:eastAsia="Franklin Gothic Book" w:cs="Franklin Gothic Book"/>
        </w:rPr>
      </w:pPr>
      <w:r w:rsidRPr="00315B90">
        <w:rPr>
          <w:rFonts w:eastAsia="Franklin Gothic Book" w:cs="Franklin Gothic Book"/>
        </w:rPr>
        <w:t>More accessible for families in rural or remote areas</w:t>
      </w:r>
    </w:p>
    <w:p w14:paraId="19D83CB2" w14:textId="77777777" w:rsidR="000D7E4D" w:rsidRPr="00315B90" w:rsidRDefault="000D7E4D" w:rsidP="004105F1">
      <w:pPr>
        <w:pStyle w:val="ListParagraph"/>
        <w:numPr>
          <w:ilvl w:val="1"/>
          <w:numId w:val="31"/>
        </w:numPr>
        <w:tabs>
          <w:tab w:val="left" w:pos="3686"/>
        </w:tabs>
        <w:spacing w:line="256" w:lineRule="auto"/>
        <w:rPr>
          <w:rFonts w:eastAsia="Franklin Gothic Book" w:cs="Franklin Gothic Book"/>
        </w:rPr>
      </w:pPr>
      <w:r w:rsidRPr="00315B90">
        <w:rPr>
          <w:rFonts w:eastAsia="Franklin Gothic Book" w:cs="Franklin Gothic Book"/>
        </w:rPr>
        <w:t>Better tolerated by children with intellectual disability, autism, or sensory needs</w:t>
      </w:r>
    </w:p>
    <w:p w14:paraId="179D2C25" w14:textId="77777777" w:rsidR="000D7E4D" w:rsidRDefault="000D7E4D" w:rsidP="004105F1">
      <w:pPr>
        <w:pStyle w:val="ListParagraph"/>
        <w:numPr>
          <w:ilvl w:val="1"/>
          <w:numId w:val="31"/>
        </w:numPr>
        <w:tabs>
          <w:tab w:val="left" w:pos="3686"/>
        </w:tabs>
        <w:spacing w:line="256" w:lineRule="auto"/>
        <w:rPr>
          <w:rFonts w:eastAsia="Franklin Gothic Book" w:cs="Franklin Gothic Book"/>
        </w:rPr>
      </w:pPr>
      <w:r w:rsidRPr="00315B90">
        <w:rPr>
          <w:rFonts w:eastAsia="Franklin Gothic Book" w:cs="Franklin Gothic Book"/>
        </w:rPr>
        <w:t>Able to detect clinically significant events requiring timely intervention</w:t>
      </w:r>
    </w:p>
    <w:p w14:paraId="0CAEC925" w14:textId="71055145" w:rsidR="000D7E4D" w:rsidRPr="000D7E4D" w:rsidRDefault="000D7E4D" w:rsidP="004105F1">
      <w:pPr>
        <w:pStyle w:val="ListParagraph"/>
        <w:numPr>
          <w:ilvl w:val="0"/>
          <w:numId w:val="31"/>
        </w:numPr>
        <w:tabs>
          <w:tab w:val="left" w:pos="3686"/>
        </w:tabs>
        <w:spacing w:line="256" w:lineRule="auto"/>
        <w:rPr>
          <w:rFonts w:eastAsia="Franklin Gothic Book" w:cs="Franklin Gothic Book"/>
        </w:rPr>
      </w:pPr>
      <w:r>
        <w:rPr>
          <w:rFonts w:eastAsia="Franklin Gothic Book" w:cs="Franklin Gothic Book"/>
        </w:rPr>
        <w:t xml:space="preserve">PWRFA noted that access to timely sleep studies is critical for individuals with PWS, as a sleep assessment is required prior to initiating growth hormone (GH) therapy, and early initiation of GH therapy is associated with a range of vital benefits. </w:t>
      </w:r>
    </w:p>
    <w:p w14:paraId="2867384E" w14:textId="77777777" w:rsidR="000D7E4D" w:rsidRPr="000D7E4D" w:rsidRDefault="000D7E4D" w:rsidP="000D7E4D">
      <w:pPr>
        <w:pStyle w:val="ExecSumHeading3"/>
        <w:spacing w:after="120"/>
      </w:pPr>
      <w:r w:rsidRPr="000D7E4D">
        <w:t xml:space="preserve">Support for Implementation and Issues </w:t>
      </w:r>
    </w:p>
    <w:p w14:paraId="1AE7D417" w14:textId="77777777" w:rsidR="000D7E4D" w:rsidRDefault="000D7E4D" w:rsidP="004105F1">
      <w:pPr>
        <w:pStyle w:val="ListParagraph"/>
        <w:numPr>
          <w:ilvl w:val="0"/>
          <w:numId w:val="30"/>
        </w:numPr>
        <w:spacing w:before="0"/>
        <w:rPr>
          <w:rFonts w:eastAsia="Franklin Gothic Book" w:cs="Franklin Gothic Book"/>
        </w:rPr>
      </w:pPr>
      <w:r>
        <w:rPr>
          <w:rFonts w:eastAsia="Franklin Gothic Book" w:cs="Franklin Gothic Book"/>
        </w:rPr>
        <w:t xml:space="preserve">TSANZ </w:t>
      </w:r>
      <w:r w:rsidRPr="00E24254">
        <w:rPr>
          <w:rFonts w:eastAsia="Franklin Gothic Book" w:cs="Franklin Gothic Book"/>
        </w:rPr>
        <w:t>endorse</w:t>
      </w:r>
      <w:r>
        <w:rPr>
          <w:rFonts w:eastAsia="Franklin Gothic Book" w:cs="Franklin Gothic Book"/>
        </w:rPr>
        <w:t>d</w:t>
      </w:r>
      <w:r w:rsidRPr="00E24254">
        <w:rPr>
          <w:rFonts w:eastAsia="Franklin Gothic Book" w:cs="Franklin Gothic Book"/>
        </w:rPr>
        <w:t xml:space="preserve"> the proposed &gt;50km</w:t>
      </w:r>
      <w:r>
        <w:rPr>
          <w:rFonts w:eastAsia="Franklin Gothic Book" w:cs="Franklin Gothic Book"/>
        </w:rPr>
        <w:t xml:space="preserve"> </w:t>
      </w:r>
      <w:r w:rsidRPr="00E24254">
        <w:rPr>
          <w:rFonts w:eastAsia="Franklin Gothic Book" w:cs="Franklin Gothic Book"/>
        </w:rPr>
        <w:t xml:space="preserve">threshold for oximetry and </w:t>
      </w:r>
      <w:r>
        <w:rPr>
          <w:rFonts w:eastAsia="Franklin Gothic Book" w:cs="Franklin Gothic Book"/>
        </w:rPr>
        <w:t>agreed</w:t>
      </w:r>
      <w:r w:rsidRPr="00E24254">
        <w:rPr>
          <w:rFonts w:eastAsia="Franklin Gothic Book" w:cs="Franklin Gothic Book"/>
        </w:rPr>
        <w:t xml:space="preserve"> that additional attention is needed for costing in remote and</w:t>
      </w:r>
      <w:r>
        <w:rPr>
          <w:rFonts w:eastAsia="Franklin Gothic Book" w:cs="Franklin Gothic Book"/>
        </w:rPr>
        <w:t xml:space="preserve"> </w:t>
      </w:r>
      <w:r w:rsidRPr="00E24254">
        <w:rPr>
          <w:rFonts w:eastAsia="Franklin Gothic Book" w:cs="Franklin Gothic Book"/>
        </w:rPr>
        <w:t>very remote areas, especially within the Northern Territory (NT), Queensland (QLD), and Western</w:t>
      </w:r>
      <w:r>
        <w:rPr>
          <w:rFonts w:eastAsia="Franklin Gothic Book" w:cs="Franklin Gothic Book"/>
        </w:rPr>
        <w:t xml:space="preserve"> </w:t>
      </w:r>
      <w:r w:rsidRPr="00E24254">
        <w:rPr>
          <w:rFonts w:eastAsia="Franklin Gothic Book" w:cs="Franklin Gothic Book"/>
        </w:rPr>
        <w:t>Australia (WA).</w:t>
      </w:r>
      <w:r>
        <w:rPr>
          <w:rFonts w:eastAsia="Franklin Gothic Book" w:cs="Franklin Gothic Book"/>
        </w:rPr>
        <w:t xml:space="preserve"> TSANZ al</w:t>
      </w:r>
      <w:r w:rsidRPr="00E24254">
        <w:rPr>
          <w:rFonts w:eastAsia="Franklin Gothic Book" w:cs="Franklin Gothic Book"/>
        </w:rPr>
        <w:t>s</w:t>
      </w:r>
      <w:r>
        <w:rPr>
          <w:rFonts w:eastAsia="Franklin Gothic Book" w:cs="Franklin Gothic Book"/>
        </w:rPr>
        <w:t>o</w:t>
      </w:r>
      <w:r w:rsidRPr="00E24254">
        <w:rPr>
          <w:rFonts w:eastAsia="Franklin Gothic Book" w:cs="Franklin Gothic Book"/>
        </w:rPr>
        <w:t xml:space="preserve"> noted</w:t>
      </w:r>
      <w:r>
        <w:rPr>
          <w:rFonts w:eastAsia="Franklin Gothic Book" w:cs="Franklin Gothic Book"/>
        </w:rPr>
        <w:t xml:space="preserve"> that</w:t>
      </w:r>
      <w:r w:rsidRPr="00E24254">
        <w:rPr>
          <w:rFonts w:eastAsia="Franklin Gothic Book" w:cs="Franklin Gothic Book"/>
        </w:rPr>
        <w:t xml:space="preserve"> light aircraft are commonly used for outreach visits in the NT, often</w:t>
      </w:r>
      <w:r>
        <w:rPr>
          <w:rFonts w:eastAsia="Franklin Gothic Book" w:cs="Franklin Gothic Book"/>
        </w:rPr>
        <w:t xml:space="preserve"> </w:t>
      </w:r>
      <w:r w:rsidRPr="00E24254">
        <w:rPr>
          <w:rFonts w:eastAsia="Franklin Gothic Book" w:cs="Franklin Gothic Book"/>
        </w:rPr>
        <w:t>dedicating at least a day to such trips, which would significantly increase associated costs.</w:t>
      </w:r>
      <w:r>
        <w:rPr>
          <w:rFonts w:eastAsia="Franklin Gothic Book" w:cs="Franklin Gothic Book"/>
        </w:rPr>
        <w:t xml:space="preserve"> </w:t>
      </w:r>
    </w:p>
    <w:p w14:paraId="4AC04255" w14:textId="77777777" w:rsidR="000D7E4D" w:rsidRPr="00A35629" w:rsidRDefault="000D7E4D" w:rsidP="004105F1">
      <w:pPr>
        <w:pStyle w:val="ListParagraph"/>
        <w:numPr>
          <w:ilvl w:val="0"/>
          <w:numId w:val="30"/>
        </w:numPr>
        <w:spacing w:before="0"/>
        <w:rPr>
          <w:rFonts w:eastAsia="Franklin Gothic Book" w:cs="Franklin Gothic Book"/>
        </w:rPr>
      </w:pPr>
      <w:r>
        <w:rPr>
          <w:rFonts w:eastAsia="Franklin Gothic Book" w:cs="Franklin Gothic Book"/>
        </w:rPr>
        <w:t xml:space="preserve">TSANZ noted that the application does not currently list </w:t>
      </w:r>
      <w:r w:rsidRPr="00A35629">
        <w:rPr>
          <w:rFonts w:eastAsia="Franklin Gothic Book" w:cs="Franklin Gothic Book"/>
        </w:rPr>
        <w:t>any Aboriginal health organisations as having been consulted</w:t>
      </w:r>
      <w:r>
        <w:rPr>
          <w:rFonts w:eastAsia="Franklin Gothic Book" w:cs="Franklin Gothic Book"/>
        </w:rPr>
        <w:t xml:space="preserve">, </w:t>
      </w:r>
      <w:r w:rsidRPr="00A35629">
        <w:rPr>
          <w:rFonts w:eastAsia="Franklin Gothic Book" w:cs="Franklin Gothic Book"/>
        </w:rPr>
        <w:t>nor does it mention potential impacts for Aboriginal Australian children.</w:t>
      </w:r>
      <w:r>
        <w:rPr>
          <w:rFonts w:eastAsia="Franklin Gothic Book" w:cs="Franklin Gothic Book"/>
        </w:rPr>
        <w:t xml:space="preserve"> TSANZ outlined that i</w:t>
      </w:r>
      <w:r w:rsidRPr="00A35629">
        <w:rPr>
          <w:rFonts w:eastAsia="Franklin Gothic Book" w:cs="Franklin Gothic Book"/>
        </w:rPr>
        <w:t>n remote and very remote regions of the NT, QLD, and WA, Aboriginal Australians constitute a</w:t>
      </w:r>
      <w:r>
        <w:rPr>
          <w:rFonts w:eastAsia="Franklin Gothic Book" w:cs="Franklin Gothic Book"/>
        </w:rPr>
        <w:t xml:space="preserve"> </w:t>
      </w:r>
      <w:r w:rsidRPr="00A35629">
        <w:rPr>
          <w:rFonts w:eastAsia="Franklin Gothic Book" w:cs="Franklin Gothic Book"/>
        </w:rPr>
        <w:t>significant proportion of the populatio</w:t>
      </w:r>
      <w:r>
        <w:rPr>
          <w:rFonts w:eastAsia="Franklin Gothic Book" w:cs="Franklin Gothic Book"/>
        </w:rPr>
        <w:t xml:space="preserve">n, many of whom may </w:t>
      </w:r>
      <w:r w:rsidRPr="00A35629">
        <w:rPr>
          <w:rFonts w:eastAsia="Franklin Gothic Book" w:cs="Franklin Gothic Book"/>
        </w:rPr>
        <w:t>potentially utilise the proposed overnight oximetry.</w:t>
      </w:r>
      <w:r>
        <w:rPr>
          <w:rFonts w:eastAsia="Franklin Gothic Book" w:cs="Franklin Gothic Book"/>
        </w:rPr>
        <w:t xml:space="preserve"> Therefore, TSANZ provided the following recommendations:</w:t>
      </w:r>
    </w:p>
    <w:p w14:paraId="4CBD97C3" w14:textId="77777777" w:rsidR="000D7E4D" w:rsidRPr="00A35629" w:rsidRDefault="000D7E4D" w:rsidP="004105F1">
      <w:pPr>
        <w:pStyle w:val="ListParagraph"/>
        <w:numPr>
          <w:ilvl w:val="1"/>
          <w:numId w:val="30"/>
        </w:numPr>
        <w:spacing w:before="0"/>
        <w:rPr>
          <w:rFonts w:eastAsia="Franklin Gothic Book" w:cs="Franklin Gothic Book"/>
        </w:rPr>
      </w:pPr>
      <w:r w:rsidRPr="00A35629">
        <w:rPr>
          <w:rFonts w:eastAsia="Franklin Gothic Book" w:cs="Franklin Gothic Book"/>
        </w:rPr>
        <w:t>Detail consultations with Aboriginal health organisations.</w:t>
      </w:r>
    </w:p>
    <w:p w14:paraId="2073E85C" w14:textId="77777777" w:rsidR="000D7E4D" w:rsidRPr="00A35629" w:rsidRDefault="000D7E4D" w:rsidP="004105F1">
      <w:pPr>
        <w:pStyle w:val="ListParagraph"/>
        <w:numPr>
          <w:ilvl w:val="1"/>
          <w:numId w:val="30"/>
        </w:numPr>
        <w:spacing w:before="0"/>
        <w:rPr>
          <w:rFonts w:eastAsia="Franklin Gothic Book" w:cs="Franklin Gothic Book"/>
        </w:rPr>
      </w:pPr>
      <w:r w:rsidRPr="00A35629">
        <w:rPr>
          <w:rFonts w:eastAsia="Franklin Gothic Book" w:cs="Franklin Gothic Book"/>
        </w:rPr>
        <w:t>Outline the potential impacts and benefits for Aboriginal Australian children.</w:t>
      </w:r>
    </w:p>
    <w:p w14:paraId="19A5E711" w14:textId="77777777" w:rsidR="000D7E4D" w:rsidRDefault="000D7E4D" w:rsidP="004105F1">
      <w:pPr>
        <w:pStyle w:val="ListParagraph"/>
        <w:numPr>
          <w:ilvl w:val="1"/>
          <w:numId w:val="30"/>
        </w:numPr>
        <w:spacing w:before="0"/>
        <w:rPr>
          <w:rFonts w:eastAsia="Franklin Gothic Book" w:cs="Franklin Gothic Book"/>
        </w:rPr>
      </w:pPr>
      <w:r w:rsidRPr="00A35629">
        <w:rPr>
          <w:rFonts w:eastAsia="Franklin Gothic Book" w:cs="Franklin Gothic Book"/>
        </w:rPr>
        <w:t>Describe how the proposed services will be made culturally appropriate and accessible t</w:t>
      </w:r>
      <w:r>
        <w:rPr>
          <w:rFonts w:eastAsia="Franklin Gothic Book" w:cs="Franklin Gothic Book"/>
        </w:rPr>
        <w:t xml:space="preserve">o </w:t>
      </w:r>
      <w:r w:rsidRPr="00A35629">
        <w:rPr>
          <w:rFonts w:eastAsia="Franklin Gothic Book" w:cs="Franklin Gothic Book"/>
        </w:rPr>
        <w:t>Aboriginal Australian communities, particularly in remote and very remote settings.</w:t>
      </w:r>
    </w:p>
    <w:p w14:paraId="0C9E4242" w14:textId="77777777" w:rsidR="000D7E4D" w:rsidRDefault="000D7E4D" w:rsidP="004105F1">
      <w:pPr>
        <w:pStyle w:val="ListParagraph"/>
        <w:numPr>
          <w:ilvl w:val="0"/>
          <w:numId w:val="30"/>
        </w:numPr>
        <w:spacing w:before="0"/>
        <w:rPr>
          <w:rFonts w:eastAsia="Franklin Gothic Book" w:cs="Franklin Gothic Book"/>
        </w:rPr>
      </w:pPr>
      <w:r>
        <w:rPr>
          <w:rFonts w:eastAsia="Franklin Gothic Book" w:cs="Franklin Gothic Book"/>
        </w:rPr>
        <w:t>PWRFA provided the following recommendations for implementation:</w:t>
      </w:r>
    </w:p>
    <w:p w14:paraId="49BEA08E" w14:textId="436A52BC" w:rsidR="000D7E4D" w:rsidRPr="00733E0A" w:rsidRDefault="000D7E4D" w:rsidP="000E152B">
      <w:pPr>
        <w:pStyle w:val="ListParagraph"/>
        <w:numPr>
          <w:ilvl w:val="1"/>
          <w:numId w:val="30"/>
        </w:numPr>
        <w:spacing w:before="0"/>
        <w:rPr>
          <w:rFonts w:eastAsia="Franklin Gothic Book" w:cs="Franklin Gothic Book"/>
        </w:rPr>
      </w:pPr>
      <w:r w:rsidRPr="00733E0A">
        <w:rPr>
          <w:rFonts w:eastAsia="Franklin Gothic Book" w:cs="Franklin Gothic Book"/>
        </w:rPr>
        <w:t>That out-of-laboratory sleep studies be publicly funded for all children and adolescents, with priority consideration given to those with disability, rare</w:t>
      </w:r>
      <w:r w:rsidR="00733E0A">
        <w:rPr>
          <w:rFonts w:eastAsia="Franklin Gothic Book" w:cs="Franklin Gothic Book"/>
        </w:rPr>
        <w:t xml:space="preserve"> </w:t>
      </w:r>
      <w:r w:rsidRPr="00733E0A">
        <w:rPr>
          <w:rFonts w:eastAsia="Franklin Gothic Book" w:cs="Franklin Gothic Book"/>
        </w:rPr>
        <w:t>conditions, or complex needs.</w:t>
      </w:r>
    </w:p>
    <w:p w14:paraId="312238BC" w14:textId="77777777" w:rsidR="000D7E4D" w:rsidRPr="00231859" w:rsidRDefault="000D7E4D" w:rsidP="004105F1">
      <w:pPr>
        <w:pStyle w:val="ListParagraph"/>
        <w:numPr>
          <w:ilvl w:val="1"/>
          <w:numId w:val="30"/>
        </w:numPr>
        <w:spacing w:before="0"/>
        <w:rPr>
          <w:rFonts w:eastAsia="Franklin Gothic Book" w:cs="Franklin Gothic Book"/>
        </w:rPr>
      </w:pPr>
      <w:r w:rsidRPr="00231859">
        <w:rPr>
          <w:rFonts w:eastAsia="Franklin Gothic Book" w:cs="Franklin Gothic Book"/>
        </w:rPr>
        <w:t>That access be nationwide, including for families in regional and remote areas.</w:t>
      </w:r>
    </w:p>
    <w:p w14:paraId="08E75346" w14:textId="77777777" w:rsidR="000D7E4D" w:rsidRPr="00231859" w:rsidRDefault="000D7E4D" w:rsidP="004105F1">
      <w:pPr>
        <w:pStyle w:val="ListParagraph"/>
        <w:numPr>
          <w:ilvl w:val="1"/>
          <w:numId w:val="30"/>
        </w:numPr>
        <w:spacing w:before="0"/>
        <w:rPr>
          <w:rFonts w:eastAsia="Franklin Gothic Book" w:cs="Franklin Gothic Book"/>
        </w:rPr>
      </w:pPr>
      <w:r w:rsidRPr="00231859">
        <w:rPr>
          <w:rFonts w:eastAsia="Franklin Gothic Book" w:cs="Franklin Gothic Book"/>
        </w:rPr>
        <w:t>The service includes clear clinical pathways for referral, follow-up, and escalation to in-lab testing if required.</w:t>
      </w:r>
    </w:p>
    <w:p w14:paraId="5BCD6542" w14:textId="49DFF3A7" w:rsidR="005178F7" w:rsidRPr="000D7E4D" w:rsidRDefault="000D7E4D" w:rsidP="004105F1">
      <w:pPr>
        <w:pStyle w:val="ListParagraph"/>
        <w:numPr>
          <w:ilvl w:val="1"/>
          <w:numId w:val="30"/>
        </w:numPr>
        <w:spacing w:before="0"/>
        <w:rPr>
          <w:rFonts w:eastAsia="Franklin Gothic Book" w:cs="Franklin Gothic Book"/>
        </w:rPr>
      </w:pPr>
      <w:r w:rsidRPr="00231859">
        <w:rPr>
          <w:rFonts w:eastAsia="Franklin Gothic Book" w:cs="Franklin Gothic Book"/>
        </w:rPr>
        <w:t>That training and resources be developed to ensure these studies are conducted and interpreted accurately in paediatric populations.</w:t>
      </w:r>
    </w:p>
    <w:p w14:paraId="24737B24" w14:textId="30C44D24" w:rsidR="00742FD9" w:rsidRDefault="00B0441B" w:rsidP="004105F1">
      <w:pPr>
        <w:pStyle w:val="ExecSumHeading2"/>
        <w:numPr>
          <w:ilvl w:val="0"/>
          <w:numId w:val="28"/>
        </w:numPr>
        <w:ind w:hanging="720"/>
      </w:pPr>
      <w:bookmarkStart w:id="18" w:name="_Toc200550245"/>
      <w:bookmarkEnd w:id="17"/>
      <w:r>
        <w:t>Characteristics of the evidence base</w:t>
      </w:r>
      <w:bookmarkEnd w:id="18"/>
    </w:p>
    <w:p w14:paraId="699CC6ED" w14:textId="74886EC4" w:rsidR="00860E48" w:rsidRDefault="00976053" w:rsidP="00860E48">
      <w:pPr>
        <w:pStyle w:val="BodyText"/>
      </w:pPr>
      <w:r>
        <w:t xml:space="preserve">The characteristics of the evidence </w:t>
      </w:r>
      <w:r w:rsidR="00252BC8">
        <w:t>base,</w:t>
      </w:r>
      <w:r>
        <w:t xml:space="preserve"> and </w:t>
      </w:r>
      <w:r w:rsidR="00806B96">
        <w:t>summary of comparative safety and effectiveness</w:t>
      </w:r>
      <w:r w:rsidR="5E65E30C">
        <w:t>,</w:t>
      </w:r>
      <w:r w:rsidR="00806B96">
        <w:t xml:space="preserve"> </w:t>
      </w:r>
      <w:r w:rsidR="00775CBE">
        <w:t>is unchanged from MSAC</w:t>
      </w:r>
      <w:r w:rsidR="00806B96">
        <w:t xml:space="preserve"> Application 1712</w:t>
      </w:r>
      <w:r w:rsidR="00775CBE">
        <w:t xml:space="preserve"> and has been reproduced below</w:t>
      </w:r>
      <w:r w:rsidR="00806B96">
        <w:t>.</w:t>
      </w:r>
    </w:p>
    <w:p w14:paraId="5774F158" w14:textId="221BC316" w:rsidR="007D6857" w:rsidRDefault="007D6857" w:rsidP="0065419A">
      <w:r>
        <w:t xml:space="preserve">For Level 2 PSG, </w:t>
      </w:r>
      <w:r w:rsidR="00C31967">
        <w:t>2</w:t>
      </w:r>
      <w:r w:rsidRPr="00153EBF">
        <w:t xml:space="preserve"> studi</w:t>
      </w:r>
      <w:r w:rsidRPr="001B2CD9">
        <w:t xml:space="preserve">es met the inclusion criteria for assessing the test accuracy and reliability </w:t>
      </w:r>
      <w:r>
        <w:t>(i.e. rate of test failure and repeat tests)</w:t>
      </w:r>
      <w:r w:rsidRPr="001B2CD9">
        <w:t xml:space="preserve"> of out-of-laboratory Level 2 PSG studies compared to Level 1 PSG studies. These were supplemented with five single-arm cohort studies that assessed the test reliability of Level 2 PSG.</w:t>
      </w:r>
    </w:p>
    <w:p w14:paraId="6C3C36EC" w14:textId="296A90FA" w:rsidR="00DB24E4" w:rsidRDefault="00860E48" w:rsidP="00DF27DC">
      <w:pPr>
        <w:pStyle w:val="Caption"/>
        <w:keepLines/>
      </w:pPr>
      <w:r>
        <w:t xml:space="preserve">Table </w:t>
      </w:r>
      <w:r w:rsidR="00BC2CAA">
        <w:fldChar w:fldCharType="begin"/>
      </w:r>
      <w:r w:rsidR="00BC2CAA">
        <w:instrText xml:space="preserve"> SEQ Table \* ARABIC </w:instrText>
      </w:r>
      <w:r w:rsidR="00BC2CAA">
        <w:fldChar w:fldCharType="separate"/>
      </w:r>
      <w:r w:rsidR="00BC2CAA">
        <w:rPr>
          <w:noProof/>
        </w:rPr>
        <w:t>10</w:t>
      </w:r>
      <w:r w:rsidR="00BC2CAA">
        <w:rPr>
          <w:noProof/>
        </w:rPr>
        <w:fldChar w:fldCharType="end"/>
      </w:r>
      <w:r w:rsidR="00DB24E4">
        <w:tab/>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features of the included evidence"/>
        <w:tblDescription w:val="This table summarises the included evidence for each category of outcomes, including the type and extent of evidence supplied and the overall risk of bias in the evidence base."/>
      </w:tblPr>
      <w:tblGrid>
        <w:gridCol w:w="1416"/>
        <w:gridCol w:w="2690"/>
        <w:gridCol w:w="2414"/>
        <w:gridCol w:w="2496"/>
      </w:tblGrid>
      <w:tr w:rsidR="00252BC8" w:rsidRPr="00FA33A3" w14:paraId="56C90510" w14:textId="77777777" w:rsidTr="0065419A">
        <w:trPr>
          <w:tblHeader/>
        </w:trPr>
        <w:tc>
          <w:tcPr>
            <w:tcW w:w="785" w:type="pct"/>
            <w:tcBorders>
              <w:top w:val="single" w:sz="4" w:space="0" w:color="auto"/>
              <w:left w:val="single" w:sz="4" w:space="0" w:color="auto"/>
              <w:bottom w:val="single" w:sz="4" w:space="0" w:color="auto"/>
              <w:right w:val="single" w:sz="4" w:space="0" w:color="auto"/>
            </w:tcBorders>
            <w:vAlign w:val="bottom"/>
          </w:tcPr>
          <w:p w14:paraId="0D8DB7BD" w14:textId="77777777" w:rsidR="00252BC8" w:rsidRPr="00FA33A3" w:rsidRDefault="00252BC8" w:rsidP="00DF27DC">
            <w:pPr>
              <w:pStyle w:val="TableHeading"/>
              <w:keepLines/>
            </w:pPr>
            <w:r w:rsidRPr="00FA33A3">
              <w:t>Criterion</w:t>
            </w:r>
          </w:p>
        </w:tc>
        <w:tc>
          <w:tcPr>
            <w:tcW w:w="1492" w:type="pct"/>
            <w:tcBorders>
              <w:top w:val="single" w:sz="4" w:space="0" w:color="auto"/>
              <w:left w:val="single" w:sz="4" w:space="0" w:color="auto"/>
              <w:bottom w:val="single" w:sz="4" w:space="0" w:color="auto"/>
              <w:right w:val="single" w:sz="4" w:space="0" w:color="auto"/>
            </w:tcBorders>
            <w:vAlign w:val="bottom"/>
            <w:hideMark/>
          </w:tcPr>
          <w:p w14:paraId="10CE8B67" w14:textId="77777777" w:rsidR="00252BC8" w:rsidRPr="00FA33A3" w:rsidRDefault="00252BC8" w:rsidP="00DF27DC">
            <w:pPr>
              <w:pStyle w:val="TableHeading"/>
              <w:keepLines/>
            </w:pPr>
            <w:r w:rsidRPr="00FA33A3">
              <w:t>Type of evidence supplied</w:t>
            </w:r>
          </w:p>
        </w:tc>
        <w:tc>
          <w:tcPr>
            <w:tcW w:w="1339" w:type="pct"/>
            <w:tcBorders>
              <w:top w:val="single" w:sz="4" w:space="0" w:color="auto"/>
              <w:left w:val="single" w:sz="4" w:space="0" w:color="auto"/>
              <w:bottom w:val="single" w:sz="4" w:space="0" w:color="auto"/>
              <w:right w:val="single" w:sz="4" w:space="0" w:color="auto"/>
            </w:tcBorders>
            <w:vAlign w:val="bottom"/>
            <w:hideMark/>
          </w:tcPr>
          <w:p w14:paraId="5EC6BBAB" w14:textId="77777777" w:rsidR="00252BC8" w:rsidRPr="00FA33A3" w:rsidRDefault="00252BC8" w:rsidP="00DF27DC">
            <w:pPr>
              <w:pStyle w:val="TableHeading"/>
              <w:keepLines/>
            </w:pPr>
            <w:r w:rsidRPr="00FA33A3">
              <w:t>Extent of evidence supplied</w:t>
            </w:r>
          </w:p>
        </w:tc>
        <w:tc>
          <w:tcPr>
            <w:tcW w:w="1384" w:type="pct"/>
            <w:tcBorders>
              <w:top w:val="single" w:sz="4" w:space="0" w:color="auto"/>
              <w:left w:val="single" w:sz="4" w:space="0" w:color="auto"/>
              <w:bottom w:val="single" w:sz="4" w:space="0" w:color="auto"/>
              <w:right w:val="single" w:sz="4" w:space="0" w:color="auto"/>
            </w:tcBorders>
            <w:vAlign w:val="bottom"/>
            <w:hideMark/>
          </w:tcPr>
          <w:p w14:paraId="091A7361" w14:textId="77777777" w:rsidR="00252BC8" w:rsidRPr="00FA33A3" w:rsidRDefault="00252BC8" w:rsidP="00DF27DC">
            <w:pPr>
              <w:pStyle w:val="TableHeading"/>
              <w:keepLines/>
            </w:pPr>
            <w:r w:rsidRPr="00FA33A3">
              <w:t>Overall risk of bias in evidence base</w:t>
            </w:r>
          </w:p>
        </w:tc>
      </w:tr>
      <w:tr w:rsidR="00252BC8" w:rsidRPr="00FA33A3" w14:paraId="1A13155B" w14:textId="77777777" w:rsidTr="0065419A">
        <w:tc>
          <w:tcPr>
            <w:tcW w:w="785" w:type="pct"/>
            <w:tcBorders>
              <w:top w:val="single" w:sz="4" w:space="0" w:color="auto"/>
              <w:left w:val="single" w:sz="4" w:space="0" w:color="auto"/>
              <w:bottom w:val="single" w:sz="4" w:space="0" w:color="auto"/>
              <w:right w:val="single" w:sz="4" w:space="0" w:color="auto"/>
            </w:tcBorders>
            <w:hideMark/>
          </w:tcPr>
          <w:p w14:paraId="78D412D2" w14:textId="77777777" w:rsidR="00252BC8" w:rsidRPr="00FA33A3" w:rsidRDefault="00252BC8" w:rsidP="00DF27DC">
            <w:pPr>
              <w:pStyle w:val="TableText"/>
              <w:keepNext/>
              <w:keepLines/>
            </w:pPr>
            <w:r w:rsidRPr="00FA33A3">
              <w:t>Accuracy of the test (cross-sectional accuracy)</w:t>
            </w:r>
          </w:p>
        </w:tc>
        <w:tc>
          <w:tcPr>
            <w:tcW w:w="1492" w:type="pct"/>
            <w:tcBorders>
              <w:top w:val="single" w:sz="4" w:space="0" w:color="auto"/>
              <w:left w:val="single" w:sz="4" w:space="0" w:color="auto"/>
              <w:bottom w:val="single" w:sz="4" w:space="0" w:color="auto"/>
              <w:right w:val="single" w:sz="4" w:space="0" w:color="auto"/>
            </w:tcBorders>
            <w:hideMark/>
          </w:tcPr>
          <w:p w14:paraId="7AE30496" w14:textId="77777777" w:rsidR="00252BC8" w:rsidRPr="00FA33A3" w:rsidRDefault="00252BC8" w:rsidP="00DF27DC">
            <w:pPr>
              <w:pStyle w:val="TableText"/>
              <w:keepNext/>
              <w:keepLines/>
            </w:pPr>
            <w:r w:rsidRPr="00FA33A3">
              <w:t>Cross-sectional diagnostic accuracy studies of index text compared to reference standard.</w:t>
            </w:r>
          </w:p>
          <w:p w14:paraId="4CA0FCB0" w14:textId="2F302729" w:rsidR="00252BC8" w:rsidRPr="00FA33A3" w:rsidRDefault="00252BC8" w:rsidP="00DF27DC">
            <w:pPr>
              <w:pStyle w:val="TableText"/>
              <w:keepNext/>
              <w:keepLines/>
            </w:pPr>
            <w:r w:rsidRPr="00FA33A3">
              <w:t xml:space="preserve">Reference standard is also the comparator. </w:t>
            </w:r>
          </w:p>
        </w:tc>
        <w:tc>
          <w:tcPr>
            <w:tcW w:w="1339" w:type="pct"/>
            <w:tcBorders>
              <w:top w:val="single" w:sz="4" w:space="0" w:color="auto"/>
              <w:left w:val="single" w:sz="4" w:space="0" w:color="auto"/>
              <w:bottom w:val="single" w:sz="4" w:space="0" w:color="auto"/>
              <w:right w:val="single" w:sz="4" w:space="0" w:color="auto"/>
            </w:tcBorders>
            <w:hideMark/>
          </w:tcPr>
          <w:p w14:paraId="539731DC" w14:textId="154F7A20" w:rsidR="00252BC8" w:rsidRPr="00FA33A3" w:rsidRDefault="000E152B" w:rsidP="00DF27DC">
            <w:pPr>
              <w:pStyle w:val="TableText"/>
              <w:keepNext/>
              <w:keepLines/>
            </w:pPr>
            <w:sdt>
              <w:sdtPr>
                <w:id w:val="147248566"/>
                <w14:checkbox>
                  <w14:checked w14:val="1"/>
                  <w14:checkedState w14:val="2612" w14:font="MS Gothic"/>
                  <w14:uncheckedState w14:val="2610" w14:font="MS Gothic"/>
                </w14:checkbox>
              </w:sdtPr>
              <w:sdtContent>
                <w:r w:rsidR="00961820" w:rsidRPr="00FA33A3">
                  <w:rPr>
                    <w:rFonts w:ascii="Segoe UI Symbol" w:hAnsi="Segoe UI Symbol" w:cs="Segoe UI Symbol"/>
                  </w:rPr>
                  <w:t>☒</w:t>
                </w:r>
              </w:sdtContent>
            </w:sdt>
            <w:r w:rsidR="00961820" w:rsidRPr="00FA33A3">
              <w:tab/>
              <w:t>k = 2   n = 87</w:t>
            </w:r>
          </w:p>
        </w:tc>
        <w:tc>
          <w:tcPr>
            <w:tcW w:w="1384" w:type="pct"/>
            <w:tcBorders>
              <w:top w:val="single" w:sz="4" w:space="0" w:color="auto"/>
              <w:left w:val="single" w:sz="4" w:space="0" w:color="auto"/>
              <w:bottom w:val="single" w:sz="4" w:space="0" w:color="auto"/>
              <w:right w:val="single" w:sz="4" w:space="0" w:color="auto"/>
            </w:tcBorders>
            <w:hideMark/>
          </w:tcPr>
          <w:p w14:paraId="6A60AE7E" w14:textId="77777777" w:rsidR="00252BC8" w:rsidRPr="00FA33A3" w:rsidRDefault="00252BC8" w:rsidP="00DF27DC">
            <w:pPr>
              <w:pStyle w:val="TableText"/>
              <w:keepNext/>
              <w:keepLines/>
            </w:pPr>
            <w:r w:rsidRPr="00FA33A3">
              <w:t>QUADAS-2: overall most studies had moderate risk of bias</w:t>
            </w:r>
          </w:p>
        </w:tc>
      </w:tr>
      <w:tr w:rsidR="00252BC8" w:rsidRPr="00FA33A3" w14:paraId="25C2A69B" w14:textId="77777777" w:rsidTr="0065419A">
        <w:tc>
          <w:tcPr>
            <w:tcW w:w="785" w:type="pct"/>
            <w:tcBorders>
              <w:top w:val="single" w:sz="4" w:space="0" w:color="auto"/>
              <w:left w:val="single" w:sz="4" w:space="0" w:color="auto"/>
              <w:bottom w:val="single" w:sz="4" w:space="0" w:color="auto"/>
              <w:right w:val="single" w:sz="4" w:space="0" w:color="auto"/>
            </w:tcBorders>
          </w:tcPr>
          <w:p w14:paraId="69270804" w14:textId="77777777" w:rsidR="00252BC8" w:rsidRPr="00FA33A3" w:rsidRDefault="00252BC8" w:rsidP="00DF27DC">
            <w:pPr>
              <w:pStyle w:val="TableText"/>
              <w:keepNext/>
              <w:keepLines/>
            </w:pPr>
            <w:r w:rsidRPr="00FA33A3">
              <w:t>Test reliability</w:t>
            </w:r>
          </w:p>
        </w:tc>
        <w:tc>
          <w:tcPr>
            <w:tcW w:w="1492" w:type="pct"/>
            <w:tcBorders>
              <w:top w:val="single" w:sz="4" w:space="0" w:color="auto"/>
              <w:left w:val="single" w:sz="4" w:space="0" w:color="auto"/>
              <w:bottom w:val="single" w:sz="4" w:space="0" w:color="auto"/>
              <w:right w:val="single" w:sz="4" w:space="0" w:color="auto"/>
            </w:tcBorders>
          </w:tcPr>
          <w:p w14:paraId="196B77FE" w14:textId="77777777" w:rsidR="00252BC8" w:rsidRPr="00FA33A3" w:rsidRDefault="00252BC8" w:rsidP="00DF27DC">
            <w:pPr>
              <w:pStyle w:val="TableText"/>
              <w:keepNext/>
              <w:keepLines/>
            </w:pPr>
            <w:r w:rsidRPr="00FA33A3">
              <w:t>Comparative and single arm studies</w:t>
            </w:r>
          </w:p>
        </w:tc>
        <w:tc>
          <w:tcPr>
            <w:tcW w:w="1339" w:type="pct"/>
            <w:tcBorders>
              <w:top w:val="single" w:sz="4" w:space="0" w:color="auto"/>
              <w:left w:val="single" w:sz="4" w:space="0" w:color="auto"/>
              <w:bottom w:val="single" w:sz="4" w:space="0" w:color="auto"/>
              <w:right w:val="single" w:sz="4" w:space="0" w:color="auto"/>
            </w:tcBorders>
          </w:tcPr>
          <w:p w14:paraId="1CD305E3" w14:textId="0C6BA545" w:rsidR="00252BC8" w:rsidRPr="00FA33A3" w:rsidRDefault="00DB24E4" w:rsidP="00DF27DC">
            <w:pPr>
              <w:pStyle w:val="TableText"/>
              <w:keepNext/>
              <w:keepLines/>
            </w:pPr>
            <w:r w:rsidRPr="00FA33A3">
              <w:t>C</w:t>
            </w:r>
            <w:r w:rsidR="00252BC8" w:rsidRPr="00FA33A3">
              <w:t>omparative studies:</w:t>
            </w:r>
            <w:r w:rsidR="00252BC8" w:rsidRPr="00FA33A3">
              <w:br/>
            </w:r>
            <w:sdt>
              <w:sdtPr>
                <w:id w:val="-2045504350"/>
                <w14:checkbox>
                  <w14:checked w14:val="1"/>
                  <w14:checkedState w14:val="2612" w14:font="MS Gothic"/>
                  <w14:uncheckedState w14:val="2610" w14:font="MS Gothic"/>
                </w14:checkbox>
              </w:sdtPr>
              <w:sdtContent>
                <w:r w:rsidR="00252BC8" w:rsidRPr="00FA33A3">
                  <w:rPr>
                    <w:rFonts w:ascii="Segoe UI Symbol" w:hAnsi="Segoe UI Symbol" w:cs="Segoe UI Symbol"/>
                  </w:rPr>
                  <w:t>☒</w:t>
                </w:r>
              </w:sdtContent>
            </w:sdt>
            <w:r w:rsidR="00252BC8" w:rsidRPr="00FA33A3">
              <w:tab/>
              <w:t>k = 2   n = 87</w:t>
            </w:r>
            <w:r w:rsidR="00252BC8" w:rsidRPr="00FA33A3">
              <w:br/>
              <w:t>Single arm studies:</w:t>
            </w:r>
            <w:r w:rsidR="00252BC8" w:rsidRPr="00FA33A3">
              <w:br/>
            </w:r>
            <w:sdt>
              <w:sdtPr>
                <w:id w:val="-589388653"/>
                <w14:checkbox>
                  <w14:checked w14:val="1"/>
                  <w14:checkedState w14:val="2612" w14:font="MS Gothic"/>
                  <w14:uncheckedState w14:val="2610" w14:font="MS Gothic"/>
                </w14:checkbox>
              </w:sdtPr>
              <w:sdtContent>
                <w:r w:rsidR="00252BC8" w:rsidRPr="00FA33A3">
                  <w:rPr>
                    <w:rFonts w:ascii="Segoe UI Symbol" w:hAnsi="Segoe UI Symbol" w:cs="Segoe UI Symbol"/>
                  </w:rPr>
                  <w:t>☒</w:t>
                </w:r>
              </w:sdtContent>
            </w:sdt>
            <w:r w:rsidR="00252BC8" w:rsidRPr="00FA33A3">
              <w:tab/>
              <w:t>k = 5   n = 708</w:t>
            </w:r>
          </w:p>
        </w:tc>
        <w:tc>
          <w:tcPr>
            <w:tcW w:w="1384" w:type="pct"/>
            <w:tcBorders>
              <w:top w:val="single" w:sz="4" w:space="0" w:color="auto"/>
              <w:left w:val="single" w:sz="4" w:space="0" w:color="auto"/>
              <w:bottom w:val="single" w:sz="4" w:space="0" w:color="auto"/>
              <w:right w:val="single" w:sz="4" w:space="0" w:color="auto"/>
            </w:tcBorders>
          </w:tcPr>
          <w:p w14:paraId="669599B9" w14:textId="77777777" w:rsidR="00252BC8" w:rsidRPr="00FA33A3" w:rsidRDefault="00252BC8" w:rsidP="00DF27DC">
            <w:pPr>
              <w:pStyle w:val="TableText"/>
              <w:keepNext/>
              <w:keepLines/>
            </w:pPr>
            <w:r w:rsidRPr="00FA33A3">
              <w:t>NHLBI quality assessment tool for case series studies:</w:t>
            </w:r>
          </w:p>
          <w:p w14:paraId="14373A42" w14:textId="057B3144" w:rsidR="00252BC8" w:rsidRPr="00FA33A3" w:rsidRDefault="00252BC8" w:rsidP="00DF27DC">
            <w:pPr>
              <w:pStyle w:val="TableText"/>
              <w:keepNext/>
              <w:keepLines/>
            </w:pPr>
            <w:r w:rsidRPr="00FA33A3">
              <w:t xml:space="preserve">Low risk in </w:t>
            </w:r>
            <w:r w:rsidR="004B70FB" w:rsidRPr="00FA33A3">
              <w:t>2</w:t>
            </w:r>
            <w:r w:rsidRPr="00FA33A3">
              <w:t xml:space="preserve"> studies, moderate to high risk in the remainder</w:t>
            </w:r>
            <w:r w:rsidR="004D15D0" w:rsidRPr="00FA33A3">
              <w:t>.</w:t>
            </w:r>
          </w:p>
        </w:tc>
      </w:tr>
      <w:tr w:rsidR="00252BC8" w:rsidRPr="00280C69" w14:paraId="0B937404" w14:textId="77777777" w:rsidTr="0065419A">
        <w:tc>
          <w:tcPr>
            <w:tcW w:w="785" w:type="pct"/>
            <w:tcBorders>
              <w:top w:val="single" w:sz="4" w:space="0" w:color="auto"/>
              <w:left w:val="single" w:sz="4" w:space="0" w:color="auto"/>
              <w:bottom w:val="single" w:sz="4" w:space="0" w:color="auto"/>
              <w:right w:val="single" w:sz="4" w:space="0" w:color="auto"/>
            </w:tcBorders>
          </w:tcPr>
          <w:p w14:paraId="12F85746" w14:textId="77777777" w:rsidR="00252BC8" w:rsidRPr="00FA33A3" w:rsidRDefault="000E152B" w:rsidP="00DF27DC">
            <w:pPr>
              <w:pStyle w:val="TableText"/>
              <w:keepNext/>
              <w:keepLines/>
            </w:pPr>
            <w:sdt>
              <w:sdtPr>
                <w:id w:val="-1961797170"/>
                <w14:checkbox>
                  <w14:checked w14:val="1"/>
                  <w14:checkedState w14:val="2612" w14:font="MS Gothic"/>
                  <w14:uncheckedState w14:val="2610" w14:font="MS Gothic"/>
                </w14:checkbox>
              </w:sdtPr>
              <w:sdtContent>
                <w:r w:rsidR="00252BC8" w:rsidRPr="00FA33A3">
                  <w:t>S</w:t>
                </w:r>
              </w:sdtContent>
            </w:sdt>
            <w:r w:rsidR="00252BC8" w:rsidRPr="00FA33A3">
              <w:t>afety</w:t>
            </w:r>
          </w:p>
        </w:tc>
        <w:tc>
          <w:tcPr>
            <w:tcW w:w="1492" w:type="pct"/>
            <w:tcBorders>
              <w:top w:val="single" w:sz="4" w:space="0" w:color="auto"/>
              <w:left w:val="single" w:sz="4" w:space="0" w:color="auto"/>
              <w:bottom w:val="single" w:sz="4" w:space="0" w:color="auto"/>
              <w:right w:val="single" w:sz="4" w:space="0" w:color="auto"/>
            </w:tcBorders>
          </w:tcPr>
          <w:p w14:paraId="5C38E6F4" w14:textId="2F63E5F0" w:rsidR="00252BC8" w:rsidRPr="00FA33A3" w:rsidRDefault="00252BC8" w:rsidP="00DF27DC">
            <w:pPr>
              <w:pStyle w:val="TableText"/>
              <w:keepNext/>
              <w:keepLines/>
            </w:pPr>
            <w:r w:rsidRPr="00FA33A3">
              <w:t>One single-arm cohort study reported safety of the test.</w:t>
            </w:r>
          </w:p>
          <w:p w14:paraId="0E010645" w14:textId="77777777" w:rsidR="00252BC8" w:rsidRPr="00FA33A3" w:rsidRDefault="00252BC8" w:rsidP="00DF27DC">
            <w:pPr>
              <w:pStyle w:val="TableText"/>
              <w:keepNext/>
              <w:keepLines/>
            </w:pPr>
            <w:r w:rsidRPr="00FA33A3">
              <w:t>No other studies met the inclusion criteria for safety outcomes.</w:t>
            </w:r>
          </w:p>
        </w:tc>
        <w:tc>
          <w:tcPr>
            <w:tcW w:w="1339" w:type="pct"/>
            <w:tcBorders>
              <w:top w:val="single" w:sz="4" w:space="0" w:color="auto"/>
              <w:left w:val="single" w:sz="4" w:space="0" w:color="auto"/>
              <w:bottom w:val="single" w:sz="4" w:space="0" w:color="auto"/>
              <w:right w:val="single" w:sz="4" w:space="0" w:color="auto"/>
            </w:tcBorders>
          </w:tcPr>
          <w:p w14:paraId="585A408F" w14:textId="5061D022" w:rsidR="00252BC8" w:rsidRPr="00FA33A3" w:rsidRDefault="000E152B" w:rsidP="00DF27DC">
            <w:pPr>
              <w:pStyle w:val="TableText"/>
              <w:keepNext/>
              <w:keepLines/>
            </w:pPr>
            <w:sdt>
              <w:sdtPr>
                <w:id w:val="1185561075"/>
                <w14:checkbox>
                  <w14:checked w14:val="1"/>
                  <w14:checkedState w14:val="2612" w14:font="MS Gothic"/>
                  <w14:uncheckedState w14:val="2610" w14:font="MS Gothic"/>
                </w14:checkbox>
              </w:sdtPr>
              <w:sdtContent>
                <w:r w:rsidR="00252BC8" w:rsidRPr="00FA33A3">
                  <w:rPr>
                    <w:rFonts w:ascii="Segoe UI Symbol" w:hAnsi="Segoe UI Symbol" w:cs="Segoe UI Symbol"/>
                  </w:rPr>
                  <w:t>☒</w:t>
                </w:r>
              </w:sdtContent>
            </w:sdt>
            <w:r w:rsidR="00252BC8" w:rsidRPr="00FA33A3">
              <w:tab/>
              <w:t>k = 1   n = 233</w:t>
            </w:r>
          </w:p>
        </w:tc>
        <w:tc>
          <w:tcPr>
            <w:tcW w:w="1384" w:type="pct"/>
            <w:tcBorders>
              <w:top w:val="single" w:sz="4" w:space="0" w:color="auto"/>
              <w:left w:val="single" w:sz="4" w:space="0" w:color="auto"/>
              <w:bottom w:val="single" w:sz="4" w:space="0" w:color="auto"/>
              <w:right w:val="single" w:sz="4" w:space="0" w:color="auto"/>
            </w:tcBorders>
          </w:tcPr>
          <w:p w14:paraId="196B9055" w14:textId="77777777" w:rsidR="00252BC8" w:rsidRPr="00FA33A3" w:rsidRDefault="00252BC8" w:rsidP="00DF27DC">
            <w:pPr>
              <w:pStyle w:val="TableText"/>
              <w:keepNext/>
              <w:keepLines/>
            </w:pPr>
            <w:r w:rsidRPr="00FA33A3">
              <w:t>NHLBI quality assessment tool for case series studies:</w:t>
            </w:r>
          </w:p>
          <w:p w14:paraId="4E8CD350" w14:textId="77777777" w:rsidR="00252BC8" w:rsidRPr="00FA33A3" w:rsidRDefault="00252BC8" w:rsidP="00DF27DC">
            <w:pPr>
              <w:pStyle w:val="TableText"/>
              <w:keepNext/>
              <w:keepLines/>
            </w:pPr>
            <w:r w:rsidRPr="00FA33A3">
              <w:t>Low risk</w:t>
            </w:r>
          </w:p>
        </w:tc>
      </w:tr>
    </w:tbl>
    <w:p w14:paraId="6AE83E69" w14:textId="72E1EC80" w:rsidR="00A403C5" w:rsidRPr="00FA33A3" w:rsidRDefault="000E152B" w:rsidP="00DF27DC">
      <w:pPr>
        <w:pStyle w:val="111Tablefootnoteslast-nostick"/>
        <w:keepNext/>
        <w:keepLines/>
      </w:pPr>
      <w:sdt>
        <w:sdtPr>
          <w:rPr>
            <w:sz w:val="20"/>
          </w:rPr>
          <w:id w:val="1943718122"/>
          <w14:checkbox>
            <w14:checked w14:val="1"/>
            <w14:checkedState w14:val="2612" w14:font="MS Gothic"/>
            <w14:uncheckedState w14:val="2610" w14:font="MS Gothic"/>
          </w14:checkbox>
        </w:sdtPr>
        <w:sdtContent/>
      </w:sdt>
      <w:r w:rsidR="00A403C5" w:rsidRPr="00FA33A3">
        <w:t>k = number of studies; n = number of patients; NHLBI = National heart, lung, and blood institute; QUADAS-2 = quality assessment of diagnostic accuracy studies tool for comparison of an index test with a reference standard.</w:t>
      </w:r>
    </w:p>
    <w:p w14:paraId="3F4F2516" w14:textId="1FF4FD76" w:rsidR="00682FFD" w:rsidRPr="00682FFD" w:rsidRDefault="00682FFD" w:rsidP="000D7E4D">
      <w:pPr>
        <w:pStyle w:val="111Tablefootnoteslast-nostick"/>
      </w:pPr>
      <w:r w:rsidRPr="006F1E02">
        <w:t xml:space="preserve">Source: </w:t>
      </w:r>
      <w:r>
        <w:t xml:space="preserve">Table </w:t>
      </w:r>
      <w:r w:rsidR="004376E8">
        <w:t>6</w:t>
      </w:r>
      <w:r>
        <w:t xml:space="preserve"> </w:t>
      </w:r>
      <w:r w:rsidR="00D32186">
        <w:t>of</w:t>
      </w:r>
      <w:r w:rsidRPr="006F1E02">
        <w:t xml:space="preserve"> MSAC Application 1712.</w:t>
      </w:r>
    </w:p>
    <w:p w14:paraId="1D95D1B1" w14:textId="42DFB6F1" w:rsidR="00860E48" w:rsidRDefault="00860E48" w:rsidP="004105F1">
      <w:pPr>
        <w:pStyle w:val="ExecSumHeading2"/>
        <w:keepNext w:val="0"/>
        <w:numPr>
          <w:ilvl w:val="0"/>
          <w:numId w:val="28"/>
        </w:numPr>
        <w:ind w:hanging="720"/>
      </w:pPr>
      <w:bookmarkStart w:id="19" w:name="_Toc200550246"/>
      <w:r>
        <w:t>Comparative safety</w:t>
      </w:r>
      <w:bookmarkEnd w:id="19"/>
    </w:p>
    <w:p w14:paraId="179A2AD3" w14:textId="0B7540B3" w:rsidR="00860E48" w:rsidRDefault="00532B89" w:rsidP="0065419A">
      <w:r>
        <w:t xml:space="preserve">No comparative studies met the inclusion criteria and reported safety outcomes. One </w:t>
      </w:r>
      <w:r w:rsidRPr="001B2CD9">
        <w:t>single-arm, single-centre</w:t>
      </w:r>
      <w:r w:rsidR="005408D0">
        <w:t xml:space="preserve"> (Australian)</w:t>
      </w:r>
      <w:r w:rsidRPr="001B2CD9">
        <w:t xml:space="preserve">, retrospective audit of Level 2 PSG </w:t>
      </w:r>
      <w:r>
        <w:t xml:space="preserve">studies </w:t>
      </w:r>
      <w:r w:rsidRPr="001B2CD9">
        <w:t>reported no adverse events during the study period.</w:t>
      </w:r>
    </w:p>
    <w:p w14:paraId="1069AAFC" w14:textId="66375699" w:rsidR="00860E48" w:rsidRDefault="00860E48" w:rsidP="004105F1">
      <w:pPr>
        <w:pStyle w:val="ExecSumHeading2"/>
        <w:keepNext w:val="0"/>
        <w:numPr>
          <w:ilvl w:val="0"/>
          <w:numId w:val="28"/>
        </w:numPr>
        <w:ind w:hanging="720"/>
      </w:pPr>
      <w:bookmarkStart w:id="20" w:name="_Toc200550247"/>
      <w:r>
        <w:t>Comparative effectiveness</w:t>
      </w:r>
      <w:bookmarkEnd w:id="20"/>
    </w:p>
    <w:p w14:paraId="14259F80" w14:textId="77777777" w:rsidR="003B0BE3" w:rsidRDefault="003B0BE3" w:rsidP="0065419A">
      <w:pPr>
        <w:pStyle w:val="ExecSumHeading3"/>
      </w:pPr>
      <w:r>
        <w:t xml:space="preserve">Test </w:t>
      </w:r>
      <w:r w:rsidRPr="00FA33A3">
        <w:t>accuracy</w:t>
      </w:r>
    </w:p>
    <w:p w14:paraId="0264B0AB" w14:textId="11164769" w:rsidR="003B0BE3" w:rsidRDefault="003B0BE3" w:rsidP="0065419A">
      <w:r>
        <w:t>T</w:t>
      </w:r>
      <w:r w:rsidRPr="00AF55FE">
        <w:t>wo studi</w:t>
      </w:r>
      <w:r w:rsidRPr="001B2CD9">
        <w:t>es reported test accuracy of Level 2 PSG studies compared to Level 1 PSG studies.</w:t>
      </w:r>
    </w:p>
    <w:p w14:paraId="6BDA4851" w14:textId="3B27D07A" w:rsidR="003B0BE3" w:rsidRDefault="003B0BE3" w:rsidP="00BC2CAA">
      <w:r>
        <w:t>Withers</w:t>
      </w:r>
      <w:r w:rsidRPr="00106E5D">
        <w:t xml:space="preserve"> </w:t>
      </w:r>
      <w:r>
        <w:t>et al. (2022)</w:t>
      </w:r>
      <w:r w:rsidR="00616EAA">
        <w:rPr>
          <w:rStyle w:val="FootnoteReference"/>
        </w:rPr>
        <w:footnoteReference w:id="3"/>
      </w:r>
      <w:r>
        <w:t xml:space="preserve"> wa</w:t>
      </w:r>
      <w:r w:rsidRPr="00106E5D">
        <w:t xml:space="preserve">s an Australian study with a population </w:t>
      </w:r>
      <w:r>
        <w:t>of 47 children aged 5 to 18 years with suspected OSA, closely</w:t>
      </w:r>
      <w:r w:rsidRPr="00106E5D">
        <w:t xml:space="preserve"> align</w:t>
      </w:r>
      <w:r>
        <w:t>ed</w:t>
      </w:r>
      <w:r w:rsidRPr="00106E5D">
        <w:t xml:space="preserve"> with the </w:t>
      </w:r>
      <w:r>
        <w:t>PICO age range of 3 to 18 years. At both reported thresholds – any OSA and moderate to severe OSA – the Level 2 PSG misclassified very few participants in comparison to the Level 1 PSG, and sensitivity and specificity were both high with confidence intervals including perfect agreement (GRADE certainty of evidence very low) (</w:t>
      </w:r>
      <w:r>
        <w:fldChar w:fldCharType="begin"/>
      </w:r>
      <w:r>
        <w:instrText xml:space="preserve"> REF _Ref150199611 \h  \* MERGEFORMAT </w:instrText>
      </w:r>
      <w:r>
        <w:fldChar w:fldCharType="separate"/>
      </w:r>
      <w:r w:rsidR="00BC2CAA">
        <w:t xml:space="preserve">Figure </w:t>
      </w:r>
      <w:r w:rsidR="00BC2CAA">
        <w:rPr>
          <w:noProof/>
        </w:rPr>
        <w:t>1</w:t>
      </w:r>
      <w:r>
        <w:fldChar w:fldCharType="end"/>
      </w:r>
      <w:r>
        <w:t>).</w:t>
      </w:r>
    </w:p>
    <w:p w14:paraId="30152E1C" w14:textId="5EA0A647" w:rsidR="003B0BE3" w:rsidRPr="00521E6E" w:rsidRDefault="003B0BE3" w:rsidP="00BC2CAA">
      <w:r w:rsidRPr="00D458F3">
        <w:rPr>
          <w:lang w:val="it-IT"/>
        </w:rPr>
        <w:t xml:space="preserve">Participants in Cielo et al. </w:t>
      </w:r>
      <w:r>
        <w:t>(2023)</w:t>
      </w:r>
      <w:r w:rsidR="00616EAA">
        <w:rPr>
          <w:rStyle w:val="FootnoteReference"/>
        </w:rPr>
        <w:footnoteReference w:id="4"/>
      </w:r>
      <w:r>
        <w:t xml:space="preserve"> (n=43) had </w:t>
      </w:r>
      <w:r w:rsidRPr="008A1C50">
        <w:t>Down syndrome</w:t>
      </w:r>
      <w:r>
        <w:t>, were not required to be seeking evaluation of SDB and were aged up to 25 years</w:t>
      </w:r>
      <w:r w:rsidRPr="008A1C50">
        <w:t>.</w:t>
      </w:r>
      <w:r>
        <w:t xml:space="preserve"> The prevalence of moderate to severe OSA was 80%. Diagnostic accuracy for Level 2 PSG was lower in this study (</w:t>
      </w:r>
      <w:r>
        <w:fldChar w:fldCharType="begin"/>
      </w:r>
      <w:r>
        <w:instrText xml:space="preserve"> REF _Ref150199611 \h  \* MERGEFORMAT </w:instrText>
      </w:r>
      <w:r>
        <w:fldChar w:fldCharType="separate"/>
      </w:r>
      <w:r w:rsidR="00BC2CAA">
        <w:t xml:space="preserve">Figure </w:t>
      </w:r>
      <w:r w:rsidR="00BC2CAA">
        <w:rPr>
          <w:noProof/>
        </w:rPr>
        <w:t>1</w:t>
      </w:r>
      <w:r>
        <w:fldChar w:fldCharType="end"/>
      </w:r>
      <w:r>
        <w:t>). This might be explained by both the older age range (where diagnostic thresholds are higher) and the higher prevalence of severe disease (where correlation between the tests is poorer). Some study participants may not be considered suitable for Level 2 PSG based on the PICO confirmation, which excludes participants with complex co-morbidities.</w:t>
      </w:r>
    </w:p>
    <w:p w14:paraId="3796BB1E" w14:textId="25ED86A6" w:rsidR="003B0BE3" w:rsidRPr="00786F60" w:rsidRDefault="003B0BE3" w:rsidP="00BC2CAA">
      <w:pPr>
        <w:pStyle w:val="Caption"/>
      </w:pPr>
      <w:bookmarkStart w:id="21" w:name="_Ref150199611"/>
      <w:r>
        <w:t xml:space="preserve">Figure </w:t>
      </w:r>
      <w:r w:rsidR="00BC2CAA">
        <w:fldChar w:fldCharType="begin"/>
      </w:r>
      <w:r w:rsidR="00BC2CAA">
        <w:instrText xml:space="preserve"> SEQ Figure \* ARABIC </w:instrText>
      </w:r>
      <w:r w:rsidR="00BC2CAA">
        <w:fldChar w:fldCharType="separate"/>
      </w:r>
      <w:r w:rsidR="00BC2CAA">
        <w:rPr>
          <w:noProof/>
        </w:rPr>
        <w:t>1</w:t>
      </w:r>
      <w:r w:rsidR="00BC2CAA">
        <w:rPr>
          <w:noProof/>
        </w:rPr>
        <w:fldChar w:fldCharType="end"/>
      </w:r>
      <w:bookmarkEnd w:id="21"/>
      <w:r>
        <w:tab/>
        <w:t>Forest plot of diagnostic accuracy of</w:t>
      </w:r>
      <w:r w:rsidRPr="00B574B3">
        <w:t xml:space="preserve"> Level 2 PSG studies</w:t>
      </w:r>
      <w:r w:rsidRPr="00285A73">
        <w:t xml:space="preserve"> with </w:t>
      </w:r>
      <w:r>
        <w:t>Level 1 PSG studies as the reference standard</w:t>
      </w:r>
    </w:p>
    <w:p w14:paraId="2C954AA9" w14:textId="77777777" w:rsidR="003B0BE3" w:rsidRDefault="003B0BE3" w:rsidP="0065419A">
      <w:pPr>
        <w:pStyle w:val="Caption"/>
      </w:pPr>
      <w:r w:rsidRPr="0065419A">
        <w:rPr>
          <w:noProof/>
        </w:rPr>
        <w:drawing>
          <wp:inline distT="0" distB="0" distL="0" distR="0" wp14:anchorId="7F82B9A4" wp14:editId="5518C748">
            <wp:extent cx="5753210" cy="611270"/>
            <wp:effectExtent l="0" t="0" r="0" b="0"/>
            <wp:docPr id="2113714429" name="Picture 2113714429" descr="This figure is a forest plot showing the diagnostic accuracy of Level 2 PSG studies with Level 1 PSG studies as the reference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14429" name="Picture 2113714429" descr="This figure is a forest plot showing the diagnostic accuracy of Level 2 PSG studies with Level 1 PSG studies as the reference standard."/>
                    <pic:cNvPicPr/>
                  </pic:nvPicPr>
                  <pic:blipFill>
                    <a:blip r:embed="rId20"/>
                    <a:stretch>
                      <a:fillRect/>
                    </a:stretch>
                  </pic:blipFill>
                  <pic:spPr>
                    <a:xfrm>
                      <a:off x="0" y="0"/>
                      <a:ext cx="5753210" cy="611270"/>
                    </a:xfrm>
                    <a:prstGeom prst="rect">
                      <a:avLst/>
                    </a:prstGeom>
                  </pic:spPr>
                </pic:pic>
              </a:graphicData>
            </a:graphic>
          </wp:inline>
        </w:drawing>
      </w:r>
    </w:p>
    <w:p w14:paraId="765E0A49" w14:textId="46549766" w:rsidR="003B0BE3" w:rsidRPr="00FB0D71" w:rsidRDefault="003B0BE3" w:rsidP="0065419A">
      <w:pPr>
        <w:pStyle w:val="111Tablefootnoteslast-nostick"/>
      </w:pPr>
      <w:r w:rsidRPr="00617291">
        <w:t>CI</w:t>
      </w:r>
      <w:r>
        <w:t xml:space="preserve"> =</w:t>
      </w:r>
      <w:r w:rsidRPr="00617291">
        <w:t> </w:t>
      </w:r>
      <w:r w:rsidRPr="00FB0D71">
        <w:t>confidence interval; FN = false negative; FP = false positive; OSA = obstructive sleep apnoea; PSG = polysomnography; TN = true negative; TP = true positive.</w:t>
      </w:r>
    </w:p>
    <w:p w14:paraId="10BD8B02" w14:textId="77777777" w:rsidR="003B0BE3" w:rsidRPr="00FB0D71" w:rsidRDefault="003B0BE3" w:rsidP="0065419A">
      <w:pPr>
        <w:pStyle w:val="111Tablefootnoteslast-nostick"/>
      </w:pPr>
      <w:r w:rsidRPr="00FB0D71">
        <w:t>Notes: Withers did not report the AHI/OAHI values used for each diagnostic threshold. Moderate to severe OSA in Cielo (2023) was OAHI &gt; 5/h.</w:t>
      </w:r>
    </w:p>
    <w:p w14:paraId="528A8233" w14:textId="4A3F045A" w:rsidR="003B0BE3" w:rsidRPr="00874292" w:rsidRDefault="003B0BE3" w:rsidP="00874292">
      <w:pPr>
        <w:pStyle w:val="111Tablefootnoteslast-nostick"/>
      </w:pPr>
      <w:r w:rsidRPr="00874292">
        <w:t xml:space="preserve">Source: </w:t>
      </w:r>
      <w:r w:rsidR="00AC14B9" w:rsidRPr="00874292">
        <w:t xml:space="preserve">Figure </w:t>
      </w:r>
      <w:r w:rsidR="006F1E02" w:rsidRPr="00874292">
        <w:t>1</w:t>
      </w:r>
      <w:r w:rsidR="00AC14B9" w:rsidRPr="00874292">
        <w:t xml:space="preserve"> </w:t>
      </w:r>
      <w:r w:rsidR="00D32186">
        <w:t>of</w:t>
      </w:r>
      <w:r w:rsidR="00B16848" w:rsidRPr="00874292">
        <w:t xml:space="preserve"> </w:t>
      </w:r>
      <w:r w:rsidRPr="00874292">
        <w:t xml:space="preserve">MSAC Application </w:t>
      </w:r>
      <w:r w:rsidR="004028F1" w:rsidRPr="00874292">
        <w:t>1712</w:t>
      </w:r>
      <w:r w:rsidRPr="00874292">
        <w:t>.</w:t>
      </w:r>
    </w:p>
    <w:p w14:paraId="26B1BA64" w14:textId="77777777" w:rsidR="003B0BE3" w:rsidRDefault="003B0BE3" w:rsidP="0065419A">
      <w:pPr>
        <w:pStyle w:val="ExecSumHeading3"/>
      </w:pPr>
      <w:r>
        <w:t xml:space="preserve">Test </w:t>
      </w:r>
      <w:r w:rsidRPr="00FB0D71">
        <w:t>reliability</w:t>
      </w:r>
    </w:p>
    <w:p w14:paraId="0B485C55" w14:textId="06604AC4" w:rsidR="003B0BE3" w:rsidRDefault="003B0BE3" w:rsidP="0065419A">
      <w:r>
        <w:t xml:space="preserve">No difference in test failures was reported between Level 1 PSG (range 0-5%) and Level 2 PSG (range 0-7%) in the </w:t>
      </w:r>
      <w:r w:rsidR="00B16848">
        <w:t xml:space="preserve">2 </w:t>
      </w:r>
      <w:r>
        <w:t xml:space="preserve">cross-sectional accuracy studies. An additional </w:t>
      </w:r>
      <w:r w:rsidR="00B16848">
        <w:t xml:space="preserve">5 </w:t>
      </w:r>
      <w:r>
        <w:t>single-arm studies reported initial Level 2 test failure rates ranging from 9-19%.</w:t>
      </w:r>
    </w:p>
    <w:p w14:paraId="720ADFB9" w14:textId="77777777" w:rsidR="003B0BE3" w:rsidRDefault="003B0BE3" w:rsidP="0065419A">
      <w:pPr>
        <w:pStyle w:val="ExecSumHeading3"/>
      </w:pPr>
      <w:r>
        <w:t xml:space="preserve">Change in </w:t>
      </w:r>
      <w:r w:rsidRPr="00FB0D71">
        <w:t>management</w:t>
      </w:r>
    </w:p>
    <w:p w14:paraId="2635BAEA" w14:textId="1F78C366" w:rsidR="003B0BE3" w:rsidRDefault="003B0BE3" w:rsidP="0065419A">
      <w:r>
        <w:t xml:space="preserve">No change in management studies were identified that met the inclusion criteria, nor </w:t>
      </w:r>
      <w:r w:rsidR="00856736">
        <w:t xml:space="preserve">were </w:t>
      </w:r>
      <w:r>
        <w:t>they necessary for a truncated assessment framework.</w:t>
      </w:r>
    </w:p>
    <w:p w14:paraId="76505C7A" w14:textId="77777777" w:rsidR="003B0BE3" w:rsidRDefault="003B0BE3" w:rsidP="0065419A">
      <w:r>
        <w:t>The applicant indicated that treatment decisions following PSG are not made based on the PSG findings alone and incorporate symptoms, physical findings (such as tonsil and adenoid size), and patient and caregiver preferences. Therefore, the impact of any differential findings between Level 1 and Level 2 PSG is likely to be less than indicated based on test accuracy alone as clinical management decisions are driven by a broader set of factors.</w:t>
      </w:r>
    </w:p>
    <w:p w14:paraId="03F89A60" w14:textId="77777777" w:rsidR="003B0BE3" w:rsidRPr="00D57C4F" w:rsidRDefault="003B0BE3" w:rsidP="0065419A">
      <w:r>
        <w:t>The technical interpretation of Level 1 and Level 2 PSG for the diagnosis of OSA does not differ and they evaluate the same measures in the same way. It is plausible to assume that a diagnosis of OSA (or otherwise) will lead to the same treatment decisions regardless of how it is reached.</w:t>
      </w:r>
    </w:p>
    <w:p w14:paraId="734717A2" w14:textId="77777777" w:rsidR="003B0BE3" w:rsidRPr="00223664" w:rsidRDefault="003B0BE3" w:rsidP="0065419A">
      <w:pPr>
        <w:pStyle w:val="ExecSumHeading3"/>
      </w:pPr>
      <w:r w:rsidRPr="00223664">
        <w:t>Clinical claim</w:t>
      </w:r>
    </w:p>
    <w:p w14:paraId="09629BFD" w14:textId="77777777" w:rsidR="003B0BE3" w:rsidRPr="00CE28E3" w:rsidRDefault="003B0BE3" w:rsidP="0065419A">
      <w:r w:rsidRPr="00EC4602">
        <w:t>The use of Level 2 PSG studies results in non</w:t>
      </w:r>
      <w:r>
        <w:t>-</w:t>
      </w:r>
      <w:r w:rsidRPr="00EC4602">
        <w:t xml:space="preserve">inferior </w:t>
      </w:r>
      <w:r>
        <w:t>test accuracy</w:t>
      </w:r>
      <w:r w:rsidRPr="00EC4602">
        <w:t xml:space="preserve"> compared with Level 1 PSG studies.</w:t>
      </w:r>
    </w:p>
    <w:p w14:paraId="2706EF63" w14:textId="77777777" w:rsidR="003B0BE3" w:rsidRPr="00CE28E3" w:rsidRDefault="003B0BE3" w:rsidP="0065419A">
      <w:r w:rsidRPr="00EC4602">
        <w:t xml:space="preserve">The use of Level 2 PSG studies results in inferior </w:t>
      </w:r>
      <w:r>
        <w:t>testing success</w:t>
      </w:r>
      <w:r w:rsidRPr="00EC4602">
        <w:t xml:space="preserve"> compared with Level 1 PSG studies.</w:t>
      </w:r>
      <w:r>
        <w:t xml:space="preserve"> This may well be offset by the convenience to patients and caregivers of undertaking testing in a home environment.</w:t>
      </w:r>
    </w:p>
    <w:p w14:paraId="501A5E77" w14:textId="77777777" w:rsidR="003B0BE3" w:rsidRPr="00CE28E3" w:rsidRDefault="003B0BE3" w:rsidP="0065419A">
      <w:r w:rsidRPr="00CE28E3">
        <w:t xml:space="preserve">The use of </w:t>
      </w:r>
      <w:r w:rsidRPr="00EC4602">
        <w:t>Level 2 PSG studies</w:t>
      </w:r>
      <w:r w:rsidRPr="00CE28E3">
        <w:t xml:space="preserve"> results in </w:t>
      </w:r>
      <w:r w:rsidRPr="00EC4602">
        <w:t>non</w:t>
      </w:r>
      <w:r>
        <w:t>-</w:t>
      </w:r>
      <w:r w:rsidRPr="00EC4602">
        <w:t>inferior</w:t>
      </w:r>
      <w:r w:rsidRPr="00CE28E3">
        <w:t xml:space="preserve"> effectiveness compared with </w:t>
      </w:r>
      <w:r w:rsidRPr="00EC4602">
        <w:t>Level 1 PSG studies.</w:t>
      </w:r>
    </w:p>
    <w:p w14:paraId="40D14037" w14:textId="5AD9B9A0" w:rsidR="00860E48" w:rsidRDefault="003B0BE3" w:rsidP="0065419A">
      <w:r w:rsidRPr="00CE28E3">
        <w:t xml:space="preserve">The use of </w:t>
      </w:r>
      <w:r w:rsidRPr="004646E1">
        <w:t>out-of-laboratory Level 2 PSG studies</w:t>
      </w:r>
      <w:r w:rsidRPr="00CE28E3">
        <w:t xml:space="preserve"> results in </w:t>
      </w:r>
      <w:r w:rsidRPr="004646E1">
        <w:t>non</w:t>
      </w:r>
      <w:r>
        <w:t>-</w:t>
      </w:r>
      <w:r w:rsidRPr="004646E1">
        <w:t>inferior</w:t>
      </w:r>
      <w:r w:rsidRPr="00CE28E3">
        <w:t xml:space="preserve"> safety compared with </w:t>
      </w:r>
      <w:r w:rsidRPr="004646E1">
        <w:t>Level 1 PSG studies.</w:t>
      </w:r>
    </w:p>
    <w:p w14:paraId="36996070" w14:textId="263011FB" w:rsidR="00860E48" w:rsidRDefault="00860E48" w:rsidP="00DF27DC">
      <w:pPr>
        <w:pStyle w:val="ExecSumHeading2"/>
        <w:keepLines/>
        <w:numPr>
          <w:ilvl w:val="0"/>
          <w:numId w:val="28"/>
        </w:numPr>
        <w:ind w:hanging="720"/>
      </w:pPr>
      <w:bookmarkStart w:id="22" w:name="_Toc200550248"/>
      <w:r>
        <w:t>Economic evaluation</w:t>
      </w:r>
      <w:bookmarkEnd w:id="22"/>
    </w:p>
    <w:p w14:paraId="7D040428" w14:textId="77777777" w:rsidR="00047717" w:rsidRDefault="00B40462" w:rsidP="00DF27DC">
      <w:pPr>
        <w:keepNext/>
        <w:keepLines/>
      </w:pPr>
      <w:r w:rsidRPr="00B40462">
        <w:t>Consistent with ADAR 1712, a</w:t>
      </w:r>
      <w:r w:rsidR="00256276" w:rsidRPr="00B40462">
        <w:t xml:space="preserve"> cost-minimisation analysis was undertaken.</w:t>
      </w:r>
      <w:r w:rsidR="008F7C89">
        <w:t xml:space="preserve"> </w:t>
      </w:r>
    </w:p>
    <w:p w14:paraId="00EFC7E2" w14:textId="5CE50CE1" w:rsidR="00C67024" w:rsidRDefault="00947C75" w:rsidP="00DF27DC">
      <w:pPr>
        <w:keepNext/>
        <w:keepLines/>
      </w:pPr>
      <w:r w:rsidRPr="00947C75">
        <w:t xml:space="preserve">The cost-minimisation approach considered the proportion of failed sleep studies, diagnostic accuracy, and costs to </w:t>
      </w:r>
      <w:r w:rsidR="00F460C7">
        <w:t xml:space="preserve">estimate </w:t>
      </w:r>
      <w:r w:rsidRPr="00947C75">
        <w:t xml:space="preserve">a cost per accurate diagnosis. </w:t>
      </w:r>
      <w:r w:rsidR="001874FF">
        <w:t>Treatment implications and h</w:t>
      </w:r>
      <w:r w:rsidRPr="00947C75">
        <w:t xml:space="preserve">ealth outcomes </w:t>
      </w:r>
      <w:r w:rsidR="00344E85">
        <w:t>beyond the</w:t>
      </w:r>
      <w:r w:rsidRPr="00947C75">
        <w:t xml:space="preserve"> diagnosis were not considered. The time frame was set to 1 year as this was considered an appropriate time horizon for capturing occasions of repeated sleep studies.</w:t>
      </w:r>
      <w:r w:rsidR="008F7C89">
        <w:t xml:space="preserve"> </w:t>
      </w:r>
      <w:r w:rsidR="00C5551A">
        <w:t xml:space="preserve">The </w:t>
      </w:r>
      <w:r w:rsidR="0036694C">
        <w:t xml:space="preserve">3 </w:t>
      </w:r>
      <w:r w:rsidR="00C5551A">
        <w:t xml:space="preserve">MBS items </w:t>
      </w:r>
      <w:r w:rsidR="00DF325B">
        <w:t>suggested</w:t>
      </w:r>
      <w:r w:rsidR="00D3194C">
        <w:t xml:space="preserve"> by the department </w:t>
      </w:r>
      <w:r w:rsidR="00C5551A">
        <w:t>were used</w:t>
      </w:r>
      <w:r w:rsidR="006D6E25">
        <w:t xml:space="preserve"> in the base case (</w:t>
      </w:r>
      <w:r w:rsidR="00C906DB">
        <w:t xml:space="preserve">the impact of using the 4 </w:t>
      </w:r>
      <w:r w:rsidR="0036694C">
        <w:t xml:space="preserve">MBS </w:t>
      </w:r>
      <w:r w:rsidR="00C906DB">
        <w:t>items</w:t>
      </w:r>
      <w:r w:rsidR="00AE5AFB">
        <w:t xml:space="preserve"> </w:t>
      </w:r>
      <w:r w:rsidR="006D6E25">
        <w:t xml:space="preserve">proposed by the applicant </w:t>
      </w:r>
      <w:r w:rsidR="00C906DB">
        <w:t>were tested</w:t>
      </w:r>
      <w:r w:rsidR="006D6E25">
        <w:t xml:space="preserve"> in a sensitivity analysis</w:t>
      </w:r>
      <w:r w:rsidR="00AE5AFB">
        <w:t xml:space="preserve"> and had minimal impact</w:t>
      </w:r>
      <w:r w:rsidR="001C687F">
        <w:t xml:space="preserve"> on the cost per accurate diagnosis</w:t>
      </w:r>
      <w:r w:rsidR="006D6E25">
        <w:t>)</w:t>
      </w:r>
      <w:r w:rsidR="00C5551A">
        <w:t>.</w:t>
      </w:r>
    </w:p>
    <w:p w14:paraId="6FE8DCFC" w14:textId="7AD3E13B" w:rsidR="00256276" w:rsidRPr="00B40462" w:rsidRDefault="00256276" w:rsidP="00256276">
      <w:r w:rsidRPr="00B40462">
        <w:fldChar w:fldCharType="begin"/>
      </w:r>
      <w:r w:rsidRPr="00256276">
        <w:rPr>
          <w:highlight w:val="yellow"/>
        </w:rPr>
        <w:instrText xml:space="preserve"> REF _Ref150274791 \h </w:instrText>
      </w:r>
      <w:r>
        <w:rPr>
          <w:highlight w:val="yellow"/>
        </w:rPr>
        <w:instrText xml:space="preserve"> \* MERGEFORMAT </w:instrText>
      </w:r>
      <w:r w:rsidRPr="00B40462">
        <w:fldChar w:fldCharType="separate"/>
      </w:r>
      <w:r w:rsidR="00BC2CAA" w:rsidRPr="00B40462">
        <w:t>Table </w:t>
      </w:r>
      <w:r w:rsidR="00BC2CAA">
        <w:t>11</w:t>
      </w:r>
      <w:r w:rsidRPr="00B40462">
        <w:fldChar w:fldCharType="end"/>
      </w:r>
      <w:r w:rsidRPr="00B40462">
        <w:rPr>
          <w:rFonts w:ascii="Arial Narrow" w:hAnsi="Arial Narrow"/>
          <w:sz w:val="20"/>
          <w:szCs w:val="20"/>
        </w:rPr>
        <w:t xml:space="preserve"> </w:t>
      </w:r>
      <w:r w:rsidRPr="00B40462">
        <w:t>provides a summary of the approach.</w:t>
      </w:r>
    </w:p>
    <w:p w14:paraId="537295E6" w14:textId="2D74801B" w:rsidR="00256276" w:rsidRPr="00FB0D71" w:rsidRDefault="00256276" w:rsidP="0065419A">
      <w:pPr>
        <w:pStyle w:val="Caption"/>
      </w:pPr>
      <w:bookmarkStart w:id="23" w:name="_Ref150274791"/>
      <w:r w:rsidRPr="00B40462">
        <w:t>Table </w:t>
      </w:r>
      <w:r w:rsidRPr="00B40462">
        <w:fldChar w:fldCharType="begin"/>
      </w:r>
      <w:r w:rsidRPr="009A454B">
        <w:instrText xml:space="preserve"> SEQ Table \* ARABIC </w:instrText>
      </w:r>
      <w:r w:rsidRPr="00B40462">
        <w:fldChar w:fldCharType="separate"/>
      </w:r>
      <w:r w:rsidR="00BC2CAA">
        <w:rPr>
          <w:noProof/>
        </w:rPr>
        <w:t>11</w:t>
      </w:r>
      <w:r w:rsidRPr="00B40462">
        <w:fldChar w:fldCharType="end"/>
      </w:r>
      <w:bookmarkEnd w:id="23"/>
      <w:r w:rsidRPr="00B40462">
        <w:tab/>
        <w:t>Summary of the economic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the economic evaluation"/>
        <w:tblDescription w:val="The table provides narrative descriptions of components of the economic evaluation."/>
      </w:tblPr>
      <w:tblGrid>
        <w:gridCol w:w="2689"/>
        <w:gridCol w:w="6327"/>
      </w:tblGrid>
      <w:tr w:rsidR="00256276" w:rsidRPr="00B40462" w14:paraId="56AD6853" w14:textId="77777777" w:rsidTr="0065419A">
        <w:trPr>
          <w:tblHeader/>
        </w:trPr>
        <w:tc>
          <w:tcPr>
            <w:tcW w:w="2689" w:type="dxa"/>
          </w:tcPr>
          <w:p w14:paraId="6DED7730" w14:textId="77777777" w:rsidR="00256276" w:rsidRPr="00FB0D71" w:rsidRDefault="00256276" w:rsidP="0065419A">
            <w:pPr>
              <w:pStyle w:val="TableHeading"/>
            </w:pPr>
            <w:r w:rsidRPr="00FB0D71">
              <w:t>Component</w:t>
            </w:r>
          </w:p>
        </w:tc>
        <w:tc>
          <w:tcPr>
            <w:tcW w:w="6327" w:type="dxa"/>
          </w:tcPr>
          <w:p w14:paraId="4A025616" w14:textId="77777777" w:rsidR="00256276" w:rsidRPr="00FB0D71" w:rsidRDefault="00256276" w:rsidP="0065419A">
            <w:pPr>
              <w:pStyle w:val="TableHeading"/>
            </w:pPr>
            <w:r w:rsidRPr="00FB0D71">
              <w:t>Description</w:t>
            </w:r>
          </w:p>
        </w:tc>
      </w:tr>
      <w:tr w:rsidR="00256276" w:rsidRPr="00B40462" w14:paraId="080062EE" w14:textId="77777777" w:rsidTr="0065419A">
        <w:trPr>
          <w:tblHeader/>
        </w:trPr>
        <w:tc>
          <w:tcPr>
            <w:tcW w:w="2689" w:type="dxa"/>
          </w:tcPr>
          <w:p w14:paraId="55882C4A" w14:textId="77777777" w:rsidR="00256276" w:rsidRPr="00FB0D71" w:rsidRDefault="00256276" w:rsidP="0065419A">
            <w:pPr>
              <w:pStyle w:val="TableText"/>
            </w:pPr>
            <w:r w:rsidRPr="00FB0D71">
              <w:t>Therapeutic claim: effectiveness</w:t>
            </w:r>
          </w:p>
        </w:tc>
        <w:tc>
          <w:tcPr>
            <w:tcW w:w="6327" w:type="dxa"/>
          </w:tcPr>
          <w:p w14:paraId="6418018D" w14:textId="25AA2D97" w:rsidR="00256276" w:rsidRPr="00FB0D71" w:rsidRDefault="00256276" w:rsidP="0065419A">
            <w:pPr>
              <w:pStyle w:val="TableText"/>
            </w:pPr>
            <w:r w:rsidRPr="00FB0D71">
              <w:t>Based on evidence presented</w:t>
            </w:r>
            <w:r w:rsidR="008424FE" w:rsidRPr="00FB0D71">
              <w:t xml:space="preserve"> in DCAR 1712</w:t>
            </w:r>
            <w:r w:rsidRPr="00FB0D71">
              <w:t>, effectiveness is assumed to be non-inferior</w:t>
            </w:r>
          </w:p>
        </w:tc>
      </w:tr>
      <w:tr w:rsidR="00256276" w:rsidRPr="00B40462" w14:paraId="7664E150" w14:textId="77777777" w:rsidTr="0065419A">
        <w:trPr>
          <w:tblHeader/>
        </w:trPr>
        <w:tc>
          <w:tcPr>
            <w:tcW w:w="2689" w:type="dxa"/>
          </w:tcPr>
          <w:p w14:paraId="11DFFCBC" w14:textId="77777777" w:rsidR="00256276" w:rsidRPr="00FB0D71" w:rsidRDefault="00256276" w:rsidP="0065419A">
            <w:pPr>
              <w:pStyle w:val="TableText"/>
            </w:pPr>
            <w:r w:rsidRPr="00FB0D71">
              <w:t>Therapeutic claim: safety</w:t>
            </w:r>
          </w:p>
        </w:tc>
        <w:tc>
          <w:tcPr>
            <w:tcW w:w="6327" w:type="dxa"/>
          </w:tcPr>
          <w:p w14:paraId="58EF7B95" w14:textId="008C1D53" w:rsidR="00256276" w:rsidRPr="00FB0D71" w:rsidRDefault="00256276" w:rsidP="0065419A">
            <w:pPr>
              <w:pStyle w:val="TableText"/>
            </w:pPr>
            <w:r w:rsidRPr="00FB0D71">
              <w:t>Based on evidence presented</w:t>
            </w:r>
            <w:r w:rsidR="00E51E53" w:rsidRPr="00FB0D71">
              <w:t xml:space="preserve"> in DCAR 1712</w:t>
            </w:r>
            <w:r w:rsidRPr="00FB0D71">
              <w:t>, safety is assumed to be non-inferior</w:t>
            </w:r>
          </w:p>
        </w:tc>
      </w:tr>
      <w:tr w:rsidR="00256276" w:rsidRPr="00B40462" w14:paraId="72797834" w14:textId="77777777" w:rsidTr="0065419A">
        <w:tc>
          <w:tcPr>
            <w:tcW w:w="2689" w:type="dxa"/>
          </w:tcPr>
          <w:p w14:paraId="1724A044" w14:textId="77777777" w:rsidR="00256276" w:rsidRPr="00FB0D71" w:rsidRDefault="00256276" w:rsidP="0065419A">
            <w:pPr>
              <w:pStyle w:val="TableText"/>
            </w:pPr>
            <w:r w:rsidRPr="00FB0D71">
              <w:t>Evidence base</w:t>
            </w:r>
          </w:p>
        </w:tc>
        <w:tc>
          <w:tcPr>
            <w:tcW w:w="6327" w:type="dxa"/>
          </w:tcPr>
          <w:p w14:paraId="73252140" w14:textId="77777777" w:rsidR="00256276" w:rsidRPr="00FB0D71" w:rsidRDefault="00256276" w:rsidP="0065419A">
            <w:pPr>
              <w:pStyle w:val="TableText"/>
            </w:pPr>
            <w:r w:rsidRPr="00FB0D71">
              <w:t>Evidence from non-randomised studies</w:t>
            </w:r>
          </w:p>
        </w:tc>
      </w:tr>
      <w:tr w:rsidR="00256276" w:rsidRPr="00B40462" w14:paraId="5B515913" w14:textId="77777777" w:rsidTr="0065419A">
        <w:tc>
          <w:tcPr>
            <w:tcW w:w="2689" w:type="dxa"/>
          </w:tcPr>
          <w:p w14:paraId="390548B8" w14:textId="77777777" w:rsidR="00256276" w:rsidRPr="00FB0D71" w:rsidRDefault="00256276" w:rsidP="0065419A">
            <w:pPr>
              <w:pStyle w:val="TableText"/>
            </w:pPr>
            <w:r w:rsidRPr="00FB0D71">
              <w:t>Direct health technology costs</w:t>
            </w:r>
          </w:p>
        </w:tc>
        <w:tc>
          <w:tcPr>
            <w:tcW w:w="6327" w:type="dxa"/>
          </w:tcPr>
          <w:p w14:paraId="1AC38EFE" w14:textId="77777777" w:rsidR="00256276" w:rsidRPr="00FB0D71" w:rsidRDefault="00256276" w:rsidP="0065419A">
            <w:pPr>
              <w:pStyle w:val="TableText"/>
            </w:pPr>
            <w:r w:rsidRPr="00FB0D71">
              <w:t>Lower than costs of comparator</w:t>
            </w:r>
          </w:p>
        </w:tc>
      </w:tr>
      <w:tr w:rsidR="00256276" w:rsidRPr="00B40462" w14:paraId="08732A87" w14:textId="77777777" w:rsidTr="0065419A">
        <w:tc>
          <w:tcPr>
            <w:tcW w:w="2689" w:type="dxa"/>
          </w:tcPr>
          <w:p w14:paraId="5AD30D96" w14:textId="77777777" w:rsidR="00256276" w:rsidRPr="00FB0D71" w:rsidRDefault="00256276" w:rsidP="0065419A">
            <w:pPr>
              <w:pStyle w:val="TableText"/>
            </w:pPr>
            <w:r w:rsidRPr="00FB0D71">
              <w:t>Other costs or cost offsets</w:t>
            </w:r>
          </w:p>
        </w:tc>
        <w:tc>
          <w:tcPr>
            <w:tcW w:w="6327" w:type="dxa"/>
          </w:tcPr>
          <w:p w14:paraId="6DBD0B9B" w14:textId="77777777" w:rsidR="00256276" w:rsidRPr="00FB0D71" w:rsidRDefault="00256276" w:rsidP="0065419A">
            <w:pPr>
              <w:pStyle w:val="TableText"/>
            </w:pPr>
            <w:r w:rsidRPr="00FB0D71">
              <w:t>Equivalent to the costs of comparator</w:t>
            </w:r>
          </w:p>
        </w:tc>
      </w:tr>
    </w:tbl>
    <w:p w14:paraId="45334234" w14:textId="3E54ADED" w:rsidR="00256276" w:rsidRPr="0065419A" w:rsidRDefault="001011DC" w:rsidP="0065419A">
      <w:pPr>
        <w:pStyle w:val="111Tablefootnoteslast-nostick"/>
      </w:pPr>
      <w:r w:rsidRPr="0065419A">
        <w:t>DCAR = Department Contracted Assessment Report.</w:t>
      </w:r>
    </w:p>
    <w:p w14:paraId="09DAFA29" w14:textId="090815F9" w:rsidR="00170E50" w:rsidRPr="00FB0D71" w:rsidRDefault="00170E50" w:rsidP="0065419A">
      <w:pPr>
        <w:pStyle w:val="111Tablefootnoteslast-nostick"/>
      </w:pPr>
      <w:r w:rsidRPr="00FB0D71">
        <w:t xml:space="preserve">Source: Table </w:t>
      </w:r>
      <w:r w:rsidR="008F22D4" w:rsidRPr="00FB0D71">
        <w:t xml:space="preserve">42 </w:t>
      </w:r>
      <w:r w:rsidRPr="00FB0D71">
        <w:t>of DCAR 1712.1.</w:t>
      </w:r>
    </w:p>
    <w:p w14:paraId="3B063E5E" w14:textId="191985A2" w:rsidR="00930C00" w:rsidRPr="00CF55A3" w:rsidRDefault="00930C00" w:rsidP="00256276">
      <w:r w:rsidRPr="00CF55A3">
        <w:t xml:space="preserve">The clinical inputs </w:t>
      </w:r>
      <w:r w:rsidR="00394C43" w:rsidRPr="00CF55A3">
        <w:t xml:space="preserve">used in the cost-minimisation analysis </w:t>
      </w:r>
      <w:r w:rsidRPr="00CF55A3">
        <w:t xml:space="preserve">were consistent with </w:t>
      </w:r>
      <w:r w:rsidR="00394C43" w:rsidRPr="00CF55A3">
        <w:t>those used in DCAR 1712 (</w:t>
      </w:r>
      <w:r w:rsidR="00CF55A3" w:rsidRPr="00CF55A3">
        <w:fldChar w:fldCharType="begin"/>
      </w:r>
      <w:r w:rsidR="00CF55A3" w:rsidRPr="00CF55A3">
        <w:instrText xml:space="preserve"> REF _Ref150250106 \h </w:instrText>
      </w:r>
      <w:r w:rsidR="00CF55A3">
        <w:instrText xml:space="preserve"> \* MERGEFORMAT </w:instrText>
      </w:r>
      <w:r w:rsidR="00CF55A3" w:rsidRPr="00CF55A3">
        <w:fldChar w:fldCharType="separate"/>
      </w:r>
      <w:r w:rsidR="00BC2CAA" w:rsidRPr="009F4E5F">
        <w:t xml:space="preserve">Table </w:t>
      </w:r>
      <w:r w:rsidR="00BC2CAA">
        <w:rPr>
          <w:noProof/>
        </w:rPr>
        <w:t>14</w:t>
      </w:r>
      <w:r w:rsidR="00CF55A3" w:rsidRPr="00CF55A3">
        <w:fldChar w:fldCharType="end"/>
      </w:r>
      <w:r w:rsidR="00693143" w:rsidRPr="00CF55A3">
        <w:t>).</w:t>
      </w:r>
    </w:p>
    <w:p w14:paraId="17ED0879" w14:textId="032851A0" w:rsidR="009A454B" w:rsidRPr="00FB0D71" w:rsidRDefault="009A454B" w:rsidP="0065419A">
      <w:pPr>
        <w:pStyle w:val="Caption"/>
      </w:pPr>
      <w:r w:rsidRPr="0065419A">
        <w:t xml:space="preserve">Table </w:t>
      </w:r>
      <w:r w:rsidR="00693143" w:rsidRPr="0065419A">
        <w:fldChar w:fldCharType="begin"/>
      </w:r>
      <w:r w:rsidR="00693143" w:rsidRPr="00FB0D71">
        <w:instrText xml:space="preserve"> SEQ Table \* ARABIC </w:instrText>
      </w:r>
      <w:r w:rsidR="00693143" w:rsidRPr="0065419A">
        <w:fldChar w:fldCharType="separate"/>
      </w:r>
      <w:r w:rsidR="00BC2CAA">
        <w:rPr>
          <w:noProof/>
        </w:rPr>
        <w:t>12</w:t>
      </w:r>
      <w:r w:rsidR="00693143" w:rsidRPr="0065419A">
        <w:fldChar w:fldCharType="end"/>
      </w:r>
      <w:r w:rsidRPr="0065419A">
        <w:tab/>
        <w:t>Clinical inputs in the base case analysis</w:t>
      </w:r>
    </w:p>
    <w:tbl>
      <w:tblPr>
        <w:tblStyle w:val="TableGrid"/>
        <w:tblW w:w="0" w:type="auto"/>
        <w:tblLook w:val="04A0" w:firstRow="1" w:lastRow="0" w:firstColumn="1" w:lastColumn="0" w:noHBand="0" w:noVBand="1"/>
        <w:tblCaption w:val="Clinical inputs in the base case analysis"/>
        <w:tblDescription w:val="This table shows the clinical inputs for the cost-minimisation analysis, including the value and source for each input."/>
      </w:tblPr>
      <w:tblGrid>
        <w:gridCol w:w="3114"/>
        <w:gridCol w:w="3402"/>
        <w:gridCol w:w="2500"/>
      </w:tblGrid>
      <w:tr w:rsidR="009A454B" w:rsidRPr="002A3F59" w14:paraId="536B5426" w14:textId="77777777" w:rsidTr="0065419A">
        <w:trPr>
          <w:tblHeader/>
        </w:trPr>
        <w:tc>
          <w:tcPr>
            <w:tcW w:w="3114" w:type="dxa"/>
          </w:tcPr>
          <w:p w14:paraId="7B6AC260" w14:textId="77777777" w:rsidR="009A454B" w:rsidRPr="00FB0D71" w:rsidRDefault="009A454B" w:rsidP="0065419A">
            <w:pPr>
              <w:pStyle w:val="TableHeading0"/>
            </w:pPr>
            <w:r w:rsidRPr="00FB0D71">
              <w:t>Input</w:t>
            </w:r>
          </w:p>
        </w:tc>
        <w:tc>
          <w:tcPr>
            <w:tcW w:w="3402" w:type="dxa"/>
          </w:tcPr>
          <w:p w14:paraId="49AFD476" w14:textId="77777777" w:rsidR="009A454B" w:rsidRPr="00FB0D71" w:rsidRDefault="009A454B" w:rsidP="0065419A">
            <w:pPr>
              <w:pStyle w:val="TableHeading0"/>
            </w:pPr>
            <w:r w:rsidRPr="00FB0D71">
              <w:t>Value</w:t>
            </w:r>
          </w:p>
        </w:tc>
        <w:tc>
          <w:tcPr>
            <w:tcW w:w="2500" w:type="dxa"/>
          </w:tcPr>
          <w:p w14:paraId="797688CF" w14:textId="77777777" w:rsidR="009A454B" w:rsidRPr="00FB0D71" w:rsidRDefault="009A454B" w:rsidP="0065419A">
            <w:pPr>
              <w:pStyle w:val="TableHeading0"/>
            </w:pPr>
            <w:r w:rsidRPr="00FB0D71">
              <w:t>Source</w:t>
            </w:r>
          </w:p>
        </w:tc>
      </w:tr>
      <w:tr w:rsidR="009A454B" w:rsidRPr="002A3F59" w14:paraId="3DCD7CA1" w14:textId="77777777" w:rsidTr="0065419A">
        <w:tc>
          <w:tcPr>
            <w:tcW w:w="3114" w:type="dxa"/>
          </w:tcPr>
          <w:p w14:paraId="578825D2" w14:textId="77777777" w:rsidR="009A454B" w:rsidRPr="00FB0D71" w:rsidRDefault="009A454B" w:rsidP="0065419A">
            <w:pPr>
              <w:pStyle w:val="TableText"/>
            </w:pPr>
            <w:r w:rsidRPr="00FB0D71">
              <w:t>Diagnostic accuracy (treatment threshold – moderate to severe)</w:t>
            </w:r>
          </w:p>
        </w:tc>
        <w:tc>
          <w:tcPr>
            <w:tcW w:w="3402" w:type="dxa"/>
          </w:tcPr>
          <w:p w14:paraId="1D1FD856" w14:textId="77777777" w:rsidR="009A454B" w:rsidRPr="00FB0D71" w:rsidRDefault="009A454B" w:rsidP="0065419A">
            <w:pPr>
              <w:pStyle w:val="TableText"/>
            </w:pPr>
            <w:r w:rsidRPr="00FB0D71">
              <w:t>Sensitivity 1.00 (0.29-1.00)</w:t>
            </w:r>
          </w:p>
          <w:p w14:paraId="69BB160F" w14:textId="77777777" w:rsidR="009A454B" w:rsidRPr="00FB0D71" w:rsidRDefault="009A454B" w:rsidP="0065419A">
            <w:pPr>
              <w:pStyle w:val="TableText"/>
            </w:pPr>
            <w:r w:rsidRPr="00FB0D71">
              <w:t>Specificity 0.98 (0.88 – 1.00)</w:t>
            </w:r>
          </w:p>
        </w:tc>
        <w:tc>
          <w:tcPr>
            <w:tcW w:w="2500" w:type="dxa"/>
          </w:tcPr>
          <w:p w14:paraId="494A2DD7" w14:textId="1F280997" w:rsidR="009A454B" w:rsidRPr="00FB0D71" w:rsidRDefault="009A454B" w:rsidP="0065419A">
            <w:pPr>
              <w:pStyle w:val="TableText"/>
            </w:pPr>
            <w:r w:rsidRPr="00FB0D71">
              <w:t xml:space="preserve">Withers et al. 2022 </w:t>
            </w:r>
            <w:r w:rsidR="001A5DB5" w:rsidRPr="00FB0D71">
              <w:t xml:space="preserve">(see </w:t>
            </w:r>
            <w:r w:rsidR="0041327D" w:rsidRPr="00FB0D71">
              <w:t>Appendix A, Table 44)</w:t>
            </w:r>
          </w:p>
        </w:tc>
      </w:tr>
      <w:tr w:rsidR="009A454B" w:rsidRPr="002A3F59" w14:paraId="5E968759" w14:textId="77777777" w:rsidTr="0065419A">
        <w:tc>
          <w:tcPr>
            <w:tcW w:w="3114" w:type="dxa"/>
          </w:tcPr>
          <w:p w14:paraId="0F32F911" w14:textId="77777777" w:rsidR="009A454B" w:rsidRPr="00FB0D71" w:rsidRDefault="009A454B" w:rsidP="0065419A">
            <w:pPr>
              <w:pStyle w:val="TableText"/>
            </w:pPr>
            <w:r w:rsidRPr="00FB0D71">
              <w:t>Prevalence</w:t>
            </w:r>
          </w:p>
        </w:tc>
        <w:tc>
          <w:tcPr>
            <w:tcW w:w="3402" w:type="dxa"/>
          </w:tcPr>
          <w:p w14:paraId="3189CD14" w14:textId="77777777" w:rsidR="009A454B" w:rsidRPr="00FB0D71" w:rsidRDefault="009A454B" w:rsidP="0065419A">
            <w:pPr>
              <w:pStyle w:val="TableText"/>
            </w:pPr>
            <w:r w:rsidRPr="00FB0D71">
              <w:t>40%</w:t>
            </w:r>
          </w:p>
        </w:tc>
        <w:tc>
          <w:tcPr>
            <w:tcW w:w="2500" w:type="dxa"/>
          </w:tcPr>
          <w:p w14:paraId="0E8D522F" w14:textId="77777777" w:rsidR="009A454B" w:rsidRPr="00FB0D71" w:rsidRDefault="009A454B" w:rsidP="0065419A">
            <w:pPr>
              <w:pStyle w:val="TableText"/>
            </w:pPr>
            <w:r w:rsidRPr="00FB0D71">
              <w:t>Assumption – clinical experts</w:t>
            </w:r>
          </w:p>
        </w:tc>
      </w:tr>
      <w:tr w:rsidR="009A454B" w:rsidRPr="002A3F59" w14:paraId="103D0EE9" w14:textId="77777777" w:rsidTr="0065419A">
        <w:tc>
          <w:tcPr>
            <w:tcW w:w="3114" w:type="dxa"/>
          </w:tcPr>
          <w:p w14:paraId="4FD35CF7" w14:textId="77777777" w:rsidR="009A454B" w:rsidRPr="00FB0D71" w:rsidRDefault="009A454B" w:rsidP="0065419A">
            <w:pPr>
              <w:pStyle w:val="TableText"/>
            </w:pPr>
            <w:r w:rsidRPr="00FB0D71">
              <w:t>Level 1 PSG failed test rate</w:t>
            </w:r>
          </w:p>
        </w:tc>
        <w:tc>
          <w:tcPr>
            <w:tcW w:w="3402" w:type="dxa"/>
          </w:tcPr>
          <w:p w14:paraId="7AA23E54" w14:textId="77777777" w:rsidR="009A454B" w:rsidRPr="00FB0D71" w:rsidRDefault="009A454B" w:rsidP="0065419A">
            <w:pPr>
              <w:pStyle w:val="TableText"/>
            </w:pPr>
            <w:r w:rsidRPr="00FB0D71">
              <w:t>0%</w:t>
            </w:r>
          </w:p>
        </w:tc>
        <w:tc>
          <w:tcPr>
            <w:tcW w:w="2500" w:type="dxa"/>
          </w:tcPr>
          <w:p w14:paraId="3D3E0B1C" w14:textId="77777777" w:rsidR="009A454B" w:rsidRPr="00FB0D71" w:rsidRDefault="009A454B" w:rsidP="0065419A">
            <w:pPr>
              <w:pStyle w:val="TableText"/>
            </w:pPr>
            <w:r w:rsidRPr="00FB0D71">
              <w:t>Assumption – consistent with Application 1130</w:t>
            </w:r>
          </w:p>
        </w:tc>
      </w:tr>
      <w:tr w:rsidR="009A454B" w:rsidRPr="002A3F59" w14:paraId="74244055" w14:textId="77777777" w:rsidTr="0065419A">
        <w:tc>
          <w:tcPr>
            <w:tcW w:w="3114" w:type="dxa"/>
          </w:tcPr>
          <w:p w14:paraId="1171BD0A" w14:textId="77777777" w:rsidR="009A454B" w:rsidRPr="00FB0D71" w:rsidRDefault="009A454B" w:rsidP="0065419A">
            <w:pPr>
              <w:pStyle w:val="TableText"/>
            </w:pPr>
            <w:r w:rsidRPr="00FB0D71">
              <w:t>Level 2 PSG failed (and inconclusive) test rate</w:t>
            </w:r>
          </w:p>
        </w:tc>
        <w:tc>
          <w:tcPr>
            <w:tcW w:w="3402" w:type="dxa"/>
          </w:tcPr>
          <w:p w14:paraId="536DEB8B" w14:textId="77777777" w:rsidR="009A454B" w:rsidRPr="00FB0D71" w:rsidRDefault="009A454B" w:rsidP="0065419A">
            <w:pPr>
              <w:pStyle w:val="TableText"/>
            </w:pPr>
            <w:r w:rsidRPr="00FB0D71">
              <w:t>10%</w:t>
            </w:r>
          </w:p>
        </w:tc>
        <w:tc>
          <w:tcPr>
            <w:tcW w:w="2500" w:type="dxa"/>
          </w:tcPr>
          <w:p w14:paraId="3AF21534" w14:textId="7A56B8F9" w:rsidR="009A454B" w:rsidRPr="00FB0D71" w:rsidRDefault="009A454B" w:rsidP="0065419A">
            <w:pPr>
              <w:pStyle w:val="TableText"/>
            </w:pPr>
            <w:r w:rsidRPr="00FB0D71">
              <w:t xml:space="preserve">Griffiths et al. 2022 </w:t>
            </w:r>
            <w:r w:rsidR="00733E0A">
              <w:t>(</w:t>
            </w:r>
            <w:r w:rsidR="0049737C" w:rsidRPr="00FB0D71">
              <w:t>see Appendix A, Table 4</w:t>
            </w:r>
            <w:r w:rsidR="00611689" w:rsidRPr="00FB0D71">
              <w:t>5</w:t>
            </w:r>
            <w:r w:rsidR="0049737C" w:rsidRPr="00FB0D71">
              <w:t>)</w:t>
            </w:r>
          </w:p>
        </w:tc>
      </w:tr>
      <w:tr w:rsidR="009A454B" w:rsidRPr="002A3F59" w14:paraId="1FFDF4A3" w14:textId="77777777" w:rsidTr="0065419A">
        <w:tc>
          <w:tcPr>
            <w:tcW w:w="3114" w:type="dxa"/>
          </w:tcPr>
          <w:p w14:paraId="101B6603" w14:textId="5C1D4E60" w:rsidR="009A454B" w:rsidRPr="00FB0D71" w:rsidRDefault="009A454B" w:rsidP="0065419A">
            <w:pPr>
              <w:pStyle w:val="TableText"/>
            </w:pPr>
            <w:r w:rsidRPr="00FB0D71">
              <w:t xml:space="preserve">Second Level 2 PSG </w:t>
            </w:r>
            <w:r w:rsidR="00713847" w:rsidRPr="00FB0D71">
              <w:t>failed (and inconclusive) test rate</w:t>
            </w:r>
          </w:p>
        </w:tc>
        <w:tc>
          <w:tcPr>
            <w:tcW w:w="3402" w:type="dxa"/>
          </w:tcPr>
          <w:p w14:paraId="06253EE9" w14:textId="77777777" w:rsidR="009A454B" w:rsidRPr="00FB0D71" w:rsidRDefault="009A454B" w:rsidP="0065419A">
            <w:pPr>
              <w:pStyle w:val="TableText"/>
            </w:pPr>
            <w:r w:rsidRPr="00FB0D71">
              <w:t>6%</w:t>
            </w:r>
          </w:p>
        </w:tc>
        <w:tc>
          <w:tcPr>
            <w:tcW w:w="2500" w:type="dxa"/>
          </w:tcPr>
          <w:p w14:paraId="5DEB1E80" w14:textId="5A5F8F07" w:rsidR="009A454B" w:rsidRPr="00FB0D71" w:rsidRDefault="009A454B" w:rsidP="0065419A">
            <w:pPr>
              <w:pStyle w:val="TableText"/>
            </w:pPr>
            <w:r w:rsidRPr="00FB0D71">
              <w:t>Assumption</w:t>
            </w:r>
            <w:r w:rsidR="0049737C" w:rsidRPr="00FB0D71">
              <w:t xml:space="preserve"> based on Appendix A </w:t>
            </w:r>
            <w:r w:rsidR="00733E0A">
              <w:t>(</w:t>
            </w:r>
            <w:r w:rsidR="0049737C" w:rsidRPr="00FB0D71">
              <w:t>Table 45)</w:t>
            </w:r>
          </w:p>
        </w:tc>
      </w:tr>
      <w:tr w:rsidR="00B86AC9" w14:paraId="3ABC15D2" w14:textId="77777777" w:rsidTr="0065419A">
        <w:tc>
          <w:tcPr>
            <w:tcW w:w="3114" w:type="dxa"/>
          </w:tcPr>
          <w:p w14:paraId="1D4AAA81" w14:textId="77777777" w:rsidR="00B86AC9" w:rsidRPr="00FB0D71" w:rsidRDefault="00B86AC9" w:rsidP="0065419A">
            <w:pPr>
              <w:pStyle w:val="TableText"/>
            </w:pPr>
            <w:r w:rsidRPr="00FB0D71">
              <w:t>Following failed Level 2 PSG test</w:t>
            </w:r>
          </w:p>
        </w:tc>
        <w:tc>
          <w:tcPr>
            <w:tcW w:w="3402" w:type="dxa"/>
          </w:tcPr>
          <w:p w14:paraId="3B0FB76F" w14:textId="77777777" w:rsidR="00447AAD" w:rsidRPr="00FB0D71" w:rsidRDefault="00B86AC9" w:rsidP="0065419A">
            <w:pPr>
              <w:pStyle w:val="TableText"/>
            </w:pPr>
            <w:r w:rsidRPr="00FB0D71">
              <w:t xml:space="preserve">50% repeat Level 2 PSG tests, 50% have Level 1 PSG test. No separate rate for ‘inconclusive test’ available. </w:t>
            </w:r>
          </w:p>
          <w:p w14:paraId="547BE084" w14:textId="0093A438" w:rsidR="00B86AC9" w:rsidRPr="00FB0D71" w:rsidRDefault="00B86AC9" w:rsidP="0065419A">
            <w:pPr>
              <w:pStyle w:val="TableText"/>
            </w:pPr>
            <w:r w:rsidRPr="00FB0D71">
              <w:t xml:space="preserve">After second failure, all retested with Level 1 PSG. </w:t>
            </w:r>
          </w:p>
        </w:tc>
        <w:tc>
          <w:tcPr>
            <w:tcW w:w="2500" w:type="dxa"/>
          </w:tcPr>
          <w:p w14:paraId="2F611700" w14:textId="77777777" w:rsidR="00B86AC9" w:rsidRPr="00FB0D71" w:rsidRDefault="00B86AC9" w:rsidP="0065419A">
            <w:pPr>
              <w:pStyle w:val="TableText"/>
            </w:pPr>
            <w:r w:rsidRPr="00FB0D71">
              <w:t>Assumption</w:t>
            </w:r>
          </w:p>
        </w:tc>
      </w:tr>
    </w:tbl>
    <w:p w14:paraId="6C9EC669" w14:textId="01297F23" w:rsidR="009A454B" w:rsidRPr="00FB0D71" w:rsidRDefault="009A454B" w:rsidP="0065419A">
      <w:pPr>
        <w:pStyle w:val="111Tablefootnoteslast-nostick"/>
      </w:pPr>
      <w:r w:rsidRPr="0065419A">
        <w:t>PSG = polysomnography.</w:t>
      </w:r>
    </w:p>
    <w:p w14:paraId="222EA900" w14:textId="27CC59CD" w:rsidR="009A454B" w:rsidRDefault="009A454B" w:rsidP="00336931">
      <w:pPr>
        <w:pStyle w:val="111Tablefootnoteslast-nostick"/>
      </w:pPr>
      <w:r w:rsidRPr="007956C9">
        <w:t xml:space="preserve">Source: Table </w:t>
      </w:r>
      <w:r w:rsidR="008F22D4">
        <w:t>43</w:t>
      </w:r>
      <w:r w:rsidR="008F22D4" w:rsidRPr="007956C9">
        <w:t xml:space="preserve"> </w:t>
      </w:r>
      <w:r w:rsidRPr="007956C9">
        <w:t>of DCAR 1712.</w:t>
      </w:r>
      <w:r w:rsidR="00170E50" w:rsidRPr="007956C9">
        <w:t>1</w:t>
      </w:r>
      <w:r w:rsidRPr="007956C9">
        <w:t>.</w:t>
      </w:r>
    </w:p>
    <w:p w14:paraId="5A7F9177" w14:textId="1B3A8D16" w:rsidR="00256276" w:rsidRPr="002628E4" w:rsidRDefault="00256276" w:rsidP="00256276">
      <w:r w:rsidRPr="002628E4">
        <w:t xml:space="preserve">The costs considered </w:t>
      </w:r>
      <w:r w:rsidR="008255AF" w:rsidRPr="002628E4">
        <w:t>in the economic evaluation</w:t>
      </w:r>
      <w:r w:rsidRPr="002628E4">
        <w:t xml:space="preserve"> were from a health system perspective</w:t>
      </w:r>
      <w:r w:rsidR="001B1A41">
        <w:t xml:space="preserve"> (</w:t>
      </w:r>
      <w:r w:rsidRPr="002628E4">
        <w:fldChar w:fldCharType="begin"/>
      </w:r>
      <w:r w:rsidRPr="002628E4">
        <w:instrText xml:space="preserve"> REF _Ref150249304 \h  \* MERGEFORMAT </w:instrText>
      </w:r>
      <w:r w:rsidRPr="002628E4">
        <w:fldChar w:fldCharType="separate"/>
      </w:r>
      <w:r w:rsidR="00BC2CAA" w:rsidRPr="009F5B81">
        <w:t>Table </w:t>
      </w:r>
      <w:r w:rsidR="00BC2CAA">
        <w:t>13</w:t>
      </w:r>
      <w:r w:rsidRPr="002628E4">
        <w:fldChar w:fldCharType="end"/>
      </w:r>
      <w:r w:rsidR="001B1A41">
        <w:t>)</w:t>
      </w:r>
      <w:r w:rsidRPr="002628E4">
        <w:t xml:space="preserve">. </w:t>
      </w:r>
      <w:r w:rsidR="002628E4" w:rsidRPr="002628E4">
        <w:t>The approach to derive costs is consistent with DCAR 1712, although more recent sources have been used.</w:t>
      </w:r>
    </w:p>
    <w:p w14:paraId="6AFC747E" w14:textId="30434D73" w:rsidR="00256276" w:rsidRPr="009F5B81" w:rsidRDefault="00256276" w:rsidP="000D7E4D">
      <w:pPr>
        <w:pStyle w:val="Caption"/>
        <w:keepLines/>
      </w:pPr>
      <w:bookmarkStart w:id="24" w:name="_Ref150249304"/>
      <w:r w:rsidRPr="009F5B81">
        <w:t>Table </w:t>
      </w:r>
      <w:r w:rsidR="00BC2CAA">
        <w:fldChar w:fldCharType="begin"/>
      </w:r>
      <w:r w:rsidR="00BC2CAA">
        <w:instrText xml:space="preserve"> SEQ Table \* ARABIC </w:instrText>
      </w:r>
      <w:r w:rsidR="00BC2CAA">
        <w:fldChar w:fldCharType="separate"/>
      </w:r>
      <w:r w:rsidR="00BC2CAA">
        <w:rPr>
          <w:noProof/>
        </w:rPr>
        <w:t>13</w:t>
      </w:r>
      <w:r w:rsidR="00BC2CAA">
        <w:rPr>
          <w:noProof/>
        </w:rPr>
        <w:fldChar w:fldCharType="end"/>
      </w:r>
      <w:bookmarkEnd w:id="24"/>
      <w:r w:rsidRPr="009F5B81">
        <w:tab/>
        <w:t>Summary of the costs included in the cost-minimisation approach</w:t>
      </w:r>
    </w:p>
    <w:tbl>
      <w:tblPr>
        <w:tblStyle w:val="TableGrid1"/>
        <w:tblW w:w="5000" w:type="pct"/>
        <w:tblLayout w:type="fixed"/>
        <w:tblLook w:val="04A0" w:firstRow="1" w:lastRow="0" w:firstColumn="1" w:lastColumn="0" w:noHBand="0" w:noVBand="1"/>
        <w:tblCaption w:val="Summary of the costs included in the cost-minimisation approach"/>
        <w:tblDescription w:val="This table summarises the costs included in the cost-minimsation approach including parameter, value and source. "/>
      </w:tblPr>
      <w:tblGrid>
        <w:gridCol w:w="3257"/>
        <w:gridCol w:w="1197"/>
        <w:gridCol w:w="4562"/>
      </w:tblGrid>
      <w:tr w:rsidR="00A97F36" w:rsidRPr="00FF73B8" w14:paraId="1C8FFF2D" w14:textId="77777777" w:rsidTr="00505A83">
        <w:trPr>
          <w:cnfStyle w:val="100000000000" w:firstRow="1" w:lastRow="0" w:firstColumn="0" w:lastColumn="0" w:oddVBand="0" w:evenVBand="0" w:oddHBand="0" w:evenHBand="0" w:firstRowFirstColumn="0" w:firstRowLastColumn="0" w:lastRowFirstColumn="0" w:lastRowLastColumn="0"/>
        </w:trPr>
        <w:tc>
          <w:tcPr>
            <w:tcW w:w="1806" w:type="pct"/>
            <w:tcBorders>
              <w:bottom w:val="single" w:sz="4" w:space="0" w:color="auto"/>
            </w:tcBorders>
          </w:tcPr>
          <w:p w14:paraId="1C13CFA1" w14:textId="77777777" w:rsidR="00C2207A" w:rsidRPr="00FF73B8" w:rsidRDefault="00C2207A" w:rsidP="000D7E4D">
            <w:pPr>
              <w:pStyle w:val="TableHeading"/>
              <w:keepLines/>
            </w:pPr>
            <w:r w:rsidRPr="00FF73B8">
              <w:t>Parameter</w:t>
            </w:r>
          </w:p>
        </w:tc>
        <w:tc>
          <w:tcPr>
            <w:tcW w:w="664" w:type="pct"/>
            <w:tcBorders>
              <w:bottom w:val="single" w:sz="4" w:space="0" w:color="auto"/>
            </w:tcBorders>
          </w:tcPr>
          <w:p w14:paraId="3F111679" w14:textId="77777777" w:rsidR="00C2207A" w:rsidRPr="00FF73B8" w:rsidRDefault="00C2207A" w:rsidP="000D7E4D">
            <w:pPr>
              <w:pStyle w:val="TableHeading"/>
              <w:keepLines/>
              <w:jc w:val="center"/>
            </w:pPr>
            <w:r w:rsidRPr="00FF73B8">
              <w:t>Value</w:t>
            </w:r>
          </w:p>
        </w:tc>
        <w:tc>
          <w:tcPr>
            <w:tcW w:w="2530" w:type="pct"/>
            <w:tcBorders>
              <w:bottom w:val="single" w:sz="4" w:space="0" w:color="auto"/>
            </w:tcBorders>
          </w:tcPr>
          <w:p w14:paraId="0D9808A3" w14:textId="77777777" w:rsidR="00C2207A" w:rsidRPr="00FF73B8" w:rsidRDefault="00C2207A" w:rsidP="000D7E4D">
            <w:pPr>
              <w:pStyle w:val="TableHeading"/>
              <w:keepLines/>
            </w:pPr>
            <w:r w:rsidRPr="00FF73B8">
              <w:t>Source</w:t>
            </w:r>
          </w:p>
        </w:tc>
      </w:tr>
      <w:tr w:rsidR="002E4F74" w:rsidRPr="00FF73B8" w14:paraId="223FC657" w14:textId="77777777" w:rsidTr="00505A83">
        <w:tc>
          <w:tcPr>
            <w:tcW w:w="1806" w:type="pct"/>
            <w:tcBorders>
              <w:right w:val="nil"/>
            </w:tcBorders>
          </w:tcPr>
          <w:p w14:paraId="5B3D3065" w14:textId="77777777" w:rsidR="00C2207A" w:rsidRPr="00FF73B8" w:rsidRDefault="00C2207A" w:rsidP="000D7E4D">
            <w:pPr>
              <w:pStyle w:val="TableHeading"/>
              <w:keepLines/>
            </w:pPr>
            <w:r w:rsidRPr="00FF73B8">
              <w:t xml:space="preserve">Direct health </w:t>
            </w:r>
            <w:r>
              <w:t>service</w:t>
            </w:r>
            <w:r w:rsidRPr="00FF73B8">
              <w:t xml:space="preserve"> costs</w:t>
            </w:r>
          </w:p>
        </w:tc>
        <w:tc>
          <w:tcPr>
            <w:tcW w:w="664" w:type="pct"/>
            <w:tcBorders>
              <w:left w:val="nil"/>
              <w:right w:val="nil"/>
            </w:tcBorders>
          </w:tcPr>
          <w:p w14:paraId="557684BB" w14:textId="77777777" w:rsidR="00C2207A" w:rsidRPr="00FF73B8" w:rsidRDefault="00C2207A" w:rsidP="000D7E4D">
            <w:pPr>
              <w:pStyle w:val="TableHeading"/>
              <w:keepLines/>
            </w:pPr>
          </w:p>
        </w:tc>
        <w:tc>
          <w:tcPr>
            <w:tcW w:w="2530" w:type="pct"/>
            <w:tcBorders>
              <w:left w:val="nil"/>
            </w:tcBorders>
          </w:tcPr>
          <w:p w14:paraId="3ECEE54E" w14:textId="77777777" w:rsidR="00C2207A" w:rsidRPr="00FF73B8" w:rsidRDefault="00C2207A" w:rsidP="000D7E4D">
            <w:pPr>
              <w:pStyle w:val="TableHeading"/>
              <w:keepLines/>
            </w:pPr>
          </w:p>
        </w:tc>
      </w:tr>
      <w:tr w:rsidR="00A97F36" w:rsidRPr="00FF73B8" w14:paraId="4A68937E" w14:textId="77777777" w:rsidTr="00505A83">
        <w:tc>
          <w:tcPr>
            <w:tcW w:w="1806" w:type="pct"/>
            <w:tcBorders>
              <w:bottom w:val="single" w:sz="4" w:space="0" w:color="auto"/>
            </w:tcBorders>
          </w:tcPr>
          <w:p w14:paraId="03A8CBC1" w14:textId="77777777" w:rsidR="00C2207A" w:rsidRPr="00FF73B8" w:rsidRDefault="00C2207A" w:rsidP="000D7E4D">
            <w:pPr>
              <w:pStyle w:val="TableText"/>
              <w:keepNext/>
              <w:keepLines/>
            </w:pPr>
            <w:r w:rsidRPr="00FF73B8">
              <w:t xml:space="preserve">Cost of </w:t>
            </w:r>
            <w:r>
              <w:t>Level 2 PSG</w:t>
            </w:r>
            <w:r w:rsidRPr="00FF73B8">
              <w:t xml:space="preserve"> (intervention)</w:t>
            </w:r>
          </w:p>
        </w:tc>
        <w:tc>
          <w:tcPr>
            <w:tcW w:w="664" w:type="pct"/>
            <w:tcBorders>
              <w:bottom w:val="single" w:sz="4" w:space="0" w:color="auto"/>
            </w:tcBorders>
          </w:tcPr>
          <w:p w14:paraId="7D9D5DE9" w14:textId="659DC37E" w:rsidR="00C2207A" w:rsidRPr="00FF73B8" w:rsidRDefault="00C2207A" w:rsidP="000D7E4D">
            <w:pPr>
              <w:pStyle w:val="TableText"/>
              <w:keepNext/>
              <w:keepLines/>
              <w:jc w:val="center"/>
            </w:pPr>
            <w:r>
              <w:rPr>
                <w:shd w:val="clear" w:color="auto" w:fill="FFFFFF" w:themeFill="background1"/>
              </w:rPr>
              <w:t>$</w:t>
            </w:r>
            <w:r w:rsidRPr="00235057">
              <w:rPr>
                <w:shd w:val="clear" w:color="auto" w:fill="FFFFFF" w:themeFill="background1"/>
              </w:rPr>
              <w:t>523.</w:t>
            </w:r>
            <w:r w:rsidR="00F06B7C">
              <w:rPr>
                <w:shd w:val="clear" w:color="auto" w:fill="FFFFFF" w:themeFill="background1"/>
              </w:rPr>
              <w:t>46</w:t>
            </w:r>
          </w:p>
        </w:tc>
        <w:tc>
          <w:tcPr>
            <w:tcW w:w="2530" w:type="pct"/>
            <w:tcBorders>
              <w:bottom w:val="single" w:sz="4" w:space="0" w:color="auto"/>
            </w:tcBorders>
          </w:tcPr>
          <w:p w14:paraId="1928B9B2" w14:textId="76E1BC9C" w:rsidR="00C2207A" w:rsidRPr="00FF73B8" w:rsidRDefault="00C934B9" w:rsidP="000D7E4D">
            <w:pPr>
              <w:pStyle w:val="TableText"/>
              <w:keepNext/>
              <w:keepLines/>
            </w:pPr>
            <w:r w:rsidRPr="00C934B9">
              <w:rPr>
                <w:shd w:val="clear" w:color="auto" w:fill="FFFFFF" w:themeFill="background1"/>
              </w:rPr>
              <w:t xml:space="preserve">Table </w:t>
            </w:r>
            <w:r>
              <w:rPr>
                <w:noProof/>
              </w:rPr>
              <w:t>25</w:t>
            </w:r>
            <w:r w:rsidR="00C2207A">
              <w:rPr>
                <w:shd w:val="clear" w:color="auto" w:fill="FFFFFF" w:themeFill="background1"/>
              </w:rPr>
              <w:t>.</w:t>
            </w:r>
            <w:r w:rsidR="00C2207A" w:rsidRPr="00FF73B8">
              <w:t xml:space="preserve"> Weighted average assuming </w:t>
            </w:r>
            <w:r w:rsidR="00C2207A" w:rsidRPr="00EA4D25">
              <w:rPr>
                <w:shd w:val="clear" w:color="auto" w:fill="FFFFFF" w:themeFill="background1"/>
              </w:rPr>
              <w:t>18.7%</w:t>
            </w:r>
            <w:r w:rsidR="00C2207A" w:rsidRPr="00FF73B8">
              <w:t xml:space="preserve"> </w:t>
            </w:r>
            <w:r w:rsidR="00C2207A">
              <w:t>of testing performed</w:t>
            </w:r>
            <w:r w:rsidR="00C2207A" w:rsidRPr="00FF73B8">
              <w:t xml:space="preserve"> in adolescents </w:t>
            </w:r>
            <w:r w:rsidR="00C2207A">
              <w:t xml:space="preserve">and </w:t>
            </w:r>
            <w:r w:rsidR="00C2207A" w:rsidRPr="00EA4D25">
              <w:rPr>
                <w:shd w:val="clear" w:color="auto" w:fill="FFFFFF" w:themeFill="background1"/>
              </w:rPr>
              <w:t>81.3%</w:t>
            </w:r>
            <w:r w:rsidR="00C2207A" w:rsidRPr="00FF73B8">
              <w:t xml:space="preserve"> in children (based on MBS claiming data for items 12210 and 12213, respectively, for FY </w:t>
            </w:r>
            <w:r w:rsidR="00C2207A" w:rsidRPr="00EA4D25">
              <w:rPr>
                <w:shd w:val="clear" w:color="auto" w:fill="FFFFFF" w:themeFill="background1"/>
              </w:rPr>
              <w:t>2023</w:t>
            </w:r>
            <w:r w:rsidR="00C2207A">
              <w:rPr>
                <w:shd w:val="clear" w:color="auto" w:fill="FFFFFF" w:themeFill="background1"/>
              </w:rPr>
              <w:t>-</w:t>
            </w:r>
            <w:r w:rsidR="00C2207A" w:rsidRPr="00EA4D25">
              <w:rPr>
                <w:shd w:val="clear" w:color="auto" w:fill="FFFFFF" w:themeFill="background1"/>
              </w:rPr>
              <w:t>24</w:t>
            </w:r>
            <w:r w:rsidR="00C2207A" w:rsidRPr="00D6201E">
              <w:rPr>
                <w:shd w:val="clear" w:color="auto" w:fill="FFFFFF" w:themeFill="background1"/>
              </w:rPr>
              <w:t>)</w:t>
            </w:r>
            <w:r w:rsidR="00C2207A" w:rsidRPr="00C32E6B">
              <w:rPr>
                <w:shd w:val="clear" w:color="auto" w:fill="FFFFFF" w:themeFill="background1"/>
                <w:vertAlign w:val="superscript"/>
              </w:rPr>
              <w:t>a</w:t>
            </w:r>
            <w:r w:rsidR="00C2207A" w:rsidRPr="00CC43CF">
              <w:rPr>
                <w:shd w:val="clear" w:color="auto" w:fill="FFFFFF" w:themeFill="background1"/>
              </w:rPr>
              <w:t xml:space="preserve"> </w:t>
            </w:r>
            <w:r w:rsidR="00C2207A" w:rsidRPr="00D6201E">
              <w:rPr>
                <w:shd w:val="clear" w:color="auto" w:fill="FFFFFF" w:themeFill="background1"/>
              </w:rPr>
              <w:t>and</w:t>
            </w:r>
            <w:r w:rsidR="00C2207A" w:rsidRPr="00CC43CF">
              <w:rPr>
                <w:shd w:val="clear" w:color="auto" w:fill="FFFFFF" w:themeFill="background1"/>
              </w:rPr>
              <w:t xml:space="preserve"> weighted for % of total population (all ages) residing in MM 1-2 </w:t>
            </w:r>
            <w:r w:rsidR="00C2207A">
              <w:rPr>
                <w:shd w:val="clear" w:color="auto" w:fill="FFFFFF" w:themeFill="background1"/>
              </w:rPr>
              <w:t>(80%)</w:t>
            </w:r>
            <w:r w:rsidR="00C2207A" w:rsidRPr="00CC43CF">
              <w:rPr>
                <w:shd w:val="clear" w:color="auto" w:fill="FFFFFF" w:themeFill="background1"/>
              </w:rPr>
              <w:t xml:space="preserve"> vs MM 3-7</w:t>
            </w:r>
            <w:r w:rsidR="00C2207A">
              <w:rPr>
                <w:shd w:val="clear" w:color="auto" w:fill="FFFFFF" w:themeFill="background1"/>
              </w:rPr>
              <w:t xml:space="preserve"> (20%)</w:t>
            </w:r>
            <w:r w:rsidR="00C2207A" w:rsidRPr="00CC43CF">
              <w:rPr>
                <w:shd w:val="clear" w:color="auto" w:fill="FFFFFF" w:themeFill="background1"/>
              </w:rPr>
              <w:t xml:space="preserve"> (</w:t>
            </w:r>
            <w:r w:rsidR="00C2207A">
              <w:rPr>
                <w:shd w:val="clear" w:color="auto" w:fill="FFFFFF" w:themeFill="background1"/>
              </w:rPr>
              <w:t xml:space="preserve">derived from </w:t>
            </w:r>
            <w:r w:rsidR="00C2207A" w:rsidRPr="00CC43CF">
              <w:rPr>
                <w:shd w:val="clear" w:color="auto" w:fill="FFFFFF" w:themeFill="background1"/>
              </w:rPr>
              <w:t xml:space="preserve">Versace </w:t>
            </w:r>
            <w:r w:rsidR="00C2207A">
              <w:rPr>
                <w:shd w:val="clear" w:color="auto" w:fill="FFFFFF" w:themeFill="background1"/>
              </w:rPr>
              <w:t xml:space="preserve">et al. </w:t>
            </w:r>
            <w:r w:rsidR="00C2207A" w:rsidRPr="00CC43CF">
              <w:rPr>
                <w:shd w:val="clear" w:color="auto" w:fill="FFFFFF" w:themeFill="background1"/>
              </w:rPr>
              <w:t>2021</w:t>
            </w:r>
            <w:r w:rsidR="00C2207A">
              <w:rPr>
                <w:shd w:val="clear" w:color="auto" w:fill="FFFFFF" w:themeFill="background1"/>
              </w:rPr>
              <w:t>, Table 1</w:t>
            </w:r>
            <w:r w:rsidR="00C2207A" w:rsidRPr="00CC43CF">
              <w:rPr>
                <w:shd w:val="clear" w:color="auto" w:fill="FFFFFF" w:themeFill="background1"/>
              </w:rPr>
              <w:t>).</w:t>
            </w:r>
          </w:p>
        </w:tc>
      </w:tr>
      <w:tr w:rsidR="009F5E52" w:rsidRPr="00FF73B8" w14:paraId="78650B1E" w14:textId="77777777" w:rsidTr="00505A83">
        <w:tc>
          <w:tcPr>
            <w:tcW w:w="1806" w:type="pct"/>
            <w:tcBorders>
              <w:bottom w:val="single" w:sz="4" w:space="0" w:color="auto"/>
            </w:tcBorders>
          </w:tcPr>
          <w:p w14:paraId="28EF1A99" w14:textId="77777777" w:rsidR="00C2207A" w:rsidRPr="00FF73B8" w:rsidRDefault="00C2207A" w:rsidP="000D7E4D">
            <w:pPr>
              <w:pStyle w:val="TableText"/>
              <w:keepNext/>
              <w:keepLines/>
            </w:pPr>
            <w:r w:rsidRPr="00FF73B8">
              <w:t xml:space="preserve">Cost of </w:t>
            </w:r>
            <w:r>
              <w:t>Level 1 PSG</w:t>
            </w:r>
            <w:r w:rsidRPr="00FF73B8">
              <w:t xml:space="preserve"> (comparator)</w:t>
            </w:r>
          </w:p>
        </w:tc>
        <w:tc>
          <w:tcPr>
            <w:tcW w:w="664" w:type="pct"/>
            <w:tcBorders>
              <w:bottom w:val="single" w:sz="4" w:space="0" w:color="auto"/>
            </w:tcBorders>
            <w:shd w:val="clear" w:color="auto" w:fill="FFFFFF" w:themeFill="background1"/>
          </w:tcPr>
          <w:p w14:paraId="77DC208B" w14:textId="77777777" w:rsidR="00C2207A" w:rsidRPr="00FF73B8" w:rsidRDefault="00C2207A" w:rsidP="000D7E4D">
            <w:pPr>
              <w:pStyle w:val="TableText"/>
              <w:keepNext/>
              <w:keepLines/>
              <w:jc w:val="center"/>
            </w:pPr>
            <w:r>
              <w:rPr>
                <w:shd w:val="clear" w:color="auto" w:fill="FFFFFF" w:themeFill="background1"/>
              </w:rPr>
              <w:t>$</w:t>
            </w:r>
            <w:r w:rsidRPr="00F63B57">
              <w:rPr>
                <w:shd w:val="clear" w:color="auto" w:fill="FFFFFF" w:themeFill="background1"/>
              </w:rPr>
              <w:t>784.77</w:t>
            </w:r>
          </w:p>
        </w:tc>
        <w:tc>
          <w:tcPr>
            <w:tcW w:w="2530" w:type="pct"/>
            <w:tcBorders>
              <w:bottom w:val="single" w:sz="4" w:space="0" w:color="auto"/>
            </w:tcBorders>
          </w:tcPr>
          <w:p w14:paraId="52D960D7" w14:textId="77777777" w:rsidR="00C2207A" w:rsidRPr="00FF73B8" w:rsidRDefault="00C2207A" w:rsidP="000D7E4D">
            <w:pPr>
              <w:pStyle w:val="TableText"/>
              <w:keepNext/>
              <w:keepLines/>
            </w:pPr>
            <w:r w:rsidRPr="00FF73B8">
              <w:t xml:space="preserve">Weighted average assuming </w:t>
            </w:r>
            <w:r w:rsidRPr="00634760">
              <w:rPr>
                <w:shd w:val="clear" w:color="auto" w:fill="FFFFFF" w:themeFill="background1"/>
              </w:rPr>
              <w:t>18.7%</w:t>
            </w:r>
            <w:r w:rsidRPr="00FF73B8">
              <w:t xml:space="preserve"> in adolescents </w:t>
            </w:r>
            <w:r>
              <w:t>and</w:t>
            </w:r>
            <w:r w:rsidRPr="00FF73B8">
              <w:t xml:space="preserve"> </w:t>
            </w:r>
            <w:r w:rsidRPr="00634760">
              <w:rPr>
                <w:shd w:val="clear" w:color="auto" w:fill="FFFFFF" w:themeFill="background1"/>
              </w:rPr>
              <w:t>81.3%</w:t>
            </w:r>
            <w:r w:rsidRPr="00FF73B8">
              <w:t xml:space="preserve"> in children (based on MBS claiming data for items 12210 and 12213, respectively, for FY </w:t>
            </w:r>
            <w:r w:rsidRPr="00634760">
              <w:rPr>
                <w:shd w:val="clear" w:color="auto" w:fill="FFFFFF" w:themeFill="background1"/>
              </w:rPr>
              <w:t>202</w:t>
            </w:r>
            <w:r>
              <w:rPr>
                <w:shd w:val="clear" w:color="auto" w:fill="FFFFFF" w:themeFill="background1"/>
              </w:rPr>
              <w:t>3</w:t>
            </w:r>
            <w:r w:rsidRPr="00634760">
              <w:rPr>
                <w:shd w:val="clear" w:color="auto" w:fill="FFFFFF" w:themeFill="background1"/>
              </w:rPr>
              <w:t>—2</w:t>
            </w:r>
            <w:r>
              <w:rPr>
                <w:shd w:val="clear" w:color="auto" w:fill="FFFFFF" w:themeFill="background1"/>
              </w:rPr>
              <w:t>4</w:t>
            </w:r>
            <w:r w:rsidRPr="00FF73B8">
              <w:t>).</w:t>
            </w:r>
          </w:p>
        </w:tc>
      </w:tr>
      <w:tr w:rsidR="002E4F74" w:rsidRPr="00FF73B8" w14:paraId="7EFDB307" w14:textId="77777777" w:rsidTr="00505A83">
        <w:tc>
          <w:tcPr>
            <w:tcW w:w="1806" w:type="pct"/>
            <w:tcBorders>
              <w:right w:val="nil"/>
            </w:tcBorders>
          </w:tcPr>
          <w:p w14:paraId="57687722" w14:textId="77777777" w:rsidR="00C2207A" w:rsidRPr="00FF73B8" w:rsidRDefault="00C2207A" w:rsidP="000D7E4D">
            <w:pPr>
              <w:pStyle w:val="TableHeading"/>
              <w:keepLines/>
            </w:pPr>
            <w:r w:rsidRPr="00FF73B8">
              <w:t>Additional costs and/or cost offsets</w:t>
            </w:r>
          </w:p>
        </w:tc>
        <w:tc>
          <w:tcPr>
            <w:tcW w:w="664" w:type="pct"/>
            <w:tcBorders>
              <w:left w:val="nil"/>
              <w:right w:val="nil"/>
            </w:tcBorders>
          </w:tcPr>
          <w:p w14:paraId="5DAF294B" w14:textId="77777777" w:rsidR="00C2207A" w:rsidRPr="00FF73B8" w:rsidRDefault="00C2207A" w:rsidP="000D7E4D">
            <w:pPr>
              <w:pStyle w:val="TableHeading"/>
              <w:keepLines/>
              <w:jc w:val="center"/>
            </w:pPr>
          </w:p>
        </w:tc>
        <w:tc>
          <w:tcPr>
            <w:tcW w:w="2530" w:type="pct"/>
            <w:tcBorders>
              <w:left w:val="nil"/>
            </w:tcBorders>
          </w:tcPr>
          <w:p w14:paraId="23D00933" w14:textId="77777777" w:rsidR="00C2207A" w:rsidRPr="00FF73B8" w:rsidRDefault="00C2207A" w:rsidP="000D7E4D">
            <w:pPr>
              <w:pStyle w:val="TableHeading"/>
              <w:keepLines/>
            </w:pPr>
          </w:p>
        </w:tc>
      </w:tr>
      <w:tr w:rsidR="00467700" w:rsidRPr="00FF73B8" w14:paraId="2CE43A00" w14:textId="77777777" w:rsidTr="00505A83">
        <w:tc>
          <w:tcPr>
            <w:tcW w:w="1806" w:type="pct"/>
          </w:tcPr>
          <w:p w14:paraId="65CA1B03" w14:textId="77777777" w:rsidR="00C2207A" w:rsidRPr="00FF73B8" w:rsidRDefault="00C2207A" w:rsidP="000D7E4D">
            <w:pPr>
              <w:pStyle w:val="TableText"/>
              <w:keepNext/>
              <w:keepLines/>
            </w:pPr>
            <w:r w:rsidRPr="00FF73B8">
              <w:t>Initial consult with general practitioner</w:t>
            </w:r>
          </w:p>
        </w:tc>
        <w:tc>
          <w:tcPr>
            <w:tcW w:w="664" w:type="pct"/>
          </w:tcPr>
          <w:p w14:paraId="157B2B84" w14:textId="77777777" w:rsidR="00C2207A" w:rsidRPr="00FF73B8" w:rsidRDefault="00C2207A" w:rsidP="000D7E4D">
            <w:pPr>
              <w:pStyle w:val="TableText"/>
              <w:keepNext/>
              <w:keepLines/>
              <w:jc w:val="center"/>
            </w:pPr>
            <w:r>
              <w:rPr>
                <w:shd w:val="clear" w:color="auto" w:fill="FFFFFF" w:themeFill="background1"/>
              </w:rPr>
              <w:t>$</w:t>
            </w:r>
            <w:r>
              <w:t>82.90</w:t>
            </w:r>
          </w:p>
        </w:tc>
        <w:tc>
          <w:tcPr>
            <w:tcW w:w="2530" w:type="pct"/>
          </w:tcPr>
          <w:p w14:paraId="3141303C" w14:textId="77777777" w:rsidR="00C2207A" w:rsidRPr="00FF73B8" w:rsidRDefault="00C2207A" w:rsidP="000D7E4D">
            <w:pPr>
              <w:pStyle w:val="TableText"/>
              <w:keepNext/>
              <w:keepLines/>
            </w:pPr>
            <w:r w:rsidRPr="00FF73B8">
              <w:t xml:space="preserve">MBS Item 36, </w:t>
            </w:r>
            <w:r w:rsidRPr="002D5969">
              <w:rPr>
                <w:shd w:val="clear" w:color="auto" w:fill="FFFFFF" w:themeFill="background1"/>
              </w:rPr>
              <w:t>May 2025</w:t>
            </w:r>
            <w:r w:rsidRPr="00FF73B8">
              <w:t>.</w:t>
            </w:r>
          </w:p>
        </w:tc>
      </w:tr>
      <w:tr w:rsidR="00467700" w:rsidRPr="00FF73B8" w14:paraId="770C429D" w14:textId="77777777" w:rsidTr="00505A83">
        <w:tc>
          <w:tcPr>
            <w:tcW w:w="1806" w:type="pct"/>
          </w:tcPr>
          <w:p w14:paraId="4A91E16C" w14:textId="77777777" w:rsidR="00C2207A" w:rsidRPr="00FF73B8" w:rsidRDefault="00C2207A" w:rsidP="000D7E4D">
            <w:pPr>
              <w:pStyle w:val="TableText"/>
              <w:keepNext/>
              <w:keepLines/>
            </w:pPr>
            <w:r w:rsidRPr="00FF73B8">
              <w:t>Consultant physician attendance, initial</w:t>
            </w:r>
          </w:p>
        </w:tc>
        <w:tc>
          <w:tcPr>
            <w:tcW w:w="664" w:type="pct"/>
          </w:tcPr>
          <w:p w14:paraId="5981DAC1" w14:textId="7061B78D" w:rsidR="00C2207A" w:rsidRPr="00FF73B8" w:rsidRDefault="00C2207A" w:rsidP="000D7E4D">
            <w:pPr>
              <w:pStyle w:val="TableText"/>
              <w:keepNext/>
              <w:keepLines/>
              <w:jc w:val="center"/>
            </w:pPr>
            <w:r>
              <w:rPr>
                <w:shd w:val="clear" w:color="auto" w:fill="FFFFFF" w:themeFill="background1"/>
              </w:rPr>
              <w:t>$</w:t>
            </w:r>
            <w:r w:rsidR="000B6AA2">
              <w:rPr>
                <w:shd w:val="clear" w:color="auto" w:fill="FFFFFF" w:themeFill="background1"/>
              </w:rPr>
              <w:t>174.50</w:t>
            </w:r>
          </w:p>
        </w:tc>
        <w:tc>
          <w:tcPr>
            <w:tcW w:w="2530" w:type="pct"/>
          </w:tcPr>
          <w:p w14:paraId="65B1F4E1" w14:textId="314C12B4" w:rsidR="00C2207A" w:rsidRPr="00FF73B8" w:rsidRDefault="00C2207A" w:rsidP="000D7E4D">
            <w:pPr>
              <w:pStyle w:val="TableText"/>
              <w:keepNext/>
              <w:keepLines/>
            </w:pPr>
            <w:r w:rsidRPr="00FF73B8">
              <w:t xml:space="preserve">MBS Item </w:t>
            </w:r>
            <w:r w:rsidR="000B6AA2" w:rsidRPr="00FF73B8">
              <w:t>1</w:t>
            </w:r>
            <w:r w:rsidR="000B6AA2">
              <w:t xml:space="preserve">10 </w:t>
            </w:r>
            <w:r>
              <w:t>(or telehealth Item 9</w:t>
            </w:r>
            <w:r w:rsidR="000B6AA2">
              <w:t>1824</w:t>
            </w:r>
            <w:r>
              <w:t>)</w:t>
            </w:r>
            <w:r w:rsidRPr="00FF73B8">
              <w:t xml:space="preserve">, </w:t>
            </w:r>
            <w:r w:rsidRPr="002D5969">
              <w:rPr>
                <w:shd w:val="clear" w:color="auto" w:fill="FFFFFF" w:themeFill="background1"/>
              </w:rPr>
              <w:t>May 2025</w:t>
            </w:r>
            <w:r w:rsidRPr="00FF73B8">
              <w:t>.</w:t>
            </w:r>
          </w:p>
        </w:tc>
      </w:tr>
      <w:tr w:rsidR="00467700" w:rsidRPr="00FF73B8" w14:paraId="18ACFABC" w14:textId="77777777" w:rsidTr="00505A83">
        <w:tc>
          <w:tcPr>
            <w:tcW w:w="1806" w:type="pct"/>
          </w:tcPr>
          <w:p w14:paraId="2C6469F0" w14:textId="77777777" w:rsidR="00C2207A" w:rsidRPr="00FF73B8" w:rsidRDefault="00C2207A" w:rsidP="000D7E4D">
            <w:pPr>
              <w:pStyle w:val="TableText"/>
              <w:keepNext/>
              <w:keepLines/>
            </w:pPr>
            <w:r w:rsidRPr="00FF73B8">
              <w:t>Consultant physician attendance, follow-up</w:t>
            </w:r>
          </w:p>
        </w:tc>
        <w:tc>
          <w:tcPr>
            <w:tcW w:w="664" w:type="pct"/>
          </w:tcPr>
          <w:p w14:paraId="2340DB0E" w14:textId="4E764494" w:rsidR="00C2207A" w:rsidRPr="00FF73B8" w:rsidRDefault="00C2207A" w:rsidP="000D7E4D">
            <w:pPr>
              <w:pStyle w:val="TableText"/>
              <w:keepNext/>
              <w:keepLines/>
              <w:jc w:val="center"/>
            </w:pPr>
            <w:r>
              <w:t>$</w:t>
            </w:r>
            <w:r w:rsidR="000B6AA2">
              <w:t>87.30</w:t>
            </w:r>
          </w:p>
        </w:tc>
        <w:tc>
          <w:tcPr>
            <w:tcW w:w="2530" w:type="pct"/>
          </w:tcPr>
          <w:p w14:paraId="0A206AC7" w14:textId="38B20D2A" w:rsidR="00C2207A" w:rsidRPr="00FF73B8" w:rsidRDefault="00C2207A" w:rsidP="000D7E4D">
            <w:pPr>
              <w:pStyle w:val="TableText"/>
              <w:keepNext/>
              <w:keepLines/>
            </w:pPr>
            <w:r w:rsidRPr="00FF73B8">
              <w:t>MBS Item 1</w:t>
            </w:r>
            <w:r w:rsidR="00AE4ADD">
              <w:t>16</w:t>
            </w:r>
            <w:r>
              <w:t xml:space="preserve"> (or telehealth Item 9</w:t>
            </w:r>
            <w:r w:rsidR="00AE4ADD">
              <w:t>1825</w:t>
            </w:r>
            <w:r>
              <w:t>)</w:t>
            </w:r>
            <w:r w:rsidRPr="00FF73B8">
              <w:t xml:space="preserve">, </w:t>
            </w:r>
            <w:r w:rsidRPr="002D5969">
              <w:rPr>
                <w:shd w:val="clear" w:color="auto" w:fill="FFFFFF" w:themeFill="background1"/>
              </w:rPr>
              <w:t>May 2025</w:t>
            </w:r>
            <w:r w:rsidRPr="00FF73B8">
              <w:t xml:space="preserve">. </w:t>
            </w:r>
          </w:p>
        </w:tc>
      </w:tr>
      <w:tr w:rsidR="00467700" w:rsidRPr="00FF73B8" w14:paraId="35858753" w14:textId="77777777" w:rsidTr="00505A83">
        <w:tc>
          <w:tcPr>
            <w:tcW w:w="1806" w:type="pct"/>
          </w:tcPr>
          <w:p w14:paraId="3F1BB8BE" w14:textId="77777777" w:rsidR="00C2207A" w:rsidRPr="00FF73B8" w:rsidRDefault="00C2207A" w:rsidP="000D7E4D">
            <w:pPr>
              <w:pStyle w:val="TableText"/>
              <w:keepNext/>
              <w:keepLines/>
            </w:pPr>
            <w:r>
              <w:t>Out-of-pocket costs for Level 2 PSG</w:t>
            </w:r>
          </w:p>
        </w:tc>
        <w:tc>
          <w:tcPr>
            <w:tcW w:w="664" w:type="pct"/>
          </w:tcPr>
          <w:p w14:paraId="258B1E93" w14:textId="77777777" w:rsidR="00C2207A" w:rsidRPr="00FF73B8" w:rsidRDefault="00C2207A" w:rsidP="000D7E4D">
            <w:pPr>
              <w:pStyle w:val="TableText"/>
              <w:keepNext/>
              <w:keepLines/>
              <w:jc w:val="center"/>
            </w:pPr>
            <w:r>
              <w:t>$10.50</w:t>
            </w:r>
          </w:p>
        </w:tc>
        <w:tc>
          <w:tcPr>
            <w:tcW w:w="2530" w:type="pct"/>
          </w:tcPr>
          <w:p w14:paraId="6520C72A" w14:textId="77777777" w:rsidR="00C2207A" w:rsidRPr="000B759A" w:rsidRDefault="00C2207A" w:rsidP="000D7E4D">
            <w:pPr>
              <w:pStyle w:val="TableText"/>
              <w:keepNext/>
              <w:keepLines/>
            </w:pPr>
            <w:r>
              <w:t>Based on MBS estimated costs</w:t>
            </w:r>
            <w:r>
              <w:rPr>
                <w:vertAlign w:val="superscript"/>
              </w:rPr>
              <w:t>b</w:t>
            </w:r>
            <w:r>
              <w:t xml:space="preserve"> for MBS item 12250 (i.e. adult unattended study)</w:t>
            </w:r>
            <w:r w:rsidRPr="00DC122E">
              <w:rPr>
                <w:shd w:val="clear" w:color="auto" w:fill="FFFFFF" w:themeFill="background1"/>
              </w:rPr>
              <w:t>.</w:t>
            </w:r>
          </w:p>
        </w:tc>
      </w:tr>
      <w:tr w:rsidR="00467700" w:rsidRPr="00FF73B8" w14:paraId="70C3AE7E" w14:textId="77777777" w:rsidTr="00505A83">
        <w:tc>
          <w:tcPr>
            <w:tcW w:w="1806" w:type="pct"/>
          </w:tcPr>
          <w:p w14:paraId="5EA558A9" w14:textId="77777777" w:rsidR="00C2207A" w:rsidRPr="00FF73B8" w:rsidRDefault="00C2207A" w:rsidP="000D7E4D">
            <w:pPr>
              <w:pStyle w:val="TableText"/>
              <w:keepNext/>
              <w:keepLines/>
            </w:pPr>
            <w:r>
              <w:t>Out-of-pocket costs for Level 1 PSG</w:t>
            </w:r>
          </w:p>
        </w:tc>
        <w:tc>
          <w:tcPr>
            <w:tcW w:w="664" w:type="pct"/>
          </w:tcPr>
          <w:p w14:paraId="08473F9D" w14:textId="77777777" w:rsidR="00C2207A" w:rsidRPr="00FF73B8" w:rsidRDefault="00C2207A" w:rsidP="000D7E4D">
            <w:pPr>
              <w:pStyle w:val="TableText"/>
              <w:keepNext/>
              <w:keepLines/>
              <w:jc w:val="center"/>
            </w:pPr>
            <w:r>
              <w:t>$37.13</w:t>
            </w:r>
          </w:p>
        </w:tc>
        <w:tc>
          <w:tcPr>
            <w:tcW w:w="2530" w:type="pct"/>
          </w:tcPr>
          <w:p w14:paraId="306012F3" w14:textId="77777777" w:rsidR="00C2207A" w:rsidRPr="00FF73B8" w:rsidRDefault="00C2207A" w:rsidP="000D7E4D">
            <w:pPr>
              <w:pStyle w:val="TableText"/>
              <w:keepNext/>
              <w:keepLines/>
            </w:pPr>
            <w:r>
              <w:t>Based on MBS estimated costs</w:t>
            </w:r>
            <w:r>
              <w:rPr>
                <w:vertAlign w:val="superscript"/>
              </w:rPr>
              <w:t>c</w:t>
            </w:r>
            <w:r>
              <w:t xml:space="preserve"> for MBS item 12203 (i.e. adult attended study – data not available for Level 1 studies in children aged 3-11 years, inclusive)</w:t>
            </w:r>
            <w:r w:rsidRPr="00DC122E">
              <w:rPr>
                <w:shd w:val="clear" w:color="auto" w:fill="FFFFFF" w:themeFill="background1"/>
              </w:rPr>
              <w:t>.</w:t>
            </w:r>
          </w:p>
        </w:tc>
      </w:tr>
      <w:tr w:rsidR="00467700" w:rsidRPr="00FF73B8" w14:paraId="2DBAA17A" w14:textId="77777777" w:rsidTr="00505A83">
        <w:tc>
          <w:tcPr>
            <w:tcW w:w="1806" w:type="pct"/>
          </w:tcPr>
          <w:p w14:paraId="1E0A1D26" w14:textId="77777777" w:rsidR="00C2207A" w:rsidRPr="00FF73B8" w:rsidRDefault="00C2207A" w:rsidP="000D7E4D">
            <w:pPr>
              <w:pStyle w:val="TableText"/>
              <w:keepNext/>
              <w:keepLines/>
            </w:pPr>
            <w:r>
              <w:t>Travel costs for Level 2</w:t>
            </w:r>
            <w:r>
              <w:rPr>
                <w:vertAlign w:val="superscript"/>
              </w:rPr>
              <w:t>d</w:t>
            </w:r>
          </w:p>
        </w:tc>
        <w:tc>
          <w:tcPr>
            <w:tcW w:w="664" w:type="pct"/>
          </w:tcPr>
          <w:p w14:paraId="050CFA93" w14:textId="72F1416E" w:rsidR="00C2207A" w:rsidRPr="00FF73B8" w:rsidRDefault="00C2207A" w:rsidP="000D7E4D">
            <w:pPr>
              <w:pStyle w:val="TableText"/>
              <w:keepNext/>
              <w:keepLines/>
              <w:jc w:val="center"/>
            </w:pPr>
            <w:r>
              <w:t>$0.00</w:t>
            </w:r>
          </w:p>
        </w:tc>
        <w:tc>
          <w:tcPr>
            <w:tcW w:w="2530" w:type="pct"/>
          </w:tcPr>
          <w:p w14:paraId="5DF57C9E" w14:textId="77777777" w:rsidR="00C2207A" w:rsidRPr="00FF73B8" w:rsidRDefault="00C2207A" w:rsidP="000D7E4D">
            <w:pPr>
              <w:pStyle w:val="TableText"/>
              <w:keepNext/>
              <w:keepLines/>
            </w:pPr>
            <w:r>
              <w:t>-</w:t>
            </w:r>
          </w:p>
        </w:tc>
      </w:tr>
      <w:tr w:rsidR="00467700" w:rsidRPr="00FF73B8" w14:paraId="3066C67B" w14:textId="77777777" w:rsidTr="00505A83">
        <w:tc>
          <w:tcPr>
            <w:tcW w:w="1806" w:type="pct"/>
          </w:tcPr>
          <w:p w14:paraId="6BD18442" w14:textId="77777777" w:rsidR="00C2207A" w:rsidRDefault="00C2207A" w:rsidP="000D7E4D">
            <w:pPr>
              <w:pStyle w:val="TableText"/>
              <w:keepNext/>
              <w:keepLines/>
            </w:pPr>
            <w:r>
              <w:t>Travel costs for Level 1</w:t>
            </w:r>
          </w:p>
        </w:tc>
        <w:tc>
          <w:tcPr>
            <w:tcW w:w="664" w:type="pct"/>
          </w:tcPr>
          <w:p w14:paraId="5FCBC7FE" w14:textId="21AFD22F" w:rsidR="00C2207A" w:rsidRDefault="00C2207A" w:rsidP="000D7E4D">
            <w:pPr>
              <w:pStyle w:val="TableText"/>
              <w:keepNext/>
              <w:keepLines/>
              <w:jc w:val="center"/>
            </w:pPr>
            <w:r>
              <w:t>$</w:t>
            </w:r>
            <w:r w:rsidR="00E56985">
              <w:t>69.27</w:t>
            </w:r>
          </w:p>
        </w:tc>
        <w:tc>
          <w:tcPr>
            <w:tcW w:w="2530" w:type="pct"/>
          </w:tcPr>
          <w:p w14:paraId="27C44A65" w14:textId="711F2B50" w:rsidR="00C2207A" w:rsidRDefault="00C2207A" w:rsidP="000D7E4D">
            <w:pPr>
              <w:pStyle w:val="TableText"/>
              <w:keepNext/>
              <w:keepLines/>
            </w:pPr>
            <w:r>
              <w:t xml:space="preserve">Based on ATO cost/km of </w:t>
            </w:r>
            <w:r w:rsidRPr="00FA7AB9">
              <w:rPr>
                <w:shd w:val="clear" w:color="auto" w:fill="FFFFFF" w:themeFill="background1"/>
              </w:rPr>
              <w:t>88</w:t>
            </w:r>
            <w:r>
              <w:t xml:space="preserve"> cents for </w:t>
            </w:r>
            <w:r w:rsidR="00E56985">
              <w:t>4</w:t>
            </w:r>
            <w:r>
              <w:t>00 km</w:t>
            </w:r>
            <w:r w:rsidRPr="00DC21CC">
              <w:rPr>
                <w:vertAlign w:val="superscript"/>
              </w:rPr>
              <w:t>e</w:t>
            </w:r>
            <w:r>
              <w:t xml:space="preserve">, </w:t>
            </w:r>
            <w:r w:rsidRPr="00D6201E">
              <w:rPr>
                <w:shd w:val="clear" w:color="auto" w:fill="FFFFFF" w:themeFill="background1"/>
              </w:rPr>
              <w:t>and</w:t>
            </w:r>
            <w:r w:rsidRPr="00CC43CF">
              <w:rPr>
                <w:shd w:val="clear" w:color="auto" w:fill="FFFFFF" w:themeFill="background1"/>
              </w:rPr>
              <w:t xml:space="preserve"> weighted for % of total population (all ages) residing in MM 1-2 </w:t>
            </w:r>
            <w:r>
              <w:rPr>
                <w:shd w:val="clear" w:color="auto" w:fill="FFFFFF" w:themeFill="background1"/>
              </w:rPr>
              <w:t>(80%)</w:t>
            </w:r>
            <w:r w:rsidRPr="00CC43CF">
              <w:rPr>
                <w:shd w:val="clear" w:color="auto" w:fill="FFFFFF" w:themeFill="background1"/>
              </w:rPr>
              <w:t xml:space="preserve"> vs MM 3-7 (</w:t>
            </w:r>
            <w:r>
              <w:rPr>
                <w:shd w:val="clear" w:color="auto" w:fill="FFFFFF" w:themeFill="background1"/>
              </w:rPr>
              <w:t xml:space="preserve">20%) </w:t>
            </w:r>
            <w:r w:rsidRPr="00CC43CF">
              <w:rPr>
                <w:shd w:val="clear" w:color="auto" w:fill="FFFFFF" w:themeFill="background1"/>
              </w:rPr>
              <w:t xml:space="preserve">(Versace </w:t>
            </w:r>
            <w:r>
              <w:rPr>
                <w:shd w:val="clear" w:color="auto" w:fill="FFFFFF" w:themeFill="background1"/>
              </w:rPr>
              <w:t xml:space="preserve">et al. </w:t>
            </w:r>
            <w:r w:rsidRPr="00CC43CF">
              <w:rPr>
                <w:shd w:val="clear" w:color="auto" w:fill="FFFFFF" w:themeFill="background1"/>
              </w:rPr>
              <w:t>2021).</w:t>
            </w:r>
            <w:r w:rsidRPr="0000727A">
              <w:rPr>
                <w:shd w:val="clear" w:color="auto" w:fill="FFFFFF" w:themeFill="background1"/>
                <w:vertAlign w:val="superscript"/>
              </w:rPr>
              <w:t>f</w:t>
            </w:r>
          </w:p>
        </w:tc>
      </w:tr>
    </w:tbl>
    <w:p w14:paraId="29F65D4A" w14:textId="77777777" w:rsidR="00E11A5F" w:rsidRDefault="00E11A5F" w:rsidP="000D7E4D">
      <w:pPr>
        <w:pStyle w:val="111Tablefootnoteslast-nostick"/>
        <w:keepNext/>
        <w:keepLines/>
      </w:pPr>
      <w:r>
        <w:t xml:space="preserve">ATO = Australian Taxation Office; FY = financial year; MBS = Medicare Benefits Schedule; MSAC = Medical Services Advisory Committee; </w:t>
      </w:r>
      <w:r w:rsidRPr="00D66C9C">
        <w:rPr>
          <w:shd w:val="clear" w:color="auto" w:fill="FFFFFF" w:themeFill="background1"/>
        </w:rPr>
        <w:t xml:space="preserve">MM = Modified Monash </w:t>
      </w:r>
      <w:r>
        <w:rPr>
          <w:shd w:val="clear" w:color="auto" w:fill="FFFFFF" w:themeFill="background1"/>
        </w:rPr>
        <w:t>category</w:t>
      </w:r>
      <w:r w:rsidRPr="00D66C9C">
        <w:rPr>
          <w:shd w:val="clear" w:color="auto" w:fill="FFFFFF" w:themeFill="background1"/>
        </w:rPr>
        <w:t>,</w:t>
      </w:r>
      <w:r>
        <w:t xml:space="preserve"> PSG = polysomnography.</w:t>
      </w:r>
    </w:p>
    <w:p w14:paraId="6B65A531" w14:textId="69B23E7B" w:rsidR="00E11A5F" w:rsidRDefault="005B4FE8" w:rsidP="000D7E4D">
      <w:pPr>
        <w:pStyle w:val="111Tablefootnoteslast-nostick"/>
        <w:keepNext/>
        <w:keepLines/>
      </w:pPr>
      <w:r>
        <w:t xml:space="preserve">a. The base case in DCAR 1712 assumed 18.5% </w:t>
      </w:r>
      <w:r w:rsidRPr="00710DC7">
        <w:t>adolescents and 81.</w:t>
      </w:r>
      <w:r>
        <w:t>5</w:t>
      </w:r>
      <w:r w:rsidRPr="00710DC7">
        <w:t>% children</w:t>
      </w:r>
      <w:r>
        <w:t>.</w:t>
      </w:r>
    </w:p>
    <w:p w14:paraId="63C95108" w14:textId="4A18182E" w:rsidR="005B4FE8" w:rsidRDefault="45B79E5A" w:rsidP="000D7E4D">
      <w:pPr>
        <w:pStyle w:val="111Tablefootnoteslast-nostick"/>
        <w:keepNext/>
        <w:keepLines/>
        <w:rPr>
          <w:shd w:val="clear" w:color="auto" w:fill="FFFFFF" w:themeFill="background1"/>
        </w:rPr>
      </w:pPr>
      <w:r>
        <w:t>b</w:t>
      </w:r>
      <w:r w:rsidR="005B4FE8">
        <w:t xml:space="preserve">. </w:t>
      </w:r>
      <w:r w:rsidR="005B4FE8" w:rsidRPr="00AA18B7">
        <w:rPr>
          <w:shd w:val="clear" w:color="auto" w:fill="FFFFFF" w:themeFill="background1"/>
        </w:rPr>
        <w:t>14</w:t>
      </w:r>
      <w:r w:rsidR="005B4FE8">
        <w:t xml:space="preserve">% had an out-of-pocket cost, typically </w:t>
      </w:r>
      <w:r w:rsidR="005B4FE8" w:rsidRPr="00F52CBD">
        <w:rPr>
          <w:shd w:val="clear" w:color="auto" w:fill="FFFFFF" w:themeFill="background1"/>
        </w:rPr>
        <w:t>$</w:t>
      </w:r>
      <w:r w:rsidR="005B4FE8" w:rsidRPr="00AA18B7">
        <w:rPr>
          <w:shd w:val="clear" w:color="auto" w:fill="FFFFFF" w:themeFill="background1"/>
        </w:rPr>
        <w:t>150</w:t>
      </w:r>
      <w:r w:rsidR="005B4FE8">
        <w:rPr>
          <w:shd w:val="clear" w:color="auto" w:fill="FFFFFF" w:themeFill="background1"/>
        </w:rPr>
        <w:t>, b</w:t>
      </w:r>
      <w:r w:rsidR="005B4FE8" w:rsidRPr="00AA18B7">
        <w:t>ased on</w:t>
      </w:r>
      <w:r w:rsidR="005B4FE8">
        <w:t xml:space="preserve"> ‘</w:t>
      </w:r>
      <w:hyperlink r:id="rId21" w:tooltip="Hyperlink to Medical Cost Finder website" w:history="1">
        <w:r w:rsidR="005B4FE8" w:rsidRPr="005F658F">
          <w:rPr>
            <w:rStyle w:val="Hyperlink"/>
            <w:color w:val="007BB8"/>
          </w:rPr>
          <w:t>Medical Costs Finder</w:t>
        </w:r>
      </w:hyperlink>
      <w:r w:rsidR="005B4FE8" w:rsidRPr="00AA18B7">
        <w:t>' MBS resource</w:t>
      </w:r>
      <w:r w:rsidR="005B4FE8">
        <w:t xml:space="preserve">. </w:t>
      </w:r>
    </w:p>
    <w:p w14:paraId="3D3686EF" w14:textId="3E418F9A" w:rsidR="005B4FE8" w:rsidRDefault="005B4FE8" w:rsidP="000D7E4D">
      <w:pPr>
        <w:pStyle w:val="111Tablefootnoteslast-nostick"/>
        <w:keepNext/>
        <w:keepLines/>
      </w:pPr>
      <w:r>
        <w:t xml:space="preserve">c. </w:t>
      </w:r>
      <w:r w:rsidRPr="0083185B">
        <w:rPr>
          <w:shd w:val="clear" w:color="auto" w:fill="FFFFFF" w:themeFill="background1"/>
        </w:rPr>
        <w:t>33%</w:t>
      </w:r>
      <w:r>
        <w:t xml:space="preserve"> had an out-of-pocket cost, typically </w:t>
      </w:r>
      <w:r w:rsidRPr="00F52CBD">
        <w:rPr>
          <w:shd w:val="clear" w:color="auto" w:fill="FFFFFF" w:themeFill="background1"/>
        </w:rPr>
        <w:t>$</w:t>
      </w:r>
      <w:r w:rsidRPr="0083185B">
        <w:rPr>
          <w:shd w:val="clear" w:color="auto" w:fill="FFFFFF" w:themeFill="background1"/>
        </w:rPr>
        <w:t>225</w:t>
      </w:r>
      <w:r>
        <w:rPr>
          <w:shd w:val="clear" w:color="auto" w:fill="FFFFFF" w:themeFill="background1"/>
        </w:rPr>
        <w:t>, based on ‘</w:t>
      </w:r>
      <w:hyperlink r:id="rId22" w:tooltip="Hyperlink to Medical Costs Finder website" w:history="1">
        <w:r w:rsidRPr="005F658F">
          <w:rPr>
            <w:rStyle w:val="Hyperlink"/>
            <w:color w:val="007BB8"/>
            <w:shd w:val="clear" w:color="auto" w:fill="FFFFFF" w:themeFill="background1"/>
          </w:rPr>
          <w:t>Medical Costs Finder</w:t>
        </w:r>
      </w:hyperlink>
      <w:r>
        <w:rPr>
          <w:shd w:val="clear" w:color="auto" w:fill="FFFFFF" w:themeFill="background1"/>
        </w:rPr>
        <w:t>’ MBS resource</w:t>
      </w:r>
      <w:r>
        <w:t xml:space="preserve">. </w:t>
      </w:r>
    </w:p>
    <w:p w14:paraId="6FE34F4B" w14:textId="77777777" w:rsidR="005B4FE8" w:rsidRDefault="005B4FE8" w:rsidP="000D7E4D">
      <w:pPr>
        <w:pStyle w:val="111Tablefootnoteslast-nostick"/>
        <w:keepNext/>
        <w:keepLines/>
      </w:pPr>
      <w:r>
        <w:t>d. Travel costs applied to Level 1 PSG only as people undergoing Level 2 PSG would not need to travel to collect equipment if they live far from the sleep centre and could instead have the equipment couriered to them and applied via telehealth.</w:t>
      </w:r>
    </w:p>
    <w:p w14:paraId="7E65F398" w14:textId="44F3D662" w:rsidR="005B4FE8" w:rsidRDefault="005B4FE8" w:rsidP="000D7E4D">
      <w:pPr>
        <w:pStyle w:val="111Tablefootnoteslast-nostick"/>
        <w:keepNext/>
        <w:keepLines/>
      </w:pPr>
      <w:r>
        <w:t xml:space="preserve">e. Based on Australian Taxation Office claimable </w:t>
      </w:r>
      <w:hyperlink r:id="rId23" w:tooltip="Link to ATO website for claiming motor vehicle expenses by the cents-per-km method" w:history="1">
        <w:r w:rsidRPr="005F658F">
          <w:rPr>
            <w:rStyle w:val="Hyperlink"/>
            <w:color w:val="007BB8"/>
          </w:rPr>
          <w:t>deductions for motor vehicle expenses</w:t>
        </w:r>
      </w:hyperlink>
      <w:r>
        <w:t>.</w:t>
      </w:r>
    </w:p>
    <w:p w14:paraId="283EF818" w14:textId="77777777" w:rsidR="005B4FE8" w:rsidRDefault="005B4FE8" w:rsidP="000D7E4D">
      <w:pPr>
        <w:pStyle w:val="111Tablefootnoteslast-nostick"/>
        <w:keepNext/>
        <w:keepLines/>
      </w:pPr>
      <w:r>
        <w:t xml:space="preserve">f. DCAR 1712 assumed the proportion of services in rural/remote locations was 38% based on 2021-2022 data from the </w:t>
      </w:r>
      <w:r w:rsidRPr="002C58FE">
        <w:t>Australian Institute of Health and Welfare</w:t>
      </w:r>
      <w:r>
        <w:t xml:space="preserve"> for hospital admission rates for tonsillectomies by region. This input was changed for the resubmission to 20% based on MM categories in order to align with the proposed MBS items.</w:t>
      </w:r>
    </w:p>
    <w:p w14:paraId="2C6B7B23" w14:textId="6D04AC2D" w:rsidR="00E11A5F" w:rsidRDefault="00E11A5F" w:rsidP="000D7E4D">
      <w:pPr>
        <w:pStyle w:val="111Tablefootnoteslast-nostick"/>
        <w:keepNext/>
        <w:keepLines/>
      </w:pPr>
      <w:r>
        <w:t>Source</w:t>
      </w:r>
      <w:r w:rsidRPr="001F244E">
        <w:t xml:space="preserve">: Table </w:t>
      </w:r>
      <w:r w:rsidR="00B8619F">
        <w:t>44</w:t>
      </w:r>
      <w:r w:rsidR="00B8619F" w:rsidRPr="001F244E">
        <w:t xml:space="preserve"> </w:t>
      </w:r>
      <w:r w:rsidRPr="001F244E">
        <w:t>of DCAR</w:t>
      </w:r>
      <w:r w:rsidRPr="00726FB8">
        <w:t xml:space="preserve"> 1712.</w:t>
      </w:r>
      <w:r w:rsidR="008362E0" w:rsidRPr="00726FB8">
        <w:t>1.</w:t>
      </w:r>
    </w:p>
    <w:p w14:paraId="550AEDFE" w14:textId="608ADA24" w:rsidR="00391B41" w:rsidRDefault="00DD6598" w:rsidP="00256276">
      <w:r>
        <w:t xml:space="preserve">Consistent with </w:t>
      </w:r>
      <w:r w:rsidR="00FA048D">
        <w:t>DCAR 1712, t</w:t>
      </w:r>
      <w:r w:rsidRPr="00FC7CAC">
        <w:t>he</w:t>
      </w:r>
      <w:r w:rsidR="00256276" w:rsidRPr="00FC7CAC">
        <w:t xml:space="preserve"> base case results are presented in terms of cost per accurate diagnosis, </w:t>
      </w:r>
      <w:r w:rsidR="00623548" w:rsidRPr="000F08E3">
        <w:t>assuming that Level 2 PSG has non-inferior test accuracy and inferior test success compared to Level 1 PSG</w:t>
      </w:r>
      <w:r w:rsidR="002B1CE9">
        <w:t xml:space="preserve"> (noting</w:t>
      </w:r>
      <w:r w:rsidR="00855AC1">
        <w:t xml:space="preserve"> the </w:t>
      </w:r>
      <w:r w:rsidR="00855AC1" w:rsidRPr="003C4849">
        <w:t>cost of outcomes following diagnosis have not been considered in the analys</w:t>
      </w:r>
      <w:r w:rsidR="00855AC1">
        <w:t>e</w:t>
      </w:r>
      <w:r w:rsidR="00855AC1" w:rsidRPr="003C4849">
        <w:t>s</w:t>
      </w:r>
      <w:r w:rsidR="002B1CE9">
        <w:t>).</w:t>
      </w:r>
    </w:p>
    <w:p w14:paraId="239F0A5E" w14:textId="34DE3461" w:rsidR="00256276" w:rsidRPr="00FC7CAC" w:rsidRDefault="00D84B85" w:rsidP="00256276">
      <w:r>
        <w:t xml:space="preserve">As shown in </w:t>
      </w:r>
      <w:r w:rsidRPr="00FC7CAC">
        <w:fldChar w:fldCharType="begin"/>
      </w:r>
      <w:r w:rsidRPr="00FC7CAC">
        <w:instrText xml:space="preserve"> REF _Ref150250106 \h  \* MERGEFORMAT </w:instrText>
      </w:r>
      <w:r w:rsidRPr="00FC7CAC">
        <w:fldChar w:fldCharType="separate"/>
      </w:r>
      <w:r w:rsidR="00BC2CAA" w:rsidRPr="009F4E5F">
        <w:t xml:space="preserve">Table </w:t>
      </w:r>
      <w:r w:rsidR="00BC2CAA">
        <w:t>14</w:t>
      </w:r>
      <w:r w:rsidRPr="00FC7CAC">
        <w:fldChar w:fldCharType="end"/>
      </w:r>
      <w:r>
        <w:t>, t</w:t>
      </w:r>
      <w:r w:rsidRPr="00D84B85">
        <w:t>he proposed out-of-laboratory Level 2 PSG services (the intervention – updated to account for MBS services in metropolitan/regional and rural/remote locations) resulted in a lower cost per accurate diagnosis than in-laboratory Level 1 PSG (the comparator)</w:t>
      </w:r>
      <w:r w:rsidR="00256276" w:rsidRPr="00FC7CAC">
        <w:t>.</w:t>
      </w:r>
    </w:p>
    <w:p w14:paraId="275D7178" w14:textId="4B8C4AD3" w:rsidR="00256276" w:rsidRPr="009F4E5F" w:rsidRDefault="00256276" w:rsidP="00256276">
      <w:pPr>
        <w:pStyle w:val="Caption"/>
      </w:pPr>
      <w:bookmarkStart w:id="25" w:name="_Ref150250106"/>
      <w:r w:rsidRPr="009F4E5F">
        <w:t xml:space="preserve">Table </w:t>
      </w:r>
      <w:r w:rsidR="00BC2CAA">
        <w:fldChar w:fldCharType="begin"/>
      </w:r>
      <w:r w:rsidR="00BC2CAA">
        <w:instrText xml:space="preserve"> SEQ Table \* ARABIC </w:instrText>
      </w:r>
      <w:r w:rsidR="00BC2CAA">
        <w:fldChar w:fldCharType="separate"/>
      </w:r>
      <w:r w:rsidR="00BC2CAA">
        <w:rPr>
          <w:noProof/>
        </w:rPr>
        <w:t>14</w:t>
      </w:r>
      <w:r w:rsidR="00BC2CAA">
        <w:rPr>
          <w:noProof/>
        </w:rPr>
        <w:fldChar w:fldCharType="end"/>
      </w:r>
      <w:bookmarkEnd w:id="25"/>
      <w:r w:rsidRPr="009F4E5F">
        <w:tab/>
        <w:t xml:space="preserve">Results of cost-minimisation </w:t>
      </w:r>
      <w:r w:rsidR="009F4E5F" w:rsidRPr="009F4E5F">
        <w:t>analysis</w:t>
      </w:r>
    </w:p>
    <w:tbl>
      <w:tblPr>
        <w:tblStyle w:val="TableGrid"/>
        <w:tblW w:w="5000" w:type="pct"/>
        <w:tblLook w:val="04A0" w:firstRow="1" w:lastRow="0" w:firstColumn="1" w:lastColumn="0" w:noHBand="0" w:noVBand="1"/>
        <w:tblCaption w:val="Results of cost-minimisation analysis"/>
        <w:tblDescription w:val="This table summarises the results of the cost-minimisation approach. Costs are presented for the intervention, comparator and difference between the intervention and the comparator. Costs include cost of initial testing, cost of repeat testing, total cost, cost per diagnosis, and cost per accurate diagnosis. The results from application 1712 are shown alongside the updated results for application 1712.1."/>
      </w:tblPr>
      <w:tblGrid>
        <w:gridCol w:w="2276"/>
        <w:gridCol w:w="855"/>
        <w:gridCol w:w="763"/>
        <w:gridCol w:w="763"/>
        <w:gridCol w:w="855"/>
        <w:gridCol w:w="983"/>
        <w:gridCol w:w="1028"/>
        <w:gridCol w:w="1493"/>
      </w:tblGrid>
      <w:tr w:rsidR="009F4E5F" w14:paraId="5F4CB290" w14:textId="77777777" w:rsidTr="00F042D3">
        <w:trPr>
          <w:tblHeader/>
        </w:trPr>
        <w:tc>
          <w:tcPr>
            <w:tcW w:w="1263" w:type="pct"/>
            <w:tcBorders>
              <w:bottom w:val="single" w:sz="4" w:space="0" w:color="auto"/>
            </w:tcBorders>
          </w:tcPr>
          <w:p w14:paraId="0D22E5B0" w14:textId="57CBBE49" w:rsidR="009F4E5F" w:rsidRPr="00D57C15" w:rsidRDefault="00462A7A">
            <w:pPr>
              <w:pStyle w:val="011TableHeading"/>
              <w:keepNext/>
            </w:pPr>
            <w:r>
              <w:t>Cost ($)</w:t>
            </w:r>
          </w:p>
        </w:tc>
        <w:tc>
          <w:tcPr>
            <w:tcW w:w="474" w:type="pct"/>
            <w:tcBorders>
              <w:bottom w:val="single" w:sz="4" w:space="0" w:color="auto"/>
            </w:tcBorders>
          </w:tcPr>
          <w:p w14:paraId="0ED24BC2" w14:textId="745D7196" w:rsidR="009F4E5F" w:rsidRPr="00D57C15" w:rsidRDefault="009F4E5F" w:rsidP="00D12995">
            <w:pPr>
              <w:pStyle w:val="011TableHeading"/>
              <w:keepNext/>
              <w:jc w:val="right"/>
            </w:pPr>
            <w:r w:rsidRPr="00D57C15">
              <w:t>Initial testing</w:t>
            </w:r>
          </w:p>
        </w:tc>
        <w:tc>
          <w:tcPr>
            <w:tcW w:w="423" w:type="pct"/>
            <w:tcBorders>
              <w:bottom w:val="single" w:sz="4" w:space="0" w:color="auto"/>
            </w:tcBorders>
          </w:tcPr>
          <w:p w14:paraId="34B11B82" w14:textId="77777777" w:rsidR="009F4E5F" w:rsidRPr="00D57C15" w:rsidRDefault="009F4E5F" w:rsidP="00D12995">
            <w:pPr>
              <w:pStyle w:val="011TableHeading"/>
              <w:keepNext/>
              <w:jc w:val="right"/>
            </w:pPr>
            <w:r w:rsidRPr="00D57C15">
              <w:t>Repeat testing (1)</w:t>
            </w:r>
          </w:p>
        </w:tc>
        <w:tc>
          <w:tcPr>
            <w:tcW w:w="423" w:type="pct"/>
            <w:tcBorders>
              <w:bottom w:val="single" w:sz="4" w:space="0" w:color="auto"/>
            </w:tcBorders>
          </w:tcPr>
          <w:p w14:paraId="09790F64" w14:textId="77777777" w:rsidR="009F4E5F" w:rsidRPr="00D57C15" w:rsidRDefault="009F4E5F" w:rsidP="00D12995">
            <w:pPr>
              <w:pStyle w:val="011TableHeading"/>
              <w:keepNext/>
              <w:jc w:val="right"/>
            </w:pPr>
            <w:r w:rsidRPr="00D57C15">
              <w:t>Repeat testing (2)</w:t>
            </w:r>
          </w:p>
        </w:tc>
        <w:tc>
          <w:tcPr>
            <w:tcW w:w="474" w:type="pct"/>
            <w:tcBorders>
              <w:bottom w:val="single" w:sz="4" w:space="0" w:color="auto"/>
            </w:tcBorders>
          </w:tcPr>
          <w:p w14:paraId="0450158C" w14:textId="77777777" w:rsidR="009F4E5F" w:rsidRPr="00D57C15" w:rsidRDefault="009F4E5F" w:rsidP="00D12995">
            <w:pPr>
              <w:pStyle w:val="011TableHeading"/>
              <w:keepNext/>
              <w:jc w:val="right"/>
            </w:pPr>
            <w:r w:rsidRPr="00D57C15">
              <w:t>Total cost</w:t>
            </w:r>
          </w:p>
        </w:tc>
        <w:tc>
          <w:tcPr>
            <w:tcW w:w="545" w:type="pct"/>
            <w:tcBorders>
              <w:bottom w:val="single" w:sz="4" w:space="0" w:color="auto"/>
            </w:tcBorders>
          </w:tcPr>
          <w:p w14:paraId="0F574167" w14:textId="77777777" w:rsidR="009F4E5F" w:rsidRPr="00D57C15" w:rsidRDefault="009F4E5F" w:rsidP="00D12995">
            <w:pPr>
              <w:pStyle w:val="011TableHeading"/>
              <w:keepNext/>
              <w:jc w:val="right"/>
            </w:pPr>
            <w:r w:rsidRPr="00D57C15">
              <w:t>Cost per diagnosis</w:t>
            </w:r>
          </w:p>
        </w:tc>
        <w:tc>
          <w:tcPr>
            <w:tcW w:w="570" w:type="pct"/>
            <w:tcBorders>
              <w:bottom w:val="single" w:sz="4" w:space="0" w:color="auto"/>
            </w:tcBorders>
          </w:tcPr>
          <w:p w14:paraId="2174BFF9" w14:textId="77777777" w:rsidR="009F4E5F" w:rsidRPr="00D57C15" w:rsidRDefault="009F4E5F" w:rsidP="00D12995">
            <w:pPr>
              <w:pStyle w:val="011TableHeading"/>
              <w:keepNext/>
              <w:jc w:val="right"/>
            </w:pPr>
            <w:r w:rsidRPr="00D57C15">
              <w:t>Accurate diagnoses</w:t>
            </w:r>
            <w:r>
              <w:t xml:space="preserve"> (%)</w:t>
            </w:r>
          </w:p>
        </w:tc>
        <w:tc>
          <w:tcPr>
            <w:tcW w:w="828" w:type="pct"/>
          </w:tcPr>
          <w:p w14:paraId="16F565BD" w14:textId="77777777" w:rsidR="009F4E5F" w:rsidRPr="00D57C15" w:rsidRDefault="009F4E5F" w:rsidP="00D12995">
            <w:pPr>
              <w:pStyle w:val="011TableHeading"/>
              <w:keepNext/>
              <w:jc w:val="right"/>
            </w:pPr>
            <w:r w:rsidRPr="00D57C15">
              <w:t>Cost per accurate diagnosis</w:t>
            </w:r>
          </w:p>
        </w:tc>
      </w:tr>
      <w:tr w:rsidR="00BF46AD" w14:paraId="4C3FCEC8" w14:textId="77777777" w:rsidTr="0065419A">
        <w:tc>
          <w:tcPr>
            <w:tcW w:w="1263" w:type="pct"/>
            <w:tcBorders>
              <w:right w:val="nil"/>
            </w:tcBorders>
          </w:tcPr>
          <w:p w14:paraId="1C6B3347" w14:textId="77777777" w:rsidR="009F4E5F" w:rsidRPr="00A725B3" w:rsidRDefault="009F4E5F">
            <w:pPr>
              <w:pStyle w:val="051Tabletext22"/>
              <w:keepNext/>
              <w:rPr>
                <w:b/>
                <w:bCs/>
              </w:rPr>
            </w:pPr>
            <w:r w:rsidRPr="00A725B3">
              <w:rPr>
                <w:b/>
                <w:bCs/>
              </w:rPr>
              <w:t>DCAR 1712</w:t>
            </w:r>
            <w:r>
              <w:rPr>
                <w:b/>
                <w:bCs/>
              </w:rPr>
              <w:t xml:space="preserve"> PICO Set 1</w:t>
            </w:r>
          </w:p>
        </w:tc>
        <w:tc>
          <w:tcPr>
            <w:tcW w:w="474" w:type="pct"/>
            <w:tcBorders>
              <w:left w:val="nil"/>
              <w:right w:val="nil"/>
            </w:tcBorders>
            <w:vAlign w:val="center"/>
          </w:tcPr>
          <w:p w14:paraId="579AF306" w14:textId="77777777" w:rsidR="009F4E5F" w:rsidRPr="00A725B3" w:rsidRDefault="009F4E5F">
            <w:pPr>
              <w:pStyle w:val="081TableRightAligned22"/>
              <w:keepNext/>
              <w:ind w:right="0"/>
              <w:rPr>
                <w:b/>
                <w:bCs/>
              </w:rPr>
            </w:pPr>
          </w:p>
        </w:tc>
        <w:tc>
          <w:tcPr>
            <w:tcW w:w="423" w:type="pct"/>
            <w:tcBorders>
              <w:left w:val="nil"/>
              <w:right w:val="nil"/>
            </w:tcBorders>
            <w:vAlign w:val="center"/>
          </w:tcPr>
          <w:p w14:paraId="6E6A0AEA" w14:textId="77777777" w:rsidR="009F4E5F" w:rsidRPr="00A725B3" w:rsidRDefault="009F4E5F">
            <w:pPr>
              <w:pStyle w:val="081TableRightAligned22"/>
              <w:keepNext/>
              <w:ind w:right="0"/>
              <w:rPr>
                <w:b/>
                <w:bCs/>
              </w:rPr>
            </w:pPr>
          </w:p>
        </w:tc>
        <w:tc>
          <w:tcPr>
            <w:tcW w:w="423" w:type="pct"/>
            <w:tcBorders>
              <w:left w:val="nil"/>
              <w:right w:val="nil"/>
            </w:tcBorders>
            <w:vAlign w:val="center"/>
          </w:tcPr>
          <w:p w14:paraId="753195C3" w14:textId="77777777" w:rsidR="009F4E5F" w:rsidRPr="00A725B3" w:rsidRDefault="009F4E5F">
            <w:pPr>
              <w:pStyle w:val="081TableRightAligned22"/>
              <w:keepNext/>
              <w:ind w:right="0"/>
              <w:rPr>
                <w:b/>
                <w:bCs/>
              </w:rPr>
            </w:pPr>
          </w:p>
        </w:tc>
        <w:tc>
          <w:tcPr>
            <w:tcW w:w="474" w:type="pct"/>
            <w:tcBorders>
              <w:left w:val="nil"/>
              <w:right w:val="nil"/>
            </w:tcBorders>
            <w:vAlign w:val="center"/>
          </w:tcPr>
          <w:p w14:paraId="0A4B4344" w14:textId="77777777" w:rsidR="009F4E5F" w:rsidRPr="00A725B3" w:rsidRDefault="009F4E5F">
            <w:pPr>
              <w:pStyle w:val="081TableRightAligned22"/>
              <w:keepNext/>
              <w:ind w:right="0"/>
              <w:rPr>
                <w:b/>
                <w:bCs/>
              </w:rPr>
            </w:pPr>
          </w:p>
        </w:tc>
        <w:tc>
          <w:tcPr>
            <w:tcW w:w="545" w:type="pct"/>
            <w:tcBorders>
              <w:left w:val="nil"/>
              <w:right w:val="nil"/>
            </w:tcBorders>
            <w:vAlign w:val="center"/>
          </w:tcPr>
          <w:p w14:paraId="04605110" w14:textId="77777777" w:rsidR="009F4E5F" w:rsidRPr="00A725B3" w:rsidRDefault="009F4E5F">
            <w:pPr>
              <w:pStyle w:val="081TableRightAligned22"/>
              <w:keepNext/>
              <w:ind w:right="0"/>
              <w:rPr>
                <w:b/>
                <w:bCs/>
              </w:rPr>
            </w:pPr>
          </w:p>
        </w:tc>
        <w:tc>
          <w:tcPr>
            <w:tcW w:w="570" w:type="pct"/>
            <w:tcBorders>
              <w:left w:val="nil"/>
              <w:right w:val="nil"/>
            </w:tcBorders>
            <w:vAlign w:val="center"/>
          </w:tcPr>
          <w:p w14:paraId="7E127F9E" w14:textId="77777777" w:rsidR="009F4E5F" w:rsidRPr="00A725B3" w:rsidRDefault="009F4E5F">
            <w:pPr>
              <w:pStyle w:val="081TableRightAligned22"/>
              <w:keepNext/>
              <w:ind w:right="0"/>
              <w:rPr>
                <w:b/>
                <w:bCs/>
              </w:rPr>
            </w:pPr>
          </w:p>
        </w:tc>
        <w:tc>
          <w:tcPr>
            <w:tcW w:w="828" w:type="pct"/>
            <w:tcBorders>
              <w:left w:val="nil"/>
            </w:tcBorders>
            <w:vAlign w:val="center"/>
          </w:tcPr>
          <w:p w14:paraId="26B6C211" w14:textId="77777777" w:rsidR="009F4E5F" w:rsidRPr="00A725B3" w:rsidRDefault="009F4E5F">
            <w:pPr>
              <w:pStyle w:val="081TableRightAligned22"/>
              <w:keepNext/>
              <w:ind w:right="0"/>
              <w:rPr>
                <w:b/>
                <w:bCs/>
              </w:rPr>
            </w:pPr>
          </w:p>
        </w:tc>
      </w:tr>
      <w:tr w:rsidR="00BF46AD" w14:paraId="3D3D3280" w14:textId="77777777" w:rsidTr="0065419A">
        <w:tc>
          <w:tcPr>
            <w:tcW w:w="1263" w:type="pct"/>
          </w:tcPr>
          <w:p w14:paraId="46ECA8DF" w14:textId="77777777" w:rsidR="009F4E5F" w:rsidRPr="007A39F8" w:rsidRDefault="009F4E5F">
            <w:pPr>
              <w:pStyle w:val="051Tabletext22"/>
              <w:keepNext/>
            </w:pPr>
            <w:r w:rsidRPr="007A39F8">
              <w:t>Intervention</w:t>
            </w:r>
          </w:p>
        </w:tc>
        <w:tc>
          <w:tcPr>
            <w:tcW w:w="474" w:type="pct"/>
            <w:vAlign w:val="center"/>
          </w:tcPr>
          <w:p w14:paraId="0017412B" w14:textId="77777777" w:rsidR="009F4E5F" w:rsidRPr="007F6F76" w:rsidRDefault="009F4E5F" w:rsidP="00A047A1">
            <w:pPr>
              <w:pStyle w:val="081TableRightAligned22"/>
              <w:keepNext/>
              <w:ind w:right="0"/>
            </w:pPr>
            <w:r w:rsidRPr="00A7789B">
              <w:t>926.15</w:t>
            </w:r>
          </w:p>
        </w:tc>
        <w:tc>
          <w:tcPr>
            <w:tcW w:w="423" w:type="pct"/>
            <w:vAlign w:val="center"/>
          </w:tcPr>
          <w:p w14:paraId="172BAD0B" w14:textId="77777777" w:rsidR="009F4E5F" w:rsidRPr="007F6F76" w:rsidRDefault="009F4E5F" w:rsidP="00A047A1">
            <w:pPr>
              <w:pStyle w:val="081TableRightAligned22"/>
              <w:keepNext/>
              <w:ind w:right="0"/>
            </w:pPr>
            <w:r w:rsidRPr="00A7789B">
              <w:t>72.73</w:t>
            </w:r>
          </w:p>
        </w:tc>
        <w:tc>
          <w:tcPr>
            <w:tcW w:w="423" w:type="pct"/>
            <w:vAlign w:val="center"/>
          </w:tcPr>
          <w:p w14:paraId="019A4F1A" w14:textId="77777777" w:rsidR="009F4E5F" w:rsidRPr="007F6F76" w:rsidRDefault="009F4E5F" w:rsidP="00A047A1">
            <w:pPr>
              <w:pStyle w:val="081TableRightAligned22"/>
              <w:keepNext/>
              <w:ind w:right="0"/>
            </w:pPr>
            <w:r w:rsidRPr="00A7789B">
              <w:t>5.41</w:t>
            </w:r>
          </w:p>
        </w:tc>
        <w:tc>
          <w:tcPr>
            <w:tcW w:w="474" w:type="pct"/>
            <w:vAlign w:val="center"/>
          </w:tcPr>
          <w:p w14:paraId="17D939E3" w14:textId="77777777" w:rsidR="009F4E5F" w:rsidRPr="007F6F76" w:rsidRDefault="009F4E5F" w:rsidP="00A047A1">
            <w:pPr>
              <w:pStyle w:val="081TableRightAligned22"/>
              <w:keepNext/>
              <w:ind w:right="0"/>
            </w:pPr>
            <w:r w:rsidRPr="00A7789B">
              <w:t>1,004.29</w:t>
            </w:r>
          </w:p>
        </w:tc>
        <w:tc>
          <w:tcPr>
            <w:tcW w:w="545" w:type="pct"/>
            <w:vAlign w:val="center"/>
          </w:tcPr>
          <w:p w14:paraId="038E658C" w14:textId="77777777" w:rsidR="009F4E5F" w:rsidRPr="007F6F76" w:rsidRDefault="009F4E5F" w:rsidP="00A047A1">
            <w:pPr>
              <w:pStyle w:val="081TableRightAligned22"/>
              <w:keepNext/>
              <w:ind w:right="0"/>
            </w:pPr>
            <w:r w:rsidRPr="00A7789B">
              <w:t>2,510.73</w:t>
            </w:r>
          </w:p>
        </w:tc>
        <w:tc>
          <w:tcPr>
            <w:tcW w:w="570" w:type="pct"/>
            <w:vAlign w:val="center"/>
          </w:tcPr>
          <w:p w14:paraId="08DA5B80" w14:textId="77777777" w:rsidR="009F4E5F" w:rsidRPr="007F6F76" w:rsidRDefault="009F4E5F" w:rsidP="00A047A1">
            <w:pPr>
              <w:pStyle w:val="081TableRightAligned22"/>
              <w:keepNext/>
              <w:ind w:right="0"/>
            </w:pPr>
            <w:r w:rsidRPr="00A7789B">
              <w:t>0.99</w:t>
            </w:r>
          </w:p>
        </w:tc>
        <w:tc>
          <w:tcPr>
            <w:tcW w:w="828" w:type="pct"/>
            <w:vAlign w:val="center"/>
          </w:tcPr>
          <w:p w14:paraId="3BF4E68B" w14:textId="77777777" w:rsidR="009F4E5F" w:rsidRPr="007F6F76" w:rsidRDefault="009F4E5F" w:rsidP="00A047A1">
            <w:pPr>
              <w:pStyle w:val="081TableRightAligned22"/>
              <w:keepNext/>
              <w:ind w:right="0"/>
            </w:pPr>
            <w:r w:rsidRPr="00A7789B">
              <w:t>2,541.22</w:t>
            </w:r>
          </w:p>
        </w:tc>
      </w:tr>
      <w:tr w:rsidR="00BF46AD" w14:paraId="3977EA0C" w14:textId="77777777" w:rsidTr="0065419A">
        <w:tc>
          <w:tcPr>
            <w:tcW w:w="1263" w:type="pct"/>
          </w:tcPr>
          <w:p w14:paraId="6FC739E7" w14:textId="77777777" w:rsidR="009F4E5F" w:rsidRPr="007A39F8" w:rsidRDefault="009F4E5F">
            <w:pPr>
              <w:pStyle w:val="051Tabletext22"/>
              <w:keepNext/>
            </w:pPr>
            <w:r w:rsidRPr="007A39F8">
              <w:t>Comparator</w:t>
            </w:r>
          </w:p>
        </w:tc>
        <w:tc>
          <w:tcPr>
            <w:tcW w:w="474" w:type="pct"/>
            <w:vAlign w:val="center"/>
          </w:tcPr>
          <w:p w14:paraId="49055837" w14:textId="264D7E7F" w:rsidR="009F4E5F" w:rsidRPr="007F6F76" w:rsidRDefault="009F4E5F" w:rsidP="00A047A1">
            <w:pPr>
              <w:pStyle w:val="081TableRightAligned22"/>
              <w:keepNext/>
              <w:ind w:right="0"/>
            </w:pPr>
            <w:r w:rsidRPr="00A7789B">
              <w:t>1,274.6</w:t>
            </w:r>
            <w:r w:rsidR="002B2503">
              <w:t>0</w:t>
            </w:r>
          </w:p>
        </w:tc>
        <w:tc>
          <w:tcPr>
            <w:tcW w:w="423" w:type="pct"/>
            <w:vAlign w:val="center"/>
          </w:tcPr>
          <w:p w14:paraId="6D161536" w14:textId="77777777" w:rsidR="009F4E5F" w:rsidRPr="007F6F76" w:rsidRDefault="009F4E5F" w:rsidP="00A047A1">
            <w:pPr>
              <w:pStyle w:val="081TableRightAligned22"/>
              <w:keepNext/>
              <w:ind w:right="0"/>
            </w:pPr>
            <w:r w:rsidRPr="00A7789B">
              <w:t>0.00</w:t>
            </w:r>
          </w:p>
        </w:tc>
        <w:tc>
          <w:tcPr>
            <w:tcW w:w="423" w:type="pct"/>
            <w:vAlign w:val="center"/>
          </w:tcPr>
          <w:p w14:paraId="0338B3A7" w14:textId="77777777" w:rsidR="009F4E5F" w:rsidRPr="007F6F76" w:rsidRDefault="009F4E5F" w:rsidP="00A047A1">
            <w:pPr>
              <w:pStyle w:val="081TableRightAligned22"/>
              <w:keepNext/>
              <w:ind w:right="0"/>
            </w:pPr>
            <w:r w:rsidRPr="00A7789B">
              <w:t>0.00</w:t>
            </w:r>
          </w:p>
        </w:tc>
        <w:tc>
          <w:tcPr>
            <w:tcW w:w="474" w:type="pct"/>
            <w:vAlign w:val="center"/>
          </w:tcPr>
          <w:p w14:paraId="3150CB09" w14:textId="77777777" w:rsidR="009F4E5F" w:rsidRPr="007F6F76" w:rsidRDefault="009F4E5F" w:rsidP="00A047A1">
            <w:pPr>
              <w:pStyle w:val="081TableRightAligned22"/>
              <w:keepNext/>
              <w:ind w:right="0"/>
            </w:pPr>
            <w:r w:rsidRPr="00A7789B">
              <w:t>1,274.60</w:t>
            </w:r>
          </w:p>
        </w:tc>
        <w:tc>
          <w:tcPr>
            <w:tcW w:w="545" w:type="pct"/>
            <w:vAlign w:val="center"/>
          </w:tcPr>
          <w:p w14:paraId="0389E90C" w14:textId="77777777" w:rsidR="009F4E5F" w:rsidRPr="007F6F76" w:rsidRDefault="009F4E5F" w:rsidP="00A047A1">
            <w:pPr>
              <w:pStyle w:val="081TableRightAligned22"/>
              <w:keepNext/>
              <w:ind w:right="0"/>
            </w:pPr>
            <w:r w:rsidRPr="00A7789B">
              <w:t>3,186.51</w:t>
            </w:r>
          </w:p>
        </w:tc>
        <w:tc>
          <w:tcPr>
            <w:tcW w:w="570" w:type="pct"/>
            <w:vAlign w:val="center"/>
          </w:tcPr>
          <w:p w14:paraId="5CBE347E" w14:textId="77777777" w:rsidR="009F4E5F" w:rsidRPr="007F6F76" w:rsidRDefault="009F4E5F" w:rsidP="00A047A1">
            <w:pPr>
              <w:pStyle w:val="081TableRightAligned22"/>
              <w:keepNext/>
              <w:ind w:right="0"/>
            </w:pPr>
            <w:r w:rsidRPr="00A7789B">
              <w:t>1.00</w:t>
            </w:r>
          </w:p>
        </w:tc>
        <w:tc>
          <w:tcPr>
            <w:tcW w:w="828" w:type="pct"/>
            <w:vAlign w:val="center"/>
          </w:tcPr>
          <w:p w14:paraId="07F0BC63" w14:textId="77777777" w:rsidR="009F4E5F" w:rsidRPr="007F6F76" w:rsidRDefault="009F4E5F" w:rsidP="00A047A1">
            <w:pPr>
              <w:pStyle w:val="081TableRightAligned22"/>
              <w:keepNext/>
              <w:ind w:right="0"/>
            </w:pPr>
            <w:r w:rsidRPr="00A7789B">
              <w:t>3,186.51</w:t>
            </w:r>
          </w:p>
        </w:tc>
      </w:tr>
      <w:tr w:rsidR="00BF46AD" w14:paraId="53144BBD" w14:textId="77777777" w:rsidTr="0065419A">
        <w:tc>
          <w:tcPr>
            <w:tcW w:w="1263" w:type="pct"/>
            <w:tcBorders>
              <w:bottom w:val="single" w:sz="4" w:space="0" w:color="auto"/>
            </w:tcBorders>
          </w:tcPr>
          <w:p w14:paraId="485A9E28" w14:textId="77777777" w:rsidR="009F4E5F" w:rsidRPr="007A39F8" w:rsidRDefault="009F4E5F">
            <w:pPr>
              <w:pStyle w:val="051Tabletext22"/>
              <w:keepNext/>
            </w:pPr>
            <w:r w:rsidRPr="00E1242D">
              <w:rPr>
                <w:b/>
              </w:rPr>
              <w:t xml:space="preserve">Difference </w:t>
            </w:r>
            <w:r>
              <w:rPr>
                <w:b/>
              </w:rPr>
              <w:br/>
            </w:r>
            <w:r w:rsidRPr="00E1242D">
              <w:rPr>
                <w:b/>
              </w:rPr>
              <w:t>(intervention – comparator)</w:t>
            </w:r>
          </w:p>
        </w:tc>
        <w:tc>
          <w:tcPr>
            <w:tcW w:w="474" w:type="pct"/>
            <w:tcBorders>
              <w:bottom w:val="single" w:sz="4" w:space="0" w:color="auto"/>
            </w:tcBorders>
            <w:vAlign w:val="center"/>
          </w:tcPr>
          <w:p w14:paraId="57724F87" w14:textId="77777777" w:rsidR="009F4E5F" w:rsidRPr="00D26620" w:rsidRDefault="009F4E5F" w:rsidP="00A047A1">
            <w:pPr>
              <w:pStyle w:val="081TableRightAligned22"/>
              <w:keepNext/>
              <w:ind w:right="0"/>
              <w:rPr>
                <w:b/>
                <w:bCs/>
              </w:rPr>
            </w:pPr>
            <w:r w:rsidRPr="00D26620">
              <w:rPr>
                <w:b/>
                <w:bCs/>
              </w:rPr>
              <w:t>-348.45</w:t>
            </w:r>
          </w:p>
        </w:tc>
        <w:tc>
          <w:tcPr>
            <w:tcW w:w="423" w:type="pct"/>
            <w:tcBorders>
              <w:bottom w:val="single" w:sz="4" w:space="0" w:color="auto"/>
            </w:tcBorders>
            <w:vAlign w:val="center"/>
          </w:tcPr>
          <w:p w14:paraId="5761D691" w14:textId="77777777" w:rsidR="009F4E5F" w:rsidRPr="00D26620" w:rsidRDefault="009F4E5F" w:rsidP="00A047A1">
            <w:pPr>
              <w:pStyle w:val="081TableRightAligned22"/>
              <w:keepNext/>
              <w:ind w:right="0"/>
              <w:rPr>
                <w:b/>
                <w:bCs/>
              </w:rPr>
            </w:pPr>
            <w:r w:rsidRPr="00D26620">
              <w:rPr>
                <w:b/>
                <w:bCs/>
              </w:rPr>
              <w:t>72.73</w:t>
            </w:r>
          </w:p>
        </w:tc>
        <w:tc>
          <w:tcPr>
            <w:tcW w:w="423" w:type="pct"/>
            <w:tcBorders>
              <w:bottom w:val="single" w:sz="4" w:space="0" w:color="auto"/>
            </w:tcBorders>
            <w:vAlign w:val="center"/>
          </w:tcPr>
          <w:p w14:paraId="5F71616D" w14:textId="77777777" w:rsidR="009F4E5F" w:rsidRPr="00D26620" w:rsidRDefault="009F4E5F" w:rsidP="00A047A1">
            <w:pPr>
              <w:pStyle w:val="081TableRightAligned22"/>
              <w:keepNext/>
              <w:ind w:right="0"/>
              <w:rPr>
                <w:b/>
                <w:bCs/>
              </w:rPr>
            </w:pPr>
            <w:r w:rsidRPr="00D26620">
              <w:rPr>
                <w:b/>
                <w:bCs/>
              </w:rPr>
              <w:t>5.41</w:t>
            </w:r>
          </w:p>
        </w:tc>
        <w:tc>
          <w:tcPr>
            <w:tcW w:w="474" w:type="pct"/>
            <w:tcBorders>
              <w:bottom w:val="single" w:sz="4" w:space="0" w:color="auto"/>
            </w:tcBorders>
            <w:vAlign w:val="center"/>
          </w:tcPr>
          <w:p w14:paraId="1BB369E4" w14:textId="77777777" w:rsidR="009F4E5F" w:rsidRPr="00D26620" w:rsidRDefault="009F4E5F" w:rsidP="00A047A1">
            <w:pPr>
              <w:pStyle w:val="081TableRightAligned22"/>
              <w:keepNext/>
              <w:ind w:right="0"/>
              <w:rPr>
                <w:b/>
                <w:bCs/>
              </w:rPr>
            </w:pPr>
            <w:r w:rsidRPr="00D26620">
              <w:rPr>
                <w:b/>
                <w:bCs/>
              </w:rPr>
              <w:t>-270.31</w:t>
            </w:r>
          </w:p>
        </w:tc>
        <w:tc>
          <w:tcPr>
            <w:tcW w:w="545" w:type="pct"/>
            <w:tcBorders>
              <w:bottom w:val="single" w:sz="4" w:space="0" w:color="auto"/>
            </w:tcBorders>
            <w:vAlign w:val="center"/>
          </w:tcPr>
          <w:p w14:paraId="4CF21AC2" w14:textId="77777777" w:rsidR="009F4E5F" w:rsidRPr="00D26620" w:rsidRDefault="009F4E5F" w:rsidP="00A047A1">
            <w:pPr>
              <w:pStyle w:val="081TableRightAligned22"/>
              <w:keepNext/>
              <w:ind w:right="0"/>
              <w:rPr>
                <w:b/>
                <w:bCs/>
              </w:rPr>
            </w:pPr>
            <w:r w:rsidRPr="00D26620">
              <w:rPr>
                <w:b/>
                <w:bCs/>
              </w:rPr>
              <w:t>-675.78</w:t>
            </w:r>
          </w:p>
        </w:tc>
        <w:tc>
          <w:tcPr>
            <w:tcW w:w="570" w:type="pct"/>
            <w:tcBorders>
              <w:bottom w:val="single" w:sz="4" w:space="0" w:color="auto"/>
            </w:tcBorders>
            <w:vAlign w:val="center"/>
          </w:tcPr>
          <w:p w14:paraId="7EF95086" w14:textId="77777777" w:rsidR="009F4E5F" w:rsidRPr="00D26620" w:rsidRDefault="009F4E5F" w:rsidP="00A047A1">
            <w:pPr>
              <w:pStyle w:val="081TableRightAligned22"/>
              <w:keepNext/>
              <w:ind w:right="0"/>
              <w:rPr>
                <w:b/>
                <w:bCs/>
              </w:rPr>
            </w:pPr>
            <w:r w:rsidRPr="00D26620">
              <w:rPr>
                <w:b/>
                <w:bCs/>
              </w:rPr>
              <w:t>-0.01</w:t>
            </w:r>
          </w:p>
        </w:tc>
        <w:tc>
          <w:tcPr>
            <w:tcW w:w="828" w:type="pct"/>
            <w:vAlign w:val="center"/>
          </w:tcPr>
          <w:p w14:paraId="3D9332E5" w14:textId="77777777" w:rsidR="009F4E5F" w:rsidRPr="00DD3E4D" w:rsidRDefault="009F4E5F" w:rsidP="00A047A1">
            <w:pPr>
              <w:pStyle w:val="081TableRightAligned22"/>
              <w:keepNext/>
              <w:ind w:right="0"/>
              <w:rPr>
                <w:b/>
              </w:rPr>
            </w:pPr>
            <w:r w:rsidRPr="00DD3E4D">
              <w:rPr>
                <w:b/>
                <w:bCs/>
              </w:rPr>
              <w:t>-645.29</w:t>
            </w:r>
          </w:p>
        </w:tc>
      </w:tr>
      <w:tr w:rsidR="009F4E5F" w14:paraId="16AFF886" w14:textId="77777777" w:rsidTr="00F042D3">
        <w:tc>
          <w:tcPr>
            <w:tcW w:w="1263" w:type="pct"/>
            <w:tcBorders>
              <w:right w:val="nil"/>
            </w:tcBorders>
          </w:tcPr>
          <w:p w14:paraId="4CAA759D" w14:textId="77777777" w:rsidR="009F4E5F" w:rsidRPr="00A725B3" w:rsidRDefault="009F4E5F">
            <w:pPr>
              <w:pStyle w:val="051Tabletext22"/>
              <w:keepNext/>
              <w:rPr>
                <w:b/>
                <w:bCs/>
              </w:rPr>
            </w:pPr>
            <w:r>
              <w:rPr>
                <w:b/>
                <w:bCs/>
              </w:rPr>
              <w:t>Resubmission (</w:t>
            </w:r>
            <w:r w:rsidRPr="00A725B3">
              <w:rPr>
                <w:b/>
                <w:bCs/>
              </w:rPr>
              <w:t>DCAR 1712.1</w:t>
            </w:r>
            <w:r>
              <w:rPr>
                <w:b/>
                <w:bCs/>
              </w:rPr>
              <w:t>)</w:t>
            </w:r>
          </w:p>
        </w:tc>
        <w:tc>
          <w:tcPr>
            <w:tcW w:w="474" w:type="pct"/>
            <w:tcBorders>
              <w:left w:val="nil"/>
              <w:right w:val="nil"/>
            </w:tcBorders>
            <w:vAlign w:val="center"/>
          </w:tcPr>
          <w:p w14:paraId="426EEDB7" w14:textId="77777777" w:rsidR="009F4E5F" w:rsidRPr="00A725B3" w:rsidRDefault="009F4E5F">
            <w:pPr>
              <w:pStyle w:val="081TableRightAligned22"/>
              <w:keepNext/>
              <w:ind w:right="0"/>
              <w:rPr>
                <w:b/>
                <w:bCs/>
              </w:rPr>
            </w:pPr>
          </w:p>
        </w:tc>
        <w:tc>
          <w:tcPr>
            <w:tcW w:w="423" w:type="pct"/>
            <w:tcBorders>
              <w:left w:val="nil"/>
              <w:right w:val="nil"/>
            </w:tcBorders>
            <w:vAlign w:val="center"/>
          </w:tcPr>
          <w:p w14:paraId="34A24B9D" w14:textId="77777777" w:rsidR="009F4E5F" w:rsidRPr="00A725B3" w:rsidRDefault="009F4E5F">
            <w:pPr>
              <w:pStyle w:val="081TableRightAligned22"/>
              <w:keepNext/>
              <w:ind w:right="0"/>
              <w:rPr>
                <w:b/>
                <w:bCs/>
              </w:rPr>
            </w:pPr>
          </w:p>
        </w:tc>
        <w:tc>
          <w:tcPr>
            <w:tcW w:w="423" w:type="pct"/>
            <w:tcBorders>
              <w:left w:val="nil"/>
              <w:right w:val="nil"/>
            </w:tcBorders>
            <w:vAlign w:val="center"/>
          </w:tcPr>
          <w:p w14:paraId="513BA079" w14:textId="77777777" w:rsidR="009F4E5F" w:rsidRPr="00A725B3" w:rsidRDefault="009F4E5F">
            <w:pPr>
              <w:pStyle w:val="081TableRightAligned22"/>
              <w:keepNext/>
              <w:ind w:right="0"/>
              <w:rPr>
                <w:b/>
                <w:bCs/>
              </w:rPr>
            </w:pPr>
          </w:p>
        </w:tc>
        <w:tc>
          <w:tcPr>
            <w:tcW w:w="474" w:type="pct"/>
            <w:tcBorders>
              <w:left w:val="nil"/>
              <w:right w:val="nil"/>
            </w:tcBorders>
            <w:vAlign w:val="center"/>
          </w:tcPr>
          <w:p w14:paraId="77882502" w14:textId="77777777" w:rsidR="009F4E5F" w:rsidRPr="00A725B3" w:rsidRDefault="009F4E5F">
            <w:pPr>
              <w:pStyle w:val="081TableRightAligned22"/>
              <w:keepNext/>
              <w:ind w:right="0"/>
              <w:rPr>
                <w:b/>
                <w:bCs/>
              </w:rPr>
            </w:pPr>
          </w:p>
        </w:tc>
        <w:tc>
          <w:tcPr>
            <w:tcW w:w="545" w:type="pct"/>
            <w:tcBorders>
              <w:left w:val="nil"/>
              <w:right w:val="nil"/>
            </w:tcBorders>
            <w:vAlign w:val="center"/>
          </w:tcPr>
          <w:p w14:paraId="3D00C2E0" w14:textId="77777777" w:rsidR="009F4E5F" w:rsidRPr="00A725B3" w:rsidRDefault="009F4E5F">
            <w:pPr>
              <w:pStyle w:val="081TableRightAligned22"/>
              <w:keepNext/>
              <w:ind w:right="0"/>
              <w:rPr>
                <w:b/>
                <w:bCs/>
              </w:rPr>
            </w:pPr>
          </w:p>
        </w:tc>
        <w:tc>
          <w:tcPr>
            <w:tcW w:w="570" w:type="pct"/>
            <w:tcBorders>
              <w:left w:val="nil"/>
              <w:right w:val="nil"/>
            </w:tcBorders>
            <w:vAlign w:val="center"/>
          </w:tcPr>
          <w:p w14:paraId="6140DCAC" w14:textId="77777777" w:rsidR="009F4E5F" w:rsidRPr="00A725B3" w:rsidRDefault="009F4E5F">
            <w:pPr>
              <w:pStyle w:val="081TableRightAligned22"/>
              <w:keepNext/>
              <w:ind w:right="0"/>
              <w:rPr>
                <w:b/>
                <w:bCs/>
              </w:rPr>
            </w:pPr>
          </w:p>
        </w:tc>
        <w:tc>
          <w:tcPr>
            <w:tcW w:w="828" w:type="pct"/>
            <w:tcBorders>
              <w:left w:val="nil"/>
            </w:tcBorders>
            <w:vAlign w:val="center"/>
          </w:tcPr>
          <w:p w14:paraId="105E8F66" w14:textId="77777777" w:rsidR="009F4E5F" w:rsidRPr="00A725B3" w:rsidRDefault="009F4E5F">
            <w:pPr>
              <w:pStyle w:val="081TableRightAligned22"/>
              <w:keepNext/>
              <w:ind w:right="0"/>
              <w:rPr>
                <w:b/>
                <w:bCs/>
              </w:rPr>
            </w:pPr>
          </w:p>
        </w:tc>
      </w:tr>
      <w:tr w:rsidR="002C0AD1" w14:paraId="3E7FF37D" w14:textId="77777777" w:rsidTr="00903C11">
        <w:tc>
          <w:tcPr>
            <w:tcW w:w="1263" w:type="pct"/>
          </w:tcPr>
          <w:p w14:paraId="77DDF68E" w14:textId="77777777" w:rsidR="002C0AD1" w:rsidRPr="007A39F8" w:rsidRDefault="002C0AD1" w:rsidP="002C0AD1">
            <w:pPr>
              <w:pStyle w:val="051Tabletext22"/>
              <w:keepNext/>
            </w:pPr>
            <w:r w:rsidRPr="007A39F8">
              <w:t>Intervention</w:t>
            </w:r>
          </w:p>
        </w:tc>
        <w:tc>
          <w:tcPr>
            <w:tcW w:w="474" w:type="pct"/>
            <w:vAlign w:val="center"/>
          </w:tcPr>
          <w:p w14:paraId="1948A98A" w14:textId="674E33CE" w:rsidR="002C0AD1" w:rsidRPr="007A39F8" w:rsidRDefault="002C0AD1" w:rsidP="00A047A1">
            <w:pPr>
              <w:pStyle w:val="081TableRightAligned22"/>
              <w:keepNext/>
              <w:ind w:right="0"/>
            </w:pPr>
            <w:r w:rsidRPr="00E00919">
              <w:t xml:space="preserve"> 868.16 </w:t>
            </w:r>
          </w:p>
        </w:tc>
        <w:tc>
          <w:tcPr>
            <w:tcW w:w="423" w:type="pct"/>
            <w:vAlign w:val="center"/>
          </w:tcPr>
          <w:p w14:paraId="139CC1AB" w14:textId="3E26509C" w:rsidR="002C0AD1" w:rsidRPr="007A39F8" w:rsidRDefault="002C0AD1" w:rsidP="00A047A1">
            <w:pPr>
              <w:pStyle w:val="081TableRightAligned22"/>
              <w:keepNext/>
              <w:ind w:right="0"/>
            </w:pPr>
            <w:r w:rsidRPr="00E00919">
              <w:t xml:space="preserve"> 74.14 </w:t>
            </w:r>
          </w:p>
        </w:tc>
        <w:tc>
          <w:tcPr>
            <w:tcW w:w="423" w:type="pct"/>
          </w:tcPr>
          <w:p w14:paraId="7FBE68E0" w14:textId="44F77B92" w:rsidR="002C0AD1" w:rsidRPr="007A39F8" w:rsidRDefault="00FF56C5" w:rsidP="00A047A1">
            <w:pPr>
              <w:pStyle w:val="081TableRightAligned22"/>
              <w:keepNext/>
              <w:ind w:right="0"/>
            </w:pPr>
            <w:r w:rsidRPr="001E736E">
              <w:t xml:space="preserve"> 2.62 </w:t>
            </w:r>
          </w:p>
        </w:tc>
        <w:tc>
          <w:tcPr>
            <w:tcW w:w="474" w:type="pct"/>
          </w:tcPr>
          <w:p w14:paraId="46CA5C93" w14:textId="654C58CB" w:rsidR="002C0AD1" w:rsidRPr="007A39F8" w:rsidRDefault="00FF56C5" w:rsidP="00A047A1">
            <w:pPr>
              <w:pStyle w:val="081TableRightAligned22"/>
              <w:keepNext/>
              <w:ind w:right="0"/>
            </w:pPr>
            <w:r w:rsidRPr="001E736E">
              <w:t xml:space="preserve"> 944.92 </w:t>
            </w:r>
          </w:p>
        </w:tc>
        <w:tc>
          <w:tcPr>
            <w:tcW w:w="545" w:type="pct"/>
          </w:tcPr>
          <w:p w14:paraId="5C4E4F57" w14:textId="3CF74BE6" w:rsidR="002C0AD1" w:rsidRPr="007A39F8" w:rsidRDefault="00FF56C5" w:rsidP="00A047A1">
            <w:pPr>
              <w:pStyle w:val="081TableRightAligned22"/>
              <w:keepNext/>
              <w:ind w:right="0"/>
            </w:pPr>
            <w:r w:rsidRPr="001E736E">
              <w:t xml:space="preserve"> 2,362.30 </w:t>
            </w:r>
          </w:p>
        </w:tc>
        <w:tc>
          <w:tcPr>
            <w:tcW w:w="570" w:type="pct"/>
          </w:tcPr>
          <w:p w14:paraId="43469193" w14:textId="63DEA6C3" w:rsidR="002C0AD1" w:rsidRPr="007A39F8" w:rsidRDefault="00FF56C5" w:rsidP="00A047A1">
            <w:pPr>
              <w:pStyle w:val="081TableRightAligned22"/>
              <w:keepNext/>
              <w:ind w:right="0"/>
            </w:pPr>
            <w:r w:rsidRPr="001E736E">
              <w:t>0.99</w:t>
            </w:r>
          </w:p>
        </w:tc>
        <w:tc>
          <w:tcPr>
            <w:tcW w:w="828" w:type="pct"/>
          </w:tcPr>
          <w:p w14:paraId="054B8D7F" w14:textId="6FB07641" w:rsidR="002C0AD1" w:rsidRPr="007A39F8" w:rsidRDefault="00FF56C5" w:rsidP="00A047A1">
            <w:pPr>
              <w:pStyle w:val="081TableRightAligned22"/>
              <w:keepNext/>
              <w:ind w:right="0"/>
            </w:pPr>
            <w:r w:rsidRPr="001E736E">
              <w:t>2,390.99</w:t>
            </w:r>
          </w:p>
        </w:tc>
      </w:tr>
      <w:tr w:rsidR="00594135" w14:paraId="47DA451C" w14:textId="77777777" w:rsidTr="00F042D3">
        <w:tc>
          <w:tcPr>
            <w:tcW w:w="1263" w:type="pct"/>
          </w:tcPr>
          <w:p w14:paraId="4DACDEA5" w14:textId="77777777" w:rsidR="00594135" w:rsidRPr="007A39F8" w:rsidRDefault="00594135" w:rsidP="00594135">
            <w:pPr>
              <w:pStyle w:val="051Tabletext22"/>
              <w:keepNext/>
            </w:pPr>
            <w:r w:rsidRPr="007A39F8">
              <w:t>Comparator</w:t>
            </w:r>
          </w:p>
        </w:tc>
        <w:tc>
          <w:tcPr>
            <w:tcW w:w="474" w:type="pct"/>
            <w:vAlign w:val="center"/>
          </w:tcPr>
          <w:p w14:paraId="7BE650C8" w14:textId="7E56DC1B" w:rsidR="00594135" w:rsidRPr="008369F8" w:rsidRDefault="00594135" w:rsidP="00A047A1">
            <w:pPr>
              <w:pStyle w:val="081TableRightAligned22"/>
              <w:keepNext/>
              <w:ind w:right="0"/>
              <w:rPr>
                <w:bCs/>
              </w:rPr>
            </w:pPr>
            <w:r w:rsidRPr="008369F8">
              <w:rPr>
                <w:bCs/>
              </w:rPr>
              <w:t>1,129.47</w:t>
            </w:r>
            <w:r>
              <w:rPr>
                <w:bCs/>
              </w:rPr>
              <w:t xml:space="preserve"> </w:t>
            </w:r>
          </w:p>
        </w:tc>
        <w:tc>
          <w:tcPr>
            <w:tcW w:w="423" w:type="pct"/>
            <w:vAlign w:val="center"/>
          </w:tcPr>
          <w:p w14:paraId="4DB5F7A0" w14:textId="77777777" w:rsidR="00594135" w:rsidRPr="007A39F8" w:rsidRDefault="00594135" w:rsidP="00A047A1">
            <w:pPr>
              <w:pStyle w:val="081TableRightAligned22"/>
              <w:keepNext/>
              <w:ind w:right="0"/>
            </w:pPr>
            <w:r w:rsidRPr="007A39F8">
              <w:t>0.00</w:t>
            </w:r>
          </w:p>
        </w:tc>
        <w:tc>
          <w:tcPr>
            <w:tcW w:w="423" w:type="pct"/>
            <w:vAlign w:val="center"/>
          </w:tcPr>
          <w:p w14:paraId="58E98F6A" w14:textId="77777777" w:rsidR="00594135" w:rsidRPr="007A39F8" w:rsidRDefault="00594135" w:rsidP="00A047A1">
            <w:pPr>
              <w:pStyle w:val="081TableRightAligned22"/>
              <w:keepNext/>
              <w:ind w:right="0"/>
            </w:pPr>
            <w:r w:rsidRPr="007A39F8">
              <w:t>0.00</w:t>
            </w:r>
          </w:p>
        </w:tc>
        <w:tc>
          <w:tcPr>
            <w:tcW w:w="474" w:type="pct"/>
            <w:vAlign w:val="center"/>
          </w:tcPr>
          <w:p w14:paraId="132FAAA1" w14:textId="6546F6BC" w:rsidR="00594135" w:rsidRPr="007A39F8" w:rsidRDefault="00594135" w:rsidP="00A047A1">
            <w:pPr>
              <w:pStyle w:val="081TableRightAligned22"/>
              <w:keepNext/>
              <w:ind w:right="0"/>
            </w:pPr>
            <w:r w:rsidRPr="00C766F4">
              <w:t xml:space="preserve">1,129.47 </w:t>
            </w:r>
          </w:p>
        </w:tc>
        <w:tc>
          <w:tcPr>
            <w:tcW w:w="545" w:type="pct"/>
            <w:vAlign w:val="center"/>
          </w:tcPr>
          <w:p w14:paraId="26B1A327" w14:textId="6E747F1C" w:rsidR="00594135" w:rsidRPr="007A39F8" w:rsidRDefault="00594135" w:rsidP="00A047A1">
            <w:pPr>
              <w:pStyle w:val="081TableRightAligned22"/>
              <w:keepNext/>
              <w:ind w:right="0"/>
            </w:pPr>
            <w:r w:rsidRPr="00C766F4">
              <w:t xml:space="preserve">2,823.68 </w:t>
            </w:r>
          </w:p>
        </w:tc>
        <w:tc>
          <w:tcPr>
            <w:tcW w:w="570" w:type="pct"/>
            <w:vAlign w:val="center"/>
          </w:tcPr>
          <w:p w14:paraId="07CCDFA5" w14:textId="77777777" w:rsidR="00594135" w:rsidRPr="007A39F8" w:rsidRDefault="00594135" w:rsidP="00A047A1">
            <w:pPr>
              <w:pStyle w:val="081TableRightAligned22"/>
              <w:keepNext/>
              <w:ind w:right="0"/>
            </w:pPr>
            <w:r w:rsidRPr="007A39F8">
              <w:t>1.00</w:t>
            </w:r>
          </w:p>
        </w:tc>
        <w:tc>
          <w:tcPr>
            <w:tcW w:w="828" w:type="pct"/>
            <w:vAlign w:val="center"/>
          </w:tcPr>
          <w:p w14:paraId="59AC7390" w14:textId="063D35D5" w:rsidR="00594135" w:rsidRPr="007A39F8" w:rsidRDefault="00594135" w:rsidP="00A047A1">
            <w:pPr>
              <w:pStyle w:val="081TableRightAligned22"/>
              <w:keepNext/>
              <w:ind w:right="0"/>
            </w:pPr>
            <w:r w:rsidRPr="006C01AD">
              <w:t xml:space="preserve">2,823.68 </w:t>
            </w:r>
          </w:p>
        </w:tc>
      </w:tr>
      <w:tr w:rsidR="00594135" w14:paraId="0153E230" w14:textId="77777777" w:rsidTr="00903C11">
        <w:tc>
          <w:tcPr>
            <w:tcW w:w="1263" w:type="pct"/>
          </w:tcPr>
          <w:p w14:paraId="1B9A2F4C" w14:textId="77777777" w:rsidR="00594135" w:rsidRPr="00E1242D" w:rsidRDefault="00594135" w:rsidP="00594135">
            <w:pPr>
              <w:pStyle w:val="051Tabletext22"/>
              <w:rPr>
                <w:b/>
              </w:rPr>
            </w:pPr>
            <w:r w:rsidRPr="00E1242D">
              <w:rPr>
                <w:b/>
              </w:rPr>
              <w:t xml:space="preserve">Difference </w:t>
            </w:r>
            <w:r>
              <w:rPr>
                <w:b/>
              </w:rPr>
              <w:br/>
            </w:r>
            <w:r w:rsidRPr="00E1242D">
              <w:rPr>
                <w:b/>
              </w:rPr>
              <w:t>(intervention – comparator)</w:t>
            </w:r>
          </w:p>
        </w:tc>
        <w:tc>
          <w:tcPr>
            <w:tcW w:w="474" w:type="pct"/>
            <w:vAlign w:val="center"/>
          </w:tcPr>
          <w:p w14:paraId="05152E36" w14:textId="7546EC24" w:rsidR="00594135" w:rsidRPr="001D563A" w:rsidRDefault="00594135" w:rsidP="00A047A1">
            <w:pPr>
              <w:pStyle w:val="081TableRightAligned22"/>
              <w:ind w:right="0"/>
              <w:rPr>
                <w:b/>
                <w:bCs/>
              </w:rPr>
            </w:pPr>
            <w:r w:rsidRPr="00AE73D9">
              <w:rPr>
                <w:b/>
                <w:bCs/>
              </w:rPr>
              <w:t xml:space="preserve">-261.31 </w:t>
            </w:r>
          </w:p>
        </w:tc>
        <w:tc>
          <w:tcPr>
            <w:tcW w:w="423" w:type="pct"/>
            <w:vAlign w:val="center"/>
          </w:tcPr>
          <w:p w14:paraId="189A788E" w14:textId="3CDE1106" w:rsidR="00594135" w:rsidRPr="001D563A" w:rsidRDefault="00594135" w:rsidP="00A047A1">
            <w:pPr>
              <w:pStyle w:val="081TableRightAligned22"/>
              <w:ind w:right="0"/>
              <w:rPr>
                <w:b/>
                <w:bCs/>
              </w:rPr>
            </w:pPr>
            <w:r w:rsidRPr="00AE73D9">
              <w:rPr>
                <w:b/>
                <w:bCs/>
              </w:rPr>
              <w:t xml:space="preserve"> 74.14 </w:t>
            </w:r>
          </w:p>
        </w:tc>
        <w:tc>
          <w:tcPr>
            <w:tcW w:w="423" w:type="pct"/>
          </w:tcPr>
          <w:p w14:paraId="790F9621" w14:textId="10D81B1E" w:rsidR="00594135" w:rsidRPr="001D563A" w:rsidRDefault="00F042D3" w:rsidP="00A047A1">
            <w:pPr>
              <w:pStyle w:val="081TableRightAligned22"/>
              <w:ind w:right="0"/>
              <w:rPr>
                <w:b/>
                <w:bCs/>
              </w:rPr>
            </w:pPr>
            <w:r w:rsidRPr="00903C11">
              <w:rPr>
                <w:b/>
                <w:bCs/>
              </w:rPr>
              <w:t xml:space="preserve"> 2.62 </w:t>
            </w:r>
          </w:p>
        </w:tc>
        <w:tc>
          <w:tcPr>
            <w:tcW w:w="474" w:type="pct"/>
          </w:tcPr>
          <w:p w14:paraId="65FF792E" w14:textId="4D9503FF" w:rsidR="00594135" w:rsidRPr="001D563A" w:rsidRDefault="00F042D3" w:rsidP="00A047A1">
            <w:pPr>
              <w:pStyle w:val="081TableRightAligned22"/>
              <w:ind w:right="0"/>
              <w:rPr>
                <w:b/>
                <w:bCs/>
              </w:rPr>
            </w:pPr>
            <w:r w:rsidRPr="00903C11">
              <w:rPr>
                <w:b/>
                <w:bCs/>
              </w:rPr>
              <w:t xml:space="preserve">-184.55 </w:t>
            </w:r>
          </w:p>
        </w:tc>
        <w:tc>
          <w:tcPr>
            <w:tcW w:w="545" w:type="pct"/>
          </w:tcPr>
          <w:p w14:paraId="14D8CA08" w14:textId="68C72D05" w:rsidR="00594135" w:rsidRPr="001D563A" w:rsidRDefault="00F042D3" w:rsidP="00A047A1">
            <w:pPr>
              <w:pStyle w:val="081TableRightAligned22"/>
              <w:ind w:right="0"/>
              <w:rPr>
                <w:b/>
                <w:bCs/>
              </w:rPr>
            </w:pPr>
            <w:r w:rsidRPr="00903C11">
              <w:rPr>
                <w:b/>
                <w:bCs/>
              </w:rPr>
              <w:t xml:space="preserve">-461.38 </w:t>
            </w:r>
          </w:p>
        </w:tc>
        <w:tc>
          <w:tcPr>
            <w:tcW w:w="570" w:type="pct"/>
          </w:tcPr>
          <w:p w14:paraId="5BCB5318" w14:textId="2E857FFD" w:rsidR="00594135" w:rsidRPr="00E1242D" w:rsidRDefault="00F042D3" w:rsidP="00A047A1">
            <w:pPr>
              <w:pStyle w:val="081TableRightAligned22"/>
              <w:ind w:right="0"/>
              <w:rPr>
                <w:b/>
              </w:rPr>
            </w:pPr>
            <w:r w:rsidRPr="00903C11">
              <w:rPr>
                <w:b/>
                <w:bCs/>
              </w:rPr>
              <w:t xml:space="preserve">-0.01 </w:t>
            </w:r>
          </w:p>
        </w:tc>
        <w:tc>
          <w:tcPr>
            <w:tcW w:w="828" w:type="pct"/>
          </w:tcPr>
          <w:p w14:paraId="223FB6C8" w14:textId="528BE09B" w:rsidR="00594135" w:rsidRPr="001C262C" w:rsidRDefault="00F042D3" w:rsidP="00A047A1">
            <w:pPr>
              <w:pStyle w:val="081TableRightAligned22"/>
              <w:ind w:right="0"/>
              <w:rPr>
                <w:b/>
                <w:bCs/>
              </w:rPr>
            </w:pPr>
            <w:r w:rsidRPr="00903C11">
              <w:rPr>
                <w:b/>
                <w:bCs/>
              </w:rPr>
              <w:t>-432.69</w:t>
            </w:r>
          </w:p>
        </w:tc>
      </w:tr>
    </w:tbl>
    <w:p w14:paraId="5E934BC6" w14:textId="79366752" w:rsidR="00B02CCE" w:rsidRDefault="00B02CCE" w:rsidP="00B02CCE">
      <w:pPr>
        <w:pStyle w:val="111Tablefootnoteslast-nostick"/>
      </w:pPr>
      <w:r>
        <w:t>DCAR = Department Contracted Assessment Report</w:t>
      </w:r>
      <w:r w:rsidR="003A58A7">
        <w:t>.</w:t>
      </w:r>
    </w:p>
    <w:p w14:paraId="53CECE82" w14:textId="7F2C6C92" w:rsidR="00B02CCE" w:rsidRPr="0017173C" w:rsidRDefault="00B02CCE" w:rsidP="00B02CCE">
      <w:pPr>
        <w:pStyle w:val="111Tablefootnoteslast-nostick"/>
      </w:pPr>
      <w:r w:rsidRPr="00CF4605">
        <w:t>Source</w:t>
      </w:r>
      <w:r w:rsidRPr="001F36FE">
        <w:t xml:space="preserve">: Table </w:t>
      </w:r>
      <w:r w:rsidR="00B8619F">
        <w:t>45</w:t>
      </w:r>
      <w:r w:rsidR="00B8619F" w:rsidRPr="00726FB8">
        <w:t xml:space="preserve"> </w:t>
      </w:r>
      <w:r w:rsidRPr="00726FB8">
        <w:t>of DCAR 1712.1</w:t>
      </w:r>
      <w:r w:rsidRPr="00CF4605">
        <w:t>.</w:t>
      </w:r>
    </w:p>
    <w:p w14:paraId="357B4C1A" w14:textId="27D1BDB5" w:rsidR="001A1BF5" w:rsidRDefault="001A1BF5" w:rsidP="001A1BF5">
      <w:r>
        <w:t>Cost per accurate diagnosis was assessed by population and location (</w:t>
      </w:r>
      <w:r w:rsidR="00DD7B31">
        <w:fldChar w:fldCharType="begin"/>
      </w:r>
      <w:r w:rsidR="00DD7B31">
        <w:instrText xml:space="preserve"> REF _Ref198649889 \h </w:instrText>
      </w:r>
      <w:r w:rsidR="00DD7B31">
        <w:fldChar w:fldCharType="separate"/>
      </w:r>
      <w:r w:rsidR="00BC2CAA">
        <w:t xml:space="preserve">Table </w:t>
      </w:r>
      <w:r w:rsidR="00BC2CAA">
        <w:rPr>
          <w:noProof/>
        </w:rPr>
        <w:t>15</w:t>
      </w:r>
      <w:r w:rsidR="00DD7B31">
        <w:fldChar w:fldCharType="end"/>
      </w:r>
      <w:r>
        <w:t xml:space="preserve">). All </w:t>
      </w:r>
      <w:r w:rsidR="007A5BA4">
        <w:t>scenarios</w:t>
      </w:r>
      <w:r>
        <w:t xml:space="preserve"> are cost saving compared to Level 1 PSG, with greater savings for testing in the metropolitan/regional locations.</w:t>
      </w:r>
    </w:p>
    <w:p w14:paraId="56234E65" w14:textId="3467939C" w:rsidR="001A1BF5" w:rsidRDefault="001A1BF5" w:rsidP="001A1BF5">
      <w:pPr>
        <w:pStyle w:val="Caption"/>
      </w:pPr>
      <w:bookmarkStart w:id="26" w:name="_Ref198649889"/>
      <w:r>
        <w:t xml:space="preserve">Table </w:t>
      </w:r>
      <w:r w:rsidR="00BC2CAA">
        <w:fldChar w:fldCharType="begin"/>
      </w:r>
      <w:r w:rsidR="00BC2CAA">
        <w:instrText xml:space="preserve"> SEQ Table \* ARABIC </w:instrText>
      </w:r>
      <w:r w:rsidR="00BC2CAA">
        <w:fldChar w:fldCharType="separate"/>
      </w:r>
      <w:r w:rsidR="00BC2CAA">
        <w:rPr>
          <w:noProof/>
        </w:rPr>
        <w:t>15</w:t>
      </w:r>
      <w:r w:rsidR="00BC2CAA">
        <w:rPr>
          <w:noProof/>
        </w:rPr>
        <w:fldChar w:fldCharType="end"/>
      </w:r>
      <w:bookmarkEnd w:id="26"/>
      <w:r>
        <w:tab/>
        <w:t>Results of cost-minimisation analysis weighted by populations</w:t>
      </w:r>
    </w:p>
    <w:tbl>
      <w:tblPr>
        <w:tblStyle w:val="TableGrid"/>
        <w:tblW w:w="5000" w:type="pct"/>
        <w:tblLook w:val="04A0" w:firstRow="1" w:lastRow="0" w:firstColumn="1" w:lastColumn="0" w:noHBand="0" w:noVBand="1"/>
        <w:tblCaption w:val="Results of cost-minimisation analysis weighted by populations"/>
        <w:tblDescription w:val="Table shows the cost per accurate diagnosis for the intervention and comparator, as well as the difference in costs for each of the 4 MBS items/populations."/>
      </w:tblPr>
      <w:tblGrid>
        <w:gridCol w:w="3964"/>
        <w:gridCol w:w="1843"/>
        <w:gridCol w:w="1702"/>
        <w:gridCol w:w="1507"/>
      </w:tblGrid>
      <w:tr w:rsidR="001A1BF5" w14:paraId="030A36B0" w14:textId="77777777" w:rsidTr="00A047A1">
        <w:tc>
          <w:tcPr>
            <w:tcW w:w="2198" w:type="pct"/>
          </w:tcPr>
          <w:p w14:paraId="23836770" w14:textId="77777777" w:rsidR="001A1BF5" w:rsidRDefault="001A1BF5" w:rsidP="00585C8F">
            <w:pPr>
              <w:pStyle w:val="011TableHeading"/>
              <w:keepNext/>
            </w:pPr>
            <w:r>
              <w:t>Population</w:t>
            </w:r>
          </w:p>
        </w:tc>
        <w:tc>
          <w:tcPr>
            <w:tcW w:w="1022" w:type="pct"/>
          </w:tcPr>
          <w:p w14:paraId="0323F900" w14:textId="210CB4D5" w:rsidR="001A1BF5" w:rsidRDefault="001A1BF5" w:rsidP="00585C8F">
            <w:pPr>
              <w:pStyle w:val="011TableHeading"/>
              <w:keepNext/>
              <w:jc w:val="center"/>
            </w:pPr>
            <w:r w:rsidRPr="00D57C15">
              <w:t>Cost per accurate diagnosis</w:t>
            </w:r>
            <w:r>
              <w:t xml:space="preserve"> </w:t>
            </w:r>
            <w:r w:rsidR="00462A7A">
              <w:t>($)</w:t>
            </w:r>
            <w:r>
              <w:br/>
              <w:t>Intervention</w:t>
            </w:r>
          </w:p>
        </w:tc>
        <w:tc>
          <w:tcPr>
            <w:tcW w:w="944" w:type="pct"/>
          </w:tcPr>
          <w:p w14:paraId="16142927" w14:textId="2408BC03" w:rsidR="001A1BF5" w:rsidRPr="00D57C15" w:rsidRDefault="001A1BF5" w:rsidP="00585C8F">
            <w:pPr>
              <w:pStyle w:val="011TableHeading"/>
              <w:keepNext/>
              <w:jc w:val="center"/>
            </w:pPr>
            <w:r w:rsidRPr="00D57C15">
              <w:t>Cost per accurate diagnosis</w:t>
            </w:r>
            <w:r w:rsidR="00462A7A">
              <w:t xml:space="preserve"> ($)</w:t>
            </w:r>
            <w:r>
              <w:br/>
              <w:t>Comparator</w:t>
            </w:r>
          </w:p>
        </w:tc>
        <w:tc>
          <w:tcPr>
            <w:tcW w:w="836" w:type="pct"/>
          </w:tcPr>
          <w:p w14:paraId="1E7B80D5" w14:textId="392AC962" w:rsidR="001A1BF5" w:rsidRPr="00D57C15" w:rsidRDefault="001A1BF5" w:rsidP="00585C8F">
            <w:pPr>
              <w:pStyle w:val="011TableHeading"/>
              <w:keepNext/>
              <w:jc w:val="center"/>
            </w:pPr>
            <w:r w:rsidRPr="00E1242D">
              <w:t xml:space="preserve">Difference </w:t>
            </w:r>
            <w:r w:rsidR="00462A7A">
              <w:t>($)</w:t>
            </w:r>
            <w:r>
              <w:br/>
            </w:r>
            <w:r w:rsidRPr="00104E3B">
              <w:t>(intervention – comparator)</w:t>
            </w:r>
          </w:p>
        </w:tc>
      </w:tr>
      <w:tr w:rsidR="00DD0E0B" w14:paraId="5DB8524D" w14:textId="77777777" w:rsidTr="00903C11">
        <w:tc>
          <w:tcPr>
            <w:tcW w:w="2198" w:type="pct"/>
          </w:tcPr>
          <w:p w14:paraId="39E0A01B" w14:textId="5E6880EA" w:rsidR="00DD0E0B" w:rsidRPr="002362D8" w:rsidRDefault="00DD0E0B" w:rsidP="00DD0E0B">
            <w:pPr>
              <w:pStyle w:val="051Tabletext22"/>
            </w:pPr>
            <w:r w:rsidRPr="002362D8">
              <w:t>Children</w:t>
            </w:r>
            <w:r w:rsidR="007A5BA4">
              <w:t xml:space="preserve"> </w:t>
            </w:r>
            <w:r w:rsidRPr="002362D8">
              <w:t>(MBS Item AAAA)</w:t>
            </w:r>
          </w:p>
        </w:tc>
        <w:tc>
          <w:tcPr>
            <w:tcW w:w="1022" w:type="pct"/>
          </w:tcPr>
          <w:p w14:paraId="796AFF0E" w14:textId="48EC842C" w:rsidR="00DD0E0B" w:rsidRDefault="00350EB5" w:rsidP="00DD0E0B">
            <w:pPr>
              <w:pStyle w:val="081TableRightAligned22"/>
              <w:ind w:right="248"/>
            </w:pPr>
            <w:r w:rsidRPr="0093039F">
              <w:t xml:space="preserve"> 2,347.25 </w:t>
            </w:r>
          </w:p>
        </w:tc>
        <w:tc>
          <w:tcPr>
            <w:tcW w:w="944" w:type="pct"/>
            <w:vAlign w:val="center"/>
          </w:tcPr>
          <w:p w14:paraId="18C7A55D" w14:textId="612DFDDC" w:rsidR="00DD0E0B" w:rsidRDefault="00DD0E0B" w:rsidP="00DD0E0B">
            <w:pPr>
              <w:pStyle w:val="081TableRightAligned22"/>
              <w:ind w:right="248"/>
            </w:pPr>
            <w:r w:rsidRPr="0050552D">
              <w:t>2,823.68</w:t>
            </w:r>
          </w:p>
        </w:tc>
        <w:tc>
          <w:tcPr>
            <w:tcW w:w="836" w:type="pct"/>
          </w:tcPr>
          <w:p w14:paraId="3E1F9C34" w14:textId="349754F7" w:rsidR="00DD0E0B" w:rsidRPr="007737D6" w:rsidRDefault="00350EB5" w:rsidP="00DD0E0B">
            <w:pPr>
              <w:pStyle w:val="081TableRightAligned22"/>
              <w:ind w:right="248"/>
            </w:pPr>
            <w:r w:rsidRPr="0093039F">
              <w:t xml:space="preserve">-476.42 </w:t>
            </w:r>
          </w:p>
        </w:tc>
      </w:tr>
      <w:tr w:rsidR="00DD0E0B" w14:paraId="4A37FB75" w14:textId="77777777" w:rsidTr="00903C11">
        <w:tc>
          <w:tcPr>
            <w:tcW w:w="2198" w:type="pct"/>
          </w:tcPr>
          <w:p w14:paraId="033A44E5" w14:textId="33BC26DF" w:rsidR="00DD0E0B" w:rsidRPr="002362D8" w:rsidRDefault="00DD0E0B" w:rsidP="00DD0E0B">
            <w:pPr>
              <w:pStyle w:val="051Tabletext22"/>
            </w:pPr>
            <w:r w:rsidRPr="002362D8">
              <w:t>Adolescents (MBS Item BBBB)</w:t>
            </w:r>
          </w:p>
        </w:tc>
        <w:tc>
          <w:tcPr>
            <w:tcW w:w="1022" w:type="pct"/>
          </w:tcPr>
          <w:p w14:paraId="6D71AE66" w14:textId="05D6CB81" w:rsidR="00DD0E0B" w:rsidRDefault="00350EB5" w:rsidP="00DD0E0B">
            <w:pPr>
              <w:pStyle w:val="081TableRightAligned22"/>
              <w:ind w:right="248"/>
            </w:pPr>
            <w:r w:rsidRPr="0093039F">
              <w:t xml:space="preserve"> 2,259.58 </w:t>
            </w:r>
          </w:p>
        </w:tc>
        <w:tc>
          <w:tcPr>
            <w:tcW w:w="944" w:type="pct"/>
            <w:vAlign w:val="center"/>
          </w:tcPr>
          <w:p w14:paraId="3D3C7B83" w14:textId="39D36741" w:rsidR="00DD0E0B" w:rsidRDefault="00DD0E0B" w:rsidP="00DD0E0B">
            <w:pPr>
              <w:pStyle w:val="081TableRightAligned22"/>
              <w:ind w:right="248"/>
            </w:pPr>
            <w:r w:rsidRPr="0050552D">
              <w:t>2,823.68</w:t>
            </w:r>
          </w:p>
        </w:tc>
        <w:tc>
          <w:tcPr>
            <w:tcW w:w="836" w:type="pct"/>
          </w:tcPr>
          <w:p w14:paraId="545B361E" w14:textId="1C49D88A" w:rsidR="00DD0E0B" w:rsidRPr="007737D6" w:rsidRDefault="00350EB5" w:rsidP="00DD0E0B">
            <w:pPr>
              <w:pStyle w:val="081TableRightAligned22"/>
              <w:ind w:right="248"/>
            </w:pPr>
            <w:r w:rsidRPr="0093039F">
              <w:t xml:space="preserve">-564.10 </w:t>
            </w:r>
          </w:p>
        </w:tc>
      </w:tr>
      <w:tr w:rsidR="00DD0E0B" w14:paraId="2EFEA516" w14:textId="77777777" w:rsidTr="00903C11">
        <w:tc>
          <w:tcPr>
            <w:tcW w:w="2198" w:type="pct"/>
          </w:tcPr>
          <w:p w14:paraId="60B69A2F" w14:textId="74DCC677" w:rsidR="00DD0E0B" w:rsidRPr="002362D8" w:rsidRDefault="00DD0E0B" w:rsidP="00DD0E0B">
            <w:pPr>
              <w:pStyle w:val="051Tabletext22"/>
            </w:pPr>
            <w:r w:rsidRPr="002362D8">
              <w:t>Children, MM 3-7</w:t>
            </w:r>
            <w:r>
              <w:t xml:space="preserve"> </w:t>
            </w:r>
            <w:r w:rsidRPr="002362D8">
              <w:t>(MBS Item</w:t>
            </w:r>
            <w:r>
              <w:t>s AAAA +</w:t>
            </w:r>
            <w:r w:rsidRPr="002362D8">
              <w:t xml:space="preserve"> CCCC)</w:t>
            </w:r>
          </w:p>
        </w:tc>
        <w:tc>
          <w:tcPr>
            <w:tcW w:w="1022" w:type="pct"/>
          </w:tcPr>
          <w:p w14:paraId="5845DF61" w14:textId="7154CAA7" w:rsidR="00DD0E0B" w:rsidRDefault="00350EB5" w:rsidP="00DD0E0B">
            <w:pPr>
              <w:pStyle w:val="081TableRightAligned22"/>
              <w:ind w:right="248"/>
            </w:pPr>
            <w:r w:rsidRPr="0093039F">
              <w:t xml:space="preserve"> 2,652.80 </w:t>
            </w:r>
          </w:p>
        </w:tc>
        <w:tc>
          <w:tcPr>
            <w:tcW w:w="944" w:type="pct"/>
            <w:vAlign w:val="center"/>
          </w:tcPr>
          <w:p w14:paraId="0B977212" w14:textId="3842E2A5" w:rsidR="00DD0E0B" w:rsidRDefault="00DD0E0B" w:rsidP="00DD0E0B">
            <w:pPr>
              <w:pStyle w:val="081TableRightAligned22"/>
              <w:ind w:right="248"/>
            </w:pPr>
            <w:r w:rsidRPr="0050552D">
              <w:t>2,823.68</w:t>
            </w:r>
          </w:p>
        </w:tc>
        <w:tc>
          <w:tcPr>
            <w:tcW w:w="836" w:type="pct"/>
          </w:tcPr>
          <w:p w14:paraId="4BFFCA3F" w14:textId="5CEF4E45" w:rsidR="00DD0E0B" w:rsidRPr="007737D6" w:rsidRDefault="00350EB5" w:rsidP="00DD0E0B">
            <w:pPr>
              <w:pStyle w:val="081TableRightAligned22"/>
              <w:ind w:right="248"/>
            </w:pPr>
            <w:r w:rsidRPr="0093039F">
              <w:t xml:space="preserve">-170.88 </w:t>
            </w:r>
          </w:p>
        </w:tc>
      </w:tr>
      <w:tr w:rsidR="00DD0E0B" w14:paraId="1BEE36C9" w14:textId="77777777" w:rsidTr="00903C11">
        <w:tc>
          <w:tcPr>
            <w:tcW w:w="2198" w:type="pct"/>
          </w:tcPr>
          <w:p w14:paraId="7A0FFA6E" w14:textId="33BC28F7" w:rsidR="00DD0E0B" w:rsidRPr="002362D8" w:rsidRDefault="00DD0E0B" w:rsidP="00DD0E0B">
            <w:pPr>
              <w:pStyle w:val="051Tabletext22"/>
            </w:pPr>
            <w:r w:rsidRPr="002362D8">
              <w:t>Adolescents, MM 3-7</w:t>
            </w:r>
            <w:r>
              <w:t xml:space="preserve"> </w:t>
            </w:r>
            <w:r w:rsidRPr="002362D8">
              <w:t>(MBS Item</w:t>
            </w:r>
            <w:r w:rsidR="00CD44E0">
              <w:t xml:space="preserve">s </w:t>
            </w:r>
            <w:r>
              <w:t>BBBB + CCCC</w:t>
            </w:r>
            <w:r w:rsidRPr="002362D8">
              <w:t>)</w:t>
            </w:r>
          </w:p>
        </w:tc>
        <w:tc>
          <w:tcPr>
            <w:tcW w:w="1022" w:type="pct"/>
          </w:tcPr>
          <w:p w14:paraId="52074C11" w14:textId="1F6E7D31" w:rsidR="00DD0E0B" w:rsidRDefault="00350EB5" w:rsidP="00DD0E0B">
            <w:pPr>
              <w:pStyle w:val="081TableRightAligned22"/>
              <w:ind w:right="248"/>
            </w:pPr>
            <w:r w:rsidRPr="0093039F">
              <w:t xml:space="preserve"> 2,565.12 </w:t>
            </w:r>
          </w:p>
        </w:tc>
        <w:tc>
          <w:tcPr>
            <w:tcW w:w="944" w:type="pct"/>
            <w:vAlign w:val="center"/>
          </w:tcPr>
          <w:p w14:paraId="7CFDF69F" w14:textId="3F01955F" w:rsidR="00DD0E0B" w:rsidRDefault="00DD0E0B" w:rsidP="00DD0E0B">
            <w:pPr>
              <w:pStyle w:val="081TableRightAligned22"/>
              <w:ind w:right="248"/>
            </w:pPr>
            <w:r w:rsidRPr="0050552D">
              <w:t>2,823.68</w:t>
            </w:r>
          </w:p>
        </w:tc>
        <w:tc>
          <w:tcPr>
            <w:tcW w:w="836" w:type="pct"/>
          </w:tcPr>
          <w:p w14:paraId="35EB38C9" w14:textId="6CC58668" w:rsidR="00DD0E0B" w:rsidRPr="007737D6" w:rsidRDefault="00350EB5" w:rsidP="00DD0E0B">
            <w:pPr>
              <w:pStyle w:val="081TableRightAligned22"/>
              <w:ind w:right="248"/>
            </w:pPr>
            <w:r w:rsidRPr="0093039F">
              <w:t xml:space="preserve">-258.56 </w:t>
            </w:r>
          </w:p>
        </w:tc>
      </w:tr>
      <w:tr w:rsidR="00DD0E0B" w:rsidRPr="006B17FA" w14:paraId="22E36D3D" w14:textId="77777777" w:rsidTr="00903C11">
        <w:tc>
          <w:tcPr>
            <w:tcW w:w="2198" w:type="pct"/>
          </w:tcPr>
          <w:p w14:paraId="1CB8869A" w14:textId="77777777" w:rsidR="00DD0E0B" w:rsidRPr="006B17FA" w:rsidRDefault="00DD0E0B" w:rsidP="00DD0E0B">
            <w:pPr>
              <w:pStyle w:val="051Tabletext22"/>
              <w:rPr>
                <w:b/>
                <w:bCs/>
              </w:rPr>
            </w:pPr>
            <w:r w:rsidRPr="006B17FA">
              <w:rPr>
                <w:b/>
                <w:bCs/>
              </w:rPr>
              <w:t>Total</w:t>
            </w:r>
          </w:p>
        </w:tc>
        <w:tc>
          <w:tcPr>
            <w:tcW w:w="1022" w:type="pct"/>
          </w:tcPr>
          <w:p w14:paraId="6E1083A8" w14:textId="0A41543D" w:rsidR="00DD0E0B" w:rsidRPr="006B17FA" w:rsidRDefault="00350EB5" w:rsidP="00DD0E0B">
            <w:pPr>
              <w:pStyle w:val="081TableRightAligned22"/>
              <w:ind w:right="248"/>
              <w:rPr>
                <w:b/>
                <w:bCs/>
              </w:rPr>
            </w:pPr>
            <w:r w:rsidRPr="0093039F">
              <w:rPr>
                <w:b/>
                <w:bCs/>
              </w:rPr>
              <w:t xml:space="preserve"> 2,390.99 </w:t>
            </w:r>
          </w:p>
        </w:tc>
        <w:tc>
          <w:tcPr>
            <w:tcW w:w="944" w:type="pct"/>
            <w:vAlign w:val="center"/>
          </w:tcPr>
          <w:p w14:paraId="0A97A956" w14:textId="60BDEB32" w:rsidR="00DD0E0B" w:rsidRPr="00416FBB" w:rsidRDefault="00DD0E0B" w:rsidP="00DD0E0B">
            <w:pPr>
              <w:pStyle w:val="081TableRightAligned22"/>
              <w:ind w:right="248"/>
              <w:rPr>
                <w:b/>
                <w:bCs/>
              </w:rPr>
            </w:pPr>
            <w:r>
              <w:rPr>
                <w:b/>
                <w:bCs/>
              </w:rPr>
              <w:t>2,823.68</w:t>
            </w:r>
          </w:p>
        </w:tc>
        <w:tc>
          <w:tcPr>
            <w:tcW w:w="836" w:type="pct"/>
          </w:tcPr>
          <w:p w14:paraId="774811E5" w14:textId="074962D5" w:rsidR="00DD0E0B" w:rsidRPr="00416FBB" w:rsidRDefault="00350EB5" w:rsidP="00DD0E0B">
            <w:pPr>
              <w:pStyle w:val="081TableRightAligned22"/>
              <w:ind w:right="248"/>
              <w:rPr>
                <w:b/>
                <w:bCs/>
              </w:rPr>
            </w:pPr>
            <w:r w:rsidRPr="0093039F">
              <w:rPr>
                <w:b/>
                <w:bCs/>
              </w:rPr>
              <w:t xml:space="preserve">-432.69 </w:t>
            </w:r>
          </w:p>
        </w:tc>
      </w:tr>
    </w:tbl>
    <w:p w14:paraId="09E27822" w14:textId="1EA7E58F" w:rsidR="001A1BF5" w:rsidRPr="00506BCB" w:rsidRDefault="001A1BF5" w:rsidP="001A1BF5">
      <w:pPr>
        <w:pStyle w:val="111Tablefootnoteslast-nostick"/>
      </w:pPr>
      <w:r>
        <w:t>MM = Modified Monash category</w:t>
      </w:r>
      <w:r w:rsidR="003A58A7">
        <w:t>.</w:t>
      </w:r>
    </w:p>
    <w:p w14:paraId="502761F4" w14:textId="3EF92DFC" w:rsidR="001A1BF5" w:rsidRPr="003B2302" w:rsidRDefault="001A1BF5" w:rsidP="001A1BF5">
      <w:pPr>
        <w:pStyle w:val="111Tablefootnoteslast-nostick"/>
      </w:pPr>
      <w:r>
        <w:t xml:space="preserve">Source: </w:t>
      </w:r>
      <w:r w:rsidR="003A58A7" w:rsidRPr="00B70C1F">
        <w:t xml:space="preserve">Table </w:t>
      </w:r>
      <w:r w:rsidR="00B8619F">
        <w:t xml:space="preserve">46 </w:t>
      </w:r>
      <w:r w:rsidR="003A58A7">
        <w:t>of</w:t>
      </w:r>
      <w:r>
        <w:t xml:space="preserve"> DCAR 1712.1</w:t>
      </w:r>
      <w:r w:rsidR="003A58A7">
        <w:t>.</w:t>
      </w:r>
    </w:p>
    <w:p w14:paraId="49EEE84B" w14:textId="1E2A486B" w:rsidR="00256276" w:rsidRPr="00340DB4" w:rsidRDefault="00256276" w:rsidP="00256276">
      <w:r w:rsidRPr="00340DB4">
        <w:t>In one-way sensitivity analys</w:t>
      </w:r>
      <w:r w:rsidR="00B4106B">
        <w:t>e</w:t>
      </w:r>
      <w:r w:rsidRPr="00340DB4">
        <w:t xml:space="preserve">s, the intervention was cost-saving under all analyses with the exception of where the lower limit of </w:t>
      </w:r>
      <w:r w:rsidR="007C3FE3" w:rsidRPr="00340DB4">
        <w:t xml:space="preserve">test </w:t>
      </w:r>
      <w:r w:rsidRPr="00340DB4">
        <w:t xml:space="preserve">sensitivity </w:t>
      </w:r>
      <w:r w:rsidR="007C3FE3" w:rsidRPr="00340DB4">
        <w:t>for Level 2 PSG</w:t>
      </w:r>
      <w:r w:rsidRPr="00340DB4">
        <w:t xml:space="preserve"> was </w:t>
      </w:r>
      <w:r w:rsidR="007C3FE3" w:rsidRPr="00340DB4">
        <w:t>applied</w:t>
      </w:r>
      <w:r w:rsidRPr="00340DB4">
        <w:t xml:space="preserve"> </w:t>
      </w:r>
      <w:r w:rsidR="007C3FE3" w:rsidRPr="00340DB4">
        <w:t>(</w:t>
      </w:r>
      <w:r w:rsidRPr="00340DB4">
        <w:t>0.29</w:t>
      </w:r>
      <w:r w:rsidR="007C3FE3" w:rsidRPr="00340DB4">
        <w:t>)</w:t>
      </w:r>
      <w:r w:rsidRPr="00340DB4">
        <w:t xml:space="preserve"> </w:t>
      </w:r>
      <w:r w:rsidR="00BC3732" w:rsidRPr="00340DB4">
        <w:t xml:space="preserve">rather than the point estimate </w:t>
      </w:r>
      <w:r w:rsidRPr="00340DB4">
        <w:t>(1.00 in the base case analysis)</w:t>
      </w:r>
      <w:r w:rsidR="00340DB4" w:rsidRPr="00340DB4">
        <w:t>,</w:t>
      </w:r>
      <w:r w:rsidRPr="00340DB4">
        <w:t xml:space="preserve"> </w:t>
      </w:r>
      <w:r w:rsidR="00340DB4" w:rsidRPr="00340DB4">
        <w:t>resulting in</w:t>
      </w:r>
      <w:r w:rsidRPr="00340DB4">
        <w:t xml:space="preserve"> the </w:t>
      </w:r>
      <w:r w:rsidR="00340DB4" w:rsidRPr="00340DB4">
        <w:t xml:space="preserve">intervention </w:t>
      </w:r>
      <w:r w:rsidRPr="00340DB4">
        <w:t xml:space="preserve">cost </w:t>
      </w:r>
      <w:r w:rsidR="00340DB4" w:rsidRPr="00340DB4">
        <w:t>being</w:t>
      </w:r>
      <w:r w:rsidRPr="00340DB4">
        <w:t xml:space="preserve"> higher </w:t>
      </w:r>
      <w:r w:rsidR="00340DB4" w:rsidRPr="00340DB4">
        <w:t>than</w:t>
      </w:r>
      <w:r w:rsidRPr="00340DB4">
        <w:t xml:space="preserve"> the </w:t>
      </w:r>
      <w:r w:rsidR="00340DB4" w:rsidRPr="00340DB4">
        <w:t>comparator cost by $</w:t>
      </w:r>
      <w:r w:rsidR="00090A55" w:rsidRPr="0093039F">
        <w:t xml:space="preserve">531.86 </w:t>
      </w:r>
      <w:r w:rsidRPr="00340DB4">
        <w:t>(</w:t>
      </w:r>
      <w:r w:rsidR="004A77A0">
        <w:fldChar w:fldCharType="begin"/>
      </w:r>
      <w:r w:rsidR="004A77A0">
        <w:instrText xml:space="preserve"> REF _Ref198721709 \h </w:instrText>
      </w:r>
      <w:r w:rsidR="004A77A0">
        <w:fldChar w:fldCharType="separate"/>
      </w:r>
      <w:r w:rsidR="00BC2CAA" w:rsidRPr="00A432BE">
        <w:t>Table </w:t>
      </w:r>
      <w:r w:rsidR="00BC2CAA">
        <w:rPr>
          <w:noProof/>
        </w:rPr>
        <w:t>16</w:t>
      </w:r>
      <w:r w:rsidR="004A77A0">
        <w:fldChar w:fldCharType="end"/>
      </w:r>
      <w:r w:rsidR="004A77A0">
        <w:t xml:space="preserve"> </w:t>
      </w:r>
      <w:r w:rsidR="00540E5A">
        <w:t xml:space="preserve">and </w:t>
      </w:r>
      <w:r w:rsidR="00540E5A">
        <w:fldChar w:fldCharType="begin"/>
      </w:r>
      <w:r w:rsidR="00540E5A">
        <w:instrText xml:space="preserve"> REF _Ref150251215 \h </w:instrText>
      </w:r>
      <w:r w:rsidR="00540E5A">
        <w:fldChar w:fldCharType="separate"/>
      </w:r>
      <w:r w:rsidR="00BC2CAA" w:rsidRPr="00540E5A">
        <w:t xml:space="preserve">Table </w:t>
      </w:r>
      <w:r w:rsidR="00BC2CAA">
        <w:rPr>
          <w:noProof/>
        </w:rPr>
        <w:t>17</w:t>
      </w:r>
      <w:r w:rsidR="00540E5A">
        <w:fldChar w:fldCharType="end"/>
      </w:r>
      <w:r w:rsidRPr="00340DB4">
        <w:t>).</w:t>
      </w:r>
    </w:p>
    <w:p w14:paraId="6D52569E" w14:textId="5728E911" w:rsidR="00256276" w:rsidRPr="00A432BE" w:rsidRDefault="00256276" w:rsidP="000D7E4D">
      <w:pPr>
        <w:pStyle w:val="Caption"/>
        <w:keepLines/>
      </w:pPr>
      <w:bookmarkStart w:id="27" w:name="_Ref198721709"/>
      <w:r w:rsidRPr="00A432BE">
        <w:t>Table </w:t>
      </w:r>
      <w:r w:rsidR="00BC2CAA">
        <w:fldChar w:fldCharType="begin"/>
      </w:r>
      <w:r w:rsidR="00BC2CAA">
        <w:instrText xml:space="preserve"> SEQ Table \* ARABIC </w:instrText>
      </w:r>
      <w:r w:rsidR="00BC2CAA">
        <w:fldChar w:fldCharType="separate"/>
      </w:r>
      <w:r w:rsidR="00BC2CAA">
        <w:rPr>
          <w:noProof/>
        </w:rPr>
        <w:t>16</w:t>
      </w:r>
      <w:r w:rsidR="00BC2CAA">
        <w:rPr>
          <w:noProof/>
        </w:rPr>
        <w:fldChar w:fldCharType="end"/>
      </w:r>
      <w:bookmarkEnd w:id="27"/>
      <w:r w:rsidRPr="00A432BE">
        <w:tab/>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drivers of the model"/>
        <w:tblDescription w:val="This table describes 2 key drivers of the model: sensitivity of Level 2 PSG; and variation in expected prevalence. Their impact on the difference in cost per accurate diagnosis is summarised. "/>
      </w:tblPr>
      <w:tblGrid>
        <w:gridCol w:w="1128"/>
        <w:gridCol w:w="2552"/>
        <w:gridCol w:w="5336"/>
      </w:tblGrid>
      <w:tr w:rsidR="00256276" w:rsidRPr="00A432BE" w14:paraId="558EEC25" w14:textId="77777777" w:rsidTr="00462AD4">
        <w:trPr>
          <w:tblHeader/>
        </w:trPr>
        <w:tc>
          <w:tcPr>
            <w:tcW w:w="626" w:type="pct"/>
            <w:tcMar>
              <w:left w:w="108" w:type="dxa"/>
              <w:right w:w="108" w:type="dxa"/>
            </w:tcMar>
            <w:vAlign w:val="center"/>
          </w:tcPr>
          <w:p w14:paraId="0AD1CF48" w14:textId="77777777" w:rsidR="00256276" w:rsidRPr="00A432BE" w:rsidRDefault="00256276" w:rsidP="000D7E4D">
            <w:pPr>
              <w:pStyle w:val="TableHeading"/>
              <w:keepLines/>
            </w:pPr>
            <w:r w:rsidRPr="00A432BE">
              <w:t>Description</w:t>
            </w:r>
          </w:p>
        </w:tc>
        <w:tc>
          <w:tcPr>
            <w:tcW w:w="1415" w:type="pct"/>
            <w:tcMar>
              <w:left w:w="108" w:type="dxa"/>
              <w:right w:w="108" w:type="dxa"/>
            </w:tcMar>
            <w:vAlign w:val="center"/>
          </w:tcPr>
          <w:p w14:paraId="2E09B594" w14:textId="77777777" w:rsidR="00256276" w:rsidRPr="00A432BE" w:rsidRDefault="00256276" w:rsidP="000D7E4D">
            <w:pPr>
              <w:pStyle w:val="TableHeading"/>
              <w:keepLines/>
            </w:pPr>
            <w:r w:rsidRPr="00A432BE">
              <w:t>Method/Value</w:t>
            </w:r>
          </w:p>
        </w:tc>
        <w:tc>
          <w:tcPr>
            <w:tcW w:w="2959" w:type="pct"/>
            <w:tcMar>
              <w:left w:w="108" w:type="dxa"/>
              <w:right w:w="108" w:type="dxa"/>
            </w:tcMar>
            <w:vAlign w:val="center"/>
          </w:tcPr>
          <w:p w14:paraId="4587BFFD" w14:textId="77777777" w:rsidR="00256276" w:rsidRPr="00A432BE" w:rsidRDefault="00256276" w:rsidP="000D7E4D">
            <w:pPr>
              <w:pStyle w:val="TableHeading"/>
              <w:keepLines/>
            </w:pPr>
            <w:r w:rsidRPr="00A432BE">
              <w:t>Impact</w:t>
            </w:r>
          </w:p>
          <w:p w14:paraId="03DD22DB" w14:textId="56483F6B" w:rsidR="00256276" w:rsidRPr="00A432BE" w:rsidRDefault="00256276" w:rsidP="000D7E4D">
            <w:pPr>
              <w:pStyle w:val="TableHeading"/>
              <w:keepLines/>
            </w:pPr>
            <w:r w:rsidRPr="00A432BE">
              <w:rPr>
                <w:rFonts w:cs="Arial"/>
                <w:szCs w:val="20"/>
              </w:rPr>
              <w:t>Base case: -$</w:t>
            </w:r>
            <w:r w:rsidR="002166C2" w:rsidRPr="0093039F">
              <w:rPr>
                <w:bCs/>
              </w:rPr>
              <w:t>432.69</w:t>
            </w:r>
            <w:r w:rsidRPr="00A432BE">
              <w:rPr>
                <w:rFonts w:cs="Arial"/>
                <w:szCs w:val="20"/>
              </w:rPr>
              <w:t>difference in cost per accurate diagnosis</w:t>
            </w:r>
          </w:p>
        </w:tc>
      </w:tr>
      <w:tr w:rsidR="00256276" w:rsidRPr="00A432BE" w14:paraId="5D73A8D5" w14:textId="77777777" w:rsidTr="00462AD4">
        <w:tc>
          <w:tcPr>
            <w:tcW w:w="626" w:type="pct"/>
            <w:tcMar>
              <w:left w:w="108" w:type="dxa"/>
              <w:right w:w="108" w:type="dxa"/>
            </w:tcMar>
            <w:vAlign w:val="center"/>
          </w:tcPr>
          <w:p w14:paraId="6706374F" w14:textId="77777777" w:rsidR="00256276" w:rsidRPr="00A432BE" w:rsidRDefault="00256276" w:rsidP="000D7E4D">
            <w:pPr>
              <w:pStyle w:val="TableText"/>
              <w:keepNext/>
              <w:keepLines/>
              <w:spacing w:before="36" w:after="36"/>
              <w:jc w:val="center"/>
              <w:rPr>
                <w:lang w:val="en-US"/>
              </w:rPr>
            </w:pPr>
            <w:r w:rsidRPr="00A432BE">
              <w:rPr>
                <w:lang w:val="en-US"/>
              </w:rPr>
              <w:t>Sensitivity of Level 2 PSG</w:t>
            </w:r>
          </w:p>
        </w:tc>
        <w:tc>
          <w:tcPr>
            <w:tcW w:w="1415" w:type="pct"/>
            <w:tcMar>
              <w:left w:w="108" w:type="dxa"/>
              <w:right w:w="108" w:type="dxa"/>
            </w:tcMar>
            <w:vAlign w:val="center"/>
          </w:tcPr>
          <w:p w14:paraId="7484B2CE" w14:textId="007AC8B9" w:rsidR="00256276" w:rsidRPr="00A432BE" w:rsidRDefault="00256276" w:rsidP="000D7E4D">
            <w:pPr>
              <w:pStyle w:val="TableText"/>
              <w:keepNext/>
              <w:keepLines/>
              <w:spacing w:before="36" w:after="36"/>
              <w:rPr>
                <w:lang w:val="en-US"/>
              </w:rPr>
            </w:pPr>
            <w:r w:rsidRPr="00A432BE">
              <w:rPr>
                <w:lang w:val="en-US"/>
              </w:rPr>
              <w:t>Estimated as 1</w:t>
            </w:r>
            <w:r w:rsidR="006B40DE">
              <w:rPr>
                <w:lang w:val="en-US"/>
              </w:rPr>
              <w:t>.00</w:t>
            </w:r>
            <w:r w:rsidRPr="00A432BE">
              <w:rPr>
                <w:lang w:val="en-US"/>
              </w:rPr>
              <w:t xml:space="preserve"> in the base case analysis, with lower limit of 0.29 tested in a sensitivity analysis. </w:t>
            </w:r>
          </w:p>
        </w:tc>
        <w:tc>
          <w:tcPr>
            <w:tcW w:w="2959" w:type="pct"/>
            <w:tcMar>
              <w:left w:w="108" w:type="dxa"/>
              <w:right w:w="108" w:type="dxa"/>
            </w:tcMar>
            <w:vAlign w:val="center"/>
          </w:tcPr>
          <w:p w14:paraId="21CC7243" w14:textId="77777777" w:rsidR="00256276" w:rsidRPr="00A432BE" w:rsidRDefault="00256276" w:rsidP="000D7E4D">
            <w:pPr>
              <w:pStyle w:val="TableText"/>
              <w:keepNext/>
              <w:keepLines/>
              <w:spacing w:before="36" w:after="36"/>
              <w:rPr>
                <w:i/>
                <w:lang w:val="en-US"/>
              </w:rPr>
            </w:pPr>
            <w:r w:rsidRPr="00A432BE">
              <w:rPr>
                <w:i/>
                <w:lang w:val="en-US"/>
              </w:rPr>
              <w:t>Moderate, favours comparator</w:t>
            </w:r>
          </w:p>
          <w:p w14:paraId="3B483DB2" w14:textId="55EA17B8" w:rsidR="00256276" w:rsidRPr="00A432BE" w:rsidRDefault="00256276" w:rsidP="000D7E4D">
            <w:pPr>
              <w:pStyle w:val="TableText"/>
              <w:keepNext/>
              <w:keepLines/>
              <w:spacing w:before="36" w:after="36"/>
              <w:rPr>
                <w:i/>
                <w:lang w:val="en-US"/>
              </w:rPr>
            </w:pPr>
            <w:r w:rsidRPr="00A432BE">
              <w:rPr>
                <w:rFonts w:cs="Arial"/>
                <w:szCs w:val="20"/>
              </w:rPr>
              <w:br/>
            </w:r>
            <w:r w:rsidRPr="00A432BE">
              <w:rPr>
                <w:i/>
                <w:lang w:val="en-US"/>
              </w:rPr>
              <w:t xml:space="preserve">Use of lower sensitivity value increased the cost per accurate diagnosis to </w:t>
            </w:r>
            <w:r w:rsidRPr="00235EC9">
              <w:rPr>
                <w:i/>
                <w:lang w:val="en-US"/>
              </w:rPr>
              <w:t>$</w:t>
            </w:r>
            <w:r w:rsidR="0086193E" w:rsidRPr="0093039F">
              <w:rPr>
                <w:i/>
                <w:lang w:val="en-US"/>
              </w:rPr>
              <w:t xml:space="preserve">531.86 </w:t>
            </w:r>
            <w:r w:rsidRPr="00A432BE">
              <w:rPr>
                <w:i/>
                <w:lang w:val="en-US"/>
              </w:rPr>
              <w:t>more expensive for the intervention, relative to the comparator</w:t>
            </w:r>
          </w:p>
        </w:tc>
      </w:tr>
      <w:tr w:rsidR="00256276" w:rsidRPr="00A432BE" w14:paraId="3578E8C2" w14:textId="77777777" w:rsidTr="00462AD4">
        <w:tc>
          <w:tcPr>
            <w:tcW w:w="626" w:type="pct"/>
            <w:tcMar>
              <w:left w:w="108" w:type="dxa"/>
              <w:right w:w="108" w:type="dxa"/>
            </w:tcMar>
            <w:vAlign w:val="center"/>
          </w:tcPr>
          <w:p w14:paraId="3920E50C" w14:textId="77777777" w:rsidR="00256276" w:rsidRPr="00A432BE" w:rsidRDefault="00256276" w:rsidP="000D7E4D">
            <w:pPr>
              <w:pStyle w:val="TableText"/>
              <w:keepNext/>
              <w:keepLines/>
              <w:spacing w:before="36" w:after="36"/>
              <w:jc w:val="center"/>
              <w:rPr>
                <w:lang w:val="en-US"/>
              </w:rPr>
            </w:pPr>
            <w:r w:rsidRPr="00A432BE">
              <w:rPr>
                <w:lang w:val="en-US"/>
              </w:rPr>
              <w:t>Variation in expected prevalence</w:t>
            </w:r>
          </w:p>
        </w:tc>
        <w:tc>
          <w:tcPr>
            <w:tcW w:w="1415" w:type="pct"/>
            <w:tcMar>
              <w:left w:w="108" w:type="dxa"/>
              <w:right w:w="108" w:type="dxa"/>
            </w:tcMar>
            <w:vAlign w:val="center"/>
          </w:tcPr>
          <w:p w14:paraId="3DFFC5E4" w14:textId="77777777" w:rsidR="00256276" w:rsidRPr="00A432BE" w:rsidRDefault="00256276" w:rsidP="000D7E4D">
            <w:pPr>
              <w:pStyle w:val="TableText"/>
              <w:keepNext/>
              <w:keepLines/>
              <w:spacing w:before="36" w:after="36"/>
              <w:rPr>
                <w:lang w:val="en-US"/>
              </w:rPr>
            </w:pPr>
            <w:r w:rsidRPr="00A432BE">
              <w:rPr>
                <w:lang w:val="en-US"/>
              </w:rPr>
              <w:t xml:space="preserve">Varied from 20 to 60% in a sensitivity analysis, 40% for the base case. </w:t>
            </w:r>
          </w:p>
        </w:tc>
        <w:tc>
          <w:tcPr>
            <w:tcW w:w="2959" w:type="pct"/>
            <w:tcMar>
              <w:left w:w="108" w:type="dxa"/>
              <w:right w:w="108" w:type="dxa"/>
            </w:tcMar>
            <w:vAlign w:val="center"/>
          </w:tcPr>
          <w:p w14:paraId="18578F14" w14:textId="77777777" w:rsidR="00256276" w:rsidRPr="00A432BE" w:rsidRDefault="00256276" w:rsidP="000D7E4D">
            <w:pPr>
              <w:pStyle w:val="TableText"/>
              <w:keepNext/>
              <w:keepLines/>
              <w:spacing w:before="36" w:after="36"/>
            </w:pPr>
            <w:r w:rsidRPr="00A432BE">
              <w:rPr>
                <w:i/>
                <w:lang w:val="en-US"/>
              </w:rPr>
              <w:t>High, favours intervention</w:t>
            </w:r>
            <w:r w:rsidRPr="00A432BE">
              <w:t xml:space="preserve"> </w:t>
            </w:r>
          </w:p>
          <w:p w14:paraId="72189E2C" w14:textId="000837C8" w:rsidR="00256276" w:rsidRPr="00A432BE" w:rsidRDefault="00256276" w:rsidP="000D7E4D">
            <w:pPr>
              <w:pStyle w:val="TableText"/>
              <w:keepNext/>
              <w:keepLines/>
              <w:spacing w:before="36" w:after="147"/>
              <w:rPr>
                <w:i/>
                <w:lang w:val="en-US"/>
              </w:rPr>
            </w:pPr>
            <w:r w:rsidRPr="00A432BE">
              <w:rPr>
                <w:i/>
                <w:lang w:val="en-US"/>
              </w:rPr>
              <w:br/>
              <w:t xml:space="preserve">Use of lower prevalence value (20%) decreased the cost per accurate diagnosis to </w:t>
            </w:r>
            <w:r w:rsidRPr="005E08AA">
              <w:rPr>
                <w:i/>
                <w:lang w:val="en-US"/>
              </w:rPr>
              <w:t>$</w:t>
            </w:r>
            <w:r w:rsidR="00DA2BE1" w:rsidRPr="0093039F">
              <w:rPr>
                <w:i/>
                <w:lang w:val="en-US"/>
              </w:rPr>
              <w:t>845.94</w:t>
            </w:r>
            <w:r w:rsidR="00733E0A">
              <w:rPr>
                <w:i/>
                <w:lang w:val="en-US"/>
              </w:rPr>
              <w:t xml:space="preserve"> </w:t>
            </w:r>
            <w:r w:rsidRPr="00A432BE">
              <w:rPr>
                <w:i/>
                <w:lang w:val="en-US"/>
              </w:rPr>
              <w:t>less expensive for the intervention versus the comparator</w:t>
            </w:r>
          </w:p>
        </w:tc>
      </w:tr>
    </w:tbl>
    <w:p w14:paraId="7A862E2B" w14:textId="5BD4C877" w:rsidR="00256276" w:rsidRDefault="00256276" w:rsidP="000D7E4D">
      <w:pPr>
        <w:pStyle w:val="111Tablefootnoteslast-nostick"/>
        <w:keepNext/>
        <w:keepLines/>
      </w:pPr>
      <w:r w:rsidRPr="00A432BE">
        <w:t>PSG = polysomnography</w:t>
      </w:r>
      <w:r w:rsidR="00481CBD">
        <w:t>.</w:t>
      </w:r>
    </w:p>
    <w:p w14:paraId="08A623B5" w14:textId="155732DA" w:rsidR="00256276" w:rsidRPr="00540E5A" w:rsidRDefault="00256276" w:rsidP="00256276">
      <w:pPr>
        <w:pStyle w:val="Caption"/>
      </w:pPr>
      <w:bookmarkStart w:id="28" w:name="_Ref150251215"/>
      <w:r w:rsidRPr="00540E5A">
        <w:t xml:space="preserve">Table </w:t>
      </w:r>
      <w:r w:rsidR="00BC2CAA">
        <w:fldChar w:fldCharType="begin"/>
      </w:r>
      <w:r w:rsidR="00BC2CAA">
        <w:instrText xml:space="preserve"> SEQ Table \* ARABIC </w:instrText>
      </w:r>
      <w:r w:rsidR="00BC2CAA">
        <w:fldChar w:fldCharType="separate"/>
      </w:r>
      <w:r w:rsidR="00BC2CAA">
        <w:rPr>
          <w:noProof/>
        </w:rPr>
        <w:t>17</w:t>
      </w:r>
      <w:r w:rsidR="00BC2CAA">
        <w:rPr>
          <w:noProof/>
        </w:rPr>
        <w:fldChar w:fldCharType="end"/>
      </w:r>
      <w:bookmarkEnd w:id="28"/>
      <w:r w:rsidRPr="00540E5A">
        <w:tab/>
        <w:t>Key sensitivity analyses</w:t>
      </w:r>
    </w:p>
    <w:tbl>
      <w:tblPr>
        <w:tblStyle w:val="TableGrid"/>
        <w:tblW w:w="0" w:type="auto"/>
        <w:tblLook w:val="04A0" w:firstRow="1" w:lastRow="0" w:firstColumn="1" w:lastColumn="0" w:noHBand="0" w:noVBand="1"/>
        <w:tblCaption w:val="Key sensitivity analyses"/>
        <w:tblDescription w:val="This table summarises the key sensitivity analyses performed. The cost per accuracte diagnosis for the intervention, comparator and difference between the intervention and comparator is given for each scenario."/>
      </w:tblPr>
      <w:tblGrid>
        <w:gridCol w:w="3929"/>
        <w:gridCol w:w="1842"/>
        <w:gridCol w:w="1741"/>
        <w:gridCol w:w="1504"/>
      </w:tblGrid>
      <w:tr w:rsidR="00256276" w:rsidRPr="00256276" w14:paraId="7AE2475C" w14:textId="77777777" w:rsidTr="006338C1">
        <w:trPr>
          <w:tblHeader/>
        </w:trPr>
        <w:tc>
          <w:tcPr>
            <w:tcW w:w="3929" w:type="dxa"/>
          </w:tcPr>
          <w:p w14:paraId="68B4826F" w14:textId="77777777" w:rsidR="00256276" w:rsidRPr="00E43534" w:rsidRDefault="00256276">
            <w:pPr>
              <w:pStyle w:val="TableHeading0"/>
            </w:pPr>
            <w:r w:rsidRPr="00E43534">
              <w:t>Sensitivity analysis scenario</w:t>
            </w:r>
          </w:p>
        </w:tc>
        <w:tc>
          <w:tcPr>
            <w:tcW w:w="1842" w:type="dxa"/>
          </w:tcPr>
          <w:p w14:paraId="6FFCD88D" w14:textId="6FBAA613" w:rsidR="00256276" w:rsidRPr="00E43534" w:rsidRDefault="00256276" w:rsidP="0092061D">
            <w:pPr>
              <w:pStyle w:val="TableHeading0"/>
              <w:jc w:val="center"/>
            </w:pPr>
            <w:r w:rsidRPr="00E43534">
              <w:t>Cost per accurate diagnosis</w:t>
            </w:r>
            <w:r w:rsidR="00462A7A">
              <w:t xml:space="preserve"> ($)</w:t>
            </w:r>
            <w:r w:rsidRPr="00E43534">
              <w:br/>
              <w:t>(intervention)</w:t>
            </w:r>
          </w:p>
        </w:tc>
        <w:tc>
          <w:tcPr>
            <w:tcW w:w="1741" w:type="dxa"/>
          </w:tcPr>
          <w:p w14:paraId="520C9F91" w14:textId="57301979" w:rsidR="00256276" w:rsidRPr="00E43534" w:rsidRDefault="00256276" w:rsidP="0092061D">
            <w:pPr>
              <w:pStyle w:val="TableHeading0"/>
              <w:jc w:val="center"/>
            </w:pPr>
            <w:r w:rsidRPr="00E43534">
              <w:t xml:space="preserve">Cost per accurate diagnosis </w:t>
            </w:r>
            <w:r w:rsidR="00462A7A">
              <w:t>($)</w:t>
            </w:r>
            <w:r w:rsidRPr="00E43534">
              <w:br/>
              <w:t>(comparator)</w:t>
            </w:r>
          </w:p>
        </w:tc>
        <w:tc>
          <w:tcPr>
            <w:tcW w:w="1504" w:type="dxa"/>
          </w:tcPr>
          <w:p w14:paraId="495271BD" w14:textId="36F36DDE" w:rsidR="00256276" w:rsidRPr="00E43534" w:rsidRDefault="00256276" w:rsidP="0092061D">
            <w:pPr>
              <w:pStyle w:val="TableHeading0"/>
              <w:jc w:val="center"/>
            </w:pPr>
            <w:r w:rsidRPr="00E43534">
              <w:t xml:space="preserve">Difference </w:t>
            </w:r>
            <w:r w:rsidR="00462A7A">
              <w:t>($)</w:t>
            </w:r>
            <w:r w:rsidR="00462A7A">
              <w:br/>
            </w:r>
            <w:r w:rsidRPr="00E43534">
              <w:t>(intervention – comparator)</w:t>
            </w:r>
          </w:p>
        </w:tc>
      </w:tr>
      <w:tr w:rsidR="0093005F" w:rsidRPr="00256276" w14:paraId="2D3D9A24" w14:textId="77777777" w:rsidTr="006338C1">
        <w:tc>
          <w:tcPr>
            <w:tcW w:w="3929" w:type="dxa"/>
            <w:vAlign w:val="bottom"/>
          </w:tcPr>
          <w:p w14:paraId="55D87D3F" w14:textId="77777777" w:rsidR="0093005F" w:rsidRPr="00256276" w:rsidRDefault="0093005F" w:rsidP="0093005F">
            <w:pPr>
              <w:pStyle w:val="TableText"/>
              <w:rPr>
                <w:highlight w:val="yellow"/>
              </w:rPr>
            </w:pPr>
            <w:r w:rsidRPr="00440FCA">
              <w:rPr>
                <w:b/>
              </w:rPr>
              <w:t xml:space="preserve">Base case analysis </w:t>
            </w:r>
          </w:p>
        </w:tc>
        <w:tc>
          <w:tcPr>
            <w:tcW w:w="1842" w:type="dxa"/>
          </w:tcPr>
          <w:p w14:paraId="6D49B838" w14:textId="2B442626" w:rsidR="0093005F" w:rsidRPr="00ED6EAB" w:rsidRDefault="00B84860" w:rsidP="0093005F">
            <w:pPr>
              <w:pStyle w:val="081TableRightAligned22"/>
              <w:ind w:right="248"/>
              <w:rPr>
                <w:b/>
                <w:bCs/>
              </w:rPr>
            </w:pPr>
            <w:r w:rsidRPr="0093039F">
              <w:rPr>
                <w:b/>
                <w:bCs/>
              </w:rPr>
              <w:t>2,390.99</w:t>
            </w:r>
          </w:p>
        </w:tc>
        <w:tc>
          <w:tcPr>
            <w:tcW w:w="1741" w:type="dxa"/>
          </w:tcPr>
          <w:p w14:paraId="402D307C" w14:textId="7EB72A11" w:rsidR="0093005F" w:rsidRPr="00ED6EAB" w:rsidRDefault="0093005F" w:rsidP="0093005F">
            <w:pPr>
              <w:pStyle w:val="081TableRightAligned22"/>
              <w:ind w:right="248"/>
              <w:rPr>
                <w:b/>
                <w:bCs/>
              </w:rPr>
            </w:pPr>
            <w:r w:rsidRPr="00ED6EAB">
              <w:rPr>
                <w:b/>
                <w:bCs/>
              </w:rPr>
              <w:t>2,823.68</w:t>
            </w:r>
          </w:p>
        </w:tc>
        <w:tc>
          <w:tcPr>
            <w:tcW w:w="1504" w:type="dxa"/>
          </w:tcPr>
          <w:p w14:paraId="20A9CD81" w14:textId="70784B68" w:rsidR="0093005F" w:rsidRPr="00ED6EAB" w:rsidRDefault="00484CE4" w:rsidP="0093005F">
            <w:pPr>
              <w:pStyle w:val="081TableRightAligned22"/>
              <w:ind w:right="248"/>
              <w:rPr>
                <w:b/>
                <w:bCs/>
              </w:rPr>
            </w:pPr>
            <w:r w:rsidRPr="0093039F">
              <w:rPr>
                <w:b/>
                <w:bCs/>
              </w:rPr>
              <w:t>-432.69</w:t>
            </w:r>
          </w:p>
        </w:tc>
      </w:tr>
      <w:tr w:rsidR="00101F4D" w:rsidRPr="00256276" w14:paraId="50161D91" w14:textId="77777777" w:rsidTr="006338C1">
        <w:tc>
          <w:tcPr>
            <w:tcW w:w="3929" w:type="dxa"/>
            <w:vAlign w:val="bottom"/>
          </w:tcPr>
          <w:p w14:paraId="2BD5F0BE" w14:textId="4C1B5497" w:rsidR="00101F4D" w:rsidRPr="007A39F8" w:rsidRDefault="006743B2" w:rsidP="006338C1">
            <w:pPr>
              <w:pStyle w:val="TableText"/>
            </w:pPr>
            <w:r>
              <w:t>Application proposed MBS items</w:t>
            </w:r>
            <w:r w:rsidR="00063900">
              <w:t>/</w:t>
            </w:r>
            <w:r>
              <w:t>fees</w:t>
            </w:r>
          </w:p>
        </w:tc>
        <w:tc>
          <w:tcPr>
            <w:tcW w:w="1842" w:type="dxa"/>
          </w:tcPr>
          <w:p w14:paraId="498163B1" w14:textId="51F1B92F" w:rsidR="00101F4D" w:rsidRPr="002A3CD6" w:rsidRDefault="00B84860" w:rsidP="006338C1">
            <w:pPr>
              <w:pStyle w:val="081TableRightAligned22"/>
              <w:ind w:right="248"/>
            </w:pPr>
            <w:r w:rsidRPr="0093039F">
              <w:t>2,391.77</w:t>
            </w:r>
          </w:p>
        </w:tc>
        <w:tc>
          <w:tcPr>
            <w:tcW w:w="1741" w:type="dxa"/>
          </w:tcPr>
          <w:p w14:paraId="03DA5FC3" w14:textId="32E7D806" w:rsidR="00101F4D" w:rsidRPr="002A3CD6" w:rsidRDefault="006743B2" w:rsidP="006338C1">
            <w:pPr>
              <w:pStyle w:val="081TableRightAligned22"/>
              <w:ind w:right="248"/>
            </w:pPr>
            <w:r w:rsidRPr="009A0412">
              <w:t>2,823.68</w:t>
            </w:r>
          </w:p>
        </w:tc>
        <w:tc>
          <w:tcPr>
            <w:tcW w:w="1504" w:type="dxa"/>
          </w:tcPr>
          <w:p w14:paraId="6B9862E0" w14:textId="415A2933" w:rsidR="00101F4D" w:rsidRPr="002A3CD6" w:rsidRDefault="00484CE4" w:rsidP="006338C1">
            <w:pPr>
              <w:pStyle w:val="081TableRightAligned22"/>
              <w:ind w:right="248"/>
            </w:pPr>
            <w:r w:rsidRPr="0093039F">
              <w:t>-431.90</w:t>
            </w:r>
          </w:p>
        </w:tc>
      </w:tr>
      <w:tr w:rsidR="006338C1" w:rsidRPr="00256276" w14:paraId="06A31895" w14:textId="77777777" w:rsidTr="006338C1">
        <w:tc>
          <w:tcPr>
            <w:tcW w:w="3929" w:type="dxa"/>
            <w:vAlign w:val="bottom"/>
          </w:tcPr>
          <w:p w14:paraId="2F4F2D79" w14:textId="4771E1EB" w:rsidR="006338C1" w:rsidRPr="00256276" w:rsidRDefault="006338C1" w:rsidP="006338C1">
            <w:pPr>
              <w:pStyle w:val="TableText"/>
              <w:rPr>
                <w:highlight w:val="yellow"/>
              </w:rPr>
            </w:pPr>
            <w:r w:rsidRPr="007A39F8">
              <w:t xml:space="preserve">Level 2 PSG in children </w:t>
            </w:r>
            <w:r>
              <w:t>only</w:t>
            </w:r>
            <w:r w:rsidRPr="007A39F8">
              <w:t xml:space="preserve"> </w:t>
            </w:r>
            <w:r>
              <w:t xml:space="preserve">(aged </w:t>
            </w:r>
            <w:r w:rsidRPr="007A39F8">
              <w:t xml:space="preserve">3 to </w:t>
            </w:r>
            <w:r>
              <w:t>11</w:t>
            </w:r>
            <w:r w:rsidRPr="007A39F8">
              <w:t xml:space="preserve"> years</w:t>
            </w:r>
            <w:r>
              <w:t>, inclusive)</w:t>
            </w:r>
            <w:r w:rsidRPr="0074385E">
              <w:rPr>
                <w:vertAlign w:val="superscript"/>
              </w:rPr>
              <w:t>a</w:t>
            </w:r>
          </w:p>
        </w:tc>
        <w:tc>
          <w:tcPr>
            <w:tcW w:w="1842" w:type="dxa"/>
          </w:tcPr>
          <w:p w14:paraId="0B903EFF" w14:textId="3AEB5D4C" w:rsidR="006338C1" w:rsidRPr="00F0318D" w:rsidRDefault="00B84860" w:rsidP="006338C1">
            <w:pPr>
              <w:pStyle w:val="081TableRightAligned22"/>
              <w:ind w:right="248"/>
            </w:pPr>
            <w:r w:rsidRPr="0093039F">
              <w:t>2,407.38</w:t>
            </w:r>
          </w:p>
        </w:tc>
        <w:tc>
          <w:tcPr>
            <w:tcW w:w="1741" w:type="dxa"/>
          </w:tcPr>
          <w:p w14:paraId="37CD6D6A" w14:textId="32DD3DFB" w:rsidR="006338C1" w:rsidRPr="00F0318D" w:rsidRDefault="006338C1" w:rsidP="006338C1">
            <w:pPr>
              <w:pStyle w:val="081TableRightAligned22"/>
              <w:ind w:right="248"/>
            </w:pPr>
            <w:r w:rsidRPr="002A3CD6">
              <w:t>2,823.68</w:t>
            </w:r>
          </w:p>
        </w:tc>
        <w:tc>
          <w:tcPr>
            <w:tcW w:w="1504" w:type="dxa"/>
          </w:tcPr>
          <w:p w14:paraId="5EEB5EDC" w14:textId="7267094B" w:rsidR="006338C1" w:rsidRPr="00F0318D" w:rsidRDefault="00484CE4" w:rsidP="006338C1">
            <w:pPr>
              <w:pStyle w:val="081TableRightAligned22"/>
              <w:ind w:right="248"/>
            </w:pPr>
            <w:r w:rsidRPr="0093039F">
              <w:t>-416.29</w:t>
            </w:r>
          </w:p>
        </w:tc>
      </w:tr>
      <w:tr w:rsidR="006338C1" w:rsidRPr="00256276" w14:paraId="78AF018D" w14:textId="77777777" w:rsidTr="006338C1">
        <w:tc>
          <w:tcPr>
            <w:tcW w:w="3929" w:type="dxa"/>
            <w:vAlign w:val="bottom"/>
          </w:tcPr>
          <w:p w14:paraId="39F2CCDE" w14:textId="24113B58" w:rsidR="006338C1" w:rsidRPr="00256276" w:rsidRDefault="006338C1" w:rsidP="006338C1">
            <w:pPr>
              <w:pStyle w:val="TableText"/>
              <w:rPr>
                <w:highlight w:val="yellow"/>
              </w:rPr>
            </w:pPr>
            <w:r w:rsidRPr="007A39F8">
              <w:t>Level 2 PSG in adolescents</w:t>
            </w:r>
            <w:r>
              <w:t xml:space="preserve"> only (aged</w:t>
            </w:r>
            <w:r w:rsidRPr="007A39F8">
              <w:t xml:space="preserve"> 12 to </w:t>
            </w:r>
            <w:r>
              <w:t>17</w:t>
            </w:r>
            <w:r w:rsidRPr="007A39F8">
              <w:t xml:space="preserve"> years</w:t>
            </w:r>
            <w:r>
              <w:t>, inclusive)</w:t>
            </w:r>
            <w:r w:rsidRPr="0074385E">
              <w:rPr>
                <w:vertAlign w:val="superscript"/>
              </w:rPr>
              <w:t>a</w:t>
            </w:r>
          </w:p>
        </w:tc>
        <w:tc>
          <w:tcPr>
            <w:tcW w:w="1842" w:type="dxa"/>
          </w:tcPr>
          <w:p w14:paraId="32AA3817" w14:textId="75DC7688" w:rsidR="006338C1" w:rsidRPr="00F0318D" w:rsidRDefault="00B84860" w:rsidP="006338C1">
            <w:pPr>
              <w:pStyle w:val="081TableRightAligned22"/>
              <w:ind w:right="248"/>
            </w:pPr>
            <w:r w:rsidRPr="0093039F">
              <w:t>2,319.71</w:t>
            </w:r>
          </w:p>
        </w:tc>
        <w:tc>
          <w:tcPr>
            <w:tcW w:w="1741" w:type="dxa"/>
          </w:tcPr>
          <w:p w14:paraId="4736A338" w14:textId="6CDBD1AD" w:rsidR="006338C1" w:rsidRPr="00F0318D" w:rsidRDefault="006338C1" w:rsidP="006338C1">
            <w:pPr>
              <w:pStyle w:val="081TableRightAligned22"/>
              <w:ind w:right="248"/>
            </w:pPr>
            <w:r w:rsidRPr="002A3CD6">
              <w:t>2,823.68</w:t>
            </w:r>
          </w:p>
        </w:tc>
        <w:tc>
          <w:tcPr>
            <w:tcW w:w="1504" w:type="dxa"/>
          </w:tcPr>
          <w:p w14:paraId="16208585" w14:textId="25BC3C04" w:rsidR="006338C1" w:rsidRPr="00F0318D" w:rsidRDefault="00484CE4" w:rsidP="006338C1">
            <w:pPr>
              <w:pStyle w:val="081TableRightAligned22"/>
              <w:ind w:right="248"/>
            </w:pPr>
            <w:r w:rsidRPr="0093039F">
              <w:t>-503.97</w:t>
            </w:r>
          </w:p>
        </w:tc>
      </w:tr>
      <w:tr w:rsidR="0062289A" w:rsidRPr="00256276" w14:paraId="3FA9DFD1" w14:textId="77777777" w:rsidTr="006338C1">
        <w:tc>
          <w:tcPr>
            <w:tcW w:w="3929" w:type="dxa"/>
            <w:vAlign w:val="bottom"/>
          </w:tcPr>
          <w:p w14:paraId="637EB156" w14:textId="7485C7DE" w:rsidR="0062289A" w:rsidRPr="00256276" w:rsidRDefault="0062289A" w:rsidP="0062289A">
            <w:pPr>
              <w:pStyle w:val="TableText"/>
              <w:rPr>
                <w:highlight w:val="yellow"/>
              </w:rPr>
            </w:pPr>
            <w:r w:rsidRPr="007A39F8">
              <w:t xml:space="preserve">Lower limit of </w:t>
            </w:r>
            <w:r>
              <w:t xml:space="preserve">Level 2 PSG test </w:t>
            </w:r>
            <w:r w:rsidRPr="007A39F8">
              <w:t>sensitivity 0.29</w:t>
            </w:r>
            <w:r>
              <w:t xml:space="preserve"> (base case 1.00)</w:t>
            </w:r>
          </w:p>
        </w:tc>
        <w:tc>
          <w:tcPr>
            <w:tcW w:w="1842" w:type="dxa"/>
          </w:tcPr>
          <w:p w14:paraId="0E660DAE" w14:textId="41571BA0" w:rsidR="0062289A" w:rsidRPr="00F0318D" w:rsidRDefault="00B84860" w:rsidP="0062289A">
            <w:pPr>
              <w:pStyle w:val="081TableRightAligned22"/>
              <w:ind w:right="248"/>
            </w:pPr>
            <w:r w:rsidRPr="0093039F">
              <w:t>3,355.54</w:t>
            </w:r>
          </w:p>
        </w:tc>
        <w:tc>
          <w:tcPr>
            <w:tcW w:w="1741" w:type="dxa"/>
          </w:tcPr>
          <w:p w14:paraId="7C279317" w14:textId="1936A6AD" w:rsidR="0062289A" w:rsidRPr="00F0318D" w:rsidRDefault="0062289A" w:rsidP="0062289A">
            <w:pPr>
              <w:pStyle w:val="081TableRightAligned22"/>
              <w:ind w:right="248"/>
            </w:pPr>
            <w:r w:rsidRPr="00094229">
              <w:t>2,823.68</w:t>
            </w:r>
          </w:p>
        </w:tc>
        <w:tc>
          <w:tcPr>
            <w:tcW w:w="1504" w:type="dxa"/>
          </w:tcPr>
          <w:p w14:paraId="1542D31E" w14:textId="45CBAF7A" w:rsidR="0062289A" w:rsidRPr="00F0318D" w:rsidRDefault="00484CE4" w:rsidP="0062289A">
            <w:pPr>
              <w:pStyle w:val="081TableRightAligned22"/>
              <w:ind w:right="248"/>
            </w:pPr>
            <w:r w:rsidRPr="0093039F">
              <w:t>531.86</w:t>
            </w:r>
          </w:p>
        </w:tc>
      </w:tr>
      <w:tr w:rsidR="0062289A" w:rsidRPr="00256276" w14:paraId="691D96B9" w14:textId="77777777" w:rsidTr="006338C1">
        <w:tc>
          <w:tcPr>
            <w:tcW w:w="3929" w:type="dxa"/>
            <w:vAlign w:val="bottom"/>
          </w:tcPr>
          <w:p w14:paraId="72FC3E6C" w14:textId="2CC5BDF9" w:rsidR="0062289A" w:rsidRPr="00256276" w:rsidRDefault="0062289A" w:rsidP="0062289A">
            <w:pPr>
              <w:pStyle w:val="TableText"/>
              <w:rPr>
                <w:highlight w:val="yellow"/>
              </w:rPr>
            </w:pPr>
            <w:r w:rsidRPr="007A39F8">
              <w:t xml:space="preserve">Lower limit of </w:t>
            </w:r>
            <w:r>
              <w:t xml:space="preserve">Level 2 PSG test </w:t>
            </w:r>
            <w:r w:rsidRPr="007A39F8">
              <w:t>specificity 0.88</w:t>
            </w:r>
            <w:r>
              <w:t xml:space="preserve"> (base case 0.98</w:t>
            </w:r>
            <w:r w:rsidRPr="007A39F8">
              <w:t>)</w:t>
            </w:r>
          </w:p>
        </w:tc>
        <w:tc>
          <w:tcPr>
            <w:tcW w:w="1842" w:type="dxa"/>
          </w:tcPr>
          <w:p w14:paraId="51F3ABD8" w14:textId="3217B9CE" w:rsidR="0062289A" w:rsidRPr="00F0318D" w:rsidRDefault="00B84860" w:rsidP="0062289A">
            <w:pPr>
              <w:pStyle w:val="081TableRightAligned22"/>
              <w:ind w:right="248"/>
            </w:pPr>
            <w:r w:rsidRPr="0093039F">
              <w:t>2,545.58</w:t>
            </w:r>
          </w:p>
        </w:tc>
        <w:tc>
          <w:tcPr>
            <w:tcW w:w="1741" w:type="dxa"/>
          </w:tcPr>
          <w:p w14:paraId="0C146BFE" w14:textId="20EA421D" w:rsidR="0062289A" w:rsidRPr="00F0318D" w:rsidRDefault="0062289A" w:rsidP="0062289A">
            <w:pPr>
              <w:pStyle w:val="081TableRightAligned22"/>
              <w:ind w:right="248"/>
            </w:pPr>
            <w:r w:rsidRPr="00094229">
              <w:t>2,823.68</w:t>
            </w:r>
          </w:p>
        </w:tc>
        <w:tc>
          <w:tcPr>
            <w:tcW w:w="1504" w:type="dxa"/>
          </w:tcPr>
          <w:p w14:paraId="067F9FAE" w14:textId="533FEF8C" w:rsidR="0062289A" w:rsidRPr="00F0318D" w:rsidRDefault="00484CE4" w:rsidP="0062289A">
            <w:pPr>
              <w:pStyle w:val="081TableRightAligned22"/>
              <w:ind w:right="248"/>
            </w:pPr>
            <w:r w:rsidRPr="0093039F">
              <w:t>-278.10</w:t>
            </w:r>
          </w:p>
        </w:tc>
      </w:tr>
      <w:tr w:rsidR="00ED6EAB" w:rsidRPr="00256276" w14:paraId="4E0A4E60" w14:textId="77777777" w:rsidTr="006338C1">
        <w:tc>
          <w:tcPr>
            <w:tcW w:w="3929" w:type="dxa"/>
            <w:vAlign w:val="bottom"/>
          </w:tcPr>
          <w:p w14:paraId="556E2CA5" w14:textId="5AA9C5D3" w:rsidR="00ED6EAB" w:rsidRPr="007A39F8" w:rsidRDefault="00ED6EAB" w:rsidP="00ED6EAB">
            <w:pPr>
              <w:pStyle w:val="TableText"/>
            </w:pPr>
            <w:r>
              <w:t>Initial test failure 20% (base case 10%)</w:t>
            </w:r>
            <w:r w:rsidRPr="00FD4253">
              <w:rPr>
                <w:vertAlign w:val="superscript"/>
              </w:rPr>
              <w:t>b</w:t>
            </w:r>
          </w:p>
        </w:tc>
        <w:tc>
          <w:tcPr>
            <w:tcW w:w="1842" w:type="dxa"/>
          </w:tcPr>
          <w:p w14:paraId="7EB3A8F4" w14:textId="56D5B449" w:rsidR="00ED6EAB" w:rsidRPr="009C03C1" w:rsidRDefault="00B84860" w:rsidP="00ED6EAB">
            <w:pPr>
              <w:pStyle w:val="081TableRightAligned22"/>
              <w:ind w:right="248"/>
            </w:pPr>
            <w:r w:rsidRPr="0093039F">
              <w:t>2,585.21</w:t>
            </w:r>
          </w:p>
        </w:tc>
        <w:tc>
          <w:tcPr>
            <w:tcW w:w="1741" w:type="dxa"/>
          </w:tcPr>
          <w:p w14:paraId="4D6591E0" w14:textId="7F8F2282" w:rsidR="00ED6EAB" w:rsidRPr="009C03C1" w:rsidRDefault="00ED6EAB" w:rsidP="00ED6EAB">
            <w:pPr>
              <w:pStyle w:val="081TableRightAligned22"/>
              <w:ind w:right="248"/>
            </w:pPr>
            <w:r w:rsidRPr="00B530F8">
              <w:t>2,823.68</w:t>
            </w:r>
          </w:p>
        </w:tc>
        <w:tc>
          <w:tcPr>
            <w:tcW w:w="1504" w:type="dxa"/>
          </w:tcPr>
          <w:p w14:paraId="4C9A1451" w14:textId="5F7239F9" w:rsidR="00ED6EAB" w:rsidRPr="009C03C1" w:rsidRDefault="00484CE4" w:rsidP="00ED6EAB">
            <w:pPr>
              <w:pStyle w:val="081TableRightAligned22"/>
              <w:ind w:right="248"/>
            </w:pPr>
            <w:r w:rsidRPr="0093039F">
              <w:t>-238.46</w:t>
            </w:r>
          </w:p>
        </w:tc>
      </w:tr>
      <w:tr w:rsidR="00ED6EAB" w:rsidRPr="00256276" w14:paraId="013F9601" w14:textId="77777777" w:rsidTr="006338C1">
        <w:tc>
          <w:tcPr>
            <w:tcW w:w="3929" w:type="dxa"/>
          </w:tcPr>
          <w:p w14:paraId="6021F52D" w14:textId="7B421832" w:rsidR="00ED6EAB" w:rsidRPr="00256276" w:rsidRDefault="00ED6EAB" w:rsidP="00ED6EAB">
            <w:pPr>
              <w:pStyle w:val="TableText"/>
              <w:rPr>
                <w:highlight w:val="yellow"/>
              </w:rPr>
            </w:pPr>
            <w:r w:rsidRPr="007A39F8">
              <w:t>Prevalence 20% (base</w:t>
            </w:r>
            <w:r>
              <w:t xml:space="preserve"> case</w:t>
            </w:r>
            <w:r w:rsidRPr="007A39F8">
              <w:t xml:space="preserve"> 40%)</w:t>
            </w:r>
          </w:p>
        </w:tc>
        <w:tc>
          <w:tcPr>
            <w:tcW w:w="1842" w:type="dxa"/>
          </w:tcPr>
          <w:p w14:paraId="11C7BB5B" w14:textId="3C26DD0C" w:rsidR="00ED6EAB" w:rsidRPr="00F0318D" w:rsidRDefault="00125600" w:rsidP="00ED6EAB">
            <w:pPr>
              <w:pStyle w:val="081TableRightAligned22"/>
              <w:ind w:right="248"/>
            </w:pPr>
            <w:r w:rsidRPr="0093039F">
              <w:t>4,801.42</w:t>
            </w:r>
          </w:p>
        </w:tc>
        <w:tc>
          <w:tcPr>
            <w:tcW w:w="1741" w:type="dxa"/>
          </w:tcPr>
          <w:p w14:paraId="366B5D23" w14:textId="2101817D" w:rsidR="00ED6EAB" w:rsidRPr="00F0318D" w:rsidRDefault="00ED6EAB" w:rsidP="00ED6EAB">
            <w:pPr>
              <w:pStyle w:val="081TableRightAligned22"/>
              <w:ind w:right="248"/>
            </w:pPr>
            <w:r w:rsidRPr="00E27465">
              <w:t>5,647.35</w:t>
            </w:r>
          </w:p>
        </w:tc>
        <w:tc>
          <w:tcPr>
            <w:tcW w:w="1504" w:type="dxa"/>
          </w:tcPr>
          <w:p w14:paraId="4FE0E1B4" w14:textId="39FAFC29" w:rsidR="00ED6EAB" w:rsidRPr="00F0318D" w:rsidRDefault="00484CE4" w:rsidP="00ED6EAB">
            <w:pPr>
              <w:pStyle w:val="081TableRightAligned22"/>
              <w:ind w:right="248"/>
            </w:pPr>
            <w:r w:rsidRPr="0093039F">
              <w:t>-845.94</w:t>
            </w:r>
          </w:p>
        </w:tc>
      </w:tr>
      <w:tr w:rsidR="00ED6EAB" w:rsidRPr="00256276" w14:paraId="5357A295" w14:textId="77777777" w:rsidTr="006338C1">
        <w:tc>
          <w:tcPr>
            <w:tcW w:w="3929" w:type="dxa"/>
          </w:tcPr>
          <w:p w14:paraId="7F6A4F25" w14:textId="239676F0" w:rsidR="00ED6EAB" w:rsidRPr="00256276" w:rsidRDefault="00ED6EAB" w:rsidP="00ED6EAB">
            <w:pPr>
              <w:pStyle w:val="TableText"/>
              <w:rPr>
                <w:highlight w:val="yellow"/>
              </w:rPr>
            </w:pPr>
            <w:r w:rsidRPr="007A39F8">
              <w:t>Prevalence 60% (base</w:t>
            </w:r>
            <w:r>
              <w:t xml:space="preserve"> case</w:t>
            </w:r>
            <w:r w:rsidRPr="007A39F8">
              <w:t xml:space="preserve"> 40%)</w:t>
            </w:r>
          </w:p>
        </w:tc>
        <w:tc>
          <w:tcPr>
            <w:tcW w:w="1842" w:type="dxa"/>
          </w:tcPr>
          <w:p w14:paraId="2C6B33C8" w14:textId="1A159201" w:rsidR="00ED6EAB" w:rsidRPr="00F0318D" w:rsidRDefault="00125600" w:rsidP="00ED6EAB">
            <w:pPr>
              <w:pStyle w:val="081TableRightAligned22"/>
              <w:ind w:right="248"/>
            </w:pPr>
            <w:r w:rsidRPr="0093039F">
              <w:t>1,587.57</w:t>
            </w:r>
          </w:p>
        </w:tc>
        <w:tc>
          <w:tcPr>
            <w:tcW w:w="1741" w:type="dxa"/>
          </w:tcPr>
          <w:p w14:paraId="27AE4FE8" w14:textId="3A7885CF" w:rsidR="00ED6EAB" w:rsidRPr="00F0318D" w:rsidRDefault="00ED6EAB" w:rsidP="00ED6EAB">
            <w:pPr>
              <w:pStyle w:val="081TableRightAligned22"/>
              <w:ind w:right="248"/>
            </w:pPr>
            <w:r w:rsidRPr="00E27465">
              <w:t>1,882.45</w:t>
            </w:r>
          </w:p>
        </w:tc>
        <w:tc>
          <w:tcPr>
            <w:tcW w:w="1504" w:type="dxa"/>
          </w:tcPr>
          <w:p w14:paraId="653C3F5C" w14:textId="488EF2D3" w:rsidR="00ED6EAB" w:rsidRPr="00F0318D" w:rsidRDefault="00484CE4" w:rsidP="00ED6EAB">
            <w:pPr>
              <w:pStyle w:val="081TableRightAligned22"/>
              <w:ind w:right="248"/>
            </w:pPr>
            <w:r w:rsidRPr="0093039F">
              <w:t>-294.89</w:t>
            </w:r>
          </w:p>
        </w:tc>
      </w:tr>
      <w:tr w:rsidR="00ED6EAB" w:rsidRPr="00256276" w14:paraId="77853FAA" w14:textId="77777777" w:rsidTr="006338C1">
        <w:tc>
          <w:tcPr>
            <w:tcW w:w="3929" w:type="dxa"/>
          </w:tcPr>
          <w:p w14:paraId="64051920" w14:textId="0C6F739F" w:rsidR="00ED6EAB" w:rsidRPr="00256276" w:rsidRDefault="00ED6EAB" w:rsidP="00ED6EAB">
            <w:pPr>
              <w:pStyle w:val="TableText"/>
              <w:rPr>
                <w:highlight w:val="yellow"/>
              </w:rPr>
            </w:pPr>
            <w:r w:rsidRPr="007A39F8">
              <w:t>‘Any OSA’ as treatment threshold (sensitivity 93%, specificity 97%, prevalence 60%)</w:t>
            </w:r>
          </w:p>
        </w:tc>
        <w:tc>
          <w:tcPr>
            <w:tcW w:w="1842" w:type="dxa"/>
          </w:tcPr>
          <w:p w14:paraId="32A1C927" w14:textId="2F0666EA" w:rsidR="00ED6EAB" w:rsidRPr="00F0318D" w:rsidRDefault="00125600" w:rsidP="00ED6EAB">
            <w:pPr>
              <w:pStyle w:val="081TableRightAligned22"/>
              <w:ind w:right="248"/>
            </w:pPr>
            <w:r w:rsidRPr="0093039F">
              <w:t>1,664.76</w:t>
            </w:r>
          </w:p>
        </w:tc>
        <w:tc>
          <w:tcPr>
            <w:tcW w:w="1741" w:type="dxa"/>
          </w:tcPr>
          <w:p w14:paraId="03AE9F8F" w14:textId="0553691D" w:rsidR="00ED6EAB" w:rsidRPr="00F0318D" w:rsidRDefault="00ED6EAB" w:rsidP="00ED6EAB">
            <w:pPr>
              <w:pStyle w:val="081TableRightAligned22"/>
              <w:ind w:right="248"/>
            </w:pPr>
            <w:r w:rsidRPr="00D64358">
              <w:t>1,882.45</w:t>
            </w:r>
          </w:p>
        </w:tc>
        <w:tc>
          <w:tcPr>
            <w:tcW w:w="1504" w:type="dxa"/>
          </w:tcPr>
          <w:p w14:paraId="5D2BE1E0" w14:textId="23A6E5D1" w:rsidR="00ED6EAB" w:rsidRPr="00F0318D" w:rsidRDefault="00484CE4" w:rsidP="00ED6EAB">
            <w:pPr>
              <w:pStyle w:val="081TableRightAligned22"/>
              <w:ind w:right="248"/>
            </w:pPr>
            <w:r w:rsidRPr="0093039F">
              <w:t>-217.69</w:t>
            </w:r>
          </w:p>
        </w:tc>
      </w:tr>
      <w:tr w:rsidR="00ED6EAB" w:rsidRPr="00256276" w14:paraId="0DCAC56F" w14:textId="77777777" w:rsidTr="006338C1">
        <w:tc>
          <w:tcPr>
            <w:tcW w:w="3929" w:type="dxa"/>
          </w:tcPr>
          <w:p w14:paraId="1DC09DAD" w14:textId="370345D8" w:rsidR="00ED6EAB" w:rsidRPr="00744FCF" w:rsidRDefault="00ED6EAB" w:rsidP="00ED6EAB">
            <w:pPr>
              <w:pStyle w:val="TableText"/>
            </w:pPr>
            <w:r w:rsidRPr="00744FCF">
              <w:t>Lower estimate of % rural/remote location (</w:t>
            </w:r>
            <w:r w:rsidRPr="00744FCF">
              <w:rPr>
                <w:b/>
              </w:rPr>
              <w:t>12%</w:t>
            </w:r>
            <w:r w:rsidRPr="00744FCF">
              <w:t>, base case 20%)</w:t>
            </w:r>
            <w:r w:rsidRPr="00744FCF">
              <w:rPr>
                <w:vertAlign w:val="superscript"/>
              </w:rPr>
              <w:t>c</w:t>
            </w:r>
          </w:p>
        </w:tc>
        <w:tc>
          <w:tcPr>
            <w:tcW w:w="1842" w:type="dxa"/>
          </w:tcPr>
          <w:p w14:paraId="016DC9B2" w14:textId="54CB4F5A" w:rsidR="00ED6EAB" w:rsidRPr="00744FCF" w:rsidRDefault="00B84860" w:rsidP="00ED6EAB">
            <w:pPr>
              <w:pStyle w:val="081TableRightAligned22"/>
              <w:ind w:right="248"/>
              <w:rPr>
                <w:b/>
                <w:bCs/>
              </w:rPr>
            </w:pPr>
            <w:r w:rsidRPr="00744FCF">
              <w:rPr>
                <w:b/>
              </w:rPr>
              <w:t>2,</w:t>
            </w:r>
            <w:r w:rsidR="00125600" w:rsidRPr="00744FCF">
              <w:rPr>
                <w:b/>
              </w:rPr>
              <w:t>367.52</w:t>
            </w:r>
          </w:p>
        </w:tc>
        <w:tc>
          <w:tcPr>
            <w:tcW w:w="1741" w:type="dxa"/>
          </w:tcPr>
          <w:p w14:paraId="6BDF6EF4" w14:textId="09517E21" w:rsidR="00ED6EAB" w:rsidRPr="00744FCF" w:rsidRDefault="00ED6EAB" w:rsidP="00ED6EAB">
            <w:pPr>
              <w:pStyle w:val="081TableRightAligned22"/>
              <w:ind w:right="248"/>
              <w:rPr>
                <w:b/>
                <w:bCs/>
              </w:rPr>
            </w:pPr>
            <w:r w:rsidRPr="00744FCF">
              <w:rPr>
                <w:b/>
              </w:rPr>
              <w:t>2,823.68</w:t>
            </w:r>
          </w:p>
        </w:tc>
        <w:tc>
          <w:tcPr>
            <w:tcW w:w="1504" w:type="dxa"/>
          </w:tcPr>
          <w:p w14:paraId="75B076CE" w14:textId="16B01407" w:rsidR="00ED6EAB" w:rsidRPr="00744FCF" w:rsidRDefault="00484CE4" w:rsidP="00ED6EAB">
            <w:pPr>
              <w:pStyle w:val="081TableRightAligned22"/>
              <w:ind w:right="248"/>
              <w:rPr>
                <w:b/>
                <w:bCs/>
              </w:rPr>
            </w:pPr>
            <w:r w:rsidRPr="00744FCF">
              <w:rPr>
                <w:b/>
              </w:rPr>
              <w:t>-456.15</w:t>
            </w:r>
          </w:p>
        </w:tc>
      </w:tr>
      <w:tr w:rsidR="00ED6EAB" w:rsidRPr="00256276" w14:paraId="3F0A6C27" w14:textId="77777777" w:rsidTr="006338C1">
        <w:tc>
          <w:tcPr>
            <w:tcW w:w="3929" w:type="dxa"/>
          </w:tcPr>
          <w:p w14:paraId="3704EBE5" w14:textId="02C09C32" w:rsidR="00ED6EAB" w:rsidRPr="007A39F8" w:rsidRDefault="00ED6EAB" w:rsidP="00ED6EAB">
            <w:pPr>
              <w:pStyle w:val="TableText"/>
            </w:pPr>
            <w:r w:rsidRPr="00EA3AF3">
              <w:t xml:space="preserve">Upper estimate of % rural/remote location (36%, base </w:t>
            </w:r>
            <w:r>
              <w:t xml:space="preserve">case </w:t>
            </w:r>
            <w:r w:rsidRPr="00EA3AF3">
              <w:t>20%)</w:t>
            </w:r>
            <w:r w:rsidRPr="00FD4253">
              <w:rPr>
                <w:vertAlign w:val="superscript"/>
              </w:rPr>
              <w:t>d</w:t>
            </w:r>
          </w:p>
        </w:tc>
        <w:tc>
          <w:tcPr>
            <w:tcW w:w="1842" w:type="dxa"/>
          </w:tcPr>
          <w:p w14:paraId="52DA8F59" w14:textId="7BFD0C55" w:rsidR="00ED6EAB" w:rsidRPr="009C03C1" w:rsidRDefault="00125600" w:rsidP="00ED6EAB">
            <w:pPr>
              <w:pStyle w:val="081TableRightAligned22"/>
              <w:ind w:right="248"/>
            </w:pPr>
            <w:r w:rsidRPr="0093039F">
              <w:t>2,440.85</w:t>
            </w:r>
          </w:p>
        </w:tc>
        <w:tc>
          <w:tcPr>
            <w:tcW w:w="1741" w:type="dxa"/>
          </w:tcPr>
          <w:p w14:paraId="25BA3D66" w14:textId="331C9B8B" w:rsidR="00ED6EAB" w:rsidRPr="009C03C1" w:rsidRDefault="00ED6EAB" w:rsidP="00ED6EAB">
            <w:pPr>
              <w:pStyle w:val="081TableRightAligned22"/>
              <w:ind w:right="248"/>
            </w:pPr>
            <w:r w:rsidRPr="00D64358">
              <w:t>2,823.68</w:t>
            </w:r>
          </w:p>
        </w:tc>
        <w:tc>
          <w:tcPr>
            <w:tcW w:w="1504" w:type="dxa"/>
          </w:tcPr>
          <w:p w14:paraId="74D23364" w14:textId="35CF1722" w:rsidR="00ED6EAB" w:rsidRPr="009C03C1" w:rsidRDefault="00484CE4" w:rsidP="00ED6EAB">
            <w:pPr>
              <w:pStyle w:val="081TableRightAligned22"/>
              <w:ind w:right="248"/>
            </w:pPr>
            <w:r w:rsidRPr="0093039F">
              <w:t>-382.82</w:t>
            </w:r>
          </w:p>
        </w:tc>
      </w:tr>
      <w:tr w:rsidR="00ED6EAB" w:rsidRPr="00256276" w14:paraId="2B21C66B" w14:textId="77777777" w:rsidTr="006338C1">
        <w:tc>
          <w:tcPr>
            <w:tcW w:w="3929" w:type="dxa"/>
          </w:tcPr>
          <w:p w14:paraId="0DE3F282" w14:textId="57F3666C" w:rsidR="00ED6EAB" w:rsidRPr="007A39F8" w:rsidRDefault="00ED6EAB" w:rsidP="00ED6EAB">
            <w:pPr>
              <w:pStyle w:val="TableText"/>
            </w:pPr>
            <w:r w:rsidRPr="00D831B1">
              <w:rPr>
                <w:color w:val="000000"/>
              </w:rPr>
              <w:t xml:space="preserve">Inclusion of </w:t>
            </w:r>
            <w:r>
              <w:rPr>
                <w:color w:val="000000"/>
              </w:rPr>
              <w:t>OOP</w:t>
            </w:r>
            <w:r w:rsidRPr="00D831B1">
              <w:rPr>
                <w:color w:val="000000"/>
              </w:rPr>
              <w:t xml:space="preserve"> costs (</w:t>
            </w:r>
            <w:r>
              <w:rPr>
                <w:color w:val="000000"/>
              </w:rPr>
              <w:t xml:space="preserve">gap for </w:t>
            </w:r>
            <w:r w:rsidRPr="00D831B1">
              <w:rPr>
                <w:color w:val="000000"/>
              </w:rPr>
              <w:t>specialist fees and travel costs)</w:t>
            </w:r>
          </w:p>
        </w:tc>
        <w:tc>
          <w:tcPr>
            <w:tcW w:w="1842" w:type="dxa"/>
          </w:tcPr>
          <w:p w14:paraId="7CDB0CA3" w14:textId="64B74FBC" w:rsidR="00ED6EAB" w:rsidRPr="009C03C1" w:rsidRDefault="00B84860" w:rsidP="00ED6EAB">
            <w:pPr>
              <w:pStyle w:val="081TableRightAligned22"/>
              <w:ind w:right="248"/>
            </w:pPr>
            <w:r w:rsidRPr="0093039F">
              <w:t>2,</w:t>
            </w:r>
            <w:r w:rsidR="00125600" w:rsidRPr="0093039F">
              <w:t>466.03</w:t>
            </w:r>
          </w:p>
        </w:tc>
        <w:tc>
          <w:tcPr>
            <w:tcW w:w="1741" w:type="dxa"/>
          </w:tcPr>
          <w:p w14:paraId="7A80B7E1" w14:textId="677ADE13" w:rsidR="00ED6EAB" w:rsidRPr="009C03C1" w:rsidRDefault="00F52C71" w:rsidP="00ED6EAB">
            <w:pPr>
              <w:pStyle w:val="081TableRightAligned22"/>
              <w:ind w:right="248"/>
            </w:pPr>
            <w:r w:rsidRPr="00F52C71">
              <w:t>3,182.49</w:t>
            </w:r>
          </w:p>
        </w:tc>
        <w:tc>
          <w:tcPr>
            <w:tcW w:w="1504" w:type="dxa"/>
          </w:tcPr>
          <w:p w14:paraId="371B3DE2" w14:textId="6FA665A0" w:rsidR="00ED6EAB" w:rsidRPr="009C03C1" w:rsidRDefault="00484CE4" w:rsidP="00ED6EAB">
            <w:pPr>
              <w:pStyle w:val="081TableRightAligned22"/>
              <w:ind w:right="248"/>
            </w:pPr>
            <w:r w:rsidRPr="0093039F">
              <w:t>-716.45</w:t>
            </w:r>
          </w:p>
        </w:tc>
      </w:tr>
    </w:tbl>
    <w:p w14:paraId="77F1F49B" w14:textId="652142C3" w:rsidR="00DA4C5C" w:rsidRPr="00710DC7" w:rsidRDefault="00DA4C5C" w:rsidP="00DA4C5C">
      <w:pPr>
        <w:pStyle w:val="111Tablefootnoteslast-nostick"/>
      </w:pPr>
      <w:r w:rsidRPr="008D784A">
        <w:t>OOP = out-of-pocket; OSA = obstructive sleep apnoea; PSG = polysomnography</w:t>
      </w:r>
      <w:r w:rsidR="006E04D1">
        <w:t>.</w:t>
      </w:r>
    </w:p>
    <w:p w14:paraId="1841E2C9" w14:textId="77777777" w:rsidR="00DA4C5C" w:rsidRDefault="00DA4C5C" w:rsidP="00DA4C5C">
      <w:pPr>
        <w:pStyle w:val="111Tablefootnoteslast-nostick"/>
      </w:pPr>
      <w:r w:rsidRPr="008D784A">
        <w:t>a</w:t>
      </w:r>
      <w:r>
        <w:t>.</w:t>
      </w:r>
      <w:r w:rsidRPr="008D784A">
        <w:t xml:space="preserve"> The base case scenario assumes 18.</w:t>
      </w:r>
      <w:r w:rsidRPr="00697242">
        <w:t>7</w:t>
      </w:r>
      <w:r w:rsidRPr="008D784A">
        <w:t>% adolescents and 81.</w:t>
      </w:r>
      <w:r w:rsidRPr="00697242">
        <w:t>3</w:t>
      </w:r>
      <w:r w:rsidRPr="008D784A">
        <w:t xml:space="preserve">% children, with different costs for these </w:t>
      </w:r>
      <w:r>
        <w:t>2</w:t>
      </w:r>
      <w:r w:rsidRPr="008D784A">
        <w:t xml:space="preserve"> age groups</w:t>
      </w:r>
      <w:r w:rsidRPr="00697242">
        <w:t xml:space="preserve">. </w:t>
      </w:r>
      <w:r w:rsidRPr="008D784A">
        <w:t xml:space="preserve">The sensitivity analyses test the </w:t>
      </w:r>
      <w:r>
        <w:t>impact</w:t>
      </w:r>
      <w:r w:rsidRPr="008D784A">
        <w:t xml:space="preserve"> of this assumption. </w:t>
      </w:r>
      <w:r>
        <w:t xml:space="preserve">(The base case in DCAR 1712 assumed 18.5% </w:t>
      </w:r>
      <w:r w:rsidRPr="00710DC7">
        <w:t>adolescents and 81.</w:t>
      </w:r>
      <w:r>
        <w:t>5</w:t>
      </w:r>
      <w:r w:rsidRPr="00710DC7">
        <w:t>% children</w:t>
      </w:r>
      <w:r>
        <w:t>).</w:t>
      </w:r>
    </w:p>
    <w:p w14:paraId="32A5F1E4" w14:textId="77777777" w:rsidR="00DA4C5C" w:rsidRDefault="00DA4C5C" w:rsidP="00DA4C5C">
      <w:pPr>
        <w:pStyle w:val="111Tablefootnoteslast-nostick"/>
      </w:pPr>
      <w:r>
        <w:t xml:space="preserve">b. </w:t>
      </w:r>
      <w:r w:rsidRPr="008D784A">
        <w:t xml:space="preserve">The intervention </w:t>
      </w:r>
      <w:r>
        <w:t>(but not comparator)</w:t>
      </w:r>
      <w:r w:rsidRPr="008D784A">
        <w:t xml:space="preserve"> </w:t>
      </w:r>
      <w:r>
        <w:t>cost</w:t>
      </w:r>
      <w:r w:rsidRPr="008D784A">
        <w:t xml:space="preserve"> changes because the retesting for fail</w:t>
      </w:r>
      <w:r>
        <w:t>ure of initial</w:t>
      </w:r>
      <w:r w:rsidRPr="008D784A">
        <w:t xml:space="preserve"> Level 2 </w:t>
      </w:r>
      <w:r>
        <w:t xml:space="preserve">PSG testing </w:t>
      </w:r>
      <w:r w:rsidRPr="008D784A">
        <w:t>is assumed to be 50% Level 1 and 50% Level 2 studies</w:t>
      </w:r>
      <w:r>
        <w:t xml:space="preserve"> in the intervention group</w:t>
      </w:r>
      <w:r w:rsidRPr="008D784A">
        <w:t>.</w:t>
      </w:r>
    </w:p>
    <w:p w14:paraId="233D8C80" w14:textId="213BEC86" w:rsidR="00DA4C5C" w:rsidRPr="00710DC7" w:rsidRDefault="00DA4C5C" w:rsidP="00DA4C5C">
      <w:pPr>
        <w:pStyle w:val="111Tablefootnoteslast-nostick"/>
      </w:pPr>
      <w:r>
        <w:t>c. Lower estimate calculated from d</w:t>
      </w:r>
      <w:r w:rsidRPr="00837134">
        <w:t>ep</w:t>
      </w:r>
      <w:r>
        <w:t>artmental</w:t>
      </w:r>
      <w:r w:rsidRPr="00837134">
        <w:t xml:space="preserve"> data for MBS claims for paediatric </w:t>
      </w:r>
      <w:r>
        <w:t>Level 1 PSG</w:t>
      </w:r>
      <w:r w:rsidRPr="00837134">
        <w:t xml:space="preserve"> </w:t>
      </w:r>
      <w:r>
        <w:t>(MBS items 12210 and 12213)</w:t>
      </w:r>
      <w:r w:rsidRPr="00837134">
        <w:t xml:space="preserve"> by MM </w:t>
      </w:r>
      <w:r>
        <w:t>category</w:t>
      </w:r>
      <w:r w:rsidRPr="00837134">
        <w:t>, 2018-2024</w:t>
      </w:r>
      <w:r>
        <w:t>.</w:t>
      </w:r>
    </w:p>
    <w:p w14:paraId="0B43C7B8" w14:textId="05DFD472" w:rsidR="00DA4C5C" w:rsidRPr="00710DC7" w:rsidRDefault="00DA4C5C" w:rsidP="00DA4C5C">
      <w:pPr>
        <w:pStyle w:val="111Tablefootnoteslast-nostick"/>
      </w:pPr>
      <w:r>
        <w:t xml:space="preserve">d. Upper estimate of 36% calculated using updated (2022-23) data for admitted patient care from the </w:t>
      </w:r>
      <w:hyperlink r:id="rId24" w:tooltip="Link to Table 6.29: Admissions from public hospital elective surgery waiting lists per 1,000 population, for the 25 most common intended procedures by remoteness area of usual residence, 2022–23" w:history="1">
        <w:r w:rsidRPr="005F658F">
          <w:rPr>
            <w:rStyle w:val="Hyperlink"/>
            <w:color w:val="007BB8"/>
            <w:lang w:val="en-US"/>
          </w:rPr>
          <w:t>Australian Institute of Health and Welfare</w:t>
        </w:r>
      </w:hyperlink>
      <w:r>
        <w:t>.</w:t>
      </w:r>
    </w:p>
    <w:p w14:paraId="4251A0AE" w14:textId="3B5061C6" w:rsidR="00DA4C5C" w:rsidRDefault="00DA4C5C" w:rsidP="00DA4C5C">
      <w:pPr>
        <w:pStyle w:val="111Tablefootnoteslast-nostick"/>
      </w:pPr>
      <w:r>
        <w:t xml:space="preserve">Source: </w:t>
      </w:r>
      <w:r w:rsidR="00CC1150" w:rsidRPr="00D826EB">
        <w:t xml:space="preserve">Table </w:t>
      </w:r>
      <w:r w:rsidR="00B8619F">
        <w:t xml:space="preserve">47 </w:t>
      </w:r>
      <w:r w:rsidR="00CC1150">
        <w:t>of</w:t>
      </w:r>
      <w:r>
        <w:t xml:space="preserve"> DCAR 1712</w:t>
      </w:r>
      <w:r w:rsidR="00CC1150">
        <w:t>.1</w:t>
      </w:r>
      <w:r>
        <w:t>.</w:t>
      </w:r>
    </w:p>
    <w:p w14:paraId="36AC3993" w14:textId="3AE99379" w:rsidR="00860E48" w:rsidRDefault="00860E48" w:rsidP="004105F1">
      <w:pPr>
        <w:pStyle w:val="ExecSumHeading2"/>
        <w:numPr>
          <w:ilvl w:val="0"/>
          <w:numId w:val="28"/>
        </w:numPr>
        <w:ind w:hanging="720"/>
      </w:pPr>
      <w:bookmarkStart w:id="29" w:name="_Toc200550249"/>
      <w:r>
        <w:t>Financial/budgetary impacts</w:t>
      </w:r>
      <w:bookmarkEnd w:id="29"/>
    </w:p>
    <w:p w14:paraId="37CBADA9" w14:textId="5FA8671C" w:rsidR="00016A5D" w:rsidRDefault="000F77B4" w:rsidP="00016A5D">
      <w:pPr>
        <w:pStyle w:val="BodyText"/>
      </w:pPr>
      <w:r>
        <w:t>A market-share approach was taken to estimate the use of paediatric Level 2 PSG in Australia.</w:t>
      </w:r>
      <w:r w:rsidR="00016A5D" w:rsidRPr="00016A5D">
        <w:t xml:space="preserve"> </w:t>
      </w:r>
      <w:r w:rsidR="00016A5D">
        <w:t>However, the large prevalent population could lead to growth in uptake of paediatric sleep studies if clinical pathways and access to services were to change.</w:t>
      </w:r>
    </w:p>
    <w:p w14:paraId="69EFA5DC" w14:textId="0E3426DD" w:rsidR="005F6C65" w:rsidRDefault="005F6C65" w:rsidP="00016A5D">
      <w:pPr>
        <w:pStyle w:val="BodyText"/>
      </w:pPr>
      <w:r>
        <w:t>The market share approach is based on the number of claims for existing Level 1 PSG items.</w:t>
      </w:r>
      <w:r w:rsidR="003E75EB" w:rsidRPr="003E75EB">
        <w:t xml:space="preserve"> </w:t>
      </w:r>
      <w:r w:rsidR="003E75EB">
        <w:t>The proposed service is expected to lead to both the replacement of a proportion of Level 1 PSG</w:t>
      </w:r>
      <w:r w:rsidR="00713484">
        <w:t xml:space="preserve"> </w:t>
      </w:r>
      <w:r w:rsidR="003E75EB">
        <w:t>services</w:t>
      </w:r>
      <w:r w:rsidR="00713484">
        <w:t xml:space="preserve">, </w:t>
      </w:r>
      <w:r w:rsidR="0083336F">
        <w:t>estimated</w:t>
      </w:r>
      <w:r w:rsidR="00713484">
        <w:t xml:space="preserve"> from waitlist data </w:t>
      </w:r>
      <w:r w:rsidR="0083336F">
        <w:t>provided in the application</w:t>
      </w:r>
      <w:r w:rsidR="00713484">
        <w:t xml:space="preserve"> </w:t>
      </w:r>
      <w:r w:rsidR="0083336F">
        <w:t>at 34.5%,</w:t>
      </w:r>
      <w:r w:rsidR="003E75EB">
        <w:t xml:space="preserve"> and the growth in demand for Level 2 PSG services independently of Level 1.</w:t>
      </w:r>
    </w:p>
    <w:p w14:paraId="797D7463" w14:textId="630C36E0" w:rsidR="00EF6005" w:rsidRPr="000A40DC" w:rsidRDefault="00EF6005" w:rsidP="00EF6005">
      <w:r w:rsidRPr="000A40DC">
        <w:t>The financial implications to the MBS resulting from the proposed listing of out-of-laboratory Level 2 PSG services</w:t>
      </w:r>
      <w:r w:rsidR="00764055">
        <w:t xml:space="preserve"> (but based on the Department proposed item descriptors)</w:t>
      </w:r>
      <w:r w:rsidRPr="000A40DC">
        <w:t xml:space="preserve"> are summarised in </w:t>
      </w:r>
      <w:r w:rsidR="00710FC5" w:rsidRPr="00AE317A">
        <w:fldChar w:fldCharType="begin"/>
      </w:r>
      <w:r w:rsidR="00710FC5" w:rsidRPr="00AE317A">
        <w:instrText xml:space="preserve"> REF _Ref198671740 \h </w:instrText>
      </w:r>
      <w:r w:rsidR="00AE317A">
        <w:instrText xml:space="preserve"> \* MERGEFORMAT </w:instrText>
      </w:r>
      <w:r w:rsidR="00710FC5" w:rsidRPr="00AE317A">
        <w:fldChar w:fldCharType="separate"/>
      </w:r>
      <w:r w:rsidR="00BC2CAA">
        <w:t>Table 18</w:t>
      </w:r>
      <w:r w:rsidR="00710FC5" w:rsidRPr="00AE317A">
        <w:fldChar w:fldCharType="end"/>
      </w:r>
      <w:r w:rsidR="00710FC5">
        <w:t xml:space="preserve"> for children and </w:t>
      </w:r>
      <w:r w:rsidR="00710FC5" w:rsidRPr="00AE317A">
        <w:fldChar w:fldCharType="begin"/>
      </w:r>
      <w:r w:rsidR="00710FC5" w:rsidRPr="00AE317A">
        <w:instrText xml:space="preserve"> REF _Ref198671744 \h </w:instrText>
      </w:r>
      <w:r w:rsidR="00AE317A">
        <w:instrText xml:space="preserve"> \* MERGEFORMAT </w:instrText>
      </w:r>
      <w:r w:rsidR="00710FC5" w:rsidRPr="00AE317A">
        <w:fldChar w:fldCharType="separate"/>
      </w:r>
      <w:r w:rsidR="00BC2CAA">
        <w:t xml:space="preserve">Table </w:t>
      </w:r>
      <w:r w:rsidR="00BC2CAA">
        <w:rPr>
          <w:noProof/>
        </w:rPr>
        <w:t>19</w:t>
      </w:r>
      <w:r w:rsidR="00710FC5" w:rsidRPr="00AE317A">
        <w:fldChar w:fldCharType="end"/>
      </w:r>
      <w:r w:rsidR="00710FC5" w:rsidRPr="00AE317A">
        <w:t xml:space="preserve"> for adolescents</w:t>
      </w:r>
      <w:r w:rsidRPr="00AE317A">
        <w:t>.</w:t>
      </w:r>
      <w:r w:rsidRPr="000A40DC">
        <w:t xml:space="preserve"> The net financial impact to the MBS is estimated to be cost</w:t>
      </w:r>
      <w:r w:rsidR="4ACED428">
        <w:t xml:space="preserve"> </w:t>
      </w:r>
      <w:r w:rsidRPr="000A40DC">
        <w:t xml:space="preserve">saving </w:t>
      </w:r>
      <w:r w:rsidR="009C3870" w:rsidRPr="000A40DC">
        <w:t>initially but</w:t>
      </w:r>
      <w:r w:rsidRPr="000A40DC">
        <w:t xml:space="preserve"> </w:t>
      </w:r>
      <w:r w:rsidR="000A40DC" w:rsidRPr="000A40DC">
        <w:t>leads</w:t>
      </w:r>
      <w:r w:rsidRPr="000A40DC">
        <w:t xml:space="preserve"> to additional cost to the MBS </w:t>
      </w:r>
      <w:r w:rsidR="00710FC5">
        <w:t>from the second year</w:t>
      </w:r>
      <w:r w:rsidRPr="000A40DC">
        <w:t xml:space="preserve"> due to the greater growth rate of Level 2 compared to Level 1 services. If the growth rate is the same for Level 1 and Level 2 then the proposed service remains cost saving. The costs are predominately attributable to use of the items for children rather than adolescents.</w:t>
      </w:r>
    </w:p>
    <w:p w14:paraId="0B9D43FC" w14:textId="66A21A4C" w:rsidR="006209F7" w:rsidRDefault="00EF6005" w:rsidP="006209F7">
      <w:pPr>
        <w:pStyle w:val="Caption"/>
      </w:pPr>
      <w:bookmarkStart w:id="30" w:name="_Ref198671740"/>
      <w:r>
        <w:t xml:space="preserve">Table </w:t>
      </w:r>
      <w:r>
        <w:fldChar w:fldCharType="begin"/>
      </w:r>
      <w:r w:rsidRPr="00AE317A">
        <w:instrText xml:space="preserve"> SEQ Table \* ARABIC </w:instrText>
      </w:r>
      <w:r>
        <w:fldChar w:fldCharType="separate"/>
      </w:r>
      <w:r w:rsidR="00BC2CAA">
        <w:rPr>
          <w:noProof/>
        </w:rPr>
        <w:t>18</w:t>
      </w:r>
      <w:r>
        <w:fldChar w:fldCharType="end"/>
      </w:r>
      <w:bookmarkEnd w:id="30"/>
      <w:r w:rsidR="006209F7">
        <w:tab/>
        <w:t xml:space="preserve">Net financial implications </w:t>
      </w:r>
      <w:r w:rsidR="00076D3B">
        <w:t xml:space="preserve">to the MBS </w:t>
      </w:r>
      <w:r w:rsidR="006209F7">
        <w:t>of Level 2 PSG in children</w:t>
      </w:r>
      <w:r w:rsidR="00A85B18">
        <w:t xml:space="preserve"> (3-11 years)</w:t>
      </w:r>
    </w:p>
    <w:tbl>
      <w:tblPr>
        <w:tblStyle w:val="TableGrid"/>
        <w:tblW w:w="0" w:type="auto"/>
        <w:tblLayout w:type="fixed"/>
        <w:tblLook w:val="04A0" w:firstRow="1" w:lastRow="0" w:firstColumn="1" w:lastColumn="0" w:noHBand="0" w:noVBand="1"/>
        <w:tblCaption w:val="Net financial implications to the MBS of out-of-laboratory Level 2 PSG in children"/>
        <w:tblDescription w:val="Table shows the estimated use, costs, and net costs of the proposed MBS item in children, over the first 6 years of listing."/>
      </w:tblPr>
      <w:tblGrid>
        <w:gridCol w:w="2464"/>
        <w:gridCol w:w="1092"/>
        <w:gridCol w:w="1092"/>
        <w:gridCol w:w="1092"/>
        <w:gridCol w:w="1092"/>
        <w:gridCol w:w="1092"/>
        <w:gridCol w:w="1092"/>
      </w:tblGrid>
      <w:tr w:rsidR="00073D6A" w:rsidRPr="001E7B9C" w14:paraId="3EE166F9" w14:textId="77777777" w:rsidTr="00922ED7">
        <w:trPr>
          <w:trHeight w:val="290"/>
          <w:tblHeader/>
        </w:trPr>
        <w:tc>
          <w:tcPr>
            <w:tcW w:w="2464" w:type="dxa"/>
            <w:hideMark/>
          </w:tcPr>
          <w:p w14:paraId="1C4C0EFF" w14:textId="77777777" w:rsidR="00073D6A" w:rsidRPr="001E7B9C" w:rsidRDefault="00073D6A" w:rsidP="00B07546">
            <w:pPr>
              <w:pStyle w:val="TableHeading0"/>
            </w:pPr>
            <w:r w:rsidRPr="001E7B9C">
              <w:t xml:space="preserve">Parameter </w:t>
            </w:r>
          </w:p>
        </w:tc>
        <w:tc>
          <w:tcPr>
            <w:tcW w:w="1092" w:type="dxa"/>
            <w:noWrap/>
            <w:hideMark/>
          </w:tcPr>
          <w:p w14:paraId="2CE805E2" w14:textId="77777777" w:rsidR="00073D6A" w:rsidRPr="001E7B9C" w:rsidRDefault="00073D6A" w:rsidP="00B07546">
            <w:pPr>
              <w:pStyle w:val="TableHeading0"/>
            </w:pPr>
            <w:r w:rsidRPr="001E7B9C">
              <w:t>FY 2025-26</w:t>
            </w:r>
          </w:p>
        </w:tc>
        <w:tc>
          <w:tcPr>
            <w:tcW w:w="1092" w:type="dxa"/>
            <w:noWrap/>
            <w:hideMark/>
          </w:tcPr>
          <w:p w14:paraId="5C36803F" w14:textId="77777777" w:rsidR="00073D6A" w:rsidRPr="001E7B9C" w:rsidRDefault="00073D6A" w:rsidP="00B07546">
            <w:pPr>
              <w:pStyle w:val="TableHeading0"/>
            </w:pPr>
            <w:r w:rsidRPr="001E7B9C">
              <w:t>FY 2026-27</w:t>
            </w:r>
          </w:p>
        </w:tc>
        <w:tc>
          <w:tcPr>
            <w:tcW w:w="1092" w:type="dxa"/>
            <w:noWrap/>
            <w:hideMark/>
          </w:tcPr>
          <w:p w14:paraId="31E2E63A" w14:textId="77777777" w:rsidR="00073D6A" w:rsidRPr="001E7B9C" w:rsidRDefault="00073D6A" w:rsidP="00B07546">
            <w:pPr>
              <w:pStyle w:val="TableHeading0"/>
            </w:pPr>
            <w:r w:rsidRPr="001E7B9C">
              <w:t>FY 2027-28</w:t>
            </w:r>
          </w:p>
        </w:tc>
        <w:tc>
          <w:tcPr>
            <w:tcW w:w="1092" w:type="dxa"/>
            <w:noWrap/>
            <w:hideMark/>
          </w:tcPr>
          <w:p w14:paraId="68A703C7" w14:textId="77777777" w:rsidR="00073D6A" w:rsidRPr="001E7B9C" w:rsidRDefault="00073D6A" w:rsidP="00B07546">
            <w:pPr>
              <w:pStyle w:val="TableHeading0"/>
            </w:pPr>
            <w:r w:rsidRPr="001E7B9C">
              <w:t>FY 2028-29</w:t>
            </w:r>
          </w:p>
        </w:tc>
        <w:tc>
          <w:tcPr>
            <w:tcW w:w="1092" w:type="dxa"/>
            <w:noWrap/>
            <w:hideMark/>
          </w:tcPr>
          <w:p w14:paraId="6A48D8C9" w14:textId="77777777" w:rsidR="00073D6A" w:rsidRPr="001E7B9C" w:rsidRDefault="00073D6A" w:rsidP="00B07546">
            <w:pPr>
              <w:pStyle w:val="TableHeading0"/>
            </w:pPr>
            <w:r w:rsidRPr="001E7B9C">
              <w:t>FY 2029-30</w:t>
            </w:r>
          </w:p>
        </w:tc>
        <w:tc>
          <w:tcPr>
            <w:tcW w:w="1092" w:type="dxa"/>
            <w:noWrap/>
            <w:hideMark/>
          </w:tcPr>
          <w:p w14:paraId="07B17BA7" w14:textId="77777777" w:rsidR="00073D6A" w:rsidRPr="001E7B9C" w:rsidRDefault="00073D6A" w:rsidP="00B07546">
            <w:pPr>
              <w:pStyle w:val="TableHeading0"/>
            </w:pPr>
            <w:r w:rsidRPr="001E7B9C">
              <w:t>FY 2030-31</w:t>
            </w:r>
          </w:p>
        </w:tc>
      </w:tr>
      <w:tr w:rsidR="00073D6A" w:rsidRPr="001E7B9C" w14:paraId="70DC148E" w14:textId="77777777" w:rsidTr="00922ED7">
        <w:trPr>
          <w:trHeight w:val="290"/>
        </w:trPr>
        <w:tc>
          <w:tcPr>
            <w:tcW w:w="2464" w:type="dxa"/>
            <w:hideMark/>
          </w:tcPr>
          <w:p w14:paraId="683825DD" w14:textId="77777777" w:rsidR="00073D6A" w:rsidRPr="001E7B9C" w:rsidRDefault="00073D6A" w:rsidP="001317A8">
            <w:pPr>
              <w:pStyle w:val="TableHeading0"/>
              <w:keepNext/>
            </w:pPr>
            <w:r w:rsidRPr="001E7B9C">
              <w:t>Estimated use and cost of the proposed health technology</w:t>
            </w:r>
          </w:p>
        </w:tc>
        <w:tc>
          <w:tcPr>
            <w:tcW w:w="1092" w:type="dxa"/>
            <w:noWrap/>
            <w:hideMark/>
          </w:tcPr>
          <w:p w14:paraId="4D116D18" w14:textId="77777777" w:rsidR="00073D6A" w:rsidRPr="001E7B9C" w:rsidRDefault="00073D6A" w:rsidP="001317A8">
            <w:pPr>
              <w:pStyle w:val="TableHeading0"/>
              <w:keepNext/>
            </w:pPr>
            <w:r w:rsidRPr="001E7B9C">
              <w:t> </w:t>
            </w:r>
          </w:p>
        </w:tc>
        <w:tc>
          <w:tcPr>
            <w:tcW w:w="1092" w:type="dxa"/>
            <w:noWrap/>
            <w:hideMark/>
          </w:tcPr>
          <w:p w14:paraId="30931B72" w14:textId="77777777" w:rsidR="00073D6A" w:rsidRPr="001E7B9C" w:rsidRDefault="00073D6A" w:rsidP="001317A8">
            <w:pPr>
              <w:pStyle w:val="TableHeading0"/>
              <w:keepNext/>
            </w:pPr>
            <w:r w:rsidRPr="001E7B9C">
              <w:t> </w:t>
            </w:r>
          </w:p>
        </w:tc>
        <w:tc>
          <w:tcPr>
            <w:tcW w:w="1092" w:type="dxa"/>
            <w:noWrap/>
            <w:hideMark/>
          </w:tcPr>
          <w:p w14:paraId="1690A335" w14:textId="77777777" w:rsidR="00073D6A" w:rsidRPr="001E7B9C" w:rsidRDefault="00073D6A" w:rsidP="001317A8">
            <w:pPr>
              <w:pStyle w:val="TableHeading0"/>
              <w:keepNext/>
            </w:pPr>
            <w:r w:rsidRPr="001E7B9C">
              <w:t> </w:t>
            </w:r>
          </w:p>
        </w:tc>
        <w:tc>
          <w:tcPr>
            <w:tcW w:w="1092" w:type="dxa"/>
            <w:noWrap/>
            <w:hideMark/>
          </w:tcPr>
          <w:p w14:paraId="45D1E3F9" w14:textId="77777777" w:rsidR="00073D6A" w:rsidRPr="001E7B9C" w:rsidRDefault="00073D6A" w:rsidP="001317A8">
            <w:pPr>
              <w:pStyle w:val="TableHeading0"/>
              <w:keepNext/>
            </w:pPr>
            <w:r w:rsidRPr="001E7B9C">
              <w:t> </w:t>
            </w:r>
          </w:p>
        </w:tc>
        <w:tc>
          <w:tcPr>
            <w:tcW w:w="1092" w:type="dxa"/>
            <w:noWrap/>
            <w:hideMark/>
          </w:tcPr>
          <w:p w14:paraId="20239862" w14:textId="77777777" w:rsidR="00073D6A" w:rsidRPr="001E7B9C" w:rsidRDefault="00073D6A" w:rsidP="001317A8">
            <w:pPr>
              <w:pStyle w:val="TableHeading0"/>
              <w:keepNext/>
            </w:pPr>
            <w:r w:rsidRPr="001E7B9C">
              <w:t> </w:t>
            </w:r>
          </w:p>
        </w:tc>
        <w:tc>
          <w:tcPr>
            <w:tcW w:w="1092" w:type="dxa"/>
            <w:noWrap/>
            <w:hideMark/>
          </w:tcPr>
          <w:p w14:paraId="1099A1AD" w14:textId="77777777" w:rsidR="00073D6A" w:rsidRPr="001E7B9C" w:rsidRDefault="00073D6A" w:rsidP="001317A8">
            <w:pPr>
              <w:pStyle w:val="TableHeading0"/>
              <w:keepNext/>
            </w:pPr>
            <w:r w:rsidRPr="001E7B9C">
              <w:t> </w:t>
            </w:r>
          </w:p>
        </w:tc>
      </w:tr>
      <w:tr w:rsidR="00073D6A" w:rsidRPr="001E7B9C" w14:paraId="38B4D74E" w14:textId="77777777" w:rsidTr="00922ED7">
        <w:trPr>
          <w:trHeight w:val="290"/>
        </w:trPr>
        <w:tc>
          <w:tcPr>
            <w:tcW w:w="2464" w:type="dxa"/>
            <w:hideMark/>
          </w:tcPr>
          <w:p w14:paraId="460D79F5" w14:textId="568DCF6B" w:rsidR="00073D6A" w:rsidRPr="001E7B9C" w:rsidRDefault="006F318A" w:rsidP="00B07546">
            <w:pPr>
              <w:pStyle w:val="TableText"/>
            </w:pPr>
            <w:r w:rsidRPr="00F43797">
              <w:t xml:space="preserve">Number of proposed Level 2 </w:t>
            </w:r>
            <w:r w:rsidR="00BA5115">
              <w:t>s</w:t>
            </w:r>
            <w:r w:rsidRPr="00F43797">
              <w:t>ervices (metropolitan/regional)</w:t>
            </w:r>
          </w:p>
        </w:tc>
        <w:tc>
          <w:tcPr>
            <w:tcW w:w="1092" w:type="dxa"/>
            <w:noWrap/>
            <w:hideMark/>
          </w:tcPr>
          <w:p w14:paraId="0E0C74EA" w14:textId="195B2AD8" w:rsidR="00073D6A" w:rsidRPr="001E7B9C" w:rsidRDefault="006F318A" w:rsidP="00B07546">
            <w:pPr>
              <w:pStyle w:val="TableText"/>
            </w:pPr>
            <w:r w:rsidRPr="00F43797">
              <w:t>2026</w:t>
            </w:r>
          </w:p>
        </w:tc>
        <w:tc>
          <w:tcPr>
            <w:tcW w:w="1092" w:type="dxa"/>
            <w:noWrap/>
            <w:hideMark/>
          </w:tcPr>
          <w:p w14:paraId="0EEDDE5F" w14:textId="59875451" w:rsidR="00073D6A" w:rsidRPr="001E7B9C" w:rsidRDefault="006F318A" w:rsidP="00B07546">
            <w:pPr>
              <w:pStyle w:val="TableText"/>
            </w:pPr>
            <w:r w:rsidRPr="00F43797">
              <w:t>2330</w:t>
            </w:r>
          </w:p>
        </w:tc>
        <w:tc>
          <w:tcPr>
            <w:tcW w:w="1092" w:type="dxa"/>
            <w:noWrap/>
            <w:hideMark/>
          </w:tcPr>
          <w:p w14:paraId="5678A02D" w14:textId="37BA9BF1" w:rsidR="00073D6A" w:rsidRPr="001E7B9C" w:rsidRDefault="006F318A" w:rsidP="00B07546">
            <w:pPr>
              <w:pStyle w:val="TableText"/>
            </w:pPr>
            <w:r w:rsidRPr="00F43797">
              <w:t>2679</w:t>
            </w:r>
          </w:p>
        </w:tc>
        <w:tc>
          <w:tcPr>
            <w:tcW w:w="1092" w:type="dxa"/>
            <w:noWrap/>
            <w:hideMark/>
          </w:tcPr>
          <w:p w14:paraId="6CA5CAFE" w14:textId="0CFD3157" w:rsidR="00073D6A" w:rsidRPr="001E7B9C" w:rsidRDefault="006F318A" w:rsidP="00B07546">
            <w:pPr>
              <w:pStyle w:val="TableText"/>
            </w:pPr>
            <w:r w:rsidRPr="00F43797">
              <w:t>3081</w:t>
            </w:r>
          </w:p>
        </w:tc>
        <w:tc>
          <w:tcPr>
            <w:tcW w:w="1092" w:type="dxa"/>
            <w:noWrap/>
            <w:hideMark/>
          </w:tcPr>
          <w:p w14:paraId="2F695AA6" w14:textId="685A8057" w:rsidR="00073D6A" w:rsidRPr="001E7B9C" w:rsidRDefault="006F318A" w:rsidP="00B07546">
            <w:pPr>
              <w:pStyle w:val="TableText"/>
            </w:pPr>
            <w:r w:rsidRPr="00F43797">
              <w:t>3543</w:t>
            </w:r>
          </w:p>
        </w:tc>
        <w:tc>
          <w:tcPr>
            <w:tcW w:w="1092" w:type="dxa"/>
            <w:noWrap/>
            <w:hideMark/>
          </w:tcPr>
          <w:p w14:paraId="77C76D31" w14:textId="0BC5B294" w:rsidR="00073D6A" w:rsidRPr="001E7B9C" w:rsidRDefault="006F318A" w:rsidP="00B07546">
            <w:pPr>
              <w:pStyle w:val="TableText"/>
            </w:pPr>
            <w:r w:rsidRPr="00F43797">
              <w:t>4075</w:t>
            </w:r>
          </w:p>
        </w:tc>
      </w:tr>
      <w:tr w:rsidR="00073D6A" w:rsidRPr="001E7B9C" w14:paraId="07104967" w14:textId="77777777" w:rsidTr="00922ED7">
        <w:trPr>
          <w:trHeight w:val="290"/>
        </w:trPr>
        <w:tc>
          <w:tcPr>
            <w:tcW w:w="2464" w:type="dxa"/>
            <w:hideMark/>
          </w:tcPr>
          <w:p w14:paraId="0CB49166" w14:textId="3A609BBA" w:rsidR="00073D6A" w:rsidRPr="001E7B9C" w:rsidRDefault="006F318A" w:rsidP="00B07546">
            <w:pPr>
              <w:pStyle w:val="TableText"/>
            </w:pPr>
            <w:r w:rsidRPr="00F43797">
              <w:t xml:space="preserve">Number of proposed Level 2 </w:t>
            </w:r>
            <w:r w:rsidR="00BA5115">
              <w:t>s</w:t>
            </w:r>
            <w:r w:rsidRPr="00F43797">
              <w:t>ervices (rural</w:t>
            </w:r>
            <w:r w:rsidR="00683E43">
              <w:t>/</w:t>
            </w:r>
            <w:r w:rsidRPr="00F43797">
              <w:t xml:space="preserve"> remote)</w:t>
            </w:r>
          </w:p>
        </w:tc>
        <w:tc>
          <w:tcPr>
            <w:tcW w:w="1092" w:type="dxa"/>
            <w:noWrap/>
            <w:hideMark/>
          </w:tcPr>
          <w:p w14:paraId="063AA32A" w14:textId="2742FEBF" w:rsidR="00073D6A" w:rsidRPr="001E7B9C" w:rsidRDefault="006F318A" w:rsidP="00B07546">
            <w:pPr>
              <w:pStyle w:val="TableText"/>
            </w:pPr>
            <w:r w:rsidRPr="00F43797">
              <w:t>506</w:t>
            </w:r>
          </w:p>
        </w:tc>
        <w:tc>
          <w:tcPr>
            <w:tcW w:w="1092" w:type="dxa"/>
            <w:noWrap/>
            <w:hideMark/>
          </w:tcPr>
          <w:p w14:paraId="12924313" w14:textId="5033A680" w:rsidR="00073D6A" w:rsidRPr="001E7B9C" w:rsidRDefault="006F318A" w:rsidP="00B07546">
            <w:pPr>
              <w:pStyle w:val="TableText"/>
            </w:pPr>
            <w:r w:rsidRPr="00F43797">
              <w:t>582</w:t>
            </w:r>
          </w:p>
        </w:tc>
        <w:tc>
          <w:tcPr>
            <w:tcW w:w="1092" w:type="dxa"/>
            <w:noWrap/>
            <w:hideMark/>
          </w:tcPr>
          <w:p w14:paraId="1023E7F4" w14:textId="6887506B" w:rsidR="00073D6A" w:rsidRPr="001E7B9C" w:rsidRDefault="006F318A" w:rsidP="00B07546">
            <w:pPr>
              <w:pStyle w:val="TableText"/>
            </w:pPr>
            <w:r w:rsidRPr="00F43797">
              <w:t>670</w:t>
            </w:r>
          </w:p>
        </w:tc>
        <w:tc>
          <w:tcPr>
            <w:tcW w:w="1092" w:type="dxa"/>
            <w:noWrap/>
            <w:hideMark/>
          </w:tcPr>
          <w:p w14:paraId="4C862A05" w14:textId="2A25037F" w:rsidR="00073D6A" w:rsidRPr="001E7B9C" w:rsidRDefault="006F318A" w:rsidP="00B07546">
            <w:pPr>
              <w:pStyle w:val="TableText"/>
            </w:pPr>
            <w:r w:rsidRPr="00F43797">
              <w:t>770</w:t>
            </w:r>
          </w:p>
        </w:tc>
        <w:tc>
          <w:tcPr>
            <w:tcW w:w="1092" w:type="dxa"/>
            <w:noWrap/>
            <w:hideMark/>
          </w:tcPr>
          <w:p w14:paraId="5206EC5D" w14:textId="6903E4D1" w:rsidR="00073D6A" w:rsidRPr="001E7B9C" w:rsidRDefault="006F318A" w:rsidP="00B07546">
            <w:pPr>
              <w:pStyle w:val="TableText"/>
            </w:pPr>
            <w:r w:rsidRPr="00F43797">
              <w:t>886</w:t>
            </w:r>
          </w:p>
        </w:tc>
        <w:tc>
          <w:tcPr>
            <w:tcW w:w="1092" w:type="dxa"/>
            <w:noWrap/>
            <w:hideMark/>
          </w:tcPr>
          <w:p w14:paraId="6EA690DC" w14:textId="556E2348" w:rsidR="00073D6A" w:rsidRPr="001E7B9C" w:rsidRDefault="006F318A" w:rsidP="00B07546">
            <w:pPr>
              <w:pStyle w:val="TableText"/>
            </w:pPr>
            <w:r w:rsidRPr="00F43797">
              <w:t>1019</w:t>
            </w:r>
          </w:p>
        </w:tc>
      </w:tr>
      <w:tr w:rsidR="00073D6A" w:rsidRPr="001E7B9C" w14:paraId="17A7305D" w14:textId="77777777" w:rsidTr="00922ED7">
        <w:trPr>
          <w:trHeight w:val="290"/>
        </w:trPr>
        <w:tc>
          <w:tcPr>
            <w:tcW w:w="2464" w:type="dxa"/>
            <w:hideMark/>
          </w:tcPr>
          <w:p w14:paraId="07496729" w14:textId="288E7EC4" w:rsidR="00073D6A" w:rsidRPr="001E7B9C" w:rsidRDefault="00073D6A" w:rsidP="00B07546">
            <w:pPr>
              <w:pStyle w:val="TableText"/>
            </w:pPr>
            <w:r w:rsidRPr="001E7B9C">
              <w:t>Cost to the MBS (metropolitan</w:t>
            </w:r>
            <w:r>
              <w:t>/regional</w:t>
            </w:r>
            <w:r w:rsidRPr="001E7B9C">
              <w:t xml:space="preserve">) </w:t>
            </w:r>
          </w:p>
        </w:tc>
        <w:tc>
          <w:tcPr>
            <w:tcW w:w="1092" w:type="dxa"/>
            <w:noWrap/>
            <w:hideMark/>
          </w:tcPr>
          <w:p w14:paraId="26075043" w14:textId="77777777" w:rsidR="00073D6A" w:rsidRPr="001E7B9C" w:rsidRDefault="00073D6A" w:rsidP="00B07546">
            <w:pPr>
              <w:pStyle w:val="TableText"/>
            </w:pPr>
            <w:r w:rsidRPr="001E7B9C">
              <w:t>$873,089</w:t>
            </w:r>
          </w:p>
        </w:tc>
        <w:tc>
          <w:tcPr>
            <w:tcW w:w="1092" w:type="dxa"/>
            <w:noWrap/>
            <w:hideMark/>
          </w:tcPr>
          <w:p w14:paraId="019ECEF2" w14:textId="77777777" w:rsidR="00073D6A" w:rsidRPr="001E7B9C" w:rsidRDefault="00073D6A" w:rsidP="00B07546">
            <w:pPr>
              <w:pStyle w:val="TableText"/>
            </w:pPr>
            <w:r w:rsidRPr="001E7B9C">
              <w:t>$1,004,053</w:t>
            </w:r>
          </w:p>
        </w:tc>
        <w:tc>
          <w:tcPr>
            <w:tcW w:w="1092" w:type="dxa"/>
            <w:noWrap/>
            <w:hideMark/>
          </w:tcPr>
          <w:p w14:paraId="4475BAA8" w14:textId="77777777" w:rsidR="00073D6A" w:rsidRPr="001E7B9C" w:rsidRDefault="00073D6A" w:rsidP="00B07546">
            <w:pPr>
              <w:pStyle w:val="TableText"/>
            </w:pPr>
            <w:r w:rsidRPr="001E7B9C">
              <w:t>$1,154,661</w:t>
            </w:r>
          </w:p>
        </w:tc>
        <w:tc>
          <w:tcPr>
            <w:tcW w:w="1092" w:type="dxa"/>
            <w:noWrap/>
            <w:hideMark/>
          </w:tcPr>
          <w:p w14:paraId="7386A754" w14:textId="77777777" w:rsidR="00073D6A" w:rsidRPr="001E7B9C" w:rsidRDefault="00073D6A" w:rsidP="00B07546">
            <w:pPr>
              <w:pStyle w:val="TableText"/>
            </w:pPr>
            <w:r w:rsidRPr="001E7B9C">
              <w:t>$1,327,860</w:t>
            </w:r>
          </w:p>
        </w:tc>
        <w:tc>
          <w:tcPr>
            <w:tcW w:w="1092" w:type="dxa"/>
            <w:noWrap/>
            <w:hideMark/>
          </w:tcPr>
          <w:p w14:paraId="0FCE4731" w14:textId="77777777" w:rsidR="00073D6A" w:rsidRPr="001E7B9C" w:rsidRDefault="00073D6A" w:rsidP="00B07546">
            <w:pPr>
              <w:pStyle w:val="TableText"/>
            </w:pPr>
            <w:r w:rsidRPr="001E7B9C">
              <w:t>$1,527,039</w:t>
            </w:r>
          </w:p>
        </w:tc>
        <w:tc>
          <w:tcPr>
            <w:tcW w:w="1092" w:type="dxa"/>
            <w:noWrap/>
            <w:hideMark/>
          </w:tcPr>
          <w:p w14:paraId="778DD812" w14:textId="77777777" w:rsidR="00073D6A" w:rsidRPr="001E7B9C" w:rsidRDefault="00073D6A" w:rsidP="00B07546">
            <w:pPr>
              <w:pStyle w:val="TableText"/>
            </w:pPr>
            <w:r w:rsidRPr="001E7B9C">
              <w:t>$1,756,094</w:t>
            </w:r>
          </w:p>
        </w:tc>
      </w:tr>
      <w:tr w:rsidR="00073D6A" w:rsidRPr="001E7B9C" w14:paraId="71A1A299" w14:textId="77777777" w:rsidTr="00922ED7">
        <w:trPr>
          <w:trHeight w:val="290"/>
        </w:trPr>
        <w:tc>
          <w:tcPr>
            <w:tcW w:w="2464" w:type="dxa"/>
            <w:hideMark/>
          </w:tcPr>
          <w:p w14:paraId="03F72326" w14:textId="37847588" w:rsidR="00073D6A" w:rsidRPr="001E7B9C" w:rsidRDefault="00073D6A" w:rsidP="00B07546">
            <w:pPr>
              <w:pStyle w:val="TableText"/>
            </w:pPr>
            <w:r w:rsidRPr="001E7B9C">
              <w:t>Cost to the MBS (rural</w:t>
            </w:r>
            <w:r>
              <w:t>/</w:t>
            </w:r>
            <w:r w:rsidR="002E4F74">
              <w:t xml:space="preserve"> </w:t>
            </w:r>
            <w:r w:rsidRPr="001E7B9C">
              <w:t xml:space="preserve">remote) </w:t>
            </w:r>
          </w:p>
        </w:tc>
        <w:tc>
          <w:tcPr>
            <w:tcW w:w="1092" w:type="dxa"/>
            <w:noWrap/>
            <w:hideMark/>
          </w:tcPr>
          <w:p w14:paraId="3B0C2798" w14:textId="7D4C5692" w:rsidR="00073D6A" w:rsidRPr="001E7B9C" w:rsidRDefault="003B19F8" w:rsidP="00B07546">
            <w:pPr>
              <w:pStyle w:val="TableText"/>
            </w:pPr>
            <w:r w:rsidRPr="0069456E">
              <w:t>$267,782</w:t>
            </w:r>
          </w:p>
        </w:tc>
        <w:tc>
          <w:tcPr>
            <w:tcW w:w="1092" w:type="dxa"/>
            <w:noWrap/>
            <w:hideMark/>
          </w:tcPr>
          <w:p w14:paraId="5C57D44C" w14:textId="74A221F0" w:rsidR="00073D6A" w:rsidRPr="001E7B9C" w:rsidRDefault="003B19F8" w:rsidP="00B07546">
            <w:pPr>
              <w:pStyle w:val="TableText"/>
            </w:pPr>
            <w:r w:rsidRPr="0069456E">
              <w:t>$307,949</w:t>
            </w:r>
          </w:p>
        </w:tc>
        <w:tc>
          <w:tcPr>
            <w:tcW w:w="1092" w:type="dxa"/>
            <w:noWrap/>
            <w:hideMark/>
          </w:tcPr>
          <w:p w14:paraId="30785EE6" w14:textId="0AFCDA9E" w:rsidR="00073D6A" w:rsidRPr="001E7B9C" w:rsidRDefault="003B19F8" w:rsidP="00B07546">
            <w:pPr>
              <w:pStyle w:val="TableText"/>
            </w:pPr>
            <w:r w:rsidRPr="0069456E">
              <w:t>$354,141</w:t>
            </w:r>
          </w:p>
        </w:tc>
        <w:tc>
          <w:tcPr>
            <w:tcW w:w="1092" w:type="dxa"/>
            <w:noWrap/>
            <w:hideMark/>
          </w:tcPr>
          <w:p w14:paraId="14DD57A1" w14:textId="215B9E91" w:rsidR="00073D6A" w:rsidRPr="001E7B9C" w:rsidRDefault="003B19F8" w:rsidP="00B07546">
            <w:pPr>
              <w:pStyle w:val="TableText"/>
            </w:pPr>
            <w:r w:rsidRPr="0069456E">
              <w:t>$407,263</w:t>
            </w:r>
          </w:p>
        </w:tc>
        <w:tc>
          <w:tcPr>
            <w:tcW w:w="1092" w:type="dxa"/>
            <w:noWrap/>
            <w:hideMark/>
          </w:tcPr>
          <w:p w14:paraId="0A776633" w14:textId="52DED8DF" w:rsidR="00073D6A" w:rsidRPr="001E7B9C" w:rsidRDefault="003B19F8" w:rsidP="00B07546">
            <w:pPr>
              <w:pStyle w:val="TableText"/>
            </w:pPr>
            <w:r w:rsidRPr="0069456E">
              <w:t>$468,352</w:t>
            </w:r>
          </w:p>
        </w:tc>
        <w:tc>
          <w:tcPr>
            <w:tcW w:w="1092" w:type="dxa"/>
            <w:noWrap/>
            <w:hideMark/>
          </w:tcPr>
          <w:p w14:paraId="21987A89" w14:textId="4A32C5B1" w:rsidR="00073D6A" w:rsidRPr="001E7B9C" w:rsidRDefault="003B19F8" w:rsidP="00B07546">
            <w:pPr>
              <w:pStyle w:val="TableText"/>
            </w:pPr>
            <w:r w:rsidRPr="0069456E">
              <w:t>$538,605</w:t>
            </w:r>
          </w:p>
        </w:tc>
      </w:tr>
      <w:tr w:rsidR="00073D6A" w:rsidRPr="001E7B9C" w14:paraId="75C66DDE" w14:textId="77777777" w:rsidTr="00922ED7">
        <w:trPr>
          <w:trHeight w:val="290"/>
        </w:trPr>
        <w:tc>
          <w:tcPr>
            <w:tcW w:w="2464" w:type="dxa"/>
            <w:hideMark/>
          </w:tcPr>
          <w:p w14:paraId="549504DA" w14:textId="77777777" w:rsidR="00073D6A" w:rsidRPr="001E7B9C" w:rsidRDefault="00073D6A" w:rsidP="00B07546">
            <w:pPr>
              <w:pStyle w:val="TableHeading0"/>
            </w:pPr>
            <w:r w:rsidRPr="001E7B9C">
              <w:t>Change in use and cost of other health technologies</w:t>
            </w:r>
          </w:p>
        </w:tc>
        <w:tc>
          <w:tcPr>
            <w:tcW w:w="1092" w:type="dxa"/>
            <w:noWrap/>
            <w:hideMark/>
          </w:tcPr>
          <w:p w14:paraId="73E80339" w14:textId="77777777" w:rsidR="00073D6A" w:rsidRPr="001E7B9C" w:rsidRDefault="00073D6A" w:rsidP="00B07546">
            <w:pPr>
              <w:pStyle w:val="TableHeading0"/>
            </w:pPr>
            <w:r w:rsidRPr="001E7B9C">
              <w:t> </w:t>
            </w:r>
          </w:p>
        </w:tc>
        <w:tc>
          <w:tcPr>
            <w:tcW w:w="1092" w:type="dxa"/>
            <w:noWrap/>
            <w:hideMark/>
          </w:tcPr>
          <w:p w14:paraId="26D08E5B" w14:textId="77777777" w:rsidR="00073D6A" w:rsidRPr="001E7B9C" w:rsidRDefault="00073D6A" w:rsidP="00B07546">
            <w:pPr>
              <w:pStyle w:val="TableHeading0"/>
            </w:pPr>
            <w:r w:rsidRPr="001E7B9C">
              <w:t> </w:t>
            </w:r>
          </w:p>
        </w:tc>
        <w:tc>
          <w:tcPr>
            <w:tcW w:w="1092" w:type="dxa"/>
            <w:noWrap/>
            <w:hideMark/>
          </w:tcPr>
          <w:p w14:paraId="29F1FB39" w14:textId="77777777" w:rsidR="00073D6A" w:rsidRPr="001E7B9C" w:rsidRDefault="00073D6A" w:rsidP="00B07546">
            <w:pPr>
              <w:pStyle w:val="TableHeading0"/>
            </w:pPr>
            <w:r w:rsidRPr="001E7B9C">
              <w:t> </w:t>
            </w:r>
          </w:p>
        </w:tc>
        <w:tc>
          <w:tcPr>
            <w:tcW w:w="1092" w:type="dxa"/>
            <w:noWrap/>
            <w:hideMark/>
          </w:tcPr>
          <w:p w14:paraId="433F7C18" w14:textId="77777777" w:rsidR="00073D6A" w:rsidRPr="001E7B9C" w:rsidRDefault="00073D6A" w:rsidP="00B07546">
            <w:pPr>
              <w:pStyle w:val="TableHeading0"/>
            </w:pPr>
            <w:r w:rsidRPr="001E7B9C">
              <w:t> </w:t>
            </w:r>
          </w:p>
        </w:tc>
        <w:tc>
          <w:tcPr>
            <w:tcW w:w="1092" w:type="dxa"/>
            <w:noWrap/>
            <w:hideMark/>
          </w:tcPr>
          <w:p w14:paraId="75887C02" w14:textId="77777777" w:rsidR="00073D6A" w:rsidRPr="001E7B9C" w:rsidRDefault="00073D6A" w:rsidP="00B07546">
            <w:pPr>
              <w:pStyle w:val="TableHeading0"/>
            </w:pPr>
            <w:r w:rsidRPr="001E7B9C">
              <w:t> </w:t>
            </w:r>
          </w:p>
        </w:tc>
        <w:tc>
          <w:tcPr>
            <w:tcW w:w="1092" w:type="dxa"/>
            <w:noWrap/>
            <w:hideMark/>
          </w:tcPr>
          <w:p w14:paraId="100A4A05" w14:textId="77777777" w:rsidR="00073D6A" w:rsidRPr="001E7B9C" w:rsidRDefault="00073D6A" w:rsidP="00B07546">
            <w:pPr>
              <w:pStyle w:val="TableHeading0"/>
            </w:pPr>
            <w:r w:rsidRPr="001E7B9C">
              <w:t> </w:t>
            </w:r>
          </w:p>
        </w:tc>
      </w:tr>
      <w:tr w:rsidR="00073D6A" w:rsidRPr="001E7B9C" w14:paraId="41009E97" w14:textId="77777777" w:rsidTr="00922ED7">
        <w:trPr>
          <w:trHeight w:val="290"/>
        </w:trPr>
        <w:tc>
          <w:tcPr>
            <w:tcW w:w="2464" w:type="dxa"/>
            <w:hideMark/>
          </w:tcPr>
          <w:p w14:paraId="5871C57F" w14:textId="77777777" w:rsidR="00073D6A" w:rsidRPr="001E7B9C" w:rsidRDefault="00073D6A" w:rsidP="00B07546">
            <w:pPr>
              <w:pStyle w:val="TableText"/>
            </w:pPr>
            <w:r w:rsidRPr="001E7B9C">
              <w:t>Substitution of Level 1 services</w:t>
            </w:r>
          </w:p>
        </w:tc>
        <w:tc>
          <w:tcPr>
            <w:tcW w:w="1092" w:type="dxa"/>
            <w:noWrap/>
            <w:hideMark/>
          </w:tcPr>
          <w:p w14:paraId="1FB2900D" w14:textId="77777777" w:rsidR="00073D6A" w:rsidRPr="001E7B9C" w:rsidRDefault="00073D6A" w:rsidP="00B07546">
            <w:pPr>
              <w:pStyle w:val="TableText"/>
            </w:pPr>
            <w:r w:rsidRPr="001E7B9C">
              <w:t>-2,279</w:t>
            </w:r>
          </w:p>
        </w:tc>
        <w:tc>
          <w:tcPr>
            <w:tcW w:w="1092" w:type="dxa"/>
            <w:noWrap/>
            <w:hideMark/>
          </w:tcPr>
          <w:p w14:paraId="204D0051" w14:textId="77777777" w:rsidR="00073D6A" w:rsidRPr="001E7B9C" w:rsidRDefault="00073D6A" w:rsidP="00B07546">
            <w:pPr>
              <w:pStyle w:val="TableText"/>
            </w:pPr>
            <w:r w:rsidRPr="001E7B9C">
              <w:t>-2,393</w:t>
            </w:r>
          </w:p>
        </w:tc>
        <w:tc>
          <w:tcPr>
            <w:tcW w:w="1092" w:type="dxa"/>
            <w:noWrap/>
            <w:hideMark/>
          </w:tcPr>
          <w:p w14:paraId="4511E2BD" w14:textId="77777777" w:rsidR="00073D6A" w:rsidRPr="001E7B9C" w:rsidRDefault="00073D6A" w:rsidP="00B07546">
            <w:pPr>
              <w:pStyle w:val="TableText"/>
            </w:pPr>
            <w:r w:rsidRPr="001E7B9C">
              <w:t>-2,513</w:t>
            </w:r>
          </w:p>
        </w:tc>
        <w:tc>
          <w:tcPr>
            <w:tcW w:w="1092" w:type="dxa"/>
            <w:noWrap/>
            <w:hideMark/>
          </w:tcPr>
          <w:p w14:paraId="5A345928" w14:textId="77777777" w:rsidR="00073D6A" w:rsidRPr="001E7B9C" w:rsidRDefault="00073D6A" w:rsidP="00B07546">
            <w:pPr>
              <w:pStyle w:val="TableText"/>
            </w:pPr>
            <w:r w:rsidRPr="001E7B9C">
              <w:t>-2,638</w:t>
            </w:r>
          </w:p>
        </w:tc>
        <w:tc>
          <w:tcPr>
            <w:tcW w:w="1092" w:type="dxa"/>
            <w:noWrap/>
            <w:hideMark/>
          </w:tcPr>
          <w:p w14:paraId="254D2DF9" w14:textId="77777777" w:rsidR="00073D6A" w:rsidRPr="001E7B9C" w:rsidRDefault="00073D6A" w:rsidP="00B07546">
            <w:pPr>
              <w:pStyle w:val="TableText"/>
            </w:pPr>
            <w:r w:rsidRPr="001E7B9C">
              <w:t>-2,770</w:t>
            </w:r>
          </w:p>
        </w:tc>
        <w:tc>
          <w:tcPr>
            <w:tcW w:w="1092" w:type="dxa"/>
            <w:noWrap/>
            <w:hideMark/>
          </w:tcPr>
          <w:p w14:paraId="1CE96627" w14:textId="77777777" w:rsidR="00073D6A" w:rsidRPr="001E7B9C" w:rsidRDefault="00073D6A" w:rsidP="00B07546">
            <w:pPr>
              <w:pStyle w:val="TableText"/>
            </w:pPr>
            <w:r w:rsidRPr="001E7B9C">
              <w:t>-2,909</w:t>
            </w:r>
          </w:p>
        </w:tc>
      </w:tr>
      <w:tr w:rsidR="00073D6A" w:rsidRPr="001E7B9C" w14:paraId="2F369B76" w14:textId="77777777" w:rsidTr="00922ED7">
        <w:trPr>
          <w:trHeight w:val="290"/>
        </w:trPr>
        <w:tc>
          <w:tcPr>
            <w:tcW w:w="2464" w:type="dxa"/>
            <w:hideMark/>
          </w:tcPr>
          <w:p w14:paraId="066B73AA" w14:textId="1AC75FB9" w:rsidR="00073D6A" w:rsidRPr="001E7B9C" w:rsidRDefault="007B256D" w:rsidP="00B07546">
            <w:pPr>
              <w:pStyle w:val="TableText"/>
            </w:pPr>
            <w:r>
              <w:t>Saving</w:t>
            </w:r>
            <w:r w:rsidR="00073D6A" w:rsidRPr="001E7B9C">
              <w:t xml:space="preserve"> to the MBS </w:t>
            </w:r>
          </w:p>
        </w:tc>
        <w:tc>
          <w:tcPr>
            <w:tcW w:w="1092" w:type="dxa"/>
            <w:noWrap/>
            <w:hideMark/>
          </w:tcPr>
          <w:p w14:paraId="6340F0EF" w14:textId="77777777" w:rsidR="00073D6A" w:rsidRPr="001E7B9C" w:rsidRDefault="00073D6A" w:rsidP="00B07546">
            <w:pPr>
              <w:pStyle w:val="TableText"/>
            </w:pPr>
            <w:r w:rsidRPr="001E7B9C">
              <w:t xml:space="preserve">-$1,457,965 </w:t>
            </w:r>
          </w:p>
        </w:tc>
        <w:tc>
          <w:tcPr>
            <w:tcW w:w="1092" w:type="dxa"/>
            <w:noWrap/>
            <w:hideMark/>
          </w:tcPr>
          <w:p w14:paraId="4D67F929" w14:textId="77777777" w:rsidR="00073D6A" w:rsidRPr="001E7B9C" w:rsidRDefault="00073D6A" w:rsidP="00B07546">
            <w:pPr>
              <w:pStyle w:val="TableText"/>
            </w:pPr>
            <w:r w:rsidRPr="001E7B9C">
              <w:t xml:space="preserve">-$1,530,863 </w:t>
            </w:r>
          </w:p>
        </w:tc>
        <w:tc>
          <w:tcPr>
            <w:tcW w:w="1092" w:type="dxa"/>
            <w:noWrap/>
            <w:hideMark/>
          </w:tcPr>
          <w:p w14:paraId="28CE68CC" w14:textId="77777777" w:rsidR="00073D6A" w:rsidRPr="001E7B9C" w:rsidRDefault="00073D6A" w:rsidP="00B07546">
            <w:pPr>
              <w:pStyle w:val="TableText"/>
            </w:pPr>
            <w:r w:rsidRPr="001E7B9C">
              <w:t xml:space="preserve">-$1,607,406 </w:t>
            </w:r>
          </w:p>
        </w:tc>
        <w:tc>
          <w:tcPr>
            <w:tcW w:w="1092" w:type="dxa"/>
            <w:noWrap/>
            <w:hideMark/>
          </w:tcPr>
          <w:p w14:paraId="119717DA" w14:textId="77777777" w:rsidR="00073D6A" w:rsidRPr="001E7B9C" w:rsidRDefault="00073D6A" w:rsidP="00B07546">
            <w:pPr>
              <w:pStyle w:val="TableText"/>
            </w:pPr>
            <w:r w:rsidRPr="001E7B9C">
              <w:t xml:space="preserve">-$1,687,777 </w:t>
            </w:r>
          </w:p>
        </w:tc>
        <w:tc>
          <w:tcPr>
            <w:tcW w:w="1092" w:type="dxa"/>
            <w:noWrap/>
            <w:hideMark/>
          </w:tcPr>
          <w:p w14:paraId="6C7AD372" w14:textId="77777777" w:rsidR="00073D6A" w:rsidRPr="001E7B9C" w:rsidRDefault="00073D6A" w:rsidP="00B07546">
            <w:pPr>
              <w:pStyle w:val="TableText"/>
            </w:pPr>
            <w:r w:rsidRPr="001E7B9C">
              <w:t xml:space="preserve">-$1,772,165 </w:t>
            </w:r>
          </w:p>
        </w:tc>
        <w:tc>
          <w:tcPr>
            <w:tcW w:w="1092" w:type="dxa"/>
            <w:noWrap/>
            <w:hideMark/>
          </w:tcPr>
          <w:p w14:paraId="3F0EA0AB" w14:textId="77777777" w:rsidR="00073D6A" w:rsidRPr="001E7B9C" w:rsidRDefault="00073D6A" w:rsidP="00B07546">
            <w:pPr>
              <w:pStyle w:val="TableText"/>
            </w:pPr>
            <w:r w:rsidRPr="001E7B9C">
              <w:t xml:space="preserve">-$1,860,774 </w:t>
            </w:r>
          </w:p>
        </w:tc>
      </w:tr>
      <w:tr w:rsidR="00073D6A" w:rsidRPr="001E7B9C" w14:paraId="5A794808" w14:textId="77777777" w:rsidTr="00922ED7">
        <w:trPr>
          <w:trHeight w:val="290"/>
        </w:trPr>
        <w:tc>
          <w:tcPr>
            <w:tcW w:w="2464" w:type="dxa"/>
            <w:hideMark/>
          </w:tcPr>
          <w:p w14:paraId="5CF6C173" w14:textId="55D9BF8F" w:rsidR="00073D6A" w:rsidRPr="001E7B9C" w:rsidRDefault="00073D6A" w:rsidP="00B07546">
            <w:pPr>
              <w:pStyle w:val="TableHeading0"/>
            </w:pPr>
            <w:r w:rsidRPr="001E7B9C">
              <w:t>Additional testing due to failed Level 2 tests</w:t>
            </w:r>
            <w:r w:rsidR="006209F7">
              <w:rPr>
                <w:vertAlign w:val="superscript"/>
                <w:lang w:eastAsia="en-AU"/>
              </w:rPr>
              <w:t xml:space="preserve"> a</w:t>
            </w:r>
          </w:p>
        </w:tc>
        <w:tc>
          <w:tcPr>
            <w:tcW w:w="1092" w:type="dxa"/>
            <w:noWrap/>
            <w:hideMark/>
          </w:tcPr>
          <w:p w14:paraId="016852D7" w14:textId="77777777" w:rsidR="00073D6A" w:rsidRPr="001E7B9C" w:rsidRDefault="00073D6A" w:rsidP="00B07546">
            <w:pPr>
              <w:pStyle w:val="TableHeading0"/>
            </w:pPr>
            <w:r w:rsidRPr="001E7B9C">
              <w:t> </w:t>
            </w:r>
          </w:p>
        </w:tc>
        <w:tc>
          <w:tcPr>
            <w:tcW w:w="1092" w:type="dxa"/>
            <w:noWrap/>
            <w:hideMark/>
          </w:tcPr>
          <w:p w14:paraId="1A3EB176" w14:textId="77777777" w:rsidR="00073D6A" w:rsidRPr="001E7B9C" w:rsidRDefault="00073D6A" w:rsidP="00B07546">
            <w:pPr>
              <w:pStyle w:val="TableHeading0"/>
            </w:pPr>
            <w:r w:rsidRPr="001E7B9C">
              <w:t> </w:t>
            </w:r>
          </w:p>
        </w:tc>
        <w:tc>
          <w:tcPr>
            <w:tcW w:w="1092" w:type="dxa"/>
            <w:noWrap/>
            <w:hideMark/>
          </w:tcPr>
          <w:p w14:paraId="722ACDE9" w14:textId="77777777" w:rsidR="00073D6A" w:rsidRPr="001E7B9C" w:rsidRDefault="00073D6A" w:rsidP="00B07546">
            <w:pPr>
              <w:pStyle w:val="TableHeading0"/>
            </w:pPr>
            <w:r w:rsidRPr="001E7B9C">
              <w:t> </w:t>
            </w:r>
          </w:p>
        </w:tc>
        <w:tc>
          <w:tcPr>
            <w:tcW w:w="1092" w:type="dxa"/>
            <w:noWrap/>
            <w:hideMark/>
          </w:tcPr>
          <w:p w14:paraId="6F2A6B60" w14:textId="77777777" w:rsidR="00073D6A" w:rsidRPr="001E7B9C" w:rsidRDefault="00073D6A" w:rsidP="00B07546">
            <w:pPr>
              <w:pStyle w:val="TableHeading0"/>
            </w:pPr>
            <w:r w:rsidRPr="001E7B9C">
              <w:t> </w:t>
            </w:r>
          </w:p>
        </w:tc>
        <w:tc>
          <w:tcPr>
            <w:tcW w:w="1092" w:type="dxa"/>
            <w:noWrap/>
            <w:hideMark/>
          </w:tcPr>
          <w:p w14:paraId="4966308B" w14:textId="77777777" w:rsidR="00073D6A" w:rsidRPr="001E7B9C" w:rsidRDefault="00073D6A" w:rsidP="00B07546">
            <w:pPr>
              <w:pStyle w:val="TableHeading0"/>
            </w:pPr>
            <w:r w:rsidRPr="001E7B9C">
              <w:t> </w:t>
            </w:r>
          </w:p>
        </w:tc>
        <w:tc>
          <w:tcPr>
            <w:tcW w:w="1092" w:type="dxa"/>
            <w:noWrap/>
            <w:hideMark/>
          </w:tcPr>
          <w:p w14:paraId="70612946" w14:textId="77777777" w:rsidR="00073D6A" w:rsidRPr="001E7B9C" w:rsidRDefault="00073D6A" w:rsidP="00B07546">
            <w:pPr>
              <w:pStyle w:val="TableHeading0"/>
            </w:pPr>
            <w:r w:rsidRPr="001E7B9C">
              <w:t> </w:t>
            </w:r>
          </w:p>
        </w:tc>
      </w:tr>
      <w:tr w:rsidR="00073D6A" w:rsidRPr="001E7B9C" w14:paraId="5E2CC1C8" w14:textId="77777777" w:rsidTr="00922ED7">
        <w:trPr>
          <w:trHeight w:val="290"/>
        </w:trPr>
        <w:tc>
          <w:tcPr>
            <w:tcW w:w="2464" w:type="dxa"/>
            <w:hideMark/>
          </w:tcPr>
          <w:p w14:paraId="79CD406E" w14:textId="60AAAFDB" w:rsidR="00073D6A" w:rsidRPr="001E7B9C" w:rsidRDefault="00073D6A" w:rsidP="00B07546">
            <w:pPr>
              <w:pStyle w:val="TableText"/>
            </w:pPr>
            <w:r w:rsidRPr="001E7B9C">
              <w:t xml:space="preserve">Number of </w:t>
            </w:r>
            <w:r w:rsidR="007B5AD8">
              <w:t xml:space="preserve">first </w:t>
            </w:r>
            <w:r w:rsidRPr="001E7B9C">
              <w:t xml:space="preserve">test failures </w:t>
            </w:r>
          </w:p>
        </w:tc>
        <w:tc>
          <w:tcPr>
            <w:tcW w:w="1092" w:type="dxa"/>
            <w:noWrap/>
            <w:hideMark/>
          </w:tcPr>
          <w:p w14:paraId="522DC0E2" w14:textId="77777777" w:rsidR="00073D6A" w:rsidRPr="001E7B9C" w:rsidRDefault="00073D6A" w:rsidP="00B07546">
            <w:pPr>
              <w:pStyle w:val="TableText"/>
            </w:pPr>
            <w:r w:rsidRPr="003C5879">
              <w:t>253</w:t>
            </w:r>
          </w:p>
        </w:tc>
        <w:tc>
          <w:tcPr>
            <w:tcW w:w="1092" w:type="dxa"/>
            <w:noWrap/>
            <w:hideMark/>
          </w:tcPr>
          <w:p w14:paraId="404D80EF" w14:textId="77777777" w:rsidR="00073D6A" w:rsidRPr="001E7B9C" w:rsidRDefault="00073D6A" w:rsidP="00B07546">
            <w:pPr>
              <w:pStyle w:val="TableText"/>
            </w:pPr>
            <w:r w:rsidRPr="003C5879">
              <w:t>291</w:t>
            </w:r>
          </w:p>
        </w:tc>
        <w:tc>
          <w:tcPr>
            <w:tcW w:w="1092" w:type="dxa"/>
            <w:noWrap/>
            <w:hideMark/>
          </w:tcPr>
          <w:p w14:paraId="78581AB3" w14:textId="77777777" w:rsidR="00073D6A" w:rsidRPr="001E7B9C" w:rsidRDefault="00073D6A" w:rsidP="00B07546">
            <w:pPr>
              <w:pStyle w:val="TableText"/>
            </w:pPr>
            <w:r w:rsidRPr="003C5879">
              <w:t>335</w:t>
            </w:r>
          </w:p>
        </w:tc>
        <w:tc>
          <w:tcPr>
            <w:tcW w:w="1092" w:type="dxa"/>
            <w:noWrap/>
            <w:hideMark/>
          </w:tcPr>
          <w:p w14:paraId="670548F9" w14:textId="77777777" w:rsidR="00073D6A" w:rsidRPr="001E7B9C" w:rsidRDefault="00073D6A" w:rsidP="00B07546">
            <w:pPr>
              <w:pStyle w:val="TableText"/>
            </w:pPr>
            <w:r w:rsidRPr="003C5879">
              <w:t>385</w:t>
            </w:r>
          </w:p>
        </w:tc>
        <w:tc>
          <w:tcPr>
            <w:tcW w:w="1092" w:type="dxa"/>
            <w:noWrap/>
            <w:hideMark/>
          </w:tcPr>
          <w:p w14:paraId="50CD73B7" w14:textId="77777777" w:rsidR="00073D6A" w:rsidRPr="001E7B9C" w:rsidRDefault="00073D6A" w:rsidP="00B07546">
            <w:pPr>
              <w:pStyle w:val="TableText"/>
            </w:pPr>
            <w:r w:rsidRPr="003C5879">
              <w:t>443</w:t>
            </w:r>
          </w:p>
        </w:tc>
        <w:tc>
          <w:tcPr>
            <w:tcW w:w="1092" w:type="dxa"/>
            <w:noWrap/>
            <w:hideMark/>
          </w:tcPr>
          <w:p w14:paraId="74DD0599" w14:textId="77777777" w:rsidR="00073D6A" w:rsidRPr="001E7B9C" w:rsidRDefault="00073D6A" w:rsidP="00B07546">
            <w:pPr>
              <w:pStyle w:val="TableText"/>
            </w:pPr>
            <w:r w:rsidRPr="003C5879">
              <w:t>509</w:t>
            </w:r>
          </w:p>
        </w:tc>
      </w:tr>
      <w:tr w:rsidR="00073D6A" w:rsidRPr="001E7B9C" w14:paraId="0B3941F2" w14:textId="77777777" w:rsidTr="00922ED7">
        <w:trPr>
          <w:trHeight w:val="290"/>
        </w:trPr>
        <w:tc>
          <w:tcPr>
            <w:tcW w:w="2464" w:type="dxa"/>
            <w:hideMark/>
          </w:tcPr>
          <w:p w14:paraId="3CAA8FBB" w14:textId="0F2946DE" w:rsidR="00073D6A" w:rsidRPr="001E7B9C" w:rsidRDefault="00073D6A" w:rsidP="00B07546">
            <w:pPr>
              <w:pStyle w:val="TableText"/>
            </w:pPr>
            <w:r w:rsidRPr="001E7B9C">
              <w:t xml:space="preserve">Number of second test failures </w:t>
            </w:r>
          </w:p>
        </w:tc>
        <w:tc>
          <w:tcPr>
            <w:tcW w:w="1092" w:type="dxa"/>
            <w:noWrap/>
            <w:hideMark/>
          </w:tcPr>
          <w:p w14:paraId="7658DD42" w14:textId="5D95AC73" w:rsidR="00073D6A" w:rsidRPr="001E7B9C" w:rsidRDefault="004816AC" w:rsidP="00B07546">
            <w:pPr>
              <w:pStyle w:val="TableText"/>
            </w:pPr>
            <w:r w:rsidRPr="00C31130">
              <w:t>8</w:t>
            </w:r>
          </w:p>
        </w:tc>
        <w:tc>
          <w:tcPr>
            <w:tcW w:w="1092" w:type="dxa"/>
            <w:noWrap/>
            <w:hideMark/>
          </w:tcPr>
          <w:p w14:paraId="4A2D357F" w14:textId="5205A566" w:rsidR="00073D6A" w:rsidRPr="001E7B9C" w:rsidRDefault="004816AC" w:rsidP="00B07546">
            <w:pPr>
              <w:pStyle w:val="TableText"/>
            </w:pPr>
            <w:r w:rsidRPr="00C31130">
              <w:t>9</w:t>
            </w:r>
          </w:p>
        </w:tc>
        <w:tc>
          <w:tcPr>
            <w:tcW w:w="1092" w:type="dxa"/>
            <w:noWrap/>
            <w:hideMark/>
          </w:tcPr>
          <w:p w14:paraId="436A212D" w14:textId="3DA709EE" w:rsidR="00073D6A" w:rsidRPr="001E7B9C" w:rsidRDefault="004816AC" w:rsidP="00B07546">
            <w:pPr>
              <w:pStyle w:val="TableText"/>
            </w:pPr>
            <w:r w:rsidRPr="00C31130">
              <w:t>10</w:t>
            </w:r>
          </w:p>
        </w:tc>
        <w:tc>
          <w:tcPr>
            <w:tcW w:w="1092" w:type="dxa"/>
            <w:noWrap/>
            <w:hideMark/>
          </w:tcPr>
          <w:p w14:paraId="5987A598" w14:textId="4C34BB10" w:rsidR="00073D6A" w:rsidRPr="001E7B9C" w:rsidRDefault="004816AC" w:rsidP="00B07546">
            <w:pPr>
              <w:pStyle w:val="TableText"/>
            </w:pPr>
            <w:r w:rsidRPr="00C31130">
              <w:t>12</w:t>
            </w:r>
          </w:p>
        </w:tc>
        <w:tc>
          <w:tcPr>
            <w:tcW w:w="1092" w:type="dxa"/>
            <w:noWrap/>
            <w:hideMark/>
          </w:tcPr>
          <w:p w14:paraId="43E8A7C9" w14:textId="1DF93938" w:rsidR="00073D6A" w:rsidRPr="001E7B9C" w:rsidRDefault="004816AC" w:rsidP="00B07546">
            <w:pPr>
              <w:pStyle w:val="TableText"/>
            </w:pPr>
            <w:r w:rsidRPr="00C31130">
              <w:t>13</w:t>
            </w:r>
          </w:p>
        </w:tc>
        <w:tc>
          <w:tcPr>
            <w:tcW w:w="1092" w:type="dxa"/>
            <w:noWrap/>
            <w:hideMark/>
          </w:tcPr>
          <w:p w14:paraId="4F79B59E" w14:textId="7D14DC1A" w:rsidR="00073D6A" w:rsidRPr="001E7B9C" w:rsidRDefault="004816AC" w:rsidP="00B07546">
            <w:pPr>
              <w:pStyle w:val="TableText"/>
            </w:pPr>
            <w:r w:rsidRPr="00C31130">
              <w:t>15</w:t>
            </w:r>
          </w:p>
        </w:tc>
      </w:tr>
      <w:tr w:rsidR="00073D6A" w:rsidRPr="001E7B9C" w14:paraId="3BE12901" w14:textId="77777777" w:rsidTr="00922ED7">
        <w:trPr>
          <w:trHeight w:val="290"/>
        </w:trPr>
        <w:tc>
          <w:tcPr>
            <w:tcW w:w="2464" w:type="dxa"/>
            <w:hideMark/>
          </w:tcPr>
          <w:p w14:paraId="22261D17" w14:textId="6D8DA02D" w:rsidR="00073D6A" w:rsidRPr="001E7B9C" w:rsidRDefault="00073D6A" w:rsidP="00B07546">
            <w:pPr>
              <w:pStyle w:val="TableText"/>
            </w:pPr>
            <w:r w:rsidRPr="001E7B9C">
              <w:t xml:space="preserve">Total cost to the MBS </w:t>
            </w:r>
            <w:r w:rsidR="007E101E">
              <w:t>of test failures</w:t>
            </w:r>
          </w:p>
        </w:tc>
        <w:tc>
          <w:tcPr>
            <w:tcW w:w="1092" w:type="dxa"/>
            <w:noWrap/>
            <w:hideMark/>
          </w:tcPr>
          <w:p w14:paraId="2B36D0A0" w14:textId="244CCB95" w:rsidR="00073D6A" w:rsidRPr="001E7B9C" w:rsidRDefault="00A37C8A" w:rsidP="00B07546">
            <w:pPr>
              <w:pStyle w:val="TableText"/>
            </w:pPr>
            <w:r w:rsidRPr="00C31130">
              <w:t>$142,901</w:t>
            </w:r>
          </w:p>
        </w:tc>
        <w:tc>
          <w:tcPr>
            <w:tcW w:w="1092" w:type="dxa"/>
            <w:noWrap/>
            <w:hideMark/>
          </w:tcPr>
          <w:p w14:paraId="70EE58B9" w14:textId="312AC99A" w:rsidR="00073D6A" w:rsidRPr="001E7B9C" w:rsidRDefault="00A37C8A" w:rsidP="00B07546">
            <w:pPr>
              <w:pStyle w:val="TableText"/>
            </w:pPr>
            <w:r w:rsidRPr="00C31130">
              <w:t>$164,337</w:t>
            </w:r>
          </w:p>
        </w:tc>
        <w:tc>
          <w:tcPr>
            <w:tcW w:w="1092" w:type="dxa"/>
            <w:noWrap/>
            <w:hideMark/>
          </w:tcPr>
          <w:p w14:paraId="02CE9FCE" w14:textId="5184F4CF" w:rsidR="00073D6A" w:rsidRPr="001E7B9C" w:rsidRDefault="00A37C8A" w:rsidP="00B07546">
            <w:pPr>
              <w:pStyle w:val="TableText"/>
            </w:pPr>
            <w:r w:rsidRPr="00C31130">
              <w:t>$188,987</w:t>
            </w:r>
          </w:p>
        </w:tc>
        <w:tc>
          <w:tcPr>
            <w:tcW w:w="1092" w:type="dxa"/>
            <w:noWrap/>
            <w:hideMark/>
          </w:tcPr>
          <w:p w14:paraId="4BD55935" w14:textId="74B07732" w:rsidR="00073D6A" w:rsidRPr="001E7B9C" w:rsidRDefault="00A37C8A" w:rsidP="00B07546">
            <w:pPr>
              <w:pStyle w:val="TableText"/>
            </w:pPr>
            <w:r w:rsidRPr="00C31130">
              <w:t>$217,335</w:t>
            </w:r>
          </w:p>
        </w:tc>
        <w:tc>
          <w:tcPr>
            <w:tcW w:w="1092" w:type="dxa"/>
            <w:noWrap/>
            <w:hideMark/>
          </w:tcPr>
          <w:p w14:paraId="52CC2903" w14:textId="30D9BCBD" w:rsidR="00073D6A" w:rsidRPr="001E7B9C" w:rsidRDefault="00A37C8A" w:rsidP="00B07546">
            <w:pPr>
              <w:pStyle w:val="TableText"/>
            </w:pPr>
            <w:r w:rsidRPr="00C31130">
              <w:t>$249,936</w:t>
            </w:r>
          </w:p>
        </w:tc>
        <w:tc>
          <w:tcPr>
            <w:tcW w:w="1092" w:type="dxa"/>
            <w:noWrap/>
            <w:hideMark/>
          </w:tcPr>
          <w:p w14:paraId="7D4E3200" w14:textId="2C2A7701" w:rsidR="00073D6A" w:rsidRPr="001E7B9C" w:rsidRDefault="00A37C8A" w:rsidP="00B07546">
            <w:pPr>
              <w:pStyle w:val="TableText"/>
            </w:pPr>
            <w:r w:rsidRPr="00C31130">
              <w:t>$287,426</w:t>
            </w:r>
          </w:p>
        </w:tc>
      </w:tr>
      <w:tr w:rsidR="00073D6A" w:rsidRPr="001E7B9C" w14:paraId="3DDDE954" w14:textId="77777777" w:rsidTr="00922ED7">
        <w:trPr>
          <w:trHeight w:val="290"/>
        </w:trPr>
        <w:tc>
          <w:tcPr>
            <w:tcW w:w="2464" w:type="dxa"/>
          </w:tcPr>
          <w:p w14:paraId="47EEE0B5" w14:textId="77777777" w:rsidR="00073D6A" w:rsidRPr="001E7B9C" w:rsidRDefault="00073D6A" w:rsidP="00B07546">
            <w:pPr>
              <w:pStyle w:val="TableHeading0"/>
            </w:pPr>
            <w:r w:rsidRPr="007E0616">
              <w:t>Additional consultations with sleep physician</w:t>
            </w:r>
          </w:p>
        </w:tc>
        <w:tc>
          <w:tcPr>
            <w:tcW w:w="1092" w:type="dxa"/>
            <w:noWrap/>
          </w:tcPr>
          <w:p w14:paraId="322F5553" w14:textId="77777777" w:rsidR="00073D6A" w:rsidRPr="003C5879" w:rsidRDefault="00073D6A" w:rsidP="00B07546">
            <w:pPr>
              <w:pStyle w:val="TableHeading0"/>
            </w:pPr>
          </w:p>
        </w:tc>
        <w:tc>
          <w:tcPr>
            <w:tcW w:w="1092" w:type="dxa"/>
            <w:noWrap/>
          </w:tcPr>
          <w:p w14:paraId="5CE91543" w14:textId="77777777" w:rsidR="00073D6A" w:rsidRPr="003C5879" w:rsidRDefault="00073D6A" w:rsidP="00B07546">
            <w:pPr>
              <w:pStyle w:val="TableHeading0"/>
            </w:pPr>
          </w:p>
        </w:tc>
        <w:tc>
          <w:tcPr>
            <w:tcW w:w="1092" w:type="dxa"/>
            <w:noWrap/>
          </w:tcPr>
          <w:p w14:paraId="74E18972" w14:textId="77777777" w:rsidR="00073D6A" w:rsidRPr="003C5879" w:rsidRDefault="00073D6A" w:rsidP="00B07546">
            <w:pPr>
              <w:pStyle w:val="TableHeading0"/>
            </w:pPr>
          </w:p>
        </w:tc>
        <w:tc>
          <w:tcPr>
            <w:tcW w:w="1092" w:type="dxa"/>
            <w:noWrap/>
          </w:tcPr>
          <w:p w14:paraId="0B62E004" w14:textId="77777777" w:rsidR="00073D6A" w:rsidRPr="003C5879" w:rsidRDefault="00073D6A" w:rsidP="00B07546">
            <w:pPr>
              <w:pStyle w:val="TableHeading0"/>
            </w:pPr>
          </w:p>
        </w:tc>
        <w:tc>
          <w:tcPr>
            <w:tcW w:w="1092" w:type="dxa"/>
            <w:noWrap/>
          </w:tcPr>
          <w:p w14:paraId="6B38A7D5" w14:textId="77777777" w:rsidR="00073D6A" w:rsidRPr="003C5879" w:rsidRDefault="00073D6A" w:rsidP="00B07546">
            <w:pPr>
              <w:pStyle w:val="TableHeading0"/>
            </w:pPr>
          </w:p>
        </w:tc>
        <w:tc>
          <w:tcPr>
            <w:tcW w:w="1092" w:type="dxa"/>
            <w:noWrap/>
          </w:tcPr>
          <w:p w14:paraId="778B80ED" w14:textId="77777777" w:rsidR="00073D6A" w:rsidRPr="003C5879" w:rsidRDefault="00073D6A" w:rsidP="00B07546">
            <w:pPr>
              <w:pStyle w:val="TableHeading0"/>
            </w:pPr>
          </w:p>
        </w:tc>
      </w:tr>
      <w:tr w:rsidR="00073D6A" w:rsidRPr="001E7B9C" w14:paraId="0E6B1E21" w14:textId="77777777" w:rsidTr="00922ED7">
        <w:trPr>
          <w:trHeight w:val="290"/>
        </w:trPr>
        <w:tc>
          <w:tcPr>
            <w:tcW w:w="2464" w:type="dxa"/>
          </w:tcPr>
          <w:p w14:paraId="054CFE48" w14:textId="77777777" w:rsidR="00073D6A" w:rsidRPr="001E7B9C" w:rsidRDefault="00073D6A" w:rsidP="00B07546">
            <w:pPr>
              <w:pStyle w:val="TableText"/>
            </w:pPr>
            <w:r w:rsidRPr="007E0616">
              <w:t>Number of new (not substituted) services</w:t>
            </w:r>
          </w:p>
        </w:tc>
        <w:tc>
          <w:tcPr>
            <w:tcW w:w="1092" w:type="dxa"/>
            <w:noWrap/>
          </w:tcPr>
          <w:p w14:paraId="75C3BD8F" w14:textId="77777777" w:rsidR="00073D6A" w:rsidRPr="003C5879" w:rsidRDefault="00073D6A" w:rsidP="00B07546">
            <w:pPr>
              <w:pStyle w:val="TableText"/>
            </w:pPr>
            <w:r w:rsidRPr="007E0616">
              <w:t>253</w:t>
            </w:r>
          </w:p>
        </w:tc>
        <w:tc>
          <w:tcPr>
            <w:tcW w:w="1092" w:type="dxa"/>
            <w:noWrap/>
          </w:tcPr>
          <w:p w14:paraId="714C19FF" w14:textId="77777777" w:rsidR="00073D6A" w:rsidRPr="003C5879" w:rsidRDefault="00073D6A" w:rsidP="00B07546">
            <w:pPr>
              <w:pStyle w:val="TableText"/>
            </w:pPr>
            <w:r w:rsidRPr="007E0616">
              <w:t>519</w:t>
            </w:r>
          </w:p>
        </w:tc>
        <w:tc>
          <w:tcPr>
            <w:tcW w:w="1092" w:type="dxa"/>
            <w:noWrap/>
          </w:tcPr>
          <w:p w14:paraId="0F8E4001" w14:textId="77777777" w:rsidR="00073D6A" w:rsidRPr="003C5879" w:rsidRDefault="00073D6A" w:rsidP="00B07546">
            <w:pPr>
              <w:pStyle w:val="TableText"/>
            </w:pPr>
            <w:r w:rsidRPr="007E0616">
              <w:t>836</w:t>
            </w:r>
          </w:p>
        </w:tc>
        <w:tc>
          <w:tcPr>
            <w:tcW w:w="1092" w:type="dxa"/>
            <w:noWrap/>
          </w:tcPr>
          <w:p w14:paraId="5F3A1D49" w14:textId="77777777" w:rsidR="00073D6A" w:rsidRPr="003C5879" w:rsidRDefault="00073D6A" w:rsidP="00B07546">
            <w:pPr>
              <w:pStyle w:val="TableText"/>
            </w:pPr>
            <w:r w:rsidRPr="007E0616">
              <w:t>1213</w:t>
            </w:r>
          </w:p>
        </w:tc>
        <w:tc>
          <w:tcPr>
            <w:tcW w:w="1092" w:type="dxa"/>
            <w:noWrap/>
          </w:tcPr>
          <w:p w14:paraId="538258D4" w14:textId="77777777" w:rsidR="00073D6A" w:rsidRPr="003C5879" w:rsidRDefault="00073D6A" w:rsidP="00B07546">
            <w:pPr>
              <w:pStyle w:val="TableText"/>
            </w:pPr>
            <w:r w:rsidRPr="007E0616">
              <w:t>1659</w:t>
            </w:r>
          </w:p>
        </w:tc>
        <w:tc>
          <w:tcPr>
            <w:tcW w:w="1092" w:type="dxa"/>
            <w:noWrap/>
          </w:tcPr>
          <w:p w14:paraId="4A9698A7" w14:textId="77777777" w:rsidR="00073D6A" w:rsidRPr="003C5879" w:rsidRDefault="00073D6A" w:rsidP="00B07546">
            <w:pPr>
              <w:pStyle w:val="TableText"/>
            </w:pPr>
            <w:r w:rsidRPr="007E0616">
              <w:t>2185</w:t>
            </w:r>
          </w:p>
        </w:tc>
      </w:tr>
      <w:tr w:rsidR="0097428E" w:rsidRPr="001E7B9C" w14:paraId="30C29AE9" w14:textId="77777777" w:rsidTr="00922ED7">
        <w:trPr>
          <w:trHeight w:val="290"/>
        </w:trPr>
        <w:tc>
          <w:tcPr>
            <w:tcW w:w="2464" w:type="dxa"/>
          </w:tcPr>
          <w:p w14:paraId="3E6F9B33" w14:textId="5A38CCE9" w:rsidR="0097428E" w:rsidRPr="001E7B9C" w:rsidRDefault="0097428E" w:rsidP="0097428E">
            <w:pPr>
              <w:pStyle w:val="TableText"/>
            </w:pPr>
            <w:r>
              <w:t>Total cost to the MBS of c</w:t>
            </w:r>
            <w:r w:rsidRPr="007E0616">
              <w:t xml:space="preserve">onsultant physician attendance </w:t>
            </w:r>
          </w:p>
        </w:tc>
        <w:tc>
          <w:tcPr>
            <w:tcW w:w="1092" w:type="dxa"/>
            <w:noWrap/>
          </w:tcPr>
          <w:p w14:paraId="5AA1CABE" w14:textId="19159B91" w:rsidR="0097428E" w:rsidRPr="003C5879" w:rsidRDefault="0097428E" w:rsidP="0097428E">
            <w:pPr>
              <w:pStyle w:val="TableText"/>
            </w:pPr>
            <w:r w:rsidRPr="00DD6B20">
              <w:t>$56,347</w:t>
            </w:r>
          </w:p>
        </w:tc>
        <w:tc>
          <w:tcPr>
            <w:tcW w:w="1092" w:type="dxa"/>
            <w:noWrap/>
          </w:tcPr>
          <w:p w14:paraId="0BEBC55A" w14:textId="6CFDD474" w:rsidR="0097428E" w:rsidRPr="003C5879" w:rsidRDefault="0097428E" w:rsidP="0097428E">
            <w:pPr>
              <w:pStyle w:val="TableText"/>
            </w:pPr>
            <w:r w:rsidRPr="00DD6B20">
              <w:t>$115,512</w:t>
            </w:r>
          </w:p>
        </w:tc>
        <w:tc>
          <w:tcPr>
            <w:tcW w:w="1092" w:type="dxa"/>
            <w:noWrap/>
          </w:tcPr>
          <w:p w14:paraId="6EFEB781" w14:textId="60CC4A9E" w:rsidR="0097428E" w:rsidRPr="003C5879" w:rsidRDefault="0097428E" w:rsidP="0097428E">
            <w:pPr>
              <w:pStyle w:val="TableText"/>
            </w:pPr>
            <w:r w:rsidRPr="00DD6B20">
              <w:t>$186,086</w:t>
            </w:r>
          </w:p>
        </w:tc>
        <w:tc>
          <w:tcPr>
            <w:tcW w:w="1092" w:type="dxa"/>
            <w:noWrap/>
          </w:tcPr>
          <w:p w14:paraId="3CD2B757" w14:textId="18577F92" w:rsidR="0097428E" w:rsidRPr="003C5879" w:rsidRDefault="0097428E" w:rsidP="0097428E">
            <w:pPr>
              <w:pStyle w:val="TableText"/>
            </w:pPr>
            <w:r w:rsidRPr="00DD6B20">
              <w:t>$269,910</w:t>
            </w:r>
          </w:p>
        </w:tc>
        <w:tc>
          <w:tcPr>
            <w:tcW w:w="1092" w:type="dxa"/>
            <w:noWrap/>
          </w:tcPr>
          <w:p w14:paraId="7AD05899" w14:textId="6FC5B44A" w:rsidR="0097428E" w:rsidRPr="003C5879" w:rsidRDefault="0097428E" w:rsidP="0097428E">
            <w:pPr>
              <w:pStyle w:val="TableText"/>
            </w:pPr>
            <w:r w:rsidRPr="00DD6B20">
              <w:t>$369,102</w:t>
            </w:r>
          </w:p>
        </w:tc>
        <w:tc>
          <w:tcPr>
            <w:tcW w:w="1092" w:type="dxa"/>
            <w:noWrap/>
          </w:tcPr>
          <w:p w14:paraId="25E3D72D" w14:textId="0EA27A30" w:rsidR="0097428E" w:rsidRPr="003C5879" w:rsidRDefault="0097428E" w:rsidP="0097428E">
            <w:pPr>
              <w:pStyle w:val="TableText"/>
            </w:pPr>
            <w:r w:rsidRPr="00DD6B20">
              <w:t>$486,109</w:t>
            </w:r>
          </w:p>
        </w:tc>
      </w:tr>
      <w:tr w:rsidR="0097428E" w:rsidRPr="001E7B9C" w14:paraId="25CB1F1E" w14:textId="77777777" w:rsidTr="00922ED7">
        <w:trPr>
          <w:trHeight w:val="290"/>
        </w:trPr>
        <w:tc>
          <w:tcPr>
            <w:tcW w:w="2464" w:type="dxa"/>
            <w:hideMark/>
          </w:tcPr>
          <w:p w14:paraId="34BDB403" w14:textId="77777777" w:rsidR="0097428E" w:rsidRPr="001E7B9C" w:rsidRDefault="0097428E" w:rsidP="0097428E">
            <w:pPr>
              <w:pStyle w:val="TableHeading0"/>
            </w:pPr>
            <w:r w:rsidRPr="007E0616">
              <w:t>Net financial impact to the MBS</w:t>
            </w:r>
          </w:p>
        </w:tc>
        <w:tc>
          <w:tcPr>
            <w:tcW w:w="1092" w:type="dxa"/>
            <w:noWrap/>
            <w:hideMark/>
          </w:tcPr>
          <w:p w14:paraId="6CAFA8FC" w14:textId="74241AC1" w:rsidR="0097428E" w:rsidRPr="001E7B9C" w:rsidRDefault="00A37C8A" w:rsidP="0097428E">
            <w:pPr>
              <w:pStyle w:val="TableHeading0"/>
            </w:pPr>
            <w:r w:rsidRPr="00C31130">
              <w:t>-$117,845</w:t>
            </w:r>
          </w:p>
        </w:tc>
        <w:tc>
          <w:tcPr>
            <w:tcW w:w="1092" w:type="dxa"/>
            <w:noWrap/>
            <w:hideMark/>
          </w:tcPr>
          <w:p w14:paraId="29F2B9D8" w14:textId="28236390" w:rsidR="0097428E" w:rsidRPr="001E7B9C" w:rsidRDefault="00A37C8A" w:rsidP="0097428E">
            <w:pPr>
              <w:pStyle w:val="TableHeading0"/>
            </w:pPr>
            <w:r w:rsidRPr="00C31130">
              <w:t>$60,987</w:t>
            </w:r>
          </w:p>
        </w:tc>
        <w:tc>
          <w:tcPr>
            <w:tcW w:w="1092" w:type="dxa"/>
            <w:noWrap/>
            <w:hideMark/>
          </w:tcPr>
          <w:p w14:paraId="5FD05554" w14:textId="70AF521E" w:rsidR="0097428E" w:rsidRPr="001E7B9C" w:rsidRDefault="00A37C8A" w:rsidP="0097428E">
            <w:pPr>
              <w:pStyle w:val="TableHeading0"/>
            </w:pPr>
            <w:r w:rsidRPr="00C31130">
              <w:t>$276,469</w:t>
            </w:r>
          </w:p>
        </w:tc>
        <w:tc>
          <w:tcPr>
            <w:tcW w:w="1092" w:type="dxa"/>
            <w:noWrap/>
            <w:hideMark/>
          </w:tcPr>
          <w:p w14:paraId="56666AC1" w14:textId="10EE3BB1" w:rsidR="0097428E" w:rsidRPr="001E7B9C" w:rsidRDefault="00A37C8A" w:rsidP="0097428E">
            <w:pPr>
              <w:pStyle w:val="TableHeading0"/>
            </w:pPr>
            <w:r w:rsidRPr="00C31130">
              <w:t>$534,591</w:t>
            </w:r>
          </w:p>
        </w:tc>
        <w:tc>
          <w:tcPr>
            <w:tcW w:w="1092" w:type="dxa"/>
            <w:noWrap/>
            <w:hideMark/>
          </w:tcPr>
          <w:p w14:paraId="321A55E4" w14:textId="1E74B345" w:rsidR="0097428E" w:rsidRPr="001E7B9C" w:rsidRDefault="00A37C8A" w:rsidP="0097428E">
            <w:pPr>
              <w:pStyle w:val="TableHeading0"/>
            </w:pPr>
            <w:r w:rsidRPr="00C31130">
              <w:t>$842,263</w:t>
            </w:r>
          </w:p>
        </w:tc>
        <w:tc>
          <w:tcPr>
            <w:tcW w:w="1092" w:type="dxa"/>
            <w:noWrap/>
            <w:hideMark/>
          </w:tcPr>
          <w:p w14:paraId="375DD542" w14:textId="7E0E19DB" w:rsidR="0097428E" w:rsidRPr="001E7B9C" w:rsidRDefault="00A37C8A" w:rsidP="0097428E">
            <w:pPr>
              <w:pStyle w:val="TableHeading0"/>
            </w:pPr>
            <w:r w:rsidRPr="00C31130">
              <w:t>$1,207,460</w:t>
            </w:r>
          </w:p>
        </w:tc>
      </w:tr>
    </w:tbl>
    <w:p w14:paraId="2FA193CA" w14:textId="23C51D9B" w:rsidR="00AC73E6" w:rsidRDefault="00AC73E6" w:rsidP="00CC2955">
      <w:pPr>
        <w:pStyle w:val="111Tablefootnoteslast-nostick"/>
      </w:pPr>
      <w:r w:rsidRPr="006D2801">
        <w:t>FY</w:t>
      </w:r>
      <w:r w:rsidR="00D1366E">
        <w:t xml:space="preserve"> </w:t>
      </w:r>
      <w:r w:rsidRPr="006D2801">
        <w:t>=</w:t>
      </w:r>
      <w:r w:rsidR="00D1366E">
        <w:t xml:space="preserve"> </w:t>
      </w:r>
      <w:r w:rsidRPr="006D2801">
        <w:t>financial year</w:t>
      </w:r>
      <w:r>
        <w:rPr>
          <w:szCs w:val="18"/>
        </w:rPr>
        <w:t>;</w:t>
      </w:r>
      <w:r w:rsidRPr="006D2801">
        <w:rPr>
          <w:szCs w:val="18"/>
        </w:rPr>
        <w:t xml:space="preserve"> </w:t>
      </w:r>
      <w:r>
        <w:rPr>
          <w:szCs w:val="18"/>
        </w:rPr>
        <w:t>MBS = Medicare Benefits Schedule; PSG = polysomnography</w:t>
      </w:r>
      <w:r w:rsidR="004803A4">
        <w:rPr>
          <w:szCs w:val="18"/>
        </w:rPr>
        <w:t>.</w:t>
      </w:r>
    </w:p>
    <w:p w14:paraId="3B80D89B" w14:textId="2C730119" w:rsidR="00AC73E6" w:rsidRDefault="00AC73E6" w:rsidP="00CC2955">
      <w:pPr>
        <w:pStyle w:val="111Tablefootnoteslast-nostick"/>
      </w:pPr>
      <w:r w:rsidRPr="00380D34">
        <w:t>a</w:t>
      </w:r>
      <w:r w:rsidR="00380D34">
        <w:t>.</w:t>
      </w:r>
      <w:r w:rsidRPr="00694D83">
        <w:t xml:space="preserve"> </w:t>
      </w:r>
      <w:r>
        <w:t xml:space="preserve">It is assumed that </w:t>
      </w:r>
      <w:r w:rsidR="00B21C47">
        <w:t>50%</w:t>
      </w:r>
      <w:r>
        <w:t xml:space="preserve"> of Level 2 test failures repeat a Level 2 PSG and </w:t>
      </w:r>
      <w:r w:rsidR="00B21C47">
        <w:t>50%</w:t>
      </w:r>
      <w:r>
        <w:t xml:space="preserve"> have a Level 1 PSG</w:t>
      </w:r>
      <w:r w:rsidR="000467FD">
        <w:t>,</w:t>
      </w:r>
      <w:r>
        <w:t xml:space="preserve"> consistent with Section 3</w:t>
      </w:r>
      <w:r w:rsidR="000467FD">
        <w:t>.</w:t>
      </w:r>
    </w:p>
    <w:p w14:paraId="47894448" w14:textId="370ACE83" w:rsidR="001317A8" w:rsidRDefault="001317A8" w:rsidP="00CC2955">
      <w:pPr>
        <w:pStyle w:val="111Tablefootnoteslast-nostick"/>
      </w:pPr>
      <w:r>
        <w:t xml:space="preserve">Source: </w:t>
      </w:r>
      <w:r w:rsidRPr="00D826EB">
        <w:t xml:space="preserve">Table </w:t>
      </w:r>
      <w:r w:rsidR="00B8619F">
        <w:t>49</w:t>
      </w:r>
      <w:r>
        <w:t xml:space="preserve"> of DCAR 1712.1.</w:t>
      </w:r>
    </w:p>
    <w:p w14:paraId="52D1A0C9" w14:textId="34551691" w:rsidR="006209F7" w:rsidRDefault="006209F7" w:rsidP="006209F7">
      <w:pPr>
        <w:pStyle w:val="Caption"/>
      </w:pPr>
      <w:bookmarkStart w:id="31" w:name="_Ref198671744"/>
      <w:r>
        <w:t xml:space="preserve">Table </w:t>
      </w:r>
      <w:r w:rsidR="00BC2CAA">
        <w:fldChar w:fldCharType="begin"/>
      </w:r>
      <w:r w:rsidR="00BC2CAA">
        <w:instrText xml:space="preserve"> SEQ Table \* ARABIC </w:instrText>
      </w:r>
      <w:r w:rsidR="00BC2CAA">
        <w:fldChar w:fldCharType="separate"/>
      </w:r>
      <w:r w:rsidR="00BC2CAA">
        <w:rPr>
          <w:noProof/>
        </w:rPr>
        <w:t>19</w:t>
      </w:r>
      <w:r w:rsidR="00BC2CAA">
        <w:rPr>
          <w:noProof/>
        </w:rPr>
        <w:fldChar w:fldCharType="end"/>
      </w:r>
      <w:bookmarkEnd w:id="31"/>
      <w:r>
        <w:tab/>
        <w:t xml:space="preserve">Net financial implications </w:t>
      </w:r>
      <w:r w:rsidR="00076D3B">
        <w:t xml:space="preserve">to the MBS </w:t>
      </w:r>
      <w:r>
        <w:t>of Level 2 PSG in adolescents</w:t>
      </w:r>
      <w:r w:rsidR="00A85B18">
        <w:t xml:space="preserve"> (12-17 years)</w:t>
      </w:r>
    </w:p>
    <w:tbl>
      <w:tblPr>
        <w:tblStyle w:val="TableGrid"/>
        <w:tblW w:w="0" w:type="auto"/>
        <w:tblLayout w:type="fixed"/>
        <w:tblLook w:val="04A0" w:firstRow="1" w:lastRow="0" w:firstColumn="1" w:lastColumn="0" w:noHBand="0" w:noVBand="1"/>
        <w:tblCaption w:val="Net financial implications to the MBS of out-of-laboratory Level 2 PSG in adolescents"/>
        <w:tblDescription w:val="Table shows the estimated use, costs, and net costs of the proposed MBS item in adolescents, over the first 6 years of listing."/>
      </w:tblPr>
      <w:tblGrid>
        <w:gridCol w:w="2572"/>
        <w:gridCol w:w="1074"/>
        <w:gridCol w:w="1074"/>
        <w:gridCol w:w="1074"/>
        <w:gridCol w:w="1074"/>
        <w:gridCol w:w="1074"/>
        <w:gridCol w:w="1074"/>
      </w:tblGrid>
      <w:tr w:rsidR="006209F7" w:rsidRPr="001E7B9C" w14:paraId="6AEBB79B" w14:textId="77777777" w:rsidTr="00922ED7">
        <w:trPr>
          <w:trHeight w:val="290"/>
          <w:tblHeader/>
        </w:trPr>
        <w:tc>
          <w:tcPr>
            <w:tcW w:w="2572" w:type="dxa"/>
            <w:hideMark/>
          </w:tcPr>
          <w:p w14:paraId="4F121C44" w14:textId="77777777" w:rsidR="006209F7" w:rsidRPr="001E7B9C" w:rsidRDefault="006209F7" w:rsidP="00433E52">
            <w:pPr>
              <w:pStyle w:val="TableHeading0"/>
              <w:keepNext/>
            </w:pPr>
            <w:r w:rsidRPr="001E7B9C">
              <w:t xml:space="preserve">Parameter </w:t>
            </w:r>
          </w:p>
        </w:tc>
        <w:tc>
          <w:tcPr>
            <w:tcW w:w="1074" w:type="dxa"/>
            <w:noWrap/>
            <w:hideMark/>
          </w:tcPr>
          <w:p w14:paraId="04D34BC0" w14:textId="77777777" w:rsidR="006209F7" w:rsidRPr="001E7B9C" w:rsidRDefault="006209F7" w:rsidP="00433E52">
            <w:pPr>
              <w:pStyle w:val="TableHeading0"/>
              <w:keepNext/>
            </w:pPr>
            <w:r w:rsidRPr="001E7B9C">
              <w:t>FY 2025-26</w:t>
            </w:r>
          </w:p>
        </w:tc>
        <w:tc>
          <w:tcPr>
            <w:tcW w:w="1074" w:type="dxa"/>
            <w:noWrap/>
            <w:hideMark/>
          </w:tcPr>
          <w:p w14:paraId="390DBF92" w14:textId="77777777" w:rsidR="006209F7" w:rsidRPr="001E7B9C" w:rsidRDefault="006209F7" w:rsidP="00433E52">
            <w:pPr>
              <w:pStyle w:val="TableHeading0"/>
              <w:keepNext/>
            </w:pPr>
            <w:r w:rsidRPr="001E7B9C">
              <w:t>FY 2026-27</w:t>
            </w:r>
          </w:p>
        </w:tc>
        <w:tc>
          <w:tcPr>
            <w:tcW w:w="1074" w:type="dxa"/>
            <w:noWrap/>
            <w:hideMark/>
          </w:tcPr>
          <w:p w14:paraId="5F7B0E11" w14:textId="77777777" w:rsidR="006209F7" w:rsidRPr="001E7B9C" w:rsidRDefault="006209F7" w:rsidP="00433E52">
            <w:pPr>
              <w:pStyle w:val="TableHeading0"/>
              <w:keepNext/>
            </w:pPr>
            <w:r w:rsidRPr="001E7B9C">
              <w:t>FY 2027-28</w:t>
            </w:r>
          </w:p>
        </w:tc>
        <w:tc>
          <w:tcPr>
            <w:tcW w:w="1074" w:type="dxa"/>
            <w:noWrap/>
            <w:hideMark/>
          </w:tcPr>
          <w:p w14:paraId="0ED78DB4" w14:textId="77777777" w:rsidR="006209F7" w:rsidRPr="001E7B9C" w:rsidRDefault="006209F7" w:rsidP="00433E52">
            <w:pPr>
              <w:pStyle w:val="TableHeading0"/>
              <w:keepNext/>
            </w:pPr>
            <w:r w:rsidRPr="001E7B9C">
              <w:t>FY 2028-29</w:t>
            </w:r>
          </w:p>
        </w:tc>
        <w:tc>
          <w:tcPr>
            <w:tcW w:w="1074" w:type="dxa"/>
            <w:noWrap/>
            <w:hideMark/>
          </w:tcPr>
          <w:p w14:paraId="7E63D89A" w14:textId="77777777" w:rsidR="006209F7" w:rsidRPr="001E7B9C" w:rsidRDefault="006209F7" w:rsidP="00433E52">
            <w:pPr>
              <w:pStyle w:val="TableHeading0"/>
              <w:keepNext/>
            </w:pPr>
            <w:r w:rsidRPr="001E7B9C">
              <w:t>FY 2029-30</w:t>
            </w:r>
          </w:p>
        </w:tc>
        <w:tc>
          <w:tcPr>
            <w:tcW w:w="1074" w:type="dxa"/>
            <w:noWrap/>
            <w:hideMark/>
          </w:tcPr>
          <w:p w14:paraId="57797E36" w14:textId="77777777" w:rsidR="006209F7" w:rsidRPr="001E7B9C" w:rsidRDefault="006209F7" w:rsidP="00433E52">
            <w:pPr>
              <w:pStyle w:val="TableHeading0"/>
              <w:keepNext/>
            </w:pPr>
            <w:r w:rsidRPr="001E7B9C">
              <w:t>FY 2030-31</w:t>
            </w:r>
          </w:p>
        </w:tc>
      </w:tr>
      <w:tr w:rsidR="006209F7" w:rsidRPr="001E7B9C" w14:paraId="69275566" w14:textId="77777777" w:rsidTr="00922ED7">
        <w:trPr>
          <w:trHeight w:val="290"/>
        </w:trPr>
        <w:tc>
          <w:tcPr>
            <w:tcW w:w="2572" w:type="dxa"/>
            <w:hideMark/>
          </w:tcPr>
          <w:p w14:paraId="6FEF94EA" w14:textId="77777777" w:rsidR="006209F7" w:rsidRPr="001E7B9C" w:rsidRDefault="006209F7" w:rsidP="00433E52">
            <w:pPr>
              <w:pStyle w:val="TableHeading0"/>
              <w:keepNext/>
            </w:pPr>
            <w:r w:rsidRPr="001E7B9C">
              <w:t>Estimated use and cost of the proposed health technology</w:t>
            </w:r>
          </w:p>
        </w:tc>
        <w:tc>
          <w:tcPr>
            <w:tcW w:w="1074" w:type="dxa"/>
            <w:noWrap/>
            <w:hideMark/>
          </w:tcPr>
          <w:p w14:paraId="5530CC84" w14:textId="77777777" w:rsidR="006209F7" w:rsidRPr="001E7B9C" w:rsidRDefault="006209F7" w:rsidP="00433E52">
            <w:pPr>
              <w:pStyle w:val="TableHeading0"/>
              <w:keepNext/>
            </w:pPr>
            <w:r w:rsidRPr="001E7B9C">
              <w:t> </w:t>
            </w:r>
          </w:p>
        </w:tc>
        <w:tc>
          <w:tcPr>
            <w:tcW w:w="1074" w:type="dxa"/>
            <w:noWrap/>
            <w:hideMark/>
          </w:tcPr>
          <w:p w14:paraId="4C22D95E" w14:textId="77777777" w:rsidR="006209F7" w:rsidRPr="001E7B9C" w:rsidRDefault="006209F7" w:rsidP="00433E52">
            <w:pPr>
              <w:pStyle w:val="TableHeading0"/>
              <w:keepNext/>
            </w:pPr>
            <w:r w:rsidRPr="001E7B9C">
              <w:t> </w:t>
            </w:r>
          </w:p>
        </w:tc>
        <w:tc>
          <w:tcPr>
            <w:tcW w:w="1074" w:type="dxa"/>
            <w:noWrap/>
            <w:hideMark/>
          </w:tcPr>
          <w:p w14:paraId="6FF9B6D3" w14:textId="77777777" w:rsidR="006209F7" w:rsidRPr="001E7B9C" w:rsidRDefault="006209F7" w:rsidP="00433E52">
            <w:pPr>
              <w:pStyle w:val="TableHeading0"/>
              <w:keepNext/>
            </w:pPr>
            <w:r w:rsidRPr="001E7B9C">
              <w:t> </w:t>
            </w:r>
          </w:p>
        </w:tc>
        <w:tc>
          <w:tcPr>
            <w:tcW w:w="1074" w:type="dxa"/>
            <w:noWrap/>
            <w:hideMark/>
          </w:tcPr>
          <w:p w14:paraId="59E7A806" w14:textId="77777777" w:rsidR="006209F7" w:rsidRPr="001E7B9C" w:rsidRDefault="006209F7" w:rsidP="00433E52">
            <w:pPr>
              <w:pStyle w:val="TableHeading0"/>
              <w:keepNext/>
            </w:pPr>
            <w:r w:rsidRPr="001E7B9C">
              <w:t> </w:t>
            </w:r>
          </w:p>
        </w:tc>
        <w:tc>
          <w:tcPr>
            <w:tcW w:w="1074" w:type="dxa"/>
            <w:noWrap/>
            <w:hideMark/>
          </w:tcPr>
          <w:p w14:paraId="2725D343" w14:textId="77777777" w:rsidR="006209F7" w:rsidRPr="001E7B9C" w:rsidRDefault="006209F7" w:rsidP="00433E52">
            <w:pPr>
              <w:pStyle w:val="TableHeading0"/>
              <w:keepNext/>
            </w:pPr>
            <w:r w:rsidRPr="001E7B9C">
              <w:t> </w:t>
            </w:r>
          </w:p>
        </w:tc>
        <w:tc>
          <w:tcPr>
            <w:tcW w:w="1074" w:type="dxa"/>
            <w:noWrap/>
            <w:hideMark/>
          </w:tcPr>
          <w:p w14:paraId="71266616" w14:textId="77777777" w:rsidR="006209F7" w:rsidRPr="001E7B9C" w:rsidRDefault="006209F7" w:rsidP="00433E52">
            <w:pPr>
              <w:pStyle w:val="TableHeading0"/>
              <w:keepNext/>
            </w:pPr>
            <w:r w:rsidRPr="001E7B9C">
              <w:t> </w:t>
            </w:r>
          </w:p>
        </w:tc>
      </w:tr>
      <w:tr w:rsidR="006209F7" w:rsidRPr="001E7B9C" w14:paraId="611CE7BB" w14:textId="77777777" w:rsidTr="00922ED7">
        <w:trPr>
          <w:trHeight w:val="290"/>
        </w:trPr>
        <w:tc>
          <w:tcPr>
            <w:tcW w:w="2572" w:type="dxa"/>
            <w:hideMark/>
          </w:tcPr>
          <w:p w14:paraId="25040A31" w14:textId="2A8468BB" w:rsidR="006209F7" w:rsidRPr="001E7B9C" w:rsidRDefault="006425F0" w:rsidP="006209F7">
            <w:pPr>
              <w:pStyle w:val="TableText"/>
            </w:pPr>
            <w:r w:rsidRPr="002D50DB">
              <w:t xml:space="preserve">Number of proposed Level 2 </w:t>
            </w:r>
            <w:r w:rsidR="00F703C9">
              <w:t>s</w:t>
            </w:r>
            <w:r w:rsidRPr="002D50DB">
              <w:t>ervices (metropolitan/regional)</w:t>
            </w:r>
          </w:p>
        </w:tc>
        <w:tc>
          <w:tcPr>
            <w:tcW w:w="1074" w:type="dxa"/>
            <w:noWrap/>
            <w:hideMark/>
          </w:tcPr>
          <w:p w14:paraId="2707AF00" w14:textId="34B29C29" w:rsidR="006209F7" w:rsidRPr="001E7B9C" w:rsidRDefault="006425F0" w:rsidP="006209F7">
            <w:pPr>
              <w:pStyle w:val="TableText"/>
            </w:pPr>
            <w:r w:rsidRPr="002D50DB">
              <w:t>467</w:t>
            </w:r>
          </w:p>
        </w:tc>
        <w:tc>
          <w:tcPr>
            <w:tcW w:w="1074" w:type="dxa"/>
            <w:noWrap/>
            <w:hideMark/>
          </w:tcPr>
          <w:p w14:paraId="6CD16B7D" w14:textId="431D9CA6" w:rsidR="006209F7" w:rsidRPr="001E7B9C" w:rsidRDefault="006425F0" w:rsidP="006209F7">
            <w:pPr>
              <w:pStyle w:val="TableText"/>
            </w:pPr>
            <w:r w:rsidRPr="002D50DB">
              <w:t>537</w:t>
            </w:r>
          </w:p>
        </w:tc>
        <w:tc>
          <w:tcPr>
            <w:tcW w:w="1074" w:type="dxa"/>
            <w:noWrap/>
            <w:hideMark/>
          </w:tcPr>
          <w:p w14:paraId="3915881B" w14:textId="620F5848" w:rsidR="006209F7" w:rsidRPr="001E7B9C" w:rsidRDefault="006425F0" w:rsidP="006209F7">
            <w:pPr>
              <w:pStyle w:val="TableText"/>
            </w:pPr>
            <w:r w:rsidRPr="002D50DB">
              <w:t>618</w:t>
            </w:r>
          </w:p>
        </w:tc>
        <w:tc>
          <w:tcPr>
            <w:tcW w:w="1074" w:type="dxa"/>
            <w:noWrap/>
            <w:hideMark/>
          </w:tcPr>
          <w:p w14:paraId="0A134AA7" w14:textId="01BAA30B" w:rsidR="006209F7" w:rsidRPr="001E7B9C" w:rsidRDefault="006425F0" w:rsidP="006209F7">
            <w:pPr>
              <w:pStyle w:val="TableText"/>
            </w:pPr>
            <w:r w:rsidRPr="002D50DB">
              <w:t>711</w:t>
            </w:r>
          </w:p>
        </w:tc>
        <w:tc>
          <w:tcPr>
            <w:tcW w:w="1074" w:type="dxa"/>
            <w:noWrap/>
            <w:hideMark/>
          </w:tcPr>
          <w:p w14:paraId="2123B027" w14:textId="700D8B26" w:rsidR="006209F7" w:rsidRPr="001E7B9C" w:rsidRDefault="006425F0" w:rsidP="006209F7">
            <w:pPr>
              <w:pStyle w:val="TableText"/>
            </w:pPr>
            <w:r w:rsidRPr="002D50DB">
              <w:t>817</w:t>
            </w:r>
          </w:p>
        </w:tc>
        <w:tc>
          <w:tcPr>
            <w:tcW w:w="1074" w:type="dxa"/>
            <w:noWrap/>
            <w:hideMark/>
          </w:tcPr>
          <w:p w14:paraId="71298695" w14:textId="52A02CD0" w:rsidR="006209F7" w:rsidRPr="001E7B9C" w:rsidRDefault="006425F0" w:rsidP="006209F7">
            <w:pPr>
              <w:pStyle w:val="TableText"/>
            </w:pPr>
            <w:r w:rsidRPr="002D50DB">
              <w:t>940</w:t>
            </w:r>
          </w:p>
        </w:tc>
      </w:tr>
      <w:tr w:rsidR="006209F7" w:rsidRPr="001E7B9C" w14:paraId="539C212C" w14:textId="77777777" w:rsidTr="00922ED7">
        <w:trPr>
          <w:trHeight w:val="290"/>
        </w:trPr>
        <w:tc>
          <w:tcPr>
            <w:tcW w:w="2572" w:type="dxa"/>
            <w:hideMark/>
          </w:tcPr>
          <w:p w14:paraId="2CF2D677" w14:textId="65E409A4" w:rsidR="006209F7" w:rsidRPr="001E7B9C" w:rsidRDefault="006425F0" w:rsidP="00ED06E2">
            <w:pPr>
              <w:pStyle w:val="TableText"/>
            </w:pPr>
            <w:r w:rsidRPr="002D50DB">
              <w:t xml:space="preserve">Number of proposed Level 2 </w:t>
            </w:r>
            <w:r w:rsidR="00F703C9">
              <w:t>s</w:t>
            </w:r>
            <w:r w:rsidRPr="002D50DB">
              <w:t>ervices (rural</w:t>
            </w:r>
            <w:r w:rsidR="00EA6C27">
              <w:t>/</w:t>
            </w:r>
            <w:r w:rsidRPr="002D50DB">
              <w:t xml:space="preserve"> remote)</w:t>
            </w:r>
          </w:p>
        </w:tc>
        <w:tc>
          <w:tcPr>
            <w:tcW w:w="1074" w:type="dxa"/>
            <w:noWrap/>
            <w:hideMark/>
          </w:tcPr>
          <w:p w14:paraId="7B1A4B6C" w14:textId="7852CFDC" w:rsidR="006209F7" w:rsidRPr="001E7B9C" w:rsidRDefault="006425F0" w:rsidP="00ED06E2">
            <w:pPr>
              <w:pStyle w:val="TableText"/>
            </w:pPr>
            <w:r w:rsidRPr="002D50DB">
              <w:t>117</w:t>
            </w:r>
          </w:p>
        </w:tc>
        <w:tc>
          <w:tcPr>
            <w:tcW w:w="1074" w:type="dxa"/>
            <w:noWrap/>
            <w:hideMark/>
          </w:tcPr>
          <w:p w14:paraId="3ACC7747" w14:textId="1BFD31B8" w:rsidR="006209F7" w:rsidRPr="001E7B9C" w:rsidRDefault="006425F0" w:rsidP="00ED06E2">
            <w:pPr>
              <w:pStyle w:val="TableText"/>
            </w:pPr>
            <w:r w:rsidRPr="002D50DB">
              <w:t>134</w:t>
            </w:r>
          </w:p>
        </w:tc>
        <w:tc>
          <w:tcPr>
            <w:tcW w:w="1074" w:type="dxa"/>
            <w:noWrap/>
            <w:hideMark/>
          </w:tcPr>
          <w:p w14:paraId="5108C12C" w14:textId="5B6930FD" w:rsidR="006209F7" w:rsidRPr="001E7B9C" w:rsidRDefault="006425F0" w:rsidP="00ED06E2">
            <w:pPr>
              <w:pStyle w:val="TableText"/>
            </w:pPr>
            <w:r w:rsidRPr="002D50DB">
              <w:t>154</w:t>
            </w:r>
          </w:p>
        </w:tc>
        <w:tc>
          <w:tcPr>
            <w:tcW w:w="1074" w:type="dxa"/>
            <w:noWrap/>
            <w:hideMark/>
          </w:tcPr>
          <w:p w14:paraId="57E7A1C7" w14:textId="6D894F3F" w:rsidR="006209F7" w:rsidRPr="001E7B9C" w:rsidRDefault="006425F0" w:rsidP="00ED06E2">
            <w:pPr>
              <w:pStyle w:val="TableText"/>
            </w:pPr>
            <w:r w:rsidRPr="002D50DB">
              <w:t>178</w:t>
            </w:r>
          </w:p>
        </w:tc>
        <w:tc>
          <w:tcPr>
            <w:tcW w:w="1074" w:type="dxa"/>
            <w:noWrap/>
            <w:hideMark/>
          </w:tcPr>
          <w:p w14:paraId="6C36459A" w14:textId="47B20EF6" w:rsidR="006209F7" w:rsidRPr="001E7B9C" w:rsidRDefault="006425F0" w:rsidP="00ED06E2">
            <w:pPr>
              <w:pStyle w:val="TableText"/>
            </w:pPr>
            <w:r w:rsidRPr="002D50DB">
              <w:t>204</w:t>
            </w:r>
          </w:p>
        </w:tc>
        <w:tc>
          <w:tcPr>
            <w:tcW w:w="1074" w:type="dxa"/>
            <w:noWrap/>
            <w:hideMark/>
          </w:tcPr>
          <w:p w14:paraId="79191DE0" w14:textId="14F4BC93" w:rsidR="006209F7" w:rsidRPr="001E7B9C" w:rsidRDefault="006425F0" w:rsidP="00ED06E2">
            <w:pPr>
              <w:pStyle w:val="TableText"/>
            </w:pPr>
            <w:r w:rsidRPr="002D50DB">
              <w:t>235</w:t>
            </w:r>
          </w:p>
        </w:tc>
      </w:tr>
      <w:tr w:rsidR="006209F7" w:rsidRPr="001E7B9C" w14:paraId="7C605065" w14:textId="77777777" w:rsidTr="00922ED7">
        <w:trPr>
          <w:trHeight w:val="290"/>
        </w:trPr>
        <w:tc>
          <w:tcPr>
            <w:tcW w:w="2572" w:type="dxa"/>
            <w:hideMark/>
          </w:tcPr>
          <w:p w14:paraId="27B16622" w14:textId="77777777" w:rsidR="006209F7" w:rsidRPr="001E7B9C" w:rsidRDefault="006209F7" w:rsidP="006209F7">
            <w:pPr>
              <w:pStyle w:val="TableText"/>
            </w:pPr>
            <w:r w:rsidRPr="001E7B9C">
              <w:t>Cost to the MBS (metropolitan</w:t>
            </w:r>
            <w:r>
              <w:t>/regional</w:t>
            </w:r>
            <w:r w:rsidRPr="001E7B9C">
              <w:t xml:space="preserve">) </w:t>
            </w:r>
          </w:p>
        </w:tc>
        <w:tc>
          <w:tcPr>
            <w:tcW w:w="1074" w:type="dxa"/>
            <w:noWrap/>
            <w:hideMark/>
          </w:tcPr>
          <w:p w14:paraId="5BA7F553" w14:textId="3D976EE1" w:rsidR="006209F7" w:rsidRPr="001E7B9C" w:rsidRDefault="006209F7" w:rsidP="006209F7">
            <w:pPr>
              <w:pStyle w:val="TableText"/>
            </w:pPr>
            <w:r w:rsidRPr="006A4EF3">
              <w:t>$188,240</w:t>
            </w:r>
          </w:p>
        </w:tc>
        <w:tc>
          <w:tcPr>
            <w:tcW w:w="1074" w:type="dxa"/>
            <w:noWrap/>
            <w:hideMark/>
          </w:tcPr>
          <w:p w14:paraId="557B5C39" w14:textId="1F10C60B" w:rsidR="006209F7" w:rsidRPr="001E7B9C" w:rsidRDefault="006209F7" w:rsidP="006209F7">
            <w:pPr>
              <w:pStyle w:val="TableText"/>
            </w:pPr>
            <w:r w:rsidRPr="006A4EF3">
              <w:t>$216,476</w:t>
            </w:r>
          </w:p>
        </w:tc>
        <w:tc>
          <w:tcPr>
            <w:tcW w:w="1074" w:type="dxa"/>
            <w:noWrap/>
            <w:hideMark/>
          </w:tcPr>
          <w:p w14:paraId="788DE632" w14:textId="12D32863" w:rsidR="006209F7" w:rsidRPr="001E7B9C" w:rsidRDefault="006209F7" w:rsidP="006209F7">
            <w:pPr>
              <w:pStyle w:val="TableText"/>
            </w:pPr>
            <w:r w:rsidRPr="006A4EF3">
              <w:t>$248,947</w:t>
            </w:r>
          </w:p>
        </w:tc>
        <w:tc>
          <w:tcPr>
            <w:tcW w:w="1074" w:type="dxa"/>
            <w:noWrap/>
            <w:hideMark/>
          </w:tcPr>
          <w:p w14:paraId="76C51727" w14:textId="11B80BD8" w:rsidR="006209F7" w:rsidRPr="001E7B9C" w:rsidRDefault="006209F7" w:rsidP="006209F7">
            <w:pPr>
              <w:pStyle w:val="TableText"/>
            </w:pPr>
            <w:r w:rsidRPr="006A4EF3">
              <w:t>$286,290</w:t>
            </w:r>
          </w:p>
        </w:tc>
        <w:tc>
          <w:tcPr>
            <w:tcW w:w="1074" w:type="dxa"/>
            <w:noWrap/>
            <w:hideMark/>
          </w:tcPr>
          <w:p w14:paraId="02163147" w14:textId="28CFEFEF" w:rsidR="006209F7" w:rsidRPr="001E7B9C" w:rsidRDefault="006209F7" w:rsidP="006209F7">
            <w:pPr>
              <w:pStyle w:val="TableText"/>
            </w:pPr>
            <w:r w:rsidRPr="006A4EF3">
              <w:t>$329,233</w:t>
            </w:r>
          </w:p>
        </w:tc>
        <w:tc>
          <w:tcPr>
            <w:tcW w:w="1074" w:type="dxa"/>
            <w:noWrap/>
            <w:hideMark/>
          </w:tcPr>
          <w:p w14:paraId="286D18E2" w14:textId="125E901C" w:rsidR="006209F7" w:rsidRPr="001E7B9C" w:rsidRDefault="006209F7" w:rsidP="006209F7">
            <w:pPr>
              <w:pStyle w:val="TableText"/>
            </w:pPr>
            <w:r w:rsidRPr="006A4EF3">
              <w:t>$378,618</w:t>
            </w:r>
          </w:p>
        </w:tc>
      </w:tr>
      <w:tr w:rsidR="006209F7" w:rsidRPr="001E7B9C" w14:paraId="154049B4" w14:textId="77777777" w:rsidTr="00922ED7">
        <w:trPr>
          <w:trHeight w:val="290"/>
        </w:trPr>
        <w:tc>
          <w:tcPr>
            <w:tcW w:w="2572" w:type="dxa"/>
            <w:hideMark/>
          </w:tcPr>
          <w:p w14:paraId="15F92FAD" w14:textId="77777777" w:rsidR="006209F7" w:rsidRPr="001E7B9C" w:rsidRDefault="006209F7" w:rsidP="006209F7">
            <w:pPr>
              <w:pStyle w:val="TableText"/>
            </w:pPr>
            <w:r w:rsidRPr="001E7B9C">
              <w:t>Cost to the MBS (rural</w:t>
            </w:r>
            <w:r>
              <w:t>/</w:t>
            </w:r>
            <w:r w:rsidRPr="001E7B9C">
              <w:t xml:space="preserve">remote) </w:t>
            </w:r>
          </w:p>
        </w:tc>
        <w:tc>
          <w:tcPr>
            <w:tcW w:w="1074" w:type="dxa"/>
            <w:noWrap/>
            <w:hideMark/>
          </w:tcPr>
          <w:p w14:paraId="13A6B26D" w14:textId="0BF318A4" w:rsidR="006209F7" w:rsidRPr="001E7B9C" w:rsidRDefault="006425F0" w:rsidP="006209F7">
            <w:pPr>
              <w:pStyle w:val="TableText"/>
            </w:pPr>
            <w:r w:rsidRPr="00EF0C38">
              <w:t>$58,478</w:t>
            </w:r>
          </w:p>
        </w:tc>
        <w:tc>
          <w:tcPr>
            <w:tcW w:w="1074" w:type="dxa"/>
            <w:noWrap/>
            <w:hideMark/>
          </w:tcPr>
          <w:p w14:paraId="7D17CA5F" w14:textId="0804F8C3" w:rsidR="006209F7" w:rsidRPr="001E7B9C" w:rsidRDefault="006425F0" w:rsidP="006209F7">
            <w:pPr>
              <w:pStyle w:val="TableText"/>
            </w:pPr>
            <w:r w:rsidRPr="00EF0C38">
              <w:t>$67,249</w:t>
            </w:r>
          </w:p>
        </w:tc>
        <w:tc>
          <w:tcPr>
            <w:tcW w:w="1074" w:type="dxa"/>
            <w:noWrap/>
            <w:hideMark/>
          </w:tcPr>
          <w:p w14:paraId="14BBA95B" w14:textId="41C8189F" w:rsidR="006209F7" w:rsidRPr="001E7B9C" w:rsidRDefault="006425F0" w:rsidP="006209F7">
            <w:pPr>
              <w:pStyle w:val="TableText"/>
            </w:pPr>
            <w:r w:rsidRPr="00EF0C38">
              <w:t>$77,337</w:t>
            </w:r>
          </w:p>
        </w:tc>
        <w:tc>
          <w:tcPr>
            <w:tcW w:w="1074" w:type="dxa"/>
            <w:noWrap/>
            <w:hideMark/>
          </w:tcPr>
          <w:p w14:paraId="7E5CD1DC" w14:textId="3465660D" w:rsidR="006209F7" w:rsidRPr="001E7B9C" w:rsidRDefault="006425F0" w:rsidP="006209F7">
            <w:pPr>
              <w:pStyle w:val="TableText"/>
            </w:pPr>
            <w:r w:rsidRPr="00EF0C38">
              <w:t>$88,937</w:t>
            </w:r>
          </w:p>
        </w:tc>
        <w:tc>
          <w:tcPr>
            <w:tcW w:w="1074" w:type="dxa"/>
            <w:noWrap/>
            <w:hideMark/>
          </w:tcPr>
          <w:p w14:paraId="49EBE1E7" w14:textId="3108D5D8" w:rsidR="006209F7" w:rsidRPr="001E7B9C" w:rsidRDefault="006425F0" w:rsidP="006209F7">
            <w:pPr>
              <w:pStyle w:val="TableText"/>
            </w:pPr>
            <w:r w:rsidRPr="00EF0C38">
              <w:t>$102,278</w:t>
            </w:r>
          </w:p>
        </w:tc>
        <w:tc>
          <w:tcPr>
            <w:tcW w:w="1074" w:type="dxa"/>
            <w:noWrap/>
            <w:hideMark/>
          </w:tcPr>
          <w:p w14:paraId="794633DB" w14:textId="3B008022" w:rsidR="006209F7" w:rsidRPr="001E7B9C" w:rsidRDefault="006425F0" w:rsidP="006209F7">
            <w:pPr>
              <w:pStyle w:val="TableText"/>
            </w:pPr>
            <w:r w:rsidRPr="00EF0C38">
              <w:t>$117,619</w:t>
            </w:r>
          </w:p>
        </w:tc>
      </w:tr>
      <w:tr w:rsidR="006209F7" w:rsidRPr="001E7B9C" w14:paraId="0B01E2EB" w14:textId="77777777" w:rsidTr="00922ED7">
        <w:trPr>
          <w:trHeight w:val="290"/>
        </w:trPr>
        <w:tc>
          <w:tcPr>
            <w:tcW w:w="2572" w:type="dxa"/>
            <w:hideMark/>
          </w:tcPr>
          <w:p w14:paraId="5E583CA8" w14:textId="77777777" w:rsidR="006209F7" w:rsidRPr="001E7B9C" w:rsidRDefault="006209F7" w:rsidP="00ED06E2">
            <w:pPr>
              <w:pStyle w:val="TableHeading0"/>
            </w:pPr>
            <w:r w:rsidRPr="001E7B9C">
              <w:t>Change in use and cost of other health technologies</w:t>
            </w:r>
          </w:p>
        </w:tc>
        <w:tc>
          <w:tcPr>
            <w:tcW w:w="1074" w:type="dxa"/>
            <w:noWrap/>
            <w:hideMark/>
          </w:tcPr>
          <w:p w14:paraId="7A1BD0B2" w14:textId="77777777" w:rsidR="006209F7" w:rsidRPr="001E7B9C" w:rsidRDefault="006209F7" w:rsidP="00ED06E2">
            <w:pPr>
              <w:pStyle w:val="TableHeading0"/>
            </w:pPr>
            <w:r w:rsidRPr="001E7B9C">
              <w:t> </w:t>
            </w:r>
          </w:p>
        </w:tc>
        <w:tc>
          <w:tcPr>
            <w:tcW w:w="1074" w:type="dxa"/>
            <w:noWrap/>
            <w:hideMark/>
          </w:tcPr>
          <w:p w14:paraId="18222A70" w14:textId="77777777" w:rsidR="006209F7" w:rsidRPr="001E7B9C" w:rsidRDefault="006209F7" w:rsidP="00ED06E2">
            <w:pPr>
              <w:pStyle w:val="TableHeading0"/>
            </w:pPr>
            <w:r w:rsidRPr="001E7B9C">
              <w:t> </w:t>
            </w:r>
          </w:p>
        </w:tc>
        <w:tc>
          <w:tcPr>
            <w:tcW w:w="1074" w:type="dxa"/>
            <w:noWrap/>
            <w:hideMark/>
          </w:tcPr>
          <w:p w14:paraId="71C2C235" w14:textId="77777777" w:rsidR="006209F7" w:rsidRPr="001E7B9C" w:rsidRDefault="006209F7" w:rsidP="00ED06E2">
            <w:pPr>
              <w:pStyle w:val="TableHeading0"/>
            </w:pPr>
            <w:r w:rsidRPr="001E7B9C">
              <w:t> </w:t>
            </w:r>
          </w:p>
        </w:tc>
        <w:tc>
          <w:tcPr>
            <w:tcW w:w="1074" w:type="dxa"/>
            <w:noWrap/>
            <w:hideMark/>
          </w:tcPr>
          <w:p w14:paraId="57A15BF2" w14:textId="77777777" w:rsidR="006209F7" w:rsidRPr="001E7B9C" w:rsidRDefault="006209F7" w:rsidP="00ED06E2">
            <w:pPr>
              <w:pStyle w:val="TableHeading0"/>
            </w:pPr>
            <w:r w:rsidRPr="001E7B9C">
              <w:t> </w:t>
            </w:r>
          </w:p>
        </w:tc>
        <w:tc>
          <w:tcPr>
            <w:tcW w:w="1074" w:type="dxa"/>
            <w:noWrap/>
            <w:hideMark/>
          </w:tcPr>
          <w:p w14:paraId="645133F2" w14:textId="77777777" w:rsidR="006209F7" w:rsidRPr="001E7B9C" w:rsidRDefault="006209F7" w:rsidP="00ED06E2">
            <w:pPr>
              <w:pStyle w:val="TableHeading0"/>
            </w:pPr>
            <w:r w:rsidRPr="001E7B9C">
              <w:t> </w:t>
            </w:r>
          </w:p>
        </w:tc>
        <w:tc>
          <w:tcPr>
            <w:tcW w:w="1074" w:type="dxa"/>
            <w:noWrap/>
            <w:hideMark/>
          </w:tcPr>
          <w:p w14:paraId="1A42AD5F" w14:textId="77777777" w:rsidR="006209F7" w:rsidRPr="001E7B9C" w:rsidRDefault="006209F7" w:rsidP="00ED06E2">
            <w:pPr>
              <w:pStyle w:val="TableHeading0"/>
            </w:pPr>
            <w:r w:rsidRPr="001E7B9C">
              <w:t> </w:t>
            </w:r>
          </w:p>
        </w:tc>
      </w:tr>
      <w:tr w:rsidR="006209F7" w:rsidRPr="001E7B9C" w14:paraId="4F8F89CA" w14:textId="77777777" w:rsidTr="00922ED7">
        <w:trPr>
          <w:trHeight w:val="290"/>
        </w:trPr>
        <w:tc>
          <w:tcPr>
            <w:tcW w:w="2572" w:type="dxa"/>
            <w:hideMark/>
          </w:tcPr>
          <w:p w14:paraId="626AF6D5" w14:textId="77777777" w:rsidR="006209F7" w:rsidRPr="001E7B9C" w:rsidRDefault="006209F7" w:rsidP="006209F7">
            <w:pPr>
              <w:pStyle w:val="TableText"/>
            </w:pPr>
            <w:r w:rsidRPr="001E7B9C">
              <w:t>Substitution of Level 1 services</w:t>
            </w:r>
          </w:p>
        </w:tc>
        <w:tc>
          <w:tcPr>
            <w:tcW w:w="1074" w:type="dxa"/>
            <w:noWrap/>
            <w:hideMark/>
          </w:tcPr>
          <w:p w14:paraId="3C8C42B0" w14:textId="1942E82C" w:rsidR="006209F7" w:rsidRPr="001E7B9C" w:rsidRDefault="006209F7" w:rsidP="006209F7">
            <w:pPr>
              <w:pStyle w:val="TableText"/>
            </w:pPr>
            <w:r w:rsidRPr="006A4EF3">
              <w:t>-526</w:t>
            </w:r>
          </w:p>
        </w:tc>
        <w:tc>
          <w:tcPr>
            <w:tcW w:w="1074" w:type="dxa"/>
            <w:noWrap/>
            <w:hideMark/>
          </w:tcPr>
          <w:p w14:paraId="6BE736B2" w14:textId="22A8354E" w:rsidR="006209F7" w:rsidRPr="001E7B9C" w:rsidRDefault="006209F7" w:rsidP="006209F7">
            <w:pPr>
              <w:pStyle w:val="TableText"/>
            </w:pPr>
            <w:r w:rsidRPr="006A4EF3">
              <w:t>-552</w:t>
            </w:r>
          </w:p>
        </w:tc>
        <w:tc>
          <w:tcPr>
            <w:tcW w:w="1074" w:type="dxa"/>
            <w:noWrap/>
            <w:hideMark/>
          </w:tcPr>
          <w:p w14:paraId="202A45EC" w14:textId="06C37980" w:rsidR="006209F7" w:rsidRPr="001E7B9C" w:rsidRDefault="006209F7" w:rsidP="006209F7">
            <w:pPr>
              <w:pStyle w:val="TableText"/>
            </w:pPr>
            <w:r w:rsidRPr="006A4EF3">
              <w:t>-579</w:t>
            </w:r>
          </w:p>
        </w:tc>
        <w:tc>
          <w:tcPr>
            <w:tcW w:w="1074" w:type="dxa"/>
            <w:noWrap/>
            <w:hideMark/>
          </w:tcPr>
          <w:p w14:paraId="10C940EF" w14:textId="1632FB0F" w:rsidR="006209F7" w:rsidRPr="001E7B9C" w:rsidRDefault="006209F7" w:rsidP="006209F7">
            <w:pPr>
              <w:pStyle w:val="TableText"/>
            </w:pPr>
            <w:r w:rsidRPr="006A4EF3">
              <w:t>-608</w:t>
            </w:r>
          </w:p>
        </w:tc>
        <w:tc>
          <w:tcPr>
            <w:tcW w:w="1074" w:type="dxa"/>
            <w:noWrap/>
            <w:hideMark/>
          </w:tcPr>
          <w:p w14:paraId="13CCCE45" w14:textId="7E44EE3D" w:rsidR="006209F7" w:rsidRPr="001E7B9C" w:rsidRDefault="006209F7" w:rsidP="006209F7">
            <w:pPr>
              <w:pStyle w:val="TableText"/>
            </w:pPr>
            <w:r w:rsidRPr="006A4EF3">
              <w:t>-639</w:t>
            </w:r>
          </w:p>
        </w:tc>
        <w:tc>
          <w:tcPr>
            <w:tcW w:w="1074" w:type="dxa"/>
            <w:noWrap/>
            <w:hideMark/>
          </w:tcPr>
          <w:p w14:paraId="3311DE72" w14:textId="56A30453" w:rsidR="006209F7" w:rsidRPr="001E7B9C" w:rsidRDefault="006209F7" w:rsidP="006209F7">
            <w:pPr>
              <w:pStyle w:val="TableText"/>
            </w:pPr>
            <w:r w:rsidRPr="006A4EF3">
              <w:t>-671</w:t>
            </w:r>
          </w:p>
        </w:tc>
      </w:tr>
      <w:tr w:rsidR="006209F7" w:rsidRPr="001E7B9C" w14:paraId="4ED668B6" w14:textId="77777777" w:rsidTr="00922ED7">
        <w:trPr>
          <w:trHeight w:val="290"/>
        </w:trPr>
        <w:tc>
          <w:tcPr>
            <w:tcW w:w="2572" w:type="dxa"/>
            <w:hideMark/>
          </w:tcPr>
          <w:p w14:paraId="2D0698AE" w14:textId="77777777" w:rsidR="006209F7" w:rsidRPr="001E7B9C" w:rsidRDefault="006209F7" w:rsidP="006209F7">
            <w:pPr>
              <w:pStyle w:val="TableText"/>
            </w:pPr>
            <w:r>
              <w:t>Saving</w:t>
            </w:r>
            <w:r w:rsidRPr="001E7B9C">
              <w:t xml:space="preserve"> to the MBS </w:t>
            </w:r>
          </w:p>
        </w:tc>
        <w:tc>
          <w:tcPr>
            <w:tcW w:w="1074" w:type="dxa"/>
            <w:noWrap/>
            <w:hideMark/>
          </w:tcPr>
          <w:p w14:paraId="711C038E" w14:textId="78643FA9" w:rsidR="006209F7" w:rsidRPr="001E7B9C" w:rsidRDefault="006209F7" w:rsidP="006209F7">
            <w:pPr>
              <w:pStyle w:val="TableText"/>
            </w:pPr>
            <w:r w:rsidRPr="006A4EF3">
              <w:t xml:space="preserve">-$302,880 </w:t>
            </w:r>
          </w:p>
        </w:tc>
        <w:tc>
          <w:tcPr>
            <w:tcW w:w="1074" w:type="dxa"/>
            <w:noWrap/>
            <w:hideMark/>
          </w:tcPr>
          <w:p w14:paraId="5AC14F34" w14:textId="30D711B6" w:rsidR="006209F7" w:rsidRPr="001E7B9C" w:rsidRDefault="006209F7" w:rsidP="006209F7">
            <w:pPr>
              <w:pStyle w:val="TableText"/>
            </w:pPr>
            <w:r w:rsidRPr="006A4EF3">
              <w:t xml:space="preserve">-$318,024 </w:t>
            </w:r>
          </w:p>
        </w:tc>
        <w:tc>
          <w:tcPr>
            <w:tcW w:w="1074" w:type="dxa"/>
            <w:noWrap/>
            <w:hideMark/>
          </w:tcPr>
          <w:p w14:paraId="45085808" w14:textId="38477889" w:rsidR="006209F7" w:rsidRPr="001E7B9C" w:rsidRDefault="006209F7" w:rsidP="006209F7">
            <w:pPr>
              <w:pStyle w:val="TableText"/>
            </w:pPr>
            <w:r w:rsidRPr="006A4EF3">
              <w:t xml:space="preserve">-$333,925 </w:t>
            </w:r>
          </w:p>
        </w:tc>
        <w:tc>
          <w:tcPr>
            <w:tcW w:w="1074" w:type="dxa"/>
            <w:noWrap/>
            <w:hideMark/>
          </w:tcPr>
          <w:p w14:paraId="6C25F216" w14:textId="66BE8313" w:rsidR="006209F7" w:rsidRPr="001E7B9C" w:rsidRDefault="006209F7" w:rsidP="006209F7">
            <w:pPr>
              <w:pStyle w:val="TableText"/>
            </w:pPr>
            <w:r w:rsidRPr="006A4EF3">
              <w:t xml:space="preserve">-$350,622 </w:t>
            </w:r>
          </w:p>
        </w:tc>
        <w:tc>
          <w:tcPr>
            <w:tcW w:w="1074" w:type="dxa"/>
            <w:noWrap/>
            <w:hideMark/>
          </w:tcPr>
          <w:p w14:paraId="06C52544" w14:textId="56215256" w:rsidR="006209F7" w:rsidRPr="001E7B9C" w:rsidRDefault="006209F7" w:rsidP="006209F7">
            <w:pPr>
              <w:pStyle w:val="TableText"/>
            </w:pPr>
            <w:r w:rsidRPr="006A4EF3">
              <w:t xml:space="preserve">-$368,153 </w:t>
            </w:r>
          </w:p>
        </w:tc>
        <w:tc>
          <w:tcPr>
            <w:tcW w:w="1074" w:type="dxa"/>
            <w:noWrap/>
            <w:hideMark/>
          </w:tcPr>
          <w:p w14:paraId="54334B23" w14:textId="30A33A57" w:rsidR="006209F7" w:rsidRPr="001E7B9C" w:rsidRDefault="006209F7" w:rsidP="006209F7">
            <w:pPr>
              <w:pStyle w:val="TableText"/>
            </w:pPr>
            <w:r w:rsidRPr="006A4EF3">
              <w:t xml:space="preserve">-$386,560 </w:t>
            </w:r>
          </w:p>
        </w:tc>
      </w:tr>
      <w:tr w:rsidR="006209F7" w:rsidRPr="001E7B9C" w14:paraId="4A2F346E" w14:textId="77777777" w:rsidTr="00922ED7">
        <w:trPr>
          <w:trHeight w:val="290"/>
        </w:trPr>
        <w:tc>
          <w:tcPr>
            <w:tcW w:w="2572" w:type="dxa"/>
            <w:hideMark/>
          </w:tcPr>
          <w:p w14:paraId="127BF6A5" w14:textId="77777777" w:rsidR="006209F7" w:rsidRPr="001E7B9C" w:rsidRDefault="006209F7" w:rsidP="00ED06E2">
            <w:pPr>
              <w:pStyle w:val="TableHeading0"/>
            </w:pPr>
            <w:r w:rsidRPr="001E7B9C">
              <w:t>Additional testing due to failed Level 2 tests</w:t>
            </w:r>
            <w:r>
              <w:rPr>
                <w:vertAlign w:val="superscript"/>
                <w:lang w:eastAsia="en-AU"/>
              </w:rPr>
              <w:t xml:space="preserve"> a</w:t>
            </w:r>
          </w:p>
        </w:tc>
        <w:tc>
          <w:tcPr>
            <w:tcW w:w="1074" w:type="dxa"/>
            <w:noWrap/>
            <w:hideMark/>
          </w:tcPr>
          <w:p w14:paraId="38B1DA54" w14:textId="77777777" w:rsidR="006209F7" w:rsidRPr="001E7B9C" w:rsidRDefault="006209F7" w:rsidP="00ED06E2">
            <w:pPr>
              <w:pStyle w:val="TableHeading0"/>
            </w:pPr>
            <w:r w:rsidRPr="001E7B9C">
              <w:t> </w:t>
            </w:r>
          </w:p>
        </w:tc>
        <w:tc>
          <w:tcPr>
            <w:tcW w:w="1074" w:type="dxa"/>
            <w:noWrap/>
            <w:hideMark/>
          </w:tcPr>
          <w:p w14:paraId="1A119FCF" w14:textId="77777777" w:rsidR="006209F7" w:rsidRPr="001E7B9C" w:rsidRDefault="006209F7" w:rsidP="00ED06E2">
            <w:pPr>
              <w:pStyle w:val="TableHeading0"/>
            </w:pPr>
            <w:r w:rsidRPr="001E7B9C">
              <w:t> </w:t>
            </w:r>
          </w:p>
        </w:tc>
        <w:tc>
          <w:tcPr>
            <w:tcW w:w="1074" w:type="dxa"/>
            <w:noWrap/>
            <w:hideMark/>
          </w:tcPr>
          <w:p w14:paraId="312C9321" w14:textId="77777777" w:rsidR="006209F7" w:rsidRPr="001E7B9C" w:rsidRDefault="006209F7" w:rsidP="00ED06E2">
            <w:pPr>
              <w:pStyle w:val="TableHeading0"/>
            </w:pPr>
            <w:r w:rsidRPr="001E7B9C">
              <w:t> </w:t>
            </w:r>
          </w:p>
        </w:tc>
        <w:tc>
          <w:tcPr>
            <w:tcW w:w="1074" w:type="dxa"/>
            <w:noWrap/>
            <w:hideMark/>
          </w:tcPr>
          <w:p w14:paraId="1615250B" w14:textId="77777777" w:rsidR="006209F7" w:rsidRPr="001E7B9C" w:rsidRDefault="006209F7" w:rsidP="00ED06E2">
            <w:pPr>
              <w:pStyle w:val="TableHeading0"/>
            </w:pPr>
            <w:r w:rsidRPr="001E7B9C">
              <w:t> </w:t>
            </w:r>
          </w:p>
        </w:tc>
        <w:tc>
          <w:tcPr>
            <w:tcW w:w="1074" w:type="dxa"/>
            <w:noWrap/>
            <w:hideMark/>
          </w:tcPr>
          <w:p w14:paraId="443AD87C" w14:textId="77777777" w:rsidR="006209F7" w:rsidRPr="001E7B9C" w:rsidRDefault="006209F7" w:rsidP="00ED06E2">
            <w:pPr>
              <w:pStyle w:val="TableHeading0"/>
            </w:pPr>
            <w:r w:rsidRPr="001E7B9C">
              <w:t> </w:t>
            </w:r>
          </w:p>
        </w:tc>
        <w:tc>
          <w:tcPr>
            <w:tcW w:w="1074" w:type="dxa"/>
            <w:noWrap/>
            <w:hideMark/>
          </w:tcPr>
          <w:p w14:paraId="208FDD72" w14:textId="77777777" w:rsidR="006209F7" w:rsidRPr="001E7B9C" w:rsidRDefault="006209F7" w:rsidP="00ED06E2">
            <w:pPr>
              <w:pStyle w:val="TableHeading0"/>
            </w:pPr>
            <w:r w:rsidRPr="001E7B9C">
              <w:t> </w:t>
            </w:r>
          </w:p>
        </w:tc>
      </w:tr>
      <w:tr w:rsidR="006209F7" w:rsidRPr="001E7B9C" w14:paraId="004B359E" w14:textId="77777777" w:rsidTr="00922ED7">
        <w:trPr>
          <w:trHeight w:val="290"/>
        </w:trPr>
        <w:tc>
          <w:tcPr>
            <w:tcW w:w="2572" w:type="dxa"/>
            <w:hideMark/>
          </w:tcPr>
          <w:p w14:paraId="0FFB4DE2" w14:textId="77777777" w:rsidR="006209F7" w:rsidRPr="001E7B9C" w:rsidRDefault="006209F7" w:rsidP="006209F7">
            <w:pPr>
              <w:pStyle w:val="TableText"/>
            </w:pPr>
            <w:r w:rsidRPr="001E7B9C">
              <w:t xml:space="preserve">Number of </w:t>
            </w:r>
            <w:r>
              <w:t xml:space="preserve">first </w:t>
            </w:r>
            <w:r w:rsidRPr="001E7B9C">
              <w:t xml:space="preserve">test failures </w:t>
            </w:r>
          </w:p>
        </w:tc>
        <w:tc>
          <w:tcPr>
            <w:tcW w:w="1074" w:type="dxa"/>
            <w:noWrap/>
            <w:hideMark/>
          </w:tcPr>
          <w:p w14:paraId="36E79C7C" w14:textId="0F58903E" w:rsidR="006209F7" w:rsidRPr="001E7B9C" w:rsidRDefault="006209F7" w:rsidP="006209F7">
            <w:pPr>
              <w:pStyle w:val="TableText"/>
            </w:pPr>
            <w:r w:rsidRPr="002C6230">
              <w:t>58</w:t>
            </w:r>
          </w:p>
        </w:tc>
        <w:tc>
          <w:tcPr>
            <w:tcW w:w="1074" w:type="dxa"/>
            <w:noWrap/>
            <w:hideMark/>
          </w:tcPr>
          <w:p w14:paraId="6E6B2287" w14:textId="14ED63CC" w:rsidR="006209F7" w:rsidRPr="001E7B9C" w:rsidRDefault="006209F7" w:rsidP="006209F7">
            <w:pPr>
              <w:pStyle w:val="TableText"/>
            </w:pPr>
            <w:r w:rsidRPr="002C6230">
              <w:t>67</w:t>
            </w:r>
          </w:p>
        </w:tc>
        <w:tc>
          <w:tcPr>
            <w:tcW w:w="1074" w:type="dxa"/>
            <w:noWrap/>
            <w:hideMark/>
          </w:tcPr>
          <w:p w14:paraId="1F187AF3" w14:textId="723A27AE" w:rsidR="006209F7" w:rsidRPr="001E7B9C" w:rsidRDefault="006209F7" w:rsidP="006209F7">
            <w:pPr>
              <w:pStyle w:val="TableText"/>
            </w:pPr>
            <w:r w:rsidRPr="002C6230">
              <w:t>77</w:t>
            </w:r>
          </w:p>
        </w:tc>
        <w:tc>
          <w:tcPr>
            <w:tcW w:w="1074" w:type="dxa"/>
            <w:noWrap/>
            <w:hideMark/>
          </w:tcPr>
          <w:p w14:paraId="093170F5" w14:textId="7BE7C203" w:rsidR="006209F7" w:rsidRPr="001E7B9C" w:rsidRDefault="006209F7" w:rsidP="006209F7">
            <w:pPr>
              <w:pStyle w:val="TableText"/>
            </w:pPr>
            <w:r w:rsidRPr="002C6230">
              <w:t>89</w:t>
            </w:r>
          </w:p>
        </w:tc>
        <w:tc>
          <w:tcPr>
            <w:tcW w:w="1074" w:type="dxa"/>
            <w:noWrap/>
            <w:hideMark/>
          </w:tcPr>
          <w:p w14:paraId="48C70EB7" w14:textId="0D07E18C" w:rsidR="006209F7" w:rsidRPr="001E7B9C" w:rsidRDefault="006209F7" w:rsidP="006209F7">
            <w:pPr>
              <w:pStyle w:val="TableText"/>
            </w:pPr>
            <w:r w:rsidRPr="002C6230">
              <w:t>102</w:t>
            </w:r>
          </w:p>
        </w:tc>
        <w:tc>
          <w:tcPr>
            <w:tcW w:w="1074" w:type="dxa"/>
            <w:noWrap/>
            <w:hideMark/>
          </w:tcPr>
          <w:p w14:paraId="178C66AA" w14:textId="646A91E6" w:rsidR="006209F7" w:rsidRPr="001E7B9C" w:rsidRDefault="006209F7" w:rsidP="006209F7">
            <w:pPr>
              <w:pStyle w:val="TableText"/>
            </w:pPr>
            <w:r w:rsidRPr="002C6230">
              <w:t>117</w:t>
            </w:r>
          </w:p>
        </w:tc>
      </w:tr>
      <w:tr w:rsidR="006209F7" w:rsidRPr="001E7B9C" w14:paraId="1CAC805C" w14:textId="77777777" w:rsidTr="00922ED7">
        <w:trPr>
          <w:trHeight w:val="290"/>
        </w:trPr>
        <w:tc>
          <w:tcPr>
            <w:tcW w:w="2572" w:type="dxa"/>
            <w:hideMark/>
          </w:tcPr>
          <w:p w14:paraId="6054A82B" w14:textId="77777777" w:rsidR="006209F7" w:rsidRPr="001E7B9C" w:rsidRDefault="006209F7" w:rsidP="006209F7">
            <w:pPr>
              <w:pStyle w:val="TableText"/>
            </w:pPr>
            <w:r w:rsidRPr="001E7B9C">
              <w:t xml:space="preserve">Number of second test failures </w:t>
            </w:r>
          </w:p>
        </w:tc>
        <w:tc>
          <w:tcPr>
            <w:tcW w:w="1074" w:type="dxa"/>
            <w:noWrap/>
            <w:hideMark/>
          </w:tcPr>
          <w:p w14:paraId="2AC45530" w14:textId="7E02E4CF" w:rsidR="006209F7" w:rsidRPr="001E7B9C" w:rsidRDefault="00281356" w:rsidP="006209F7">
            <w:pPr>
              <w:pStyle w:val="TableText"/>
            </w:pPr>
            <w:r w:rsidRPr="00C31130">
              <w:t>2</w:t>
            </w:r>
          </w:p>
        </w:tc>
        <w:tc>
          <w:tcPr>
            <w:tcW w:w="1074" w:type="dxa"/>
            <w:noWrap/>
            <w:hideMark/>
          </w:tcPr>
          <w:p w14:paraId="4904D2F3" w14:textId="5010DBF3" w:rsidR="006209F7" w:rsidRPr="001E7B9C" w:rsidRDefault="00281356" w:rsidP="006209F7">
            <w:pPr>
              <w:pStyle w:val="TableText"/>
            </w:pPr>
            <w:r w:rsidRPr="00C31130">
              <w:t>2</w:t>
            </w:r>
          </w:p>
        </w:tc>
        <w:tc>
          <w:tcPr>
            <w:tcW w:w="1074" w:type="dxa"/>
            <w:noWrap/>
            <w:hideMark/>
          </w:tcPr>
          <w:p w14:paraId="591D9D2D" w14:textId="31D2D1C5" w:rsidR="006209F7" w:rsidRPr="001E7B9C" w:rsidRDefault="00281356" w:rsidP="006209F7">
            <w:pPr>
              <w:pStyle w:val="TableText"/>
            </w:pPr>
            <w:r w:rsidRPr="00C31130">
              <w:t>2</w:t>
            </w:r>
          </w:p>
        </w:tc>
        <w:tc>
          <w:tcPr>
            <w:tcW w:w="1074" w:type="dxa"/>
            <w:noWrap/>
            <w:hideMark/>
          </w:tcPr>
          <w:p w14:paraId="6023AC93" w14:textId="7FC639E5" w:rsidR="006209F7" w:rsidRPr="001E7B9C" w:rsidRDefault="00281356" w:rsidP="006209F7">
            <w:pPr>
              <w:pStyle w:val="TableText"/>
            </w:pPr>
            <w:r w:rsidRPr="00C31130">
              <w:t>3</w:t>
            </w:r>
          </w:p>
        </w:tc>
        <w:tc>
          <w:tcPr>
            <w:tcW w:w="1074" w:type="dxa"/>
            <w:noWrap/>
            <w:hideMark/>
          </w:tcPr>
          <w:p w14:paraId="53A06C73" w14:textId="72A80365" w:rsidR="006209F7" w:rsidRPr="001E7B9C" w:rsidRDefault="00281356" w:rsidP="006209F7">
            <w:pPr>
              <w:pStyle w:val="TableText"/>
            </w:pPr>
            <w:r w:rsidRPr="00C31130">
              <w:t>3</w:t>
            </w:r>
          </w:p>
        </w:tc>
        <w:tc>
          <w:tcPr>
            <w:tcW w:w="1074" w:type="dxa"/>
            <w:noWrap/>
            <w:hideMark/>
          </w:tcPr>
          <w:p w14:paraId="4C6D6AF1" w14:textId="3297279D" w:rsidR="006209F7" w:rsidRPr="001E7B9C" w:rsidRDefault="00281356" w:rsidP="006209F7">
            <w:pPr>
              <w:pStyle w:val="TableText"/>
            </w:pPr>
            <w:r w:rsidRPr="00C31130">
              <w:t>4</w:t>
            </w:r>
          </w:p>
        </w:tc>
      </w:tr>
      <w:tr w:rsidR="006209F7" w:rsidRPr="001E7B9C" w14:paraId="2672F784" w14:textId="77777777" w:rsidTr="00922ED7">
        <w:trPr>
          <w:trHeight w:val="290"/>
        </w:trPr>
        <w:tc>
          <w:tcPr>
            <w:tcW w:w="2572" w:type="dxa"/>
            <w:hideMark/>
          </w:tcPr>
          <w:p w14:paraId="20C516FA" w14:textId="77777777" w:rsidR="006209F7" w:rsidRPr="001E7B9C" w:rsidRDefault="006209F7" w:rsidP="006209F7">
            <w:pPr>
              <w:pStyle w:val="TableText"/>
            </w:pPr>
            <w:r w:rsidRPr="001E7B9C">
              <w:t xml:space="preserve">Total cost to the MBS </w:t>
            </w:r>
            <w:r>
              <w:t>of test failures</w:t>
            </w:r>
          </w:p>
        </w:tc>
        <w:tc>
          <w:tcPr>
            <w:tcW w:w="1074" w:type="dxa"/>
            <w:noWrap/>
            <w:hideMark/>
          </w:tcPr>
          <w:p w14:paraId="440F2839" w14:textId="6BD7777E" w:rsidR="006209F7" w:rsidRPr="001E7B9C" w:rsidRDefault="0001374B" w:rsidP="006209F7">
            <w:pPr>
              <w:pStyle w:val="TableText"/>
            </w:pPr>
            <w:r w:rsidRPr="00C31130">
              <w:t>$30,336</w:t>
            </w:r>
          </w:p>
        </w:tc>
        <w:tc>
          <w:tcPr>
            <w:tcW w:w="1074" w:type="dxa"/>
            <w:noWrap/>
            <w:hideMark/>
          </w:tcPr>
          <w:p w14:paraId="1486DD6A" w14:textId="35A53DA4" w:rsidR="006209F7" w:rsidRPr="001E7B9C" w:rsidRDefault="0001374B" w:rsidP="006209F7">
            <w:pPr>
              <w:pStyle w:val="TableText"/>
            </w:pPr>
            <w:r w:rsidRPr="00C31130">
              <w:t>$34,886</w:t>
            </w:r>
          </w:p>
        </w:tc>
        <w:tc>
          <w:tcPr>
            <w:tcW w:w="1074" w:type="dxa"/>
            <w:noWrap/>
            <w:hideMark/>
          </w:tcPr>
          <w:p w14:paraId="14E8E2A8" w14:textId="1F3A7F91" w:rsidR="006209F7" w:rsidRPr="001E7B9C" w:rsidRDefault="0001374B" w:rsidP="006209F7">
            <w:pPr>
              <w:pStyle w:val="TableText"/>
            </w:pPr>
            <w:r w:rsidRPr="00C31130">
              <w:t>$40,119</w:t>
            </w:r>
          </w:p>
        </w:tc>
        <w:tc>
          <w:tcPr>
            <w:tcW w:w="1074" w:type="dxa"/>
            <w:noWrap/>
            <w:hideMark/>
          </w:tcPr>
          <w:p w14:paraId="454C14E2" w14:textId="0AD27D3D" w:rsidR="006209F7" w:rsidRPr="001E7B9C" w:rsidRDefault="0001374B" w:rsidP="006209F7">
            <w:pPr>
              <w:pStyle w:val="TableText"/>
            </w:pPr>
            <w:r w:rsidRPr="00C31130">
              <w:t>$46,137</w:t>
            </w:r>
          </w:p>
        </w:tc>
        <w:tc>
          <w:tcPr>
            <w:tcW w:w="1074" w:type="dxa"/>
            <w:noWrap/>
            <w:hideMark/>
          </w:tcPr>
          <w:p w14:paraId="12C9F161" w14:textId="56ED9182" w:rsidR="006209F7" w:rsidRPr="001E7B9C" w:rsidRDefault="0001374B" w:rsidP="006209F7">
            <w:pPr>
              <w:pStyle w:val="TableText"/>
            </w:pPr>
            <w:r w:rsidRPr="00C31130">
              <w:t>$53,058</w:t>
            </w:r>
          </w:p>
        </w:tc>
        <w:tc>
          <w:tcPr>
            <w:tcW w:w="1074" w:type="dxa"/>
            <w:noWrap/>
            <w:hideMark/>
          </w:tcPr>
          <w:p w14:paraId="683DD075" w14:textId="18A0B997" w:rsidR="006209F7" w:rsidRPr="001E7B9C" w:rsidRDefault="0001374B" w:rsidP="006209F7">
            <w:pPr>
              <w:pStyle w:val="TableText"/>
            </w:pPr>
            <w:r w:rsidRPr="00C31130">
              <w:t>$61,016</w:t>
            </w:r>
          </w:p>
        </w:tc>
      </w:tr>
      <w:tr w:rsidR="006209F7" w:rsidRPr="001E7B9C" w14:paraId="12771D90" w14:textId="77777777" w:rsidTr="00922ED7">
        <w:trPr>
          <w:trHeight w:val="290"/>
        </w:trPr>
        <w:tc>
          <w:tcPr>
            <w:tcW w:w="2572" w:type="dxa"/>
          </w:tcPr>
          <w:p w14:paraId="238E42B8" w14:textId="77777777" w:rsidR="006209F7" w:rsidRPr="001E7B9C" w:rsidRDefault="006209F7" w:rsidP="004803A4">
            <w:pPr>
              <w:pStyle w:val="TableHeading0"/>
              <w:keepNext/>
            </w:pPr>
            <w:r w:rsidRPr="007E0616">
              <w:t>Additional consultations with sleep physician</w:t>
            </w:r>
          </w:p>
        </w:tc>
        <w:tc>
          <w:tcPr>
            <w:tcW w:w="1074" w:type="dxa"/>
            <w:noWrap/>
          </w:tcPr>
          <w:p w14:paraId="23A2566D" w14:textId="77777777" w:rsidR="006209F7" w:rsidRPr="003C5879" w:rsidRDefault="006209F7" w:rsidP="004803A4">
            <w:pPr>
              <w:pStyle w:val="TableHeading0"/>
              <w:keepNext/>
            </w:pPr>
          </w:p>
        </w:tc>
        <w:tc>
          <w:tcPr>
            <w:tcW w:w="1074" w:type="dxa"/>
            <w:noWrap/>
          </w:tcPr>
          <w:p w14:paraId="25DA5550" w14:textId="77777777" w:rsidR="006209F7" w:rsidRPr="003C5879" w:rsidRDefault="006209F7" w:rsidP="004803A4">
            <w:pPr>
              <w:pStyle w:val="TableHeading0"/>
              <w:keepNext/>
            </w:pPr>
          </w:p>
        </w:tc>
        <w:tc>
          <w:tcPr>
            <w:tcW w:w="1074" w:type="dxa"/>
            <w:noWrap/>
          </w:tcPr>
          <w:p w14:paraId="44079D01" w14:textId="77777777" w:rsidR="006209F7" w:rsidRPr="003C5879" w:rsidRDefault="006209F7" w:rsidP="004803A4">
            <w:pPr>
              <w:pStyle w:val="TableHeading0"/>
              <w:keepNext/>
            </w:pPr>
          </w:p>
        </w:tc>
        <w:tc>
          <w:tcPr>
            <w:tcW w:w="1074" w:type="dxa"/>
            <w:noWrap/>
          </w:tcPr>
          <w:p w14:paraId="731EF904" w14:textId="77777777" w:rsidR="006209F7" w:rsidRPr="003C5879" w:rsidRDefault="006209F7" w:rsidP="004803A4">
            <w:pPr>
              <w:pStyle w:val="TableHeading0"/>
              <w:keepNext/>
            </w:pPr>
          </w:p>
        </w:tc>
        <w:tc>
          <w:tcPr>
            <w:tcW w:w="1074" w:type="dxa"/>
            <w:noWrap/>
          </w:tcPr>
          <w:p w14:paraId="0643FD80" w14:textId="77777777" w:rsidR="006209F7" w:rsidRPr="003C5879" w:rsidRDefault="006209F7" w:rsidP="004803A4">
            <w:pPr>
              <w:pStyle w:val="TableHeading0"/>
              <w:keepNext/>
            </w:pPr>
          </w:p>
        </w:tc>
        <w:tc>
          <w:tcPr>
            <w:tcW w:w="1074" w:type="dxa"/>
            <w:noWrap/>
          </w:tcPr>
          <w:p w14:paraId="7960D277" w14:textId="77777777" w:rsidR="006209F7" w:rsidRPr="003C5879" w:rsidRDefault="006209F7" w:rsidP="004803A4">
            <w:pPr>
              <w:pStyle w:val="TableHeading0"/>
              <w:keepNext/>
            </w:pPr>
          </w:p>
        </w:tc>
      </w:tr>
      <w:tr w:rsidR="006209F7" w:rsidRPr="001E7B9C" w14:paraId="31EB9FF3" w14:textId="77777777" w:rsidTr="00922ED7">
        <w:trPr>
          <w:trHeight w:val="290"/>
        </w:trPr>
        <w:tc>
          <w:tcPr>
            <w:tcW w:w="2572" w:type="dxa"/>
          </w:tcPr>
          <w:p w14:paraId="7EB5DA60" w14:textId="77777777" w:rsidR="006209F7" w:rsidRPr="001E7B9C" w:rsidRDefault="006209F7" w:rsidP="006209F7">
            <w:pPr>
              <w:pStyle w:val="TableText"/>
            </w:pPr>
            <w:r w:rsidRPr="007E0616">
              <w:t>Number of new (not substituted) services</w:t>
            </w:r>
          </w:p>
        </w:tc>
        <w:tc>
          <w:tcPr>
            <w:tcW w:w="1074" w:type="dxa"/>
            <w:noWrap/>
          </w:tcPr>
          <w:p w14:paraId="21879681" w14:textId="64E96911" w:rsidR="006209F7" w:rsidRPr="003C5879" w:rsidRDefault="006209F7" w:rsidP="006209F7">
            <w:pPr>
              <w:pStyle w:val="TableText"/>
            </w:pPr>
            <w:r w:rsidRPr="00D713FA">
              <w:t>58</w:t>
            </w:r>
          </w:p>
        </w:tc>
        <w:tc>
          <w:tcPr>
            <w:tcW w:w="1074" w:type="dxa"/>
            <w:noWrap/>
          </w:tcPr>
          <w:p w14:paraId="69A58FA1" w14:textId="2057EA2F" w:rsidR="006209F7" w:rsidRPr="003C5879" w:rsidRDefault="006209F7" w:rsidP="006209F7">
            <w:pPr>
              <w:pStyle w:val="TableText"/>
            </w:pPr>
            <w:r w:rsidRPr="00D713FA">
              <w:t>120</w:t>
            </w:r>
          </w:p>
        </w:tc>
        <w:tc>
          <w:tcPr>
            <w:tcW w:w="1074" w:type="dxa"/>
            <w:noWrap/>
          </w:tcPr>
          <w:p w14:paraId="0F83F93F" w14:textId="44E874C3" w:rsidR="006209F7" w:rsidRPr="003C5879" w:rsidRDefault="006209F7" w:rsidP="006209F7">
            <w:pPr>
              <w:pStyle w:val="TableText"/>
            </w:pPr>
            <w:r w:rsidRPr="00D713FA">
              <w:t>193</w:t>
            </w:r>
          </w:p>
        </w:tc>
        <w:tc>
          <w:tcPr>
            <w:tcW w:w="1074" w:type="dxa"/>
            <w:noWrap/>
          </w:tcPr>
          <w:p w14:paraId="54FD8CA0" w14:textId="7C062598" w:rsidR="006209F7" w:rsidRPr="003C5879" w:rsidRDefault="006209F7" w:rsidP="006209F7">
            <w:pPr>
              <w:pStyle w:val="TableText"/>
            </w:pPr>
            <w:r w:rsidRPr="00D713FA">
              <w:t>280</w:t>
            </w:r>
          </w:p>
        </w:tc>
        <w:tc>
          <w:tcPr>
            <w:tcW w:w="1074" w:type="dxa"/>
            <w:noWrap/>
          </w:tcPr>
          <w:p w14:paraId="1E08AC72" w14:textId="4D31A8BD" w:rsidR="006209F7" w:rsidRPr="003C5879" w:rsidRDefault="006209F7" w:rsidP="006209F7">
            <w:pPr>
              <w:pStyle w:val="TableText"/>
            </w:pPr>
            <w:r w:rsidRPr="00D713FA">
              <w:t>383</w:t>
            </w:r>
          </w:p>
        </w:tc>
        <w:tc>
          <w:tcPr>
            <w:tcW w:w="1074" w:type="dxa"/>
            <w:noWrap/>
          </w:tcPr>
          <w:p w14:paraId="4DCC4E7B" w14:textId="35DADF0E" w:rsidR="006209F7" w:rsidRPr="003C5879" w:rsidRDefault="006209F7" w:rsidP="006209F7">
            <w:pPr>
              <w:pStyle w:val="TableText"/>
            </w:pPr>
            <w:r w:rsidRPr="00D713FA">
              <w:t>504</w:t>
            </w:r>
          </w:p>
        </w:tc>
      </w:tr>
      <w:tr w:rsidR="00182DE3" w:rsidRPr="001E7B9C" w14:paraId="467594DB" w14:textId="77777777" w:rsidTr="00922ED7">
        <w:trPr>
          <w:trHeight w:val="290"/>
        </w:trPr>
        <w:tc>
          <w:tcPr>
            <w:tcW w:w="2572" w:type="dxa"/>
          </w:tcPr>
          <w:p w14:paraId="3763E9E5" w14:textId="77777777" w:rsidR="00182DE3" w:rsidRPr="001E7B9C" w:rsidRDefault="00182DE3" w:rsidP="00182DE3">
            <w:pPr>
              <w:pStyle w:val="TableText"/>
            </w:pPr>
            <w:r>
              <w:t>Total cost to the MBS of c</w:t>
            </w:r>
            <w:r w:rsidRPr="007E0616">
              <w:t xml:space="preserve">onsultant physician attendance </w:t>
            </w:r>
          </w:p>
        </w:tc>
        <w:tc>
          <w:tcPr>
            <w:tcW w:w="1074" w:type="dxa"/>
            <w:noWrap/>
          </w:tcPr>
          <w:p w14:paraId="0F10CE03" w14:textId="66F728C0" w:rsidR="00182DE3" w:rsidRPr="003C5879" w:rsidRDefault="00182DE3" w:rsidP="00182DE3">
            <w:pPr>
              <w:pStyle w:val="TableText"/>
            </w:pPr>
            <w:r w:rsidRPr="00C55CE9">
              <w:t>$12,994</w:t>
            </w:r>
          </w:p>
        </w:tc>
        <w:tc>
          <w:tcPr>
            <w:tcW w:w="1074" w:type="dxa"/>
            <w:noWrap/>
          </w:tcPr>
          <w:p w14:paraId="12BBF813" w14:textId="32E336E0" w:rsidR="00182DE3" w:rsidRPr="003C5879" w:rsidRDefault="00182DE3" w:rsidP="00182DE3">
            <w:pPr>
              <w:pStyle w:val="TableText"/>
            </w:pPr>
            <w:r w:rsidRPr="00C55CE9">
              <w:t>$26,638</w:t>
            </w:r>
          </w:p>
        </w:tc>
        <w:tc>
          <w:tcPr>
            <w:tcW w:w="1074" w:type="dxa"/>
            <w:noWrap/>
          </w:tcPr>
          <w:p w14:paraId="5028A01B" w14:textId="51BD0325" w:rsidR="00182DE3" w:rsidRPr="003C5879" w:rsidRDefault="00182DE3" w:rsidP="00182DE3">
            <w:pPr>
              <w:pStyle w:val="TableText"/>
            </w:pPr>
            <w:r w:rsidRPr="00C55CE9">
              <w:t>$42,914</w:t>
            </w:r>
          </w:p>
        </w:tc>
        <w:tc>
          <w:tcPr>
            <w:tcW w:w="1074" w:type="dxa"/>
            <w:noWrap/>
          </w:tcPr>
          <w:p w14:paraId="41931648" w14:textId="5B2E7F20" w:rsidR="00182DE3" w:rsidRPr="003C5879" w:rsidRDefault="00182DE3" w:rsidP="00182DE3">
            <w:pPr>
              <w:pStyle w:val="TableText"/>
            </w:pPr>
            <w:r w:rsidRPr="00C55CE9">
              <w:t>$62,245</w:t>
            </w:r>
          </w:p>
        </w:tc>
        <w:tc>
          <w:tcPr>
            <w:tcW w:w="1074" w:type="dxa"/>
            <w:noWrap/>
          </w:tcPr>
          <w:p w14:paraId="42CAA644" w14:textId="21CFE2EA" w:rsidR="00182DE3" w:rsidRPr="003C5879" w:rsidRDefault="00182DE3" w:rsidP="00182DE3">
            <w:pPr>
              <w:pStyle w:val="TableText"/>
            </w:pPr>
            <w:r w:rsidRPr="00C55CE9">
              <w:t>$85,120</w:t>
            </w:r>
          </w:p>
        </w:tc>
        <w:tc>
          <w:tcPr>
            <w:tcW w:w="1074" w:type="dxa"/>
            <w:noWrap/>
          </w:tcPr>
          <w:p w14:paraId="73595DEF" w14:textId="3F410140" w:rsidR="00182DE3" w:rsidRPr="003C5879" w:rsidRDefault="00182DE3" w:rsidP="00182DE3">
            <w:pPr>
              <w:pStyle w:val="TableText"/>
            </w:pPr>
            <w:r w:rsidRPr="00C55CE9">
              <w:t>$112,103</w:t>
            </w:r>
          </w:p>
        </w:tc>
      </w:tr>
      <w:tr w:rsidR="00182DE3" w:rsidRPr="001E7B9C" w14:paraId="6280B45D" w14:textId="77777777" w:rsidTr="00922ED7">
        <w:trPr>
          <w:trHeight w:val="290"/>
        </w:trPr>
        <w:tc>
          <w:tcPr>
            <w:tcW w:w="2572" w:type="dxa"/>
            <w:hideMark/>
          </w:tcPr>
          <w:p w14:paraId="27DC794A" w14:textId="77777777" w:rsidR="00182DE3" w:rsidRPr="001E7B9C" w:rsidRDefault="00182DE3" w:rsidP="00182DE3">
            <w:pPr>
              <w:pStyle w:val="TableHeading0"/>
            </w:pPr>
            <w:r w:rsidRPr="007E0616">
              <w:t>Net financial impact to the MBS</w:t>
            </w:r>
          </w:p>
        </w:tc>
        <w:tc>
          <w:tcPr>
            <w:tcW w:w="1074" w:type="dxa"/>
            <w:noWrap/>
            <w:hideMark/>
          </w:tcPr>
          <w:p w14:paraId="5025DCA8" w14:textId="68FC83A2" w:rsidR="00182DE3" w:rsidRPr="001E7B9C" w:rsidRDefault="009C27C4" w:rsidP="00182DE3">
            <w:pPr>
              <w:pStyle w:val="TableHeading0"/>
            </w:pPr>
            <w:r w:rsidRPr="00C31130">
              <w:t>-$12,832</w:t>
            </w:r>
          </w:p>
        </w:tc>
        <w:tc>
          <w:tcPr>
            <w:tcW w:w="1074" w:type="dxa"/>
            <w:noWrap/>
            <w:hideMark/>
          </w:tcPr>
          <w:p w14:paraId="578EEB87" w14:textId="3A52DD61" w:rsidR="00182DE3" w:rsidRPr="001E7B9C" w:rsidRDefault="009C27C4" w:rsidP="00182DE3">
            <w:pPr>
              <w:pStyle w:val="TableHeading0"/>
            </w:pPr>
            <w:r w:rsidRPr="00C31130">
              <w:t>$27,226</w:t>
            </w:r>
          </w:p>
        </w:tc>
        <w:tc>
          <w:tcPr>
            <w:tcW w:w="1074" w:type="dxa"/>
            <w:noWrap/>
            <w:hideMark/>
          </w:tcPr>
          <w:p w14:paraId="20EE735C" w14:textId="1803B1ED" w:rsidR="00182DE3" w:rsidRPr="001E7B9C" w:rsidRDefault="009C27C4" w:rsidP="00182DE3">
            <w:pPr>
              <w:pStyle w:val="TableHeading0"/>
            </w:pPr>
            <w:r w:rsidRPr="00C31130">
              <w:t>$75,392</w:t>
            </w:r>
          </w:p>
        </w:tc>
        <w:tc>
          <w:tcPr>
            <w:tcW w:w="1074" w:type="dxa"/>
            <w:noWrap/>
            <w:hideMark/>
          </w:tcPr>
          <w:p w14:paraId="76CC57AD" w14:textId="60CD82D9" w:rsidR="00182DE3" w:rsidRPr="001E7B9C" w:rsidRDefault="009C27C4" w:rsidP="00182DE3">
            <w:pPr>
              <w:pStyle w:val="TableHeading0"/>
            </w:pPr>
            <w:r w:rsidRPr="00C31130">
              <w:t>$132,987</w:t>
            </w:r>
          </w:p>
        </w:tc>
        <w:tc>
          <w:tcPr>
            <w:tcW w:w="1074" w:type="dxa"/>
            <w:noWrap/>
            <w:hideMark/>
          </w:tcPr>
          <w:p w14:paraId="184C7E16" w14:textId="4721B00C" w:rsidR="00182DE3" w:rsidRPr="001E7B9C" w:rsidRDefault="009C27C4" w:rsidP="00182DE3">
            <w:pPr>
              <w:pStyle w:val="TableHeading0"/>
            </w:pPr>
            <w:r w:rsidRPr="00C31130">
              <w:t>$201,535</w:t>
            </w:r>
          </w:p>
        </w:tc>
        <w:tc>
          <w:tcPr>
            <w:tcW w:w="1074" w:type="dxa"/>
            <w:noWrap/>
            <w:hideMark/>
          </w:tcPr>
          <w:p w14:paraId="498DDDBF" w14:textId="726BA7CE" w:rsidR="00182DE3" w:rsidRPr="001E7B9C" w:rsidRDefault="009C27C4" w:rsidP="00182DE3">
            <w:pPr>
              <w:pStyle w:val="TableHeading0"/>
            </w:pPr>
            <w:r w:rsidRPr="00C31130">
              <w:t>$282,796</w:t>
            </w:r>
          </w:p>
        </w:tc>
      </w:tr>
    </w:tbl>
    <w:p w14:paraId="7E9434AA" w14:textId="04D7D173" w:rsidR="006209F7" w:rsidRDefault="006209F7" w:rsidP="00CC2955">
      <w:pPr>
        <w:pStyle w:val="111Tablefootnoteslast-nostick"/>
      </w:pPr>
      <w:r w:rsidRPr="006D2801">
        <w:t>FY</w:t>
      </w:r>
      <w:r w:rsidR="00403B6C">
        <w:t xml:space="preserve"> </w:t>
      </w:r>
      <w:r w:rsidRPr="006D2801">
        <w:t>=</w:t>
      </w:r>
      <w:r w:rsidR="00403B6C">
        <w:t xml:space="preserve"> </w:t>
      </w:r>
      <w:r w:rsidRPr="006D2801">
        <w:t>financial year</w:t>
      </w:r>
      <w:r>
        <w:rPr>
          <w:szCs w:val="18"/>
        </w:rPr>
        <w:t>;</w:t>
      </w:r>
      <w:r w:rsidRPr="006D2801">
        <w:rPr>
          <w:szCs w:val="18"/>
        </w:rPr>
        <w:t xml:space="preserve"> </w:t>
      </w:r>
      <w:r>
        <w:rPr>
          <w:szCs w:val="18"/>
        </w:rPr>
        <w:t>MBS = Medicare Benefits Schedule; PSG = polysomnography</w:t>
      </w:r>
      <w:r w:rsidR="004803A4">
        <w:rPr>
          <w:szCs w:val="18"/>
        </w:rPr>
        <w:t>.</w:t>
      </w:r>
    </w:p>
    <w:p w14:paraId="7CDE630A" w14:textId="5E66048C" w:rsidR="00073D6A" w:rsidRPr="00ED72A6" w:rsidRDefault="006209F7" w:rsidP="00CC2955">
      <w:pPr>
        <w:pStyle w:val="111Tablefootnoteslast-nostick"/>
      </w:pPr>
      <w:r w:rsidRPr="00380D34">
        <w:t>a</w:t>
      </w:r>
      <w:r w:rsidR="00380D34">
        <w:t>.</w:t>
      </w:r>
      <w:r w:rsidRPr="00694D83">
        <w:t xml:space="preserve"> </w:t>
      </w:r>
      <w:r>
        <w:t xml:space="preserve">It is assumed that </w:t>
      </w:r>
      <w:r w:rsidR="00B21C47">
        <w:t>50%</w:t>
      </w:r>
      <w:r>
        <w:t xml:space="preserve"> of Level 2 test failures repeat a Level 2 PSG and </w:t>
      </w:r>
      <w:r w:rsidR="00B21C47">
        <w:t>50%</w:t>
      </w:r>
      <w:r>
        <w:t xml:space="preserve"> have a Level 1 PSG</w:t>
      </w:r>
      <w:r w:rsidR="00380D34">
        <w:t>,</w:t>
      </w:r>
      <w:r>
        <w:t xml:space="preserve"> consistent with Section 3</w:t>
      </w:r>
      <w:r w:rsidR="00D82955">
        <w:t>.</w:t>
      </w:r>
    </w:p>
    <w:p w14:paraId="30F9FCEF" w14:textId="5A9F2152" w:rsidR="00CC2955" w:rsidRPr="00ED72A6" w:rsidRDefault="00CC2955" w:rsidP="00CC2955">
      <w:pPr>
        <w:pStyle w:val="111Tablefootnoteslast-nostick"/>
      </w:pPr>
      <w:r>
        <w:t xml:space="preserve">Source: </w:t>
      </w:r>
      <w:r w:rsidRPr="00D826EB">
        <w:t xml:space="preserve">Table </w:t>
      </w:r>
      <w:r w:rsidR="00B8619F">
        <w:t xml:space="preserve">50 </w:t>
      </w:r>
      <w:r>
        <w:t>of DCAR 1712.1.</w:t>
      </w:r>
    </w:p>
    <w:p w14:paraId="3124423B" w14:textId="35FE5DD4" w:rsidR="009941F7" w:rsidRDefault="009941F7" w:rsidP="009941F7">
      <w:pPr>
        <w:pStyle w:val="Caption"/>
      </w:pPr>
      <w:r>
        <w:t xml:space="preserve">Table </w:t>
      </w:r>
      <w:r w:rsidR="00BC2CAA">
        <w:fldChar w:fldCharType="begin"/>
      </w:r>
      <w:r w:rsidR="00BC2CAA">
        <w:instrText xml:space="preserve"> SEQ Table \* ARABIC </w:instrText>
      </w:r>
      <w:r w:rsidR="00BC2CAA">
        <w:fldChar w:fldCharType="separate"/>
      </w:r>
      <w:r w:rsidR="00BC2CAA">
        <w:rPr>
          <w:noProof/>
        </w:rPr>
        <w:t>20</w:t>
      </w:r>
      <w:r w:rsidR="00BC2CAA">
        <w:rPr>
          <w:noProof/>
        </w:rPr>
        <w:fldChar w:fldCharType="end"/>
      </w:r>
      <w:r>
        <w:tab/>
        <w:t xml:space="preserve">Net financial implications </w:t>
      </w:r>
      <w:r w:rsidR="00C948E0">
        <w:t xml:space="preserve">to the MBS </w:t>
      </w:r>
      <w:r>
        <w:t xml:space="preserve">of Level 2 PSG </w:t>
      </w:r>
      <w:r w:rsidR="00C63219">
        <w:t xml:space="preserve">in </w:t>
      </w:r>
      <w:r>
        <w:t>children and adolescents</w:t>
      </w:r>
      <w:r w:rsidR="005E7CCB">
        <w:t xml:space="preserve"> (3-17</w:t>
      </w:r>
      <w:r w:rsidR="001332DE">
        <w:t xml:space="preserve"> years</w:t>
      </w:r>
      <w:r>
        <w:t>)</w:t>
      </w:r>
    </w:p>
    <w:tbl>
      <w:tblPr>
        <w:tblStyle w:val="TableGrid"/>
        <w:tblW w:w="0" w:type="auto"/>
        <w:tblLook w:val="04A0" w:firstRow="1" w:lastRow="0" w:firstColumn="1" w:lastColumn="0" w:noHBand="0" w:noVBand="1"/>
        <w:tblCaption w:val="Net financial implications to the MBS of Level 2 PSG in children and adolescents (3 - 17 years)"/>
        <w:tblDescription w:val="Table that provides the overall net financial impact to the MBS from 2025-26 to to 2030-31 for children and adolescents. "/>
      </w:tblPr>
      <w:tblGrid>
        <w:gridCol w:w="2572"/>
        <w:gridCol w:w="1074"/>
        <w:gridCol w:w="1074"/>
        <w:gridCol w:w="1074"/>
        <w:gridCol w:w="1074"/>
        <w:gridCol w:w="1074"/>
        <w:gridCol w:w="1074"/>
      </w:tblGrid>
      <w:tr w:rsidR="009941F7" w:rsidRPr="006A4EF3" w14:paraId="6257A8FC" w14:textId="77777777" w:rsidTr="00922ED7">
        <w:trPr>
          <w:trHeight w:val="290"/>
          <w:tblHeader/>
        </w:trPr>
        <w:tc>
          <w:tcPr>
            <w:tcW w:w="0" w:type="auto"/>
            <w:hideMark/>
          </w:tcPr>
          <w:p w14:paraId="570DAA39" w14:textId="77777777" w:rsidR="009941F7" w:rsidRPr="006A4EF3" w:rsidRDefault="009941F7" w:rsidP="004B2A06">
            <w:pPr>
              <w:pStyle w:val="TableHeading0"/>
            </w:pPr>
            <w:r w:rsidRPr="006A4EF3">
              <w:t xml:space="preserve">Parameter </w:t>
            </w:r>
          </w:p>
        </w:tc>
        <w:tc>
          <w:tcPr>
            <w:tcW w:w="0" w:type="auto"/>
            <w:noWrap/>
            <w:hideMark/>
          </w:tcPr>
          <w:p w14:paraId="42482FEA" w14:textId="77777777" w:rsidR="009941F7" w:rsidRPr="006A4EF3" w:rsidRDefault="009941F7" w:rsidP="004B2A06">
            <w:pPr>
              <w:pStyle w:val="TableHeading0"/>
            </w:pPr>
            <w:r w:rsidRPr="006A4EF3">
              <w:t>FY 2025-26</w:t>
            </w:r>
          </w:p>
        </w:tc>
        <w:tc>
          <w:tcPr>
            <w:tcW w:w="0" w:type="auto"/>
            <w:noWrap/>
            <w:hideMark/>
          </w:tcPr>
          <w:p w14:paraId="6662EA5D" w14:textId="77777777" w:rsidR="009941F7" w:rsidRPr="006A4EF3" w:rsidRDefault="009941F7" w:rsidP="004B2A06">
            <w:pPr>
              <w:pStyle w:val="TableHeading0"/>
            </w:pPr>
            <w:r w:rsidRPr="006A4EF3">
              <w:t>FY 2026-27</w:t>
            </w:r>
          </w:p>
        </w:tc>
        <w:tc>
          <w:tcPr>
            <w:tcW w:w="0" w:type="auto"/>
            <w:noWrap/>
            <w:hideMark/>
          </w:tcPr>
          <w:p w14:paraId="7BC5E120" w14:textId="77777777" w:rsidR="009941F7" w:rsidRPr="006A4EF3" w:rsidRDefault="009941F7" w:rsidP="004B2A06">
            <w:pPr>
              <w:pStyle w:val="TableHeading0"/>
            </w:pPr>
            <w:r w:rsidRPr="006A4EF3">
              <w:t>FY 2027-28</w:t>
            </w:r>
          </w:p>
        </w:tc>
        <w:tc>
          <w:tcPr>
            <w:tcW w:w="0" w:type="auto"/>
            <w:noWrap/>
            <w:hideMark/>
          </w:tcPr>
          <w:p w14:paraId="715A85AD" w14:textId="77777777" w:rsidR="009941F7" w:rsidRPr="006A4EF3" w:rsidRDefault="009941F7" w:rsidP="004B2A06">
            <w:pPr>
              <w:pStyle w:val="TableHeading0"/>
            </w:pPr>
            <w:r w:rsidRPr="006A4EF3">
              <w:t>FY 2028-29</w:t>
            </w:r>
          </w:p>
        </w:tc>
        <w:tc>
          <w:tcPr>
            <w:tcW w:w="0" w:type="auto"/>
            <w:noWrap/>
            <w:hideMark/>
          </w:tcPr>
          <w:p w14:paraId="38C74432" w14:textId="77777777" w:rsidR="009941F7" w:rsidRPr="006A4EF3" w:rsidRDefault="009941F7" w:rsidP="004B2A06">
            <w:pPr>
              <w:pStyle w:val="TableHeading0"/>
            </w:pPr>
            <w:r w:rsidRPr="006A4EF3">
              <w:t>FY 2029-30</w:t>
            </w:r>
          </w:p>
        </w:tc>
        <w:tc>
          <w:tcPr>
            <w:tcW w:w="0" w:type="auto"/>
            <w:noWrap/>
            <w:hideMark/>
          </w:tcPr>
          <w:p w14:paraId="4F8FFFDD" w14:textId="77777777" w:rsidR="009941F7" w:rsidRPr="006A4EF3" w:rsidRDefault="009941F7" w:rsidP="004B2A06">
            <w:pPr>
              <w:pStyle w:val="TableHeading0"/>
            </w:pPr>
            <w:r w:rsidRPr="006A4EF3">
              <w:t>FY 2030-31</w:t>
            </w:r>
          </w:p>
        </w:tc>
      </w:tr>
      <w:tr w:rsidR="009941F7" w:rsidRPr="006A4EF3" w14:paraId="1B48643A" w14:textId="77777777" w:rsidTr="00922ED7">
        <w:trPr>
          <w:trHeight w:val="290"/>
        </w:trPr>
        <w:tc>
          <w:tcPr>
            <w:tcW w:w="0" w:type="auto"/>
            <w:hideMark/>
          </w:tcPr>
          <w:p w14:paraId="57FAB45F" w14:textId="6F49E3E4" w:rsidR="009941F7" w:rsidRPr="006A4EF3" w:rsidRDefault="009941F7" w:rsidP="004B2A06">
            <w:pPr>
              <w:pStyle w:val="TableHeading0"/>
            </w:pPr>
            <w:r>
              <w:t xml:space="preserve">Net financial impact </w:t>
            </w:r>
            <w:r w:rsidR="00A63140">
              <w:t>for</w:t>
            </w:r>
            <w:r>
              <w:t xml:space="preserve"> children</w:t>
            </w:r>
            <w:r w:rsidR="00A60A01">
              <w:t xml:space="preserve"> </w:t>
            </w:r>
            <w:r w:rsidR="00A60A01" w:rsidRPr="006A4EF3">
              <w:t>(</w:t>
            </w:r>
            <w:r w:rsidR="00A60A01">
              <w:t>3-11</w:t>
            </w:r>
            <w:r w:rsidR="001332DE">
              <w:t xml:space="preserve"> </w:t>
            </w:r>
            <w:r w:rsidR="00A60A01" w:rsidRPr="006A4EF3">
              <w:t>y</w:t>
            </w:r>
            <w:r w:rsidR="001332DE">
              <w:t>ears</w:t>
            </w:r>
            <w:r w:rsidR="00A60A01" w:rsidRPr="006A4EF3">
              <w:t>)</w:t>
            </w:r>
          </w:p>
        </w:tc>
        <w:tc>
          <w:tcPr>
            <w:tcW w:w="0" w:type="auto"/>
            <w:noWrap/>
            <w:hideMark/>
          </w:tcPr>
          <w:p w14:paraId="47E67EC5" w14:textId="77777777" w:rsidR="009941F7" w:rsidRPr="006A4EF3" w:rsidRDefault="009941F7" w:rsidP="004B2A06">
            <w:pPr>
              <w:pStyle w:val="TableHeading0"/>
            </w:pPr>
            <w:r w:rsidRPr="006A4EF3">
              <w:t> </w:t>
            </w:r>
          </w:p>
        </w:tc>
        <w:tc>
          <w:tcPr>
            <w:tcW w:w="0" w:type="auto"/>
            <w:noWrap/>
            <w:hideMark/>
          </w:tcPr>
          <w:p w14:paraId="709A38BC" w14:textId="77777777" w:rsidR="009941F7" w:rsidRPr="006A4EF3" w:rsidRDefault="009941F7" w:rsidP="004B2A06">
            <w:pPr>
              <w:pStyle w:val="TableHeading0"/>
            </w:pPr>
            <w:r w:rsidRPr="006A4EF3">
              <w:t> </w:t>
            </w:r>
          </w:p>
        </w:tc>
        <w:tc>
          <w:tcPr>
            <w:tcW w:w="0" w:type="auto"/>
            <w:noWrap/>
            <w:hideMark/>
          </w:tcPr>
          <w:p w14:paraId="677F7716" w14:textId="77777777" w:rsidR="009941F7" w:rsidRPr="006A4EF3" w:rsidRDefault="009941F7" w:rsidP="004B2A06">
            <w:pPr>
              <w:pStyle w:val="TableHeading0"/>
            </w:pPr>
            <w:r w:rsidRPr="006A4EF3">
              <w:t> </w:t>
            </w:r>
          </w:p>
        </w:tc>
        <w:tc>
          <w:tcPr>
            <w:tcW w:w="0" w:type="auto"/>
            <w:noWrap/>
            <w:hideMark/>
          </w:tcPr>
          <w:p w14:paraId="20086B53" w14:textId="77777777" w:rsidR="009941F7" w:rsidRPr="006A4EF3" w:rsidRDefault="009941F7" w:rsidP="004B2A06">
            <w:pPr>
              <w:pStyle w:val="TableHeading0"/>
            </w:pPr>
            <w:r w:rsidRPr="006A4EF3">
              <w:t> </w:t>
            </w:r>
          </w:p>
        </w:tc>
        <w:tc>
          <w:tcPr>
            <w:tcW w:w="0" w:type="auto"/>
            <w:noWrap/>
            <w:hideMark/>
          </w:tcPr>
          <w:p w14:paraId="7E0A0AF1" w14:textId="77777777" w:rsidR="009941F7" w:rsidRPr="006A4EF3" w:rsidRDefault="009941F7" w:rsidP="004B2A06">
            <w:pPr>
              <w:pStyle w:val="TableHeading0"/>
            </w:pPr>
            <w:r w:rsidRPr="006A4EF3">
              <w:t> </w:t>
            </w:r>
          </w:p>
        </w:tc>
        <w:tc>
          <w:tcPr>
            <w:tcW w:w="0" w:type="auto"/>
            <w:noWrap/>
            <w:hideMark/>
          </w:tcPr>
          <w:p w14:paraId="6252BDCE" w14:textId="77777777" w:rsidR="009941F7" w:rsidRPr="006A4EF3" w:rsidRDefault="009941F7" w:rsidP="004B2A06">
            <w:pPr>
              <w:pStyle w:val="TableHeading0"/>
            </w:pPr>
            <w:r w:rsidRPr="006A4EF3">
              <w:t> </w:t>
            </w:r>
          </w:p>
        </w:tc>
      </w:tr>
      <w:tr w:rsidR="009941F7" w:rsidRPr="006A4EF3" w14:paraId="50C1FF8E" w14:textId="77777777" w:rsidTr="00922ED7">
        <w:trPr>
          <w:trHeight w:val="290"/>
        </w:trPr>
        <w:tc>
          <w:tcPr>
            <w:tcW w:w="0" w:type="auto"/>
            <w:hideMark/>
          </w:tcPr>
          <w:p w14:paraId="4339B71F" w14:textId="7DCD29E8" w:rsidR="009941F7" w:rsidRPr="006A4EF3" w:rsidRDefault="009941F7" w:rsidP="004B2A06">
            <w:pPr>
              <w:pStyle w:val="TableText"/>
            </w:pPr>
            <w:r w:rsidRPr="006A4EF3">
              <w:t xml:space="preserve">Number of proposed Level 2 services </w:t>
            </w:r>
          </w:p>
        </w:tc>
        <w:tc>
          <w:tcPr>
            <w:tcW w:w="0" w:type="auto"/>
            <w:noWrap/>
            <w:hideMark/>
          </w:tcPr>
          <w:p w14:paraId="183306FE" w14:textId="77777777" w:rsidR="009941F7" w:rsidRPr="006A4EF3" w:rsidRDefault="009941F7" w:rsidP="004B2A06">
            <w:pPr>
              <w:pStyle w:val="TableText"/>
            </w:pPr>
            <w:r w:rsidRPr="00A133E0">
              <w:t>2,532</w:t>
            </w:r>
          </w:p>
        </w:tc>
        <w:tc>
          <w:tcPr>
            <w:tcW w:w="0" w:type="auto"/>
            <w:noWrap/>
            <w:hideMark/>
          </w:tcPr>
          <w:p w14:paraId="789FF2DF" w14:textId="77777777" w:rsidR="009941F7" w:rsidRPr="006A4EF3" w:rsidRDefault="009941F7" w:rsidP="004B2A06">
            <w:pPr>
              <w:pStyle w:val="TableText"/>
            </w:pPr>
            <w:r w:rsidRPr="00A133E0">
              <w:t>2,912</w:t>
            </w:r>
          </w:p>
        </w:tc>
        <w:tc>
          <w:tcPr>
            <w:tcW w:w="0" w:type="auto"/>
            <w:noWrap/>
            <w:hideMark/>
          </w:tcPr>
          <w:p w14:paraId="2B35427C" w14:textId="77777777" w:rsidR="009941F7" w:rsidRPr="006A4EF3" w:rsidRDefault="009941F7" w:rsidP="004B2A06">
            <w:pPr>
              <w:pStyle w:val="TableText"/>
            </w:pPr>
            <w:r w:rsidRPr="00A133E0">
              <w:t>3,349</w:t>
            </w:r>
          </w:p>
        </w:tc>
        <w:tc>
          <w:tcPr>
            <w:tcW w:w="0" w:type="auto"/>
            <w:noWrap/>
            <w:hideMark/>
          </w:tcPr>
          <w:p w14:paraId="3544510F" w14:textId="77777777" w:rsidR="009941F7" w:rsidRPr="006A4EF3" w:rsidRDefault="009941F7" w:rsidP="004B2A06">
            <w:pPr>
              <w:pStyle w:val="TableText"/>
            </w:pPr>
            <w:r w:rsidRPr="00A133E0">
              <w:t>3,852</w:t>
            </w:r>
          </w:p>
        </w:tc>
        <w:tc>
          <w:tcPr>
            <w:tcW w:w="0" w:type="auto"/>
            <w:noWrap/>
            <w:hideMark/>
          </w:tcPr>
          <w:p w14:paraId="18E68744" w14:textId="77777777" w:rsidR="009941F7" w:rsidRPr="006A4EF3" w:rsidRDefault="009941F7" w:rsidP="004B2A06">
            <w:pPr>
              <w:pStyle w:val="TableText"/>
            </w:pPr>
            <w:r w:rsidRPr="00A133E0">
              <w:t>4,429</w:t>
            </w:r>
          </w:p>
        </w:tc>
        <w:tc>
          <w:tcPr>
            <w:tcW w:w="0" w:type="auto"/>
            <w:noWrap/>
            <w:hideMark/>
          </w:tcPr>
          <w:p w14:paraId="5EDFF4DF" w14:textId="77777777" w:rsidR="009941F7" w:rsidRPr="006A4EF3" w:rsidRDefault="009941F7" w:rsidP="004B2A06">
            <w:pPr>
              <w:pStyle w:val="TableText"/>
            </w:pPr>
            <w:r w:rsidRPr="00A133E0">
              <w:t>5,094</w:t>
            </w:r>
          </w:p>
        </w:tc>
      </w:tr>
      <w:tr w:rsidR="00182DE3" w:rsidRPr="006A4EF3" w14:paraId="0ACCC2C1" w14:textId="77777777" w:rsidTr="00922ED7">
        <w:trPr>
          <w:trHeight w:val="290"/>
        </w:trPr>
        <w:tc>
          <w:tcPr>
            <w:tcW w:w="0" w:type="auto"/>
          </w:tcPr>
          <w:p w14:paraId="3D75BDAF" w14:textId="71B579D2" w:rsidR="00182DE3" w:rsidRPr="006A4EF3" w:rsidRDefault="00182DE3" w:rsidP="00182DE3">
            <w:pPr>
              <w:pStyle w:val="TableText"/>
            </w:pPr>
            <w:r>
              <w:t>Net financial impact</w:t>
            </w:r>
          </w:p>
        </w:tc>
        <w:tc>
          <w:tcPr>
            <w:tcW w:w="0" w:type="auto"/>
            <w:noWrap/>
          </w:tcPr>
          <w:p w14:paraId="68FAA6E8" w14:textId="271175CF" w:rsidR="00182DE3" w:rsidRPr="006A4EF3" w:rsidRDefault="00520ED7" w:rsidP="00182DE3">
            <w:pPr>
              <w:pStyle w:val="TableText"/>
            </w:pPr>
            <w:r w:rsidRPr="00C31130">
              <w:t>-$117,845</w:t>
            </w:r>
          </w:p>
        </w:tc>
        <w:tc>
          <w:tcPr>
            <w:tcW w:w="0" w:type="auto"/>
            <w:noWrap/>
          </w:tcPr>
          <w:p w14:paraId="72E2054B" w14:textId="63E1564C" w:rsidR="00182DE3" w:rsidRPr="006A4EF3" w:rsidRDefault="00520ED7" w:rsidP="00182DE3">
            <w:pPr>
              <w:pStyle w:val="TableText"/>
            </w:pPr>
            <w:r w:rsidRPr="00C31130">
              <w:t>$60,987</w:t>
            </w:r>
          </w:p>
        </w:tc>
        <w:tc>
          <w:tcPr>
            <w:tcW w:w="0" w:type="auto"/>
            <w:noWrap/>
          </w:tcPr>
          <w:p w14:paraId="63F2077A" w14:textId="56B8821E" w:rsidR="00182DE3" w:rsidRPr="006A4EF3" w:rsidRDefault="00520ED7" w:rsidP="00182DE3">
            <w:pPr>
              <w:pStyle w:val="TableText"/>
            </w:pPr>
            <w:r w:rsidRPr="00C31130">
              <w:t>$276,469</w:t>
            </w:r>
          </w:p>
        </w:tc>
        <w:tc>
          <w:tcPr>
            <w:tcW w:w="0" w:type="auto"/>
            <w:noWrap/>
          </w:tcPr>
          <w:p w14:paraId="5715CFA0" w14:textId="7F6490F0" w:rsidR="00182DE3" w:rsidRPr="006A4EF3" w:rsidRDefault="00520ED7" w:rsidP="00182DE3">
            <w:pPr>
              <w:pStyle w:val="TableText"/>
            </w:pPr>
            <w:r w:rsidRPr="00C31130">
              <w:t>$534,591</w:t>
            </w:r>
          </w:p>
        </w:tc>
        <w:tc>
          <w:tcPr>
            <w:tcW w:w="0" w:type="auto"/>
            <w:noWrap/>
          </w:tcPr>
          <w:p w14:paraId="7ACB1413" w14:textId="5019316F" w:rsidR="00182DE3" w:rsidRPr="006A4EF3" w:rsidRDefault="00520ED7" w:rsidP="00182DE3">
            <w:pPr>
              <w:pStyle w:val="TableText"/>
            </w:pPr>
            <w:r w:rsidRPr="00C31130">
              <w:t>$842,263</w:t>
            </w:r>
          </w:p>
        </w:tc>
        <w:tc>
          <w:tcPr>
            <w:tcW w:w="0" w:type="auto"/>
            <w:noWrap/>
          </w:tcPr>
          <w:p w14:paraId="5BCE0CC5" w14:textId="718A5F0A" w:rsidR="00182DE3" w:rsidRPr="006A4EF3" w:rsidRDefault="00520ED7" w:rsidP="00182DE3">
            <w:pPr>
              <w:pStyle w:val="TableText"/>
            </w:pPr>
            <w:r w:rsidRPr="00C31130">
              <w:t>$1,207,460</w:t>
            </w:r>
          </w:p>
        </w:tc>
      </w:tr>
      <w:tr w:rsidR="009941F7" w:rsidRPr="006A4EF3" w14:paraId="520A9C00" w14:textId="77777777" w:rsidTr="00922ED7">
        <w:trPr>
          <w:trHeight w:val="290"/>
        </w:trPr>
        <w:tc>
          <w:tcPr>
            <w:tcW w:w="0" w:type="auto"/>
          </w:tcPr>
          <w:p w14:paraId="6C5809C7" w14:textId="2641AF6B" w:rsidR="009941F7" w:rsidRPr="006E15E5" w:rsidRDefault="009941F7" w:rsidP="004B2A06">
            <w:pPr>
              <w:pStyle w:val="TableText"/>
              <w:rPr>
                <w:b/>
                <w:bCs/>
              </w:rPr>
            </w:pPr>
            <w:r w:rsidRPr="006E15E5">
              <w:rPr>
                <w:b/>
                <w:bCs/>
              </w:rPr>
              <w:t xml:space="preserve">Net financial impact </w:t>
            </w:r>
            <w:r w:rsidR="00A63140">
              <w:rPr>
                <w:b/>
                <w:bCs/>
              </w:rPr>
              <w:t>for</w:t>
            </w:r>
            <w:r w:rsidRPr="006E15E5">
              <w:rPr>
                <w:b/>
                <w:bCs/>
              </w:rPr>
              <w:t xml:space="preserve"> adolescents</w:t>
            </w:r>
            <w:r w:rsidR="00A60A01">
              <w:rPr>
                <w:b/>
                <w:bCs/>
              </w:rPr>
              <w:t xml:space="preserve"> </w:t>
            </w:r>
            <w:r w:rsidR="00A60A01" w:rsidRPr="00A60A01">
              <w:rPr>
                <w:b/>
                <w:bCs/>
              </w:rPr>
              <w:t>(12-17</w:t>
            </w:r>
            <w:r w:rsidR="001332DE">
              <w:rPr>
                <w:b/>
                <w:bCs/>
              </w:rPr>
              <w:t xml:space="preserve"> </w:t>
            </w:r>
            <w:r w:rsidR="00A60A01" w:rsidRPr="00A60A01">
              <w:rPr>
                <w:b/>
                <w:bCs/>
              </w:rPr>
              <w:t>y</w:t>
            </w:r>
            <w:r w:rsidR="001332DE">
              <w:rPr>
                <w:b/>
                <w:bCs/>
              </w:rPr>
              <w:t>ears</w:t>
            </w:r>
            <w:r w:rsidR="00A60A01" w:rsidRPr="00A60A01">
              <w:rPr>
                <w:b/>
                <w:bCs/>
              </w:rPr>
              <w:t>)</w:t>
            </w:r>
          </w:p>
        </w:tc>
        <w:tc>
          <w:tcPr>
            <w:tcW w:w="0" w:type="auto"/>
            <w:noWrap/>
          </w:tcPr>
          <w:p w14:paraId="087C02D2" w14:textId="77777777" w:rsidR="009941F7" w:rsidRPr="006341CB" w:rsidRDefault="009941F7" w:rsidP="004B2A06">
            <w:pPr>
              <w:pStyle w:val="TableText"/>
            </w:pPr>
            <w:r w:rsidRPr="006A4EF3">
              <w:t> </w:t>
            </w:r>
          </w:p>
        </w:tc>
        <w:tc>
          <w:tcPr>
            <w:tcW w:w="0" w:type="auto"/>
            <w:noWrap/>
          </w:tcPr>
          <w:p w14:paraId="1884D895" w14:textId="77777777" w:rsidR="009941F7" w:rsidRPr="006341CB" w:rsidRDefault="009941F7" w:rsidP="004B2A06">
            <w:pPr>
              <w:pStyle w:val="TableText"/>
            </w:pPr>
            <w:r w:rsidRPr="006A4EF3">
              <w:t> </w:t>
            </w:r>
          </w:p>
        </w:tc>
        <w:tc>
          <w:tcPr>
            <w:tcW w:w="0" w:type="auto"/>
            <w:noWrap/>
          </w:tcPr>
          <w:p w14:paraId="3B7578A3" w14:textId="77777777" w:rsidR="009941F7" w:rsidRPr="006341CB" w:rsidRDefault="009941F7" w:rsidP="004B2A06">
            <w:pPr>
              <w:pStyle w:val="TableText"/>
            </w:pPr>
            <w:r w:rsidRPr="006A4EF3">
              <w:t> </w:t>
            </w:r>
          </w:p>
        </w:tc>
        <w:tc>
          <w:tcPr>
            <w:tcW w:w="0" w:type="auto"/>
            <w:noWrap/>
          </w:tcPr>
          <w:p w14:paraId="24A1DB02" w14:textId="77777777" w:rsidR="009941F7" w:rsidRPr="006341CB" w:rsidRDefault="009941F7" w:rsidP="004B2A06">
            <w:pPr>
              <w:pStyle w:val="TableText"/>
            </w:pPr>
            <w:r w:rsidRPr="006A4EF3">
              <w:t> </w:t>
            </w:r>
          </w:p>
        </w:tc>
        <w:tc>
          <w:tcPr>
            <w:tcW w:w="0" w:type="auto"/>
            <w:noWrap/>
          </w:tcPr>
          <w:p w14:paraId="705BB4BD" w14:textId="77777777" w:rsidR="009941F7" w:rsidRPr="006341CB" w:rsidRDefault="009941F7" w:rsidP="004B2A06">
            <w:pPr>
              <w:pStyle w:val="TableText"/>
            </w:pPr>
            <w:r w:rsidRPr="006A4EF3">
              <w:t> </w:t>
            </w:r>
          </w:p>
        </w:tc>
        <w:tc>
          <w:tcPr>
            <w:tcW w:w="0" w:type="auto"/>
            <w:noWrap/>
          </w:tcPr>
          <w:p w14:paraId="0931AEC6" w14:textId="77777777" w:rsidR="009941F7" w:rsidRPr="006341CB" w:rsidRDefault="009941F7" w:rsidP="004B2A06">
            <w:pPr>
              <w:pStyle w:val="TableText"/>
            </w:pPr>
            <w:r w:rsidRPr="006A4EF3">
              <w:t> </w:t>
            </w:r>
          </w:p>
        </w:tc>
      </w:tr>
      <w:tr w:rsidR="009941F7" w:rsidRPr="006A4EF3" w14:paraId="2CE09351" w14:textId="77777777" w:rsidTr="00922ED7">
        <w:trPr>
          <w:trHeight w:val="290"/>
        </w:trPr>
        <w:tc>
          <w:tcPr>
            <w:tcW w:w="0" w:type="auto"/>
          </w:tcPr>
          <w:p w14:paraId="7C0F7D12" w14:textId="65E4560E" w:rsidR="009941F7" w:rsidRDefault="009941F7" w:rsidP="004B2A06">
            <w:pPr>
              <w:pStyle w:val="TableText"/>
            </w:pPr>
            <w:r w:rsidRPr="006A4EF3">
              <w:t xml:space="preserve">Number of proposed Level 2 services </w:t>
            </w:r>
          </w:p>
        </w:tc>
        <w:tc>
          <w:tcPr>
            <w:tcW w:w="0" w:type="auto"/>
            <w:noWrap/>
          </w:tcPr>
          <w:p w14:paraId="793E09E8" w14:textId="77777777" w:rsidR="009941F7" w:rsidRPr="006A4EF3" w:rsidRDefault="009941F7" w:rsidP="004B2A06">
            <w:pPr>
              <w:pStyle w:val="TableText"/>
            </w:pPr>
            <w:r w:rsidRPr="006A4EF3">
              <w:t>584</w:t>
            </w:r>
          </w:p>
        </w:tc>
        <w:tc>
          <w:tcPr>
            <w:tcW w:w="0" w:type="auto"/>
            <w:noWrap/>
          </w:tcPr>
          <w:p w14:paraId="5C0EF88C" w14:textId="77777777" w:rsidR="009941F7" w:rsidRPr="006A4EF3" w:rsidRDefault="009941F7" w:rsidP="004B2A06">
            <w:pPr>
              <w:pStyle w:val="TableText"/>
            </w:pPr>
            <w:r w:rsidRPr="006A4EF3">
              <w:t>672</w:t>
            </w:r>
          </w:p>
        </w:tc>
        <w:tc>
          <w:tcPr>
            <w:tcW w:w="0" w:type="auto"/>
            <w:noWrap/>
          </w:tcPr>
          <w:p w14:paraId="45620905" w14:textId="77777777" w:rsidR="009941F7" w:rsidRPr="006A4EF3" w:rsidRDefault="009941F7" w:rsidP="004B2A06">
            <w:pPr>
              <w:pStyle w:val="TableText"/>
            </w:pPr>
            <w:r w:rsidRPr="006A4EF3">
              <w:t>772</w:t>
            </w:r>
          </w:p>
        </w:tc>
        <w:tc>
          <w:tcPr>
            <w:tcW w:w="0" w:type="auto"/>
            <w:noWrap/>
          </w:tcPr>
          <w:p w14:paraId="5D00EFD0" w14:textId="77777777" w:rsidR="009941F7" w:rsidRPr="006A4EF3" w:rsidRDefault="009941F7" w:rsidP="004B2A06">
            <w:pPr>
              <w:pStyle w:val="TableText"/>
            </w:pPr>
            <w:r w:rsidRPr="006A4EF3">
              <w:t>888</w:t>
            </w:r>
          </w:p>
        </w:tc>
        <w:tc>
          <w:tcPr>
            <w:tcW w:w="0" w:type="auto"/>
            <w:noWrap/>
          </w:tcPr>
          <w:p w14:paraId="07FCE717" w14:textId="77777777" w:rsidR="009941F7" w:rsidRPr="006A4EF3" w:rsidRDefault="009941F7" w:rsidP="004B2A06">
            <w:pPr>
              <w:pStyle w:val="TableText"/>
            </w:pPr>
            <w:r w:rsidRPr="006A4EF3">
              <w:t>1,021</w:t>
            </w:r>
          </w:p>
        </w:tc>
        <w:tc>
          <w:tcPr>
            <w:tcW w:w="0" w:type="auto"/>
            <w:noWrap/>
          </w:tcPr>
          <w:p w14:paraId="0C3A1FBF" w14:textId="77777777" w:rsidR="009941F7" w:rsidRPr="006A4EF3" w:rsidRDefault="009941F7" w:rsidP="004B2A06">
            <w:pPr>
              <w:pStyle w:val="TableText"/>
            </w:pPr>
            <w:r w:rsidRPr="006A4EF3">
              <w:t>1,175</w:t>
            </w:r>
          </w:p>
        </w:tc>
      </w:tr>
      <w:tr w:rsidR="00182DE3" w:rsidRPr="006A4EF3" w14:paraId="4639F749" w14:textId="77777777" w:rsidTr="00922ED7">
        <w:trPr>
          <w:trHeight w:val="290"/>
        </w:trPr>
        <w:tc>
          <w:tcPr>
            <w:tcW w:w="0" w:type="auto"/>
          </w:tcPr>
          <w:p w14:paraId="3E80555B" w14:textId="0BCD33C2" w:rsidR="00182DE3" w:rsidRPr="006A4EF3" w:rsidRDefault="00182DE3" w:rsidP="00182DE3">
            <w:pPr>
              <w:pStyle w:val="TableText"/>
            </w:pPr>
            <w:r>
              <w:t>Net financial impact</w:t>
            </w:r>
          </w:p>
        </w:tc>
        <w:tc>
          <w:tcPr>
            <w:tcW w:w="0" w:type="auto"/>
            <w:noWrap/>
          </w:tcPr>
          <w:p w14:paraId="5C57501C" w14:textId="646CFC2A" w:rsidR="00182DE3" w:rsidRPr="006A4EF3" w:rsidRDefault="0028711C" w:rsidP="00182DE3">
            <w:pPr>
              <w:pStyle w:val="TableText"/>
            </w:pPr>
            <w:r w:rsidRPr="00C31130">
              <w:t>-$12,832</w:t>
            </w:r>
          </w:p>
        </w:tc>
        <w:tc>
          <w:tcPr>
            <w:tcW w:w="0" w:type="auto"/>
            <w:noWrap/>
          </w:tcPr>
          <w:p w14:paraId="1CA92A06" w14:textId="4412C913" w:rsidR="00182DE3" w:rsidRPr="006A4EF3" w:rsidRDefault="0028711C" w:rsidP="00182DE3">
            <w:pPr>
              <w:pStyle w:val="TableText"/>
            </w:pPr>
            <w:r w:rsidRPr="00C31130">
              <w:t>$27,226</w:t>
            </w:r>
          </w:p>
        </w:tc>
        <w:tc>
          <w:tcPr>
            <w:tcW w:w="0" w:type="auto"/>
            <w:noWrap/>
          </w:tcPr>
          <w:p w14:paraId="20BDF894" w14:textId="1FB8B45F" w:rsidR="00182DE3" w:rsidRPr="006A4EF3" w:rsidRDefault="0028711C" w:rsidP="00182DE3">
            <w:pPr>
              <w:pStyle w:val="TableText"/>
            </w:pPr>
            <w:r w:rsidRPr="00C31130">
              <w:t>$75,392</w:t>
            </w:r>
          </w:p>
        </w:tc>
        <w:tc>
          <w:tcPr>
            <w:tcW w:w="0" w:type="auto"/>
            <w:noWrap/>
          </w:tcPr>
          <w:p w14:paraId="32F61BC9" w14:textId="0BEC6B85" w:rsidR="00182DE3" w:rsidRPr="006A4EF3" w:rsidRDefault="0028711C" w:rsidP="00182DE3">
            <w:pPr>
              <w:pStyle w:val="TableText"/>
            </w:pPr>
            <w:r w:rsidRPr="00C31130">
              <w:t>$132,987</w:t>
            </w:r>
          </w:p>
        </w:tc>
        <w:tc>
          <w:tcPr>
            <w:tcW w:w="0" w:type="auto"/>
            <w:noWrap/>
          </w:tcPr>
          <w:p w14:paraId="2694B594" w14:textId="07E579FA" w:rsidR="00182DE3" w:rsidRPr="006A4EF3" w:rsidRDefault="0028711C" w:rsidP="00182DE3">
            <w:pPr>
              <w:pStyle w:val="TableText"/>
            </w:pPr>
            <w:r w:rsidRPr="00C31130">
              <w:t>$201,535</w:t>
            </w:r>
          </w:p>
        </w:tc>
        <w:tc>
          <w:tcPr>
            <w:tcW w:w="0" w:type="auto"/>
            <w:noWrap/>
          </w:tcPr>
          <w:p w14:paraId="3206B427" w14:textId="09852931" w:rsidR="00182DE3" w:rsidRPr="006A4EF3" w:rsidRDefault="0028711C" w:rsidP="00182DE3">
            <w:pPr>
              <w:pStyle w:val="TableText"/>
            </w:pPr>
            <w:r w:rsidRPr="00C31130">
              <w:t>$282,796</w:t>
            </w:r>
          </w:p>
        </w:tc>
      </w:tr>
      <w:tr w:rsidR="009941F7" w:rsidRPr="006A4EF3" w14:paraId="7B0E4292" w14:textId="77777777" w:rsidTr="00922ED7">
        <w:trPr>
          <w:trHeight w:val="290"/>
        </w:trPr>
        <w:tc>
          <w:tcPr>
            <w:tcW w:w="0" w:type="auto"/>
          </w:tcPr>
          <w:p w14:paraId="38D0916C" w14:textId="2686C270" w:rsidR="009941F7" w:rsidRDefault="009941F7" w:rsidP="00585C8F">
            <w:pPr>
              <w:pStyle w:val="TableText"/>
              <w:keepNext/>
            </w:pPr>
            <w:r w:rsidRPr="006E15E5">
              <w:rPr>
                <w:b/>
                <w:bCs/>
              </w:rPr>
              <w:t xml:space="preserve">Net financial impact </w:t>
            </w:r>
            <w:r w:rsidR="00C948E0">
              <w:rPr>
                <w:b/>
                <w:bCs/>
              </w:rPr>
              <w:t xml:space="preserve">for </w:t>
            </w:r>
            <w:r w:rsidR="006F7657">
              <w:rPr>
                <w:b/>
                <w:bCs/>
              </w:rPr>
              <w:t xml:space="preserve">all paediatrics </w:t>
            </w:r>
            <w:r w:rsidR="00C948E0" w:rsidRPr="00C948E0">
              <w:rPr>
                <w:b/>
                <w:bCs/>
              </w:rPr>
              <w:t>(3-17</w:t>
            </w:r>
            <w:r w:rsidR="001332DE">
              <w:rPr>
                <w:b/>
                <w:bCs/>
              </w:rPr>
              <w:t xml:space="preserve"> </w:t>
            </w:r>
            <w:r w:rsidR="00C948E0" w:rsidRPr="00C948E0">
              <w:rPr>
                <w:b/>
                <w:bCs/>
              </w:rPr>
              <w:t>y</w:t>
            </w:r>
            <w:r w:rsidR="001332DE">
              <w:rPr>
                <w:b/>
                <w:bCs/>
              </w:rPr>
              <w:t>ears</w:t>
            </w:r>
            <w:r w:rsidR="00C948E0" w:rsidRPr="00C948E0">
              <w:rPr>
                <w:b/>
                <w:bCs/>
              </w:rPr>
              <w:t>)</w:t>
            </w:r>
          </w:p>
        </w:tc>
        <w:tc>
          <w:tcPr>
            <w:tcW w:w="0" w:type="auto"/>
            <w:noWrap/>
          </w:tcPr>
          <w:p w14:paraId="3467B746" w14:textId="77777777" w:rsidR="009941F7" w:rsidRPr="006341CB" w:rsidRDefault="009941F7" w:rsidP="00585C8F">
            <w:pPr>
              <w:pStyle w:val="TableText"/>
              <w:keepNext/>
            </w:pPr>
            <w:r w:rsidRPr="006A4EF3">
              <w:t> </w:t>
            </w:r>
          </w:p>
        </w:tc>
        <w:tc>
          <w:tcPr>
            <w:tcW w:w="0" w:type="auto"/>
            <w:noWrap/>
          </w:tcPr>
          <w:p w14:paraId="09EEC682" w14:textId="77777777" w:rsidR="009941F7" w:rsidRPr="006341CB" w:rsidRDefault="009941F7" w:rsidP="00585C8F">
            <w:pPr>
              <w:pStyle w:val="TableText"/>
              <w:keepNext/>
            </w:pPr>
            <w:r w:rsidRPr="006A4EF3">
              <w:t> </w:t>
            </w:r>
          </w:p>
        </w:tc>
        <w:tc>
          <w:tcPr>
            <w:tcW w:w="0" w:type="auto"/>
            <w:noWrap/>
          </w:tcPr>
          <w:p w14:paraId="2842270B" w14:textId="77777777" w:rsidR="009941F7" w:rsidRPr="006341CB" w:rsidRDefault="009941F7" w:rsidP="00585C8F">
            <w:pPr>
              <w:pStyle w:val="TableText"/>
              <w:keepNext/>
            </w:pPr>
            <w:r w:rsidRPr="006A4EF3">
              <w:t> </w:t>
            </w:r>
          </w:p>
        </w:tc>
        <w:tc>
          <w:tcPr>
            <w:tcW w:w="0" w:type="auto"/>
            <w:noWrap/>
          </w:tcPr>
          <w:p w14:paraId="0CE0A538" w14:textId="77777777" w:rsidR="009941F7" w:rsidRPr="006341CB" w:rsidRDefault="009941F7" w:rsidP="00585C8F">
            <w:pPr>
              <w:pStyle w:val="TableText"/>
              <w:keepNext/>
            </w:pPr>
            <w:r w:rsidRPr="006A4EF3">
              <w:t> </w:t>
            </w:r>
          </w:p>
        </w:tc>
        <w:tc>
          <w:tcPr>
            <w:tcW w:w="0" w:type="auto"/>
            <w:noWrap/>
          </w:tcPr>
          <w:p w14:paraId="212F0F1E" w14:textId="77777777" w:rsidR="009941F7" w:rsidRPr="006341CB" w:rsidRDefault="009941F7" w:rsidP="00585C8F">
            <w:pPr>
              <w:pStyle w:val="TableText"/>
              <w:keepNext/>
            </w:pPr>
            <w:r w:rsidRPr="006A4EF3">
              <w:t> </w:t>
            </w:r>
          </w:p>
        </w:tc>
        <w:tc>
          <w:tcPr>
            <w:tcW w:w="0" w:type="auto"/>
            <w:noWrap/>
          </w:tcPr>
          <w:p w14:paraId="2563A719" w14:textId="77777777" w:rsidR="009941F7" w:rsidRPr="006341CB" w:rsidRDefault="009941F7" w:rsidP="00585C8F">
            <w:pPr>
              <w:pStyle w:val="TableText"/>
              <w:keepNext/>
            </w:pPr>
            <w:r w:rsidRPr="006A4EF3">
              <w:t> </w:t>
            </w:r>
          </w:p>
        </w:tc>
      </w:tr>
      <w:tr w:rsidR="009941F7" w:rsidRPr="006A4EF3" w14:paraId="0C832049" w14:textId="77777777" w:rsidTr="00922ED7">
        <w:trPr>
          <w:trHeight w:val="290"/>
        </w:trPr>
        <w:tc>
          <w:tcPr>
            <w:tcW w:w="0" w:type="auto"/>
          </w:tcPr>
          <w:p w14:paraId="6D1CC8BB" w14:textId="4B3A7111" w:rsidR="009941F7" w:rsidRPr="006E15E5" w:rsidRDefault="009941F7" w:rsidP="004B2A06">
            <w:pPr>
              <w:pStyle w:val="TableText"/>
              <w:rPr>
                <w:b/>
                <w:bCs/>
              </w:rPr>
            </w:pPr>
            <w:r w:rsidRPr="006A4EF3">
              <w:t xml:space="preserve">Number of proposed Level 2 services </w:t>
            </w:r>
          </w:p>
        </w:tc>
        <w:tc>
          <w:tcPr>
            <w:tcW w:w="0" w:type="auto"/>
            <w:noWrap/>
          </w:tcPr>
          <w:p w14:paraId="044DAB25" w14:textId="77777777" w:rsidR="009941F7" w:rsidRPr="006A4EF3" w:rsidRDefault="009941F7" w:rsidP="004B2A06">
            <w:pPr>
              <w:pStyle w:val="TableText"/>
            </w:pPr>
            <w:r w:rsidRPr="00CF43A2">
              <w:t>3,116</w:t>
            </w:r>
          </w:p>
        </w:tc>
        <w:tc>
          <w:tcPr>
            <w:tcW w:w="0" w:type="auto"/>
            <w:noWrap/>
          </w:tcPr>
          <w:p w14:paraId="32AB4BA3" w14:textId="77777777" w:rsidR="009941F7" w:rsidRPr="006A4EF3" w:rsidRDefault="009941F7" w:rsidP="004B2A06">
            <w:pPr>
              <w:pStyle w:val="TableText"/>
            </w:pPr>
            <w:r w:rsidRPr="00CF43A2">
              <w:t>3,584</w:t>
            </w:r>
          </w:p>
        </w:tc>
        <w:tc>
          <w:tcPr>
            <w:tcW w:w="0" w:type="auto"/>
            <w:noWrap/>
          </w:tcPr>
          <w:p w14:paraId="70817199" w14:textId="77777777" w:rsidR="009941F7" w:rsidRPr="006A4EF3" w:rsidRDefault="009941F7" w:rsidP="004B2A06">
            <w:pPr>
              <w:pStyle w:val="TableText"/>
            </w:pPr>
            <w:r w:rsidRPr="00CF43A2">
              <w:t>4,122</w:t>
            </w:r>
          </w:p>
        </w:tc>
        <w:tc>
          <w:tcPr>
            <w:tcW w:w="0" w:type="auto"/>
            <w:noWrap/>
          </w:tcPr>
          <w:p w14:paraId="30EFDC11" w14:textId="77777777" w:rsidR="009941F7" w:rsidRPr="006A4EF3" w:rsidRDefault="009941F7" w:rsidP="004B2A06">
            <w:pPr>
              <w:pStyle w:val="TableText"/>
            </w:pPr>
            <w:r w:rsidRPr="00CF43A2">
              <w:t>4,740</w:t>
            </w:r>
          </w:p>
        </w:tc>
        <w:tc>
          <w:tcPr>
            <w:tcW w:w="0" w:type="auto"/>
            <w:noWrap/>
          </w:tcPr>
          <w:p w14:paraId="7CDA37C9" w14:textId="77777777" w:rsidR="009941F7" w:rsidRPr="006A4EF3" w:rsidRDefault="009941F7" w:rsidP="004B2A06">
            <w:pPr>
              <w:pStyle w:val="TableText"/>
            </w:pPr>
            <w:r w:rsidRPr="00CF43A2">
              <w:t>5,451</w:t>
            </w:r>
          </w:p>
        </w:tc>
        <w:tc>
          <w:tcPr>
            <w:tcW w:w="0" w:type="auto"/>
            <w:noWrap/>
          </w:tcPr>
          <w:p w14:paraId="5A9B2263" w14:textId="77777777" w:rsidR="009941F7" w:rsidRPr="006A4EF3" w:rsidRDefault="009941F7" w:rsidP="004B2A06">
            <w:pPr>
              <w:pStyle w:val="TableText"/>
            </w:pPr>
            <w:r w:rsidRPr="00CF43A2">
              <w:t>6,268</w:t>
            </w:r>
          </w:p>
        </w:tc>
      </w:tr>
      <w:tr w:rsidR="0087697C" w:rsidRPr="006A4EF3" w14:paraId="4437EA33" w14:textId="77777777" w:rsidTr="00922ED7">
        <w:trPr>
          <w:trHeight w:val="290"/>
        </w:trPr>
        <w:tc>
          <w:tcPr>
            <w:tcW w:w="0" w:type="auto"/>
          </w:tcPr>
          <w:p w14:paraId="1D7A4EB6" w14:textId="58B0C83A" w:rsidR="0087697C" w:rsidRPr="006A4EF3" w:rsidRDefault="0087697C" w:rsidP="0087697C">
            <w:pPr>
              <w:pStyle w:val="TableText"/>
            </w:pPr>
            <w:r>
              <w:t>Net financial impact</w:t>
            </w:r>
          </w:p>
        </w:tc>
        <w:tc>
          <w:tcPr>
            <w:tcW w:w="0" w:type="auto"/>
            <w:noWrap/>
          </w:tcPr>
          <w:p w14:paraId="782A6CD0" w14:textId="5489E736" w:rsidR="0087697C" w:rsidRPr="006A4EF3" w:rsidRDefault="001973CC" w:rsidP="0087697C">
            <w:pPr>
              <w:pStyle w:val="TableText"/>
            </w:pPr>
            <w:r w:rsidRPr="00C31130">
              <w:t>-$130,677</w:t>
            </w:r>
          </w:p>
        </w:tc>
        <w:tc>
          <w:tcPr>
            <w:tcW w:w="0" w:type="auto"/>
            <w:noWrap/>
          </w:tcPr>
          <w:p w14:paraId="0E9D5975" w14:textId="4977D51D" w:rsidR="0087697C" w:rsidRPr="006A4EF3" w:rsidRDefault="001973CC" w:rsidP="0087697C">
            <w:pPr>
              <w:pStyle w:val="TableText"/>
            </w:pPr>
            <w:r w:rsidRPr="00C31130">
              <w:t>$88,213</w:t>
            </w:r>
          </w:p>
        </w:tc>
        <w:tc>
          <w:tcPr>
            <w:tcW w:w="0" w:type="auto"/>
            <w:noWrap/>
          </w:tcPr>
          <w:p w14:paraId="457D9494" w14:textId="153792DA" w:rsidR="0087697C" w:rsidRPr="006A4EF3" w:rsidRDefault="001973CC" w:rsidP="0087697C">
            <w:pPr>
              <w:pStyle w:val="TableText"/>
            </w:pPr>
            <w:r w:rsidRPr="00C31130">
              <w:t>$351,861</w:t>
            </w:r>
          </w:p>
        </w:tc>
        <w:tc>
          <w:tcPr>
            <w:tcW w:w="0" w:type="auto"/>
            <w:noWrap/>
          </w:tcPr>
          <w:p w14:paraId="7DB9B8A5" w14:textId="10097C75" w:rsidR="0087697C" w:rsidRPr="006A4EF3" w:rsidRDefault="001973CC" w:rsidP="0087697C">
            <w:pPr>
              <w:pStyle w:val="TableText"/>
            </w:pPr>
            <w:r w:rsidRPr="00C31130">
              <w:t>$667,578</w:t>
            </w:r>
          </w:p>
        </w:tc>
        <w:tc>
          <w:tcPr>
            <w:tcW w:w="0" w:type="auto"/>
            <w:noWrap/>
          </w:tcPr>
          <w:p w14:paraId="58ED8BB3" w14:textId="56F83E03" w:rsidR="0087697C" w:rsidRPr="006A4EF3" w:rsidRDefault="001973CC" w:rsidP="0087697C">
            <w:pPr>
              <w:pStyle w:val="TableText"/>
            </w:pPr>
            <w:r w:rsidRPr="00C31130">
              <w:t>$1,043,798</w:t>
            </w:r>
          </w:p>
        </w:tc>
        <w:tc>
          <w:tcPr>
            <w:tcW w:w="0" w:type="auto"/>
            <w:noWrap/>
          </w:tcPr>
          <w:p w14:paraId="2C153250" w14:textId="0C6FEB0F" w:rsidR="0087697C" w:rsidRPr="006A4EF3" w:rsidRDefault="001973CC" w:rsidP="0087697C">
            <w:pPr>
              <w:pStyle w:val="TableText"/>
            </w:pPr>
            <w:r w:rsidRPr="00C31130">
              <w:t>$1,490,257</w:t>
            </w:r>
          </w:p>
        </w:tc>
      </w:tr>
    </w:tbl>
    <w:p w14:paraId="499CD069" w14:textId="47FEF116" w:rsidR="004803A4" w:rsidRDefault="00966E6F" w:rsidP="004803A4">
      <w:pPr>
        <w:pStyle w:val="111Tablefootnoteslast-nostick"/>
        <w:rPr>
          <w:szCs w:val="18"/>
        </w:rPr>
      </w:pPr>
      <w:r w:rsidRPr="006D2801">
        <w:t>FY</w:t>
      </w:r>
      <w:r>
        <w:t xml:space="preserve"> </w:t>
      </w:r>
      <w:r w:rsidRPr="006D2801">
        <w:t>=</w:t>
      </w:r>
      <w:r>
        <w:t xml:space="preserve"> </w:t>
      </w:r>
      <w:r w:rsidRPr="006D2801">
        <w:t>financial year</w:t>
      </w:r>
      <w:r>
        <w:rPr>
          <w:szCs w:val="18"/>
        </w:rPr>
        <w:t>;</w:t>
      </w:r>
      <w:r w:rsidRPr="006D2801">
        <w:rPr>
          <w:szCs w:val="18"/>
        </w:rPr>
        <w:t xml:space="preserve"> </w:t>
      </w:r>
      <w:r>
        <w:rPr>
          <w:szCs w:val="18"/>
        </w:rPr>
        <w:t>MBS = Medicare Benefits Schedule; PSG = polysomnography.</w:t>
      </w:r>
    </w:p>
    <w:p w14:paraId="580F20FE" w14:textId="0EA1AE50" w:rsidR="00591BE0" w:rsidRPr="00ED72A6" w:rsidRDefault="00591BE0" w:rsidP="00591BE0">
      <w:pPr>
        <w:pStyle w:val="111Tablefootnoteslast-nostick"/>
      </w:pPr>
      <w:r>
        <w:t xml:space="preserve">Source: </w:t>
      </w:r>
      <w:r w:rsidRPr="00D826EB">
        <w:t xml:space="preserve">Table </w:t>
      </w:r>
      <w:r w:rsidR="00B8619F">
        <w:t>51</w:t>
      </w:r>
      <w:r>
        <w:t xml:space="preserve"> of DCAR 1712.1.</w:t>
      </w:r>
    </w:p>
    <w:p w14:paraId="36EF4A4D" w14:textId="4F4C130A" w:rsidR="00742FD9" w:rsidRDefault="00A978B0" w:rsidP="004105F1">
      <w:pPr>
        <w:pStyle w:val="ExecSumHeading2"/>
        <w:numPr>
          <w:ilvl w:val="0"/>
          <w:numId w:val="28"/>
        </w:numPr>
        <w:ind w:hanging="720"/>
      </w:pPr>
      <w:bookmarkStart w:id="32" w:name="_Toc200550250"/>
      <w:r>
        <w:t>Other relevant information</w:t>
      </w:r>
      <w:bookmarkEnd w:id="32"/>
    </w:p>
    <w:p w14:paraId="15022EF6" w14:textId="164307AA" w:rsidR="00742FD9" w:rsidRDefault="00D85B91" w:rsidP="0034224B">
      <w:pPr>
        <w:pStyle w:val="BodyText"/>
      </w:pPr>
      <w:r>
        <w:t xml:space="preserve">Nil. </w:t>
      </w:r>
    </w:p>
    <w:p w14:paraId="6A7C15EA" w14:textId="62256BE8" w:rsidR="000D7E4D" w:rsidRPr="00A737D1" w:rsidRDefault="000D7E4D" w:rsidP="004105F1">
      <w:pPr>
        <w:pStyle w:val="ExecSumHeading2"/>
        <w:numPr>
          <w:ilvl w:val="0"/>
          <w:numId w:val="28"/>
        </w:numPr>
        <w:ind w:hanging="720"/>
      </w:pPr>
      <w:bookmarkStart w:id="33" w:name="_Hlk193984667"/>
      <w:r w:rsidRPr="003A793E">
        <w:t>Applicant comments on MSAC’s Public Summary Document</w:t>
      </w:r>
    </w:p>
    <w:p w14:paraId="23E4D86A" w14:textId="2A0E63F8" w:rsidR="00BD5986" w:rsidRPr="00EE2B5D" w:rsidRDefault="00BD5986" w:rsidP="00EE2B5D">
      <w:r w:rsidRPr="00EE2B5D">
        <w:t>The Australasian Sleep Association welcomes the decision to fund Level</w:t>
      </w:r>
      <w:r w:rsidR="00763F7F">
        <w:t xml:space="preserve"> </w:t>
      </w:r>
      <w:r w:rsidRPr="00EE2B5D">
        <w:t>2 (home-based) sleep studies for children and adolescents</w:t>
      </w:r>
      <w:r w:rsidR="00763F7F">
        <w:t>. This</w:t>
      </w:r>
      <w:r w:rsidRPr="00EE2B5D">
        <w:t xml:space="preserve"> change will make timely, high-quality assessment of sleep-disordered breathing far more accessible across Australia. By complementing existing </w:t>
      </w:r>
      <w:r w:rsidR="00763F7F">
        <w:t>laboratory</w:t>
      </w:r>
      <w:r w:rsidRPr="00EE2B5D">
        <w:t>-based studies, this will help reduce wait times, lower travel and out-of-pocket costs, and make care easier for families—especially those in regional and remote areas and First Nations communities. Technician-supported home testing is child-friendly and clinically robust, enabling earlier diagnosis and treatment that can improve learning, behaviour, and overall health.</w:t>
      </w:r>
    </w:p>
    <w:p w14:paraId="7B1F0B6A" w14:textId="153B6D82" w:rsidR="000D7E4D" w:rsidRPr="00A737D1" w:rsidRDefault="000D7E4D" w:rsidP="00EE2B5D">
      <w:pPr>
        <w:pStyle w:val="ExecSumHeading2"/>
        <w:numPr>
          <w:ilvl w:val="0"/>
          <w:numId w:val="28"/>
        </w:numPr>
        <w:ind w:hanging="720"/>
      </w:pPr>
      <w:r w:rsidRPr="003A793E">
        <w:t>Further information on MSAC</w:t>
      </w:r>
    </w:p>
    <w:p w14:paraId="31A6E3C0" w14:textId="31AEA447" w:rsidR="000D7E4D" w:rsidRPr="000D7E4D" w:rsidRDefault="000D7E4D" w:rsidP="00433E52">
      <w:pPr>
        <w:pStyle w:val="BodyText"/>
        <w:rPr>
          <w:b/>
          <w:bCs/>
          <w:i/>
          <w:iCs/>
        </w:rPr>
      </w:pPr>
      <w:r w:rsidRPr="00F309FA">
        <w:rPr>
          <w:bCs/>
          <w:iCs/>
        </w:rPr>
        <w:t xml:space="preserve">MSAC Terms of Reference and other information are available on the MSAC Website: </w:t>
      </w:r>
      <w:hyperlink r:id="rId25" w:tooltip="Link to the MSAC website" w:history="1">
        <w:r w:rsidRPr="000D2098">
          <w:rPr>
            <w:rStyle w:val="Hyperlink"/>
            <w:iCs/>
            <w:color w:val="007BB8"/>
          </w:rPr>
          <w:t>visit the MSAC website</w:t>
        </w:r>
      </w:hyperlink>
      <w:bookmarkEnd w:id="33"/>
    </w:p>
    <w:sectPr w:rsidR="000D7E4D" w:rsidRPr="000D7E4D" w:rsidSect="009905D2">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9065" w14:textId="77777777" w:rsidR="003637EF" w:rsidRDefault="003637EF" w:rsidP="0011251C">
      <w:pPr>
        <w:spacing w:after="0" w:line="240" w:lineRule="auto"/>
      </w:pPr>
      <w:r>
        <w:separator/>
      </w:r>
    </w:p>
  </w:endnote>
  <w:endnote w:type="continuationSeparator" w:id="0">
    <w:p w14:paraId="45E2C07B" w14:textId="77777777" w:rsidR="003637EF" w:rsidRDefault="003637EF" w:rsidP="0011251C">
      <w:pPr>
        <w:spacing w:after="0" w:line="240" w:lineRule="auto"/>
      </w:pPr>
      <w:r>
        <w:continuationSeparator/>
      </w:r>
    </w:p>
  </w:endnote>
  <w:endnote w:type="continuationNotice" w:id="1">
    <w:p w14:paraId="21194CCD" w14:textId="77777777" w:rsidR="003637EF" w:rsidRDefault="00363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7F9F" w14:textId="721A4330" w:rsidR="00997F24" w:rsidRDefault="00997F24">
    <w:pPr>
      <w:pStyle w:val="Footer"/>
    </w:pPr>
    <w:r>
      <w:rPr>
        <w:noProof/>
      </w:rPr>
      <mc:AlternateContent>
        <mc:Choice Requires="wps">
          <w:drawing>
            <wp:anchor distT="0" distB="0" distL="0" distR="0" simplePos="0" relativeHeight="251658244" behindDoc="0" locked="0" layoutInCell="1" allowOverlap="1" wp14:anchorId="74906E30" wp14:editId="0D45C5B0">
              <wp:simplePos x="635" y="635"/>
              <wp:positionH relativeFrom="page">
                <wp:align>center</wp:align>
              </wp:positionH>
              <wp:positionV relativeFrom="page">
                <wp:align>bottom</wp:align>
              </wp:positionV>
              <wp:extent cx="551815" cy="467360"/>
              <wp:effectExtent l="0" t="0" r="635" b="0"/>
              <wp:wrapNone/>
              <wp:docPr id="11101194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274122E1" w14:textId="08E3E9A2"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906E30" id="_x0000_t202" coordsize="21600,21600" o:spt="202" path="m,l,21600r21600,l21600,xe">
              <v:stroke joinstyle="miter"/>
              <v:path gradientshapeok="t" o:connecttype="rect"/>
            </v:shapetype>
            <v:shape id="Text Box 5" o:spid="_x0000_s1028" type="#_x0000_t202" alt="OFFICIAL" style="position:absolute;margin-left:0;margin-top:0;width:43.45pt;height:36.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9yEAIAABwEAAAOAAAAZHJzL2Uyb0RvYy54bWysU01v2zAMvQ/YfxB0X2xnS9YZcYqsRYYB&#10;QVsgHXpWZCk2IImCpMTOfv0oOU66bqdhF5kmKX6897S47bUiR+F8C6aixSSnRBgOdWv2Ff3xvP5w&#10;Q4kPzNRMgREVPQlPb5fv3y06W4opNKBq4QgWMb7sbEWbEGyZZZ43QjM/ASsMBiU4zQL+un1WO9Zh&#10;da2yaZ7Psw5cbR1w4T1674cgXab6UgoeHqX0IhBVUZwtpNOlcxfPbLlg5d4x27T8PAb7hyk0aw02&#10;vZS6Z4GRg2v/KKVb7sCDDBMOOgMpWy7SDrhNkb/ZZtswK9IuCI63F5j8/yvLH45b++RI6L9CjwRG&#10;QDrrS4/OuE8vnY5fnJRgHCE8XWATfSAcnbNZcVPMKOEY+jT//HGeYM2ul63z4ZsATaJRUYesJLDY&#10;ceMDNsTUMSX2MrBulUrMKPObAxOjJ7tOGK3Q73rS1hWdjtPvoD7hUg4Gvr3l6xZbb5gPT8whwbgH&#10;ijY84iEVdBWFs0VJA+7n3/wxH3HHKCUdCqaiBhVNifpukI+ordFwo7FLRvEln+UYNwd9ByjDAl+E&#10;5clErwtqNKUD/YJyXsVGGGKGY7uK7kbzLgzKxefAxWqVklBGloWN2VoeS0e4IpbP/Qtz9gx4QKYe&#10;YFQTK9/gPuTGm96uDgHRT6REaAcgz4ijBBNX5+cSNf76P2VdH/XyF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D0m39yEAIA&#10;ABwEAAAOAAAAAAAAAAAAAAAAAC4CAABkcnMvZTJvRG9jLnhtbFBLAQItABQABgAIAAAAIQDZVppF&#10;2wAAAAMBAAAPAAAAAAAAAAAAAAAAAGoEAABkcnMvZG93bnJldi54bWxQSwUGAAAAAAQABADzAAAA&#10;cgUAAAAA&#10;" filled="f" stroked="f">
              <v:textbox style="mso-fit-shape-to-text:t" inset="0,0,0,15pt">
                <w:txbxContent>
                  <w:p w14:paraId="274122E1" w14:textId="08E3E9A2"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8BD4" w14:textId="2D2B75C3" w:rsidR="009905D2" w:rsidRDefault="00997F24">
    <w:pPr>
      <w:pStyle w:val="Footer"/>
      <w:jc w:val="right"/>
    </w:pPr>
    <w:r>
      <w:rPr>
        <w:noProof/>
      </w:rPr>
      <mc:AlternateContent>
        <mc:Choice Requires="wps">
          <w:drawing>
            <wp:anchor distT="0" distB="0" distL="0" distR="0" simplePos="0" relativeHeight="251658245" behindDoc="0" locked="0" layoutInCell="1" allowOverlap="1" wp14:anchorId="77517794" wp14:editId="4222CE9B">
              <wp:simplePos x="914400" y="10010775"/>
              <wp:positionH relativeFrom="page">
                <wp:align>center</wp:align>
              </wp:positionH>
              <wp:positionV relativeFrom="page">
                <wp:align>bottom</wp:align>
              </wp:positionV>
              <wp:extent cx="551815" cy="467360"/>
              <wp:effectExtent l="0" t="0" r="635" b="0"/>
              <wp:wrapNone/>
              <wp:docPr id="8365556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71C871D4" w14:textId="31C3D045"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1779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6.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1PEAIAABwEAAAOAAAAZHJzL2Uyb0RvYy54bWysU01v2zAMvQ/YfxB0X2y3S9YZcYqsRYYB&#10;RVsgHXpWZDk2IIkCpcTOfv0oJU62bqdhF5kmKX689zS/HYxme4W+A1vxYpJzpqyEurPbin9/WX24&#10;4cwHYWuhwaqKH5Tnt4v37+a9K9UVtKBrhYyKWF/2ruJtCK7MMi9bZYSfgFOWgg2gEYF+cZvVKHqq&#10;bnR2leezrAesHYJU3pP3/hjki1S/aZQMT03jVWC64jRbSCemcxPPbDEX5RaFazt5GkP8wxRGdJaa&#10;nkvdiyDYDrs/SplOInhowkSCyaBpOqnSDrRNkb/ZZt0Kp9IuBI53Z5j8/ysrH/dr94wsDF9gIAIj&#10;IL3zpSdn3Gdo0MQvTcooThAezrCpITBJzum0uCmmnEkKfZx9up4lWLPLZYc+fFVgWDQqjsRKAkvs&#10;H3yghpQ6psReFlad1okZbX9zUGL0ZJcJoxWGzcC6uuLX4/QbqA+0FMKRb+/kqqPWD8KHZ4FEMO1B&#10;og1PdDQa+orDyeKsBfzxN3/MJ9wpyllPgqm4JUVzpr9Z4iNqazRwNDbJKD7n05zidmfugGRY0Itw&#10;MpnkxaBHs0EwryTnZWxEIWEltav4ZjTvwlG59BykWi5TEsnIifBg107G0hGuiOXL8CrQnQAPxNQj&#10;jGoS5Rvcj7nxpnfLXSD0EykR2iOQJ8RJgomr03OJGv/1P2VdHvXiJ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CZJM1PEAIA&#10;ABwEAAAOAAAAAAAAAAAAAAAAAC4CAABkcnMvZTJvRG9jLnhtbFBLAQItABQABgAIAAAAIQDZVppF&#10;2wAAAAMBAAAPAAAAAAAAAAAAAAAAAGoEAABkcnMvZG93bnJldi54bWxQSwUGAAAAAAQABADzAAAA&#10;cgUAAAAA&#10;" filled="f" stroked="f">
              <v:textbox style="mso-fit-shape-to-text:t" inset="0,0,0,15pt">
                <w:txbxContent>
                  <w:p w14:paraId="71C871D4" w14:textId="31C3D045"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v:textbox>
              <w10:wrap anchorx="page" anchory="page"/>
            </v:shape>
          </w:pict>
        </mc:Fallback>
      </mc:AlternateContent>
    </w:r>
    <w:sdt>
      <w:sdtPr>
        <w:id w:val="-318494611"/>
        <w:docPartObj>
          <w:docPartGallery w:val="Page Numbers (Bottom of Page)"/>
          <w:docPartUnique/>
        </w:docPartObj>
      </w:sdtPr>
      <w:sdtEndPr>
        <w:rPr>
          <w:noProof/>
        </w:rPr>
      </w:sdtEndPr>
      <w:sdtContent>
        <w:r w:rsidR="009905D2">
          <w:fldChar w:fldCharType="begin"/>
        </w:r>
        <w:r w:rsidR="009905D2">
          <w:instrText xml:space="preserve"> PAGE   \* MERGEFORMAT </w:instrText>
        </w:r>
        <w:r w:rsidR="009905D2">
          <w:fldChar w:fldCharType="separate"/>
        </w:r>
        <w:r w:rsidR="009905D2">
          <w:rPr>
            <w:noProof/>
          </w:rPr>
          <w:t>2</w:t>
        </w:r>
        <w:r w:rsidR="009905D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1DE8" w14:textId="439EA65B" w:rsidR="00997F24" w:rsidRDefault="00997F24">
    <w:pPr>
      <w:pStyle w:val="Footer"/>
    </w:pPr>
    <w:r>
      <w:rPr>
        <w:noProof/>
      </w:rPr>
      <mc:AlternateContent>
        <mc:Choice Requires="wps">
          <w:drawing>
            <wp:anchor distT="0" distB="0" distL="0" distR="0" simplePos="0" relativeHeight="251658243" behindDoc="0" locked="0" layoutInCell="1" allowOverlap="1" wp14:anchorId="3860D6E3" wp14:editId="78EC8CF7">
              <wp:simplePos x="635" y="635"/>
              <wp:positionH relativeFrom="page">
                <wp:align>center</wp:align>
              </wp:positionH>
              <wp:positionV relativeFrom="page">
                <wp:align>bottom</wp:align>
              </wp:positionV>
              <wp:extent cx="551815" cy="467360"/>
              <wp:effectExtent l="0" t="0" r="635" b="0"/>
              <wp:wrapNone/>
              <wp:docPr id="19406468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21D9029D" w14:textId="1D45F962"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60D6E3" id="_x0000_t202" coordsize="21600,21600" o:spt="202" path="m,l,21600r21600,l21600,xe">
              <v:stroke joinstyle="miter"/>
              <v:path gradientshapeok="t" o:connecttype="rect"/>
            </v:shapetype>
            <v:shape id="Text Box 4" o:spid="_x0000_s1031" type="#_x0000_t202" alt="OFFICIAL" style="position:absolute;margin-left:0;margin-top:0;width:43.45pt;height:36.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LCDwIAABwEAAAOAAAAZHJzL2Uyb0RvYy54bWysU01v2zAMvQ/YfxB0X2x3S9YZcYqsRYYB&#10;RVsgHXpWZCk2YIkCpcTOfv0oJU66bqdhF5kmKX689zS/GUzH9gp9C7bixSTnTFkJdWu3Ff/xvPpw&#10;zZkPwtaiA6sqflCe3yzev5v3rlRX0EBXK2RUxPqydxVvQnBllnnZKCP8BJyyFNSARgT6xW1Wo+ip&#10;uumyqzyfZT1g7RCk8p68d8cgX6T6WisZHrX2KrCu4jRbSCemcxPPbDEX5RaFa1p5GkP8wxRGtJaa&#10;nkvdiSDYDts/SplWInjQYSLBZKB1K1XagbYp8jfbrBvhVNqFwPHuDJP/f2Xlw37tnpCF4SsMRGAE&#10;pHe+9OSM+wwaTfzSpIziBOHhDJsaApPknE6L62LKmaTQp9nnj7MEa3a57NCHbwoMi0bFkVhJYIn9&#10;vQ/UkFLHlNjLwqrtusRMZ39zUGL0ZJcJoxWGzcDamgYZp99AfaClEI58eydXLbW+Fz48CSSCaQ8S&#10;bXikQ3fQVxxOFmcN4M+/+WM+4U5RznoSTMUtKZqz7rslPqK2RgNHY5OM4ks+zSlud+YWSIYFvQgn&#10;k0leDN1oagTzQnJexkYUElZSu4pvRvM2HJVLz0Gq5TIlkYycCPd27WQsHeGKWD4PLwLdCfBATD3A&#10;qCZRvsH9mBtverfcBUI/kRKhPQJ5QpwkmLg6PZeo8df/KevyqBe/AAAA//8DAFBLAwQUAAYACAAA&#10;ACEA2VaaR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zQDWRbylr38AQAA//8DAFBLAQItABQABgAIAAAAIQC2gziS/gAAAOEBAAATAAAA&#10;AAAAAAAAAAAAAAAAAABbQ29udGVudF9UeXBlc10ueG1sUEsBAi0AFAAGAAgAAAAhADj9If/WAAAA&#10;lAEAAAsAAAAAAAAAAAAAAAAALwEAAF9yZWxzLy5yZWxzUEsBAi0AFAAGAAgAAAAhAPenYsIPAgAA&#10;HAQAAA4AAAAAAAAAAAAAAAAALgIAAGRycy9lMm9Eb2MueG1sUEsBAi0AFAAGAAgAAAAhANlWmkXb&#10;AAAAAwEAAA8AAAAAAAAAAAAAAAAAaQQAAGRycy9kb3ducmV2LnhtbFBLBQYAAAAABAAEAPMAAABx&#10;BQAAAAA=&#10;" filled="f" stroked="f">
              <v:textbox style="mso-fit-shape-to-text:t" inset="0,0,0,15pt">
                <w:txbxContent>
                  <w:p w14:paraId="21D9029D" w14:textId="1D45F962"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FFA2" w14:textId="77777777" w:rsidR="003637EF" w:rsidRDefault="003637EF" w:rsidP="0011251C">
      <w:pPr>
        <w:spacing w:after="0" w:line="240" w:lineRule="auto"/>
      </w:pPr>
      <w:r>
        <w:separator/>
      </w:r>
    </w:p>
  </w:footnote>
  <w:footnote w:type="continuationSeparator" w:id="0">
    <w:p w14:paraId="20A50369" w14:textId="77777777" w:rsidR="003637EF" w:rsidRDefault="003637EF" w:rsidP="0011251C">
      <w:pPr>
        <w:spacing w:after="0" w:line="240" w:lineRule="auto"/>
      </w:pPr>
      <w:r>
        <w:continuationSeparator/>
      </w:r>
    </w:p>
  </w:footnote>
  <w:footnote w:type="continuationNotice" w:id="1">
    <w:p w14:paraId="5E7FD605" w14:textId="77777777" w:rsidR="003637EF" w:rsidRDefault="003637EF">
      <w:pPr>
        <w:spacing w:after="0" w:line="240" w:lineRule="auto"/>
      </w:pPr>
    </w:p>
  </w:footnote>
  <w:footnote w:id="2">
    <w:p w14:paraId="4140F769" w14:textId="3FBC4E78" w:rsidR="00F553A7" w:rsidRDefault="00F553A7" w:rsidP="00160E31">
      <w:pPr>
        <w:pStyle w:val="FootnoteText"/>
      </w:pPr>
      <w:r>
        <w:rPr>
          <w:rStyle w:val="FootnoteReference"/>
        </w:rPr>
        <w:footnoteRef/>
      </w:r>
      <w:r>
        <w:t xml:space="preserve"> Queensland Children’s Lung and Sleep Specialists (2025), </w:t>
      </w:r>
      <w:hyperlink r:id="rId1" w:history="1">
        <w:r w:rsidRPr="005F658F">
          <w:rPr>
            <w:rStyle w:val="Hyperlink"/>
            <w:i/>
            <w:iCs/>
            <w:color w:val="007BB8"/>
          </w:rPr>
          <w:t>Brisbane sleep studies</w:t>
        </w:r>
      </w:hyperlink>
      <w:r>
        <w:t xml:space="preserve">, Queensland Children’s Lung and Sleep Specialists, accessed 5 August 2025; Home Sleep Studies Australia (2025), </w:t>
      </w:r>
      <w:hyperlink r:id="rId2" w:history="1">
        <w:r w:rsidRPr="005F658F">
          <w:rPr>
            <w:rStyle w:val="Hyperlink"/>
            <w:i/>
            <w:iCs/>
            <w:color w:val="007BB8"/>
          </w:rPr>
          <w:t>Sleep study services</w:t>
        </w:r>
      </w:hyperlink>
      <w:r>
        <w:t>, Home Sleep Studies Australia, accessed 5 August 2025.</w:t>
      </w:r>
    </w:p>
  </w:footnote>
  <w:footnote w:id="3">
    <w:p w14:paraId="0769B356" w14:textId="7E0AAA69" w:rsidR="00616EAA" w:rsidRDefault="00616EAA">
      <w:pPr>
        <w:pStyle w:val="FootnoteText"/>
      </w:pPr>
      <w:r>
        <w:rPr>
          <w:rStyle w:val="FootnoteReference"/>
        </w:rPr>
        <w:footnoteRef/>
      </w:r>
      <w:r>
        <w:t xml:space="preserve"> </w:t>
      </w:r>
      <w:r w:rsidRPr="00DF2C41">
        <w:t xml:space="preserve">Withers </w:t>
      </w:r>
      <w:r>
        <w:t>et al.</w:t>
      </w:r>
      <w:r w:rsidRPr="00DF2C41">
        <w:t xml:space="preserve"> (2022) 'Comparison of home ambulatory type 2 polysomnography with a portable monitoring device and in-laboratory type 1 polysomnography for the diagnosis of obstructive sleep apnea in children', </w:t>
      </w:r>
      <w:r w:rsidRPr="00A84FFF">
        <w:rPr>
          <w:i/>
          <w:iCs/>
        </w:rPr>
        <w:t>J Clin Sleep Medicine</w:t>
      </w:r>
      <w:r w:rsidRPr="00DF2C41">
        <w:t>, 18(2): 393-402, doi: 10.5664/jcsm.9576.</w:t>
      </w:r>
    </w:p>
  </w:footnote>
  <w:footnote w:id="4">
    <w:p w14:paraId="11A9A33E" w14:textId="77777777" w:rsidR="00616EAA" w:rsidRPr="00A84FFF" w:rsidRDefault="00616EAA" w:rsidP="00616EAA">
      <w:pPr>
        <w:pStyle w:val="FootnoteText"/>
      </w:pPr>
      <w:r>
        <w:rPr>
          <w:rStyle w:val="FootnoteReference"/>
        </w:rPr>
        <w:footnoteRef/>
      </w:r>
      <w:r>
        <w:t xml:space="preserve"> </w:t>
      </w:r>
      <w:r w:rsidRPr="00C8426B">
        <w:t xml:space="preserve">Cielo et al. (2023) 'Feasibility and performance of home sleep apnea testing in youth with Down syndrome', </w:t>
      </w:r>
      <w:r w:rsidRPr="00A84FFF">
        <w:rPr>
          <w:i/>
          <w:iCs/>
        </w:rPr>
        <w:t>J Clin Sleep Medicine</w:t>
      </w:r>
      <w:r w:rsidRPr="00C8426B">
        <w:t>, 19(9): 1605-1613. doi: 10.5664/jcsm.10610.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1CBA" w14:textId="244DA75A" w:rsidR="00997F24" w:rsidRDefault="00997F24">
    <w:pPr>
      <w:pStyle w:val="Header"/>
    </w:pPr>
    <w:r>
      <w:rPr>
        <w:noProof/>
      </w:rPr>
      <mc:AlternateContent>
        <mc:Choice Requires="wps">
          <w:drawing>
            <wp:anchor distT="0" distB="0" distL="0" distR="0" simplePos="0" relativeHeight="251658241" behindDoc="0" locked="0" layoutInCell="1" allowOverlap="1" wp14:anchorId="5219E0A4" wp14:editId="580D5555">
              <wp:simplePos x="635" y="635"/>
              <wp:positionH relativeFrom="page">
                <wp:align>center</wp:align>
              </wp:positionH>
              <wp:positionV relativeFrom="page">
                <wp:align>top</wp:align>
              </wp:positionV>
              <wp:extent cx="551815" cy="467360"/>
              <wp:effectExtent l="0" t="0" r="635" b="8890"/>
              <wp:wrapNone/>
              <wp:docPr id="15199713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49EFC243" w14:textId="0DFC5B8F"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9E0A4" id="_x0000_t202" coordsize="21600,21600" o:spt="202" path="m,l,21600r21600,l21600,xe">
              <v:stroke joinstyle="miter"/>
              <v:path gradientshapeok="t" o:connecttype="rect"/>
            </v:shapetype>
            <v:shape id="Text Box 2" o:spid="_x0000_s1026" type="#_x0000_t202" alt="OFFICIAL" style="position:absolute;margin-left:0;margin-top:0;width:43.45pt;height:36.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9/CwIAABUEAAAOAAAAZHJzL2Uyb0RvYy54bWysU01v2zAMvQ/YfxB0X2x3S9YZcYqsRYYB&#10;QVsgLXpWZCk2IImCpMTOfv0oxU66rqdhF5kiaX689zS/6bUiB+F8C6aixSSnRBgOdWt2FX1+Wn26&#10;psQHZmqmwIiKHoWnN4uPH+adLcUVNKBq4QgWMb7sbEWbEGyZZZ43QjM/ASsMBiU4zQJe3S6rHeuw&#10;ulbZVZ7Psg5cbR1w4T16705Bukj1pRQ8PEjpRSCqojhbSKdL5zae2WLOyp1jtmn5MAb7hyk0aw02&#10;PZe6Y4GRvWv/KqVb7sCDDBMOOgMpWy7SDrhNkb/ZZtMwK9IuCI63Z5j8/yvL7w8b++hI6L9DjwRG&#10;QDrrS4/OuE8vnY5fnJRgHCE8nmETfSAcndNpcV1MKeEY+jL7+nmWYM0uP1vnww8BmkSjog5ZSWCx&#10;w9oHbIipY0rsZWDVKpWYUeYPByZGT3aZMFqh3/bD2Fuoj7iNgxPR3vJViz3XzIdH5pBZXADVGh7w&#10;kAq6isJgUdKA+/WeP+Yj4BilpEOlVNSglClRPw0SEUWVjOJbPs3x5kb3djTMXt8C6q/Ap2B5MmNe&#10;UKMpHegX1PEyNsIQMxzbVTSM5m04SRbfARfLZUpC/VgW1mZjeSwdcYogPvUvzNkB6YAU3cMoI1a+&#10;AfyUG//0drkPCHtiI2J6AnKAGrWXSBreSRT363vKurzmxW8AAAD//wMAUEsDBBQABgAIAAAAIQA6&#10;pUb62gAAAAMBAAAPAAAAZHJzL2Rvd25yZXYueG1sTI9BT8JAEIXvJv6HzZh4k201VKjdEmLCgRuC&#10;eh66Q1vtzjbdBSq/3tGLXiZ5eS/vfVMsRtepEw2h9WwgnSSgiCtvW64NvO5WdzNQISJb7DyTgS8K&#10;sCivrwrMrT/zC522sVZSwiFHA02Mfa51qBpyGCa+Jxbv4AeHUeRQazvgWcpdp++TJNMOW5aFBnt6&#10;bqj63B6dgXa69DGlt/Xq492lPr1s1tPLxpjbm3H5BCrSGP/C8IMv6FAK094f2QbVGZBH4u8Vb5bN&#10;Qe0NPD5koMtC/2cvvwEAAP//AwBQSwECLQAUAAYACAAAACEAtoM4kv4AAADhAQAAEwAAAAAAAAAA&#10;AAAAAAAAAAAAW0NvbnRlbnRfVHlwZXNdLnhtbFBLAQItABQABgAIAAAAIQA4/SH/1gAAAJQBAAAL&#10;AAAAAAAAAAAAAAAAAC8BAABfcmVscy8ucmVsc1BLAQItABQABgAIAAAAIQDhVV9/CwIAABUEAAAO&#10;AAAAAAAAAAAAAAAAAC4CAABkcnMvZTJvRG9jLnhtbFBLAQItABQABgAIAAAAIQA6pUb62gAAAAMB&#10;AAAPAAAAAAAAAAAAAAAAAGUEAABkcnMvZG93bnJldi54bWxQSwUGAAAAAAQABADzAAAAbAUAAAAA&#10;" filled="f" stroked="f">
              <v:textbox style="mso-fit-shape-to-text:t" inset="0,15pt,0,0">
                <w:txbxContent>
                  <w:p w14:paraId="49EFC243" w14:textId="0DFC5B8F"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ED51" w14:textId="2489242C" w:rsidR="00997F24" w:rsidRDefault="00997F24">
    <w:pPr>
      <w:pStyle w:val="Header"/>
    </w:pPr>
    <w:r>
      <w:rPr>
        <w:noProof/>
      </w:rPr>
      <mc:AlternateContent>
        <mc:Choice Requires="wps">
          <w:drawing>
            <wp:anchor distT="0" distB="0" distL="0" distR="0" simplePos="0" relativeHeight="251658242" behindDoc="0" locked="0" layoutInCell="1" allowOverlap="1" wp14:anchorId="3C3D8047" wp14:editId="70A30D20">
              <wp:simplePos x="914400" y="542925"/>
              <wp:positionH relativeFrom="page">
                <wp:align>center</wp:align>
              </wp:positionH>
              <wp:positionV relativeFrom="page">
                <wp:align>top</wp:align>
              </wp:positionV>
              <wp:extent cx="551815" cy="467360"/>
              <wp:effectExtent l="0" t="0" r="635" b="8890"/>
              <wp:wrapNone/>
              <wp:docPr id="9025459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0C781B7" w14:textId="10C833A8"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D8047" id="_x0000_t202" coordsize="21600,21600" o:spt="202" path="m,l,21600r21600,l21600,xe">
              <v:stroke joinstyle="miter"/>
              <v:path gradientshapeok="t" o:connecttype="rect"/>
            </v:shapetype>
            <v:shape id="Text Box 3" o:spid="_x0000_s1027" type="#_x0000_t202" alt="OFFICIAL" style="position:absolute;margin-left:0;margin-top:0;width:43.45pt;height:36.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mADQ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6lfTb6A+0FIejnwHJ1cdtb4XAZ+EJ4JpDxIt&#10;PtLRaOgrDieLsxb8z7/5Yz7hTlHOehJMxS0pmjP93RIfUVvJKL7k05xufnRvRsPuzC2QDAt6EU4m&#10;M+ahHs3Gg3khOS9jIwoJK6ldxXE0b/GoXHoOUi2XKYlk5ATe27WTsXSEK2L5PLwI706AIzH1AKOa&#10;RPkG92Nu/DO45Q4J/URKhPYI5AlxkmDi6vRcosZf31PW5VEvfgEAAP//AwBQSwMEFAAGAAgAAAAh&#10;ADqlRvr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08PmSgy0L/Zy+/AQAA//8DAFBLAQItABQABgAIAAAAIQC2gziS/gAAAOEBAAATAAAAAAAA&#10;AAAAAAAAAAAAAABbQ29udGVudF9UeXBlc10ueG1sUEsBAi0AFAAGAAgAAAAhADj9If/WAAAAlAEA&#10;AAsAAAAAAAAAAAAAAAAALwEAAF9yZWxzLy5yZWxzUEsBAi0AFAAGAAgAAAAhAN2d+YANAgAAHAQA&#10;AA4AAAAAAAAAAAAAAAAALgIAAGRycy9lMm9Eb2MueG1sUEsBAi0AFAAGAAgAAAAhADqlRvraAAAA&#10;AwEAAA8AAAAAAAAAAAAAAAAAZwQAAGRycy9kb3ducmV2LnhtbFBLBQYAAAAABAAEAPMAAABuBQAA&#10;AAA=&#10;" filled="f" stroked="f">
              <v:textbox style="mso-fit-shape-to-text:t" inset="0,15pt,0,0">
                <w:txbxContent>
                  <w:p w14:paraId="50C781B7" w14:textId="10C833A8"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B9E5" w14:textId="3BBA2F84" w:rsidR="00997F24" w:rsidRDefault="00997F24">
    <w:pPr>
      <w:pStyle w:val="Header"/>
    </w:pPr>
    <w:r>
      <w:rPr>
        <w:noProof/>
      </w:rPr>
      <mc:AlternateContent>
        <mc:Choice Requires="wps">
          <w:drawing>
            <wp:anchor distT="0" distB="0" distL="0" distR="0" simplePos="0" relativeHeight="251658240" behindDoc="0" locked="0" layoutInCell="1" allowOverlap="1" wp14:anchorId="70BDAEF2" wp14:editId="33990C7F">
              <wp:simplePos x="635" y="635"/>
              <wp:positionH relativeFrom="page">
                <wp:align>center</wp:align>
              </wp:positionH>
              <wp:positionV relativeFrom="page">
                <wp:align>top</wp:align>
              </wp:positionV>
              <wp:extent cx="551815" cy="467360"/>
              <wp:effectExtent l="0" t="0" r="635" b="8890"/>
              <wp:wrapNone/>
              <wp:docPr id="12980653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4530EBC0" w14:textId="00D0F6A7"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DAEF2" id="_x0000_t202" coordsize="21600,21600" o:spt="202" path="m,l,21600r21600,l21600,xe">
              <v:stroke joinstyle="miter"/>
              <v:path gradientshapeok="t" o:connecttype="rect"/>
            </v:shapetype>
            <v:shape id="Text Box 1" o:spid="_x0000_s1030" type="#_x0000_t202" alt="OFFICIAL" style="position:absolute;margin-left:0;margin-top:0;width:43.45pt;height:36.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FLDg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amo+Tr+B+kBLeTjyHZxcddT6XgR8Ep4Ipj1I&#10;tPhIR6OhrzicLM5a8D//5o/5hDtFOetJMBW3pGjO9HdLfERtJaP4kk9zuvnRvRkNuzO3QDIs6EU4&#10;mcyYh3o0Gw/mheS8jI0oJKykdhXH0bzFo3LpOUi1XKYkkpETeG/XTsbSEa6I5fPwIrw7AY7E1AOM&#10;ahLlG9yPufHP4JY7JPQTKRHaI5AnxEmCiavTc4kaf31PWZdHvfgFAAD//wMAUEsDBBQABgAIAAAA&#10;IQA6pUb6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PD5koMtC/2cvvwEAAP//AwBQSwECLQAUAAYACAAAACEAtoM4kv4AAADhAQAAEwAAAAAA&#10;AAAAAAAAAAAAAAAAW0NvbnRlbnRfVHlwZXNdLnhtbFBLAQItABQABgAIAAAAIQA4/SH/1gAAAJQB&#10;AAALAAAAAAAAAAAAAAAAAC8BAABfcmVscy8ucmVsc1BLAQItABQABgAIAAAAIQAE34FLDgIAABwE&#10;AAAOAAAAAAAAAAAAAAAAAC4CAABkcnMvZTJvRG9jLnhtbFBLAQItABQABgAIAAAAIQA6pUb62gAA&#10;AAMBAAAPAAAAAAAAAAAAAAAAAGgEAABkcnMvZG93bnJldi54bWxQSwUGAAAAAAQABADzAAAAbwUA&#10;AAAA&#10;" filled="f" stroked="f">
              <v:textbox style="mso-fit-shape-to-text:t" inset="0,15pt,0,0">
                <w:txbxContent>
                  <w:p w14:paraId="4530EBC0" w14:textId="00D0F6A7" w:rsidR="00997F24" w:rsidRPr="00997F24" w:rsidRDefault="00997F24" w:rsidP="00997F24">
                    <w:pPr>
                      <w:spacing w:after="0"/>
                      <w:rPr>
                        <w:rFonts w:ascii="Calibri" w:eastAsia="Calibri" w:hAnsi="Calibri" w:cs="Calibri"/>
                        <w:noProof/>
                        <w:color w:val="FF0000"/>
                        <w:sz w:val="24"/>
                        <w:szCs w:val="24"/>
                      </w:rPr>
                    </w:pPr>
                    <w:r w:rsidRPr="00997F24">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D20"/>
    <w:multiLevelType w:val="hybridMultilevel"/>
    <w:tmpl w:val="150A6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900BBC"/>
    <w:multiLevelType w:val="hybridMultilevel"/>
    <w:tmpl w:val="CF7AF3A2"/>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15:restartNumberingAfterBreak="0">
    <w:nsid w:val="0CBE18CC"/>
    <w:multiLevelType w:val="hybridMultilevel"/>
    <w:tmpl w:val="12CEEA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DF7A75"/>
    <w:multiLevelType w:val="hybridMultilevel"/>
    <w:tmpl w:val="7CEA7A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FF2940"/>
    <w:multiLevelType w:val="hybridMultilevel"/>
    <w:tmpl w:val="63844198"/>
    <w:lvl w:ilvl="0" w:tplc="87286B70">
      <w:start w:val="1"/>
      <w:numFmt w:val="lowerLetter"/>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2A29E8"/>
    <w:multiLevelType w:val="hybridMultilevel"/>
    <w:tmpl w:val="BA24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522725"/>
    <w:multiLevelType w:val="hybridMultilevel"/>
    <w:tmpl w:val="E9A608A4"/>
    <w:lvl w:ilvl="0" w:tplc="FFFFFFFF">
      <w:start w:val="1"/>
      <w:numFmt w:val="lowerRoman"/>
      <w:lvlText w:val="(%1)"/>
      <w:lvlJc w:val="left"/>
      <w:pPr>
        <w:ind w:left="1309" w:hanging="720"/>
      </w:pPr>
      <w:rPr>
        <w:rFonts w:hint="default"/>
      </w:r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7" w15:restartNumberingAfterBreak="0">
    <w:nsid w:val="2E313C45"/>
    <w:multiLevelType w:val="hybridMultilevel"/>
    <w:tmpl w:val="BCA46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4371DC"/>
    <w:multiLevelType w:val="multilevel"/>
    <w:tmpl w:val="8188B87E"/>
    <w:lvl w:ilvl="0">
      <w:start w:val="1"/>
      <w:numFmt w:val="decimal"/>
      <w:lvlText w:val="Section %1"/>
      <w:lvlJc w:val="left"/>
      <w:pPr>
        <w:ind w:left="2062" w:hanging="360"/>
      </w:pPr>
      <w:rPr>
        <w:rFonts w:hint="default"/>
      </w:rPr>
    </w:lvl>
    <w:lvl w:ilvl="1">
      <w:start w:val="1"/>
      <w:numFmt w:val="decimal"/>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E1661A"/>
    <w:multiLevelType w:val="hybridMultilevel"/>
    <w:tmpl w:val="29F4F596"/>
    <w:lvl w:ilvl="0" w:tplc="3872E474">
      <w:start w:val="1"/>
      <w:numFmt w:val="bullet"/>
      <w:lvlText w:val=""/>
      <w:lvlJc w:val="left"/>
      <w:pPr>
        <w:ind w:left="720" w:hanging="360"/>
      </w:pPr>
      <w:rPr>
        <w:rFonts w:ascii="Symbol" w:hAnsi="Symbol" w:hint="default"/>
      </w:rPr>
    </w:lvl>
    <w:lvl w:ilvl="1" w:tplc="CBEA51DE">
      <w:start w:val="1"/>
      <w:numFmt w:val="bullet"/>
      <w:lvlText w:val="o"/>
      <w:lvlJc w:val="left"/>
      <w:pPr>
        <w:ind w:left="1440" w:hanging="360"/>
      </w:pPr>
      <w:rPr>
        <w:rFonts w:ascii="Courier New" w:hAnsi="Courier New" w:hint="default"/>
      </w:rPr>
    </w:lvl>
    <w:lvl w:ilvl="2" w:tplc="342005CE">
      <w:start w:val="1"/>
      <w:numFmt w:val="bullet"/>
      <w:lvlText w:val=""/>
      <w:lvlJc w:val="left"/>
      <w:pPr>
        <w:ind w:left="2160" w:hanging="360"/>
      </w:pPr>
      <w:rPr>
        <w:rFonts w:ascii="Wingdings" w:hAnsi="Wingdings" w:hint="default"/>
      </w:rPr>
    </w:lvl>
    <w:lvl w:ilvl="3" w:tplc="1A90755A">
      <w:start w:val="1"/>
      <w:numFmt w:val="bullet"/>
      <w:lvlText w:val=""/>
      <w:lvlJc w:val="left"/>
      <w:pPr>
        <w:ind w:left="2880" w:hanging="360"/>
      </w:pPr>
      <w:rPr>
        <w:rFonts w:ascii="Symbol" w:hAnsi="Symbol" w:hint="default"/>
      </w:rPr>
    </w:lvl>
    <w:lvl w:ilvl="4" w:tplc="7908B1BA">
      <w:start w:val="1"/>
      <w:numFmt w:val="bullet"/>
      <w:lvlText w:val="o"/>
      <w:lvlJc w:val="left"/>
      <w:pPr>
        <w:ind w:left="3600" w:hanging="360"/>
      </w:pPr>
      <w:rPr>
        <w:rFonts w:ascii="Courier New" w:hAnsi="Courier New" w:hint="default"/>
      </w:rPr>
    </w:lvl>
    <w:lvl w:ilvl="5" w:tplc="A3D80590">
      <w:start w:val="1"/>
      <w:numFmt w:val="bullet"/>
      <w:lvlText w:val=""/>
      <w:lvlJc w:val="left"/>
      <w:pPr>
        <w:ind w:left="4320" w:hanging="360"/>
      </w:pPr>
      <w:rPr>
        <w:rFonts w:ascii="Wingdings" w:hAnsi="Wingdings" w:hint="default"/>
      </w:rPr>
    </w:lvl>
    <w:lvl w:ilvl="6" w:tplc="C602F47E">
      <w:start w:val="1"/>
      <w:numFmt w:val="bullet"/>
      <w:lvlText w:val=""/>
      <w:lvlJc w:val="left"/>
      <w:pPr>
        <w:ind w:left="5040" w:hanging="360"/>
      </w:pPr>
      <w:rPr>
        <w:rFonts w:ascii="Symbol" w:hAnsi="Symbol" w:hint="default"/>
      </w:rPr>
    </w:lvl>
    <w:lvl w:ilvl="7" w:tplc="44024F16">
      <w:start w:val="1"/>
      <w:numFmt w:val="bullet"/>
      <w:lvlText w:val="o"/>
      <w:lvlJc w:val="left"/>
      <w:pPr>
        <w:ind w:left="5760" w:hanging="360"/>
      </w:pPr>
      <w:rPr>
        <w:rFonts w:ascii="Courier New" w:hAnsi="Courier New" w:hint="default"/>
      </w:rPr>
    </w:lvl>
    <w:lvl w:ilvl="8" w:tplc="930472BE">
      <w:start w:val="1"/>
      <w:numFmt w:val="bullet"/>
      <w:lvlText w:val=""/>
      <w:lvlJc w:val="left"/>
      <w:pPr>
        <w:ind w:left="6480" w:hanging="360"/>
      </w:pPr>
      <w:rPr>
        <w:rFonts w:ascii="Wingdings" w:hAnsi="Wingdings" w:hint="default"/>
      </w:rPr>
    </w:lvl>
  </w:abstractNum>
  <w:abstractNum w:abstractNumId="10" w15:restartNumberingAfterBreak="0">
    <w:nsid w:val="3821191A"/>
    <w:multiLevelType w:val="hybridMultilevel"/>
    <w:tmpl w:val="63844198"/>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441F2B"/>
    <w:multiLevelType w:val="hybridMultilevel"/>
    <w:tmpl w:val="E9A608A4"/>
    <w:lvl w:ilvl="0" w:tplc="FFFFFFFF">
      <w:start w:val="1"/>
      <w:numFmt w:val="lowerRoman"/>
      <w:lvlText w:val="(%1)"/>
      <w:lvlJc w:val="left"/>
      <w:pPr>
        <w:ind w:left="1309" w:hanging="720"/>
      </w:pPr>
      <w:rPr>
        <w:rFonts w:hint="default"/>
      </w:r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12" w15:restartNumberingAfterBreak="0">
    <w:nsid w:val="3AFC031F"/>
    <w:multiLevelType w:val="hybridMultilevel"/>
    <w:tmpl w:val="CD8E42C4"/>
    <w:lvl w:ilvl="0" w:tplc="C184A09A">
      <w:start w:val="1"/>
      <w:numFmt w:val="bullet"/>
      <w:pStyle w:val="071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1729B2"/>
    <w:multiLevelType w:val="hybridMultilevel"/>
    <w:tmpl w:val="E9A608A4"/>
    <w:lvl w:ilvl="0" w:tplc="FFFFFFFF">
      <w:start w:val="1"/>
      <w:numFmt w:val="lowerRoman"/>
      <w:lvlText w:val="(%1)"/>
      <w:lvlJc w:val="left"/>
      <w:pPr>
        <w:ind w:left="1309" w:hanging="720"/>
      </w:pPr>
      <w:rPr>
        <w:rFonts w:hint="default"/>
      </w:r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14" w15:restartNumberingAfterBreak="0">
    <w:nsid w:val="3CBD5946"/>
    <w:multiLevelType w:val="hybridMultilevel"/>
    <w:tmpl w:val="75A6C8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026A5A"/>
    <w:multiLevelType w:val="hybridMultilevel"/>
    <w:tmpl w:val="E9A608A4"/>
    <w:lvl w:ilvl="0" w:tplc="507E5AFC">
      <w:start w:val="1"/>
      <w:numFmt w:val="lowerRoman"/>
      <w:lvlText w:val="(%1)"/>
      <w:lvlJc w:val="left"/>
      <w:pPr>
        <w:ind w:left="1309" w:hanging="720"/>
      </w:pPr>
      <w:rPr>
        <w:rFonts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16" w15:restartNumberingAfterBreak="0">
    <w:nsid w:val="43D03841"/>
    <w:multiLevelType w:val="hybridMultilevel"/>
    <w:tmpl w:val="B78016FE"/>
    <w:lvl w:ilvl="0" w:tplc="96B636EC">
      <w:numFmt w:val="bullet"/>
      <w:pStyle w:val="EndNoteBibliography"/>
      <w:lvlText w:val="-"/>
      <w:lvlJc w:val="left"/>
      <w:pPr>
        <w:ind w:left="358" w:hanging="360"/>
      </w:pPr>
      <w:rPr>
        <w:rFonts w:ascii="Calibri" w:eastAsia="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B218F1"/>
    <w:multiLevelType w:val="hybridMultilevel"/>
    <w:tmpl w:val="A238ACA0"/>
    <w:lvl w:ilvl="0" w:tplc="8B282944">
      <w:start w:val="6"/>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6250A4"/>
    <w:multiLevelType w:val="hybridMultilevel"/>
    <w:tmpl w:val="F8487C10"/>
    <w:lvl w:ilvl="0" w:tplc="08090001">
      <w:start w:val="1"/>
      <w:numFmt w:val="bullet"/>
      <w:lvlText w:val=""/>
      <w:lvlJc w:val="left"/>
      <w:pPr>
        <w:ind w:left="720" w:hanging="360"/>
      </w:pPr>
      <w:rPr>
        <w:rFonts w:ascii="Symbol" w:hAnsi="Symbol" w:hint="default"/>
      </w:rPr>
    </w:lvl>
    <w:lvl w:ilvl="1" w:tplc="05447E9C">
      <w:numFmt w:val="bullet"/>
      <w:lvlText w:val="·"/>
      <w:lvlJc w:val="left"/>
      <w:pPr>
        <w:ind w:left="1440" w:hanging="360"/>
      </w:pPr>
      <w:rPr>
        <w:rFonts w:ascii="Arial Narrow" w:eastAsiaTheme="minorHAnsi" w:hAnsi="Arial Narrow"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00073"/>
    <w:multiLevelType w:val="hybridMultilevel"/>
    <w:tmpl w:val="AFF26040"/>
    <w:lvl w:ilvl="0" w:tplc="19E4C734">
      <w:start w:val="3"/>
      <w:numFmt w:val="bullet"/>
      <w:lvlText w:val="-"/>
      <w:lvlJc w:val="left"/>
      <w:pPr>
        <w:ind w:left="720" w:hanging="720"/>
      </w:pPr>
      <w:rPr>
        <w:rFonts w:ascii="Arial Narrow" w:eastAsiaTheme="minorHAnsi" w:hAnsi="Arial Narrow"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EDA46AE"/>
    <w:multiLevelType w:val="hybridMultilevel"/>
    <w:tmpl w:val="6D1C66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F55E1D"/>
    <w:multiLevelType w:val="hybridMultilevel"/>
    <w:tmpl w:val="E9A608A4"/>
    <w:lvl w:ilvl="0" w:tplc="FFFFFFFF">
      <w:start w:val="1"/>
      <w:numFmt w:val="lowerRoman"/>
      <w:lvlText w:val="(%1)"/>
      <w:lvlJc w:val="left"/>
      <w:pPr>
        <w:ind w:left="1309" w:hanging="720"/>
      </w:pPr>
      <w:rPr>
        <w:rFonts w:hint="default"/>
      </w:r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22" w15:restartNumberingAfterBreak="0">
    <w:nsid w:val="50D00A2F"/>
    <w:multiLevelType w:val="multilevel"/>
    <w:tmpl w:val="94C610E6"/>
    <w:styleLink w:val="Headings"/>
    <w:lvl w:ilvl="0">
      <w:start w:val="1"/>
      <w:numFmt w:val="decimal"/>
      <w:pStyle w:val="Heading1"/>
      <w:lvlText w:val="Section %1"/>
      <w:lvlJc w:val="left"/>
      <w:pPr>
        <w:ind w:left="1702" w:firstLine="0"/>
      </w:pPr>
      <w:rPr>
        <w:rFonts w:hint="default"/>
      </w:rPr>
    </w:lvl>
    <w:lvl w:ilvl="1">
      <w:start w:val="1"/>
      <w:numFmt w:val="decimal"/>
      <w:pStyle w:val="Heading2"/>
      <w:lvlText w:val="%1.%2"/>
      <w:lvlJc w:val="left"/>
      <w:pPr>
        <w:ind w:left="0" w:firstLine="0"/>
      </w:pPr>
      <w:rPr>
        <w:rFonts w:hint="default"/>
      </w:rPr>
    </w:lvl>
    <w:lvl w:ilvl="2">
      <w:start w:val="1"/>
      <w:numFmt w:val="none"/>
      <w:lvlRestart w:val="0"/>
      <w:pStyle w:val="Heading3"/>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lvlText w:val="Appendix %7"/>
      <w:lvlJc w:val="left"/>
      <w:pPr>
        <w:ind w:left="0" w:firstLine="0"/>
      </w:pPr>
      <w:rPr>
        <w:rFonts w:hint="default"/>
      </w:rPr>
    </w:lvl>
    <w:lvl w:ilvl="7">
      <w:start w:val="1"/>
      <w:numFmt w:val="decimal"/>
      <w:lvlRestart w:val="0"/>
      <w:lvlText w:val="%7.%8"/>
      <w:lvlJc w:val="left"/>
      <w:pPr>
        <w:ind w:left="0" w:firstLine="0"/>
      </w:pPr>
      <w:rPr>
        <w:rFonts w:hint="default"/>
      </w:rPr>
    </w:lvl>
    <w:lvl w:ilvl="8">
      <w:start w:val="1"/>
      <w:numFmt w:val="decimal"/>
      <w:lvlText w:val="%7.%8.%9"/>
      <w:lvlJc w:val="left"/>
      <w:pPr>
        <w:ind w:left="0" w:firstLine="0"/>
      </w:pPr>
      <w:rPr>
        <w:rFonts w:hint="default"/>
      </w:rPr>
    </w:lvl>
  </w:abstractNum>
  <w:abstractNum w:abstractNumId="23" w15:restartNumberingAfterBreak="0">
    <w:nsid w:val="5813D366"/>
    <w:multiLevelType w:val="hybridMultilevel"/>
    <w:tmpl w:val="DE7859FA"/>
    <w:lvl w:ilvl="0" w:tplc="2C1EFB1A">
      <w:start w:val="1"/>
      <w:numFmt w:val="bullet"/>
      <w:lvlText w:val=""/>
      <w:lvlJc w:val="left"/>
      <w:pPr>
        <w:ind w:left="720" w:hanging="360"/>
      </w:pPr>
      <w:rPr>
        <w:rFonts w:ascii="Symbol" w:hAnsi="Symbol" w:hint="default"/>
      </w:rPr>
    </w:lvl>
    <w:lvl w:ilvl="1" w:tplc="B1BC170A">
      <w:start w:val="1"/>
      <w:numFmt w:val="bullet"/>
      <w:lvlText w:val="o"/>
      <w:lvlJc w:val="left"/>
      <w:pPr>
        <w:ind w:left="1440" w:hanging="360"/>
      </w:pPr>
      <w:rPr>
        <w:rFonts w:ascii="Courier New" w:hAnsi="Courier New" w:hint="default"/>
      </w:rPr>
    </w:lvl>
    <w:lvl w:ilvl="2" w:tplc="3DA8A306">
      <w:start w:val="1"/>
      <w:numFmt w:val="bullet"/>
      <w:lvlText w:val=""/>
      <w:lvlJc w:val="left"/>
      <w:pPr>
        <w:ind w:left="2160" w:hanging="360"/>
      </w:pPr>
      <w:rPr>
        <w:rFonts w:ascii="Wingdings" w:hAnsi="Wingdings" w:hint="default"/>
      </w:rPr>
    </w:lvl>
    <w:lvl w:ilvl="3" w:tplc="9FFACD9A">
      <w:start w:val="1"/>
      <w:numFmt w:val="bullet"/>
      <w:lvlText w:val=""/>
      <w:lvlJc w:val="left"/>
      <w:pPr>
        <w:ind w:left="2880" w:hanging="360"/>
      </w:pPr>
      <w:rPr>
        <w:rFonts w:ascii="Symbol" w:hAnsi="Symbol" w:hint="default"/>
      </w:rPr>
    </w:lvl>
    <w:lvl w:ilvl="4" w:tplc="38C2DE54">
      <w:start w:val="1"/>
      <w:numFmt w:val="bullet"/>
      <w:lvlText w:val="o"/>
      <w:lvlJc w:val="left"/>
      <w:pPr>
        <w:ind w:left="3600" w:hanging="360"/>
      </w:pPr>
      <w:rPr>
        <w:rFonts w:ascii="Courier New" w:hAnsi="Courier New" w:hint="default"/>
      </w:rPr>
    </w:lvl>
    <w:lvl w:ilvl="5" w:tplc="E7C6503C">
      <w:start w:val="1"/>
      <w:numFmt w:val="bullet"/>
      <w:lvlText w:val=""/>
      <w:lvlJc w:val="left"/>
      <w:pPr>
        <w:ind w:left="4320" w:hanging="360"/>
      </w:pPr>
      <w:rPr>
        <w:rFonts w:ascii="Wingdings" w:hAnsi="Wingdings" w:hint="default"/>
      </w:rPr>
    </w:lvl>
    <w:lvl w:ilvl="6" w:tplc="A4A4D63C">
      <w:start w:val="1"/>
      <w:numFmt w:val="bullet"/>
      <w:lvlText w:val=""/>
      <w:lvlJc w:val="left"/>
      <w:pPr>
        <w:ind w:left="5040" w:hanging="360"/>
      </w:pPr>
      <w:rPr>
        <w:rFonts w:ascii="Symbol" w:hAnsi="Symbol" w:hint="default"/>
      </w:rPr>
    </w:lvl>
    <w:lvl w:ilvl="7" w:tplc="3702BEFC">
      <w:start w:val="1"/>
      <w:numFmt w:val="bullet"/>
      <w:lvlText w:val="o"/>
      <w:lvlJc w:val="left"/>
      <w:pPr>
        <w:ind w:left="5760" w:hanging="360"/>
      </w:pPr>
      <w:rPr>
        <w:rFonts w:ascii="Courier New" w:hAnsi="Courier New" w:hint="default"/>
      </w:rPr>
    </w:lvl>
    <w:lvl w:ilvl="8" w:tplc="855807F4">
      <w:start w:val="1"/>
      <w:numFmt w:val="bullet"/>
      <w:lvlText w:val=""/>
      <w:lvlJc w:val="left"/>
      <w:pPr>
        <w:ind w:left="6480" w:hanging="360"/>
      </w:pPr>
      <w:rPr>
        <w:rFonts w:ascii="Wingdings" w:hAnsi="Wingdings" w:hint="default"/>
      </w:rPr>
    </w:lvl>
  </w:abstractNum>
  <w:abstractNum w:abstractNumId="24" w15:restartNumberingAfterBreak="0">
    <w:nsid w:val="5BDA7660"/>
    <w:multiLevelType w:val="hybridMultilevel"/>
    <w:tmpl w:val="63844198"/>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D34C23"/>
    <w:multiLevelType w:val="hybridMultilevel"/>
    <w:tmpl w:val="B68EDBDA"/>
    <w:lvl w:ilvl="0" w:tplc="F66C3D02">
      <w:start w:val="1"/>
      <w:numFmt w:val="bullet"/>
      <w:pStyle w:val="Bulletpoint"/>
      <w:lvlText w:val=""/>
      <w:lvlJc w:val="left"/>
      <w:pPr>
        <w:ind w:left="729" w:hanging="360"/>
      </w:pPr>
      <w:rPr>
        <w:rFonts w:ascii="Symbol" w:hAnsi="Symbol" w:hint="default"/>
      </w:rPr>
    </w:lvl>
    <w:lvl w:ilvl="1" w:tplc="9AA8C29C">
      <w:start w:val="1"/>
      <w:numFmt w:val="bullet"/>
      <w:pStyle w:val="Bulletpoint2ndlevel"/>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26" w15:restartNumberingAfterBreak="0">
    <w:nsid w:val="641F551F"/>
    <w:multiLevelType w:val="hybridMultilevel"/>
    <w:tmpl w:val="92648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64E786C"/>
    <w:multiLevelType w:val="hybridMultilevel"/>
    <w:tmpl w:val="479A3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0280490"/>
    <w:multiLevelType w:val="hybridMultilevel"/>
    <w:tmpl w:val="251AC19A"/>
    <w:lvl w:ilvl="0" w:tplc="B8DA10A0">
      <w:start w:val="1"/>
      <w:numFmt w:val="lowerRoman"/>
      <w:lvlText w:val="(%1)"/>
      <w:lvlJc w:val="left"/>
      <w:pPr>
        <w:ind w:left="2160" w:hanging="720"/>
      </w:pPr>
      <w:rPr>
        <w:rFonts w:hint="default"/>
      </w:rPr>
    </w:lvl>
    <w:lvl w:ilvl="1" w:tplc="87286B70">
      <w:start w:val="1"/>
      <w:numFmt w:val="lowerLetter"/>
      <w:lvlText w:val="(%2)"/>
      <w:lvlJc w:val="left"/>
      <w:pPr>
        <w:ind w:left="2520" w:hanging="360"/>
      </w:pPr>
      <w:rPr>
        <w:rFonts w:hint="default"/>
      </w:rPr>
    </w:lvl>
    <w:lvl w:ilvl="2" w:tplc="0C09000F">
      <w:start w:val="1"/>
      <w:numFmt w:val="decimal"/>
      <w:lvlText w:val="%3."/>
      <w:lvlJc w:val="left"/>
      <w:pPr>
        <w:ind w:left="720" w:hanging="36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735D0BCE"/>
    <w:multiLevelType w:val="hybridMultilevel"/>
    <w:tmpl w:val="E9A608A4"/>
    <w:lvl w:ilvl="0" w:tplc="FFFFFFFF">
      <w:start w:val="1"/>
      <w:numFmt w:val="lowerRoman"/>
      <w:lvlText w:val="(%1)"/>
      <w:lvlJc w:val="left"/>
      <w:pPr>
        <w:ind w:left="1309" w:hanging="720"/>
      </w:pPr>
      <w:rPr>
        <w:rFonts w:hint="default"/>
      </w:r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30" w15:restartNumberingAfterBreak="0">
    <w:nsid w:val="7A196291"/>
    <w:multiLevelType w:val="hybridMultilevel"/>
    <w:tmpl w:val="A5C28E88"/>
    <w:lvl w:ilvl="0" w:tplc="92C2C7CE">
      <w:start w:val="1"/>
      <w:numFmt w:val="upperLetter"/>
      <w:lvlText w:val="%1."/>
      <w:lvlJc w:val="left"/>
      <w:pPr>
        <w:ind w:left="949" w:hanging="360"/>
      </w:pPr>
      <w:rPr>
        <w:rFonts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31" w15:restartNumberingAfterBreak="0">
    <w:nsid w:val="7B5A0585"/>
    <w:multiLevelType w:val="hybridMultilevel"/>
    <w:tmpl w:val="A5C28E88"/>
    <w:lvl w:ilvl="0" w:tplc="FFFFFFFF">
      <w:start w:val="1"/>
      <w:numFmt w:val="upperLetter"/>
      <w:lvlText w:val="%1."/>
      <w:lvlJc w:val="left"/>
      <w:pPr>
        <w:ind w:left="949" w:hanging="360"/>
      </w:pPr>
      <w:rPr>
        <w:rFonts w:hint="default"/>
      </w:r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32" w15:restartNumberingAfterBreak="0">
    <w:nsid w:val="7CD42C93"/>
    <w:multiLevelType w:val="hybridMultilevel"/>
    <w:tmpl w:val="C5DE7FEE"/>
    <w:lvl w:ilvl="0" w:tplc="0C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799416720">
    <w:abstractNumId w:val="25"/>
  </w:num>
  <w:num w:numId="2" w16cid:durableId="1612273754">
    <w:abstractNumId w:val="22"/>
  </w:num>
  <w:num w:numId="3" w16cid:durableId="1521628780">
    <w:abstractNumId w:val="12"/>
  </w:num>
  <w:num w:numId="4" w16cid:durableId="723220572">
    <w:abstractNumId w:val="8"/>
  </w:num>
  <w:num w:numId="5" w16cid:durableId="144203453">
    <w:abstractNumId w:val="19"/>
  </w:num>
  <w:num w:numId="6" w16cid:durableId="914702027">
    <w:abstractNumId w:val="32"/>
  </w:num>
  <w:num w:numId="7" w16cid:durableId="1953247206">
    <w:abstractNumId w:val="28"/>
  </w:num>
  <w:num w:numId="8" w16cid:durableId="1969622242">
    <w:abstractNumId w:val="33"/>
  </w:num>
  <w:num w:numId="9" w16cid:durableId="1861894563">
    <w:abstractNumId w:val="18"/>
  </w:num>
  <w:num w:numId="10" w16cid:durableId="1698773785">
    <w:abstractNumId w:val="20"/>
  </w:num>
  <w:num w:numId="11" w16cid:durableId="1926718427">
    <w:abstractNumId w:val="27"/>
  </w:num>
  <w:num w:numId="12" w16cid:durableId="1422290100">
    <w:abstractNumId w:val="16"/>
  </w:num>
  <w:num w:numId="13" w16cid:durableId="1519583768">
    <w:abstractNumId w:val="30"/>
  </w:num>
  <w:num w:numId="14" w16cid:durableId="1773239153">
    <w:abstractNumId w:val="15"/>
  </w:num>
  <w:num w:numId="15" w16cid:durableId="1754862068">
    <w:abstractNumId w:val="11"/>
  </w:num>
  <w:num w:numId="16" w16cid:durableId="1673412776">
    <w:abstractNumId w:val="21"/>
  </w:num>
  <w:num w:numId="17" w16cid:durableId="70854649">
    <w:abstractNumId w:val="4"/>
  </w:num>
  <w:num w:numId="18" w16cid:durableId="639072445">
    <w:abstractNumId w:val="29"/>
  </w:num>
  <w:num w:numId="19" w16cid:durableId="1172330833">
    <w:abstractNumId w:val="13"/>
  </w:num>
  <w:num w:numId="20" w16cid:durableId="1153371321">
    <w:abstractNumId w:val="6"/>
  </w:num>
  <w:num w:numId="21" w16cid:durableId="877858293">
    <w:abstractNumId w:val="31"/>
  </w:num>
  <w:num w:numId="22" w16cid:durableId="203442396">
    <w:abstractNumId w:val="10"/>
  </w:num>
  <w:num w:numId="23" w16cid:durableId="83649812">
    <w:abstractNumId w:val="0"/>
  </w:num>
  <w:num w:numId="24" w16cid:durableId="431315888">
    <w:abstractNumId w:val="7"/>
  </w:num>
  <w:num w:numId="25" w16cid:durableId="1642540974">
    <w:abstractNumId w:val="26"/>
  </w:num>
  <w:num w:numId="26" w16cid:durableId="269705716">
    <w:abstractNumId w:val="2"/>
  </w:num>
  <w:num w:numId="27" w16cid:durableId="620381178">
    <w:abstractNumId w:val="24"/>
  </w:num>
  <w:num w:numId="28" w16cid:durableId="549389840">
    <w:abstractNumId w:val="14"/>
  </w:num>
  <w:num w:numId="29" w16cid:durableId="723986725">
    <w:abstractNumId w:val="23"/>
  </w:num>
  <w:num w:numId="30" w16cid:durableId="2081052229">
    <w:abstractNumId w:val="9"/>
  </w:num>
  <w:num w:numId="31" w16cid:durableId="908927443">
    <w:abstractNumId w:val="17"/>
  </w:num>
  <w:num w:numId="32" w16cid:durableId="1168709580">
    <w:abstractNumId w:val="5"/>
  </w:num>
  <w:num w:numId="33" w16cid:durableId="1905020629">
    <w:abstractNumId w:val="1"/>
  </w:num>
  <w:num w:numId="34" w16cid:durableId="251352660">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7C"/>
    <w:rsid w:val="00000379"/>
    <w:rsid w:val="0000039C"/>
    <w:rsid w:val="00000474"/>
    <w:rsid w:val="000004E8"/>
    <w:rsid w:val="00000940"/>
    <w:rsid w:val="00000D2A"/>
    <w:rsid w:val="00000EFD"/>
    <w:rsid w:val="00000F7E"/>
    <w:rsid w:val="00001223"/>
    <w:rsid w:val="000012A6"/>
    <w:rsid w:val="0000142A"/>
    <w:rsid w:val="00001458"/>
    <w:rsid w:val="0000145A"/>
    <w:rsid w:val="00001772"/>
    <w:rsid w:val="000018BD"/>
    <w:rsid w:val="00001B7C"/>
    <w:rsid w:val="00001C00"/>
    <w:rsid w:val="00001D1E"/>
    <w:rsid w:val="00001D67"/>
    <w:rsid w:val="00001DD2"/>
    <w:rsid w:val="00001E11"/>
    <w:rsid w:val="00002096"/>
    <w:rsid w:val="000025CF"/>
    <w:rsid w:val="0000276A"/>
    <w:rsid w:val="00002A48"/>
    <w:rsid w:val="00002D1A"/>
    <w:rsid w:val="00002FA8"/>
    <w:rsid w:val="000033B7"/>
    <w:rsid w:val="000036DA"/>
    <w:rsid w:val="00003715"/>
    <w:rsid w:val="000037CE"/>
    <w:rsid w:val="0000393D"/>
    <w:rsid w:val="000040AB"/>
    <w:rsid w:val="00004281"/>
    <w:rsid w:val="00004343"/>
    <w:rsid w:val="000044A6"/>
    <w:rsid w:val="000044E1"/>
    <w:rsid w:val="000044FB"/>
    <w:rsid w:val="0000455C"/>
    <w:rsid w:val="00004A72"/>
    <w:rsid w:val="00004AFA"/>
    <w:rsid w:val="00004B5A"/>
    <w:rsid w:val="00004D05"/>
    <w:rsid w:val="00004F30"/>
    <w:rsid w:val="000050D6"/>
    <w:rsid w:val="0000515A"/>
    <w:rsid w:val="000051A0"/>
    <w:rsid w:val="00005224"/>
    <w:rsid w:val="0000531B"/>
    <w:rsid w:val="00005471"/>
    <w:rsid w:val="00005932"/>
    <w:rsid w:val="00005A35"/>
    <w:rsid w:val="00005AFB"/>
    <w:rsid w:val="000060DC"/>
    <w:rsid w:val="000060E9"/>
    <w:rsid w:val="0000625E"/>
    <w:rsid w:val="00006322"/>
    <w:rsid w:val="000063E2"/>
    <w:rsid w:val="00006451"/>
    <w:rsid w:val="00006927"/>
    <w:rsid w:val="000069D5"/>
    <w:rsid w:val="00006D16"/>
    <w:rsid w:val="00006F66"/>
    <w:rsid w:val="000071A6"/>
    <w:rsid w:val="0000727A"/>
    <w:rsid w:val="000077F2"/>
    <w:rsid w:val="000077F3"/>
    <w:rsid w:val="0000795B"/>
    <w:rsid w:val="0000798B"/>
    <w:rsid w:val="00007D7D"/>
    <w:rsid w:val="00007ECF"/>
    <w:rsid w:val="00007F17"/>
    <w:rsid w:val="00007F2A"/>
    <w:rsid w:val="00010061"/>
    <w:rsid w:val="00010078"/>
    <w:rsid w:val="000100BB"/>
    <w:rsid w:val="0001013E"/>
    <w:rsid w:val="00010257"/>
    <w:rsid w:val="00010391"/>
    <w:rsid w:val="00010427"/>
    <w:rsid w:val="000106F1"/>
    <w:rsid w:val="00010758"/>
    <w:rsid w:val="0001097C"/>
    <w:rsid w:val="000109D8"/>
    <w:rsid w:val="00010A44"/>
    <w:rsid w:val="00010B45"/>
    <w:rsid w:val="00010E54"/>
    <w:rsid w:val="00010FC6"/>
    <w:rsid w:val="00011007"/>
    <w:rsid w:val="0001108F"/>
    <w:rsid w:val="00011554"/>
    <w:rsid w:val="000116BA"/>
    <w:rsid w:val="00011727"/>
    <w:rsid w:val="000117B1"/>
    <w:rsid w:val="000119C0"/>
    <w:rsid w:val="000119E2"/>
    <w:rsid w:val="00011A1E"/>
    <w:rsid w:val="00011B0F"/>
    <w:rsid w:val="00011BE7"/>
    <w:rsid w:val="00011DCB"/>
    <w:rsid w:val="00011DEB"/>
    <w:rsid w:val="00011F0C"/>
    <w:rsid w:val="00012035"/>
    <w:rsid w:val="0001224E"/>
    <w:rsid w:val="000122DA"/>
    <w:rsid w:val="0001244F"/>
    <w:rsid w:val="000125FD"/>
    <w:rsid w:val="000128DC"/>
    <w:rsid w:val="00012A0B"/>
    <w:rsid w:val="00012BC7"/>
    <w:rsid w:val="000130DF"/>
    <w:rsid w:val="00013211"/>
    <w:rsid w:val="000132B8"/>
    <w:rsid w:val="00013369"/>
    <w:rsid w:val="00013492"/>
    <w:rsid w:val="0001374B"/>
    <w:rsid w:val="00013B0E"/>
    <w:rsid w:val="00013CDA"/>
    <w:rsid w:val="00013CEE"/>
    <w:rsid w:val="00013ECE"/>
    <w:rsid w:val="00014269"/>
    <w:rsid w:val="00014574"/>
    <w:rsid w:val="000145AF"/>
    <w:rsid w:val="00014999"/>
    <w:rsid w:val="00014A97"/>
    <w:rsid w:val="00014C85"/>
    <w:rsid w:val="00014D33"/>
    <w:rsid w:val="0001530A"/>
    <w:rsid w:val="0001539A"/>
    <w:rsid w:val="00015432"/>
    <w:rsid w:val="000154EA"/>
    <w:rsid w:val="00015775"/>
    <w:rsid w:val="0001582F"/>
    <w:rsid w:val="00015996"/>
    <w:rsid w:val="00015AD8"/>
    <w:rsid w:val="00015B5A"/>
    <w:rsid w:val="00015D9B"/>
    <w:rsid w:val="00016026"/>
    <w:rsid w:val="00016177"/>
    <w:rsid w:val="0001621E"/>
    <w:rsid w:val="000162BA"/>
    <w:rsid w:val="000163D9"/>
    <w:rsid w:val="000164B7"/>
    <w:rsid w:val="00016503"/>
    <w:rsid w:val="000165AE"/>
    <w:rsid w:val="000168E3"/>
    <w:rsid w:val="00016A23"/>
    <w:rsid w:val="00016A5D"/>
    <w:rsid w:val="00016F04"/>
    <w:rsid w:val="00017389"/>
    <w:rsid w:val="00017516"/>
    <w:rsid w:val="0001756B"/>
    <w:rsid w:val="00017782"/>
    <w:rsid w:val="00017847"/>
    <w:rsid w:val="00017975"/>
    <w:rsid w:val="00017A04"/>
    <w:rsid w:val="0001F443"/>
    <w:rsid w:val="000200CA"/>
    <w:rsid w:val="00020151"/>
    <w:rsid w:val="000203A2"/>
    <w:rsid w:val="00020490"/>
    <w:rsid w:val="000205E5"/>
    <w:rsid w:val="0002062D"/>
    <w:rsid w:val="00020749"/>
    <w:rsid w:val="00020808"/>
    <w:rsid w:val="00020B86"/>
    <w:rsid w:val="00020D41"/>
    <w:rsid w:val="00020DB5"/>
    <w:rsid w:val="00020E42"/>
    <w:rsid w:val="0002119E"/>
    <w:rsid w:val="000211EE"/>
    <w:rsid w:val="000213A7"/>
    <w:rsid w:val="000214DC"/>
    <w:rsid w:val="00021564"/>
    <w:rsid w:val="0002165C"/>
    <w:rsid w:val="00021717"/>
    <w:rsid w:val="00021748"/>
    <w:rsid w:val="00021793"/>
    <w:rsid w:val="00021C4B"/>
    <w:rsid w:val="00021C7E"/>
    <w:rsid w:val="00021CDD"/>
    <w:rsid w:val="00021D09"/>
    <w:rsid w:val="00021DDF"/>
    <w:rsid w:val="00021E84"/>
    <w:rsid w:val="00022003"/>
    <w:rsid w:val="0002232D"/>
    <w:rsid w:val="00022625"/>
    <w:rsid w:val="000227A5"/>
    <w:rsid w:val="000227EA"/>
    <w:rsid w:val="0002293C"/>
    <w:rsid w:val="00022B7D"/>
    <w:rsid w:val="00022E0E"/>
    <w:rsid w:val="00022E72"/>
    <w:rsid w:val="0002309D"/>
    <w:rsid w:val="00023177"/>
    <w:rsid w:val="000232E6"/>
    <w:rsid w:val="00023317"/>
    <w:rsid w:val="000233CE"/>
    <w:rsid w:val="0002343B"/>
    <w:rsid w:val="0002343C"/>
    <w:rsid w:val="00023487"/>
    <w:rsid w:val="000235DE"/>
    <w:rsid w:val="000236A1"/>
    <w:rsid w:val="00023774"/>
    <w:rsid w:val="000239AB"/>
    <w:rsid w:val="000239F8"/>
    <w:rsid w:val="00023A8F"/>
    <w:rsid w:val="00023D26"/>
    <w:rsid w:val="00023D27"/>
    <w:rsid w:val="00023E6D"/>
    <w:rsid w:val="00023F86"/>
    <w:rsid w:val="000241C3"/>
    <w:rsid w:val="00024268"/>
    <w:rsid w:val="00024282"/>
    <w:rsid w:val="000242DA"/>
    <w:rsid w:val="000243AD"/>
    <w:rsid w:val="0002453E"/>
    <w:rsid w:val="00024656"/>
    <w:rsid w:val="000246F5"/>
    <w:rsid w:val="00024B3E"/>
    <w:rsid w:val="00024C8B"/>
    <w:rsid w:val="00024CCF"/>
    <w:rsid w:val="00024CFB"/>
    <w:rsid w:val="00024D47"/>
    <w:rsid w:val="00025015"/>
    <w:rsid w:val="00025019"/>
    <w:rsid w:val="000250B4"/>
    <w:rsid w:val="00025172"/>
    <w:rsid w:val="0002559B"/>
    <w:rsid w:val="00025732"/>
    <w:rsid w:val="00025758"/>
    <w:rsid w:val="00025AEF"/>
    <w:rsid w:val="00025B77"/>
    <w:rsid w:val="00025C3D"/>
    <w:rsid w:val="00025CE1"/>
    <w:rsid w:val="000261CA"/>
    <w:rsid w:val="00026200"/>
    <w:rsid w:val="00026491"/>
    <w:rsid w:val="00026670"/>
    <w:rsid w:val="000266A1"/>
    <w:rsid w:val="000266B2"/>
    <w:rsid w:val="000267C6"/>
    <w:rsid w:val="00026AEF"/>
    <w:rsid w:val="00026B2E"/>
    <w:rsid w:val="00026B3C"/>
    <w:rsid w:val="00026BA0"/>
    <w:rsid w:val="00026CC9"/>
    <w:rsid w:val="00026F18"/>
    <w:rsid w:val="00027011"/>
    <w:rsid w:val="0002707C"/>
    <w:rsid w:val="00027271"/>
    <w:rsid w:val="00027433"/>
    <w:rsid w:val="000274C5"/>
    <w:rsid w:val="00027637"/>
    <w:rsid w:val="00027895"/>
    <w:rsid w:val="00027A14"/>
    <w:rsid w:val="00027A34"/>
    <w:rsid w:val="00027B9B"/>
    <w:rsid w:val="00027D28"/>
    <w:rsid w:val="00027DD4"/>
    <w:rsid w:val="00027EA3"/>
    <w:rsid w:val="00030070"/>
    <w:rsid w:val="000300FC"/>
    <w:rsid w:val="000303BD"/>
    <w:rsid w:val="000306EA"/>
    <w:rsid w:val="00030B05"/>
    <w:rsid w:val="00030B82"/>
    <w:rsid w:val="000311BF"/>
    <w:rsid w:val="000311CA"/>
    <w:rsid w:val="00031464"/>
    <w:rsid w:val="00031722"/>
    <w:rsid w:val="000318FE"/>
    <w:rsid w:val="00031C15"/>
    <w:rsid w:val="00031C4A"/>
    <w:rsid w:val="00032005"/>
    <w:rsid w:val="000320A0"/>
    <w:rsid w:val="00032145"/>
    <w:rsid w:val="0003223F"/>
    <w:rsid w:val="000322A0"/>
    <w:rsid w:val="000323F2"/>
    <w:rsid w:val="000328FB"/>
    <w:rsid w:val="00032CED"/>
    <w:rsid w:val="00032D53"/>
    <w:rsid w:val="00032D7E"/>
    <w:rsid w:val="00032DC5"/>
    <w:rsid w:val="00032DDD"/>
    <w:rsid w:val="00032E01"/>
    <w:rsid w:val="00033100"/>
    <w:rsid w:val="000332C0"/>
    <w:rsid w:val="0003378B"/>
    <w:rsid w:val="000337A7"/>
    <w:rsid w:val="00033D1D"/>
    <w:rsid w:val="00033DD8"/>
    <w:rsid w:val="00033E91"/>
    <w:rsid w:val="00033E93"/>
    <w:rsid w:val="00033EA2"/>
    <w:rsid w:val="000340B0"/>
    <w:rsid w:val="000340FE"/>
    <w:rsid w:val="00034358"/>
    <w:rsid w:val="000343E6"/>
    <w:rsid w:val="00034588"/>
    <w:rsid w:val="000346C0"/>
    <w:rsid w:val="000346C7"/>
    <w:rsid w:val="00034866"/>
    <w:rsid w:val="000348ED"/>
    <w:rsid w:val="00034B4F"/>
    <w:rsid w:val="00034CC9"/>
    <w:rsid w:val="00034CDF"/>
    <w:rsid w:val="00034CF0"/>
    <w:rsid w:val="00034DB3"/>
    <w:rsid w:val="00035125"/>
    <w:rsid w:val="00035148"/>
    <w:rsid w:val="0003531A"/>
    <w:rsid w:val="000353E7"/>
    <w:rsid w:val="00035AA3"/>
    <w:rsid w:val="00035AD2"/>
    <w:rsid w:val="0003656E"/>
    <w:rsid w:val="0003691A"/>
    <w:rsid w:val="00036935"/>
    <w:rsid w:val="000369E1"/>
    <w:rsid w:val="00036AC0"/>
    <w:rsid w:val="00036C27"/>
    <w:rsid w:val="00036CCB"/>
    <w:rsid w:val="00036CDF"/>
    <w:rsid w:val="00036CED"/>
    <w:rsid w:val="00036D35"/>
    <w:rsid w:val="00036E72"/>
    <w:rsid w:val="00036EBF"/>
    <w:rsid w:val="000370CE"/>
    <w:rsid w:val="000370E4"/>
    <w:rsid w:val="00037228"/>
    <w:rsid w:val="00037610"/>
    <w:rsid w:val="00037AB5"/>
    <w:rsid w:val="00037C93"/>
    <w:rsid w:val="00037D9D"/>
    <w:rsid w:val="00037DE0"/>
    <w:rsid w:val="00037E5A"/>
    <w:rsid w:val="00037EB4"/>
    <w:rsid w:val="00037F41"/>
    <w:rsid w:val="00040026"/>
    <w:rsid w:val="000401CC"/>
    <w:rsid w:val="00040237"/>
    <w:rsid w:val="000402FF"/>
    <w:rsid w:val="00040388"/>
    <w:rsid w:val="000403AE"/>
    <w:rsid w:val="000403EF"/>
    <w:rsid w:val="000404E8"/>
    <w:rsid w:val="000404F4"/>
    <w:rsid w:val="00040516"/>
    <w:rsid w:val="000406B9"/>
    <w:rsid w:val="00040780"/>
    <w:rsid w:val="000407DA"/>
    <w:rsid w:val="00040876"/>
    <w:rsid w:val="0004099B"/>
    <w:rsid w:val="00040AC3"/>
    <w:rsid w:val="00040C0B"/>
    <w:rsid w:val="00040F39"/>
    <w:rsid w:val="000416E6"/>
    <w:rsid w:val="000416F9"/>
    <w:rsid w:val="00041F0D"/>
    <w:rsid w:val="00041FA0"/>
    <w:rsid w:val="000421CB"/>
    <w:rsid w:val="00042208"/>
    <w:rsid w:val="0004226F"/>
    <w:rsid w:val="000422C0"/>
    <w:rsid w:val="00042943"/>
    <w:rsid w:val="00042C17"/>
    <w:rsid w:val="00042CB1"/>
    <w:rsid w:val="00042CF7"/>
    <w:rsid w:val="00042E26"/>
    <w:rsid w:val="00042E3C"/>
    <w:rsid w:val="00043156"/>
    <w:rsid w:val="0004327B"/>
    <w:rsid w:val="00043559"/>
    <w:rsid w:val="000436C7"/>
    <w:rsid w:val="00043DA7"/>
    <w:rsid w:val="00043DD3"/>
    <w:rsid w:val="00043E86"/>
    <w:rsid w:val="00043FBC"/>
    <w:rsid w:val="00044082"/>
    <w:rsid w:val="000440F2"/>
    <w:rsid w:val="00044100"/>
    <w:rsid w:val="000441D3"/>
    <w:rsid w:val="00044263"/>
    <w:rsid w:val="00044266"/>
    <w:rsid w:val="0004433E"/>
    <w:rsid w:val="00044553"/>
    <w:rsid w:val="00044850"/>
    <w:rsid w:val="00044B74"/>
    <w:rsid w:val="00044D52"/>
    <w:rsid w:val="00044F03"/>
    <w:rsid w:val="00044FFF"/>
    <w:rsid w:val="00045114"/>
    <w:rsid w:val="00045336"/>
    <w:rsid w:val="00045557"/>
    <w:rsid w:val="00045664"/>
    <w:rsid w:val="000457A5"/>
    <w:rsid w:val="00045B1C"/>
    <w:rsid w:val="00045B5B"/>
    <w:rsid w:val="00045B8E"/>
    <w:rsid w:val="00045C15"/>
    <w:rsid w:val="00045C8C"/>
    <w:rsid w:val="00045CA7"/>
    <w:rsid w:val="00045CCD"/>
    <w:rsid w:val="00045E5D"/>
    <w:rsid w:val="00045EB3"/>
    <w:rsid w:val="0004638E"/>
    <w:rsid w:val="00046764"/>
    <w:rsid w:val="000467FD"/>
    <w:rsid w:val="0004681A"/>
    <w:rsid w:val="00046893"/>
    <w:rsid w:val="00046CA6"/>
    <w:rsid w:val="00046D92"/>
    <w:rsid w:val="00047043"/>
    <w:rsid w:val="000471CC"/>
    <w:rsid w:val="000472D4"/>
    <w:rsid w:val="00047717"/>
    <w:rsid w:val="00047832"/>
    <w:rsid w:val="00047A87"/>
    <w:rsid w:val="00047AD6"/>
    <w:rsid w:val="00047B59"/>
    <w:rsid w:val="00047B64"/>
    <w:rsid w:val="00047E88"/>
    <w:rsid w:val="00047EE2"/>
    <w:rsid w:val="00047FE4"/>
    <w:rsid w:val="000500D5"/>
    <w:rsid w:val="000501C9"/>
    <w:rsid w:val="00050292"/>
    <w:rsid w:val="000502B7"/>
    <w:rsid w:val="00050493"/>
    <w:rsid w:val="00050679"/>
    <w:rsid w:val="00050711"/>
    <w:rsid w:val="0005091C"/>
    <w:rsid w:val="0005094C"/>
    <w:rsid w:val="000509CB"/>
    <w:rsid w:val="000509E4"/>
    <w:rsid w:val="00050C92"/>
    <w:rsid w:val="00050D02"/>
    <w:rsid w:val="00050D2E"/>
    <w:rsid w:val="00050F12"/>
    <w:rsid w:val="00050F2D"/>
    <w:rsid w:val="00051068"/>
    <w:rsid w:val="000510C4"/>
    <w:rsid w:val="000510E8"/>
    <w:rsid w:val="000513F0"/>
    <w:rsid w:val="000517FB"/>
    <w:rsid w:val="000518C7"/>
    <w:rsid w:val="0005196B"/>
    <w:rsid w:val="00051ADB"/>
    <w:rsid w:val="00051ADD"/>
    <w:rsid w:val="00051B87"/>
    <w:rsid w:val="00051BA9"/>
    <w:rsid w:val="00051BDC"/>
    <w:rsid w:val="00051EF4"/>
    <w:rsid w:val="00051F7B"/>
    <w:rsid w:val="000521F8"/>
    <w:rsid w:val="000522AC"/>
    <w:rsid w:val="000522B3"/>
    <w:rsid w:val="000524CA"/>
    <w:rsid w:val="0005254A"/>
    <w:rsid w:val="0005267A"/>
    <w:rsid w:val="00052870"/>
    <w:rsid w:val="00052ACC"/>
    <w:rsid w:val="00052E25"/>
    <w:rsid w:val="00052E62"/>
    <w:rsid w:val="00052F25"/>
    <w:rsid w:val="000530F5"/>
    <w:rsid w:val="0005310A"/>
    <w:rsid w:val="000532D2"/>
    <w:rsid w:val="00053442"/>
    <w:rsid w:val="000534C5"/>
    <w:rsid w:val="000537D1"/>
    <w:rsid w:val="00053976"/>
    <w:rsid w:val="000539C6"/>
    <w:rsid w:val="00053AA9"/>
    <w:rsid w:val="00053E81"/>
    <w:rsid w:val="00054080"/>
    <w:rsid w:val="000540E8"/>
    <w:rsid w:val="000542EF"/>
    <w:rsid w:val="00054534"/>
    <w:rsid w:val="0005486B"/>
    <w:rsid w:val="000548FD"/>
    <w:rsid w:val="00054921"/>
    <w:rsid w:val="000549EA"/>
    <w:rsid w:val="00054A77"/>
    <w:rsid w:val="00054AC3"/>
    <w:rsid w:val="00054B08"/>
    <w:rsid w:val="00054D1A"/>
    <w:rsid w:val="00054FE5"/>
    <w:rsid w:val="00055056"/>
    <w:rsid w:val="000550C6"/>
    <w:rsid w:val="000551FC"/>
    <w:rsid w:val="00055235"/>
    <w:rsid w:val="000552E8"/>
    <w:rsid w:val="0005531B"/>
    <w:rsid w:val="000554D0"/>
    <w:rsid w:val="00055540"/>
    <w:rsid w:val="00055577"/>
    <w:rsid w:val="000555A3"/>
    <w:rsid w:val="000556E5"/>
    <w:rsid w:val="00055862"/>
    <w:rsid w:val="000558D5"/>
    <w:rsid w:val="00055EA3"/>
    <w:rsid w:val="00056447"/>
    <w:rsid w:val="0005669C"/>
    <w:rsid w:val="0005676A"/>
    <w:rsid w:val="000567DA"/>
    <w:rsid w:val="000567E4"/>
    <w:rsid w:val="00056AEA"/>
    <w:rsid w:val="00056BDD"/>
    <w:rsid w:val="00056C26"/>
    <w:rsid w:val="00056DD4"/>
    <w:rsid w:val="00057094"/>
    <w:rsid w:val="0005709D"/>
    <w:rsid w:val="000571A5"/>
    <w:rsid w:val="0005731D"/>
    <w:rsid w:val="00057398"/>
    <w:rsid w:val="000573A1"/>
    <w:rsid w:val="00057597"/>
    <w:rsid w:val="000576E2"/>
    <w:rsid w:val="000577E8"/>
    <w:rsid w:val="00057A81"/>
    <w:rsid w:val="00057B18"/>
    <w:rsid w:val="00057B2D"/>
    <w:rsid w:val="00057BFF"/>
    <w:rsid w:val="00057CB1"/>
    <w:rsid w:val="00057E4B"/>
    <w:rsid w:val="00057F22"/>
    <w:rsid w:val="00057FC5"/>
    <w:rsid w:val="00057FCA"/>
    <w:rsid w:val="00057FF4"/>
    <w:rsid w:val="00060011"/>
    <w:rsid w:val="00060219"/>
    <w:rsid w:val="000602CC"/>
    <w:rsid w:val="0006035B"/>
    <w:rsid w:val="0006081C"/>
    <w:rsid w:val="00060908"/>
    <w:rsid w:val="00060C97"/>
    <w:rsid w:val="00060CA9"/>
    <w:rsid w:val="000611E9"/>
    <w:rsid w:val="00061259"/>
    <w:rsid w:val="00061599"/>
    <w:rsid w:val="00061746"/>
    <w:rsid w:val="0006180F"/>
    <w:rsid w:val="00061A94"/>
    <w:rsid w:val="00061BBE"/>
    <w:rsid w:val="00061C25"/>
    <w:rsid w:val="00061E8E"/>
    <w:rsid w:val="00061F9B"/>
    <w:rsid w:val="00062109"/>
    <w:rsid w:val="00062186"/>
    <w:rsid w:val="000621BD"/>
    <w:rsid w:val="00062350"/>
    <w:rsid w:val="0006247D"/>
    <w:rsid w:val="00062585"/>
    <w:rsid w:val="00062611"/>
    <w:rsid w:val="000627C5"/>
    <w:rsid w:val="000628D5"/>
    <w:rsid w:val="000628F6"/>
    <w:rsid w:val="00062B73"/>
    <w:rsid w:val="00062BF6"/>
    <w:rsid w:val="00062E15"/>
    <w:rsid w:val="00063359"/>
    <w:rsid w:val="00063704"/>
    <w:rsid w:val="000638CD"/>
    <w:rsid w:val="00063900"/>
    <w:rsid w:val="000639AB"/>
    <w:rsid w:val="00063C18"/>
    <w:rsid w:val="00063F1C"/>
    <w:rsid w:val="000640F2"/>
    <w:rsid w:val="00064143"/>
    <w:rsid w:val="00064370"/>
    <w:rsid w:val="00064709"/>
    <w:rsid w:val="00064760"/>
    <w:rsid w:val="000648E4"/>
    <w:rsid w:val="00064A6A"/>
    <w:rsid w:val="00064C08"/>
    <w:rsid w:val="00064CC9"/>
    <w:rsid w:val="00064D58"/>
    <w:rsid w:val="00064E7B"/>
    <w:rsid w:val="000652A5"/>
    <w:rsid w:val="00065385"/>
    <w:rsid w:val="000653D1"/>
    <w:rsid w:val="00065429"/>
    <w:rsid w:val="000655C4"/>
    <w:rsid w:val="000658AE"/>
    <w:rsid w:val="000658CA"/>
    <w:rsid w:val="000658E0"/>
    <w:rsid w:val="00065CF7"/>
    <w:rsid w:val="00065E72"/>
    <w:rsid w:val="00065EF1"/>
    <w:rsid w:val="00066179"/>
    <w:rsid w:val="00066185"/>
    <w:rsid w:val="000661E7"/>
    <w:rsid w:val="0006620D"/>
    <w:rsid w:val="00066495"/>
    <w:rsid w:val="0006657F"/>
    <w:rsid w:val="00066586"/>
    <w:rsid w:val="00066624"/>
    <w:rsid w:val="00066646"/>
    <w:rsid w:val="000666FE"/>
    <w:rsid w:val="000669AA"/>
    <w:rsid w:val="00066B83"/>
    <w:rsid w:val="00066D24"/>
    <w:rsid w:val="00066E64"/>
    <w:rsid w:val="0006708F"/>
    <w:rsid w:val="00067266"/>
    <w:rsid w:val="00067514"/>
    <w:rsid w:val="000675C0"/>
    <w:rsid w:val="0006772B"/>
    <w:rsid w:val="0006774F"/>
    <w:rsid w:val="00067785"/>
    <w:rsid w:val="00067A35"/>
    <w:rsid w:val="00067C3C"/>
    <w:rsid w:val="00067E3C"/>
    <w:rsid w:val="00067F97"/>
    <w:rsid w:val="000700CA"/>
    <w:rsid w:val="000701D2"/>
    <w:rsid w:val="00070474"/>
    <w:rsid w:val="0007053E"/>
    <w:rsid w:val="00070862"/>
    <w:rsid w:val="00070B40"/>
    <w:rsid w:val="00070C19"/>
    <w:rsid w:val="00071246"/>
    <w:rsid w:val="00071759"/>
    <w:rsid w:val="000717F6"/>
    <w:rsid w:val="000718DF"/>
    <w:rsid w:val="00071A6B"/>
    <w:rsid w:val="00071AAC"/>
    <w:rsid w:val="00071DD6"/>
    <w:rsid w:val="00071E0D"/>
    <w:rsid w:val="000721D0"/>
    <w:rsid w:val="00072312"/>
    <w:rsid w:val="0007233C"/>
    <w:rsid w:val="00072542"/>
    <w:rsid w:val="000725C0"/>
    <w:rsid w:val="000726BA"/>
    <w:rsid w:val="000727F3"/>
    <w:rsid w:val="00072844"/>
    <w:rsid w:val="0007285A"/>
    <w:rsid w:val="00072A6C"/>
    <w:rsid w:val="00072BB1"/>
    <w:rsid w:val="00072C1C"/>
    <w:rsid w:val="00072E3C"/>
    <w:rsid w:val="000730E4"/>
    <w:rsid w:val="00073197"/>
    <w:rsid w:val="00073198"/>
    <w:rsid w:val="000731AD"/>
    <w:rsid w:val="000732D2"/>
    <w:rsid w:val="0007336D"/>
    <w:rsid w:val="000734EB"/>
    <w:rsid w:val="00073547"/>
    <w:rsid w:val="0007359B"/>
    <w:rsid w:val="0007377E"/>
    <w:rsid w:val="000738DA"/>
    <w:rsid w:val="000739ED"/>
    <w:rsid w:val="00073B27"/>
    <w:rsid w:val="00073D6A"/>
    <w:rsid w:val="00073E49"/>
    <w:rsid w:val="000741D7"/>
    <w:rsid w:val="000742B2"/>
    <w:rsid w:val="00074596"/>
    <w:rsid w:val="00074743"/>
    <w:rsid w:val="000748D1"/>
    <w:rsid w:val="00074DDC"/>
    <w:rsid w:val="0007512E"/>
    <w:rsid w:val="00075144"/>
    <w:rsid w:val="0007525E"/>
    <w:rsid w:val="000753BA"/>
    <w:rsid w:val="00075655"/>
    <w:rsid w:val="0007565A"/>
    <w:rsid w:val="000756AA"/>
    <w:rsid w:val="000756BE"/>
    <w:rsid w:val="00075804"/>
    <w:rsid w:val="00075B74"/>
    <w:rsid w:val="00075C46"/>
    <w:rsid w:val="00075DDA"/>
    <w:rsid w:val="00075F02"/>
    <w:rsid w:val="00076335"/>
    <w:rsid w:val="000763B7"/>
    <w:rsid w:val="00076983"/>
    <w:rsid w:val="0007698C"/>
    <w:rsid w:val="000769C2"/>
    <w:rsid w:val="00076B46"/>
    <w:rsid w:val="00076D3B"/>
    <w:rsid w:val="00076DC4"/>
    <w:rsid w:val="00076E1D"/>
    <w:rsid w:val="0007704D"/>
    <w:rsid w:val="00077095"/>
    <w:rsid w:val="00077492"/>
    <w:rsid w:val="000776B2"/>
    <w:rsid w:val="00080071"/>
    <w:rsid w:val="000800FF"/>
    <w:rsid w:val="0008015D"/>
    <w:rsid w:val="000802C1"/>
    <w:rsid w:val="00080BA8"/>
    <w:rsid w:val="00080D89"/>
    <w:rsid w:val="000810D3"/>
    <w:rsid w:val="00081112"/>
    <w:rsid w:val="00081228"/>
    <w:rsid w:val="00081257"/>
    <w:rsid w:val="000812EA"/>
    <w:rsid w:val="000813E2"/>
    <w:rsid w:val="0008164F"/>
    <w:rsid w:val="00081877"/>
    <w:rsid w:val="00081968"/>
    <w:rsid w:val="00081A21"/>
    <w:rsid w:val="00081A46"/>
    <w:rsid w:val="00081B4F"/>
    <w:rsid w:val="00081D12"/>
    <w:rsid w:val="00081E11"/>
    <w:rsid w:val="00081E14"/>
    <w:rsid w:val="00081E8F"/>
    <w:rsid w:val="00082115"/>
    <w:rsid w:val="00082290"/>
    <w:rsid w:val="000823CB"/>
    <w:rsid w:val="0008254F"/>
    <w:rsid w:val="00082588"/>
    <w:rsid w:val="000826FE"/>
    <w:rsid w:val="000828AF"/>
    <w:rsid w:val="000828EF"/>
    <w:rsid w:val="00082B2C"/>
    <w:rsid w:val="00082E0C"/>
    <w:rsid w:val="00082E8A"/>
    <w:rsid w:val="00082F51"/>
    <w:rsid w:val="000832B1"/>
    <w:rsid w:val="000833F0"/>
    <w:rsid w:val="000834F9"/>
    <w:rsid w:val="00083541"/>
    <w:rsid w:val="00083845"/>
    <w:rsid w:val="000839BD"/>
    <w:rsid w:val="00083A58"/>
    <w:rsid w:val="00083AA7"/>
    <w:rsid w:val="00083B82"/>
    <w:rsid w:val="00083B92"/>
    <w:rsid w:val="00083C93"/>
    <w:rsid w:val="000840AF"/>
    <w:rsid w:val="000841EC"/>
    <w:rsid w:val="0008434B"/>
    <w:rsid w:val="000843E9"/>
    <w:rsid w:val="00084402"/>
    <w:rsid w:val="00084534"/>
    <w:rsid w:val="000845E8"/>
    <w:rsid w:val="0008479B"/>
    <w:rsid w:val="00084825"/>
    <w:rsid w:val="000848C0"/>
    <w:rsid w:val="00084B61"/>
    <w:rsid w:val="00084D77"/>
    <w:rsid w:val="00084EB8"/>
    <w:rsid w:val="00085090"/>
    <w:rsid w:val="000850B9"/>
    <w:rsid w:val="0008549A"/>
    <w:rsid w:val="000856A9"/>
    <w:rsid w:val="00085867"/>
    <w:rsid w:val="00085A30"/>
    <w:rsid w:val="00085EF6"/>
    <w:rsid w:val="00085F68"/>
    <w:rsid w:val="0008600C"/>
    <w:rsid w:val="00086294"/>
    <w:rsid w:val="000864A8"/>
    <w:rsid w:val="00086528"/>
    <w:rsid w:val="00086654"/>
    <w:rsid w:val="0008667C"/>
    <w:rsid w:val="000866C4"/>
    <w:rsid w:val="00086E56"/>
    <w:rsid w:val="00086FE0"/>
    <w:rsid w:val="00087202"/>
    <w:rsid w:val="0008739E"/>
    <w:rsid w:val="000873B0"/>
    <w:rsid w:val="000873CE"/>
    <w:rsid w:val="000874A4"/>
    <w:rsid w:val="000874C9"/>
    <w:rsid w:val="000874EF"/>
    <w:rsid w:val="00087677"/>
    <w:rsid w:val="000877D1"/>
    <w:rsid w:val="000878C3"/>
    <w:rsid w:val="000879C9"/>
    <w:rsid w:val="00087E1B"/>
    <w:rsid w:val="00087F01"/>
    <w:rsid w:val="00087FBE"/>
    <w:rsid w:val="000902F6"/>
    <w:rsid w:val="0009034B"/>
    <w:rsid w:val="000904D4"/>
    <w:rsid w:val="000906EF"/>
    <w:rsid w:val="0009084F"/>
    <w:rsid w:val="00090A23"/>
    <w:rsid w:val="00090A55"/>
    <w:rsid w:val="00090C6F"/>
    <w:rsid w:val="00090CC1"/>
    <w:rsid w:val="000911A1"/>
    <w:rsid w:val="00091231"/>
    <w:rsid w:val="0009130A"/>
    <w:rsid w:val="0009169A"/>
    <w:rsid w:val="00091788"/>
    <w:rsid w:val="00091831"/>
    <w:rsid w:val="000918C0"/>
    <w:rsid w:val="00091928"/>
    <w:rsid w:val="00091955"/>
    <w:rsid w:val="000919C8"/>
    <w:rsid w:val="00091B5E"/>
    <w:rsid w:val="00091FC2"/>
    <w:rsid w:val="0009203D"/>
    <w:rsid w:val="0009212A"/>
    <w:rsid w:val="00092233"/>
    <w:rsid w:val="0009224A"/>
    <w:rsid w:val="00092B94"/>
    <w:rsid w:val="00092C67"/>
    <w:rsid w:val="00092E45"/>
    <w:rsid w:val="00092EB0"/>
    <w:rsid w:val="00093092"/>
    <w:rsid w:val="000930B7"/>
    <w:rsid w:val="000930FD"/>
    <w:rsid w:val="000931EA"/>
    <w:rsid w:val="000935B5"/>
    <w:rsid w:val="00093889"/>
    <w:rsid w:val="00093A62"/>
    <w:rsid w:val="00093C39"/>
    <w:rsid w:val="00093F33"/>
    <w:rsid w:val="00094114"/>
    <w:rsid w:val="000941EB"/>
    <w:rsid w:val="00094229"/>
    <w:rsid w:val="00094254"/>
    <w:rsid w:val="00094334"/>
    <w:rsid w:val="0009456F"/>
    <w:rsid w:val="000946F1"/>
    <w:rsid w:val="00094CD4"/>
    <w:rsid w:val="00094E7B"/>
    <w:rsid w:val="0009507D"/>
    <w:rsid w:val="0009509E"/>
    <w:rsid w:val="00095150"/>
    <w:rsid w:val="00095465"/>
    <w:rsid w:val="000954D4"/>
    <w:rsid w:val="0009552F"/>
    <w:rsid w:val="000955E2"/>
    <w:rsid w:val="00095AE4"/>
    <w:rsid w:val="00095CA2"/>
    <w:rsid w:val="00095E20"/>
    <w:rsid w:val="00095FA9"/>
    <w:rsid w:val="00095FC4"/>
    <w:rsid w:val="00095FC7"/>
    <w:rsid w:val="0009653B"/>
    <w:rsid w:val="000966B1"/>
    <w:rsid w:val="00096C18"/>
    <w:rsid w:val="00096C98"/>
    <w:rsid w:val="00096E1A"/>
    <w:rsid w:val="00097150"/>
    <w:rsid w:val="00097510"/>
    <w:rsid w:val="00097616"/>
    <w:rsid w:val="000979C5"/>
    <w:rsid w:val="00097B9B"/>
    <w:rsid w:val="000A00C1"/>
    <w:rsid w:val="000A039E"/>
    <w:rsid w:val="000A0459"/>
    <w:rsid w:val="000A0491"/>
    <w:rsid w:val="000A0812"/>
    <w:rsid w:val="000A0AA4"/>
    <w:rsid w:val="000A0D3B"/>
    <w:rsid w:val="000A0DBA"/>
    <w:rsid w:val="000A0E1B"/>
    <w:rsid w:val="000A1151"/>
    <w:rsid w:val="000A1179"/>
    <w:rsid w:val="000A1254"/>
    <w:rsid w:val="000A127A"/>
    <w:rsid w:val="000A1323"/>
    <w:rsid w:val="000A15DE"/>
    <w:rsid w:val="000A1999"/>
    <w:rsid w:val="000A1A2B"/>
    <w:rsid w:val="000A1C7B"/>
    <w:rsid w:val="000A1E90"/>
    <w:rsid w:val="000A1EC6"/>
    <w:rsid w:val="000A2172"/>
    <w:rsid w:val="000A26C0"/>
    <w:rsid w:val="000A2844"/>
    <w:rsid w:val="000A28B4"/>
    <w:rsid w:val="000A292F"/>
    <w:rsid w:val="000A2A53"/>
    <w:rsid w:val="000A3378"/>
    <w:rsid w:val="000A346F"/>
    <w:rsid w:val="000A3480"/>
    <w:rsid w:val="000A35FE"/>
    <w:rsid w:val="000A3787"/>
    <w:rsid w:val="000A38C6"/>
    <w:rsid w:val="000A39C4"/>
    <w:rsid w:val="000A3A6E"/>
    <w:rsid w:val="000A404C"/>
    <w:rsid w:val="000A40DC"/>
    <w:rsid w:val="000A41C3"/>
    <w:rsid w:val="000A429B"/>
    <w:rsid w:val="000A42FE"/>
    <w:rsid w:val="000A4586"/>
    <w:rsid w:val="000A46BE"/>
    <w:rsid w:val="000A4BE7"/>
    <w:rsid w:val="000A4D80"/>
    <w:rsid w:val="000A4E8A"/>
    <w:rsid w:val="000A5142"/>
    <w:rsid w:val="000A517B"/>
    <w:rsid w:val="000A53CA"/>
    <w:rsid w:val="000A5673"/>
    <w:rsid w:val="000A57C7"/>
    <w:rsid w:val="000A591F"/>
    <w:rsid w:val="000A5A0F"/>
    <w:rsid w:val="000A5A5D"/>
    <w:rsid w:val="000A5B79"/>
    <w:rsid w:val="000A5BE9"/>
    <w:rsid w:val="000A5CCB"/>
    <w:rsid w:val="000A5F67"/>
    <w:rsid w:val="000A6182"/>
    <w:rsid w:val="000A6291"/>
    <w:rsid w:val="000A637B"/>
    <w:rsid w:val="000A6381"/>
    <w:rsid w:val="000A6445"/>
    <w:rsid w:val="000A6493"/>
    <w:rsid w:val="000A6569"/>
    <w:rsid w:val="000A6586"/>
    <w:rsid w:val="000A659F"/>
    <w:rsid w:val="000A6666"/>
    <w:rsid w:val="000A6671"/>
    <w:rsid w:val="000A670B"/>
    <w:rsid w:val="000A68E9"/>
    <w:rsid w:val="000A69CF"/>
    <w:rsid w:val="000A6B44"/>
    <w:rsid w:val="000A6D08"/>
    <w:rsid w:val="000A6F29"/>
    <w:rsid w:val="000A71C0"/>
    <w:rsid w:val="000A7246"/>
    <w:rsid w:val="000A72A2"/>
    <w:rsid w:val="000A72E0"/>
    <w:rsid w:val="000A761C"/>
    <w:rsid w:val="000A78EE"/>
    <w:rsid w:val="000A7986"/>
    <w:rsid w:val="000A7CB4"/>
    <w:rsid w:val="000A7D88"/>
    <w:rsid w:val="000A7FDA"/>
    <w:rsid w:val="000B00A3"/>
    <w:rsid w:val="000B012F"/>
    <w:rsid w:val="000B0152"/>
    <w:rsid w:val="000B02F1"/>
    <w:rsid w:val="000B0699"/>
    <w:rsid w:val="000B07DE"/>
    <w:rsid w:val="000B0899"/>
    <w:rsid w:val="000B08ED"/>
    <w:rsid w:val="000B0C78"/>
    <w:rsid w:val="000B0DE5"/>
    <w:rsid w:val="000B0E2F"/>
    <w:rsid w:val="000B0E30"/>
    <w:rsid w:val="000B1226"/>
    <w:rsid w:val="000B13AB"/>
    <w:rsid w:val="000B1510"/>
    <w:rsid w:val="000B1527"/>
    <w:rsid w:val="000B16C3"/>
    <w:rsid w:val="000B1953"/>
    <w:rsid w:val="000B19CF"/>
    <w:rsid w:val="000B1E9B"/>
    <w:rsid w:val="000B1FA4"/>
    <w:rsid w:val="000B1FFD"/>
    <w:rsid w:val="000B20C7"/>
    <w:rsid w:val="000B2234"/>
    <w:rsid w:val="000B2255"/>
    <w:rsid w:val="000B296F"/>
    <w:rsid w:val="000B2CBA"/>
    <w:rsid w:val="000B3199"/>
    <w:rsid w:val="000B31B5"/>
    <w:rsid w:val="000B32F3"/>
    <w:rsid w:val="000B35D0"/>
    <w:rsid w:val="000B36A4"/>
    <w:rsid w:val="000B380A"/>
    <w:rsid w:val="000B3861"/>
    <w:rsid w:val="000B38D1"/>
    <w:rsid w:val="000B3C67"/>
    <w:rsid w:val="000B3CED"/>
    <w:rsid w:val="000B3D3F"/>
    <w:rsid w:val="000B3D5E"/>
    <w:rsid w:val="000B44EB"/>
    <w:rsid w:val="000B486D"/>
    <w:rsid w:val="000B4D45"/>
    <w:rsid w:val="000B5180"/>
    <w:rsid w:val="000B5213"/>
    <w:rsid w:val="000B52D2"/>
    <w:rsid w:val="000B53C7"/>
    <w:rsid w:val="000B543C"/>
    <w:rsid w:val="000B56A6"/>
    <w:rsid w:val="000B5920"/>
    <w:rsid w:val="000B5A9E"/>
    <w:rsid w:val="000B5B1D"/>
    <w:rsid w:val="000B5B52"/>
    <w:rsid w:val="000B5E48"/>
    <w:rsid w:val="000B61FC"/>
    <w:rsid w:val="000B62D8"/>
    <w:rsid w:val="000B64EA"/>
    <w:rsid w:val="000B64F5"/>
    <w:rsid w:val="000B663E"/>
    <w:rsid w:val="000B6AA2"/>
    <w:rsid w:val="000B6B14"/>
    <w:rsid w:val="000B6BC4"/>
    <w:rsid w:val="000B6D5C"/>
    <w:rsid w:val="000B6E3B"/>
    <w:rsid w:val="000B70EC"/>
    <w:rsid w:val="000B7131"/>
    <w:rsid w:val="000B71DD"/>
    <w:rsid w:val="000B7241"/>
    <w:rsid w:val="000B7279"/>
    <w:rsid w:val="000B74F3"/>
    <w:rsid w:val="000B7758"/>
    <w:rsid w:val="000B779F"/>
    <w:rsid w:val="000B79C2"/>
    <w:rsid w:val="000B7B95"/>
    <w:rsid w:val="000B7BDF"/>
    <w:rsid w:val="000B7C25"/>
    <w:rsid w:val="000B7E77"/>
    <w:rsid w:val="000B7F45"/>
    <w:rsid w:val="000C02EB"/>
    <w:rsid w:val="000C031B"/>
    <w:rsid w:val="000C0564"/>
    <w:rsid w:val="000C05F2"/>
    <w:rsid w:val="000C0797"/>
    <w:rsid w:val="000C0867"/>
    <w:rsid w:val="000C0DDE"/>
    <w:rsid w:val="000C1431"/>
    <w:rsid w:val="000C14AC"/>
    <w:rsid w:val="000C161F"/>
    <w:rsid w:val="000C16D8"/>
    <w:rsid w:val="000C1944"/>
    <w:rsid w:val="000C1DBF"/>
    <w:rsid w:val="000C1F46"/>
    <w:rsid w:val="000C2136"/>
    <w:rsid w:val="000C21B6"/>
    <w:rsid w:val="000C2329"/>
    <w:rsid w:val="000C269F"/>
    <w:rsid w:val="000C273E"/>
    <w:rsid w:val="000C2B2C"/>
    <w:rsid w:val="000C2B53"/>
    <w:rsid w:val="000C2C56"/>
    <w:rsid w:val="000C2CB5"/>
    <w:rsid w:val="000C2CC1"/>
    <w:rsid w:val="000C2CCC"/>
    <w:rsid w:val="000C2CFD"/>
    <w:rsid w:val="000C33AE"/>
    <w:rsid w:val="000C3491"/>
    <w:rsid w:val="000C3695"/>
    <w:rsid w:val="000C3A20"/>
    <w:rsid w:val="000C3BA4"/>
    <w:rsid w:val="000C3C42"/>
    <w:rsid w:val="000C3F27"/>
    <w:rsid w:val="000C437B"/>
    <w:rsid w:val="000C44BF"/>
    <w:rsid w:val="000C4690"/>
    <w:rsid w:val="000C4A28"/>
    <w:rsid w:val="000C4B11"/>
    <w:rsid w:val="000C4BA2"/>
    <w:rsid w:val="000C4BF3"/>
    <w:rsid w:val="000C4CF8"/>
    <w:rsid w:val="000C4F00"/>
    <w:rsid w:val="000C4F15"/>
    <w:rsid w:val="000C500D"/>
    <w:rsid w:val="000C512F"/>
    <w:rsid w:val="000C5336"/>
    <w:rsid w:val="000C5385"/>
    <w:rsid w:val="000C558F"/>
    <w:rsid w:val="000C55BD"/>
    <w:rsid w:val="000C55DB"/>
    <w:rsid w:val="000C5707"/>
    <w:rsid w:val="000C572C"/>
    <w:rsid w:val="000C5917"/>
    <w:rsid w:val="000C59F5"/>
    <w:rsid w:val="000C5AA3"/>
    <w:rsid w:val="000C5AD7"/>
    <w:rsid w:val="000C5B76"/>
    <w:rsid w:val="000C5D22"/>
    <w:rsid w:val="000C5EA2"/>
    <w:rsid w:val="000C601B"/>
    <w:rsid w:val="000C62FC"/>
    <w:rsid w:val="000C6654"/>
    <w:rsid w:val="000C6688"/>
    <w:rsid w:val="000C6A36"/>
    <w:rsid w:val="000C6BA7"/>
    <w:rsid w:val="000C6BEF"/>
    <w:rsid w:val="000C6D0C"/>
    <w:rsid w:val="000C6D7E"/>
    <w:rsid w:val="000C6E71"/>
    <w:rsid w:val="000C7256"/>
    <w:rsid w:val="000C7522"/>
    <w:rsid w:val="000C76C9"/>
    <w:rsid w:val="000C7804"/>
    <w:rsid w:val="000C795B"/>
    <w:rsid w:val="000C79A3"/>
    <w:rsid w:val="000C7BED"/>
    <w:rsid w:val="000C7CF0"/>
    <w:rsid w:val="000C7D76"/>
    <w:rsid w:val="000D01D3"/>
    <w:rsid w:val="000D0463"/>
    <w:rsid w:val="000D0579"/>
    <w:rsid w:val="000D08EF"/>
    <w:rsid w:val="000D0A6F"/>
    <w:rsid w:val="000D0AD7"/>
    <w:rsid w:val="000D0AD8"/>
    <w:rsid w:val="000D0AF6"/>
    <w:rsid w:val="000D0BB5"/>
    <w:rsid w:val="000D0C93"/>
    <w:rsid w:val="000D0D12"/>
    <w:rsid w:val="000D0FB4"/>
    <w:rsid w:val="000D114F"/>
    <w:rsid w:val="000D119B"/>
    <w:rsid w:val="000D1262"/>
    <w:rsid w:val="000D13BF"/>
    <w:rsid w:val="000D14DE"/>
    <w:rsid w:val="000D1553"/>
    <w:rsid w:val="000D1680"/>
    <w:rsid w:val="000D17F8"/>
    <w:rsid w:val="000D1809"/>
    <w:rsid w:val="000D1AAE"/>
    <w:rsid w:val="000D1B80"/>
    <w:rsid w:val="000D1DC1"/>
    <w:rsid w:val="000D1F30"/>
    <w:rsid w:val="000D1F97"/>
    <w:rsid w:val="000D22D4"/>
    <w:rsid w:val="000D23EC"/>
    <w:rsid w:val="000D262E"/>
    <w:rsid w:val="000D2871"/>
    <w:rsid w:val="000D28CF"/>
    <w:rsid w:val="000D2AA8"/>
    <w:rsid w:val="000D2B15"/>
    <w:rsid w:val="000D303C"/>
    <w:rsid w:val="000D317D"/>
    <w:rsid w:val="000D32EB"/>
    <w:rsid w:val="000D33F0"/>
    <w:rsid w:val="000D3428"/>
    <w:rsid w:val="000D347F"/>
    <w:rsid w:val="000D34BC"/>
    <w:rsid w:val="000D37A7"/>
    <w:rsid w:val="000D3871"/>
    <w:rsid w:val="000D3931"/>
    <w:rsid w:val="000D3C07"/>
    <w:rsid w:val="000D3C2D"/>
    <w:rsid w:val="000D4014"/>
    <w:rsid w:val="000D4100"/>
    <w:rsid w:val="000D44BC"/>
    <w:rsid w:val="000D475E"/>
    <w:rsid w:val="000D4B19"/>
    <w:rsid w:val="000D4BCA"/>
    <w:rsid w:val="000D4C54"/>
    <w:rsid w:val="000D4F69"/>
    <w:rsid w:val="000D5065"/>
    <w:rsid w:val="000D5122"/>
    <w:rsid w:val="000D5214"/>
    <w:rsid w:val="000D535F"/>
    <w:rsid w:val="000D557F"/>
    <w:rsid w:val="000D577F"/>
    <w:rsid w:val="000D5954"/>
    <w:rsid w:val="000D5F59"/>
    <w:rsid w:val="000D5FA4"/>
    <w:rsid w:val="000D620B"/>
    <w:rsid w:val="000D63D7"/>
    <w:rsid w:val="000D6407"/>
    <w:rsid w:val="000D6777"/>
    <w:rsid w:val="000D6996"/>
    <w:rsid w:val="000D6C0D"/>
    <w:rsid w:val="000D6C12"/>
    <w:rsid w:val="000D6CEE"/>
    <w:rsid w:val="000D6DB5"/>
    <w:rsid w:val="000D6F25"/>
    <w:rsid w:val="000D7049"/>
    <w:rsid w:val="000D7090"/>
    <w:rsid w:val="000D7358"/>
    <w:rsid w:val="000D73F9"/>
    <w:rsid w:val="000D76BC"/>
    <w:rsid w:val="000D775A"/>
    <w:rsid w:val="000D7932"/>
    <w:rsid w:val="000D7A26"/>
    <w:rsid w:val="000D7BF9"/>
    <w:rsid w:val="000D7CAC"/>
    <w:rsid w:val="000D7CC5"/>
    <w:rsid w:val="000D7E4D"/>
    <w:rsid w:val="000D7E5E"/>
    <w:rsid w:val="000D7F35"/>
    <w:rsid w:val="000D7F7D"/>
    <w:rsid w:val="000E00FF"/>
    <w:rsid w:val="000E04C2"/>
    <w:rsid w:val="000E07DF"/>
    <w:rsid w:val="000E0808"/>
    <w:rsid w:val="000E0843"/>
    <w:rsid w:val="000E0A59"/>
    <w:rsid w:val="000E0B4D"/>
    <w:rsid w:val="000E0C2B"/>
    <w:rsid w:val="000E0FB4"/>
    <w:rsid w:val="000E0FE2"/>
    <w:rsid w:val="000E10E2"/>
    <w:rsid w:val="000E112E"/>
    <w:rsid w:val="000E1136"/>
    <w:rsid w:val="000E12E6"/>
    <w:rsid w:val="000E13DC"/>
    <w:rsid w:val="000E1506"/>
    <w:rsid w:val="000E152B"/>
    <w:rsid w:val="000E1541"/>
    <w:rsid w:val="000E1612"/>
    <w:rsid w:val="000E18CE"/>
    <w:rsid w:val="000E195E"/>
    <w:rsid w:val="000E1A5B"/>
    <w:rsid w:val="000E1CE6"/>
    <w:rsid w:val="000E1E71"/>
    <w:rsid w:val="000E1F33"/>
    <w:rsid w:val="000E1FFC"/>
    <w:rsid w:val="000E2186"/>
    <w:rsid w:val="000E2385"/>
    <w:rsid w:val="000E23B6"/>
    <w:rsid w:val="000E2432"/>
    <w:rsid w:val="000E24E3"/>
    <w:rsid w:val="000E2637"/>
    <w:rsid w:val="000E28FB"/>
    <w:rsid w:val="000E2900"/>
    <w:rsid w:val="000E2A60"/>
    <w:rsid w:val="000E2B42"/>
    <w:rsid w:val="000E2BA8"/>
    <w:rsid w:val="000E30CC"/>
    <w:rsid w:val="000E3108"/>
    <w:rsid w:val="000E32FC"/>
    <w:rsid w:val="000E3529"/>
    <w:rsid w:val="000E35B6"/>
    <w:rsid w:val="000E369D"/>
    <w:rsid w:val="000E3AD2"/>
    <w:rsid w:val="000E3AEF"/>
    <w:rsid w:val="000E3B0F"/>
    <w:rsid w:val="000E3C70"/>
    <w:rsid w:val="000E3CD5"/>
    <w:rsid w:val="000E3DAD"/>
    <w:rsid w:val="000E3E8B"/>
    <w:rsid w:val="000E3EAB"/>
    <w:rsid w:val="000E3F8E"/>
    <w:rsid w:val="000E44AA"/>
    <w:rsid w:val="000E4518"/>
    <w:rsid w:val="000E47B4"/>
    <w:rsid w:val="000E48C7"/>
    <w:rsid w:val="000E4991"/>
    <w:rsid w:val="000E4993"/>
    <w:rsid w:val="000E4B2F"/>
    <w:rsid w:val="000E4BAA"/>
    <w:rsid w:val="000E4D36"/>
    <w:rsid w:val="000E4DCE"/>
    <w:rsid w:val="000E4F47"/>
    <w:rsid w:val="000E4F9C"/>
    <w:rsid w:val="000E5179"/>
    <w:rsid w:val="000E51E2"/>
    <w:rsid w:val="000E5267"/>
    <w:rsid w:val="000E56D1"/>
    <w:rsid w:val="000E5A47"/>
    <w:rsid w:val="000E5B70"/>
    <w:rsid w:val="000E5D2D"/>
    <w:rsid w:val="000E5E09"/>
    <w:rsid w:val="000E5E74"/>
    <w:rsid w:val="000E62E3"/>
    <w:rsid w:val="000E6540"/>
    <w:rsid w:val="000E66B1"/>
    <w:rsid w:val="000E6B91"/>
    <w:rsid w:val="000E6CB3"/>
    <w:rsid w:val="000E6DB2"/>
    <w:rsid w:val="000E6ED1"/>
    <w:rsid w:val="000E6F91"/>
    <w:rsid w:val="000E6FBB"/>
    <w:rsid w:val="000E70EB"/>
    <w:rsid w:val="000E7357"/>
    <w:rsid w:val="000E7540"/>
    <w:rsid w:val="000E75CD"/>
    <w:rsid w:val="000E7788"/>
    <w:rsid w:val="000E79EF"/>
    <w:rsid w:val="000E7A4C"/>
    <w:rsid w:val="000E7DB8"/>
    <w:rsid w:val="000E7DEF"/>
    <w:rsid w:val="000F00F5"/>
    <w:rsid w:val="000F012B"/>
    <w:rsid w:val="000F013D"/>
    <w:rsid w:val="000F0171"/>
    <w:rsid w:val="000F066A"/>
    <w:rsid w:val="000F0691"/>
    <w:rsid w:val="000F078D"/>
    <w:rsid w:val="000F08E3"/>
    <w:rsid w:val="000F0988"/>
    <w:rsid w:val="000F0BDD"/>
    <w:rsid w:val="000F0CDE"/>
    <w:rsid w:val="000F0D37"/>
    <w:rsid w:val="000F0F6E"/>
    <w:rsid w:val="000F0F9E"/>
    <w:rsid w:val="000F0FFC"/>
    <w:rsid w:val="000F1262"/>
    <w:rsid w:val="000F155E"/>
    <w:rsid w:val="000F1783"/>
    <w:rsid w:val="000F1AFF"/>
    <w:rsid w:val="000F1B5E"/>
    <w:rsid w:val="000F1B65"/>
    <w:rsid w:val="000F1BAB"/>
    <w:rsid w:val="000F1C51"/>
    <w:rsid w:val="000F1CA3"/>
    <w:rsid w:val="000F1DE6"/>
    <w:rsid w:val="000F1ED7"/>
    <w:rsid w:val="000F1F66"/>
    <w:rsid w:val="000F20D6"/>
    <w:rsid w:val="000F2DE2"/>
    <w:rsid w:val="000F3315"/>
    <w:rsid w:val="000F33CC"/>
    <w:rsid w:val="000F3579"/>
    <w:rsid w:val="000F376E"/>
    <w:rsid w:val="000F39D5"/>
    <w:rsid w:val="000F3AAB"/>
    <w:rsid w:val="000F3BE2"/>
    <w:rsid w:val="000F3C70"/>
    <w:rsid w:val="000F3E5A"/>
    <w:rsid w:val="000F406F"/>
    <w:rsid w:val="000F40DD"/>
    <w:rsid w:val="000F420A"/>
    <w:rsid w:val="000F4484"/>
    <w:rsid w:val="000F4747"/>
    <w:rsid w:val="000F4832"/>
    <w:rsid w:val="000F4969"/>
    <w:rsid w:val="000F4DB6"/>
    <w:rsid w:val="000F505C"/>
    <w:rsid w:val="000F5067"/>
    <w:rsid w:val="000F5225"/>
    <w:rsid w:val="000F5375"/>
    <w:rsid w:val="000F5490"/>
    <w:rsid w:val="000F5829"/>
    <w:rsid w:val="000F5929"/>
    <w:rsid w:val="000F5CCC"/>
    <w:rsid w:val="000F5DB5"/>
    <w:rsid w:val="000F5F96"/>
    <w:rsid w:val="000F60CE"/>
    <w:rsid w:val="000F61B3"/>
    <w:rsid w:val="000F6367"/>
    <w:rsid w:val="000F6382"/>
    <w:rsid w:val="000F65AF"/>
    <w:rsid w:val="000F670A"/>
    <w:rsid w:val="000F67CF"/>
    <w:rsid w:val="000F68F7"/>
    <w:rsid w:val="000F6CF7"/>
    <w:rsid w:val="000F73D7"/>
    <w:rsid w:val="000F7588"/>
    <w:rsid w:val="000F7752"/>
    <w:rsid w:val="000F77B4"/>
    <w:rsid w:val="000F7913"/>
    <w:rsid w:val="000F7999"/>
    <w:rsid w:val="000F7A09"/>
    <w:rsid w:val="000F7AC9"/>
    <w:rsid w:val="000F7AFA"/>
    <w:rsid w:val="000F7B13"/>
    <w:rsid w:val="000F7BA7"/>
    <w:rsid w:val="000F7C5B"/>
    <w:rsid w:val="00100267"/>
    <w:rsid w:val="001003DA"/>
    <w:rsid w:val="001004C1"/>
    <w:rsid w:val="0010052A"/>
    <w:rsid w:val="00100951"/>
    <w:rsid w:val="00100AAD"/>
    <w:rsid w:val="001011DC"/>
    <w:rsid w:val="001014E6"/>
    <w:rsid w:val="001015FA"/>
    <w:rsid w:val="00101856"/>
    <w:rsid w:val="001018D6"/>
    <w:rsid w:val="001019C7"/>
    <w:rsid w:val="00101A17"/>
    <w:rsid w:val="00101B1F"/>
    <w:rsid w:val="00101CB8"/>
    <w:rsid w:val="00101D01"/>
    <w:rsid w:val="00101F4D"/>
    <w:rsid w:val="00101FDA"/>
    <w:rsid w:val="001020C8"/>
    <w:rsid w:val="001024D6"/>
    <w:rsid w:val="00102812"/>
    <w:rsid w:val="0010290F"/>
    <w:rsid w:val="00102935"/>
    <w:rsid w:val="00102B6E"/>
    <w:rsid w:val="00102BCB"/>
    <w:rsid w:val="00102D55"/>
    <w:rsid w:val="00102E03"/>
    <w:rsid w:val="00102F55"/>
    <w:rsid w:val="00103009"/>
    <w:rsid w:val="001033E8"/>
    <w:rsid w:val="00103407"/>
    <w:rsid w:val="00103479"/>
    <w:rsid w:val="001034FB"/>
    <w:rsid w:val="001038F6"/>
    <w:rsid w:val="00103932"/>
    <w:rsid w:val="00103A26"/>
    <w:rsid w:val="00103B8F"/>
    <w:rsid w:val="00103C73"/>
    <w:rsid w:val="00103C76"/>
    <w:rsid w:val="0010420C"/>
    <w:rsid w:val="0010420F"/>
    <w:rsid w:val="00104262"/>
    <w:rsid w:val="00104350"/>
    <w:rsid w:val="001044A4"/>
    <w:rsid w:val="0010459B"/>
    <w:rsid w:val="001046CB"/>
    <w:rsid w:val="001047AF"/>
    <w:rsid w:val="0010485E"/>
    <w:rsid w:val="00104998"/>
    <w:rsid w:val="00104D72"/>
    <w:rsid w:val="00104DBB"/>
    <w:rsid w:val="00104E3B"/>
    <w:rsid w:val="00105037"/>
    <w:rsid w:val="00105192"/>
    <w:rsid w:val="001052AD"/>
    <w:rsid w:val="001054DE"/>
    <w:rsid w:val="00105ADE"/>
    <w:rsid w:val="00105B78"/>
    <w:rsid w:val="00105C55"/>
    <w:rsid w:val="00105D5A"/>
    <w:rsid w:val="001060C0"/>
    <w:rsid w:val="00106555"/>
    <w:rsid w:val="001065EF"/>
    <w:rsid w:val="00106615"/>
    <w:rsid w:val="00106B9B"/>
    <w:rsid w:val="00106CA7"/>
    <w:rsid w:val="00106E3E"/>
    <w:rsid w:val="001070E8"/>
    <w:rsid w:val="001073BF"/>
    <w:rsid w:val="001073EC"/>
    <w:rsid w:val="001073F3"/>
    <w:rsid w:val="001076EC"/>
    <w:rsid w:val="001077E8"/>
    <w:rsid w:val="001077EC"/>
    <w:rsid w:val="00107CFB"/>
    <w:rsid w:val="00107E93"/>
    <w:rsid w:val="00107ED2"/>
    <w:rsid w:val="0011016B"/>
    <w:rsid w:val="001106FE"/>
    <w:rsid w:val="001107C3"/>
    <w:rsid w:val="00110F3D"/>
    <w:rsid w:val="001113A5"/>
    <w:rsid w:val="001114EC"/>
    <w:rsid w:val="00111612"/>
    <w:rsid w:val="00111764"/>
    <w:rsid w:val="0011179F"/>
    <w:rsid w:val="0011180A"/>
    <w:rsid w:val="001119A3"/>
    <w:rsid w:val="00111DB1"/>
    <w:rsid w:val="00111E34"/>
    <w:rsid w:val="00111F5C"/>
    <w:rsid w:val="0011207B"/>
    <w:rsid w:val="00112145"/>
    <w:rsid w:val="00112231"/>
    <w:rsid w:val="00112307"/>
    <w:rsid w:val="00112354"/>
    <w:rsid w:val="00112382"/>
    <w:rsid w:val="00112390"/>
    <w:rsid w:val="001123D6"/>
    <w:rsid w:val="001123F2"/>
    <w:rsid w:val="001124E1"/>
    <w:rsid w:val="0011251C"/>
    <w:rsid w:val="00112751"/>
    <w:rsid w:val="0011291E"/>
    <w:rsid w:val="00112A63"/>
    <w:rsid w:val="00112A6C"/>
    <w:rsid w:val="00112B8A"/>
    <w:rsid w:val="00112DAA"/>
    <w:rsid w:val="00112E76"/>
    <w:rsid w:val="00112F9C"/>
    <w:rsid w:val="0011305F"/>
    <w:rsid w:val="00113064"/>
    <w:rsid w:val="001131D2"/>
    <w:rsid w:val="001132D9"/>
    <w:rsid w:val="0011338C"/>
    <w:rsid w:val="001134A6"/>
    <w:rsid w:val="00113640"/>
    <w:rsid w:val="001137C4"/>
    <w:rsid w:val="00113D53"/>
    <w:rsid w:val="00113DCE"/>
    <w:rsid w:val="00113E92"/>
    <w:rsid w:val="00114069"/>
    <w:rsid w:val="001141A6"/>
    <w:rsid w:val="001141F4"/>
    <w:rsid w:val="00114295"/>
    <w:rsid w:val="0011449A"/>
    <w:rsid w:val="00114622"/>
    <w:rsid w:val="0011481E"/>
    <w:rsid w:val="00114A87"/>
    <w:rsid w:val="00114D04"/>
    <w:rsid w:val="00114D9B"/>
    <w:rsid w:val="001154BD"/>
    <w:rsid w:val="00115762"/>
    <w:rsid w:val="00115937"/>
    <w:rsid w:val="0011598E"/>
    <w:rsid w:val="00115B19"/>
    <w:rsid w:val="00115CF9"/>
    <w:rsid w:val="00115EDC"/>
    <w:rsid w:val="001161B2"/>
    <w:rsid w:val="00116456"/>
    <w:rsid w:val="001164BE"/>
    <w:rsid w:val="0011711A"/>
    <w:rsid w:val="001172CE"/>
    <w:rsid w:val="001172E5"/>
    <w:rsid w:val="001173AD"/>
    <w:rsid w:val="00117747"/>
    <w:rsid w:val="00117882"/>
    <w:rsid w:val="001179CD"/>
    <w:rsid w:val="001179D8"/>
    <w:rsid w:val="00117C8F"/>
    <w:rsid w:val="00120103"/>
    <w:rsid w:val="00120442"/>
    <w:rsid w:val="00120477"/>
    <w:rsid w:val="00120505"/>
    <w:rsid w:val="001205DC"/>
    <w:rsid w:val="00120623"/>
    <w:rsid w:val="00120687"/>
    <w:rsid w:val="00120784"/>
    <w:rsid w:val="00120814"/>
    <w:rsid w:val="00120B45"/>
    <w:rsid w:val="001211A4"/>
    <w:rsid w:val="001213FE"/>
    <w:rsid w:val="0012155D"/>
    <w:rsid w:val="001215F5"/>
    <w:rsid w:val="00121781"/>
    <w:rsid w:val="001218B9"/>
    <w:rsid w:val="001219E6"/>
    <w:rsid w:val="00121D67"/>
    <w:rsid w:val="00122962"/>
    <w:rsid w:val="00122AE3"/>
    <w:rsid w:val="00122B95"/>
    <w:rsid w:val="00122C1F"/>
    <w:rsid w:val="001231E2"/>
    <w:rsid w:val="001232D4"/>
    <w:rsid w:val="00123455"/>
    <w:rsid w:val="0012359D"/>
    <w:rsid w:val="001238F3"/>
    <w:rsid w:val="001239B6"/>
    <w:rsid w:val="001239CF"/>
    <w:rsid w:val="001239FA"/>
    <w:rsid w:val="00123AA3"/>
    <w:rsid w:val="00123B4F"/>
    <w:rsid w:val="00123BF8"/>
    <w:rsid w:val="0012403F"/>
    <w:rsid w:val="0012408A"/>
    <w:rsid w:val="00124122"/>
    <w:rsid w:val="0012434D"/>
    <w:rsid w:val="001244D3"/>
    <w:rsid w:val="00124875"/>
    <w:rsid w:val="001249A2"/>
    <w:rsid w:val="00124A66"/>
    <w:rsid w:val="00124BBD"/>
    <w:rsid w:val="00124DDE"/>
    <w:rsid w:val="00124DE0"/>
    <w:rsid w:val="00124E82"/>
    <w:rsid w:val="00124FD6"/>
    <w:rsid w:val="0012503A"/>
    <w:rsid w:val="00125106"/>
    <w:rsid w:val="00125292"/>
    <w:rsid w:val="00125600"/>
    <w:rsid w:val="001256C3"/>
    <w:rsid w:val="0012596B"/>
    <w:rsid w:val="001259A9"/>
    <w:rsid w:val="00125ABA"/>
    <w:rsid w:val="00125D09"/>
    <w:rsid w:val="00125EDC"/>
    <w:rsid w:val="00126201"/>
    <w:rsid w:val="00126339"/>
    <w:rsid w:val="0012648D"/>
    <w:rsid w:val="001264C6"/>
    <w:rsid w:val="00126683"/>
    <w:rsid w:val="0012686B"/>
    <w:rsid w:val="001268AD"/>
    <w:rsid w:val="00126970"/>
    <w:rsid w:val="00126A18"/>
    <w:rsid w:val="00126A8C"/>
    <w:rsid w:val="00126D10"/>
    <w:rsid w:val="00126D65"/>
    <w:rsid w:val="0012713F"/>
    <w:rsid w:val="00127149"/>
    <w:rsid w:val="0012716B"/>
    <w:rsid w:val="001271DC"/>
    <w:rsid w:val="001273EB"/>
    <w:rsid w:val="001275B0"/>
    <w:rsid w:val="001275DC"/>
    <w:rsid w:val="001275F8"/>
    <w:rsid w:val="001275F9"/>
    <w:rsid w:val="0012761B"/>
    <w:rsid w:val="001277E3"/>
    <w:rsid w:val="0012788F"/>
    <w:rsid w:val="00127898"/>
    <w:rsid w:val="00127941"/>
    <w:rsid w:val="0012799D"/>
    <w:rsid w:val="00127A29"/>
    <w:rsid w:val="00127AA5"/>
    <w:rsid w:val="00127D1F"/>
    <w:rsid w:val="00127F40"/>
    <w:rsid w:val="00130059"/>
    <w:rsid w:val="001301AB"/>
    <w:rsid w:val="00130253"/>
    <w:rsid w:val="0013026C"/>
    <w:rsid w:val="00130705"/>
    <w:rsid w:val="001307D3"/>
    <w:rsid w:val="001308FD"/>
    <w:rsid w:val="00130A4A"/>
    <w:rsid w:val="00130CF3"/>
    <w:rsid w:val="00130DC3"/>
    <w:rsid w:val="001311A3"/>
    <w:rsid w:val="001312B6"/>
    <w:rsid w:val="001312D4"/>
    <w:rsid w:val="00131318"/>
    <w:rsid w:val="00131426"/>
    <w:rsid w:val="00131781"/>
    <w:rsid w:val="001317A8"/>
    <w:rsid w:val="00131B58"/>
    <w:rsid w:val="00131D8B"/>
    <w:rsid w:val="0013205A"/>
    <w:rsid w:val="001320D5"/>
    <w:rsid w:val="001321E0"/>
    <w:rsid w:val="001321E2"/>
    <w:rsid w:val="0013238F"/>
    <w:rsid w:val="0013250C"/>
    <w:rsid w:val="00132705"/>
    <w:rsid w:val="00132711"/>
    <w:rsid w:val="00132F97"/>
    <w:rsid w:val="001331EB"/>
    <w:rsid w:val="00133238"/>
    <w:rsid w:val="001332DE"/>
    <w:rsid w:val="0013373C"/>
    <w:rsid w:val="00133C94"/>
    <w:rsid w:val="00133E11"/>
    <w:rsid w:val="00133E31"/>
    <w:rsid w:val="00133F85"/>
    <w:rsid w:val="0013405B"/>
    <w:rsid w:val="001343FA"/>
    <w:rsid w:val="00134422"/>
    <w:rsid w:val="00134569"/>
    <w:rsid w:val="00134671"/>
    <w:rsid w:val="001346F0"/>
    <w:rsid w:val="00134B4D"/>
    <w:rsid w:val="00134BF6"/>
    <w:rsid w:val="00134D02"/>
    <w:rsid w:val="00134EC3"/>
    <w:rsid w:val="00134F98"/>
    <w:rsid w:val="00134F9B"/>
    <w:rsid w:val="00135074"/>
    <w:rsid w:val="001350E7"/>
    <w:rsid w:val="0013511E"/>
    <w:rsid w:val="0013513F"/>
    <w:rsid w:val="0013517A"/>
    <w:rsid w:val="001353D8"/>
    <w:rsid w:val="001356D9"/>
    <w:rsid w:val="00135748"/>
    <w:rsid w:val="0013584F"/>
    <w:rsid w:val="00135927"/>
    <w:rsid w:val="00135961"/>
    <w:rsid w:val="00135A7E"/>
    <w:rsid w:val="00135C49"/>
    <w:rsid w:val="00135C73"/>
    <w:rsid w:val="00135E34"/>
    <w:rsid w:val="00135EB7"/>
    <w:rsid w:val="00135F31"/>
    <w:rsid w:val="00136016"/>
    <w:rsid w:val="00136167"/>
    <w:rsid w:val="0013626F"/>
    <w:rsid w:val="001366EA"/>
    <w:rsid w:val="00136899"/>
    <w:rsid w:val="001368F2"/>
    <w:rsid w:val="00136979"/>
    <w:rsid w:val="00136AAC"/>
    <w:rsid w:val="00136B7D"/>
    <w:rsid w:val="00136BC7"/>
    <w:rsid w:val="00136F51"/>
    <w:rsid w:val="0013715C"/>
    <w:rsid w:val="00137361"/>
    <w:rsid w:val="001373B9"/>
    <w:rsid w:val="001373E8"/>
    <w:rsid w:val="00137479"/>
    <w:rsid w:val="00137501"/>
    <w:rsid w:val="00137883"/>
    <w:rsid w:val="00137964"/>
    <w:rsid w:val="00137B82"/>
    <w:rsid w:val="00137C2D"/>
    <w:rsid w:val="00137C6F"/>
    <w:rsid w:val="00137FAA"/>
    <w:rsid w:val="00137FED"/>
    <w:rsid w:val="001401BC"/>
    <w:rsid w:val="00140202"/>
    <w:rsid w:val="00140254"/>
    <w:rsid w:val="00140304"/>
    <w:rsid w:val="00140324"/>
    <w:rsid w:val="001403AF"/>
    <w:rsid w:val="001404CC"/>
    <w:rsid w:val="001405BA"/>
    <w:rsid w:val="00140A69"/>
    <w:rsid w:val="00140A70"/>
    <w:rsid w:val="00140B2A"/>
    <w:rsid w:val="00140B77"/>
    <w:rsid w:val="00140D1C"/>
    <w:rsid w:val="00140E62"/>
    <w:rsid w:val="00140E8E"/>
    <w:rsid w:val="00140F26"/>
    <w:rsid w:val="00140F45"/>
    <w:rsid w:val="00141043"/>
    <w:rsid w:val="001413BD"/>
    <w:rsid w:val="001413DD"/>
    <w:rsid w:val="0014152E"/>
    <w:rsid w:val="00141564"/>
    <w:rsid w:val="00141569"/>
    <w:rsid w:val="001417CF"/>
    <w:rsid w:val="00141893"/>
    <w:rsid w:val="00141A95"/>
    <w:rsid w:val="00141C67"/>
    <w:rsid w:val="00141E21"/>
    <w:rsid w:val="00141F22"/>
    <w:rsid w:val="001420A3"/>
    <w:rsid w:val="001421C6"/>
    <w:rsid w:val="00142227"/>
    <w:rsid w:val="0014224C"/>
    <w:rsid w:val="001423C5"/>
    <w:rsid w:val="001424C8"/>
    <w:rsid w:val="001425C6"/>
    <w:rsid w:val="0014263E"/>
    <w:rsid w:val="00142671"/>
    <w:rsid w:val="00142721"/>
    <w:rsid w:val="001427D1"/>
    <w:rsid w:val="00142881"/>
    <w:rsid w:val="001429ED"/>
    <w:rsid w:val="00142AEE"/>
    <w:rsid w:val="00142C66"/>
    <w:rsid w:val="00142FAE"/>
    <w:rsid w:val="00143215"/>
    <w:rsid w:val="00143252"/>
    <w:rsid w:val="001432B8"/>
    <w:rsid w:val="00143338"/>
    <w:rsid w:val="0014342B"/>
    <w:rsid w:val="00143512"/>
    <w:rsid w:val="0014365C"/>
    <w:rsid w:val="00143BB4"/>
    <w:rsid w:val="00143D03"/>
    <w:rsid w:val="00143D12"/>
    <w:rsid w:val="00143F1A"/>
    <w:rsid w:val="00144064"/>
    <w:rsid w:val="0014413C"/>
    <w:rsid w:val="001441D3"/>
    <w:rsid w:val="001442C3"/>
    <w:rsid w:val="001442FF"/>
    <w:rsid w:val="0014465E"/>
    <w:rsid w:val="0014471F"/>
    <w:rsid w:val="001447E9"/>
    <w:rsid w:val="00144945"/>
    <w:rsid w:val="00144E42"/>
    <w:rsid w:val="00144EB9"/>
    <w:rsid w:val="00144F7A"/>
    <w:rsid w:val="00144FB8"/>
    <w:rsid w:val="00145112"/>
    <w:rsid w:val="00145199"/>
    <w:rsid w:val="001451E7"/>
    <w:rsid w:val="0014539A"/>
    <w:rsid w:val="00145402"/>
    <w:rsid w:val="00145539"/>
    <w:rsid w:val="00145603"/>
    <w:rsid w:val="0014579C"/>
    <w:rsid w:val="001457E7"/>
    <w:rsid w:val="00145806"/>
    <w:rsid w:val="001459A0"/>
    <w:rsid w:val="00145F07"/>
    <w:rsid w:val="001460E9"/>
    <w:rsid w:val="0014626D"/>
    <w:rsid w:val="001462CB"/>
    <w:rsid w:val="001463C4"/>
    <w:rsid w:val="00146489"/>
    <w:rsid w:val="0014651F"/>
    <w:rsid w:val="00146590"/>
    <w:rsid w:val="001466BA"/>
    <w:rsid w:val="001466E1"/>
    <w:rsid w:val="0014672E"/>
    <w:rsid w:val="001467CA"/>
    <w:rsid w:val="00146875"/>
    <w:rsid w:val="001469B3"/>
    <w:rsid w:val="00146BA7"/>
    <w:rsid w:val="00146CA7"/>
    <w:rsid w:val="00146DA1"/>
    <w:rsid w:val="00146DD7"/>
    <w:rsid w:val="00146E18"/>
    <w:rsid w:val="00146E8B"/>
    <w:rsid w:val="00146F34"/>
    <w:rsid w:val="001472D5"/>
    <w:rsid w:val="00147520"/>
    <w:rsid w:val="001479F2"/>
    <w:rsid w:val="00147AB8"/>
    <w:rsid w:val="00147B1C"/>
    <w:rsid w:val="00147D01"/>
    <w:rsid w:val="00147D88"/>
    <w:rsid w:val="0015008D"/>
    <w:rsid w:val="001502EC"/>
    <w:rsid w:val="0015052F"/>
    <w:rsid w:val="0015067B"/>
    <w:rsid w:val="001508B4"/>
    <w:rsid w:val="001508D3"/>
    <w:rsid w:val="00150D5F"/>
    <w:rsid w:val="00150F1B"/>
    <w:rsid w:val="0015104C"/>
    <w:rsid w:val="00151164"/>
    <w:rsid w:val="00151489"/>
    <w:rsid w:val="00151870"/>
    <w:rsid w:val="00151993"/>
    <w:rsid w:val="00151A2D"/>
    <w:rsid w:val="00151A7C"/>
    <w:rsid w:val="00151B4E"/>
    <w:rsid w:val="00151CEC"/>
    <w:rsid w:val="00152000"/>
    <w:rsid w:val="00152206"/>
    <w:rsid w:val="00152287"/>
    <w:rsid w:val="001523DC"/>
    <w:rsid w:val="001524A8"/>
    <w:rsid w:val="001527AD"/>
    <w:rsid w:val="00152807"/>
    <w:rsid w:val="00152A36"/>
    <w:rsid w:val="00152BA1"/>
    <w:rsid w:val="00152C97"/>
    <w:rsid w:val="00152F4C"/>
    <w:rsid w:val="0015317A"/>
    <w:rsid w:val="001534E5"/>
    <w:rsid w:val="0015355B"/>
    <w:rsid w:val="001537A3"/>
    <w:rsid w:val="0015384D"/>
    <w:rsid w:val="001538E1"/>
    <w:rsid w:val="00153B51"/>
    <w:rsid w:val="00153BE7"/>
    <w:rsid w:val="00153DBB"/>
    <w:rsid w:val="00153F71"/>
    <w:rsid w:val="001541A3"/>
    <w:rsid w:val="001542E9"/>
    <w:rsid w:val="001543B2"/>
    <w:rsid w:val="0015450F"/>
    <w:rsid w:val="001548D9"/>
    <w:rsid w:val="0015496C"/>
    <w:rsid w:val="00154984"/>
    <w:rsid w:val="0015499C"/>
    <w:rsid w:val="00154C2A"/>
    <w:rsid w:val="00154E0C"/>
    <w:rsid w:val="00154F7B"/>
    <w:rsid w:val="00155154"/>
    <w:rsid w:val="00155252"/>
    <w:rsid w:val="0015558A"/>
    <w:rsid w:val="001555BE"/>
    <w:rsid w:val="0015567B"/>
    <w:rsid w:val="001557AA"/>
    <w:rsid w:val="00155B36"/>
    <w:rsid w:val="00155BF9"/>
    <w:rsid w:val="00155CC5"/>
    <w:rsid w:val="00155F48"/>
    <w:rsid w:val="00156284"/>
    <w:rsid w:val="00156457"/>
    <w:rsid w:val="001568CE"/>
    <w:rsid w:val="00156953"/>
    <w:rsid w:val="00156C39"/>
    <w:rsid w:val="00156E4C"/>
    <w:rsid w:val="00157036"/>
    <w:rsid w:val="001572BC"/>
    <w:rsid w:val="00157450"/>
    <w:rsid w:val="0015799E"/>
    <w:rsid w:val="001579AA"/>
    <w:rsid w:val="00157D4D"/>
    <w:rsid w:val="00157DF0"/>
    <w:rsid w:val="00157DFD"/>
    <w:rsid w:val="00157E73"/>
    <w:rsid w:val="0016002F"/>
    <w:rsid w:val="0016006C"/>
    <w:rsid w:val="0016010B"/>
    <w:rsid w:val="00160288"/>
    <w:rsid w:val="00160412"/>
    <w:rsid w:val="00160420"/>
    <w:rsid w:val="001604C0"/>
    <w:rsid w:val="00160733"/>
    <w:rsid w:val="00160832"/>
    <w:rsid w:val="00160A01"/>
    <w:rsid w:val="00160A10"/>
    <w:rsid w:val="00160D43"/>
    <w:rsid w:val="00160E31"/>
    <w:rsid w:val="00161538"/>
    <w:rsid w:val="0016173D"/>
    <w:rsid w:val="00161848"/>
    <w:rsid w:val="00161C27"/>
    <w:rsid w:val="00161C29"/>
    <w:rsid w:val="00161C54"/>
    <w:rsid w:val="00161EB9"/>
    <w:rsid w:val="00162281"/>
    <w:rsid w:val="0016264E"/>
    <w:rsid w:val="00162658"/>
    <w:rsid w:val="00162733"/>
    <w:rsid w:val="0016285F"/>
    <w:rsid w:val="001630A4"/>
    <w:rsid w:val="001631E8"/>
    <w:rsid w:val="0016345C"/>
    <w:rsid w:val="001634BC"/>
    <w:rsid w:val="00163562"/>
    <w:rsid w:val="00163640"/>
    <w:rsid w:val="001636A3"/>
    <w:rsid w:val="001636EC"/>
    <w:rsid w:val="00163820"/>
    <w:rsid w:val="00163890"/>
    <w:rsid w:val="0016393C"/>
    <w:rsid w:val="00163A6C"/>
    <w:rsid w:val="00163BFB"/>
    <w:rsid w:val="00163D7B"/>
    <w:rsid w:val="00163E5C"/>
    <w:rsid w:val="00163EB2"/>
    <w:rsid w:val="00163F34"/>
    <w:rsid w:val="00164169"/>
    <w:rsid w:val="00164307"/>
    <w:rsid w:val="001645C4"/>
    <w:rsid w:val="0016492F"/>
    <w:rsid w:val="00164A1D"/>
    <w:rsid w:val="00164E93"/>
    <w:rsid w:val="00165417"/>
    <w:rsid w:val="0016544C"/>
    <w:rsid w:val="0016554C"/>
    <w:rsid w:val="0016571F"/>
    <w:rsid w:val="001657A7"/>
    <w:rsid w:val="001659D4"/>
    <w:rsid w:val="00165FCF"/>
    <w:rsid w:val="00166071"/>
    <w:rsid w:val="001664D5"/>
    <w:rsid w:val="001666F8"/>
    <w:rsid w:val="00166923"/>
    <w:rsid w:val="00166A6B"/>
    <w:rsid w:val="00166B5C"/>
    <w:rsid w:val="00166E1F"/>
    <w:rsid w:val="00166FE3"/>
    <w:rsid w:val="00167063"/>
    <w:rsid w:val="00167237"/>
    <w:rsid w:val="0016764E"/>
    <w:rsid w:val="00167696"/>
    <w:rsid w:val="00167761"/>
    <w:rsid w:val="00167D49"/>
    <w:rsid w:val="00167DFE"/>
    <w:rsid w:val="00167E02"/>
    <w:rsid w:val="00167E7C"/>
    <w:rsid w:val="001700EF"/>
    <w:rsid w:val="0017014E"/>
    <w:rsid w:val="001701F1"/>
    <w:rsid w:val="001702B7"/>
    <w:rsid w:val="001702C2"/>
    <w:rsid w:val="001703FA"/>
    <w:rsid w:val="0017044C"/>
    <w:rsid w:val="00170556"/>
    <w:rsid w:val="00170887"/>
    <w:rsid w:val="001709BA"/>
    <w:rsid w:val="00170DDD"/>
    <w:rsid w:val="00170E50"/>
    <w:rsid w:val="00170ED7"/>
    <w:rsid w:val="00170F42"/>
    <w:rsid w:val="0017173C"/>
    <w:rsid w:val="00171A18"/>
    <w:rsid w:val="00171EBF"/>
    <w:rsid w:val="0017202A"/>
    <w:rsid w:val="001721B9"/>
    <w:rsid w:val="001723CB"/>
    <w:rsid w:val="001723DB"/>
    <w:rsid w:val="00172476"/>
    <w:rsid w:val="001727DA"/>
    <w:rsid w:val="00172846"/>
    <w:rsid w:val="0017287B"/>
    <w:rsid w:val="001728AA"/>
    <w:rsid w:val="00172A78"/>
    <w:rsid w:val="00172C2C"/>
    <w:rsid w:val="00172DB0"/>
    <w:rsid w:val="00172F5C"/>
    <w:rsid w:val="001732B1"/>
    <w:rsid w:val="001732CE"/>
    <w:rsid w:val="0017335A"/>
    <w:rsid w:val="00173369"/>
    <w:rsid w:val="00173383"/>
    <w:rsid w:val="0017386A"/>
    <w:rsid w:val="00173B48"/>
    <w:rsid w:val="00173EBB"/>
    <w:rsid w:val="00173F2A"/>
    <w:rsid w:val="00173F38"/>
    <w:rsid w:val="0017430D"/>
    <w:rsid w:val="00174376"/>
    <w:rsid w:val="0017439B"/>
    <w:rsid w:val="001744E2"/>
    <w:rsid w:val="00174ACF"/>
    <w:rsid w:val="00174C46"/>
    <w:rsid w:val="00174C93"/>
    <w:rsid w:val="00175232"/>
    <w:rsid w:val="00175248"/>
    <w:rsid w:val="0017532E"/>
    <w:rsid w:val="00175506"/>
    <w:rsid w:val="001756EE"/>
    <w:rsid w:val="0017587D"/>
    <w:rsid w:val="00175882"/>
    <w:rsid w:val="001759AF"/>
    <w:rsid w:val="00175DA5"/>
    <w:rsid w:val="00175DBA"/>
    <w:rsid w:val="00175E86"/>
    <w:rsid w:val="001760C6"/>
    <w:rsid w:val="001763D9"/>
    <w:rsid w:val="0017649E"/>
    <w:rsid w:val="00176657"/>
    <w:rsid w:val="001766AA"/>
    <w:rsid w:val="00176A99"/>
    <w:rsid w:val="00176AFB"/>
    <w:rsid w:val="00177093"/>
    <w:rsid w:val="00177398"/>
    <w:rsid w:val="001773ED"/>
    <w:rsid w:val="00177440"/>
    <w:rsid w:val="0017762D"/>
    <w:rsid w:val="001777D4"/>
    <w:rsid w:val="001779DB"/>
    <w:rsid w:val="00177ABD"/>
    <w:rsid w:val="00177B0D"/>
    <w:rsid w:val="00177B3F"/>
    <w:rsid w:val="00177B5B"/>
    <w:rsid w:val="00177B8C"/>
    <w:rsid w:val="00177E95"/>
    <w:rsid w:val="00177FF4"/>
    <w:rsid w:val="00180305"/>
    <w:rsid w:val="00180315"/>
    <w:rsid w:val="00180674"/>
    <w:rsid w:val="00180937"/>
    <w:rsid w:val="00180AFD"/>
    <w:rsid w:val="00180CDF"/>
    <w:rsid w:val="00180F46"/>
    <w:rsid w:val="00180F58"/>
    <w:rsid w:val="0018104C"/>
    <w:rsid w:val="00181272"/>
    <w:rsid w:val="0018136B"/>
    <w:rsid w:val="001813C3"/>
    <w:rsid w:val="00181411"/>
    <w:rsid w:val="00181439"/>
    <w:rsid w:val="001816AF"/>
    <w:rsid w:val="00181788"/>
    <w:rsid w:val="001817BA"/>
    <w:rsid w:val="00181ABB"/>
    <w:rsid w:val="00181B88"/>
    <w:rsid w:val="00181BCE"/>
    <w:rsid w:val="00181BE6"/>
    <w:rsid w:val="00181BEA"/>
    <w:rsid w:val="00181EEC"/>
    <w:rsid w:val="00181F10"/>
    <w:rsid w:val="00181FE0"/>
    <w:rsid w:val="001820C3"/>
    <w:rsid w:val="001822C8"/>
    <w:rsid w:val="0018256F"/>
    <w:rsid w:val="00182655"/>
    <w:rsid w:val="0018282B"/>
    <w:rsid w:val="00182857"/>
    <w:rsid w:val="00182CA8"/>
    <w:rsid w:val="00182DE3"/>
    <w:rsid w:val="00182E98"/>
    <w:rsid w:val="00183325"/>
    <w:rsid w:val="001833D0"/>
    <w:rsid w:val="00183435"/>
    <w:rsid w:val="0018351A"/>
    <w:rsid w:val="00183679"/>
    <w:rsid w:val="00183AB6"/>
    <w:rsid w:val="00183CAC"/>
    <w:rsid w:val="00183E62"/>
    <w:rsid w:val="001840F4"/>
    <w:rsid w:val="00184188"/>
    <w:rsid w:val="0018433A"/>
    <w:rsid w:val="00184434"/>
    <w:rsid w:val="001847A9"/>
    <w:rsid w:val="0018488D"/>
    <w:rsid w:val="001851E0"/>
    <w:rsid w:val="001852B6"/>
    <w:rsid w:val="0018544A"/>
    <w:rsid w:val="00185888"/>
    <w:rsid w:val="001858C5"/>
    <w:rsid w:val="00185AFF"/>
    <w:rsid w:val="00185B15"/>
    <w:rsid w:val="00185C4B"/>
    <w:rsid w:val="00185E87"/>
    <w:rsid w:val="00185FC3"/>
    <w:rsid w:val="001860C4"/>
    <w:rsid w:val="00186164"/>
    <w:rsid w:val="0018625B"/>
    <w:rsid w:val="001863F1"/>
    <w:rsid w:val="00186584"/>
    <w:rsid w:val="00186630"/>
    <w:rsid w:val="00186822"/>
    <w:rsid w:val="00186839"/>
    <w:rsid w:val="00186AF7"/>
    <w:rsid w:val="00186B90"/>
    <w:rsid w:val="00186CFD"/>
    <w:rsid w:val="001874FF"/>
    <w:rsid w:val="00187576"/>
    <w:rsid w:val="00187705"/>
    <w:rsid w:val="001877F0"/>
    <w:rsid w:val="001878DB"/>
    <w:rsid w:val="00187F81"/>
    <w:rsid w:val="00190002"/>
    <w:rsid w:val="00190161"/>
    <w:rsid w:val="0019022F"/>
    <w:rsid w:val="00190290"/>
    <w:rsid w:val="001904C5"/>
    <w:rsid w:val="0019057C"/>
    <w:rsid w:val="00190850"/>
    <w:rsid w:val="00190B43"/>
    <w:rsid w:val="00190BBB"/>
    <w:rsid w:val="00190D15"/>
    <w:rsid w:val="00190F9D"/>
    <w:rsid w:val="00191157"/>
    <w:rsid w:val="0019126D"/>
    <w:rsid w:val="001918D4"/>
    <w:rsid w:val="001919D7"/>
    <w:rsid w:val="00191A2F"/>
    <w:rsid w:val="00191A71"/>
    <w:rsid w:val="00191E37"/>
    <w:rsid w:val="00191EE3"/>
    <w:rsid w:val="00191F46"/>
    <w:rsid w:val="00191F49"/>
    <w:rsid w:val="00191F59"/>
    <w:rsid w:val="00191FD5"/>
    <w:rsid w:val="00191FF9"/>
    <w:rsid w:val="00192378"/>
    <w:rsid w:val="001924C1"/>
    <w:rsid w:val="00192732"/>
    <w:rsid w:val="00192891"/>
    <w:rsid w:val="001928A7"/>
    <w:rsid w:val="001928AA"/>
    <w:rsid w:val="00192944"/>
    <w:rsid w:val="001929EB"/>
    <w:rsid w:val="00192C60"/>
    <w:rsid w:val="00192CE8"/>
    <w:rsid w:val="00193030"/>
    <w:rsid w:val="00193200"/>
    <w:rsid w:val="001932C2"/>
    <w:rsid w:val="0019337C"/>
    <w:rsid w:val="001934BD"/>
    <w:rsid w:val="00193657"/>
    <w:rsid w:val="001936B5"/>
    <w:rsid w:val="00193821"/>
    <w:rsid w:val="001938BF"/>
    <w:rsid w:val="00193F24"/>
    <w:rsid w:val="001940DC"/>
    <w:rsid w:val="00194212"/>
    <w:rsid w:val="00194242"/>
    <w:rsid w:val="00194313"/>
    <w:rsid w:val="00194403"/>
    <w:rsid w:val="001944C9"/>
    <w:rsid w:val="001948A0"/>
    <w:rsid w:val="00194954"/>
    <w:rsid w:val="00194986"/>
    <w:rsid w:val="00194A7D"/>
    <w:rsid w:val="00194B69"/>
    <w:rsid w:val="00194D34"/>
    <w:rsid w:val="00195140"/>
    <w:rsid w:val="001951AA"/>
    <w:rsid w:val="0019522F"/>
    <w:rsid w:val="001953DE"/>
    <w:rsid w:val="00195525"/>
    <w:rsid w:val="001955F7"/>
    <w:rsid w:val="001958E3"/>
    <w:rsid w:val="00195B28"/>
    <w:rsid w:val="00195DE3"/>
    <w:rsid w:val="00196036"/>
    <w:rsid w:val="00196153"/>
    <w:rsid w:val="00196278"/>
    <w:rsid w:val="001962DE"/>
    <w:rsid w:val="00196436"/>
    <w:rsid w:val="00196AEF"/>
    <w:rsid w:val="00196CD1"/>
    <w:rsid w:val="00196D0A"/>
    <w:rsid w:val="00196D40"/>
    <w:rsid w:val="00196D93"/>
    <w:rsid w:val="00196EDB"/>
    <w:rsid w:val="00196F82"/>
    <w:rsid w:val="00197197"/>
    <w:rsid w:val="001973CC"/>
    <w:rsid w:val="0019763D"/>
    <w:rsid w:val="0019789D"/>
    <w:rsid w:val="0019790A"/>
    <w:rsid w:val="00197AFF"/>
    <w:rsid w:val="00197CE2"/>
    <w:rsid w:val="00197D6B"/>
    <w:rsid w:val="00197D8D"/>
    <w:rsid w:val="00197DF9"/>
    <w:rsid w:val="00197E52"/>
    <w:rsid w:val="00197E76"/>
    <w:rsid w:val="00197EE6"/>
    <w:rsid w:val="001A00BE"/>
    <w:rsid w:val="001A0230"/>
    <w:rsid w:val="001A026A"/>
    <w:rsid w:val="001A0581"/>
    <w:rsid w:val="001A0739"/>
    <w:rsid w:val="001A0833"/>
    <w:rsid w:val="001A08DD"/>
    <w:rsid w:val="001A08F9"/>
    <w:rsid w:val="001A0A26"/>
    <w:rsid w:val="001A0DE1"/>
    <w:rsid w:val="001A0F9E"/>
    <w:rsid w:val="001A103D"/>
    <w:rsid w:val="001A1381"/>
    <w:rsid w:val="001A179A"/>
    <w:rsid w:val="001A1ADE"/>
    <w:rsid w:val="001A1B3F"/>
    <w:rsid w:val="001A1BF5"/>
    <w:rsid w:val="001A1E6C"/>
    <w:rsid w:val="001A20A8"/>
    <w:rsid w:val="001A22A1"/>
    <w:rsid w:val="001A253B"/>
    <w:rsid w:val="001A2684"/>
    <w:rsid w:val="001A2738"/>
    <w:rsid w:val="001A288E"/>
    <w:rsid w:val="001A29C8"/>
    <w:rsid w:val="001A2B69"/>
    <w:rsid w:val="001A2B95"/>
    <w:rsid w:val="001A2E53"/>
    <w:rsid w:val="001A2F23"/>
    <w:rsid w:val="001A300A"/>
    <w:rsid w:val="001A30D2"/>
    <w:rsid w:val="001A31AA"/>
    <w:rsid w:val="001A33D5"/>
    <w:rsid w:val="001A3D4D"/>
    <w:rsid w:val="001A3FCC"/>
    <w:rsid w:val="001A4108"/>
    <w:rsid w:val="001A421E"/>
    <w:rsid w:val="001A42D5"/>
    <w:rsid w:val="001A46FB"/>
    <w:rsid w:val="001A4759"/>
    <w:rsid w:val="001A4840"/>
    <w:rsid w:val="001A4A76"/>
    <w:rsid w:val="001A4A90"/>
    <w:rsid w:val="001A4E83"/>
    <w:rsid w:val="001A4F79"/>
    <w:rsid w:val="001A4FAC"/>
    <w:rsid w:val="001A5271"/>
    <w:rsid w:val="001A533A"/>
    <w:rsid w:val="001A543E"/>
    <w:rsid w:val="001A5584"/>
    <w:rsid w:val="001A579F"/>
    <w:rsid w:val="001A59B4"/>
    <w:rsid w:val="001A59BA"/>
    <w:rsid w:val="001A59E3"/>
    <w:rsid w:val="001A5D14"/>
    <w:rsid w:val="001A5D7E"/>
    <w:rsid w:val="001A5DB5"/>
    <w:rsid w:val="001A5E47"/>
    <w:rsid w:val="001A5FD3"/>
    <w:rsid w:val="001A61F1"/>
    <w:rsid w:val="001A62CC"/>
    <w:rsid w:val="001A63EE"/>
    <w:rsid w:val="001A6414"/>
    <w:rsid w:val="001A6692"/>
    <w:rsid w:val="001A67AE"/>
    <w:rsid w:val="001A68A2"/>
    <w:rsid w:val="001A68B8"/>
    <w:rsid w:val="001A6A31"/>
    <w:rsid w:val="001A6A61"/>
    <w:rsid w:val="001A6AB6"/>
    <w:rsid w:val="001A6AB7"/>
    <w:rsid w:val="001A6AC5"/>
    <w:rsid w:val="001A6ACA"/>
    <w:rsid w:val="001A6E14"/>
    <w:rsid w:val="001A6F01"/>
    <w:rsid w:val="001A7002"/>
    <w:rsid w:val="001A721D"/>
    <w:rsid w:val="001A7272"/>
    <w:rsid w:val="001A72FB"/>
    <w:rsid w:val="001A7386"/>
    <w:rsid w:val="001A74AE"/>
    <w:rsid w:val="001A7506"/>
    <w:rsid w:val="001A7878"/>
    <w:rsid w:val="001A7B2D"/>
    <w:rsid w:val="001A7E12"/>
    <w:rsid w:val="001B006C"/>
    <w:rsid w:val="001B02E5"/>
    <w:rsid w:val="001B0328"/>
    <w:rsid w:val="001B035F"/>
    <w:rsid w:val="001B045F"/>
    <w:rsid w:val="001B052F"/>
    <w:rsid w:val="001B063A"/>
    <w:rsid w:val="001B067F"/>
    <w:rsid w:val="001B07C3"/>
    <w:rsid w:val="001B0821"/>
    <w:rsid w:val="001B09FF"/>
    <w:rsid w:val="001B0B15"/>
    <w:rsid w:val="001B0C1D"/>
    <w:rsid w:val="001B0C88"/>
    <w:rsid w:val="001B0CFA"/>
    <w:rsid w:val="001B0EB0"/>
    <w:rsid w:val="001B0EE2"/>
    <w:rsid w:val="001B0F4C"/>
    <w:rsid w:val="001B1173"/>
    <w:rsid w:val="001B12E0"/>
    <w:rsid w:val="001B1713"/>
    <w:rsid w:val="001B1A03"/>
    <w:rsid w:val="001B1A41"/>
    <w:rsid w:val="001B1D74"/>
    <w:rsid w:val="001B1DDD"/>
    <w:rsid w:val="001B1E5E"/>
    <w:rsid w:val="001B1E7C"/>
    <w:rsid w:val="001B1F6B"/>
    <w:rsid w:val="001B2256"/>
    <w:rsid w:val="001B2267"/>
    <w:rsid w:val="001B25C0"/>
    <w:rsid w:val="001B2959"/>
    <w:rsid w:val="001B2C32"/>
    <w:rsid w:val="001B2ECF"/>
    <w:rsid w:val="001B2F25"/>
    <w:rsid w:val="001B3104"/>
    <w:rsid w:val="001B3142"/>
    <w:rsid w:val="001B3152"/>
    <w:rsid w:val="001B3154"/>
    <w:rsid w:val="001B33B9"/>
    <w:rsid w:val="001B350A"/>
    <w:rsid w:val="001B37BC"/>
    <w:rsid w:val="001B37D5"/>
    <w:rsid w:val="001B37D6"/>
    <w:rsid w:val="001B3CB6"/>
    <w:rsid w:val="001B401D"/>
    <w:rsid w:val="001B4130"/>
    <w:rsid w:val="001B4222"/>
    <w:rsid w:val="001B443D"/>
    <w:rsid w:val="001B462A"/>
    <w:rsid w:val="001B4682"/>
    <w:rsid w:val="001B46C7"/>
    <w:rsid w:val="001B4729"/>
    <w:rsid w:val="001B482D"/>
    <w:rsid w:val="001B48C4"/>
    <w:rsid w:val="001B4D66"/>
    <w:rsid w:val="001B4F6E"/>
    <w:rsid w:val="001B50F7"/>
    <w:rsid w:val="001B50FA"/>
    <w:rsid w:val="001B54C5"/>
    <w:rsid w:val="001B5915"/>
    <w:rsid w:val="001B59B1"/>
    <w:rsid w:val="001B59DF"/>
    <w:rsid w:val="001B5A46"/>
    <w:rsid w:val="001B5A50"/>
    <w:rsid w:val="001B5E87"/>
    <w:rsid w:val="001B5F56"/>
    <w:rsid w:val="001B6205"/>
    <w:rsid w:val="001B6386"/>
    <w:rsid w:val="001B63B2"/>
    <w:rsid w:val="001B63FC"/>
    <w:rsid w:val="001B6714"/>
    <w:rsid w:val="001B6AA6"/>
    <w:rsid w:val="001B6B32"/>
    <w:rsid w:val="001B6F52"/>
    <w:rsid w:val="001B6F73"/>
    <w:rsid w:val="001B6FD7"/>
    <w:rsid w:val="001B700D"/>
    <w:rsid w:val="001B704C"/>
    <w:rsid w:val="001B7252"/>
    <w:rsid w:val="001B7369"/>
    <w:rsid w:val="001B74C3"/>
    <w:rsid w:val="001B76FF"/>
    <w:rsid w:val="001B7769"/>
    <w:rsid w:val="001B776B"/>
    <w:rsid w:val="001B77FC"/>
    <w:rsid w:val="001B7834"/>
    <w:rsid w:val="001B7A85"/>
    <w:rsid w:val="001B7BEE"/>
    <w:rsid w:val="001B7CA9"/>
    <w:rsid w:val="001B7E98"/>
    <w:rsid w:val="001B7ED7"/>
    <w:rsid w:val="001B7EF5"/>
    <w:rsid w:val="001C01FC"/>
    <w:rsid w:val="001C02CA"/>
    <w:rsid w:val="001C033B"/>
    <w:rsid w:val="001C0BC6"/>
    <w:rsid w:val="001C0CE0"/>
    <w:rsid w:val="001C0FEA"/>
    <w:rsid w:val="001C1033"/>
    <w:rsid w:val="001C1138"/>
    <w:rsid w:val="001C117D"/>
    <w:rsid w:val="001C1290"/>
    <w:rsid w:val="001C12D0"/>
    <w:rsid w:val="001C133E"/>
    <w:rsid w:val="001C17DF"/>
    <w:rsid w:val="001C197B"/>
    <w:rsid w:val="001C19CB"/>
    <w:rsid w:val="001C1B8B"/>
    <w:rsid w:val="001C1F82"/>
    <w:rsid w:val="001C1FF2"/>
    <w:rsid w:val="001C2065"/>
    <w:rsid w:val="001C24D2"/>
    <w:rsid w:val="001C24EA"/>
    <w:rsid w:val="001C252E"/>
    <w:rsid w:val="001C25AD"/>
    <w:rsid w:val="001C25CF"/>
    <w:rsid w:val="001C26A6"/>
    <w:rsid w:val="001C2FEE"/>
    <w:rsid w:val="001C3476"/>
    <w:rsid w:val="001C36BB"/>
    <w:rsid w:val="001C37A4"/>
    <w:rsid w:val="001C3813"/>
    <w:rsid w:val="001C3D3B"/>
    <w:rsid w:val="001C3DB1"/>
    <w:rsid w:val="001C3E9D"/>
    <w:rsid w:val="001C4087"/>
    <w:rsid w:val="001C43F6"/>
    <w:rsid w:val="001C4521"/>
    <w:rsid w:val="001C47B5"/>
    <w:rsid w:val="001C4B1B"/>
    <w:rsid w:val="001C4B53"/>
    <w:rsid w:val="001C4C44"/>
    <w:rsid w:val="001C4F51"/>
    <w:rsid w:val="001C5120"/>
    <w:rsid w:val="001C54B5"/>
    <w:rsid w:val="001C5791"/>
    <w:rsid w:val="001C58DE"/>
    <w:rsid w:val="001C5F1B"/>
    <w:rsid w:val="001C6467"/>
    <w:rsid w:val="001C6557"/>
    <w:rsid w:val="001C65DB"/>
    <w:rsid w:val="001C65FD"/>
    <w:rsid w:val="001C66BB"/>
    <w:rsid w:val="001C66D1"/>
    <w:rsid w:val="001C687F"/>
    <w:rsid w:val="001C68C8"/>
    <w:rsid w:val="001C69E0"/>
    <w:rsid w:val="001C6B6F"/>
    <w:rsid w:val="001C6E3F"/>
    <w:rsid w:val="001C6FFE"/>
    <w:rsid w:val="001C7085"/>
    <w:rsid w:val="001C72F1"/>
    <w:rsid w:val="001C7595"/>
    <w:rsid w:val="001C769D"/>
    <w:rsid w:val="001C7B96"/>
    <w:rsid w:val="001C7EE2"/>
    <w:rsid w:val="001D0228"/>
    <w:rsid w:val="001D0324"/>
    <w:rsid w:val="001D0349"/>
    <w:rsid w:val="001D0B15"/>
    <w:rsid w:val="001D0C12"/>
    <w:rsid w:val="001D0CDE"/>
    <w:rsid w:val="001D0D03"/>
    <w:rsid w:val="001D0E01"/>
    <w:rsid w:val="001D0F00"/>
    <w:rsid w:val="001D10B7"/>
    <w:rsid w:val="001D10BA"/>
    <w:rsid w:val="001D11CA"/>
    <w:rsid w:val="001D17D6"/>
    <w:rsid w:val="001D1899"/>
    <w:rsid w:val="001D1941"/>
    <w:rsid w:val="001D195E"/>
    <w:rsid w:val="001D1AE8"/>
    <w:rsid w:val="001D1BA6"/>
    <w:rsid w:val="001D1C7C"/>
    <w:rsid w:val="001D1C9F"/>
    <w:rsid w:val="001D1D26"/>
    <w:rsid w:val="001D1E46"/>
    <w:rsid w:val="001D1E4B"/>
    <w:rsid w:val="001D206A"/>
    <w:rsid w:val="001D2299"/>
    <w:rsid w:val="001D25F2"/>
    <w:rsid w:val="001D2697"/>
    <w:rsid w:val="001D29C9"/>
    <w:rsid w:val="001D2A96"/>
    <w:rsid w:val="001D2D82"/>
    <w:rsid w:val="001D2F17"/>
    <w:rsid w:val="001D2FD3"/>
    <w:rsid w:val="001D2FE6"/>
    <w:rsid w:val="001D30F0"/>
    <w:rsid w:val="001D3116"/>
    <w:rsid w:val="001D324B"/>
    <w:rsid w:val="001D3348"/>
    <w:rsid w:val="001D34C3"/>
    <w:rsid w:val="001D3538"/>
    <w:rsid w:val="001D3633"/>
    <w:rsid w:val="001D366B"/>
    <w:rsid w:val="001D368C"/>
    <w:rsid w:val="001D371C"/>
    <w:rsid w:val="001D38EC"/>
    <w:rsid w:val="001D39AC"/>
    <w:rsid w:val="001D3AEF"/>
    <w:rsid w:val="001D3D01"/>
    <w:rsid w:val="001D3D61"/>
    <w:rsid w:val="001D3D77"/>
    <w:rsid w:val="001D3D94"/>
    <w:rsid w:val="001D408D"/>
    <w:rsid w:val="001D40DD"/>
    <w:rsid w:val="001D4143"/>
    <w:rsid w:val="001D41CD"/>
    <w:rsid w:val="001D427B"/>
    <w:rsid w:val="001D42D6"/>
    <w:rsid w:val="001D446C"/>
    <w:rsid w:val="001D455B"/>
    <w:rsid w:val="001D4592"/>
    <w:rsid w:val="001D45FD"/>
    <w:rsid w:val="001D470A"/>
    <w:rsid w:val="001D4983"/>
    <w:rsid w:val="001D4A4B"/>
    <w:rsid w:val="001D4A54"/>
    <w:rsid w:val="001D4AD9"/>
    <w:rsid w:val="001D4BAB"/>
    <w:rsid w:val="001D4C97"/>
    <w:rsid w:val="001D4D26"/>
    <w:rsid w:val="001D5057"/>
    <w:rsid w:val="001D505B"/>
    <w:rsid w:val="001D5108"/>
    <w:rsid w:val="001D5180"/>
    <w:rsid w:val="001D53C5"/>
    <w:rsid w:val="001D563A"/>
    <w:rsid w:val="001D5732"/>
    <w:rsid w:val="001D5B3D"/>
    <w:rsid w:val="001D5B51"/>
    <w:rsid w:val="001D5C31"/>
    <w:rsid w:val="001D5D8E"/>
    <w:rsid w:val="001D5F8E"/>
    <w:rsid w:val="001D6130"/>
    <w:rsid w:val="001D6153"/>
    <w:rsid w:val="001D63A8"/>
    <w:rsid w:val="001D647D"/>
    <w:rsid w:val="001D6568"/>
    <w:rsid w:val="001D6569"/>
    <w:rsid w:val="001D67C9"/>
    <w:rsid w:val="001D68BF"/>
    <w:rsid w:val="001D6B8B"/>
    <w:rsid w:val="001D6BE0"/>
    <w:rsid w:val="001D6FE6"/>
    <w:rsid w:val="001D7204"/>
    <w:rsid w:val="001D74DF"/>
    <w:rsid w:val="001D7507"/>
    <w:rsid w:val="001D7612"/>
    <w:rsid w:val="001D772D"/>
    <w:rsid w:val="001D78B0"/>
    <w:rsid w:val="001D7C12"/>
    <w:rsid w:val="001D7D42"/>
    <w:rsid w:val="001D7E8B"/>
    <w:rsid w:val="001D7F7B"/>
    <w:rsid w:val="001E0172"/>
    <w:rsid w:val="001E02D5"/>
    <w:rsid w:val="001E0309"/>
    <w:rsid w:val="001E0361"/>
    <w:rsid w:val="001E048D"/>
    <w:rsid w:val="001E0652"/>
    <w:rsid w:val="001E078C"/>
    <w:rsid w:val="001E0AA8"/>
    <w:rsid w:val="001E0D9E"/>
    <w:rsid w:val="001E128A"/>
    <w:rsid w:val="001E16BC"/>
    <w:rsid w:val="001E1956"/>
    <w:rsid w:val="001E1A7E"/>
    <w:rsid w:val="001E1A89"/>
    <w:rsid w:val="001E1CFE"/>
    <w:rsid w:val="001E1D35"/>
    <w:rsid w:val="001E1E06"/>
    <w:rsid w:val="001E1E1A"/>
    <w:rsid w:val="001E2546"/>
    <w:rsid w:val="001E2769"/>
    <w:rsid w:val="001E28A6"/>
    <w:rsid w:val="001E28FF"/>
    <w:rsid w:val="001E2A75"/>
    <w:rsid w:val="001E2C2C"/>
    <w:rsid w:val="001E2CC5"/>
    <w:rsid w:val="001E3066"/>
    <w:rsid w:val="001E33F0"/>
    <w:rsid w:val="001E35C0"/>
    <w:rsid w:val="001E36F3"/>
    <w:rsid w:val="001E3A6C"/>
    <w:rsid w:val="001E3BC5"/>
    <w:rsid w:val="001E3C2C"/>
    <w:rsid w:val="001E3D79"/>
    <w:rsid w:val="001E3DBA"/>
    <w:rsid w:val="001E3E4F"/>
    <w:rsid w:val="001E4017"/>
    <w:rsid w:val="001E4042"/>
    <w:rsid w:val="001E4124"/>
    <w:rsid w:val="001E41D5"/>
    <w:rsid w:val="001E467B"/>
    <w:rsid w:val="001E477E"/>
    <w:rsid w:val="001E47E6"/>
    <w:rsid w:val="001E4870"/>
    <w:rsid w:val="001E4924"/>
    <w:rsid w:val="001E4A1B"/>
    <w:rsid w:val="001E4F02"/>
    <w:rsid w:val="001E4F82"/>
    <w:rsid w:val="001E4FC6"/>
    <w:rsid w:val="001E536F"/>
    <w:rsid w:val="001E541B"/>
    <w:rsid w:val="001E5421"/>
    <w:rsid w:val="001E5765"/>
    <w:rsid w:val="001E5858"/>
    <w:rsid w:val="001E59BC"/>
    <w:rsid w:val="001E59F6"/>
    <w:rsid w:val="001E5A9B"/>
    <w:rsid w:val="001E5AED"/>
    <w:rsid w:val="001E5B11"/>
    <w:rsid w:val="001E5BBC"/>
    <w:rsid w:val="001E5CA9"/>
    <w:rsid w:val="001E5D67"/>
    <w:rsid w:val="001E5E0C"/>
    <w:rsid w:val="001E5E21"/>
    <w:rsid w:val="001E5F0E"/>
    <w:rsid w:val="001E6180"/>
    <w:rsid w:val="001E6422"/>
    <w:rsid w:val="001E6546"/>
    <w:rsid w:val="001E6630"/>
    <w:rsid w:val="001E6866"/>
    <w:rsid w:val="001E6AF0"/>
    <w:rsid w:val="001E6CBD"/>
    <w:rsid w:val="001E6E73"/>
    <w:rsid w:val="001E73B9"/>
    <w:rsid w:val="001E7617"/>
    <w:rsid w:val="001E7646"/>
    <w:rsid w:val="001E778C"/>
    <w:rsid w:val="001E79DA"/>
    <w:rsid w:val="001E7A1F"/>
    <w:rsid w:val="001E7A92"/>
    <w:rsid w:val="001E7B9C"/>
    <w:rsid w:val="001E7C13"/>
    <w:rsid w:val="001E7C71"/>
    <w:rsid w:val="001E7ECC"/>
    <w:rsid w:val="001E7EDD"/>
    <w:rsid w:val="001E7F94"/>
    <w:rsid w:val="001F0065"/>
    <w:rsid w:val="001F00B3"/>
    <w:rsid w:val="001F0286"/>
    <w:rsid w:val="001F06B9"/>
    <w:rsid w:val="001F072A"/>
    <w:rsid w:val="001F0775"/>
    <w:rsid w:val="001F0A3A"/>
    <w:rsid w:val="001F0CA9"/>
    <w:rsid w:val="001F0CB4"/>
    <w:rsid w:val="001F0EAA"/>
    <w:rsid w:val="001F0EBB"/>
    <w:rsid w:val="001F129D"/>
    <w:rsid w:val="001F12C7"/>
    <w:rsid w:val="001F13D1"/>
    <w:rsid w:val="001F1500"/>
    <w:rsid w:val="001F17CF"/>
    <w:rsid w:val="001F1826"/>
    <w:rsid w:val="001F1BDD"/>
    <w:rsid w:val="001F1CB9"/>
    <w:rsid w:val="001F1D01"/>
    <w:rsid w:val="001F1D1E"/>
    <w:rsid w:val="001F1DDC"/>
    <w:rsid w:val="001F20CF"/>
    <w:rsid w:val="001F244E"/>
    <w:rsid w:val="001F24B4"/>
    <w:rsid w:val="001F27A3"/>
    <w:rsid w:val="001F2BC5"/>
    <w:rsid w:val="001F2E0F"/>
    <w:rsid w:val="001F309E"/>
    <w:rsid w:val="001F3154"/>
    <w:rsid w:val="001F31E4"/>
    <w:rsid w:val="001F331D"/>
    <w:rsid w:val="001F341F"/>
    <w:rsid w:val="001F34AF"/>
    <w:rsid w:val="001F36FE"/>
    <w:rsid w:val="001F37E1"/>
    <w:rsid w:val="001F3974"/>
    <w:rsid w:val="001F3A31"/>
    <w:rsid w:val="001F3B9C"/>
    <w:rsid w:val="001F3C17"/>
    <w:rsid w:val="001F3C5A"/>
    <w:rsid w:val="001F3D6A"/>
    <w:rsid w:val="001F3E44"/>
    <w:rsid w:val="001F3EAA"/>
    <w:rsid w:val="001F3F3E"/>
    <w:rsid w:val="001F40E8"/>
    <w:rsid w:val="001F41A7"/>
    <w:rsid w:val="001F44B2"/>
    <w:rsid w:val="001F44EA"/>
    <w:rsid w:val="001F45F9"/>
    <w:rsid w:val="001F47FE"/>
    <w:rsid w:val="001F49AB"/>
    <w:rsid w:val="001F49F5"/>
    <w:rsid w:val="001F4AAC"/>
    <w:rsid w:val="001F4DF1"/>
    <w:rsid w:val="001F4FF6"/>
    <w:rsid w:val="001F506D"/>
    <w:rsid w:val="001F5131"/>
    <w:rsid w:val="001F5141"/>
    <w:rsid w:val="001F51B6"/>
    <w:rsid w:val="001F527F"/>
    <w:rsid w:val="001F556A"/>
    <w:rsid w:val="001F560B"/>
    <w:rsid w:val="001F57A5"/>
    <w:rsid w:val="001F59BC"/>
    <w:rsid w:val="001F5A12"/>
    <w:rsid w:val="001F5ECC"/>
    <w:rsid w:val="001F62E7"/>
    <w:rsid w:val="001F63A4"/>
    <w:rsid w:val="001F63AC"/>
    <w:rsid w:val="001F63E7"/>
    <w:rsid w:val="001F6443"/>
    <w:rsid w:val="001F6478"/>
    <w:rsid w:val="001F64B7"/>
    <w:rsid w:val="001F656A"/>
    <w:rsid w:val="001F6575"/>
    <w:rsid w:val="001F6706"/>
    <w:rsid w:val="001F6A44"/>
    <w:rsid w:val="001F6AC7"/>
    <w:rsid w:val="001F6B0D"/>
    <w:rsid w:val="001F6EA9"/>
    <w:rsid w:val="001F756B"/>
    <w:rsid w:val="001F79EC"/>
    <w:rsid w:val="001F7A69"/>
    <w:rsid w:val="001F7B26"/>
    <w:rsid w:val="001F7C7F"/>
    <w:rsid w:val="001F7D89"/>
    <w:rsid w:val="001F7DB6"/>
    <w:rsid w:val="001F7EB0"/>
    <w:rsid w:val="001F7F70"/>
    <w:rsid w:val="00200225"/>
    <w:rsid w:val="0020022A"/>
    <w:rsid w:val="002002B6"/>
    <w:rsid w:val="0020046E"/>
    <w:rsid w:val="002004D3"/>
    <w:rsid w:val="00200551"/>
    <w:rsid w:val="002006A9"/>
    <w:rsid w:val="00200727"/>
    <w:rsid w:val="0020105E"/>
    <w:rsid w:val="002012B2"/>
    <w:rsid w:val="0020132E"/>
    <w:rsid w:val="00201476"/>
    <w:rsid w:val="00201780"/>
    <w:rsid w:val="002018FD"/>
    <w:rsid w:val="00201C55"/>
    <w:rsid w:val="00201D09"/>
    <w:rsid w:val="00201D0B"/>
    <w:rsid w:val="00201F47"/>
    <w:rsid w:val="00202436"/>
    <w:rsid w:val="00202441"/>
    <w:rsid w:val="0020266F"/>
    <w:rsid w:val="00202A30"/>
    <w:rsid w:val="00202BB2"/>
    <w:rsid w:val="00202D15"/>
    <w:rsid w:val="00202E1F"/>
    <w:rsid w:val="00202E32"/>
    <w:rsid w:val="002030FC"/>
    <w:rsid w:val="002032A8"/>
    <w:rsid w:val="00203D9F"/>
    <w:rsid w:val="00203DB8"/>
    <w:rsid w:val="00203EA5"/>
    <w:rsid w:val="00204094"/>
    <w:rsid w:val="0020417D"/>
    <w:rsid w:val="002041E0"/>
    <w:rsid w:val="0020421C"/>
    <w:rsid w:val="0020443F"/>
    <w:rsid w:val="0020448F"/>
    <w:rsid w:val="002044D1"/>
    <w:rsid w:val="002045AF"/>
    <w:rsid w:val="002045DD"/>
    <w:rsid w:val="00204832"/>
    <w:rsid w:val="00204B94"/>
    <w:rsid w:val="00204C3A"/>
    <w:rsid w:val="00204DC3"/>
    <w:rsid w:val="00204EDD"/>
    <w:rsid w:val="0020515A"/>
    <w:rsid w:val="00205425"/>
    <w:rsid w:val="002054C2"/>
    <w:rsid w:val="0020553D"/>
    <w:rsid w:val="00205848"/>
    <w:rsid w:val="00205BF3"/>
    <w:rsid w:val="00205CDB"/>
    <w:rsid w:val="00205E51"/>
    <w:rsid w:val="00205F13"/>
    <w:rsid w:val="00205FA0"/>
    <w:rsid w:val="002062E9"/>
    <w:rsid w:val="0020667F"/>
    <w:rsid w:val="00206698"/>
    <w:rsid w:val="0020679E"/>
    <w:rsid w:val="002069E2"/>
    <w:rsid w:val="002069E5"/>
    <w:rsid w:val="00206A72"/>
    <w:rsid w:val="00206A9B"/>
    <w:rsid w:val="00206AB6"/>
    <w:rsid w:val="00206AF4"/>
    <w:rsid w:val="00206BBD"/>
    <w:rsid w:val="00206CE4"/>
    <w:rsid w:val="002070A4"/>
    <w:rsid w:val="002071B0"/>
    <w:rsid w:val="002072B5"/>
    <w:rsid w:val="0020758C"/>
    <w:rsid w:val="00207613"/>
    <w:rsid w:val="00207799"/>
    <w:rsid w:val="002077EC"/>
    <w:rsid w:val="00207904"/>
    <w:rsid w:val="00207AA3"/>
    <w:rsid w:val="00207B84"/>
    <w:rsid w:val="00207B90"/>
    <w:rsid w:val="00207D59"/>
    <w:rsid w:val="00207DEB"/>
    <w:rsid w:val="00207EF7"/>
    <w:rsid w:val="00207FB1"/>
    <w:rsid w:val="002103F2"/>
    <w:rsid w:val="0021056C"/>
    <w:rsid w:val="002105B0"/>
    <w:rsid w:val="0021087F"/>
    <w:rsid w:val="00210AE1"/>
    <w:rsid w:val="00210E6E"/>
    <w:rsid w:val="00210EA0"/>
    <w:rsid w:val="002110B8"/>
    <w:rsid w:val="00211450"/>
    <w:rsid w:val="00211638"/>
    <w:rsid w:val="0021174C"/>
    <w:rsid w:val="0021182C"/>
    <w:rsid w:val="00211ACF"/>
    <w:rsid w:val="00211B1F"/>
    <w:rsid w:val="00211B77"/>
    <w:rsid w:val="00211BB6"/>
    <w:rsid w:val="00211CB9"/>
    <w:rsid w:val="00211E89"/>
    <w:rsid w:val="00211FEF"/>
    <w:rsid w:val="00212024"/>
    <w:rsid w:val="00212235"/>
    <w:rsid w:val="00212742"/>
    <w:rsid w:val="00212928"/>
    <w:rsid w:val="00212A11"/>
    <w:rsid w:val="00212A88"/>
    <w:rsid w:val="00212A91"/>
    <w:rsid w:val="00212B34"/>
    <w:rsid w:val="00212D9B"/>
    <w:rsid w:val="00212E59"/>
    <w:rsid w:val="00212EA8"/>
    <w:rsid w:val="00212F7F"/>
    <w:rsid w:val="002131F6"/>
    <w:rsid w:val="002134A3"/>
    <w:rsid w:val="002134FA"/>
    <w:rsid w:val="002138E9"/>
    <w:rsid w:val="00213E90"/>
    <w:rsid w:val="0021414C"/>
    <w:rsid w:val="00214251"/>
    <w:rsid w:val="002142FE"/>
    <w:rsid w:val="002144D9"/>
    <w:rsid w:val="00214548"/>
    <w:rsid w:val="002145BA"/>
    <w:rsid w:val="00214613"/>
    <w:rsid w:val="00214666"/>
    <w:rsid w:val="002148D3"/>
    <w:rsid w:val="00214A1C"/>
    <w:rsid w:val="00214B1B"/>
    <w:rsid w:val="00214B21"/>
    <w:rsid w:val="00214C45"/>
    <w:rsid w:val="00214E0A"/>
    <w:rsid w:val="002150AD"/>
    <w:rsid w:val="002150FF"/>
    <w:rsid w:val="00215736"/>
    <w:rsid w:val="00215AFF"/>
    <w:rsid w:val="00215C6B"/>
    <w:rsid w:val="00215E0C"/>
    <w:rsid w:val="00215FBA"/>
    <w:rsid w:val="002160E4"/>
    <w:rsid w:val="002163DB"/>
    <w:rsid w:val="002164AE"/>
    <w:rsid w:val="002164EE"/>
    <w:rsid w:val="002166C2"/>
    <w:rsid w:val="0021681F"/>
    <w:rsid w:val="00216888"/>
    <w:rsid w:val="00216B9E"/>
    <w:rsid w:val="00216BF7"/>
    <w:rsid w:val="00216C16"/>
    <w:rsid w:val="00216D25"/>
    <w:rsid w:val="00216D2C"/>
    <w:rsid w:val="00216EA7"/>
    <w:rsid w:val="00216F27"/>
    <w:rsid w:val="002172FE"/>
    <w:rsid w:val="00217312"/>
    <w:rsid w:val="00217862"/>
    <w:rsid w:val="002178CA"/>
    <w:rsid w:val="002178DD"/>
    <w:rsid w:val="00217A9C"/>
    <w:rsid w:val="00217B54"/>
    <w:rsid w:val="00217EC0"/>
    <w:rsid w:val="00217F1B"/>
    <w:rsid w:val="0022030D"/>
    <w:rsid w:val="0022056F"/>
    <w:rsid w:val="0022057C"/>
    <w:rsid w:val="00220611"/>
    <w:rsid w:val="00220829"/>
    <w:rsid w:val="00220C0C"/>
    <w:rsid w:val="00220C16"/>
    <w:rsid w:val="00220E6C"/>
    <w:rsid w:val="0022116F"/>
    <w:rsid w:val="00221176"/>
    <w:rsid w:val="002215F1"/>
    <w:rsid w:val="0022178C"/>
    <w:rsid w:val="00221844"/>
    <w:rsid w:val="0022194C"/>
    <w:rsid w:val="00221D57"/>
    <w:rsid w:val="00221DC7"/>
    <w:rsid w:val="00221EB5"/>
    <w:rsid w:val="00221FFD"/>
    <w:rsid w:val="0022204C"/>
    <w:rsid w:val="00222191"/>
    <w:rsid w:val="002222E9"/>
    <w:rsid w:val="002224C8"/>
    <w:rsid w:val="002225AD"/>
    <w:rsid w:val="002228E5"/>
    <w:rsid w:val="00222AA5"/>
    <w:rsid w:val="00222BE9"/>
    <w:rsid w:val="00222CA1"/>
    <w:rsid w:val="00222EA1"/>
    <w:rsid w:val="00222ECA"/>
    <w:rsid w:val="002230EC"/>
    <w:rsid w:val="0022321E"/>
    <w:rsid w:val="00223246"/>
    <w:rsid w:val="00223314"/>
    <w:rsid w:val="002233D7"/>
    <w:rsid w:val="0022372C"/>
    <w:rsid w:val="002237FF"/>
    <w:rsid w:val="00223A21"/>
    <w:rsid w:val="00223AC6"/>
    <w:rsid w:val="00223B59"/>
    <w:rsid w:val="00223DDF"/>
    <w:rsid w:val="002240CF"/>
    <w:rsid w:val="002241EE"/>
    <w:rsid w:val="0022433C"/>
    <w:rsid w:val="002244C9"/>
    <w:rsid w:val="002244CC"/>
    <w:rsid w:val="00224AF2"/>
    <w:rsid w:val="00224AFE"/>
    <w:rsid w:val="00224CDC"/>
    <w:rsid w:val="0022503E"/>
    <w:rsid w:val="002250FE"/>
    <w:rsid w:val="002252CB"/>
    <w:rsid w:val="002254D9"/>
    <w:rsid w:val="00225536"/>
    <w:rsid w:val="0022560A"/>
    <w:rsid w:val="00225639"/>
    <w:rsid w:val="00225846"/>
    <w:rsid w:val="00225B56"/>
    <w:rsid w:val="00225C52"/>
    <w:rsid w:val="00225D3E"/>
    <w:rsid w:val="00225DA5"/>
    <w:rsid w:val="00225E19"/>
    <w:rsid w:val="00226103"/>
    <w:rsid w:val="0022622E"/>
    <w:rsid w:val="00226563"/>
    <w:rsid w:val="00226628"/>
    <w:rsid w:val="002267E0"/>
    <w:rsid w:val="00226A61"/>
    <w:rsid w:val="00226B13"/>
    <w:rsid w:val="00226B2E"/>
    <w:rsid w:val="00226CDA"/>
    <w:rsid w:val="00226DA5"/>
    <w:rsid w:val="00227440"/>
    <w:rsid w:val="002275FB"/>
    <w:rsid w:val="0022774B"/>
    <w:rsid w:val="002279D5"/>
    <w:rsid w:val="00227CB7"/>
    <w:rsid w:val="00227DD5"/>
    <w:rsid w:val="00227F08"/>
    <w:rsid w:val="00230266"/>
    <w:rsid w:val="002302CC"/>
    <w:rsid w:val="0023045A"/>
    <w:rsid w:val="00230474"/>
    <w:rsid w:val="002304C1"/>
    <w:rsid w:val="002306D2"/>
    <w:rsid w:val="00230766"/>
    <w:rsid w:val="002308D6"/>
    <w:rsid w:val="00230E26"/>
    <w:rsid w:val="0023117B"/>
    <w:rsid w:val="00231282"/>
    <w:rsid w:val="0023135E"/>
    <w:rsid w:val="002313A4"/>
    <w:rsid w:val="002314E7"/>
    <w:rsid w:val="00231585"/>
    <w:rsid w:val="00231814"/>
    <w:rsid w:val="00231E7C"/>
    <w:rsid w:val="00232198"/>
    <w:rsid w:val="002321DE"/>
    <w:rsid w:val="0023227E"/>
    <w:rsid w:val="002322DA"/>
    <w:rsid w:val="0023254F"/>
    <w:rsid w:val="0023280C"/>
    <w:rsid w:val="002328AF"/>
    <w:rsid w:val="002329AD"/>
    <w:rsid w:val="00232B6F"/>
    <w:rsid w:val="002332FE"/>
    <w:rsid w:val="0023359C"/>
    <w:rsid w:val="002336E4"/>
    <w:rsid w:val="00233A2B"/>
    <w:rsid w:val="00233AC2"/>
    <w:rsid w:val="00233BA1"/>
    <w:rsid w:val="00233C08"/>
    <w:rsid w:val="00233C21"/>
    <w:rsid w:val="00233CCE"/>
    <w:rsid w:val="0023424E"/>
    <w:rsid w:val="0023431F"/>
    <w:rsid w:val="0023476D"/>
    <w:rsid w:val="00234B38"/>
    <w:rsid w:val="00234BA3"/>
    <w:rsid w:val="00234BF8"/>
    <w:rsid w:val="00234C6B"/>
    <w:rsid w:val="00234E9F"/>
    <w:rsid w:val="00234F3C"/>
    <w:rsid w:val="002353D8"/>
    <w:rsid w:val="00235641"/>
    <w:rsid w:val="002358D2"/>
    <w:rsid w:val="00235BA6"/>
    <w:rsid w:val="00235C90"/>
    <w:rsid w:val="00235D36"/>
    <w:rsid w:val="00235D74"/>
    <w:rsid w:val="00235E04"/>
    <w:rsid w:val="00235E17"/>
    <w:rsid w:val="00235EC9"/>
    <w:rsid w:val="00235EF9"/>
    <w:rsid w:val="00235F7C"/>
    <w:rsid w:val="00235FE2"/>
    <w:rsid w:val="0023611D"/>
    <w:rsid w:val="00236152"/>
    <w:rsid w:val="002362D8"/>
    <w:rsid w:val="0023651D"/>
    <w:rsid w:val="00236674"/>
    <w:rsid w:val="00236A68"/>
    <w:rsid w:val="00236C43"/>
    <w:rsid w:val="00236D5D"/>
    <w:rsid w:val="002370C2"/>
    <w:rsid w:val="00237155"/>
    <w:rsid w:val="002371D9"/>
    <w:rsid w:val="002372B7"/>
    <w:rsid w:val="002373F2"/>
    <w:rsid w:val="0023741E"/>
    <w:rsid w:val="0023749A"/>
    <w:rsid w:val="002375B2"/>
    <w:rsid w:val="002375C0"/>
    <w:rsid w:val="0023766A"/>
    <w:rsid w:val="00237696"/>
    <w:rsid w:val="002377C4"/>
    <w:rsid w:val="00237832"/>
    <w:rsid w:val="00237A29"/>
    <w:rsid w:val="00237EBD"/>
    <w:rsid w:val="00237F56"/>
    <w:rsid w:val="00240095"/>
    <w:rsid w:val="002400BC"/>
    <w:rsid w:val="0024030B"/>
    <w:rsid w:val="002403BE"/>
    <w:rsid w:val="00240609"/>
    <w:rsid w:val="00240612"/>
    <w:rsid w:val="00240680"/>
    <w:rsid w:val="0024078A"/>
    <w:rsid w:val="002408E3"/>
    <w:rsid w:val="00240C4A"/>
    <w:rsid w:val="00240F17"/>
    <w:rsid w:val="00241087"/>
    <w:rsid w:val="00241198"/>
    <w:rsid w:val="0024126B"/>
    <w:rsid w:val="00241358"/>
    <w:rsid w:val="002413FA"/>
    <w:rsid w:val="0024188F"/>
    <w:rsid w:val="00241D02"/>
    <w:rsid w:val="00241D23"/>
    <w:rsid w:val="00241FA3"/>
    <w:rsid w:val="0024209E"/>
    <w:rsid w:val="002420B4"/>
    <w:rsid w:val="00242178"/>
    <w:rsid w:val="002422F4"/>
    <w:rsid w:val="0024235B"/>
    <w:rsid w:val="002423B8"/>
    <w:rsid w:val="002425D1"/>
    <w:rsid w:val="0024272A"/>
    <w:rsid w:val="0024284F"/>
    <w:rsid w:val="00242923"/>
    <w:rsid w:val="00242AEF"/>
    <w:rsid w:val="00242AF0"/>
    <w:rsid w:val="00242B10"/>
    <w:rsid w:val="00242E02"/>
    <w:rsid w:val="00242FA4"/>
    <w:rsid w:val="0024317D"/>
    <w:rsid w:val="0024318E"/>
    <w:rsid w:val="00243256"/>
    <w:rsid w:val="002433CC"/>
    <w:rsid w:val="00243419"/>
    <w:rsid w:val="002434E0"/>
    <w:rsid w:val="0024352D"/>
    <w:rsid w:val="00243558"/>
    <w:rsid w:val="002435C0"/>
    <w:rsid w:val="002436C5"/>
    <w:rsid w:val="00243962"/>
    <w:rsid w:val="00243AA3"/>
    <w:rsid w:val="00243E22"/>
    <w:rsid w:val="002440C9"/>
    <w:rsid w:val="002440D3"/>
    <w:rsid w:val="0024417E"/>
    <w:rsid w:val="002442A0"/>
    <w:rsid w:val="00244335"/>
    <w:rsid w:val="0024444C"/>
    <w:rsid w:val="002444AA"/>
    <w:rsid w:val="002444C8"/>
    <w:rsid w:val="00244592"/>
    <w:rsid w:val="0024479C"/>
    <w:rsid w:val="00244B3F"/>
    <w:rsid w:val="00244D46"/>
    <w:rsid w:val="00244D68"/>
    <w:rsid w:val="00244E39"/>
    <w:rsid w:val="00244F32"/>
    <w:rsid w:val="00245087"/>
    <w:rsid w:val="0024519F"/>
    <w:rsid w:val="00245262"/>
    <w:rsid w:val="002452D3"/>
    <w:rsid w:val="00245317"/>
    <w:rsid w:val="002453CB"/>
    <w:rsid w:val="002454D2"/>
    <w:rsid w:val="00245622"/>
    <w:rsid w:val="00245B3E"/>
    <w:rsid w:val="00245B4C"/>
    <w:rsid w:val="00245C4D"/>
    <w:rsid w:val="00245D2B"/>
    <w:rsid w:val="002460AB"/>
    <w:rsid w:val="002460DD"/>
    <w:rsid w:val="002460FD"/>
    <w:rsid w:val="002467DC"/>
    <w:rsid w:val="00246811"/>
    <w:rsid w:val="0024693C"/>
    <w:rsid w:val="00246A2D"/>
    <w:rsid w:val="00246B96"/>
    <w:rsid w:val="00247055"/>
    <w:rsid w:val="00247075"/>
    <w:rsid w:val="00247108"/>
    <w:rsid w:val="0024719C"/>
    <w:rsid w:val="00247297"/>
    <w:rsid w:val="00247430"/>
    <w:rsid w:val="00247792"/>
    <w:rsid w:val="0024794D"/>
    <w:rsid w:val="00247DD3"/>
    <w:rsid w:val="00247E6E"/>
    <w:rsid w:val="00247E7D"/>
    <w:rsid w:val="00247FCF"/>
    <w:rsid w:val="0025001A"/>
    <w:rsid w:val="00250066"/>
    <w:rsid w:val="002500BE"/>
    <w:rsid w:val="0025010A"/>
    <w:rsid w:val="0025042E"/>
    <w:rsid w:val="002505D1"/>
    <w:rsid w:val="0025071B"/>
    <w:rsid w:val="002508CB"/>
    <w:rsid w:val="002508EA"/>
    <w:rsid w:val="00250ADF"/>
    <w:rsid w:val="00250BE0"/>
    <w:rsid w:val="00250EF2"/>
    <w:rsid w:val="002510A9"/>
    <w:rsid w:val="002517D7"/>
    <w:rsid w:val="00251813"/>
    <w:rsid w:val="0025184F"/>
    <w:rsid w:val="00251A21"/>
    <w:rsid w:val="00251E04"/>
    <w:rsid w:val="00251E7C"/>
    <w:rsid w:val="00251EA7"/>
    <w:rsid w:val="00251FA6"/>
    <w:rsid w:val="00252035"/>
    <w:rsid w:val="0025203A"/>
    <w:rsid w:val="0025229D"/>
    <w:rsid w:val="002522B8"/>
    <w:rsid w:val="00252312"/>
    <w:rsid w:val="002523B3"/>
    <w:rsid w:val="002524E3"/>
    <w:rsid w:val="002529E5"/>
    <w:rsid w:val="00252A6A"/>
    <w:rsid w:val="00252ABF"/>
    <w:rsid w:val="00252AEA"/>
    <w:rsid w:val="00252B99"/>
    <w:rsid w:val="00252BC8"/>
    <w:rsid w:val="00252CF9"/>
    <w:rsid w:val="00252E17"/>
    <w:rsid w:val="0025337F"/>
    <w:rsid w:val="0025354F"/>
    <w:rsid w:val="00253881"/>
    <w:rsid w:val="002539AA"/>
    <w:rsid w:val="00253A89"/>
    <w:rsid w:val="00253AE2"/>
    <w:rsid w:val="00253BE1"/>
    <w:rsid w:val="00253C61"/>
    <w:rsid w:val="00253D43"/>
    <w:rsid w:val="0025403B"/>
    <w:rsid w:val="0025405C"/>
    <w:rsid w:val="002540DC"/>
    <w:rsid w:val="0025418B"/>
    <w:rsid w:val="0025434A"/>
    <w:rsid w:val="0025455D"/>
    <w:rsid w:val="0025462D"/>
    <w:rsid w:val="00254819"/>
    <w:rsid w:val="0025490C"/>
    <w:rsid w:val="00254BCF"/>
    <w:rsid w:val="00254D76"/>
    <w:rsid w:val="00254F2A"/>
    <w:rsid w:val="00254F3D"/>
    <w:rsid w:val="00255036"/>
    <w:rsid w:val="002554A1"/>
    <w:rsid w:val="002554EE"/>
    <w:rsid w:val="002555A2"/>
    <w:rsid w:val="00255BB9"/>
    <w:rsid w:val="00255BC2"/>
    <w:rsid w:val="00256168"/>
    <w:rsid w:val="0025618B"/>
    <w:rsid w:val="00256276"/>
    <w:rsid w:val="002562C4"/>
    <w:rsid w:val="002564C4"/>
    <w:rsid w:val="002565A1"/>
    <w:rsid w:val="00256BC1"/>
    <w:rsid w:val="00256C71"/>
    <w:rsid w:val="00256C8D"/>
    <w:rsid w:val="00256EFD"/>
    <w:rsid w:val="002573D9"/>
    <w:rsid w:val="002574CF"/>
    <w:rsid w:val="002575AE"/>
    <w:rsid w:val="002577FB"/>
    <w:rsid w:val="0025780A"/>
    <w:rsid w:val="00257ABA"/>
    <w:rsid w:val="00257E2F"/>
    <w:rsid w:val="00257F99"/>
    <w:rsid w:val="002600FC"/>
    <w:rsid w:val="00260145"/>
    <w:rsid w:val="002601A7"/>
    <w:rsid w:val="00260628"/>
    <w:rsid w:val="00260C14"/>
    <w:rsid w:val="00260D8F"/>
    <w:rsid w:val="002610B5"/>
    <w:rsid w:val="00261148"/>
    <w:rsid w:val="002612CD"/>
    <w:rsid w:val="00261323"/>
    <w:rsid w:val="00261481"/>
    <w:rsid w:val="00261547"/>
    <w:rsid w:val="0026156A"/>
    <w:rsid w:val="00261793"/>
    <w:rsid w:val="0026180E"/>
    <w:rsid w:val="002618EE"/>
    <w:rsid w:val="00261CF3"/>
    <w:rsid w:val="00261E79"/>
    <w:rsid w:val="00261ED1"/>
    <w:rsid w:val="00261F2D"/>
    <w:rsid w:val="00261F37"/>
    <w:rsid w:val="00262167"/>
    <w:rsid w:val="00262199"/>
    <w:rsid w:val="002624C1"/>
    <w:rsid w:val="002626E1"/>
    <w:rsid w:val="002628A0"/>
    <w:rsid w:val="002628E4"/>
    <w:rsid w:val="00262C2B"/>
    <w:rsid w:val="00262C33"/>
    <w:rsid w:val="00262EBA"/>
    <w:rsid w:val="0026309E"/>
    <w:rsid w:val="0026312C"/>
    <w:rsid w:val="0026324A"/>
    <w:rsid w:val="00263473"/>
    <w:rsid w:val="002634AE"/>
    <w:rsid w:val="002634D7"/>
    <w:rsid w:val="002635AD"/>
    <w:rsid w:val="002638F2"/>
    <w:rsid w:val="00263B2A"/>
    <w:rsid w:val="00263BD6"/>
    <w:rsid w:val="00263C19"/>
    <w:rsid w:val="00263C54"/>
    <w:rsid w:val="00263D3F"/>
    <w:rsid w:val="0026414A"/>
    <w:rsid w:val="00264405"/>
    <w:rsid w:val="00264433"/>
    <w:rsid w:val="0026450C"/>
    <w:rsid w:val="00264700"/>
    <w:rsid w:val="0026487A"/>
    <w:rsid w:val="00264A08"/>
    <w:rsid w:val="00264A79"/>
    <w:rsid w:val="00264CD5"/>
    <w:rsid w:val="00264DF5"/>
    <w:rsid w:val="002650C8"/>
    <w:rsid w:val="00265365"/>
    <w:rsid w:val="002659B7"/>
    <w:rsid w:val="00265DD5"/>
    <w:rsid w:val="00265EEB"/>
    <w:rsid w:val="002662D2"/>
    <w:rsid w:val="00266333"/>
    <w:rsid w:val="0026672C"/>
    <w:rsid w:val="002667BC"/>
    <w:rsid w:val="0026687D"/>
    <w:rsid w:val="00266945"/>
    <w:rsid w:val="002669D6"/>
    <w:rsid w:val="00266B07"/>
    <w:rsid w:val="00266E1F"/>
    <w:rsid w:val="00266E2E"/>
    <w:rsid w:val="00266FEC"/>
    <w:rsid w:val="0026703B"/>
    <w:rsid w:val="00267282"/>
    <w:rsid w:val="00267413"/>
    <w:rsid w:val="0026791F"/>
    <w:rsid w:val="00267A31"/>
    <w:rsid w:val="00267A36"/>
    <w:rsid w:val="00267C67"/>
    <w:rsid w:val="00267D17"/>
    <w:rsid w:val="00270087"/>
    <w:rsid w:val="00270206"/>
    <w:rsid w:val="0027033B"/>
    <w:rsid w:val="0027058D"/>
    <w:rsid w:val="002706AF"/>
    <w:rsid w:val="00270782"/>
    <w:rsid w:val="00270931"/>
    <w:rsid w:val="00270987"/>
    <w:rsid w:val="00270BDB"/>
    <w:rsid w:val="00270E14"/>
    <w:rsid w:val="00270EBA"/>
    <w:rsid w:val="00270F3B"/>
    <w:rsid w:val="002710C9"/>
    <w:rsid w:val="002711A1"/>
    <w:rsid w:val="0027124E"/>
    <w:rsid w:val="00271377"/>
    <w:rsid w:val="00271423"/>
    <w:rsid w:val="002714C2"/>
    <w:rsid w:val="002715DA"/>
    <w:rsid w:val="002716C5"/>
    <w:rsid w:val="002717BE"/>
    <w:rsid w:val="00271846"/>
    <w:rsid w:val="00271A72"/>
    <w:rsid w:val="00271AD8"/>
    <w:rsid w:val="00271C6D"/>
    <w:rsid w:val="00271CA0"/>
    <w:rsid w:val="00271CA6"/>
    <w:rsid w:val="00271D43"/>
    <w:rsid w:val="00271E4B"/>
    <w:rsid w:val="00271E8A"/>
    <w:rsid w:val="0027208C"/>
    <w:rsid w:val="0027218A"/>
    <w:rsid w:val="00272281"/>
    <w:rsid w:val="00272386"/>
    <w:rsid w:val="00272415"/>
    <w:rsid w:val="00272555"/>
    <w:rsid w:val="00272572"/>
    <w:rsid w:val="00272841"/>
    <w:rsid w:val="002728DF"/>
    <w:rsid w:val="00272DA3"/>
    <w:rsid w:val="00272DAD"/>
    <w:rsid w:val="002732CE"/>
    <w:rsid w:val="00273311"/>
    <w:rsid w:val="00273723"/>
    <w:rsid w:val="00273842"/>
    <w:rsid w:val="00273844"/>
    <w:rsid w:val="0027387C"/>
    <w:rsid w:val="00273962"/>
    <w:rsid w:val="00273B41"/>
    <w:rsid w:val="00274179"/>
    <w:rsid w:val="002745FC"/>
    <w:rsid w:val="00274671"/>
    <w:rsid w:val="002748B9"/>
    <w:rsid w:val="002748EA"/>
    <w:rsid w:val="00274BFC"/>
    <w:rsid w:val="00274E16"/>
    <w:rsid w:val="00274E51"/>
    <w:rsid w:val="0027503A"/>
    <w:rsid w:val="002750E0"/>
    <w:rsid w:val="0027550E"/>
    <w:rsid w:val="0027558F"/>
    <w:rsid w:val="0027565B"/>
    <w:rsid w:val="00275835"/>
    <w:rsid w:val="0027587B"/>
    <w:rsid w:val="0027598E"/>
    <w:rsid w:val="00275A69"/>
    <w:rsid w:val="00275ABB"/>
    <w:rsid w:val="00275B2E"/>
    <w:rsid w:val="00276400"/>
    <w:rsid w:val="0027643F"/>
    <w:rsid w:val="00276643"/>
    <w:rsid w:val="00276806"/>
    <w:rsid w:val="00276BB0"/>
    <w:rsid w:val="00276BD5"/>
    <w:rsid w:val="00276D32"/>
    <w:rsid w:val="00276EBF"/>
    <w:rsid w:val="00276F3A"/>
    <w:rsid w:val="002772F0"/>
    <w:rsid w:val="002773A3"/>
    <w:rsid w:val="002774E7"/>
    <w:rsid w:val="00277590"/>
    <w:rsid w:val="002775C5"/>
    <w:rsid w:val="002775DD"/>
    <w:rsid w:val="00277736"/>
    <w:rsid w:val="00277779"/>
    <w:rsid w:val="00277987"/>
    <w:rsid w:val="00277AF9"/>
    <w:rsid w:val="00277B76"/>
    <w:rsid w:val="00277B82"/>
    <w:rsid w:val="00277CD1"/>
    <w:rsid w:val="00277D80"/>
    <w:rsid w:val="00277E0D"/>
    <w:rsid w:val="00277EBD"/>
    <w:rsid w:val="002801BA"/>
    <w:rsid w:val="0028024C"/>
    <w:rsid w:val="00280335"/>
    <w:rsid w:val="00280734"/>
    <w:rsid w:val="00280B3A"/>
    <w:rsid w:val="00280BDE"/>
    <w:rsid w:val="00280D83"/>
    <w:rsid w:val="00280FF3"/>
    <w:rsid w:val="0028107C"/>
    <w:rsid w:val="0028110A"/>
    <w:rsid w:val="002811E3"/>
    <w:rsid w:val="00281328"/>
    <w:rsid w:val="00281356"/>
    <w:rsid w:val="0028157B"/>
    <w:rsid w:val="0028164F"/>
    <w:rsid w:val="0028170F"/>
    <w:rsid w:val="00281820"/>
    <w:rsid w:val="002818F2"/>
    <w:rsid w:val="00281923"/>
    <w:rsid w:val="00281B83"/>
    <w:rsid w:val="00281E73"/>
    <w:rsid w:val="00281F2F"/>
    <w:rsid w:val="00281FF8"/>
    <w:rsid w:val="00282521"/>
    <w:rsid w:val="0028257A"/>
    <w:rsid w:val="00282991"/>
    <w:rsid w:val="00282BEE"/>
    <w:rsid w:val="00282C87"/>
    <w:rsid w:val="00282E3A"/>
    <w:rsid w:val="00282EAA"/>
    <w:rsid w:val="002837D5"/>
    <w:rsid w:val="00283A08"/>
    <w:rsid w:val="00283A29"/>
    <w:rsid w:val="00283AEE"/>
    <w:rsid w:val="00283B98"/>
    <w:rsid w:val="00283D15"/>
    <w:rsid w:val="002841D4"/>
    <w:rsid w:val="002842DF"/>
    <w:rsid w:val="00284492"/>
    <w:rsid w:val="002847A8"/>
    <w:rsid w:val="002849E0"/>
    <w:rsid w:val="00284A10"/>
    <w:rsid w:val="00284AB9"/>
    <w:rsid w:val="00284F19"/>
    <w:rsid w:val="002850B6"/>
    <w:rsid w:val="00285202"/>
    <w:rsid w:val="0028542B"/>
    <w:rsid w:val="00285763"/>
    <w:rsid w:val="002857C1"/>
    <w:rsid w:val="0028598E"/>
    <w:rsid w:val="00285B67"/>
    <w:rsid w:val="00285B7F"/>
    <w:rsid w:val="00285C38"/>
    <w:rsid w:val="00285C51"/>
    <w:rsid w:val="00285E1B"/>
    <w:rsid w:val="00285E97"/>
    <w:rsid w:val="00285F43"/>
    <w:rsid w:val="00285F9F"/>
    <w:rsid w:val="002863E3"/>
    <w:rsid w:val="002865D4"/>
    <w:rsid w:val="00286658"/>
    <w:rsid w:val="00286AD1"/>
    <w:rsid w:val="00286C43"/>
    <w:rsid w:val="00286C5A"/>
    <w:rsid w:val="00286D26"/>
    <w:rsid w:val="00286D7D"/>
    <w:rsid w:val="00286E21"/>
    <w:rsid w:val="00286FEC"/>
    <w:rsid w:val="002870C0"/>
    <w:rsid w:val="0028711C"/>
    <w:rsid w:val="00287202"/>
    <w:rsid w:val="0028730A"/>
    <w:rsid w:val="00287543"/>
    <w:rsid w:val="002875EE"/>
    <w:rsid w:val="002878A0"/>
    <w:rsid w:val="002878C8"/>
    <w:rsid w:val="002879A2"/>
    <w:rsid w:val="00287A67"/>
    <w:rsid w:val="00287AFB"/>
    <w:rsid w:val="00287E41"/>
    <w:rsid w:val="00287E4A"/>
    <w:rsid w:val="00287F75"/>
    <w:rsid w:val="00287F89"/>
    <w:rsid w:val="00290160"/>
    <w:rsid w:val="002902D4"/>
    <w:rsid w:val="00290361"/>
    <w:rsid w:val="0029082D"/>
    <w:rsid w:val="0029083C"/>
    <w:rsid w:val="00290888"/>
    <w:rsid w:val="0029094C"/>
    <w:rsid w:val="00290A5B"/>
    <w:rsid w:val="00290AA4"/>
    <w:rsid w:val="00290AA7"/>
    <w:rsid w:val="00290BF3"/>
    <w:rsid w:val="00290C05"/>
    <w:rsid w:val="00290C9F"/>
    <w:rsid w:val="00290D75"/>
    <w:rsid w:val="0029131B"/>
    <w:rsid w:val="002913EF"/>
    <w:rsid w:val="00291728"/>
    <w:rsid w:val="002918AB"/>
    <w:rsid w:val="00291A25"/>
    <w:rsid w:val="00291A4F"/>
    <w:rsid w:val="00291BC3"/>
    <w:rsid w:val="00291CC5"/>
    <w:rsid w:val="00291DB5"/>
    <w:rsid w:val="00291E81"/>
    <w:rsid w:val="00292163"/>
    <w:rsid w:val="002922B7"/>
    <w:rsid w:val="00292501"/>
    <w:rsid w:val="0029255C"/>
    <w:rsid w:val="002925AB"/>
    <w:rsid w:val="002926EF"/>
    <w:rsid w:val="00292BAF"/>
    <w:rsid w:val="00292D6C"/>
    <w:rsid w:val="00292E85"/>
    <w:rsid w:val="00292F00"/>
    <w:rsid w:val="00293171"/>
    <w:rsid w:val="0029363A"/>
    <w:rsid w:val="002936CA"/>
    <w:rsid w:val="00293726"/>
    <w:rsid w:val="002937AC"/>
    <w:rsid w:val="00293AD9"/>
    <w:rsid w:val="00293BBB"/>
    <w:rsid w:val="00293C3F"/>
    <w:rsid w:val="00293EF0"/>
    <w:rsid w:val="00294148"/>
    <w:rsid w:val="00294181"/>
    <w:rsid w:val="0029420F"/>
    <w:rsid w:val="0029468B"/>
    <w:rsid w:val="0029476E"/>
    <w:rsid w:val="00294948"/>
    <w:rsid w:val="002949D5"/>
    <w:rsid w:val="00294C58"/>
    <w:rsid w:val="00294FCA"/>
    <w:rsid w:val="00295160"/>
    <w:rsid w:val="002952AA"/>
    <w:rsid w:val="002953F3"/>
    <w:rsid w:val="0029558E"/>
    <w:rsid w:val="002956F7"/>
    <w:rsid w:val="00295985"/>
    <w:rsid w:val="002959B9"/>
    <w:rsid w:val="00295B53"/>
    <w:rsid w:val="00295F11"/>
    <w:rsid w:val="00295F67"/>
    <w:rsid w:val="00295FEC"/>
    <w:rsid w:val="0029628D"/>
    <w:rsid w:val="0029629C"/>
    <w:rsid w:val="00296617"/>
    <w:rsid w:val="00296630"/>
    <w:rsid w:val="002966BB"/>
    <w:rsid w:val="0029672E"/>
    <w:rsid w:val="00296755"/>
    <w:rsid w:val="0029684B"/>
    <w:rsid w:val="00296B31"/>
    <w:rsid w:val="0029734A"/>
    <w:rsid w:val="00297362"/>
    <w:rsid w:val="002974BD"/>
    <w:rsid w:val="0029773E"/>
    <w:rsid w:val="002977ED"/>
    <w:rsid w:val="00297846"/>
    <w:rsid w:val="0029784E"/>
    <w:rsid w:val="002978A4"/>
    <w:rsid w:val="002979CE"/>
    <w:rsid w:val="00297A2D"/>
    <w:rsid w:val="00297C9E"/>
    <w:rsid w:val="00297D18"/>
    <w:rsid w:val="00297D55"/>
    <w:rsid w:val="002A00A1"/>
    <w:rsid w:val="002A090C"/>
    <w:rsid w:val="002A0B2E"/>
    <w:rsid w:val="002A0C22"/>
    <w:rsid w:val="002A0F4A"/>
    <w:rsid w:val="002A12D6"/>
    <w:rsid w:val="002A16C9"/>
    <w:rsid w:val="002A176B"/>
    <w:rsid w:val="002A17A3"/>
    <w:rsid w:val="002A1FC3"/>
    <w:rsid w:val="002A1FCB"/>
    <w:rsid w:val="002A207C"/>
    <w:rsid w:val="002A208B"/>
    <w:rsid w:val="002A2505"/>
    <w:rsid w:val="002A25FD"/>
    <w:rsid w:val="002A2723"/>
    <w:rsid w:val="002A2732"/>
    <w:rsid w:val="002A282A"/>
    <w:rsid w:val="002A2830"/>
    <w:rsid w:val="002A2DA5"/>
    <w:rsid w:val="002A2F36"/>
    <w:rsid w:val="002A3020"/>
    <w:rsid w:val="002A32DB"/>
    <w:rsid w:val="002A3437"/>
    <w:rsid w:val="002A3689"/>
    <w:rsid w:val="002A36C0"/>
    <w:rsid w:val="002A3C7A"/>
    <w:rsid w:val="002A4001"/>
    <w:rsid w:val="002A426A"/>
    <w:rsid w:val="002A44EA"/>
    <w:rsid w:val="002A461D"/>
    <w:rsid w:val="002A474D"/>
    <w:rsid w:val="002A4D28"/>
    <w:rsid w:val="002A4DD3"/>
    <w:rsid w:val="002A4E64"/>
    <w:rsid w:val="002A501D"/>
    <w:rsid w:val="002A52C4"/>
    <w:rsid w:val="002A5325"/>
    <w:rsid w:val="002A5339"/>
    <w:rsid w:val="002A5809"/>
    <w:rsid w:val="002A58B2"/>
    <w:rsid w:val="002A5BE4"/>
    <w:rsid w:val="002A5DCE"/>
    <w:rsid w:val="002A5DF1"/>
    <w:rsid w:val="002A610A"/>
    <w:rsid w:val="002A623B"/>
    <w:rsid w:val="002A694E"/>
    <w:rsid w:val="002A6961"/>
    <w:rsid w:val="002A6A09"/>
    <w:rsid w:val="002A6A53"/>
    <w:rsid w:val="002A6A9D"/>
    <w:rsid w:val="002A6AD4"/>
    <w:rsid w:val="002A6C21"/>
    <w:rsid w:val="002A6E7F"/>
    <w:rsid w:val="002A6FF3"/>
    <w:rsid w:val="002A7081"/>
    <w:rsid w:val="002A731E"/>
    <w:rsid w:val="002A74B9"/>
    <w:rsid w:val="002A74F6"/>
    <w:rsid w:val="002A76E7"/>
    <w:rsid w:val="002A77CD"/>
    <w:rsid w:val="002A79C3"/>
    <w:rsid w:val="002A7DDB"/>
    <w:rsid w:val="002B0136"/>
    <w:rsid w:val="002B0173"/>
    <w:rsid w:val="002B039A"/>
    <w:rsid w:val="002B03EC"/>
    <w:rsid w:val="002B061E"/>
    <w:rsid w:val="002B0631"/>
    <w:rsid w:val="002B06E9"/>
    <w:rsid w:val="002B087F"/>
    <w:rsid w:val="002B089A"/>
    <w:rsid w:val="002B0ACA"/>
    <w:rsid w:val="002B0C28"/>
    <w:rsid w:val="002B0DBE"/>
    <w:rsid w:val="002B12D7"/>
    <w:rsid w:val="002B1411"/>
    <w:rsid w:val="002B14B7"/>
    <w:rsid w:val="002B15E2"/>
    <w:rsid w:val="002B17ED"/>
    <w:rsid w:val="002B19B4"/>
    <w:rsid w:val="002B1B45"/>
    <w:rsid w:val="002B1CE9"/>
    <w:rsid w:val="002B1EEA"/>
    <w:rsid w:val="002B2223"/>
    <w:rsid w:val="002B24B7"/>
    <w:rsid w:val="002B2503"/>
    <w:rsid w:val="002B2883"/>
    <w:rsid w:val="002B2AE0"/>
    <w:rsid w:val="002B2F5B"/>
    <w:rsid w:val="002B3104"/>
    <w:rsid w:val="002B32D9"/>
    <w:rsid w:val="002B33EC"/>
    <w:rsid w:val="002B361A"/>
    <w:rsid w:val="002B3714"/>
    <w:rsid w:val="002B38F1"/>
    <w:rsid w:val="002B3E76"/>
    <w:rsid w:val="002B41C6"/>
    <w:rsid w:val="002B4539"/>
    <w:rsid w:val="002B459B"/>
    <w:rsid w:val="002B47C3"/>
    <w:rsid w:val="002B4AFD"/>
    <w:rsid w:val="002B4B11"/>
    <w:rsid w:val="002B4B5E"/>
    <w:rsid w:val="002B4BA9"/>
    <w:rsid w:val="002B4C91"/>
    <w:rsid w:val="002B4CAA"/>
    <w:rsid w:val="002B4ECE"/>
    <w:rsid w:val="002B5396"/>
    <w:rsid w:val="002B569F"/>
    <w:rsid w:val="002B5791"/>
    <w:rsid w:val="002B5B31"/>
    <w:rsid w:val="002B5B41"/>
    <w:rsid w:val="002B5BFA"/>
    <w:rsid w:val="002B5F17"/>
    <w:rsid w:val="002B61CA"/>
    <w:rsid w:val="002B6340"/>
    <w:rsid w:val="002B6437"/>
    <w:rsid w:val="002B64E7"/>
    <w:rsid w:val="002B675B"/>
    <w:rsid w:val="002B679B"/>
    <w:rsid w:val="002B6997"/>
    <w:rsid w:val="002B699E"/>
    <w:rsid w:val="002B6E58"/>
    <w:rsid w:val="002B6FEE"/>
    <w:rsid w:val="002B70C2"/>
    <w:rsid w:val="002B7164"/>
    <w:rsid w:val="002B719B"/>
    <w:rsid w:val="002B727E"/>
    <w:rsid w:val="002B7581"/>
    <w:rsid w:val="002B7616"/>
    <w:rsid w:val="002B77FE"/>
    <w:rsid w:val="002B783D"/>
    <w:rsid w:val="002B7887"/>
    <w:rsid w:val="002B7906"/>
    <w:rsid w:val="002B790A"/>
    <w:rsid w:val="002B79BB"/>
    <w:rsid w:val="002B7A49"/>
    <w:rsid w:val="002B7A87"/>
    <w:rsid w:val="002B7E67"/>
    <w:rsid w:val="002B7EEC"/>
    <w:rsid w:val="002B7F50"/>
    <w:rsid w:val="002C0292"/>
    <w:rsid w:val="002C062A"/>
    <w:rsid w:val="002C0965"/>
    <w:rsid w:val="002C0AD1"/>
    <w:rsid w:val="002C0C6E"/>
    <w:rsid w:val="002C0CA0"/>
    <w:rsid w:val="002C0CCE"/>
    <w:rsid w:val="002C0F90"/>
    <w:rsid w:val="002C0FF4"/>
    <w:rsid w:val="002C16E2"/>
    <w:rsid w:val="002C18F4"/>
    <w:rsid w:val="002C19BF"/>
    <w:rsid w:val="002C19CA"/>
    <w:rsid w:val="002C19EC"/>
    <w:rsid w:val="002C1A0A"/>
    <w:rsid w:val="002C1C43"/>
    <w:rsid w:val="002C1E28"/>
    <w:rsid w:val="002C2068"/>
    <w:rsid w:val="002C20A3"/>
    <w:rsid w:val="002C215B"/>
    <w:rsid w:val="002C224E"/>
    <w:rsid w:val="002C23FA"/>
    <w:rsid w:val="002C249B"/>
    <w:rsid w:val="002C24A9"/>
    <w:rsid w:val="002C2590"/>
    <w:rsid w:val="002C2619"/>
    <w:rsid w:val="002C2674"/>
    <w:rsid w:val="002C27C5"/>
    <w:rsid w:val="002C2972"/>
    <w:rsid w:val="002C2AED"/>
    <w:rsid w:val="002C3013"/>
    <w:rsid w:val="002C304E"/>
    <w:rsid w:val="002C315B"/>
    <w:rsid w:val="002C3243"/>
    <w:rsid w:val="002C3423"/>
    <w:rsid w:val="002C37B6"/>
    <w:rsid w:val="002C3947"/>
    <w:rsid w:val="002C3A76"/>
    <w:rsid w:val="002C3ADB"/>
    <w:rsid w:val="002C3DC8"/>
    <w:rsid w:val="002C3E05"/>
    <w:rsid w:val="002C3E3D"/>
    <w:rsid w:val="002C411D"/>
    <w:rsid w:val="002C4189"/>
    <w:rsid w:val="002C437C"/>
    <w:rsid w:val="002C4474"/>
    <w:rsid w:val="002C463B"/>
    <w:rsid w:val="002C47DD"/>
    <w:rsid w:val="002C48D6"/>
    <w:rsid w:val="002C48E7"/>
    <w:rsid w:val="002C49DB"/>
    <w:rsid w:val="002C4A40"/>
    <w:rsid w:val="002C4A79"/>
    <w:rsid w:val="002C4A9E"/>
    <w:rsid w:val="002C4AD9"/>
    <w:rsid w:val="002C4CA1"/>
    <w:rsid w:val="002C4E10"/>
    <w:rsid w:val="002C5131"/>
    <w:rsid w:val="002C5243"/>
    <w:rsid w:val="002C52E4"/>
    <w:rsid w:val="002C53C0"/>
    <w:rsid w:val="002C5603"/>
    <w:rsid w:val="002C57E5"/>
    <w:rsid w:val="002C58FE"/>
    <w:rsid w:val="002C5B51"/>
    <w:rsid w:val="002C5E7C"/>
    <w:rsid w:val="002C5FD0"/>
    <w:rsid w:val="002C60E6"/>
    <w:rsid w:val="002C6533"/>
    <w:rsid w:val="002C65BB"/>
    <w:rsid w:val="002C6759"/>
    <w:rsid w:val="002C67DA"/>
    <w:rsid w:val="002C67EF"/>
    <w:rsid w:val="002C69C9"/>
    <w:rsid w:val="002C6A9D"/>
    <w:rsid w:val="002C6E05"/>
    <w:rsid w:val="002C700E"/>
    <w:rsid w:val="002C7298"/>
    <w:rsid w:val="002C74D8"/>
    <w:rsid w:val="002C7904"/>
    <w:rsid w:val="002C7B04"/>
    <w:rsid w:val="002D0174"/>
    <w:rsid w:val="002D01CC"/>
    <w:rsid w:val="002D01D2"/>
    <w:rsid w:val="002D03B1"/>
    <w:rsid w:val="002D05B0"/>
    <w:rsid w:val="002D05B3"/>
    <w:rsid w:val="002D06A9"/>
    <w:rsid w:val="002D073D"/>
    <w:rsid w:val="002D0921"/>
    <w:rsid w:val="002D09BE"/>
    <w:rsid w:val="002D0C13"/>
    <w:rsid w:val="002D0CAA"/>
    <w:rsid w:val="002D0EC4"/>
    <w:rsid w:val="002D0F4D"/>
    <w:rsid w:val="002D1126"/>
    <w:rsid w:val="002D15EA"/>
    <w:rsid w:val="002D16FB"/>
    <w:rsid w:val="002D17A8"/>
    <w:rsid w:val="002D1BA1"/>
    <w:rsid w:val="002D1CB8"/>
    <w:rsid w:val="002D1E4A"/>
    <w:rsid w:val="002D1F68"/>
    <w:rsid w:val="002D1F72"/>
    <w:rsid w:val="002D20EF"/>
    <w:rsid w:val="002D24B4"/>
    <w:rsid w:val="002D2607"/>
    <w:rsid w:val="002D27EA"/>
    <w:rsid w:val="002D2942"/>
    <w:rsid w:val="002D2AE4"/>
    <w:rsid w:val="002D2D60"/>
    <w:rsid w:val="002D2E4D"/>
    <w:rsid w:val="002D2EEE"/>
    <w:rsid w:val="002D2EF2"/>
    <w:rsid w:val="002D2FC9"/>
    <w:rsid w:val="002D30D4"/>
    <w:rsid w:val="002D33C4"/>
    <w:rsid w:val="002D349C"/>
    <w:rsid w:val="002D360A"/>
    <w:rsid w:val="002D3632"/>
    <w:rsid w:val="002D370D"/>
    <w:rsid w:val="002D376D"/>
    <w:rsid w:val="002D3917"/>
    <w:rsid w:val="002D3B86"/>
    <w:rsid w:val="002D3CE1"/>
    <w:rsid w:val="002D3D70"/>
    <w:rsid w:val="002D3D94"/>
    <w:rsid w:val="002D406D"/>
    <w:rsid w:val="002D453E"/>
    <w:rsid w:val="002D494C"/>
    <w:rsid w:val="002D4D27"/>
    <w:rsid w:val="002D4E57"/>
    <w:rsid w:val="002D5007"/>
    <w:rsid w:val="002D5050"/>
    <w:rsid w:val="002D53D8"/>
    <w:rsid w:val="002D53FD"/>
    <w:rsid w:val="002D54C3"/>
    <w:rsid w:val="002D55FA"/>
    <w:rsid w:val="002D564D"/>
    <w:rsid w:val="002D566C"/>
    <w:rsid w:val="002D590C"/>
    <w:rsid w:val="002D5B63"/>
    <w:rsid w:val="002D5B79"/>
    <w:rsid w:val="002D5EE9"/>
    <w:rsid w:val="002D5FB1"/>
    <w:rsid w:val="002D61CC"/>
    <w:rsid w:val="002D61E9"/>
    <w:rsid w:val="002D63CF"/>
    <w:rsid w:val="002D65C9"/>
    <w:rsid w:val="002D66C2"/>
    <w:rsid w:val="002D688A"/>
    <w:rsid w:val="002D6B68"/>
    <w:rsid w:val="002D6BB8"/>
    <w:rsid w:val="002D6C01"/>
    <w:rsid w:val="002D6D05"/>
    <w:rsid w:val="002D6D35"/>
    <w:rsid w:val="002D6D8C"/>
    <w:rsid w:val="002D6FC6"/>
    <w:rsid w:val="002D703E"/>
    <w:rsid w:val="002D714F"/>
    <w:rsid w:val="002D7156"/>
    <w:rsid w:val="002D7619"/>
    <w:rsid w:val="002D7869"/>
    <w:rsid w:val="002D7997"/>
    <w:rsid w:val="002D7B67"/>
    <w:rsid w:val="002D7C49"/>
    <w:rsid w:val="002E0086"/>
    <w:rsid w:val="002E00A5"/>
    <w:rsid w:val="002E0839"/>
    <w:rsid w:val="002E0A4B"/>
    <w:rsid w:val="002E0A70"/>
    <w:rsid w:val="002E0D72"/>
    <w:rsid w:val="002E0FA8"/>
    <w:rsid w:val="002E1126"/>
    <w:rsid w:val="002E1415"/>
    <w:rsid w:val="002E1570"/>
    <w:rsid w:val="002E164B"/>
    <w:rsid w:val="002E1684"/>
    <w:rsid w:val="002E16D1"/>
    <w:rsid w:val="002E1724"/>
    <w:rsid w:val="002E1771"/>
    <w:rsid w:val="002E18CA"/>
    <w:rsid w:val="002E1A88"/>
    <w:rsid w:val="002E1AC9"/>
    <w:rsid w:val="002E1F9E"/>
    <w:rsid w:val="002E2085"/>
    <w:rsid w:val="002E2507"/>
    <w:rsid w:val="002E2581"/>
    <w:rsid w:val="002E25F7"/>
    <w:rsid w:val="002E26DA"/>
    <w:rsid w:val="002E2729"/>
    <w:rsid w:val="002E2746"/>
    <w:rsid w:val="002E29AE"/>
    <w:rsid w:val="002E2BAD"/>
    <w:rsid w:val="002E2E3D"/>
    <w:rsid w:val="002E2E69"/>
    <w:rsid w:val="002E2E9C"/>
    <w:rsid w:val="002E2F47"/>
    <w:rsid w:val="002E312C"/>
    <w:rsid w:val="002E3142"/>
    <w:rsid w:val="002E31DC"/>
    <w:rsid w:val="002E3206"/>
    <w:rsid w:val="002E322E"/>
    <w:rsid w:val="002E32EF"/>
    <w:rsid w:val="002E3365"/>
    <w:rsid w:val="002E336E"/>
    <w:rsid w:val="002E33F4"/>
    <w:rsid w:val="002E35B6"/>
    <w:rsid w:val="002E3657"/>
    <w:rsid w:val="002E37E7"/>
    <w:rsid w:val="002E3BFE"/>
    <w:rsid w:val="002E3CA3"/>
    <w:rsid w:val="002E3E24"/>
    <w:rsid w:val="002E4026"/>
    <w:rsid w:val="002E415C"/>
    <w:rsid w:val="002E469F"/>
    <w:rsid w:val="002E4707"/>
    <w:rsid w:val="002E492E"/>
    <w:rsid w:val="002E49EB"/>
    <w:rsid w:val="002E4AE9"/>
    <w:rsid w:val="002E4C12"/>
    <w:rsid w:val="002E4D37"/>
    <w:rsid w:val="002E4F74"/>
    <w:rsid w:val="002E4FFD"/>
    <w:rsid w:val="002E50B8"/>
    <w:rsid w:val="002E52F6"/>
    <w:rsid w:val="002E55AF"/>
    <w:rsid w:val="002E5897"/>
    <w:rsid w:val="002E5C63"/>
    <w:rsid w:val="002E5CAC"/>
    <w:rsid w:val="002E5D1D"/>
    <w:rsid w:val="002E5D33"/>
    <w:rsid w:val="002E5D4D"/>
    <w:rsid w:val="002E6157"/>
    <w:rsid w:val="002E6230"/>
    <w:rsid w:val="002E6428"/>
    <w:rsid w:val="002E646B"/>
    <w:rsid w:val="002E6599"/>
    <w:rsid w:val="002E65F5"/>
    <w:rsid w:val="002E66B3"/>
    <w:rsid w:val="002E67CC"/>
    <w:rsid w:val="002E68B7"/>
    <w:rsid w:val="002E6917"/>
    <w:rsid w:val="002E6954"/>
    <w:rsid w:val="002E6A6C"/>
    <w:rsid w:val="002E6B40"/>
    <w:rsid w:val="002E6C20"/>
    <w:rsid w:val="002E6D78"/>
    <w:rsid w:val="002E6F18"/>
    <w:rsid w:val="002E7160"/>
    <w:rsid w:val="002E7233"/>
    <w:rsid w:val="002E731D"/>
    <w:rsid w:val="002E7371"/>
    <w:rsid w:val="002E751D"/>
    <w:rsid w:val="002E7639"/>
    <w:rsid w:val="002E7776"/>
    <w:rsid w:val="002E78EC"/>
    <w:rsid w:val="002E7AE6"/>
    <w:rsid w:val="002E7C54"/>
    <w:rsid w:val="002E7D1A"/>
    <w:rsid w:val="002E7E56"/>
    <w:rsid w:val="002E7F9F"/>
    <w:rsid w:val="002F01F0"/>
    <w:rsid w:val="002F0213"/>
    <w:rsid w:val="002F0407"/>
    <w:rsid w:val="002F053D"/>
    <w:rsid w:val="002F0D45"/>
    <w:rsid w:val="002F0F4C"/>
    <w:rsid w:val="002F0FFC"/>
    <w:rsid w:val="002F1012"/>
    <w:rsid w:val="002F123C"/>
    <w:rsid w:val="002F12FA"/>
    <w:rsid w:val="002F1439"/>
    <w:rsid w:val="002F155D"/>
    <w:rsid w:val="002F1657"/>
    <w:rsid w:val="002F16F8"/>
    <w:rsid w:val="002F1B6B"/>
    <w:rsid w:val="002F1D6B"/>
    <w:rsid w:val="002F1D7E"/>
    <w:rsid w:val="002F1DDC"/>
    <w:rsid w:val="002F1EF0"/>
    <w:rsid w:val="002F1F60"/>
    <w:rsid w:val="002F1FC0"/>
    <w:rsid w:val="002F207B"/>
    <w:rsid w:val="002F209F"/>
    <w:rsid w:val="002F24AC"/>
    <w:rsid w:val="002F2620"/>
    <w:rsid w:val="002F2822"/>
    <w:rsid w:val="002F2906"/>
    <w:rsid w:val="002F2995"/>
    <w:rsid w:val="002F2D8A"/>
    <w:rsid w:val="002F2F97"/>
    <w:rsid w:val="002F32F7"/>
    <w:rsid w:val="002F3646"/>
    <w:rsid w:val="002F3A8F"/>
    <w:rsid w:val="002F4205"/>
    <w:rsid w:val="002F421B"/>
    <w:rsid w:val="002F4497"/>
    <w:rsid w:val="002F44EA"/>
    <w:rsid w:val="002F473D"/>
    <w:rsid w:val="002F49C9"/>
    <w:rsid w:val="002F49F1"/>
    <w:rsid w:val="002F4BE3"/>
    <w:rsid w:val="002F4C62"/>
    <w:rsid w:val="002F4F06"/>
    <w:rsid w:val="002F5072"/>
    <w:rsid w:val="002F5189"/>
    <w:rsid w:val="002F5377"/>
    <w:rsid w:val="002F53AE"/>
    <w:rsid w:val="002F547C"/>
    <w:rsid w:val="002F573D"/>
    <w:rsid w:val="002F581C"/>
    <w:rsid w:val="002F5A0F"/>
    <w:rsid w:val="002F5B21"/>
    <w:rsid w:val="002F5BD8"/>
    <w:rsid w:val="002F5CB9"/>
    <w:rsid w:val="002F5CEB"/>
    <w:rsid w:val="002F5D5F"/>
    <w:rsid w:val="002F5F3A"/>
    <w:rsid w:val="002F6055"/>
    <w:rsid w:val="002F6093"/>
    <w:rsid w:val="002F6156"/>
    <w:rsid w:val="002F6388"/>
    <w:rsid w:val="002F63F1"/>
    <w:rsid w:val="002F680B"/>
    <w:rsid w:val="002F6967"/>
    <w:rsid w:val="002F6A07"/>
    <w:rsid w:val="002F6E98"/>
    <w:rsid w:val="002F6FFD"/>
    <w:rsid w:val="002F7055"/>
    <w:rsid w:val="002F7235"/>
    <w:rsid w:val="002F7451"/>
    <w:rsid w:val="002F7816"/>
    <w:rsid w:val="002F789F"/>
    <w:rsid w:val="002F7953"/>
    <w:rsid w:val="002F79CC"/>
    <w:rsid w:val="002F7A47"/>
    <w:rsid w:val="002F7A78"/>
    <w:rsid w:val="002F7A7B"/>
    <w:rsid w:val="002F7C1B"/>
    <w:rsid w:val="002F7C81"/>
    <w:rsid w:val="002F7D61"/>
    <w:rsid w:val="002F7E05"/>
    <w:rsid w:val="002F7E47"/>
    <w:rsid w:val="0030020C"/>
    <w:rsid w:val="0030026C"/>
    <w:rsid w:val="0030029C"/>
    <w:rsid w:val="00300893"/>
    <w:rsid w:val="003008C7"/>
    <w:rsid w:val="00300AC1"/>
    <w:rsid w:val="00300B9A"/>
    <w:rsid w:val="00300D74"/>
    <w:rsid w:val="00300DB6"/>
    <w:rsid w:val="00300DF8"/>
    <w:rsid w:val="00301331"/>
    <w:rsid w:val="0030141A"/>
    <w:rsid w:val="003016DF"/>
    <w:rsid w:val="00301852"/>
    <w:rsid w:val="00301868"/>
    <w:rsid w:val="003019FD"/>
    <w:rsid w:val="00301A28"/>
    <w:rsid w:val="00301AD7"/>
    <w:rsid w:val="00301C1A"/>
    <w:rsid w:val="00301DEB"/>
    <w:rsid w:val="00301E18"/>
    <w:rsid w:val="00301E6A"/>
    <w:rsid w:val="003021B4"/>
    <w:rsid w:val="0030234A"/>
    <w:rsid w:val="0030241F"/>
    <w:rsid w:val="003024ED"/>
    <w:rsid w:val="003025A7"/>
    <w:rsid w:val="00302923"/>
    <w:rsid w:val="00302C1E"/>
    <w:rsid w:val="00302CC6"/>
    <w:rsid w:val="00302D8A"/>
    <w:rsid w:val="00302DC3"/>
    <w:rsid w:val="00302E00"/>
    <w:rsid w:val="00302E24"/>
    <w:rsid w:val="00302EED"/>
    <w:rsid w:val="003032D9"/>
    <w:rsid w:val="00303322"/>
    <w:rsid w:val="00303378"/>
    <w:rsid w:val="0030343D"/>
    <w:rsid w:val="003037BC"/>
    <w:rsid w:val="003038E0"/>
    <w:rsid w:val="00303BD6"/>
    <w:rsid w:val="00303CCD"/>
    <w:rsid w:val="00303D65"/>
    <w:rsid w:val="00304099"/>
    <w:rsid w:val="0030424F"/>
    <w:rsid w:val="00304287"/>
    <w:rsid w:val="00304371"/>
    <w:rsid w:val="003043B6"/>
    <w:rsid w:val="0030481E"/>
    <w:rsid w:val="00304BDF"/>
    <w:rsid w:val="00304FC3"/>
    <w:rsid w:val="0030512B"/>
    <w:rsid w:val="003051AD"/>
    <w:rsid w:val="003055BB"/>
    <w:rsid w:val="0030566B"/>
    <w:rsid w:val="003057C2"/>
    <w:rsid w:val="00305D04"/>
    <w:rsid w:val="00305F72"/>
    <w:rsid w:val="0030614E"/>
    <w:rsid w:val="0030634D"/>
    <w:rsid w:val="003067F3"/>
    <w:rsid w:val="0030685F"/>
    <w:rsid w:val="00306974"/>
    <w:rsid w:val="00306E66"/>
    <w:rsid w:val="00306EC1"/>
    <w:rsid w:val="00306F68"/>
    <w:rsid w:val="00306F72"/>
    <w:rsid w:val="00306F90"/>
    <w:rsid w:val="00306FF5"/>
    <w:rsid w:val="003073F8"/>
    <w:rsid w:val="0030754F"/>
    <w:rsid w:val="00307828"/>
    <w:rsid w:val="00307ABD"/>
    <w:rsid w:val="00307D74"/>
    <w:rsid w:val="00307EAC"/>
    <w:rsid w:val="00307FCA"/>
    <w:rsid w:val="003101C5"/>
    <w:rsid w:val="0031043B"/>
    <w:rsid w:val="0031097E"/>
    <w:rsid w:val="00310983"/>
    <w:rsid w:val="00310B6A"/>
    <w:rsid w:val="00310DCB"/>
    <w:rsid w:val="00310ECB"/>
    <w:rsid w:val="003114FC"/>
    <w:rsid w:val="0031168C"/>
    <w:rsid w:val="00311880"/>
    <w:rsid w:val="00311A29"/>
    <w:rsid w:val="00311A2C"/>
    <w:rsid w:val="00311E52"/>
    <w:rsid w:val="00311E87"/>
    <w:rsid w:val="003121AA"/>
    <w:rsid w:val="00312299"/>
    <w:rsid w:val="0031232B"/>
    <w:rsid w:val="0031245C"/>
    <w:rsid w:val="00312624"/>
    <w:rsid w:val="0031267B"/>
    <w:rsid w:val="003126AC"/>
    <w:rsid w:val="00312902"/>
    <w:rsid w:val="00312945"/>
    <w:rsid w:val="00312B61"/>
    <w:rsid w:val="0031310A"/>
    <w:rsid w:val="0031317E"/>
    <w:rsid w:val="00313349"/>
    <w:rsid w:val="00313378"/>
    <w:rsid w:val="00313641"/>
    <w:rsid w:val="003137C2"/>
    <w:rsid w:val="003138EA"/>
    <w:rsid w:val="00313918"/>
    <w:rsid w:val="00313A08"/>
    <w:rsid w:val="00313B00"/>
    <w:rsid w:val="00313D27"/>
    <w:rsid w:val="00313E17"/>
    <w:rsid w:val="00313EC2"/>
    <w:rsid w:val="003141CB"/>
    <w:rsid w:val="003141E5"/>
    <w:rsid w:val="00314495"/>
    <w:rsid w:val="003144D5"/>
    <w:rsid w:val="003144E8"/>
    <w:rsid w:val="00314522"/>
    <w:rsid w:val="00314688"/>
    <w:rsid w:val="003147FE"/>
    <w:rsid w:val="00314993"/>
    <w:rsid w:val="00314D74"/>
    <w:rsid w:val="00314F15"/>
    <w:rsid w:val="0031506B"/>
    <w:rsid w:val="0031530C"/>
    <w:rsid w:val="00315712"/>
    <w:rsid w:val="0031590E"/>
    <w:rsid w:val="00315A40"/>
    <w:rsid w:val="00315CE3"/>
    <w:rsid w:val="00315F82"/>
    <w:rsid w:val="0031661F"/>
    <w:rsid w:val="003167B3"/>
    <w:rsid w:val="0031682B"/>
    <w:rsid w:val="0031695A"/>
    <w:rsid w:val="00316A48"/>
    <w:rsid w:val="00316B55"/>
    <w:rsid w:val="00316BC6"/>
    <w:rsid w:val="00316CA3"/>
    <w:rsid w:val="00316E2B"/>
    <w:rsid w:val="00316EA9"/>
    <w:rsid w:val="00316FB6"/>
    <w:rsid w:val="003170F9"/>
    <w:rsid w:val="0031718D"/>
    <w:rsid w:val="003171C5"/>
    <w:rsid w:val="0031721A"/>
    <w:rsid w:val="003172F7"/>
    <w:rsid w:val="003173CF"/>
    <w:rsid w:val="00317713"/>
    <w:rsid w:val="003177CB"/>
    <w:rsid w:val="003178E9"/>
    <w:rsid w:val="00317B4F"/>
    <w:rsid w:val="00317C75"/>
    <w:rsid w:val="00317D6A"/>
    <w:rsid w:val="00317EF8"/>
    <w:rsid w:val="00320214"/>
    <w:rsid w:val="003205C4"/>
    <w:rsid w:val="003206DF"/>
    <w:rsid w:val="003206FC"/>
    <w:rsid w:val="00320827"/>
    <w:rsid w:val="0032090A"/>
    <w:rsid w:val="00320966"/>
    <w:rsid w:val="00320AEA"/>
    <w:rsid w:val="0032103B"/>
    <w:rsid w:val="0032138D"/>
    <w:rsid w:val="0032153B"/>
    <w:rsid w:val="003215D9"/>
    <w:rsid w:val="00321757"/>
    <w:rsid w:val="00321ABA"/>
    <w:rsid w:val="00321FA6"/>
    <w:rsid w:val="00322617"/>
    <w:rsid w:val="0032266C"/>
    <w:rsid w:val="003226D9"/>
    <w:rsid w:val="003228A2"/>
    <w:rsid w:val="00322C87"/>
    <w:rsid w:val="00322CF6"/>
    <w:rsid w:val="00322F8A"/>
    <w:rsid w:val="0032320B"/>
    <w:rsid w:val="0032323E"/>
    <w:rsid w:val="003234C2"/>
    <w:rsid w:val="003234D4"/>
    <w:rsid w:val="003234DA"/>
    <w:rsid w:val="003237CC"/>
    <w:rsid w:val="00323E1B"/>
    <w:rsid w:val="00323ED4"/>
    <w:rsid w:val="00323F12"/>
    <w:rsid w:val="00323FD9"/>
    <w:rsid w:val="00324169"/>
    <w:rsid w:val="003241A2"/>
    <w:rsid w:val="00324453"/>
    <w:rsid w:val="0032449D"/>
    <w:rsid w:val="00324737"/>
    <w:rsid w:val="003248A8"/>
    <w:rsid w:val="00324CEB"/>
    <w:rsid w:val="00324D07"/>
    <w:rsid w:val="00324DC6"/>
    <w:rsid w:val="00324DE0"/>
    <w:rsid w:val="00325155"/>
    <w:rsid w:val="00325179"/>
    <w:rsid w:val="00325481"/>
    <w:rsid w:val="00325BF9"/>
    <w:rsid w:val="00325F9A"/>
    <w:rsid w:val="0032600A"/>
    <w:rsid w:val="0032604F"/>
    <w:rsid w:val="00326513"/>
    <w:rsid w:val="00326631"/>
    <w:rsid w:val="00326640"/>
    <w:rsid w:val="00326908"/>
    <w:rsid w:val="003269B0"/>
    <w:rsid w:val="00326AFF"/>
    <w:rsid w:val="00326B6C"/>
    <w:rsid w:val="00326C23"/>
    <w:rsid w:val="00326C8C"/>
    <w:rsid w:val="00326E21"/>
    <w:rsid w:val="00326E86"/>
    <w:rsid w:val="00326FD1"/>
    <w:rsid w:val="00327031"/>
    <w:rsid w:val="0032731B"/>
    <w:rsid w:val="00327443"/>
    <w:rsid w:val="0032745D"/>
    <w:rsid w:val="003274CA"/>
    <w:rsid w:val="003276A4"/>
    <w:rsid w:val="00327778"/>
    <w:rsid w:val="003277AC"/>
    <w:rsid w:val="00327A98"/>
    <w:rsid w:val="00327C04"/>
    <w:rsid w:val="00327C28"/>
    <w:rsid w:val="00327C68"/>
    <w:rsid w:val="00327F01"/>
    <w:rsid w:val="00330097"/>
    <w:rsid w:val="003304AC"/>
    <w:rsid w:val="00330578"/>
    <w:rsid w:val="00330867"/>
    <w:rsid w:val="00330B3D"/>
    <w:rsid w:val="00330C52"/>
    <w:rsid w:val="00330D95"/>
    <w:rsid w:val="00330E78"/>
    <w:rsid w:val="003312A8"/>
    <w:rsid w:val="003312FF"/>
    <w:rsid w:val="00331420"/>
    <w:rsid w:val="0033147D"/>
    <w:rsid w:val="003314A1"/>
    <w:rsid w:val="00331593"/>
    <w:rsid w:val="003316E4"/>
    <w:rsid w:val="00331735"/>
    <w:rsid w:val="00331CBA"/>
    <w:rsid w:val="00331ECF"/>
    <w:rsid w:val="0033207E"/>
    <w:rsid w:val="003320C5"/>
    <w:rsid w:val="00332127"/>
    <w:rsid w:val="00332319"/>
    <w:rsid w:val="00332340"/>
    <w:rsid w:val="003324EC"/>
    <w:rsid w:val="0033294E"/>
    <w:rsid w:val="00332B6C"/>
    <w:rsid w:val="00332D8C"/>
    <w:rsid w:val="00332EFE"/>
    <w:rsid w:val="00332F52"/>
    <w:rsid w:val="00332FB1"/>
    <w:rsid w:val="00333005"/>
    <w:rsid w:val="003333E1"/>
    <w:rsid w:val="00333531"/>
    <w:rsid w:val="00333698"/>
    <w:rsid w:val="00333760"/>
    <w:rsid w:val="00333895"/>
    <w:rsid w:val="003339D8"/>
    <w:rsid w:val="003339F4"/>
    <w:rsid w:val="00333ADF"/>
    <w:rsid w:val="00333BB8"/>
    <w:rsid w:val="00333E8D"/>
    <w:rsid w:val="00333EFD"/>
    <w:rsid w:val="00334158"/>
    <w:rsid w:val="0033438B"/>
    <w:rsid w:val="003345C7"/>
    <w:rsid w:val="00334657"/>
    <w:rsid w:val="0033478E"/>
    <w:rsid w:val="003347C4"/>
    <w:rsid w:val="00334806"/>
    <w:rsid w:val="00334B3C"/>
    <w:rsid w:val="00334C1F"/>
    <w:rsid w:val="00334C63"/>
    <w:rsid w:val="00334D9F"/>
    <w:rsid w:val="00335026"/>
    <w:rsid w:val="003350A5"/>
    <w:rsid w:val="00335198"/>
    <w:rsid w:val="0033521C"/>
    <w:rsid w:val="0033537D"/>
    <w:rsid w:val="0033582C"/>
    <w:rsid w:val="00335AEA"/>
    <w:rsid w:val="00335B14"/>
    <w:rsid w:val="00335C07"/>
    <w:rsid w:val="00335C36"/>
    <w:rsid w:val="00335ECD"/>
    <w:rsid w:val="00335F86"/>
    <w:rsid w:val="00336000"/>
    <w:rsid w:val="00336087"/>
    <w:rsid w:val="00336426"/>
    <w:rsid w:val="00336615"/>
    <w:rsid w:val="003366A9"/>
    <w:rsid w:val="003367F1"/>
    <w:rsid w:val="00336931"/>
    <w:rsid w:val="00336BC0"/>
    <w:rsid w:val="00336DE6"/>
    <w:rsid w:val="00336FBB"/>
    <w:rsid w:val="003374A8"/>
    <w:rsid w:val="003377A2"/>
    <w:rsid w:val="00337990"/>
    <w:rsid w:val="0034022D"/>
    <w:rsid w:val="0034032C"/>
    <w:rsid w:val="00340742"/>
    <w:rsid w:val="00340AAD"/>
    <w:rsid w:val="00340C32"/>
    <w:rsid w:val="00340C71"/>
    <w:rsid w:val="00340CBF"/>
    <w:rsid w:val="00340DB4"/>
    <w:rsid w:val="00340E41"/>
    <w:rsid w:val="00340E60"/>
    <w:rsid w:val="00340E6D"/>
    <w:rsid w:val="00340FB3"/>
    <w:rsid w:val="00341077"/>
    <w:rsid w:val="003412A1"/>
    <w:rsid w:val="00341486"/>
    <w:rsid w:val="0034159F"/>
    <w:rsid w:val="00341817"/>
    <w:rsid w:val="00341C5D"/>
    <w:rsid w:val="00341EEA"/>
    <w:rsid w:val="0034209E"/>
    <w:rsid w:val="00342245"/>
    <w:rsid w:val="0034224B"/>
    <w:rsid w:val="00342340"/>
    <w:rsid w:val="00342569"/>
    <w:rsid w:val="0034293C"/>
    <w:rsid w:val="003429C4"/>
    <w:rsid w:val="00342AD8"/>
    <w:rsid w:val="00342B37"/>
    <w:rsid w:val="00342DCD"/>
    <w:rsid w:val="00342F75"/>
    <w:rsid w:val="003434A2"/>
    <w:rsid w:val="003435C3"/>
    <w:rsid w:val="00343646"/>
    <w:rsid w:val="00343700"/>
    <w:rsid w:val="00343803"/>
    <w:rsid w:val="0034389C"/>
    <w:rsid w:val="0034390F"/>
    <w:rsid w:val="003439D4"/>
    <w:rsid w:val="00343A05"/>
    <w:rsid w:val="00343AF6"/>
    <w:rsid w:val="00343C9F"/>
    <w:rsid w:val="00343D2F"/>
    <w:rsid w:val="00343E71"/>
    <w:rsid w:val="0034449F"/>
    <w:rsid w:val="003445FB"/>
    <w:rsid w:val="00344642"/>
    <w:rsid w:val="0034464C"/>
    <w:rsid w:val="003447EC"/>
    <w:rsid w:val="003447FD"/>
    <w:rsid w:val="0034481B"/>
    <w:rsid w:val="00344884"/>
    <w:rsid w:val="003448E8"/>
    <w:rsid w:val="00344B3C"/>
    <w:rsid w:val="00344C1D"/>
    <w:rsid w:val="00344E85"/>
    <w:rsid w:val="00344E9F"/>
    <w:rsid w:val="00344EFC"/>
    <w:rsid w:val="0034504D"/>
    <w:rsid w:val="0034506D"/>
    <w:rsid w:val="00345382"/>
    <w:rsid w:val="0034546F"/>
    <w:rsid w:val="003454BC"/>
    <w:rsid w:val="00345595"/>
    <w:rsid w:val="003459AA"/>
    <w:rsid w:val="00345CA0"/>
    <w:rsid w:val="00345CAA"/>
    <w:rsid w:val="003460C3"/>
    <w:rsid w:val="003463AB"/>
    <w:rsid w:val="003464E5"/>
    <w:rsid w:val="00346588"/>
    <w:rsid w:val="003466CA"/>
    <w:rsid w:val="00346878"/>
    <w:rsid w:val="00346A06"/>
    <w:rsid w:val="00346AE5"/>
    <w:rsid w:val="00346B7F"/>
    <w:rsid w:val="00346E1B"/>
    <w:rsid w:val="00346ECD"/>
    <w:rsid w:val="0034756E"/>
    <w:rsid w:val="003477C2"/>
    <w:rsid w:val="003477E9"/>
    <w:rsid w:val="003479AB"/>
    <w:rsid w:val="00347A1E"/>
    <w:rsid w:val="00350111"/>
    <w:rsid w:val="003503B8"/>
    <w:rsid w:val="00350488"/>
    <w:rsid w:val="003505A5"/>
    <w:rsid w:val="003506CA"/>
    <w:rsid w:val="00350753"/>
    <w:rsid w:val="0035090A"/>
    <w:rsid w:val="00350944"/>
    <w:rsid w:val="00350A4E"/>
    <w:rsid w:val="00350BC6"/>
    <w:rsid w:val="00350C83"/>
    <w:rsid w:val="00350CAE"/>
    <w:rsid w:val="00350D29"/>
    <w:rsid w:val="00350E92"/>
    <w:rsid w:val="00350EB5"/>
    <w:rsid w:val="00350F35"/>
    <w:rsid w:val="00350F37"/>
    <w:rsid w:val="00350FC8"/>
    <w:rsid w:val="00351468"/>
    <w:rsid w:val="00351576"/>
    <w:rsid w:val="00351621"/>
    <w:rsid w:val="003516DC"/>
    <w:rsid w:val="003516F4"/>
    <w:rsid w:val="00351912"/>
    <w:rsid w:val="00351A29"/>
    <w:rsid w:val="00351AAA"/>
    <w:rsid w:val="00351B22"/>
    <w:rsid w:val="00351BEF"/>
    <w:rsid w:val="00351FF0"/>
    <w:rsid w:val="00352035"/>
    <w:rsid w:val="003520E2"/>
    <w:rsid w:val="003521E2"/>
    <w:rsid w:val="003523F8"/>
    <w:rsid w:val="003524F8"/>
    <w:rsid w:val="0035256E"/>
    <w:rsid w:val="003527F7"/>
    <w:rsid w:val="00352B59"/>
    <w:rsid w:val="00352EF4"/>
    <w:rsid w:val="00353065"/>
    <w:rsid w:val="00353093"/>
    <w:rsid w:val="003532BC"/>
    <w:rsid w:val="003532CE"/>
    <w:rsid w:val="0035358B"/>
    <w:rsid w:val="0035359B"/>
    <w:rsid w:val="00353688"/>
    <w:rsid w:val="00353B09"/>
    <w:rsid w:val="00353BC0"/>
    <w:rsid w:val="00353F5C"/>
    <w:rsid w:val="0035415C"/>
    <w:rsid w:val="003542D6"/>
    <w:rsid w:val="003543C4"/>
    <w:rsid w:val="00354428"/>
    <w:rsid w:val="003545D3"/>
    <w:rsid w:val="00354734"/>
    <w:rsid w:val="00354A2C"/>
    <w:rsid w:val="00354D8F"/>
    <w:rsid w:val="003550E0"/>
    <w:rsid w:val="0035540D"/>
    <w:rsid w:val="00355626"/>
    <w:rsid w:val="00355872"/>
    <w:rsid w:val="00355BAA"/>
    <w:rsid w:val="00355F17"/>
    <w:rsid w:val="00356183"/>
    <w:rsid w:val="003564CF"/>
    <w:rsid w:val="0035688B"/>
    <w:rsid w:val="00356914"/>
    <w:rsid w:val="00356B0D"/>
    <w:rsid w:val="00356B13"/>
    <w:rsid w:val="00356B50"/>
    <w:rsid w:val="00356BEB"/>
    <w:rsid w:val="00356D4A"/>
    <w:rsid w:val="00356E76"/>
    <w:rsid w:val="00356F8F"/>
    <w:rsid w:val="0035734A"/>
    <w:rsid w:val="00357394"/>
    <w:rsid w:val="003575EC"/>
    <w:rsid w:val="00357715"/>
    <w:rsid w:val="00357C05"/>
    <w:rsid w:val="00360095"/>
    <w:rsid w:val="00360186"/>
    <w:rsid w:val="0036032D"/>
    <w:rsid w:val="00360600"/>
    <w:rsid w:val="00360624"/>
    <w:rsid w:val="00360798"/>
    <w:rsid w:val="003608B1"/>
    <w:rsid w:val="0036109D"/>
    <w:rsid w:val="00361473"/>
    <w:rsid w:val="0036164F"/>
    <w:rsid w:val="003616B3"/>
    <w:rsid w:val="00361709"/>
    <w:rsid w:val="003617E7"/>
    <w:rsid w:val="00361947"/>
    <w:rsid w:val="0036197D"/>
    <w:rsid w:val="00361998"/>
    <w:rsid w:val="00361A2C"/>
    <w:rsid w:val="00361B06"/>
    <w:rsid w:val="00361B1A"/>
    <w:rsid w:val="00361CDE"/>
    <w:rsid w:val="00361F18"/>
    <w:rsid w:val="00362010"/>
    <w:rsid w:val="00362012"/>
    <w:rsid w:val="003620B2"/>
    <w:rsid w:val="003623CD"/>
    <w:rsid w:val="00362420"/>
    <w:rsid w:val="0036258F"/>
    <w:rsid w:val="00362641"/>
    <w:rsid w:val="00362676"/>
    <w:rsid w:val="0036271C"/>
    <w:rsid w:val="003628B1"/>
    <w:rsid w:val="00362E78"/>
    <w:rsid w:val="00363373"/>
    <w:rsid w:val="00363484"/>
    <w:rsid w:val="00363620"/>
    <w:rsid w:val="003637C0"/>
    <w:rsid w:val="003637EF"/>
    <w:rsid w:val="0036389A"/>
    <w:rsid w:val="00363961"/>
    <w:rsid w:val="0036399E"/>
    <w:rsid w:val="00363A60"/>
    <w:rsid w:val="00363D58"/>
    <w:rsid w:val="00363D97"/>
    <w:rsid w:val="00363DE5"/>
    <w:rsid w:val="00363E2F"/>
    <w:rsid w:val="00363EAC"/>
    <w:rsid w:val="00363F39"/>
    <w:rsid w:val="00363F9D"/>
    <w:rsid w:val="0036425B"/>
    <w:rsid w:val="00364323"/>
    <w:rsid w:val="00364444"/>
    <w:rsid w:val="00364504"/>
    <w:rsid w:val="00364510"/>
    <w:rsid w:val="003646BB"/>
    <w:rsid w:val="003646C2"/>
    <w:rsid w:val="003647C9"/>
    <w:rsid w:val="00364833"/>
    <w:rsid w:val="00364B82"/>
    <w:rsid w:val="00364C1A"/>
    <w:rsid w:val="00364D7B"/>
    <w:rsid w:val="00364DD9"/>
    <w:rsid w:val="00364FBD"/>
    <w:rsid w:val="0036564F"/>
    <w:rsid w:val="0036589C"/>
    <w:rsid w:val="00365E33"/>
    <w:rsid w:val="00365EC9"/>
    <w:rsid w:val="00365F48"/>
    <w:rsid w:val="0036668D"/>
    <w:rsid w:val="003668FE"/>
    <w:rsid w:val="0036694C"/>
    <w:rsid w:val="00366A21"/>
    <w:rsid w:val="00366B6B"/>
    <w:rsid w:val="00366D40"/>
    <w:rsid w:val="00366E00"/>
    <w:rsid w:val="00366FB3"/>
    <w:rsid w:val="0036710C"/>
    <w:rsid w:val="00367572"/>
    <w:rsid w:val="003675FB"/>
    <w:rsid w:val="00367646"/>
    <w:rsid w:val="003678F1"/>
    <w:rsid w:val="00367C18"/>
    <w:rsid w:val="00367CCC"/>
    <w:rsid w:val="00367E35"/>
    <w:rsid w:val="00367E8C"/>
    <w:rsid w:val="00370001"/>
    <w:rsid w:val="0037018F"/>
    <w:rsid w:val="003703FC"/>
    <w:rsid w:val="0037068A"/>
    <w:rsid w:val="003707AE"/>
    <w:rsid w:val="00370A6B"/>
    <w:rsid w:val="00370B06"/>
    <w:rsid w:val="00370B14"/>
    <w:rsid w:val="00370BFD"/>
    <w:rsid w:val="00370C28"/>
    <w:rsid w:val="00370C6C"/>
    <w:rsid w:val="00370C9C"/>
    <w:rsid w:val="00370D16"/>
    <w:rsid w:val="00370D2F"/>
    <w:rsid w:val="0037105E"/>
    <w:rsid w:val="003712B3"/>
    <w:rsid w:val="00371440"/>
    <w:rsid w:val="00371A24"/>
    <w:rsid w:val="00371A3B"/>
    <w:rsid w:val="00371B93"/>
    <w:rsid w:val="00371DF6"/>
    <w:rsid w:val="00372DFF"/>
    <w:rsid w:val="00372E0D"/>
    <w:rsid w:val="00372F01"/>
    <w:rsid w:val="003733B5"/>
    <w:rsid w:val="00373490"/>
    <w:rsid w:val="00373785"/>
    <w:rsid w:val="00373924"/>
    <w:rsid w:val="00373A6C"/>
    <w:rsid w:val="00373FAD"/>
    <w:rsid w:val="0037446E"/>
    <w:rsid w:val="00374609"/>
    <w:rsid w:val="00374619"/>
    <w:rsid w:val="00374658"/>
    <w:rsid w:val="00374758"/>
    <w:rsid w:val="003749D0"/>
    <w:rsid w:val="00374D41"/>
    <w:rsid w:val="0037501D"/>
    <w:rsid w:val="00375108"/>
    <w:rsid w:val="0037523F"/>
    <w:rsid w:val="003753D3"/>
    <w:rsid w:val="00375401"/>
    <w:rsid w:val="003757BF"/>
    <w:rsid w:val="00375AC2"/>
    <w:rsid w:val="00375E85"/>
    <w:rsid w:val="00376047"/>
    <w:rsid w:val="003760DC"/>
    <w:rsid w:val="003760DF"/>
    <w:rsid w:val="00376101"/>
    <w:rsid w:val="00376305"/>
    <w:rsid w:val="0037647D"/>
    <w:rsid w:val="00376598"/>
    <w:rsid w:val="0037660F"/>
    <w:rsid w:val="00376650"/>
    <w:rsid w:val="00376805"/>
    <w:rsid w:val="00376E02"/>
    <w:rsid w:val="00376E9D"/>
    <w:rsid w:val="00376F2B"/>
    <w:rsid w:val="003770D4"/>
    <w:rsid w:val="0037715D"/>
    <w:rsid w:val="0037717C"/>
    <w:rsid w:val="00377211"/>
    <w:rsid w:val="0037728F"/>
    <w:rsid w:val="0037732B"/>
    <w:rsid w:val="0037734E"/>
    <w:rsid w:val="003773DB"/>
    <w:rsid w:val="003773E7"/>
    <w:rsid w:val="00377840"/>
    <w:rsid w:val="003779D9"/>
    <w:rsid w:val="00377B5C"/>
    <w:rsid w:val="00377B8D"/>
    <w:rsid w:val="00377C5E"/>
    <w:rsid w:val="00377CF5"/>
    <w:rsid w:val="00377ED6"/>
    <w:rsid w:val="00380016"/>
    <w:rsid w:val="003802D2"/>
    <w:rsid w:val="003803B7"/>
    <w:rsid w:val="00380459"/>
    <w:rsid w:val="0038049B"/>
    <w:rsid w:val="0038070C"/>
    <w:rsid w:val="003807D6"/>
    <w:rsid w:val="00380B73"/>
    <w:rsid w:val="00380D31"/>
    <w:rsid w:val="00380D34"/>
    <w:rsid w:val="00381048"/>
    <w:rsid w:val="003817B8"/>
    <w:rsid w:val="00381A63"/>
    <w:rsid w:val="00381B1F"/>
    <w:rsid w:val="003820A8"/>
    <w:rsid w:val="00382152"/>
    <w:rsid w:val="00382287"/>
    <w:rsid w:val="003822AE"/>
    <w:rsid w:val="003829DE"/>
    <w:rsid w:val="00382B21"/>
    <w:rsid w:val="00382F18"/>
    <w:rsid w:val="00382FE9"/>
    <w:rsid w:val="00383128"/>
    <w:rsid w:val="00383222"/>
    <w:rsid w:val="003832AC"/>
    <w:rsid w:val="003832DC"/>
    <w:rsid w:val="00383425"/>
    <w:rsid w:val="00383434"/>
    <w:rsid w:val="0038389A"/>
    <w:rsid w:val="003839B5"/>
    <w:rsid w:val="00383AF7"/>
    <w:rsid w:val="00383C81"/>
    <w:rsid w:val="00383EFB"/>
    <w:rsid w:val="00384475"/>
    <w:rsid w:val="003846CB"/>
    <w:rsid w:val="00384711"/>
    <w:rsid w:val="00384776"/>
    <w:rsid w:val="003847DC"/>
    <w:rsid w:val="003849A9"/>
    <w:rsid w:val="00384B94"/>
    <w:rsid w:val="00384BA8"/>
    <w:rsid w:val="00384C4B"/>
    <w:rsid w:val="00384C99"/>
    <w:rsid w:val="00384FD5"/>
    <w:rsid w:val="003852B0"/>
    <w:rsid w:val="003852CA"/>
    <w:rsid w:val="00385660"/>
    <w:rsid w:val="00385831"/>
    <w:rsid w:val="00385AAC"/>
    <w:rsid w:val="00385AD5"/>
    <w:rsid w:val="00385D06"/>
    <w:rsid w:val="00385D55"/>
    <w:rsid w:val="00385E15"/>
    <w:rsid w:val="00385E69"/>
    <w:rsid w:val="00386246"/>
    <w:rsid w:val="003864E0"/>
    <w:rsid w:val="003865A1"/>
    <w:rsid w:val="003866C3"/>
    <w:rsid w:val="00386740"/>
    <w:rsid w:val="00386A32"/>
    <w:rsid w:val="00386A72"/>
    <w:rsid w:val="00387057"/>
    <w:rsid w:val="00387267"/>
    <w:rsid w:val="0038743D"/>
    <w:rsid w:val="0038752D"/>
    <w:rsid w:val="00387786"/>
    <w:rsid w:val="00387A6B"/>
    <w:rsid w:val="00387BE2"/>
    <w:rsid w:val="00387CD9"/>
    <w:rsid w:val="00387F73"/>
    <w:rsid w:val="0039021B"/>
    <w:rsid w:val="003902F8"/>
    <w:rsid w:val="00390440"/>
    <w:rsid w:val="003904DC"/>
    <w:rsid w:val="00390B63"/>
    <w:rsid w:val="00390B99"/>
    <w:rsid w:val="00390C1F"/>
    <w:rsid w:val="00390C55"/>
    <w:rsid w:val="00390D1C"/>
    <w:rsid w:val="00390E57"/>
    <w:rsid w:val="003911F0"/>
    <w:rsid w:val="00391214"/>
    <w:rsid w:val="00391732"/>
    <w:rsid w:val="0039175D"/>
    <w:rsid w:val="00391763"/>
    <w:rsid w:val="003919EE"/>
    <w:rsid w:val="00391AA9"/>
    <w:rsid w:val="00391AAE"/>
    <w:rsid w:val="00391AC5"/>
    <w:rsid w:val="00391B41"/>
    <w:rsid w:val="00391BCC"/>
    <w:rsid w:val="00391D56"/>
    <w:rsid w:val="00391D5F"/>
    <w:rsid w:val="00391ED2"/>
    <w:rsid w:val="00391ED6"/>
    <w:rsid w:val="0039210F"/>
    <w:rsid w:val="00392211"/>
    <w:rsid w:val="00392317"/>
    <w:rsid w:val="0039293D"/>
    <w:rsid w:val="00392DA6"/>
    <w:rsid w:val="00392E7A"/>
    <w:rsid w:val="00392EBC"/>
    <w:rsid w:val="00392F89"/>
    <w:rsid w:val="0039307F"/>
    <w:rsid w:val="00393555"/>
    <w:rsid w:val="003936E7"/>
    <w:rsid w:val="003938B1"/>
    <w:rsid w:val="00393907"/>
    <w:rsid w:val="00393AF2"/>
    <w:rsid w:val="00393CA2"/>
    <w:rsid w:val="00393EBC"/>
    <w:rsid w:val="00394140"/>
    <w:rsid w:val="0039425F"/>
    <w:rsid w:val="00394298"/>
    <w:rsid w:val="003945F9"/>
    <w:rsid w:val="0039470A"/>
    <w:rsid w:val="003947AB"/>
    <w:rsid w:val="003947C8"/>
    <w:rsid w:val="0039496B"/>
    <w:rsid w:val="00394B34"/>
    <w:rsid w:val="00394C43"/>
    <w:rsid w:val="00394DBB"/>
    <w:rsid w:val="00394DD8"/>
    <w:rsid w:val="00394E24"/>
    <w:rsid w:val="00394F79"/>
    <w:rsid w:val="00394F8B"/>
    <w:rsid w:val="00395043"/>
    <w:rsid w:val="003957BC"/>
    <w:rsid w:val="00395934"/>
    <w:rsid w:val="003959E0"/>
    <w:rsid w:val="00395B08"/>
    <w:rsid w:val="00395BB5"/>
    <w:rsid w:val="00395BFA"/>
    <w:rsid w:val="00395CAB"/>
    <w:rsid w:val="00395F96"/>
    <w:rsid w:val="00395FBB"/>
    <w:rsid w:val="00395FC1"/>
    <w:rsid w:val="00395FFE"/>
    <w:rsid w:val="003960B8"/>
    <w:rsid w:val="00396169"/>
    <w:rsid w:val="003961D4"/>
    <w:rsid w:val="003962A6"/>
    <w:rsid w:val="00396534"/>
    <w:rsid w:val="003965B3"/>
    <w:rsid w:val="003965C5"/>
    <w:rsid w:val="003965FB"/>
    <w:rsid w:val="003967CC"/>
    <w:rsid w:val="00396A2E"/>
    <w:rsid w:val="00396AD9"/>
    <w:rsid w:val="00396B28"/>
    <w:rsid w:val="00397166"/>
    <w:rsid w:val="003973A0"/>
    <w:rsid w:val="00397474"/>
    <w:rsid w:val="0039768B"/>
    <w:rsid w:val="003976E1"/>
    <w:rsid w:val="00397846"/>
    <w:rsid w:val="003978C6"/>
    <w:rsid w:val="00397A0C"/>
    <w:rsid w:val="00397A42"/>
    <w:rsid w:val="00397E5D"/>
    <w:rsid w:val="00397E74"/>
    <w:rsid w:val="00397E76"/>
    <w:rsid w:val="00397EF9"/>
    <w:rsid w:val="003A000F"/>
    <w:rsid w:val="003A030B"/>
    <w:rsid w:val="003A03D2"/>
    <w:rsid w:val="003A040E"/>
    <w:rsid w:val="003A0452"/>
    <w:rsid w:val="003A05C5"/>
    <w:rsid w:val="003A0633"/>
    <w:rsid w:val="003A078E"/>
    <w:rsid w:val="003A0AEE"/>
    <w:rsid w:val="003A0C26"/>
    <w:rsid w:val="003A0DE6"/>
    <w:rsid w:val="003A0F37"/>
    <w:rsid w:val="003A10A2"/>
    <w:rsid w:val="003A119D"/>
    <w:rsid w:val="003A131E"/>
    <w:rsid w:val="003A14E7"/>
    <w:rsid w:val="003A1748"/>
    <w:rsid w:val="003A18F6"/>
    <w:rsid w:val="003A190F"/>
    <w:rsid w:val="003A192A"/>
    <w:rsid w:val="003A19F1"/>
    <w:rsid w:val="003A1B16"/>
    <w:rsid w:val="003A1B30"/>
    <w:rsid w:val="003A1E5F"/>
    <w:rsid w:val="003A205A"/>
    <w:rsid w:val="003A2070"/>
    <w:rsid w:val="003A20F5"/>
    <w:rsid w:val="003A2169"/>
    <w:rsid w:val="003A219C"/>
    <w:rsid w:val="003A21EE"/>
    <w:rsid w:val="003A228D"/>
    <w:rsid w:val="003A24B9"/>
    <w:rsid w:val="003A279C"/>
    <w:rsid w:val="003A2BBD"/>
    <w:rsid w:val="003A2BD0"/>
    <w:rsid w:val="003A2BD1"/>
    <w:rsid w:val="003A2DE0"/>
    <w:rsid w:val="003A2EB3"/>
    <w:rsid w:val="003A2EDF"/>
    <w:rsid w:val="003A2F55"/>
    <w:rsid w:val="003A2F9F"/>
    <w:rsid w:val="003A3143"/>
    <w:rsid w:val="003A314E"/>
    <w:rsid w:val="003A3165"/>
    <w:rsid w:val="003A31B9"/>
    <w:rsid w:val="003A321C"/>
    <w:rsid w:val="003A33E0"/>
    <w:rsid w:val="003A34CE"/>
    <w:rsid w:val="003A35F9"/>
    <w:rsid w:val="003A3E2A"/>
    <w:rsid w:val="003A3F0E"/>
    <w:rsid w:val="003A3F34"/>
    <w:rsid w:val="003A4381"/>
    <w:rsid w:val="003A43AE"/>
    <w:rsid w:val="003A4719"/>
    <w:rsid w:val="003A4943"/>
    <w:rsid w:val="003A494C"/>
    <w:rsid w:val="003A4C37"/>
    <w:rsid w:val="003A4DAD"/>
    <w:rsid w:val="003A5182"/>
    <w:rsid w:val="003A5804"/>
    <w:rsid w:val="003A58A7"/>
    <w:rsid w:val="003A59C6"/>
    <w:rsid w:val="003A5A2C"/>
    <w:rsid w:val="003A5D4E"/>
    <w:rsid w:val="003A5ECE"/>
    <w:rsid w:val="003A5EFD"/>
    <w:rsid w:val="003A614D"/>
    <w:rsid w:val="003A6231"/>
    <w:rsid w:val="003A62F5"/>
    <w:rsid w:val="003A6374"/>
    <w:rsid w:val="003A6470"/>
    <w:rsid w:val="003A64A7"/>
    <w:rsid w:val="003A68AD"/>
    <w:rsid w:val="003A6927"/>
    <w:rsid w:val="003A6959"/>
    <w:rsid w:val="003A6A71"/>
    <w:rsid w:val="003A6C3C"/>
    <w:rsid w:val="003A6D49"/>
    <w:rsid w:val="003A6D55"/>
    <w:rsid w:val="003A6D72"/>
    <w:rsid w:val="003A6DD6"/>
    <w:rsid w:val="003A6DEB"/>
    <w:rsid w:val="003A6F8F"/>
    <w:rsid w:val="003A7328"/>
    <w:rsid w:val="003A732C"/>
    <w:rsid w:val="003A7381"/>
    <w:rsid w:val="003A78DD"/>
    <w:rsid w:val="003A7E0E"/>
    <w:rsid w:val="003A7EC9"/>
    <w:rsid w:val="003A7F83"/>
    <w:rsid w:val="003A7F9F"/>
    <w:rsid w:val="003B0009"/>
    <w:rsid w:val="003B00D8"/>
    <w:rsid w:val="003B0185"/>
    <w:rsid w:val="003B0305"/>
    <w:rsid w:val="003B0403"/>
    <w:rsid w:val="003B0436"/>
    <w:rsid w:val="003B04A3"/>
    <w:rsid w:val="003B055A"/>
    <w:rsid w:val="003B0705"/>
    <w:rsid w:val="003B07E9"/>
    <w:rsid w:val="003B0827"/>
    <w:rsid w:val="003B082C"/>
    <w:rsid w:val="003B0854"/>
    <w:rsid w:val="003B0977"/>
    <w:rsid w:val="003B0A77"/>
    <w:rsid w:val="003B0B74"/>
    <w:rsid w:val="003B0BE3"/>
    <w:rsid w:val="003B0C00"/>
    <w:rsid w:val="003B0C51"/>
    <w:rsid w:val="003B0DAA"/>
    <w:rsid w:val="003B0E24"/>
    <w:rsid w:val="003B0FAF"/>
    <w:rsid w:val="003B0FE9"/>
    <w:rsid w:val="003B107E"/>
    <w:rsid w:val="003B1300"/>
    <w:rsid w:val="003B131C"/>
    <w:rsid w:val="003B1322"/>
    <w:rsid w:val="003B14FF"/>
    <w:rsid w:val="003B1620"/>
    <w:rsid w:val="003B16D5"/>
    <w:rsid w:val="003B1705"/>
    <w:rsid w:val="003B1745"/>
    <w:rsid w:val="003B189D"/>
    <w:rsid w:val="003B198D"/>
    <w:rsid w:val="003B19F8"/>
    <w:rsid w:val="003B1A58"/>
    <w:rsid w:val="003B1AEE"/>
    <w:rsid w:val="003B1C77"/>
    <w:rsid w:val="003B1DCE"/>
    <w:rsid w:val="003B1E02"/>
    <w:rsid w:val="003B1EE6"/>
    <w:rsid w:val="003B1F28"/>
    <w:rsid w:val="003B1F38"/>
    <w:rsid w:val="003B1F4E"/>
    <w:rsid w:val="003B205C"/>
    <w:rsid w:val="003B216A"/>
    <w:rsid w:val="003B2180"/>
    <w:rsid w:val="003B22E6"/>
    <w:rsid w:val="003B2302"/>
    <w:rsid w:val="003B2398"/>
    <w:rsid w:val="003B2482"/>
    <w:rsid w:val="003B269A"/>
    <w:rsid w:val="003B26AD"/>
    <w:rsid w:val="003B274B"/>
    <w:rsid w:val="003B2887"/>
    <w:rsid w:val="003B297A"/>
    <w:rsid w:val="003B2A46"/>
    <w:rsid w:val="003B2B2F"/>
    <w:rsid w:val="003B2CD8"/>
    <w:rsid w:val="003B2D1B"/>
    <w:rsid w:val="003B2D3F"/>
    <w:rsid w:val="003B3096"/>
    <w:rsid w:val="003B334C"/>
    <w:rsid w:val="003B3455"/>
    <w:rsid w:val="003B34BC"/>
    <w:rsid w:val="003B352F"/>
    <w:rsid w:val="003B3640"/>
    <w:rsid w:val="003B36D1"/>
    <w:rsid w:val="003B377E"/>
    <w:rsid w:val="003B3B1F"/>
    <w:rsid w:val="003B3B20"/>
    <w:rsid w:val="003B3BD2"/>
    <w:rsid w:val="003B3C70"/>
    <w:rsid w:val="003B3CD4"/>
    <w:rsid w:val="003B3DA6"/>
    <w:rsid w:val="003B3EDB"/>
    <w:rsid w:val="003B3EE0"/>
    <w:rsid w:val="003B4009"/>
    <w:rsid w:val="003B4350"/>
    <w:rsid w:val="003B44DF"/>
    <w:rsid w:val="003B4534"/>
    <w:rsid w:val="003B47FC"/>
    <w:rsid w:val="003B496A"/>
    <w:rsid w:val="003B4A8A"/>
    <w:rsid w:val="003B4B66"/>
    <w:rsid w:val="003B52FC"/>
    <w:rsid w:val="003B53F8"/>
    <w:rsid w:val="003B58D2"/>
    <w:rsid w:val="003B5992"/>
    <w:rsid w:val="003B5B74"/>
    <w:rsid w:val="003B5C3F"/>
    <w:rsid w:val="003B5CE8"/>
    <w:rsid w:val="003B5FC8"/>
    <w:rsid w:val="003B616E"/>
    <w:rsid w:val="003B629D"/>
    <w:rsid w:val="003B62FD"/>
    <w:rsid w:val="003B6438"/>
    <w:rsid w:val="003B6459"/>
    <w:rsid w:val="003B64A9"/>
    <w:rsid w:val="003B6742"/>
    <w:rsid w:val="003B6761"/>
    <w:rsid w:val="003B67A4"/>
    <w:rsid w:val="003B6A49"/>
    <w:rsid w:val="003B6AB2"/>
    <w:rsid w:val="003B6AEB"/>
    <w:rsid w:val="003B6B29"/>
    <w:rsid w:val="003B6BC8"/>
    <w:rsid w:val="003B717F"/>
    <w:rsid w:val="003B7180"/>
    <w:rsid w:val="003B7186"/>
    <w:rsid w:val="003B7217"/>
    <w:rsid w:val="003B7255"/>
    <w:rsid w:val="003B7790"/>
    <w:rsid w:val="003B77FF"/>
    <w:rsid w:val="003B78DE"/>
    <w:rsid w:val="003B7906"/>
    <w:rsid w:val="003B7948"/>
    <w:rsid w:val="003B7C64"/>
    <w:rsid w:val="003B7E39"/>
    <w:rsid w:val="003B7EE7"/>
    <w:rsid w:val="003C0014"/>
    <w:rsid w:val="003C0028"/>
    <w:rsid w:val="003C02AA"/>
    <w:rsid w:val="003C04B8"/>
    <w:rsid w:val="003C04D5"/>
    <w:rsid w:val="003C0535"/>
    <w:rsid w:val="003C0A80"/>
    <w:rsid w:val="003C0AA0"/>
    <w:rsid w:val="003C0CF0"/>
    <w:rsid w:val="003C0E01"/>
    <w:rsid w:val="003C0E09"/>
    <w:rsid w:val="003C12C7"/>
    <w:rsid w:val="003C1465"/>
    <w:rsid w:val="003C1476"/>
    <w:rsid w:val="003C173D"/>
    <w:rsid w:val="003C1935"/>
    <w:rsid w:val="003C1A86"/>
    <w:rsid w:val="003C1AD8"/>
    <w:rsid w:val="003C1B1F"/>
    <w:rsid w:val="003C1B60"/>
    <w:rsid w:val="003C1F7C"/>
    <w:rsid w:val="003C233A"/>
    <w:rsid w:val="003C2488"/>
    <w:rsid w:val="003C249A"/>
    <w:rsid w:val="003C2751"/>
    <w:rsid w:val="003C29B3"/>
    <w:rsid w:val="003C2AF1"/>
    <w:rsid w:val="003C2F43"/>
    <w:rsid w:val="003C3203"/>
    <w:rsid w:val="003C32E9"/>
    <w:rsid w:val="003C344D"/>
    <w:rsid w:val="003C3650"/>
    <w:rsid w:val="003C366A"/>
    <w:rsid w:val="003C36F2"/>
    <w:rsid w:val="003C3876"/>
    <w:rsid w:val="003C39A5"/>
    <w:rsid w:val="003C3AC8"/>
    <w:rsid w:val="003C3D15"/>
    <w:rsid w:val="003C3D3D"/>
    <w:rsid w:val="003C3D69"/>
    <w:rsid w:val="003C3EB9"/>
    <w:rsid w:val="003C3ED7"/>
    <w:rsid w:val="003C3F41"/>
    <w:rsid w:val="003C3FD0"/>
    <w:rsid w:val="003C408A"/>
    <w:rsid w:val="003C445F"/>
    <w:rsid w:val="003C44E0"/>
    <w:rsid w:val="003C44E8"/>
    <w:rsid w:val="003C4704"/>
    <w:rsid w:val="003C48EC"/>
    <w:rsid w:val="003C4A16"/>
    <w:rsid w:val="003C4B70"/>
    <w:rsid w:val="003C5104"/>
    <w:rsid w:val="003C5435"/>
    <w:rsid w:val="003C5826"/>
    <w:rsid w:val="003C5EB3"/>
    <w:rsid w:val="003C60D4"/>
    <w:rsid w:val="003C61BE"/>
    <w:rsid w:val="003C6320"/>
    <w:rsid w:val="003C6325"/>
    <w:rsid w:val="003C6369"/>
    <w:rsid w:val="003C636A"/>
    <w:rsid w:val="003C63A7"/>
    <w:rsid w:val="003C66AE"/>
    <w:rsid w:val="003C66B1"/>
    <w:rsid w:val="003C694A"/>
    <w:rsid w:val="003C6978"/>
    <w:rsid w:val="003C6AB8"/>
    <w:rsid w:val="003C6AC7"/>
    <w:rsid w:val="003C6DD9"/>
    <w:rsid w:val="003C6EDC"/>
    <w:rsid w:val="003C6F0C"/>
    <w:rsid w:val="003C6F46"/>
    <w:rsid w:val="003C6FE4"/>
    <w:rsid w:val="003C727B"/>
    <w:rsid w:val="003C7353"/>
    <w:rsid w:val="003C749B"/>
    <w:rsid w:val="003C7775"/>
    <w:rsid w:val="003C7908"/>
    <w:rsid w:val="003C79A7"/>
    <w:rsid w:val="003C7A66"/>
    <w:rsid w:val="003D0347"/>
    <w:rsid w:val="003D04ED"/>
    <w:rsid w:val="003D06D4"/>
    <w:rsid w:val="003D0DC9"/>
    <w:rsid w:val="003D0E15"/>
    <w:rsid w:val="003D0FD3"/>
    <w:rsid w:val="003D11B0"/>
    <w:rsid w:val="003D11C9"/>
    <w:rsid w:val="003D15CC"/>
    <w:rsid w:val="003D16B0"/>
    <w:rsid w:val="003D1847"/>
    <w:rsid w:val="003D1AFA"/>
    <w:rsid w:val="003D1EAE"/>
    <w:rsid w:val="003D20DC"/>
    <w:rsid w:val="003D229B"/>
    <w:rsid w:val="003D2686"/>
    <w:rsid w:val="003D2709"/>
    <w:rsid w:val="003D2774"/>
    <w:rsid w:val="003D28D6"/>
    <w:rsid w:val="003D28E5"/>
    <w:rsid w:val="003D2ECC"/>
    <w:rsid w:val="003D2F1A"/>
    <w:rsid w:val="003D319F"/>
    <w:rsid w:val="003D321F"/>
    <w:rsid w:val="003D3374"/>
    <w:rsid w:val="003D3407"/>
    <w:rsid w:val="003D3465"/>
    <w:rsid w:val="003D35A0"/>
    <w:rsid w:val="003D369F"/>
    <w:rsid w:val="003D3738"/>
    <w:rsid w:val="003D3768"/>
    <w:rsid w:val="003D37D6"/>
    <w:rsid w:val="003D38DC"/>
    <w:rsid w:val="003D3AA7"/>
    <w:rsid w:val="003D3C90"/>
    <w:rsid w:val="003D3CBF"/>
    <w:rsid w:val="003D40CA"/>
    <w:rsid w:val="003D40D7"/>
    <w:rsid w:val="003D4287"/>
    <w:rsid w:val="003D42D7"/>
    <w:rsid w:val="003D4408"/>
    <w:rsid w:val="003D4537"/>
    <w:rsid w:val="003D4649"/>
    <w:rsid w:val="003D467F"/>
    <w:rsid w:val="003D477E"/>
    <w:rsid w:val="003D4780"/>
    <w:rsid w:val="003D4892"/>
    <w:rsid w:val="003D4AEE"/>
    <w:rsid w:val="003D4B65"/>
    <w:rsid w:val="003D4B8D"/>
    <w:rsid w:val="003D4C44"/>
    <w:rsid w:val="003D4E8B"/>
    <w:rsid w:val="003D4F13"/>
    <w:rsid w:val="003D4FB6"/>
    <w:rsid w:val="003D4FFD"/>
    <w:rsid w:val="003D505E"/>
    <w:rsid w:val="003D50D7"/>
    <w:rsid w:val="003D5267"/>
    <w:rsid w:val="003D53AB"/>
    <w:rsid w:val="003D54CC"/>
    <w:rsid w:val="003D5579"/>
    <w:rsid w:val="003D558A"/>
    <w:rsid w:val="003D5BD8"/>
    <w:rsid w:val="003D5D01"/>
    <w:rsid w:val="003D5DF7"/>
    <w:rsid w:val="003D5E3C"/>
    <w:rsid w:val="003D5F45"/>
    <w:rsid w:val="003D612D"/>
    <w:rsid w:val="003D6225"/>
    <w:rsid w:val="003D6268"/>
    <w:rsid w:val="003D639B"/>
    <w:rsid w:val="003D642E"/>
    <w:rsid w:val="003D66D5"/>
    <w:rsid w:val="003D6750"/>
    <w:rsid w:val="003D6757"/>
    <w:rsid w:val="003D699E"/>
    <w:rsid w:val="003D6C10"/>
    <w:rsid w:val="003D70A3"/>
    <w:rsid w:val="003D722F"/>
    <w:rsid w:val="003D73A8"/>
    <w:rsid w:val="003D76E9"/>
    <w:rsid w:val="003D7D95"/>
    <w:rsid w:val="003D7E3E"/>
    <w:rsid w:val="003E0168"/>
    <w:rsid w:val="003E0248"/>
    <w:rsid w:val="003E0439"/>
    <w:rsid w:val="003E06EC"/>
    <w:rsid w:val="003E0AD4"/>
    <w:rsid w:val="003E0B20"/>
    <w:rsid w:val="003E0B8A"/>
    <w:rsid w:val="003E0C96"/>
    <w:rsid w:val="003E0EA9"/>
    <w:rsid w:val="003E0EBF"/>
    <w:rsid w:val="003E0F68"/>
    <w:rsid w:val="003E0FD6"/>
    <w:rsid w:val="003E106E"/>
    <w:rsid w:val="003E13F0"/>
    <w:rsid w:val="003E1598"/>
    <w:rsid w:val="003E1613"/>
    <w:rsid w:val="003E1620"/>
    <w:rsid w:val="003E1775"/>
    <w:rsid w:val="003E1788"/>
    <w:rsid w:val="003E1979"/>
    <w:rsid w:val="003E1AFC"/>
    <w:rsid w:val="003E1C04"/>
    <w:rsid w:val="003E1C34"/>
    <w:rsid w:val="003E1CC0"/>
    <w:rsid w:val="003E1D21"/>
    <w:rsid w:val="003E2037"/>
    <w:rsid w:val="003E2252"/>
    <w:rsid w:val="003E241E"/>
    <w:rsid w:val="003E24F8"/>
    <w:rsid w:val="003E250A"/>
    <w:rsid w:val="003E25E1"/>
    <w:rsid w:val="003E2660"/>
    <w:rsid w:val="003E2676"/>
    <w:rsid w:val="003E26D5"/>
    <w:rsid w:val="003E272D"/>
    <w:rsid w:val="003E276E"/>
    <w:rsid w:val="003E28ED"/>
    <w:rsid w:val="003E28F8"/>
    <w:rsid w:val="003E2D61"/>
    <w:rsid w:val="003E2F45"/>
    <w:rsid w:val="003E3058"/>
    <w:rsid w:val="003E34A0"/>
    <w:rsid w:val="003E3661"/>
    <w:rsid w:val="003E378A"/>
    <w:rsid w:val="003E37AA"/>
    <w:rsid w:val="003E3944"/>
    <w:rsid w:val="003E3AA1"/>
    <w:rsid w:val="003E3AA5"/>
    <w:rsid w:val="003E3B70"/>
    <w:rsid w:val="003E3BC9"/>
    <w:rsid w:val="003E3C41"/>
    <w:rsid w:val="003E3FC8"/>
    <w:rsid w:val="003E4000"/>
    <w:rsid w:val="003E4269"/>
    <w:rsid w:val="003E4628"/>
    <w:rsid w:val="003E49FC"/>
    <w:rsid w:val="003E4A98"/>
    <w:rsid w:val="003E4B0B"/>
    <w:rsid w:val="003E4C6A"/>
    <w:rsid w:val="003E4CD4"/>
    <w:rsid w:val="003E4E35"/>
    <w:rsid w:val="003E504B"/>
    <w:rsid w:val="003E5347"/>
    <w:rsid w:val="003E540E"/>
    <w:rsid w:val="003E542A"/>
    <w:rsid w:val="003E5731"/>
    <w:rsid w:val="003E5830"/>
    <w:rsid w:val="003E58E2"/>
    <w:rsid w:val="003E59C2"/>
    <w:rsid w:val="003E59CA"/>
    <w:rsid w:val="003E5BCD"/>
    <w:rsid w:val="003E5C79"/>
    <w:rsid w:val="003E5CFF"/>
    <w:rsid w:val="003E5DD0"/>
    <w:rsid w:val="003E5F0C"/>
    <w:rsid w:val="003E5F5D"/>
    <w:rsid w:val="003E61A7"/>
    <w:rsid w:val="003E63BE"/>
    <w:rsid w:val="003E650A"/>
    <w:rsid w:val="003E65BF"/>
    <w:rsid w:val="003E6C26"/>
    <w:rsid w:val="003E6F5C"/>
    <w:rsid w:val="003E70C0"/>
    <w:rsid w:val="003E741B"/>
    <w:rsid w:val="003E7463"/>
    <w:rsid w:val="003E75EB"/>
    <w:rsid w:val="003E7825"/>
    <w:rsid w:val="003E7944"/>
    <w:rsid w:val="003E7AED"/>
    <w:rsid w:val="003E7AEE"/>
    <w:rsid w:val="003E7B46"/>
    <w:rsid w:val="003E7C37"/>
    <w:rsid w:val="003E7C8D"/>
    <w:rsid w:val="003E7CCD"/>
    <w:rsid w:val="003E7D2B"/>
    <w:rsid w:val="003E7E85"/>
    <w:rsid w:val="003E7FF0"/>
    <w:rsid w:val="003F014A"/>
    <w:rsid w:val="003F01AD"/>
    <w:rsid w:val="003F0273"/>
    <w:rsid w:val="003F0718"/>
    <w:rsid w:val="003F075A"/>
    <w:rsid w:val="003F0883"/>
    <w:rsid w:val="003F0A35"/>
    <w:rsid w:val="003F0D1E"/>
    <w:rsid w:val="003F0E65"/>
    <w:rsid w:val="003F0FCB"/>
    <w:rsid w:val="003F1180"/>
    <w:rsid w:val="003F14C9"/>
    <w:rsid w:val="003F15AD"/>
    <w:rsid w:val="003F15C7"/>
    <w:rsid w:val="003F15E0"/>
    <w:rsid w:val="003F166C"/>
    <w:rsid w:val="003F16DE"/>
    <w:rsid w:val="003F1A61"/>
    <w:rsid w:val="003F1AFE"/>
    <w:rsid w:val="003F1B6A"/>
    <w:rsid w:val="003F1BA3"/>
    <w:rsid w:val="003F1D8D"/>
    <w:rsid w:val="003F1E6C"/>
    <w:rsid w:val="003F1EBC"/>
    <w:rsid w:val="003F220A"/>
    <w:rsid w:val="003F237D"/>
    <w:rsid w:val="003F2698"/>
    <w:rsid w:val="003F2818"/>
    <w:rsid w:val="003F2B9E"/>
    <w:rsid w:val="003F2BD7"/>
    <w:rsid w:val="003F2CD7"/>
    <w:rsid w:val="003F35C6"/>
    <w:rsid w:val="003F3768"/>
    <w:rsid w:val="003F3C26"/>
    <w:rsid w:val="003F3C61"/>
    <w:rsid w:val="003F3CC5"/>
    <w:rsid w:val="003F3F96"/>
    <w:rsid w:val="003F40AB"/>
    <w:rsid w:val="003F4240"/>
    <w:rsid w:val="003F4417"/>
    <w:rsid w:val="003F446C"/>
    <w:rsid w:val="003F4682"/>
    <w:rsid w:val="003F48B3"/>
    <w:rsid w:val="003F491D"/>
    <w:rsid w:val="003F4A4A"/>
    <w:rsid w:val="003F4A71"/>
    <w:rsid w:val="003F4AF6"/>
    <w:rsid w:val="003F4CC8"/>
    <w:rsid w:val="003F4DB9"/>
    <w:rsid w:val="003F4F40"/>
    <w:rsid w:val="003F5345"/>
    <w:rsid w:val="003F5406"/>
    <w:rsid w:val="003F5442"/>
    <w:rsid w:val="003F547C"/>
    <w:rsid w:val="003F5621"/>
    <w:rsid w:val="003F567E"/>
    <w:rsid w:val="003F596A"/>
    <w:rsid w:val="003F59EB"/>
    <w:rsid w:val="003F5AC8"/>
    <w:rsid w:val="003F5B1A"/>
    <w:rsid w:val="003F5EC5"/>
    <w:rsid w:val="003F5F57"/>
    <w:rsid w:val="003F5FFC"/>
    <w:rsid w:val="003F60E6"/>
    <w:rsid w:val="003F60F2"/>
    <w:rsid w:val="003F619B"/>
    <w:rsid w:val="003F62F0"/>
    <w:rsid w:val="003F6314"/>
    <w:rsid w:val="003F6669"/>
    <w:rsid w:val="003F666A"/>
    <w:rsid w:val="003F6ACD"/>
    <w:rsid w:val="003F6B00"/>
    <w:rsid w:val="003F6BD1"/>
    <w:rsid w:val="003F6D08"/>
    <w:rsid w:val="003F6D49"/>
    <w:rsid w:val="003F6E0E"/>
    <w:rsid w:val="003F6FFA"/>
    <w:rsid w:val="003F7526"/>
    <w:rsid w:val="003F75F7"/>
    <w:rsid w:val="003F76E9"/>
    <w:rsid w:val="003F78DE"/>
    <w:rsid w:val="003F7970"/>
    <w:rsid w:val="003F7D94"/>
    <w:rsid w:val="003F7F22"/>
    <w:rsid w:val="0040003B"/>
    <w:rsid w:val="004000D7"/>
    <w:rsid w:val="00400202"/>
    <w:rsid w:val="0040021F"/>
    <w:rsid w:val="00400413"/>
    <w:rsid w:val="00400683"/>
    <w:rsid w:val="004006EB"/>
    <w:rsid w:val="00400BE2"/>
    <w:rsid w:val="00400E13"/>
    <w:rsid w:val="0040105E"/>
    <w:rsid w:val="00401382"/>
    <w:rsid w:val="0040151D"/>
    <w:rsid w:val="00401BCA"/>
    <w:rsid w:val="00401CAB"/>
    <w:rsid w:val="00401DC6"/>
    <w:rsid w:val="00401F82"/>
    <w:rsid w:val="004021E5"/>
    <w:rsid w:val="00402239"/>
    <w:rsid w:val="004022D2"/>
    <w:rsid w:val="004023F7"/>
    <w:rsid w:val="0040262D"/>
    <w:rsid w:val="0040278B"/>
    <w:rsid w:val="004027C1"/>
    <w:rsid w:val="004028F1"/>
    <w:rsid w:val="00402A32"/>
    <w:rsid w:val="00402AB8"/>
    <w:rsid w:val="00402B05"/>
    <w:rsid w:val="00402DEF"/>
    <w:rsid w:val="00402EBF"/>
    <w:rsid w:val="0040303A"/>
    <w:rsid w:val="004030DB"/>
    <w:rsid w:val="004030F5"/>
    <w:rsid w:val="004031D1"/>
    <w:rsid w:val="0040322C"/>
    <w:rsid w:val="00403478"/>
    <w:rsid w:val="004035E6"/>
    <w:rsid w:val="00403745"/>
    <w:rsid w:val="0040382A"/>
    <w:rsid w:val="00403910"/>
    <w:rsid w:val="00403A09"/>
    <w:rsid w:val="00403AF3"/>
    <w:rsid w:val="00403B6C"/>
    <w:rsid w:val="004041EF"/>
    <w:rsid w:val="0040421E"/>
    <w:rsid w:val="00404439"/>
    <w:rsid w:val="00404506"/>
    <w:rsid w:val="004045C3"/>
    <w:rsid w:val="00404678"/>
    <w:rsid w:val="004046A8"/>
    <w:rsid w:val="00404784"/>
    <w:rsid w:val="00404818"/>
    <w:rsid w:val="0040488A"/>
    <w:rsid w:val="00404967"/>
    <w:rsid w:val="00404B09"/>
    <w:rsid w:val="00404B5C"/>
    <w:rsid w:val="00404BA2"/>
    <w:rsid w:val="00404D76"/>
    <w:rsid w:val="00404F0B"/>
    <w:rsid w:val="00404F1E"/>
    <w:rsid w:val="00404F9D"/>
    <w:rsid w:val="00405167"/>
    <w:rsid w:val="00405190"/>
    <w:rsid w:val="004057B2"/>
    <w:rsid w:val="00405AD7"/>
    <w:rsid w:val="00405B30"/>
    <w:rsid w:val="00405D89"/>
    <w:rsid w:val="00405DB4"/>
    <w:rsid w:val="00405DDA"/>
    <w:rsid w:val="00405DF3"/>
    <w:rsid w:val="00405F99"/>
    <w:rsid w:val="00406123"/>
    <w:rsid w:val="0040625E"/>
    <w:rsid w:val="00406521"/>
    <w:rsid w:val="0040679C"/>
    <w:rsid w:val="004067C2"/>
    <w:rsid w:val="00406AD7"/>
    <w:rsid w:val="00406B01"/>
    <w:rsid w:val="00406E17"/>
    <w:rsid w:val="004070DD"/>
    <w:rsid w:val="00407241"/>
    <w:rsid w:val="0040728F"/>
    <w:rsid w:val="004072A8"/>
    <w:rsid w:val="00407460"/>
    <w:rsid w:val="004076EF"/>
    <w:rsid w:val="004077F9"/>
    <w:rsid w:val="00407A5F"/>
    <w:rsid w:val="00407BD0"/>
    <w:rsid w:val="00407D28"/>
    <w:rsid w:val="00407DBA"/>
    <w:rsid w:val="004105F1"/>
    <w:rsid w:val="0041063F"/>
    <w:rsid w:val="0041064B"/>
    <w:rsid w:val="004107AF"/>
    <w:rsid w:val="00410AD0"/>
    <w:rsid w:val="00410B52"/>
    <w:rsid w:val="00410C9A"/>
    <w:rsid w:val="00410D39"/>
    <w:rsid w:val="00410E1D"/>
    <w:rsid w:val="00410E5E"/>
    <w:rsid w:val="00411026"/>
    <w:rsid w:val="0041141C"/>
    <w:rsid w:val="004114C5"/>
    <w:rsid w:val="00411500"/>
    <w:rsid w:val="00411532"/>
    <w:rsid w:val="0041162F"/>
    <w:rsid w:val="00411CA8"/>
    <w:rsid w:val="00411DBE"/>
    <w:rsid w:val="00411FFF"/>
    <w:rsid w:val="004121AD"/>
    <w:rsid w:val="00412661"/>
    <w:rsid w:val="004126AE"/>
    <w:rsid w:val="004126C0"/>
    <w:rsid w:val="0041287E"/>
    <w:rsid w:val="00412B22"/>
    <w:rsid w:val="00412C86"/>
    <w:rsid w:val="00412EEB"/>
    <w:rsid w:val="00412F0D"/>
    <w:rsid w:val="00412FB2"/>
    <w:rsid w:val="00413056"/>
    <w:rsid w:val="004130C8"/>
    <w:rsid w:val="0041316B"/>
    <w:rsid w:val="0041324C"/>
    <w:rsid w:val="0041327D"/>
    <w:rsid w:val="0041382C"/>
    <w:rsid w:val="00413A2A"/>
    <w:rsid w:val="00414154"/>
    <w:rsid w:val="004143B6"/>
    <w:rsid w:val="00414584"/>
    <w:rsid w:val="004145F5"/>
    <w:rsid w:val="00414655"/>
    <w:rsid w:val="00414671"/>
    <w:rsid w:val="00414844"/>
    <w:rsid w:val="004148D3"/>
    <w:rsid w:val="00414A62"/>
    <w:rsid w:val="00414B5B"/>
    <w:rsid w:val="00414CBC"/>
    <w:rsid w:val="00414DA5"/>
    <w:rsid w:val="00414E5B"/>
    <w:rsid w:val="00414EDD"/>
    <w:rsid w:val="004150E7"/>
    <w:rsid w:val="00415144"/>
    <w:rsid w:val="004152C5"/>
    <w:rsid w:val="00415351"/>
    <w:rsid w:val="00415526"/>
    <w:rsid w:val="00415659"/>
    <w:rsid w:val="00415AD5"/>
    <w:rsid w:val="00415CD5"/>
    <w:rsid w:val="0041613B"/>
    <w:rsid w:val="00416202"/>
    <w:rsid w:val="004162AF"/>
    <w:rsid w:val="004163AB"/>
    <w:rsid w:val="00416652"/>
    <w:rsid w:val="0041682D"/>
    <w:rsid w:val="004168CF"/>
    <w:rsid w:val="004168F3"/>
    <w:rsid w:val="00416AC0"/>
    <w:rsid w:val="00416E61"/>
    <w:rsid w:val="00416FBB"/>
    <w:rsid w:val="00417018"/>
    <w:rsid w:val="004170A5"/>
    <w:rsid w:val="004174D0"/>
    <w:rsid w:val="004174DE"/>
    <w:rsid w:val="004176A9"/>
    <w:rsid w:val="004176D1"/>
    <w:rsid w:val="00417B10"/>
    <w:rsid w:val="00417D32"/>
    <w:rsid w:val="00417F6F"/>
    <w:rsid w:val="0042010E"/>
    <w:rsid w:val="00420303"/>
    <w:rsid w:val="00420463"/>
    <w:rsid w:val="004205EB"/>
    <w:rsid w:val="00420673"/>
    <w:rsid w:val="004207E7"/>
    <w:rsid w:val="004207F5"/>
    <w:rsid w:val="0042087D"/>
    <w:rsid w:val="00420D00"/>
    <w:rsid w:val="00420E22"/>
    <w:rsid w:val="00420F84"/>
    <w:rsid w:val="0042116E"/>
    <w:rsid w:val="00421278"/>
    <w:rsid w:val="0042138D"/>
    <w:rsid w:val="0042149C"/>
    <w:rsid w:val="0042157E"/>
    <w:rsid w:val="004216AE"/>
    <w:rsid w:val="004217F5"/>
    <w:rsid w:val="00421831"/>
    <w:rsid w:val="0042183E"/>
    <w:rsid w:val="00421CC0"/>
    <w:rsid w:val="00422205"/>
    <w:rsid w:val="0042220A"/>
    <w:rsid w:val="0042258A"/>
    <w:rsid w:val="00422B5A"/>
    <w:rsid w:val="00422C81"/>
    <w:rsid w:val="00423098"/>
    <w:rsid w:val="004230AC"/>
    <w:rsid w:val="00423108"/>
    <w:rsid w:val="004231BA"/>
    <w:rsid w:val="00423280"/>
    <w:rsid w:val="00423302"/>
    <w:rsid w:val="0042335A"/>
    <w:rsid w:val="00423387"/>
    <w:rsid w:val="00423423"/>
    <w:rsid w:val="00423635"/>
    <w:rsid w:val="0042366B"/>
    <w:rsid w:val="00423978"/>
    <w:rsid w:val="00423CEF"/>
    <w:rsid w:val="004242C6"/>
    <w:rsid w:val="004243ED"/>
    <w:rsid w:val="00424415"/>
    <w:rsid w:val="00424534"/>
    <w:rsid w:val="00424608"/>
    <w:rsid w:val="004246DB"/>
    <w:rsid w:val="004247AC"/>
    <w:rsid w:val="004248D0"/>
    <w:rsid w:val="004248EB"/>
    <w:rsid w:val="00424A80"/>
    <w:rsid w:val="00424EBC"/>
    <w:rsid w:val="00425126"/>
    <w:rsid w:val="00425247"/>
    <w:rsid w:val="0042531E"/>
    <w:rsid w:val="00425420"/>
    <w:rsid w:val="00425509"/>
    <w:rsid w:val="0042553D"/>
    <w:rsid w:val="00425663"/>
    <w:rsid w:val="004256FB"/>
    <w:rsid w:val="004257AC"/>
    <w:rsid w:val="0042593B"/>
    <w:rsid w:val="00425A5D"/>
    <w:rsid w:val="00425AA3"/>
    <w:rsid w:val="00425C8B"/>
    <w:rsid w:val="00425C9F"/>
    <w:rsid w:val="00425CF9"/>
    <w:rsid w:val="00425D7C"/>
    <w:rsid w:val="00425DF3"/>
    <w:rsid w:val="00425F6D"/>
    <w:rsid w:val="00426121"/>
    <w:rsid w:val="004261D1"/>
    <w:rsid w:val="0042670D"/>
    <w:rsid w:val="00426802"/>
    <w:rsid w:val="004268C9"/>
    <w:rsid w:val="0042692D"/>
    <w:rsid w:val="00426F48"/>
    <w:rsid w:val="00426F4B"/>
    <w:rsid w:val="0042716F"/>
    <w:rsid w:val="004272CA"/>
    <w:rsid w:val="004274EC"/>
    <w:rsid w:val="00427766"/>
    <w:rsid w:val="004277C1"/>
    <w:rsid w:val="0042799F"/>
    <w:rsid w:val="00427ACF"/>
    <w:rsid w:val="00427D5B"/>
    <w:rsid w:val="00427E37"/>
    <w:rsid w:val="00427E88"/>
    <w:rsid w:val="00427EC7"/>
    <w:rsid w:val="00427F82"/>
    <w:rsid w:val="0043001B"/>
    <w:rsid w:val="0043008F"/>
    <w:rsid w:val="00430133"/>
    <w:rsid w:val="0043026E"/>
    <w:rsid w:val="00430385"/>
    <w:rsid w:val="004304D7"/>
    <w:rsid w:val="004308F0"/>
    <w:rsid w:val="00430951"/>
    <w:rsid w:val="00430BF2"/>
    <w:rsid w:val="00430C76"/>
    <w:rsid w:val="00430D88"/>
    <w:rsid w:val="00430EE4"/>
    <w:rsid w:val="00430F30"/>
    <w:rsid w:val="00430F99"/>
    <w:rsid w:val="00431568"/>
    <w:rsid w:val="00431767"/>
    <w:rsid w:val="0043192D"/>
    <w:rsid w:val="00431A27"/>
    <w:rsid w:val="00431A82"/>
    <w:rsid w:val="00431BAF"/>
    <w:rsid w:val="00431C06"/>
    <w:rsid w:val="00431C35"/>
    <w:rsid w:val="00431C6C"/>
    <w:rsid w:val="00431E76"/>
    <w:rsid w:val="00431EAF"/>
    <w:rsid w:val="00431FAE"/>
    <w:rsid w:val="00432071"/>
    <w:rsid w:val="00432323"/>
    <w:rsid w:val="004323C2"/>
    <w:rsid w:val="004324B4"/>
    <w:rsid w:val="004325A5"/>
    <w:rsid w:val="004327A2"/>
    <w:rsid w:val="0043288E"/>
    <w:rsid w:val="0043298C"/>
    <w:rsid w:val="00432A32"/>
    <w:rsid w:val="00432B84"/>
    <w:rsid w:val="00432C05"/>
    <w:rsid w:val="00432D1E"/>
    <w:rsid w:val="00432D64"/>
    <w:rsid w:val="00432DF0"/>
    <w:rsid w:val="00432E41"/>
    <w:rsid w:val="00432FF5"/>
    <w:rsid w:val="00433068"/>
    <w:rsid w:val="0043318D"/>
    <w:rsid w:val="004334D6"/>
    <w:rsid w:val="004339AB"/>
    <w:rsid w:val="00433A9D"/>
    <w:rsid w:val="00433B68"/>
    <w:rsid w:val="00433C7F"/>
    <w:rsid w:val="00433E26"/>
    <w:rsid w:val="00433E52"/>
    <w:rsid w:val="00433FC8"/>
    <w:rsid w:val="0043408E"/>
    <w:rsid w:val="00434155"/>
    <w:rsid w:val="00434286"/>
    <w:rsid w:val="004342DA"/>
    <w:rsid w:val="004343F2"/>
    <w:rsid w:val="0043443D"/>
    <w:rsid w:val="00434487"/>
    <w:rsid w:val="004346BE"/>
    <w:rsid w:val="00434A5A"/>
    <w:rsid w:val="00434ADC"/>
    <w:rsid w:val="00434DD9"/>
    <w:rsid w:val="00434E16"/>
    <w:rsid w:val="00435335"/>
    <w:rsid w:val="004354AF"/>
    <w:rsid w:val="0043558F"/>
    <w:rsid w:val="004356FE"/>
    <w:rsid w:val="004357F8"/>
    <w:rsid w:val="0043585A"/>
    <w:rsid w:val="00435D3A"/>
    <w:rsid w:val="00435E0F"/>
    <w:rsid w:val="0043659D"/>
    <w:rsid w:val="00436659"/>
    <w:rsid w:val="0043685F"/>
    <w:rsid w:val="00436979"/>
    <w:rsid w:val="00436AB6"/>
    <w:rsid w:val="00436C24"/>
    <w:rsid w:val="00436C5D"/>
    <w:rsid w:val="004370FE"/>
    <w:rsid w:val="004371CF"/>
    <w:rsid w:val="004376E8"/>
    <w:rsid w:val="0043770D"/>
    <w:rsid w:val="0043788C"/>
    <w:rsid w:val="0043792F"/>
    <w:rsid w:val="0043795E"/>
    <w:rsid w:val="00437A72"/>
    <w:rsid w:val="00437C21"/>
    <w:rsid w:val="00437D25"/>
    <w:rsid w:val="00437D62"/>
    <w:rsid w:val="00440045"/>
    <w:rsid w:val="004400AD"/>
    <w:rsid w:val="004402A9"/>
    <w:rsid w:val="00440610"/>
    <w:rsid w:val="00440649"/>
    <w:rsid w:val="0044077F"/>
    <w:rsid w:val="004408B7"/>
    <w:rsid w:val="004409D0"/>
    <w:rsid w:val="00440A41"/>
    <w:rsid w:val="00440AF7"/>
    <w:rsid w:val="00440B67"/>
    <w:rsid w:val="00440BDA"/>
    <w:rsid w:val="00440C93"/>
    <w:rsid w:val="00440F7E"/>
    <w:rsid w:val="00440FB0"/>
    <w:rsid w:val="00440FCA"/>
    <w:rsid w:val="004417C7"/>
    <w:rsid w:val="0044190D"/>
    <w:rsid w:val="00441B89"/>
    <w:rsid w:val="00441C13"/>
    <w:rsid w:val="00441C6A"/>
    <w:rsid w:val="004421EE"/>
    <w:rsid w:val="0044227D"/>
    <w:rsid w:val="0044254D"/>
    <w:rsid w:val="00442998"/>
    <w:rsid w:val="00442AC5"/>
    <w:rsid w:val="00442C2B"/>
    <w:rsid w:val="00442EA4"/>
    <w:rsid w:val="00442FD3"/>
    <w:rsid w:val="004430FC"/>
    <w:rsid w:val="00443750"/>
    <w:rsid w:val="00443AF4"/>
    <w:rsid w:val="00443AFF"/>
    <w:rsid w:val="00443E26"/>
    <w:rsid w:val="00443ED4"/>
    <w:rsid w:val="00444116"/>
    <w:rsid w:val="004442CE"/>
    <w:rsid w:val="0044453C"/>
    <w:rsid w:val="004446DC"/>
    <w:rsid w:val="00444833"/>
    <w:rsid w:val="004448CE"/>
    <w:rsid w:val="00444AA6"/>
    <w:rsid w:val="00444B40"/>
    <w:rsid w:val="00444DA3"/>
    <w:rsid w:val="00444DDC"/>
    <w:rsid w:val="00444E9A"/>
    <w:rsid w:val="004450BD"/>
    <w:rsid w:val="00445194"/>
    <w:rsid w:val="004451DF"/>
    <w:rsid w:val="004454FC"/>
    <w:rsid w:val="00445A1A"/>
    <w:rsid w:val="00445B57"/>
    <w:rsid w:val="00445C3F"/>
    <w:rsid w:val="00445CE3"/>
    <w:rsid w:val="00445D77"/>
    <w:rsid w:val="00445DD0"/>
    <w:rsid w:val="00445E5C"/>
    <w:rsid w:val="00445FD3"/>
    <w:rsid w:val="00445FFB"/>
    <w:rsid w:val="00446051"/>
    <w:rsid w:val="0044628F"/>
    <w:rsid w:val="00446309"/>
    <w:rsid w:val="00446472"/>
    <w:rsid w:val="00446494"/>
    <w:rsid w:val="004464BB"/>
    <w:rsid w:val="0044653E"/>
    <w:rsid w:val="00446BCC"/>
    <w:rsid w:val="00446C37"/>
    <w:rsid w:val="00446D7F"/>
    <w:rsid w:val="00446D85"/>
    <w:rsid w:val="00446DEB"/>
    <w:rsid w:val="00446F0D"/>
    <w:rsid w:val="00447086"/>
    <w:rsid w:val="0044712D"/>
    <w:rsid w:val="00447618"/>
    <w:rsid w:val="00447799"/>
    <w:rsid w:val="00447861"/>
    <w:rsid w:val="004479BA"/>
    <w:rsid w:val="00447AAD"/>
    <w:rsid w:val="00447B0D"/>
    <w:rsid w:val="00447B78"/>
    <w:rsid w:val="00447BD8"/>
    <w:rsid w:val="00447E09"/>
    <w:rsid w:val="00447FBA"/>
    <w:rsid w:val="00447FF5"/>
    <w:rsid w:val="0045004D"/>
    <w:rsid w:val="004500A8"/>
    <w:rsid w:val="004500C9"/>
    <w:rsid w:val="004500D8"/>
    <w:rsid w:val="0045033D"/>
    <w:rsid w:val="004504DF"/>
    <w:rsid w:val="00450578"/>
    <w:rsid w:val="00450767"/>
    <w:rsid w:val="004507A0"/>
    <w:rsid w:val="00450ABC"/>
    <w:rsid w:val="00450B41"/>
    <w:rsid w:val="00450E5A"/>
    <w:rsid w:val="00450EB5"/>
    <w:rsid w:val="00451321"/>
    <w:rsid w:val="004514A0"/>
    <w:rsid w:val="004514B8"/>
    <w:rsid w:val="00451530"/>
    <w:rsid w:val="00451778"/>
    <w:rsid w:val="00451A6A"/>
    <w:rsid w:val="00451CF2"/>
    <w:rsid w:val="00451D21"/>
    <w:rsid w:val="00451D3E"/>
    <w:rsid w:val="00451D8E"/>
    <w:rsid w:val="00451E3F"/>
    <w:rsid w:val="004520D3"/>
    <w:rsid w:val="00452157"/>
    <w:rsid w:val="00452198"/>
    <w:rsid w:val="00452291"/>
    <w:rsid w:val="004522C3"/>
    <w:rsid w:val="0045253E"/>
    <w:rsid w:val="0045283E"/>
    <w:rsid w:val="004528CD"/>
    <w:rsid w:val="00452A54"/>
    <w:rsid w:val="00452C6F"/>
    <w:rsid w:val="00452DF7"/>
    <w:rsid w:val="00452F7D"/>
    <w:rsid w:val="00453009"/>
    <w:rsid w:val="00453080"/>
    <w:rsid w:val="00453176"/>
    <w:rsid w:val="00453181"/>
    <w:rsid w:val="004535D2"/>
    <w:rsid w:val="00453635"/>
    <w:rsid w:val="0045378A"/>
    <w:rsid w:val="004537D4"/>
    <w:rsid w:val="00453835"/>
    <w:rsid w:val="004539C3"/>
    <w:rsid w:val="00453C42"/>
    <w:rsid w:val="00453C6A"/>
    <w:rsid w:val="00453F98"/>
    <w:rsid w:val="00454162"/>
    <w:rsid w:val="00454334"/>
    <w:rsid w:val="004543E4"/>
    <w:rsid w:val="004544B6"/>
    <w:rsid w:val="004544DA"/>
    <w:rsid w:val="004546D6"/>
    <w:rsid w:val="004547B0"/>
    <w:rsid w:val="00454DD1"/>
    <w:rsid w:val="00454E52"/>
    <w:rsid w:val="00454E8E"/>
    <w:rsid w:val="00454FD5"/>
    <w:rsid w:val="004554FA"/>
    <w:rsid w:val="00455557"/>
    <w:rsid w:val="004556C7"/>
    <w:rsid w:val="004558D9"/>
    <w:rsid w:val="00455912"/>
    <w:rsid w:val="00455985"/>
    <w:rsid w:val="004559CE"/>
    <w:rsid w:val="00455CE2"/>
    <w:rsid w:val="00455D3E"/>
    <w:rsid w:val="00455F38"/>
    <w:rsid w:val="00456333"/>
    <w:rsid w:val="004563BE"/>
    <w:rsid w:val="004563ED"/>
    <w:rsid w:val="00456604"/>
    <w:rsid w:val="0045673A"/>
    <w:rsid w:val="0045681E"/>
    <w:rsid w:val="004568CD"/>
    <w:rsid w:val="004569CE"/>
    <w:rsid w:val="00456D09"/>
    <w:rsid w:val="00456EC1"/>
    <w:rsid w:val="00456EFF"/>
    <w:rsid w:val="00457044"/>
    <w:rsid w:val="00457066"/>
    <w:rsid w:val="00457121"/>
    <w:rsid w:val="0045726C"/>
    <w:rsid w:val="0045735D"/>
    <w:rsid w:val="004574E4"/>
    <w:rsid w:val="0045776C"/>
    <w:rsid w:val="00457B8B"/>
    <w:rsid w:val="00457E69"/>
    <w:rsid w:val="00457F49"/>
    <w:rsid w:val="004601C9"/>
    <w:rsid w:val="00460200"/>
    <w:rsid w:val="0046025F"/>
    <w:rsid w:val="004602B8"/>
    <w:rsid w:val="00460426"/>
    <w:rsid w:val="00460642"/>
    <w:rsid w:val="004608FC"/>
    <w:rsid w:val="00460926"/>
    <w:rsid w:val="00460A68"/>
    <w:rsid w:val="00461023"/>
    <w:rsid w:val="00461117"/>
    <w:rsid w:val="004612E2"/>
    <w:rsid w:val="0046134C"/>
    <w:rsid w:val="00461400"/>
    <w:rsid w:val="004616B7"/>
    <w:rsid w:val="00461ABA"/>
    <w:rsid w:val="00461D53"/>
    <w:rsid w:val="00461E1E"/>
    <w:rsid w:val="00461E26"/>
    <w:rsid w:val="00461E3D"/>
    <w:rsid w:val="004621E5"/>
    <w:rsid w:val="00462215"/>
    <w:rsid w:val="00462228"/>
    <w:rsid w:val="004623F6"/>
    <w:rsid w:val="00462497"/>
    <w:rsid w:val="004624E7"/>
    <w:rsid w:val="004626FE"/>
    <w:rsid w:val="00462709"/>
    <w:rsid w:val="00462740"/>
    <w:rsid w:val="00462782"/>
    <w:rsid w:val="00462A7A"/>
    <w:rsid w:val="00462AD4"/>
    <w:rsid w:val="00462CFB"/>
    <w:rsid w:val="00462D23"/>
    <w:rsid w:val="00462DC4"/>
    <w:rsid w:val="00462F3E"/>
    <w:rsid w:val="00463607"/>
    <w:rsid w:val="00463D1C"/>
    <w:rsid w:val="00463DAA"/>
    <w:rsid w:val="004644A0"/>
    <w:rsid w:val="004644EA"/>
    <w:rsid w:val="0046459F"/>
    <w:rsid w:val="004646D3"/>
    <w:rsid w:val="004647A5"/>
    <w:rsid w:val="004647BA"/>
    <w:rsid w:val="00465054"/>
    <w:rsid w:val="004651B7"/>
    <w:rsid w:val="00465297"/>
    <w:rsid w:val="00465308"/>
    <w:rsid w:val="00465539"/>
    <w:rsid w:val="00465717"/>
    <w:rsid w:val="0046588D"/>
    <w:rsid w:val="00465902"/>
    <w:rsid w:val="00465978"/>
    <w:rsid w:val="004659F4"/>
    <w:rsid w:val="004659FE"/>
    <w:rsid w:val="00465AAA"/>
    <w:rsid w:val="00465BA8"/>
    <w:rsid w:val="00466115"/>
    <w:rsid w:val="00466132"/>
    <w:rsid w:val="0046627B"/>
    <w:rsid w:val="00466387"/>
    <w:rsid w:val="00466412"/>
    <w:rsid w:val="004665BA"/>
    <w:rsid w:val="00466A65"/>
    <w:rsid w:val="00466AA9"/>
    <w:rsid w:val="00466C09"/>
    <w:rsid w:val="00466DBD"/>
    <w:rsid w:val="00466E47"/>
    <w:rsid w:val="00466F89"/>
    <w:rsid w:val="00466FA1"/>
    <w:rsid w:val="00466FB7"/>
    <w:rsid w:val="00467016"/>
    <w:rsid w:val="00467101"/>
    <w:rsid w:val="004671D6"/>
    <w:rsid w:val="00467352"/>
    <w:rsid w:val="0046746B"/>
    <w:rsid w:val="00467484"/>
    <w:rsid w:val="004674B0"/>
    <w:rsid w:val="0046765F"/>
    <w:rsid w:val="00467700"/>
    <w:rsid w:val="00467A41"/>
    <w:rsid w:val="00467BA1"/>
    <w:rsid w:val="00467DE6"/>
    <w:rsid w:val="00467E12"/>
    <w:rsid w:val="00467E5D"/>
    <w:rsid w:val="00467ED5"/>
    <w:rsid w:val="00467FA7"/>
    <w:rsid w:val="00467FED"/>
    <w:rsid w:val="00470163"/>
    <w:rsid w:val="00470780"/>
    <w:rsid w:val="004707E5"/>
    <w:rsid w:val="00470990"/>
    <w:rsid w:val="00470CD8"/>
    <w:rsid w:val="00471131"/>
    <w:rsid w:val="004711EB"/>
    <w:rsid w:val="00471222"/>
    <w:rsid w:val="004713B5"/>
    <w:rsid w:val="00471483"/>
    <w:rsid w:val="004718F3"/>
    <w:rsid w:val="00471926"/>
    <w:rsid w:val="0047193D"/>
    <w:rsid w:val="00471A19"/>
    <w:rsid w:val="00471B31"/>
    <w:rsid w:val="00471BDF"/>
    <w:rsid w:val="00471D14"/>
    <w:rsid w:val="00471E35"/>
    <w:rsid w:val="00472147"/>
    <w:rsid w:val="00472353"/>
    <w:rsid w:val="004723BB"/>
    <w:rsid w:val="00472639"/>
    <w:rsid w:val="0047267D"/>
    <w:rsid w:val="004726C6"/>
    <w:rsid w:val="0047287F"/>
    <w:rsid w:val="004728AD"/>
    <w:rsid w:val="00472906"/>
    <w:rsid w:val="004729F9"/>
    <w:rsid w:val="00472CC9"/>
    <w:rsid w:val="00472FF4"/>
    <w:rsid w:val="004732D0"/>
    <w:rsid w:val="00473466"/>
    <w:rsid w:val="00473474"/>
    <w:rsid w:val="004735E0"/>
    <w:rsid w:val="00473638"/>
    <w:rsid w:val="00473640"/>
    <w:rsid w:val="004739FF"/>
    <w:rsid w:val="00473C56"/>
    <w:rsid w:val="00473C82"/>
    <w:rsid w:val="00473E35"/>
    <w:rsid w:val="00473FD9"/>
    <w:rsid w:val="00474093"/>
    <w:rsid w:val="0047416E"/>
    <w:rsid w:val="00474490"/>
    <w:rsid w:val="00474653"/>
    <w:rsid w:val="004748EE"/>
    <w:rsid w:val="00474B62"/>
    <w:rsid w:val="00474E69"/>
    <w:rsid w:val="00474FAC"/>
    <w:rsid w:val="0047509E"/>
    <w:rsid w:val="00475280"/>
    <w:rsid w:val="004753EC"/>
    <w:rsid w:val="004754CC"/>
    <w:rsid w:val="0047576B"/>
    <w:rsid w:val="00475810"/>
    <w:rsid w:val="00475A6E"/>
    <w:rsid w:val="00475B2A"/>
    <w:rsid w:val="00475B7F"/>
    <w:rsid w:val="00475C32"/>
    <w:rsid w:val="00475E17"/>
    <w:rsid w:val="00475E31"/>
    <w:rsid w:val="00475E8E"/>
    <w:rsid w:val="00475EA6"/>
    <w:rsid w:val="00476165"/>
    <w:rsid w:val="00476262"/>
    <w:rsid w:val="00476320"/>
    <w:rsid w:val="0047663C"/>
    <w:rsid w:val="00476674"/>
    <w:rsid w:val="004767C4"/>
    <w:rsid w:val="0047684C"/>
    <w:rsid w:val="00476876"/>
    <w:rsid w:val="00476AE0"/>
    <w:rsid w:val="0047700E"/>
    <w:rsid w:val="00477127"/>
    <w:rsid w:val="004771DF"/>
    <w:rsid w:val="0047723A"/>
    <w:rsid w:val="00477594"/>
    <w:rsid w:val="004777A2"/>
    <w:rsid w:val="00477866"/>
    <w:rsid w:val="00477E0F"/>
    <w:rsid w:val="004803A4"/>
    <w:rsid w:val="00480C1A"/>
    <w:rsid w:val="00480C8E"/>
    <w:rsid w:val="00480E3B"/>
    <w:rsid w:val="00480FFC"/>
    <w:rsid w:val="0048112C"/>
    <w:rsid w:val="00481445"/>
    <w:rsid w:val="004816AC"/>
    <w:rsid w:val="004816E2"/>
    <w:rsid w:val="00481798"/>
    <w:rsid w:val="004818A5"/>
    <w:rsid w:val="004819F1"/>
    <w:rsid w:val="00481A21"/>
    <w:rsid w:val="00481A30"/>
    <w:rsid w:val="00481CBD"/>
    <w:rsid w:val="00482084"/>
    <w:rsid w:val="004822D0"/>
    <w:rsid w:val="00482480"/>
    <w:rsid w:val="004827AC"/>
    <w:rsid w:val="00482C15"/>
    <w:rsid w:val="00482CDB"/>
    <w:rsid w:val="00482E87"/>
    <w:rsid w:val="00482E8E"/>
    <w:rsid w:val="00482FEE"/>
    <w:rsid w:val="004831E2"/>
    <w:rsid w:val="004834CA"/>
    <w:rsid w:val="00483678"/>
    <w:rsid w:val="00483734"/>
    <w:rsid w:val="00483789"/>
    <w:rsid w:val="00483824"/>
    <w:rsid w:val="0048392E"/>
    <w:rsid w:val="0048395A"/>
    <w:rsid w:val="004839FB"/>
    <w:rsid w:val="00483A1F"/>
    <w:rsid w:val="00483A7C"/>
    <w:rsid w:val="00483DA2"/>
    <w:rsid w:val="00483EB4"/>
    <w:rsid w:val="00483FA7"/>
    <w:rsid w:val="004840CF"/>
    <w:rsid w:val="004842ED"/>
    <w:rsid w:val="00484383"/>
    <w:rsid w:val="00484660"/>
    <w:rsid w:val="004846E6"/>
    <w:rsid w:val="00484704"/>
    <w:rsid w:val="00484761"/>
    <w:rsid w:val="004848DB"/>
    <w:rsid w:val="004848FC"/>
    <w:rsid w:val="00484A6F"/>
    <w:rsid w:val="00484A9E"/>
    <w:rsid w:val="00484C26"/>
    <w:rsid w:val="00484CE2"/>
    <w:rsid w:val="00484CE4"/>
    <w:rsid w:val="00484D3C"/>
    <w:rsid w:val="00484E31"/>
    <w:rsid w:val="00484F3A"/>
    <w:rsid w:val="00484FE5"/>
    <w:rsid w:val="00485108"/>
    <w:rsid w:val="00485299"/>
    <w:rsid w:val="004852FB"/>
    <w:rsid w:val="00485778"/>
    <w:rsid w:val="00485785"/>
    <w:rsid w:val="00485813"/>
    <w:rsid w:val="0048590F"/>
    <w:rsid w:val="00485C31"/>
    <w:rsid w:val="00485E6D"/>
    <w:rsid w:val="00486001"/>
    <w:rsid w:val="00486033"/>
    <w:rsid w:val="00486079"/>
    <w:rsid w:val="00486110"/>
    <w:rsid w:val="00486348"/>
    <w:rsid w:val="004863FA"/>
    <w:rsid w:val="00486513"/>
    <w:rsid w:val="0048681D"/>
    <w:rsid w:val="004869A2"/>
    <w:rsid w:val="00486A08"/>
    <w:rsid w:val="00486C76"/>
    <w:rsid w:val="00486DE2"/>
    <w:rsid w:val="0048741B"/>
    <w:rsid w:val="0048793B"/>
    <w:rsid w:val="00487958"/>
    <w:rsid w:val="00487D31"/>
    <w:rsid w:val="00487F72"/>
    <w:rsid w:val="004901C4"/>
    <w:rsid w:val="00490496"/>
    <w:rsid w:val="004904A6"/>
    <w:rsid w:val="004907A9"/>
    <w:rsid w:val="00490A58"/>
    <w:rsid w:val="00490CDB"/>
    <w:rsid w:val="00490EF6"/>
    <w:rsid w:val="004916C1"/>
    <w:rsid w:val="004917EC"/>
    <w:rsid w:val="00491852"/>
    <w:rsid w:val="00491919"/>
    <w:rsid w:val="00491B5E"/>
    <w:rsid w:val="00491E79"/>
    <w:rsid w:val="00491F00"/>
    <w:rsid w:val="00492142"/>
    <w:rsid w:val="00492434"/>
    <w:rsid w:val="004926B2"/>
    <w:rsid w:val="00492A62"/>
    <w:rsid w:val="00492B2F"/>
    <w:rsid w:val="00492CDC"/>
    <w:rsid w:val="0049315C"/>
    <w:rsid w:val="004934B6"/>
    <w:rsid w:val="0049366A"/>
    <w:rsid w:val="00493672"/>
    <w:rsid w:val="004936DA"/>
    <w:rsid w:val="004936EE"/>
    <w:rsid w:val="0049375D"/>
    <w:rsid w:val="0049398B"/>
    <w:rsid w:val="00493A5C"/>
    <w:rsid w:val="00494388"/>
    <w:rsid w:val="00494644"/>
    <w:rsid w:val="00494664"/>
    <w:rsid w:val="00494833"/>
    <w:rsid w:val="00494874"/>
    <w:rsid w:val="00494969"/>
    <w:rsid w:val="00494B2F"/>
    <w:rsid w:val="00494B64"/>
    <w:rsid w:val="00494BB2"/>
    <w:rsid w:val="00494CBD"/>
    <w:rsid w:val="00494D2A"/>
    <w:rsid w:val="00494E19"/>
    <w:rsid w:val="00494E87"/>
    <w:rsid w:val="00494F2A"/>
    <w:rsid w:val="00494F9F"/>
    <w:rsid w:val="004950B4"/>
    <w:rsid w:val="004957A8"/>
    <w:rsid w:val="004957B8"/>
    <w:rsid w:val="00495894"/>
    <w:rsid w:val="0049595D"/>
    <w:rsid w:val="00495971"/>
    <w:rsid w:val="00495C70"/>
    <w:rsid w:val="00495DF3"/>
    <w:rsid w:val="0049609A"/>
    <w:rsid w:val="004965FC"/>
    <w:rsid w:val="00496672"/>
    <w:rsid w:val="0049679B"/>
    <w:rsid w:val="00496A19"/>
    <w:rsid w:val="00496A29"/>
    <w:rsid w:val="00496AC1"/>
    <w:rsid w:val="00496B4C"/>
    <w:rsid w:val="00496C20"/>
    <w:rsid w:val="00496C58"/>
    <w:rsid w:val="00496DD5"/>
    <w:rsid w:val="00496DDC"/>
    <w:rsid w:val="0049712F"/>
    <w:rsid w:val="0049727A"/>
    <w:rsid w:val="00497330"/>
    <w:rsid w:val="0049737C"/>
    <w:rsid w:val="0049785C"/>
    <w:rsid w:val="004978C9"/>
    <w:rsid w:val="00497950"/>
    <w:rsid w:val="00497A26"/>
    <w:rsid w:val="00497E51"/>
    <w:rsid w:val="00497EE4"/>
    <w:rsid w:val="00497FAA"/>
    <w:rsid w:val="004A00BE"/>
    <w:rsid w:val="004A0103"/>
    <w:rsid w:val="004A07D9"/>
    <w:rsid w:val="004A0896"/>
    <w:rsid w:val="004A09AD"/>
    <w:rsid w:val="004A0C43"/>
    <w:rsid w:val="004A1033"/>
    <w:rsid w:val="004A11F5"/>
    <w:rsid w:val="004A126F"/>
    <w:rsid w:val="004A154C"/>
    <w:rsid w:val="004A167F"/>
    <w:rsid w:val="004A1802"/>
    <w:rsid w:val="004A1AE3"/>
    <w:rsid w:val="004A1BB5"/>
    <w:rsid w:val="004A1E03"/>
    <w:rsid w:val="004A2119"/>
    <w:rsid w:val="004A21CE"/>
    <w:rsid w:val="004A221B"/>
    <w:rsid w:val="004A27BB"/>
    <w:rsid w:val="004A2845"/>
    <w:rsid w:val="004A2936"/>
    <w:rsid w:val="004A2964"/>
    <w:rsid w:val="004A2981"/>
    <w:rsid w:val="004A2A46"/>
    <w:rsid w:val="004A2C00"/>
    <w:rsid w:val="004A2E4E"/>
    <w:rsid w:val="004A2EBB"/>
    <w:rsid w:val="004A2F98"/>
    <w:rsid w:val="004A306C"/>
    <w:rsid w:val="004A30CE"/>
    <w:rsid w:val="004A32D2"/>
    <w:rsid w:val="004A333C"/>
    <w:rsid w:val="004A3564"/>
    <w:rsid w:val="004A3707"/>
    <w:rsid w:val="004A389D"/>
    <w:rsid w:val="004A3C9A"/>
    <w:rsid w:val="004A3CC1"/>
    <w:rsid w:val="004A3D59"/>
    <w:rsid w:val="004A3DA8"/>
    <w:rsid w:val="004A4031"/>
    <w:rsid w:val="004A4102"/>
    <w:rsid w:val="004A4332"/>
    <w:rsid w:val="004A46B5"/>
    <w:rsid w:val="004A482B"/>
    <w:rsid w:val="004A49D0"/>
    <w:rsid w:val="004A4A5E"/>
    <w:rsid w:val="004A4BE9"/>
    <w:rsid w:val="004A4E0B"/>
    <w:rsid w:val="004A5027"/>
    <w:rsid w:val="004A5090"/>
    <w:rsid w:val="004A50CB"/>
    <w:rsid w:val="004A59AD"/>
    <w:rsid w:val="004A5C6D"/>
    <w:rsid w:val="004A5DA5"/>
    <w:rsid w:val="004A5E23"/>
    <w:rsid w:val="004A62E3"/>
    <w:rsid w:val="004A63D0"/>
    <w:rsid w:val="004A6628"/>
    <w:rsid w:val="004A6D7B"/>
    <w:rsid w:val="004A6DD5"/>
    <w:rsid w:val="004A6FB9"/>
    <w:rsid w:val="004A7245"/>
    <w:rsid w:val="004A735D"/>
    <w:rsid w:val="004A7511"/>
    <w:rsid w:val="004A77A0"/>
    <w:rsid w:val="004A789F"/>
    <w:rsid w:val="004A7B5E"/>
    <w:rsid w:val="004A7DE6"/>
    <w:rsid w:val="004A7E60"/>
    <w:rsid w:val="004B038E"/>
    <w:rsid w:val="004B0461"/>
    <w:rsid w:val="004B0509"/>
    <w:rsid w:val="004B05F8"/>
    <w:rsid w:val="004B080D"/>
    <w:rsid w:val="004B0C12"/>
    <w:rsid w:val="004B0E82"/>
    <w:rsid w:val="004B0FB5"/>
    <w:rsid w:val="004B1055"/>
    <w:rsid w:val="004B10BE"/>
    <w:rsid w:val="004B112F"/>
    <w:rsid w:val="004B124F"/>
    <w:rsid w:val="004B1365"/>
    <w:rsid w:val="004B1627"/>
    <w:rsid w:val="004B16BF"/>
    <w:rsid w:val="004B1BA8"/>
    <w:rsid w:val="004B1D95"/>
    <w:rsid w:val="004B1E68"/>
    <w:rsid w:val="004B2318"/>
    <w:rsid w:val="004B2874"/>
    <w:rsid w:val="004B2A06"/>
    <w:rsid w:val="004B2A52"/>
    <w:rsid w:val="004B2ADA"/>
    <w:rsid w:val="004B2D0D"/>
    <w:rsid w:val="004B2E59"/>
    <w:rsid w:val="004B3048"/>
    <w:rsid w:val="004B36B8"/>
    <w:rsid w:val="004B37ED"/>
    <w:rsid w:val="004B3879"/>
    <w:rsid w:val="004B38BB"/>
    <w:rsid w:val="004B39CB"/>
    <w:rsid w:val="004B39D5"/>
    <w:rsid w:val="004B3C08"/>
    <w:rsid w:val="004B4124"/>
    <w:rsid w:val="004B4468"/>
    <w:rsid w:val="004B47E0"/>
    <w:rsid w:val="004B49E0"/>
    <w:rsid w:val="004B4A00"/>
    <w:rsid w:val="004B4AA1"/>
    <w:rsid w:val="004B4B52"/>
    <w:rsid w:val="004B4BD3"/>
    <w:rsid w:val="004B4E4D"/>
    <w:rsid w:val="004B4E59"/>
    <w:rsid w:val="004B4E85"/>
    <w:rsid w:val="004B4ED6"/>
    <w:rsid w:val="004B51A6"/>
    <w:rsid w:val="004B51E2"/>
    <w:rsid w:val="004B531F"/>
    <w:rsid w:val="004B5464"/>
    <w:rsid w:val="004B54E9"/>
    <w:rsid w:val="004B55B6"/>
    <w:rsid w:val="004B59AE"/>
    <w:rsid w:val="004B59B8"/>
    <w:rsid w:val="004B5A26"/>
    <w:rsid w:val="004B5C1E"/>
    <w:rsid w:val="004B5C58"/>
    <w:rsid w:val="004B5DC0"/>
    <w:rsid w:val="004B60CF"/>
    <w:rsid w:val="004B60EF"/>
    <w:rsid w:val="004B6187"/>
    <w:rsid w:val="004B61E0"/>
    <w:rsid w:val="004B6212"/>
    <w:rsid w:val="004B677D"/>
    <w:rsid w:val="004B685C"/>
    <w:rsid w:val="004B6D64"/>
    <w:rsid w:val="004B6D98"/>
    <w:rsid w:val="004B70FB"/>
    <w:rsid w:val="004B7217"/>
    <w:rsid w:val="004B73C4"/>
    <w:rsid w:val="004B7535"/>
    <w:rsid w:val="004B7A10"/>
    <w:rsid w:val="004B7C23"/>
    <w:rsid w:val="004B7CC6"/>
    <w:rsid w:val="004B7DCC"/>
    <w:rsid w:val="004C0041"/>
    <w:rsid w:val="004C013D"/>
    <w:rsid w:val="004C0144"/>
    <w:rsid w:val="004C0175"/>
    <w:rsid w:val="004C0200"/>
    <w:rsid w:val="004C03C8"/>
    <w:rsid w:val="004C05A4"/>
    <w:rsid w:val="004C0AF5"/>
    <w:rsid w:val="004C0B18"/>
    <w:rsid w:val="004C0E62"/>
    <w:rsid w:val="004C1033"/>
    <w:rsid w:val="004C13C4"/>
    <w:rsid w:val="004C17C7"/>
    <w:rsid w:val="004C182A"/>
    <w:rsid w:val="004C197B"/>
    <w:rsid w:val="004C1AE3"/>
    <w:rsid w:val="004C1B41"/>
    <w:rsid w:val="004C1CDA"/>
    <w:rsid w:val="004C1F30"/>
    <w:rsid w:val="004C2031"/>
    <w:rsid w:val="004C20D0"/>
    <w:rsid w:val="004C216C"/>
    <w:rsid w:val="004C24F4"/>
    <w:rsid w:val="004C267A"/>
    <w:rsid w:val="004C287A"/>
    <w:rsid w:val="004C2B8D"/>
    <w:rsid w:val="004C2BAA"/>
    <w:rsid w:val="004C2DA5"/>
    <w:rsid w:val="004C2DF4"/>
    <w:rsid w:val="004C3129"/>
    <w:rsid w:val="004C358E"/>
    <w:rsid w:val="004C361A"/>
    <w:rsid w:val="004C37B6"/>
    <w:rsid w:val="004C3AEA"/>
    <w:rsid w:val="004C3B21"/>
    <w:rsid w:val="004C3B3F"/>
    <w:rsid w:val="004C3C3F"/>
    <w:rsid w:val="004C3D40"/>
    <w:rsid w:val="004C3D8C"/>
    <w:rsid w:val="004C412D"/>
    <w:rsid w:val="004C4193"/>
    <w:rsid w:val="004C433D"/>
    <w:rsid w:val="004C454D"/>
    <w:rsid w:val="004C4857"/>
    <w:rsid w:val="004C49D5"/>
    <w:rsid w:val="004C4AE6"/>
    <w:rsid w:val="004C4BAF"/>
    <w:rsid w:val="004C4C10"/>
    <w:rsid w:val="004C4C72"/>
    <w:rsid w:val="004C4CE0"/>
    <w:rsid w:val="004C4D27"/>
    <w:rsid w:val="004C4F9C"/>
    <w:rsid w:val="004C53F8"/>
    <w:rsid w:val="004C5522"/>
    <w:rsid w:val="004C55F1"/>
    <w:rsid w:val="004C5786"/>
    <w:rsid w:val="004C5827"/>
    <w:rsid w:val="004C5A38"/>
    <w:rsid w:val="004C5DEC"/>
    <w:rsid w:val="004C5EEA"/>
    <w:rsid w:val="004C5F44"/>
    <w:rsid w:val="004C5F56"/>
    <w:rsid w:val="004C621D"/>
    <w:rsid w:val="004C63BF"/>
    <w:rsid w:val="004C65B1"/>
    <w:rsid w:val="004C6953"/>
    <w:rsid w:val="004C6A30"/>
    <w:rsid w:val="004C6A8A"/>
    <w:rsid w:val="004C6B25"/>
    <w:rsid w:val="004C6C18"/>
    <w:rsid w:val="004C6D07"/>
    <w:rsid w:val="004C6D13"/>
    <w:rsid w:val="004C6DFC"/>
    <w:rsid w:val="004C6EE7"/>
    <w:rsid w:val="004C6FBF"/>
    <w:rsid w:val="004C706F"/>
    <w:rsid w:val="004C70D5"/>
    <w:rsid w:val="004C733B"/>
    <w:rsid w:val="004C7543"/>
    <w:rsid w:val="004C75F7"/>
    <w:rsid w:val="004C76A1"/>
    <w:rsid w:val="004C7A75"/>
    <w:rsid w:val="004C7BFC"/>
    <w:rsid w:val="004D0086"/>
    <w:rsid w:val="004D0099"/>
    <w:rsid w:val="004D078C"/>
    <w:rsid w:val="004D08F7"/>
    <w:rsid w:val="004D0BAF"/>
    <w:rsid w:val="004D0C34"/>
    <w:rsid w:val="004D0F1C"/>
    <w:rsid w:val="004D0FCA"/>
    <w:rsid w:val="004D1049"/>
    <w:rsid w:val="004D13E4"/>
    <w:rsid w:val="004D140C"/>
    <w:rsid w:val="004D15D0"/>
    <w:rsid w:val="004D1683"/>
    <w:rsid w:val="004D1787"/>
    <w:rsid w:val="004D17AC"/>
    <w:rsid w:val="004D18C2"/>
    <w:rsid w:val="004D1AA8"/>
    <w:rsid w:val="004D1C9E"/>
    <w:rsid w:val="004D1EE6"/>
    <w:rsid w:val="004D1F87"/>
    <w:rsid w:val="004D203B"/>
    <w:rsid w:val="004D2162"/>
    <w:rsid w:val="004D21A8"/>
    <w:rsid w:val="004D21CC"/>
    <w:rsid w:val="004D21FE"/>
    <w:rsid w:val="004D2225"/>
    <w:rsid w:val="004D234B"/>
    <w:rsid w:val="004D2369"/>
    <w:rsid w:val="004D23BE"/>
    <w:rsid w:val="004D246D"/>
    <w:rsid w:val="004D27A4"/>
    <w:rsid w:val="004D2C99"/>
    <w:rsid w:val="004D2D83"/>
    <w:rsid w:val="004D2FF7"/>
    <w:rsid w:val="004D32D9"/>
    <w:rsid w:val="004D32FE"/>
    <w:rsid w:val="004D335D"/>
    <w:rsid w:val="004D343B"/>
    <w:rsid w:val="004D35D1"/>
    <w:rsid w:val="004D3688"/>
    <w:rsid w:val="004D3734"/>
    <w:rsid w:val="004D387B"/>
    <w:rsid w:val="004D39DB"/>
    <w:rsid w:val="004D3A64"/>
    <w:rsid w:val="004D3CE8"/>
    <w:rsid w:val="004D3E23"/>
    <w:rsid w:val="004D3E7D"/>
    <w:rsid w:val="004D3F70"/>
    <w:rsid w:val="004D4029"/>
    <w:rsid w:val="004D4624"/>
    <w:rsid w:val="004D4CC6"/>
    <w:rsid w:val="004D4CD0"/>
    <w:rsid w:val="004D4D16"/>
    <w:rsid w:val="004D4E7E"/>
    <w:rsid w:val="004D5009"/>
    <w:rsid w:val="004D5078"/>
    <w:rsid w:val="004D51BC"/>
    <w:rsid w:val="004D5327"/>
    <w:rsid w:val="004D557B"/>
    <w:rsid w:val="004D559F"/>
    <w:rsid w:val="004D564F"/>
    <w:rsid w:val="004D58E4"/>
    <w:rsid w:val="004D5A25"/>
    <w:rsid w:val="004D5B9D"/>
    <w:rsid w:val="004D5E17"/>
    <w:rsid w:val="004D5E18"/>
    <w:rsid w:val="004D5E4B"/>
    <w:rsid w:val="004D5E6B"/>
    <w:rsid w:val="004D5F49"/>
    <w:rsid w:val="004D5F4D"/>
    <w:rsid w:val="004D6025"/>
    <w:rsid w:val="004D616C"/>
    <w:rsid w:val="004D6363"/>
    <w:rsid w:val="004D6759"/>
    <w:rsid w:val="004D688B"/>
    <w:rsid w:val="004D68C0"/>
    <w:rsid w:val="004D6946"/>
    <w:rsid w:val="004D6C96"/>
    <w:rsid w:val="004D6CD3"/>
    <w:rsid w:val="004D6D6A"/>
    <w:rsid w:val="004D6EBA"/>
    <w:rsid w:val="004D6F75"/>
    <w:rsid w:val="004D6F83"/>
    <w:rsid w:val="004D6F95"/>
    <w:rsid w:val="004D708F"/>
    <w:rsid w:val="004D713D"/>
    <w:rsid w:val="004D715F"/>
    <w:rsid w:val="004D7163"/>
    <w:rsid w:val="004D71CA"/>
    <w:rsid w:val="004D7232"/>
    <w:rsid w:val="004D7853"/>
    <w:rsid w:val="004D79D8"/>
    <w:rsid w:val="004D7ADD"/>
    <w:rsid w:val="004D7B59"/>
    <w:rsid w:val="004E040C"/>
    <w:rsid w:val="004E044C"/>
    <w:rsid w:val="004E054A"/>
    <w:rsid w:val="004E06FB"/>
    <w:rsid w:val="004E0815"/>
    <w:rsid w:val="004E0A62"/>
    <w:rsid w:val="004E0D4F"/>
    <w:rsid w:val="004E0FDC"/>
    <w:rsid w:val="004E1314"/>
    <w:rsid w:val="004E1372"/>
    <w:rsid w:val="004E147D"/>
    <w:rsid w:val="004E173B"/>
    <w:rsid w:val="004E1CC5"/>
    <w:rsid w:val="004E1E5E"/>
    <w:rsid w:val="004E1F9F"/>
    <w:rsid w:val="004E201B"/>
    <w:rsid w:val="004E224E"/>
    <w:rsid w:val="004E269E"/>
    <w:rsid w:val="004E2916"/>
    <w:rsid w:val="004E2B13"/>
    <w:rsid w:val="004E2DFD"/>
    <w:rsid w:val="004E2E10"/>
    <w:rsid w:val="004E2FD8"/>
    <w:rsid w:val="004E320F"/>
    <w:rsid w:val="004E3603"/>
    <w:rsid w:val="004E3845"/>
    <w:rsid w:val="004E3A6E"/>
    <w:rsid w:val="004E4134"/>
    <w:rsid w:val="004E4208"/>
    <w:rsid w:val="004E4250"/>
    <w:rsid w:val="004E4308"/>
    <w:rsid w:val="004E43C7"/>
    <w:rsid w:val="004E46A2"/>
    <w:rsid w:val="004E46D2"/>
    <w:rsid w:val="004E46FA"/>
    <w:rsid w:val="004E4862"/>
    <w:rsid w:val="004E4C28"/>
    <w:rsid w:val="004E4D01"/>
    <w:rsid w:val="004E4F13"/>
    <w:rsid w:val="004E510A"/>
    <w:rsid w:val="004E5152"/>
    <w:rsid w:val="004E5166"/>
    <w:rsid w:val="004E5187"/>
    <w:rsid w:val="004E5343"/>
    <w:rsid w:val="004E56B6"/>
    <w:rsid w:val="004E5713"/>
    <w:rsid w:val="004E57FA"/>
    <w:rsid w:val="004E5A1B"/>
    <w:rsid w:val="004E5BDB"/>
    <w:rsid w:val="004E5BF9"/>
    <w:rsid w:val="004E5E21"/>
    <w:rsid w:val="004E6038"/>
    <w:rsid w:val="004E606C"/>
    <w:rsid w:val="004E606E"/>
    <w:rsid w:val="004E6225"/>
    <w:rsid w:val="004E6295"/>
    <w:rsid w:val="004E644B"/>
    <w:rsid w:val="004E6590"/>
    <w:rsid w:val="004E6689"/>
    <w:rsid w:val="004E668E"/>
    <w:rsid w:val="004E6700"/>
    <w:rsid w:val="004E677D"/>
    <w:rsid w:val="004E6791"/>
    <w:rsid w:val="004E68F4"/>
    <w:rsid w:val="004E692C"/>
    <w:rsid w:val="004E698A"/>
    <w:rsid w:val="004E6A9B"/>
    <w:rsid w:val="004E6ADD"/>
    <w:rsid w:val="004E6B88"/>
    <w:rsid w:val="004E6C1E"/>
    <w:rsid w:val="004E6C4C"/>
    <w:rsid w:val="004E6D54"/>
    <w:rsid w:val="004E6D88"/>
    <w:rsid w:val="004E6EAF"/>
    <w:rsid w:val="004E6F33"/>
    <w:rsid w:val="004E70E5"/>
    <w:rsid w:val="004E73CA"/>
    <w:rsid w:val="004E76A6"/>
    <w:rsid w:val="004E76C9"/>
    <w:rsid w:val="004E789D"/>
    <w:rsid w:val="004E796D"/>
    <w:rsid w:val="004E7A7A"/>
    <w:rsid w:val="004E7B5A"/>
    <w:rsid w:val="004E7B77"/>
    <w:rsid w:val="004E7FB1"/>
    <w:rsid w:val="004F01D0"/>
    <w:rsid w:val="004F01EA"/>
    <w:rsid w:val="004F039F"/>
    <w:rsid w:val="004F045A"/>
    <w:rsid w:val="004F0518"/>
    <w:rsid w:val="004F0613"/>
    <w:rsid w:val="004F063B"/>
    <w:rsid w:val="004F0741"/>
    <w:rsid w:val="004F0747"/>
    <w:rsid w:val="004F0785"/>
    <w:rsid w:val="004F079F"/>
    <w:rsid w:val="004F0D12"/>
    <w:rsid w:val="004F0E64"/>
    <w:rsid w:val="004F0EF9"/>
    <w:rsid w:val="004F105B"/>
    <w:rsid w:val="004F1438"/>
    <w:rsid w:val="004F1662"/>
    <w:rsid w:val="004F16AD"/>
    <w:rsid w:val="004F1744"/>
    <w:rsid w:val="004F1D67"/>
    <w:rsid w:val="004F1E5A"/>
    <w:rsid w:val="004F1FBD"/>
    <w:rsid w:val="004F2051"/>
    <w:rsid w:val="004F225B"/>
    <w:rsid w:val="004F22C3"/>
    <w:rsid w:val="004F22DC"/>
    <w:rsid w:val="004F2492"/>
    <w:rsid w:val="004F24AE"/>
    <w:rsid w:val="004F251A"/>
    <w:rsid w:val="004F2778"/>
    <w:rsid w:val="004F2A00"/>
    <w:rsid w:val="004F2B9C"/>
    <w:rsid w:val="004F2CBE"/>
    <w:rsid w:val="004F304E"/>
    <w:rsid w:val="004F3227"/>
    <w:rsid w:val="004F3380"/>
    <w:rsid w:val="004F3618"/>
    <w:rsid w:val="004F3A7C"/>
    <w:rsid w:val="004F3CC8"/>
    <w:rsid w:val="004F42D1"/>
    <w:rsid w:val="004F4492"/>
    <w:rsid w:val="004F4653"/>
    <w:rsid w:val="004F46B5"/>
    <w:rsid w:val="004F48A9"/>
    <w:rsid w:val="004F4A43"/>
    <w:rsid w:val="004F50BF"/>
    <w:rsid w:val="004F5200"/>
    <w:rsid w:val="004F5255"/>
    <w:rsid w:val="004F536C"/>
    <w:rsid w:val="004F53E7"/>
    <w:rsid w:val="004F5445"/>
    <w:rsid w:val="004F55E6"/>
    <w:rsid w:val="004F57C3"/>
    <w:rsid w:val="004F585C"/>
    <w:rsid w:val="004F5FA5"/>
    <w:rsid w:val="004F5FA7"/>
    <w:rsid w:val="004F60ED"/>
    <w:rsid w:val="004F6213"/>
    <w:rsid w:val="004F6B8A"/>
    <w:rsid w:val="004F6C38"/>
    <w:rsid w:val="004F6C61"/>
    <w:rsid w:val="004F6DCC"/>
    <w:rsid w:val="004F719C"/>
    <w:rsid w:val="004F735C"/>
    <w:rsid w:val="004F73B2"/>
    <w:rsid w:val="004F7422"/>
    <w:rsid w:val="004F78A1"/>
    <w:rsid w:val="004F79E0"/>
    <w:rsid w:val="004F7B31"/>
    <w:rsid w:val="004F7B34"/>
    <w:rsid w:val="004F7C6A"/>
    <w:rsid w:val="004F7E15"/>
    <w:rsid w:val="00500071"/>
    <w:rsid w:val="00500085"/>
    <w:rsid w:val="00500092"/>
    <w:rsid w:val="005000FF"/>
    <w:rsid w:val="005001B4"/>
    <w:rsid w:val="005001E0"/>
    <w:rsid w:val="00500283"/>
    <w:rsid w:val="00500292"/>
    <w:rsid w:val="005002AC"/>
    <w:rsid w:val="00500437"/>
    <w:rsid w:val="0050060F"/>
    <w:rsid w:val="0050082F"/>
    <w:rsid w:val="0050083E"/>
    <w:rsid w:val="0050085B"/>
    <w:rsid w:val="00500925"/>
    <w:rsid w:val="005009D0"/>
    <w:rsid w:val="00500B91"/>
    <w:rsid w:val="00500CC6"/>
    <w:rsid w:val="00500CD8"/>
    <w:rsid w:val="00500F3D"/>
    <w:rsid w:val="00501053"/>
    <w:rsid w:val="005010BC"/>
    <w:rsid w:val="005011D2"/>
    <w:rsid w:val="00501572"/>
    <w:rsid w:val="005016E5"/>
    <w:rsid w:val="00501783"/>
    <w:rsid w:val="00501818"/>
    <w:rsid w:val="0050189A"/>
    <w:rsid w:val="00501BDA"/>
    <w:rsid w:val="00501C9B"/>
    <w:rsid w:val="00501CEA"/>
    <w:rsid w:val="00502023"/>
    <w:rsid w:val="00502420"/>
    <w:rsid w:val="005026FB"/>
    <w:rsid w:val="005029AA"/>
    <w:rsid w:val="00502AE2"/>
    <w:rsid w:val="00502B06"/>
    <w:rsid w:val="00502B5C"/>
    <w:rsid w:val="00502BCD"/>
    <w:rsid w:val="00502E68"/>
    <w:rsid w:val="005031F8"/>
    <w:rsid w:val="00503741"/>
    <w:rsid w:val="0050387D"/>
    <w:rsid w:val="00503A3D"/>
    <w:rsid w:val="00503B03"/>
    <w:rsid w:val="00503B6D"/>
    <w:rsid w:val="00503CAD"/>
    <w:rsid w:val="00503D33"/>
    <w:rsid w:val="00503DB5"/>
    <w:rsid w:val="00503DC0"/>
    <w:rsid w:val="00503FAB"/>
    <w:rsid w:val="00504137"/>
    <w:rsid w:val="0050416E"/>
    <w:rsid w:val="005041A7"/>
    <w:rsid w:val="00504257"/>
    <w:rsid w:val="005042C2"/>
    <w:rsid w:val="005043C6"/>
    <w:rsid w:val="00504527"/>
    <w:rsid w:val="0050454A"/>
    <w:rsid w:val="00504574"/>
    <w:rsid w:val="0050461F"/>
    <w:rsid w:val="0050470B"/>
    <w:rsid w:val="00504795"/>
    <w:rsid w:val="00504987"/>
    <w:rsid w:val="00504C50"/>
    <w:rsid w:val="00504EFF"/>
    <w:rsid w:val="00504F2B"/>
    <w:rsid w:val="005051D6"/>
    <w:rsid w:val="005052EF"/>
    <w:rsid w:val="00505470"/>
    <w:rsid w:val="0050552D"/>
    <w:rsid w:val="00505A83"/>
    <w:rsid w:val="00505AB5"/>
    <w:rsid w:val="00505C81"/>
    <w:rsid w:val="00505C8B"/>
    <w:rsid w:val="00505C90"/>
    <w:rsid w:val="00505DC1"/>
    <w:rsid w:val="00505EC1"/>
    <w:rsid w:val="005060E0"/>
    <w:rsid w:val="00506318"/>
    <w:rsid w:val="0050633E"/>
    <w:rsid w:val="005065BE"/>
    <w:rsid w:val="00506669"/>
    <w:rsid w:val="00506672"/>
    <w:rsid w:val="00506888"/>
    <w:rsid w:val="0050688C"/>
    <w:rsid w:val="005068D7"/>
    <w:rsid w:val="00506948"/>
    <w:rsid w:val="00506BCB"/>
    <w:rsid w:val="00506C6E"/>
    <w:rsid w:val="00506E2D"/>
    <w:rsid w:val="00506F4A"/>
    <w:rsid w:val="00507260"/>
    <w:rsid w:val="0050747C"/>
    <w:rsid w:val="00507514"/>
    <w:rsid w:val="00507780"/>
    <w:rsid w:val="00507BB0"/>
    <w:rsid w:val="00507D20"/>
    <w:rsid w:val="00507EB4"/>
    <w:rsid w:val="00510247"/>
    <w:rsid w:val="00510264"/>
    <w:rsid w:val="0051048F"/>
    <w:rsid w:val="00510681"/>
    <w:rsid w:val="00510864"/>
    <w:rsid w:val="0051093E"/>
    <w:rsid w:val="00510ED9"/>
    <w:rsid w:val="00510F13"/>
    <w:rsid w:val="0051107D"/>
    <w:rsid w:val="005112AE"/>
    <w:rsid w:val="0051138A"/>
    <w:rsid w:val="00511794"/>
    <w:rsid w:val="00511AF3"/>
    <w:rsid w:val="00511CAD"/>
    <w:rsid w:val="00511CAF"/>
    <w:rsid w:val="00511E75"/>
    <w:rsid w:val="00511EBC"/>
    <w:rsid w:val="005120D6"/>
    <w:rsid w:val="0051222D"/>
    <w:rsid w:val="00512396"/>
    <w:rsid w:val="005123E0"/>
    <w:rsid w:val="005124BF"/>
    <w:rsid w:val="00512583"/>
    <w:rsid w:val="005125AD"/>
    <w:rsid w:val="005126F5"/>
    <w:rsid w:val="0051285F"/>
    <w:rsid w:val="00512A09"/>
    <w:rsid w:val="00512BC8"/>
    <w:rsid w:val="00512F5D"/>
    <w:rsid w:val="00512FFB"/>
    <w:rsid w:val="00513340"/>
    <w:rsid w:val="005135C0"/>
    <w:rsid w:val="005139C3"/>
    <w:rsid w:val="00513AB8"/>
    <w:rsid w:val="00513B9A"/>
    <w:rsid w:val="00513C8F"/>
    <w:rsid w:val="00513FB8"/>
    <w:rsid w:val="00514046"/>
    <w:rsid w:val="0051410D"/>
    <w:rsid w:val="005143E3"/>
    <w:rsid w:val="00514539"/>
    <w:rsid w:val="005146EC"/>
    <w:rsid w:val="00514733"/>
    <w:rsid w:val="0051493F"/>
    <w:rsid w:val="00514C3E"/>
    <w:rsid w:val="0051522E"/>
    <w:rsid w:val="00515247"/>
    <w:rsid w:val="00515300"/>
    <w:rsid w:val="005153A4"/>
    <w:rsid w:val="005153AF"/>
    <w:rsid w:val="0051543E"/>
    <w:rsid w:val="0051547B"/>
    <w:rsid w:val="0051560E"/>
    <w:rsid w:val="0051567E"/>
    <w:rsid w:val="0051571F"/>
    <w:rsid w:val="005158D1"/>
    <w:rsid w:val="00515916"/>
    <w:rsid w:val="00515998"/>
    <w:rsid w:val="005159F8"/>
    <w:rsid w:val="00515C52"/>
    <w:rsid w:val="00515C63"/>
    <w:rsid w:val="00515FFD"/>
    <w:rsid w:val="00516122"/>
    <w:rsid w:val="00516161"/>
    <w:rsid w:val="00516162"/>
    <w:rsid w:val="0051629D"/>
    <w:rsid w:val="005162E9"/>
    <w:rsid w:val="00516975"/>
    <w:rsid w:val="005169B4"/>
    <w:rsid w:val="00516A3B"/>
    <w:rsid w:val="00516BC4"/>
    <w:rsid w:val="00516CD4"/>
    <w:rsid w:val="0051704B"/>
    <w:rsid w:val="005170B7"/>
    <w:rsid w:val="00517133"/>
    <w:rsid w:val="005172D1"/>
    <w:rsid w:val="005173A6"/>
    <w:rsid w:val="005173D4"/>
    <w:rsid w:val="00517683"/>
    <w:rsid w:val="005176D2"/>
    <w:rsid w:val="005178F7"/>
    <w:rsid w:val="00517AD8"/>
    <w:rsid w:val="00517ADD"/>
    <w:rsid w:val="00517F27"/>
    <w:rsid w:val="0052036C"/>
    <w:rsid w:val="00520484"/>
    <w:rsid w:val="005205B8"/>
    <w:rsid w:val="005205D4"/>
    <w:rsid w:val="005206D2"/>
    <w:rsid w:val="0052078F"/>
    <w:rsid w:val="005207D5"/>
    <w:rsid w:val="005208D1"/>
    <w:rsid w:val="00520A8B"/>
    <w:rsid w:val="00520B3A"/>
    <w:rsid w:val="00520CB3"/>
    <w:rsid w:val="00520CD4"/>
    <w:rsid w:val="00520E5E"/>
    <w:rsid w:val="00520E7E"/>
    <w:rsid w:val="00520ED7"/>
    <w:rsid w:val="0052126A"/>
    <w:rsid w:val="00521532"/>
    <w:rsid w:val="00521685"/>
    <w:rsid w:val="00521699"/>
    <w:rsid w:val="0052176C"/>
    <w:rsid w:val="005217E9"/>
    <w:rsid w:val="00521A21"/>
    <w:rsid w:val="00521A36"/>
    <w:rsid w:val="00521C3E"/>
    <w:rsid w:val="00521DCE"/>
    <w:rsid w:val="00521FBF"/>
    <w:rsid w:val="00521FC8"/>
    <w:rsid w:val="00522094"/>
    <w:rsid w:val="005228CA"/>
    <w:rsid w:val="00522995"/>
    <w:rsid w:val="00522ACA"/>
    <w:rsid w:val="00522AD2"/>
    <w:rsid w:val="00522D23"/>
    <w:rsid w:val="00522E17"/>
    <w:rsid w:val="00522F20"/>
    <w:rsid w:val="005231C3"/>
    <w:rsid w:val="0052324B"/>
    <w:rsid w:val="00523315"/>
    <w:rsid w:val="00523678"/>
    <w:rsid w:val="005236F5"/>
    <w:rsid w:val="00523932"/>
    <w:rsid w:val="00523B5D"/>
    <w:rsid w:val="00523CA8"/>
    <w:rsid w:val="00523CFF"/>
    <w:rsid w:val="00523E2A"/>
    <w:rsid w:val="005241FF"/>
    <w:rsid w:val="00524215"/>
    <w:rsid w:val="0052462D"/>
    <w:rsid w:val="0052487E"/>
    <w:rsid w:val="0052487F"/>
    <w:rsid w:val="005248D7"/>
    <w:rsid w:val="005248F8"/>
    <w:rsid w:val="0052496E"/>
    <w:rsid w:val="00524A41"/>
    <w:rsid w:val="00524A89"/>
    <w:rsid w:val="00524AF1"/>
    <w:rsid w:val="00524E56"/>
    <w:rsid w:val="00524F0E"/>
    <w:rsid w:val="00524F55"/>
    <w:rsid w:val="00524F6B"/>
    <w:rsid w:val="00524FAE"/>
    <w:rsid w:val="00525160"/>
    <w:rsid w:val="00525575"/>
    <w:rsid w:val="00525636"/>
    <w:rsid w:val="00525644"/>
    <w:rsid w:val="0052572B"/>
    <w:rsid w:val="005257B6"/>
    <w:rsid w:val="005259C5"/>
    <w:rsid w:val="00525DF1"/>
    <w:rsid w:val="00525E09"/>
    <w:rsid w:val="00525E34"/>
    <w:rsid w:val="00525EBE"/>
    <w:rsid w:val="00525EED"/>
    <w:rsid w:val="00526047"/>
    <w:rsid w:val="00526149"/>
    <w:rsid w:val="00526183"/>
    <w:rsid w:val="005265BE"/>
    <w:rsid w:val="0052683B"/>
    <w:rsid w:val="00526A27"/>
    <w:rsid w:val="00526A54"/>
    <w:rsid w:val="00526A62"/>
    <w:rsid w:val="00526AEC"/>
    <w:rsid w:val="00526B20"/>
    <w:rsid w:val="00526E6D"/>
    <w:rsid w:val="00526F94"/>
    <w:rsid w:val="00527095"/>
    <w:rsid w:val="0052714F"/>
    <w:rsid w:val="0052732F"/>
    <w:rsid w:val="005273AE"/>
    <w:rsid w:val="00527589"/>
    <w:rsid w:val="0052775C"/>
    <w:rsid w:val="00527817"/>
    <w:rsid w:val="00527828"/>
    <w:rsid w:val="00527838"/>
    <w:rsid w:val="00527A1E"/>
    <w:rsid w:val="00527D2F"/>
    <w:rsid w:val="00530021"/>
    <w:rsid w:val="00530230"/>
    <w:rsid w:val="005302D6"/>
    <w:rsid w:val="0053039F"/>
    <w:rsid w:val="00530404"/>
    <w:rsid w:val="005306FF"/>
    <w:rsid w:val="005309FF"/>
    <w:rsid w:val="00530A65"/>
    <w:rsid w:val="00530D62"/>
    <w:rsid w:val="0053154B"/>
    <w:rsid w:val="00531590"/>
    <w:rsid w:val="00531C26"/>
    <w:rsid w:val="00531C9F"/>
    <w:rsid w:val="00531E20"/>
    <w:rsid w:val="005321A5"/>
    <w:rsid w:val="00532377"/>
    <w:rsid w:val="0053255B"/>
    <w:rsid w:val="0053288C"/>
    <w:rsid w:val="00532A7C"/>
    <w:rsid w:val="00532A94"/>
    <w:rsid w:val="00532B89"/>
    <w:rsid w:val="00532BCD"/>
    <w:rsid w:val="00532C47"/>
    <w:rsid w:val="00532C55"/>
    <w:rsid w:val="00532D61"/>
    <w:rsid w:val="00533008"/>
    <w:rsid w:val="00533097"/>
    <w:rsid w:val="00533877"/>
    <w:rsid w:val="00533BD2"/>
    <w:rsid w:val="00533C55"/>
    <w:rsid w:val="00533CA1"/>
    <w:rsid w:val="00533D56"/>
    <w:rsid w:val="00533E23"/>
    <w:rsid w:val="00533E4C"/>
    <w:rsid w:val="00533F85"/>
    <w:rsid w:val="00533F88"/>
    <w:rsid w:val="00534024"/>
    <w:rsid w:val="00534050"/>
    <w:rsid w:val="005340B8"/>
    <w:rsid w:val="0053428C"/>
    <w:rsid w:val="00534373"/>
    <w:rsid w:val="005343BA"/>
    <w:rsid w:val="00534480"/>
    <w:rsid w:val="005347E0"/>
    <w:rsid w:val="005347E2"/>
    <w:rsid w:val="005349BF"/>
    <w:rsid w:val="00534A7E"/>
    <w:rsid w:val="00534ED6"/>
    <w:rsid w:val="00534F53"/>
    <w:rsid w:val="00535194"/>
    <w:rsid w:val="005352B3"/>
    <w:rsid w:val="00535369"/>
    <w:rsid w:val="00535375"/>
    <w:rsid w:val="00535439"/>
    <w:rsid w:val="00535771"/>
    <w:rsid w:val="005357C2"/>
    <w:rsid w:val="005357D1"/>
    <w:rsid w:val="00535C1F"/>
    <w:rsid w:val="00535CAA"/>
    <w:rsid w:val="00535D26"/>
    <w:rsid w:val="005361B1"/>
    <w:rsid w:val="005364A9"/>
    <w:rsid w:val="005364B3"/>
    <w:rsid w:val="00536C68"/>
    <w:rsid w:val="00536DD5"/>
    <w:rsid w:val="00536DF0"/>
    <w:rsid w:val="00536E0A"/>
    <w:rsid w:val="00537007"/>
    <w:rsid w:val="005370A4"/>
    <w:rsid w:val="005370D4"/>
    <w:rsid w:val="0053722C"/>
    <w:rsid w:val="00537283"/>
    <w:rsid w:val="005372AE"/>
    <w:rsid w:val="005372C0"/>
    <w:rsid w:val="005373C4"/>
    <w:rsid w:val="0053744B"/>
    <w:rsid w:val="0053786F"/>
    <w:rsid w:val="00537A75"/>
    <w:rsid w:val="00537AA3"/>
    <w:rsid w:val="00537CC7"/>
    <w:rsid w:val="00537D18"/>
    <w:rsid w:val="00537DDA"/>
    <w:rsid w:val="00537E38"/>
    <w:rsid w:val="00537E8D"/>
    <w:rsid w:val="00540154"/>
    <w:rsid w:val="0054032A"/>
    <w:rsid w:val="00540362"/>
    <w:rsid w:val="0054036E"/>
    <w:rsid w:val="005403D5"/>
    <w:rsid w:val="0054088B"/>
    <w:rsid w:val="005408D0"/>
    <w:rsid w:val="0054097C"/>
    <w:rsid w:val="00540A24"/>
    <w:rsid w:val="00540A62"/>
    <w:rsid w:val="00540E5A"/>
    <w:rsid w:val="00540EB6"/>
    <w:rsid w:val="00540F07"/>
    <w:rsid w:val="00540F17"/>
    <w:rsid w:val="00540FD7"/>
    <w:rsid w:val="0054121D"/>
    <w:rsid w:val="00541377"/>
    <w:rsid w:val="00541589"/>
    <w:rsid w:val="0054173C"/>
    <w:rsid w:val="005419C9"/>
    <w:rsid w:val="00541A74"/>
    <w:rsid w:val="00541C20"/>
    <w:rsid w:val="00541DA0"/>
    <w:rsid w:val="00541DEA"/>
    <w:rsid w:val="00541F0F"/>
    <w:rsid w:val="00541FE0"/>
    <w:rsid w:val="005422C2"/>
    <w:rsid w:val="0054244C"/>
    <w:rsid w:val="0054252A"/>
    <w:rsid w:val="0054298A"/>
    <w:rsid w:val="00542C41"/>
    <w:rsid w:val="00542CF4"/>
    <w:rsid w:val="00542D5B"/>
    <w:rsid w:val="00542E18"/>
    <w:rsid w:val="00542E26"/>
    <w:rsid w:val="00542FC1"/>
    <w:rsid w:val="005432C8"/>
    <w:rsid w:val="005433D5"/>
    <w:rsid w:val="005433E3"/>
    <w:rsid w:val="005436EA"/>
    <w:rsid w:val="005437EB"/>
    <w:rsid w:val="005437FE"/>
    <w:rsid w:val="00543947"/>
    <w:rsid w:val="00543AB6"/>
    <w:rsid w:val="00543C1E"/>
    <w:rsid w:val="00543EA4"/>
    <w:rsid w:val="00544193"/>
    <w:rsid w:val="00544442"/>
    <w:rsid w:val="00544597"/>
    <w:rsid w:val="0054469E"/>
    <w:rsid w:val="00544732"/>
    <w:rsid w:val="00544769"/>
    <w:rsid w:val="00544935"/>
    <w:rsid w:val="0054495F"/>
    <w:rsid w:val="00544962"/>
    <w:rsid w:val="00544AD6"/>
    <w:rsid w:val="00544D82"/>
    <w:rsid w:val="00544E79"/>
    <w:rsid w:val="00544F11"/>
    <w:rsid w:val="00545093"/>
    <w:rsid w:val="005452A3"/>
    <w:rsid w:val="005453C0"/>
    <w:rsid w:val="0054560A"/>
    <w:rsid w:val="00545616"/>
    <w:rsid w:val="005456C3"/>
    <w:rsid w:val="00545710"/>
    <w:rsid w:val="0054583A"/>
    <w:rsid w:val="00545964"/>
    <w:rsid w:val="00545B4C"/>
    <w:rsid w:val="00545BEA"/>
    <w:rsid w:val="00545CEA"/>
    <w:rsid w:val="00546053"/>
    <w:rsid w:val="005467E1"/>
    <w:rsid w:val="0054692D"/>
    <w:rsid w:val="00546948"/>
    <w:rsid w:val="00546A17"/>
    <w:rsid w:val="00546A79"/>
    <w:rsid w:val="00546E49"/>
    <w:rsid w:val="00546F1A"/>
    <w:rsid w:val="005470AE"/>
    <w:rsid w:val="0054761E"/>
    <w:rsid w:val="00547662"/>
    <w:rsid w:val="005477C6"/>
    <w:rsid w:val="00547963"/>
    <w:rsid w:val="00547BB7"/>
    <w:rsid w:val="00547C1D"/>
    <w:rsid w:val="00547DC3"/>
    <w:rsid w:val="00547E18"/>
    <w:rsid w:val="00547F03"/>
    <w:rsid w:val="00547FBF"/>
    <w:rsid w:val="00550245"/>
    <w:rsid w:val="005502A3"/>
    <w:rsid w:val="00550390"/>
    <w:rsid w:val="0055048F"/>
    <w:rsid w:val="005508D7"/>
    <w:rsid w:val="00550939"/>
    <w:rsid w:val="005509AF"/>
    <w:rsid w:val="005509BB"/>
    <w:rsid w:val="00550A66"/>
    <w:rsid w:val="00550A8B"/>
    <w:rsid w:val="00550CA4"/>
    <w:rsid w:val="00550CEE"/>
    <w:rsid w:val="00550D1E"/>
    <w:rsid w:val="00550E19"/>
    <w:rsid w:val="005510EC"/>
    <w:rsid w:val="005514D3"/>
    <w:rsid w:val="0055172A"/>
    <w:rsid w:val="005519EB"/>
    <w:rsid w:val="005519F6"/>
    <w:rsid w:val="00551BA6"/>
    <w:rsid w:val="00551BB3"/>
    <w:rsid w:val="00551C3C"/>
    <w:rsid w:val="00551E61"/>
    <w:rsid w:val="00551E63"/>
    <w:rsid w:val="00551F98"/>
    <w:rsid w:val="00552166"/>
    <w:rsid w:val="005522EC"/>
    <w:rsid w:val="00552339"/>
    <w:rsid w:val="005523FA"/>
    <w:rsid w:val="005526C5"/>
    <w:rsid w:val="00552937"/>
    <w:rsid w:val="00552BFC"/>
    <w:rsid w:val="00552C09"/>
    <w:rsid w:val="00553143"/>
    <w:rsid w:val="00553328"/>
    <w:rsid w:val="005533F8"/>
    <w:rsid w:val="00553485"/>
    <w:rsid w:val="005534AD"/>
    <w:rsid w:val="005537B3"/>
    <w:rsid w:val="00553842"/>
    <w:rsid w:val="00553932"/>
    <w:rsid w:val="00553D64"/>
    <w:rsid w:val="00553DCF"/>
    <w:rsid w:val="00553EE9"/>
    <w:rsid w:val="00554365"/>
    <w:rsid w:val="005543AE"/>
    <w:rsid w:val="005543FB"/>
    <w:rsid w:val="005544CD"/>
    <w:rsid w:val="005544E4"/>
    <w:rsid w:val="0055450D"/>
    <w:rsid w:val="00554540"/>
    <w:rsid w:val="005545EC"/>
    <w:rsid w:val="00554730"/>
    <w:rsid w:val="00554924"/>
    <w:rsid w:val="00554A98"/>
    <w:rsid w:val="00554C33"/>
    <w:rsid w:val="00554FC7"/>
    <w:rsid w:val="0055518A"/>
    <w:rsid w:val="005552EF"/>
    <w:rsid w:val="00555465"/>
    <w:rsid w:val="005554EC"/>
    <w:rsid w:val="005556D8"/>
    <w:rsid w:val="0055572E"/>
    <w:rsid w:val="0055576F"/>
    <w:rsid w:val="00555C6F"/>
    <w:rsid w:val="00555C8B"/>
    <w:rsid w:val="00555F9C"/>
    <w:rsid w:val="00555FA9"/>
    <w:rsid w:val="00556012"/>
    <w:rsid w:val="0055601C"/>
    <w:rsid w:val="0055615D"/>
    <w:rsid w:val="005561A5"/>
    <w:rsid w:val="00556362"/>
    <w:rsid w:val="0055645C"/>
    <w:rsid w:val="0055679C"/>
    <w:rsid w:val="00556875"/>
    <w:rsid w:val="00556890"/>
    <w:rsid w:val="005569F9"/>
    <w:rsid w:val="00556A71"/>
    <w:rsid w:val="00556B7F"/>
    <w:rsid w:val="00556BE3"/>
    <w:rsid w:val="00556C04"/>
    <w:rsid w:val="00556DCC"/>
    <w:rsid w:val="00556E0A"/>
    <w:rsid w:val="00556E26"/>
    <w:rsid w:val="00557168"/>
    <w:rsid w:val="005572CF"/>
    <w:rsid w:val="005574A1"/>
    <w:rsid w:val="00557844"/>
    <w:rsid w:val="005578A1"/>
    <w:rsid w:val="00557987"/>
    <w:rsid w:val="00557B78"/>
    <w:rsid w:val="00557D3B"/>
    <w:rsid w:val="00560045"/>
    <w:rsid w:val="00560210"/>
    <w:rsid w:val="0056040D"/>
    <w:rsid w:val="00560570"/>
    <w:rsid w:val="00560866"/>
    <w:rsid w:val="0056096C"/>
    <w:rsid w:val="00560C6F"/>
    <w:rsid w:val="00560D40"/>
    <w:rsid w:val="00560D84"/>
    <w:rsid w:val="00560DE8"/>
    <w:rsid w:val="00560E20"/>
    <w:rsid w:val="00561103"/>
    <w:rsid w:val="005612F6"/>
    <w:rsid w:val="00561453"/>
    <w:rsid w:val="0056146E"/>
    <w:rsid w:val="005618AA"/>
    <w:rsid w:val="00561955"/>
    <w:rsid w:val="00561A06"/>
    <w:rsid w:val="00561C80"/>
    <w:rsid w:val="00561CCF"/>
    <w:rsid w:val="00561CF8"/>
    <w:rsid w:val="00561E22"/>
    <w:rsid w:val="00561EC2"/>
    <w:rsid w:val="005623D3"/>
    <w:rsid w:val="0056269B"/>
    <w:rsid w:val="00562846"/>
    <w:rsid w:val="0056289F"/>
    <w:rsid w:val="00562A64"/>
    <w:rsid w:val="00562C25"/>
    <w:rsid w:val="00562CBA"/>
    <w:rsid w:val="00562E33"/>
    <w:rsid w:val="0056306C"/>
    <w:rsid w:val="005631C4"/>
    <w:rsid w:val="00563246"/>
    <w:rsid w:val="0056324F"/>
    <w:rsid w:val="00563250"/>
    <w:rsid w:val="00563661"/>
    <w:rsid w:val="0056384D"/>
    <w:rsid w:val="005638CA"/>
    <w:rsid w:val="00563982"/>
    <w:rsid w:val="00563B42"/>
    <w:rsid w:val="00563B67"/>
    <w:rsid w:val="00563B70"/>
    <w:rsid w:val="00563D9D"/>
    <w:rsid w:val="00563DCF"/>
    <w:rsid w:val="00563E44"/>
    <w:rsid w:val="00563E46"/>
    <w:rsid w:val="00563EB7"/>
    <w:rsid w:val="0056421B"/>
    <w:rsid w:val="00564686"/>
    <w:rsid w:val="00564729"/>
    <w:rsid w:val="00564AC9"/>
    <w:rsid w:val="00564BFE"/>
    <w:rsid w:val="00564D52"/>
    <w:rsid w:val="00564DB2"/>
    <w:rsid w:val="0056510B"/>
    <w:rsid w:val="005651B0"/>
    <w:rsid w:val="00565696"/>
    <w:rsid w:val="00565B6B"/>
    <w:rsid w:val="00565D5B"/>
    <w:rsid w:val="00565EAD"/>
    <w:rsid w:val="00565EC7"/>
    <w:rsid w:val="00565ECB"/>
    <w:rsid w:val="00566060"/>
    <w:rsid w:val="00566093"/>
    <w:rsid w:val="00566269"/>
    <w:rsid w:val="00566279"/>
    <w:rsid w:val="005664BC"/>
    <w:rsid w:val="005665CD"/>
    <w:rsid w:val="00566862"/>
    <w:rsid w:val="0056694D"/>
    <w:rsid w:val="00566975"/>
    <w:rsid w:val="005669A6"/>
    <w:rsid w:val="00566C56"/>
    <w:rsid w:val="00566E61"/>
    <w:rsid w:val="005672C5"/>
    <w:rsid w:val="005672C8"/>
    <w:rsid w:val="00567416"/>
    <w:rsid w:val="00567464"/>
    <w:rsid w:val="00567675"/>
    <w:rsid w:val="005676C7"/>
    <w:rsid w:val="005679C1"/>
    <w:rsid w:val="00567AF7"/>
    <w:rsid w:val="00567B2D"/>
    <w:rsid w:val="00567B45"/>
    <w:rsid w:val="00567C82"/>
    <w:rsid w:val="00567CAA"/>
    <w:rsid w:val="00567CC6"/>
    <w:rsid w:val="00567D7B"/>
    <w:rsid w:val="00570055"/>
    <w:rsid w:val="00570144"/>
    <w:rsid w:val="00570326"/>
    <w:rsid w:val="0057033A"/>
    <w:rsid w:val="005704C5"/>
    <w:rsid w:val="005704E8"/>
    <w:rsid w:val="005705D3"/>
    <w:rsid w:val="00570622"/>
    <w:rsid w:val="005707C0"/>
    <w:rsid w:val="0057094D"/>
    <w:rsid w:val="00570E4B"/>
    <w:rsid w:val="005712D6"/>
    <w:rsid w:val="005715AB"/>
    <w:rsid w:val="0057169B"/>
    <w:rsid w:val="005716BF"/>
    <w:rsid w:val="005716CC"/>
    <w:rsid w:val="0057187A"/>
    <w:rsid w:val="00571983"/>
    <w:rsid w:val="00571B00"/>
    <w:rsid w:val="00571B26"/>
    <w:rsid w:val="00571BAE"/>
    <w:rsid w:val="00571BF7"/>
    <w:rsid w:val="00571CE5"/>
    <w:rsid w:val="00571D11"/>
    <w:rsid w:val="00571D55"/>
    <w:rsid w:val="00571E7E"/>
    <w:rsid w:val="00571F06"/>
    <w:rsid w:val="00571FF0"/>
    <w:rsid w:val="00572119"/>
    <w:rsid w:val="0057228C"/>
    <w:rsid w:val="00572294"/>
    <w:rsid w:val="00572395"/>
    <w:rsid w:val="00572576"/>
    <w:rsid w:val="0057263E"/>
    <w:rsid w:val="00572872"/>
    <w:rsid w:val="00572A5F"/>
    <w:rsid w:val="00572E0C"/>
    <w:rsid w:val="00573180"/>
    <w:rsid w:val="0057327D"/>
    <w:rsid w:val="005734DC"/>
    <w:rsid w:val="00573508"/>
    <w:rsid w:val="00573D4B"/>
    <w:rsid w:val="00573E50"/>
    <w:rsid w:val="00573EFC"/>
    <w:rsid w:val="00573FFC"/>
    <w:rsid w:val="00574040"/>
    <w:rsid w:val="005741B5"/>
    <w:rsid w:val="0057434E"/>
    <w:rsid w:val="005744DF"/>
    <w:rsid w:val="0057477D"/>
    <w:rsid w:val="005747AC"/>
    <w:rsid w:val="00574B55"/>
    <w:rsid w:val="00574D6F"/>
    <w:rsid w:val="00574DE4"/>
    <w:rsid w:val="0057509A"/>
    <w:rsid w:val="0057516F"/>
    <w:rsid w:val="0057533B"/>
    <w:rsid w:val="00575372"/>
    <w:rsid w:val="005753B7"/>
    <w:rsid w:val="00575633"/>
    <w:rsid w:val="00575791"/>
    <w:rsid w:val="0057589D"/>
    <w:rsid w:val="00575A2F"/>
    <w:rsid w:val="00575C3B"/>
    <w:rsid w:val="00575CF6"/>
    <w:rsid w:val="00576070"/>
    <w:rsid w:val="00576269"/>
    <w:rsid w:val="005763C9"/>
    <w:rsid w:val="00576459"/>
    <w:rsid w:val="00576596"/>
    <w:rsid w:val="0057668C"/>
    <w:rsid w:val="0057668E"/>
    <w:rsid w:val="00576C1D"/>
    <w:rsid w:val="00576F21"/>
    <w:rsid w:val="0057752B"/>
    <w:rsid w:val="005777CE"/>
    <w:rsid w:val="0057799A"/>
    <w:rsid w:val="00577A38"/>
    <w:rsid w:val="00577A64"/>
    <w:rsid w:val="00577B28"/>
    <w:rsid w:val="00577C47"/>
    <w:rsid w:val="00577C53"/>
    <w:rsid w:val="00577FC3"/>
    <w:rsid w:val="00580023"/>
    <w:rsid w:val="005800B3"/>
    <w:rsid w:val="00580293"/>
    <w:rsid w:val="005802C4"/>
    <w:rsid w:val="005803C0"/>
    <w:rsid w:val="00580752"/>
    <w:rsid w:val="00580764"/>
    <w:rsid w:val="00580767"/>
    <w:rsid w:val="005807C7"/>
    <w:rsid w:val="005807FB"/>
    <w:rsid w:val="00580808"/>
    <w:rsid w:val="005808BD"/>
    <w:rsid w:val="0058093E"/>
    <w:rsid w:val="00580BFB"/>
    <w:rsid w:val="00580DD0"/>
    <w:rsid w:val="00580E7B"/>
    <w:rsid w:val="00580EC9"/>
    <w:rsid w:val="005812B3"/>
    <w:rsid w:val="0058134E"/>
    <w:rsid w:val="005813DE"/>
    <w:rsid w:val="00581516"/>
    <w:rsid w:val="005816CB"/>
    <w:rsid w:val="00581A37"/>
    <w:rsid w:val="00581A73"/>
    <w:rsid w:val="00581EA0"/>
    <w:rsid w:val="0058200B"/>
    <w:rsid w:val="00582247"/>
    <w:rsid w:val="005824E9"/>
    <w:rsid w:val="00582724"/>
    <w:rsid w:val="005827AC"/>
    <w:rsid w:val="00582924"/>
    <w:rsid w:val="00582B90"/>
    <w:rsid w:val="00582CD1"/>
    <w:rsid w:val="00582E13"/>
    <w:rsid w:val="00582F80"/>
    <w:rsid w:val="005832C1"/>
    <w:rsid w:val="005832F4"/>
    <w:rsid w:val="005835E9"/>
    <w:rsid w:val="00583630"/>
    <w:rsid w:val="00583799"/>
    <w:rsid w:val="005838AF"/>
    <w:rsid w:val="00583C2D"/>
    <w:rsid w:val="00583C80"/>
    <w:rsid w:val="00583E6B"/>
    <w:rsid w:val="00583FCB"/>
    <w:rsid w:val="00583FFC"/>
    <w:rsid w:val="00584132"/>
    <w:rsid w:val="005841B8"/>
    <w:rsid w:val="0058420F"/>
    <w:rsid w:val="0058424B"/>
    <w:rsid w:val="00584375"/>
    <w:rsid w:val="005843CE"/>
    <w:rsid w:val="00584446"/>
    <w:rsid w:val="00584481"/>
    <w:rsid w:val="00584484"/>
    <w:rsid w:val="00584543"/>
    <w:rsid w:val="0058468E"/>
    <w:rsid w:val="005846DB"/>
    <w:rsid w:val="00584874"/>
    <w:rsid w:val="005848C8"/>
    <w:rsid w:val="00584A87"/>
    <w:rsid w:val="00584C99"/>
    <w:rsid w:val="00584CBC"/>
    <w:rsid w:val="00584CC8"/>
    <w:rsid w:val="00584D00"/>
    <w:rsid w:val="00584D3C"/>
    <w:rsid w:val="00585215"/>
    <w:rsid w:val="00585573"/>
    <w:rsid w:val="0058577E"/>
    <w:rsid w:val="005858E9"/>
    <w:rsid w:val="00585A47"/>
    <w:rsid w:val="00585AD3"/>
    <w:rsid w:val="00585C8F"/>
    <w:rsid w:val="00585E26"/>
    <w:rsid w:val="00585F2B"/>
    <w:rsid w:val="00586050"/>
    <w:rsid w:val="005860CA"/>
    <w:rsid w:val="00586102"/>
    <w:rsid w:val="00586158"/>
    <w:rsid w:val="005862E9"/>
    <w:rsid w:val="005863A7"/>
    <w:rsid w:val="0058645D"/>
    <w:rsid w:val="00586628"/>
    <w:rsid w:val="00586727"/>
    <w:rsid w:val="0058685E"/>
    <w:rsid w:val="00586B1F"/>
    <w:rsid w:val="00586BC1"/>
    <w:rsid w:val="00586BE6"/>
    <w:rsid w:val="00586EA5"/>
    <w:rsid w:val="00586FB5"/>
    <w:rsid w:val="00586FDD"/>
    <w:rsid w:val="00587246"/>
    <w:rsid w:val="0058732F"/>
    <w:rsid w:val="00587537"/>
    <w:rsid w:val="005878A8"/>
    <w:rsid w:val="00587A28"/>
    <w:rsid w:val="00587AA0"/>
    <w:rsid w:val="00587AF2"/>
    <w:rsid w:val="00587BD5"/>
    <w:rsid w:val="00587DE0"/>
    <w:rsid w:val="00587FB0"/>
    <w:rsid w:val="005900EC"/>
    <w:rsid w:val="00590352"/>
    <w:rsid w:val="005903AC"/>
    <w:rsid w:val="00590405"/>
    <w:rsid w:val="005904E1"/>
    <w:rsid w:val="00590823"/>
    <w:rsid w:val="005908D5"/>
    <w:rsid w:val="00590916"/>
    <w:rsid w:val="00590A0D"/>
    <w:rsid w:val="00590AC8"/>
    <w:rsid w:val="00590C4C"/>
    <w:rsid w:val="00590CDB"/>
    <w:rsid w:val="00590CDE"/>
    <w:rsid w:val="00590D75"/>
    <w:rsid w:val="00590EFE"/>
    <w:rsid w:val="00591033"/>
    <w:rsid w:val="00591550"/>
    <w:rsid w:val="00591A02"/>
    <w:rsid w:val="00591A40"/>
    <w:rsid w:val="00591ADD"/>
    <w:rsid w:val="00591BE0"/>
    <w:rsid w:val="0059229B"/>
    <w:rsid w:val="005922F5"/>
    <w:rsid w:val="00592318"/>
    <w:rsid w:val="005928B9"/>
    <w:rsid w:val="00592A67"/>
    <w:rsid w:val="00592B81"/>
    <w:rsid w:val="00592C34"/>
    <w:rsid w:val="00592D2B"/>
    <w:rsid w:val="00592D57"/>
    <w:rsid w:val="00592D64"/>
    <w:rsid w:val="00592EBE"/>
    <w:rsid w:val="00592F3C"/>
    <w:rsid w:val="0059312B"/>
    <w:rsid w:val="00593215"/>
    <w:rsid w:val="00593221"/>
    <w:rsid w:val="00593264"/>
    <w:rsid w:val="005932C5"/>
    <w:rsid w:val="0059342F"/>
    <w:rsid w:val="005934B0"/>
    <w:rsid w:val="00593594"/>
    <w:rsid w:val="0059359D"/>
    <w:rsid w:val="00593628"/>
    <w:rsid w:val="00593755"/>
    <w:rsid w:val="00593914"/>
    <w:rsid w:val="00593C12"/>
    <w:rsid w:val="00593CC3"/>
    <w:rsid w:val="00593D51"/>
    <w:rsid w:val="00594135"/>
    <w:rsid w:val="00594195"/>
    <w:rsid w:val="0059466B"/>
    <w:rsid w:val="00594718"/>
    <w:rsid w:val="0059491A"/>
    <w:rsid w:val="00594CE5"/>
    <w:rsid w:val="00594CE9"/>
    <w:rsid w:val="00594D33"/>
    <w:rsid w:val="005951E8"/>
    <w:rsid w:val="00595236"/>
    <w:rsid w:val="0059529C"/>
    <w:rsid w:val="005954AC"/>
    <w:rsid w:val="00595740"/>
    <w:rsid w:val="00595BB1"/>
    <w:rsid w:val="00595F78"/>
    <w:rsid w:val="0059610D"/>
    <w:rsid w:val="0059626C"/>
    <w:rsid w:val="005967E9"/>
    <w:rsid w:val="005967FF"/>
    <w:rsid w:val="005969C3"/>
    <w:rsid w:val="005969D8"/>
    <w:rsid w:val="00596BA7"/>
    <w:rsid w:val="00596DAC"/>
    <w:rsid w:val="00596E75"/>
    <w:rsid w:val="00596F27"/>
    <w:rsid w:val="00596F3A"/>
    <w:rsid w:val="00596F6E"/>
    <w:rsid w:val="00597069"/>
    <w:rsid w:val="005973CF"/>
    <w:rsid w:val="00597573"/>
    <w:rsid w:val="00597581"/>
    <w:rsid w:val="005976FB"/>
    <w:rsid w:val="0059773F"/>
    <w:rsid w:val="005977E2"/>
    <w:rsid w:val="00597820"/>
    <w:rsid w:val="005978B7"/>
    <w:rsid w:val="00597907"/>
    <w:rsid w:val="00597B29"/>
    <w:rsid w:val="00597B50"/>
    <w:rsid w:val="00597B88"/>
    <w:rsid w:val="00597CDB"/>
    <w:rsid w:val="00597F63"/>
    <w:rsid w:val="005A003C"/>
    <w:rsid w:val="005A004D"/>
    <w:rsid w:val="005A051B"/>
    <w:rsid w:val="005A0900"/>
    <w:rsid w:val="005A0937"/>
    <w:rsid w:val="005A0B10"/>
    <w:rsid w:val="005A121C"/>
    <w:rsid w:val="005A1405"/>
    <w:rsid w:val="005A143B"/>
    <w:rsid w:val="005A159E"/>
    <w:rsid w:val="005A1777"/>
    <w:rsid w:val="005A17D8"/>
    <w:rsid w:val="005A1982"/>
    <w:rsid w:val="005A1A56"/>
    <w:rsid w:val="005A1A72"/>
    <w:rsid w:val="005A1B0D"/>
    <w:rsid w:val="005A1BCD"/>
    <w:rsid w:val="005A1C13"/>
    <w:rsid w:val="005A1C79"/>
    <w:rsid w:val="005A1CB4"/>
    <w:rsid w:val="005A1E35"/>
    <w:rsid w:val="005A1E67"/>
    <w:rsid w:val="005A2153"/>
    <w:rsid w:val="005A241B"/>
    <w:rsid w:val="005A2608"/>
    <w:rsid w:val="005A293E"/>
    <w:rsid w:val="005A2B34"/>
    <w:rsid w:val="005A2CF9"/>
    <w:rsid w:val="005A2E26"/>
    <w:rsid w:val="005A2EA0"/>
    <w:rsid w:val="005A300E"/>
    <w:rsid w:val="005A30F9"/>
    <w:rsid w:val="005A31D0"/>
    <w:rsid w:val="005A3289"/>
    <w:rsid w:val="005A33E6"/>
    <w:rsid w:val="005A347E"/>
    <w:rsid w:val="005A349E"/>
    <w:rsid w:val="005A3670"/>
    <w:rsid w:val="005A3C21"/>
    <w:rsid w:val="005A3CF2"/>
    <w:rsid w:val="005A3D30"/>
    <w:rsid w:val="005A3DED"/>
    <w:rsid w:val="005A3FEC"/>
    <w:rsid w:val="005A403F"/>
    <w:rsid w:val="005A407E"/>
    <w:rsid w:val="005A451D"/>
    <w:rsid w:val="005A45A1"/>
    <w:rsid w:val="005A49FA"/>
    <w:rsid w:val="005A4D26"/>
    <w:rsid w:val="005A4DB6"/>
    <w:rsid w:val="005A4DB9"/>
    <w:rsid w:val="005A4E5D"/>
    <w:rsid w:val="005A4F9F"/>
    <w:rsid w:val="005A4FCB"/>
    <w:rsid w:val="005A5034"/>
    <w:rsid w:val="005A505B"/>
    <w:rsid w:val="005A5185"/>
    <w:rsid w:val="005A51B4"/>
    <w:rsid w:val="005A521D"/>
    <w:rsid w:val="005A5252"/>
    <w:rsid w:val="005A5283"/>
    <w:rsid w:val="005A5386"/>
    <w:rsid w:val="005A53B3"/>
    <w:rsid w:val="005A53B4"/>
    <w:rsid w:val="005A5490"/>
    <w:rsid w:val="005A55E6"/>
    <w:rsid w:val="005A55ED"/>
    <w:rsid w:val="005A56EC"/>
    <w:rsid w:val="005A5BE2"/>
    <w:rsid w:val="005A5C17"/>
    <w:rsid w:val="005A5CAD"/>
    <w:rsid w:val="005A5E7E"/>
    <w:rsid w:val="005A5EDA"/>
    <w:rsid w:val="005A5F52"/>
    <w:rsid w:val="005A6234"/>
    <w:rsid w:val="005A6256"/>
    <w:rsid w:val="005A6302"/>
    <w:rsid w:val="005A634E"/>
    <w:rsid w:val="005A6486"/>
    <w:rsid w:val="005A64FD"/>
    <w:rsid w:val="005A66C8"/>
    <w:rsid w:val="005A6719"/>
    <w:rsid w:val="005A6983"/>
    <w:rsid w:val="005A69AD"/>
    <w:rsid w:val="005A6A57"/>
    <w:rsid w:val="005A6C8D"/>
    <w:rsid w:val="005A6D60"/>
    <w:rsid w:val="005A6EE8"/>
    <w:rsid w:val="005A7049"/>
    <w:rsid w:val="005A72E2"/>
    <w:rsid w:val="005A73FD"/>
    <w:rsid w:val="005A7801"/>
    <w:rsid w:val="005A7A1A"/>
    <w:rsid w:val="005A7B41"/>
    <w:rsid w:val="005B0562"/>
    <w:rsid w:val="005B06E3"/>
    <w:rsid w:val="005B075C"/>
    <w:rsid w:val="005B0885"/>
    <w:rsid w:val="005B0894"/>
    <w:rsid w:val="005B0A8C"/>
    <w:rsid w:val="005B0F17"/>
    <w:rsid w:val="005B103B"/>
    <w:rsid w:val="005B1115"/>
    <w:rsid w:val="005B127A"/>
    <w:rsid w:val="005B1612"/>
    <w:rsid w:val="005B16B4"/>
    <w:rsid w:val="005B18A7"/>
    <w:rsid w:val="005B1C4C"/>
    <w:rsid w:val="005B1F2C"/>
    <w:rsid w:val="005B2009"/>
    <w:rsid w:val="005B207B"/>
    <w:rsid w:val="005B22CD"/>
    <w:rsid w:val="005B2344"/>
    <w:rsid w:val="005B2386"/>
    <w:rsid w:val="005B23E3"/>
    <w:rsid w:val="005B27A6"/>
    <w:rsid w:val="005B2A17"/>
    <w:rsid w:val="005B2B1B"/>
    <w:rsid w:val="005B2F77"/>
    <w:rsid w:val="005B35E6"/>
    <w:rsid w:val="005B36F5"/>
    <w:rsid w:val="005B373E"/>
    <w:rsid w:val="005B38BB"/>
    <w:rsid w:val="005B3A48"/>
    <w:rsid w:val="005B3A9C"/>
    <w:rsid w:val="005B3AAE"/>
    <w:rsid w:val="005B3B24"/>
    <w:rsid w:val="005B3C97"/>
    <w:rsid w:val="005B3E33"/>
    <w:rsid w:val="005B3FAA"/>
    <w:rsid w:val="005B4028"/>
    <w:rsid w:val="005B40A6"/>
    <w:rsid w:val="005B40EE"/>
    <w:rsid w:val="005B426C"/>
    <w:rsid w:val="005B457B"/>
    <w:rsid w:val="005B4846"/>
    <w:rsid w:val="005B487B"/>
    <w:rsid w:val="005B48CF"/>
    <w:rsid w:val="005B4910"/>
    <w:rsid w:val="005B4921"/>
    <w:rsid w:val="005B49E2"/>
    <w:rsid w:val="005B4A8D"/>
    <w:rsid w:val="005B4B22"/>
    <w:rsid w:val="005B4B80"/>
    <w:rsid w:val="005B4BA9"/>
    <w:rsid w:val="005B4CDC"/>
    <w:rsid w:val="005B4F9A"/>
    <w:rsid w:val="005B4FE8"/>
    <w:rsid w:val="005B50E4"/>
    <w:rsid w:val="005B50F6"/>
    <w:rsid w:val="005B52E2"/>
    <w:rsid w:val="005B5335"/>
    <w:rsid w:val="005B5448"/>
    <w:rsid w:val="005B54C2"/>
    <w:rsid w:val="005B58BC"/>
    <w:rsid w:val="005B5A91"/>
    <w:rsid w:val="005B5D67"/>
    <w:rsid w:val="005B5E53"/>
    <w:rsid w:val="005B5F6D"/>
    <w:rsid w:val="005B610B"/>
    <w:rsid w:val="005B6425"/>
    <w:rsid w:val="005B6640"/>
    <w:rsid w:val="005B6A04"/>
    <w:rsid w:val="005B6B69"/>
    <w:rsid w:val="005B6BB9"/>
    <w:rsid w:val="005B6CCE"/>
    <w:rsid w:val="005B6D08"/>
    <w:rsid w:val="005B6DBA"/>
    <w:rsid w:val="005B7047"/>
    <w:rsid w:val="005B71C2"/>
    <w:rsid w:val="005B71E0"/>
    <w:rsid w:val="005B726C"/>
    <w:rsid w:val="005B731D"/>
    <w:rsid w:val="005B73F6"/>
    <w:rsid w:val="005B7479"/>
    <w:rsid w:val="005B7520"/>
    <w:rsid w:val="005B7618"/>
    <w:rsid w:val="005B78A2"/>
    <w:rsid w:val="005B798F"/>
    <w:rsid w:val="005B7AB4"/>
    <w:rsid w:val="005B7B45"/>
    <w:rsid w:val="005B7CE7"/>
    <w:rsid w:val="005B7DD0"/>
    <w:rsid w:val="005B7F0A"/>
    <w:rsid w:val="005C00A7"/>
    <w:rsid w:val="005C0167"/>
    <w:rsid w:val="005C018E"/>
    <w:rsid w:val="005C01D6"/>
    <w:rsid w:val="005C0209"/>
    <w:rsid w:val="005C0616"/>
    <w:rsid w:val="005C0757"/>
    <w:rsid w:val="005C0932"/>
    <w:rsid w:val="005C0B90"/>
    <w:rsid w:val="005C0D84"/>
    <w:rsid w:val="005C0ECF"/>
    <w:rsid w:val="005C1081"/>
    <w:rsid w:val="005C14FF"/>
    <w:rsid w:val="005C1A68"/>
    <w:rsid w:val="005C1C3D"/>
    <w:rsid w:val="005C1CDE"/>
    <w:rsid w:val="005C1F9F"/>
    <w:rsid w:val="005C2044"/>
    <w:rsid w:val="005C2204"/>
    <w:rsid w:val="005C22F2"/>
    <w:rsid w:val="005C242D"/>
    <w:rsid w:val="005C246C"/>
    <w:rsid w:val="005C2594"/>
    <w:rsid w:val="005C2716"/>
    <w:rsid w:val="005C272F"/>
    <w:rsid w:val="005C273D"/>
    <w:rsid w:val="005C2A7E"/>
    <w:rsid w:val="005C2AEB"/>
    <w:rsid w:val="005C2BAC"/>
    <w:rsid w:val="005C2C7D"/>
    <w:rsid w:val="005C2CAD"/>
    <w:rsid w:val="005C2D65"/>
    <w:rsid w:val="005C2F29"/>
    <w:rsid w:val="005C2FF3"/>
    <w:rsid w:val="005C30B5"/>
    <w:rsid w:val="005C31EC"/>
    <w:rsid w:val="005C3318"/>
    <w:rsid w:val="005C3586"/>
    <w:rsid w:val="005C36AD"/>
    <w:rsid w:val="005C36D6"/>
    <w:rsid w:val="005C3950"/>
    <w:rsid w:val="005C3A03"/>
    <w:rsid w:val="005C3A1E"/>
    <w:rsid w:val="005C3AB3"/>
    <w:rsid w:val="005C3B33"/>
    <w:rsid w:val="005C3C28"/>
    <w:rsid w:val="005C3CE4"/>
    <w:rsid w:val="005C3DA9"/>
    <w:rsid w:val="005C4271"/>
    <w:rsid w:val="005C4490"/>
    <w:rsid w:val="005C4774"/>
    <w:rsid w:val="005C49ED"/>
    <w:rsid w:val="005C4A2D"/>
    <w:rsid w:val="005C4B83"/>
    <w:rsid w:val="005C4C63"/>
    <w:rsid w:val="005C4E10"/>
    <w:rsid w:val="005C4F08"/>
    <w:rsid w:val="005C4FCF"/>
    <w:rsid w:val="005C50D7"/>
    <w:rsid w:val="005C5325"/>
    <w:rsid w:val="005C568E"/>
    <w:rsid w:val="005C596D"/>
    <w:rsid w:val="005C59F0"/>
    <w:rsid w:val="005C5AE2"/>
    <w:rsid w:val="005C5D87"/>
    <w:rsid w:val="005C5DB0"/>
    <w:rsid w:val="005C60AA"/>
    <w:rsid w:val="005C62A4"/>
    <w:rsid w:val="005C655F"/>
    <w:rsid w:val="005C6696"/>
    <w:rsid w:val="005C67C5"/>
    <w:rsid w:val="005C690F"/>
    <w:rsid w:val="005C697A"/>
    <w:rsid w:val="005C6B9D"/>
    <w:rsid w:val="005C7962"/>
    <w:rsid w:val="005C7991"/>
    <w:rsid w:val="005C7D5E"/>
    <w:rsid w:val="005C7DB6"/>
    <w:rsid w:val="005C7EBA"/>
    <w:rsid w:val="005C7F74"/>
    <w:rsid w:val="005C7F80"/>
    <w:rsid w:val="005C7FB9"/>
    <w:rsid w:val="005D01C9"/>
    <w:rsid w:val="005D0600"/>
    <w:rsid w:val="005D067F"/>
    <w:rsid w:val="005D0B6C"/>
    <w:rsid w:val="005D0C0E"/>
    <w:rsid w:val="005D1014"/>
    <w:rsid w:val="005D11BC"/>
    <w:rsid w:val="005D11DD"/>
    <w:rsid w:val="005D12CB"/>
    <w:rsid w:val="005D157B"/>
    <w:rsid w:val="005D165E"/>
    <w:rsid w:val="005D1684"/>
    <w:rsid w:val="005D180D"/>
    <w:rsid w:val="005D1B2A"/>
    <w:rsid w:val="005D1C79"/>
    <w:rsid w:val="005D1FCA"/>
    <w:rsid w:val="005D1FDF"/>
    <w:rsid w:val="005D2053"/>
    <w:rsid w:val="005D2094"/>
    <w:rsid w:val="005D221D"/>
    <w:rsid w:val="005D22E6"/>
    <w:rsid w:val="005D2366"/>
    <w:rsid w:val="005D24EA"/>
    <w:rsid w:val="005D28F7"/>
    <w:rsid w:val="005D2F79"/>
    <w:rsid w:val="005D30F9"/>
    <w:rsid w:val="005D30FE"/>
    <w:rsid w:val="005D335A"/>
    <w:rsid w:val="005D33BD"/>
    <w:rsid w:val="005D3632"/>
    <w:rsid w:val="005D367D"/>
    <w:rsid w:val="005D3824"/>
    <w:rsid w:val="005D395F"/>
    <w:rsid w:val="005D39B0"/>
    <w:rsid w:val="005D3A99"/>
    <w:rsid w:val="005D3C72"/>
    <w:rsid w:val="005D3D18"/>
    <w:rsid w:val="005D3D2C"/>
    <w:rsid w:val="005D3DA7"/>
    <w:rsid w:val="005D3E71"/>
    <w:rsid w:val="005D4046"/>
    <w:rsid w:val="005D40E8"/>
    <w:rsid w:val="005D41E8"/>
    <w:rsid w:val="005D46F6"/>
    <w:rsid w:val="005D499E"/>
    <w:rsid w:val="005D4AC6"/>
    <w:rsid w:val="005D4FC9"/>
    <w:rsid w:val="005D527B"/>
    <w:rsid w:val="005D531B"/>
    <w:rsid w:val="005D53F4"/>
    <w:rsid w:val="005D5B0A"/>
    <w:rsid w:val="005D5DEA"/>
    <w:rsid w:val="005D6079"/>
    <w:rsid w:val="005D62F3"/>
    <w:rsid w:val="005D6314"/>
    <w:rsid w:val="005D648B"/>
    <w:rsid w:val="005D652B"/>
    <w:rsid w:val="005D6565"/>
    <w:rsid w:val="005D6713"/>
    <w:rsid w:val="005D6795"/>
    <w:rsid w:val="005D6F73"/>
    <w:rsid w:val="005D6FE1"/>
    <w:rsid w:val="005D7214"/>
    <w:rsid w:val="005D7230"/>
    <w:rsid w:val="005D7886"/>
    <w:rsid w:val="005D7A22"/>
    <w:rsid w:val="005D7A69"/>
    <w:rsid w:val="005D7E79"/>
    <w:rsid w:val="005E0368"/>
    <w:rsid w:val="005E0607"/>
    <w:rsid w:val="005E075B"/>
    <w:rsid w:val="005E07D9"/>
    <w:rsid w:val="005E08AA"/>
    <w:rsid w:val="005E0BE4"/>
    <w:rsid w:val="005E0BF6"/>
    <w:rsid w:val="005E0D1E"/>
    <w:rsid w:val="005E1074"/>
    <w:rsid w:val="005E107A"/>
    <w:rsid w:val="005E10D4"/>
    <w:rsid w:val="005E1193"/>
    <w:rsid w:val="005E1201"/>
    <w:rsid w:val="005E146F"/>
    <w:rsid w:val="005E1752"/>
    <w:rsid w:val="005E194F"/>
    <w:rsid w:val="005E1A27"/>
    <w:rsid w:val="005E1BEC"/>
    <w:rsid w:val="005E1D91"/>
    <w:rsid w:val="005E1DAB"/>
    <w:rsid w:val="005E1DDF"/>
    <w:rsid w:val="005E21DC"/>
    <w:rsid w:val="005E2207"/>
    <w:rsid w:val="005E222D"/>
    <w:rsid w:val="005E2384"/>
    <w:rsid w:val="005E23C1"/>
    <w:rsid w:val="005E277F"/>
    <w:rsid w:val="005E282A"/>
    <w:rsid w:val="005E288B"/>
    <w:rsid w:val="005E28A0"/>
    <w:rsid w:val="005E2950"/>
    <w:rsid w:val="005E2BEC"/>
    <w:rsid w:val="005E2EB8"/>
    <w:rsid w:val="005E3047"/>
    <w:rsid w:val="005E3433"/>
    <w:rsid w:val="005E35AF"/>
    <w:rsid w:val="005E35F3"/>
    <w:rsid w:val="005E39BD"/>
    <w:rsid w:val="005E3A31"/>
    <w:rsid w:val="005E3A8D"/>
    <w:rsid w:val="005E3A8E"/>
    <w:rsid w:val="005E3D07"/>
    <w:rsid w:val="005E3FF1"/>
    <w:rsid w:val="005E4180"/>
    <w:rsid w:val="005E42EB"/>
    <w:rsid w:val="005E436C"/>
    <w:rsid w:val="005E448A"/>
    <w:rsid w:val="005E454D"/>
    <w:rsid w:val="005E4595"/>
    <w:rsid w:val="005E4629"/>
    <w:rsid w:val="005E49C5"/>
    <w:rsid w:val="005E49E8"/>
    <w:rsid w:val="005E50FA"/>
    <w:rsid w:val="005E52ED"/>
    <w:rsid w:val="005E53A2"/>
    <w:rsid w:val="005E54A5"/>
    <w:rsid w:val="005E554B"/>
    <w:rsid w:val="005E5DCC"/>
    <w:rsid w:val="005E5FD9"/>
    <w:rsid w:val="005E6195"/>
    <w:rsid w:val="005E62A2"/>
    <w:rsid w:val="005E63DD"/>
    <w:rsid w:val="005E6551"/>
    <w:rsid w:val="005E68D1"/>
    <w:rsid w:val="005E697C"/>
    <w:rsid w:val="005E698C"/>
    <w:rsid w:val="005E6DB2"/>
    <w:rsid w:val="005E701C"/>
    <w:rsid w:val="005E702E"/>
    <w:rsid w:val="005E70CE"/>
    <w:rsid w:val="005E7178"/>
    <w:rsid w:val="005E725E"/>
    <w:rsid w:val="005E7337"/>
    <w:rsid w:val="005E7397"/>
    <w:rsid w:val="005E76C3"/>
    <w:rsid w:val="005E77AD"/>
    <w:rsid w:val="005E799A"/>
    <w:rsid w:val="005E7CCB"/>
    <w:rsid w:val="005F01CF"/>
    <w:rsid w:val="005F034D"/>
    <w:rsid w:val="005F046A"/>
    <w:rsid w:val="005F066C"/>
    <w:rsid w:val="005F06DB"/>
    <w:rsid w:val="005F06FA"/>
    <w:rsid w:val="005F0783"/>
    <w:rsid w:val="005F0B9D"/>
    <w:rsid w:val="005F1127"/>
    <w:rsid w:val="005F12A6"/>
    <w:rsid w:val="005F1391"/>
    <w:rsid w:val="005F1444"/>
    <w:rsid w:val="005F1677"/>
    <w:rsid w:val="005F174F"/>
    <w:rsid w:val="005F188D"/>
    <w:rsid w:val="005F1897"/>
    <w:rsid w:val="005F1BAA"/>
    <w:rsid w:val="005F1C6E"/>
    <w:rsid w:val="005F1D33"/>
    <w:rsid w:val="005F1F73"/>
    <w:rsid w:val="005F22A5"/>
    <w:rsid w:val="005F2506"/>
    <w:rsid w:val="005F2697"/>
    <w:rsid w:val="005F26C5"/>
    <w:rsid w:val="005F28B2"/>
    <w:rsid w:val="005F2B16"/>
    <w:rsid w:val="005F2BF8"/>
    <w:rsid w:val="005F2C37"/>
    <w:rsid w:val="005F2CAD"/>
    <w:rsid w:val="005F2FB0"/>
    <w:rsid w:val="005F322F"/>
    <w:rsid w:val="005F3530"/>
    <w:rsid w:val="005F37A5"/>
    <w:rsid w:val="005F393A"/>
    <w:rsid w:val="005F3ADA"/>
    <w:rsid w:val="005F3BE0"/>
    <w:rsid w:val="005F3CCC"/>
    <w:rsid w:val="005F3D6E"/>
    <w:rsid w:val="005F3D7C"/>
    <w:rsid w:val="005F3DA2"/>
    <w:rsid w:val="005F3E35"/>
    <w:rsid w:val="005F4005"/>
    <w:rsid w:val="005F400A"/>
    <w:rsid w:val="005F41EC"/>
    <w:rsid w:val="005F4250"/>
    <w:rsid w:val="005F4327"/>
    <w:rsid w:val="005F434A"/>
    <w:rsid w:val="005F44B8"/>
    <w:rsid w:val="005F4693"/>
    <w:rsid w:val="005F4715"/>
    <w:rsid w:val="005F4796"/>
    <w:rsid w:val="005F47B4"/>
    <w:rsid w:val="005F47BD"/>
    <w:rsid w:val="005F495A"/>
    <w:rsid w:val="005F4B5A"/>
    <w:rsid w:val="005F5074"/>
    <w:rsid w:val="005F50E6"/>
    <w:rsid w:val="005F5182"/>
    <w:rsid w:val="005F52D6"/>
    <w:rsid w:val="005F537F"/>
    <w:rsid w:val="005F5709"/>
    <w:rsid w:val="005F575E"/>
    <w:rsid w:val="005F57A1"/>
    <w:rsid w:val="005F584D"/>
    <w:rsid w:val="005F5855"/>
    <w:rsid w:val="005F59FB"/>
    <w:rsid w:val="005F5A9C"/>
    <w:rsid w:val="005F5C8C"/>
    <w:rsid w:val="005F5DE0"/>
    <w:rsid w:val="005F5EC3"/>
    <w:rsid w:val="005F60A5"/>
    <w:rsid w:val="005F611A"/>
    <w:rsid w:val="005F6140"/>
    <w:rsid w:val="005F614D"/>
    <w:rsid w:val="005F62D7"/>
    <w:rsid w:val="005F63C3"/>
    <w:rsid w:val="005F63D5"/>
    <w:rsid w:val="005F658C"/>
    <w:rsid w:val="005F658F"/>
    <w:rsid w:val="005F698B"/>
    <w:rsid w:val="005F69B3"/>
    <w:rsid w:val="005F69CF"/>
    <w:rsid w:val="005F6A44"/>
    <w:rsid w:val="005F6C65"/>
    <w:rsid w:val="005F6D73"/>
    <w:rsid w:val="005F72DD"/>
    <w:rsid w:val="005F73A7"/>
    <w:rsid w:val="005F759E"/>
    <w:rsid w:val="005F76E9"/>
    <w:rsid w:val="005F79FD"/>
    <w:rsid w:val="005F7BCC"/>
    <w:rsid w:val="005F7C8C"/>
    <w:rsid w:val="005F7D9C"/>
    <w:rsid w:val="005F7E3B"/>
    <w:rsid w:val="005F7EBC"/>
    <w:rsid w:val="005F7FBF"/>
    <w:rsid w:val="005F7FE5"/>
    <w:rsid w:val="00600023"/>
    <w:rsid w:val="00600173"/>
    <w:rsid w:val="006001B6"/>
    <w:rsid w:val="00600241"/>
    <w:rsid w:val="0060028E"/>
    <w:rsid w:val="00600505"/>
    <w:rsid w:val="0060054E"/>
    <w:rsid w:val="006006CE"/>
    <w:rsid w:val="0060075A"/>
    <w:rsid w:val="0060089C"/>
    <w:rsid w:val="0060096B"/>
    <w:rsid w:val="00600B05"/>
    <w:rsid w:val="00600B25"/>
    <w:rsid w:val="00600CBD"/>
    <w:rsid w:val="00600D84"/>
    <w:rsid w:val="00601039"/>
    <w:rsid w:val="006010DF"/>
    <w:rsid w:val="00601406"/>
    <w:rsid w:val="0060155B"/>
    <w:rsid w:val="006015EE"/>
    <w:rsid w:val="006017BD"/>
    <w:rsid w:val="006019E8"/>
    <w:rsid w:val="00601BC4"/>
    <w:rsid w:val="00601EC1"/>
    <w:rsid w:val="00601F3D"/>
    <w:rsid w:val="00602672"/>
    <w:rsid w:val="00602920"/>
    <w:rsid w:val="00602AC8"/>
    <w:rsid w:val="00602FBB"/>
    <w:rsid w:val="006030DF"/>
    <w:rsid w:val="0060324A"/>
    <w:rsid w:val="00603399"/>
    <w:rsid w:val="006034B7"/>
    <w:rsid w:val="006037EF"/>
    <w:rsid w:val="00603B15"/>
    <w:rsid w:val="00603BC3"/>
    <w:rsid w:val="00603DD2"/>
    <w:rsid w:val="00603DEA"/>
    <w:rsid w:val="006042C5"/>
    <w:rsid w:val="00604300"/>
    <w:rsid w:val="006044D4"/>
    <w:rsid w:val="00604649"/>
    <w:rsid w:val="0060464B"/>
    <w:rsid w:val="00604872"/>
    <w:rsid w:val="00604A3F"/>
    <w:rsid w:val="00604EEA"/>
    <w:rsid w:val="00604F95"/>
    <w:rsid w:val="00605020"/>
    <w:rsid w:val="006050AA"/>
    <w:rsid w:val="006052DB"/>
    <w:rsid w:val="006053E5"/>
    <w:rsid w:val="0060549A"/>
    <w:rsid w:val="006054E7"/>
    <w:rsid w:val="0060569B"/>
    <w:rsid w:val="0060577C"/>
    <w:rsid w:val="0060582F"/>
    <w:rsid w:val="00605DE5"/>
    <w:rsid w:val="00605DEC"/>
    <w:rsid w:val="00605EC3"/>
    <w:rsid w:val="00605F2C"/>
    <w:rsid w:val="006060C1"/>
    <w:rsid w:val="0060622A"/>
    <w:rsid w:val="00606233"/>
    <w:rsid w:val="0060626F"/>
    <w:rsid w:val="0060682C"/>
    <w:rsid w:val="00606A3C"/>
    <w:rsid w:val="00606C2D"/>
    <w:rsid w:val="00606CF9"/>
    <w:rsid w:val="00606D50"/>
    <w:rsid w:val="0060723C"/>
    <w:rsid w:val="006072A6"/>
    <w:rsid w:val="006072CD"/>
    <w:rsid w:val="006073BF"/>
    <w:rsid w:val="006074A3"/>
    <w:rsid w:val="0060761A"/>
    <w:rsid w:val="006076E7"/>
    <w:rsid w:val="00607740"/>
    <w:rsid w:val="006079A2"/>
    <w:rsid w:val="00607BF6"/>
    <w:rsid w:val="00607C81"/>
    <w:rsid w:val="00607F85"/>
    <w:rsid w:val="006103EE"/>
    <w:rsid w:val="006105B0"/>
    <w:rsid w:val="006106DB"/>
    <w:rsid w:val="00610976"/>
    <w:rsid w:val="00610B0C"/>
    <w:rsid w:val="00610CC4"/>
    <w:rsid w:val="00610D60"/>
    <w:rsid w:val="0061108B"/>
    <w:rsid w:val="00611175"/>
    <w:rsid w:val="006111AC"/>
    <w:rsid w:val="00611689"/>
    <w:rsid w:val="0061169D"/>
    <w:rsid w:val="006117C7"/>
    <w:rsid w:val="006117CD"/>
    <w:rsid w:val="0061185A"/>
    <w:rsid w:val="00611A79"/>
    <w:rsid w:val="00611B28"/>
    <w:rsid w:val="00611D12"/>
    <w:rsid w:val="00611D31"/>
    <w:rsid w:val="0061205F"/>
    <w:rsid w:val="006121AC"/>
    <w:rsid w:val="006121E1"/>
    <w:rsid w:val="006121EA"/>
    <w:rsid w:val="00612343"/>
    <w:rsid w:val="006125C8"/>
    <w:rsid w:val="0061278A"/>
    <w:rsid w:val="00612ACA"/>
    <w:rsid w:val="00612D87"/>
    <w:rsid w:val="0061312D"/>
    <w:rsid w:val="00613172"/>
    <w:rsid w:val="006132B9"/>
    <w:rsid w:val="00613346"/>
    <w:rsid w:val="00613490"/>
    <w:rsid w:val="0061355C"/>
    <w:rsid w:val="006135EF"/>
    <w:rsid w:val="006136E6"/>
    <w:rsid w:val="00613713"/>
    <w:rsid w:val="00613930"/>
    <w:rsid w:val="00613A05"/>
    <w:rsid w:val="00613AF3"/>
    <w:rsid w:val="00613C10"/>
    <w:rsid w:val="00613E54"/>
    <w:rsid w:val="00613F32"/>
    <w:rsid w:val="0061402C"/>
    <w:rsid w:val="006141F9"/>
    <w:rsid w:val="006143BB"/>
    <w:rsid w:val="006144E5"/>
    <w:rsid w:val="006145AB"/>
    <w:rsid w:val="0061473A"/>
    <w:rsid w:val="006148E3"/>
    <w:rsid w:val="00614C1A"/>
    <w:rsid w:val="00614CA6"/>
    <w:rsid w:val="00614F71"/>
    <w:rsid w:val="0061504D"/>
    <w:rsid w:val="0061517C"/>
    <w:rsid w:val="006151C1"/>
    <w:rsid w:val="006152DE"/>
    <w:rsid w:val="006153F2"/>
    <w:rsid w:val="0061543A"/>
    <w:rsid w:val="00615460"/>
    <w:rsid w:val="0061578C"/>
    <w:rsid w:val="00615910"/>
    <w:rsid w:val="00615F00"/>
    <w:rsid w:val="00615F21"/>
    <w:rsid w:val="00615FD5"/>
    <w:rsid w:val="0061606F"/>
    <w:rsid w:val="006160E1"/>
    <w:rsid w:val="006161CF"/>
    <w:rsid w:val="00616479"/>
    <w:rsid w:val="006164C4"/>
    <w:rsid w:val="00616582"/>
    <w:rsid w:val="00616599"/>
    <w:rsid w:val="00616655"/>
    <w:rsid w:val="0061676B"/>
    <w:rsid w:val="00616816"/>
    <w:rsid w:val="006168AD"/>
    <w:rsid w:val="00616D2B"/>
    <w:rsid w:val="00616EAA"/>
    <w:rsid w:val="00616F8F"/>
    <w:rsid w:val="006170DE"/>
    <w:rsid w:val="00617330"/>
    <w:rsid w:val="00617582"/>
    <w:rsid w:val="00617650"/>
    <w:rsid w:val="006176AE"/>
    <w:rsid w:val="00617796"/>
    <w:rsid w:val="00617809"/>
    <w:rsid w:val="00617850"/>
    <w:rsid w:val="00617B2C"/>
    <w:rsid w:val="00617C22"/>
    <w:rsid w:val="00617CF4"/>
    <w:rsid w:val="00617EA0"/>
    <w:rsid w:val="00620002"/>
    <w:rsid w:val="006200B9"/>
    <w:rsid w:val="00620181"/>
    <w:rsid w:val="00620319"/>
    <w:rsid w:val="006206F4"/>
    <w:rsid w:val="00620756"/>
    <w:rsid w:val="0062097A"/>
    <w:rsid w:val="006209F7"/>
    <w:rsid w:val="00620C95"/>
    <w:rsid w:val="00620E77"/>
    <w:rsid w:val="00621027"/>
    <w:rsid w:val="0062121D"/>
    <w:rsid w:val="00621617"/>
    <w:rsid w:val="00621846"/>
    <w:rsid w:val="00621B70"/>
    <w:rsid w:val="00621DCB"/>
    <w:rsid w:val="0062200E"/>
    <w:rsid w:val="0062221E"/>
    <w:rsid w:val="006222DA"/>
    <w:rsid w:val="0062256F"/>
    <w:rsid w:val="0062259E"/>
    <w:rsid w:val="00622755"/>
    <w:rsid w:val="0062289A"/>
    <w:rsid w:val="006228AB"/>
    <w:rsid w:val="006228DC"/>
    <w:rsid w:val="00622C4C"/>
    <w:rsid w:val="00622DF0"/>
    <w:rsid w:val="0062316E"/>
    <w:rsid w:val="00623284"/>
    <w:rsid w:val="00623512"/>
    <w:rsid w:val="00623548"/>
    <w:rsid w:val="006239A2"/>
    <w:rsid w:val="00623BD3"/>
    <w:rsid w:val="00623C68"/>
    <w:rsid w:val="00623CD8"/>
    <w:rsid w:val="00623F42"/>
    <w:rsid w:val="0062421B"/>
    <w:rsid w:val="00624221"/>
    <w:rsid w:val="006242E3"/>
    <w:rsid w:val="006242F6"/>
    <w:rsid w:val="00624486"/>
    <w:rsid w:val="006245F2"/>
    <w:rsid w:val="006247C1"/>
    <w:rsid w:val="0062491D"/>
    <w:rsid w:val="00624A00"/>
    <w:rsid w:val="00624AA1"/>
    <w:rsid w:val="00624B08"/>
    <w:rsid w:val="00624D49"/>
    <w:rsid w:val="00624F04"/>
    <w:rsid w:val="00624FB7"/>
    <w:rsid w:val="00625032"/>
    <w:rsid w:val="006252CC"/>
    <w:rsid w:val="006255FC"/>
    <w:rsid w:val="006256AE"/>
    <w:rsid w:val="00625703"/>
    <w:rsid w:val="00625799"/>
    <w:rsid w:val="0062584F"/>
    <w:rsid w:val="006258CD"/>
    <w:rsid w:val="00625AB2"/>
    <w:rsid w:val="00625B54"/>
    <w:rsid w:val="00625B72"/>
    <w:rsid w:val="00625B8D"/>
    <w:rsid w:val="00625C2C"/>
    <w:rsid w:val="006262FB"/>
    <w:rsid w:val="00626401"/>
    <w:rsid w:val="00626427"/>
    <w:rsid w:val="0062657C"/>
    <w:rsid w:val="0062672E"/>
    <w:rsid w:val="006268BD"/>
    <w:rsid w:val="00626A28"/>
    <w:rsid w:val="00626CE0"/>
    <w:rsid w:val="00626D31"/>
    <w:rsid w:val="00626D6E"/>
    <w:rsid w:val="00626E44"/>
    <w:rsid w:val="00626E89"/>
    <w:rsid w:val="0062705A"/>
    <w:rsid w:val="006273DE"/>
    <w:rsid w:val="006275AA"/>
    <w:rsid w:val="0062773A"/>
    <w:rsid w:val="006277FF"/>
    <w:rsid w:val="00627803"/>
    <w:rsid w:val="00627A9E"/>
    <w:rsid w:val="00627B8B"/>
    <w:rsid w:val="00627CBA"/>
    <w:rsid w:val="00627CE9"/>
    <w:rsid w:val="00627D73"/>
    <w:rsid w:val="00627F7E"/>
    <w:rsid w:val="006300CF"/>
    <w:rsid w:val="0063032A"/>
    <w:rsid w:val="00630426"/>
    <w:rsid w:val="00630434"/>
    <w:rsid w:val="00630446"/>
    <w:rsid w:val="006304C9"/>
    <w:rsid w:val="0063061F"/>
    <w:rsid w:val="00630700"/>
    <w:rsid w:val="00630958"/>
    <w:rsid w:val="00630A89"/>
    <w:rsid w:val="00630BAC"/>
    <w:rsid w:val="00630F23"/>
    <w:rsid w:val="006310C3"/>
    <w:rsid w:val="00631129"/>
    <w:rsid w:val="00631163"/>
    <w:rsid w:val="00631181"/>
    <w:rsid w:val="0063129A"/>
    <w:rsid w:val="00631511"/>
    <w:rsid w:val="0063165D"/>
    <w:rsid w:val="00631B55"/>
    <w:rsid w:val="00631B6E"/>
    <w:rsid w:val="00631C0C"/>
    <w:rsid w:val="00631C4F"/>
    <w:rsid w:val="00631CC2"/>
    <w:rsid w:val="00631FD6"/>
    <w:rsid w:val="0063207C"/>
    <w:rsid w:val="006320B0"/>
    <w:rsid w:val="006321A0"/>
    <w:rsid w:val="00632439"/>
    <w:rsid w:val="00632626"/>
    <w:rsid w:val="0063271C"/>
    <w:rsid w:val="00632769"/>
    <w:rsid w:val="00632915"/>
    <w:rsid w:val="00632CBF"/>
    <w:rsid w:val="00632DF9"/>
    <w:rsid w:val="00633354"/>
    <w:rsid w:val="006333AE"/>
    <w:rsid w:val="0063348A"/>
    <w:rsid w:val="00633647"/>
    <w:rsid w:val="00633691"/>
    <w:rsid w:val="00633807"/>
    <w:rsid w:val="006338C1"/>
    <w:rsid w:val="00633947"/>
    <w:rsid w:val="0063394C"/>
    <w:rsid w:val="00633ED9"/>
    <w:rsid w:val="00633F53"/>
    <w:rsid w:val="0063434F"/>
    <w:rsid w:val="00634428"/>
    <w:rsid w:val="0063444D"/>
    <w:rsid w:val="006345AE"/>
    <w:rsid w:val="006346F3"/>
    <w:rsid w:val="006347D8"/>
    <w:rsid w:val="00634832"/>
    <w:rsid w:val="00634A9C"/>
    <w:rsid w:val="00634BD1"/>
    <w:rsid w:val="00634C5D"/>
    <w:rsid w:val="00634D17"/>
    <w:rsid w:val="00634D38"/>
    <w:rsid w:val="00634E5F"/>
    <w:rsid w:val="0063543F"/>
    <w:rsid w:val="00635477"/>
    <w:rsid w:val="00635781"/>
    <w:rsid w:val="0063588D"/>
    <w:rsid w:val="0063593E"/>
    <w:rsid w:val="00635DB9"/>
    <w:rsid w:val="00636085"/>
    <w:rsid w:val="0063614B"/>
    <w:rsid w:val="0063618D"/>
    <w:rsid w:val="006362C3"/>
    <w:rsid w:val="006362E8"/>
    <w:rsid w:val="00636353"/>
    <w:rsid w:val="006365A2"/>
    <w:rsid w:val="006366C5"/>
    <w:rsid w:val="006369B4"/>
    <w:rsid w:val="006369C9"/>
    <w:rsid w:val="00636AFC"/>
    <w:rsid w:val="00636C45"/>
    <w:rsid w:val="00636DB9"/>
    <w:rsid w:val="00636ED4"/>
    <w:rsid w:val="00637152"/>
    <w:rsid w:val="00637161"/>
    <w:rsid w:val="00637170"/>
    <w:rsid w:val="006371C0"/>
    <w:rsid w:val="006374C8"/>
    <w:rsid w:val="006374F2"/>
    <w:rsid w:val="00637586"/>
    <w:rsid w:val="00637700"/>
    <w:rsid w:val="0063770E"/>
    <w:rsid w:val="00637C42"/>
    <w:rsid w:val="00637D46"/>
    <w:rsid w:val="00640017"/>
    <w:rsid w:val="00640018"/>
    <w:rsid w:val="00640063"/>
    <w:rsid w:val="0064016F"/>
    <w:rsid w:val="006401CC"/>
    <w:rsid w:val="0064038B"/>
    <w:rsid w:val="006404CD"/>
    <w:rsid w:val="00640954"/>
    <w:rsid w:val="00640C39"/>
    <w:rsid w:val="00641179"/>
    <w:rsid w:val="00641445"/>
    <w:rsid w:val="0064149B"/>
    <w:rsid w:val="00641C2B"/>
    <w:rsid w:val="006420CF"/>
    <w:rsid w:val="00642128"/>
    <w:rsid w:val="00642303"/>
    <w:rsid w:val="00642344"/>
    <w:rsid w:val="00642526"/>
    <w:rsid w:val="006425F0"/>
    <w:rsid w:val="00642617"/>
    <w:rsid w:val="0064265A"/>
    <w:rsid w:val="00642689"/>
    <w:rsid w:val="006427D3"/>
    <w:rsid w:val="00642920"/>
    <w:rsid w:val="00642976"/>
    <w:rsid w:val="00642A30"/>
    <w:rsid w:val="00642C0A"/>
    <w:rsid w:val="00642F46"/>
    <w:rsid w:val="00642F74"/>
    <w:rsid w:val="00643185"/>
    <w:rsid w:val="00643265"/>
    <w:rsid w:val="0064347A"/>
    <w:rsid w:val="0064351D"/>
    <w:rsid w:val="006435E2"/>
    <w:rsid w:val="00643725"/>
    <w:rsid w:val="0064379B"/>
    <w:rsid w:val="00643C47"/>
    <w:rsid w:val="00643D3B"/>
    <w:rsid w:val="00643E18"/>
    <w:rsid w:val="00643ECC"/>
    <w:rsid w:val="0064422C"/>
    <w:rsid w:val="0064449A"/>
    <w:rsid w:val="006446C0"/>
    <w:rsid w:val="00644A09"/>
    <w:rsid w:val="00644F04"/>
    <w:rsid w:val="00644F9E"/>
    <w:rsid w:val="006457AC"/>
    <w:rsid w:val="0064591F"/>
    <w:rsid w:val="00645E36"/>
    <w:rsid w:val="00645FC1"/>
    <w:rsid w:val="006464C5"/>
    <w:rsid w:val="0064651D"/>
    <w:rsid w:val="00646605"/>
    <w:rsid w:val="0064669D"/>
    <w:rsid w:val="00646725"/>
    <w:rsid w:val="006467AA"/>
    <w:rsid w:val="00646825"/>
    <w:rsid w:val="00646ACB"/>
    <w:rsid w:val="00646AFD"/>
    <w:rsid w:val="00646C59"/>
    <w:rsid w:val="00646C62"/>
    <w:rsid w:val="00646CE9"/>
    <w:rsid w:val="00646D13"/>
    <w:rsid w:val="00646DAF"/>
    <w:rsid w:val="00646E81"/>
    <w:rsid w:val="00646F11"/>
    <w:rsid w:val="00647171"/>
    <w:rsid w:val="006471D4"/>
    <w:rsid w:val="0064721B"/>
    <w:rsid w:val="0064789C"/>
    <w:rsid w:val="006478D7"/>
    <w:rsid w:val="00647AE9"/>
    <w:rsid w:val="00650714"/>
    <w:rsid w:val="00650819"/>
    <w:rsid w:val="00650A8F"/>
    <w:rsid w:val="00650ADB"/>
    <w:rsid w:val="00650D5F"/>
    <w:rsid w:val="00650DC0"/>
    <w:rsid w:val="00650DD3"/>
    <w:rsid w:val="00650F88"/>
    <w:rsid w:val="00651072"/>
    <w:rsid w:val="00651077"/>
    <w:rsid w:val="00651117"/>
    <w:rsid w:val="0065173B"/>
    <w:rsid w:val="006517E7"/>
    <w:rsid w:val="0065186B"/>
    <w:rsid w:val="00651964"/>
    <w:rsid w:val="00651DDA"/>
    <w:rsid w:val="00651EC7"/>
    <w:rsid w:val="00652131"/>
    <w:rsid w:val="006521E5"/>
    <w:rsid w:val="0065233D"/>
    <w:rsid w:val="006523A0"/>
    <w:rsid w:val="006523B9"/>
    <w:rsid w:val="006525CC"/>
    <w:rsid w:val="00652715"/>
    <w:rsid w:val="0065284D"/>
    <w:rsid w:val="0065284E"/>
    <w:rsid w:val="00652904"/>
    <w:rsid w:val="00652A75"/>
    <w:rsid w:val="00652C5F"/>
    <w:rsid w:val="00652CBC"/>
    <w:rsid w:val="00652D13"/>
    <w:rsid w:val="00652D2A"/>
    <w:rsid w:val="00652DE2"/>
    <w:rsid w:val="00652E57"/>
    <w:rsid w:val="00653020"/>
    <w:rsid w:val="00653238"/>
    <w:rsid w:val="006534CD"/>
    <w:rsid w:val="00653571"/>
    <w:rsid w:val="00653615"/>
    <w:rsid w:val="0065371B"/>
    <w:rsid w:val="006538FD"/>
    <w:rsid w:val="00653963"/>
    <w:rsid w:val="006539F9"/>
    <w:rsid w:val="00653A97"/>
    <w:rsid w:val="00653AD6"/>
    <w:rsid w:val="00653B88"/>
    <w:rsid w:val="00653CDD"/>
    <w:rsid w:val="00653DC8"/>
    <w:rsid w:val="00653F8C"/>
    <w:rsid w:val="00654094"/>
    <w:rsid w:val="006540E0"/>
    <w:rsid w:val="0065411E"/>
    <w:rsid w:val="0065419A"/>
    <w:rsid w:val="006542A7"/>
    <w:rsid w:val="0065447B"/>
    <w:rsid w:val="00654532"/>
    <w:rsid w:val="006546CE"/>
    <w:rsid w:val="006547F6"/>
    <w:rsid w:val="006549A8"/>
    <w:rsid w:val="00654B63"/>
    <w:rsid w:val="00654D1E"/>
    <w:rsid w:val="00654F00"/>
    <w:rsid w:val="00655240"/>
    <w:rsid w:val="0065532B"/>
    <w:rsid w:val="00655420"/>
    <w:rsid w:val="00655485"/>
    <w:rsid w:val="006554F9"/>
    <w:rsid w:val="00655686"/>
    <w:rsid w:val="006556B0"/>
    <w:rsid w:val="006556EB"/>
    <w:rsid w:val="00655C8C"/>
    <w:rsid w:val="00655CAB"/>
    <w:rsid w:val="00655E93"/>
    <w:rsid w:val="00655FA5"/>
    <w:rsid w:val="00656161"/>
    <w:rsid w:val="006562D9"/>
    <w:rsid w:val="006565A0"/>
    <w:rsid w:val="00656800"/>
    <w:rsid w:val="006568D9"/>
    <w:rsid w:val="00656A9B"/>
    <w:rsid w:val="00656B62"/>
    <w:rsid w:val="00656BAE"/>
    <w:rsid w:val="00656CF3"/>
    <w:rsid w:val="00656D22"/>
    <w:rsid w:val="00656FD3"/>
    <w:rsid w:val="00657431"/>
    <w:rsid w:val="00657683"/>
    <w:rsid w:val="00657708"/>
    <w:rsid w:val="0065770E"/>
    <w:rsid w:val="00657749"/>
    <w:rsid w:val="0065775A"/>
    <w:rsid w:val="006577F3"/>
    <w:rsid w:val="00657A85"/>
    <w:rsid w:val="00657B86"/>
    <w:rsid w:val="00657D92"/>
    <w:rsid w:val="006603AD"/>
    <w:rsid w:val="006603CF"/>
    <w:rsid w:val="00660431"/>
    <w:rsid w:val="0066046E"/>
    <w:rsid w:val="00660508"/>
    <w:rsid w:val="00660830"/>
    <w:rsid w:val="006608A1"/>
    <w:rsid w:val="006609CA"/>
    <w:rsid w:val="006609E3"/>
    <w:rsid w:val="00660A61"/>
    <w:rsid w:val="00660BCA"/>
    <w:rsid w:val="00660D3D"/>
    <w:rsid w:val="00660DF8"/>
    <w:rsid w:val="00660EC1"/>
    <w:rsid w:val="0066110A"/>
    <w:rsid w:val="006619FD"/>
    <w:rsid w:val="00661BE8"/>
    <w:rsid w:val="0066211E"/>
    <w:rsid w:val="006621ED"/>
    <w:rsid w:val="00662726"/>
    <w:rsid w:val="006627E4"/>
    <w:rsid w:val="006628B1"/>
    <w:rsid w:val="00662D5A"/>
    <w:rsid w:val="00662ED2"/>
    <w:rsid w:val="00662FB7"/>
    <w:rsid w:val="006630AB"/>
    <w:rsid w:val="006630C1"/>
    <w:rsid w:val="00663119"/>
    <w:rsid w:val="0066314F"/>
    <w:rsid w:val="006631EC"/>
    <w:rsid w:val="0066325A"/>
    <w:rsid w:val="006632D2"/>
    <w:rsid w:val="00663937"/>
    <w:rsid w:val="00663D1A"/>
    <w:rsid w:val="00663DAF"/>
    <w:rsid w:val="00663E42"/>
    <w:rsid w:val="0066405F"/>
    <w:rsid w:val="006640D7"/>
    <w:rsid w:val="00664487"/>
    <w:rsid w:val="0066490A"/>
    <w:rsid w:val="00664CF9"/>
    <w:rsid w:val="00664D75"/>
    <w:rsid w:val="00664D9F"/>
    <w:rsid w:val="00664F08"/>
    <w:rsid w:val="00664F82"/>
    <w:rsid w:val="00665012"/>
    <w:rsid w:val="00665028"/>
    <w:rsid w:val="006653F0"/>
    <w:rsid w:val="0066552A"/>
    <w:rsid w:val="006656E0"/>
    <w:rsid w:val="006658E1"/>
    <w:rsid w:val="00665A1E"/>
    <w:rsid w:val="006664C8"/>
    <w:rsid w:val="006665A2"/>
    <w:rsid w:val="006665EE"/>
    <w:rsid w:val="0066662C"/>
    <w:rsid w:val="006666C5"/>
    <w:rsid w:val="0066695C"/>
    <w:rsid w:val="00666B5D"/>
    <w:rsid w:val="00666E18"/>
    <w:rsid w:val="006671CA"/>
    <w:rsid w:val="0066723F"/>
    <w:rsid w:val="006672E1"/>
    <w:rsid w:val="00667316"/>
    <w:rsid w:val="006673D6"/>
    <w:rsid w:val="00667432"/>
    <w:rsid w:val="0066754D"/>
    <w:rsid w:val="00667603"/>
    <w:rsid w:val="006677CE"/>
    <w:rsid w:val="006679DE"/>
    <w:rsid w:val="00667B67"/>
    <w:rsid w:val="00667BF1"/>
    <w:rsid w:val="00667F5B"/>
    <w:rsid w:val="00670038"/>
    <w:rsid w:val="00670087"/>
    <w:rsid w:val="006700CC"/>
    <w:rsid w:val="00670288"/>
    <w:rsid w:val="006703BF"/>
    <w:rsid w:val="006703CE"/>
    <w:rsid w:val="00670411"/>
    <w:rsid w:val="00670468"/>
    <w:rsid w:val="00670493"/>
    <w:rsid w:val="0067052D"/>
    <w:rsid w:val="00670624"/>
    <w:rsid w:val="0067065E"/>
    <w:rsid w:val="00670839"/>
    <w:rsid w:val="00670899"/>
    <w:rsid w:val="006708F8"/>
    <w:rsid w:val="0067090B"/>
    <w:rsid w:val="00670A67"/>
    <w:rsid w:val="00671039"/>
    <w:rsid w:val="0067108F"/>
    <w:rsid w:val="006713CB"/>
    <w:rsid w:val="0067147D"/>
    <w:rsid w:val="00671719"/>
    <w:rsid w:val="006719CB"/>
    <w:rsid w:val="00671BA0"/>
    <w:rsid w:val="00671CBF"/>
    <w:rsid w:val="00671FE5"/>
    <w:rsid w:val="00672013"/>
    <w:rsid w:val="0067215D"/>
    <w:rsid w:val="00672303"/>
    <w:rsid w:val="006728ED"/>
    <w:rsid w:val="00672971"/>
    <w:rsid w:val="00672A3D"/>
    <w:rsid w:val="00672A4A"/>
    <w:rsid w:val="00672B25"/>
    <w:rsid w:val="00672B46"/>
    <w:rsid w:val="00672DDB"/>
    <w:rsid w:val="00672FB8"/>
    <w:rsid w:val="00672FBC"/>
    <w:rsid w:val="00673168"/>
    <w:rsid w:val="00673180"/>
    <w:rsid w:val="00673475"/>
    <w:rsid w:val="00673770"/>
    <w:rsid w:val="00673841"/>
    <w:rsid w:val="0067399D"/>
    <w:rsid w:val="006741F6"/>
    <w:rsid w:val="0067422D"/>
    <w:rsid w:val="00674275"/>
    <w:rsid w:val="006743B2"/>
    <w:rsid w:val="006746BF"/>
    <w:rsid w:val="00674AD1"/>
    <w:rsid w:val="00674B10"/>
    <w:rsid w:val="00674C5A"/>
    <w:rsid w:val="00674CF5"/>
    <w:rsid w:val="00674D66"/>
    <w:rsid w:val="00674D86"/>
    <w:rsid w:val="00674E1A"/>
    <w:rsid w:val="00674F7E"/>
    <w:rsid w:val="006752BB"/>
    <w:rsid w:val="006752D3"/>
    <w:rsid w:val="0067554A"/>
    <w:rsid w:val="00675679"/>
    <w:rsid w:val="006757BB"/>
    <w:rsid w:val="00675DEE"/>
    <w:rsid w:val="00675ECE"/>
    <w:rsid w:val="00675EF1"/>
    <w:rsid w:val="00675F86"/>
    <w:rsid w:val="00676030"/>
    <w:rsid w:val="006760F4"/>
    <w:rsid w:val="006761F9"/>
    <w:rsid w:val="0067627C"/>
    <w:rsid w:val="006762EC"/>
    <w:rsid w:val="006766B3"/>
    <w:rsid w:val="006767F9"/>
    <w:rsid w:val="0067685A"/>
    <w:rsid w:val="00676889"/>
    <w:rsid w:val="00676AB0"/>
    <w:rsid w:val="00676C90"/>
    <w:rsid w:val="00676CEF"/>
    <w:rsid w:val="00676E39"/>
    <w:rsid w:val="00676F00"/>
    <w:rsid w:val="006772C8"/>
    <w:rsid w:val="006773A6"/>
    <w:rsid w:val="006776B0"/>
    <w:rsid w:val="006777BC"/>
    <w:rsid w:val="006778AE"/>
    <w:rsid w:val="0067793D"/>
    <w:rsid w:val="00677A3D"/>
    <w:rsid w:val="00677B47"/>
    <w:rsid w:val="00677C55"/>
    <w:rsid w:val="00677F12"/>
    <w:rsid w:val="0068002A"/>
    <w:rsid w:val="00680044"/>
    <w:rsid w:val="006800A5"/>
    <w:rsid w:val="00680180"/>
    <w:rsid w:val="00680194"/>
    <w:rsid w:val="006801C5"/>
    <w:rsid w:val="006805C6"/>
    <w:rsid w:val="00680619"/>
    <w:rsid w:val="006807E3"/>
    <w:rsid w:val="00680961"/>
    <w:rsid w:val="00680BBA"/>
    <w:rsid w:val="00680BE9"/>
    <w:rsid w:val="00680FCE"/>
    <w:rsid w:val="00681081"/>
    <w:rsid w:val="006811A3"/>
    <w:rsid w:val="0068133E"/>
    <w:rsid w:val="00681387"/>
    <w:rsid w:val="00681452"/>
    <w:rsid w:val="006814D5"/>
    <w:rsid w:val="00681551"/>
    <w:rsid w:val="006815D7"/>
    <w:rsid w:val="00681723"/>
    <w:rsid w:val="00681C15"/>
    <w:rsid w:val="00681DA1"/>
    <w:rsid w:val="00681ECC"/>
    <w:rsid w:val="00682194"/>
    <w:rsid w:val="0068229C"/>
    <w:rsid w:val="00682416"/>
    <w:rsid w:val="00682791"/>
    <w:rsid w:val="00682893"/>
    <w:rsid w:val="00682B14"/>
    <w:rsid w:val="00682C2F"/>
    <w:rsid w:val="00682F6E"/>
    <w:rsid w:val="00682FFD"/>
    <w:rsid w:val="00683064"/>
    <w:rsid w:val="00683114"/>
    <w:rsid w:val="006834F7"/>
    <w:rsid w:val="006835AB"/>
    <w:rsid w:val="006835B2"/>
    <w:rsid w:val="00683705"/>
    <w:rsid w:val="00683712"/>
    <w:rsid w:val="00683829"/>
    <w:rsid w:val="0068385E"/>
    <w:rsid w:val="006839F0"/>
    <w:rsid w:val="00683BCB"/>
    <w:rsid w:val="00683CBA"/>
    <w:rsid w:val="00683D54"/>
    <w:rsid w:val="00683DAD"/>
    <w:rsid w:val="00683E43"/>
    <w:rsid w:val="00683F1C"/>
    <w:rsid w:val="0068413B"/>
    <w:rsid w:val="0068414E"/>
    <w:rsid w:val="00684585"/>
    <w:rsid w:val="006845EB"/>
    <w:rsid w:val="0068479F"/>
    <w:rsid w:val="00684981"/>
    <w:rsid w:val="006849B8"/>
    <w:rsid w:val="006849C2"/>
    <w:rsid w:val="00684AFD"/>
    <w:rsid w:val="00684C42"/>
    <w:rsid w:val="00684C65"/>
    <w:rsid w:val="00684DC3"/>
    <w:rsid w:val="006852FB"/>
    <w:rsid w:val="00685548"/>
    <w:rsid w:val="006855B7"/>
    <w:rsid w:val="006857A4"/>
    <w:rsid w:val="0068580A"/>
    <w:rsid w:val="0068586D"/>
    <w:rsid w:val="00685A0C"/>
    <w:rsid w:val="00685E5D"/>
    <w:rsid w:val="00685EB2"/>
    <w:rsid w:val="00685F74"/>
    <w:rsid w:val="00685FB3"/>
    <w:rsid w:val="00686BC0"/>
    <w:rsid w:val="00686E39"/>
    <w:rsid w:val="00686E8D"/>
    <w:rsid w:val="00687008"/>
    <w:rsid w:val="0068703B"/>
    <w:rsid w:val="0068727C"/>
    <w:rsid w:val="006873CC"/>
    <w:rsid w:val="00687464"/>
    <w:rsid w:val="00687967"/>
    <w:rsid w:val="006879A3"/>
    <w:rsid w:val="00687A75"/>
    <w:rsid w:val="00687A77"/>
    <w:rsid w:val="00687A9A"/>
    <w:rsid w:val="00687BDC"/>
    <w:rsid w:val="00687BFE"/>
    <w:rsid w:val="00687C33"/>
    <w:rsid w:val="00687DF1"/>
    <w:rsid w:val="00687E4D"/>
    <w:rsid w:val="00687EC5"/>
    <w:rsid w:val="00690020"/>
    <w:rsid w:val="006900B0"/>
    <w:rsid w:val="00690186"/>
    <w:rsid w:val="00690208"/>
    <w:rsid w:val="0069024D"/>
    <w:rsid w:val="006903D5"/>
    <w:rsid w:val="0069047D"/>
    <w:rsid w:val="0069058F"/>
    <w:rsid w:val="006907BE"/>
    <w:rsid w:val="00690AF9"/>
    <w:rsid w:val="00690C34"/>
    <w:rsid w:val="00690E45"/>
    <w:rsid w:val="00690E6F"/>
    <w:rsid w:val="00690F37"/>
    <w:rsid w:val="00690F80"/>
    <w:rsid w:val="0069110E"/>
    <w:rsid w:val="00691158"/>
    <w:rsid w:val="006911AD"/>
    <w:rsid w:val="0069134B"/>
    <w:rsid w:val="00691640"/>
    <w:rsid w:val="006917AF"/>
    <w:rsid w:val="00691846"/>
    <w:rsid w:val="00691C17"/>
    <w:rsid w:val="00691DB5"/>
    <w:rsid w:val="00691F36"/>
    <w:rsid w:val="00692095"/>
    <w:rsid w:val="00692598"/>
    <w:rsid w:val="006925F6"/>
    <w:rsid w:val="006926A3"/>
    <w:rsid w:val="00692925"/>
    <w:rsid w:val="0069298A"/>
    <w:rsid w:val="006929B4"/>
    <w:rsid w:val="00692D26"/>
    <w:rsid w:val="00692D2C"/>
    <w:rsid w:val="00692E49"/>
    <w:rsid w:val="00692F26"/>
    <w:rsid w:val="006930CA"/>
    <w:rsid w:val="00693143"/>
    <w:rsid w:val="00693291"/>
    <w:rsid w:val="006932DC"/>
    <w:rsid w:val="0069343D"/>
    <w:rsid w:val="00693740"/>
    <w:rsid w:val="00693963"/>
    <w:rsid w:val="00693BFB"/>
    <w:rsid w:val="00693C8E"/>
    <w:rsid w:val="00693EE6"/>
    <w:rsid w:val="00693F07"/>
    <w:rsid w:val="00694013"/>
    <w:rsid w:val="00694055"/>
    <w:rsid w:val="00694094"/>
    <w:rsid w:val="00694151"/>
    <w:rsid w:val="00694435"/>
    <w:rsid w:val="006948D2"/>
    <w:rsid w:val="0069494B"/>
    <w:rsid w:val="0069499A"/>
    <w:rsid w:val="00694B50"/>
    <w:rsid w:val="00694BF4"/>
    <w:rsid w:val="00694DCD"/>
    <w:rsid w:val="00694E20"/>
    <w:rsid w:val="00694F5A"/>
    <w:rsid w:val="00695390"/>
    <w:rsid w:val="006953E2"/>
    <w:rsid w:val="00695479"/>
    <w:rsid w:val="00695638"/>
    <w:rsid w:val="0069568A"/>
    <w:rsid w:val="006957F2"/>
    <w:rsid w:val="00695AE2"/>
    <w:rsid w:val="00695B25"/>
    <w:rsid w:val="00695B6C"/>
    <w:rsid w:val="00695D0A"/>
    <w:rsid w:val="00695F1B"/>
    <w:rsid w:val="0069602F"/>
    <w:rsid w:val="0069604A"/>
    <w:rsid w:val="006960D9"/>
    <w:rsid w:val="00696128"/>
    <w:rsid w:val="0069618E"/>
    <w:rsid w:val="006963F7"/>
    <w:rsid w:val="0069686C"/>
    <w:rsid w:val="006968BA"/>
    <w:rsid w:val="00696911"/>
    <w:rsid w:val="00696BCC"/>
    <w:rsid w:val="00696EA4"/>
    <w:rsid w:val="00696EE6"/>
    <w:rsid w:val="00696FBE"/>
    <w:rsid w:val="00697045"/>
    <w:rsid w:val="0069715E"/>
    <w:rsid w:val="00697242"/>
    <w:rsid w:val="0069734D"/>
    <w:rsid w:val="00697358"/>
    <w:rsid w:val="0069744E"/>
    <w:rsid w:val="00697524"/>
    <w:rsid w:val="00697579"/>
    <w:rsid w:val="0069762E"/>
    <w:rsid w:val="00697751"/>
    <w:rsid w:val="00697763"/>
    <w:rsid w:val="006977D8"/>
    <w:rsid w:val="00697882"/>
    <w:rsid w:val="006979F7"/>
    <w:rsid w:val="00697DE0"/>
    <w:rsid w:val="00697EBF"/>
    <w:rsid w:val="006A0039"/>
    <w:rsid w:val="006A0390"/>
    <w:rsid w:val="006A04B8"/>
    <w:rsid w:val="006A05BE"/>
    <w:rsid w:val="006A062B"/>
    <w:rsid w:val="006A0741"/>
    <w:rsid w:val="006A0B18"/>
    <w:rsid w:val="006A0C57"/>
    <w:rsid w:val="006A0D3A"/>
    <w:rsid w:val="006A0D44"/>
    <w:rsid w:val="006A0D5B"/>
    <w:rsid w:val="006A0DF6"/>
    <w:rsid w:val="006A0E6D"/>
    <w:rsid w:val="006A0E7F"/>
    <w:rsid w:val="006A11B8"/>
    <w:rsid w:val="006A1335"/>
    <w:rsid w:val="006A16B8"/>
    <w:rsid w:val="006A176F"/>
    <w:rsid w:val="006A1D36"/>
    <w:rsid w:val="006A1D81"/>
    <w:rsid w:val="006A1F2C"/>
    <w:rsid w:val="006A1F7A"/>
    <w:rsid w:val="006A21C9"/>
    <w:rsid w:val="006A2208"/>
    <w:rsid w:val="006A22C8"/>
    <w:rsid w:val="006A23E3"/>
    <w:rsid w:val="006A24D5"/>
    <w:rsid w:val="006A250F"/>
    <w:rsid w:val="006A258E"/>
    <w:rsid w:val="006A27ED"/>
    <w:rsid w:val="006A2B1D"/>
    <w:rsid w:val="006A2B3F"/>
    <w:rsid w:val="006A2C4E"/>
    <w:rsid w:val="006A2F4D"/>
    <w:rsid w:val="006A2FD9"/>
    <w:rsid w:val="006A2FDA"/>
    <w:rsid w:val="006A315A"/>
    <w:rsid w:val="006A3290"/>
    <w:rsid w:val="006A35C5"/>
    <w:rsid w:val="006A36DB"/>
    <w:rsid w:val="006A39CA"/>
    <w:rsid w:val="006A3B54"/>
    <w:rsid w:val="006A4026"/>
    <w:rsid w:val="006A4101"/>
    <w:rsid w:val="006A4511"/>
    <w:rsid w:val="006A4558"/>
    <w:rsid w:val="006A4704"/>
    <w:rsid w:val="006A477F"/>
    <w:rsid w:val="006A4935"/>
    <w:rsid w:val="006A4A4F"/>
    <w:rsid w:val="006A4B4A"/>
    <w:rsid w:val="006A4D8E"/>
    <w:rsid w:val="006A4EF3"/>
    <w:rsid w:val="006A5108"/>
    <w:rsid w:val="006A5206"/>
    <w:rsid w:val="006A54C4"/>
    <w:rsid w:val="006A56D0"/>
    <w:rsid w:val="006A5B21"/>
    <w:rsid w:val="006A6037"/>
    <w:rsid w:val="006A61B4"/>
    <w:rsid w:val="006A6244"/>
    <w:rsid w:val="006A667A"/>
    <w:rsid w:val="006A670E"/>
    <w:rsid w:val="006A6873"/>
    <w:rsid w:val="006A694A"/>
    <w:rsid w:val="006A6999"/>
    <w:rsid w:val="006A69B3"/>
    <w:rsid w:val="006A69C6"/>
    <w:rsid w:val="006A69D3"/>
    <w:rsid w:val="006A6ACB"/>
    <w:rsid w:val="006A6B95"/>
    <w:rsid w:val="006A6D54"/>
    <w:rsid w:val="006A6F12"/>
    <w:rsid w:val="006A7002"/>
    <w:rsid w:val="006A741C"/>
    <w:rsid w:val="006A751D"/>
    <w:rsid w:val="006A7852"/>
    <w:rsid w:val="006A7913"/>
    <w:rsid w:val="006A797D"/>
    <w:rsid w:val="006A7A21"/>
    <w:rsid w:val="006A7A40"/>
    <w:rsid w:val="006A7AD3"/>
    <w:rsid w:val="006A7E69"/>
    <w:rsid w:val="006A7F79"/>
    <w:rsid w:val="006A7FD8"/>
    <w:rsid w:val="006B0099"/>
    <w:rsid w:val="006B012B"/>
    <w:rsid w:val="006B097B"/>
    <w:rsid w:val="006B09AF"/>
    <w:rsid w:val="006B0A20"/>
    <w:rsid w:val="006B0B0E"/>
    <w:rsid w:val="006B0B12"/>
    <w:rsid w:val="006B0B73"/>
    <w:rsid w:val="006B0C00"/>
    <w:rsid w:val="006B0C1E"/>
    <w:rsid w:val="006B0EDE"/>
    <w:rsid w:val="006B0F5B"/>
    <w:rsid w:val="006B11B8"/>
    <w:rsid w:val="006B1224"/>
    <w:rsid w:val="006B17FA"/>
    <w:rsid w:val="006B1EEB"/>
    <w:rsid w:val="006B1F37"/>
    <w:rsid w:val="006B205F"/>
    <w:rsid w:val="006B24FE"/>
    <w:rsid w:val="006B2836"/>
    <w:rsid w:val="006B28D9"/>
    <w:rsid w:val="006B29C2"/>
    <w:rsid w:val="006B2ACF"/>
    <w:rsid w:val="006B2BBE"/>
    <w:rsid w:val="006B2C2E"/>
    <w:rsid w:val="006B2D1E"/>
    <w:rsid w:val="006B2F27"/>
    <w:rsid w:val="006B2FBB"/>
    <w:rsid w:val="006B3181"/>
    <w:rsid w:val="006B329E"/>
    <w:rsid w:val="006B3335"/>
    <w:rsid w:val="006B35E8"/>
    <w:rsid w:val="006B3632"/>
    <w:rsid w:val="006B39AC"/>
    <w:rsid w:val="006B39F0"/>
    <w:rsid w:val="006B3A2C"/>
    <w:rsid w:val="006B3A3A"/>
    <w:rsid w:val="006B3A92"/>
    <w:rsid w:val="006B3AC0"/>
    <w:rsid w:val="006B3B06"/>
    <w:rsid w:val="006B3B4D"/>
    <w:rsid w:val="006B3D9B"/>
    <w:rsid w:val="006B40DE"/>
    <w:rsid w:val="006B41FC"/>
    <w:rsid w:val="006B4463"/>
    <w:rsid w:val="006B4730"/>
    <w:rsid w:val="006B48AF"/>
    <w:rsid w:val="006B4A14"/>
    <w:rsid w:val="006B4BDE"/>
    <w:rsid w:val="006B4E47"/>
    <w:rsid w:val="006B4FAB"/>
    <w:rsid w:val="006B4FCA"/>
    <w:rsid w:val="006B4FE5"/>
    <w:rsid w:val="006B51EC"/>
    <w:rsid w:val="006B53B8"/>
    <w:rsid w:val="006B53E4"/>
    <w:rsid w:val="006B55EE"/>
    <w:rsid w:val="006B56BE"/>
    <w:rsid w:val="006B57D5"/>
    <w:rsid w:val="006B5A0B"/>
    <w:rsid w:val="006B5B8B"/>
    <w:rsid w:val="006B6018"/>
    <w:rsid w:val="006B60E2"/>
    <w:rsid w:val="006B61EE"/>
    <w:rsid w:val="006B624A"/>
    <w:rsid w:val="006B6491"/>
    <w:rsid w:val="006B67A4"/>
    <w:rsid w:val="006B695F"/>
    <w:rsid w:val="006B6B98"/>
    <w:rsid w:val="006B6C92"/>
    <w:rsid w:val="006B6D04"/>
    <w:rsid w:val="006B6D99"/>
    <w:rsid w:val="006B6EBA"/>
    <w:rsid w:val="006B705E"/>
    <w:rsid w:val="006B7159"/>
    <w:rsid w:val="006B7211"/>
    <w:rsid w:val="006B72B9"/>
    <w:rsid w:val="006B75CF"/>
    <w:rsid w:val="006B769E"/>
    <w:rsid w:val="006B7822"/>
    <w:rsid w:val="006B7855"/>
    <w:rsid w:val="006B78C4"/>
    <w:rsid w:val="006B7A1F"/>
    <w:rsid w:val="006B7B69"/>
    <w:rsid w:val="006B7D2B"/>
    <w:rsid w:val="006B7DAC"/>
    <w:rsid w:val="006B7E3E"/>
    <w:rsid w:val="006C033C"/>
    <w:rsid w:val="006C0400"/>
    <w:rsid w:val="006C0509"/>
    <w:rsid w:val="006C065E"/>
    <w:rsid w:val="006C07C5"/>
    <w:rsid w:val="006C093B"/>
    <w:rsid w:val="006C0992"/>
    <w:rsid w:val="006C09C0"/>
    <w:rsid w:val="006C0B4E"/>
    <w:rsid w:val="006C0B91"/>
    <w:rsid w:val="006C0C81"/>
    <w:rsid w:val="006C0E00"/>
    <w:rsid w:val="006C0E59"/>
    <w:rsid w:val="006C0E71"/>
    <w:rsid w:val="006C0F92"/>
    <w:rsid w:val="006C1406"/>
    <w:rsid w:val="006C1925"/>
    <w:rsid w:val="006C1A95"/>
    <w:rsid w:val="006C1B7A"/>
    <w:rsid w:val="006C1C81"/>
    <w:rsid w:val="006C2049"/>
    <w:rsid w:val="006C2252"/>
    <w:rsid w:val="006C24E7"/>
    <w:rsid w:val="006C2605"/>
    <w:rsid w:val="006C2625"/>
    <w:rsid w:val="006C26D5"/>
    <w:rsid w:val="006C2755"/>
    <w:rsid w:val="006C29B0"/>
    <w:rsid w:val="006C2B43"/>
    <w:rsid w:val="006C2D10"/>
    <w:rsid w:val="006C3086"/>
    <w:rsid w:val="006C3443"/>
    <w:rsid w:val="006C3629"/>
    <w:rsid w:val="006C3742"/>
    <w:rsid w:val="006C37A5"/>
    <w:rsid w:val="006C3944"/>
    <w:rsid w:val="006C39BA"/>
    <w:rsid w:val="006C3A08"/>
    <w:rsid w:val="006C3AF5"/>
    <w:rsid w:val="006C3BE4"/>
    <w:rsid w:val="006C3DA6"/>
    <w:rsid w:val="006C4396"/>
    <w:rsid w:val="006C48B3"/>
    <w:rsid w:val="006C4B14"/>
    <w:rsid w:val="006C4CFE"/>
    <w:rsid w:val="006C4DB4"/>
    <w:rsid w:val="006C4E24"/>
    <w:rsid w:val="006C4E7B"/>
    <w:rsid w:val="006C4EF2"/>
    <w:rsid w:val="006C50BE"/>
    <w:rsid w:val="006C557D"/>
    <w:rsid w:val="006C5AFF"/>
    <w:rsid w:val="006C5E7D"/>
    <w:rsid w:val="006C6186"/>
    <w:rsid w:val="006C6489"/>
    <w:rsid w:val="006C6678"/>
    <w:rsid w:val="006C6ADB"/>
    <w:rsid w:val="006C6EED"/>
    <w:rsid w:val="006C701E"/>
    <w:rsid w:val="006C7291"/>
    <w:rsid w:val="006C72A3"/>
    <w:rsid w:val="006C73CF"/>
    <w:rsid w:val="006C7487"/>
    <w:rsid w:val="006C7693"/>
    <w:rsid w:val="006C7720"/>
    <w:rsid w:val="006C7997"/>
    <w:rsid w:val="006C7A38"/>
    <w:rsid w:val="006C7A68"/>
    <w:rsid w:val="006C7A78"/>
    <w:rsid w:val="006C7A91"/>
    <w:rsid w:val="006C7B8F"/>
    <w:rsid w:val="006C7B95"/>
    <w:rsid w:val="006C7E4E"/>
    <w:rsid w:val="006D0216"/>
    <w:rsid w:val="006D02BB"/>
    <w:rsid w:val="006D0388"/>
    <w:rsid w:val="006D05D1"/>
    <w:rsid w:val="006D079D"/>
    <w:rsid w:val="006D07F4"/>
    <w:rsid w:val="006D0801"/>
    <w:rsid w:val="006D086F"/>
    <w:rsid w:val="006D09D1"/>
    <w:rsid w:val="006D0A7A"/>
    <w:rsid w:val="006D0C10"/>
    <w:rsid w:val="006D0C86"/>
    <w:rsid w:val="006D0D2C"/>
    <w:rsid w:val="006D108C"/>
    <w:rsid w:val="006D12AA"/>
    <w:rsid w:val="006D1683"/>
    <w:rsid w:val="006D16C7"/>
    <w:rsid w:val="006D171C"/>
    <w:rsid w:val="006D1763"/>
    <w:rsid w:val="006D1819"/>
    <w:rsid w:val="006D1874"/>
    <w:rsid w:val="006D1C50"/>
    <w:rsid w:val="006D1D56"/>
    <w:rsid w:val="006D2005"/>
    <w:rsid w:val="006D20C7"/>
    <w:rsid w:val="006D2327"/>
    <w:rsid w:val="006D2475"/>
    <w:rsid w:val="006D24EC"/>
    <w:rsid w:val="006D2675"/>
    <w:rsid w:val="006D2754"/>
    <w:rsid w:val="006D27E5"/>
    <w:rsid w:val="006D28F7"/>
    <w:rsid w:val="006D2D58"/>
    <w:rsid w:val="006D2E65"/>
    <w:rsid w:val="006D2F1C"/>
    <w:rsid w:val="006D310E"/>
    <w:rsid w:val="006D3276"/>
    <w:rsid w:val="006D3478"/>
    <w:rsid w:val="006D371B"/>
    <w:rsid w:val="006D371D"/>
    <w:rsid w:val="006D3861"/>
    <w:rsid w:val="006D3A3F"/>
    <w:rsid w:val="006D3A98"/>
    <w:rsid w:val="006D3B67"/>
    <w:rsid w:val="006D3BE3"/>
    <w:rsid w:val="006D3D7F"/>
    <w:rsid w:val="006D3DCC"/>
    <w:rsid w:val="006D3E31"/>
    <w:rsid w:val="006D3FB7"/>
    <w:rsid w:val="006D4126"/>
    <w:rsid w:val="006D41F4"/>
    <w:rsid w:val="006D4371"/>
    <w:rsid w:val="006D4492"/>
    <w:rsid w:val="006D4556"/>
    <w:rsid w:val="006D45C8"/>
    <w:rsid w:val="006D4B0B"/>
    <w:rsid w:val="006D4C5F"/>
    <w:rsid w:val="006D4D59"/>
    <w:rsid w:val="006D50DE"/>
    <w:rsid w:val="006D5253"/>
    <w:rsid w:val="006D5485"/>
    <w:rsid w:val="006D56E0"/>
    <w:rsid w:val="006D56E1"/>
    <w:rsid w:val="006D5818"/>
    <w:rsid w:val="006D5828"/>
    <w:rsid w:val="006D5829"/>
    <w:rsid w:val="006D595D"/>
    <w:rsid w:val="006D5964"/>
    <w:rsid w:val="006D5A98"/>
    <w:rsid w:val="006D5AA3"/>
    <w:rsid w:val="006D5BDD"/>
    <w:rsid w:val="006D5C42"/>
    <w:rsid w:val="006D5C6D"/>
    <w:rsid w:val="006D5CBB"/>
    <w:rsid w:val="006D5D15"/>
    <w:rsid w:val="006D64C3"/>
    <w:rsid w:val="006D6755"/>
    <w:rsid w:val="006D6B82"/>
    <w:rsid w:val="006D6BAE"/>
    <w:rsid w:val="006D6E25"/>
    <w:rsid w:val="006D6E84"/>
    <w:rsid w:val="006D6F13"/>
    <w:rsid w:val="006D6F54"/>
    <w:rsid w:val="006D701F"/>
    <w:rsid w:val="006D73F6"/>
    <w:rsid w:val="006D76EB"/>
    <w:rsid w:val="006D7ECD"/>
    <w:rsid w:val="006D7F79"/>
    <w:rsid w:val="006E00E1"/>
    <w:rsid w:val="006E026C"/>
    <w:rsid w:val="006E0280"/>
    <w:rsid w:val="006E0382"/>
    <w:rsid w:val="006E04A3"/>
    <w:rsid w:val="006E04D1"/>
    <w:rsid w:val="006E054C"/>
    <w:rsid w:val="006E0713"/>
    <w:rsid w:val="006E08E3"/>
    <w:rsid w:val="006E09C0"/>
    <w:rsid w:val="006E0B50"/>
    <w:rsid w:val="006E0BBD"/>
    <w:rsid w:val="006E0BD3"/>
    <w:rsid w:val="006E0C53"/>
    <w:rsid w:val="006E0CE7"/>
    <w:rsid w:val="006E0D0A"/>
    <w:rsid w:val="006E0EC7"/>
    <w:rsid w:val="006E1148"/>
    <w:rsid w:val="006E1210"/>
    <w:rsid w:val="006E127D"/>
    <w:rsid w:val="006E1295"/>
    <w:rsid w:val="006E1321"/>
    <w:rsid w:val="006E136B"/>
    <w:rsid w:val="006E1682"/>
    <w:rsid w:val="006E19E7"/>
    <w:rsid w:val="006E19F1"/>
    <w:rsid w:val="006E1A25"/>
    <w:rsid w:val="006E1C6D"/>
    <w:rsid w:val="006E1F07"/>
    <w:rsid w:val="006E1F89"/>
    <w:rsid w:val="006E204D"/>
    <w:rsid w:val="006E20D3"/>
    <w:rsid w:val="006E21DD"/>
    <w:rsid w:val="006E2222"/>
    <w:rsid w:val="006E225B"/>
    <w:rsid w:val="006E226B"/>
    <w:rsid w:val="006E22ED"/>
    <w:rsid w:val="006E2726"/>
    <w:rsid w:val="006E2A1A"/>
    <w:rsid w:val="006E2A61"/>
    <w:rsid w:val="006E2B29"/>
    <w:rsid w:val="006E2BFF"/>
    <w:rsid w:val="006E2F1A"/>
    <w:rsid w:val="006E2F60"/>
    <w:rsid w:val="006E3041"/>
    <w:rsid w:val="006E3278"/>
    <w:rsid w:val="006E32BD"/>
    <w:rsid w:val="006E3451"/>
    <w:rsid w:val="006E345B"/>
    <w:rsid w:val="006E34E5"/>
    <w:rsid w:val="006E35F9"/>
    <w:rsid w:val="006E3636"/>
    <w:rsid w:val="006E37C5"/>
    <w:rsid w:val="006E3D85"/>
    <w:rsid w:val="006E3DEE"/>
    <w:rsid w:val="006E4023"/>
    <w:rsid w:val="006E4147"/>
    <w:rsid w:val="006E4307"/>
    <w:rsid w:val="006E4587"/>
    <w:rsid w:val="006E4738"/>
    <w:rsid w:val="006E475E"/>
    <w:rsid w:val="006E4787"/>
    <w:rsid w:val="006E486B"/>
    <w:rsid w:val="006E48FE"/>
    <w:rsid w:val="006E49D5"/>
    <w:rsid w:val="006E4AE8"/>
    <w:rsid w:val="006E4D79"/>
    <w:rsid w:val="006E4DF6"/>
    <w:rsid w:val="006E4E12"/>
    <w:rsid w:val="006E4EA1"/>
    <w:rsid w:val="006E5197"/>
    <w:rsid w:val="006E525B"/>
    <w:rsid w:val="006E53B9"/>
    <w:rsid w:val="006E560B"/>
    <w:rsid w:val="006E5660"/>
    <w:rsid w:val="006E56E5"/>
    <w:rsid w:val="006E576F"/>
    <w:rsid w:val="006E57BF"/>
    <w:rsid w:val="006E591A"/>
    <w:rsid w:val="006E59C6"/>
    <w:rsid w:val="006E5B2D"/>
    <w:rsid w:val="006E5E07"/>
    <w:rsid w:val="006E6010"/>
    <w:rsid w:val="006E6114"/>
    <w:rsid w:val="006E6166"/>
    <w:rsid w:val="006E632B"/>
    <w:rsid w:val="006E664E"/>
    <w:rsid w:val="006E6B06"/>
    <w:rsid w:val="006E6CE6"/>
    <w:rsid w:val="006E6DB4"/>
    <w:rsid w:val="006E6E89"/>
    <w:rsid w:val="006E702B"/>
    <w:rsid w:val="006E723E"/>
    <w:rsid w:val="006E728E"/>
    <w:rsid w:val="006E7299"/>
    <w:rsid w:val="006E735B"/>
    <w:rsid w:val="006E7469"/>
    <w:rsid w:val="006E7471"/>
    <w:rsid w:val="006E74C7"/>
    <w:rsid w:val="006E7763"/>
    <w:rsid w:val="006E78B1"/>
    <w:rsid w:val="006E79E0"/>
    <w:rsid w:val="006E7AD5"/>
    <w:rsid w:val="006E7C8C"/>
    <w:rsid w:val="006F01BF"/>
    <w:rsid w:val="006F0304"/>
    <w:rsid w:val="006F095D"/>
    <w:rsid w:val="006F09D3"/>
    <w:rsid w:val="006F0EB0"/>
    <w:rsid w:val="006F10F0"/>
    <w:rsid w:val="006F147F"/>
    <w:rsid w:val="006F154F"/>
    <w:rsid w:val="006F18CB"/>
    <w:rsid w:val="006F18FE"/>
    <w:rsid w:val="006F1BC4"/>
    <w:rsid w:val="006F1E02"/>
    <w:rsid w:val="006F225A"/>
    <w:rsid w:val="006F229B"/>
    <w:rsid w:val="006F23BD"/>
    <w:rsid w:val="006F24A2"/>
    <w:rsid w:val="006F2575"/>
    <w:rsid w:val="006F265E"/>
    <w:rsid w:val="006F2683"/>
    <w:rsid w:val="006F27AA"/>
    <w:rsid w:val="006F290E"/>
    <w:rsid w:val="006F2934"/>
    <w:rsid w:val="006F2C1F"/>
    <w:rsid w:val="006F2C75"/>
    <w:rsid w:val="006F2E03"/>
    <w:rsid w:val="006F2F43"/>
    <w:rsid w:val="006F2FF1"/>
    <w:rsid w:val="006F30C4"/>
    <w:rsid w:val="006F3147"/>
    <w:rsid w:val="006F318A"/>
    <w:rsid w:val="006F33EB"/>
    <w:rsid w:val="006F34EE"/>
    <w:rsid w:val="006F3503"/>
    <w:rsid w:val="006F3629"/>
    <w:rsid w:val="006F369F"/>
    <w:rsid w:val="006F36BF"/>
    <w:rsid w:val="006F3AAD"/>
    <w:rsid w:val="006F3AFF"/>
    <w:rsid w:val="006F3CB4"/>
    <w:rsid w:val="006F3D4E"/>
    <w:rsid w:val="006F3D9E"/>
    <w:rsid w:val="006F3E0E"/>
    <w:rsid w:val="006F3EFA"/>
    <w:rsid w:val="006F402C"/>
    <w:rsid w:val="006F40B1"/>
    <w:rsid w:val="006F4141"/>
    <w:rsid w:val="006F42FA"/>
    <w:rsid w:val="006F45D9"/>
    <w:rsid w:val="006F45DB"/>
    <w:rsid w:val="006F4628"/>
    <w:rsid w:val="006F46CB"/>
    <w:rsid w:val="006F4C40"/>
    <w:rsid w:val="006F4D1B"/>
    <w:rsid w:val="006F4D27"/>
    <w:rsid w:val="006F4FD3"/>
    <w:rsid w:val="006F5018"/>
    <w:rsid w:val="006F505A"/>
    <w:rsid w:val="006F523A"/>
    <w:rsid w:val="006F52D1"/>
    <w:rsid w:val="006F5334"/>
    <w:rsid w:val="006F5499"/>
    <w:rsid w:val="006F5516"/>
    <w:rsid w:val="006F58D5"/>
    <w:rsid w:val="006F5A45"/>
    <w:rsid w:val="006F6113"/>
    <w:rsid w:val="006F61B6"/>
    <w:rsid w:val="006F61E7"/>
    <w:rsid w:val="006F61EF"/>
    <w:rsid w:val="006F622F"/>
    <w:rsid w:val="006F65A0"/>
    <w:rsid w:val="006F6768"/>
    <w:rsid w:val="006F688D"/>
    <w:rsid w:val="006F6A32"/>
    <w:rsid w:val="006F6CD6"/>
    <w:rsid w:val="006F6E2C"/>
    <w:rsid w:val="006F7013"/>
    <w:rsid w:val="006F712B"/>
    <w:rsid w:val="006F723E"/>
    <w:rsid w:val="006F72E0"/>
    <w:rsid w:val="006F72E9"/>
    <w:rsid w:val="006F7657"/>
    <w:rsid w:val="006F769E"/>
    <w:rsid w:val="006F76D7"/>
    <w:rsid w:val="006F7856"/>
    <w:rsid w:val="006F7B70"/>
    <w:rsid w:val="006F7BA6"/>
    <w:rsid w:val="006F7BFA"/>
    <w:rsid w:val="006F7C46"/>
    <w:rsid w:val="006F7E57"/>
    <w:rsid w:val="006F7F54"/>
    <w:rsid w:val="0070014E"/>
    <w:rsid w:val="007001F8"/>
    <w:rsid w:val="00700408"/>
    <w:rsid w:val="0070044E"/>
    <w:rsid w:val="007007F9"/>
    <w:rsid w:val="007008C7"/>
    <w:rsid w:val="00700946"/>
    <w:rsid w:val="00700966"/>
    <w:rsid w:val="00700B6A"/>
    <w:rsid w:val="00700CBC"/>
    <w:rsid w:val="00700D7D"/>
    <w:rsid w:val="00700E90"/>
    <w:rsid w:val="00701067"/>
    <w:rsid w:val="007010DA"/>
    <w:rsid w:val="0070126C"/>
    <w:rsid w:val="007012AB"/>
    <w:rsid w:val="00701445"/>
    <w:rsid w:val="00701497"/>
    <w:rsid w:val="007015DD"/>
    <w:rsid w:val="00701666"/>
    <w:rsid w:val="007016F4"/>
    <w:rsid w:val="007017EC"/>
    <w:rsid w:val="00701CB9"/>
    <w:rsid w:val="00701CC6"/>
    <w:rsid w:val="00701D00"/>
    <w:rsid w:val="00702083"/>
    <w:rsid w:val="007020E3"/>
    <w:rsid w:val="00702164"/>
    <w:rsid w:val="00702245"/>
    <w:rsid w:val="0070224B"/>
    <w:rsid w:val="00702418"/>
    <w:rsid w:val="007024DC"/>
    <w:rsid w:val="00702725"/>
    <w:rsid w:val="00702A22"/>
    <w:rsid w:val="00702A42"/>
    <w:rsid w:val="00702A78"/>
    <w:rsid w:val="00703048"/>
    <w:rsid w:val="00703357"/>
    <w:rsid w:val="0070374E"/>
    <w:rsid w:val="00703801"/>
    <w:rsid w:val="007038B5"/>
    <w:rsid w:val="00703A20"/>
    <w:rsid w:val="00703BB3"/>
    <w:rsid w:val="00703E3C"/>
    <w:rsid w:val="00703EAB"/>
    <w:rsid w:val="00703F0C"/>
    <w:rsid w:val="007040CD"/>
    <w:rsid w:val="007040DC"/>
    <w:rsid w:val="007042CA"/>
    <w:rsid w:val="00704480"/>
    <w:rsid w:val="00704562"/>
    <w:rsid w:val="00704581"/>
    <w:rsid w:val="00704619"/>
    <w:rsid w:val="00704808"/>
    <w:rsid w:val="00704848"/>
    <w:rsid w:val="0070489A"/>
    <w:rsid w:val="00704A63"/>
    <w:rsid w:val="00704D97"/>
    <w:rsid w:val="0070546D"/>
    <w:rsid w:val="00705785"/>
    <w:rsid w:val="007058F8"/>
    <w:rsid w:val="00705C80"/>
    <w:rsid w:val="00705D9F"/>
    <w:rsid w:val="00705DC2"/>
    <w:rsid w:val="00705DD2"/>
    <w:rsid w:val="00705EF7"/>
    <w:rsid w:val="0070625E"/>
    <w:rsid w:val="007062B9"/>
    <w:rsid w:val="00706353"/>
    <w:rsid w:val="007063B0"/>
    <w:rsid w:val="00706555"/>
    <w:rsid w:val="0070661C"/>
    <w:rsid w:val="00706807"/>
    <w:rsid w:val="00706A1B"/>
    <w:rsid w:val="00706D07"/>
    <w:rsid w:val="00706D30"/>
    <w:rsid w:val="00706F78"/>
    <w:rsid w:val="0070725F"/>
    <w:rsid w:val="00707548"/>
    <w:rsid w:val="0070774A"/>
    <w:rsid w:val="007077D8"/>
    <w:rsid w:val="00707D42"/>
    <w:rsid w:val="00707E45"/>
    <w:rsid w:val="00707E79"/>
    <w:rsid w:val="00707F5E"/>
    <w:rsid w:val="00710004"/>
    <w:rsid w:val="007100A6"/>
    <w:rsid w:val="00710120"/>
    <w:rsid w:val="007101AE"/>
    <w:rsid w:val="007103C6"/>
    <w:rsid w:val="007103D2"/>
    <w:rsid w:val="00710608"/>
    <w:rsid w:val="007106B6"/>
    <w:rsid w:val="00710941"/>
    <w:rsid w:val="007109AE"/>
    <w:rsid w:val="00710CFE"/>
    <w:rsid w:val="00710D5A"/>
    <w:rsid w:val="00710DC7"/>
    <w:rsid w:val="00710DE9"/>
    <w:rsid w:val="00710F3F"/>
    <w:rsid w:val="00710F62"/>
    <w:rsid w:val="00710F63"/>
    <w:rsid w:val="00710FC5"/>
    <w:rsid w:val="00711023"/>
    <w:rsid w:val="00711162"/>
    <w:rsid w:val="00711951"/>
    <w:rsid w:val="00711CC5"/>
    <w:rsid w:val="00711F53"/>
    <w:rsid w:val="007121D7"/>
    <w:rsid w:val="007121D9"/>
    <w:rsid w:val="0071255E"/>
    <w:rsid w:val="007126CE"/>
    <w:rsid w:val="00712719"/>
    <w:rsid w:val="007127C1"/>
    <w:rsid w:val="007128DD"/>
    <w:rsid w:val="00712957"/>
    <w:rsid w:val="00712A0F"/>
    <w:rsid w:val="00712E1F"/>
    <w:rsid w:val="00712E43"/>
    <w:rsid w:val="00712EC8"/>
    <w:rsid w:val="00712F29"/>
    <w:rsid w:val="0071325C"/>
    <w:rsid w:val="0071328A"/>
    <w:rsid w:val="00713458"/>
    <w:rsid w:val="00713484"/>
    <w:rsid w:val="0071355C"/>
    <w:rsid w:val="007136CF"/>
    <w:rsid w:val="007136E7"/>
    <w:rsid w:val="007137A8"/>
    <w:rsid w:val="00713847"/>
    <w:rsid w:val="007138FF"/>
    <w:rsid w:val="00713963"/>
    <w:rsid w:val="00713D52"/>
    <w:rsid w:val="00713DE2"/>
    <w:rsid w:val="00713F04"/>
    <w:rsid w:val="00713F59"/>
    <w:rsid w:val="00713F91"/>
    <w:rsid w:val="00714014"/>
    <w:rsid w:val="00714144"/>
    <w:rsid w:val="0071424E"/>
    <w:rsid w:val="0071447B"/>
    <w:rsid w:val="007144E2"/>
    <w:rsid w:val="00714548"/>
    <w:rsid w:val="00714A04"/>
    <w:rsid w:val="00714A7E"/>
    <w:rsid w:val="00714D8F"/>
    <w:rsid w:val="00714F50"/>
    <w:rsid w:val="007151E0"/>
    <w:rsid w:val="0071528E"/>
    <w:rsid w:val="007152B9"/>
    <w:rsid w:val="00715432"/>
    <w:rsid w:val="0071598C"/>
    <w:rsid w:val="00715C35"/>
    <w:rsid w:val="00715EBA"/>
    <w:rsid w:val="00715F19"/>
    <w:rsid w:val="00715F71"/>
    <w:rsid w:val="007162D1"/>
    <w:rsid w:val="00716417"/>
    <w:rsid w:val="0071668D"/>
    <w:rsid w:val="0071677F"/>
    <w:rsid w:val="00716820"/>
    <w:rsid w:val="00716852"/>
    <w:rsid w:val="007168A8"/>
    <w:rsid w:val="00716B86"/>
    <w:rsid w:val="00716FC3"/>
    <w:rsid w:val="00717009"/>
    <w:rsid w:val="007171DC"/>
    <w:rsid w:val="00717228"/>
    <w:rsid w:val="007172DA"/>
    <w:rsid w:val="00717457"/>
    <w:rsid w:val="00717888"/>
    <w:rsid w:val="007178E6"/>
    <w:rsid w:val="007179CC"/>
    <w:rsid w:val="00717A07"/>
    <w:rsid w:val="00717B76"/>
    <w:rsid w:val="00717B81"/>
    <w:rsid w:val="00717B84"/>
    <w:rsid w:val="00717C18"/>
    <w:rsid w:val="00717C98"/>
    <w:rsid w:val="00717D95"/>
    <w:rsid w:val="00717FB4"/>
    <w:rsid w:val="00720056"/>
    <w:rsid w:val="007201D8"/>
    <w:rsid w:val="007202FC"/>
    <w:rsid w:val="00720396"/>
    <w:rsid w:val="007203C8"/>
    <w:rsid w:val="0072051F"/>
    <w:rsid w:val="007206D1"/>
    <w:rsid w:val="007209BA"/>
    <w:rsid w:val="00720AD3"/>
    <w:rsid w:val="00720B22"/>
    <w:rsid w:val="00720D74"/>
    <w:rsid w:val="00720EA8"/>
    <w:rsid w:val="00720F10"/>
    <w:rsid w:val="00721488"/>
    <w:rsid w:val="007214DE"/>
    <w:rsid w:val="00721830"/>
    <w:rsid w:val="007219CA"/>
    <w:rsid w:val="00721DEA"/>
    <w:rsid w:val="00721EF4"/>
    <w:rsid w:val="00721FD8"/>
    <w:rsid w:val="00722000"/>
    <w:rsid w:val="00722153"/>
    <w:rsid w:val="0072243A"/>
    <w:rsid w:val="007224A4"/>
    <w:rsid w:val="0072263D"/>
    <w:rsid w:val="00722734"/>
    <w:rsid w:val="00722798"/>
    <w:rsid w:val="0072293B"/>
    <w:rsid w:val="007229A5"/>
    <w:rsid w:val="00722A4B"/>
    <w:rsid w:val="00722AB5"/>
    <w:rsid w:val="00722AE1"/>
    <w:rsid w:val="00722C5C"/>
    <w:rsid w:val="00722D5B"/>
    <w:rsid w:val="00722E43"/>
    <w:rsid w:val="00722E6F"/>
    <w:rsid w:val="00722FCC"/>
    <w:rsid w:val="007230EF"/>
    <w:rsid w:val="007231B6"/>
    <w:rsid w:val="00723327"/>
    <w:rsid w:val="007235C6"/>
    <w:rsid w:val="007236B5"/>
    <w:rsid w:val="007237FD"/>
    <w:rsid w:val="00723C52"/>
    <w:rsid w:val="00723DE0"/>
    <w:rsid w:val="00723F44"/>
    <w:rsid w:val="007240E2"/>
    <w:rsid w:val="0072412B"/>
    <w:rsid w:val="00724292"/>
    <w:rsid w:val="00724303"/>
    <w:rsid w:val="007243F4"/>
    <w:rsid w:val="007246DF"/>
    <w:rsid w:val="0072489C"/>
    <w:rsid w:val="00724BA9"/>
    <w:rsid w:val="00724E3F"/>
    <w:rsid w:val="00725013"/>
    <w:rsid w:val="0072502A"/>
    <w:rsid w:val="00725051"/>
    <w:rsid w:val="00725183"/>
    <w:rsid w:val="00725603"/>
    <w:rsid w:val="007256FD"/>
    <w:rsid w:val="007257B9"/>
    <w:rsid w:val="00725940"/>
    <w:rsid w:val="00725C00"/>
    <w:rsid w:val="00725EF4"/>
    <w:rsid w:val="00725FC2"/>
    <w:rsid w:val="0072615B"/>
    <w:rsid w:val="007261C3"/>
    <w:rsid w:val="00726254"/>
    <w:rsid w:val="00726472"/>
    <w:rsid w:val="007264C5"/>
    <w:rsid w:val="0072688F"/>
    <w:rsid w:val="007268BE"/>
    <w:rsid w:val="0072698F"/>
    <w:rsid w:val="00726A84"/>
    <w:rsid w:val="00726B17"/>
    <w:rsid w:val="00726B60"/>
    <w:rsid w:val="00726FB8"/>
    <w:rsid w:val="0072759A"/>
    <w:rsid w:val="00727A64"/>
    <w:rsid w:val="00727BEF"/>
    <w:rsid w:val="00727FDE"/>
    <w:rsid w:val="0073009A"/>
    <w:rsid w:val="007302E8"/>
    <w:rsid w:val="007303FA"/>
    <w:rsid w:val="0073046F"/>
    <w:rsid w:val="007306E0"/>
    <w:rsid w:val="0073097C"/>
    <w:rsid w:val="00730CE4"/>
    <w:rsid w:val="00730CF0"/>
    <w:rsid w:val="00730D72"/>
    <w:rsid w:val="00730F1D"/>
    <w:rsid w:val="007310E5"/>
    <w:rsid w:val="00731141"/>
    <w:rsid w:val="007312BF"/>
    <w:rsid w:val="0073146A"/>
    <w:rsid w:val="00731615"/>
    <w:rsid w:val="00731804"/>
    <w:rsid w:val="00731961"/>
    <w:rsid w:val="00731AB5"/>
    <w:rsid w:val="00731B01"/>
    <w:rsid w:val="00731DEF"/>
    <w:rsid w:val="00731E8A"/>
    <w:rsid w:val="00731F7B"/>
    <w:rsid w:val="007322E7"/>
    <w:rsid w:val="00732366"/>
    <w:rsid w:val="007324AF"/>
    <w:rsid w:val="007325BF"/>
    <w:rsid w:val="0073290E"/>
    <w:rsid w:val="007329B3"/>
    <w:rsid w:val="00732C9D"/>
    <w:rsid w:val="00732FB8"/>
    <w:rsid w:val="00732FC4"/>
    <w:rsid w:val="007332D6"/>
    <w:rsid w:val="00733331"/>
    <w:rsid w:val="0073354E"/>
    <w:rsid w:val="00733850"/>
    <w:rsid w:val="00733935"/>
    <w:rsid w:val="00733AB4"/>
    <w:rsid w:val="00733AC6"/>
    <w:rsid w:val="00733B73"/>
    <w:rsid w:val="00733DB8"/>
    <w:rsid w:val="00733E0A"/>
    <w:rsid w:val="00733E82"/>
    <w:rsid w:val="00734255"/>
    <w:rsid w:val="0073427B"/>
    <w:rsid w:val="0073428D"/>
    <w:rsid w:val="0073432A"/>
    <w:rsid w:val="007345FC"/>
    <w:rsid w:val="00734737"/>
    <w:rsid w:val="007347C7"/>
    <w:rsid w:val="0073486A"/>
    <w:rsid w:val="007348CB"/>
    <w:rsid w:val="00734B08"/>
    <w:rsid w:val="00734B12"/>
    <w:rsid w:val="00734B8A"/>
    <w:rsid w:val="00734CD1"/>
    <w:rsid w:val="00734E55"/>
    <w:rsid w:val="00734E80"/>
    <w:rsid w:val="00734F08"/>
    <w:rsid w:val="00735265"/>
    <w:rsid w:val="007355DD"/>
    <w:rsid w:val="007357E2"/>
    <w:rsid w:val="0073595C"/>
    <w:rsid w:val="00735B4E"/>
    <w:rsid w:val="00735E29"/>
    <w:rsid w:val="00736134"/>
    <w:rsid w:val="0073618F"/>
    <w:rsid w:val="007361C9"/>
    <w:rsid w:val="007361DC"/>
    <w:rsid w:val="007361F2"/>
    <w:rsid w:val="007364EF"/>
    <w:rsid w:val="007364F3"/>
    <w:rsid w:val="00736518"/>
    <w:rsid w:val="00736637"/>
    <w:rsid w:val="00736852"/>
    <w:rsid w:val="00736888"/>
    <w:rsid w:val="0073691B"/>
    <w:rsid w:val="00736934"/>
    <w:rsid w:val="00736A1B"/>
    <w:rsid w:val="00736A81"/>
    <w:rsid w:val="00736C08"/>
    <w:rsid w:val="00736C11"/>
    <w:rsid w:val="0073709C"/>
    <w:rsid w:val="007370C9"/>
    <w:rsid w:val="00737251"/>
    <w:rsid w:val="007372CB"/>
    <w:rsid w:val="0073735F"/>
    <w:rsid w:val="0073743B"/>
    <w:rsid w:val="00737515"/>
    <w:rsid w:val="007379A8"/>
    <w:rsid w:val="00737A24"/>
    <w:rsid w:val="00737A2B"/>
    <w:rsid w:val="00737C2F"/>
    <w:rsid w:val="00737EFD"/>
    <w:rsid w:val="00737F88"/>
    <w:rsid w:val="00737FFC"/>
    <w:rsid w:val="007401C7"/>
    <w:rsid w:val="007401DB"/>
    <w:rsid w:val="00740206"/>
    <w:rsid w:val="00740322"/>
    <w:rsid w:val="007403D8"/>
    <w:rsid w:val="0074055F"/>
    <w:rsid w:val="00740562"/>
    <w:rsid w:val="00740617"/>
    <w:rsid w:val="00740735"/>
    <w:rsid w:val="007408A0"/>
    <w:rsid w:val="00740BCB"/>
    <w:rsid w:val="00740BE0"/>
    <w:rsid w:val="00740BE8"/>
    <w:rsid w:val="00740E0A"/>
    <w:rsid w:val="00741178"/>
    <w:rsid w:val="007411FF"/>
    <w:rsid w:val="007415C1"/>
    <w:rsid w:val="007415EB"/>
    <w:rsid w:val="00741875"/>
    <w:rsid w:val="00741C38"/>
    <w:rsid w:val="00741D4E"/>
    <w:rsid w:val="00741D8B"/>
    <w:rsid w:val="00741DE7"/>
    <w:rsid w:val="007422F8"/>
    <w:rsid w:val="0074242E"/>
    <w:rsid w:val="007424F8"/>
    <w:rsid w:val="007427D3"/>
    <w:rsid w:val="007428AD"/>
    <w:rsid w:val="00742AB6"/>
    <w:rsid w:val="00742C22"/>
    <w:rsid w:val="00742D9B"/>
    <w:rsid w:val="00742E9C"/>
    <w:rsid w:val="00742FD9"/>
    <w:rsid w:val="00742FEE"/>
    <w:rsid w:val="007430B4"/>
    <w:rsid w:val="00743105"/>
    <w:rsid w:val="00743175"/>
    <w:rsid w:val="00743384"/>
    <w:rsid w:val="00743437"/>
    <w:rsid w:val="007434B4"/>
    <w:rsid w:val="007436C7"/>
    <w:rsid w:val="0074388B"/>
    <w:rsid w:val="00743919"/>
    <w:rsid w:val="007439EC"/>
    <w:rsid w:val="00743B3F"/>
    <w:rsid w:val="00743B5B"/>
    <w:rsid w:val="00743C14"/>
    <w:rsid w:val="00743EFC"/>
    <w:rsid w:val="00743FCC"/>
    <w:rsid w:val="007443A5"/>
    <w:rsid w:val="0074482C"/>
    <w:rsid w:val="007448C1"/>
    <w:rsid w:val="007449DF"/>
    <w:rsid w:val="00744CD3"/>
    <w:rsid w:val="00744D16"/>
    <w:rsid w:val="00744FCF"/>
    <w:rsid w:val="0074521E"/>
    <w:rsid w:val="007453D3"/>
    <w:rsid w:val="0074547C"/>
    <w:rsid w:val="00745710"/>
    <w:rsid w:val="00745981"/>
    <w:rsid w:val="00745C22"/>
    <w:rsid w:val="00745CBB"/>
    <w:rsid w:val="00745D7D"/>
    <w:rsid w:val="00745E1B"/>
    <w:rsid w:val="00745F8C"/>
    <w:rsid w:val="0074612E"/>
    <w:rsid w:val="007462C9"/>
    <w:rsid w:val="00746374"/>
    <w:rsid w:val="00746646"/>
    <w:rsid w:val="00746B77"/>
    <w:rsid w:val="00746BD7"/>
    <w:rsid w:val="00746C3B"/>
    <w:rsid w:val="00746C4D"/>
    <w:rsid w:val="00746D6B"/>
    <w:rsid w:val="00746FAF"/>
    <w:rsid w:val="007470A6"/>
    <w:rsid w:val="0074717E"/>
    <w:rsid w:val="00747357"/>
    <w:rsid w:val="00747509"/>
    <w:rsid w:val="00747772"/>
    <w:rsid w:val="007477AD"/>
    <w:rsid w:val="00747AE8"/>
    <w:rsid w:val="00747B91"/>
    <w:rsid w:val="00747BC7"/>
    <w:rsid w:val="00747EBE"/>
    <w:rsid w:val="00747F0E"/>
    <w:rsid w:val="00750264"/>
    <w:rsid w:val="007505BD"/>
    <w:rsid w:val="00750740"/>
    <w:rsid w:val="0075088C"/>
    <w:rsid w:val="00750908"/>
    <w:rsid w:val="00750A9B"/>
    <w:rsid w:val="00750EB1"/>
    <w:rsid w:val="00750ED3"/>
    <w:rsid w:val="00750F68"/>
    <w:rsid w:val="00750FB2"/>
    <w:rsid w:val="00750FC4"/>
    <w:rsid w:val="00751148"/>
    <w:rsid w:val="0075114D"/>
    <w:rsid w:val="0075139F"/>
    <w:rsid w:val="00751609"/>
    <w:rsid w:val="007516F2"/>
    <w:rsid w:val="00751902"/>
    <w:rsid w:val="0075190A"/>
    <w:rsid w:val="00751D4C"/>
    <w:rsid w:val="00751D71"/>
    <w:rsid w:val="00751E45"/>
    <w:rsid w:val="00751E7E"/>
    <w:rsid w:val="00751EAA"/>
    <w:rsid w:val="00751FED"/>
    <w:rsid w:val="007520E1"/>
    <w:rsid w:val="00752261"/>
    <w:rsid w:val="00752317"/>
    <w:rsid w:val="007523C1"/>
    <w:rsid w:val="007524F9"/>
    <w:rsid w:val="007527CD"/>
    <w:rsid w:val="00752930"/>
    <w:rsid w:val="0075295C"/>
    <w:rsid w:val="00752B6F"/>
    <w:rsid w:val="00752B85"/>
    <w:rsid w:val="00752C42"/>
    <w:rsid w:val="00752C89"/>
    <w:rsid w:val="00752D53"/>
    <w:rsid w:val="00752D65"/>
    <w:rsid w:val="00752E81"/>
    <w:rsid w:val="00753056"/>
    <w:rsid w:val="0075307C"/>
    <w:rsid w:val="007530F2"/>
    <w:rsid w:val="007530F6"/>
    <w:rsid w:val="00753132"/>
    <w:rsid w:val="007536A2"/>
    <w:rsid w:val="00753711"/>
    <w:rsid w:val="007538E5"/>
    <w:rsid w:val="007539A4"/>
    <w:rsid w:val="007539DD"/>
    <w:rsid w:val="00753A0F"/>
    <w:rsid w:val="00753A89"/>
    <w:rsid w:val="00753B6E"/>
    <w:rsid w:val="00753DFA"/>
    <w:rsid w:val="00754155"/>
    <w:rsid w:val="0075416E"/>
    <w:rsid w:val="0075442D"/>
    <w:rsid w:val="00754512"/>
    <w:rsid w:val="007545EF"/>
    <w:rsid w:val="007546F3"/>
    <w:rsid w:val="00754943"/>
    <w:rsid w:val="00755060"/>
    <w:rsid w:val="0075508F"/>
    <w:rsid w:val="00755160"/>
    <w:rsid w:val="0075519C"/>
    <w:rsid w:val="007551BA"/>
    <w:rsid w:val="007555F6"/>
    <w:rsid w:val="00755760"/>
    <w:rsid w:val="007557D9"/>
    <w:rsid w:val="00755CD1"/>
    <w:rsid w:val="00755CF1"/>
    <w:rsid w:val="00756018"/>
    <w:rsid w:val="00756202"/>
    <w:rsid w:val="007562F1"/>
    <w:rsid w:val="00756859"/>
    <w:rsid w:val="00756D6F"/>
    <w:rsid w:val="00757125"/>
    <w:rsid w:val="0075743E"/>
    <w:rsid w:val="00757608"/>
    <w:rsid w:val="0076007D"/>
    <w:rsid w:val="00760153"/>
    <w:rsid w:val="0076025B"/>
    <w:rsid w:val="00760275"/>
    <w:rsid w:val="00760464"/>
    <w:rsid w:val="00760478"/>
    <w:rsid w:val="007604D0"/>
    <w:rsid w:val="007606B2"/>
    <w:rsid w:val="0076077E"/>
    <w:rsid w:val="007607DF"/>
    <w:rsid w:val="00760BD7"/>
    <w:rsid w:val="00760CCD"/>
    <w:rsid w:val="00760D0A"/>
    <w:rsid w:val="00760EF2"/>
    <w:rsid w:val="00760EFD"/>
    <w:rsid w:val="00760F4E"/>
    <w:rsid w:val="007612DF"/>
    <w:rsid w:val="0076133A"/>
    <w:rsid w:val="0076154D"/>
    <w:rsid w:val="0076158F"/>
    <w:rsid w:val="00761937"/>
    <w:rsid w:val="007619BA"/>
    <w:rsid w:val="00761BB1"/>
    <w:rsid w:val="00761BD1"/>
    <w:rsid w:val="00761E3D"/>
    <w:rsid w:val="00761EF5"/>
    <w:rsid w:val="00762066"/>
    <w:rsid w:val="00762421"/>
    <w:rsid w:val="00762632"/>
    <w:rsid w:val="007626E8"/>
    <w:rsid w:val="00762853"/>
    <w:rsid w:val="00762925"/>
    <w:rsid w:val="00762937"/>
    <w:rsid w:val="00762A85"/>
    <w:rsid w:val="00762B09"/>
    <w:rsid w:val="00762CDE"/>
    <w:rsid w:val="00762DBD"/>
    <w:rsid w:val="00762E04"/>
    <w:rsid w:val="00762F78"/>
    <w:rsid w:val="00763255"/>
    <w:rsid w:val="00763475"/>
    <w:rsid w:val="007634C9"/>
    <w:rsid w:val="00763849"/>
    <w:rsid w:val="00763932"/>
    <w:rsid w:val="00763A87"/>
    <w:rsid w:val="00763B86"/>
    <w:rsid w:val="00763DE3"/>
    <w:rsid w:val="00763F7F"/>
    <w:rsid w:val="00763F93"/>
    <w:rsid w:val="00764055"/>
    <w:rsid w:val="0076406B"/>
    <w:rsid w:val="007641C7"/>
    <w:rsid w:val="00764226"/>
    <w:rsid w:val="0076445B"/>
    <w:rsid w:val="00764ECA"/>
    <w:rsid w:val="0076511B"/>
    <w:rsid w:val="00765129"/>
    <w:rsid w:val="0076515E"/>
    <w:rsid w:val="007654FC"/>
    <w:rsid w:val="00765554"/>
    <w:rsid w:val="00765760"/>
    <w:rsid w:val="00765A81"/>
    <w:rsid w:val="00765DE8"/>
    <w:rsid w:val="00765FF1"/>
    <w:rsid w:val="007661C5"/>
    <w:rsid w:val="00766711"/>
    <w:rsid w:val="00766910"/>
    <w:rsid w:val="00766AEB"/>
    <w:rsid w:val="00766B81"/>
    <w:rsid w:val="00766BCA"/>
    <w:rsid w:val="00766CDA"/>
    <w:rsid w:val="007670B3"/>
    <w:rsid w:val="007670E7"/>
    <w:rsid w:val="007671DB"/>
    <w:rsid w:val="007671E6"/>
    <w:rsid w:val="00767250"/>
    <w:rsid w:val="007672BF"/>
    <w:rsid w:val="007673DB"/>
    <w:rsid w:val="00767590"/>
    <w:rsid w:val="0076760E"/>
    <w:rsid w:val="0076767E"/>
    <w:rsid w:val="007676C9"/>
    <w:rsid w:val="00767AEF"/>
    <w:rsid w:val="00767B47"/>
    <w:rsid w:val="00767B72"/>
    <w:rsid w:val="00767C65"/>
    <w:rsid w:val="00767D11"/>
    <w:rsid w:val="00767E19"/>
    <w:rsid w:val="00767E84"/>
    <w:rsid w:val="00767E8F"/>
    <w:rsid w:val="00767F1C"/>
    <w:rsid w:val="0077023E"/>
    <w:rsid w:val="007703D5"/>
    <w:rsid w:val="007703DB"/>
    <w:rsid w:val="007704A9"/>
    <w:rsid w:val="00770599"/>
    <w:rsid w:val="00770655"/>
    <w:rsid w:val="0077077E"/>
    <w:rsid w:val="00770A34"/>
    <w:rsid w:val="00770A3C"/>
    <w:rsid w:val="00770B0A"/>
    <w:rsid w:val="00770B4A"/>
    <w:rsid w:val="00770C7A"/>
    <w:rsid w:val="00770C80"/>
    <w:rsid w:val="00770E1D"/>
    <w:rsid w:val="007714BE"/>
    <w:rsid w:val="00771501"/>
    <w:rsid w:val="00771536"/>
    <w:rsid w:val="0077174C"/>
    <w:rsid w:val="00771BFB"/>
    <w:rsid w:val="00771C5B"/>
    <w:rsid w:val="00771CBC"/>
    <w:rsid w:val="0077209F"/>
    <w:rsid w:val="007727D6"/>
    <w:rsid w:val="00772848"/>
    <w:rsid w:val="00772A9F"/>
    <w:rsid w:val="00772C9E"/>
    <w:rsid w:val="00772FA4"/>
    <w:rsid w:val="007730D6"/>
    <w:rsid w:val="007731DF"/>
    <w:rsid w:val="0077323A"/>
    <w:rsid w:val="007732A2"/>
    <w:rsid w:val="00773382"/>
    <w:rsid w:val="007737CA"/>
    <w:rsid w:val="007739D6"/>
    <w:rsid w:val="00773A7D"/>
    <w:rsid w:val="00773C19"/>
    <w:rsid w:val="00773CDA"/>
    <w:rsid w:val="00773E24"/>
    <w:rsid w:val="0077423A"/>
    <w:rsid w:val="0077425F"/>
    <w:rsid w:val="00774622"/>
    <w:rsid w:val="00774680"/>
    <w:rsid w:val="00774A2B"/>
    <w:rsid w:val="00774B63"/>
    <w:rsid w:val="00774FD3"/>
    <w:rsid w:val="00775124"/>
    <w:rsid w:val="00775221"/>
    <w:rsid w:val="00775329"/>
    <w:rsid w:val="0077583F"/>
    <w:rsid w:val="00775CBE"/>
    <w:rsid w:val="007761A7"/>
    <w:rsid w:val="007761C6"/>
    <w:rsid w:val="00776554"/>
    <w:rsid w:val="00776566"/>
    <w:rsid w:val="007767B1"/>
    <w:rsid w:val="0077686A"/>
    <w:rsid w:val="00776A9A"/>
    <w:rsid w:val="00776AF4"/>
    <w:rsid w:val="00776DD1"/>
    <w:rsid w:val="00777130"/>
    <w:rsid w:val="00777212"/>
    <w:rsid w:val="00777372"/>
    <w:rsid w:val="0077751E"/>
    <w:rsid w:val="007775C4"/>
    <w:rsid w:val="007775F0"/>
    <w:rsid w:val="0077788D"/>
    <w:rsid w:val="00777BDD"/>
    <w:rsid w:val="00777DCA"/>
    <w:rsid w:val="00777EB0"/>
    <w:rsid w:val="00777FD9"/>
    <w:rsid w:val="00780036"/>
    <w:rsid w:val="0078004E"/>
    <w:rsid w:val="007800E9"/>
    <w:rsid w:val="00780123"/>
    <w:rsid w:val="0078058F"/>
    <w:rsid w:val="00780A23"/>
    <w:rsid w:val="00780AB4"/>
    <w:rsid w:val="00780C56"/>
    <w:rsid w:val="00780C8F"/>
    <w:rsid w:val="00780F07"/>
    <w:rsid w:val="00781186"/>
    <w:rsid w:val="007811D7"/>
    <w:rsid w:val="00781361"/>
    <w:rsid w:val="00781448"/>
    <w:rsid w:val="00781892"/>
    <w:rsid w:val="00781B7E"/>
    <w:rsid w:val="00781BCF"/>
    <w:rsid w:val="00781DF3"/>
    <w:rsid w:val="007820FC"/>
    <w:rsid w:val="0078221D"/>
    <w:rsid w:val="0078224F"/>
    <w:rsid w:val="007822C9"/>
    <w:rsid w:val="007823CE"/>
    <w:rsid w:val="00782534"/>
    <w:rsid w:val="00782767"/>
    <w:rsid w:val="00782837"/>
    <w:rsid w:val="00782914"/>
    <w:rsid w:val="00782BDC"/>
    <w:rsid w:val="00782C9B"/>
    <w:rsid w:val="00782D41"/>
    <w:rsid w:val="007831C2"/>
    <w:rsid w:val="00783252"/>
    <w:rsid w:val="00783573"/>
    <w:rsid w:val="007835D1"/>
    <w:rsid w:val="00783673"/>
    <w:rsid w:val="00783B14"/>
    <w:rsid w:val="00783C35"/>
    <w:rsid w:val="00783CE7"/>
    <w:rsid w:val="00783D10"/>
    <w:rsid w:val="00783E69"/>
    <w:rsid w:val="00783F1D"/>
    <w:rsid w:val="0078411C"/>
    <w:rsid w:val="00784234"/>
    <w:rsid w:val="007842AA"/>
    <w:rsid w:val="007845E2"/>
    <w:rsid w:val="007847E0"/>
    <w:rsid w:val="0078497C"/>
    <w:rsid w:val="00784A3E"/>
    <w:rsid w:val="00784CD0"/>
    <w:rsid w:val="00784CDF"/>
    <w:rsid w:val="00784D6A"/>
    <w:rsid w:val="00785288"/>
    <w:rsid w:val="007859B4"/>
    <w:rsid w:val="00785CE0"/>
    <w:rsid w:val="00785FA9"/>
    <w:rsid w:val="00786047"/>
    <w:rsid w:val="0078611D"/>
    <w:rsid w:val="007861B1"/>
    <w:rsid w:val="007861E7"/>
    <w:rsid w:val="00786287"/>
    <w:rsid w:val="007862F3"/>
    <w:rsid w:val="007863A8"/>
    <w:rsid w:val="00786634"/>
    <w:rsid w:val="00786768"/>
    <w:rsid w:val="00786782"/>
    <w:rsid w:val="00786900"/>
    <w:rsid w:val="0078694B"/>
    <w:rsid w:val="007869D6"/>
    <w:rsid w:val="00786A23"/>
    <w:rsid w:val="00786DD0"/>
    <w:rsid w:val="00786FE9"/>
    <w:rsid w:val="007870B0"/>
    <w:rsid w:val="0078717A"/>
    <w:rsid w:val="007872B9"/>
    <w:rsid w:val="0078756F"/>
    <w:rsid w:val="00787573"/>
    <w:rsid w:val="007876CB"/>
    <w:rsid w:val="007877C5"/>
    <w:rsid w:val="007877F7"/>
    <w:rsid w:val="00787984"/>
    <w:rsid w:val="00787AA9"/>
    <w:rsid w:val="00790569"/>
    <w:rsid w:val="007907C6"/>
    <w:rsid w:val="0079098F"/>
    <w:rsid w:val="00790C41"/>
    <w:rsid w:val="00790D57"/>
    <w:rsid w:val="00790F4F"/>
    <w:rsid w:val="0079102B"/>
    <w:rsid w:val="00791356"/>
    <w:rsid w:val="00791396"/>
    <w:rsid w:val="00791501"/>
    <w:rsid w:val="00791504"/>
    <w:rsid w:val="00791642"/>
    <w:rsid w:val="0079167C"/>
    <w:rsid w:val="00791688"/>
    <w:rsid w:val="007918EF"/>
    <w:rsid w:val="00791A11"/>
    <w:rsid w:val="00791E29"/>
    <w:rsid w:val="00791F36"/>
    <w:rsid w:val="00791F77"/>
    <w:rsid w:val="00792031"/>
    <w:rsid w:val="007920F7"/>
    <w:rsid w:val="007921DC"/>
    <w:rsid w:val="00792362"/>
    <w:rsid w:val="0079237B"/>
    <w:rsid w:val="00792566"/>
    <w:rsid w:val="0079277E"/>
    <w:rsid w:val="00792820"/>
    <w:rsid w:val="00792893"/>
    <w:rsid w:val="007929E3"/>
    <w:rsid w:val="00792A6F"/>
    <w:rsid w:val="00792A91"/>
    <w:rsid w:val="00792B54"/>
    <w:rsid w:val="00792D37"/>
    <w:rsid w:val="00792D43"/>
    <w:rsid w:val="00792EF6"/>
    <w:rsid w:val="007933D1"/>
    <w:rsid w:val="007933F0"/>
    <w:rsid w:val="00793654"/>
    <w:rsid w:val="007936CF"/>
    <w:rsid w:val="007936D7"/>
    <w:rsid w:val="00793768"/>
    <w:rsid w:val="00793933"/>
    <w:rsid w:val="00793A06"/>
    <w:rsid w:val="00793CAE"/>
    <w:rsid w:val="00793D9E"/>
    <w:rsid w:val="00793E5C"/>
    <w:rsid w:val="007941B1"/>
    <w:rsid w:val="007943C1"/>
    <w:rsid w:val="00794517"/>
    <w:rsid w:val="00794884"/>
    <w:rsid w:val="00794A8B"/>
    <w:rsid w:val="00794B21"/>
    <w:rsid w:val="00794D68"/>
    <w:rsid w:val="00794E93"/>
    <w:rsid w:val="00795236"/>
    <w:rsid w:val="007953CF"/>
    <w:rsid w:val="0079547E"/>
    <w:rsid w:val="007955A8"/>
    <w:rsid w:val="007956C9"/>
    <w:rsid w:val="00795774"/>
    <w:rsid w:val="0079593E"/>
    <w:rsid w:val="00795A86"/>
    <w:rsid w:val="00795F19"/>
    <w:rsid w:val="00795F46"/>
    <w:rsid w:val="0079632D"/>
    <w:rsid w:val="007964C0"/>
    <w:rsid w:val="00796AC2"/>
    <w:rsid w:val="00796D2A"/>
    <w:rsid w:val="00796D8C"/>
    <w:rsid w:val="00796E62"/>
    <w:rsid w:val="00796E6C"/>
    <w:rsid w:val="0079727E"/>
    <w:rsid w:val="0079782A"/>
    <w:rsid w:val="007979A5"/>
    <w:rsid w:val="00797CF1"/>
    <w:rsid w:val="00797E05"/>
    <w:rsid w:val="007A0002"/>
    <w:rsid w:val="007A005D"/>
    <w:rsid w:val="007A0094"/>
    <w:rsid w:val="007A021C"/>
    <w:rsid w:val="007A0392"/>
    <w:rsid w:val="007A03ED"/>
    <w:rsid w:val="007A051A"/>
    <w:rsid w:val="007A05CA"/>
    <w:rsid w:val="007A0731"/>
    <w:rsid w:val="007A09D1"/>
    <w:rsid w:val="007A0AF7"/>
    <w:rsid w:val="007A0D07"/>
    <w:rsid w:val="007A0E18"/>
    <w:rsid w:val="007A0E2D"/>
    <w:rsid w:val="007A0FEC"/>
    <w:rsid w:val="007A1481"/>
    <w:rsid w:val="007A153A"/>
    <w:rsid w:val="007A16B9"/>
    <w:rsid w:val="007A16C6"/>
    <w:rsid w:val="007A17C7"/>
    <w:rsid w:val="007A1A66"/>
    <w:rsid w:val="007A1D26"/>
    <w:rsid w:val="007A1D46"/>
    <w:rsid w:val="007A1D9E"/>
    <w:rsid w:val="007A1DE3"/>
    <w:rsid w:val="007A1E73"/>
    <w:rsid w:val="007A1EEB"/>
    <w:rsid w:val="007A2069"/>
    <w:rsid w:val="007A20A1"/>
    <w:rsid w:val="007A20DE"/>
    <w:rsid w:val="007A21BC"/>
    <w:rsid w:val="007A2244"/>
    <w:rsid w:val="007A22B4"/>
    <w:rsid w:val="007A2720"/>
    <w:rsid w:val="007A2736"/>
    <w:rsid w:val="007A283B"/>
    <w:rsid w:val="007A28E3"/>
    <w:rsid w:val="007A29BE"/>
    <w:rsid w:val="007A2C11"/>
    <w:rsid w:val="007A2C93"/>
    <w:rsid w:val="007A2D3D"/>
    <w:rsid w:val="007A2F89"/>
    <w:rsid w:val="007A311C"/>
    <w:rsid w:val="007A31E8"/>
    <w:rsid w:val="007A31E9"/>
    <w:rsid w:val="007A33A9"/>
    <w:rsid w:val="007A3401"/>
    <w:rsid w:val="007A3415"/>
    <w:rsid w:val="007A342B"/>
    <w:rsid w:val="007A3472"/>
    <w:rsid w:val="007A359D"/>
    <w:rsid w:val="007A3697"/>
    <w:rsid w:val="007A3A32"/>
    <w:rsid w:val="007A3E71"/>
    <w:rsid w:val="007A4155"/>
    <w:rsid w:val="007A43B9"/>
    <w:rsid w:val="007A466B"/>
    <w:rsid w:val="007A4686"/>
    <w:rsid w:val="007A478A"/>
    <w:rsid w:val="007A4880"/>
    <w:rsid w:val="007A48D2"/>
    <w:rsid w:val="007A492A"/>
    <w:rsid w:val="007A49D1"/>
    <w:rsid w:val="007A4AAA"/>
    <w:rsid w:val="007A4F91"/>
    <w:rsid w:val="007A509F"/>
    <w:rsid w:val="007A50D2"/>
    <w:rsid w:val="007A5365"/>
    <w:rsid w:val="007A543D"/>
    <w:rsid w:val="007A54A5"/>
    <w:rsid w:val="007A54C7"/>
    <w:rsid w:val="007A5878"/>
    <w:rsid w:val="007A5880"/>
    <w:rsid w:val="007A5893"/>
    <w:rsid w:val="007A5964"/>
    <w:rsid w:val="007A5975"/>
    <w:rsid w:val="007A59B4"/>
    <w:rsid w:val="007A59CD"/>
    <w:rsid w:val="007A5A1E"/>
    <w:rsid w:val="007A5BA4"/>
    <w:rsid w:val="007A5D95"/>
    <w:rsid w:val="007A5E20"/>
    <w:rsid w:val="007A6426"/>
    <w:rsid w:val="007A649F"/>
    <w:rsid w:val="007A65FE"/>
    <w:rsid w:val="007A6645"/>
    <w:rsid w:val="007A6A14"/>
    <w:rsid w:val="007A6A38"/>
    <w:rsid w:val="007A6A73"/>
    <w:rsid w:val="007A6BA2"/>
    <w:rsid w:val="007A6C10"/>
    <w:rsid w:val="007A70F1"/>
    <w:rsid w:val="007A73C3"/>
    <w:rsid w:val="007A74B9"/>
    <w:rsid w:val="007A783D"/>
    <w:rsid w:val="007A7906"/>
    <w:rsid w:val="007A7957"/>
    <w:rsid w:val="007A7BBA"/>
    <w:rsid w:val="007A7E07"/>
    <w:rsid w:val="007B0134"/>
    <w:rsid w:val="007B0159"/>
    <w:rsid w:val="007B017D"/>
    <w:rsid w:val="007B0446"/>
    <w:rsid w:val="007B0647"/>
    <w:rsid w:val="007B06BC"/>
    <w:rsid w:val="007B082E"/>
    <w:rsid w:val="007B091A"/>
    <w:rsid w:val="007B0D75"/>
    <w:rsid w:val="007B0DCF"/>
    <w:rsid w:val="007B0E21"/>
    <w:rsid w:val="007B0E25"/>
    <w:rsid w:val="007B0E89"/>
    <w:rsid w:val="007B14CC"/>
    <w:rsid w:val="007B186D"/>
    <w:rsid w:val="007B18A1"/>
    <w:rsid w:val="007B1987"/>
    <w:rsid w:val="007B1C99"/>
    <w:rsid w:val="007B1D60"/>
    <w:rsid w:val="007B1E2F"/>
    <w:rsid w:val="007B1E89"/>
    <w:rsid w:val="007B2141"/>
    <w:rsid w:val="007B223C"/>
    <w:rsid w:val="007B22A4"/>
    <w:rsid w:val="007B2374"/>
    <w:rsid w:val="007B2397"/>
    <w:rsid w:val="007B23B8"/>
    <w:rsid w:val="007B256D"/>
    <w:rsid w:val="007B26EE"/>
    <w:rsid w:val="007B270C"/>
    <w:rsid w:val="007B29C2"/>
    <w:rsid w:val="007B2B68"/>
    <w:rsid w:val="007B2C76"/>
    <w:rsid w:val="007B2F30"/>
    <w:rsid w:val="007B313E"/>
    <w:rsid w:val="007B316C"/>
    <w:rsid w:val="007B370E"/>
    <w:rsid w:val="007B3E37"/>
    <w:rsid w:val="007B3E9C"/>
    <w:rsid w:val="007B4063"/>
    <w:rsid w:val="007B4568"/>
    <w:rsid w:val="007B47A5"/>
    <w:rsid w:val="007B4812"/>
    <w:rsid w:val="007B4A1A"/>
    <w:rsid w:val="007B4B9C"/>
    <w:rsid w:val="007B4CF8"/>
    <w:rsid w:val="007B4DA4"/>
    <w:rsid w:val="007B4DAB"/>
    <w:rsid w:val="007B4E88"/>
    <w:rsid w:val="007B4EB6"/>
    <w:rsid w:val="007B4F75"/>
    <w:rsid w:val="007B4F91"/>
    <w:rsid w:val="007B5183"/>
    <w:rsid w:val="007B51F6"/>
    <w:rsid w:val="007B54B8"/>
    <w:rsid w:val="007B56BC"/>
    <w:rsid w:val="007B5845"/>
    <w:rsid w:val="007B5A33"/>
    <w:rsid w:val="007B5AD8"/>
    <w:rsid w:val="007B5AE7"/>
    <w:rsid w:val="007B5B08"/>
    <w:rsid w:val="007B5E5C"/>
    <w:rsid w:val="007B5FE8"/>
    <w:rsid w:val="007B6027"/>
    <w:rsid w:val="007B6087"/>
    <w:rsid w:val="007B60E7"/>
    <w:rsid w:val="007B61F5"/>
    <w:rsid w:val="007B65A5"/>
    <w:rsid w:val="007B679F"/>
    <w:rsid w:val="007B6929"/>
    <w:rsid w:val="007B6A30"/>
    <w:rsid w:val="007B6A83"/>
    <w:rsid w:val="007B6B79"/>
    <w:rsid w:val="007B6C68"/>
    <w:rsid w:val="007B6CE8"/>
    <w:rsid w:val="007B6D33"/>
    <w:rsid w:val="007B7100"/>
    <w:rsid w:val="007B7140"/>
    <w:rsid w:val="007B723A"/>
    <w:rsid w:val="007B7672"/>
    <w:rsid w:val="007B772A"/>
    <w:rsid w:val="007B78A0"/>
    <w:rsid w:val="007B79FD"/>
    <w:rsid w:val="007B7A77"/>
    <w:rsid w:val="007B7AB3"/>
    <w:rsid w:val="007C034D"/>
    <w:rsid w:val="007C0396"/>
    <w:rsid w:val="007C0480"/>
    <w:rsid w:val="007C077D"/>
    <w:rsid w:val="007C07E6"/>
    <w:rsid w:val="007C09BA"/>
    <w:rsid w:val="007C0BC3"/>
    <w:rsid w:val="007C0D3F"/>
    <w:rsid w:val="007C0F03"/>
    <w:rsid w:val="007C136F"/>
    <w:rsid w:val="007C14AB"/>
    <w:rsid w:val="007C1692"/>
    <w:rsid w:val="007C1A96"/>
    <w:rsid w:val="007C1C35"/>
    <w:rsid w:val="007C2187"/>
    <w:rsid w:val="007C2417"/>
    <w:rsid w:val="007C26EA"/>
    <w:rsid w:val="007C2781"/>
    <w:rsid w:val="007C27C6"/>
    <w:rsid w:val="007C28B1"/>
    <w:rsid w:val="007C29DF"/>
    <w:rsid w:val="007C2A33"/>
    <w:rsid w:val="007C2A6E"/>
    <w:rsid w:val="007C2B74"/>
    <w:rsid w:val="007C2BDE"/>
    <w:rsid w:val="007C2D26"/>
    <w:rsid w:val="007C2D99"/>
    <w:rsid w:val="007C2DED"/>
    <w:rsid w:val="007C2E6A"/>
    <w:rsid w:val="007C2F41"/>
    <w:rsid w:val="007C2F8E"/>
    <w:rsid w:val="007C305C"/>
    <w:rsid w:val="007C3076"/>
    <w:rsid w:val="007C3145"/>
    <w:rsid w:val="007C3189"/>
    <w:rsid w:val="007C33AD"/>
    <w:rsid w:val="007C3424"/>
    <w:rsid w:val="007C37B5"/>
    <w:rsid w:val="007C3A53"/>
    <w:rsid w:val="007C3AAA"/>
    <w:rsid w:val="007C3EFD"/>
    <w:rsid w:val="007C3F4B"/>
    <w:rsid w:val="007C3FE3"/>
    <w:rsid w:val="007C407B"/>
    <w:rsid w:val="007C407E"/>
    <w:rsid w:val="007C40D5"/>
    <w:rsid w:val="007C4171"/>
    <w:rsid w:val="007C41F3"/>
    <w:rsid w:val="007C4495"/>
    <w:rsid w:val="007C47FD"/>
    <w:rsid w:val="007C4A9F"/>
    <w:rsid w:val="007C54EF"/>
    <w:rsid w:val="007C578A"/>
    <w:rsid w:val="007C5897"/>
    <w:rsid w:val="007C5DB9"/>
    <w:rsid w:val="007C614F"/>
    <w:rsid w:val="007C634D"/>
    <w:rsid w:val="007C655F"/>
    <w:rsid w:val="007C67B4"/>
    <w:rsid w:val="007C6822"/>
    <w:rsid w:val="007C69BC"/>
    <w:rsid w:val="007C6B9C"/>
    <w:rsid w:val="007C6F8C"/>
    <w:rsid w:val="007C7068"/>
    <w:rsid w:val="007C70AD"/>
    <w:rsid w:val="007C7296"/>
    <w:rsid w:val="007C7395"/>
    <w:rsid w:val="007C739D"/>
    <w:rsid w:val="007C7586"/>
    <w:rsid w:val="007C758D"/>
    <w:rsid w:val="007C7652"/>
    <w:rsid w:val="007C77D1"/>
    <w:rsid w:val="007C7BCA"/>
    <w:rsid w:val="007C7C3C"/>
    <w:rsid w:val="007C7CEC"/>
    <w:rsid w:val="007C7DC0"/>
    <w:rsid w:val="007C7EAC"/>
    <w:rsid w:val="007C7F36"/>
    <w:rsid w:val="007C7FB1"/>
    <w:rsid w:val="007D0062"/>
    <w:rsid w:val="007D0642"/>
    <w:rsid w:val="007D0726"/>
    <w:rsid w:val="007D07CB"/>
    <w:rsid w:val="007D0821"/>
    <w:rsid w:val="007D0878"/>
    <w:rsid w:val="007D0883"/>
    <w:rsid w:val="007D0F3F"/>
    <w:rsid w:val="007D1089"/>
    <w:rsid w:val="007D1248"/>
    <w:rsid w:val="007D138F"/>
    <w:rsid w:val="007D146D"/>
    <w:rsid w:val="007D183F"/>
    <w:rsid w:val="007D18ED"/>
    <w:rsid w:val="007D1A85"/>
    <w:rsid w:val="007D1B67"/>
    <w:rsid w:val="007D1C21"/>
    <w:rsid w:val="007D1ED1"/>
    <w:rsid w:val="007D1F03"/>
    <w:rsid w:val="007D2147"/>
    <w:rsid w:val="007D221A"/>
    <w:rsid w:val="007D2714"/>
    <w:rsid w:val="007D27BE"/>
    <w:rsid w:val="007D2816"/>
    <w:rsid w:val="007D2C92"/>
    <w:rsid w:val="007D2C9E"/>
    <w:rsid w:val="007D2E8D"/>
    <w:rsid w:val="007D2F65"/>
    <w:rsid w:val="007D3002"/>
    <w:rsid w:val="007D332D"/>
    <w:rsid w:val="007D33BC"/>
    <w:rsid w:val="007D34CB"/>
    <w:rsid w:val="007D377D"/>
    <w:rsid w:val="007D37A7"/>
    <w:rsid w:val="007D37EE"/>
    <w:rsid w:val="007D39A0"/>
    <w:rsid w:val="007D3BDD"/>
    <w:rsid w:val="007D3E06"/>
    <w:rsid w:val="007D3E36"/>
    <w:rsid w:val="007D3E3F"/>
    <w:rsid w:val="007D3F01"/>
    <w:rsid w:val="007D3F0B"/>
    <w:rsid w:val="007D3FBD"/>
    <w:rsid w:val="007D41CA"/>
    <w:rsid w:val="007D42E5"/>
    <w:rsid w:val="007D4582"/>
    <w:rsid w:val="007D4806"/>
    <w:rsid w:val="007D4C2E"/>
    <w:rsid w:val="007D4DB2"/>
    <w:rsid w:val="007D4EA6"/>
    <w:rsid w:val="007D4EE3"/>
    <w:rsid w:val="007D57A4"/>
    <w:rsid w:val="007D58D2"/>
    <w:rsid w:val="007D5A6E"/>
    <w:rsid w:val="007D5AC3"/>
    <w:rsid w:val="007D5B8E"/>
    <w:rsid w:val="007D5BF3"/>
    <w:rsid w:val="007D6071"/>
    <w:rsid w:val="007D6078"/>
    <w:rsid w:val="007D6308"/>
    <w:rsid w:val="007D631D"/>
    <w:rsid w:val="007D64AA"/>
    <w:rsid w:val="007D65DF"/>
    <w:rsid w:val="007D66E2"/>
    <w:rsid w:val="007D67B4"/>
    <w:rsid w:val="007D6834"/>
    <w:rsid w:val="007D6857"/>
    <w:rsid w:val="007D6A77"/>
    <w:rsid w:val="007D6A7A"/>
    <w:rsid w:val="007D6B19"/>
    <w:rsid w:val="007D6B94"/>
    <w:rsid w:val="007D6D36"/>
    <w:rsid w:val="007D6FF5"/>
    <w:rsid w:val="007D7083"/>
    <w:rsid w:val="007D71C6"/>
    <w:rsid w:val="007D71D3"/>
    <w:rsid w:val="007D7365"/>
    <w:rsid w:val="007D7497"/>
    <w:rsid w:val="007D7514"/>
    <w:rsid w:val="007D7583"/>
    <w:rsid w:val="007D7812"/>
    <w:rsid w:val="007D7CD5"/>
    <w:rsid w:val="007D7CE1"/>
    <w:rsid w:val="007E006A"/>
    <w:rsid w:val="007E013F"/>
    <w:rsid w:val="007E03F1"/>
    <w:rsid w:val="007E069C"/>
    <w:rsid w:val="007E06A6"/>
    <w:rsid w:val="007E085B"/>
    <w:rsid w:val="007E092C"/>
    <w:rsid w:val="007E0CB3"/>
    <w:rsid w:val="007E0CD9"/>
    <w:rsid w:val="007E0E65"/>
    <w:rsid w:val="007E0EBA"/>
    <w:rsid w:val="007E0F5C"/>
    <w:rsid w:val="007E0F70"/>
    <w:rsid w:val="007E101E"/>
    <w:rsid w:val="007E1178"/>
    <w:rsid w:val="007E11A0"/>
    <w:rsid w:val="007E1299"/>
    <w:rsid w:val="007E1494"/>
    <w:rsid w:val="007E1603"/>
    <w:rsid w:val="007E1911"/>
    <w:rsid w:val="007E19BC"/>
    <w:rsid w:val="007E1BF5"/>
    <w:rsid w:val="007E20DA"/>
    <w:rsid w:val="007E2123"/>
    <w:rsid w:val="007E227C"/>
    <w:rsid w:val="007E23C4"/>
    <w:rsid w:val="007E2890"/>
    <w:rsid w:val="007E28E7"/>
    <w:rsid w:val="007E2B3E"/>
    <w:rsid w:val="007E2CDA"/>
    <w:rsid w:val="007E2EB0"/>
    <w:rsid w:val="007E2FA3"/>
    <w:rsid w:val="007E2FFE"/>
    <w:rsid w:val="007E31EE"/>
    <w:rsid w:val="007E3213"/>
    <w:rsid w:val="007E3534"/>
    <w:rsid w:val="007E3691"/>
    <w:rsid w:val="007E376D"/>
    <w:rsid w:val="007E3786"/>
    <w:rsid w:val="007E386E"/>
    <w:rsid w:val="007E3C90"/>
    <w:rsid w:val="007E404E"/>
    <w:rsid w:val="007E406F"/>
    <w:rsid w:val="007E4089"/>
    <w:rsid w:val="007E4383"/>
    <w:rsid w:val="007E48AD"/>
    <w:rsid w:val="007E4EB9"/>
    <w:rsid w:val="007E511B"/>
    <w:rsid w:val="007E520A"/>
    <w:rsid w:val="007E54C1"/>
    <w:rsid w:val="007E575F"/>
    <w:rsid w:val="007E578F"/>
    <w:rsid w:val="007E5796"/>
    <w:rsid w:val="007E5A3F"/>
    <w:rsid w:val="007E5A67"/>
    <w:rsid w:val="007E5B59"/>
    <w:rsid w:val="007E5DE7"/>
    <w:rsid w:val="007E5DF2"/>
    <w:rsid w:val="007E5E22"/>
    <w:rsid w:val="007E5E45"/>
    <w:rsid w:val="007E5F31"/>
    <w:rsid w:val="007E6229"/>
    <w:rsid w:val="007E63D9"/>
    <w:rsid w:val="007E65F6"/>
    <w:rsid w:val="007E6801"/>
    <w:rsid w:val="007E6808"/>
    <w:rsid w:val="007E6875"/>
    <w:rsid w:val="007E6A6E"/>
    <w:rsid w:val="007E6B8E"/>
    <w:rsid w:val="007E6F4E"/>
    <w:rsid w:val="007E7012"/>
    <w:rsid w:val="007E7026"/>
    <w:rsid w:val="007E717F"/>
    <w:rsid w:val="007E725B"/>
    <w:rsid w:val="007E72A2"/>
    <w:rsid w:val="007E73D8"/>
    <w:rsid w:val="007E759A"/>
    <w:rsid w:val="007E75DB"/>
    <w:rsid w:val="007E7733"/>
    <w:rsid w:val="007E796F"/>
    <w:rsid w:val="007E7D14"/>
    <w:rsid w:val="007E7F4D"/>
    <w:rsid w:val="007F006C"/>
    <w:rsid w:val="007F00F6"/>
    <w:rsid w:val="007F0457"/>
    <w:rsid w:val="007F0494"/>
    <w:rsid w:val="007F07E4"/>
    <w:rsid w:val="007F07E5"/>
    <w:rsid w:val="007F0992"/>
    <w:rsid w:val="007F09C7"/>
    <w:rsid w:val="007F09C8"/>
    <w:rsid w:val="007F0B51"/>
    <w:rsid w:val="007F0B9A"/>
    <w:rsid w:val="007F0BF5"/>
    <w:rsid w:val="007F0D40"/>
    <w:rsid w:val="007F0D5A"/>
    <w:rsid w:val="007F0D8D"/>
    <w:rsid w:val="007F0F4A"/>
    <w:rsid w:val="007F1037"/>
    <w:rsid w:val="007F1358"/>
    <w:rsid w:val="007F1448"/>
    <w:rsid w:val="007F15ED"/>
    <w:rsid w:val="007F1704"/>
    <w:rsid w:val="007F19FC"/>
    <w:rsid w:val="007F1A04"/>
    <w:rsid w:val="007F1A8F"/>
    <w:rsid w:val="007F1BC7"/>
    <w:rsid w:val="007F1C22"/>
    <w:rsid w:val="007F1D27"/>
    <w:rsid w:val="007F2001"/>
    <w:rsid w:val="007F2012"/>
    <w:rsid w:val="007F2586"/>
    <w:rsid w:val="007F2629"/>
    <w:rsid w:val="007F26E9"/>
    <w:rsid w:val="007F279C"/>
    <w:rsid w:val="007F2A2D"/>
    <w:rsid w:val="007F2CFE"/>
    <w:rsid w:val="007F2D31"/>
    <w:rsid w:val="007F2D35"/>
    <w:rsid w:val="007F2EA2"/>
    <w:rsid w:val="007F3191"/>
    <w:rsid w:val="007F31C1"/>
    <w:rsid w:val="007F32B1"/>
    <w:rsid w:val="007F33C7"/>
    <w:rsid w:val="007F3470"/>
    <w:rsid w:val="007F35AD"/>
    <w:rsid w:val="007F3601"/>
    <w:rsid w:val="007F36C9"/>
    <w:rsid w:val="007F3838"/>
    <w:rsid w:val="007F3967"/>
    <w:rsid w:val="007F396B"/>
    <w:rsid w:val="007F3A0C"/>
    <w:rsid w:val="007F3A53"/>
    <w:rsid w:val="007F3C29"/>
    <w:rsid w:val="007F3D3C"/>
    <w:rsid w:val="007F3DE0"/>
    <w:rsid w:val="007F3E91"/>
    <w:rsid w:val="007F3FEB"/>
    <w:rsid w:val="007F432E"/>
    <w:rsid w:val="007F433A"/>
    <w:rsid w:val="007F4456"/>
    <w:rsid w:val="007F446E"/>
    <w:rsid w:val="007F4786"/>
    <w:rsid w:val="007F4A6C"/>
    <w:rsid w:val="007F4B44"/>
    <w:rsid w:val="007F4D6E"/>
    <w:rsid w:val="007F4E1C"/>
    <w:rsid w:val="007F4F2E"/>
    <w:rsid w:val="007F5303"/>
    <w:rsid w:val="007F56D4"/>
    <w:rsid w:val="007F5752"/>
    <w:rsid w:val="007F57B8"/>
    <w:rsid w:val="007F57F4"/>
    <w:rsid w:val="007F5BB7"/>
    <w:rsid w:val="007F5C82"/>
    <w:rsid w:val="007F5C91"/>
    <w:rsid w:val="007F5D56"/>
    <w:rsid w:val="007F5E21"/>
    <w:rsid w:val="007F5E8F"/>
    <w:rsid w:val="007F6092"/>
    <w:rsid w:val="007F6296"/>
    <w:rsid w:val="007F670C"/>
    <w:rsid w:val="007F67F7"/>
    <w:rsid w:val="007F6C12"/>
    <w:rsid w:val="007F6CC2"/>
    <w:rsid w:val="007F6D2C"/>
    <w:rsid w:val="007F70E4"/>
    <w:rsid w:val="007F730C"/>
    <w:rsid w:val="007F740C"/>
    <w:rsid w:val="007F7525"/>
    <w:rsid w:val="007F7560"/>
    <w:rsid w:val="007F7827"/>
    <w:rsid w:val="007F786A"/>
    <w:rsid w:val="007F78E8"/>
    <w:rsid w:val="007F79B1"/>
    <w:rsid w:val="007F7A05"/>
    <w:rsid w:val="007F7A84"/>
    <w:rsid w:val="007F7C48"/>
    <w:rsid w:val="007F7D91"/>
    <w:rsid w:val="007F7E0C"/>
    <w:rsid w:val="007F7EF8"/>
    <w:rsid w:val="008000DD"/>
    <w:rsid w:val="00800300"/>
    <w:rsid w:val="00800351"/>
    <w:rsid w:val="0080043B"/>
    <w:rsid w:val="00800457"/>
    <w:rsid w:val="008007C3"/>
    <w:rsid w:val="008008A8"/>
    <w:rsid w:val="00800928"/>
    <w:rsid w:val="0080094E"/>
    <w:rsid w:val="00800955"/>
    <w:rsid w:val="00800C40"/>
    <w:rsid w:val="00800D26"/>
    <w:rsid w:val="00800D43"/>
    <w:rsid w:val="00800E14"/>
    <w:rsid w:val="00800E61"/>
    <w:rsid w:val="00801006"/>
    <w:rsid w:val="00801020"/>
    <w:rsid w:val="0080113B"/>
    <w:rsid w:val="008012F2"/>
    <w:rsid w:val="00801486"/>
    <w:rsid w:val="00801677"/>
    <w:rsid w:val="00801823"/>
    <w:rsid w:val="00801904"/>
    <w:rsid w:val="00801CDF"/>
    <w:rsid w:val="00801EC2"/>
    <w:rsid w:val="0080211A"/>
    <w:rsid w:val="00802163"/>
    <w:rsid w:val="008024DB"/>
    <w:rsid w:val="008025B2"/>
    <w:rsid w:val="00802928"/>
    <w:rsid w:val="00802AA0"/>
    <w:rsid w:val="00802BBC"/>
    <w:rsid w:val="00802C6F"/>
    <w:rsid w:val="00802C8B"/>
    <w:rsid w:val="00802E55"/>
    <w:rsid w:val="00802E74"/>
    <w:rsid w:val="00803118"/>
    <w:rsid w:val="00803156"/>
    <w:rsid w:val="00803472"/>
    <w:rsid w:val="00803485"/>
    <w:rsid w:val="00803633"/>
    <w:rsid w:val="008036B6"/>
    <w:rsid w:val="00803701"/>
    <w:rsid w:val="00803966"/>
    <w:rsid w:val="008039C0"/>
    <w:rsid w:val="00803BBE"/>
    <w:rsid w:val="00803FCD"/>
    <w:rsid w:val="00804445"/>
    <w:rsid w:val="00804470"/>
    <w:rsid w:val="008044AD"/>
    <w:rsid w:val="008044B3"/>
    <w:rsid w:val="008044BD"/>
    <w:rsid w:val="00804552"/>
    <w:rsid w:val="00804659"/>
    <w:rsid w:val="008046AA"/>
    <w:rsid w:val="008046AB"/>
    <w:rsid w:val="00804711"/>
    <w:rsid w:val="00804815"/>
    <w:rsid w:val="0080495C"/>
    <w:rsid w:val="00804C33"/>
    <w:rsid w:val="00804DFC"/>
    <w:rsid w:val="0080530F"/>
    <w:rsid w:val="00805362"/>
    <w:rsid w:val="0080537F"/>
    <w:rsid w:val="008054E8"/>
    <w:rsid w:val="00805505"/>
    <w:rsid w:val="0080558A"/>
    <w:rsid w:val="0080574F"/>
    <w:rsid w:val="00805777"/>
    <w:rsid w:val="00805781"/>
    <w:rsid w:val="00805809"/>
    <w:rsid w:val="00805EBA"/>
    <w:rsid w:val="00805EF3"/>
    <w:rsid w:val="00805F50"/>
    <w:rsid w:val="00805FD8"/>
    <w:rsid w:val="0080602B"/>
    <w:rsid w:val="0080622E"/>
    <w:rsid w:val="008062A3"/>
    <w:rsid w:val="008062C9"/>
    <w:rsid w:val="00806424"/>
    <w:rsid w:val="00806485"/>
    <w:rsid w:val="00806504"/>
    <w:rsid w:val="00806994"/>
    <w:rsid w:val="00806B96"/>
    <w:rsid w:val="00806C99"/>
    <w:rsid w:val="00806DB9"/>
    <w:rsid w:val="00806EFA"/>
    <w:rsid w:val="00806F51"/>
    <w:rsid w:val="0080705B"/>
    <w:rsid w:val="008073DF"/>
    <w:rsid w:val="00807B27"/>
    <w:rsid w:val="00807C11"/>
    <w:rsid w:val="00807C16"/>
    <w:rsid w:val="00807C51"/>
    <w:rsid w:val="00807CA3"/>
    <w:rsid w:val="00807D34"/>
    <w:rsid w:val="00807D4C"/>
    <w:rsid w:val="00807E6E"/>
    <w:rsid w:val="00807EDB"/>
    <w:rsid w:val="00810037"/>
    <w:rsid w:val="0081004B"/>
    <w:rsid w:val="008100A1"/>
    <w:rsid w:val="00810567"/>
    <w:rsid w:val="0081062D"/>
    <w:rsid w:val="0081072C"/>
    <w:rsid w:val="008108C0"/>
    <w:rsid w:val="008109F1"/>
    <w:rsid w:val="00810AB5"/>
    <w:rsid w:val="00810B7D"/>
    <w:rsid w:val="00810BFE"/>
    <w:rsid w:val="00810EF4"/>
    <w:rsid w:val="0081130B"/>
    <w:rsid w:val="008114DA"/>
    <w:rsid w:val="00811511"/>
    <w:rsid w:val="00811590"/>
    <w:rsid w:val="0081180D"/>
    <w:rsid w:val="00811A47"/>
    <w:rsid w:val="00811A98"/>
    <w:rsid w:val="00811D2A"/>
    <w:rsid w:val="00811D3A"/>
    <w:rsid w:val="00811EF2"/>
    <w:rsid w:val="00811FF8"/>
    <w:rsid w:val="00812270"/>
    <w:rsid w:val="0081227D"/>
    <w:rsid w:val="00812326"/>
    <w:rsid w:val="008124F6"/>
    <w:rsid w:val="008126A9"/>
    <w:rsid w:val="008126E4"/>
    <w:rsid w:val="00812A36"/>
    <w:rsid w:val="00812BC3"/>
    <w:rsid w:val="00812CB7"/>
    <w:rsid w:val="00812D89"/>
    <w:rsid w:val="00812E1D"/>
    <w:rsid w:val="00812EFA"/>
    <w:rsid w:val="00812FCE"/>
    <w:rsid w:val="00813049"/>
    <w:rsid w:val="00813224"/>
    <w:rsid w:val="00813365"/>
    <w:rsid w:val="00813677"/>
    <w:rsid w:val="008137AA"/>
    <w:rsid w:val="00813A50"/>
    <w:rsid w:val="00813A51"/>
    <w:rsid w:val="00813B4D"/>
    <w:rsid w:val="00813CA5"/>
    <w:rsid w:val="00813D71"/>
    <w:rsid w:val="0081409F"/>
    <w:rsid w:val="008143D1"/>
    <w:rsid w:val="0081440E"/>
    <w:rsid w:val="00814493"/>
    <w:rsid w:val="0081471F"/>
    <w:rsid w:val="00814720"/>
    <w:rsid w:val="008147E2"/>
    <w:rsid w:val="008148AB"/>
    <w:rsid w:val="008148B4"/>
    <w:rsid w:val="00814B47"/>
    <w:rsid w:val="00814C98"/>
    <w:rsid w:val="0081513C"/>
    <w:rsid w:val="008152DB"/>
    <w:rsid w:val="00815308"/>
    <w:rsid w:val="008153D0"/>
    <w:rsid w:val="008155AF"/>
    <w:rsid w:val="008155D5"/>
    <w:rsid w:val="008155F4"/>
    <w:rsid w:val="00815768"/>
    <w:rsid w:val="0081577B"/>
    <w:rsid w:val="00815A56"/>
    <w:rsid w:val="00815B88"/>
    <w:rsid w:val="00815BA7"/>
    <w:rsid w:val="00815C9D"/>
    <w:rsid w:val="00815D91"/>
    <w:rsid w:val="00815DF2"/>
    <w:rsid w:val="00816061"/>
    <w:rsid w:val="00816077"/>
    <w:rsid w:val="008160E9"/>
    <w:rsid w:val="008160F8"/>
    <w:rsid w:val="008163EA"/>
    <w:rsid w:val="008164AB"/>
    <w:rsid w:val="00816584"/>
    <w:rsid w:val="008166F6"/>
    <w:rsid w:val="00816A96"/>
    <w:rsid w:val="00816C78"/>
    <w:rsid w:val="00816F25"/>
    <w:rsid w:val="008171E9"/>
    <w:rsid w:val="00817586"/>
    <w:rsid w:val="0081761A"/>
    <w:rsid w:val="00817716"/>
    <w:rsid w:val="00817D4C"/>
    <w:rsid w:val="00817EEB"/>
    <w:rsid w:val="008201B3"/>
    <w:rsid w:val="00820317"/>
    <w:rsid w:val="008203BE"/>
    <w:rsid w:val="0082069C"/>
    <w:rsid w:val="00820AFD"/>
    <w:rsid w:val="00820CA3"/>
    <w:rsid w:val="00820F84"/>
    <w:rsid w:val="0082130C"/>
    <w:rsid w:val="00821325"/>
    <w:rsid w:val="008214CE"/>
    <w:rsid w:val="008215F0"/>
    <w:rsid w:val="00821B02"/>
    <w:rsid w:val="00821D69"/>
    <w:rsid w:val="00821DC1"/>
    <w:rsid w:val="00821E47"/>
    <w:rsid w:val="00822016"/>
    <w:rsid w:val="008221C7"/>
    <w:rsid w:val="0082224D"/>
    <w:rsid w:val="00822812"/>
    <w:rsid w:val="00822906"/>
    <w:rsid w:val="00822A44"/>
    <w:rsid w:val="00822A78"/>
    <w:rsid w:val="00822AC6"/>
    <w:rsid w:val="00822B4B"/>
    <w:rsid w:val="00822BDB"/>
    <w:rsid w:val="00822C5B"/>
    <w:rsid w:val="00822ECB"/>
    <w:rsid w:val="00822FB5"/>
    <w:rsid w:val="00823038"/>
    <w:rsid w:val="008231E4"/>
    <w:rsid w:val="0082321E"/>
    <w:rsid w:val="0082327A"/>
    <w:rsid w:val="00823445"/>
    <w:rsid w:val="00823636"/>
    <w:rsid w:val="0082368A"/>
    <w:rsid w:val="008236D3"/>
    <w:rsid w:val="008236FD"/>
    <w:rsid w:val="008238AB"/>
    <w:rsid w:val="00823DC7"/>
    <w:rsid w:val="00823F6D"/>
    <w:rsid w:val="008241AC"/>
    <w:rsid w:val="008242BD"/>
    <w:rsid w:val="00824360"/>
    <w:rsid w:val="00824423"/>
    <w:rsid w:val="00824425"/>
    <w:rsid w:val="008247DA"/>
    <w:rsid w:val="008247F2"/>
    <w:rsid w:val="00824880"/>
    <w:rsid w:val="0082490A"/>
    <w:rsid w:val="0082494F"/>
    <w:rsid w:val="00824975"/>
    <w:rsid w:val="00824B1A"/>
    <w:rsid w:val="00824C7F"/>
    <w:rsid w:val="00825054"/>
    <w:rsid w:val="008250F2"/>
    <w:rsid w:val="00825280"/>
    <w:rsid w:val="008252C1"/>
    <w:rsid w:val="00825310"/>
    <w:rsid w:val="00825580"/>
    <w:rsid w:val="008255A9"/>
    <w:rsid w:val="008255AF"/>
    <w:rsid w:val="00825A35"/>
    <w:rsid w:val="00825F85"/>
    <w:rsid w:val="00825FE3"/>
    <w:rsid w:val="00826003"/>
    <w:rsid w:val="00826387"/>
    <w:rsid w:val="0082648A"/>
    <w:rsid w:val="008264D1"/>
    <w:rsid w:val="00826762"/>
    <w:rsid w:val="008267B6"/>
    <w:rsid w:val="00826EA0"/>
    <w:rsid w:val="008270E4"/>
    <w:rsid w:val="0082720E"/>
    <w:rsid w:val="00827490"/>
    <w:rsid w:val="0082751D"/>
    <w:rsid w:val="008276D2"/>
    <w:rsid w:val="008277EC"/>
    <w:rsid w:val="008277F1"/>
    <w:rsid w:val="00827E42"/>
    <w:rsid w:val="00830470"/>
    <w:rsid w:val="008305DF"/>
    <w:rsid w:val="0083062A"/>
    <w:rsid w:val="008309A2"/>
    <w:rsid w:val="00830FC5"/>
    <w:rsid w:val="00831930"/>
    <w:rsid w:val="00831AC1"/>
    <w:rsid w:val="00831B51"/>
    <w:rsid w:val="00831BF4"/>
    <w:rsid w:val="00831C85"/>
    <w:rsid w:val="00831C97"/>
    <w:rsid w:val="00831CB5"/>
    <w:rsid w:val="00831D54"/>
    <w:rsid w:val="00831EAE"/>
    <w:rsid w:val="00832250"/>
    <w:rsid w:val="0083252D"/>
    <w:rsid w:val="00832566"/>
    <w:rsid w:val="0083260C"/>
    <w:rsid w:val="008327F7"/>
    <w:rsid w:val="008328E1"/>
    <w:rsid w:val="00832A4F"/>
    <w:rsid w:val="00832F2D"/>
    <w:rsid w:val="0083305B"/>
    <w:rsid w:val="0083306B"/>
    <w:rsid w:val="008330B0"/>
    <w:rsid w:val="008330C6"/>
    <w:rsid w:val="0083313A"/>
    <w:rsid w:val="008331C4"/>
    <w:rsid w:val="008332D3"/>
    <w:rsid w:val="0083336F"/>
    <w:rsid w:val="008335ED"/>
    <w:rsid w:val="0083377A"/>
    <w:rsid w:val="00833834"/>
    <w:rsid w:val="00833907"/>
    <w:rsid w:val="00833BE2"/>
    <w:rsid w:val="00833D0A"/>
    <w:rsid w:val="00833D53"/>
    <w:rsid w:val="00833E85"/>
    <w:rsid w:val="00833FF6"/>
    <w:rsid w:val="008340C2"/>
    <w:rsid w:val="008341B3"/>
    <w:rsid w:val="008343C6"/>
    <w:rsid w:val="00834660"/>
    <w:rsid w:val="00834681"/>
    <w:rsid w:val="00834BFD"/>
    <w:rsid w:val="00834C2F"/>
    <w:rsid w:val="00834C56"/>
    <w:rsid w:val="00834CF2"/>
    <w:rsid w:val="00835051"/>
    <w:rsid w:val="008350BA"/>
    <w:rsid w:val="00835113"/>
    <w:rsid w:val="00835397"/>
    <w:rsid w:val="0083546E"/>
    <w:rsid w:val="0083551F"/>
    <w:rsid w:val="008355E9"/>
    <w:rsid w:val="00835659"/>
    <w:rsid w:val="00835685"/>
    <w:rsid w:val="008356AA"/>
    <w:rsid w:val="0083572B"/>
    <w:rsid w:val="008358A5"/>
    <w:rsid w:val="008358D0"/>
    <w:rsid w:val="00835943"/>
    <w:rsid w:val="00835AB1"/>
    <w:rsid w:val="00835AEE"/>
    <w:rsid w:val="00835D56"/>
    <w:rsid w:val="00835FA8"/>
    <w:rsid w:val="00836056"/>
    <w:rsid w:val="00836270"/>
    <w:rsid w:val="008362E0"/>
    <w:rsid w:val="00836765"/>
    <w:rsid w:val="008369F8"/>
    <w:rsid w:val="00836AAB"/>
    <w:rsid w:val="008370DB"/>
    <w:rsid w:val="00837134"/>
    <w:rsid w:val="008371FE"/>
    <w:rsid w:val="008372D4"/>
    <w:rsid w:val="008373A2"/>
    <w:rsid w:val="00837413"/>
    <w:rsid w:val="0083756E"/>
    <w:rsid w:val="00837778"/>
    <w:rsid w:val="00837936"/>
    <w:rsid w:val="00837966"/>
    <w:rsid w:val="00837992"/>
    <w:rsid w:val="00837A1D"/>
    <w:rsid w:val="00837A8F"/>
    <w:rsid w:val="00837DE3"/>
    <w:rsid w:val="00837E0C"/>
    <w:rsid w:val="00837E19"/>
    <w:rsid w:val="00837FDA"/>
    <w:rsid w:val="0084004B"/>
    <w:rsid w:val="00840058"/>
    <w:rsid w:val="008402D5"/>
    <w:rsid w:val="00840336"/>
    <w:rsid w:val="00840378"/>
    <w:rsid w:val="008404CB"/>
    <w:rsid w:val="008405B2"/>
    <w:rsid w:val="008407A1"/>
    <w:rsid w:val="0084084A"/>
    <w:rsid w:val="008408DC"/>
    <w:rsid w:val="00840BB2"/>
    <w:rsid w:val="00840C58"/>
    <w:rsid w:val="00840CE6"/>
    <w:rsid w:val="00840D5A"/>
    <w:rsid w:val="00841034"/>
    <w:rsid w:val="00841233"/>
    <w:rsid w:val="008413BC"/>
    <w:rsid w:val="00841411"/>
    <w:rsid w:val="008414FC"/>
    <w:rsid w:val="0084169A"/>
    <w:rsid w:val="00841834"/>
    <w:rsid w:val="00841851"/>
    <w:rsid w:val="00841A61"/>
    <w:rsid w:val="00841B2B"/>
    <w:rsid w:val="00841D8F"/>
    <w:rsid w:val="00841F1F"/>
    <w:rsid w:val="0084202E"/>
    <w:rsid w:val="00842113"/>
    <w:rsid w:val="0084211B"/>
    <w:rsid w:val="00842194"/>
    <w:rsid w:val="00842275"/>
    <w:rsid w:val="0084230E"/>
    <w:rsid w:val="00842464"/>
    <w:rsid w:val="008424FE"/>
    <w:rsid w:val="0084271C"/>
    <w:rsid w:val="00842749"/>
    <w:rsid w:val="0084275B"/>
    <w:rsid w:val="008428CE"/>
    <w:rsid w:val="00842CBD"/>
    <w:rsid w:val="00842CC0"/>
    <w:rsid w:val="00842DAC"/>
    <w:rsid w:val="00842DB2"/>
    <w:rsid w:val="00843112"/>
    <w:rsid w:val="00843202"/>
    <w:rsid w:val="00843469"/>
    <w:rsid w:val="008434AD"/>
    <w:rsid w:val="008434B2"/>
    <w:rsid w:val="008439FF"/>
    <w:rsid w:val="00843A05"/>
    <w:rsid w:val="00843DA4"/>
    <w:rsid w:val="00843E4B"/>
    <w:rsid w:val="00843EDB"/>
    <w:rsid w:val="00843F52"/>
    <w:rsid w:val="00843F8D"/>
    <w:rsid w:val="00844007"/>
    <w:rsid w:val="0084404F"/>
    <w:rsid w:val="008440B9"/>
    <w:rsid w:val="0084410A"/>
    <w:rsid w:val="0084424A"/>
    <w:rsid w:val="00844366"/>
    <w:rsid w:val="0084436D"/>
    <w:rsid w:val="00844388"/>
    <w:rsid w:val="008443B2"/>
    <w:rsid w:val="008445F6"/>
    <w:rsid w:val="00844644"/>
    <w:rsid w:val="0084496B"/>
    <w:rsid w:val="00844BF0"/>
    <w:rsid w:val="00844BFA"/>
    <w:rsid w:val="0084534F"/>
    <w:rsid w:val="008456DF"/>
    <w:rsid w:val="008457C8"/>
    <w:rsid w:val="00845853"/>
    <w:rsid w:val="00845BB6"/>
    <w:rsid w:val="00845BBF"/>
    <w:rsid w:val="00845BE5"/>
    <w:rsid w:val="00845C71"/>
    <w:rsid w:val="00845D05"/>
    <w:rsid w:val="00845F89"/>
    <w:rsid w:val="008461A2"/>
    <w:rsid w:val="008462BB"/>
    <w:rsid w:val="008463E7"/>
    <w:rsid w:val="00846714"/>
    <w:rsid w:val="008467D7"/>
    <w:rsid w:val="00846846"/>
    <w:rsid w:val="00846F81"/>
    <w:rsid w:val="00847046"/>
    <w:rsid w:val="008470BE"/>
    <w:rsid w:val="0084712B"/>
    <w:rsid w:val="00847417"/>
    <w:rsid w:val="00847473"/>
    <w:rsid w:val="008476D6"/>
    <w:rsid w:val="008477E0"/>
    <w:rsid w:val="0084788B"/>
    <w:rsid w:val="00847945"/>
    <w:rsid w:val="0084796B"/>
    <w:rsid w:val="00847ADB"/>
    <w:rsid w:val="00847B55"/>
    <w:rsid w:val="00847CAD"/>
    <w:rsid w:val="00847EEE"/>
    <w:rsid w:val="00847F10"/>
    <w:rsid w:val="00847F58"/>
    <w:rsid w:val="00850151"/>
    <w:rsid w:val="008501A6"/>
    <w:rsid w:val="00850242"/>
    <w:rsid w:val="008502B4"/>
    <w:rsid w:val="008502D5"/>
    <w:rsid w:val="00850326"/>
    <w:rsid w:val="0085034F"/>
    <w:rsid w:val="008503EA"/>
    <w:rsid w:val="0085043C"/>
    <w:rsid w:val="00850579"/>
    <w:rsid w:val="00850694"/>
    <w:rsid w:val="008506E2"/>
    <w:rsid w:val="008508B5"/>
    <w:rsid w:val="008509C0"/>
    <w:rsid w:val="00850A53"/>
    <w:rsid w:val="00850B65"/>
    <w:rsid w:val="00850D50"/>
    <w:rsid w:val="00850E11"/>
    <w:rsid w:val="00850E4E"/>
    <w:rsid w:val="00850F5F"/>
    <w:rsid w:val="00851040"/>
    <w:rsid w:val="0085113E"/>
    <w:rsid w:val="008511B5"/>
    <w:rsid w:val="00851282"/>
    <w:rsid w:val="0085136C"/>
    <w:rsid w:val="00851462"/>
    <w:rsid w:val="008515D3"/>
    <w:rsid w:val="00851621"/>
    <w:rsid w:val="00851686"/>
    <w:rsid w:val="00851735"/>
    <w:rsid w:val="00851803"/>
    <w:rsid w:val="008518CA"/>
    <w:rsid w:val="00851A2F"/>
    <w:rsid w:val="00851C04"/>
    <w:rsid w:val="00851C17"/>
    <w:rsid w:val="00851C1F"/>
    <w:rsid w:val="00851CA2"/>
    <w:rsid w:val="00851E5E"/>
    <w:rsid w:val="00851EEB"/>
    <w:rsid w:val="00851F3A"/>
    <w:rsid w:val="008521C8"/>
    <w:rsid w:val="00852392"/>
    <w:rsid w:val="00852741"/>
    <w:rsid w:val="008528F2"/>
    <w:rsid w:val="00852B24"/>
    <w:rsid w:val="00852BC8"/>
    <w:rsid w:val="00852CC3"/>
    <w:rsid w:val="00852EBF"/>
    <w:rsid w:val="00852F9E"/>
    <w:rsid w:val="00852FA8"/>
    <w:rsid w:val="00853126"/>
    <w:rsid w:val="00853160"/>
    <w:rsid w:val="008531BD"/>
    <w:rsid w:val="008531C0"/>
    <w:rsid w:val="00853259"/>
    <w:rsid w:val="008532AF"/>
    <w:rsid w:val="008535F6"/>
    <w:rsid w:val="0085367F"/>
    <w:rsid w:val="00853731"/>
    <w:rsid w:val="008538C8"/>
    <w:rsid w:val="008538E8"/>
    <w:rsid w:val="00853AAA"/>
    <w:rsid w:val="00853E01"/>
    <w:rsid w:val="00853FA4"/>
    <w:rsid w:val="0085403B"/>
    <w:rsid w:val="00854255"/>
    <w:rsid w:val="00854612"/>
    <w:rsid w:val="008548D3"/>
    <w:rsid w:val="008549CF"/>
    <w:rsid w:val="00854A0A"/>
    <w:rsid w:val="00854D45"/>
    <w:rsid w:val="00854FE0"/>
    <w:rsid w:val="008553C9"/>
    <w:rsid w:val="0085540C"/>
    <w:rsid w:val="00855686"/>
    <w:rsid w:val="00855717"/>
    <w:rsid w:val="00855776"/>
    <w:rsid w:val="008557C7"/>
    <w:rsid w:val="008557D7"/>
    <w:rsid w:val="00855AC1"/>
    <w:rsid w:val="00855AFD"/>
    <w:rsid w:val="00855B4B"/>
    <w:rsid w:val="00855D06"/>
    <w:rsid w:val="00856022"/>
    <w:rsid w:val="008560D3"/>
    <w:rsid w:val="008562FF"/>
    <w:rsid w:val="0085631C"/>
    <w:rsid w:val="00856377"/>
    <w:rsid w:val="008564DB"/>
    <w:rsid w:val="00856610"/>
    <w:rsid w:val="008566D2"/>
    <w:rsid w:val="00856736"/>
    <w:rsid w:val="00856989"/>
    <w:rsid w:val="00856BFC"/>
    <w:rsid w:val="00856E18"/>
    <w:rsid w:val="00856E7C"/>
    <w:rsid w:val="00856E80"/>
    <w:rsid w:val="0085703A"/>
    <w:rsid w:val="00857230"/>
    <w:rsid w:val="008572C4"/>
    <w:rsid w:val="00857538"/>
    <w:rsid w:val="00857883"/>
    <w:rsid w:val="00857969"/>
    <w:rsid w:val="00857BAD"/>
    <w:rsid w:val="00857BED"/>
    <w:rsid w:val="00857C96"/>
    <w:rsid w:val="008602FD"/>
    <w:rsid w:val="00860480"/>
    <w:rsid w:val="00860609"/>
    <w:rsid w:val="008608EE"/>
    <w:rsid w:val="0086091C"/>
    <w:rsid w:val="0086096E"/>
    <w:rsid w:val="00860979"/>
    <w:rsid w:val="00860A76"/>
    <w:rsid w:val="00860BD4"/>
    <w:rsid w:val="00860E48"/>
    <w:rsid w:val="00860F26"/>
    <w:rsid w:val="00860FB6"/>
    <w:rsid w:val="00861225"/>
    <w:rsid w:val="008615C5"/>
    <w:rsid w:val="00861602"/>
    <w:rsid w:val="008616F8"/>
    <w:rsid w:val="00861787"/>
    <w:rsid w:val="0086193E"/>
    <w:rsid w:val="00861944"/>
    <w:rsid w:val="00861B15"/>
    <w:rsid w:val="00861C08"/>
    <w:rsid w:val="00862009"/>
    <w:rsid w:val="00862074"/>
    <w:rsid w:val="008620BE"/>
    <w:rsid w:val="00862618"/>
    <w:rsid w:val="008627BB"/>
    <w:rsid w:val="008627E4"/>
    <w:rsid w:val="008628CB"/>
    <w:rsid w:val="00862BB2"/>
    <w:rsid w:val="00862BCD"/>
    <w:rsid w:val="00862EFA"/>
    <w:rsid w:val="00863270"/>
    <w:rsid w:val="00863585"/>
    <w:rsid w:val="008636DE"/>
    <w:rsid w:val="00863702"/>
    <w:rsid w:val="00863A5A"/>
    <w:rsid w:val="00863AC6"/>
    <w:rsid w:val="00863BF6"/>
    <w:rsid w:val="00863CDB"/>
    <w:rsid w:val="00863D71"/>
    <w:rsid w:val="00864016"/>
    <w:rsid w:val="00864051"/>
    <w:rsid w:val="0086409F"/>
    <w:rsid w:val="00864134"/>
    <w:rsid w:val="0086422A"/>
    <w:rsid w:val="00864613"/>
    <w:rsid w:val="00864649"/>
    <w:rsid w:val="00864929"/>
    <w:rsid w:val="0086503D"/>
    <w:rsid w:val="0086510D"/>
    <w:rsid w:val="00865114"/>
    <w:rsid w:val="0086526A"/>
    <w:rsid w:val="008653AE"/>
    <w:rsid w:val="008655B1"/>
    <w:rsid w:val="008656BF"/>
    <w:rsid w:val="00865781"/>
    <w:rsid w:val="00865800"/>
    <w:rsid w:val="00865A6A"/>
    <w:rsid w:val="00865B8F"/>
    <w:rsid w:val="00865E1F"/>
    <w:rsid w:val="008660A0"/>
    <w:rsid w:val="00866175"/>
    <w:rsid w:val="00866273"/>
    <w:rsid w:val="008662A6"/>
    <w:rsid w:val="008662D9"/>
    <w:rsid w:val="008664BD"/>
    <w:rsid w:val="00866593"/>
    <w:rsid w:val="008666C0"/>
    <w:rsid w:val="00866850"/>
    <w:rsid w:val="00866922"/>
    <w:rsid w:val="00866A2A"/>
    <w:rsid w:val="00866AD0"/>
    <w:rsid w:val="00866B5A"/>
    <w:rsid w:val="00866C09"/>
    <w:rsid w:val="00866CA4"/>
    <w:rsid w:val="00866D77"/>
    <w:rsid w:val="00866E4D"/>
    <w:rsid w:val="00866E69"/>
    <w:rsid w:val="00866EB1"/>
    <w:rsid w:val="00866EFE"/>
    <w:rsid w:val="008670D2"/>
    <w:rsid w:val="00867297"/>
    <w:rsid w:val="008673CB"/>
    <w:rsid w:val="00867415"/>
    <w:rsid w:val="00867497"/>
    <w:rsid w:val="00867612"/>
    <w:rsid w:val="008677D4"/>
    <w:rsid w:val="0086798F"/>
    <w:rsid w:val="00867A66"/>
    <w:rsid w:val="00867C6B"/>
    <w:rsid w:val="00870056"/>
    <w:rsid w:val="008702AF"/>
    <w:rsid w:val="008707CF"/>
    <w:rsid w:val="00870809"/>
    <w:rsid w:val="0087088E"/>
    <w:rsid w:val="00870974"/>
    <w:rsid w:val="008709E1"/>
    <w:rsid w:val="00870BFF"/>
    <w:rsid w:val="00870C9E"/>
    <w:rsid w:val="00870CC9"/>
    <w:rsid w:val="00870D98"/>
    <w:rsid w:val="00870D99"/>
    <w:rsid w:val="00871141"/>
    <w:rsid w:val="008712A8"/>
    <w:rsid w:val="008712BE"/>
    <w:rsid w:val="008712CB"/>
    <w:rsid w:val="00871382"/>
    <w:rsid w:val="008713DA"/>
    <w:rsid w:val="008714A8"/>
    <w:rsid w:val="00871624"/>
    <w:rsid w:val="00871D3F"/>
    <w:rsid w:val="00871E40"/>
    <w:rsid w:val="00871E6D"/>
    <w:rsid w:val="0087207C"/>
    <w:rsid w:val="00872080"/>
    <w:rsid w:val="00872214"/>
    <w:rsid w:val="0087221C"/>
    <w:rsid w:val="00872301"/>
    <w:rsid w:val="00872357"/>
    <w:rsid w:val="0087237C"/>
    <w:rsid w:val="008723F9"/>
    <w:rsid w:val="008724F1"/>
    <w:rsid w:val="0087256E"/>
    <w:rsid w:val="008725C7"/>
    <w:rsid w:val="00872694"/>
    <w:rsid w:val="00872806"/>
    <w:rsid w:val="00872A9A"/>
    <w:rsid w:val="00872C80"/>
    <w:rsid w:val="00872D84"/>
    <w:rsid w:val="00873002"/>
    <w:rsid w:val="0087300A"/>
    <w:rsid w:val="008734ED"/>
    <w:rsid w:val="008738AE"/>
    <w:rsid w:val="008739AF"/>
    <w:rsid w:val="00873A00"/>
    <w:rsid w:val="00873B4E"/>
    <w:rsid w:val="00873B6B"/>
    <w:rsid w:val="00873FA1"/>
    <w:rsid w:val="00874096"/>
    <w:rsid w:val="008740C5"/>
    <w:rsid w:val="00874292"/>
    <w:rsid w:val="0087444A"/>
    <w:rsid w:val="008744CE"/>
    <w:rsid w:val="00874560"/>
    <w:rsid w:val="00874577"/>
    <w:rsid w:val="00874AC7"/>
    <w:rsid w:val="00874CF0"/>
    <w:rsid w:val="00874CFE"/>
    <w:rsid w:val="00874E90"/>
    <w:rsid w:val="00874F8C"/>
    <w:rsid w:val="00874FD5"/>
    <w:rsid w:val="00875043"/>
    <w:rsid w:val="00875121"/>
    <w:rsid w:val="008752A6"/>
    <w:rsid w:val="0087569E"/>
    <w:rsid w:val="0087586F"/>
    <w:rsid w:val="0087599B"/>
    <w:rsid w:val="008759DA"/>
    <w:rsid w:val="00875C5B"/>
    <w:rsid w:val="00875D9C"/>
    <w:rsid w:val="00875E11"/>
    <w:rsid w:val="00876474"/>
    <w:rsid w:val="00876579"/>
    <w:rsid w:val="008765C1"/>
    <w:rsid w:val="00876773"/>
    <w:rsid w:val="008767D4"/>
    <w:rsid w:val="0087683D"/>
    <w:rsid w:val="0087697C"/>
    <w:rsid w:val="008769A4"/>
    <w:rsid w:val="00876CA5"/>
    <w:rsid w:val="0087722E"/>
    <w:rsid w:val="00877475"/>
    <w:rsid w:val="00877482"/>
    <w:rsid w:val="00877761"/>
    <w:rsid w:val="00877905"/>
    <w:rsid w:val="0087796E"/>
    <w:rsid w:val="008779AB"/>
    <w:rsid w:val="00877A1F"/>
    <w:rsid w:val="00877AC2"/>
    <w:rsid w:val="00877C3E"/>
    <w:rsid w:val="00877CA2"/>
    <w:rsid w:val="00877D7D"/>
    <w:rsid w:val="00877FA1"/>
    <w:rsid w:val="00880079"/>
    <w:rsid w:val="008800C4"/>
    <w:rsid w:val="00880174"/>
    <w:rsid w:val="00880256"/>
    <w:rsid w:val="008802FF"/>
    <w:rsid w:val="00880445"/>
    <w:rsid w:val="0088078E"/>
    <w:rsid w:val="0088099A"/>
    <w:rsid w:val="008809C7"/>
    <w:rsid w:val="00880BB5"/>
    <w:rsid w:val="00880E55"/>
    <w:rsid w:val="00880FBF"/>
    <w:rsid w:val="00881036"/>
    <w:rsid w:val="00881129"/>
    <w:rsid w:val="0088114F"/>
    <w:rsid w:val="00881280"/>
    <w:rsid w:val="008812B6"/>
    <w:rsid w:val="008814A2"/>
    <w:rsid w:val="0088160D"/>
    <w:rsid w:val="0088163C"/>
    <w:rsid w:val="008816C5"/>
    <w:rsid w:val="00881773"/>
    <w:rsid w:val="00881865"/>
    <w:rsid w:val="008818FE"/>
    <w:rsid w:val="008819AC"/>
    <w:rsid w:val="00881B3C"/>
    <w:rsid w:val="00881B71"/>
    <w:rsid w:val="00881BF6"/>
    <w:rsid w:val="00881CB7"/>
    <w:rsid w:val="00882003"/>
    <w:rsid w:val="00882047"/>
    <w:rsid w:val="008822C8"/>
    <w:rsid w:val="0088230B"/>
    <w:rsid w:val="0088235E"/>
    <w:rsid w:val="008824FB"/>
    <w:rsid w:val="00882529"/>
    <w:rsid w:val="00882560"/>
    <w:rsid w:val="00882615"/>
    <w:rsid w:val="008826EB"/>
    <w:rsid w:val="008826F7"/>
    <w:rsid w:val="00882888"/>
    <w:rsid w:val="0088288F"/>
    <w:rsid w:val="00882C3C"/>
    <w:rsid w:val="00882D09"/>
    <w:rsid w:val="00882E10"/>
    <w:rsid w:val="00882EA6"/>
    <w:rsid w:val="00882EE8"/>
    <w:rsid w:val="00882FB6"/>
    <w:rsid w:val="00883062"/>
    <w:rsid w:val="00883117"/>
    <w:rsid w:val="00883166"/>
    <w:rsid w:val="008833E9"/>
    <w:rsid w:val="00883739"/>
    <w:rsid w:val="008838DB"/>
    <w:rsid w:val="008839A9"/>
    <w:rsid w:val="00883C2F"/>
    <w:rsid w:val="00883C84"/>
    <w:rsid w:val="00883D1F"/>
    <w:rsid w:val="00883FE2"/>
    <w:rsid w:val="00884158"/>
    <w:rsid w:val="008841E1"/>
    <w:rsid w:val="00884367"/>
    <w:rsid w:val="00884583"/>
    <w:rsid w:val="008846DD"/>
    <w:rsid w:val="00884829"/>
    <w:rsid w:val="008848C4"/>
    <w:rsid w:val="00884A2D"/>
    <w:rsid w:val="00884ACE"/>
    <w:rsid w:val="00884B98"/>
    <w:rsid w:val="00884C1C"/>
    <w:rsid w:val="00884FB4"/>
    <w:rsid w:val="00885091"/>
    <w:rsid w:val="0088510E"/>
    <w:rsid w:val="0088511C"/>
    <w:rsid w:val="008852D1"/>
    <w:rsid w:val="00885528"/>
    <w:rsid w:val="008855F6"/>
    <w:rsid w:val="00885670"/>
    <w:rsid w:val="00885806"/>
    <w:rsid w:val="00885886"/>
    <w:rsid w:val="008858D1"/>
    <w:rsid w:val="00885AAE"/>
    <w:rsid w:val="00885AB9"/>
    <w:rsid w:val="00885CBE"/>
    <w:rsid w:val="00885F60"/>
    <w:rsid w:val="008863BF"/>
    <w:rsid w:val="00886626"/>
    <w:rsid w:val="00886748"/>
    <w:rsid w:val="00886827"/>
    <w:rsid w:val="00886956"/>
    <w:rsid w:val="0088695E"/>
    <w:rsid w:val="008869B1"/>
    <w:rsid w:val="00886C66"/>
    <w:rsid w:val="00886C9C"/>
    <w:rsid w:val="00886DC6"/>
    <w:rsid w:val="00886FC5"/>
    <w:rsid w:val="008871E8"/>
    <w:rsid w:val="008874CE"/>
    <w:rsid w:val="00887571"/>
    <w:rsid w:val="00887654"/>
    <w:rsid w:val="0088767F"/>
    <w:rsid w:val="00887685"/>
    <w:rsid w:val="00887763"/>
    <w:rsid w:val="008878AF"/>
    <w:rsid w:val="00887C97"/>
    <w:rsid w:val="00890096"/>
    <w:rsid w:val="00890101"/>
    <w:rsid w:val="00890191"/>
    <w:rsid w:val="0089026E"/>
    <w:rsid w:val="008905A8"/>
    <w:rsid w:val="008907BD"/>
    <w:rsid w:val="00890949"/>
    <w:rsid w:val="00891003"/>
    <w:rsid w:val="008910B1"/>
    <w:rsid w:val="0089111B"/>
    <w:rsid w:val="008911F2"/>
    <w:rsid w:val="00891359"/>
    <w:rsid w:val="00891558"/>
    <w:rsid w:val="008916A0"/>
    <w:rsid w:val="0089178E"/>
    <w:rsid w:val="0089194E"/>
    <w:rsid w:val="00891A91"/>
    <w:rsid w:val="00891F0F"/>
    <w:rsid w:val="0089216D"/>
    <w:rsid w:val="00892365"/>
    <w:rsid w:val="00892383"/>
    <w:rsid w:val="008923D3"/>
    <w:rsid w:val="0089255E"/>
    <w:rsid w:val="0089269B"/>
    <w:rsid w:val="00892A86"/>
    <w:rsid w:val="00892C8A"/>
    <w:rsid w:val="00892D5E"/>
    <w:rsid w:val="00892F19"/>
    <w:rsid w:val="00892FB3"/>
    <w:rsid w:val="008932B1"/>
    <w:rsid w:val="0089338B"/>
    <w:rsid w:val="0089348A"/>
    <w:rsid w:val="00893510"/>
    <w:rsid w:val="00893584"/>
    <w:rsid w:val="0089371C"/>
    <w:rsid w:val="0089398C"/>
    <w:rsid w:val="008939F2"/>
    <w:rsid w:val="00893A95"/>
    <w:rsid w:val="00893FB0"/>
    <w:rsid w:val="008940E1"/>
    <w:rsid w:val="00894178"/>
    <w:rsid w:val="008941D5"/>
    <w:rsid w:val="00894402"/>
    <w:rsid w:val="00894AE7"/>
    <w:rsid w:val="00894BE8"/>
    <w:rsid w:val="00894D89"/>
    <w:rsid w:val="00894D97"/>
    <w:rsid w:val="00894EDC"/>
    <w:rsid w:val="00895026"/>
    <w:rsid w:val="0089503C"/>
    <w:rsid w:val="0089515D"/>
    <w:rsid w:val="00895401"/>
    <w:rsid w:val="00895596"/>
    <w:rsid w:val="00895676"/>
    <w:rsid w:val="00895703"/>
    <w:rsid w:val="00895903"/>
    <w:rsid w:val="00895BFE"/>
    <w:rsid w:val="00895C96"/>
    <w:rsid w:val="00895CBE"/>
    <w:rsid w:val="00895DBF"/>
    <w:rsid w:val="00895DE0"/>
    <w:rsid w:val="008961F6"/>
    <w:rsid w:val="00896247"/>
    <w:rsid w:val="00896339"/>
    <w:rsid w:val="00896464"/>
    <w:rsid w:val="00896578"/>
    <w:rsid w:val="0089683F"/>
    <w:rsid w:val="00896A60"/>
    <w:rsid w:val="00896B3B"/>
    <w:rsid w:val="00896C91"/>
    <w:rsid w:val="00896C9C"/>
    <w:rsid w:val="00896CBA"/>
    <w:rsid w:val="00896E08"/>
    <w:rsid w:val="00896E1E"/>
    <w:rsid w:val="00896F5A"/>
    <w:rsid w:val="0089712C"/>
    <w:rsid w:val="0089720C"/>
    <w:rsid w:val="008975B7"/>
    <w:rsid w:val="008978AD"/>
    <w:rsid w:val="008978D3"/>
    <w:rsid w:val="0089797B"/>
    <w:rsid w:val="00897C30"/>
    <w:rsid w:val="00897F1B"/>
    <w:rsid w:val="008A0083"/>
    <w:rsid w:val="008A02BE"/>
    <w:rsid w:val="008A0371"/>
    <w:rsid w:val="008A0533"/>
    <w:rsid w:val="008A0694"/>
    <w:rsid w:val="008A14ED"/>
    <w:rsid w:val="008A1596"/>
    <w:rsid w:val="008A16DC"/>
    <w:rsid w:val="008A1959"/>
    <w:rsid w:val="008A1AC0"/>
    <w:rsid w:val="008A1E70"/>
    <w:rsid w:val="008A20DA"/>
    <w:rsid w:val="008A2110"/>
    <w:rsid w:val="008A2460"/>
    <w:rsid w:val="008A2671"/>
    <w:rsid w:val="008A2768"/>
    <w:rsid w:val="008A2934"/>
    <w:rsid w:val="008A298C"/>
    <w:rsid w:val="008A2BB2"/>
    <w:rsid w:val="008A2BD2"/>
    <w:rsid w:val="008A2C1E"/>
    <w:rsid w:val="008A2CE5"/>
    <w:rsid w:val="008A2D88"/>
    <w:rsid w:val="008A306C"/>
    <w:rsid w:val="008A31BF"/>
    <w:rsid w:val="008A31D1"/>
    <w:rsid w:val="008A326D"/>
    <w:rsid w:val="008A3315"/>
    <w:rsid w:val="008A38AA"/>
    <w:rsid w:val="008A3941"/>
    <w:rsid w:val="008A3982"/>
    <w:rsid w:val="008A3A80"/>
    <w:rsid w:val="008A3D80"/>
    <w:rsid w:val="008A3E2A"/>
    <w:rsid w:val="008A3F82"/>
    <w:rsid w:val="008A401F"/>
    <w:rsid w:val="008A419C"/>
    <w:rsid w:val="008A43FC"/>
    <w:rsid w:val="008A44DA"/>
    <w:rsid w:val="008A462F"/>
    <w:rsid w:val="008A4B9F"/>
    <w:rsid w:val="008A4BAF"/>
    <w:rsid w:val="008A4C0A"/>
    <w:rsid w:val="008A4DAD"/>
    <w:rsid w:val="008A517F"/>
    <w:rsid w:val="008A537A"/>
    <w:rsid w:val="008A53AA"/>
    <w:rsid w:val="008A55F3"/>
    <w:rsid w:val="008A56DB"/>
    <w:rsid w:val="008A5B9A"/>
    <w:rsid w:val="008A5DED"/>
    <w:rsid w:val="008A5E26"/>
    <w:rsid w:val="008A5EAF"/>
    <w:rsid w:val="008A60D7"/>
    <w:rsid w:val="008A628A"/>
    <w:rsid w:val="008A62DB"/>
    <w:rsid w:val="008A634B"/>
    <w:rsid w:val="008A643F"/>
    <w:rsid w:val="008A6464"/>
    <w:rsid w:val="008A683F"/>
    <w:rsid w:val="008A6CD5"/>
    <w:rsid w:val="008A6E73"/>
    <w:rsid w:val="008A6F9F"/>
    <w:rsid w:val="008A7031"/>
    <w:rsid w:val="008A7245"/>
    <w:rsid w:val="008A741D"/>
    <w:rsid w:val="008A7494"/>
    <w:rsid w:val="008A76D6"/>
    <w:rsid w:val="008A773D"/>
    <w:rsid w:val="008A7AA1"/>
    <w:rsid w:val="008A7DAF"/>
    <w:rsid w:val="008A7DCD"/>
    <w:rsid w:val="008B00B7"/>
    <w:rsid w:val="008B00D6"/>
    <w:rsid w:val="008B0312"/>
    <w:rsid w:val="008B03CF"/>
    <w:rsid w:val="008B06FD"/>
    <w:rsid w:val="008B07D2"/>
    <w:rsid w:val="008B0888"/>
    <w:rsid w:val="008B0ADE"/>
    <w:rsid w:val="008B0C7F"/>
    <w:rsid w:val="008B0F0E"/>
    <w:rsid w:val="008B0FB4"/>
    <w:rsid w:val="008B120C"/>
    <w:rsid w:val="008B12BC"/>
    <w:rsid w:val="008B1371"/>
    <w:rsid w:val="008B1594"/>
    <w:rsid w:val="008B172B"/>
    <w:rsid w:val="008B18D5"/>
    <w:rsid w:val="008B1918"/>
    <w:rsid w:val="008B1E6C"/>
    <w:rsid w:val="008B1EDB"/>
    <w:rsid w:val="008B2432"/>
    <w:rsid w:val="008B28B3"/>
    <w:rsid w:val="008B2998"/>
    <w:rsid w:val="008B2A61"/>
    <w:rsid w:val="008B2ADA"/>
    <w:rsid w:val="008B2B97"/>
    <w:rsid w:val="008B2C82"/>
    <w:rsid w:val="008B2E77"/>
    <w:rsid w:val="008B2EAF"/>
    <w:rsid w:val="008B3068"/>
    <w:rsid w:val="008B30C2"/>
    <w:rsid w:val="008B3612"/>
    <w:rsid w:val="008B37A8"/>
    <w:rsid w:val="008B37D1"/>
    <w:rsid w:val="008B38AF"/>
    <w:rsid w:val="008B3A63"/>
    <w:rsid w:val="008B3A70"/>
    <w:rsid w:val="008B3AC9"/>
    <w:rsid w:val="008B3AE2"/>
    <w:rsid w:val="008B4073"/>
    <w:rsid w:val="008B420C"/>
    <w:rsid w:val="008B42A2"/>
    <w:rsid w:val="008B436C"/>
    <w:rsid w:val="008B44B7"/>
    <w:rsid w:val="008B469C"/>
    <w:rsid w:val="008B4839"/>
    <w:rsid w:val="008B488C"/>
    <w:rsid w:val="008B48A6"/>
    <w:rsid w:val="008B4917"/>
    <w:rsid w:val="008B496B"/>
    <w:rsid w:val="008B4ECF"/>
    <w:rsid w:val="008B4F87"/>
    <w:rsid w:val="008B5039"/>
    <w:rsid w:val="008B5231"/>
    <w:rsid w:val="008B527A"/>
    <w:rsid w:val="008B57B9"/>
    <w:rsid w:val="008B57C3"/>
    <w:rsid w:val="008B5800"/>
    <w:rsid w:val="008B5AE7"/>
    <w:rsid w:val="008B6113"/>
    <w:rsid w:val="008B61B8"/>
    <w:rsid w:val="008B65C8"/>
    <w:rsid w:val="008B6EC8"/>
    <w:rsid w:val="008B6F87"/>
    <w:rsid w:val="008B7059"/>
    <w:rsid w:val="008B70B1"/>
    <w:rsid w:val="008B713A"/>
    <w:rsid w:val="008B7543"/>
    <w:rsid w:val="008B7792"/>
    <w:rsid w:val="008B78A6"/>
    <w:rsid w:val="008B78D3"/>
    <w:rsid w:val="008B7A7B"/>
    <w:rsid w:val="008B7B9F"/>
    <w:rsid w:val="008B7E12"/>
    <w:rsid w:val="008B7E95"/>
    <w:rsid w:val="008C008E"/>
    <w:rsid w:val="008C01EC"/>
    <w:rsid w:val="008C054D"/>
    <w:rsid w:val="008C0715"/>
    <w:rsid w:val="008C0800"/>
    <w:rsid w:val="008C08AF"/>
    <w:rsid w:val="008C09A5"/>
    <w:rsid w:val="008C0AAD"/>
    <w:rsid w:val="008C0D52"/>
    <w:rsid w:val="008C0D5F"/>
    <w:rsid w:val="008C1015"/>
    <w:rsid w:val="008C13B8"/>
    <w:rsid w:val="008C1601"/>
    <w:rsid w:val="008C1727"/>
    <w:rsid w:val="008C1BE4"/>
    <w:rsid w:val="008C1D68"/>
    <w:rsid w:val="008C1E0D"/>
    <w:rsid w:val="008C1FDE"/>
    <w:rsid w:val="008C21AC"/>
    <w:rsid w:val="008C228B"/>
    <w:rsid w:val="008C22E6"/>
    <w:rsid w:val="008C22EB"/>
    <w:rsid w:val="008C232A"/>
    <w:rsid w:val="008C2835"/>
    <w:rsid w:val="008C29AB"/>
    <w:rsid w:val="008C2A25"/>
    <w:rsid w:val="008C2A7C"/>
    <w:rsid w:val="008C2A99"/>
    <w:rsid w:val="008C2B6B"/>
    <w:rsid w:val="008C2C08"/>
    <w:rsid w:val="008C2DCD"/>
    <w:rsid w:val="008C2E2D"/>
    <w:rsid w:val="008C3478"/>
    <w:rsid w:val="008C354A"/>
    <w:rsid w:val="008C35D4"/>
    <w:rsid w:val="008C35F7"/>
    <w:rsid w:val="008C395A"/>
    <w:rsid w:val="008C3BAD"/>
    <w:rsid w:val="008C3F28"/>
    <w:rsid w:val="008C40A6"/>
    <w:rsid w:val="008C4188"/>
    <w:rsid w:val="008C43C1"/>
    <w:rsid w:val="008C4507"/>
    <w:rsid w:val="008C4812"/>
    <w:rsid w:val="008C482C"/>
    <w:rsid w:val="008C4E09"/>
    <w:rsid w:val="008C5088"/>
    <w:rsid w:val="008C5110"/>
    <w:rsid w:val="008C521A"/>
    <w:rsid w:val="008C5314"/>
    <w:rsid w:val="008C590A"/>
    <w:rsid w:val="008C5C02"/>
    <w:rsid w:val="008C5C43"/>
    <w:rsid w:val="008C6128"/>
    <w:rsid w:val="008C616D"/>
    <w:rsid w:val="008C64CF"/>
    <w:rsid w:val="008C709A"/>
    <w:rsid w:val="008C7318"/>
    <w:rsid w:val="008C733E"/>
    <w:rsid w:val="008C743D"/>
    <w:rsid w:val="008C7524"/>
    <w:rsid w:val="008C75B8"/>
    <w:rsid w:val="008C75F3"/>
    <w:rsid w:val="008C76C3"/>
    <w:rsid w:val="008C7845"/>
    <w:rsid w:val="008C79A2"/>
    <w:rsid w:val="008C79F9"/>
    <w:rsid w:val="008C7CF8"/>
    <w:rsid w:val="008C7D2E"/>
    <w:rsid w:val="008C7ECE"/>
    <w:rsid w:val="008CEB69"/>
    <w:rsid w:val="008D02E2"/>
    <w:rsid w:val="008D03DD"/>
    <w:rsid w:val="008D046B"/>
    <w:rsid w:val="008D04A1"/>
    <w:rsid w:val="008D04E6"/>
    <w:rsid w:val="008D0962"/>
    <w:rsid w:val="008D0B6F"/>
    <w:rsid w:val="008D0BB2"/>
    <w:rsid w:val="008D0C1A"/>
    <w:rsid w:val="008D0D40"/>
    <w:rsid w:val="008D0E32"/>
    <w:rsid w:val="008D0FA7"/>
    <w:rsid w:val="008D1008"/>
    <w:rsid w:val="008D11CF"/>
    <w:rsid w:val="008D156B"/>
    <w:rsid w:val="008D18C8"/>
    <w:rsid w:val="008D18DA"/>
    <w:rsid w:val="008D18DD"/>
    <w:rsid w:val="008D1BFA"/>
    <w:rsid w:val="008D222D"/>
    <w:rsid w:val="008D2676"/>
    <w:rsid w:val="008D2A2D"/>
    <w:rsid w:val="008D2E3E"/>
    <w:rsid w:val="008D2FB9"/>
    <w:rsid w:val="008D3260"/>
    <w:rsid w:val="008D326B"/>
    <w:rsid w:val="008D340B"/>
    <w:rsid w:val="008D344A"/>
    <w:rsid w:val="008D351A"/>
    <w:rsid w:val="008D3766"/>
    <w:rsid w:val="008D379C"/>
    <w:rsid w:val="008D384B"/>
    <w:rsid w:val="008D3A33"/>
    <w:rsid w:val="008D3B28"/>
    <w:rsid w:val="008D3BE1"/>
    <w:rsid w:val="008D3C11"/>
    <w:rsid w:val="008D3DA5"/>
    <w:rsid w:val="008D3F5A"/>
    <w:rsid w:val="008D3FAD"/>
    <w:rsid w:val="008D40B8"/>
    <w:rsid w:val="008D40D6"/>
    <w:rsid w:val="008D4128"/>
    <w:rsid w:val="008D4267"/>
    <w:rsid w:val="008D4294"/>
    <w:rsid w:val="008D4377"/>
    <w:rsid w:val="008D4413"/>
    <w:rsid w:val="008D4545"/>
    <w:rsid w:val="008D459A"/>
    <w:rsid w:val="008D46E1"/>
    <w:rsid w:val="008D47B4"/>
    <w:rsid w:val="008D4801"/>
    <w:rsid w:val="008D4921"/>
    <w:rsid w:val="008D4A46"/>
    <w:rsid w:val="008D4B15"/>
    <w:rsid w:val="008D4C1F"/>
    <w:rsid w:val="008D4DCD"/>
    <w:rsid w:val="008D4F96"/>
    <w:rsid w:val="008D51A6"/>
    <w:rsid w:val="008D51B2"/>
    <w:rsid w:val="008D51B7"/>
    <w:rsid w:val="008D557F"/>
    <w:rsid w:val="008D55C4"/>
    <w:rsid w:val="008D59A6"/>
    <w:rsid w:val="008D5A8B"/>
    <w:rsid w:val="008D5C3C"/>
    <w:rsid w:val="008D613B"/>
    <w:rsid w:val="008D6208"/>
    <w:rsid w:val="008D63BC"/>
    <w:rsid w:val="008D63E6"/>
    <w:rsid w:val="008D6479"/>
    <w:rsid w:val="008D65F4"/>
    <w:rsid w:val="008D6664"/>
    <w:rsid w:val="008D6952"/>
    <w:rsid w:val="008D6E28"/>
    <w:rsid w:val="008D6E81"/>
    <w:rsid w:val="008D7564"/>
    <w:rsid w:val="008D784A"/>
    <w:rsid w:val="008D7AD7"/>
    <w:rsid w:val="008D7BE1"/>
    <w:rsid w:val="008D7EE0"/>
    <w:rsid w:val="008D7FF7"/>
    <w:rsid w:val="008E027C"/>
    <w:rsid w:val="008E0523"/>
    <w:rsid w:val="008E07DF"/>
    <w:rsid w:val="008E0958"/>
    <w:rsid w:val="008E0BB5"/>
    <w:rsid w:val="008E0BC3"/>
    <w:rsid w:val="008E0CBC"/>
    <w:rsid w:val="008E0E1D"/>
    <w:rsid w:val="008E10DC"/>
    <w:rsid w:val="008E11CC"/>
    <w:rsid w:val="008E11FE"/>
    <w:rsid w:val="008E126F"/>
    <w:rsid w:val="008E1270"/>
    <w:rsid w:val="008E12FD"/>
    <w:rsid w:val="008E13F1"/>
    <w:rsid w:val="008E155D"/>
    <w:rsid w:val="008E15BB"/>
    <w:rsid w:val="008E179C"/>
    <w:rsid w:val="008E18C8"/>
    <w:rsid w:val="008E1958"/>
    <w:rsid w:val="008E1986"/>
    <w:rsid w:val="008E1BC7"/>
    <w:rsid w:val="008E1D6B"/>
    <w:rsid w:val="008E1E1B"/>
    <w:rsid w:val="008E1E31"/>
    <w:rsid w:val="008E1F29"/>
    <w:rsid w:val="008E21D7"/>
    <w:rsid w:val="008E2350"/>
    <w:rsid w:val="008E2352"/>
    <w:rsid w:val="008E24C4"/>
    <w:rsid w:val="008E2541"/>
    <w:rsid w:val="008E2907"/>
    <w:rsid w:val="008E2A4A"/>
    <w:rsid w:val="008E2BFB"/>
    <w:rsid w:val="008E2C03"/>
    <w:rsid w:val="008E2DA5"/>
    <w:rsid w:val="008E2F4E"/>
    <w:rsid w:val="008E3320"/>
    <w:rsid w:val="008E372B"/>
    <w:rsid w:val="008E39DD"/>
    <w:rsid w:val="008E3A7F"/>
    <w:rsid w:val="008E3C39"/>
    <w:rsid w:val="008E3CD8"/>
    <w:rsid w:val="008E3E44"/>
    <w:rsid w:val="008E3F71"/>
    <w:rsid w:val="008E412A"/>
    <w:rsid w:val="008E4269"/>
    <w:rsid w:val="008E43E7"/>
    <w:rsid w:val="008E4531"/>
    <w:rsid w:val="008E453E"/>
    <w:rsid w:val="008E483D"/>
    <w:rsid w:val="008E4914"/>
    <w:rsid w:val="008E499D"/>
    <w:rsid w:val="008E4A77"/>
    <w:rsid w:val="008E4F3F"/>
    <w:rsid w:val="008E5408"/>
    <w:rsid w:val="008E5444"/>
    <w:rsid w:val="008E54B3"/>
    <w:rsid w:val="008E5702"/>
    <w:rsid w:val="008E5A3F"/>
    <w:rsid w:val="008E5ADB"/>
    <w:rsid w:val="008E5B16"/>
    <w:rsid w:val="008E5D49"/>
    <w:rsid w:val="008E5DEF"/>
    <w:rsid w:val="008E5EFE"/>
    <w:rsid w:val="008E6049"/>
    <w:rsid w:val="008E60DF"/>
    <w:rsid w:val="008E60F6"/>
    <w:rsid w:val="008E61E4"/>
    <w:rsid w:val="008E6245"/>
    <w:rsid w:val="008E63B6"/>
    <w:rsid w:val="008E642E"/>
    <w:rsid w:val="008E6594"/>
    <w:rsid w:val="008E68B6"/>
    <w:rsid w:val="008E6A0F"/>
    <w:rsid w:val="008E6D47"/>
    <w:rsid w:val="008E70C1"/>
    <w:rsid w:val="008E70F4"/>
    <w:rsid w:val="008E716D"/>
    <w:rsid w:val="008E71F5"/>
    <w:rsid w:val="008E730D"/>
    <w:rsid w:val="008E744A"/>
    <w:rsid w:val="008E7494"/>
    <w:rsid w:val="008E752D"/>
    <w:rsid w:val="008E7728"/>
    <w:rsid w:val="008E7A09"/>
    <w:rsid w:val="008E7A6B"/>
    <w:rsid w:val="008E7B7E"/>
    <w:rsid w:val="008E7DF1"/>
    <w:rsid w:val="008E7E2A"/>
    <w:rsid w:val="008F031D"/>
    <w:rsid w:val="008F05A6"/>
    <w:rsid w:val="008F0722"/>
    <w:rsid w:val="008F082B"/>
    <w:rsid w:val="008F0872"/>
    <w:rsid w:val="008F0A19"/>
    <w:rsid w:val="008F0BF4"/>
    <w:rsid w:val="008F108C"/>
    <w:rsid w:val="008F134F"/>
    <w:rsid w:val="008F141D"/>
    <w:rsid w:val="008F1D72"/>
    <w:rsid w:val="008F212C"/>
    <w:rsid w:val="008F2147"/>
    <w:rsid w:val="008F22D4"/>
    <w:rsid w:val="008F2387"/>
    <w:rsid w:val="008F23B7"/>
    <w:rsid w:val="008F23D8"/>
    <w:rsid w:val="008F2421"/>
    <w:rsid w:val="008F2651"/>
    <w:rsid w:val="008F269E"/>
    <w:rsid w:val="008F2CF8"/>
    <w:rsid w:val="008F2DE2"/>
    <w:rsid w:val="008F3223"/>
    <w:rsid w:val="008F331B"/>
    <w:rsid w:val="008F347A"/>
    <w:rsid w:val="008F3490"/>
    <w:rsid w:val="008F3852"/>
    <w:rsid w:val="008F38AA"/>
    <w:rsid w:val="008F38CC"/>
    <w:rsid w:val="008F38FC"/>
    <w:rsid w:val="008F3A71"/>
    <w:rsid w:val="008F3ABA"/>
    <w:rsid w:val="008F3AC9"/>
    <w:rsid w:val="008F3CD6"/>
    <w:rsid w:val="008F3D2E"/>
    <w:rsid w:val="008F3D88"/>
    <w:rsid w:val="008F3E17"/>
    <w:rsid w:val="008F3EA9"/>
    <w:rsid w:val="008F464D"/>
    <w:rsid w:val="008F4860"/>
    <w:rsid w:val="008F49E8"/>
    <w:rsid w:val="008F4A16"/>
    <w:rsid w:val="008F4A7B"/>
    <w:rsid w:val="008F5059"/>
    <w:rsid w:val="008F505D"/>
    <w:rsid w:val="008F50F2"/>
    <w:rsid w:val="008F52CC"/>
    <w:rsid w:val="008F53E2"/>
    <w:rsid w:val="008F554D"/>
    <w:rsid w:val="008F5688"/>
    <w:rsid w:val="008F58BB"/>
    <w:rsid w:val="008F5D17"/>
    <w:rsid w:val="008F5E39"/>
    <w:rsid w:val="008F6020"/>
    <w:rsid w:val="008F60F0"/>
    <w:rsid w:val="008F64AB"/>
    <w:rsid w:val="008F6B66"/>
    <w:rsid w:val="008F6BAF"/>
    <w:rsid w:val="008F6C7D"/>
    <w:rsid w:val="008F6D5B"/>
    <w:rsid w:val="008F6DB0"/>
    <w:rsid w:val="008F6F13"/>
    <w:rsid w:val="008F70AA"/>
    <w:rsid w:val="008F70CA"/>
    <w:rsid w:val="008F712C"/>
    <w:rsid w:val="008F7190"/>
    <w:rsid w:val="008F727A"/>
    <w:rsid w:val="008F76CC"/>
    <w:rsid w:val="008F78C3"/>
    <w:rsid w:val="008F7C89"/>
    <w:rsid w:val="008F7CC2"/>
    <w:rsid w:val="008F7DD1"/>
    <w:rsid w:val="008F7E38"/>
    <w:rsid w:val="008F7E68"/>
    <w:rsid w:val="008F7F3F"/>
    <w:rsid w:val="008F7F97"/>
    <w:rsid w:val="009000AA"/>
    <w:rsid w:val="009006ED"/>
    <w:rsid w:val="00900C5B"/>
    <w:rsid w:val="00900DCF"/>
    <w:rsid w:val="00901415"/>
    <w:rsid w:val="00901476"/>
    <w:rsid w:val="009014EC"/>
    <w:rsid w:val="00901579"/>
    <w:rsid w:val="0090190F"/>
    <w:rsid w:val="00901A87"/>
    <w:rsid w:val="00901C1D"/>
    <w:rsid w:val="00901DC2"/>
    <w:rsid w:val="009020B0"/>
    <w:rsid w:val="00902137"/>
    <w:rsid w:val="0090219B"/>
    <w:rsid w:val="009022FF"/>
    <w:rsid w:val="00902507"/>
    <w:rsid w:val="009025A1"/>
    <w:rsid w:val="009026DC"/>
    <w:rsid w:val="0090289A"/>
    <w:rsid w:val="009029F9"/>
    <w:rsid w:val="00902B88"/>
    <w:rsid w:val="00902CE7"/>
    <w:rsid w:val="00902EA7"/>
    <w:rsid w:val="00902FC6"/>
    <w:rsid w:val="0090320F"/>
    <w:rsid w:val="00903233"/>
    <w:rsid w:val="0090323C"/>
    <w:rsid w:val="009032A5"/>
    <w:rsid w:val="009034C6"/>
    <w:rsid w:val="0090351C"/>
    <w:rsid w:val="0090395D"/>
    <w:rsid w:val="00903A69"/>
    <w:rsid w:val="00903C11"/>
    <w:rsid w:val="00903C4F"/>
    <w:rsid w:val="00903CA2"/>
    <w:rsid w:val="00903CC4"/>
    <w:rsid w:val="00904088"/>
    <w:rsid w:val="009041B6"/>
    <w:rsid w:val="00904413"/>
    <w:rsid w:val="009047B1"/>
    <w:rsid w:val="0090482A"/>
    <w:rsid w:val="0090491F"/>
    <w:rsid w:val="00904986"/>
    <w:rsid w:val="009049C3"/>
    <w:rsid w:val="009049F5"/>
    <w:rsid w:val="00904D87"/>
    <w:rsid w:val="00904DB5"/>
    <w:rsid w:val="00904F4B"/>
    <w:rsid w:val="00905013"/>
    <w:rsid w:val="00905319"/>
    <w:rsid w:val="00905363"/>
    <w:rsid w:val="00905605"/>
    <w:rsid w:val="009056F2"/>
    <w:rsid w:val="009057FA"/>
    <w:rsid w:val="00905B94"/>
    <w:rsid w:val="00905D5A"/>
    <w:rsid w:val="00905DC5"/>
    <w:rsid w:val="00905EF1"/>
    <w:rsid w:val="0090626A"/>
    <w:rsid w:val="0090655C"/>
    <w:rsid w:val="0090670E"/>
    <w:rsid w:val="0090676F"/>
    <w:rsid w:val="00906B67"/>
    <w:rsid w:val="00906C3C"/>
    <w:rsid w:val="00907181"/>
    <w:rsid w:val="009073C5"/>
    <w:rsid w:val="009075C9"/>
    <w:rsid w:val="0090761B"/>
    <w:rsid w:val="00907673"/>
    <w:rsid w:val="00907857"/>
    <w:rsid w:val="00907C70"/>
    <w:rsid w:val="00907D4E"/>
    <w:rsid w:val="00907F45"/>
    <w:rsid w:val="009101E0"/>
    <w:rsid w:val="0091023C"/>
    <w:rsid w:val="00910369"/>
    <w:rsid w:val="0091039D"/>
    <w:rsid w:val="009105C7"/>
    <w:rsid w:val="0091077A"/>
    <w:rsid w:val="009107F6"/>
    <w:rsid w:val="00910C74"/>
    <w:rsid w:val="00910D37"/>
    <w:rsid w:val="00910DD1"/>
    <w:rsid w:val="00910E0C"/>
    <w:rsid w:val="00910ED2"/>
    <w:rsid w:val="00911274"/>
    <w:rsid w:val="009114CA"/>
    <w:rsid w:val="0091169B"/>
    <w:rsid w:val="0091197D"/>
    <w:rsid w:val="00911B41"/>
    <w:rsid w:val="00911BA6"/>
    <w:rsid w:val="00911C31"/>
    <w:rsid w:val="00911C35"/>
    <w:rsid w:val="00911C76"/>
    <w:rsid w:val="00911CB2"/>
    <w:rsid w:val="00911CCF"/>
    <w:rsid w:val="00912175"/>
    <w:rsid w:val="0091228F"/>
    <w:rsid w:val="00912746"/>
    <w:rsid w:val="00912960"/>
    <w:rsid w:val="00912B6E"/>
    <w:rsid w:val="00912D5F"/>
    <w:rsid w:val="00912D8B"/>
    <w:rsid w:val="00912E52"/>
    <w:rsid w:val="00912EA2"/>
    <w:rsid w:val="00912F4E"/>
    <w:rsid w:val="00912FAE"/>
    <w:rsid w:val="00912FBE"/>
    <w:rsid w:val="0091359F"/>
    <w:rsid w:val="009138EE"/>
    <w:rsid w:val="009138F3"/>
    <w:rsid w:val="00913985"/>
    <w:rsid w:val="00913ACA"/>
    <w:rsid w:val="00913BC8"/>
    <w:rsid w:val="00913D41"/>
    <w:rsid w:val="00913D92"/>
    <w:rsid w:val="00914094"/>
    <w:rsid w:val="009141D7"/>
    <w:rsid w:val="00914264"/>
    <w:rsid w:val="0091431D"/>
    <w:rsid w:val="00914460"/>
    <w:rsid w:val="0091467B"/>
    <w:rsid w:val="00914685"/>
    <w:rsid w:val="0091471B"/>
    <w:rsid w:val="00914B07"/>
    <w:rsid w:val="00914C2C"/>
    <w:rsid w:val="00914C4C"/>
    <w:rsid w:val="00914D4C"/>
    <w:rsid w:val="00914F41"/>
    <w:rsid w:val="0091507C"/>
    <w:rsid w:val="009153DF"/>
    <w:rsid w:val="0091561A"/>
    <w:rsid w:val="00915695"/>
    <w:rsid w:val="00915756"/>
    <w:rsid w:val="009159AE"/>
    <w:rsid w:val="00915A80"/>
    <w:rsid w:val="00915C2C"/>
    <w:rsid w:val="00915E39"/>
    <w:rsid w:val="00915E3C"/>
    <w:rsid w:val="0091606E"/>
    <w:rsid w:val="0091608D"/>
    <w:rsid w:val="00916143"/>
    <w:rsid w:val="00916226"/>
    <w:rsid w:val="0091650E"/>
    <w:rsid w:val="009166C6"/>
    <w:rsid w:val="00916714"/>
    <w:rsid w:val="00916968"/>
    <w:rsid w:val="00916A0A"/>
    <w:rsid w:val="00916B90"/>
    <w:rsid w:val="00916C88"/>
    <w:rsid w:val="00916E49"/>
    <w:rsid w:val="00916FA6"/>
    <w:rsid w:val="009172AF"/>
    <w:rsid w:val="00917368"/>
    <w:rsid w:val="009175C0"/>
    <w:rsid w:val="009177C2"/>
    <w:rsid w:val="009178CC"/>
    <w:rsid w:val="00917C03"/>
    <w:rsid w:val="00917C18"/>
    <w:rsid w:val="00917C54"/>
    <w:rsid w:val="00917CDA"/>
    <w:rsid w:val="00917CFE"/>
    <w:rsid w:val="00917DBF"/>
    <w:rsid w:val="0092000D"/>
    <w:rsid w:val="00920108"/>
    <w:rsid w:val="00920311"/>
    <w:rsid w:val="0092035B"/>
    <w:rsid w:val="0092061D"/>
    <w:rsid w:val="00920641"/>
    <w:rsid w:val="009206DE"/>
    <w:rsid w:val="00920743"/>
    <w:rsid w:val="009207C4"/>
    <w:rsid w:val="00920A53"/>
    <w:rsid w:val="00920C02"/>
    <w:rsid w:val="00920EEF"/>
    <w:rsid w:val="00920F11"/>
    <w:rsid w:val="00921298"/>
    <w:rsid w:val="00921406"/>
    <w:rsid w:val="00921427"/>
    <w:rsid w:val="00921463"/>
    <w:rsid w:val="00921654"/>
    <w:rsid w:val="00921700"/>
    <w:rsid w:val="00921B3C"/>
    <w:rsid w:val="00921B85"/>
    <w:rsid w:val="00921C0A"/>
    <w:rsid w:val="00921CA5"/>
    <w:rsid w:val="009221CB"/>
    <w:rsid w:val="009223BA"/>
    <w:rsid w:val="009225C3"/>
    <w:rsid w:val="00922655"/>
    <w:rsid w:val="00922727"/>
    <w:rsid w:val="00922902"/>
    <w:rsid w:val="00922950"/>
    <w:rsid w:val="009229CB"/>
    <w:rsid w:val="00922B52"/>
    <w:rsid w:val="00922DE7"/>
    <w:rsid w:val="00922E9B"/>
    <w:rsid w:val="00922ED7"/>
    <w:rsid w:val="00922FB8"/>
    <w:rsid w:val="0092339F"/>
    <w:rsid w:val="009233F1"/>
    <w:rsid w:val="0092356C"/>
    <w:rsid w:val="00923598"/>
    <w:rsid w:val="009235DB"/>
    <w:rsid w:val="00923888"/>
    <w:rsid w:val="00923B44"/>
    <w:rsid w:val="00923C8E"/>
    <w:rsid w:val="00923D11"/>
    <w:rsid w:val="00923F2F"/>
    <w:rsid w:val="0092403C"/>
    <w:rsid w:val="00924191"/>
    <w:rsid w:val="00924286"/>
    <w:rsid w:val="0092441A"/>
    <w:rsid w:val="0092461F"/>
    <w:rsid w:val="00924627"/>
    <w:rsid w:val="009246B8"/>
    <w:rsid w:val="00924898"/>
    <w:rsid w:val="009248BA"/>
    <w:rsid w:val="00924989"/>
    <w:rsid w:val="009249C3"/>
    <w:rsid w:val="00924CCB"/>
    <w:rsid w:val="00924F2A"/>
    <w:rsid w:val="00924FCD"/>
    <w:rsid w:val="00924FF2"/>
    <w:rsid w:val="00925160"/>
    <w:rsid w:val="00925180"/>
    <w:rsid w:val="00925196"/>
    <w:rsid w:val="0092519C"/>
    <w:rsid w:val="009251A1"/>
    <w:rsid w:val="00925230"/>
    <w:rsid w:val="009252A3"/>
    <w:rsid w:val="00925342"/>
    <w:rsid w:val="00925392"/>
    <w:rsid w:val="009253A7"/>
    <w:rsid w:val="009255EA"/>
    <w:rsid w:val="009255F4"/>
    <w:rsid w:val="0092565F"/>
    <w:rsid w:val="0092566B"/>
    <w:rsid w:val="009257DE"/>
    <w:rsid w:val="00925A05"/>
    <w:rsid w:val="00925A1F"/>
    <w:rsid w:val="00925B9A"/>
    <w:rsid w:val="00925E58"/>
    <w:rsid w:val="00925F28"/>
    <w:rsid w:val="00925F62"/>
    <w:rsid w:val="00925FB7"/>
    <w:rsid w:val="009263B4"/>
    <w:rsid w:val="00926414"/>
    <w:rsid w:val="0092647F"/>
    <w:rsid w:val="009264CB"/>
    <w:rsid w:val="00926611"/>
    <w:rsid w:val="009268E9"/>
    <w:rsid w:val="00926A21"/>
    <w:rsid w:val="00926C3B"/>
    <w:rsid w:val="00926D14"/>
    <w:rsid w:val="00926EDD"/>
    <w:rsid w:val="00926FBF"/>
    <w:rsid w:val="00927010"/>
    <w:rsid w:val="009270A1"/>
    <w:rsid w:val="009270E5"/>
    <w:rsid w:val="0092766C"/>
    <w:rsid w:val="00927828"/>
    <w:rsid w:val="00927E70"/>
    <w:rsid w:val="00927ECE"/>
    <w:rsid w:val="0093003F"/>
    <w:rsid w:val="00930040"/>
    <w:rsid w:val="0093005F"/>
    <w:rsid w:val="009300C1"/>
    <w:rsid w:val="009301BF"/>
    <w:rsid w:val="009302A8"/>
    <w:rsid w:val="00930487"/>
    <w:rsid w:val="00930499"/>
    <w:rsid w:val="00930627"/>
    <w:rsid w:val="0093079D"/>
    <w:rsid w:val="00930A48"/>
    <w:rsid w:val="00930C00"/>
    <w:rsid w:val="00930C34"/>
    <w:rsid w:val="00930C4B"/>
    <w:rsid w:val="00931171"/>
    <w:rsid w:val="0093117E"/>
    <w:rsid w:val="00931217"/>
    <w:rsid w:val="0093139D"/>
    <w:rsid w:val="00931418"/>
    <w:rsid w:val="00931477"/>
    <w:rsid w:val="00931623"/>
    <w:rsid w:val="0093197C"/>
    <w:rsid w:val="00931A5E"/>
    <w:rsid w:val="0093218E"/>
    <w:rsid w:val="009322F4"/>
    <w:rsid w:val="00932365"/>
    <w:rsid w:val="0093239B"/>
    <w:rsid w:val="009324FD"/>
    <w:rsid w:val="0093257B"/>
    <w:rsid w:val="009325C9"/>
    <w:rsid w:val="00932731"/>
    <w:rsid w:val="009328CD"/>
    <w:rsid w:val="0093297A"/>
    <w:rsid w:val="009329B4"/>
    <w:rsid w:val="00932A6F"/>
    <w:rsid w:val="00932D6E"/>
    <w:rsid w:val="00932E60"/>
    <w:rsid w:val="00932F0E"/>
    <w:rsid w:val="00932FE3"/>
    <w:rsid w:val="009330EB"/>
    <w:rsid w:val="009331B2"/>
    <w:rsid w:val="00933488"/>
    <w:rsid w:val="009334DE"/>
    <w:rsid w:val="0093376B"/>
    <w:rsid w:val="00933874"/>
    <w:rsid w:val="009338A2"/>
    <w:rsid w:val="009338FF"/>
    <w:rsid w:val="00933938"/>
    <w:rsid w:val="00933AC4"/>
    <w:rsid w:val="00933BC4"/>
    <w:rsid w:val="00933EBE"/>
    <w:rsid w:val="00933ED3"/>
    <w:rsid w:val="00933FAE"/>
    <w:rsid w:val="00933FCA"/>
    <w:rsid w:val="00933FFC"/>
    <w:rsid w:val="00934683"/>
    <w:rsid w:val="009346DD"/>
    <w:rsid w:val="00934736"/>
    <w:rsid w:val="009347B5"/>
    <w:rsid w:val="009347D5"/>
    <w:rsid w:val="00934A62"/>
    <w:rsid w:val="00934C1F"/>
    <w:rsid w:val="00934E23"/>
    <w:rsid w:val="00935049"/>
    <w:rsid w:val="00935179"/>
    <w:rsid w:val="0093518D"/>
    <w:rsid w:val="00935605"/>
    <w:rsid w:val="00935829"/>
    <w:rsid w:val="009358E3"/>
    <w:rsid w:val="00935986"/>
    <w:rsid w:val="00935B08"/>
    <w:rsid w:val="00935B66"/>
    <w:rsid w:val="00935BBF"/>
    <w:rsid w:val="00935D7F"/>
    <w:rsid w:val="00935ED4"/>
    <w:rsid w:val="0093609B"/>
    <w:rsid w:val="00936168"/>
    <w:rsid w:val="00936236"/>
    <w:rsid w:val="0093662F"/>
    <w:rsid w:val="0093665F"/>
    <w:rsid w:val="0093671C"/>
    <w:rsid w:val="00936894"/>
    <w:rsid w:val="0093690A"/>
    <w:rsid w:val="009369DA"/>
    <w:rsid w:val="00936B86"/>
    <w:rsid w:val="00936C0E"/>
    <w:rsid w:val="00936C57"/>
    <w:rsid w:val="00937155"/>
    <w:rsid w:val="00937224"/>
    <w:rsid w:val="00937475"/>
    <w:rsid w:val="0093750E"/>
    <w:rsid w:val="0093763C"/>
    <w:rsid w:val="00937668"/>
    <w:rsid w:val="009377E3"/>
    <w:rsid w:val="0093794C"/>
    <w:rsid w:val="009379E7"/>
    <w:rsid w:val="00937DB0"/>
    <w:rsid w:val="00937DC6"/>
    <w:rsid w:val="00937EFB"/>
    <w:rsid w:val="009403B0"/>
    <w:rsid w:val="009404AF"/>
    <w:rsid w:val="009404DD"/>
    <w:rsid w:val="009404E1"/>
    <w:rsid w:val="00940573"/>
    <w:rsid w:val="0094086F"/>
    <w:rsid w:val="0094091B"/>
    <w:rsid w:val="00940A22"/>
    <w:rsid w:val="00940BFF"/>
    <w:rsid w:val="00940D3A"/>
    <w:rsid w:val="00940E04"/>
    <w:rsid w:val="00940EB4"/>
    <w:rsid w:val="00940FAA"/>
    <w:rsid w:val="00941214"/>
    <w:rsid w:val="0094138D"/>
    <w:rsid w:val="009413F1"/>
    <w:rsid w:val="00941550"/>
    <w:rsid w:val="00941846"/>
    <w:rsid w:val="0094185D"/>
    <w:rsid w:val="0094198E"/>
    <w:rsid w:val="00941D9B"/>
    <w:rsid w:val="00941F19"/>
    <w:rsid w:val="009420FD"/>
    <w:rsid w:val="00942171"/>
    <w:rsid w:val="009421E4"/>
    <w:rsid w:val="0094242D"/>
    <w:rsid w:val="00942438"/>
    <w:rsid w:val="00942504"/>
    <w:rsid w:val="00942697"/>
    <w:rsid w:val="0094283D"/>
    <w:rsid w:val="00942850"/>
    <w:rsid w:val="00942BA8"/>
    <w:rsid w:val="00942CB4"/>
    <w:rsid w:val="00942FFD"/>
    <w:rsid w:val="0094316F"/>
    <w:rsid w:val="0094342A"/>
    <w:rsid w:val="0094375F"/>
    <w:rsid w:val="00943AA0"/>
    <w:rsid w:val="00943C07"/>
    <w:rsid w:val="009441D4"/>
    <w:rsid w:val="0094422E"/>
    <w:rsid w:val="009444E4"/>
    <w:rsid w:val="00944B2D"/>
    <w:rsid w:val="00944BAB"/>
    <w:rsid w:val="00944BC3"/>
    <w:rsid w:val="00944C30"/>
    <w:rsid w:val="00944C5F"/>
    <w:rsid w:val="00944CB4"/>
    <w:rsid w:val="00944CF3"/>
    <w:rsid w:val="00944FE0"/>
    <w:rsid w:val="0094501A"/>
    <w:rsid w:val="009450C9"/>
    <w:rsid w:val="009451FE"/>
    <w:rsid w:val="00945488"/>
    <w:rsid w:val="009456A1"/>
    <w:rsid w:val="00945765"/>
    <w:rsid w:val="00945767"/>
    <w:rsid w:val="00945DA7"/>
    <w:rsid w:val="00945E87"/>
    <w:rsid w:val="00946288"/>
    <w:rsid w:val="009462E0"/>
    <w:rsid w:val="0094659E"/>
    <w:rsid w:val="009465AE"/>
    <w:rsid w:val="0094665C"/>
    <w:rsid w:val="00946D35"/>
    <w:rsid w:val="00946E39"/>
    <w:rsid w:val="009471F7"/>
    <w:rsid w:val="00947585"/>
    <w:rsid w:val="0094759E"/>
    <w:rsid w:val="0094786E"/>
    <w:rsid w:val="00947AE1"/>
    <w:rsid w:val="00947BB9"/>
    <w:rsid w:val="00947C13"/>
    <w:rsid w:val="00947C38"/>
    <w:rsid w:val="00947C75"/>
    <w:rsid w:val="00950363"/>
    <w:rsid w:val="00950389"/>
    <w:rsid w:val="009504E8"/>
    <w:rsid w:val="00950823"/>
    <w:rsid w:val="00950970"/>
    <w:rsid w:val="0095099B"/>
    <w:rsid w:val="00950C22"/>
    <w:rsid w:val="00950DF5"/>
    <w:rsid w:val="009511BF"/>
    <w:rsid w:val="00951272"/>
    <w:rsid w:val="0095137D"/>
    <w:rsid w:val="0095160F"/>
    <w:rsid w:val="00951634"/>
    <w:rsid w:val="009518F3"/>
    <w:rsid w:val="00951919"/>
    <w:rsid w:val="00951B23"/>
    <w:rsid w:val="00951C48"/>
    <w:rsid w:val="00951F17"/>
    <w:rsid w:val="00951FD6"/>
    <w:rsid w:val="00951FEB"/>
    <w:rsid w:val="009523AF"/>
    <w:rsid w:val="0095240F"/>
    <w:rsid w:val="00952504"/>
    <w:rsid w:val="00952557"/>
    <w:rsid w:val="009525BA"/>
    <w:rsid w:val="009525E5"/>
    <w:rsid w:val="00952619"/>
    <w:rsid w:val="009526DB"/>
    <w:rsid w:val="009527FA"/>
    <w:rsid w:val="009529E6"/>
    <w:rsid w:val="009529FB"/>
    <w:rsid w:val="00952A7F"/>
    <w:rsid w:val="00952B58"/>
    <w:rsid w:val="00952C0E"/>
    <w:rsid w:val="00952CB9"/>
    <w:rsid w:val="00952E4F"/>
    <w:rsid w:val="00952EB1"/>
    <w:rsid w:val="00952F27"/>
    <w:rsid w:val="00952F3D"/>
    <w:rsid w:val="009531A3"/>
    <w:rsid w:val="009535B9"/>
    <w:rsid w:val="009535C1"/>
    <w:rsid w:val="00953AE3"/>
    <w:rsid w:val="00953BC6"/>
    <w:rsid w:val="00953C0D"/>
    <w:rsid w:val="00953C96"/>
    <w:rsid w:val="00953CBE"/>
    <w:rsid w:val="00953FC8"/>
    <w:rsid w:val="0095402E"/>
    <w:rsid w:val="009540B5"/>
    <w:rsid w:val="009541D0"/>
    <w:rsid w:val="0095439D"/>
    <w:rsid w:val="009543FA"/>
    <w:rsid w:val="0095445C"/>
    <w:rsid w:val="009545AD"/>
    <w:rsid w:val="009545E4"/>
    <w:rsid w:val="009548C8"/>
    <w:rsid w:val="00954B3C"/>
    <w:rsid w:val="00954B4F"/>
    <w:rsid w:val="00954D0C"/>
    <w:rsid w:val="00954D50"/>
    <w:rsid w:val="00954E4E"/>
    <w:rsid w:val="00954FDA"/>
    <w:rsid w:val="009550DA"/>
    <w:rsid w:val="00955387"/>
    <w:rsid w:val="009553DA"/>
    <w:rsid w:val="00955513"/>
    <w:rsid w:val="00955552"/>
    <w:rsid w:val="009559F3"/>
    <w:rsid w:val="00955B9A"/>
    <w:rsid w:val="00955D7C"/>
    <w:rsid w:val="00955F53"/>
    <w:rsid w:val="00956008"/>
    <w:rsid w:val="00956047"/>
    <w:rsid w:val="00956065"/>
    <w:rsid w:val="009561AC"/>
    <w:rsid w:val="00956739"/>
    <w:rsid w:val="00956973"/>
    <w:rsid w:val="00956B07"/>
    <w:rsid w:val="00956B85"/>
    <w:rsid w:val="00956C56"/>
    <w:rsid w:val="009571C7"/>
    <w:rsid w:val="0095729C"/>
    <w:rsid w:val="009576D3"/>
    <w:rsid w:val="0095771E"/>
    <w:rsid w:val="00957824"/>
    <w:rsid w:val="00957828"/>
    <w:rsid w:val="009578DC"/>
    <w:rsid w:val="00957AEC"/>
    <w:rsid w:val="00957E17"/>
    <w:rsid w:val="00960321"/>
    <w:rsid w:val="00960398"/>
    <w:rsid w:val="009605F9"/>
    <w:rsid w:val="00960662"/>
    <w:rsid w:val="0096070B"/>
    <w:rsid w:val="009609AB"/>
    <w:rsid w:val="00960EB6"/>
    <w:rsid w:val="00960FD2"/>
    <w:rsid w:val="00961040"/>
    <w:rsid w:val="0096106A"/>
    <w:rsid w:val="009610CE"/>
    <w:rsid w:val="00961602"/>
    <w:rsid w:val="00961820"/>
    <w:rsid w:val="00961A10"/>
    <w:rsid w:val="00961B8E"/>
    <w:rsid w:val="00961BB2"/>
    <w:rsid w:val="00961C72"/>
    <w:rsid w:val="00961CDB"/>
    <w:rsid w:val="00961D67"/>
    <w:rsid w:val="00961ED2"/>
    <w:rsid w:val="00961F85"/>
    <w:rsid w:val="00962385"/>
    <w:rsid w:val="009625C8"/>
    <w:rsid w:val="00962654"/>
    <w:rsid w:val="00962727"/>
    <w:rsid w:val="00962739"/>
    <w:rsid w:val="00962A03"/>
    <w:rsid w:val="00962BC3"/>
    <w:rsid w:val="0096301C"/>
    <w:rsid w:val="00963656"/>
    <w:rsid w:val="009637EB"/>
    <w:rsid w:val="0096381C"/>
    <w:rsid w:val="0096383E"/>
    <w:rsid w:val="009638C7"/>
    <w:rsid w:val="009639E9"/>
    <w:rsid w:val="00963BF9"/>
    <w:rsid w:val="00963C02"/>
    <w:rsid w:val="00963DE9"/>
    <w:rsid w:val="00964052"/>
    <w:rsid w:val="00964124"/>
    <w:rsid w:val="00964145"/>
    <w:rsid w:val="0096416A"/>
    <w:rsid w:val="009641C8"/>
    <w:rsid w:val="00964480"/>
    <w:rsid w:val="00964545"/>
    <w:rsid w:val="009647E0"/>
    <w:rsid w:val="0096489B"/>
    <w:rsid w:val="00964AFA"/>
    <w:rsid w:val="00964B78"/>
    <w:rsid w:val="00964D1A"/>
    <w:rsid w:val="00964D36"/>
    <w:rsid w:val="009650DE"/>
    <w:rsid w:val="009656A3"/>
    <w:rsid w:val="00965774"/>
    <w:rsid w:val="009657FA"/>
    <w:rsid w:val="00965B6F"/>
    <w:rsid w:val="00965C43"/>
    <w:rsid w:val="00965FB7"/>
    <w:rsid w:val="00965FC2"/>
    <w:rsid w:val="009663C1"/>
    <w:rsid w:val="0096651F"/>
    <w:rsid w:val="009665BF"/>
    <w:rsid w:val="0096681D"/>
    <w:rsid w:val="00966883"/>
    <w:rsid w:val="0096692A"/>
    <w:rsid w:val="00966A3D"/>
    <w:rsid w:val="00966A55"/>
    <w:rsid w:val="00966ACD"/>
    <w:rsid w:val="00966C72"/>
    <w:rsid w:val="00966D93"/>
    <w:rsid w:val="00966DFF"/>
    <w:rsid w:val="00966E6F"/>
    <w:rsid w:val="009671A6"/>
    <w:rsid w:val="00967234"/>
    <w:rsid w:val="00967299"/>
    <w:rsid w:val="00967583"/>
    <w:rsid w:val="009675FE"/>
    <w:rsid w:val="009677CE"/>
    <w:rsid w:val="0096786D"/>
    <w:rsid w:val="00967B3A"/>
    <w:rsid w:val="00967BFA"/>
    <w:rsid w:val="00967C42"/>
    <w:rsid w:val="00967CEB"/>
    <w:rsid w:val="00967CF3"/>
    <w:rsid w:val="00967E67"/>
    <w:rsid w:val="00967ED1"/>
    <w:rsid w:val="0097029D"/>
    <w:rsid w:val="00970357"/>
    <w:rsid w:val="009703F1"/>
    <w:rsid w:val="0097046A"/>
    <w:rsid w:val="009704D7"/>
    <w:rsid w:val="009708B3"/>
    <w:rsid w:val="00970976"/>
    <w:rsid w:val="00970C3F"/>
    <w:rsid w:val="00970C44"/>
    <w:rsid w:val="00970C64"/>
    <w:rsid w:val="00970CA5"/>
    <w:rsid w:val="00970CB9"/>
    <w:rsid w:val="00970CF4"/>
    <w:rsid w:val="00970F8F"/>
    <w:rsid w:val="0097109A"/>
    <w:rsid w:val="009711EF"/>
    <w:rsid w:val="0097142F"/>
    <w:rsid w:val="009714F9"/>
    <w:rsid w:val="00971696"/>
    <w:rsid w:val="009716AD"/>
    <w:rsid w:val="00971B50"/>
    <w:rsid w:val="00971BA2"/>
    <w:rsid w:val="00971DB3"/>
    <w:rsid w:val="00971FA9"/>
    <w:rsid w:val="00971FAA"/>
    <w:rsid w:val="009721F6"/>
    <w:rsid w:val="009724CA"/>
    <w:rsid w:val="009725E1"/>
    <w:rsid w:val="009726C3"/>
    <w:rsid w:val="00972729"/>
    <w:rsid w:val="009727B9"/>
    <w:rsid w:val="00972801"/>
    <w:rsid w:val="00972804"/>
    <w:rsid w:val="00972CE0"/>
    <w:rsid w:val="00972D2A"/>
    <w:rsid w:val="00972DCB"/>
    <w:rsid w:val="00973180"/>
    <w:rsid w:val="009732C7"/>
    <w:rsid w:val="009733B6"/>
    <w:rsid w:val="00973494"/>
    <w:rsid w:val="00973551"/>
    <w:rsid w:val="009735B4"/>
    <w:rsid w:val="00973AC1"/>
    <w:rsid w:val="00973ADA"/>
    <w:rsid w:val="00973F35"/>
    <w:rsid w:val="00973F8C"/>
    <w:rsid w:val="00973FEA"/>
    <w:rsid w:val="0097404F"/>
    <w:rsid w:val="00974284"/>
    <w:rsid w:val="0097428E"/>
    <w:rsid w:val="00974356"/>
    <w:rsid w:val="00974483"/>
    <w:rsid w:val="009747DB"/>
    <w:rsid w:val="00974E34"/>
    <w:rsid w:val="009752E9"/>
    <w:rsid w:val="00975480"/>
    <w:rsid w:val="0097583B"/>
    <w:rsid w:val="00975AD4"/>
    <w:rsid w:val="00975B9E"/>
    <w:rsid w:val="00975BD1"/>
    <w:rsid w:val="00975EBA"/>
    <w:rsid w:val="00976053"/>
    <w:rsid w:val="009761FC"/>
    <w:rsid w:val="00976498"/>
    <w:rsid w:val="0097656A"/>
    <w:rsid w:val="009765A7"/>
    <w:rsid w:val="00976610"/>
    <w:rsid w:val="009766EA"/>
    <w:rsid w:val="0097685D"/>
    <w:rsid w:val="00976CE3"/>
    <w:rsid w:val="00976CF3"/>
    <w:rsid w:val="00976D08"/>
    <w:rsid w:val="00976D4F"/>
    <w:rsid w:val="00976DCC"/>
    <w:rsid w:val="009770A5"/>
    <w:rsid w:val="009773B8"/>
    <w:rsid w:val="0097757C"/>
    <w:rsid w:val="009775A7"/>
    <w:rsid w:val="009778A8"/>
    <w:rsid w:val="00977A12"/>
    <w:rsid w:val="00977EC0"/>
    <w:rsid w:val="00977FD0"/>
    <w:rsid w:val="00980063"/>
    <w:rsid w:val="00980266"/>
    <w:rsid w:val="00980726"/>
    <w:rsid w:val="00980869"/>
    <w:rsid w:val="00980B7C"/>
    <w:rsid w:val="00980BCF"/>
    <w:rsid w:val="00981054"/>
    <w:rsid w:val="009810C8"/>
    <w:rsid w:val="009813D0"/>
    <w:rsid w:val="0098146E"/>
    <w:rsid w:val="00981476"/>
    <w:rsid w:val="00981577"/>
    <w:rsid w:val="00981AAE"/>
    <w:rsid w:val="00981BE5"/>
    <w:rsid w:val="00981D91"/>
    <w:rsid w:val="00981DA4"/>
    <w:rsid w:val="00981F96"/>
    <w:rsid w:val="0098216A"/>
    <w:rsid w:val="00982179"/>
    <w:rsid w:val="00982207"/>
    <w:rsid w:val="0098229C"/>
    <w:rsid w:val="009823ED"/>
    <w:rsid w:val="00982439"/>
    <w:rsid w:val="00982614"/>
    <w:rsid w:val="00982651"/>
    <w:rsid w:val="009827B5"/>
    <w:rsid w:val="00982823"/>
    <w:rsid w:val="00982FBD"/>
    <w:rsid w:val="009830B7"/>
    <w:rsid w:val="00983292"/>
    <w:rsid w:val="00983464"/>
    <w:rsid w:val="009834A8"/>
    <w:rsid w:val="009836A0"/>
    <w:rsid w:val="009837F4"/>
    <w:rsid w:val="009839ED"/>
    <w:rsid w:val="00983AC1"/>
    <w:rsid w:val="00983C86"/>
    <w:rsid w:val="00983E1D"/>
    <w:rsid w:val="00983F6E"/>
    <w:rsid w:val="00983FCF"/>
    <w:rsid w:val="00984242"/>
    <w:rsid w:val="009844F0"/>
    <w:rsid w:val="00984892"/>
    <w:rsid w:val="00984B0E"/>
    <w:rsid w:val="00984BF2"/>
    <w:rsid w:val="00984F52"/>
    <w:rsid w:val="0098515D"/>
    <w:rsid w:val="009855A3"/>
    <w:rsid w:val="009856E4"/>
    <w:rsid w:val="00985776"/>
    <w:rsid w:val="0098597A"/>
    <w:rsid w:val="00985B0F"/>
    <w:rsid w:val="00985E9F"/>
    <w:rsid w:val="00985EEF"/>
    <w:rsid w:val="00985F82"/>
    <w:rsid w:val="009864F8"/>
    <w:rsid w:val="00986650"/>
    <w:rsid w:val="00986826"/>
    <w:rsid w:val="00986847"/>
    <w:rsid w:val="00986850"/>
    <w:rsid w:val="00986A6A"/>
    <w:rsid w:val="00986CFE"/>
    <w:rsid w:val="00986D8A"/>
    <w:rsid w:val="00986E51"/>
    <w:rsid w:val="00987366"/>
    <w:rsid w:val="0098736D"/>
    <w:rsid w:val="009877F2"/>
    <w:rsid w:val="00987912"/>
    <w:rsid w:val="00987AF3"/>
    <w:rsid w:val="00987AF8"/>
    <w:rsid w:val="00987C57"/>
    <w:rsid w:val="00987C8F"/>
    <w:rsid w:val="00987CC5"/>
    <w:rsid w:val="00987CFD"/>
    <w:rsid w:val="00987D7D"/>
    <w:rsid w:val="00987F2F"/>
    <w:rsid w:val="0099028D"/>
    <w:rsid w:val="009903B4"/>
    <w:rsid w:val="00990463"/>
    <w:rsid w:val="009905AF"/>
    <w:rsid w:val="009905D2"/>
    <w:rsid w:val="00990875"/>
    <w:rsid w:val="00990BF5"/>
    <w:rsid w:val="00990CDE"/>
    <w:rsid w:val="00990F9D"/>
    <w:rsid w:val="009912E1"/>
    <w:rsid w:val="00991338"/>
    <w:rsid w:val="00991510"/>
    <w:rsid w:val="00991530"/>
    <w:rsid w:val="0099153B"/>
    <w:rsid w:val="009917A5"/>
    <w:rsid w:val="009917E4"/>
    <w:rsid w:val="009917F5"/>
    <w:rsid w:val="00991932"/>
    <w:rsid w:val="00991A35"/>
    <w:rsid w:val="00991B9A"/>
    <w:rsid w:val="00991CCC"/>
    <w:rsid w:val="009922C4"/>
    <w:rsid w:val="009922E6"/>
    <w:rsid w:val="009925AA"/>
    <w:rsid w:val="00993147"/>
    <w:rsid w:val="009931C8"/>
    <w:rsid w:val="009933AA"/>
    <w:rsid w:val="00993675"/>
    <w:rsid w:val="0099379D"/>
    <w:rsid w:val="009937E0"/>
    <w:rsid w:val="009940DA"/>
    <w:rsid w:val="0099410E"/>
    <w:rsid w:val="009941F7"/>
    <w:rsid w:val="0099425B"/>
    <w:rsid w:val="0099444B"/>
    <w:rsid w:val="0099454A"/>
    <w:rsid w:val="009945B4"/>
    <w:rsid w:val="009945BB"/>
    <w:rsid w:val="00994617"/>
    <w:rsid w:val="009946FA"/>
    <w:rsid w:val="00994879"/>
    <w:rsid w:val="0099489A"/>
    <w:rsid w:val="009949A7"/>
    <w:rsid w:val="009949CD"/>
    <w:rsid w:val="00994B8C"/>
    <w:rsid w:val="00994E5B"/>
    <w:rsid w:val="00995145"/>
    <w:rsid w:val="009951D8"/>
    <w:rsid w:val="009952F3"/>
    <w:rsid w:val="009957C2"/>
    <w:rsid w:val="0099585E"/>
    <w:rsid w:val="00995A86"/>
    <w:rsid w:val="00995BFA"/>
    <w:rsid w:val="00995DA7"/>
    <w:rsid w:val="00995E4C"/>
    <w:rsid w:val="00995E8B"/>
    <w:rsid w:val="00996112"/>
    <w:rsid w:val="00996302"/>
    <w:rsid w:val="009965CC"/>
    <w:rsid w:val="009966FD"/>
    <w:rsid w:val="00996768"/>
    <w:rsid w:val="00996807"/>
    <w:rsid w:val="009969F2"/>
    <w:rsid w:val="00996C35"/>
    <w:rsid w:val="00996C7E"/>
    <w:rsid w:val="00996EF6"/>
    <w:rsid w:val="00997019"/>
    <w:rsid w:val="009970B4"/>
    <w:rsid w:val="00997523"/>
    <w:rsid w:val="009975A3"/>
    <w:rsid w:val="009976A3"/>
    <w:rsid w:val="00997792"/>
    <w:rsid w:val="009977AC"/>
    <w:rsid w:val="009977C2"/>
    <w:rsid w:val="00997974"/>
    <w:rsid w:val="009979BA"/>
    <w:rsid w:val="00997A8E"/>
    <w:rsid w:val="00997C1E"/>
    <w:rsid w:val="00997CB1"/>
    <w:rsid w:val="00997CDD"/>
    <w:rsid w:val="00997F24"/>
    <w:rsid w:val="00997FD9"/>
    <w:rsid w:val="009A00F7"/>
    <w:rsid w:val="009A015B"/>
    <w:rsid w:val="009A0163"/>
    <w:rsid w:val="009A01D2"/>
    <w:rsid w:val="009A02D2"/>
    <w:rsid w:val="009A038C"/>
    <w:rsid w:val="009A0412"/>
    <w:rsid w:val="009A061F"/>
    <w:rsid w:val="009A0726"/>
    <w:rsid w:val="009A0942"/>
    <w:rsid w:val="009A0A63"/>
    <w:rsid w:val="009A0CEA"/>
    <w:rsid w:val="009A0DAD"/>
    <w:rsid w:val="009A0DEC"/>
    <w:rsid w:val="009A0EC3"/>
    <w:rsid w:val="009A0F05"/>
    <w:rsid w:val="009A0FD6"/>
    <w:rsid w:val="009A10F7"/>
    <w:rsid w:val="009A11D3"/>
    <w:rsid w:val="009A125B"/>
    <w:rsid w:val="009A1292"/>
    <w:rsid w:val="009A1382"/>
    <w:rsid w:val="009A1449"/>
    <w:rsid w:val="009A1486"/>
    <w:rsid w:val="009A1563"/>
    <w:rsid w:val="009A15D5"/>
    <w:rsid w:val="009A1825"/>
    <w:rsid w:val="009A197E"/>
    <w:rsid w:val="009A19F4"/>
    <w:rsid w:val="009A1A30"/>
    <w:rsid w:val="009A1AA0"/>
    <w:rsid w:val="009A1C7C"/>
    <w:rsid w:val="009A1CCE"/>
    <w:rsid w:val="009A1DA3"/>
    <w:rsid w:val="009A1DBF"/>
    <w:rsid w:val="009A1FA5"/>
    <w:rsid w:val="009A2082"/>
    <w:rsid w:val="009A2476"/>
    <w:rsid w:val="009A2481"/>
    <w:rsid w:val="009A25D7"/>
    <w:rsid w:val="009A265E"/>
    <w:rsid w:val="009A274B"/>
    <w:rsid w:val="009A2775"/>
    <w:rsid w:val="009A2879"/>
    <w:rsid w:val="009A28D4"/>
    <w:rsid w:val="009A2941"/>
    <w:rsid w:val="009A2D8E"/>
    <w:rsid w:val="009A2E26"/>
    <w:rsid w:val="009A2EDB"/>
    <w:rsid w:val="009A30E4"/>
    <w:rsid w:val="009A3101"/>
    <w:rsid w:val="009A3103"/>
    <w:rsid w:val="009A3117"/>
    <w:rsid w:val="009A361C"/>
    <w:rsid w:val="009A3703"/>
    <w:rsid w:val="009A38F1"/>
    <w:rsid w:val="009A3B3C"/>
    <w:rsid w:val="009A3C21"/>
    <w:rsid w:val="009A3DEF"/>
    <w:rsid w:val="009A3F58"/>
    <w:rsid w:val="009A3FEF"/>
    <w:rsid w:val="009A407D"/>
    <w:rsid w:val="009A4145"/>
    <w:rsid w:val="009A4277"/>
    <w:rsid w:val="009A438A"/>
    <w:rsid w:val="009A454B"/>
    <w:rsid w:val="009A47F3"/>
    <w:rsid w:val="009A49B3"/>
    <w:rsid w:val="009A5085"/>
    <w:rsid w:val="009A5197"/>
    <w:rsid w:val="009A5614"/>
    <w:rsid w:val="009A5953"/>
    <w:rsid w:val="009A5C20"/>
    <w:rsid w:val="009A5C2E"/>
    <w:rsid w:val="009A5D8A"/>
    <w:rsid w:val="009A5F82"/>
    <w:rsid w:val="009A604A"/>
    <w:rsid w:val="009A61EF"/>
    <w:rsid w:val="009A63DC"/>
    <w:rsid w:val="009A6CDD"/>
    <w:rsid w:val="009A6DAE"/>
    <w:rsid w:val="009A6E33"/>
    <w:rsid w:val="009A70BD"/>
    <w:rsid w:val="009A737E"/>
    <w:rsid w:val="009A763E"/>
    <w:rsid w:val="009A7650"/>
    <w:rsid w:val="009A7BC0"/>
    <w:rsid w:val="009A7DCD"/>
    <w:rsid w:val="009A7F56"/>
    <w:rsid w:val="009A7F67"/>
    <w:rsid w:val="009B013C"/>
    <w:rsid w:val="009B0370"/>
    <w:rsid w:val="009B03E6"/>
    <w:rsid w:val="009B03F8"/>
    <w:rsid w:val="009B0633"/>
    <w:rsid w:val="009B0641"/>
    <w:rsid w:val="009B07B5"/>
    <w:rsid w:val="009B07C3"/>
    <w:rsid w:val="009B0AD5"/>
    <w:rsid w:val="009B0ADC"/>
    <w:rsid w:val="009B0F23"/>
    <w:rsid w:val="009B0F46"/>
    <w:rsid w:val="009B1018"/>
    <w:rsid w:val="009B1166"/>
    <w:rsid w:val="009B1385"/>
    <w:rsid w:val="009B14C0"/>
    <w:rsid w:val="009B167B"/>
    <w:rsid w:val="009B17F3"/>
    <w:rsid w:val="009B184F"/>
    <w:rsid w:val="009B19A5"/>
    <w:rsid w:val="009B1F69"/>
    <w:rsid w:val="009B2071"/>
    <w:rsid w:val="009B2127"/>
    <w:rsid w:val="009B24AC"/>
    <w:rsid w:val="009B2596"/>
    <w:rsid w:val="009B25CB"/>
    <w:rsid w:val="009B26D1"/>
    <w:rsid w:val="009B28F9"/>
    <w:rsid w:val="009B29B7"/>
    <w:rsid w:val="009B2AD4"/>
    <w:rsid w:val="009B2B49"/>
    <w:rsid w:val="009B2CD1"/>
    <w:rsid w:val="009B2D40"/>
    <w:rsid w:val="009B2FC9"/>
    <w:rsid w:val="009B319E"/>
    <w:rsid w:val="009B31CC"/>
    <w:rsid w:val="009B33A2"/>
    <w:rsid w:val="009B362B"/>
    <w:rsid w:val="009B36A6"/>
    <w:rsid w:val="009B36D2"/>
    <w:rsid w:val="009B3B18"/>
    <w:rsid w:val="009B3B67"/>
    <w:rsid w:val="009B3BB8"/>
    <w:rsid w:val="009B3D9A"/>
    <w:rsid w:val="009B3EC9"/>
    <w:rsid w:val="009B40D6"/>
    <w:rsid w:val="009B413B"/>
    <w:rsid w:val="009B417D"/>
    <w:rsid w:val="009B4756"/>
    <w:rsid w:val="009B47DC"/>
    <w:rsid w:val="009B4849"/>
    <w:rsid w:val="009B490D"/>
    <w:rsid w:val="009B4AB2"/>
    <w:rsid w:val="009B4B56"/>
    <w:rsid w:val="009B4DF0"/>
    <w:rsid w:val="009B506E"/>
    <w:rsid w:val="009B5099"/>
    <w:rsid w:val="009B52AF"/>
    <w:rsid w:val="009B530B"/>
    <w:rsid w:val="009B5650"/>
    <w:rsid w:val="009B571C"/>
    <w:rsid w:val="009B5917"/>
    <w:rsid w:val="009B5A72"/>
    <w:rsid w:val="009B5DB0"/>
    <w:rsid w:val="009B5F1B"/>
    <w:rsid w:val="009B6097"/>
    <w:rsid w:val="009B609A"/>
    <w:rsid w:val="009B6193"/>
    <w:rsid w:val="009B6348"/>
    <w:rsid w:val="009B63EE"/>
    <w:rsid w:val="009B6486"/>
    <w:rsid w:val="009B6630"/>
    <w:rsid w:val="009B6698"/>
    <w:rsid w:val="009B6B76"/>
    <w:rsid w:val="009B6D03"/>
    <w:rsid w:val="009B6DD3"/>
    <w:rsid w:val="009B6FEE"/>
    <w:rsid w:val="009B70B9"/>
    <w:rsid w:val="009B70D8"/>
    <w:rsid w:val="009B717A"/>
    <w:rsid w:val="009B7770"/>
    <w:rsid w:val="009B799C"/>
    <w:rsid w:val="009B7C5D"/>
    <w:rsid w:val="009B7D8B"/>
    <w:rsid w:val="009B7E5F"/>
    <w:rsid w:val="009B7F7D"/>
    <w:rsid w:val="009B7FD8"/>
    <w:rsid w:val="009C006A"/>
    <w:rsid w:val="009C00A3"/>
    <w:rsid w:val="009C0170"/>
    <w:rsid w:val="009C04AA"/>
    <w:rsid w:val="009C0709"/>
    <w:rsid w:val="009C0770"/>
    <w:rsid w:val="009C07A0"/>
    <w:rsid w:val="009C08BF"/>
    <w:rsid w:val="009C0924"/>
    <w:rsid w:val="009C0A4D"/>
    <w:rsid w:val="009C0B76"/>
    <w:rsid w:val="009C0B7B"/>
    <w:rsid w:val="009C0DDE"/>
    <w:rsid w:val="009C0FAB"/>
    <w:rsid w:val="009C10F4"/>
    <w:rsid w:val="009C1126"/>
    <w:rsid w:val="009C1133"/>
    <w:rsid w:val="009C185C"/>
    <w:rsid w:val="009C18FC"/>
    <w:rsid w:val="009C1910"/>
    <w:rsid w:val="009C1ABF"/>
    <w:rsid w:val="009C1B79"/>
    <w:rsid w:val="009C1DFE"/>
    <w:rsid w:val="009C1ED8"/>
    <w:rsid w:val="009C200B"/>
    <w:rsid w:val="009C2162"/>
    <w:rsid w:val="009C21EF"/>
    <w:rsid w:val="009C21FC"/>
    <w:rsid w:val="009C22DE"/>
    <w:rsid w:val="009C23CA"/>
    <w:rsid w:val="009C2728"/>
    <w:rsid w:val="009C2785"/>
    <w:rsid w:val="009C27C4"/>
    <w:rsid w:val="009C2873"/>
    <w:rsid w:val="009C2905"/>
    <w:rsid w:val="009C293B"/>
    <w:rsid w:val="009C2952"/>
    <w:rsid w:val="009C295C"/>
    <w:rsid w:val="009C29CA"/>
    <w:rsid w:val="009C29FE"/>
    <w:rsid w:val="009C2DC4"/>
    <w:rsid w:val="009C3010"/>
    <w:rsid w:val="009C304F"/>
    <w:rsid w:val="009C3132"/>
    <w:rsid w:val="009C3210"/>
    <w:rsid w:val="009C33FE"/>
    <w:rsid w:val="009C3440"/>
    <w:rsid w:val="009C35E8"/>
    <w:rsid w:val="009C3790"/>
    <w:rsid w:val="009C3870"/>
    <w:rsid w:val="009C3B38"/>
    <w:rsid w:val="009C3B8D"/>
    <w:rsid w:val="009C3CC4"/>
    <w:rsid w:val="009C3D9D"/>
    <w:rsid w:val="009C3E6E"/>
    <w:rsid w:val="009C3F5C"/>
    <w:rsid w:val="009C3FA6"/>
    <w:rsid w:val="009C4131"/>
    <w:rsid w:val="009C41FB"/>
    <w:rsid w:val="009C47A2"/>
    <w:rsid w:val="009C48F1"/>
    <w:rsid w:val="009C4D76"/>
    <w:rsid w:val="009C4D8E"/>
    <w:rsid w:val="009C4E2D"/>
    <w:rsid w:val="009C4FCE"/>
    <w:rsid w:val="009C4FDC"/>
    <w:rsid w:val="009C5047"/>
    <w:rsid w:val="009C5077"/>
    <w:rsid w:val="009C510C"/>
    <w:rsid w:val="009C5168"/>
    <w:rsid w:val="009C51DD"/>
    <w:rsid w:val="009C5662"/>
    <w:rsid w:val="009C56FD"/>
    <w:rsid w:val="009C5701"/>
    <w:rsid w:val="009C5705"/>
    <w:rsid w:val="009C5741"/>
    <w:rsid w:val="009C5A34"/>
    <w:rsid w:val="009C5B2A"/>
    <w:rsid w:val="009C5BFC"/>
    <w:rsid w:val="009C5E54"/>
    <w:rsid w:val="009C61CC"/>
    <w:rsid w:val="009C627C"/>
    <w:rsid w:val="009C62B0"/>
    <w:rsid w:val="009C632D"/>
    <w:rsid w:val="009C6340"/>
    <w:rsid w:val="009C63E3"/>
    <w:rsid w:val="009C63FF"/>
    <w:rsid w:val="009C65D3"/>
    <w:rsid w:val="009C67C2"/>
    <w:rsid w:val="009C682F"/>
    <w:rsid w:val="009C6993"/>
    <w:rsid w:val="009C6997"/>
    <w:rsid w:val="009C6BA2"/>
    <w:rsid w:val="009C6F0D"/>
    <w:rsid w:val="009C715E"/>
    <w:rsid w:val="009C7298"/>
    <w:rsid w:val="009C744F"/>
    <w:rsid w:val="009C750D"/>
    <w:rsid w:val="009C77AD"/>
    <w:rsid w:val="009C7AD2"/>
    <w:rsid w:val="009C7CA3"/>
    <w:rsid w:val="009C7D90"/>
    <w:rsid w:val="009C7DD3"/>
    <w:rsid w:val="009C7FAA"/>
    <w:rsid w:val="009D0092"/>
    <w:rsid w:val="009D00E5"/>
    <w:rsid w:val="009D00FA"/>
    <w:rsid w:val="009D011E"/>
    <w:rsid w:val="009D0850"/>
    <w:rsid w:val="009D0958"/>
    <w:rsid w:val="009D0A5D"/>
    <w:rsid w:val="009D0C32"/>
    <w:rsid w:val="009D0EEB"/>
    <w:rsid w:val="009D0FBB"/>
    <w:rsid w:val="009D1097"/>
    <w:rsid w:val="009D118B"/>
    <w:rsid w:val="009D11AD"/>
    <w:rsid w:val="009D1286"/>
    <w:rsid w:val="009D13D5"/>
    <w:rsid w:val="009D18CF"/>
    <w:rsid w:val="009D192C"/>
    <w:rsid w:val="009D1937"/>
    <w:rsid w:val="009D1AA3"/>
    <w:rsid w:val="009D1B5C"/>
    <w:rsid w:val="009D1D6B"/>
    <w:rsid w:val="009D1FD1"/>
    <w:rsid w:val="009D2009"/>
    <w:rsid w:val="009D214A"/>
    <w:rsid w:val="009D2592"/>
    <w:rsid w:val="009D26BC"/>
    <w:rsid w:val="009D26D5"/>
    <w:rsid w:val="009D2725"/>
    <w:rsid w:val="009D2776"/>
    <w:rsid w:val="009D2A73"/>
    <w:rsid w:val="009D2BE9"/>
    <w:rsid w:val="009D2D49"/>
    <w:rsid w:val="009D2F45"/>
    <w:rsid w:val="009D2F7D"/>
    <w:rsid w:val="009D2FC1"/>
    <w:rsid w:val="009D30BB"/>
    <w:rsid w:val="009D310D"/>
    <w:rsid w:val="009D34F1"/>
    <w:rsid w:val="009D36A8"/>
    <w:rsid w:val="009D398F"/>
    <w:rsid w:val="009D3B1E"/>
    <w:rsid w:val="009D3BEA"/>
    <w:rsid w:val="009D3D86"/>
    <w:rsid w:val="009D3F46"/>
    <w:rsid w:val="009D3F7A"/>
    <w:rsid w:val="009D4087"/>
    <w:rsid w:val="009D4145"/>
    <w:rsid w:val="009D4206"/>
    <w:rsid w:val="009D44C5"/>
    <w:rsid w:val="009D466C"/>
    <w:rsid w:val="009D467E"/>
    <w:rsid w:val="009D46EB"/>
    <w:rsid w:val="009D47BC"/>
    <w:rsid w:val="009D4937"/>
    <w:rsid w:val="009D4B1A"/>
    <w:rsid w:val="009D4B7A"/>
    <w:rsid w:val="009D4CB2"/>
    <w:rsid w:val="009D50BD"/>
    <w:rsid w:val="009D517B"/>
    <w:rsid w:val="009D5230"/>
    <w:rsid w:val="009D52AC"/>
    <w:rsid w:val="009D5367"/>
    <w:rsid w:val="009D56A2"/>
    <w:rsid w:val="009D597E"/>
    <w:rsid w:val="009D59D1"/>
    <w:rsid w:val="009D5AB5"/>
    <w:rsid w:val="009D5AEF"/>
    <w:rsid w:val="009D5AF4"/>
    <w:rsid w:val="009D5D6E"/>
    <w:rsid w:val="009D5ED0"/>
    <w:rsid w:val="009D5F36"/>
    <w:rsid w:val="009D607D"/>
    <w:rsid w:val="009D6259"/>
    <w:rsid w:val="009D64E1"/>
    <w:rsid w:val="009D65C7"/>
    <w:rsid w:val="009D6803"/>
    <w:rsid w:val="009D6C3B"/>
    <w:rsid w:val="009D6D38"/>
    <w:rsid w:val="009D6ED4"/>
    <w:rsid w:val="009D7108"/>
    <w:rsid w:val="009D716E"/>
    <w:rsid w:val="009D730B"/>
    <w:rsid w:val="009D74D6"/>
    <w:rsid w:val="009D782B"/>
    <w:rsid w:val="009D789C"/>
    <w:rsid w:val="009D7A64"/>
    <w:rsid w:val="009D7C04"/>
    <w:rsid w:val="009D7EF1"/>
    <w:rsid w:val="009D7F96"/>
    <w:rsid w:val="009E03CB"/>
    <w:rsid w:val="009E0438"/>
    <w:rsid w:val="009E0870"/>
    <w:rsid w:val="009E0E9B"/>
    <w:rsid w:val="009E0EC9"/>
    <w:rsid w:val="009E0EDF"/>
    <w:rsid w:val="009E10FC"/>
    <w:rsid w:val="009E13AB"/>
    <w:rsid w:val="009E150D"/>
    <w:rsid w:val="009E16AE"/>
    <w:rsid w:val="009E17A1"/>
    <w:rsid w:val="009E1BAA"/>
    <w:rsid w:val="009E1BDC"/>
    <w:rsid w:val="009E1CEB"/>
    <w:rsid w:val="009E1DA3"/>
    <w:rsid w:val="009E1DB6"/>
    <w:rsid w:val="009E1F78"/>
    <w:rsid w:val="009E1F7B"/>
    <w:rsid w:val="009E200C"/>
    <w:rsid w:val="009E2034"/>
    <w:rsid w:val="009E2328"/>
    <w:rsid w:val="009E26AE"/>
    <w:rsid w:val="009E2767"/>
    <w:rsid w:val="009E282A"/>
    <w:rsid w:val="009E2875"/>
    <w:rsid w:val="009E28CD"/>
    <w:rsid w:val="009E2F23"/>
    <w:rsid w:val="009E3113"/>
    <w:rsid w:val="009E3147"/>
    <w:rsid w:val="009E314F"/>
    <w:rsid w:val="009E3247"/>
    <w:rsid w:val="009E333F"/>
    <w:rsid w:val="009E337A"/>
    <w:rsid w:val="009E340F"/>
    <w:rsid w:val="009E3690"/>
    <w:rsid w:val="009E37C8"/>
    <w:rsid w:val="009E384A"/>
    <w:rsid w:val="009E38CB"/>
    <w:rsid w:val="009E3901"/>
    <w:rsid w:val="009E3933"/>
    <w:rsid w:val="009E3C37"/>
    <w:rsid w:val="009E3C5E"/>
    <w:rsid w:val="009E3EA8"/>
    <w:rsid w:val="009E3F51"/>
    <w:rsid w:val="009E3FEE"/>
    <w:rsid w:val="009E4223"/>
    <w:rsid w:val="009E4521"/>
    <w:rsid w:val="009E4913"/>
    <w:rsid w:val="009E4A07"/>
    <w:rsid w:val="009E4C76"/>
    <w:rsid w:val="009E4CC5"/>
    <w:rsid w:val="009E4F18"/>
    <w:rsid w:val="009E5230"/>
    <w:rsid w:val="009E54E5"/>
    <w:rsid w:val="009E55C6"/>
    <w:rsid w:val="009E55D4"/>
    <w:rsid w:val="009E5AEC"/>
    <w:rsid w:val="009E6B68"/>
    <w:rsid w:val="009E6BD8"/>
    <w:rsid w:val="009E6E0B"/>
    <w:rsid w:val="009E6E3E"/>
    <w:rsid w:val="009E7092"/>
    <w:rsid w:val="009E70D1"/>
    <w:rsid w:val="009E736E"/>
    <w:rsid w:val="009E7543"/>
    <w:rsid w:val="009E7643"/>
    <w:rsid w:val="009E781B"/>
    <w:rsid w:val="009E785F"/>
    <w:rsid w:val="009E792E"/>
    <w:rsid w:val="009E7AA5"/>
    <w:rsid w:val="009E7F0C"/>
    <w:rsid w:val="009E7F11"/>
    <w:rsid w:val="009F008E"/>
    <w:rsid w:val="009F05CC"/>
    <w:rsid w:val="009F0997"/>
    <w:rsid w:val="009F0BA5"/>
    <w:rsid w:val="009F0C6D"/>
    <w:rsid w:val="009F0F7E"/>
    <w:rsid w:val="009F11E6"/>
    <w:rsid w:val="009F122B"/>
    <w:rsid w:val="009F1279"/>
    <w:rsid w:val="009F16A5"/>
    <w:rsid w:val="009F1834"/>
    <w:rsid w:val="009F19B9"/>
    <w:rsid w:val="009F19CF"/>
    <w:rsid w:val="009F1A42"/>
    <w:rsid w:val="009F1B92"/>
    <w:rsid w:val="009F1E12"/>
    <w:rsid w:val="009F20B7"/>
    <w:rsid w:val="009F24B9"/>
    <w:rsid w:val="009F2529"/>
    <w:rsid w:val="009F253D"/>
    <w:rsid w:val="009F2701"/>
    <w:rsid w:val="009F28D2"/>
    <w:rsid w:val="009F2DDD"/>
    <w:rsid w:val="009F2E2B"/>
    <w:rsid w:val="009F2F52"/>
    <w:rsid w:val="009F3024"/>
    <w:rsid w:val="009F33D7"/>
    <w:rsid w:val="009F34C2"/>
    <w:rsid w:val="009F3514"/>
    <w:rsid w:val="009F3651"/>
    <w:rsid w:val="009F375A"/>
    <w:rsid w:val="009F3ED6"/>
    <w:rsid w:val="009F3F18"/>
    <w:rsid w:val="009F3FD6"/>
    <w:rsid w:val="009F431C"/>
    <w:rsid w:val="009F4351"/>
    <w:rsid w:val="009F44D6"/>
    <w:rsid w:val="009F468F"/>
    <w:rsid w:val="009F4917"/>
    <w:rsid w:val="009F4A0F"/>
    <w:rsid w:val="009F4A45"/>
    <w:rsid w:val="009F4ABC"/>
    <w:rsid w:val="009F4E5D"/>
    <w:rsid w:val="009F4E5F"/>
    <w:rsid w:val="009F5022"/>
    <w:rsid w:val="009F52DC"/>
    <w:rsid w:val="009F52E0"/>
    <w:rsid w:val="009F5454"/>
    <w:rsid w:val="009F554F"/>
    <w:rsid w:val="009F5758"/>
    <w:rsid w:val="009F5832"/>
    <w:rsid w:val="009F583B"/>
    <w:rsid w:val="009F5942"/>
    <w:rsid w:val="009F5AA2"/>
    <w:rsid w:val="009F5B1A"/>
    <w:rsid w:val="009F5B81"/>
    <w:rsid w:val="009F5BC5"/>
    <w:rsid w:val="009F5CC3"/>
    <w:rsid w:val="009F5CFC"/>
    <w:rsid w:val="009F5DE6"/>
    <w:rsid w:val="009F5DFA"/>
    <w:rsid w:val="009F5E52"/>
    <w:rsid w:val="009F64B0"/>
    <w:rsid w:val="009F6537"/>
    <w:rsid w:val="009F67AC"/>
    <w:rsid w:val="009F6875"/>
    <w:rsid w:val="009F6B25"/>
    <w:rsid w:val="009F6B7A"/>
    <w:rsid w:val="009F6D2C"/>
    <w:rsid w:val="009F6E73"/>
    <w:rsid w:val="009F73C4"/>
    <w:rsid w:val="009F73CF"/>
    <w:rsid w:val="009F74E9"/>
    <w:rsid w:val="009F758F"/>
    <w:rsid w:val="009F762A"/>
    <w:rsid w:val="009F76C7"/>
    <w:rsid w:val="009F789B"/>
    <w:rsid w:val="009F78AF"/>
    <w:rsid w:val="009F796A"/>
    <w:rsid w:val="009F7999"/>
    <w:rsid w:val="009F79AB"/>
    <w:rsid w:val="009F7A99"/>
    <w:rsid w:val="009F7BB9"/>
    <w:rsid w:val="00A001FB"/>
    <w:rsid w:val="00A0023A"/>
    <w:rsid w:val="00A002A0"/>
    <w:rsid w:val="00A0032D"/>
    <w:rsid w:val="00A00399"/>
    <w:rsid w:val="00A006EF"/>
    <w:rsid w:val="00A00827"/>
    <w:rsid w:val="00A008AD"/>
    <w:rsid w:val="00A00C4A"/>
    <w:rsid w:val="00A00FC5"/>
    <w:rsid w:val="00A00FEA"/>
    <w:rsid w:val="00A01072"/>
    <w:rsid w:val="00A0122A"/>
    <w:rsid w:val="00A01406"/>
    <w:rsid w:val="00A01553"/>
    <w:rsid w:val="00A017D8"/>
    <w:rsid w:val="00A018F9"/>
    <w:rsid w:val="00A01D08"/>
    <w:rsid w:val="00A01D88"/>
    <w:rsid w:val="00A01EAB"/>
    <w:rsid w:val="00A01F69"/>
    <w:rsid w:val="00A02264"/>
    <w:rsid w:val="00A02363"/>
    <w:rsid w:val="00A025A0"/>
    <w:rsid w:val="00A025F1"/>
    <w:rsid w:val="00A02805"/>
    <w:rsid w:val="00A02B1F"/>
    <w:rsid w:val="00A02C32"/>
    <w:rsid w:val="00A02FF7"/>
    <w:rsid w:val="00A03205"/>
    <w:rsid w:val="00A03298"/>
    <w:rsid w:val="00A0329F"/>
    <w:rsid w:val="00A034E4"/>
    <w:rsid w:val="00A0352D"/>
    <w:rsid w:val="00A036DD"/>
    <w:rsid w:val="00A037DD"/>
    <w:rsid w:val="00A039F2"/>
    <w:rsid w:val="00A03ADE"/>
    <w:rsid w:val="00A041B7"/>
    <w:rsid w:val="00A045EB"/>
    <w:rsid w:val="00A04688"/>
    <w:rsid w:val="00A04766"/>
    <w:rsid w:val="00A047A1"/>
    <w:rsid w:val="00A04891"/>
    <w:rsid w:val="00A04AE2"/>
    <w:rsid w:val="00A04CA1"/>
    <w:rsid w:val="00A04CC7"/>
    <w:rsid w:val="00A04E70"/>
    <w:rsid w:val="00A04E87"/>
    <w:rsid w:val="00A0506F"/>
    <w:rsid w:val="00A0514E"/>
    <w:rsid w:val="00A05328"/>
    <w:rsid w:val="00A054A3"/>
    <w:rsid w:val="00A056CA"/>
    <w:rsid w:val="00A058C1"/>
    <w:rsid w:val="00A05BBB"/>
    <w:rsid w:val="00A05D81"/>
    <w:rsid w:val="00A060FD"/>
    <w:rsid w:val="00A063B5"/>
    <w:rsid w:val="00A064B3"/>
    <w:rsid w:val="00A06502"/>
    <w:rsid w:val="00A06553"/>
    <w:rsid w:val="00A0658C"/>
    <w:rsid w:val="00A06727"/>
    <w:rsid w:val="00A06B44"/>
    <w:rsid w:val="00A06B72"/>
    <w:rsid w:val="00A06F51"/>
    <w:rsid w:val="00A0713D"/>
    <w:rsid w:val="00A071A4"/>
    <w:rsid w:val="00A0754D"/>
    <w:rsid w:val="00A075C7"/>
    <w:rsid w:val="00A07781"/>
    <w:rsid w:val="00A07BC3"/>
    <w:rsid w:val="00A07E12"/>
    <w:rsid w:val="00A07F47"/>
    <w:rsid w:val="00A101A9"/>
    <w:rsid w:val="00A102D5"/>
    <w:rsid w:val="00A10357"/>
    <w:rsid w:val="00A104EB"/>
    <w:rsid w:val="00A1051C"/>
    <w:rsid w:val="00A10661"/>
    <w:rsid w:val="00A106C9"/>
    <w:rsid w:val="00A106EC"/>
    <w:rsid w:val="00A1072A"/>
    <w:rsid w:val="00A108A9"/>
    <w:rsid w:val="00A10AA0"/>
    <w:rsid w:val="00A10F31"/>
    <w:rsid w:val="00A110BF"/>
    <w:rsid w:val="00A11441"/>
    <w:rsid w:val="00A11769"/>
    <w:rsid w:val="00A117E9"/>
    <w:rsid w:val="00A11818"/>
    <w:rsid w:val="00A119AC"/>
    <w:rsid w:val="00A119D3"/>
    <w:rsid w:val="00A11ABA"/>
    <w:rsid w:val="00A11B63"/>
    <w:rsid w:val="00A11C4D"/>
    <w:rsid w:val="00A11C5F"/>
    <w:rsid w:val="00A11D2C"/>
    <w:rsid w:val="00A11F88"/>
    <w:rsid w:val="00A12063"/>
    <w:rsid w:val="00A12072"/>
    <w:rsid w:val="00A123B2"/>
    <w:rsid w:val="00A125E9"/>
    <w:rsid w:val="00A1262A"/>
    <w:rsid w:val="00A12638"/>
    <w:rsid w:val="00A127E0"/>
    <w:rsid w:val="00A12862"/>
    <w:rsid w:val="00A128EE"/>
    <w:rsid w:val="00A12968"/>
    <w:rsid w:val="00A12973"/>
    <w:rsid w:val="00A12B90"/>
    <w:rsid w:val="00A12BF7"/>
    <w:rsid w:val="00A12CF5"/>
    <w:rsid w:val="00A12D45"/>
    <w:rsid w:val="00A13132"/>
    <w:rsid w:val="00A132D6"/>
    <w:rsid w:val="00A132FB"/>
    <w:rsid w:val="00A13311"/>
    <w:rsid w:val="00A1340E"/>
    <w:rsid w:val="00A13723"/>
    <w:rsid w:val="00A13C73"/>
    <w:rsid w:val="00A13E19"/>
    <w:rsid w:val="00A13F7F"/>
    <w:rsid w:val="00A14098"/>
    <w:rsid w:val="00A140AA"/>
    <w:rsid w:val="00A141C8"/>
    <w:rsid w:val="00A14218"/>
    <w:rsid w:val="00A142E8"/>
    <w:rsid w:val="00A14380"/>
    <w:rsid w:val="00A14500"/>
    <w:rsid w:val="00A146F1"/>
    <w:rsid w:val="00A149D6"/>
    <w:rsid w:val="00A14DB4"/>
    <w:rsid w:val="00A14ED5"/>
    <w:rsid w:val="00A1531A"/>
    <w:rsid w:val="00A153B0"/>
    <w:rsid w:val="00A1574E"/>
    <w:rsid w:val="00A15791"/>
    <w:rsid w:val="00A15991"/>
    <w:rsid w:val="00A159C2"/>
    <w:rsid w:val="00A15C18"/>
    <w:rsid w:val="00A15D50"/>
    <w:rsid w:val="00A15D99"/>
    <w:rsid w:val="00A16217"/>
    <w:rsid w:val="00A1635B"/>
    <w:rsid w:val="00A163E2"/>
    <w:rsid w:val="00A165BE"/>
    <w:rsid w:val="00A167EF"/>
    <w:rsid w:val="00A16988"/>
    <w:rsid w:val="00A169FC"/>
    <w:rsid w:val="00A16AA3"/>
    <w:rsid w:val="00A16AD2"/>
    <w:rsid w:val="00A16BA0"/>
    <w:rsid w:val="00A16DA0"/>
    <w:rsid w:val="00A16E45"/>
    <w:rsid w:val="00A16F67"/>
    <w:rsid w:val="00A17348"/>
    <w:rsid w:val="00A174C8"/>
    <w:rsid w:val="00A174CE"/>
    <w:rsid w:val="00A1768C"/>
    <w:rsid w:val="00A17792"/>
    <w:rsid w:val="00A17A4B"/>
    <w:rsid w:val="00A17B92"/>
    <w:rsid w:val="00A17BA8"/>
    <w:rsid w:val="00A17BF9"/>
    <w:rsid w:val="00A17C66"/>
    <w:rsid w:val="00A20092"/>
    <w:rsid w:val="00A20233"/>
    <w:rsid w:val="00A202FC"/>
    <w:rsid w:val="00A2047C"/>
    <w:rsid w:val="00A205C2"/>
    <w:rsid w:val="00A20781"/>
    <w:rsid w:val="00A207C0"/>
    <w:rsid w:val="00A20814"/>
    <w:rsid w:val="00A2089E"/>
    <w:rsid w:val="00A208CF"/>
    <w:rsid w:val="00A2098F"/>
    <w:rsid w:val="00A20AD7"/>
    <w:rsid w:val="00A20BB5"/>
    <w:rsid w:val="00A20C69"/>
    <w:rsid w:val="00A20DE8"/>
    <w:rsid w:val="00A20FAC"/>
    <w:rsid w:val="00A212D9"/>
    <w:rsid w:val="00A21405"/>
    <w:rsid w:val="00A21966"/>
    <w:rsid w:val="00A21AF2"/>
    <w:rsid w:val="00A21EBA"/>
    <w:rsid w:val="00A21EC3"/>
    <w:rsid w:val="00A21EF8"/>
    <w:rsid w:val="00A21F39"/>
    <w:rsid w:val="00A2234B"/>
    <w:rsid w:val="00A22404"/>
    <w:rsid w:val="00A224B5"/>
    <w:rsid w:val="00A225F3"/>
    <w:rsid w:val="00A2292C"/>
    <w:rsid w:val="00A22A81"/>
    <w:rsid w:val="00A22A8F"/>
    <w:rsid w:val="00A22AE0"/>
    <w:rsid w:val="00A22CCD"/>
    <w:rsid w:val="00A22EC5"/>
    <w:rsid w:val="00A22F0F"/>
    <w:rsid w:val="00A22F55"/>
    <w:rsid w:val="00A2317F"/>
    <w:rsid w:val="00A23600"/>
    <w:rsid w:val="00A2367D"/>
    <w:rsid w:val="00A23692"/>
    <w:rsid w:val="00A23A27"/>
    <w:rsid w:val="00A23B90"/>
    <w:rsid w:val="00A23BB6"/>
    <w:rsid w:val="00A23D7F"/>
    <w:rsid w:val="00A23F8E"/>
    <w:rsid w:val="00A243AF"/>
    <w:rsid w:val="00A24480"/>
    <w:rsid w:val="00A24A32"/>
    <w:rsid w:val="00A24A3B"/>
    <w:rsid w:val="00A24BA5"/>
    <w:rsid w:val="00A24D4B"/>
    <w:rsid w:val="00A250E7"/>
    <w:rsid w:val="00A25215"/>
    <w:rsid w:val="00A2531C"/>
    <w:rsid w:val="00A253F8"/>
    <w:rsid w:val="00A2540D"/>
    <w:rsid w:val="00A2541B"/>
    <w:rsid w:val="00A25734"/>
    <w:rsid w:val="00A258DF"/>
    <w:rsid w:val="00A25B6F"/>
    <w:rsid w:val="00A25BA9"/>
    <w:rsid w:val="00A25E96"/>
    <w:rsid w:val="00A261CA"/>
    <w:rsid w:val="00A2625D"/>
    <w:rsid w:val="00A26343"/>
    <w:rsid w:val="00A263AB"/>
    <w:rsid w:val="00A26C4E"/>
    <w:rsid w:val="00A26E1E"/>
    <w:rsid w:val="00A26F9A"/>
    <w:rsid w:val="00A270A0"/>
    <w:rsid w:val="00A270F1"/>
    <w:rsid w:val="00A27143"/>
    <w:rsid w:val="00A27945"/>
    <w:rsid w:val="00A279F4"/>
    <w:rsid w:val="00A27B65"/>
    <w:rsid w:val="00A27C54"/>
    <w:rsid w:val="00A27DF4"/>
    <w:rsid w:val="00A300D0"/>
    <w:rsid w:val="00A30174"/>
    <w:rsid w:val="00A3021E"/>
    <w:rsid w:val="00A304A9"/>
    <w:rsid w:val="00A30637"/>
    <w:rsid w:val="00A30689"/>
    <w:rsid w:val="00A306FF"/>
    <w:rsid w:val="00A309C4"/>
    <w:rsid w:val="00A30B90"/>
    <w:rsid w:val="00A30C46"/>
    <w:rsid w:val="00A30DC5"/>
    <w:rsid w:val="00A30DD6"/>
    <w:rsid w:val="00A30FE0"/>
    <w:rsid w:val="00A31330"/>
    <w:rsid w:val="00A31451"/>
    <w:rsid w:val="00A316A7"/>
    <w:rsid w:val="00A31E3E"/>
    <w:rsid w:val="00A31E48"/>
    <w:rsid w:val="00A31E8F"/>
    <w:rsid w:val="00A31FB3"/>
    <w:rsid w:val="00A32025"/>
    <w:rsid w:val="00A32031"/>
    <w:rsid w:val="00A323B0"/>
    <w:rsid w:val="00A32702"/>
    <w:rsid w:val="00A327B1"/>
    <w:rsid w:val="00A32AC2"/>
    <w:rsid w:val="00A32C70"/>
    <w:rsid w:val="00A32C73"/>
    <w:rsid w:val="00A32DE4"/>
    <w:rsid w:val="00A33058"/>
    <w:rsid w:val="00A33156"/>
    <w:rsid w:val="00A331DF"/>
    <w:rsid w:val="00A3324A"/>
    <w:rsid w:val="00A332CD"/>
    <w:rsid w:val="00A33516"/>
    <w:rsid w:val="00A335A8"/>
    <w:rsid w:val="00A3392E"/>
    <w:rsid w:val="00A33959"/>
    <w:rsid w:val="00A33AE5"/>
    <w:rsid w:val="00A33B05"/>
    <w:rsid w:val="00A33CAC"/>
    <w:rsid w:val="00A33D73"/>
    <w:rsid w:val="00A33E08"/>
    <w:rsid w:val="00A33FAE"/>
    <w:rsid w:val="00A34303"/>
    <w:rsid w:val="00A343EF"/>
    <w:rsid w:val="00A34626"/>
    <w:rsid w:val="00A34729"/>
    <w:rsid w:val="00A34BCC"/>
    <w:rsid w:val="00A34E4F"/>
    <w:rsid w:val="00A34E71"/>
    <w:rsid w:val="00A34F5E"/>
    <w:rsid w:val="00A35068"/>
    <w:rsid w:val="00A35684"/>
    <w:rsid w:val="00A35771"/>
    <w:rsid w:val="00A35983"/>
    <w:rsid w:val="00A35AAF"/>
    <w:rsid w:val="00A35BD9"/>
    <w:rsid w:val="00A35CC1"/>
    <w:rsid w:val="00A362E4"/>
    <w:rsid w:val="00A3650B"/>
    <w:rsid w:val="00A367A5"/>
    <w:rsid w:val="00A367A6"/>
    <w:rsid w:val="00A3687D"/>
    <w:rsid w:val="00A3689D"/>
    <w:rsid w:val="00A3691F"/>
    <w:rsid w:val="00A369C5"/>
    <w:rsid w:val="00A36C24"/>
    <w:rsid w:val="00A36CE0"/>
    <w:rsid w:val="00A36F08"/>
    <w:rsid w:val="00A37016"/>
    <w:rsid w:val="00A37189"/>
    <w:rsid w:val="00A37417"/>
    <w:rsid w:val="00A37652"/>
    <w:rsid w:val="00A37710"/>
    <w:rsid w:val="00A3788F"/>
    <w:rsid w:val="00A378AB"/>
    <w:rsid w:val="00A379F9"/>
    <w:rsid w:val="00A37ACD"/>
    <w:rsid w:val="00A37B1E"/>
    <w:rsid w:val="00A37C8A"/>
    <w:rsid w:val="00A37D33"/>
    <w:rsid w:val="00A37F3A"/>
    <w:rsid w:val="00A37FF5"/>
    <w:rsid w:val="00A40171"/>
    <w:rsid w:val="00A401F6"/>
    <w:rsid w:val="00A40306"/>
    <w:rsid w:val="00A40329"/>
    <w:rsid w:val="00A403C5"/>
    <w:rsid w:val="00A4050C"/>
    <w:rsid w:val="00A40631"/>
    <w:rsid w:val="00A40B85"/>
    <w:rsid w:val="00A40E2B"/>
    <w:rsid w:val="00A40E98"/>
    <w:rsid w:val="00A40F35"/>
    <w:rsid w:val="00A41161"/>
    <w:rsid w:val="00A411F0"/>
    <w:rsid w:val="00A413BF"/>
    <w:rsid w:val="00A41412"/>
    <w:rsid w:val="00A414B9"/>
    <w:rsid w:val="00A41652"/>
    <w:rsid w:val="00A416D2"/>
    <w:rsid w:val="00A41764"/>
    <w:rsid w:val="00A41B20"/>
    <w:rsid w:val="00A41B65"/>
    <w:rsid w:val="00A41B6F"/>
    <w:rsid w:val="00A41EA7"/>
    <w:rsid w:val="00A4264D"/>
    <w:rsid w:val="00A4265E"/>
    <w:rsid w:val="00A426DB"/>
    <w:rsid w:val="00A42749"/>
    <w:rsid w:val="00A42B0B"/>
    <w:rsid w:val="00A42D3F"/>
    <w:rsid w:val="00A42F65"/>
    <w:rsid w:val="00A432BE"/>
    <w:rsid w:val="00A4343C"/>
    <w:rsid w:val="00A4380B"/>
    <w:rsid w:val="00A439F9"/>
    <w:rsid w:val="00A43A5F"/>
    <w:rsid w:val="00A43C29"/>
    <w:rsid w:val="00A43E5C"/>
    <w:rsid w:val="00A43EF6"/>
    <w:rsid w:val="00A441A4"/>
    <w:rsid w:val="00A4431C"/>
    <w:rsid w:val="00A44452"/>
    <w:rsid w:val="00A4468E"/>
    <w:rsid w:val="00A44796"/>
    <w:rsid w:val="00A44923"/>
    <w:rsid w:val="00A449E5"/>
    <w:rsid w:val="00A44A20"/>
    <w:rsid w:val="00A44AC3"/>
    <w:rsid w:val="00A44D7A"/>
    <w:rsid w:val="00A44E87"/>
    <w:rsid w:val="00A4524C"/>
    <w:rsid w:val="00A45670"/>
    <w:rsid w:val="00A45724"/>
    <w:rsid w:val="00A45969"/>
    <w:rsid w:val="00A45AE4"/>
    <w:rsid w:val="00A45B07"/>
    <w:rsid w:val="00A45C5C"/>
    <w:rsid w:val="00A45D17"/>
    <w:rsid w:val="00A45D2B"/>
    <w:rsid w:val="00A45FCF"/>
    <w:rsid w:val="00A4616A"/>
    <w:rsid w:val="00A46220"/>
    <w:rsid w:val="00A46222"/>
    <w:rsid w:val="00A4669C"/>
    <w:rsid w:val="00A466FB"/>
    <w:rsid w:val="00A4673C"/>
    <w:rsid w:val="00A46990"/>
    <w:rsid w:val="00A46994"/>
    <w:rsid w:val="00A469BF"/>
    <w:rsid w:val="00A469F2"/>
    <w:rsid w:val="00A469F7"/>
    <w:rsid w:val="00A46C56"/>
    <w:rsid w:val="00A46CFA"/>
    <w:rsid w:val="00A46D28"/>
    <w:rsid w:val="00A475FA"/>
    <w:rsid w:val="00A476EC"/>
    <w:rsid w:val="00A4776A"/>
    <w:rsid w:val="00A47829"/>
    <w:rsid w:val="00A478B9"/>
    <w:rsid w:val="00A479D0"/>
    <w:rsid w:val="00A47AF3"/>
    <w:rsid w:val="00A47D8C"/>
    <w:rsid w:val="00A47DEE"/>
    <w:rsid w:val="00A503BC"/>
    <w:rsid w:val="00A50545"/>
    <w:rsid w:val="00A505B9"/>
    <w:rsid w:val="00A5066F"/>
    <w:rsid w:val="00A50883"/>
    <w:rsid w:val="00A509E1"/>
    <w:rsid w:val="00A50C57"/>
    <w:rsid w:val="00A50D72"/>
    <w:rsid w:val="00A50E45"/>
    <w:rsid w:val="00A50F10"/>
    <w:rsid w:val="00A51100"/>
    <w:rsid w:val="00A5118A"/>
    <w:rsid w:val="00A5144E"/>
    <w:rsid w:val="00A516B7"/>
    <w:rsid w:val="00A51758"/>
    <w:rsid w:val="00A51776"/>
    <w:rsid w:val="00A51972"/>
    <w:rsid w:val="00A51B2C"/>
    <w:rsid w:val="00A51DEE"/>
    <w:rsid w:val="00A51F3D"/>
    <w:rsid w:val="00A521FC"/>
    <w:rsid w:val="00A52326"/>
    <w:rsid w:val="00A523E8"/>
    <w:rsid w:val="00A524DA"/>
    <w:rsid w:val="00A5251B"/>
    <w:rsid w:val="00A52C25"/>
    <w:rsid w:val="00A52C2C"/>
    <w:rsid w:val="00A52C8B"/>
    <w:rsid w:val="00A52CEB"/>
    <w:rsid w:val="00A52F4C"/>
    <w:rsid w:val="00A530F8"/>
    <w:rsid w:val="00A5331C"/>
    <w:rsid w:val="00A53428"/>
    <w:rsid w:val="00A53447"/>
    <w:rsid w:val="00A53521"/>
    <w:rsid w:val="00A5357A"/>
    <w:rsid w:val="00A5363A"/>
    <w:rsid w:val="00A53A25"/>
    <w:rsid w:val="00A53E72"/>
    <w:rsid w:val="00A53F69"/>
    <w:rsid w:val="00A54061"/>
    <w:rsid w:val="00A54209"/>
    <w:rsid w:val="00A5424F"/>
    <w:rsid w:val="00A5463C"/>
    <w:rsid w:val="00A54652"/>
    <w:rsid w:val="00A546BF"/>
    <w:rsid w:val="00A548AC"/>
    <w:rsid w:val="00A548E7"/>
    <w:rsid w:val="00A54ABF"/>
    <w:rsid w:val="00A54B8B"/>
    <w:rsid w:val="00A54D4D"/>
    <w:rsid w:val="00A5502C"/>
    <w:rsid w:val="00A55083"/>
    <w:rsid w:val="00A55235"/>
    <w:rsid w:val="00A552EE"/>
    <w:rsid w:val="00A55480"/>
    <w:rsid w:val="00A55485"/>
    <w:rsid w:val="00A5567D"/>
    <w:rsid w:val="00A55756"/>
    <w:rsid w:val="00A557A4"/>
    <w:rsid w:val="00A557D1"/>
    <w:rsid w:val="00A55803"/>
    <w:rsid w:val="00A559C6"/>
    <w:rsid w:val="00A55A41"/>
    <w:rsid w:val="00A55C10"/>
    <w:rsid w:val="00A55F6F"/>
    <w:rsid w:val="00A560A3"/>
    <w:rsid w:val="00A560F9"/>
    <w:rsid w:val="00A5623B"/>
    <w:rsid w:val="00A562FA"/>
    <w:rsid w:val="00A5641E"/>
    <w:rsid w:val="00A5656B"/>
    <w:rsid w:val="00A56572"/>
    <w:rsid w:val="00A565CA"/>
    <w:rsid w:val="00A5664C"/>
    <w:rsid w:val="00A5665C"/>
    <w:rsid w:val="00A5666F"/>
    <w:rsid w:val="00A567D2"/>
    <w:rsid w:val="00A56931"/>
    <w:rsid w:val="00A569D6"/>
    <w:rsid w:val="00A56D29"/>
    <w:rsid w:val="00A56DC5"/>
    <w:rsid w:val="00A56DE4"/>
    <w:rsid w:val="00A5703E"/>
    <w:rsid w:val="00A57392"/>
    <w:rsid w:val="00A57405"/>
    <w:rsid w:val="00A575C2"/>
    <w:rsid w:val="00A57841"/>
    <w:rsid w:val="00A578DC"/>
    <w:rsid w:val="00A57935"/>
    <w:rsid w:val="00A57953"/>
    <w:rsid w:val="00A57985"/>
    <w:rsid w:val="00A57B9F"/>
    <w:rsid w:val="00A57F69"/>
    <w:rsid w:val="00A604FB"/>
    <w:rsid w:val="00A60567"/>
    <w:rsid w:val="00A60A01"/>
    <w:rsid w:val="00A60A49"/>
    <w:rsid w:val="00A60C60"/>
    <w:rsid w:val="00A60CFF"/>
    <w:rsid w:val="00A61027"/>
    <w:rsid w:val="00A61148"/>
    <w:rsid w:val="00A613E4"/>
    <w:rsid w:val="00A614EC"/>
    <w:rsid w:val="00A6153E"/>
    <w:rsid w:val="00A61673"/>
    <w:rsid w:val="00A61684"/>
    <w:rsid w:val="00A61967"/>
    <w:rsid w:val="00A61BAF"/>
    <w:rsid w:val="00A61BFA"/>
    <w:rsid w:val="00A61FAA"/>
    <w:rsid w:val="00A62162"/>
    <w:rsid w:val="00A62204"/>
    <w:rsid w:val="00A627AC"/>
    <w:rsid w:val="00A62DC1"/>
    <w:rsid w:val="00A62EB9"/>
    <w:rsid w:val="00A62F5E"/>
    <w:rsid w:val="00A63140"/>
    <w:rsid w:val="00A631B6"/>
    <w:rsid w:val="00A6339C"/>
    <w:rsid w:val="00A63433"/>
    <w:rsid w:val="00A63655"/>
    <w:rsid w:val="00A636C3"/>
    <w:rsid w:val="00A63814"/>
    <w:rsid w:val="00A6381D"/>
    <w:rsid w:val="00A639C5"/>
    <w:rsid w:val="00A63A57"/>
    <w:rsid w:val="00A63C00"/>
    <w:rsid w:val="00A63CC1"/>
    <w:rsid w:val="00A63DB5"/>
    <w:rsid w:val="00A63DBA"/>
    <w:rsid w:val="00A64019"/>
    <w:rsid w:val="00A6430C"/>
    <w:rsid w:val="00A647B5"/>
    <w:rsid w:val="00A648A0"/>
    <w:rsid w:val="00A64ACF"/>
    <w:rsid w:val="00A64CBE"/>
    <w:rsid w:val="00A64F11"/>
    <w:rsid w:val="00A65077"/>
    <w:rsid w:val="00A651B4"/>
    <w:rsid w:val="00A6568A"/>
    <w:rsid w:val="00A6581A"/>
    <w:rsid w:val="00A659FC"/>
    <w:rsid w:val="00A65D0E"/>
    <w:rsid w:val="00A65D5C"/>
    <w:rsid w:val="00A65DD3"/>
    <w:rsid w:val="00A65FCB"/>
    <w:rsid w:val="00A66183"/>
    <w:rsid w:val="00A6629D"/>
    <w:rsid w:val="00A662D0"/>
    <w:rsid w:val="00A6630D"/>
    <w:rsid w:val="00A6637D"/>
    <w:rsid w:val="00A6645F"/>
    <w:rsid w:val="00A66465"/>
    <w:rsid w:val="00A6656D"/>
    <w:rsid w:val="00A6658D"/>
    <w:rsid w:val="00A66677"/>
    <w:rsid w:val="00A66706"/>
    <w:rsid w:val="00A667CF"/>
    <w:rsid w:val="00A66A6C"/>
    <w:rsid w:val="00A66E20"/>
    <w:rsid w:val="00A66F0E"/>
    <w:rsid w:val="00A672F4"/>
    <w:rsid w:val="00A67309"/>
    <w:rsid w:val="00A67390"/>
    <w:rsid w:val="00A674CA"/>
    <w:rsid w:val="00A67575"/>
    <w:rsid w:val="00A67A6C"/>
    <w:rsid w:val="00A67B1F"/>
    <w:rsid w:val="00A67C8A"/>
    <w:rsid w:val="00A67DBB"/>
    <w:rsid w:val="00A67DDF"/>
    <w:rsid w:val="00A67E54"/>
    <w:rsid w:val="00A67F28"/>
    <w:rsid w:val="00A67F73"/>
    <w:rsid w:val="00A701D0"/>
    <w:rsid w:val="00A701F7"/>
    <w:rsid w:val="00A706C6"/>
    <w:rsid w:val="00A70A32"/>
    <w:rsid w:val="00A70C9C"/>
    <w:rsid w:val="00A7122B"/>
    <w:rsid w:val="00A712F0"/>
    <w:rsid w:val="00A7140A"/>
    <w:rsid w:val="00A71447"/>
    <w:rsid w:val="00A71822"/>
    <w:rsid w:val="00A71A31"/>
    <w:rsid w:val="00A71B1C"/>
    <w:rsid w:val="00A71B5D"/>
    <w:rsid w:val="00A71CB3"/>
    <w:rsid w:val="00A71D78"/>
    <w:rsid w:val="00A71D95"/>
    <w:rsid w:val="00A71DDC"/>
    <w:rsid w:val="00A722A3"/>
    <w:rsid w:val="00A722F8"/>
    <w:rsid w:val="00A7242C"/>
    <w:rsid w:val="00A724AC"/>
    <w:rsid w:val="00A725A9"/>
    <w:rsid w:val="00A725B3"/>
    <w:rsid w:val="00A727E2"/>
    <w:rsid w:val="00A72A7A"/>
    <w:rsid w:val="00A72CFF"/>
    <w:rsid w:val="00A72D95"/>
    <w:rsid w:val="00A72EBC"/>
    <w:rsid w:val="00A7307D"/>
    <w:rsid w:val="00A73093"/>
    <w:rsid w:val="00A7311D"/>
    <w:rsid w:val="00A73289"/>
    <w:rsid w:val="00A732A8"/>
    <w:rsid w:val="00A732A9"/>
    <w:rsid w:val="00A7331D"/>
    <w:rsid w:val="00A73426"/>
    <w:rsid w:val="00A73435"/>
    <w:rsid w:val="00A7362A"/>
    <w:rsid w:val="00A73630"/>
    <w:rsid w:val="00A7371F"/>
    <w:rsid w:val="00A73747"/>
    <w:rsid w:val="00A73783"/>
    <w:rsid w:val="00A73A3F"/>
    <w:rsid w:val="00A73AFF"/>
    <w:rsid w:val="00A73B58"/>
    <w:rsid w:val="00A73BFC"/>
    <w:rsid w:val="00A73FD5"/>
    <w:rsid w:val="00A740A2"/>
    <w:rsid w:val="00A74269"/>
    <w:rsid w:val="00A7441A"/>
    <w:rsid w:val="00A7474C"/>
    <w:rsid w:val="00A747D4"/>
    <w:rsid w:val="00A7489A"/>
    <w:rsid w:val="00A74951"/>
    <w:rsid w:val="00A74A0A"/>
    <w:rsid w:val="00A74C97"/>
    <w:rsid w:val="00A74EE0"/>
    <w:rsid w:val="00A75A23"/>
    <w:rsid w:val="00A75A74"/>
    <w:rsid w:val="00A75A9E"/>
    <w:rsid w:val="00A75CCF"/>
    <w:rsid w:val="00A75DEF"/>
    <w:rsid w:val="00A75E3F"/>
    <w:rsid w:val="00A75EC9"/>
    <w:rsid w:val="00A760B6"/>
    <w:rsid w:val="00A76528"/>
    <w:rsid w:val="00A76648"/>
    <w:rsid w:val="00A766CD"/>
    <w:rsid w:val="00A766F3"/>
    <w:rsid w:val="00A769E7"/>
    <w:rsid w:val="00A76D5C"/>
    <w:rsid w:val="00A77078"/>
    <w:rsid w:val="00A7709A"/>
    <w:rsid w:val="00A77289"/>
    <w:rsid w:val="00A775CA"/>
    <w:rsid w:val="00A77832"/>
    <w:rsid w:val="00A779CD"/>
    <w:rsid w:val="00A77E31"/>
    <w:rsid w:val="00A80006"/>
    <w:rsid w:val="00A80092"/>
    <w:rsid w:val="00A8023D"/>
    <w:rsid w:val="00A80479"/>
    <w:rsid w:val="00A807D9"/>
    <w:rsid w:val="00A80920"/>
    <w:rsid w:val="00A80995"/>
    <w:rsid w:val="00A80B41"/>
    <w:rsid w:val="00A810E9"/>
    <w:rsid w:val="00A81288"/>
    <w:rsid w:val="00A813C0"/>
    <w:rsid w:val="00A81567"/>
    <w:rsid w:val="00A81897"/>
    <w:rsid w:val="00A8202F"/>
    <w:rsid w:val="00A82167"/>
    <w:rsid w:val="00A82172"/>
    <w:rsid w:val="00A82460"/>
    <w:rsid w:val="00A828C0"/>
    <w:rsid w:val="00A828EA"/>
    <w:rsid w:val="00A8291F"/>
    <w:rsid w:val="00A82AC0"/>
    <w:rsid w:val="00A82AE5"/>
    <w:rsid w:val="00A82B17"/>
    <w:rsid w:val="00A82DB1"/>
    <w:rsid w:val="00A82DDD"/>
    <w:rsid w:val="00A83067"/>
    <w:rsid w:val="00A83138"/>
    <w:rsid w:val="00A83884"/>
    <w:rsid w:val="00A83A8C"/>
    <w:rsid w:val="00A83BEC"/>
    <w:rsid w:val="00A83F08"/>
    <w:rsid w:val="00A84015"/>
    <w:rsid w:val="00A8409D"/>
    <w:rsid w:val="00A840D6"/>
    <w:rsid w:val="00A84103"/>
    <w:rsid w:val="00A843EC"/>
    <w:rsid w:val="00A8457E"/>
    <w:rsid w:val="00A847B6"/>
    <w:rsid w:val="00A848C0"/>
    <w:rsid w:val="00A84CAE"/>
    <w:rsid w:val="00A84D39"/>
    <w:rsid w:val="00A84EEE"/>
    <w:rsid w:val="00A84F88"/>
    <w:rsid w:val="00A84FFF"/>
    <w:rsid w:val="00A85088"/>
    <w:rsid w:val="00A852FF"/>
    <w:rsid w:val="00A853B9"/>
    <w:rsid w:val="00A855E5"/>
    <w:rsid w:val="00A857ED"/>
    <w:rsid w:val="00A85A45"/>
    <w:rsid w:val="00A85A84"/>
    <w:rsid w:val="00A85B0A"/>
    <w:rsid w:val="00A85B18"/>
    <w:rsid w:val="00A85E35"/>
    <w:rsid w:val="00A860CC"/>
    <w:rsid w:val="00A860D2"/>
    <w:rsid w:val="00A861EF"/>
    <w:rsid w:val="00A86513"/>
    <w:rsid w:val="00A86663"/>
    <w:rsid w:val="00A8667D"/>
    <w:rsid w:val="00A868D3"/>
    <w:rsid w:val="00A86937"/>
    <w:rsid w:val="00A86D77"/>
    <w:rsid w:val="00A86E08"/>
    <w:rsid w:val="00A86FDD"/>
    <w:rsid w:val="00A87129"/>
    <w:rsid w:val="00A871A8"/>
    <w:rsid w:val="00A872F6"/>
    <w:rsid w:val="00A8740D"/>
    <w:rsid w:val="00A874D2"/>
    <w:rsid w:val="00A8751D"/>
    <w:rsid w:val="00A875EC"/>
    <w:rsid w:val="00A87B41"/>
    <w:rsid w:val="00A87B7C"/>
    <w:rsid w:val="00A87B90"/>
    <w:rsid w:val="00A87DF8"/>
    <w:rsid w:val="00A87EB7"/>
    <w:rsid w:val="00A90623"/>
    <w:rsid w:val="00A906C6"/>
    <w:rsid w:val="00A906DA"/>
    <w:rsid w:val="00A90A7E"/>
    <w:rsid w:val="00A90BB2"/>
    <w:rsid w:val="00A90D47"/>
    <w:rsid w:val="00A91194"/>
    <w:rsid w:val="00A913E7"/>
    <w:rsid w:val="00A917F4"/>
    <w:rsid w:val="00A91A04"/>
    <w:rsid w:val="00A91C33"/>
    <w:rsid w:val="00A91E38"/>
    <w:rsid w:val="00A91EBD"/>
    <w:rsid w:val="00A91ED1"/>
    <w:rsid w:val="00A91F9D"/>
    <w:rsid w:val="00A91FA0"/>
    <w:rsid w:val="00A921A2"/>
    <w:rsid w:val="00A92235"/>
    <w:rsid w:val="00A92343"/>
    <w:rsid w:val="00A92407"/>
    <w:rsid w:val="00A925CA"/>
    <w:rsid w:val="00A927BC"/>
    <w:rsid w:val="00A927D1"/>
    <w:rsid w:val="00A9284C"/>
    <w:rsid w:val="00A92897"/>
    <w:rsid w:val="00A93186"/>
    <w:rsid w:val="00A93388"/>
    <w:rsid w:val="00A9383D"/>
    <w:rsid w:val="00A938BD"/>
    <w:rsid w:val="00A93915"/>
    <w:rsid w:val="00A93994"/>
    <w:rsid w:val="00A93A42"/>
    <w:rsid w:val="00A93D10"/>
    <w:rsid w:val="00A93DC2"/>
    <w:rsid w:val="00A93F13"/>
    <w:rsid w:val="00A93FE4"/>
    <w:rsid w:val="00A9406B"/>
    <w:rsid w:val="00A940C0"/>
    <w:rsid w:val="00A9429B"/>
    <w:rsid w:val="00A94328"/>
    <w:rsid w:val="00A94888"/>
    <w:rsid w:val="00A94AA2"/>
    <w:rsid w:val="00A94AC1"/>
    <w:rsid w:val="00A94B08"/>
    <w:rsid w:val="00A94CB5"/>
    <w:rsid w:val="00A94CB6"/>
    <w:rsid w:val="00A94D12"/>
    <w:rsid w:val="00A94D1B"/>
    <w:rsid w:val="00A94F09"/>
    <w:rsid w:val="00A950DB"/>
    <w:rsid w:val="00A952CD"/>
    <w:rsid w:val="00A95420"/>
    <w:rsid w:val="00A95437"/>
    <w:rsid w:val="00A95483"/>
    <w:rsid w:val="00A955ED"/>
    <w:rsid w:val="00A9583B"/>
    <w:rsid w:val="00A958A0"/>
    <w:rsid w:val="00A958DC"/>
    <w:rsid w:val="00A95BD5"/>
    <w:rsid w:val="00A95BDD"/>
    <w:rsid w:val="00A95E10"/>
    <w:rsid w:val="00A960DA"/>
    <w:rsid w:val="00A961CA"/>
    <w:rsid w:val="00A96643"/>
    <w:rsid w:val="00A96652"/>
    <w:rsid w:val="00A966E6"/>
    <w:rsid w:val="00A96760"/>
    <w:rsid w:val="00A9696A"/>
    <w:rsid w:val="00A96AB9"/>
    <w:rsid w:val="00A96C1F"/>
    <w:rsid w:val="00A96EF6"/>
    <w:rsid w:val="00A96F94"/>
    <w:rsid w:val="00A9707B"/>
    <w:rsid w:val="00A9714F"/>
    <w:rsid w:val="00A972FC"/>
    <w:rsid w:val="00A9733E"/>
    <w:rsid w:val="00A97637"/>
    <w:rsid w:val="00A97684"/>
    <w:rsid w:val="00A978B0"/>
    <w:rsid w:val="00A97A5C"/>
    <w:rsid w:val="00A97AD5"/>
    <w:rsid w:val="00A97B62"/>
    <w:rsid w:val="00A97E71"/>
    <w:rsid w:val="00A97F36"/>
    <w:rsid w:val="00A97F63"/>
    <w:rsid w:val="00AA007E"/>
    <w:rsid w:val="00AA0200"/>
    <w:rsid w:val="00AA043A"/>
    <w:rsid w:val="00AA0679"/>
    <w:rsid w:val="00AA06D2"/>
    <w:rsid w:val="00AA076F"/>
    <w:rsid w:val="00AA0C51"/>
    <w:rsid w:val="00AA0EE4"/>
    <w:rsid w:val="00AA0FC8"/>
    <w:rsid w:val="00AA1225"/>
    <w:rsid w:val="00AA1359"/>
    <w:rsid w:val="00AA16E0"/>
    <w:rsid w:val="00AA19FC"/>
    <w:rsid w:val="00AA1A1B"/>
    <w:rsid w:val="00AA1AF7"/>
    <w:rsid w:val="00AA1E8E"/>
    <w:rsid w:val="00AA201A"/>
    <w:rsid w:val="00AA20E6"/>
    <w:rsid w:val="00AA211D"/>
    <w:rsid w:val="00AA244B"/>
    <w:rsid w:val="00AA2473"/>
    <w:rsid w:val="00AA24D7"/>
    <w:rsid w:val="00AA24E9"/>
    <w:rsid w:val="00AA2589"/>
    <w:rsid w:val="00AA2749"/>
    <w:rsid w:val="00AA2796"/>
    <w:rsid w:val="00AA27E5"/>
    <w:rsid w:val="00AA2954"/>
    <w:rsid w:val="00AA2AE2"/>
    <w:rsid w:val="00AA2D95"/>
    <w:rsid w:val="00AA2F4D"/>
    <w:rsid w:val="00AA31A2"/>
    <w:rsid w:val="00AA323B"/>
    <w:rsid w:val="00AA3262"/>
    <w:rsid w:val="00AA32C0"/>
    <w:rsid w:val="00AA33AB"/>
    <w:rsid w:val="00AA344A"/>
    <w:rsid w:val="00AA3775"/>
    <w:rsid w:val="00AA38C2"/>
    <w:rsid w:val="00AA3990"/>
    <w:rsid w:val="00AA39F6"/>
    <w:rsid w:val="00AA3E07"/>
    <w:rsid w:val="00AA3FCA"/>
    <w:rsid w:val="00AA41E9"/>
    <w:rsid w:val="00AA426A"/>
    <w:rsid w:val="00AA45DB"/>
    <w:rsid w:val="00AA4722"/>
    <w:rsid w:val="00AA4F8D"/>
    <w:rsid w:val="00AA5140"/>
    <w:rsid w:val="00AA52AB"/>
    <w:rsid w:val="00AA531C"/>
    <w:rsid w:val="00AA541A"/>
    <w:rsid w:val="00AA555A"/>
    <w:rsid w:val="00AA55E8"/>
    <w:rsid w:val="00AA5CAA"/>
    <w:rsid w:val="00AA5D01"/>
    <w:rsid w:val="00AA5D43"/>
    <w:rsid w:val="00AA5F73"/>
    <w:rsid w:val="00AA6616"/>
    <w:rsid w:val="00AA66AA"/>
    <w:rsid w:val="00AA670F"/>
    <w:rsid w:val="00AA6AAC"/>
    <w:rsid w:val="00AA6CCF"/>
    <w:rsid w:val="00AA70E8"/>
    <w:rsid w:val="00AA74CD"/>
    <w:rsid w:val="00AA75E4"/>
    <w:rsid w:val="00AA76E7"/>
    <w:rsid w:val="00AA7771"/>
    <w:rsid w:val="00AA7BC7"/>
    <w:rsid w:val="00AA7BD0"/>
    <w:rsid w:val="00AA7CAB"/>
    <w:rsid w:val="00AA7CE5"/>
    <w:rsid w:val="00AA7E2C"/>
    <w:rsid w:val="00AA7EA1"/>
    <w:rsid w:val="00AA7FA3"/>
    <w:rsid w:val="00AB0235"/>
    <w:rsid w:val="00AB0471"/>
    <w:rsid w:val="00AB0603"/>
    <w:rsid w:val="00AB069D"/>
    <w:rsid w:val="00AB09D4"/>
    <w:rsid w:val="00AB0A05"/>
    <w:rsid w:val="00AB0AD2"/>
    <w:rsid w:val="00AB0AE4"/>
    <w:rsid w:val="00AB0B04"/>
    <w:rsid w:val="00AB0B1E"/>
    <w:rsid w:val="00AB0B82"/>
    <w:rsid w:val="00AB0E3E"/>
    <w:rsid w:val="00AB0F23"/>
    <w:rsid w:val="00AB10B5"/>
    <w:rsid w:val="00AB1144"/>
    <w:rsid w:val="00AB12AD"/>
    <w:rsid w:val="00AB1560"/>
    <w:rsid w:val="00AB1640"/>
    <w:rsid w:val="00AB1657"/>
    <w:rsid w:val="00AB166F"/>
    <w:rsid w:val="00AB1710"/>
    <w:rsid w:val="00AB199F"/>
    <w:rsid w:val="00AB1AF1"/>
    <w:rsid w:val="00AB21FC"/>
    <w:rsid w:val="00AB2372"/>
    <w:rsid w:val="00AB242A"/>
    <w:rsid w:val="00AB24C2"/>
    <w:rsid w:val="00AB24E4"/>
    <w:rsid w:val="00AB262B"/>
    <w:rsid w:val="00AB262E"/>
    <w:rsid w:val="00AB2689"/>
    <w:rsid w:val="00AB285A"/>
    <w:rsid w:val="00AB285F"/>
    <w:rsid w:val="00AB2948"/>
    <w:rsid w:val="00AB2A09"/>
    <w:rsid w:val="00AB2AE4"/>
    <w:rsid w:val="00AB2B3F"/>
    <w:rsid w:val="00AB2F02"/>
    <w:rsid w:val="00AB3024"/>
    <w:rsid w:val="00AB30AC"/>
    <w:rsid w:val="00AB30EA"/>
    <w:rsid w:val="00AB3179"/>
    <w:rsid w:val="00AB3238"/>
    <w:rsid w:val="00AB3631"/>
    <w:rsid w:val="00AB3796"/>
    <w:rsid w:val="00AB379A"/>
    <w:rsid w:val="00AB37E4"/>
    <w:rsid w:val="00AB3B92"/>
    <w:rsid w:val="00AB3CD6"/>
    <w:rsid w:val="00AB3DBB"/>
    <w:rsid w:val="00AB3E6E"/>
    <w:rsid w:val="00AB4084"/>
    <w:rsid w:val="00AB42A8"/>
    <w:rsid w:val="00AB43DB"/>
    <w:rsid w:val="00AB4517"/>
    <w:rsid w:val="00AB4763"/>
    <w:rsid w:val="00AB47A3"/>
    <w:rsid w:val="00AB4A57"/>
    <w:rsid w:val="00AB4D4C"/>
    <w:rsid w:val="00AB4EC0"/>
    <w:rsid w:val="00AB4ECC"/>
    <w:rsid w:val="00AB4ECF"/>
    <w:rsid w:val="00AB51F1"/>
    <w:rsid w:val="00AB52D3"/>
    <w:rsid w:val="00AB5497"/>
    <w:rsid w:val="00AB573E"/>
    <w:rsid w:val="00AB5797"/>
    <w:rsid w:val="00AB5A72"/>
    <w:rsid w:val="00AB5B03"/>
    <w:rsid w:val="00AB5C85"/>
    <w:rsid w:val="00AB5C96"/>
    <w:rsid w:val="00AB6098"/>
    <w:rsid w:val="00AB6139"/>
    <w:rsid w:val="00AB61C5"/>
    <w:rsid w:val="00AB63D1"/>
    <w:rsid w:val="00AB66CC"/>
    <w:rsid w:val="00AB6A4A"/>
    <w:rsid w:val="00AB6D1A"/>
    <w:rsid w:val="00AB7129"/>
    <w:rsid w:val="00AB7170"/>
    <w:rsid w:val="00AB7271"/>
    <w:rsid w:val="00AB7350"/>
    <w:rsid w:val="00AB73A0"/>
    <w:rsid w:val="00AB75BE"/>
    <w:rsid w:val="00AB764C"/>
    <w:rsid w:val="00AB76FD"/>
    <w:rsid w:val="00AB7A8A"/>
    <w:rsid w:val="00AB7B1D"/>
    <w:rsid w:val="00AB7D11"/>
    <w:rsid w:val="00AB7EBF"/>
    <w:rsid w:val="00AB7FAC"/>
    <w:rsid w:val="00AC0017"/>
    <w:rsid w:val="00AC0339"/>
    <w:rsid w:val="00AC05AE"/>
    <w:rsid w:val="00AC05BF"/>
    <w:rsid w:val="00AC0874"/>
    <w:rsid w:val="00AC0F60"/>
    <w:rsid w:val="00AC0FB1"/>
    <w:rsid w:val="00AC1003"/>
    <w:rsid w:val="00AC112A"/>
    <w:rsid w:val="00AC1306"/>
    <w:rsid w:val="00AC13AA"/>
    <w:rsid w:val="00AC1488"/>
    <w:rsid w:val="00AC14B9"/>
    <w:rsid w:val="00AC1551"/>
    <w:rsid w:val="00AC15FD"/>
    <w:rsid w:val="00AC16EA"/>
    <w:rsid w:val="00AC1780"/>
    <w:rsid w:val="00AC1B3D"/>
    <w:rsid w:val="00AC1DC1"/>
    <w:rsid w:val="00AC1E10"/>
    <w:rsid w:val="00AC1FB0"/>
    <w:rsid w:val="00AC1FF1"/>
    <w:rsid w:val="00AC20BC"/>
    <w:rsid w:val="00AC238D"/>
    <w:rsid w:val="00AC23B4"/>
    <w:rsid w:val="00AC278E"/>
    <w:rsid w:val="00AC29CD"/>
    <w:rsid w:val="00AC2E75"/>
    <w:rsid w:val="00AC2F99"/>
    <w:rsid w:val="00AC31D9"/>
    <w:rsid w:val="00AC34BA"/>
    <w:rsid w:val="00AC34E7"/>
    <w:rsid w:val="00AC3605"/>
    <w:rsid w:val="00AC3828"/>
    <w:rsid w:val="00AC3A01"/>
    <w:rsid w:val="00AC3A6E"/>
    <w:rsid w:val="00AC3E18"/>
    <w:rsid w:val="00AC3E66"/>
    <w:rsid w:val="00AC40EF"/>
    <w:rsid w:val="00AC4299"/>
    <w:rsid w:val="00AC42E6"/>
    <w:rsid w:val="00AC44C1"/>
    <w:rsid w:val="00AC47D7"/>
    <w:rsid w:val="00AC47F2"/>
    <w:rsid w:val="00AC4851"/>
    <w:rsid w:val="00AC4912"/>
    <w:rsid w:val="00AC4A42"/>
    <w:rsid w:val="00AC4B4E"/>
    <w:rsid w:val="00AC4C25"/>
    <w:rsid w:val="00AC4CB9"/>
    <w:rsid w:val="00AC4D39"/>
    <w:rsid w:val="00AC4D5E"/>
    <w:rsid w:val="00AC54DC"/>
    <w:rsid w:val="00AC55C7"/>
    <w:rsid w:val="00AC573A"/>
    <w:rsid w:val="00AC5776"/>
    <w:rsid w:val="00AC580D"/>
    <w:rsid w:val="00AC5A62"/>
    <w:rsid w:val="00AC5CE3"/>
    <w:rsid w:val="00AC5E5A"/>
    <w:rsid w:val="00AC5E5E"/>
    <w:rsid w:val="00AC6098"/>
    <w:rsid w:val="00AC649C"/>
    <w:rsid w:val="00AC64CE"/>
    <w:rsid w:val="00AC64F1"/>
    <w:rsid w:val="00AC6512"/>
    <w:rsid w:val="00AC6714"/>
    <w:rsid w:val="00AC674C"/>
    <w:rsid w:val="00AC67D9"/>
    <w:rsid w:val="00AC6970"/>
    <w:rsid w:val="00AC6BC6"/>
    <w:rsid w:val="00AC6C34"/>
    <w:rsid w:val="00AC6CF4"/>
    <w:rsid w:val="00AC6EDE"/>
    <w:rsid w:val="00AC6EE2"/>
    <w:rsid w:val="00AC6FD9"/>
    <w:rsid w:val="00AC7010"/>
    <w:rsid w:val="00AC7113"/>
    <w:rsid w:val="00AC73E6"/>
    <w:rsid w:val="00AC749A"/>
    <w:rsid w:val="00AC75C2"/>
    <w:rsid w:val="00AC769A"/>
    <w:rsid w:val="00AC78EC"/>
    <w:rsid w:val="00AC7C30"/>
    <w:rsid w:val="00AC7C52"/>
    <w:rsid w:val="00AC7C5B"/>
    <w:rsid w:val="00AC7C64"/>
    <w:rsid w:val="00AC7F4F"/>
    <w:rsid w:val="00AD02A4"/>
    <w:rsid w:val="00AD02DD"/>
    <w:rsid w:val="00AD081C"/>
    <w:rsid w:val="00AD0AAE"/>
    <w:rsid w:val="00AD0CE0"/>
    <w:rsid w:val="00AD0F3A"/>
    <w:rsid w:val="00AD10EE"/>
    <w:rsid w:val="00AD111D"/>
    <w:rsid w:val="00AD155E"/>
    <w:rsid w:val="00AD1590"/>
    <w:rsid w:val="00AD181D"/>
    <w:rsid w:val="00AD18A9"/>
    <w:rsid w:val="00AD1916"/>
    <w:rsid w:val="00AD196F"/>
    <w:rsid w:val="00AD19E5"/>
    <w:rsid w:val="00AD1A1C"/>
    <w:rsid w:val="00AD1A40"/>
    <w:rsid w:val="00AD1ADE"/>
    <w:rsid w:val="00AD1AFB"/>
    <w:rsid w:val="00AD1B07"/>
    <w:rsid w:val="00AD1CA9"/>
    <w:rsid w:val="00AD1D20"/>
    <w:rsid w:val="00AD1EA5"/>
    <w:rsid w:val="00AD1F07"/>
    <w:rsid w:val="00AD2018"/>
    <w:rsid w:val="00AD20A3"/>
    <w:rsid w:val="00AD20C0"/>
    <w:rsid w:val="00AD23B7"/>
    <w:rsid w:val="00AD2441"/>
    <w:rsid w:val="00AD2901"/>
    <w:rsid w:val="00AD2C1C"/>
    <w:rsid w:val="00AD2C21"/>
    <w:rsid w:val="00AD2CAF"/>
    <w:rsid w:val="00AD2CF7"/>
    <w:rsid w:val="00AD2DC0"/>
    <w:rsid w:val="00AD2F55"/>
    <w:rsid w:val="00AD3688"/>
    <w:rsid w:val="00AD36F7"/>
    <w:rsid w:val="00AD3F15"/>
    <w:rsid w:val="00AD4043"/>
    <w:rsid w:val="00AD42CB"/>
    <w:rsid w:val="00AD4432"/>
    <w:rsid w:val="00AD4589"/>
    <w:rsid w:val="00AD47F6"/>
    <w:rsid w:val="00AD49E1"/>
    <w:rsid w:val="00AD4AD4"/>
    <w:rsid w:val="00AD4B5B"/>
    <w:rsid w:val="00AD4B6A"/>
    <w:rsid w:val="00AD4F77"/>
    <w:rsid w:val="00AD4F96"/>
    <w:rsid w:val="00AD5171"/>
    <w:rsid w:val="00AD51FC"/>
    <w:rsid w:val="00AD54F0"/>
    <w:rsid w:val="00AD554D"/>
    <w:rsid w:val="00AD577C"/>
    <w:rsid w:val="00AD5834"/>
    <w:rsid w:val="00AD588E"/>
    <w:rsid w:val="00AD58E6"/>
    <w:rsid w:val="00AD58E9"/>
    <w:rsid w:val="00AD5B6B"/>
    <w:rsid w:val="00AD5C0D"/>
    <w:rsid w:val="00AD6029"/>
    <w:rsid w:val="00AD620D"/>
    <w:rsid w:val="00AD643F"/>
    <w:rsid w:val="00AD66DE"/>
    <w:rsid w:val="00AD6B1C"/>
    <w:rsid w:val="00AD6C81"/>
    <w:rsid w:val="00AD6CFC"/>
    <w:rsid w:val="00AD6D9B"/>
    <w:rsid w:val="00AD6EDB"/>
    <w:rsid w:val="00AD7136"/>
    <w:rsid w:val="00AD722E"/>
    <w:rsid w:val="00AD7240"/>
    <w:rsid w:val="00AD7406"/>
    <w:rsid w:val="00AD760E"/>
    <w:rsid w:val="00AD7669"/>
    <w:rsid w:val="00AD78EE"/>
    <w:rsid w:val="00AD7B44"/>
    <w:rsid w:val="00AD7C4D"/>
    <w:rsid w:val="00AD7DAD"/>
    <w:rsid w:val="00AD7F7F"/>
    <w:rsid w:val="00AE04CB"/>
    <w:rsid w:val="00AE0636"/>
    <w:rsid w:val="00AE06EB"/>
    <w:rsid w:val="00AE07C2"/>
    <w:rsid w:val="00AE082A"/>
    <w:rsid w:val="00AE098C"/>
    <w:rsid w:val="00AE09DB"/>
    <w:rsid w:val="00AE0E46"/>
    <w:rsid w:val="00AE0FE1"/>
    <w:rsid w:val="00AE1140"/>
    <w:rsid w:val="00AE1730"/>
    <w:rsid w:val="00AE1789"/>
    <w:rsid w:val="00AE18C5"/>
    <w:rsid w:val="00AE1AF1"/>
    <w:rsid w:val="00AE1B6A"/>
    <w:rsid w:val="00AE1DDC"/>
    <w:rsid w:val="00AE1F26"/>
    <w:rsid w:val="00AE1F8D"/>
    <w:rsid w:val="00AE1FB3"/>
    <w:rsid w:val="00AE213F"/>
    <w:rsid w:val="00AE2197"/>
    <w:rsid w:val="00AE27B1"/>
    <w:rsid w:val="00AE2D6C"/>
    <w:rsid w:val="00AE317A"/>
    <w:rsid w:val="00AE3303"/>
    <w:rsid w:val="00AE3406"/>
    <w:rsid w:val="00AE3444"/>
    <w:rsid w:val="00AE375E"/>
    <w:rsid w:val="00AE378E"/>
    <w:rsid w:val="00AE388F"/>
    <w:rsid w:val="00AE39FE"/>
    <w:rsid w:val="00AE3BC7"/>
    <w:rsid w:val="00AE3C0E"/>
    <w:rsid w:val="00AE3CCC"/>
    <w:rsid w:val="00AE3E6B"/>
    <w:rsid w:val="00AE42C1"/>
    <w:rsid w:val="00AE4312"/>
    <w:rsid w:val="00AE438C"/>
    <w:rsid w:val="00AE43AB"/>
    <w:rsid w:val="00AE43B7"/>
    <w:rsid w:val="00AE46FB"/>
    <w:rsid w:val="00AE47D1"/>
    <w:rsid w:val="00AE4ADD"/>
    <w:rsid w:val="00AE4CEF"/>
    <w:rsid w:val="00AE4F45"/>
    <w:rsid w:val="00AE4FC4"/>
    <w:rsid w:val="00AE51CF"/>
    <w:rsid w:val="00AE5375"/>
    <w:rsid w:val="00AE53CF"/>
    <w:rsid w:val="00AE53F9"/>
    <w:rsid w:val="00AE5486"/>
    <w:rsid w:val="00AE54CC"/>
    <w:rsid w:val="00AE5606"/>
    <w:rsid w:val="00AE58EB"/>
    <w:rsid w:val="00AE5AFB"/>
    <w:rsid w:val="00AE5CB1"/>
    <w:rsid w:val="00AE6079"/>
    <w:rsid w:val="00AE633D"/>
    <w:rsid w:val="00AE667F"/>
    <w:rsid w:val="00AE66D1"/>
    <w:rsid w:val="00AE6859"/>
    <w:rsid w:val="00AE686B"/>
    <w:rsid w:val="00AE68CA"/>
    <w:rsid w:val="00AE69FD"/>
    <w:rsid w:val="00AE6B71"/>
    <w:rsid w:val="00AE6E63"/>
    <w:rsid w:val="00AE73D9"/>
    <w:rsid w:val="00AE7418"/>
    <w:rsid w:val="00AE7429"/>
    <w:rsid w:val="00AE742A"/>
    <w:rsid w:val="00AE7593"/>
    <w:rsid w:val="00AE7617"/>
    <w:rsid w:val="00AE7629"/>
    <w:rsid w:val="00AE7632"/>
    <w:rsid w:val="00AE76DE"/>
    <w:rsid w:val="00AE7A90"/>
    <w:rsid w:val="00AE7AC2"/>
    <w:rsid w:val="00AE7BBD"/>
    <w:rsid w:val="00AE7DFC"/>
    <w:rsid w:val="00AF0087"/>
    <w:rsid w:val="00AF034F"/>
    <w:rsid w:val="00AF05BE"/>
    <w:rsid w:val="00AF064F"/>
    <w:rsid w:val="00AF06C6"/>
    <w:rsid w:val="00AF078F"/>
    <w:rsid w:val="00AF0848"/>
    <w:rsid w:val="00AF0B8F"/>
    <w:rsid w:val="00AF0E1D"/>
    <w:rsid w:val="00AF10B2"/>
    <w:rsid w:val="00AF1152"/>
    <w:rsid w:val="00AF15CF"/>
    <w:rsid w:val="00AF18A2"/>
    <w:rsid w:val="00AF1A1D"/>
    <w:rsid w:val="00AF1A3B"/>
    <w:rsid w:val="00AF1A5A"/>
    <w:rsid w:val="00AF1ECF"/>
    <w:rsid w:val="00AF2150"/>
    <w:rsid w:val="00AF21AE"/>
    <w:rsid w:val="00AF2528"/>
    <w:rsid w:val="00AF2534"/>
    <w:rsid w:val="00AF2CF9"/>
    <w:rsid w:val="00AF2FB2"/>
    <w:rsid w:val="00AF3425"/>
    <w:rsid w:val="00AF352C"/>
    <w:rsid w:val="00AF35D6"/>
    <w:rsid w:val="00AF38D0"/>
    <w:rsid w:val="00AF3945"/>
    <w:rsid w:val="00AF3990"/>
    <w:rsid w:val="00AF3A31"/>
    <w:rsid w:val="00AF3DD6"/>
    <w:rsid w:val="00AF3EBA"/>
    <w:rsid w:val="00AF3FF4"/>
    <w:rsid w:val="00AF43D4"/>
    <w:rsid w:val="00AF43ED"/>
    <w:rsid w:val="00AF4477"/>
    <w:rsid w:val="00AF4506"/>
    <w:rsid w:val="00AF4839"/>
    <w:rsid w:val="00AF4C0B"/>
    <w:rsid w:val="00AF4C47"/>
    <w:rsid w:val="00AF4F7F"/>
    <w:rsid w:val="00AF4FB0"/>
    <w:rsid w:val="00AF50F9"/>
    <w:rsid w:val="00AF5205"/>
    <w:rsid w:val="00AF5307"/>
    <w:rsid w:val="00AF53D2"/>
    <w:rsid w:val="00AF54DE"/>
    <w:rsid w:val="00AF54E3"/>
    <w:rsid w:val="00AF5617"/>
    <w:rsid w:val="00AF5700"/>
    <w:rsid w:val="00AF57F1"/>
    <w:rsid w:val="00AF5BCD"/>
    <w:rsid w:val="00AF5D47"/>
    <w:rsid w:val="00AF5FD6"/>
    <w:rsid w:val="00AF60CD"/>
    <w:rsid w:val="00AF61C0"/>
    <w:rsid w:val="00AF6440"/>
    <w:rsid w:val="00AF6AAC"/>
    <w:rsid w:val="00AF6FB0"/>
    <w:rsid w:val="00AF70C3"/>
    <w:rsid w:val="00AF7197"/>
    <w:rsid w:val="00AF73EB"/>
    <w:rsid w:val="00AF7471"/>
    <w:rsid w:val="00AF75D9"/>
    <w:rsid w:val="00AF765D"/>
    <w:rsid w:val="00AF769C"/>
    <w:rsid w:val="00AF7AEA"/>
    <w:rsid w:val="00AF7BED"/>
    <w:rsid w:val="00AF7D25"/>
    <w:rsid w:val="00AF7E92"/>
    <w:rsid w:val="00AF7EF7"/>
    <w:rsid w:val="00B001E0"/>
    <w:rsid w:val="00B002AB"/>
    <w:rsid w:val="00B00396"/>
    <w:rsid w:val="00B0062C"/>
    <w:rsid w:val="00B007EB"/>
    <w:rsid w:val="00B0082E"/>
    <w:rsid w:val="00B00AFD"/>
    <w:rsid w:val="00B00BBE"/>
    <w:rsid w:val="00B00CD7"/>
    <w:rsid w:val="00B014DA"/>
    <w:rsid w:val="00B0152F"/>
    <w:rsid w:val="00B015E2"/>
    <w:rsid w:val="00B01778"/>
    <w:rsid w:val="00B01BD0"/>
    <w:rsid w:val="00B01C91"/>
    <w:rsid w:val="00B01EF4"/>
    <w:rsid w:val="00B02182"/>
    <w:rsid w:val="00B02340"/>
    <w:rsid w:val="00B025FB"/>
    <w:rsid w:val="00B0279A"/>
    <w:rsid w:val="00B0279B"/>
    <w:rsid w:val="00B028F1"/>
    <w:rsid w:val="00B02955"/>
    <w:rsid w:val="00B02AB6"/>
    <w:rsid w:val="00B02ADF"/>
    <w:rsid w:val="00B02BB9"/>
    <w:rsid w:val="00B02CCE"/>
    <w:rsid w:val="00B02EB2"/>
    <w:rsid w:val="00B02F0F"/>
    <w:rsid w:val="00B0304F"/>
    <w:rsid w:val="00B032C8"/>
    <w:rsid w:val="00B0344F"/>
    <w:rsid w:val="00B039C3"/>
    <w:rsid w:val="00B039C6"/>
    <w:rsid w:val="00B03B87"/>
    <w:rsid w:val="00B03BE0"/>
    <w:rsid w:val="00B03E14"/>
    <w:rsid w:val="00B03E57"/>
    <w:rsid w:val="00B03E88"/>
    <w:rsid w:val="00B03FBD"/>
    <w:rsid w:val="00B03FBF"/>
    <w:rsid w:val="00B042CE"/>
    <w:rsid w:val="00B0440C"/>
    <w:rsid w:val="00B0441B"/>
    <w:rsid w:val="00B04428"/>
    <w:rsid w:val="00B04520"/>
    <w:rsid w:val="00B0492C"/>
    <w:rsid w:val="00B04B74"/>
    <w:rsid w:val="00B04E0D"/>
    <w:rsid w:val="00B05053"/>
    <w:rsid w:val="00B050E4"/>
    <w:rsid w:val="00B05322"/>
    <w:rsid w:val="00B0532F"/>
    <w:rsid w:val="00B05370"/>
    <w:rsid w:val="00B05528"/>
    <w:rsid w:val="00B05567"/>
    <w:rsid w:val="00B05A18"/>
    <w:rsid w:val="00B05A26"/>
    <w:rsid w:val="00B05BC8"/>
    <w:rsid w:val="00B05F35"/>
    <w:rsid w:val="00B0604D"/>
    <w:rsid w:val="00B06054"/>
    <w:rsid w:val="00B061A6"/>
    <w:rsid w:val="00B0620B"/>
    <w:rsid w:val="00B06274"/>
    <w:rsid w:val="00B06289"/>
    <w:rsid w:val="00B06441"/>
    <w:rsid w:val="00B064D3"/>
    <w:rsid w:val="00B0664D"/>
    <w:rsid w:val="00B06737"/>
    <w:rsid w:val="00B067F1"/>
    <w:rsid w:val="00B069A7"/>
    <w:rsid w:val="00B06C97"/>
    <w:rsid w:val="00B06E68"/>
    <w:rsid w:val="00B06EF4"/>
    <w:rsid w:val="00B06F15"/>
    <w:rsid w:val="00B06F18"/>
    <w:rsid w:val="00B071A8"/>
    <w:rsid w:val="00B07260"/>
    <w:rsid w:val="00B07546"/>
    <w:rsid w:val="00B07988"/>
    <w:rsid w:val="00B07E10"/>
    <w:rsid w:val="00B07EA5"/>
    <w:rsid w:val="00B07EE2"/>
    <w:rsid w:val="00B10187"/>
    <w:rsid w:val="00B105E2"/>
    <w:rsid w:val="00B10700"/>
    <w:rsid w:val="00B10926"/>
    <w:rsid w:val="00B10938"/>
    <w:rsid w:val="00B109B1"/>
    <w:rsid w:val="00B10AB7"/>
    <w:rsid w:val="00B10B58"/>
    <w:rsid w:val="00B10CA8"/>
    <w:rsid w:val="00B10E57"/>
    <w:rsid w:val="00B10E9E"/>
    <w:rsid w:val="00B11010"/>
    <w:rsid w:val="00B11090"/>
    <w:rsid w:val="00B11384"/>
    <w:rsid w:val="00B11443"/>
    <w:rsid w:val="00B114B2"/>
    <w:rsid w:val="00B114D2"/>
    <w:rsid w:val="00B117D9"/>
    <w:rsid w:val="00B11932"/>
    <w:rsid w:val="00B1198F"/>
    <w:rsid w:val="00B11C5B"/>
    <w:rsid w:val="00B11C68"/>
    <w:rsid w:val="00B11DFF"/>
    <w:rsid w:val="00B11FFA"/>
    <w:rsid w:val="00B120CD"/>
    <w:rsid w:val="00B12313"/>
    <w:rsid w:val="00B1233C"/>
    <w:rsid w:val="00B12341"/>
    <w:rsid w:val="00B1267F"/>
    <w:rsid w:val="00B126BF"/>
    <w:rsid w:val="00B12777"/>
    <w:rsid w:val="00B127A4"/>
    <w:rsid w:val="00B1292E"/>
    <w:rsid w:val="00B12B74"/>
    <w:rsid w:val="00B12B86"/>
    <w:rsid w:val="00B12C78"/>
    <w:rsid w:val="00B12D7D"/>
    <w:rsid w:val="00B12D98"/>
    <w:rsid w:val="00B12ECC"/>
    <w:rsid w:val="00B13209"/>
    <w:rsid w:val="00B133BC"/>
    <w:rsid w:val="00B1341D"/>
    <w:rsid w:val="00B134FD"/>
    <w:rsid w:val="00B1362A"/>
    <w:rsid w:val="00B1362D"/>
    <w:rsid w:val="00B139A1"/>
    <w:rsid w:val="00B13A19"/>
    <w:rsid w:val="00B13A7E"/>
    <w:rsid w:val="00B13B1A"/>
    <w:rsid w:val="00B13C70"/>
    <w:rsid w:val="00B13CD1"/>
    <w:rsid w:val="00B13E99"/>
    <w:rsid w:val="00B1407F"/>
    <w:rsid w:val="00B142B5"/>
    <w:rsid w:val="00B142CE"/>
    <w:rsid w:val="00B144CD"/>
    <w:rsid w:val="00B14538"/>
    <w:rsid w:val="00B14841"/>
    <w:rsid w:val="00B1495D"/>
    <w:rsid w:val="00B14AE6"/>
    <w:rsid w:val="00B14C1D"/>
    <w:rsid w:val="00B14D8B"/>
    <w:rsid w:val="00B15005"/>
    <w:rsid w:val="00B15148"/>
    <w:rsid w:val="00B1533A"/>
    <w:rsid w:val="00B15355"/>
    <w:rsid w:val="00B153F2"/>
    <w:rsid w:val="00B1543C"/>
    <w:rsid w:val="00B159FE"/>
    <w:rsid w:val="00B15AA6"/>
    <w:rsid w:val="00B15F64"/>
    <w:rsid w:val="00B165B4"/>
    <w:rsid w:val="00B16661"/>
    <w:rsid w:val="00B16848"/>
    <w:rsid w:val="00B16958"/>
    <w:rsid w:val="00B16D8D"/>
    <w:rsid w:val="00B17029"/>
    <w:rsid w:val="00B170C7"/>
    <w:rsid w:val="00B172BB"/>
    <w:rsid w:val="00B173A9"/>
    <w:rsid w:val="00B173F0"/>
    <w:rsid w:val="00B17554"/>
    <w:rsid w:val="00B17579"/>
    <w:rsid w:val="00B175B3"/>
    <w:rsid w:val="00B176A1"/>
    <w:rsid w:val="00B17724"/>
    <w:rsid w:val="00B177D3"/>
    <w:rsid w:val="00B178E0"/>
    <w:rsid w:val="00B17C20"/>
    <w:rsid w:val="00B17EAC"/>
    <w:rsid w:val="00B17ED7"/>
    <w:rsid w:val="00B1DF86"/>
    <w:rsid w:val="00B2007B"/>
    <w:rsid w:val="00B2007D"/>
    <w:rsid w:val="00B200E2"/>
    <w:rsid w:val="00B20122"/>
    <w:rsid w:val="00B20252"/>
    <w:rsid w:val="00B20356"/>
    <w:rsid w:val="00B203D0"/>
    <w:rsid w:val="00B20470"/>
    <w:rsid w:val="00B20721"/>
    <w:rsid w:val="00B208D7"/>
    <w:rsid w:val="00B20CDD"/>
    <w:rsid w:val="00B20DEE"/>
    <w:rsid w:val="00B212C9"/>
    <w:rsid w:val="00B214B4"/>
    <w:rsid w:val="00B21509"/>
    <w:rsid w:val="00B21519"/>
    <w:rsid w:val="00B218D9"/>
    <w:rsid w:val="00B219A2"/>
    <w:rsid w:val="00B21B66"/>
    <w:rsid w:val="00B21BF8"/>
    <w:rsid w:val="00B21C47"/>
    <w:rsid w:val="00B21DDE"/>
    <w:rsid w:val="00B21F55"/>
    <w:rsid w:val="00B21FEC"/>
    <w:rsid w:val="00B2215C"/>
    <w:rsid w:val="00B2219E"/>
    <w:rsid w:val="00B2242A"/>
    <w:rsid w:val="00B22840"/>
    <w:rsid w:val="00B22924"/>
    <w:rsid w:val="00B22A28"/>
    <w:rsid w:val="00B22AB5"/>
    <w:rsid w:val="00B22ACE"/>
    <w:rsid w:val="00B22E1A"/>
    <w:rsid w:val="00B23180"/>
    <w:rsid w:val="00B231C5"/>
    <w:rsid w:val="00B233BF"/>
    <w:rsid w:val="00B23445"/>
    <w:rsid w:val="00B2352E"/>
    <w:rsid w:val="00B2357A"/>
    <w:rsid w:val="00B23584"/>
    <w:rsid w:val="00B23638"/>
    <w:rsid w:val="00B2397D"/>
    <w:rsid w:val="00B239F1"/>
    <w:rsid w:val="00B23A01"/>
    <w:rsid w:val="00B23B38"/>
    <w:rsid w:val="00B23C8C"/>
    <w:rsid w:val="00B23D13"/>
    <w:rsid w:val="00B23FC5"/>
    <w:rsid w:val="00B240CA"/>
    <w:rsid w:val="00B2442F"/>
    <w:rsid w:val="00B2443C"/>
    <w:rsid w:val="00B245A5"/>
    <w:rsid w:val="00B2473D"/>
    <w:rsid w:val="00B247EC"/>
    <w:rsid w:val="00B2487D"/>
    <w:rsid w:val="00B2488E"/>
    <w:rsid w:val="00B24B88"/>
    <w:rsid w:val="00B24D58"/>
    <w:rsid w:val="00B24E77"/>
    <w:rsid w:val="00B24EB8"/>
    <w:rsid w:val="00B251AE"/>
    <w:rsid w:val="00B25311"/>
    <w:rsid w:val="00B25480"/>
    <w:rsid w:val="00B25525"/>
    <w:rsid w:val="00B25528"/>
    <w:rsid w:val="00B25635"/>
    <w:rsid w:val="00B256AB"/>
    <w:rsid w:val="00B2571B"/>
    <w:rsid w:val="00B25768"/>
    <w:rsid w:val="00B257F5"/>
    <w:rsid w:val="00B25CB2"/>
    <w:rsid w:val="00B25CC5"/>
    <w:rsid w:val="00B25D2E"/>
    <w:rsid w:val="00B26073"/>
    <w:rsid w:val="00B261E8"/>
    <w:rsid w:val="00B262DB"/>
    <w:rsid w:val="00B262E2"/>
    <w:rsid w:val="00B26776"/>
    <w:rsid w:val="00B267F3"/>
    <w:rsid w:val="00B268DF"/>
    <w:rsid w:val="00B269F3"/>
    <w:rsid w:val="00B26AB9"/>
    <w:rsid w:val="00B26B23"/>
    <w:rsid w:val="00B26EA1"/>
    <w:rsid w:val="00B26FE7"/>
    <w:rsid w:val="00B27092"/>
    <w:rsid w:val="00B272BE"/>
    <w:rsid w:val="00B274F6"/>
    <w:rsid w:val="00B27529"/>
    <w:rsid w:val="00B278EE"/>
    <w:rsid w:val="00B27BA5"/>
    <w:rsid w:val="00B27C46"/>
    <w:rsid w:val="00B27CD7"/>
    <w:rsid w:val="00B27E84"/>
    <w:rsid w:val="00B27F7F"/>
    <w:rsid w:val="00B300C4"/>
    <w:rsid w:val="00B30121"/>
    <w:rsid w:val="00B30149"/>
    <w:rsid w:val="00B301C7"/>
    <w:rsid w:val="00B30276"/>
    <w:rsid w:val="00B305AF"/>
    <w:rsid w:val="00B30899"/>
    <w:rsid w:val="00B308B4"/>
    <w:rsid w:val="00B30A8D"/>
    <w:rsid w:val="00B30CCF"/>
    <w:rsid w:val="00B30D83"/>
    <w:rsid w:val="00B30F4D"/>
    <w:rsid w:val="00B31197"/>
    <w:rsid w:val="00B31301"/>
    <w:rsid w:val="00B31424"/>
    <w:rsid w:val="00B31462"/>
    <w:rsid w:val="00B3189E"/>
    <w:rsid w:val="00B319F1"/>
    <w:rsid w:val="00B31A48"/>
    <w:rsid w:val="00B31CCB"/>
    <w:rsid w:val="00B31D2D"/>
    <w:rsid w:val="00B3219A"/>
    <w:rsid w:val="00B32430"/>
    <w:rsid w:val="00B32829"/>
    <w:rsid w:val="00B329FE"/>
    <w:rsid w:val="00B32A00"/>
    <w:rsid w:val="00B32AFE"/>
    <w:rsid w:val="00B32B3E"/>
    <w:rsid w:val="00B32C5B"/>
    <w:rsid w:val="00B32CD9"/>
    <w:rsid w:val="00B32D58"/>
    <w:rsid w:val="00B32E3A"/>
    <w:rsid w:val="00B32FE5"/>
    <w:rsid w:val="00B332C8"/>
    <w:rsid w:val="00B334F7"/>
    <w:rsid w:val="00B33512"/>
    <w:rsid w:val="00B33590"/>
    <w:rsid w:val="00B33945"/>
    <w:rsid w:val="00B33A3F"/>
    <w:rsid w:val="00B33B67"/>
    <w:rsid w:val="00B33B85"/>
    <w:rsid w:val="00B33D88"/>
    <w:rsid w:val="00B33E7E"/>
    <w:rsid w:val="00B33F49"/>
    <w:rsid w:val="00B341D6"/>
    <w:rsid w:val="00B341FC"/>
    <w:rsid w:val="00B34339"/>
    <w:rsid w:val="00B34433"/>
    <w:rsid w:val="00B34637"/>
    <w:rsid w:val="00B348C0"/>
    <w:rsid w:val="00B34E29"/>
    <w:rsid w:val="00B35103"/>
    <w:rsid w:val="00B35190"/>
    <w:rsid w:val="00B351E9"/>
    <w:rsid w:val="00B35265"/>
    <w:rsid w:val="00B353BF"/>
    <w:rsid w:val="00B3542D"/>
    <w:rsid w:val="00B355AD"/>
    <w:rsid w:val="00B35899"/>
    <w:rsid w:val="00B35944"/>
    <w:rsid w:val="00B3594E"/>
    <w:rsid w:val="00B35980"/>
    <w:rsid w:val="00B359C7"/>
    <w:rsid w:val="00B35BB5"/>
    <w:rsid w:val="00B35BCF"/>
    <w:rsid w:val="00B35E56"/>
    <w:rsid w:val="00B35F55"/>
    <w:rsid w:val="00B362D6"/>
    <w:rsid w:val="00B36310"/>
    <w:rsid w:val="00B36369"/>
    <w:rsid w:val="00B3669A"/>
    <w:rsid w:val="00B36938"/>
    <w:rsid w:val="00B36BB0"/>
    <w:rsid w:val="00B36D4C"/>
    <w:rsid w:val="00B36D4D"/>
    <w:rsid w:val="00B36DFE"/>
    <w:rsid w:val="00B36E28"/>
    <w:rsid w:val="00B37031"/>
    <w:rsid w:val="00B37034"/>
    <w:rsid w:val="00B370FB"/>
    <w:rsid w:val="00B37279"/>
    <w:rsid w:val="00B37547"/>
    <w:rsid w:val="00B37861"/>
    <w:rsid w:val="00B378A8"/>
    <w:rsid w:val="00B37971"/>
    <w:rsid w:val="00B37AAE"/>
    <w:rsid w:val="00B37BE0"/>
    <w:rsid w:val="00B37C47"/>
    <w:rsid w:val="00B37D82"/>
    <w:rsid w:val="00B400D8"/>
    <w:rsid w:val="00B401C7"/>
    <w:rsid w:val="00B402B4"/>
    <w:rsid w:val="00B402FA"/>
    <w:rsid w:val="00B40413"/>
    <w:rsid w:val="00B40462"/>
    <w:rsid w:val="00B4054F"/>
    <w:rsid w:val="00B40565"/>
    <w:rsid w:val="00B4070D"/>
    <w:rsid w:val="00B40AA5"/>
    <w:rsid w:val="00B40AC5"/>
    <w:rsid w:val="00B40B3C"/>
    <w:rsid w:val="00B40B7D"/>
    <w:rsid w:val="00B40B86"/>
    <w:rsid w:val="00B40C9F"/>
    <w:rsid w:val="00B40D42"/>
    <w:rsid w:val="00B40DDA"/>
    <w:rsid w:val="00B40EB2"/>
    <w:rsid w:val="00B40F5B"/>
    <w:rsid w:val="00B4106B"/>
    <w:rsid w:val="00B410D5"/>
    <w:rsid w:val="00B413EB"/>
    <w:rsid w:val="00B4145D"/>
    <w:rsid w:val="00B4167F"/>
    <w:rsid w:val="00B41C9A"/>
    <w:rsid w:val="00B41D56"/>
    <w:rsid w:val="00B41D71"/>
    <w:rsid w:val="00B41E40"/>
    <w:rsid w:val="00B4215B"/>
    <w:rsid w:val="00B424C3"/>
    <w:rsid w:val="00B4254B"/>
    <w:rsid w:val="00B4262F"/>
    <w:rsid w:val="00B42653"/>
    <w:rsid w:val="00B426CE"/>
    <w:rsid w:val="00B42900"/>
    <w:rsid w:val="00B42954"/>
    <w:rsid w:val="00B42B0D"/>
    <w:rsid w:val="00B42B41"/>
    <w:rsid w:val="00B42F9A"/>
    <w:rsid w:val="00B43144"/>
    <w:rsid w:val="00B432B5"/>
    <w:rsid w:val="00B43342"/>
    <w:rsid w:val="00B436F5"/>
    <w:rsid w:val="00B437FA"/>
    <w:rsid w:val="00B43A19"/>
    <w:rsid w:val="00B43A93"/>
    <w:rsid w:val="00B43AB3"/>
    <w:rsid w:val="00B43C5D"/>
    <w:rsid w:val="00B43D53"/>
    <w:rsid w:val="00B43F27"/>
    <w:rsid w:val="00B43F54"/>
    <w:rsid w:val="00B44164"/>
    <w:rsid w:val="00B441FD"/>
    <w:rsid w:val="00B4420D"/>
    <w:rsid w:val="00B4424C"/>
    <w:rsid w:val="00B44384"/>
    <w:rsid w:val="00B443D7"/>
    <w:rsid w:val="00B444D9"/>
    <w:rsid w:val="00B44952"/>
    <w:rsid w:val="00B44A64"/>
    <w:rsid w:val="00B44ABC"/>
    <w:rsid w:val="00B44BA0"/>
    <w:rsid w:val="00B450BA"/>
    <w:rsid w:val="00B45215"/>
    <w:rsid w:val="00B4559B"/>
    <w:rsid w:val="00B4565A"/>
    <w:rsid w:val="00B45A53"/>
    <w:rsid w:val="00B45D26"/>
    <w:rsid w:val="00B45E65"/>
    <w:rsid w:val="00B45E83"/>
    <w:rsid w:val="00B4630C"/>
    <w:rsid w:val="00B46322"/>
    <w:rsid w:val="00B469BF"/>
    <w:rsid w:val="00B46A08"/>
    <w:rsid w:val="00B46B26"/>
    <w:rsid w:val="00B46EBB"/>
    <w:rsid w:val="00B477AF"/>
    <w:rsid w:val="00B4783E"/>
    <w:rsid w:val="00B478BE"/>
    <w:rsid w:val="00B47914"/>
    <w:rsid w:val="00B47C51"/>
    <w:rsid w:val="00B47F24"/>
    <w:rsid w:val="00B47F68"/>
    <w:rsid w:val="00B502F9"/>
    <w:rsid w:val="00B506B1"/>
    <w:rsid w:val="00B508D4"/>
    <w:rsid w:val="00B50BD4"/>
    <w:rsid w:val="00B50C52"/>
    <w:rsid w:val="00B50D7D"/>
    <w:rsid w:val="00B50E23"/>
    <w:rsid w:val="00B50EC6"/>
    <w:rsid w:val="00B5106A"/>
    <w:rsid w:val="00B510BF"/>
    <w:rsid w:val="00B51169"/>
    <w:rsid w:val="00B51244"/>
    <w:rsid w:val="00B5170E"/>
    <w:rsid w:val="00B51C48"/>
    <w:rsid w:val="00B51CF4"/>
    <w:rsid w:val="00B51E0A"/>
    <w:rsid w:val="00B51E30"/>
    <w:rsid w:val="00B51F66"/>
    <w:rsid w:val="00B5207D"/>
    <w:rsid w:val="00B5248F"/>
    <w:rsid w:val="00B52494"/>
    <w:rsid w:val="00B527E6"/>
    <w:rsid w:val="00B52817"/>
    <w:rsid w:val="00B52908"/>
    <w:rsid w:val="00B52B38"/>
    <w:rsid w:val="00B52BE5"/>
    <w:rsid w:val="00B52E54"/>
    <w:rsid w:val="00B52E68"/>
    <w:rsid w:val="00B52FF8"/>
    <w:rsid w:val="00B53092"/>
    <w:rsid w:val="00B5312A"/>
    <w:rsid w:val="00B53208"/>
    <w:rsid w:val="00B53244"/>
    <w:rsid w:val="00B532CE"/>
    <w:rsid w:val="00B533F5"/>
    <w:rsid w:val="00B5368B"/>
    <w:rsid w:val="00B536E0"/>
    <w:rsid w:val="00B53A07"/>
    <w:rsid w:val="00B53A83"/>
    <w:rsid w:val="00B53B61"/>
    <w:rsid w:val="00B53E77"/>
    <w:rsid w:val="00B53F33"/>
    <w:rsid w:val="00B54148"/>
    <w:rsid w:val="00B5415A"/>
    <w:rsid w:val="00B54263"/>
    <w:rsid w:val="00B542FA"/>
    <w:rsid w:val="00B54327"/>
    <w:rsid w:val="00B545E0"/>
    <w:rsid w:val="00B54691"/>
    <w:rsid w:val="00B54A9E"/>
    <w:rsid w:val="00B5501A"/>
    <w:rsid w:val="00B5553D"/>
    <w:rsid w:val="00B55950"/>
    <w:rsid w:val="00B559ED"/>
    <w:rsid w:val="00B55AEC"/>
    <w:rsid w:val="00B55B4D"/>
    <w:rsid w:val="00B55D0C"/>
    <w:rsid w:val="00B55EC2"/>
    <w:rsid w:val="00B55FDE"/>
    <w:rsid w:val="00B560BA"/>
    <w:rsid w:val="00B56188"/>
    <w:rsid w:val="00B56312"/>
    <w:rsid w:val="00B56441"/>
    <w:rsid w:val="00B566E3"/>
    <w:rsid w:val="00B56B98"/>
    <w:rsid w:val="00B56D86"/>
    <w:rsid w:val="00B57021"/>
    <w:rsid w:val="00B5740B"/>
    <w:rsid w:val="00B574B5"/>
    <w:rsid w:val="00B57533"/>
    <w:rsid w:val="00B57593"/>
    <w:rsid w:val="00B575F1"/>
    <w:rsid w:val="00B57642"/>
    <w:rsid w:val="00B577ED"/>
    <w:rsid w:val="00B578B2"/>
    <w:rsid w:val="00B57BF0"/>
    <w:rsid w:val="00B57CF7"/>
    <w:rsid w:val="00B57D77"/>
    <w:rsid w:val="00B600A8"/>
    <w:rsid w:val="00B602C6"/>
    <w:rsid w:val="00B604E2"/>
    <w:rsid w:val="00B607FD"/>
    <w:rsid w:val="00B608F7"/>
    <w:rsid w:val="00B60C81"/>
    <w:rsid w:val="00B60E4C"/>
    <w:rsid w:val="00B60FBD"/>
    <w:rsid w:val="00B61089"/>
    <w:rsid w:val="00B61458"/>
    <w:rsid w:val="00B6155C"/>
    <w:rsid w:val="00B615AC"/>
    <w:rsid w:val="00B6163C"/>
    <w:rsid w:val="00B6171F"/>
    <w:rsid w:val="00B61843"/>
    <w:rsid w:val="00B6189E"/>
    <w:rsid w:val="00B61B8A"/>
    <w:rsid w:val="00B6212C"/>
    <w:rsid w:val="00B627EA"/>
    <w:rsid w:val="00B6280D"/>
    <w:rsid w:val="00B62999"/>
    <w:rsid w:val="00B62A97"/>
    <w:rsid w:val="00B62BB8"/>
    <w:rsid w:val="00B62C23"/>
    <w:rsid w:val="00B62C29"/>
    <w:rsid w:val="00B62D1E"/>
    <w:rsid w:val="00B62D3C"/>
    <w:rsid w:val="00B62F6B"/>
    <w:rsid w:val="00B631AD"/>
    <w:rsid w:val="00B63276"/>
    <w:rsid w:val="00B63314"/>
    <w:rsid w:val="00B63417"/>
    <w:rsid w:val="00B63476"/>
    <w:rsid w:val="00B635F3"/>
    <w:rsid w:val="00B63B08"/>
    <w:rsid w:val="00B63E62"/>
    <w:rsid w:val="00B63F34"/>
    <w:rsid w:val="00B63F7D"/>
    <w:rsid w:val="00B64407"/>
    <w:rsid w:val="00B64751"/>
    <w:rsid w:val="00B647AC"/>
    <w:rsid w:val="00B647C5"/>
    <w:rsid w:val="00B64AB2"/>
    <w:rsid w:val="00B64C76"/>
    <w:rsid w:val="00B64FE0"/>
    <w:rsid w:val="00B65050"/>
    <w:rsid w:val="00B652BB"/>
    <w:rsid w:val="00B6542B"/>
    <w:rsid w:val="00B6556A"/>
    <w:rsid w:val="00B65761"/>
    <w:rsid w:val="00B65807"/>
    <w:rsid w:val="00B65843"/>
    <w:rsid w:val="00B65B6F"/>
    <w:rsid w:val="00B65C10"/>
    <w:rsid w:val="00B65C6A"/>
    <w:rsid w:val="00B65EA4"/>
    <w:rsid w:val="00B65F98"/>
    <w:rsid w:val="00B66229"/>
    <w:rsid w:val="00B662E1"/>
    <w:rsid w:val="00B666FB"/>
    <w:rsid w:val="00B667FB"/>
    <w:rsid w:val="00B66837"/>
    <w:rsid w:val="00B66A08"/>
    <w:rsid w:val="00B66C5C"/>
    <w:rsid w:val="00B66C72"/>
    <w:rsid w:val="00B66CFA"/>
    <w:rsid w:val="00B66E78"/>
    <w:rsid w:val="00B66F1C"/>
    <w:rsid w:val="00B670F8"/>
    <w:rsid w:val="00B6717D"/>
    <w:rsid w:val="00B67201"/>
    <w:rsid w:val="00B6727F"/>
    <w:rsid w:val="00B67325"/>
    <w:rsid w:val="00B67396"/>
    <w:rsid w:val="00B673FB"/>
    <w:rsid w:val="00B67436"/>
    <w:rsid w:val="00B67603"/>
    <w:rsid w:val="00B6764E"/>
    <w:rsid w:val="00B677B1"/>
    <w:rsid w:val="00B677F2"/>
    <w:rsid w:val="00B678E4"/>
    <w:rsid w:val="00B679F4"/>
    <w:rsid w:val="00B67AA1"/>
    <w:rsid w:val="00B67B6C"/>
    <w:rsid w:val="00B67BED"/>
    <w:rsid w:val="00B67E08"/>
    <w:rsid w:val="00B67F65"/>
    <w:rsid w:val="00B67FC3"/>
    <w:rsid w:val="00B70042"/>
    <w:rsid w:val="00B70043"/>
    <w:rsid w:val="00B70122"/>
    <w:rsid w:val="00B703E8"/>
    <w:rsid w:val="00B70417"/>
    <w:rsid w:val="00B7045E"/>
    <w:rsid w:val="00B70490"/>
    <w:rsid w:val="00B70975"/>
    <w:rsid w:val="00B70B8E"/>
    <w:rsid w:val="00B70C1F"/>
    <w:rsid w:val="00B70C2A"/>
    <w:rsid w:val="00B70C3B"/>
    <w:rsid w:val="00B70C6F"/>
    <w:rsid w:val="00B70CBB"/>
    <w:rsid w:val="00B70EEC"/>
    <w:rsid w:val="00B71062"/>
    <w:rsid w:val="00B712B4"/>
    <w:rsid w:val="00B713D8"/>
    <w:rsid w:val="00B7160F"/>
    <w:rsid w:val="00B7173C"/>
    <w:rsid w:val="00B7190D"/>
    <w:rsid w:val="00B7194D"/>
    <w:rsid w:val="00B719EF"/>
    <w:rsid w:val="00B71D14"/>
    <w:rsid w:val="00B71E36"/>
    <w:rsid w:val="00B71F84"/>
    <w:rsid w:val="00B72292"/>
    <w:rsid w:val="00B724AE"/>
    <w:rsid w:val="00B7254C"/>
    <w:rsid w:val="00B72573"/>
    <w:rsid w:val="00B72B26"/>
    <w:rsid w:val="00B72BCA"/>
    <w:rsid w:val="00B72C52"/>
    <w:rsid w:val="00B72C5B"/>
    <w:rsid w:val="00B72D05"/>
    <w:rsid w:val="00B72DC1"/>
    <w:rsid w:val="00B72E1D"/>
    <w:rsid w:val="00B72E67"/>
    <w:rsid w:val="00B73061"/>
    <w:rsid w:val="00B7343B"/>
    <w:rsid w:val="00B7354A"/>
    <w:rsid w:val="00B7362D"/>
    <w:rsid w:val="00B739FF"/>
    <w:rsid w:val="00B73AA3"/>
    <w:rsid w:val="00B73D9C"/>
    <w:rsid w:val="00B73F10"/>
    <w:rsid w:val="00B73F5A"/>
    <w:rsid w:val="00B74024"/>
    <w:rsid w:val="00B742FD"/>
    <w:rsid w:val="00B74373"/>
    <w:rsid w:val="00B744A6"/>
    <w:rsid w:val="00B7470B"/>
    <w:rsid w:val="00B7489B"/>
    <w:rsid w:val="00B748E5"/>
    <w:rsid w:val="00B74D11"/>
    <w:rsid w:val="00B74D82"/>
    <w:rsid w:val="00B7505A"/>
    <w:rsid w:val="00B751FB"/>
    <w:rsid w:val="00B75230"/>
    <w:rsid w:val="00B75233"/>
    <w:rsid w:val="00B752CC"/>
    <w:rsid w:val="00B753D9"/>
    <w:rsid w:val="00B7547D"/>
    <w:rsid w:val="00B754CD"/>
    <w:rsid w:val="00B7562A"/>
    <w:rsid w:val="00B75D52"/>
    <w:rsid w:val="00B75DC5"/>
    <w:rsid w:val="00B76229"/>
    <w:rsid w:val="00B7636F"/>
    <w:rsid w:val="00B763AE"/>
    <w:rsid w:val="00B7644F"/>
    <w:rsid w:val="00B765D4"/>
    <w:rsid w:val="00B76823"/>
    <w:rsid w:val="00B76975"/>
    <w:rsid w:val="00B76A8B"/>
    <w:rsid w:val="00B76C95"/>
    <w:rsid w:val="00B76CB9"/>
    <w:rsid w:val="00B77008"/>
    <w:rsid w:val="00B77111"/>
    <w:rsid w:val="00B77479"/>
    <w:rsid w:val="00B774A5"/>
    <w:rsid w:val="00B77757"/>
    <w:rsid w:val="00B777A3"/>
    <w:rsid w:val="00B77922"/>
    <w:rsid w:val="00B77934"/>
    <w:rsid w:val="00B779D6"/>
    <w:rsid w:val="00B77B1D"/>
    <w:rsid w:val="00B77B3D"/>
    <w:rsid w:val="00B77CAE"/>
    <w:rsid w:val="00B801FC"/>
    <w:rsid w:val="00B80408"/>
    <w:rsid w:val="00B80410"/>
    <w:rsid w:val="00B806F3"/>
    <w:rsid w:val="00B807B4"/>
    <w:rsid w:val="00B80B27"/>
    <w:rsid w:val="00B80C21"/>
    <w:rsid w:val="00B80EB6"/>
    <w:rsid w:val="00B81218"/>
    <w:rsid w:val="00B812D9"/>
    <w:rsid w:val="00B81758"/>
    <w:rsid w:val="00B8199C"/>
    <w:rsid w:val="00B81A13"/>
    <w:rsid w:val="00B81CAF"/>
    <w:rsid w:val="00B81CE7"/>
    <w:rsid w:val="00B81D16"/>
    <w:rsid w:val="00B81D3C"/>
    <w:rsid w:val="00B81D7E"/>
    <w:rsid w:val="00B81F35"/>
    <w:rsid w:val="00B82347"/>
    <w:rsid w:val="00B823E1"/>
    <w:rsid w:val="00B823F2"/>
    <w:rsid w:val="00B824E7"/>
    <w:rsid w:val="00B8262E"/>
    <w:rsid w:val="00B82859"/>
    <w:rsid w:val="00B82879"/>
    <w:rsid w:val="00B829D0"/>
    <w:rsid w:val="00B82AB6"/>
    <w:rsid w:val="00B82B1B"/>
    <w:rsid w:val="00B82DBB"/>
    <w:rsid w:val="00B82E4E"/>
    <w:rsid w:val="00B82EB2"/>
    <w:rsid w:val="00B8305F"/>
    <w:rsid w:val="00B83162"/>
    <w:rsid w:val="00B8361A"/>
    <w:rsid w:val="00B83855"/>
    <w:rsid w:val="00B83A51"/>
    <w:rsid w:val="00B83B21"/>
    <w:rsid w:val="00B83D65"/>
    <w:rsid w:val="00B83F34"/>
    <w:rsid w:val="00B83F5B"/>
    <w:rsid w:val="00B83F85"/>
    <w:rsid w:val="00B83FF4"/>
    <w:rsid w:val="00B840C1"/>
    <w:rsid w:val="00B8419C"/>
    <w:rsid w:val="00B841D4"/>
    <w:rsid w:val="00B84206"/>
    <w:rsid w:val="00B843E5"/>
    <w:rsid w:val="00B8456A"/>
    <w:rsid w:val="00B845F1"/>
    <w:rsid w:val="00B84860"/>
    <w:rsid w:val="00B8486D"/>
    <w:rsid w:val="00B84BD2"/>
    <w:rsid w:val="00B84D52"/>
    <w:rsid w:val="00B84DAA"/>
    <w:rsid w:val="00B85168"/>
    <w:rsid w:val="00B851DE"/>
    <w:rsid w:val="00B85215"/>
    <w:rsid w:val="00B853DA"/>
    <w:rsid w:val="00B85471"/>
    <w:rsid w:val="00B8556B"/>
    <w:rsid w:val="00B85630"/>
    <w:rsid w:val="00B8566D"/>
    <w:rsid w:val="00B859B0"/>
    <w:rsid w:val="00B85AD2"/>
    <w:rsid w:val="00B85BFC"/>
    <w:rsid w:val="00B85D6C"/>
    <w:rsid w:val="00B85E07"/>
    <w:rsid w:val="00B860CA"/>
    <w:rsid w:val="00B8619F"/>
    <w:rsid w:val="00B8633D"/>
    <w:rsid w:val="00B869FB"/>
    <w:rsid w:val="00B86AC9"/>
    <w:rsid w:val="00B86AFE"/>
    <w:rsid w:val="00B86B7B"/>
    <w:rsid w:val="00B86BA5"/>
    <w:rsid w:val="00B86BEC"/>
    <w:rsid w:val="00B86C13"/>
    <w:rsid w:val="00B86D16"/>
    <w:rsid w:val="00B86D49"/>
    <w:rsid w:val="00B86D89"/>
    <w:rsid w:val="00B86DDE"/>
    <w:rsid w:val="00B8727B"/>
    <w:rsid w:val="00B87C33"/>
    <w:rsid w:val="00B87DB5"/>
    <w:rsid w:val="00B87DE8"/>
    <w:rsid w:val="00B9003E"/>
    <w:rsid w:val="00B901E3"/>
    <w:rsid w:val="00B902DF"/>
    <w:rsid w:val="00B90372"/>
    <w:rsid w:val="00B905CE"/>
    <w:rsid w:val="00B906E7"/>
    <w:rsid w:val="00B9092A"/>
    <w:rsid w:val="00B90B10"/>
    <w:rsid w:val="00B90D5C"/>
    <w:rsid w:val="00B91235"/>
    <w:rsid w:val="00B91446"/>
    <w:rsid w:val="00B914C8"/>
    <w:rsid w:val="00B9165A"/>
    <w:rsid w:val="00B91979"/>
    <w:rsid w:val="00B91A2A"/>
    <w:rsid w:val="00B91A8B"/>
    <w:rsid w:val="00B91BC8"/>
    <w:rsid w:val="00B91E62"/>
    <w:rsid w:val="00B91FCD"/>
    <w:rsid w:val="00B920A3"/>
    <w:rsid w:val="00B920F7"/>
    <w:rsid w:val="00B92201"/>
    <w:rsid w:val="00B92251"/>
    <w:rsid w:val="00B922C7"/>
    <w:rsid w:val="00B92532"/>
    <w:rsid w:val="00B9254B"/>
    <w:rsid w:val="00B9271D"/>
    <w:rsid w:val="00B929F7"/>
    <w:rsid w:val="00B92B16"/>
    <w:rsid w:val="00B92B60"/>
    <w:rsid w:val="00B92B68"/>
    <w:rsid w:val="00B92BE8"/>
    <w:rsid w:val="00B92E34"/>
    <w:rsid w:val="00B92F0E"/>
    <w:rsid w:val="00B93224"/>
    <w:rsid w:val="00B93503"/>
    <w:rsid w:val="00B93538"/>
    <w:rsid w:val="00B935D6"/>
    <w:rsid w:val="00B9365E"/>
    <w:rsid w:val="00B9369C"/>
    <w:rsid w:val="00B93706"/>
    <w:rsid w:val="00B93943"/>
    <w:rsid w:val="00B93977"/>
    <w:rsid w:val="00B93B62"/>
    <w:rsid w:val="00B93D77"/>
    <w:rsid w:val="00B940E4"/>
    <w:rsid w:val="00B94332"/>
    <w:rsid w:val="00B946EF"/>
    <w:rsid w:val="00B94766"/>
    <w:rsid w:val="00B94D5B"/>
    <w:rsid w:val="00B9507C"/>
    <w:rsid w:val="00B95420"/>
    <w:rsid w:val="00B9544C"/>
    <w:rsid w:val="00B95BB4"/>
    <w:rsid w:val="00B95BCC"/>
    <w:rsid w:val="00B95D61"/>
    <w:rsid w:val="00B95EB9"/>
    <w:rsid w:val="00B96048"/>
    <w:rsid w:val="00B960DC"/>
    <w:rsid w:val="00B960E1"/>
    <w:rsid w:val="00B962CC"/>
    <w:rsid w:val="00B9680D"/>
    <w:rsid w:val="00B96905"/>
    <w:rsid w:val="00B96932"/>
    <w:rsid w:val="00B96C83"/>
    <w:rsid w:val="00B96C9D"/>
    <w:rsid w:val="00B96E86"/>
    <w:rsid w:val="00B96F58"/>
    <w:rsid w:val="00B972F3"/>
    <w:rsid w:val="00B97343"/>
    <w:rsid w:val="00B975D1"/>
    <w:rsid w:val="00B97707"/>
    <w:rsid w:val="00B977F4"/>
    <w:rsid w:val="00B97A05"/>
    <w:rsid w:val="00B97D70"/>
    <w:rsid w:val="00B97F48"/>
    <w:rsid w:val="00B97FE7"/>
    <w:rsid w:val="00BA0054"/>
    <w:rsid w:val="00BA00C5"/>
    <w:rsid w:val="00BA0148"/>
    <w:rsid w:val="00BA01D2"/>
    <w:rsid w:val="00BA02AC"/>
    <w:rsid w:val="00BA0461"/>
    <w:rsid w:val="00BA0722"/>
    <w:rsid w:val="00BA07F7"/>
    <w:rsid w:val="00BA0914"/>
    <w:rsid w:val="00BA0ACD"/>
    <w:rsid w:val="00BA0ADD"/>
    <w:rsid w:val="00BA0B8D"/>
    <w:rsid w:val="00BA0C2B"/>
    <w:rsid w:val="00BA0CC4"/>
    <w:rsid w:val="00BA0D9B"/>
    <w:rsid w:val="00BA0E86"/>
    <w:rsid w:val="00BA0EE1"/>
    <w:rsid w:val="00BA0F20"/>
    <w:rsid w:val="00BA10BE"/>
    <w:rsid w:val="00BA13F3"/>
    <w:rsid w:val="00BA1478"/>
    <w:rsid w:val="00BA147A"/>
    <w:rsid w:val="00BA16F0"/>
    <w:rsid w:val="00BA1946"/>
    <w:rsid w:val="00BA19F2"/>
    <w:rsid w:val="00BA1C9B"/>
    <w:rsid w:val="00BA2417"/>
    <w:rsid w:val="00BA2592"/>
    <w:rsid w:val="00BA25D6"/>
    <w:rsid w:val="00BA2908"/>
    <w:rsid w:val="00BA32D2"/>
    <w:rsid w:val="00BA396F"/>
    <w:rsid w:val="00BA39EF"/>
    <w:rsid w:val="00BA3BFC"/>
    <w:rsid w:val="00BA3D28"/>
    <w:rsid w:val="00BA3D5F"/>
    <w:rsid w:val="00BA3D78"/>
    <w:rsid w:val="00BA3D8C"/>
    <w:rsid w:val="00BA3DE6"/>
    <w:rsid w:val="00BA3F8B"/>
    <w:rsid w:val="00BA3FD7"/>
    <w:rsid w:val="00BA4467"/>
    <w:rsid w:val="00BA473F"/>
    <w:rsid w:val="00BA49DE"/>
    <w:rsid w:val="00BA4CCD"/>
    <w:rsid w:val="00BA4D47"/>
    <w:rsid w:val="00BA4E89"/>
    <w:rsid w:val="00BA4E92"/>
    <w:rsid w:val="00BA4EC9"/>
    <w:rsid w:val="00BA4FFB"/>
    <w:rsid w:val="00BA5014"/>
    <w:rsid w:val="00BA5115"/>
    <w:rsid w:val="00BA539B"/>
    <w:rsid w:val="00BA556D"/>
    <w:rsid w:val="00BA5737"/>
    <w:rsid w:val="00BA5949"/>
    <w:rsid w:val="00BA5A78"/>
    <w:rsid w:val="00BA5B76"/>
    <w:rsid w:val="00BA5BE5"/>
    <w:rsid w:val="00BA64B0"/>
    <w:rsid w:val="00BA6C55"/>
    <w:rsid w:val="00BA6D03"/>
    <w:rsid w:val="00BA6F1B"/>
    <w:rsid w:val="00BA742C"/>
    <w:rsid w:val="00BA7805"/>
    <w:rsid w:val="00BA7889"/>
    <w:rsid w:val="00BA7986"/>
    <w:rsid w:val="00BA7B6A"/>
    <w:rsid w:val="00BA7C47"/>
    <w:rsid w:val="00BA7DE3"/>
    <w:rsid w:val="00BA7DFC"/>
    <w:rsid w:val="00BB00F3"/>
    <w:rsid w:val="00BB0675"/>
    <w:rsid w:val="00BB06CD"/>
    <w:rsid w:val="00BB0865"/>
    <w:rsid w:val="00BB0C1C"/>
    <w:rsid w:val="00BB0D54"/>
    <w:rsid w:val="00BB0FCC"/>
    <w:rsid w:val="00BB144C"/>
    <w:rsid w:val="00BB1713"/>
    <w:rsid w:val="00BB174D"/>
    <w:rsid w:val="00BB1971"/>
    <w:rsid w:val="00BB1C08"/>
    <w:rsid w:val="00BB1E42"/>
    <w:rsid w:val="00BB2046"/>
    <w:rsid w:val="00BB21CC"/>
    <w:rsid w:val="00BB2313"/>
    <w:rsid w:val="00BB23A5"/>
    <w:rsid w:val="00BB24C7"/>
    <w:rsid w:val="00BB25BD"/>
    <w:rsid w:val="00BB2734"/>
    <w:rsid w:val="00BB2758"/>
    <w:rsid w:val="00BB29F2"/>
    <w:rsid w:val="00BB2A22"/>
    <w:rsid w:val="00BB2A7F"/>
    <w:rsid w:val="00BB2B3F"/>
    <w:rsid w:val="00BB2DDA"/>
    <w:rsid w:val="00BB2FE1"/>
    <w:rsid w:val="00BB3177"/>
    <w:rsid w:val="00BB336D"/>
    <w:rsid w:val="00BB34E4"/>
    <w:rsid w:val="00BB3579"/>
    <w:rsid w:val="00BB35C9"/>
    <w:rsid w:val="00BB35F0"/>
    <w:rsid w:val="00BB382E"/>
    <w:rsid w:val="00BB3899"/>
    <w:rsid w:val="00BB3D2B"/>
    <w:rsid w:val="00BB3DDF"/>
    <w:rsid w:val="00BB3E2B"/>
    <w:rsid w:val="00BB4046"/>
    <w:rsid w:val="00BB4241"/>
    <w:rsid w:val="00BB42D6"/>
    <w:rsid w:val="00BB431B"/>
    <w:rsid w:val="00BB4332"/>
    <w:rsid w:val="00BB43FE"/>
    <w:rsid w:val="00BB4450"/>
    <w:rsid w:val="00BB4484"/>
    <w:rsid w:val="00BB45EA"/>
    <w:rsid w:val="00BB476C"/>
    <w:rsid w:val="00BB47BA"/>
    <w:rsid w:val="00BB4832"/>
    <w:rsid w:val="00BB4DD0"/>
    <w:rsid w:val="00BB4FAC"/>
    <w:rsid w:val="00BB521E"/>
    <w:rsid w:val="00BB52F9"/>
    <w:rsid w:val="00BB52FE"/>
    <w:rsid w:val="00BB5353"/>
    <w:rsid w:val="00BB5502"/>
    <w:rsid w:val="00BB597C"/>
    <w:rsid w:val="00BB59B1"/>
    <w:rsid w:val="00BB5B66"/>
    <w:rsid w:val="00BB5C45"/>
    <w:rsid w:val="00BB5C71"/>
    <w:rsid w:val="00BB5DDC"/>
    <w:rsid w:val="00BB5FC5"/>
    <w:rsid w:val="00BB6119"/>
    <w:rsid w:val="00BB61CD"/>
    <w:rsid w:val="00BB64A7"/>
    <w:rsid w:val="00BB682E"/>
    <w:rsid w:val="00BB68F2"/>
    <w:rsid w:val="00BB6A9E"/>
    <w:rsid w:val="00BB6AD4"/>
    <w:rsid w:val="00BB6BAB"/>
    <w:rsid w:val="00BB6CEF"/>
    <w:rsid w:val="00BB6DF7"/>
    <w:rsid w:val="00BB738C"/>
    <w:rsid w:val="00BB7407"/>
    <w:rsid w:val="00BB75E9"/>
    <w:rsid w:val="00BB77F7"/>
    <w:rsid w:val="00BB782C"/>
    <w:rsid w:val="00BB7998"/>
    <w:rsid w:val="00BB79D1"/>
    <w:rsid w:val="00BB7AC6"/>
    <w:rsid w:val="00BB7C00"/>
    <w:rsid w:val="00BB7C45"/>
    <w:rsid w:val="00BB7FCC"/>
    <w:rsid w:val="00BC0054"/>
    <w:rsid w:val="00BC014D"/>
    <w:rsid w:val="00BC0223"/>
    <w:rsid w:val="00BC0254"/>
    <w:rsid w:val="00BC028B"/>
    <w:rsid w:val="00BC02C2"/>
    <w:rsid w:val="00BC0401"/>
    <w:rsid w:val="00BC086A"/>
    <w:rsid w:val="00BC0E22"/>
    <w:rsid w:val="00BC0E4B"/>
    <w:rsid w:val="00BC1035"/>
    <w:rsid w:val="00BC1089"/>
    <w:rsid w:val="00BC1258"/>
    <w:rsid w:val="00BC1360"/>
    <w:rsid w:val="00BC13B6"/>
    <w:rsid w:val="00BC1494"/>
    <w:rsid w:val="00BC15A9"/>
    <w:rsid w:val="00BC18D0"/>
    <w:rsid w:val="00BC190E"/>
    <w:rsid w:val="00BC1B7E"/>
    <w:rsid w:val="00BC1C14"/>
    <w:rsid w:val="00BC1C74"/>
    <w:rsid w:val="00BC1E9F"/>
    <w:rsid w:val="00BC210F"/>
    <w:rsid w:val="00BC2340"/>
    <w:rsid w:val="00BC2378"/>
    <w:rsid w:val="00BC2636"/>
    <w:rsid w:val="00BC2770"/>
    <w:rsid w:val="00BC279B"/>
    <w:rsid w:val="00BC2911"/>
    <w:rsid w:val="00BC2B03"/>
    <w:rsid w:val="00BC2BD6"/>
    <w:rsid w:val="00BC2C4F"/>
    <w:rsid w:val="00BC2CAA"/>
    <w:rsid w:val="00BC2EB7"/>
    <w:rsid w:val="00BC2EFA"/>
    <w:rsid w:val="00BC2F9A"/>
    <w:rsid w:val="00BC3283"/>
    <w:rsid w:val="00BC346D"/>
    <w:rsid w:val="00BC3593"/>
    <w:rsid w:val="00BC3648"/>
    <w:rsid w:val="00BC3732"/>
    <w:rsid w:val="00BC38F8"/>
    <w:rsid w:val="00BC39F3"/>
    <w:rsid w:val="00BC3B9D"/>
    <w:rsid w:val="00BC3BA0"/>
    <w:rsid w:val="00BC42CB"/>
    <w:rsid w:val="00BC44AF"/>
    <w:rsid w:val="00BC4586"/>
    <w:rsid w:val="00BC4695"/>
    <w:rsid w:val="00BC470C"/>
    <w:rsid w:val="00BC4729"/>
    <w:rsid w:val="00BC4778"/>
    <w:rsid w:val="00BC4974"/>
    <w:rsid w:val="00BC4C61"/>
    <w:rsid w:val="00BC4D6C"/>
    <w:rsid w:val="00BC4DEF"/>
    <w:rsid w:val="00BC4ECB"/>
    <w:rsid w:val="00BC527F"/>
    <w:rsid w:val="00BC5297"/>
    <w:rsid w:val="00BC52B7"/>
    <w:rsid w:val="00BC589D"/>
    <w:rsid w:val="00BC5B0C"/>
    <w:rsid w:val="00BC5BFA"/>
    <w:rsid w:val="00BC5C52"/>
    <w:rsid w:val="00BC5D31"/>
    <w:rsid w:val="00BC5E94"/>
    <w:rsid w:val="00BC5F0B"/>
    <w:rsid w:val="00BC5F84"/>
    <w:rsid w:val="00BC63A8"/>
    <w:rsid w:val="00BC6494"/>
    <w:rsid w:val="00BC64C0"/>
    <w:rsid w:val="00BC6525"/>
    <w:rsid w:val="00BC657F"/>
    <w:rsid w:val="00BC65D1"/>
    <w:rsid w:val="00BC65D5"/>
    <w:rsid w:val="00BC6657"/>
    <w:rsid w:val="00BC665C"/>
    <w:rsid w:val="00BC673A"/>
    <w:rsid w:val="00BC69E8"/>
    <w:rsid w:val="00BC6A60"/>
    <w:rsid w:val="00BC6ABC"/>
    <w:rsid w:val="00BC6C27"/>
    <w:rsid w:val="00BC6C9D"/>
    <w:rsid w:val="00BC6E72"/>
    <w:rsid w:val="00BC6E7F"/>
    <w:rsid w:val="00BC6ECE"/>
    <w:rsid w:val="00BC6F8A"/>
    <w:rsid w:val="00BC7164"/>
    <w:rsid w:val="00BC7241"/>
    <w:rsid w:val="00BC72EF"/>
    <w:rsid w:val="00BC7340"/>
    <w:rsid w:val="00BC73C4"/>
    <w:rsid w:val="00BC7448"/>
    <w:rsid w:val="00BC74EB"/>
    <w:rsid w:val="00BC7514"/>
    <w:rsid w:val="00BC75E3"/>
    <w:rsid w:val="00BC7833"/>
    <w:rsid w:val="00BC7852"/>
    <w:rsid w:val="00BC7B95"/>
    <w:rsid w:val="00BC7D83"/>
    <w:rsid w:val="00BC7E27"/>
    <w:rsid w:val="00BC7E31"/>
    <w:rsid w:val="00BC7E43"/>
    <w:rsid w:val="00BC7EC3"/>
    <w:rsid w:val="00BD058C"/>
    <w:rsid w:val="00BD0641"/>
    <w:rsid w:val="00BD0794"/>
    <w:rsid w:val="00BD09A7"/>
    <w:rsid w:val="00BD0E71"/>
    <w:rsid w:val="00BD0ED0"/>
    <w:rsid w:val="00BD1334"/>
    <w:rsid w:val="00BD143C"/>
    <w:rsid w:val="00BD146B"/>
    <w:rsid w:val="00BD15FA"/>
    <w:rsid w:val="00BD171C"/>
    <w:rsid w:val="00BD17B0"/>
    <w:rsid w:val="00BD1848"/>
    <w:rsid w:val="00BD1992"/>
    <w:rsid w:val="00BD1BCB"/>
    <w:rsid w:val="00BD1D4F"/>
    <w:rsid w:val="00BD1DE8"/>
    <w:rsid w:val="00BD209D"/>
    <w:rsid w:val="00BD20BD"/>
    <w:rsid w:val="00BD237F"/>
    <w:rsid w:val="00BD26BA"/>
    <w:rsid w:val="00BD27FE"/>
    <w:rsid w:val="00BD2AB0"/>
    <w:rsid w:val="00BD2BED"/>
    <w:rsid w:val="00BD2D50"/>
    <w:rsid w:val="00BD31E2"/>
    <w:rsid w:val="00BD376D"/>
    <w:rsid w:val="00BD395E"/>
    <w:rsid w:val="00BD39AE"/>
    <w:rsid w:val="00BD39F7"/>
    <w:rsid w:val="00BD3AD3"/>
    <w:rsid w:val="00BD3C5C"/>
    <w:rsid w:val="00BD3D1B"/>
    <w:rsid w:val="00BD3E3B"/>
    <w:rsid w:val="00BD3F2F"/>
    <w:rsid w:val="00BD41E9"/>
    <w:rsid w:val="00BD44D0"/>
    <w:rsid w:val="00BD44E8"/>
    <w:rsid w:val="00BD4637"/>
    <w:rsid w:val="00BD4667"/>
    <w:rsid w:val="00BD476F"/>
    <w:rsid w:val="00BD4995"/>
    <w:rsid w:val="00BD4A13"/>
    <w:rsid w:val="00BD4B22"/>
    <w:rsid w:val="00BD4B39"/>
    <w:rsid w:val="00BD4B62"/>
    <w:rsid w:val="00BD4E62"/>
    <w:rsid w:val="00BD4ECD"/>
    <w:rsid w:val="00BD505A"/>
    <w:rsid w:val="00BD510E"/>
    <w:rsid w:val="00BD54B4"/>
    <w:rsid w:val="00BD564A"/>
    <w:rsid w:val="00BD567A"/>
    <w:rsid w:val="00BD57AE"/>
    <w:rsid w:val="00BD58D4"/>
    <w:rsid w:val="00BD592E"/>
    <w:rsid w:val="00BD5986"/>
    <w:rsid w:val="00BD59E8"/>
    <w:rsid w:val="00BD5A39"/>
    <w:rsid w:val="00BD5ABA"/>
    <w:rsid w:val="00BD5C4F"/>
    <w:rsid w:val="00BD5DEE"/>
    <w:rsid w:val="00BD61E4"/>
    <w:rsid w:val="00BD640C"/>
    <w:rsid w:val="00BD646E"/>
    <w:rsid w:val="00BD65D3"/>
    <w:rsid w:val="00BD6BE3"/>
    <w:rsid w:val="00BD6CA6"/>
    <w:rsid w:val="00BD6EAA"/>
    <w:rsid w:val="00BD6FFD"/>
    <w:rsid w:val="00BD7041"/>
    <w:rsid w:val="00BD70B1"/>
    <w:rsid w:val="00BD73F8"/>
    <w:rsid w:val="00BD74B4"/>
    <w:rsid w:val="00BD75A0"/>
    <w:rsid w:val="00BD75E0"/>
    <w:rsid w:val="00BD75FD"/>
    <w:rsid w:val="00BD7767"/>
    <w:rsid w:val="00BD786F"/>
    <w:rsid w:val="00BD78B8"/>
    <w:rsid w:val="00BD78F6"/>
    <w:rsid w:val="00BD7D2B"/>
    <w:rsid w:val="00BD7FDE"/>
    <w:rsid w:val="00BE00FF"/>
    <w:rsid w:val="00BE0225"/>
    <w:rsid w:val="00BE03F2"/>
    <w:rsid w:val="00BE0458"/>
    <w:rsid w:val="00BE066B"/>
    <w:rsid w:val="00BE0ABE"/>
    <w:rsid w:val="00BE0C63"/>
    <w:rsid w:val="00BE0C8F"/>
    <w:rsid w:val="00BE0CDF"/>
    <w:rsid w:val="00BE0D2E"/>
    <w:rsid w:val="00BE0DCC"/>
    <w:rsid w:val="00BE0F16"/>
    <w:rsid w:val="00BE1012"/>
    <w:rsid w:val="00BE104A"/>
    <w:rsid w:val="00BE1186"/>
    <w:rsid w:val="00BE1226"/>
    <w:rsid w:val="00BE1294"/>
    <w:rsid w:val="00BE129F"/>
    <w:rsid w:val="00BE1403"/>
    <w:rsid w:val="00BE141F"/>
    <w:rsid w:val="00BE1533"/>
    <w:rsid w:val="00BE16A6"/>
    <w:rsid w:val="00BE16CB"/>
    <w:rsid w:val="00BE190D"/>
    <w:rsid w:val="00BE1A08"/>
    <w:rsid w:val="00BE1CE8"/>
    <w:rsid w:val="00BE1D27"/>
    <w:rsid w:val="00BE1E0E"/>
    <w:rsid w:val="00BE1F35"/>
    <w:rsid w:val="00BE2106"/>
    <w:rsid w:val="00BE2674"/>
    <w:rsid w:val="00BE2AC8"/>
    <w:rsid w:val="00BE2B2C"/>
    <w:rsid w:val="00BE2BF1"/>
    <w:rsid w:val="00BE2D22"/>
    <w:rsid w:val="00BE2D28"/>
    <w:rsid w:val="00BE2DC2"/>
    <w:rsid w:val="00BE2EA9"/>
    <w:rsid w:val="00BE2F73"/>
    <w:rsid w:val="00BE2F91"/>
    <w:rsid w:val="00BE333A"/>
    <w:rsid w:val="00BE346D"/>
    <w:rsid w:val="00BE34E3"/>
    <w:rsid w:val="00BE357E"/>
    <w:rsid w:val="00BE35D2"/>
    <w:rsid w:val="00BE35D7"/>
    <w:rsid w:val="00BE35F2"/>
    <w:rsid w:val="00BE364E"/>
    <w:rsid w:val="00BE36B5"/>
    <w:rsid w:val="00BE3A02"/>
    <w:rsid w:val="00BE3B76"/>
    <w:rsid w:val="00BE3BA6"/>
    <w:rsid w:val="00BE3C33"/>
    <w:rsid w:val="00BE3DD0"/>
    <w:rsid w:val="00BE3DE2"/>
    <w:rsid w:val="00BE3E58"/>
    <w:rsid w:val="00BE40A4"/>
    <w:rsid w:val="00BE411B"/>
    <w:rsid w:val="00BE492E"/>
    <w:rsid w:val="00BE4B39"/>
    <w:rsid w:val="00BE4B45"/>
    <w:rsid w:val="00BE4BB4"/>
    <w:rsid w:val="00BE4CBB"/>
    <w:rsid w:val="00BE4CE8"/>
    <w:rsid w:val="00BE4CF7"/>
    <w:rsid w:val="00BE4D98"/>
    <w:rsid w:val="00BE4D9F"/>
    <w:rsid w:val="00BE5103"/>
    <w:rsid w:val="00BE5308"/>
    <w:rsid w:val="00BE5621"/>
    <w:rsid w:val="00BE56F4"/>
    <w:rsid w:val="00BE5A1F"/>
    <w:rsid w:val="00BE5B66"/>
    <w:rsid w:val="00BE5B6B"/>
    <w:rsid w:val="00BE5BB7"/>
    <w:rsid w:val="00BE5E41"/>
    <w:rsid w:val="00BE5E78"/>
    <w:rsid w:val="00BE5F6F"/>
    <w:rsid w:val="00BE6034"/>
    <w:rsid w:val="00BE60F9"/>
    <w:rsid w:val="00BE61EA"/>
    <w:rsid w:val="00BE63B6"/>
    <w:rsid w:val="00BE658D"/>
    <w:rsid w:val="00BE65F4"/>
    <w:rsid w:val="00BE6795"/>
    <w:rsid w:val="00BE6808"/>
    <w:rsid w:val="00BE6857"/>
    <w:rsid w:val="00BE687E"/>
    <w:rsid w:val="00BE6CD6"/>
    <w:rsid w:val="00BE6E66"/>
    <w:rsid w:val="00BE709D"/>
    <w:rsid w:val="00BE70BD"/>
    <w:rsid w:val="00BE7200"/>
    <w:rsid w:val="00BE7604"/>
    <w:rsid w:val="00BE768E"/>
    <w:rsid w:val="00BE76F2"/>
    <w:rsid w:val="00BE76FD"/>
    <w:rsid w:val="00BE774B"/>
    <w:rsid w:val="00BE7916"/>
    <w:rsid w:val="00BE7FD7"/>
    <w:rsid w:val="00BF03D6"/>
    <w:rsid w:val="00BF0772"/>
    <w:rsid w:val="00BF086B"/>
    <w:rsid w:val="00BF0913"/>
    <w:rsid w:val="00BF0A47"/>
    <w:rsid w:val="00BF0C3E"/>
    <w:rsid w:val="00BF0CD8"/>
    <w:rsid w:val="00BF112B"/>
    <w:rsid w:val="00BF12A2"/>
    <w:rsid w:val="00BF1397"/>
    <w:rsid w:val="00BF139C"/>
    <w:rsid w:val="00BF1462"/>
    <w:rsid w:val="00BF15F9"/>
    <w:rsid w:val="00BF16F9"/>
    <w:rsid w:val="00BF188C"/>
    <w:rsid w:val="00BF2489"/>
    <w:rsid w:val="00BF24B5"/>
    <w:rsid w:val="00BF2527"/>
    <w:rsid w:val="00BF2A72"/>
    <w:rsid w:val="00BF2AC2"/>
    <w:rsid w:val="00BF2DE5"/>
    <w:rsid w:val="00BF2EFF"/>
    <w:rsid w:val="00BF2F66"/>
    <w:rsid w:val="00BF3081"/>
    <w:rsid w:val="00BF30C8"/>
    <w:rsid w:val="00BF3768"/>
    <w:rsid w:val="00BF38E2"/>
    <w:rsid w:val="00BF3C2E"/>
    <w:rsid w:val="00BF3DDD"/>
    <w:rsid w:val="00BF3EC0"/>
    <w:rsid w:val="00BF3F99"/>
    <w:rsid w:val="00BF42C8"/>
    <w:rsid w:val="00BF46AD"/>
    <w:rsid w:val="00BF47A4"/>
    <w:rsid w:val="00BF47F0"/>
    <w:rsid w:val="00BF4984"/>
    <w:rsid w:val="00BF4B73"/>
    <w:rsid w:val="00BF4C12"/>
    <w:rsid w:val="00BF4DCE"/>
    <w:rsid w:val="00BF4EB3"/>
    <w:rsid w:val="00BF5370"/>
    <w:rsid w:val="00BF53BF"/>
    <w:rsid w:val="00BF5455"/>
    <w:rsid w:val="00BF552B"/>
    <w:rsid w:val="00BF5D09"/>
    <w:rsid w:val="00BF5F2B"/>
    <w:rsid w:val="00BF6037"/>
    <w:rsid w:val="00BF6059"/>
    <w:rsid w:val="00BF6135"/>
    <w:rsid w:val="00BF63D2"/>
    <w:rsid w:val="00BF65E8"/>
    <w:rsid w:val="00BF66BA"/>
    <w:rsid w:val="00BF672F"/>
    <w:rsid w:val="00BF682E"/>
    <w:rsid w:val="00BF6B18"/>
    <w:rsid w:val="00BF6D51"/>
    <w:rsid w:val="00BF6F29"/>
    <w:rsid w:val="00BF6FEA"/>
    <w:rsid w:val="00BF703B"/>
    <w:rsid w:val="00BF7158"/>
    <w:rsid w:val="00BF72DA"/>
    <w:rsid w:val="00BF7517"/>
    <w:rsid w:val="00BF7564"/>
    <w:rsid w:val="00BF7625"/>
    <w:rsid w:val="00BF77CE"/>
    <w:rsid w:val="00BF782B"/>
    <w:rsid w:val="00BF78DF"/>
    <w:rsid w:val="00BF7C8B"/>
    <w:rsid w:val="00BF7D59"/>
    <w:rsid w:val="00BF7DB4"/>
    <w:rsid w:val="00C0023F"/>
    <w:rsid w:val="00C002DA"/>
    <w:rsid w:val="00C00903"/>
    <w:rsid w:val="00C00964"/>
    <w:rsid w:val="00C00A3B"/>
    <w:rsid w:val="00C00E00"/>
    <w:rsid w:val="00C01338"/>
    <w:rsid w:val="00C0143A"/>
    <w:rsid w:val="00C014F3"/>
    <w:rsid w:val="00C01558"/>
    <w:rsid w:val="00C0155E"/>
    <w:rsid w:val="00C01593"/>
    <w:rsid w:val="00C015F4"/>
    <w:rsid w:val="00C01626"/>
    <w:rsid w:val="00C017FF"/>
    <w:rsid w:val="00C0185F"/>
    <w:rsid w:val="00C0186B"/>
    <w:rsid w:val="00C01972"/>
    <w:rsid w:val="00C01992"/>
    <w:rsid w:val="00C019A6"/>
    <w:rsid w:val="00C019F4"/>
    <w:rsid w:val="00C01D02"/>
    <w:rsid w:val="00C01D17"/>
    <w:rsid w:val="00C01ED1"/>
    <w:rsid w:val="00C020E9"/>
    <w:rsid w:val="00C0210D"/>
    <w:rsid w:val="00C025C5"/>
    <w:rsid w:val="00C027B9"/>
    <w:rsid w:val="00C02812"/>
    <w:rsid w:val="00C0297D"/>
    <w:rsid w:val="00C02992"/>
    <w:rsid w:val="00C029BB"/>
    <w:rsid w:val="00C02C4E"/>
    <w:rsid w:val="00C02C52"/>
    <w:rsid w:val="00C02FFA"/>
    <w:rsid w:val="00C03110"/>
    <w:rsid w:val="00C03268"/>
    <w:rsid w:val="00C03281"/>
    <w:rsid w:val="00C035EB"/>
    <w:rsid w:val="00C0370E"/>
    <w:rsid w:val="00C03852"/>
    <w:rsid w:val="00C03A79"/>
    <w:rsid w:val="00C03B04"/>
    <w:rsid w:val="00C03B60"/>
    <w:rsid w:val="00C03C53"/>
    <w:rsid w:val="00C03E16"/>
    <w:rsid w:val="00C03EC1"/>
    <w:rsid w:val="00C03EC3"/>
    <w:rsid w:val="00C04060"/>
    <w:rsid w:val="00C04249"/>
    <w:rsid w:val="00C04297"/>
    <w:rsid w:val="00C04398"/>
    <w:rsid w:val="00C0454D"/>
    <w:rsid w:val="00C045C2"/>
    <w:rsid w:val="00C045D2"/>
    <w:rsid w:val="00C04B07"/>
    <w:rsid w:val="00C05090"/>
    <w:rsid w:val="00C0543C"/>
    <w:rsid w:val="00C054ED"/>
    <w:rsid w:val="00C0554D"/>
    <w:rsid w:val="00C056B5"/>
    <w:rsid w:val="00C05BF7"/>
    <w:rsid w:val="00C05C42"/>
    <w:rsid w:val="00C05DD9"/>
    <w:rsid w:val="00C05F12"/>
    <w:rsid w:val="00C06017"/>
    <w:rsid w:val="00C060E3"/>
    <w:rsid w:val="00C065D9"/>
    <w:rsid w:val="00C065E9"/>
    <w:rsid w:val="00C06688"/>
    <w:rsid w:val="00C06720"/>
    <w:rsid w:val="00C06930"/>
    <w:rsid w:val="00C06B90"/>
    <w:rsid w:val="00C06DDA"/>
    <w:rsid w:val="00C06FDF"/>
    <w:rsid w:val="00C070D0"/>
    <w:rsid w:val="00C07244"/>
    <w:rsid w:val="00C0724A"/>
    <w:rsid w:val="00C074C8"/>
    <w:rsid w:val="00C07686"/>
    <w:rsid w:val="00C076FB"/>
    <w:rsid w:val="00C07ACF"/>
    <w:rsid w:val="00C07BF1"/>
    <w:rsid w:val="00C10112"/>
    <w:rsid w:val="00C101A1"/>
    <w:rsid w:val="00C1021C"/>
    <w:rsid w:val="00C1040E"/>
    <w:rsid w:val="00C1055D"/>
    <w:rsid w:val="00C1059C"/>
    <w:rsid w:val="00C10613"/>
    <w:rsid w:val="00C106CA"/>
    <w:rsid w:val="00C108B9"/>
    <w:rsid w:val="00C10B9D"/>
    <w:rsid w:val="00C10D18"/>
    <w:rsid w:val="00C10DAD"/>
    <w:rsid w:val="00C11183"/>
    <w:rsid w:val="00C11189"/>
    <w:rsid w:val="00C114E4"/>
    <w:rsid w:val="00C118EB"/>
    <w:rsid w:val="00C11CF0"/>
    <w:rsid w:val="00C11DAC"/>
    <w:rsid w:val="00C11F30"/>
    <w:rsid w:val="00C11FE4"/>
    <w:rsid w:val="00C12082"/>
    <w:rsid w:val="00C120D6"/>
    <w:rsid w:val="00C120EB"/>
    <w:rsid w:val="00C12319"/>
    <w:rsid w:val="00C12475"/>
    <w:rsid w:val="00C12511"/>
    <w:rsid w:val="00C12712"/>
    <w:rsid w:val="00C12853"/>
    <w:rsid w:val="00C13034"/>
    <w:rsid w:val="00C132FD"/>
    <w:rsid w:val="00C13484"/>
    <w:rsid w:val="00C1370C"/>
    <w:rsid w:val="00C13942"/>
    <w:rsid w:val="00C13A37"/>
    <w:rsid w:val="00C13A63"/>
    <w:rsid w:val="00C13C91"/>
    <w:rsid w:val="00C13D17"/>
    <w:rsid w:val="00C141AE"/>
    <w:rsid w:val="00C1425F"/>
    <w:rsid w:val="00C146BB"/>
    <w:rsid w:val="00C14817"/>
    <w:rsid w:val="00C149A2"/>
    <w:rsid w:val="00C14AA7"/>
    <w:rsid w:val="00C14B6E"/>
    <w:rsid w:val="00C14BA4"/>
    <w:rsid w:val="00C14CC9"/>
    <w:rsid w:val="00C14E80"/>
    <w:rsid w:val="00C14EF0"/>
    <w:rsid w:val="00C15322"/>
    <w:rsid w:val="00C15517"/>
    <w:rsid w:val="00C1554E"/>
    <w:rsid w:val="00C1567B"/>
    <w:rsid w:val="00C15752"/>
    <w:rsid w:val="00C15840"/>
    <w:rsid w:val="00C15859"/>
    <w:rsid w:val="00C15A6F"/>
    <w:rsid w:val="00C15A72"/>
    <w:rsid w:val="00C15B03"/>
    <w:rsid w:val="00C15DEC"/>
    <w:rsid w:val="00C15DFF"/>
    <w:rsid w:val="00C15E7C"/>
    <w:rsid w:val="00C15E8E"/>
    <w:rsid w:val="00C15F43"/>
    <w:rsid w:val="00C16062"/>
    <w:rsid w:val="00C16267"/>
    <w:rsid w:val="00C16285"/>
    <w:rsid w:val="00C16446"/>
    <w:rsid w:val="00C16561"/>
    <w:rsid w:val="00C165BA"/>
    <w:rsid w:val="00C1665C"/>
    <w:rsid w:val="00C16675"/>
    <w:rsid w:val="00C168DC"/>
    <w:rsid w:val="00C16C81"/>
    <w:rsid w:val="00C16D71"/>
    <w:rsid w:val="00C16F13"/>
    <w:rsid w:val="00C170DF"/>
    <w:rsid w:val="00C172FA"/>
    <w:rsid w:val="00C173C8"/>
    <w:rsid w:val="00C1743B"/>
    <w:rsid w:val="00C1747A"/>
    <w:rsid w:val="00C17564"/>
    <w:rsid w:val="00C1761B"/>
    <w:rsid w:val="00C1792D"/>
    <w:rsid w:val="00C17AA6"/>
    <w:rsid w:val="00C17AB6"/>
    <w:rsid w:val="00C17B49"/>
    <w:rsid w:val="00C17C35"/>
    <w:rsid w:val="00C17C4F"/>
    <w:rsid w:val="00C17CF9"/>
    <w:rsid w:val="00C17D9A"/>
    <w:rsid w:val="00C17E23"/>
    <w:rsid w:val="00C2029E"/>
    <w:rsid w:val="00C20335"/>
    <w:rsid w:val="00C20414"/>
    <w:rsid w:val="00C206CF"/>
    <w:rsid w:val="00C206DB"/>
    <w:rsid w:val="00C20703"/>
    <w:rsid w:val="00C20919"/>
    <w:rsid w:val="00C20A29"/>
    <w:rsid w:val="00C20B29"/>
    <w:rsid w:val="00C20B2D"/>
    <w:rsid w:val="00C20CF8"/>
    <w:rsid w:val="00C20D37"/>
    <w:rsid w:val="00C20D47"/>
    <w:rsid w:val="00C20DF8"/>
    <w:rsid w:val="00C20F7A"/>
    <w:rsid w:val="00C210A6"/>
    <w:rsid w:val="00C21116"/>
    <w:rsid w:val="00C21629"/>
    <w:rsid w:val="00C216EE"/>
    <w:rsid w:val="00C2180E"/>
    <w:rsid w:val="00C21840"/>
    <w:rsid w:val="00C21857"/>
    <w:rsid w:val="00C2197A"/>
    <w:rsid w:val="00C21D24"/>
    <w:rsid w:val="00C21F11"/>
    <w:rsid w:val="00C21F4A"/>
    <w:rsid w:val="00C2207A"/>
    <w:rsid w:val="00C221B7"/>
    <w:rsid w:val="00C2220F"/>
    <w:rsid w:val="00C22344"/>
    <w:rsid w:val="00C223DF"/>
    <w:rsid w:val="00C223FF"/>
    <w:rsid w:val="00C224B7"/>
    <w:rsid w:val="00C22767"/>
    <w:rsid w:val="00C22941"/>
    <w:rsid w:val="00C22B7E"/>
    <w:rsid w:val="00C22B90"/>
    <w:rsid w:val="00C22D78"/>
    <w:rsid w:val="00C22E25"/>
    <w:rsid w:val="00C22EEC"/>
    <w:rsid w:val="00C233E0"/>
    <w:rsid w:val="00C23495"/>
    <w:rsid w:val="00C2354A"/>
    <w:rsid w:val="00C235A1"/>
    <w:rsid w:val="00C235C9"/>
    <w:rsid w:val="00C2399B"/>
    <w:rsid w:val="00C23A10"/>
    <w:rsid w:val="00C23A3E"/>
    <w:rsid w:val="00C23B71"/>
    <w:rsid w:val="00C23C61"/>
    <w:rsid w:val="00C23C7D"/>
    <w:rsid w:val="00C23DFD"/>
    <w:rsid w:val="00C23EE3"/>
    <w:rsid w:val="00C23F5B"/>
    <w:rsid w:val="00C23FE2"/>
    <w:rsid w:val="00C2404E"/>
    <w:rsid w:val="00C242AC"/>
    <w:rsid w:val="00C24523"/>
    <w:rsid w:val="00C24795"/>
    <w:rsid w:val="00C24AD2"/>
    <w:rsid w:val="00C24B2B"/>
    <w:rsid w:val="00C25023"/>
    <w:rsid w:val="00C2508A"/>
    <w:rsid w:val="00C2513B"/>
    <w:rsid w:val="00C25225"/>
    <w:rsid w:val="00C2542C"/>
    <w:rsid w:val="00C25610"/>
    <w:rsid w:val="00C2563E"/>
    <w:rsid w:val="00C25825"/>
    <w:rsid w:val="00C25B3F"/>
    <w:rsid w:val="00C25DA0"/>
    <w:rsid w:val="00C25DC7"/>
    <w:rsid w:val="00C25EB5"/>
    <w:rsid w:val="00C26045"/>
    <w:rsid w:val="00C26522"/>
    <w:rsid w:val="00C26625"/>
    <w:rsid w:val="00C266E5"/>
    <w:rsid w:val="00C2676A"/>
    <w:rsid w:val="00C268F4"/>
    <w:rsid w:val="00C26C9E"/>
    <w:rsid w:val="00C26CAF"/>
    <w:rsid w:val="00C26D4A"/>
    <w:rsid w:val="00C26DC7"/>
    <w:rsid w:val="00C26DE1"/>
    <w:rsid w:val="00C27067"/>
    <w:rsid w:val="00C27257"/>
    <w:rsid w:val="00C27308"/>
    <w:rsid w:val="00C27312"/>
    <w:rsid w:val="00C2735E"/>
    <w:rsid w:val="00C274FB"/>
    <w:rsid w:val="00C27691"/>
    <w:rsid w:val="00C276DD"/>
    <w:rsid w:val="00C277AF"/>
    <w:rsid w:val="00C277F2"/>
    <w:rsid w:val="00C2782B"/>
    <w:rsid w:val="00C278AB"/>
    <w:rsid w:val="00C27A03"/>
    <w:rsid w:val="00C27B1B"/>
    <w:rsid w:val="00C27B5D"/>
    <w:rsid w:val="00C27CA6"/>
    <w:rsid w:val="00C27D34"/>
    <w:rsid w:val="00C27D7F"/>
    <w:rsid w:val="00C27E8C"/>
    <w:rsid w:val="00C300CD"/>
    <w:rsid w:val="00C30214"/>
    <w:rsid w:val="00C30275"/>
    <w:rsid w:val="00C304DC"/>
    <w:rsid w:val="00C30520"/>
    <w:rsid w:val="00C3057E"/>
    <w:rsid w:val="00C30696"/>
    <w:rsid w:val="00C30739"/>
    <w:rsid w:val="00C30A19"/>
    <w:rsid w:val="00C30C46"/>
    <w:rsid w:val="00C30D05"/>
    <w:rsid w:val="00C30F80"/>
    <w:rsid w:val="00C311E1"/>
    <w:rsid w:val="00C3136F"/>
    <w:rsid w:val="00C315A9"/>
    <w:rsid w:val="00C31698"/>
    <w:rsid w:val="00C31848"/>
    <w:rsid w:val="00C3188B"/>
    <w:rsid w:val="00C318F8"/>
    <w:rsid w:val="00C31967"/>
    <w:rsid w:val="00C31994"/>
    <w:rsid w:val="00C31BB6"/>
    <w:rsid w:val="00C31C72"/>
    <w:rsid w:val="00C31D44"/>
    <w:rsid w:val="00C3222C"/>
    <w:rsid w:val="00C322C6"/>
    <w:rsid w:val="00C323A9"/>
    <w:rsid w:val="00C324BA"/>
    <w:rsid w:val="00C324BC"/>
    <w:rsid w:val="00C32580"/>
    <w:rsid w:val="00C32630"/>
    <w:rsid w:val="00C3282D"/>
    <w:rsid w:val="00C32A49"/>
    <w:rsid w:val="00C32A9B"/>
    <w:rsid w:val="00C32BD2"/>
    <w:rsid w:val="00C32C7E"/>
    <w:rsid w:val="00C32D9A"/>
    <w:rsid w:val="00C32E6B"/>
    <w:rsid w:val="00C330DE"/>
    <w:rsid w:val="00C33227"/>
    <w:rsid w:val="00C33485"/>
    <w:rsid w:val="00C334F3"/>
    <w:rsid w:val="00C33619"/>
    <w:rsid w:val="00C33620"/>
    <w:rsid w:val="00C33636"/>
    <w:rsid w:val="00C3388E"/>
    <w:rsid w:val="00C33A4C"/>
    <w:rsid w:val="00C33C9C"/>
    <w:rsid w:val="00C3421F"/>
    <w:rsid w:val="00C34257"/>
    <w:rsid w:val="00C342CF"/>
    <w:rsid w:val="00C342FC"/>
    <w:rsid w:val="00C34619"/>
    <w:rsid w:val="00C348AF"/>
    <w:rsid w:val="00C34910"/>
    <w:rsid w:val="00C34B8C"/>
    <w:rsid w:val="00C34C66"/>
    <w:rsid w:val="00C34E84"/>
    <w:rsid w:val="00C34EB1"/>
    <w:rsid w:val="00C34F6D"/>
    <w:rsid w:val="00C352E7"/>
    <w:rsid w:val="00C353A7"/>
    <w:rsid w:val="00C35560"/>
    <w:rsid w:val="00C35891"/>
    <w:rsid w:val="00C35954"/>
    <w:rsid w:val="00C359E1"/>
    <w:rsid w:val="00C35AEF"/>
    <w:rsid w:val="00C35B51"/>
    <w:rsid w:val="00C35C17"/>
    <w:rsid w:val="00C35C40"/>
    <w:rsid w:val="00C35C93"/>
    <w:rsid w:val="00C35F95"/>
    <w:rsid w:val="00C3613F"/>
    <w:rsid w:val="00C36597"/>
    <w:rsid w:val="00C365BA"/>
    <w:rsid w:val="00C36719"/>
    <w:rsid w:val="00C3678B"/>
    <w:rsid w:val="00C367E6"/>
    <w:rsid w:val="00C36854"/>
    <w:rsid w:val="00C370CA"/>
    <w:rsid w:val="00C3711B"/>
    <w:rsid w:val="00C37165"/>
    <w:rsid w:val="00C371DD"/>
    <w:rsid w:val="00C37289"/>
    <w:rsid w:val="00C3738D"/>
    <w:rsid w:val="00C373A1"/>
    <w:rsid w:val="00C373FF"/>
    <w:rsid w:val="00C37563"/>
    <w:rsid w:val="00C376A7"/>
    <w:rsid w:val="00C3779E"/>
    <w:rsid w:val="00C37A00"/>
    <w:rsid w:val="00C37A58"/>
    <w:rsid w:val="00C37A9B"/>
    <w:rsid w:val="00C37E41"/>
    <w:rsid w:val="00C37E43"/>
    <w:rsid w:val="00C4020E"/>
    <w:rsid w:val="00C40397"/>
    <w:rsid w:val="00C403A3"/>
    <w:rsid w:val="00C40523"/>
    <w:rsid w:val="00C405B7"/>
    <w:rsid w:val="00C40925"/>
    <w:rsid w:val="00C40A65"/>
    <w:rsid w:val="00C40AA6"/>
    <w:rsid w:val="00C40AB3"/>
    <w:rsid w:val="00C40C0C"/>
    <w:rsid w:val="00C40C32"/>
    <w:rsid w:val="00C40E8B"/>
    <w:rsid w:val="00C40E9C"/>
    <w:rsid w:val="00C40F83"/>
    <w:rsid w:val="00C41075"/>
    <w:rsid w:val="00C41268"/>
    <w:rsid w:val="00C41277"/>
    <w:rsid w:val="00C41355"/>
    <w:rsid w:val="00C416E4"/>
    <w:rsid w:val="00C41748"/>
    <w:rsid w:val="00C41898"/>
    <w:rsid w:val="00C41C90"/>
    <w:rsid w:val="00C41F4F"/>
    <w:rsid w:val="00C42215"/>
    <w:rsid w:val="00C4242C"/>
    <w:rsid w:val="00C424DD"/>
    <w:rsid w:val="00C42702"/>
    <w:rsid w:val="00C42903"/>
    <w:rsid w:val="00C429B5"/>
    <w:rsid w:val="00C42A19"/>
    <w:rsid w:val="00C432B5"/>
    <w:rsid w:val="00C434CF"/>
    <w:rsid w:val="00C43781"/>
    <w:rsid w:val="00C437C1"/>
    <w:rsid w:val="00C43EAC"/>
    <w:rsid w:val="00C43F23"/>
    <w:rsid w:val="00C43F65"/>
    <w:rsid w:val="00C44254"/>
    <w:rsid w:val="00C443FF"/>
    <w:rsid w:val="00C4444E"/>
    <w:rsid w:val="00C44A43"/>
    <w:rsid w:val="00C44A9B"/>
    <w:rsid w:val="00C44B8E"/>
    <w:rsid w:val="00C44BDF"/>
    <w:rsid w:val="00C44C55"/>
    <w:rsid w:val="00C44D3A"/>
    <w:rsid w:val="00C45000"/>
    <w:rsid w:val="00C45060"/>
    <w:rsid w:val="00C450BF"/>
    <w:rsid w:val="00C45163"/>
    <w:rsid w:val="00C4523C"/>
    <w:rsid w:val="00C4529C"/>
    <w:rsid w:val="00C45408"/>
    <w:rsid w:val="00C454E8"/>
    <w:rsid w:val="00C45505"/>
    <w:rsid w:val="00C45595"/>
    <w:rsid w:val="00C456B4"/>
    <w:rsid w:val="00C458C2"/>
    <w:rsid w:val="00C45A49"/>
    <w:rsid w:val="00C45E39"/>
    <w:rsid w:val="00C46043"/>
    <w:rsid w:val="00C460BE"/>
    <w:rsid w:val="00C4624E"/>
    <w:rsid w:val="00C46379"/>
    <w:rsid w:val="00C465D9"/>
    <w:rsid w:val="00C4669E"/>
    <w:rsid w:val="00C4671C"/>
    <w:rsid w:val="00C467F5"/>
    <w:rsid w:val="00C46D3B"/>
    <w:rsid w:val="00C47121"/>
    <w:rsid w:val="00C4747D"/>
    <w:rsid w:val="00C475A2"/>
    <w:rsid w:val="00C47602"/>
    <w:rsid w:val="00C4770F"/>
    <w:rsid w:val="00C478FF"/>
    <w:rsid w:val="00C47C9B"/>
    <w:rsid w:val="00C47D83"/>
    <w:rsid w:val="00C50071"/>
    <w:rsid w:val="00C504AF"/>
    <w:rsid w:val="00C50527"/>
    <w:rsid w:val="00C5072F"/>
    <w:rsid w:val="00C50730"/>
    <w:rsid w:val="00C5076C"/>
    <w:rsid w:val="00C50C90"/>
    <w:rsid w:val="00C51782"/>
    <w:rsid w:val="00C51AA8"/>
    <w:rsid w:val="00C52255"/>
    <w:rsid w:val="00C5275E"/>
    <w:rsid w:val="00C52878"/>
    <w:rsid w:val="00C528AB"/>
    <w:rsid w:val="00C52937"/>
    <w:rsid w:val="00C52A0F"/>
    <w:rsid w:val="00C52C46"/>
    <w:rsid w:val="00C52CA5"/>
    <w:rsid w:val="00C530F9"/>
    <w:rsid w:val="00C5320F"/>
    <w:rsid w:val="00C532EC"/>
    <w:rsid w:val="00C5341C"/>
    <w:rsid w:val="00C5358A"/>
    <w:rsid w:val="00C53606"/>
    <w:rsid w:val="00C5365A"/>
    <w:rsid w:val="00C538B4"/>
    <w:rsid w:val="00C538FC"/>
    <w:rsid w:val="00C5394B"/>
    <w:rsid w:val="00C5399C"/>
    <w:rsid w:val="00C539A7"/>
    <w:rsid w:val="00C53B39"/>
    <w:rsid w:val="00C53B43"/>
    <w:rsid w:val="00C53E85"/>
    <w:rsid w:val="00C53EA1"/>
    <w:rsid w:val="00C542C1"/>
    <w:rsid w:val="00C5440A"/>
    <w:rsid w:val="00C54654"/>
    <w:rsid w:val="00C54787"/>
    <w:rsid w:val="00C54866"/>
    <w:rsid w:val="00C548E7"/>
    <w:rsid w:val="00C549FA"/>
    <w:rsid w:val="00C54A3E"/>
    <w:rsid w:val="00C55000"/>
    <w:rsid w:val="00C5502A"/>
    <w:rsid w:val="00C55151"/>
    <w:rsid w:val="00C553AB"/>
    <w:rsid w:val="00C553DE"/>
    <w:rsid w:val="00C55510"/>
    <w:rsid w:val="00C5551A"/>
    <w:rsid w:val="00C555CB"/>
    <w:rsid w:val="00C55652"/>
    <w:rsid w:val="00C556FD"/>
    <w:rsid w:val="00C55859"/>
    <w:rsid w:val="00C558F6"/>
    <w:rsid w:val="00C55953"/>
    <w:rsid w:val="00C5595D"/>
    <w:rsid w:val="00C55A8F"/>
    <w:rsid w:val="00C55C8B"/>
    <w:rsid w:val="00C55CEE"/>
    <w:rsid w:val="00C55E4F"/>
    <w:rsid w:val="00C55F3B"/>
    <w:rsid w:val="00C5619F"/>
    <w:rsid w:val="00C56225"/>
    <w:rsid w:val="00C564B7"/>
    <w:rsid w:val="00C5679E"/>
    <w:rsid w:val="00C56ACC"/>
    <w:rsid w:val="00C56D97"/>
    <w:rsid w:val="00C56E49"/>
    <w:rsid w:val="00C574D6"/>
    <w:rsid w:val="00C57558"/>
    <w:rsid w:val="00C57998"/>
    <w:rsid w:val="00C57B0D"/>
    <w:rsid w:val="00C57B29"/>
    <w:rsid w:val="00C57C6C"/>
    <w:rsid w:val="00C57DDF"/>
    <w:rsid w:val="00C60566"/>
    <w:rsid w:val="00C60675"/>
    <w:rsid w:val="00C607BA"/>
    <w:rsid w:val="00C609BA"/>
    <w:rsid w:val="00C60A28"/>
    <w:rsid w:val="00C60A74"/>
    <w:rsid w:val="00C60C67"/>
    <w:rsid w:val="00C60CA9"/>
    <w:rsid w:val="00C610F0"/>
    <w:rsid w:val="00C6113F"/>
    <w:rsid w:val="00C6117B"/>
    <w:rsid w:val="00C613FE"/>
    <w:rsid w:val="00C61592"/>
    <w:rsid w:val="00C61933"/>
    <w:rsid w:val="00C619AF"/>
    <w:rsid w:val="00C61A1E"/>
    <w:rsid w:val="00C61B47"/>
    <w:rsid w:val="00C61BF3"/>
    <w:rsid w:val="00C61C03"/>
    <w:rsid w:val="00C61EE2"/>
    <w:rsid w:val="00C624FF"/>
    <w:rsid w:val="00C62AAE"/>
    <w:rsid w:val="00C62B09"/>
    <w:rsid w:val="00C62E1B"/>
    <w:rsid w:val="00C62EC3"/>
    <w:rsid w:val="00C62F25"/>
    <w:rsid w:val="00C62F5B"/>
    <w:rsid w:val="00C62F61"/>
    <w:rsid w:val="00C63164"/>
    <w:rsid w:val="00C631C4"/>
    <w:rsid w:val="00C63219"/>
    <w:rsid w:val="00C6324E"/>
    <w:rsid w:val="00C6385A"/>
    <w:rsid w:val="00C63913"/>
    <w:rsid w:val="00C6391F"/>
    <w:rsid w:val="00C639B5"/>
    <w:rsid w:val="00C63B9C"/>
    <w:rsid w:val="00C63BB5"/>
    <w:rsid w:val="00C63D52"/>
    <w:rsid w:val="00C63D8D"/>
    <w:rsid w:val="00C63ED7"/>
    <w:rsid w:val="00C640B1"/>
    <w:rsid w:val="00C640BF"/>
    <w:rsid w:val="00C64125"/>
    <w:rsid w:val="00C64964"/>
    <w:rsid w:val="00C649CC"/>
    <w:rsid w:val="00C64A5D"/>
    <w:rsid w:val="00C64AD0"/>
    <w:rsid w:val="00C64C3E"/>
    <w:rsid w:val="00C64C48"/>
    <w:rsid w:val="00C64D67"/>
    <w:rsid w:val="00C64E9A"/>
    <w:rsid w:val="00C65247"/>
    <w:rsid w:val="00C6525D"/>
    <w:rsid w:val="00C65402"/>
    <w:rsid w:val="00C6550E"/>
    <w:rsid w:val="00C6554B"/>
    <w:rsid w:val="00C65646"/>
    <w:rsid w:val="00C65830"/>
    <w:rsid w:val="00C65937"/>
    <w:rsid w:val="00C65B5F"/>
    <w:rsid w:val="00C65B6A"/>
    <w:rsid w:val="00C65D11"/>
    <w:rsid w:val="00C65D64"/>
    <w:rsid w:val="00C65F5F"/>
    <w:rsid w:val="00C660CD"/>
    <w:rsid w:val="00C66153"/>
    <w:rsid w:val="00C663D7"/>
    <w:rsid w:val="00C663EC"/>
    <w:rsid w:val="00C66B1D"/>
    <w:rsid w:val="00C66BBD"/>
    <w:rsid w:val="00C66BDB"/>
    <w:rsid w:val="00C66C2D"/>
    <w:rsid w:val="00C66D04"/>
    <w:rsid w:val="00C66DF0"/>
    <w:rsid w:val="00C66E2F"/>
    <w:rsid w:val="00C66E3F"/>
    <w:rsid w:val="00C66F6F"/>
    <w:rsid w:val="00C67024"/>
    <w:rsid w:val="00C67162"/>
    <w:rsid w:val="00C67281"/>
    <w:rsid w:val="00C67294"/>
    <w:rsid w:val="00C675C8"/>
    <w:rsid w:val="00C676A9"/>
    <w:rsid w:val="00C677F9"/>
    <w:rsid w:val="00C67C39"/>
    <w:rsid w:val="00C67D39"/>
    <w:rsid w:val="00C7015C"/>
    <w:rsid w:val="00C70168"/>
    <w:rsid w:val="00C7024E"/>
    <w:rsid w:val="00C702FC"/>
    <w:rsid w:val="00C7032B"/>
    <w:rsid w:val="00C7072F"/>
    <w:rsid w:val="00C707E2"/>
    <w:rsid w:val="00C70861"/>
    <w:rsid w:val="00C70A4F"/>
    <w:rsid w:val="00C70AEC"/>
    <w:rsid w:val="00C70DCB"/>
    <w:rsid w:val="00C7112A"/>
    <w:rsid w:val="00C71385"/>
    <w:rsid w:val="00C7159B"/>
    <w:rsid w:val="00C71617"/>
    <w:rsid w:val="00C7165B"/>
    <w:rsid w:val="00C71866"/>
    <w:rsid w:val="00C71925"/>
    <w:rsid w:val="00C71C10"/>
    <w:rsid w:val="00C71CA3"/>
    <w:rsid w:val="00C72030"/>
    <w:rsid w:val="00C720D5"/>
    <w:rsid w:val="00C720E0"/>
    <w:rsid w:val="00C72212"/>
    <w:rsid w:val="00C72695"/>
    <w:rsid w:val="00C7293B"/>
    <w:rsid w:val="00C729D6"/>
    <w:rsid w:val="00C72BEE"/>
    <w:rsid w:val="00C7309E"/>
    <w:rsid w:val="00C730F9"/>
    <w:rsid w:val="00C73550"/>
    <w:rsid w:val="00C7355B"/>
    <w:rsid w:val="00C73B55"/>
    <w:rsid w:val="00C73DA1"/>
    <w:rsid w:val="00C740BB"/>
    <w:rsid w:val="00C7431A"/>
    <w:rsid w:val="00C7469F"/>
    <w:rsid w:val="00C747F5"/>
    <w:rsid w:val="00C74870"/>
    <w:rsid w:val="00C74923"/>
    <w:rsid w:val="00C74B0D"/>
    <w:rsid w:val="00C74BF8"/>
    <w:rsid w:val="00C74C69"/>
    <w:rsid w:val="00C74DBA"/>
    <w:rsid w:val="00C74F81"/>
    <w:rsid w:val="00C7519B"/>
    <w:rsid w:val="00C75223"/>
    <w:rsid w:val="00C75269"/>
    <w:rsid w:val="00C75294"/>
    <w:rsid w:val="00C75319"/>
    <w:rsid w:val="00C75529"/>
    <w:rsid w:val="00C75ECF"/>
    <w:rsid w:val="00C75F52"/>
    <w:rsid w:val="00C760C6"/>
    <w:rsid w:val="00C761B3"/>
    <w:rsid w:val="00C76451"/>
    <w:rsid w:val="00C76547"/>
    <w:rsid w:val="00C76589"/>
    <w:rsid w:val="00C765F6"/>
    <w:rsid w:val="00C76B25"/>
    <w:rsid w:val="00C76F7B"/>
    <w:rsid w:val="00C76F86"/>
    <w:rsid w:val="00C76F95"/>
    <w:rsid w:val="00C77156"/>
    <w:rsid w:val="00C771C8"/>
    <w:rsid w:val="00C7757D"/>
    <w:rsid w:val="00C775F7"/>
    <w:rsid w:val="00C7761D"/>
    <w:rsid w:val="00C776E4"/>
    <w:rsid w:val="00C779A8"/>
    <w:rsid w:val="00C779B8"/>
    <w:rsid w:val="00C77BA4"/>
    <w:rsid w:val="00C77CF5"/>
    <w:rsid w:val="00C77E83"/>
    <w:rsid w:val="00C800E1"/>
    <w:rsid w:val="00C801BB"/>
    <w:rsid w:val="00C80200"/>
    <w:rsid w:val="00C804FE"/>
    <w:rsid w:val="00C80528"/>
    <w:rsid w:val="00C80777"/>
    <w:rsid w:val="00C80B34"/>
    <w:rsid w:val="00C80BE5"/>
    <w:rsid w:val="00C80BFF"/>
    <w:rsid w:val="00C80EC6"/>
    <w:rsid w:val="00C81110"/>
    <w:rsid w:val="00C8129C"/>
    <w:rsid w:val="00C814B9"/>
    <w:rsid w:val="00C81532"/>
    <w:rsid w:val="00C819A4"/>
    <w:rsid w:val="00C81B4E"/>
    <w:rsid w:val="00C81C6B"/>
    <w:rsid w:val="00C81DFB"/>
    <w:rsid w:val="00C81F94"/>
    <w:rsid w:val="00C8205B"/>
    <w:rsid w:val="00C82188"/>
    <w:rsid w:val="00C821A2"/>
    <w:rsid w:val="00C824EA"/>
    <w:rsid w:val="00C82687"/>
    <w:rsid w:val="00C82930"/>
    <w:rsid w:val="00C82A07"/>
    <w:rsid w:val="00C82A30"/>
    <w:rsid w:val="00C82B16"/>
    <w:rsid w:val="00C82C98"/>
    <w:rsid w:val="00C82D8D"/>
    <w:rsid w:val="00C82DCE"/>
    <w:rsid w:val="00C82E4C"/>
    <w:rsid w:val="00C82EB8"/>
    <w:rsid w:val="00C83057"/>
    <w:rsid w:val="00C831AC"/>
    <w:rsid w:val="00C835F9"/>
    <w:rsid w:val="00C8361D"/>
    <w:rsid w:val="00C83708"/>
    <w:rsid w:val="00C839DF"/>
    <w:rsid w:val="00C83B3B"/>
    <w:rsid w:val="00C83CD2"/>
    <w:rsid w:val="00C83E31"/>
    <w:rsid w:val="00C83EDB"/>
    <w:rsid w:val="00C84061"/>
    <w:rsid w:val="00C841B0"/>
    <w:rsid w:val="00C8426B"/>
    <w:rsid w:val="00C84496"/>
    <w:rsid w:val="00C8471A"/>
    <w:rsid w:val="00C847B1"/>
    <w:rsid w:val="00C84C75"/>
    <w:rsid w:val="00C84E83"/>
    <w:rsid w:val="00C84F0B"/>
    <w:rsid w:val="00C8501B"/>
    <w:rsid w:val="00C8503D"/>
    <w:rsid w:val="00C8517F"/>
    <w:rsid w:val="00C853F8"/>
    <w:rsid w:val="00C8543D"/>
    <w:rsid w:val="00C85514"/>
    <w:rsid w:val="00C856B7"/>
    <w:rsid w:val="00C858B6"/>
    <w:rsid w:val="00C85A11"/>
    <w:rsid w:val="00C85AD3"/>
    <w:rsid w:val="00C85B13"/>
    <w:rsid w:val="00C85C4C"/>
    <w:rsid w:val="00C85C4F"/>
    <w:rsid w:val="00C85F96"/>
    <w:rsid w:val="00C86088"/>
    <w:rsid w:val="00C863D0"/>
    <w:rsid w:val="00C8640B"/>
    <w:rsid w:val="00C86596"/>
    <w:rsid w:val="00C86612"/>
    <w:rsid w:val="00C867ED"/>
    <w:rsid w:val="00C86849"/>
    <w:rsid w:val="00C86941"/>
    <w:rsid w:val="00C86D2F"/>
    <w:rsid w:val="00C87222"/>
    <w:rsid w:val="00C872DF"/>
    <w:rsid w:val="00C87804"/>
    <w:rsid w:val="00C87A14"/>
    <w:rsid w:val="00C87E09"/>
    <w:rsid w:val="00C87E4D"/>
    <w:rsid w:val="00C87F7A"/>
    <w:rsid w:val="00C87FB9"/>
    <w:rsid w:val="00C901A9"/>
    <w:rsid w:val="00C9034F"/>
    <w:rsid w:val="00C90398"/>
    <w:rsid w:val="00C9043B"/>
    <w:rsid w:val="00C906D2"/>
    <w:rsid w:val="00C906DB"/>
    <w:rsid w:val="00C90B73"/>
    <w:rsid w:val="00C90E34"/>
    <w:rsid w:val="00C90F6C"/>
    <w:rsid w:val="00C9136F"/>
    <w:rsid w:val="00C91432"/>
    <w:rsid w:val="00C9151F"/>
    <w:rsid w:val="00C9154D"/>
    <w:rsid w:val="00C91591"/>
    <w:rsid w:val="00C9184B"/>
    <w:rsid w:val="00C91A47"/>
    <w:rsid w:val="00C91B9B"/>
    <w:rsid w:val="00C91D06"/>
    <w:rsid w:val="00C91F15"/>
    <w:rsid w:val="00C92246"/>
    <w:rsid w:val="00C9226B"/>
    <w:rsid w:val="00C925CE"/>
    <w:rsid w:val="00C92ACD"/>
    <w:rsid w:val="00C92F13"/>
    <w:rsid w:val="00C92F21"/>
    <w:rsid w:val="00C934B9"/>
    <w:rsid w:val="00C9367F"/>
    <w:rsid w:val="00C93802"/>
    <w:rsid w:val="00C9397E"/>
    <w:rsid w:val="00C939EE"/>
    <w:rsid w:val="00C93AAB"/>
    <w:rsid w:val="00C940CF"/>
    <w:rsid w:val="00C940E4"/>
    <w:rsid w:val="00C941F3"/>
    <w:rsid w:val="00C94313"/>
    <w:rsid w:val="00C943C0"/>
    <w:rsid w:val="00C945F9"/>
    <w:rsid w:val="00C9463A"/>
    <w:rsid w:val="00C94644"/>
    <w:rsid w:val="00C94781"/>
    <w:rsid w:val="00C948E0"/>
    <w:rsid w:val="00C952C6"/>
    <w:rsid w:val="00C95400"/>
    <w:rsid w:val="00C95404"/>
    <w:rsid w:val="00C95523"/>
    <w:rsid w:val="00C957FB"/>
    <w:rsid w:val="00C958F9"/>
    <w:rsid w:val="00C9593E"/>
    <w:rsid w:val="00C95BAE"/>
    <w:rsid w:val="00C95CAF"/>
    <w:rsid w:val="00C95E34"/>
    <w:rsid w:val="00C95F16"/>
    <w:rsid w:val="00C95F95"/>
    <w:rsid w:val="00C9617C"/>
    <w:rsid w:val="00C962E3"/>
    <w:rsid w:val="00C96686"/>
    <w:rsid w:val="00C966F0"/>
    <w:rsid w:val="00C96D3B"/>
    <w:rsid w:val="00C96DD0"/>
    <w:rsid w:val="00C96DFF"/>
    <w:rsid w:val="00C971D0"/>
    <w:rsid w:val="00C972AA"/>
    <w:rsid w:val="00C9733D"/>
    <w:rsid w:val="00C97550"/>
    <w:rsid w:val="00C9758F"/>
    <w:rsid w:val="00C975D4"/>
    <w:rsid w:val="00C977B6"/>
    <w:rsid w:val="00C97801"/>
    <w:rsid w:val="00C979B2"/>
    <w:rsid w:val="00C97D09"/>
    <w:rsid w:val="00C97D19"/>
    <w:rsid w:val="00C97DF7"/>
    <w:rsid w:val="00CA020A"/>
    <w:rsid w:val="00CA0301"/>
    <w:rsid w:val="00CA0456"/>
    <w:rsid w:val="00CA05D8"/>
    <w:rsid w:val="00CA0877"/>
    <w:rsid w:val="00CA0929"/>
    <w:rsid w:val="00CA0C42"/>
    <w:rsid w:val="00CA0CC7"/>
    <w:rsid w:val="00CA0E75"/>
    <w:rsid w:val="00CA0FB9"/>
    <w:rsid w:val="00CA1643"/>
    <w:rsid w:val="00CA179D"/>
    <w:rsid w:val="00CA180E"/>
    <w:rsid w:val="00CA18EC"/>
    <w:rsid w:val="00CA1952"/>
    <w:rsid w:val="00CA19C0"/>
    <w:rsid w:val="00CA19F7"/>
    <w:rsid w:val="00CA1ACD"/>
    <w:rsid w:val="00CA1B3D"/>
    <w:rsid w:val="00CA1D79"/>
    <w:rsid w:val="00CA1E10"/>
    <w:rsid w:val="00CA1F4B"/>
    <w:rsid w:val="00CA1F5D"/>
    <w:rsid w:val="00CA1FCB"/>
    <w:rsid w:val="00CA2252"/>
    <w:rsid w:val="00CA2261"/>
    <w:rsid w:val="00CA2357"/>
    <w:rsid w:val="00CA2705"/>
    <w:rsid w:val="00CA27FC"/>
    <w:rsid w:val="00CA28B5"/>
    <w:rsid w:val="00CA28C9"/>
    <w:rsid w:val="00CA293F"/>
    <w:rsid w:val="00CA2FF8"/>
    <w:rsid w:val="00CA303D"/>
    <w:rsid w:val="00CA31E8"/>
    <w:rsid w:val="00CA327A"/>
    <w:rsid w:val="00CA35B7"/>
    <w:rsid w:val="00CA3A3B"/>
    <w:rsid w:val="00CA3A77"/>
    <w:rsid w:val="00CA3C4D"/>
    <w:rsid w:val="00CA3F07"/>
    <w:rsid w:val="00CA3F09"/>
    <w:rsid w:val="00CA41D9"/>
    <w:rsid w:val="00CA422B"/>
    <w:rsid w:val="00CA4429"/>
    <w:rsid w:val="00CA454A"/>
    <w:rsid w:val="00CA45C6"/>
    <w:rsid w:val="00CA472C"/>
    <w:rsid w:val="00CA478A"/>
    <w:rsid w:val="00CA4955"/>
    <w:rsid w:val="00CA49A1"/>
    <w:rsid w:val="00CA5067"/>
    <w:rsid w:val="00CA5404"/>
    <w:rsid w:val="00CA5424"/>
    <w:rsid w:val="00CA5529"/>
    <w:rsid w:val="00CA5663"/>
    <w:rsid w:val="00CA56B9"/>
    <w:rsid w:val="00CA57C2"/>
    <w:rsid w:val="00CA58A8"/>
    <w:rsid w:val="00CA58C7"/>
    <w:rsid w:val="00CA5BEC"/>
    <w:rsid w:val="00CA5D2B"/>
    <w:rsid w:val="00CA5D81"/>
    <w:rsid w:val="00CA5ED3"/>
    <w:rsid w:val="00CA61FF"/>
    <w:rsid w:val="00CA6224"/>
    <w:rsid w:val="00CA632E"/>
    <w:rsid w:val="00CA6337"/>
    <w:rsid w:val="00CA6380"/>
    <w:rsid w:val="00CA63B4"/>
    <w:rsid w:val="00CA6572"/>
    <w:rsid w:val="00CA65DC"/>
    <w:rsid w:val="00CA662B"/>
    <w:rsid w:val="00CA6878"/>
    <w:rsid w:val="00CA68F7"/>
    <w:rsid w:val="00CA6C82"/>
    <w:rsid w:val="00CA6CDC"/>
    <w:rsid w:val="00CA6F92"/>
    <w:rsid w:val="00CA703A"/>
    <w:rsid w:val="00CA70DE"/>
    <w:rsid w:val="00CA7464"/>
    <w:rsid w:val="00CA75A0"/>
    <w:rsid w:val="00CA75CF"/>
    <w:rsid w:val="00CA7611"/>
    <w:rsid w:val="00CA7687"/>
    <w:rsid w:val="00CA7721"/>
    <w:rsid w:val="00CA7839"/>
    <w:rsid w:val="00CA7AEE"/>
    <w:rsid w:val="00CA7BE6"/>
    <w:rsid w:val="00CA7C15"/>
    <w:rsid w:val="00CA7D21"/>
    <w:rsid w:val="00CA7D95"/>
    <w:rsid w:val="00CB00FC"/>
    <w:rsid w:val="00CB023C"/>
    <w:rsid w:val="00CB0270"/>
    <w:rsid w:val="00CB0372"/>
    <w:rsid w:val="00CB0426"/>
    <w:rsid w:val="00CB04B1"/>
    <w:rsid w:val="00CB04C6"/>
    <w:rsid w:val="00CB050D"/>
    <w:rsid w:val="00CB064C"/>
    <w:rsid w:val="00CB0747"/>
    <w:rsid w:val="00CB07B8"/>
    <w:rsid w:val="00CB07E6"/>
    <w:rsid w:val="00CB0889"/>
    <w:rsid w:val="00CB08BF"/>
    <w:rsid w:val="00CB0DB5"/>
    <w:rsid w:val="00CB0F7D"/>
    <w:rsid w:val="00CB105E"/>
    <w:rsid w:val="00CB1115"/>
    <w:rsid w:val="00CB13DF"/>
    <w:rsid w:val="00CB1457"/>
    <w:rsid w:val="00CB14AA"/>
    <w:rsid w:val="00CB15CF"/>
    <w:rsid w:val="00CB160E"/>
    <w:rsid w:val="00CB179E"/>
    <w:rsid w:val="00CB1DC0"/>
    <w:rsid w:val="00CB227D"/>
    <w:rsid w:val="00CB22AA"/>
    <w:rsid w:val="00CB2768"/>
    <w:rsid w:val="00CB2963"/>
    <w:rsid w:val="00CB2FD9"/>
    <w:rsid w:val="00CB3174"/>
    <w:rsid w:val="00CB31AC"/>
    <w:rsid w:val="00CB32FB"/>
    <w:rsid w:val="00CB356D"/>
    <w:rsid w:val="00CB374E"/>
    <w:rsid w:val="00CB3888"/>
    <w:rsid w:val="00CB3AC5"/>
    <w:rsid w:val="00CB3BEB"/>
    <w:rsid w:val="00CB3C8B"/>
    <w:rsid w:val="00CB3D10"/>
    <w:rsid w:val="00CB3DC4"/>
    <w:rsid w:val="00CB3E03"/>
    <w:rsid w:val="00CB3F78"/>
    <w:rsid w:val="00CB40EA"/>
    <w:rsid w:val="00CB4212"/>
    <w:rsid w:val="00CB4716"/>
    <w:rsid w:val="00CB475C"/>
    <w:rsid w:val="00CB47D0"/>
    <w:rsid w:val="00CB4844"/>
    <w:rsid w:val="00CB49EB"/>
    <w:rsid w:val="00CB4CBF"/>
    <w:rsid w:val="00CB502B"/>
    <w:rsid w:val="00CB5255"/>
    <w:rsid w:val="00CB55EE"/>
    <w:rsid w:val="00CB5716"/>
    <w:rsid w:val="00CB5805"/>
    <w:rsid w:val="00CB5902"/>
    <w:rsid w:val="00CB595A"/>
    <w:rsid w:val="00CB597E"/>
    <w:rsid w:val="00CB5DCB"/>
    <w:rsid w:val="00CB6162"/>
    <w:rsid w:val="00CB61AB"/>
    <w:rsid w:val="00CB62B8"/>
    <w:rsid w:val="00CB62F4"/>
    <w:rsid w:val="00CB65EF"/>
    <w:rsid w:val="00CB69EF"/>
    <w:rsid w:val="00CB6AA6"/>
    <w:rsid w:val="00CB6BBE"/>
    <w:rsid w:val="00CB6D43"/>
    <w:rsid w:val="00CB6DB8"/>
    <w:rsid w:val="00CB6F36"/>
    <w:rsid w:val="00CB7104"/>
    <w:rsid w:val="00CB71B5"/>
    <w:rsid w:val="00CB71D1"/>
    <w:rsid w:val="00CB72B0"/>
    <w:rsid w:val="00CB7398"/>
    <w:rsid w:val="00CB744B"/>
    <w:rsid w:val="00CB760D"/>
    <w:rsid w:val="00CB7898"/>
    <w:rsid w:val="00CB7B32"/>
    <w:rsid w:val="00CB7DF8"/>
    <w:rsid w:val="00CB7E6E"/>
    <w:rsid w:val="00CB7E72"/>
    <w:rsid w:val="00CB7EF6"/>
    <w:rsid w:val="00CB7FA7"/>
    <w:rsid w:val="00CB7FE3"/>
    <w:rsid w:val="00CC0249"/>
    <w:rsid w:val="00CC0336"/>
    <w:rsid w:val="00CC034B"/>
    <w:rsid w:val="00CC0948"/>
    <w:rsid w:val="00CC09DA"/>
    <w:rsid w:val="00CC1150"/>
    <w:rsid w:val="00CC1872"/>
    <w:rsid w:val="00CC19CB"/>
    <w:rsid w:val="00CC1BDF"/>
    <w:rsid w:val="00CC1D58"/>
    <w:rsid w:val="00CC1D6D"/>
    <w:rsid w:val="00CC1F3D"/>
    <w:rsid w:val="00CC20A1"/>
    <w:rsid w:val="00CC21FC"/>
    <w:rsid w:val="00CC220D"/>
    <w:rsid w:val="00CC2257"/>
    <w:rsid w:val="00CC23CE"/>
    <w:rsid w:val="00CC26EE"/>
    <w:rsid w:val="00CC2955"/>
    <w:rsid w:val="00CC29DC"/>
    <w:rsid w:val="00CC2A99"/>
    <w:rsid w:val="00CC2B71"/>
    <w:rsid w:val="00CC2BEC"/>
    <w:rsid w:val="00CC2EA3"/>
    <w:rsid w:val="00CC2F2F"/>
    <w:rsid w:val="00CC336C"/>
    <w:rsid w:val="00CC3C17"/>
    <w:rsid w:val="00CC3D61"/>
    <w:rsid w:val="00CC3D6A"/>
    <w:rsid w:val="00CC3F9B"/>
    <w:rsid w:val="00CC412B"/>
    <w:rsid w:val="00CC4233"/>
    <w:rsid w:val="00CC4424"/>
    <w:rsid w:val="00CC449B"/>
    <w:rsid w:val="00CC4512"/>
    <w:rsid w:val="00CC45C6"/>
    <w:rsid w:val="00CC46E5"/>
    <w:rsid w:val="00CC486D"/>
    <w:rsid w:val="00CC4A00"/>
    <w:rsid w:val="00CC4FEF"/>
    <w:rsid w:val="00CC500D"/>
    <w:rsid w:val="00CC50F5"/>
    <w:rsid w:val="00CC52C8"/>
    <w:rsid w:val="00CC561E"/>
    <w:rsid w:val="00CC5687"/>
    <w:rsid w:val="00CC59AC"/>
    <w:rsid w:val="00CC59CD"/>
    <w:rsid w:val="00CC5ABC"/>
    <w:rsid w:val="00CC5CE8"/>
    <w:rsid w:val="00CC5D32"/>
    <w:rsid w:val="00CC61E9"/>
    <w:rsid w:val="00CC638C"/>
    <w:rsid w:val="00CC64DC"/>
    <w:rsid w:val="00CC6610"/>
    <w:rsid w:val="00CC661D"/>
    <w:rsid w:val="00CC6BB4"/>
    <w:rsid w:val="00CC6BDF"/>
    <w:rsid w:val="00CC6C2C"/>
    <w:rsid w:val="00CC7001"/>
    <w:rsid w:val="00CC70E8"/>
    <w:rsid w:val="00CC712F"/>
    <w:rsid w:val="00CC724C"/>
    <w:rsid w:val="00CC7298"/>
    <w:rsid w:val="00CC7734"/>
    <w:rsid w:val="00CC790E"/>
    <w:rsid w:val="00CC7B9D"/>
    <w:rsid w:val="00CC7D14"/>
    <w:rsid w:val="00CC7F69"/>
    <w:rsid w:val="00CD00F6"/>
    <w:rsid w:val="00CD061D"/>
    <w:rsid w:val="00CD0626"/>
    <w:rsid w:val="00CD0665"/>
    <w:rsid w:val="00CD0787"/>
    <w:rsid w:val="00CD08EC"/>
    <w:rsid w:val="00CD0BAA"/>
    <w:rsid w:val="00CD0DCC"/>
    <w:rsid w:val="00CD0FB2"/>
    <w:rsid w:val="00CD136B"/>
    <w:rsid w:val="00CD158E"/>
    <w:rsid w:val="00CD171D"/>
    <w:rsid w:val="00CD17C8"/>
    <w:rsid w:val="00CD18DC"/>
    <w:rsid w:val="00CD19BF"/>
    <w:rsid w:val="00CD1C99"/>
    <w:rsid w:val="00CD1CDB"/>
    <w:rsid w:val="00CD1E2C"/>
    <w:rsid w:val="00CD1F06"/>
    <w:rsid w:val="00CD2184"/>
    <w:rsid w:val="00CD23D6"/>
    <w:rsid w:val="00CD2468"/>
    <w:rsid w:val="00CD2771"/>
    <w:rsid w:val="00CD2A51"/>
    <w:rsid w:val="00CD2B16"/>
    <w:rsid w:val="00CD2C6C"/>
    <w:rsid w:val="00CD2D37"/>
    <w:rsid w:val="00CD2EB2"/>
    <w:rsid w:val="00CD2F0F"/>
    <w:rsid w:val="00CD2F81"/>
    <w:rsid w:val="00CD2FF6"/>
    <w:rsid w:val="00CD329B"/>
    <w:rsid w:val="00CD32F2"/>
    <w:rsid w:val="00CD3387"/>
    <w:rsid w:val="00CD3495"/>
    <w:rsid w:val="00CD3907"/>
    <w:rsid w:val="00CD3AE0"/>
    <w:rsid w:val="00CD3B9D"/>
    <w:rsid w:val="00CD3CA9"/>
    <w:rsid w:val="00CD3D35"/>
    <w:rsid w:val="00CD3D4F"/>
    <w:rsid w:val="00CD3D65"/>
    <w:rsid w:val="00CD3F05"/>
    <w:rsid w:val="00CD4094"/>
    <w:rsid w:val="00CD427E"/>
    <w:rsid w:val="00CD436C"/>
    <w:rsid w:val="00CD443B"/>
    <w:rsid w:val="00CD44E0"/>
    <w:rsid w:val="00CD4948"/>
    <w:rsid w:val="00CD4958"/>
    <w:rsid w:val="00CD4C0B"/>
    <w:rsid w:val="00CD4CD0"/>
    <w:rsid w:val="00CD5057"/>
    <w:rsid w:val="00CD51D0"/>
    <w:rsid w:val="00CD5333"/>
    <w:rsid w:val="00CD5343"/>
    <w:rsid w:val="00CD54EE"/>
    <w:rsid w:val="00CD5547"/>
    <w:rsid w:val="00CD56E3"/>
    <w:rsid w:val="00CD5770"/>
    <w:rsid w:val="00CD5809"/>
    <w:rsid w:val="00CD58F8"/>
    <w:rsid w:val="00CD5B9D"/>
    <w:rsid w:val="00CD5CFE"/>
    <w:rsid w:val="00CD5DBA"/>
    <w:rsid w:val="00CD5F49"/>
    <w:rsid w:val="00CD6040"/>
    <w:rsid w:val="00CD60ED"/>
    <w:rsid w:val="00CD6209"/>
    <w:rsid w:val="00CD628D"/>
    <w:rsid w:val="00CD653C"/>
    <w:rsid w:val="00CD66A1"/>
    <w:rsid w:val="00CD6817"/>
    <w:rsid w:val="00CD6AD7"/>
    <w:rsid w:val="00CD6AE9"/>
    <w:rsid w:val="00CD6B1D"/>
    <w:rsid w:val="00CD6B9B"/>
    <w:rsid w:val="00CD6C40"/>
    <w:rsid w:val="00CD6F84"/>
    <w:rsid w:val="00CD7012"/>
    <w:rsid w:val="00CD7079"/>
    <w:rsid w:val="00CD70AE"/>
    <w:rsid w:val="00CD70B9"/>
    <w:rsid w:val="00CD7103"/>
    <w:rsid w:val="00CD7119"/>
    <w:rsid w:val="00CD7388"/>
    <w:rsid w:val="00CD75D5"/>
    <w:rsid w:val="00CD7778"/>
    <w:rsid w:val="00CD7820"/>
    <w:rsid w:val="00CD78D0"/>
    <w:rsid w:val="00CD7F1B"/>
    <w:rsid w:val="00CE0216"/>
    <w:rsid w:val="00CE0367"/>
    <w:rsid w:val="00CE0421"/>
    <w:rsid w:val="00CE049F"/>
    <w:rsid w:val="00CE06AB"/>
    <w:rsid w:val="00CE06DF"/>
    <w:rsid w:val="00CE077B"/>
    <w:rsid w:val="00CE0946"/>
    <w:rsid w:val="00CE0B4D"/>
    <w:rsid w:val="00CE0BEC"/>
    <w:rsid w:val="00CE0D0A"/>
    <w:rsid w:val="00CE0D0D"/>
    <w:rsid w:val="00CE0DD8"/>
    <w:rsid w:val="00CE101D"/>
    <w:rsid w:val="00CE111C"/>
    <w:rsid w:val="00CE12BC"/>
    <w:rsid w:val="00CE1422"/>
    <w:rsid w:val="00CE14E9"/>
    <w:rsid w:val="00CE1CF2"/>
    <w:rsid w:val="00CE1D30"/>
    <w:rsid w:val="00CE1D49"/>
    <w:rsid w:val="00CE1DFA"/>
    <w:rsid w:val="00CE1FB6"/>
    <w:rsid w:val="00CE21ED"/>
    <w:rsid w:val="00CE2231"/>
    <w:rsid w:val="00CE23D6"/>
    <w:rsid w:val="00CE255D"/>
    <w:rsid w:val="00CE28C7"/>
    <w:rsid w:val="00CE29D2"/>
    <w:rsid w:val="00CE2A58"/>
    <w:rsid w:val="00CE2BFF"/>
    <w:rsid w:val="00CE2C29"/>
    <w:rsid w:val="00CE2CCD"/>
    <w:rsid w:val="00CE2E46"/>
    <w:rsid w:val="00CE2F06"/>
    <w:rsid w:val="00CE33B0"/>
    <w:rsid w:val="00CE3540"/>
    <w:rsid w:val="00CE366E"/>
    <w:rsid w:val="00CE3936"/>
    <w:rsid w:val="00CE39BB"/>
    <w:rsid w:val="00CE3A2D"/>
    <w:rsid w:val="00CE3BB6"/>
    <w:rsid w:val="00CE3D59"/>
    <w:rsid w:val="00CE3F81"/>
    <w:rsid w:val="00CE4143"/>
    <w:rsid w:val="00CE4194"/>
    <w:rsid w:val="00CE41A5"/>
    <w:rsid w:val="00CE423F"/>
    <w:rsid w:val="00CE43DD"/>
    <w:rsid w:val="00CE452D"/>
    <w:rsid w:val="00CE4614"/>
    <w:rsid w:val="00CE4783"/>
    <w:rsid w:val="00CE49B3"/>
    <w:rsid w:val="00CE4C40"/>
    <w:rsid w:val="00CE5073"/>
    <w:rsid w:val="00CE515A"/>
    <w:rsid w:val="00CE5183"/>
    <w:rsid w:val="00CE53CF"/>
    <w:rsid w:val="00CE5497"/>
    <w:rsid w:val="00CE549E"/>
    <w:rsid w:val="00CE5543"/>
    <w:rsid w:val="00CE5600"/>
    <w:rsid w:val="00CE5649"/>
    <w:rsid w:val="00CE56CF"/>
    <w:rsid w:val="00CE5753"/>
    <w:rsid w:val="00CE5780"/>
    <w:rsid w:val="00CE57D0"/>
    <w:rsid w:val="00CE582B"/>
    <w:rsid w:val="00CE5911"/>
    <w:rsid w:val="00CE59B1"/>
    <w:rsid w:val="00CE59EC"/>
    <w:rsid w:val="00CE59F0"/>
    <w:rsid w:val="00CE5C05"/>
    <w:rsid w:val="00CE5D59"/>
    <w:rsid w:val="00CE5F29"/>
    <w:rsid w:val="00CE60CC"/>
    <w:rsid w:val="00CE61F4"/>
    <w:rsid w:val="00CE61FA"/>
    <w:rsid w:val="00CE627C"/>
    <w:rsid w:val="00CE66CE"/>
    <w:rsid w:val="00CE695F"/>
    <w:rsid w:val="00CE6A62"/>
    <w:rsid w:val="00CE6C96"/>
    <w:rsid w:val="00CE6CBA"/>
    <w:rsid w:val="00CE6D6D"/>
    <w:rsid w:val="00CE6D7C"/>
    <w:rsid w:val="00CE6E15"/>
    <w:rsid w:val="00CE75DB"/>
    <w:rsid w:val="00CE7B8D"/>
    <w:rsid w:val="00CE7C5D"/>
    <w:rsid w:val="00CF00D5"/>
    <w:rsid w:val="00CF03C2"/>
    <w:rsid w:val="00CF0446"/>
    <w:rsid w:val="00CF04EF"/>
    <w:rsid w:val="00CF0515"/>
    <w:rsid w:val="00CF062E"/>
    <w:rsid w:val="00CF06E5"/>
    <w:rsid w:val="00CF0708"/>
    <w:rsid w:val="00CF0882"/>
    <w:rsid w:val="00CF0990"/>
    <w:rsid w:val="00CF0AEC"/>
    <w:rsid w:val="00CF1463"/>
    <w:rsid w:val="00CF175D"/>
    <w:rsid w:val="00CF179B"/>
    <w:rsid w:val="00CF18E8"/>
    <w:rsid w:val="00CF198B"/>
    <w:rsid w:val="00CF20EA"/>
    <w:rsid w:val="00CF2120"/>
    <w:rsid w:val="00CF21B5"/>
    <w:rsid w:val="00CF2287"/>
    <w:rsid w:val="00CF22D5"/>
    <w:rsid w:val="00CF236E"/>
    <w:rsid w:val="00CF2491"/>
    <w:rsid w:val="00CF2719"/>
    <w:rsid w:val="00CF27B4"/>
    <w:rsid w:val="00CF2CAD"/>
    <w:rsid w:val="00CF2ECE"/>
    <w:rsid w:val="00CF2EE3"/>
    <w:rsid w:val="00CF2F40"/>
    <w:rsid w:val="00CF30CA"/>
    <w:rsid w:val="00CF3172"/>
    <w:rsid w:val="00CF3363"/>
    <w:rsid w:val="00CF3391"/>
    <w:rsid w:val="00CF36F8"/>
    <w:rsid w:val="00CF3708"/>
    <w:rsid w:val="00CF3846"/>
    <w:rsid w:val="00CF386E"/>
    <w:rsid w:val="00CF3915"/>
    <w:rsid w:val="00CF3981"/>
    <w:rsid w:val="00CF3E17"/>
    <w:rsid w:val="00CF3E48"/>
    <w:rsid w:val="00CF426D"/>
    <w:rsid w:val="00CF4476"/>
    <w:rsid w:val="00CF458A"/>
    <w:rsid w:val="00CF45EA"/>
    <w:rsid w:val="00CF4605"/>
    <w:rsid w:val="00CF47B3"/>
    <w:rsid w:val="00CF4D92"/>
    <w:rsid w:val="00CF4DBB"/>
    <w:rsid w:val="00CF51AA"/>
    <w:rsid w:val="00CF51E9"/>
    <w:rsid w:val="00CF52C6"/>
    <w:rsid w:val="00CF52F5"/>
    <w:rsid w:val="00CF5448"/>
    <w:rsid w:val="00CF5542"/>
    <w:rsid w:val="00CF55A3"/>
    <w:rsid w:val="00CF56FC"/>
    <w:rsid w:val="00CF5967"/>
    <w:rsid w:val="00CF597B"/>
    <w:rsid w:val="00CF5CD3"/>
    <w:rsid w:val="00CF6004"/>
    <w:rsid w:val="00CF62EF"/>
    <w:rsid w:val="00CF6375"/>
    <w:rsid w:val="00CF6669"/>
    <w:rsid w:val="00CF66E8"/>
    <w:rsid w:val="00CF66FB"/>
    <w:rsid w:val="00CF67CC"/>
    <w:rsid w:val="00CF67E6"/>
    <w:rsid w:val="00CF6944"/>
    <w:rsid w:val="00CF6DF3"/>
    <w:rsid w:val="00CF6F15"/>
    <w:rsid w:val="00CF6FB3"/>
    <w:rsid w:val="00CF70A5"/>
    <w:rsid w:val="00CF736E"/>
    <w:rsid w:val="00CF74D8"/>
    <w:rsid w:val="00CF7903"/>
    <w:rsid w:val="00CF79B8"/>
    <w:rsid w:val="00CF79C8"/>
    <w:rsid w:val="00CF7A59"/>
    <w:rsid w:val="00CF7B0F"/>
    <w:rsid w:val="00CF7C08"/>
    <w:rsid w:val="00CF7C44"/>
    <w:rsid w:val="00CF7D05"/>
    <w:rsid w:val="00CF7EB8"/>
    <w:rsid w:val="00D00099"/>
    <w:rsid w:val="00D003AB"/>
    <w:rsid w:val="00D0052D"/>
    <w:rsid w:val="00D00818"/>
    <w:rsid w:val="00D008DC"/>
    <w:rsid w:val="00D00AFD"/>
    <w:rsid w:val="00D0100F"/>
    <w:rsid w:val="00D01028"/>
    <w:rsid w:val="00D01132"/>
    <w:rsid w:val="00D011CC"/>
    <w:rsid w:val="00D013BD"/>
    <w:rsid w:val="00D01718"/>
    <w:rsid w:val="00D01C26"/>
    <w:rsid w:val="00D01D47"/>
    <w:rsid w:val="00D01E7B"/>
    <w:rsid w:val="00D01ED6"/>
    <w:rsid w:val="00D01FEC"/>
    <w:rsid w:val="00D02030"/>
    <w:rsid w:val="00D02182"/>
    <w:rsid w:val="00D02267"/>
    <w:rsid w:val="00D024FB"/>
    <w:rsid w:val="00D02643"/>
    <w:rsid w:val="00D026AB"/>
    <w:rsid w:val="00D02A9C"/>
    <w:rsid w:val="00D02BF2"/>
    <w:rsid w:val="00D02FBD"/>
    <w:rsid w:val="00D030AD"/>
    <w:rsid w:val="00D03104"/>
    <w:rsid w:val="00D03297"/>
    <w:rsid w:val="00D03605"/>
    <w:rsid w:val="00D0368D"/>
    <w:rsid w:val="00D03729"/>
    <w:rsid w:val="00D037CD"/>
    <w:rsid w:val="00D03F58"/>
    <w:rsid w:val="00D03FC9"/>
    <w:rsid w:val="00D04096"/>
    <w:rsid w:val="00D04100"/>
    <w:rsid w:val="00D04206"/>
    <w:rsid w:val="00D045F0"/>
    <w:rsid w:val="00D0464D"/>
    <w:rsid w:val="00D04A7E"/>
    <w:rsid w:val="00D04BC6"/>
    <w:rsid w:val="00D04DDB"/>
    <w:rsid w:val="00D054A8"/>
    <w:rsid w:val="00D05748"/>
    <w:rsid w:val="00D058A0"/>
    <w:rsid w:val="00D05946"/>
    <w:rsid w:val="00D0597D"/>
    <w:rsid w:val="00D05A6B"/>
    <w:rsid w:val="00D05A9C"/>
    <w:rsid w:val="00D05B55"/>
    <w:rsid w:val="00D05BA0"/>
    <w:rsid w:val="00D05CF5"/>
    <w:rsid w:val="00D05D48"/>
    <w:rsid w:val="00D05DE7"/>
    <w:rsid w:val="00D060C6"/>
    <w:rsid w:val="00D0613E"/>
    <w:rsid w:val="00D0624F"/>
    <w:rsid w:val="00D062BB"/>
    <w:rsid w:val="00D0631D"/>
    <w:rsid w:val="00D06413"/>
    <w:rsid w:val="00D06542"/>
    <w:rsid w:val="00D06615"/>
    <w:rsid w:val="00D06660"/>
    <w:rsid w:val="00D066A4"/>
    <w:rsid w:val="00D066B3"/>
    <w:rsid w:val="00D06A44"/>
    <w:rsid w:val="00D06B8A"/>
    <w:rsid w:val="00D06B8C"/>
    <w:rsid w:val="00D06BB6"/>
    <w:rsid w:val="00D06E85"/>
    <w:rsid w:val="00D06E9E"/>
    <w:rsid w:val="00D07552"/>
    <w:rsid w:val="00D075D4"/>
    <w:rsid w:val="00D075F5"/>
    <w:rsid w:val="00D07895"/>
    <w:rsid w:val="00D07947"/>
    <w:rsid w:val="00D07C98"/>
    <w:rsid w:val="00D07D56"/>
    <w:rsid w:val="00D07E22"/>
    <w:rsid w:val="00D07F64"/>
    <w:rsid w:val="00D10044"/>
    <w:rsid w:val="00D10657"/>
    <w:rsid w:val="00D1076D"/>
    <w:rsid w:val="00D109D6"/>
    <w:rsid w:val="00D10A5B"/>
    <w:rsid w:val="00D10AAD"/>
    <w:rsid w:val="00D10B89"/>
    <w:rsid w:val="00D10E4B"/>
    <w:rsid w:val="00D10FB6"/>
    <w:rsid w:val="00D10FD5"/>
    <w:rsid w:val="00D10FF4"/>
    <w:rsid w:val="00D11298"/>
    <w:rsid w:val="00D1134E"/>
    <w:rsid w:val="00D1138F"/>
    <w:rsid w:val="00D11517"/>
    <w:rsid w:val="00D115FA"/>
    <w:rsid w:val="00D1171B"/>
    <w:rsid w:val="00D117DA"/>
    <w:rsid w:val="00D11AE5"/>
    <w:rsid w:val="00D11B2E"/>
    <w:rsid w:val="00D11D0A"/>
    <w:rsid w:val="00D11E2C"/>
    <w:rsid w:val="00D11F06"/>
    <w:rsid w:val="00D11FC7"/>
    <w:rsid w:val="00D12132"/>
    <w:rsid w:val="00D12136"/>
    <w:rsid w:val="00D122EB"/>
    <w:rsid w:val="00D12405"/>
    <w:rsid w:val="00D124D1"/>
    <w:rsid w:val="00D1254B"/>
    <w:rsid w:val="00D126EE"/>
    <w:rsid w:val="00D127A0"/>
    <w:rsid w:val="00D128E0"/>
    <w:rsid w:val="00D12995"/>
    <w:rsid w:val="00D12D7C"/>
    <w:rsid w:val="00D12E92"/>
    <w:rsid w:val="00D12ED6"/>
    <w:rsid w:val="00D13063"/>
    <w:rsid w:val="00D1341D"/>
    <w:rsid w:val="00D1366E"/>
    <w:rsid w:val="00D1383E"/>
    <w:rsid w:val="00D13985"/>
    <w:rsid w:val="00D13B37"/>
    <w:rsid w:val="00D13CB2"/>
    <w:rsid w:val="00D13E90"/>
    <w:rsid w:val="00D13EFB"/>
    <w:rsid w:val="00D13EFE"/>
    <w:rsid w:val="00D142D0"/>
    <w:rsid w:val="00D144DA"/>
    <w:rsid w:val="00D1486D"/>
    <w:rsid w:val="00D14921"/>
    <w:rsid w:val="00D149E9"/>
    <w:rsid w:val="00D14CFD"/>
    <w:rsid w:val="00D14DC7"/>
    <w:rsid w:val="00D1519F"/>
    <w:rsid w:val="00D153A8"/>
    <w:rsid w:val="00D154E3"/>
    <w:rsid w:val="00D158C6"/>
    <w:rsid w:val="00D15B8C"/>
    <w:rsid w:val="00D15DE0"/>
    <w:rsid w:val="00D160CC"/>
    <w:rsid w:val="00D16107"/>
    <w:rsid w:val="00D16159"/>
    <w:rsid w:val="00D16318"/>
    <w:rsid w:val="00D163E9"/>
    <w:rsid w:val="00D164F6"/>
    <w:rsid w:val="00D1674B"/>
    <w:rsid w:val="00D1697F"/>
    <w:rsid w:val="00D16BB1"/>
    <w:rsid w:val="00D16C3A"/>
    <w:rsid w:val="00D16DFB"/>
    <w:rsid w:val="00D16E4D"/>
    <w:rsid w:val="00D16EBB"/>
    <w:rsid w:val="00D17090"/>
    <w:rsid w:val="00D170A2"/>
    <w:rsid w:val="00D1748E"/>
    <w:rsid w:val="00D1780F"/>
    <w:rsid w:val="00D178E1"/>
    <w:rsid w:val="00D17B73"/>
    <w:rsid w:val="00D17EB5"/>
    <w:rsid w:val="00D20030"/>
    <w:rsid w:val="00D200AE"/>
    <w:rsid w:val="00D200BE"/>
    <w:rsid w:val="00D20243"/>
    <w:rsid w:val="00D2037F"/>
    <w:rsid w:val="00D203B9"/>
    <w:rsid w:val="00D20494"/>
    <w:rsid w:val="00D204C5"/>
    <w:rsid w:val="00D205CF"/>
    <w:rsid w:val="00D20895"/>
    <w:rsid w:val="00D2099F"/>
    <w:rsid w:val="00D20A86"/>
    <w:rsid w:val="00D20B11"/>
    <w:rsid w:val="00D20B1D"/>
    <w:rsid w:val="00D20CFB"/>
    <w:rsid w:val="00D20F65"/>
    <w:rsid w:val="00D21070"/>
    <w:rsid w:val="00D2108B"/>
    <w:rsid w:val="00D210A5"/>
    <w:rsid w:val="00D210A6"/>
    <w:rsid w:val="00D2110C"/>
    <w:rsid w:val="00D2137F"/>
    <w:rsid w:val="00D2157A"/>
    <w:rsid w:val="00D21764"/>
    <w:rsid w:val="00D21807"/>
    <w:rsid w:val="00D218F1"/>
    <w:rsid w:val="00D219CA"/>
    <w:rsid w:val="00D21AC9"/>
    <w:rsid w:val="00D21C3D"/>
    <w:rsid w:val="00D21D51"/>
    <w:rsid w:val="00D21DCE"/>
    <w:rsid w:val="00D21EEA"/>
    <w:rsid w:val="00D21F3F"/>
    <w:rsid w:val="00D22056"/>
    <w:rsid w:val="00D2207C"/>
    <w:rsid w:val="00D223DD"/>
    <w:rsid w:val="00D22401"/>
    <w:rsid w:val="00D226EA"/>
    <w:rsid w:val="00D2277A"/>
    <w:rsid w:val="00D2287D"/>
    <w:rsid w:val="00D22B61"/>
    <w:rsid w:val="00D22C35"/>
    <w:rsid w:val="00D22CE3"/>
    <w:rsid w:val="00D22E8E"/>
    <w:rsid w:val="00D23055"/>
    <w:rsid w:val="00D23130"/>
    <w:rsid w:val="00D23136"/>
    <w:rsid w:val="00D232B7"/>
    <w:rsid w:val="00D2331E"/>
    <w:rsid w:val="00D23375"/>
    <w:rsid w:val="00D23CD9"/>
    <w:rsid w:val="00D23E87"/>
    <w:rsid w:val="00D23EBE"/>
    <w:rsid w:val="00D24066"/>
    <w:rsid w:val="00D240F9"/>
    <w:rsid w:val="00D2418F"/>
    <w:rsid w:val="00D241E8"/>
    <w:rsid w:val="00D24249"/>
    <w:rsid w:val="00D2428D"/>
    <w:rsid w:val="00D244E2"/>
    <w:rsid w:val="00D24711"/>
    <w:rsid w:val="00D247B1"/>
    <w:rsid w:val="00D2486C"/>
    <w:rsid w:val="00D24909"/>
    <w:rsid w:val="00D24A60"/>
    <w:rsid w:val="00D24ADE"/>
    <w:rsid w:val="00D24E77"/>
    <w:rsid w:val="00D250D8"/>
    <w:rsid w:val="00D253F7"/>
    <w:rsid w:val="00D25400"/>
    <w:rsid w:val="00D2540C"/>
    <w:rsid w:val="00D25475"/>
    <w:rsid w:val="00D254D1"/>
    <w:rsid w:val="00D257D2"/>
    <w:rsid w:val="00D25850"/>
    <w:rsid w:val="00D25BD0"/>
    <w:rsid w:val="00D262B5"/>
    <w:rsid w:val="00D26620"/>
    <w:rsid w:val="00D26C9D"/>
    <w:rsid w:val="00D26D59"/>
    <w:rsid w:val="00D26EF2"/>
    <w:rsid w:val="00D26F0B"/>
    <w:rsid w:val="00D26FAD"/>
    <w:rsid w:val="00D270E7"/>
    <w:rsid w:val="00D275A7"/>
    <w:rsid w:val="00D276F8"/>
    <w:rsid w:val="00D27B1E"/>
    <w:rsid w:val="00D27C0E"/>
    <w:rsid w:val="00D27C9B"/>
    <w:rsid w:val="00D27CCC"/>
    <w:rsid w:val="00D27DCE"/>
    <w:rsid w:val="00D27FCB"/>
    <w:rsid w:val="00D303A9"/>
    <w:rsid w:val="00D303E4"/>
    <w:rsid w:val="00D3040C"/>
    <w:rsid w:val="00D3041C"/>
    <w:rsid w:val="00D304A9"/>
    <w:rsid w:val="00D30688"/>
    <w:rsid w:val="00D30690"/>
    <w:rsid w:val="00D306E9"/>
    <w:rsid w:val="00D3077F"/>
    <w:rsid w:val="00D30BFF"/>
    <w:rsid w:val="00D30CCB"/>
    <w:rsid w:val="00D30EAB"/>
    <w:rsid w:val="00D30EED"/>
    <w:rsid w:val="00D30F21"/>
    <w:rsid w:val="00D31299"/>
    <w:rsid w:val="00D312FF"/>
    <w:rsid w:val="00D313C8"/>
    <w:rsid w:val="00D3146A"/>
    <w:rsid w:val="00D31537"/>
    <w:rsid w:val="00D31571"/>
    <w:rsid w:val="00D31588"/>
    <w:rsid w:val="00D3174A"/>
    <w:rsid w:val="00D317BF"/>
    <w:rsid w:val="00D3182B"/>
    <w:rsid w:val="00D31845"/>
    <w:rsid w:val="00D3194C"/>
    <w:rsid w:val="00D31998"/>
    <w:rsid w:val="00D319BB"/>
    <w:rsid w:val="00D31B0C"/>
    <w:rsid w:val="00D31C3F"/>
    <w:rsid w:val="00D31C7B"/>
    <w:rsid w:val="00D31C94"/>
    <w:rsid w:val="00D31E28"/>
    <w:rsid w:val="00D31EFD"/>
    <w:rsid w:val="00D3201C"/>
    <w:rsid w:val="00D32067"/>
    <w:rsid w:val="00D32186"/>
    <w:rsid w:val="00D32233"/>
    <w:rsid w:val="00D324C0"/>
    <w:rsid w:val="00D3253A"/>
    <w:rsid w:val="00D32674"/>
    <w:rsid w:val="00D326BB"/>
    <w:rsid w:val="00D32D01"/>
    <w:rsid w:val="00D32F9A"/>
    <w:rsid w:val="00D332C3"/>
    <w:rsid w:val="00D33405"/>
    <w:rsid w:val="00D336B1"/>
    <w:rsid w:val="00D33803"/>
    <w:rsid w:val="00D33813"/>
    <w:rsid w:val="00D33C69"/>
    <w:rsid w:val="00D33CD0"/>
    <w:rsid w:val="00D33D3D"/>
    <w:rsid w:val="00D33EDF"/>
    <w:rsid w:val="00D33F02"/>
    <w:rsid w:val="00D34148"/>
    <w:rsid w:val="00D3452D"/>
    <w:rsid w:val="00D3471F"/>
    <w:rsid w:val="00D3482F"/>
    <w:rsid w:val="00D34BA4"/>
    <w:rsid w:val="00D34E5F"/>
    <w:rsid w:val="00D34E6C"/>
    <w:rsid w:val="00D34E74"/>
    <w:rsid w:val="00D34F06"/>
    <w:rsid w:val="00D35079"/>
    <w:rsid w:val="00D35279"/>
    <w:rsid w:val="00D35326"/>
    <w:rsid w:val="00D354AC"/>
    <w:rsid w:val="00D35B35"/>
    <w:rsid w:val="00D35B56"/>
    <w:rsid w:val="00D35B72"/>
    <w:rsid w:val="00D360BF"/>
    <w:rsid w:val="00D367D8"/>
    <w:rsid w:val="00D36C09"/>
    <w:rsid w:val="00D36DC6"/>
    <w:rsid w:val="00D37055"/>
    <w:rsid w:val="00D37202"/>
    <w:rsid w:val="00D3737A"/>
    <w:rsid w:val="00D37459"/>
    <w:rsid w:val="00D37523"/>
    <w:rsid w:val="00D377B6"/>
    <w:rsid w:val="00D37B71"/>
    <w:rsid w:val="00D37BA1"/>
    <w:rsid w:val="00D37BAB"/>
    <w:rsid w:val="00D37BC4"/>
    <w:rsid w:val="00D37BEE"/>
    <w:rsid w:val="00D37F49"/>
    <w:rsid w:val="00D40158"/>
    <w:rsid w:val="00D401A5"/>
    <w:rsid w:val="00D401E2"/>
    <w:rsid w:val="00D4081C"/>
    <w:rsid w:val="00D4120A"/>
    <w:rsid w:val="00D414C3"/>
    <w:rsid w:val="00D41647"/>
    <w:rsid w:val="00D4197A"/>
    <w:rsid w:val="00D41B6B"/>
    <w:rsid w:val="00D41D6D"/>
    <w:rsid w:val="00D41D88"/>
    <w:rsid w:val="00D41D9A"/>
    <w:rsid w:val="00D42027"/>
    <w:rsid w:val="00D4224F"/>
    <w:rsid w:val="00D42347"/>
    <w:rsid w:val="00D42504"/>
    <w:rsid w:val="00D4257D"/>
    <w:rsid w:val="00D42994"/>
    <w:rsid w:val="00D42BFE"/>
    <w:rsid w:val="00D42DD1"/>
    <w:rsid w:val="00D42E0B"/>
    <w:rsid w:val="00D42E3A"/>
    <w:rsid w:val="00D43167"/>
    <w:rsid w:val="00D43269"/>
    <w:rsid w:val="00D432ED"/>
    <w:rsid w:val="00D433B3"/>
    <w:rsid w:val="00D43528"/>
    <w:rsid w:val="00D43692"/>
    <w:rsid w:val="00D4395B"/>
    <w:rsid w:val="00D43BBE"/>
    <w:rsid w:val="00D43E35"/>
    <w:rsid w:val="00D43E37"/>
    <w:rsid w:val="00D44047"/>
    <w:rsid w:val="00D4404D"/>
    <w:rsid w:val="00D4405A"/>
    <w:rsid w:val="00D440D4"/>
    <w:rsid w:val="00D440F3"/>
    <w:rsid w:val="00D442E9"/>
    <w:rsid w:val="00D4432D"/>
    <w:rsid w:val="00D4438A"/>
    <w:rsid w:val="00D44BF5"/>
    <w:rsid w:val="00D44D74"/>
    <w:rsid w:val="00D44E5E"/>
    <w:rsid w:val="00D44E9B"/>
    <w:rsid w:val="00D44FDA"/>
    <w:rsid w:val="00D455E7"/>
    <w:rsid w:val="00D4582D"/>
    <w:rsid w:val="00D458F3"/>
    <w:rsid w:val="00D4592E"/>
    <w:rsid w:val="00D45BFF"/>
    <w:rsid w:val="00D45CF9"/>
    <w:rsid w:val="00D460A7"/>
    <w:rsid w:val="00D4612C"/>
    <w:rsid w:val="00D46193"/>
    <w:rsid w:val="00D46271"/>
    <w:rsid w:val="00D462C2"/>
    <w:rsid w:val="00D462CE"/>
    <w:rsid w:val="00D46469"/>
    <w:rsid w:val="00D4650C"/>
    <w:rsid w:val="00D46542"/>
    <w:rsid w:val="00D4662B"/>
    <w:rsid w:val="00D46907"/>
    <w:rsid w:val="00D46932"/>
    <w:rsid w:val="00D46B6B"/>
    <w:rsid w:val="00D47057"/>
    <w:rsid w:val="00D47469"/>
    <w:rsid w:val="00D4753E"/>
    <w:rsid w:val="00D476C2"/>
    <w:rsid w:val="00D47789"/>
    <w:rsid w:val="00D4779F"/>
    <w:rsid w:val="00D479FE"/>
    <w:rsid w:val="00D47A01"/>
    <w:rsid w:val="00D47A81"/>
    <w:rsid w:val="00D47B23"/>
    <w:rsid w:val="00D47C8E"/>
    <w:rsid w:val="00D47FD3"/>
    <w:rsid w:val="00D50705"/>
    <w:rsid w:val="00D50712"/>
    <w:rsid w:val="00D50731"/>
    <w:rsid w:val="00D5073A"/>
    <w:rsid w:val="00D50B8B"/>
    <w:rsid w:val="00D51281"/>
    <w:rsid w:val="00D512EB"/>
    <w:rsid w:val="00D51332"/>
    <w:rsid w:val="00D51407"/>
    <w:rsid w:val="00D51616"/>
    <w:rsid w:val="00D51730"/>
    <w:rsid w:val="00D51794"/>
    <w:rsid w:val="00D51849"/>
    <w:rsid w:val="00D518B1"/>
    <w:rsid w:val="00D51906"/>
    <w:rsid w:val="00D51FFA"/>
    <w:rsid w:val="00D5201E"/>
    <w:rsid w:val="00D52076"/>
    <w:rsid w:val="00D52095"/>
    <w:rsid w:val="00D520AE"/>
    <w:rsid w:val="00D520D9"/>
    <w:rsid w:val="00D523EE"/>
    <w:rsid w:val="00D524FB"/>
    <w:rsid w:val="00D5262D"/>
    <w:rsid w:val="00D5275E"/>
    <w:rsid w:val="00D527DA"/>
    <w:rsid w:val="00D527F3"/>
    <w:rsid w:val="00D5296B"/>
    <w:rsid w:val="00D52A55"/>
    <w:rsid w:val="00D52B1F"/>
    <w:rsid w:val="00D52C87"/>
    <w:rsid w:val="00D52E50"/>
    <w:rsid w:val="00D52F3D"/>
    <w:rsid w:val="00D530B8"/>
    <w:rsid w:val="00D531C8"/>
    <w:rsid w:val="00D5325C"/>
    <w:rsid w:val="00D5326B"/>
    <w:rsid w:val="00D53703"/>
    <w:rsid w:val="00D53767"/>
    <w:rsid w:val="00D53801"/>
    <w:rsid w:val="00D53803"/>
    <w:rsid w:val="00D538E3"/>
    <w:rsid w:val="00D53A58"/>
    <w:rsid w:val="00D53B2C"/>
    <w:rsid w:val="00D53B42"/>
    <w:rsid w:val="00D53D35"/>
    <w:rsid w:val="00D53F3C"/>
    <w:rsid w:val="00D5410B"/>
    <w:rsid w:val="00D54264"/>
    <w:rsid w:val="00D54271"/>
    <w:rsid w:val="00D54274"/>
    <w:rsid w:val="00D542F3"/>
    <w:rsid w:val="00D543C1"/>
    <w:rsid w:val="00D5454A"/>
    <w:rsid w:val="00D545A0"/>
    <w:rsid w:val="00D5462D"/>
    <w:rsid w:val="00D54736"/>
    <w:rsid w:val="00D548AA"/>
    <w:rsid w:val="00D54A3A"/>
    <w:rsid w:val="00D54D73"/>
    <w:rsid w:val="00D550F0"/>
    <w:rsid w:val="00D55396"/>
    <w:rsid w:val="00D55433"/>
    <w:rsid w:val="00D555A3"/>
    <w:rsid w:val="00D55846"/>
    <w:rsid w:val="00D559E3"/>
    <w:rsid w:val="00D55B84"/>
    <w:rsid w:val="00D55FD3"/>
    <w:rsid w:val="00D56002"/>
    <w:rsid w:val="00D56145"/>
    <w:rsid w:val="00D56166"/>
    <w:rsid w:val="00D561B9"/>
    <w:rsid w:val="00D5624C"/>
    <w:rsid w:val="00D565E7"/>
    <w:rsid w:val="00D56611"/>
    <w:rsid w:val="00D566B7"/>
    <w:rsid w:val="00D566E0"/>
    <w:rsid w:val="00D56718"/>
    <w:rsid w:val="00D5676B"/>
    <w:rsid w:val="00D567AC"/>
    <w:rsid w:val="00D56861"/>
    <w:rsid w:val="00D5699D"/>
    <w:rsid w:val="00D56B7A"/>
    <w:rsid w:val="00D56CA2"/>
    <w:rsid w:val="00D56CD4"/>
    <w:rsid w:val="00D56DF7"/>
    <w:rsid w:val="00D56ED1"/>
    <w:rsid w:val="00D56F34"/>
    <w:rsid w:val="00D56F88"/>
    <w:rsid w:val="00D5700E"/>
    <w:rsid w:val="00D571ED"/>
    <w:rsid w:val="00D57431"/>
    <w:rsid w:val="00D57481"/>
    <w:rsid w:val="00D57568"/>
    <w:rsid w:val="00D576C8"/>
    <w:rsid w:val="00D579FD"/>
    <w:rsid w:val="00D57E48"/>
    <w:rsid w:val="00D601E9"/>
    <w:rsid w:val="00D602DD"/>
    <w:rsid w:val="00D60527"/>
    <w:rsid w:val="00D605BC"/>
    <w:rsid w:val="00D60791"/>
    <w:rsid w:val="00D609D9"/>
    <w:rsid w:val="00D60BAF"/>
    <w:rsid w:val="00D60C24"/>
    <w:rsid w:val="00D60D3F"/>
    <w:rsid w:val="00D60D54"/>
    <w:rsid w:val="00D61002"/>
    <w:rsid w:val="00D61376"/>
    <w:rsid w:val="00D6147D"/>
    <w:rsid w:val="00D615D6"/>
    <w:rsid w:val="00D6162D"/>
    <w:rsid w:val="00D618BD"/>
    <w:rsid w:val="00D61936"/>
    <w:rsid w:val="00D619A3"/>
    <w:rsid w:val="00D61C06"/>
    <w:rsid w:val="00D61CFD"/>
    <w:rsid w:val="00D61D15"/>
    <w:rsid w:val="00D61D8A"/>
    <w:rsid w:val="00D6203B"/>
    <w:rsid w:val="00D62180"/>
    <w:rsid w:val="00D62314"/>
    <w:rsid w:val="00D62408"/>
    <w:rsid w:val="00D624E2"/>
    <w:rsid w:val="00D62822"/>
    <w:rsid w:val="00D62843"/>
    <w:rsid w:val="00D629B6"/>
    <w:rsid w:val="00D62FD9"/>
    <w:rsid w:val="00D631F4"/>
    <w:rsid w:val="00D633F7"/>
    <w:rsid w:val="00D6349D"/>
    <w:rsid w:val="00D63520"/>
    <w:rsid w:val="00D63602"/>
    <w:rsid w:val="00D63645"/>
    <w:rsid w:val="00D63BE7"/>
    <w:rsid w:val="00D63CBF"/>
    <w:rsid w:val="00D63D9C"/>
    <w:rsid w:val="00D6404F"/>
    <w:rsid w:val="00D641B1"/>
    <w:rsid w:val="00D641B6"/>
    <w:rsid w:val="00D64424"/>
    <w:rsid w:val="00D64480"/>
    <w:rsid w:val="00D6452D"/>
    <w:rsid w:val="00D64559"/>
    <w:rsid w:val="00D646AB"/>
    <w:rsid w:val="00D648EF"/>
    <w:rsid w:val="00D649DC"/>
    <w:rsid w:val="00D64CE0"/>
    <w:rsid w:val="00D64D0B"/>
    <w:rsid w:val="00D64D24"/>
    <w:rsid w:val="00D6506D"/>
    <w:rsid w:val="00D65349"/>
    <w:rsid w:val="00D654DC"/>
    <w:rsid w:val="00D656F4"/>
    <w:rsid w:val="00D65A97"/>
    <w:rsid w:val="00D65BAF"/>
    <w:rsid w:val="00D65EB6"/>
    <w:rsid w:val="00D664D8"/>
    <w:rsid w:val="00D665DD"/>
    <w:rsid w:val="00D666B8"/>
    <w:rsid w:val="00D666C6"/>
    <w:rsid w:val="00D66911"/>
    <w:rsid w:val="00D66A4F"/>
    <w:rsid w:val="00D66AF2"/>
    <w:rsid w:val="00D66CC3"/>
    <w:rsid w:val="00D66CEA"/>
    <w:rsid w:val="00D66CF9"/>
    <w:rsid w:val="00D67344"/>
    <w:rsid w:val="00D67520"/>
    <w:rsid w:val="00D67B1D"/>
    <w:rsid w:val="00D67D73"/>
    <w:rsid w:val="00D67E7E"/>
    <w:rsid w:val="00D67E91"/>
    <w:rsid w:val="00D67EBD"/>
    <w:rsid w:val="00D700C8"/>
    <w:rsid w:val="00D70121"/>
    <w:rsid w:val="00D7046C"/>
    <w:rsid w:val="00D7054F"/>
    <w:rsid w:val="00D70583"/>
    <w:rsid w:val="00D706D1"/>
    <w:rsid w:val="00D706DA"/>
    <w:rsid w:val="00D70722"/>
    <w:rsid w:val="00D707CA"/>
    <w:rsid w:val="00D70930"/>
    <w:rsid w:val="00D70936"/>
    <w:rsid w:val="00D7097B"/>
    <w:rsid w:val="00D70C56"/>
    <w:rsid w:val="00D70F43"/>
    <w:rsid w:val="00D7109F"/>
    <w:rsid w:val="00D7119E"/>
    <w:rsid w:val="00D71281"/>
    <w:rsid w:val="00D71693"/>
    <w:rsid w:val="00D7197D"/>
    <w:rsid w:val="00D71A4C"/>
    <w:rsid w:val="00D71ACF"/>
    <w:rsid w:val="00D71D29"/>
    <w:rsid w:val="00D71E1C"/>
    <w:rsid w:val="00D71F1D"/>
    <w:rsid w:val="00D720CA"/>
    <w:rsid w:val="00D721E4"/>
    <w:rsid w:val="00D72449"/>
    <w:rsid w:val="00D725B0"/>
    <w:rsid w:val="00D725BB"/>
    <w:rsid w:val="00D72769"/>
    <w:rsid w:val="00D727D2"/>
    <w:rsid w:val="00D72819"/>
    <w:rsid w:val="00D72999"/>
    <w:rsid w:val="00D72B36"/>
    <w:rsid w:val="00D72BB7"/>
    <w:rsid w:val="00D72E20"/>
    <w:rsid w:val="00D72E2C"/>
    <w:rsid w:val="00D73105"/>
    <w:rsid w:val="00D7323C"/>
    <w:rsid w:val="00D735A8"/>
    <w:rsid w:val="00D7385A"/>
    <w:rsid w:val="00D73DF5"/>
    <w:rsid w:val="00D74478"/>
    <w:rsid w:val="00D7498E"/>
    <w:rsid w:val="00D74AEF"/>
    <w:rsid w:val="00D74B74"/>
    <w:rsid w:val="00D74BDF"/>
    <w:rsid w:val="00D74CBE"/>
    <w:rsid w:val="00D74D7E"/>
    <w:rsid w:val="00D74DF7"/>
    <w:rsid w:val="00D74F08"/>
    <w:rsid w:val="00D74F39"/>
    <w:rsid w:val="00D7502D"/>
    <w:rsid w:val="00D75073"/>
    <w:rsid w:val="00D75090"/>
    <w:rsid w:val="00D7511E"/>
    <w:rsid w:val="00D75233"/>
    <w:rsid w:val="00D7568F"/>
    <w:rsid w:val="00D756F7"/>
    <w:rsid w:val="00D758D8"/>
    <w:rsid w:val="00D75A85"/>
    <w:rsid w:val="00D75B80"/>
    <w:rsid w:val="00D762F8"/>
    <w:rsid w:val="00D7642A"/>
    <w:rsid w:val="00D764AE"/>
    <w:rsid w:val="00D767D2"/>
    <w:rsid w:val="00D7682B"/>
    <w:rsid w:val="00D768CF"/>
    <w:rsid w:val="00D7693E"/>
    <w:rsid w:val="00D76C28"/>
    <w:rsid w:val="00D770FD"/>
    <w:rsid w:val="00D7727B"/>
    <w:rsid w:val="00D774AF"/>
    <w:rsid w:val="00D77975"/>
    <w:rsid w:val="00D77B20"/>
    <w:rsid w:val="00D77BA5"/>
    <w:rsid w:val="00D77C7D"/>
    <w:rsid w:val="00D8015C"/>
    <w:rsid w:val="00D8046F"/>
    <w:rsid w:val="00D8047E"/>
    <w:rsid w:val="00D806AF"/>
    <w:rsid w:val="00D80AF2"/>
    <w:rsid w:val="00D80D5F"/>
    <w:rsid w:val="00D80E24"/>
    <w:rsid w:val="00D80ECD"/>
    <w:rsid w:val="00D80ED6"/>
    <w:rsid w:val="00D810B3"/>
    <w:rsid w:val="00D810F0"/>
    <w:rsid w:val="00D81361"/>
    <w:rsid w:val="00D8137D"/>
    <w:rsid w:val="00D815A0"/>
    <w:rsid w:val="00D8168F"/>
    <w:rsid w:val="00D81797"/>
    <w:rsid w:val="00D817C5"/>
    <w:rsid w:val="00D81876"/>
    <w:rsid w:val="00D81934"/>
    <w:rsid w:val="00D81994"/>
    <w:rsid w:val="00D81A68"/>
    <w:rsid w:val="00D81CD9"/>
    <w:rsid w:val="00D82110"/>
    <w:rsid w:val="00D822C4"/>
    <w:rsid w:val="00D824C6"/>
    <w:rsid w:val="00D825FF"/>
    <w:rsid w:val="00D8265B"/>
    <w:rsid w:val="00D826EB"/>
    <w:rsid w:val="00D82955"/>
    <w:rsid w:val="00D82B4B"/>
    <w:rsid w:val="00D82DF7"/>
    <w:rsid w:val="00D8300E"/>
    <w:rsid w:val="00D8304F"/>
    <w:rsid w:val="00D83097"/>
    <w:rsid w:val="00D83552"/>
    <w:rsid w:val="00D83836"/>
    <w:rsid w:val="00D8386F"/>
    <w:rsid w:val="00D83B9A"/>
    <w:rsid w:val="00D83BAE"/>
    <w:rsid w:val="00D83BBA"/>
    <w:rsid w:val="00D83EAC"/>
    <w:rsid w:val="00D83FED"/>
    <w:rsid w:val="00D840C3"/>
    <w:rsid w:val="00D8416C"/>
    <w:rsid w:val="00D84218"/>
    <w:rsid w:val="00D84505"/>
    <w:rsid w:val="00D845C0"/>
    <w:rsid w:val="00D84774"/>
    <w:rsid w:val="00D84B85"/>
    <w:rsid w:val="00D84BFC"/>
    <w:rsid w:val="00D84C4F"/>
    <w:rsid w:val="00D84D78"/>
    <w:rsid w:val="00D84F90"/>
    <w:rsid w:val="00D85034"/>
    <w:rsid w:val="00D8522D"/>
    <w:rsid w:val="00D853E8"/>
    <w:rsid w:val="00D85574"/>
    <w:rsid w:val="00D855C0"/>
    <w:rsid w:val="00D857EC"/>
    <w:rsid w:val="00D85AB7"/>
    <w:rsid w:val="00D85B91"/>
    <w:rsid w:val="00D85B9D"/>
    <w:rsid w:val="00D85D14"/>
    <w:rsid w:val="00D85D86"/>
    <w:rsid w:val="00D85E15"/>
    <w:rsid w:val="00D85EB8"/>
    <w:rsid w:val="00D860B1"/>
    <w:rsid w:val="00D8611A"/>
    <w:rsid w:val="00D861C1"/>
    <w:rsid w:val="00D861D6"/>
    <w:rsid w:val="00D864AE"/>
    <w:rsid w:val="00D864AF"/>
    <w:rsid w:val="00D865F7"/>
    <w:rsid w:val="00D866A2"/>
    <w:rsid w:val="00D86700"/>
    <w:rsid w:val="00D869C4"/>
    <w:rsid w:val="00D869DE"/>
    <w:rsid w:val="00D86A6A"/>
    <w:rsid w:val="00D86C97"/>
    <w:rsid w:val="00D86ED3"/>
    <w:rsid w:val="00D86F35"/>
    <w:rsid w:val="00D86F89"/>
    <w:rsid w:val="00D87198"/>
    <w:rsid w:val="00D871B4"/>
    <w:rsid w:val="00D871FE"/>
    <w:rsid w:val="00D874C0"/>
    <w:rsid w:val="00D87850"/>
    <w:rsid w:val="00D87853"/>
    <w:rsid w:val="00D8789E"/>
    <w:rsid w:val="00D87A66"/>
    <w:rsid w:val="00D87AD0"/>
    <w:rsid w:val="00D87BCF"/>
    <w:rsid w:val="00D87C0E"/>
    <w:rsid w:val="00D87CC4"/>
    <w:rsid w:val="00D87D15"/>
    <w:rsid w:val="00D87D41"/>
    <w:rsid w:val="00D87F0F"/>
    <w:rsid w:val="00D9033F"/>
    <w:rsid w:val="00D904CF"/>
    <w:rsid w:val="00D906A2"/>
    <w:rsid w:val="00D9087C"/>
    <w:rsid w:val="00D90938"/>
    <w:rsid w:val="00D90C98"/>
    <w:rsid w:val="00D90F03"/>
    <w:rsid w:val="00D90F64"/>
    <w:rsid w:val="00D90FAC"/>
    <w:rsid w:val="00D9102F"/>
    <w:rsid w:val="00D91198"/>
    <w:rsid w:val="00D912B8"/>
    <w:rsid w:val="00D91311"/>
    <w:rsid w:val="00D913E6"/>
    <w:rsid w:val="00D91534"/>
    <w:rsid w:val="00D91643"/>
    <w:rsid w:val="00D91685"/>
    <w:rsid w:val="00D91800"/>
    <w:rsid w:val="00D91822"/>
    <w:rsid w:val="00D918A4"/>
    <w:rsid w:val="00D91B7D"/>
    <w:rsid w:val="00D91F62"/>
    <w:rsid w:val="00D92498"/>
    <w:rsid w:val="00D9251E"/>
    <w:rsid w:val="00D92528"/>
    <w:rsid w:val="00D9254A"/>
    <w:rsid w:val="00D92617"/>
    <w:rsid w:val="00D9287C"/>
    <w:rsid w:val="00D92894"/>
    <w:rsid w:val="00D92A48"/>
    <w:rsid w:val="00D92C90"/>
    <w:rsid w:val="00D93181"/>
    <w:rsid w:val="00D931E9"/>
    <w:rsid w:val="00D93220"/>
    <w:rsid w:val="00D932E8"/>
    <w:rsid w:val="00D9358B"/>
    <w:rsid w:val="00D93593"/>
    <w:rsid w:val="00D93738"/>
    <w:rsid w:val="00D93A03"/>
    <w:rsid w:val="00D940AD"/>
    <w:rsid w:val="00D940C4"/>
    <w:rsid w:val="00D94142"/>
    <w:rsid w:val="00D941DC"/>
    <w:rsid w:val="00D943B5"/>
    <w:rsid w:val="00D944B3"/>
    <w:rsid w:val="00D945A8"/>
    <w:rsid w:val="00D9463F"/>
    <w:rsid w:val="00D94647"/>
    <w:rsid w:val="00D9464C"/>
    <w:rsid w:val="00D947E8"/>
    <w:rsid w:val="00D94AA1"/>
    <w:rsid w:val="00D9534E"/>
    <w:rsid w:val="00D95386"/>
    <w:rsid w:val="00D9556E"/>
    <w:rsid w:val="00D95B8D"/>
    <w:rsid w:val="00D95C79"/>
    <w:rsid w:val="00D95DDD"/>
    <w:rsid w:val="00D95E69"/>
    <w:rsid w:val="00D95EA9"/>
    <w:rsid w:val="00D95F8B"/>
    <w:rsid w:val="00D95FFE"/>
    <w:rsid w:val="00D961D0"/>
    <w:rsid w:val="00D962B0"/>
    <w:rsid w:val="00D9655A"/>
    <w:rsid w:val="00D965A5"/>
    <w:rsid w:val="00D96634"/>
    <w:rsid w:val="00D96734"/>
    <w:rsid w:val="00D967A4"/>
    <w:rsid w:val="00D967B4"/>
    <w:rsid w:val="00D96945"/>
    <w:rsid w:val="00D96C3D"/>
    <w:rsid w:val="00D96E44"/>
    <w:rsid w:val="00D96E56"/>
    <w:rsid w:val="00D97137"/>
    <w:rsid w:val="00D9715A"/>
    <w:rsid w:val="00D9746D"/>
    <w:rsid w:val="00D975DA"/>
    <w:rsid w:val="00D97694"/>
    <w:rsid w:val="00D97708"/>
    <w:rsid w:val="00D97928"/>
    <w:rsid w:val="00D9794C"/>
    <w:rsid w:val="00D97AF3"/>
    <w:rsid w:val="00D97F0C"/>
    <w:rsid w:val="00D97F18"/>
    <w:rsid w:val="00D97F3D"/>
    <w:rsid w:val="00DA0007"/>
    <w:rsid w:val="00DA02B7"/>
    <w:rsid w:val="00DA02E6"/>
    <w:rsid w:val="00DA0382"/>
    <w:rsid w:val="00DA059A"/>
    <w:rsid w:val="00DA05C3"/>
    <w:rsid w:val="00DA062A"/>
    <w:rsid w:val="00DA067A"/>
    <w:rsid w:val="00DA0941"/>
    <w:rsid w:val="00DA09D5"/>
    <w:rsid w:val="00DA0A01"/>
    <w:rsid w:val="00DA0B22"/>
    <w:rsid w:val="00DA0C49"/>
    <w:rsid w:val="00DA0C99"/>
    <w:rsid w:val="00DA11C8"/>
    <w:rsid w:val="00DA1426"/>
    <w:rsid w:val="00DA142C"/>
    <w:rsid w:val="00DA1806"/>
    <w:rsid w:val="00DA1B57"/>
    <w:rsid w:val="00DA1C75"/>
    <w:rsid w:val="00DA1E6D"/>
    <w:rsid w:val="00DA1F3C"/>
    <w:rsid w:val="00DA1F3D"/>
    <w:rsid w:val="00DA202A"/>
    <w:rsid w:val="00DA20A8"/>
    <w:rsid w:val="00DA21F9"/>
    <w:rsid w:val="00DA27DF"/>
    <w:rsid w:val="00DA2864"/>
    <w:rsid w:val="00DA28DF"/>
    <w:rsid w:val="00DA29A2"/>
    <w:rsid w:val="00DA2A4C"/>
    <w:rsid w:val="00DA2A7B"/>
    <w:rsid w:val="00DA2A84"/>
    <w:rsid w:val="00DA2ACA"/>
    <w:rsid w:val="00DA2BE1"/>
    <w:rsid w:val="00DA2C5E"/>
    <w:rsid w:val="00DA2F0A"/>
    <w:rsid w:val="00DA2FEF"/>
    <w:rsid w:val="00DA3357"/>
    <w:rsid w:val="00DA33B1"/>
    <w:rsid w:val="00DA37F5"/>
    <w:rsid w:val="00DA3856"/>
    <w:rsid w:val="00DA3A2B"/>
    <w:rsid w:val="00DA3A5B"/>
    <w:rsid w:val="00DA3A8F"/>
    <w:rsid w:val="00DA3AE9"/>
    <w:rsid w:val="00DA3B1F"/>
    <w:rsid w:val="00DA3BBA"/>
    <w:rsid w:val="00DA3BE3"/>
    <w:rsid w:val="00DA3D78"/>
    <w:rsid w:val="00DA3DA2"/>
    <w:rsid w:val="00DA3DAC"/>
    <w:rsid w:val="00DA41CA"/>
    <w:rsid w:val="00DA42D7"/>
    <w:rsid w:val="00DA450F"/>
    <w:rsid w:val="00DA4525"/>
    <w:rsid w:val="00DA4768"/>
    <w:rsid w:val="00DA4A83"/>
    <w:rsid w:val="00DA4A85"/>
    <w:rsid w:val="00DA4BAF"/>
    <w:rsid w:val="00DA4C5C"/>
    <w:rsid w:val="00DA4FB2"/>
    <w:rsid w:val="00DA5112"/>
    <w:rsid w:val="00DA51CF"/>
    <w:rsid w:val="00DA5265"/>
    <w:rsid w:val="00DA5294"/>
    <w:rsid w:val="00DA53AC"/>
    <w:rsid w:val="00DA54AC"/>
    <w:rsid w:val="00DA569B"/>
    <w:rsid w:val="00DA572B"/>
    <w:rsid w:val="00DA5B9A"/>
    <w:rsid w:val="00DA6759"/>
    <w:rsid w:val="00DA688F"/>
    <w:rsid w:val="00DA68C8"/>
    <w:rsid w:val="00DA6903"/>
    <w:rsid w:val="00DA6935"/>
    <w:rsid w:val="00DA69D3"/>
    <w:rsid w:val="00DA6A92"/>
    <w:rsid w:val="00DA6BFF"/>
    <w:rsid w:val="00DA6C80"/>
    <w:rsid w:val="00DA6DDA"/>
    <w:rsid w:val="00DA6E9C"/>
    <w:rsid w:val="00DA6F76"/>
    <w:rsid w:val="00DA70F3"/>
    <w:rsid w:val="00DA7485"/>
    <w:rsid w:val="00DA7604"/>
    <w:rsid w:val="00DA7A51"/>
    <w:rsid w:val="00DA7B9B"/>
    <w:rsid w:val="00DA7E79"/>
    <w:rsid w:val="00DA7ED9"/>
    <w:rsid w:val="00DA7FC9"/>
    <w:rsid w:val="00DB01F5"/>
    <w:rsid w:val="00DB039D"/>
    <w:rsid w:val="00DB0727"/>
    <w:rsid w:val="00DB076E"/>
    <w:rsid w:val="00DB079E"/>
    <w:rsid w:val="00DB08FB"/>
    <w:rsid w:val="00DB0917"/>
    <w:rsid w:val="00DB0C0C"/>
    <w:rsid w:val="00DB0C7B"/>
    <w:rsid w:val="00DB0E23"/>
    <w:rsid w:val="00DB0FC6"/>
    <w:rsid w:val="00DB1193"/>
    <w:rsid w:val="00DB1461"/>
    <w:rsid w:val="00DB14CD"/>
    <w:rsid w:val="00DB1735"/>
    <w:rsid w:val="00DB1746"/>
    <w:rsid w:val="00DB17E3"/>
    <w:rsid w:val="00DB17F5"/>
    <w:rsid w:val="00DB181E"/>
    <w:rsid w:val="00DB1822"/>
    <w:rsid w:val="00DB1838"/>
    <w:rsid w:val="00DB19A3"/>
    <w:rsid w:val="00DB1B33"/>
    <w:rsid w:val="00DB1BC1"/>
    <w:rsid w:val="00DB1C32"/>
    <w:rsid w:val="00DB1FA2"/>
    <w:rsid w:val="00DB20AA"/>
    <w:rsid w:val="00DB20D9"/>
    <w:rsid w:val="00DB21F7"/>
    <w:rsid w:val="00DB2432"/>
    <w:rsid w:val="00DB2496"/>
    <w:rsid w:val="00DB24E4"/>
    <w:rsid w:val="00DB255A"/>
    <w:rsid w:val="00DB2597"/>
    <w:rsid w:val="00DB26F4"/>
    <w:rsid w:val="00DB2F2E"/>
    <w:rsid w:val="00DB3003"/>
    <w:rsid w:val="00DB3060"/>
    <w:rsid w:val="00DB31B1"/>
    <w:rsid w:val="00DB33FD"/>
    <w:rsid w:val="00DB34AA"/>
    <w:rsid w:val="00DB3858"/>
    <w:rsid w:val="00DB3AC9"/>
    <w:rsid w:val="00DB3BB9"/>
    <w:rsid w:val="00DB3C4A"/>
    <w:rsid w:val="00DB3C4C"/>
    <w:rsid w:val="00DB3CC7"/>
    <w:rsid w:val="00DB4051"/>
    <w:rsid w:val="00DB42C8"/>
    <w:rsid w:val="00DB4405"/>
    <w:rsid w:val="00DB44A8"/>
    <w:rsid w:val="00DB44BB"/>
    <w:rsid w:val="00DB44F5"/>
    <w:rsid w:val="00DB4A56"/>
    <w:rsid w:val="00DB4B69"/>
    <w:rsid w:val="00DB4C3F"/>
    <w:rsid w:val="00DB4CBD"/>
    <w:rsid w:val="00DB4DB7"/>
    <w:rsid w:val="00DB507A"/>
    <w:rsid w:val="00DB5105"/>
    <w:rsid w:val="00DB5154"/>
    <w:rsid w:val="00DB516B"/>
    <w:rsid w:val="00DB5505"/>
    <w:rsid w:val="00DB594F"/>
    <w:rsid w:val="00DB5B55"/>
    <w:rsid w:val="00DB5BA7"/>
    <w:rsid w:val="00DB5D4C"/>
    <w:rsid w:val="00DB5E0A"/>
    <w:rsid w:val="00DB5E44"/>
    <w:rsid w:val="00DB603A"/>
    <w:rsid w:val="00DB60A8"/>
    <w:rsid w:val="00DB6367"/>
    <w:rsid w:val="00DB656B"/>
    <w:rsid w:val="00DB65BB"/>
    <w:rsid w:val="00DB65ED"/>
    <w:rsid w:val="00DB6C08"/>
    <w:rsid w:val="00DB6C11"/>
    <w:rsid w:val="00DB6DA0"/>
    <w:rsid w:val="00DB6E54"/>
    <w:rsid w:val="00DB6F2E"/>
    <w:rsid w:val="00DB70C6"/>
    <w:rsid w:val="00DB73B2"/>
    <w:rsid w:val="00DB7887"/>
    <w:rsid w:val="00DB7A36"/>
    <w:rsid w:val="00DB7B03"/>
    <w:rsid w:val="00DB7CF1"/>
    <w:rsid w:val="00DB7D37"/>
    <w:rsid w:val="00DB7DDF"/>
    <w:rsid w:val="00DB7E5A"/>
    <w:rsid w:val="00DB7ECE"/>
    <w:rsid w:val="00DB7F47"/>
    <w:rsid w:val="00DC0269"/>
    <w:rsid w:val="00DC0292"/>
    <w:rsid w:val="00DC0312"/>
    <w:rsid w:val="00DC05E0"/>
    <w:rsid w:val="00DC0628"/>
    <w:rsid w:val="00DC06C8"/>
    <w:rsid w:val="00DC0733"/>
    <w:rsid w:val="00DC0BF6"/>
    <w:rsid w:val="00DC0D23"/>
    <w:rsid w:val="00DC0D6B"/>
    <w:rsid w:val="00DC0D8B"/>
    <w:rsid w:val="00DC0E19"/>
    <w:rsid w:val="00DC1048"/>
    <w:rsid w:val="00DC1206"/>
    <w:rsid w:val="00DC1277"/>
    <w:rsid w:val="00DC12C0"/>
    <w:rsid w:val="00DC169D"/>
    <w:rsid w:val="00DC173D"/>
    <w:rsid w:val="00DC1759"/>
    <w:rsid w:val="00DC17D3"/>
    <w:rsid w:val="00DC1A09"/>
    <w:rsid w:val="00DC1A69"/>
    <w:rsid w:val="00DC1D6E"/>
    <w:rsid w:val="00DC1EBD"/>
    <w:rsid w:val="00DC2120"/>
    <w:rsid w:val="00DC21CC"/>
    <w:rsid w:val="00DC224A"/>
    <w:rsid w:val="00DC236C"/>
    <w:rsid w:val="00DC23E1"/>
    <w:rsid w:val="00DC2634"/>
    <w:rsid w:val="00DC26A8"/>
    <w:rsid w:val="00DC26E8"/>
    <w:rsid w:val="00DC271E"/>
    <w:rsid w:val="00DC28A3"/>
    <w:rsid w:val="00DC28BA"/>
    <w:rsid w:val="00DC290A"/>
    <w:rsid w:val="00DC2C59"/>
    <w:rsid w:val="00DC2D31"/>
    <w:rsid w:val="00DC2D79"/>
    <w:rsid w:val="00DC2DF0"/>
    <w:rsid w:val="00DC2E31"/>
    <w:rsid w:val="00DC3219"/>
    <w:rsid w:val="00DC34A9"/>
    <w:rsid w:val="00DC34AF"/>
    <w:rsid w:val="00DC35CA"/>
    <w:rsid w:val="00DC3BFC"/>
    <w:rsid w:val="00DC3CD7"/>
    <w:rsid w:val="00DC3D2C"/>
    <w:rsid w:val="00DC3DEA"/>
    <w:rsid w:val="00DC3DF2"/>
    <w:rsid w:val="00DC3EA8"/>
    <w:rsid w:val="00DC401F"/>
    <w:rsid w:val="00DC4027"/>
    <w:rsid w:val="00DC40B8"/>
    <w:rsid w:val="00DC4285"/>
    <w:rsid w:val="00DC457A"/>
    <w:rsid w:val="00DC46F6"/>
    <w:rsid w:val="00DC4882"/>
    <w:rsid w:val="00DC498B"/>
    <w:rsid w:val="00DC49AB"/>
    <w:rsid w:val="00DC4A9C"/>
    <w:rsid w:val="00DC4AE9"/>
    <w:rsid w:val="00DC4CA5"/>
    <w:rsid w:val="00DC4CE7"/>
    <w:rsid w:val="00DC4D0E"/>
    <w:rsid w:val="00DC4E0E"/>
    <w:rsid w:val="00DC4F9A"/>
    <w:rsid w:val="00DC5103"/>
    <w:rsid w:val="00DC51B5"/>
    <w:rsid w:val="00DC5685"/>
    <w:rsid w:val="00DC5898"/>
    <w:rsid w:val="00DC58FE"/>
    <w:rsid w:val="00DC5A99"/>
    <w:rsid w:val="00DC5D0C"/>
    <w:rsid w:val="00DC5E94"/>
    <w:rsid w:val="00DC5F47"/>
    <w:rsid w:val="00DC5F95"/>
    <w:rsid w:val="00DC6044"/>
    <w:rsid w:val="00DC6200"/>
    <w:rsid w:val="00DC663B"/>
    <w:rsid w:val="00DC6708"/>
    <w:rsid w:val="00DC6755"/>
    <w:rsid w:val="00DC69B3"/>
    <w:rsid w:val="00DC6BFC"/>
    <w:rsid w:val="00DC6D0A"/>
    <w:rsid w:val="00DC6D54"/>
    <w:rsid w:val="00DC6DFD"/>
    <w:rsid w:val="00DC7240"/>
    <w:rsid w:val="00DC72A0"/>
    <w:rsid w:val="00DC74E8"/>
    <w:rsid w:val="00DC75D7"/>
    <w:rsid w:val="00DC7636"/>
    <w:rsid w:val="00DC7782"/>
    <w:rsid w:val="00DC77F8"/>
    <w:rsid w:val="00DC7A73"/>
    <w:rsid w:val="00DC7F6B"/>
    <w:rsid w:val="00DD0262"/>
    <w:rsid w:val="00DD0646"/>
    <w:rsid w:val="00DD065E"/>
    <w:rsid w:val="00DD067C"/>
    <w:rsid w:val="00DD072C"/>
    <w:rsid w:val="00DD099A"/>
    <w:rsid w:val="00DD0C64"/>
    <w:rsid w:val="00DD0D4E"/>
    <w:rsid w:val="00DD0E0B"/>
    <w:rsid w:val="00DD0EF8"/>
    <w:rsid w:val="00DD0FD0"/>
    <w:rsid w:val="00DD1035"/>
    <w:rsid w:val="00DD11A5"/>
    <w:rsid w:val="00DD12A6"/>
    <w:rsid w:val="00DD12C0"/>
    <w:rsid w:val="00DD1427"/>
    <w:rsid w:val="00DD14CE"/>
    <w:rsid w:val="00DD1645"/>
    <w:rsid w:val="00DD1AB9"/>
    <w:rsid w:val="00DD1E07"/>
    <w:rsid w:val="00DD1ED8"/>
    <w:rsid w:val="00DD2562"/>
    <w:rsid w:val="00DD26EA"/>
    <w:rsid w:val="00DD275E"/>
    <w:rsid w:val="00DD286D"/>
    <w:rsid w:val="00DD2A3B"/>
    <w:rsid w:val="00DD2B30"/>
    <w:rsid w:val="00DD2E7A"/>
    <w:rsid w:val="00DD2EFB"/>
    <w:rsid w:val="00DD2F27"/>
    <w:rsid w:val="00DD3001"/>
    <w:rsid w:val="00DD3260"/>
    <w:rsid w:val="00DD32A3"/>
    <w:rsid w:val="00DD32DC"/>
    <w:rsid w:val="00DD33A2"/>
    <w:rsid w:val="00DD3450"/>
    <w:rsid w:val="00DD365C"/>
    <w:rsid w:val="00DD366F"/>
    <w:rsid w:val="00DD3780"/>
    <w:rsid w:val="00DD37AB"/>
    <w:rsid w:val="00DD37F1"/>
    <w:rsid w:val="00DD3942"/>
    <w:rsid w:val="00DD3AF5"/>
    <w:rsid w:val="00DD3DEE"/>
    <w:rsid w:val="00DD3E3B"/>
    <w:rsid w:val="00DD3E4D"/>
    <w:rsid w:val="00DD3E55"/>
    <w:rsid w:val="00DD3EE1"/>
    <w:rsid w:val="00DD3F62"/>
    <w:rsid w:val="00DD3FA0"/>
    <w:rsid w:val="00DD4152"/>
    <w:rsid w:val="00DD4249"/>
    <w:rsid w:val="00DD4270"/>
    <w:rsid w:val="00DD43A5"/>
    <w:rsid w:val="00DD459E"/>
    <w:rsid w:val="00DD49A9"/>
    <w:rsid w:val="00DD4B56"/>
    <w:rsid w:val="00DD4BFA"/>
    <w:rsid w:val="00DD4CB2"/>
    <w:rsid w:val="00DD4DDC"/>
    <w:rsid w:val="00DD4E2A"/>
    <w:rsid w:val="00DD5026"/>
    <w:rsid w:val="00DD5091"/>
    <w:rsid w:val="00DD539E"/>
    <w:rsid w:val="00DD53D5"/>
    <w:rsid w:val="00DD53F9"/>
    <w:rsid w:val="00DD540A"/>
    <w:rsid w:val="00DD5475"/>
    <w:rsid w:val="00DD59FA"/>
    <w:rsid w:val="00DD5AD3"/>
    <w:rsid w:val="00DD5B28"/>
    <w:rsid w:val="00DD5B2C"/>
    <w:rsid w:val="00DD5D63"/>
    <w:rsid w:val="00DD5D6A"/>
    <w:rsid w:val="00DD5F01"/>
    <w:rsid w:val="00DD5FD0"/>
    <w:rsid w:val="00DD60EB"/>
    <w:rsid w:val="00DD60F4"/>
    <w:rsid w:val="00DD61B5"/>
    <w:rsid w:val="00DD624E"/>
    <w:rsid w:val="00DD6280"/>
    <w:rsid w:val="00DD628D"/>
    <w:rsid w:val="00DD629E"/>
    <w:rsid w:val="00DD6598"/>
    <w:rsid w:val="00DD669B"/>
    <w:rsid w:val="00DD66D3"/>
    <w:rsid w:val="00DD6736"/>
    <w:rsid w:val="00DD6939"/>
    <w:rsid w:val="00DD6D3A"/>
    <w:rsid w:val="00DD718B"/>
    <w:rsid w:val="00DD71A0"/>
    <w:rsid w:val="00DD71B7"/>
    <w:rsid w:val="00DD730C"/>
    <w:rsid w:val="00DD7512"/>
    <w:rsid w:val="00DD7640"/>
    <w:rsid w:val="00DD776E"/>
    <w:rsid w:val="00DD799F"/>
    <w:rsid w:val="00DD7B31"/>
    <w:rsid w:val="00DD7B47"/>
    <w:rsid w:val="00DD7D9A"/>
    <w:rsid w:val="00DD7DCE"/>
    <w:rsid w:val="00DD7ED0"/>
    <w:rsid w:val="00DE003A"/>
    <w:rsid w:val="00DE00A3"/>
    <w:rsid w:val="00DE010F"/>
    <w:rsid w:val="00DE0200"/>
    <w:rsid w:val="00DE04FD"/>
    <w:rsid w:val="00DE0545"/>
    <w:rsid w:val="00DE0580"/>
    <w:rsid w:val="00DE05D3"/>
    <w:rsid w:val="00DE05FC"/>
    <w:rsid w:val="00DE072A"/>
    <w:rsid w:val="00DE0A42"/>
    <w:rsid w:val="00DE0B63"/>
    <w:rsid w:val="00DE0B71"/>
    <w:rsid w:val="00DE0BD0"/>
    <w:rsid w:val="00DE0BFB"/>
    <w:rsid w:val="00DE0D3C"/>
    <w:rsid w:val="00DE0E4A"/>
    <w:rsid w:val="00DE0FBA"/>
    <w:rsid w:val="00DE12B1"/>
    <w:rsid w:val="00DE133A"/>
    <w:rsid w:val="00DE13E0"/>
    <w:rsid w:val="00DE1512"/>
    <w:rsid w:val="00DE16F8"/>
    <w:rsid w:val="00DE182E"/>
    <w:rsid w:val="00DE1865"/>
    <w:rsid w:val="00DE1A8C"/>
    <w:rsid w:val="00DE1BEB"/>
    <w:rsid w:val="00DE1BFA"/>
    <w:rsid w:val="00DE1C4C"/>
    <w:rsid w:val="00DE1CFB"/>
    <w:rsid w:val="00DE21A5"/>
    <w:rsid w:val="00DE21B2"/>
    <w:rsid w:val="00DE2475"/>
    <w:rsid w:val="00DE259B"/>
    <w:rsid w:val="00DE25C0"/>
    <w:rsid w:val="00DE2674"/>
    <w:rsid w:val="00DE281B"/>
    <w:rsid w:val="00DE28A0"/>
    <w:rsid w:val="00DE2A3F"/>
    <w:rsid w:val="00DE2B2E"/>
    <w:rsid w:val="00DE2C85"/>
    <w:rsid w:val="00DE2D7E"/>
    <w:rsid w:val="00DE2DFC"/>
    <w:rsid w:val="00DE2E39"/>
    <w:rsid w:val="00DE2FA9"/>
    <w:rsid w:val="00DE2FB7"/>
    <w:rsid w:val="00DE32E0"/>
    <w:rsid w:val="00DE336D"/>
    <w:rsid w:val="00DE3672"/>
    <w:rsid w:val="00DE36F9"/>
    <w:rsid w:val="00DE37B0"/>
    <w:rsid w:val="00DE3B27"/>
    <w:rsid w:val="00DE3BA2"/>
    <w:rsid w:val="00DE3BA9"/>
    <w:rsid w:val="00DE3DBA"/>
    <w:rsid w:val="00DE3FC8"/>
    <w:rsid w:val="00DE3FD3"/>
    <w:rsid w:val="00DE404D"/>
    <w:rsid w:val="00DE4161"/>
    <w:rsid w:val="00DE4500"/>
    <w:rsid w:val="00DE4596"/>
    <w:rsid w:val="00DE46BD"/>
    <w:rsid w:val="00DE4910"/>
    <w:rsid w:val="00DE4971"/>
    <w:rsid w:val="00DE4A73"/>
    <w:rsid w:val="00DE4D32"/>
    <w:rsid w:val="00DE4E09"/>
    <w:rsid w:val="00DE4E80"/>
    <w:rsid w:val="00DE4EC2"/>
    <w:rsid w:val="00DE533C"/>
    <w:rsid w:val="00DE5583"/>
    <w:rsid w:val="00DE573C"/>
    <w:rsid w:val="00DE593D"/>
    <w:rsid w:val="00DE5FBA"/>
    <w:rsid w:val="00DE61EA"/>
    <w:rsid w:val="00DE61ED"/>
    <w:rsid w:val="00DE63B4"/>
    <w:rsid w:val="00DE642A"/>
    <w:rsid w:val="00DE64F5"/>
    <w:rsid w:val="00DE6663"/>
    <w:rsid w:val="00DE6A2F"/>
    <w:rsid w:val="00DE6AF6"/>
    <w:rsid w:val="00DE6C45"/>
    <w:rsid w:val="00DE6D7D"/>
    <w:rsid w:val="00DE6EA2"/>
    <w:rsid w:val="00DE6F7F"/>
    <w:rsid w:val="00DE6FBC"/>
    <w:rsid w:val="00DE7145"/>
    <w:rsid w:val="00DE71F7"/>
    <w:rsid w:val="00DE72C5"/>
    <w:rsid w:val="00DE76DC"/>
    <w:rsid w:val="00DE76F6"/>
    <w:rsid w:val="00DE77E0"/>
    <w:rsid w:val="00DE788A"/>
    <w:rsid w:val="00DE7A75"/>
    <w:rsid w:val="00DE7F37"/>
    <w:rsid w:val="00DF0304"/>
    <w:rsid w:val="00DF049A"/>
    <w:rsid w:val="00DF04D2"/>
    <w:rsid w:val="00DF055C"/>
    <w:rsid w:val="00DF0666"/>
    <w:rsid w:val="00DF07CD"/>
    <w:rsid w:val="00DF07D7"/>
    <w:rsid w:val="00DF0A49"/>
    <w:rsid w:val="00DF0D90"/>
    <w:rsid w:val="00DF0DC3"/>
    <w:rsid w:val="00DF0FCE"/>
    <w:rsid w:val="00DF111C"/>
    <w:rsid w:val="00DF1534"/>
    <w:rsid w:val="00DF168A"/>
    <w:rsid w:val="00DF17CA"/>
    <w:rsid w:val="00DF182F"/>
    <w:rsid w:val="00DF18D3"/>
    <w:rsid w:val="00DF1C1F"/>
    <w:rsid w:val="00DF1CC7"/>
    <w:rsid w:val="00DF1D73"/>
    <w:rsid w:val="00DF1DC6"/>
    <w:rsid w:val="00DF1F8A"/>
    <w:rsid w:val="00DF21B8"/>
    <w:rsid w:val="00DF21C5"/>
    <w:rsid w:val="00DF220A"/>
    <w:rsid w:val="00DF238E"/>
    <w:rsid w:val="00DF23A6"/>
    <w:rsid w:val="00DF23FB"/>
    <w:rsid w:val="00DF244A"/>
    <w:rsid w:val="00DF2793"/>
    <w:rsid w:val="00DF27AB"/>
    <w:rsid w:val="00DF27DC"/>
    <w:rsid w:val="00DF27F5"/>
    <w:rsid w:val="00DF2994"/>
    <w:rsid w:val="00DF2C41"/>
    <w:rsid w:val="00DF2DF8"/>
    <w:rsid w:val="00DF2EC8"/>
    <w:rsid w:val="00DF2FDD"/>
    <w:rsid w:val="00DF325B"/>
    <w:rsid w:val="00DF34C0"/>
    <w:rsid w:val="00DF34C4"/>
    <w:rsid w:val="00DF37A3"/>
    <w:rsid w:val="00DF37CB"/>
    <w:rsid w:val="00DF38BD"/>
    <w:rsid w:val="00DF39E9"/>
    <w:rsid w:val="00DF3A7E"/>
    <w:rsid w:val="00DF3B24"/>
    <w:rsid w:val="00DF3F6D"/>
    <w:rsid w:val="00DF4127"/>
    <w:rsid w:val="00DF4685"/>
    <w:rsid w:val="00DF5069"/>
    <w:rsid w:val="00DF511F"/>
    <w:rsid w:val="00DF51A7"/>
    <w:rsid w:val="00DF51E3"/>
    <w:rsid w:val="00DF5263"/>
    <w:rsid w:val="00DF531A"/>
    <w:rsid w:val="00DF53A5"/>
    <w:rsid w:val="00DF55E0"/>
    <w:rsid w:val="00DF56B6"/>
    <w:rsid w:val="00DF5700"/>
    <w:rsid w:val="00DF57BB"/>
    <w:rsid w:val="00DF599A"/>
    <w:rsid w:val="00DF5A5A"/>
    <w:rsid w:val="00DF5A96"/>
    <w:rsid w:val="00DF5D52"/>
    <w:rsid w:val="00DF5F01"/>
    <w:rsid w:val="00DF5F20"/>
    <w:rsid w:val="00DF5FF9"/>
    <w:rsid w:val="00DF629F"/>
    <w:rsid w:val="00DF6747"/>
    <w:rsid w:val="00DF6903"/>
    <w:rsid w:val="00DF6A91"/>
    <w:rsid w:val="00DF6F58"/>
    <w:rsid w:val="00DF705D"/>
    <w:rsid w:val="00DF7254"/>
    <w:rsid w:val="00DF729F"/>
    <w:rsid w:val="00DF744C"/>
    <w:rsid w:val="00DF7767"/>
    <w:rsid w:val="00DF79FF"/>
    <w:rsid w:val="00DF7A50"/>
    <w:rsid w:val="00DF7D66"/>
    <w:rsid w:val="00DF7D6B"/>
    <w:rsid w:val="00DF7DB3"/>
    <w:rsid w:val="00E000D7"/>
    <w:rsid w:val="00E001F8"/>
    <w:rsid w:val="00E001FC"/>
    <w:rsid w:val="00E00257"/>
    <w:rsid w:val="00E00306"/>
    <w:rsid w:val="00E004C8"/>
    <w:rsid w:val="00E0064D"/>
    <w:rsid w:val="00E007F8"/>
    <w:rsid w:val="00E00838"/>
    <w:rsid w:val="00E00924"/>
    <w:rsid w:val="00E00AAF"/>
    <w:rsid w:val="00E00F1C"/>
    <w:rsid w:val="00E0135C"/>
    <w:rsid w:val="00E01377"/>
    <w:rsid w:val="00E0142F"/>
    <w:rsid w:val="00E01487"/>
    <w:rsid w:val="00E01557"/>
    <w:rsid w:val="00E01B9F"/>
    <w:rsid w:val="00E01BD5"/>
    <w:rsid w:val="00E01C54"/>
    <w:rsid w:val="00E01CC7"/>
    <w:rsid w:val="00E01FE3"/>
    <w:rsid w:val="00E021BE"/>
    <w:rsid w:val="00E02405"/>
    <w:rsid w:val="00E02454"/>
    <w:rsid w:val="00E0245C"/>
    <w:rsid w:val="00E02510"/>
    <w:rsid w:val="00E02527"/>
    <w:rsid w:val="00E02722"/>
    <w:rsid w:val="00E028B9"/>
    <w:rsid w:val="00E02915"/>
    <w:rsid w:val="00E029FE"/>
    <w:rsid w:val="00E02BD6"/>
    <w:rsid w:val="00E02DEA"/>
    <w:rsid w:val="00E031CD"/>
    <w:rsid w:val="00E032BE"/>
    <w:rsid w:val="00E03609"/>
    <w:rsid w:val="00E03870"/>
    <w:rsid w:val="00E03E8F"/>
    <w:rsid w:val="00E03F02"/>
    <w:rsid w:val="00E04214"/>
    <w:rsid w:val="00E044BB"/>
    <w:rsid w:val="00E0473A"/>
    <w:rsid w:val="00E0477F"/>
    <w:rsid w:val="00E04855"/>
    <w:rsid w:val="00E048A9"/>
    <w:rsid w:val="00E048E7"/>
    <w:rsid w:val="00E049B8"/>
    <w:rsid w:val="00E04A09"/>
    <w:rsid w:val="00E04A72"/>
    <w:rsid w:val="00E04BCC"/>
    <w:rsid w:val="00E04D16"/>
    <w:rsid w:val="00E04F0D"/>
    <w:rsid w:val="00E04F42"/>
    <w:rsid w:val="00E04F56"/>
    <w:rsid w:val="00E0533B"/>
    <w:rsid w:val="00E055A1"/>
    <w:rsid w:val="00E0572C"/>
    <w:rsid w:val="00E05B44"/>
    <w:rsid w:val="00E05D94"/>
    <w:rsid w:val="00E060E2"/>
    <w:rsid w:val="00E06103"/>
    <w:rsid w:val="00E064FA"/>
    <w:rsid w:val="00E06653"/>
    <w:rsid w:val="00E06919"/>
    <w:rsid w:val="00E06953"/>
    <w:rsid w:val="00E06C5F"/>
    <w:rsid w:val="00E06EB0"/>
    <w:rsid w:val="00E0709E"/>
    <w:rsid w:val="00E07187"/>
    <w:rsid w:val="00E07451"/>
    <w:rsid w:val="00E074D5"/>
    <w:rsid w:val="00E07690"/>
    <w:rsid w:val="00E076A2"/>
    <w:rsid w:val="00E100F0"/>
    <w:rsid w:val="00E1013A"/>
    <w:rsid w:val="00E10211"/>
    <w:rsid w:val="00E10490"/>
    <w:rsid w:val="00E104E6"/>
    <w:rsid w:val="00E1071B"/>
    <w:rsid w:val="00E107A5"/>
    <w:rsid w:val="00E1080A"/>
    <w:rsid w:val="00E10988"/>
    <w:rsid w:val="00E10AA1"/>
    <w:rsid w:val="00E10CF8"/>
    <w:rsid w:val="00E10D45"/>
    <w:rsid w:val="00E10FA9"/>
    <w:rsid w:val="00E11046"/>
    <w:rsid w:val="00E11107"/>
    <w:rsid w:val="00E11329"/>
    <w:rsid w:val="00E11355"/>
    <w:rsid w:val="00E1146F"/>
    <w:rsid w:val="00E11503"/>
    <w:rsid w:val="00E11505"/>
    <w:rsid w:val="00E11627"/>
    <w:rsid w:val="00E11879"/>
    <w:rsid w:val="00E119D9"/>
    <w:rsid w:val="00E11A5F"/>
    <w:rsid w:val="00E12217"/>
    <w:rsid w:val="00E1235A"/>
    <w:rsid w:val="00E123DB"/>
    <w:rsid w:val="00E1242D"/>
    <w:rsid w:val="00E12A87"/>
    <w:rsid w:val="00E12DE1"/>
    <w:rsid w:val="00E12E15"/>
    <w:rsid w:val="00E12F40"/>
    <w:rsid w:val="00E12FD2"/>
    <w:rsid w:val="00E13090"/>
    <w:rsid w:val="00E130C7"/>
    <w:rsid w:val="00E1310E"/>
    <w:rsid w:val="00E13255"/>
    <w:rsid w:val="00E1366F"/>
    <w:rsid w:val="00E13769"/>
    <w:rsid w:val="00E139DE"/>
    <w:rsid w:val="00E13BE1"/>
    <w:rsid w:val="00E13ED7"/>
    <w:rsid w:val="00E13F05"/>
    <w:rsid w:val="00E14047"/>
    <w:rsid w:val="00E140E0"/>
    <w:rsid w:val="00E140F3"/>
    <w:rsid w:val="00E1415D"/>
    <w:rsid w:val="00E1416C"/>
    <w:rsid w:val="00E142EB"/>
    <w:rsid w:val="00E14382"/>
    <w:rsid w:val="00E1479E"/>
    <w:rsid w:val="00E14C80"/>
    <w:rsid w:val="00E14EAA"/>
    <w:rsid w:val="00E14EC7"/>
    <w:rsid w:val="00E14F85"/>
    <w:rsid w:val="00E14FAA"/>
    <w:rsid w:val="00E15448"/>
    <w:rsid w:val="00E154E3"/>
    <w:rsid w:val="00E15501"/>
    <w:rsid w:val="00E15503"/>
    <w:rsid w:val="00E1571F"/>
    <w:rsid w:val="00E157ED"/>
    <w:rsid w:val="00E15823"/>
    <w:rsid w:val="00E1585E"/>
    <w:rsid w:val="00E1588A"/>
    <w:rsid w:val="00E15B5D"/>
    <w:rsid w:val="00E15C9D"/>
    <w:rsid w:val="00E16208"/>
    <w:rsid w:val="00E162B3"/>
    <w:rsid w:val="00E163C5"/>
    <w:rsid w:val="00E163F7"/>
    <w:rsid w:val="00E16520"/>
    <w:rsid w:val="00E166B9"/>
    <w:rsid w:val="00E168B3"/>
    <w:rsid w:val="00E16AEE"/>
    <w:rsid w:val="00E16C2A"/>
    <w:rsid w:val="00E16DCA"/>
    <w:rsid w:val="00E16EC4"/>
    <w:rsid w:val="00E16FAD"/>
    <w:rsid w:val="00E17024"/>
    <w:rsid w:val="00E1715C"/>
    <w:rsid w:val="00E1719B"/>
    <w:rsid w:val="00E1723C"/>
    <w:rsid w:val="00E17305"/>
    <w:rsid w:val="00E1746B"/>
    <w:rsid w:val="00E17762"/>
    <w:rsid w:val="00E178B7"/>
    <w:rsid w:val="00E17925"/>
    <w:rsid w:val="00E17985"/>
    <w:rsid w:val="00E179C0"/>
    <w:rsid w:val="00E17B21"/>
    <w:rsid w:val="00E17B68"/>
    <w:rsid w:val="00E17C2F"/>
    <w:rsid w:val="00E200F7"/>
    <w:rsid w:val="00E201BA"/>
    <w:rsid w:val="00E203D7"/>
    <w:rsid w:val="00E20572"/>
    <w:rsid w:val="00E2081F"/>
    <w:rsid w:val="00E208EB"/>
    <w:rsid w:val="00E208EC"/>
    <w:rsid w:val="00E20A8C"/>
    <w:rsid w:val="00E20B79"/>
    <w:rsid w:val="00E20BC6"/>
    <w:rsid w:val="00E20CF8"/>
    <w:rsid w:val="00E20D02"/>
    <w:rsid w:val="00E20F48"/>
    <w:rsid w:val="00E21068"/>
    <w:rsid w:val="00E210F5"/>
    <w:rsid w:val="00E21112"/>
    <w:rsid w:val="00E21432"/>
    <w:rsid w:val="00E21519"/>
    <w:rsid w:val="00E2179E"/>
    <w:rsid w:val="00E21C25"/>
    <w:rsid w:val="00E21DD8"/>
    <w:rsid w:val="00E21DF0"/>
    <w:rsid w:val="00E222F2"/>
    <w:rsid w:val="00E2232A"/>
    <w:rsid w:val="00E22446"/>
    <w:rsid w:val="00E22905"/>
    <w:rsid w:val="00E22AF8"/>
    <w:rsid w:val="00E22BD8"/>
    <w:rsid w:val="00E22C18"/>
    <w:rsid w:val="00E22CD4"/>
    <w:rsid w:val="00E22D50"/>
    <w:rsid w:val="00E22E8F"/>
    <w:rsid w:val="00E231D6"/>
    <w:rsid w:val="00E23353"/>
    <w:rsid w:val="00E2348F"/>
    <w:rsid w:val="00E23534"/>
    <w:rsid w:val="00E235CC"/>
    <w:rsid w:val="00E2372D"/>
    <w:rsid w:val="00E23782"/>
    <w:rsid w:val="00E238D5"/>
    <w:rsid w:val="00E238E4"/>
    <w:rsid w:val="00E2391E"/>
    <w:rsid w:val="00E23CD3"/>
    <w:rsid w:val="00E23CFB"/>
    <w:rsid w:val="00E23E69"/>
    <w:rsid w:val="00E23F81"/>
    <w:rsid w:val="00E2429D"/>
    <w:rsid w:val="00E24589"/>
    <w:rsid w:val="00E245E7"/>
    <w:rsid w:val="00E248A7"/>
    <w:rsid w:val="00E248E2"/>
    <w:rsid w:val="00E24B91"/>
    <w:rsid w:val="00E24D3C"/>
    <w:rsid w:val="00E24F64"/>
    <w:rsid w:val="00E2524B"/>
    <w:rsid w:val="00E254BC"/>
    <w:rsid w:val="00E25575"/>
    <w:rsid w:val="00E25644"/>
    <w:rsid w:val="00E25838"/>
    <w:rsid w:val="00E25A9E"/>
    <w:rsid w:val="00E25DA9"/>
    <w:rsid w:val="00E25FB7"/>
    <w:rsid w:val="00E2609B"/>
    <w:rsid w:val="00E26187"/>
    <w:rsid w:val="00E262DB"/>
    <w:rsid w:val="00E264E6"/>
    <w:rsid w:val="00E26642"/>
    <w:rsid w:val="00E266F5"/>
    <w:rsid w:val="00E26719"/>
    <w:rsid w:val="00E26721"/>
    <w:rsid w:val="00E268A2"/>
    <w:rsid w:val="00E2695D"/>
    <w:rsid w:val="00E269B4"/>
    <w:rsid w:val="00E26B6A"/>
    <w:rsid w:val="00E26C4B"/>
    <w:rsid w:val="00E26F28"/>
    <w:rsid w:val="00E27068"/>
    <w:rsid w:val="00E2759C"/>
    <w:rsid w:val="00E276B7"/>
    <w:rsid w:val="00E27700"/>
    <w:rsid w:val="00E277AF"/>
    <w:rsid w:val="00E277E5"/>
    <w:rsid w:val="00E27CC9"/>
    <w:rsid w:val="00E27DC7"/>
    <w:rsid w:val="00E30074"/>
    <w:rsid w:val="00E303E0"/>
    <w:rsid w:val="00E303E9"/>
    <w:rsid w:val="00E303F5"/>
    <w:rsid w:val="00E30434"/>
    <w:rsid w:val="00E30549"/>
    <w:rsid w:val="00E30997"/>
    <w:rsid w:val="00E30C5C"/>
    <w:rsid w:val="00E30EE0"/>
    <w:rsid w:val="00E3102E"/>
    <w:rsid w:val="00E310B2"/>
    <w:rsid w:val="00E31238"/>
    <w:rsid w:val="00E312C8"/>
    <w:rsid w:val="00E3136F"/>
    <w:rsid w:val="00E31446"/>
    <w:rsid w:val="00E315C6"/>
    <w:rsid w:val="00E31C07"/>
    <w:rsid w:val="00E31C20"/>
    <w:rsid w:val="00E31E03"/>
    <w:rsid w:val="00E31EE4"/>
    <w:rsid w:val="00E32056"/>
    <w:rsid w:val="00E320BF"/>
    <w:rsid w:val="00E32258"/>
    <w:rsid w:val="00E3227B"/>
    <w:rsid w:val="00E325F7"/>
    <w:rsid w:val="00E326D2"/>
    <w:rsid w:val="00E326FE"/>
    <w:rsid w:val="00E32AFE"/>
    <w:rsid w:val="00E32B16"/>
    <w:rsid w:val="00E32BBE"/>
    <w:rsid w:val="00E32C28"/>
    <w:rsid w:val="00E33074"/>
    <w:rsid w:val="00E333D8"/>
    <w:rsid w:val="00E3353A"/>
    <w:rsid w:val="00E336CB"/>
    <w:rsid w:val="00E339C6"/>
    <w:rsid w:val="00E33F8D"/>
    <w:rsid w:val="00E340DE"/>
    <w:rsid w:val="00E345A6"/>
    <w:rsid w:val="00E34614"/>
    <w:rsid w:val="00E347B4"/>
    <w:rsid w:val="00E347F4"/>
    <w:rsid w:val="00E347FB"/>
    <w:rsid w:val="00E34836"/>
    <w:rsid w:val="00E34848"/>
    <w:rsid w:val="00E349BA"/>
    <w:rsid w:val="00E349BC"/>
    <w:rsid w:val="00E34C0B"/>
    <w:rsid w:val="00E34E9A"/>
    <w:rsid w:val="00E34F93"/>
    <w:rsid w:val="00E34FFA"/>
    <w:rsid w:val="00E35314"/>
    <w:rsid w:val="00E3574C"/>
    <w:rsid w:val="00E35B0B"/>
    <w:rsid w:val="00E35C41"/>
    <w:rsid w:val="00E35EAB"/>
    <w:rsid w:val="00E35FEB"/>
    <w:rsid w:val="00E360AD"/>
    <w:rsid w:val="00E363A6"/>
    <w:rsid w:val="00E36809"/>
    <w:rsid w:val="00E36822"/>
    <w:rsid w:val="00E36991"/>
    <w:rsid w:val="00E36BE9"/>
    <w:rsid w:val="00E36DAD"/>
    <w:rsid w:val="00E36FD9"/>
    <w:rsid w:val="00E37189"/>
    <w:rsid w:val="00E37317"/>
    <w:rsid w:val="00E37346"/>
    <w:rsid w:val="00E3773E"/>
    <w:rsid w:val="00E37B4F"/>
    <w:rsid w:val="00E37CB8"/>
    <w:rsid w:val="00E37F9D"/>
    <w:rsid w:val="00E40074"/>
    <w:rsid w:val="00E4010B"/>
    <w:rsid w:val="00E401FD"/>
    <w:rsid w:val="00E40377"/>
    <w:rsid w:val="00E404A6"/>
    <w:rsid w:val="00E40588"/>
    <w:rsid w:val="00E40AA9"/>
    <w:rsid w:val="00E40B1C"/>
    <w:rsid w:val="00E40CAC"/>
    <w:rsid w:val="00E40D47"/>
    <w:rsid w:val="00E40DF6"/>
    <w:rsid w:val="00E40E0C"/>
    <w:rsid w:val="00E40E42"/>
    <w:rsid w:val="00E410B3"/>
    <w:rsid w:val="00E41507"/>
    <w:rsid w:val="00E41553"/>
    <w:rsid w:val="00E41725"/>
    <w:rsid w:val="00E41903"/>
    <w:rsid w:val="00E41967"/>
    <w:rsid w:val="00E41BC7"/>
    <w:rsid w:val="00E41E36"/>
    <w:rsid w:val="00E42094"/>
    <w:rsid w:val="00E42138"/>
    <w:rsid w:val="00E42165"/>
    <w:rsid w:val="00E422E7"/>
    <w:rsid w:val="00E4244C"/>
    <w:rsid w:val="00E42488"/>
    <w:rsid w:val="00E4248F"/>
    <w:rsid w:val="00E42600"/>
    <w:rsid w:val="00E4290E"/>
    <w:rsid w:val="00E429D8"/>
    <w:rsid w:val="00E42A2D"/>
    <w:rsid w:val="00E42B4F"/>
    <w:rsid w:val="00E42BEA"/>
    <w:rsid w:val="00E42C7B"/>
    <w:rsid w:val="00E42DC9"/>
    <w:rsid w:val="00E42DF7"/>
    <w:rsid w:val="00E42EAB"/>
    <w:rsid w:val="00E43003"/>
    <w:rsid w:val="00E430B9"/>
    <w:rsid w:val="00E4327D"/>
    <w:rsid w:val="00E43356"/>
    <w:rsid w:val="00E43485"/>
    <w:rsid w:val="00E434DA"/>
    <w:rsid w:val="00E43534"/>
    <w:rsid w:val="00E436F0"/>
    <w:rsid w:val="00E43728"/>
    <w:rsid w:val="00E438FC"/>
    <w:rsid w:val="00E43ACA"/>
    <w:rsid w:val="00E43AF4"/>
    <w:rsid w:val="00E43E42"/>
    <w:rsid w:val="00E4403D"/>
    <w:rsid w:val="00E44228"/>
    <w:rsid w:val="00E44313"/>
    <w:rsid w:val="00E4445E"/>
    <w:rsid w:val="00E44465"/>
    <w:rsid w:val="00E4461A"/>
    <w:rsid w:val="00E4481E"/>
    <w:rsid w:val="00E44A61"/>
    <w:rsid w:val="00E44ABC"/>
    <w:rsid w:val="00E44BAE"/>
    <w:rsid w:val="00E4520E"/>
    <w:rsid w:val="00E4550B"/>
    <w:rsid w:val="00E45690"/>
    <w:rsid w:val="00E4581C"/>
    <w:rsid w:val="00E4596A"/>
    <w:rsid w:val="00E45A12"/>
    <w:rsid w:val="00E45B2D"/>
    <w:rsid w:val="00E45EAE"/>
    <w:rsid w:val="00E45F9F"/>
    <w:rsid w:val="00E46071"/>
    <w:rsid w:val="00E4613B"/>
    <w:rsid w:val="00E461C3"/>
    <w:rsid w:val="00E4637A"/>
    <w:rsid w:val="00E463EF"/>
    <w:rsid w:val="00E46503"/>
    <w:rsid w:val="00E46572"/>
    <w:rsid w:val="00E46733"/>
    <w:rsid w:val="00E467BC"/>
    <w:rsid w:val="00E46A10"/>
    <w:rsid w:val="00E46C05"/>
    <w:rsid w:val="00E4716C"/>
    <w:rsid w:val="00E471A7"/>
    <w:rsid w:val="00E4760F"/>
    <w:rsid w:val="00E47791"/>
    <w:rsid w:val="00E47794"/>
    <w:rsid w:val="00E47906"/>
    <w:rsid w:val="00E47932"/>
    <w:rsid w:val="00E47B44"/>
    <w:rsid w:val="00E47C93"/>
    <w:rsid w:val="00E47CC1"/>
    <w:rsid w:val="00E47D1A"/>
    <w:rsid w:val="00E47F26"/>
    <w:rsid w:val="00E47FE9"/>
    <w:rsid w:val="00E5020F"/>
    <w:rsid w:val="00E5024B"/>
    <w:rsid w:val="00E50289"/>
    <w:rsid w:val="00E502D1"/>
    <w:rsid w:val="00E50346"/>
    <w:rsid w:val="00E503DB"/>
    <w:rsid w:val="00E50418"/>
    <w:rsid w:val="00E50549"/>
    <w:rsid w:val="00E5094D"/>
    <w:rsid w:val="00E50A0B"/>
    <w:rsid w:val="00E50A57"/>
    <w:rsid w:val="00E50A89"/>
    <w:rsid w:val="00E50CF5"/>
    <w:rsid w:val="00E50D04"/>
    <w:rsid w:val="00E50F25"/>
    <w:rsid w:val="00E5101B"/>
    <w:rsid w:val="00E51136"/>
    <w:rsid w:val="00E5119D"/>
    <w:rsid w:val="00E5128C"/>
    <w:rsid w:val="00E51402"/>
    <w:rsid w:val="00E5143D"/>
    <w:rsid w:val="00E514F9"/>
    <w:rsid w:val="00E517B8"/>
    <w:rsid w:val="00E51800"/>
    <w:rsid w:val="00E51D3E"/>
    <w:rsid w:val="00E51D9F"/>
    <w:rsid w:val="00E51DD2"/>
    <w:rsid w:val="00E51E53"/>
    <w:rsid w:val="00E51FE7"/>
    <w:rsid w:val="00E523AA"/>
    <w:rsid w:val="00E52491"/>
    <w:rsid w:val="00E524FF"/>
    <w:rsid w:val="00E5255B"/>
    <w:rsid w:val="00E52605"/>
    <w:rsid w:val="00E527E1"/>
    <w:rsid w:val="00E528D7"/>
    <w:rsid w:val="00E52C15"/>
    <w:rsid w:val="00E52C1A"/>
    <w:rsid w:val="00E52DB5"/>
    <w:rsid w:val="00E53426"/>
    <w:rsid w:val="00E53452"/>
    <w:rsid w:val="00E5349D"/>
    <w:rsid w:val="00E537EE"/>
    <w:rsid w:val="00E53A17"/>
    <w:rsid w:val="00E53AD0"/>
    <w:rsid w:val="00E53B7A"/>
    <w:rsid w:val="00E53FB1"/>
    <w:rsid w:val="00E53FC3"/>
    <w:rsid w:val="00E5401E"/>
    <w:rsid w:val="00E544EC"/>
    <w:rsid w:val="00E54694"/>
    <w:rsid w:val="00E548CD"/>
    <w:rsid w:val="00E549BC"/>
    <w:rsid w:val="00E54C21"/>
    <w:rsid w:val="00E54C90"/>
    <w:rsid w:val="00E54F18"/>
    <w:rsid w:val="00E550F3"/>
    <w:rsid w:val="00E551C9"/>
    <w:rsid w:val="00E551CE"/>
    <w:rsid w:val="00E552F9"/>
    <w:rsid w:val="00E55310"/>
    <w:rsid w:val="00E5568B"/>
    <w:rsid w:val="00E5581B"/>
    <w:rsid w:val="00E55EA3"/>
    <w:rsid w:val="00E56270"/>
    <w:rsid w:val="00E56287"/>
    <w:rsid w:val="00E5628F"/>
    <w:rsid w:val="00E563BA"/>
    <w:rsid w:val="00E563BD"/>
    <w:rsid w:val="00E56515"/>
    <w:rsid w:val="00E56985"/>
    <w:rsid w:val="00E56AA3"/>
    <w:rsid w:val="00E56CB9"/>
    <w:rsid w:val="00E56E59"/>
    <w:rsid w:val="00E570B3"/>
    <w:rsid w:val="00E57150"/>
    <w:rsid w:val="00E57187"/>
    <w:rsid w:val="00E57188"/>
    <w:rsid w:val="00E571B1"/>
    <w:rsid w:val="00E57308"/>
    <w:rsid w:val="00E576D4"/>
    <w:rsid w:val="00E578E3"/>
    <w:rsid w:val="00E57D31"/>
    <w:rsid w:val="00E57D6A"/>
    <w:rsid w:val="00E57E65"/>
    <w:rsid w:val="00E600E0"/>
    <w:rsid w:val="00E60294"/>
    <w:rsid w:val="00E603D0"/>
    <w:rsid w:val="00E603E8"/>
    <w:rsid w:val="00E6041A"/>
    <w:rsid w:val="00E605D4"/>
    <w:rsid w:val="00E60A66"/>
    <w:rsid w:val="00E60C15"/>
    <w:rsid w:val="00E60DED"/>
    <w:rsid w:val="00E61427"/>
    <w:rsid w:val="00E61460"/>
    <w:rsid w:val="00E6148D"/>
    <w:rsid w:val="00E614B6"/>
    <w:rsid w:val="00E615C8"/>
    <w:rsid w:val="00E61D84"/>
    <w:rsid w:val="00E61E52"/>
    <w:rsid w:val="00E61E92"/>
    <w:rsid w:val="00E622AC"/>
    <w:rsid w:val="00E62414"/>
    <w:rsid w:val="00E624CA"/>
    <w:rsid w:val="00E626FA"/>
    <w:rsid w:val="00E628C8"/>
    <w:rsid w:val="00E628ED"/>
    <w:rsid w:val="00E6291A"/>
    <w:rsid w:val="00E6293F"/>
    <w:rsid w:val="00E62A5C"/>
    <w:rsid w:val="00E62A7D"/>
    <w:rsid w:val="00E62AF1"/>
    <w:rsid w:val="00E62B13"/>
    <w:rsid w:val="00E62B57"/>
    <w:rsid w:val="00E62DAA"/>
    <w:rsid w:val="00E63001"/>
    <w:rsid w:val="00E630A2"/>
    <w:rsid w:val="00E63143"/>
    <w:rsid w:val="00E635D2"/>
    <w:rsid w:val="00E63892"/>
    <w:rsid w:val="00E638B3"/>
    <w:rsid w:val="00E63959"/>
    <w:rsid w:val="00E63CCF"/>
    <w:rsid w:val="00E63D86"/>
    <w:rsid w:val="00E63DE9"/>
    <w:rsid w:val="00E63DF3"/>
    <w:rsid w:val="00E63E16"/>
    <w:rsid w:val="00E63F9A"/>
    <w:rsid w:val="00E63FD2"/>
    <w:rsid w:val="00E64051"/>
    <w:rsid w:val="00E641C4"/>
    <w:rsid w:val="00E64336"/>
    <w:rsid w:val="00E64435"/>
    <w:rsid w:val="00E64709"/>
    <w:rsid w:val="00E64763"/>
    <w:rsid w:val="00E647A4"/>
    <w:rsid w:val="00E648EB"/>
    <w:rsid w:val="00E64911"/>
    <w:rsid w:val="00E64A16"/>
    <w:rsid w:val="00E64D9E"/>
    <w:rsid w:val="00E64E38"/>
    <w:rsid w:val="00E65386"/>
    <w:rsid w:val="00E653DC"/>
    <w:rsid w:val="00E65718"/>
    <w:rsid w:val="00E65780"/>
    <w:rsid w:val="00E6583B"/>
    <w:rsid w:val="00E658DD"/>
    <w:rsid w:val="00E65A5D"/>
    <w:rsid w:val="00E65BC5"/>
    <w:rsid w:val="00E65FFF"/>
    <w:rsid w:val="00E66256"/>
    <w:rsid w:val="00E662E1"/>
    <w:rsid w:val="00E66525"/>
    <w:rsid w:val="00E66807"/>
    <w:rsid w:val="00E66955"/>
    <w:rsid w:val="00E66CEE"/>
    <w:rsid w:val="00E66E23"/>
    <w:rsid w:val="00E66F15"/>
    <w:rsid w:val="00E6702B"/>
    <w:rsid w:val="00E670EA"/>
    <w:rsid w:val="00E670F0"/>
    <w:rsid w:val="00E67266"/>
    <w:rsid w:val="00E6727C"/>
    <w:rsid w:val="00E67349"/>
    <w:rsid w:val="00E676D7"/>
    <w:rsid w:val="00E6785B"/>
    <w:rsid w:val="00E67B3D"/>
    <w:rsid w:val="00E67BD1"/>
    <w:rsid w:val="00E67C4C"/>
    <w:rsid w:val="00E67D9E"/>
    <w:rsid w:val="00E67E52"/>
    <w:rsid w:val="00E67E8A"/>
    <w:rsid w:val="00E70352"/>
    <w:rsid w:val="00E703E6"/>
    <w:rsid w:val="00E70534"/>
    <w:rsid w:val="00E708B7"/>
    <w:rsid w:val="00E70AA4"/>
    <w:rsid w:val="00E70CAC"/>
    <w:rsid w:val="00E70F46"/>
    <w:rsid w:val="00E710F5"/>
    <w:rsid w:val="00E71113"/>
    <w:rsid w:val="00E71240"/>
    <w:rsid w:val="00E712F7"/>
    <w:rsid w:val="00E71745"/>
    <w:rsid w:val="00E71965"/>
    <w:rsid w:val="00E719E8"/>
    <w:rsid w:val="00E71A4E"/>
    <w:rsid w:val="00E71BD9"/>
    <w:rsid w:val="00E71C15"/>
    <w:rsid w:val="00E71E4B"/>
    <w:rsid w:val="00E71EFA"/>
    <w:rsid w:val="00E720F2"/>
    <w:rsid w:val="00E721B1"/>
    <w:rsid w:val="00E72228"/>
    <w:rsid w:val="00E72557"/>
    <w:rsid w:val="00E725A4"/>
    <w:rsid w:val="00E728D2"/>
    <w:rsid w:val="00E72B03"/>
    <w:rsid w:val="00E72B0B"/>
    <w:rsid w:val="00E72D2B"/>
    <w:rsid w:val="00E732E1"/>
    <w:rsid w:val="00E734FA"/>
    <w:rsid w:val="00E73672"/>
    <w:rsid w:val="00E73885"/>
    <w:rsid w:val="00E73A59"/>
    <w:rsid w:val="00E73B07"/>
    <w:rsid w:val="00E73B5D"/>
    <w:rsid w:val="00E73B6F"/>
    <w:rsid w:val="00E73D2A"/>
    <w:rsid w:val="00E73F69"/>
    <w:rsid w:val="00E73F8F"/>
    <w:rsid w:val="00E74139"/>
    <w:rsid w:val="00E7435E"/>
    <w:rsid w:val="00E7446C"/>
    <w:rsid w:val="00E74563"/>
    <w:rsid w:val="00E745B0"/>
    <w:rsid w:val="00E746F5"/>
    <w:rsid w:val="00E74774"/>
    <w:rsid w:val="00E7480B"/>
    <w:rsid w:val="00E74884"/>
    <w:rsid w:val="00E74934"/>
    <w:rsid w:val="00E74F20"/>
    <w:rsid w:val="00E74F94"/>
    <w:rsid w:val="00E7520A"/>
    <w:rsid w:val="00E7534E"/>
    <w:rsid w:val="00E75609"/>
    <w:rsid w:val="00E7573A"/>
    <w:rsid w:val="00E75A61"/>
    <w:rsid w:val="00E75B8A"/>
    <w:rsid w:val="00E75C7E"/>
    <w:rsid w:val="00E762AC"/>
    <w:rsid w:val="00E765F6"/>
    <w:rsid w:val="00E765FA"/>
    <w:rsid w:val="00E76DCD"/>
    <w:rsid w:val="00E76F5E"/>
    <w:rsid w:val="00E77059"/>
    <w:rsid w:val="00E77063"/>
    <w:rsid w:val="00E7726D"/>
    <w:rsid w:val="00E7742A"/>
    <w:rsid w:val="00E777FA"/>
    <w:rsid w:val="00E778DB"/>
    <w:rsid w:val="00E77C80"/>
    <w:rsid w:val="00E77CA3"/>
    <w:rsid w:val="00E77DAD"/>
    <w:rsid w:val="00E77EF0"/>
    <w:rsid w:val="00E77F94"/>
    <w:rsid w:val="00E8027D"/>
    <w:rsid w:val="00E80429"/>
    <w:rsid w:val="00E8043E"/>
    <w:rsid w:val="00E80458"/>
    <w:rsid w:val="00E80531"/>
    <w:rsid w:val="00E80746"/>
    <w:rsid w:val="00E80A81"/>
    <w:rsid w:val="00E80C01"/>
    <w:rsid w:val="00E80E6F"/>
    <w:rsid w:val="00E810CC"/>
    <w:rsid w:val="00E8123E"/>
    <w:rsid w:val="00E8137C"/>
    <w:rsid w:val="00E81419"/>
    <w:rsid w:val="00E8161E"/>
    <w:rsid w:val="00E81826"/>
    <w:rsid w:val="00E81A68"/>
    <w:rsid w:val="00E81BE6"/>
    <w:rsid w:val="00E81CB3"/>
    <w:rsid w:val="00E81D2F"/>
    <w:rsid w:val="00E82037"/>
    <w:rsid w:val="00E82075"/>
    <w:rsid w:val="00E82136"/>
    <w:rsid w:val="00E82259"/>
    <w:rsid w:val="00E82291"/>
    <w:rsid w:val="00E823D2"/>
    <w:rsid w:val="00E82407"/>
    <w:rsid w:val="00E824F2"/>
    <w:rsid w:val="00E8285D"/>
    <w:rsid w:val="00E828CE"/>
    <w:rsid w:val="00E82AE5"/>
    <w:rsid w:val="00E83088"/>
    <w:rsid w:val="00E83292"/>
    <w:rsid w:val="00E8329C"/>
    <w:rsid w:val="00E832C8"/>
    <w:rsid w:val="00E83458"/>
    <w:rsid w:val="00E837AC"/>
    <w:rsid w:val="00E83A16"/>
    <w:rsid w:val="00E83B6B"/>
    <w:rsid w:val="00E83BCA"/>
    <w:rsid w:val="00E8404E"/>
    <w:rsid w:val="00E842BD"/>
    <w:rsid w:val="00E8473B"/>
    <w:rsid w:val="00E849A9"/>
    <w:rsid w:val="00E84A0D"/>
    <w:rsid w:val="00E8507F"/>
    <w:rsid w:val="00E850C3"/>
    <w:rsid w:val="00E852A8"/>
    <w:rsid w:val="00E856AC"/>
    <w:rsid w:val="00E8581C"/>
    <w:rsid w:val="00E85A8E"/>
    <w:rsid w:val="00E85B32"/>
    <w:rsid w:val="00E85B99"/>
    <w:rsid w:val="00E86108"/>
    <w:rsid w:val="00E861C8"/>
    <w:rsid w:val="00E8635F"/>
    <w:rsid w:val="00E86709"/>
    <w:rsid w:val="00E86C3D"/>
    <w:rsid w:val="00E86F9B"/>
    <w:rsid w:val="00E8724B"/>
    <w:rsid w:val="00E87776"/>
    <w:rsid w:val="00E878FA"/>
    <w:rsid w:val="00E87D4B"/>
    <w:rsid w:val="00E87D6C"/>
    <w:rsid w:val="00E87E5E"/>
    <w:rsid w:val="00E9008D"/>
    <w:rsid w:val="00E90179"/>
    <w:rsid w:val="00E901A7"/>
    <w:rsid w:val="00E90587"/>
    <w:rsid w:val="00E9062F"/>
    <w:rsid w:val="00E907DE"/>
    <w:rsid w:val="00E907E4"/>
    <w:rsid w:val="00E907EE"/>
    <w:rsid w:val="00E90836"/>
    <w:rsid w:val="00E90AC6"/>
    <w:rsid w:val="00E90BBE"/>
    <w:rsid w:val="00E90BEB"/>
    <w:rsid w:val="00E90D5D"/>
    <w:rsid w:val="00E90DAB"/>
    <w:rsid w:val="00E90EDA"/>
    <w:rsid w:val="00E90EEE"/>
    <w:rsid w:val="00E90F11"/>
    <w:rsid w:val="00E90F71"/>
    <w:rsid w:val="00E91089"/>
    <w:rsid w:val="00E9122E"/>
    <w:rsid w:val="00E915A2"/>
    <w:rsid w:val="00E917C3"/>
    <w:rsid w:val="00E9192E"/>
    <w:rsid w:val="00E91A16"/>
    <w:rsid w:val="00E91BE0"/>
    <w:rsid w:val="00E91D4C"/>
    <w:rsid w:val="00E92220"/>
    <w:rsid w:val="00E9227A"/>
    <w:rsid w:val="00E9248F"/>
    <w:rsid w:val="00E9251D"/>
    <w:rsid w:val="00E92837"/>
    <w:rsid w:val="00E9291E"/>
    <w:rsid w:val="00E92F26"/>
    <w:rsid w:val="00E92F83"/>
    <w:rsid w:val="00E92FA2"/>
    <w:rsid w:val="00E931E7"/>
    <w:rsid w:val="00E933C9"/>
    <w:rsid w:val="00E93676"/>
    <w:rsid w:val="00E9372C"/>
    <w:rsid w:val="00E93811"/>
    <w:rsid w:val="00E938BB"/>
    <w:rsid w:val="00E93C24"/>
    <w:rsid w:val="00E93C99"/>
    <w:rsid w:val="00E93E74"/>
    <w:rsid w:val="00E93FF3"/>
    <w:rsid w:val="00E94428"/>
    <w:rsid w:val="00E944DE"/>
    <w:rsid w:val="00E94664"/>
    <w:rsid w:val="00E94714"/>
    <w:rsid w:val="00E949C9"/>
    <w:rsid w:val="00E949FB"/>
    <w:rsid w:val="00E94BF5"/>
    <w:rsid w:val="00E94C2A"/>
    <w:rsid w:val="00E94C97"/>
    <w:rsid w:val="00E94CB2"/>
    <w:rsid w:val="00E94D90"/>
    <w:rsid w:val="00E94E7C"/>
    <w:rsid w:val="00E94F58"/>
    <w:rsid w:val="00E95080"/>
    <w:rsid w:val="00E95431"/>
    <w:rsid w:val="00E955D4"/>
    <w:rsid w:val="00E95639"/>
    <w:rsid w:val="00E956C3"/>
    <w:rsid w:val="00E9574B"/>
    <w:rsid w:val="00E958FB"/>
    <w:rsid w:val="00E959D0"/>
    <w:rsid w:val="00E95A6D"/>
    <w:rsid w:val="00E95C74"/>
    <w:rsid w:val="00E963A9"/>
    <w:rsid w:val="00E964A7"/>
    <w:rsid w:val="00E96558"/>
    <w:rsid w:val="00E96599"/>
    <w:rsid w:val="00E96685"/>
    <w:rsid w:val="00E966BC"/>
    <w:rsid w:val="00E9675B"/>
    <w:rsid w:val="00E96A75"/>
    <w:rsid w:val="00E96B49"/>
    <w:rsid w:val="00E96CE7"/>
    <w:rsid w:val="00E96CFE"/>
    <w:rsid w:val="00E96D48"/>
    <w:rsid w:val="00E96E3D"/>
    <w:rsid w:val="00E96E3F"/>
    <w:rsid w:val="00E96EF6"/>
    <w:rsid w:val="00E96FC0"/>
    <w:rsid w:val="00E96FD4"/>
    <w:rsid w:val="00E9700E"/>
    <w:rsid w:val="00E973D5"/>
    <w:rsid w:val="00E973DB"/>
    <w:rsid w:val="00E97687"/>
    <w:rsid w:val="00E976AD"/>
    <w:rsid w:val="00E977E2"/>
    <w:rsid w:val="00E97C0A"/>
    <w:rsid w:val="00E97C97"/>
    <w:rsid w:val="00E97CED"/>
    <w:rsid w:val="00E97DDD"/>
    <w:rsid w:val="00EA018B"/>
    <w:rsid w:val="00EA031A"/>
    <w:rsid w:val="00EA04F8"/>
    <w:rsid w:val="00EA066A"/>
    <w:rsid w:val="00EA0986"/>
    <w:rsid w:val="00EA098F"/>
    <w:rsid w:val="00EA0A0B"/>
    <w:rsid w:val="00EA0AD1"/>
    <w:rsid w:val="00EA0CEB"/>
    <w:rsid w:val="00EA0DAA"/>
    <w:rsid w:val="00EA0E35"/>
    <w:rsid w:val="00EA0E91"/>
    <w:rsid w:val="00EA0FD7"/>
    <w:rsid w:val="00EA1269"/>
    <w:rsid w:val="00EA12FD"/>
    <w:rsid w:val="00EA13D0"/>
    <w:rsid w:val="00EA15D6"/>
    <w:rsid w:val="00EA1650"/>
    <w:rsid w:val="00EA16FE"/>
    <w:rsid w:val="00EA178D"/>
    <w:rsid w:val="00EA1827"/>
    <w:rsid w:val="00EA1846"/>
    <w:rsid w:val="00EA1B13"/>
    <w:rsid w:val="00EA1B20"/>
    <w:rsid w:val="00EA1B93"/>
    <w:rsid w:val="00EA1D9C"/>
    <w:rsid w:val="00EA1EEC"/>
    <w:rsid w:val="00EA20CA"/>
    <w:rsid w:val="00EA230B"/>
    <w:rsid w:val="00EA2465"/>
    <w:rsid w:val="00EA2C89"/>
    <w:rsid w:val="00EA2D0F"/>
    <w:rsid w:val="00EA2D17"/>
    <w:rsid w:val="00EA2D1A"/>
    <w:rsid w:val="00EA2E4F"/>
    <w:rsid w:val="00EA30AB"/>
    <w:rsid w:val="00EA30D5"/>
    <w:rsid w:val="00EA331C"/>
    <w:rsid w:val="00EA354E"/>
    <w:rsid w:val="00EA366D"/>
    <w:rsid w:val="00EA3B15"/>
    <w:rsid w:val="00EA3D18"/>
    <w:rsid w:val="00EA3FE7"/>
    <w:rsid w:val="00EA4187"/>
    <w:rsid w:val="00EA433D"/>
    <w:rsid w:val="00EA441D"/>
    <w:rsid w:val="00EA443E"/>
    <w:rsid w:val="00EA4637"/>
    <w:rsid w:val="00EA480A"/>
    <w:rsid w:val="00EA4857"/>
    <w:rsid w:val="00EA49D4"/>
    <w:rsid w:val="00EA4FAD"/>
    <w:rsid w:val="00EA539A"/>
    <w:rsid w:val="00EA58F7"/>
    <w:rsid w:val="00EA5B01"/>
    <w:rsid w:val="00EA5CAC"/>
    <w:rsid w:val="00EA5D0D"/>
    <w:rsid w:val="00EA5D9E"/>
    <w:rsid w:val="00EA5EF0"/>
    <w:rsid w:val="00EA5F5E"/>
    <w:rsid w:val="00EA5F87"/>
    <w:rsid w:val="00EA60F7"/>
    <w:rsid w:val="00EA6340"/>
    <w:rsid w:val="00EA6603"/>
    <w:rsid w:val="00EA6699"/>
    <w:rsid w:val="00EA6749"/>
    <w:rsid w:val="00EA6874"/>
    <w:rsid w:val="00EA692F"/>
    <w:rsid w:val="00EA69C3"/>
    <w:rsid w:val="00EA6B6A"/>
    <w:rsid w:val="00EA6C27"/>
    <w:rsid w:val="00EA6C7C"/>
    <w:rsid w:val="00EA6D17"/>
    <w:rsid w:val="00EA6D7C"/>
    <w:rsid w:val="00EA6DE8"/>
    <w:rsid w:val="00EA6E39"/>
    <w:rsid w:val="00EA6FBA"/>
    <w:rsid w:val="00EA6FDE"/>
    <w:rsid w:val="00EA71EE"/>
    <w:rsid w:val="00EA71FA"/>
    <w:rsid w:val="00EA71FD"/>
    <w:rsid w:val="00EA7235"/>
    <w:rsid w:val="00EA72FF"/>
    <w:rsid w:val="00EA7356"/>
    <w:rsid w:val="00EA74C7"/>
    <w:rsid w:val="00EA7785"/>
    <w:rsid w:val="00EA79A6"/>
    <w:rsid w:val="00EA7A93"/>
    <w:rsid w:val="00EA7F66"/>
    <w:rsid w:val="00EA7FC7"/>
    <w:rsid w:val="00EA7FE5"/>
    <w:rsid w:val="00EA7FF4"/>
    <w:rsid w:val="00EB0021"/>
    <w:rsid w:val="00EB015C"/>
    <w:rsid w:val="00EB0304"/>
    <w:rsid w:val="00EB0FD4"/>
    <w:rsid w:val="00EB1121"/>
    <w:rsid w:val="00EB114C"/>
    <w:rsid w:val="00EB118A"/>
    <w:rsid w:val="00EB11D3"/>
    <w:rsid w:val="00EB1417"/>
    <w:rsid w:val="00EB1471"/>
    <w:rsid w:val="00EB1491"/>
    <w:rsid w:val="00EB14C7"/>
    <w:rsid w:val="00EB14CA"/>
    <w:rsid w:val="00EB1679"/>
    <w:rsid w:val="00EB16F7"/>
    <w:rsid w:val="00EB17D4"/>
    <w:rsid w:val="00EB1BC9"/>
    <w:rsid w:val="00EB2013"/>
    <w:rsid w:val="00EB22C0"/>
    <w:rsid w:val="00EB22D6"/>
    <w:rsid w:val="00EB23B1"/>
    <w:rsid w:val="00EB248B"/>
    <w:rsid w:val="00EB24FC"/>
    <w:rsid w:val="00EB25D5"/>
    <w:rsid w:val="00EB2817"/>
    <w:rsid w:val="00EB2A08"/>
    <w:rsid w:val="00EB2BD7"/>
    <w:rsid w:val="00EB2D44"/>
    <w:rsid w:val="00EB2EBD"/>
    <w:rsid w:val="00EB2F1D"/>
    <w:rsid w:val="00EB30F3"/>
    <w:rsid w:val="00EB3312"/>
    <w:rsid w:val="00EB33F8"/>
    <w:rsid w:val="00EB35F3"/>
    <w:rsid w:val="00EB369D"/>
    <w:rsid w:val="00EB3796"/>
    <w:rsid w:val="00EB3839"/>
    <w:rsid w:val="00EB439C"/>
    <w:rsid w:val="00EB44DD"/>
    <w:rsid w:val="00EB44F3"/>
    <w:rsid w:val="00EB46DE"/>
    <w:rsid w:val="00EB471B"/>
    <w:rsid w:val="00EB4800"/>
    <w:rsid w:val="00EB4BE1"/>
    <w:rsid w:val="00EB4EEA"/>
    <w:rsid w:val="00EB50DF"/>
    <w:rsid w:val="00EB565F"/>
    <w:rsid w:val="00EB578C"/>
    <w:rsid w:val="00EB59C3"/>
    <w:rsid w:val="00EB5BB5"/>
    <w:rsid w:val="00EB5C2C"/>
    <w:rsid w:val="00EB5D30"/>
    <w:rsid w:val="00EB5DC4"/>
    <w:rsid w:val="00EB5EDE"/>
    <w:rsid w:val="00EB5FBA"/>
    <w:rsid w:val="00EB600D"/>
    <w:rsid w:val="00EB6128"/>
    <w:rsid w:val="00EB6454"/>
    <w:rsid w:val="00EB64DE"/>
    <w:rsid w:val="00EB66AE"/>
    <w:rsid w:val="00EB6703"/>
    <w:rsid w:val="00EB6779"/>
    <w:rsid w:val="00EB67B9"/>
    <w:rsid w:val="00EB6F42"/>
    <w:rsid w:val="00EB715F"/>
    <w:rsid w:val="00EB7214"/>
    <w:rsid w:val="00EB724B"/>
    <w:rsid w:val="00EB73C0"/>
    <w:rsid w:val="00EB7835"/>
    <w:rsid w:val="00EB7ABA"/>
    <w:rsid w:val="00EC00BD"/>
    <w:rsid w:val="00EC06C2"/>
    <w:rsid w:val="00EC07CD"/>
    <w:rsid w:val="00EC08F4"/>
    <w:rsid w:val="00EC09FB"/>
    <w:rsid w:val="00EC0BF5"/>
    <w:rsid w:val="00EC0FE0"/>
    <w:rsid w:val="00EC1027"/>
    <w:rsid w:val="00EC13B9"/>
    <w:rsid w:val="00EC15EF"/>
    <w:rsid w:val="00EC1660"/>
    <w:rsid w:val="00EC16C5"/>
    <w:rsid w:val="00EC1757"/>
    <w:rsid w:val="00EC1B4F"/>
    <w:rsid w:val="00EC1CA2"/>
    <w:rsid w:val="00EC1FDE"/>
    <w:rsid w:val="00EC1FEE"/>
    <w:rsid w:val="00EC2003"/>
    <w:rsid w:val="00EC202B"/>
    <w:rsid w:val="00EC2053"/>
    <w:rsid w:val="00EC2259"/>
    <w:rsid w:val="00EC2552"/>
    <w:rsid w:val="00EC276F"/>
    <w:rsid w:val="00EC292F"/>
    <w:rsid w:val="00EC2B34"/>
    <w:rsid w:val="00EC2C3D"/>
    <w:rsid w:val="00EC2D12"/>
    <w:rsid w:val="00EC2E06"/>
    <w:rsid w:val="00EC2E94"/>
    <w:rsid w:val="00EC323A"/>
    <w:rsid w:val="00EC3295"/>
    <w:rsid w:val="00EC33FB"/>
    <w:rsid w:val="00EC35C2"/>
    <w:rsid w:val="00EC366D"/>
    <w:rsid w:val="00EC38EB"/>
    <w:rsid w:val="00EC399D"/>
    <w:rsid w:val="00EC3A30"/>
    <w:rsid w:val="00EC3AA5"/>
    <w:rsid w:val="00EC3AA6"/>
    <w:rsid w:val="00EC3D7E"/>
    <w:rsid w:val="00EC3DBD"/>
    <w:rsid w:val="00EC3DCC"/>
    <w:rsid w:val="00EC3ED7"/>
    <w:rsid w:val="00EC3F9C"/>
    <w:rsid w:val="00EC455F"/>
    <w:rsid w:val="00EC4575"/>
    <w:rsid w:val="00EC474A"/>
    <w:rsid w:val="00EC47B1"/>
    <w:rsid w:val="00EC4968"/>
    <w:rsid w:val="00EC4988"/>
    <w:rsid w:val="00EC4998"/>
    <w:rsid w:val="00EC4C54"/>
    <w:rsid w:val="00EC4C5A"/>
    <w:rsid w:val="00EC4CE4"/>
    <w:rsid w:val="00EC4D6C"/>
    <w:rsid w:val="00EC4EF4"/>
    <w:rsid w:val="00EC509C"/>
    <w:rsid w:val="00EC50D3"/>
    <w:rsid w:val="00EC5167"/>
    <w:rsid w:val="00EC5278"/>
    <w:rsid w:val="00EC5407"/>
    <w:rsid w:val="00EC555F"/>
    <w:rsid w:val="00EC5760"/>
    <w:rsid w:val="00EC5898"/>
    <w:rsid w:val="00EC589C"/>
    <w:rsid w:val="00EC59BF"/>
    <w:rsid w:val="00EC59FF"/>
    <w:rsid w:val="00EC62F0"/>
    <w:rsid w:val="00EC645C"/>
    <w:rsid w:val="00EC679D"/>
    <w:rsid w:val="00EC69DF"/>
    <w:rsid w:val="00EC6C54"/>
    <w:rsid w:val="00EC708D"/>
    <w:rsid w:val="00EC718F"/>
    <w:rsid w:val="00EC7235"/>
    <w:rsid w:val="00EC75D4"/>
    <w:rsid w:val="00EC771E"/>
    <w:rsid w:val="00EC7881"/>
    <w:rsid w:val="00EC78B3"/>
    <w:rsid w:val="00EC79B5"/>
    <w:rsid w:val="00EC7CE1"/>
    <w:rsid w:val="00ED0178"/>
    <w:rsid w:val="00ED0317"/>
    <w:rsid w:val="00ED04AB"/>
    <w:rsid w:val="00ED069C"/>
    <w:rsid w:val="00ED06E2"/>
    <w:rsid w:val="00ED07C8"/>
    <w:rsid w:val="00ED0873"/>
    <w:rsid w:val="00ED0925"/>
    <w:rsid w:val="00ED0959"/>
    <w:rsid w:val="00ED0A95"/>
    <w:rsid w:val="00ED12DA"/>
    <w:rsid w:val="00ED14A0"/>
    <w:rsid w:val="00ED156C"/>
    <w:rsid w:val="00ED18C0"/>
    <w:rsid w:val="00ED1947"/>
    <w:rsid w:val="00ED1B70"/>
    <w:rsid w:val="00ED1E61"/>
    <w:rsid w:val="00ED211D"/>
    <w:rsid w:val="00ED2383"/>
    <w:rsid w:val="00ED239F"/>
    <w:rsid w:val="00ED246F"/>
    <w:rsid w:val="00ED25D2"/>
    <w:rsid w:val="00ED2692"/>
    <w:rsid w:val="00ED2786"/>
    <w:rsid w:val="00ED29D5"/>
    <w:rsid w:val="00ED2A18"/>
    <w:rsid w:val="00ED2A5D"/>
    <w:rsid w:val="00ED2B36"/>
    <w:rsid w:val="00ED2B64"/>
    <w:rsid w:val="00ED2C5D"/>
    <w:rsid w:val="00ED2F26"/>
    <w:rsid w:val="00ED2F43"/>
    <w:rsid w:val="00ED3416"/>
    <w:rsid w:val="00ED34EB"/>
    <w:rsid w:val="00ED3507"/>
    <w:rsid w:val="00ED369D"/>
    <w:rsid w:val="00ED3875"/>
    <w:rsid w:val="00ED3927"/>
    <w:rsid w:val="00ED3AED"/>
    <w:rsid w:val="00ED3AF5"/>
    <w:rsid w:val="00ED3D4E"/>
    <w:rsid w:val="00ED3EC4"/>
    <w:rsid w:val="00ED3F74"/>
    <w:rsid w:val="00ED3FA7"/>
    <w:rsid w:val="00ED414E"/>
    <w:rsid w:val="00ED427E"/>
    <w:rsid w:val="00ED4333"/>
    <w:rsid w:val="00ED4472"/>
    <w:rsid w:val="00ED44CB"/>
    <w:rsid w:val="00ED4504"/>
    <w:rsid w:val="00ED4550"/>
    <w:rsid w:val="00ED47A8"/>
    <w:rsid w:val="00ED482C"/>
    <w:rsid w:val="00ED483C"/>
    <w:rsid w:val="00ED4883"/>
    <w:rsid w:val="00ED49AF"/>
    <w:rsid w:val="00ED4AC1"/>
    <w:rsid w:val="00ED4B7E"/>
    <w:rsid w:val="00ED4B83"/>
    <w:rsid w:val="00ED4BF3"/>
    <w:rsid w:val="00ED4E59"/>
    <w:rsid w:val="00ED4E5D"/>
    <w:rsid w:val="00ED4EE0"/>
    <w:rsid w:val="00ED53A8"/>
    <w:rsid w:val="00ED56F2"/>
    <w:rsid w:val="00ED585C"/>
    <w:rsid w:val="00ED5B01"/>
    <w:rsid w:val="00ED5B3B"/>
    <w:rsid w:val="00ED5DA9"/>
    <w:rsid w:val="00ED5DE3"/>
    <w:rsid w:val="00ED5EEF"/>
    <w:rsid w:val="00ED5FE6"/>
    <w:rsid w:val="00ED630E"/>
    <w:rsid w:val="00ED634E"/>
    <w:rsid w:val="00ED63E1"/>
    <w:rsid w:val="00ED6496"/>
    <w:rsid w:val="00ED675F"/>
    <w:rsid w:val="00ED67D7"/>
    <w:rsid w:val="00ED6AC5"/>
    <w:rsid w:val="00ED6DB7"/>
    <w:rsid w:val="00ED6EAB"/>
    <w:rsid w:val="00ED6EC1"/>
    <w:rsid w:val="00ED7028"/>
    <w:rsid w:val="00ED7147"/>
    <w:rsid w:val="00ED727B"/>
    <w:rsid w:val="00ED7285"/>
    <w:rsid w:val="00ED7400"/>
    <w:rsid w:val="00ED7406"/>
    <w:rsid w:val="00ED75A3"/>
    <w:rsid w:val="00ED75CB"/>
    <w:rsid w:val="00ED7614"/>
    <w:rsid w:val="00ED7648"/>
    <w:rsid w:val="00ED76A1"/>
    <w:rsid w:val="00ED777A"/>
    <w:rsid w:val="00ED77C9"/>
    <w:rsid w:val="00ED792E"/>
    <w:rsid w:val="00ED7E40"/>
    <w:rsid w:val="00ED7EBE"/>
    <w:rsid w:val="00ED7ED2"/>
    <w:rsid w:val="00EE023B"/>
    <w:rsid w:val="00EE035B"/>
    <w:rsid w:val="00EE06C0"/>
    <w:rsid w:val="00EE0816"/>
    <w:rsid w:val="00EE0994"/>
    <w:rsid w:val="00EE09D0"/>
    <w:rsid w:val="00EE09ED"/>
    <w:rsid w:val="00EE0A3D"/>
    <w:rsid w:val="00EE0A83"/>
    <w:rsid w:val="00EE0E31"/>
    <w:rsid w:val="00EE0F94"/>
    <w:rsid w:val="00EE1075"/>
    <w:rsid w:val="00EE1236"/>
    <w:rsid w:val="00EE163E"/>
    <w:rsid w:val="00EE16FC"/>
    <w:rsid w:val="00EE1751"/>
    <w:rsid w:val="00EE19E9"/>
    <w:rsid w:val="00EE1B39"/>
    <w:rsid w:val="00EE1BAA"/>
    <w:rsid w:val="00EE1BC1"/>
    <w:rsid w:val="00EE1F25"/>
    <w:rsid w:val="00EE2026"/>
    <w:rsid w:val="00EE22A6"/>
    <w:rsid w:val="00EE243D"/>
    <w:rsid w:val="00EE273C"/>
    <w:rsid w:val="00EE2747"/>
    <w:rsid w:val="00EE2B5D"/>
    <w:rsid w:val="00EE2BD9"/>
    <w:rsid w:val="00EE2BFF"/>
    <w:rsid w:val="00EE2C64"/>
    <w:rsid w:val="00EE2F93"/>
    <w:rsid w:val="00EE31B5"/>
    <w:rsid w:val="00EE3222"/>
    <w:rsid w:val="00EE35D5"/>
    <w:rsid w:val="00EE36AF"/>
    <w:rsid w:val="00EE37DA"/>
    <w:rsid w:val="00EE3961"/>
    <w:rsid w:val="00EE3970"/>
    <w:rsid w:val="00EE3CB7"/>
    <w:rsid w:val="00EE3DF6"/>
    <w:rsid w:val="00EE4226"/>
    <w:rsid w:val="00EE422C"/>
    <w:rsid w:val="00EE4249"/>
    <w:rsid w:val="00EE4527"/>
    <w:rsid w:val="00EE4A8C"/>
    <w:rsid w:val="00EE4D5E"/>
    <w:rsid w:val="00EE4D7C"/>
    <w:rsid w:val="00EE4FAD"/>
    <w:rsid w:val="00EE4FD9"/>
    <w:rsid w:val="00EE52C2"/>
    <w:rsid w:val="00EE5315"/>
    <w:rsid w:val="00EE55B0"/>
    <w:rsid w:val="00EE5854"/>
    <w:rsid w:val="00EE5A2D"/>
    <w:rsid w:val="00EE5A76"/>
    <w:rsid w:val="00EE5BDC"/>
    <w:rsid w:val="00EE5C03"/>
    <w:rsid w:val="00EE5CCF"/>
    <w:rsid w:val="00EE5CDE"/>
    <w:rsid w:val="00EE5E54"/>
    <w:rsid w:val="00EE5ED6"/>
    <w:rsid w:val="00EE622F"/>
    <w:rsid w:val="00EE633F"/>
    <w:rsid w:val="00EE635D"/>
    <w:rsid w:val="00EE665B"/>
    <w:rsid w:val="00EE6697"/>
    <w:rsid w:val="00EE67FD"/>
    <w:rsid w:val="00EE6F61"/>
    <w:rsid w:val="00EE7046"/>
    <w:rsid w:val="00EE7583"/>
    <w:rsid w:val="00EE766F"/>
    <w:rsid w:val="00EE7784"/>
    <w:rsid w:val="00EE7A14"/>
    <w:rsid w:val="00EE7AF7"/>
    <w:rsid w:val="00EF0049"/>
    <w:rsid w:val="00EF0452"/>
    <w:rsid w:val="00EF05CE"/>
    <w:rsid w:val="00EF0A0F"/>
    <w:rsid w:val="00EF0F7B"/>
    <w:rsid w:val="00EF1062"/>
    <w:rsid w:val="00EF1153"/>
    <w:rsid w:val="00EF116B"/>
    <w:rsid w:val="00EF1614"/>
    <w:rsid w:val="00EF1778"/>
    <w:rsid w:val="00EF1D4A"/>
    <w:rsid w:val="00EF1D60"/>
    <w:rsid w:val="00EF1D62"/>
    <w:rsid w:val="00EF1D76"/>
    <w:rsid w:val="00EF1E40"/>
    <w:rsid w:val="00EF1F49"/>
    <w:rsid w:val="00EF2264"/>
    <w:rsid w:val="00EF29AC"/>
    <w:rsid w:val="00EF29B1"/>
    <w:rsid w:val="00EF2A43"/>
    <w:rsid w:val="00EF2FF2"/>
    <w:rsid w:val="00EF3064"/>
    <w:rsid w:val="00EF3328"/>
    <w:rsid w:val="00EF33ED"/>
    <w:rsid w:val="00EF35FA"/>
    <w:rsid w:val="00EF36FC"/>
    <w:rsid w:val="00EF3A81"/>
    <w:rsid w:val="00EF3C59"/>
    <w:rsid w:val="00EF4025"/>
    <w:rsid w:val="00EF4118"/>
    <w:rsid w:val="00EF4305"/>
    <w:rsid w:val="00EF46F0"/>
    <w:rsid w:val="00EF4709"/>
    <w:rsid w:val="00EF4832"/>
    <w:rsid w:val="00EF486A"/>
    <w:rsid w:val="00EF48F2"/>
    <w:rsid w:val="00EF4DF7"/>
    <w:rsid w:val="00EF4EC2"/>
    <w:rsid w:val="00EF4ECA"/>
    <w:rsid w:val="00EF4FAC"/>
    <w:rsid w:val="00EF52CB"/>
    <w:rsid w:val="00EF5305"/>
    <w:rsid w:val="00EF5348"/>
    <w:rsid w:val="00EF5375"/>
    <w:rsid w:val="00EF53D1"/>
    <w:rsid w:val="00EF56E2"/>
    <w:rsid w:val="00EF5990"/>
    <w:rsid w:val="00EF5ABB"/>
    <w:rsid w:val="00EF6005"/>
    <w:rsid w:val="00EF643E"/>
    <w:rsid w:val="00EF6907"/>
    <w:rsid w:val="00EF6960"/>
    <w:rsid w:val="00EF6978"/>
    <w:rsid w:val="00EF69BC"/>
    <w:rsid w:val="00EF6D98"/>
    <w:rsid w:val="00EF6F9C"/>
    <w:rsid w:val="00EF7040"/>
    <w:rsid w:val="00EF7098"/>
    <w:rsid w:val="00EF70D8"/>
    <w:rsid w:val="00EF7167"/>
    <w:rsid w:val="00EF72DA"/>
    <w:rsid w:val="00EF74F6"/>
    <w:rsid w:val="00EF7596"/>
    <w:rsid w:val="00EF7662"/>
    <w:rsid w:val="00EF791D"/>
    <w:rsid w:val="00EF7A4E"/>
    <w:rsid w:val="00EF7B93"/>
    <w:rsid w:val="00EF7C4F"/>
    <w:rsid w:val="00EF7DFB"/>
    <w:rsid w:val="00EF7E07"/>
    <w:rsid w:val="00EF7E50"/>
    <w:rsid w:val="00EF7EA8"/>
    <w:rsid w:val="00F00357"/>
    <w:rsid w:val="00F004AA"/>
    <w:rsid w:val="00F00532"/>
    <w:rsid w:val="00F00735"/>
    <w:rsid w:val="00F009BD"/>
    <w:rsid w:val="00F00D48"/>
    <w:rsid w:val="00F00D4A"/>
    <w:rsid w:val="00F00D4B"/>
    <w:rsid w:val="00F0101E"/>
    <w:rsid w:val="00F010D8"/>
    <w:rsid w:val="00F010E8"/>
    <w:rsid w:val="00F011FB"/>
    <w:rsid w:val="00F014E5"/>
    <w:rsid w:val="00F01658"/>
    <w:rsid w:val="00F0169D"/>
    <w:rsid w:val="00F016D7"/>
    <w:rsid w:val="00F0173A"/>
    <w:rsid w:val="00F01AFE"/>
    <w:rsid w:val="00F01F5C"/>
    <w:rsid w:val="00F020E7"/>
    <w:rsid w:val="00F0222E"/>
    <w:rsid w:val="00F023AA"/>
    <w:rsid w:val="00F0256B"/>
    <w:rsid w:val="00F02700"/>
    <w:rsid w:val="00F02775"/>
    <w:rsid w:val="00F02872"/>
    <w:rsid w:val="00F02875"/>
    <w:rsid w:val="00F02B13"/>
    <w:rsid w:val="00F02B36"/>
    <w:rsid w:val="00F02B76"/>
    <w:rsid w:val="00F02B86"/>
    <w:rsid w:val="00F02C65"/>
    <w:rsid w:val="00F02D91"/>
    <w:rsid w:val="00F02DF8"/>
    <w:rsid w:val="00F02FB0"/>
    <w:rsid w:val="00F0302D"/>
    <w:rsid w:val="00F0318D"/>
    <w:rsid w:val="00F03337"/>
    <w:rsid w:val="00F03551"/>
    <w:rsid w:val="00F03597"/>
    <w:rsid w:val="00F035B9"/>
    <w:rsid w:val="00F0363D"/>
    <w:rsid w:val="00F0368A"/>
    <w:rsid w:val="00F03999"/>
    <w:rsid w:val="00F03A2C"/>
    <w:rsid w:val="00F03B2A"/>
    <w:rsid w:val="00F03BA1"/>
    <w:rsid w:val="00F040F3"/>
    <w:rsid w:val="00F041EE"/>
    <w:rsid w:val="00F041F9"/>
    <w:rsid w:val="00F042D3"/>
    <w:rsid w:val="00F04557"/>
    <w:rsid w:val="00F0479D"/>
    <w:rsid w:val="00F0497F"/>
    <w:rsid w:val="00F04C9B"/>
    <w:rsid w:val="00F04E59"/>
    <w:rsid w:val="00F04F1D"/>
    <w:rsid w:val="00F05451"/>
    <w:rsid w:val="00F054A5"/>
    <w:rsid w:val="00F054F4"/>
    <w:rsid w:val="00F057F6"/>
    <w:rsid w:val="00F05968"/>
    <w:rsid w:val="00F05C33"/>
    <w:rsid w:val="00F05CBD"/>
    <w:rsid w:val="00F05DD8"/>
    <w:rsid w:val="00F06018"/>
    <w:rsid w:val="00F061E7"/>
    <w:rsid w:val="00F062CC"/>
    <w:rsid w:val="00F06336"/>
    <w:rsid w:val="00F063CD"/>
    <w:rsid w:val="00F06436"/>
    <w:rsid w:val="00F0647F"/>
    <w:rsid w:val="00F065B4"/>
    <w:rsid w:val="00F066A2"/>
    <w:rsid w:val="00F066AA"/>
    <w:rsid w:val="00F066E3"/>
    <w:rsid w:val="00F0677E"/>
    <w:rsid w:val="00F0689A"/>
    <w:rsid w:val="00F068E8"/>
    <w:rsid w:val="00F06ACF"/>
    <w:rsid w:val="00F06B7C"/>
    <w:rsid w:val="00F06CE3"/>
    <w:rsid w:val="00F06FDF"/>
    <w:rsid w:val="00F0703E"/>
    <w:rsid w:val="00F07174"/>
    <w:rsid w:val="00F071E3"/>
    <w:rsid w:val="00F07401"/>
    <w:rsid w:val="00F07622"/>
    <w:rsid w:val="00F077E5"/>
    <w:rsid w:val="00F07AEE"/>
    <w:rsid w:val="00F07E94"/>
    <w:rsid w:val="00F07EBB"/>
    <w:rsid w:val="00F100F8"/>
    <w:rsid w:val="00F105E0"/>
    <w:rsid w:val="00F10608"/>
    <w:rsid w:val="00F10749"/>
    <w:rsid w:val="00F10A68"/>
    <w:rsid w:val="00F10ADF"/>
    <w:rsid w:val="00F10C24"/>
    <w:rsid w:val="00F10C78"/>
    <w:rsid w:val="00F10CA8"/>
    <w:rsid w:val="00F1124B"/>
    <w:rsid w:val="00F1127E"/>
    <w:rsid w:val="00F1132A"/>
    <w:rsid w:val="00F11497"/>
    <w:rsid w:val="00F114B7"/>
    <w:rsid w:val="00F116D9"/>
    <w:rsid w:val="00F116E8"/>
    <w:rsid w:val="00F11A24"/>
    <w:rsid w:val="00F11BFE"/>
    <w:rsid w:val="00F11C1D"/>
    <w:rsid w:val="00F11D4A"/>
    <w:rsid w:val="00F11F7F"/>
    <w:rsid w:val="00F1202E"/>
    <w:rsid w:val="00F1214D"/>
    <w:rsid w:val="00F12216"/>
    <w:rsid w:val="00F1230C"/>
    <w:rsid w:val="00F123AE"/>
    <w:rsid w:val="00F124BE"/>
    <w:rsid w:val="00F12689"/>
    <w:rsid w:val="00F1270A"/>
    <w:rsid w:val="00F12788"/>
    <w:rsid w:val="00F128D3"/>
    <w:rsid w:val="00F129F3"/>
    <w:rsid w:val="00F12F16"/>
    <w:rsid w:val="00F130CF"/>
    <w:rsid w:val="00F13194"/>
    <w:rsid w:val="00F1331F"/>
    <w:rsid w:val="00F133CE"/>
    <w:rsid w:val="00F1342E"/>
    <w:rsid w:val="00F13691"/>
    <w:rsid w:val="00F136F7"/>
    <w:rsid w:val="00F1376E"/>
    <w:rsid w:val="00F1387B"/>
    <w:rsid w:val="00F1387D"/>
    <w:rsid w:val="00F13967"/>
    <w:rsid w:val="00F13DF0"/>
    <w:rsid w:val="00F1403E"/>
    <w:rsid w:val="00F140A8"/>
    <w:rsid w:val="00F140D6"/>
    <w:rsid w:val="00F14130"/>
    <w:rsid w:val="00F142B9"/>
    <w:rsid w:val="00F1439E"/>
    <w:rsid w:val="00F14620"/>
    <w:rsid w:val="00F14A59"/>
    <w:rsid w:val="00F14C2C"/>
    <w:rsid w:val="00F14D3E"/>
    <w:rsid w:val="00F14E60"/>
    <w:rsid w:val="00F15024"/>
    <w:rsid w:val="00F15053"/>
    <w:rsid w:val="00F15088"/>
    <w:rsid w:val="00F1513D"/>
    <w:rsid w:val="00F15308"/>
    <w:rsid w:val="00F15368"/>
    <w:rsid w:val="00F153F5"/>
    <w:rsid w:val="00F15664"/>
    <w:rsid w:val="00F15683"/>
    <w:rsid w:val="00F1570E"/>
    <w:rsid w:val="00F1576C"/>
    <w:rsid w:val="00F15915"/>
    <w:rsid w:val="00F15AD8"/>
    <w:rsid w:val="00F15C0A"/>
    <w:rsid w:val="00F15C90"/>
    <w:rsid w:val="00F15E31"/>
    <w:rsid w:val="00F16281"/>
    <w:rsid w:val="00F16283"/>
    <w:rsid w:val="00F16485"/>
    <w:rsid w:val="00F165E1"/>
    <w:rsid w:val="00F1665A"/>
    <w:rsid w:val="00F166B0"/>
    <w:rsid w:val="00F166BC"/>
    <w:rsid w:val="00F1670F"/>
    <w:rsid w:val="00F16A3A"/>
    <w:rsid w:val="00F16AC4"/>
    <w:rsid w:val="00F16E80"/>
    <w:rsid w:val="00F17234"/>
    <w:rsid w:val="00F1770D"/>
    <w:rsid w:val="00F177A4"/>
    <w:rsid w:val="00F17AE4"/>
    <w:rsid w:val="00F17C5F"/>
    <w:rsid w:val="00F17EE7"/>
    <w:rsid w:val="00F202FE"/>
    <w:rsid w:val="00F20314"/>
    <w:rsid w:val="00F203F4"/>
    <w:rsid w:val="00F2050D"/>
    <w:rsid w:val="00F20542"/>
    <w:rsid w:val="00F2054A"/>
    <w:rsid w:val="00F20860"/>
    <w:rsid w:val="00F209DC"/>
    <w:rsid w:val="00F209FC"/>
    <w:rsid w:val="00F20BFA"/>
    <w:rsid w:val="00F20CEC"/>
    <w:rsid w:val="00F20E27"/>
    <w:rsid w:val="00F20FC5"/>
    <w:rsid w:val="00F2103C"/>
    <w:rsid w:val="00F210C4"/>
    <w:rsid w:val="00F210D2"/>
    <w:rsid w:val="00F21221"/>
    <w:rsid w:val="00F21362"/>
    <w:rsid w:val="00F213FE"/>
    <w:rsid w:val="00F21439"/>
    <w:rsid w:val="00F21528"/>
    <w:rsid w:val="00F215AF"/>
    <w:rsid w:val="00F217C4"/>
    <w:rsid w:val="00F217C8"/>
    <w:rsid w:val="00F21834"/>
    <w:rsid w:val="00F219D2"/>
    <w:rsid w:val="00F219EB"/>
    <w:rsid w:val="00F22185"/>
    <w:rsid w:val="00F2228D"/>
    <w:rsid w:val="00F22A21"/>
    <w:rsid w:val="00F22AA3"/>
    <w:rsid w:val="00F22D82"/>
    <w:rsid w:val="00F22E52"/>
    <w:rsid w:val="00F22FC0"/>
    <w:rsid w:val="00F230C6"/>
    <w:rsid w:val="00F231FB"/>
    <w:rsid w:val="00F2325D"/>
    <w:rsid w:val="00F232B4"/>
    <w:rsid w:val="00F23438"/>
    <w:rsid w:val="00F2349C"/>
    <w:rsid w:val="00F235D3"/>
    <w:rsid w:val="00F2365F"/>
    <w:rsid w:val="00F2377D"/>
    <w:rsid w:val="00F237EE"/>
    <w:rsid w:val="00F23B93"/>
    <w:rsid w:val="00F23CE1"/>
    <w:rsid w:val="00F23DBF"/>
    <w:rsid w:val="00F23E13"/>
    <w:rsid w:val="00F24018"/>
    <w:rsid w:val="00F24152"/>
    <w:rsid w:val="00F2434F"/>
    <w:rsid w:val="00F2489C"/>
    <w:rsid w:val="00F248E0"/>
    <w:rsid w:val="00F24A8A"/>
    <w:rsid w:val="00F24AD2"/>
    <w:rsid w:val="00F24B79"/>
    <w:rsid w:val="00F24BA5"/>
    <w:rsid w:val="00F24E84"/>
    <w:rsid w:val="00F24EC6"/>
    <w:rsid w:val="00F24F25"/>
    <w:rsid w:val="00F24F39"/>
    <w:rsid w:val="00F25150"/>
    <w:rsid w:val="00F25287"/>
    <w:rsid w:val="00F254AD"/>
    <w:rsid w:val="00F25684"/>
    <w:rsid w:val="00F25B29"/>
    <w:rsid w:val="00F25C17"/>
    <w:rsid w:val="00F25C79"/>
    <w:rsid w:val="00F25CF1"/>
    <w:rsid w:val="00F25E70"/>
    <w:rsid w:val="00F25F1F"/>
    <w:rsid w:val="00F2603D"/>
    <w:rsid w:val="00F260B8"/>
    <w:rsid w:val="00F2641E"/>
    <w:rsid w:val="00F2646F"/>
    <w:rsid w:val="00F26566"/>
    <w:rsid w:val="00F26A8D"/>
    <w:rsid w:val="00F26C7F"/>
    <w:rsid w:val="00F26CCB"/>
    <w:rsid w:val="00F270C7"/>
    <w:rsid w:val="00F27485"/>
    <w:rsid w:val="00F27517"/>
    <w:rsid w:val="00F276D1"/>
    <w:rsid w:val="00F276EA"/>
    <w:rsid w:val="00F277C6"/>
    <w:rsid w:val="00F279C0"/>
    <w:rsid w:val="00F27C8C"/>
    <w:rsid w:val="00F27CFF"/>
    <w:rsid w:val="00F27E58"/>
    <w:rsid w:val="00F27E91"/>
    <w:rsid w:val="00F30039"/>
    <w:rsid w:val="00F301AF"/>
    <w:rsid w:val="00F301E2"/>
    <w:rsid w:val="00F301FA"/>
    <w:rsid w:val="00F3035B"/>
    <w:rsid w:val="00F303C1"/>
    <w:rsid w:val="00F307CB"/>
    <w:rsid w:val="00F307F0"/>
    <w:rsid w:val="00F30874"/>
    <w:rsid w:val="00F30C55"/>
    <w:rsid w:val="00F30D62"/>
    <w:rsid w:val="00F31042"/>
    <w:rsid w:val="00F31053"/>
    <w:rsid w:val="00F313D2"/>
    <w:rsid w:val="00F3141E"/>
    <w:rsid w:val="00F31801"/>
    <w:rsid w:val="00F31BFF"/>
    <w:rsid w:val="00F31D67"/>
    <w:rsid w:val="00F31F05"/>
    <w:rsid w:val="00F32021"/>
    <w:rsid w:val="00F32075"/>
    <w:rsid w:val="00F32159"/>
    <w:rsid w:val="00F3241F"/>
    <w:rsid w:val="00F32485"/>
    <w:rsid w:val="00F326D6"/>
    <w:rsid w:val="00F32767"/>
    <w:rsid w:val="00F32789"/>
    <w:rsid w:val="00F32849"/>
    <w:rsid w:val="00F32C0D"/>
    <w:rsid w:val="00F32D33"/>
    <w:rsid w:val="00F32F13"/>
    <w:rsid w:val="00F32FCC"/>
    <w:rsid w:val="00F332C7"/>
    <w:rsid w:val="00F333E8"/>
    <w:rsid w:val="00F33B4D"/>
    <w:rsid w:val="00F33C00"/>
    <w:rsid w:val="00F33DA3"/>
    <w:rsid w:val="00F33E26"/>
    <w:rsid w:val="00F33E7E"/>
    <w:rsid w:val="00F33F29"/>
    <w:rsid w:val="00F34391"/>
    <w:rsid w:val="00F34679"/>
    <w:rsid w:val="00F34725"/>
    <w:rsid w:val="00F34A18"/>
    <w:rsid w:val="00F34B36"/>
    <w:rsid w:val="00F34F64"/>
    <w:rsid w:val="00F34F8F"/>
    <w:rsid w:val="00F3502B"/>
    <w:rsid w:val="00F35127"/>
    <w:rsid w:val="00F35168"/>
    <w:rsid w:val="00F3531C"/>
    <w:rsid w:val="00F353BE"/>
    <w:rsid w:val="00F35871"/>
    <w:rsid w:val="00F35AD3"/>
    <w:rsid w:val="00F361CE"/>
    <w:rsid w:val="00F361E8"/>
    <w:rsid w:val="00F36337"/>
    <w:rsid w:val="00F3654A"/>
    <w:rsid w:val="00F367EF"/>
    <w:rsid w:val="00F3683D"/>
    <w:rsid w:val="00F368C2"/>
    <w:rsid w:val="00F368FF"/>
    <w:rsid w:val="00F36A8B"/>
    <w:rsid w:val="00F36C2B"/>
    <w:rsid w:val="00F36C34"/>
    <w:rsid w:val="00F36C6F"/>
    <w:rsid w:val="00F36CA0"/>
    <w:rsid w:val="00F36FC5"/>
    <w:rsid w:val="00F37461"/>
    <w:rsid w:val="00F375A3"/>
    <w:rsid w:val="00F375E7"/>
    <w:rsid w:val="00F37744"/>
    <w:rsid w:val="00F377B7"/>
    <w:rsid w:val="00F37AD5"/>
    <w:rsid w:val="00F37B93"/>
    <w:rsid w:val="00F40036"/>
    <w:rsid w:val="00F40067"/>
    <w:rsid w:val="00F40271"/>
    <w:rsid w:val="00F402BE"/>
    <w:rsid w:val="00F40636"/>
    <w:rsid w:val="00F4067F"/>
    <w:rsid w:val="00F4068B"/>
    <w:rsid w:val="00F4084A"/>
    <w:rsid w:val="00F40BC8"/>
    <w:rsid w:val="00F40F74"/>
    <w:rsid w:val="00F410F6"/>
    <w:rsid w:val="00F411BF"/>
    <w:rsid w:val="00F4152D"/>
    <w:rsid w:val="00F41540"/>
    <w:rsid w:val="00F415DE"/>
    <w:rsid w:val="00F4194D"/>
    <w:rsid w:val="00F41CEC"/>
    <w:rsid w:val="00F41CFA"/>
    <w:rsid w:val="00F420E2"/>
    <w:rsid w:val="00F42172"/>
    <w:rsid w:val="00F425D4"/>
    <w:rsid w:val="00F426EC"/>
    <w:rsid w:val="00F4297A"/>
    <w:rsid w:val="00F429A8"/>
    <w:rsid w:val="00F42BE6"/>
    <w:rsid w:val="00F42E78"/>
    <w:rsid w:val="00F42E8B"/>
    <w:rsid w:val="00F42F4B"/>
    <w:rsid w:val="00F42FFB"/>
    <w:rsid w:val="00F43034"/>
    <w:rsid w:val="00F4314E"/>
    <w:rsid w:val="00F4331C"/>
    <w:rsid w:val="00F43877"/>
    <w:rsid w:val="00F438C7"/>
    <w:rsid w:val="00F43975"/>
    <w:rsid w:val="00F43A1B"/>
    <w:rsid w:val="00F43BF1"/>
    <w:rsid w:val="00F43D58"/>
    <w:rsid w:val="00F43E27"/>
    <w:rsid w:val="00F43E7F"/>
    <w:rsid w:val="00F43E9F"/>
    <w:rsid w:val="00F43F83"/>
    <w:rsid w:val="00F44064"/>
    <w:rsid w:val="00F441AC"/>
    <w:rsid w:val="00F44289"/>
    <w:rsid w:val="00F4469F"/>
    <w:rsid w:val="00F44882"/>
    <w:rsid w:val="00F448E3"/>
    <w:rsid w:val="00F44DB8"/>
    <w:rsid w:val="00F44DD1"/>
    <w:rsid w:val="00F44E0D"/>
    <w:rsid w:val="00F44F8B"/>
    <w:rsid w:val="00F45094"/>
    <w:rsid w:val="00F4519B"/>
    <w:rsid w:val="00F453B5"/>
    <w:rsid w:val="00F4551D"/>
    <w:rsid w:val="00F455A7"/>
    <w:rsid w:val="00F457C4"/>
    <w:rsid w:val="00F457E9"/>
    <w:rsid w:val="00F458CA"/>
    <w:rsid w:val="00F45B80"/>
    <w:rsid w:val="00F45D21"/>
    <w:rsid w:val="00F45DF0"/>
    <w:rsid w:val="00F45EB2"/>
    <w:rsid w:val="00F4602F"/>
    <w:rsid w:val="00F460AC"/>
    <w:rsid w:val="00F460C7"/>
    <w:rsid w:val="00F46187"/>
    <w:rsid w:val="00F46278"/>
    <w:rsid w:val="00F462EF"/>
    <w:rsid w:val="00F46445"/>
    <w:rsid w:val="00F46A71"/>
    <w:rsid w:val="00F46F5B"/>
    <w:rsid w:val="00F46F80"/>
    <w:rsid w:val="00F47070"/>
    <w:rsid w:val="00F472B4"/>
    <w:rsid w:val="00F47305"/>
    <w:rsid w:val="00F47638"/>
    <w:rsid w:val="00F47687"/>
    <w:rsid w:val="00F47A09"/>
    <w:rsid w:val="00F47A2E"/>
    <w:rsid w:val="00F47A56"/>
    <w:rsid w:val="00F47AF3"/>
    <w:rsid w:val="00F47DE9"/>
    <w:rsid w:val="00F47FDE"/>
    <w:rsid w:val="00F47FF9"/>
    <w:rsid w:val="00F506CF"/>
    <w:rsid w:val="00F507EF"/>
    <w:rsid w:val="00F50816"/>
    <w:rsid w:val="00F5085B"/>
    <w:rsid w:val="00F5098F"/>
    <w:rsid w:val="00F50A1D"/>
    <w:rsid w:val="00F50C74"/>
    <w:rsid w:val="00F50CD4"/>
    <w:rsid w:val="00F514A9"/>
    <w:rsid w:val="00F514EF"/>
    <w:rsid w:val="00F51518"/>
    <w:rsid w:val="00F5157E"/>
    <w:rsid w:val="00F51670"/>
    <w:rsid w:val="00F5176B"/>
    <w:rsid w:val="00F51782"/>
    <w:rsid w:val="00F51919"/>
    <w:rsid w:val="00F51AD7"/>
    <w:rsid w:val="00F51B75"/>
    <w:rsid w:val="00F51C7E"/>
    <w:rsid w:val="00F51E4D"/>
    <w:rsid w:val="00F51EC9"/>
    <w:rsid w:val="00F51F95"/>
    <w:rsid w:val="00F523C8"/>
    <w:rsid w:val="00F524F6"/>
    <w:rsid w:val="00F5269E"/>
    <w:rsid w:val="00F528FA"/>
    <w:rsid w:val="00F52969"/>
    <w:rsid w:val="00F529B1"/>
    <w:rsid w:val="00F52C71"/>
    <w:rsid w:val="00F52C97"/>
    <w:rsid w:val="00F52D92"/>
    <w:rsid w:val="00F52DDF"/>
    <w:rsid w:val="00F53058"/>
    <w:rsid w:val="00F53281"/>
    <w:rsid w:val="00F534E2"/>
    <w:rsid w:val="00F536EA"/>
    <w:rsid w:val="00F53713"/>
    <w:rsid w:val="00F53808"/>
    <w:rsid w:val="00F53A02"/>
    <w:rsid w:val="00F53A4B"/>
    <w:rsid w:val="00F53BBE"/>
    <w:rsid w:val="00F53CD8"/>
    <w:rsid w:val="00F53D1C"/>
    <w:rsid w:val="00F53FFD"/>
    <w:rsid w:val="00F5404D"/>
    <w:rsid w:val="00F5416D"/>
    <w:rsid w:val="00F5445B"/>
    <w:rsid w:val="00F544DB"/>
    <w:rsid w:val="00F54944"/>
    <w:rsid w:val="00F5494C"/>
    <w:rsid w:val="00F54A05"/>
    <w:rsid w:val="00F54A0D"/>
    <w:rsid w:val="00F54E58"/>
    <w:rsid w:val="00F5518B"/>
    <w:rsid w:val="00F55364"/>
    <w:rsid w:val="00F55388"/>
    <w:rsid w:val="00F55397"/>
    <w:rsid w:val="00F553A7"/>
    <w:rsid w:val="00F5553E"/>
    <w:rsid w:val="00F558A0"/>
    <w:rsid w:val="00F55A4B"/>
    <w:rsid w:val="00F55A52"/>
    <w:rsid w:val="00F55AB8"/>
    <w:rsid w:val="00F55B16"/>
    <w:rsid w:val="00F55C1C"/>
    <w:rsid w:val="00F55D7B"/>
    <w:rsid w:val="00F55E9E"/>
    <w:rsid w:val="00F55FDB"/>
    <w:rsid w:val="00F560B5"/>
    <w:rsid w:val="00F563E9"/>
    <w:rsid w:val="00F569C4"/>
    <w:rsid w:val="00F56B72"/>
    <w:rsid w:val="00F57336"/>
    <w:rsid w:val="00F574B4"/>
    <w:rsid w:val="00F574E1"/>
    <w:rsid w:val="00F575D0"/>
    <w:rsid w:val="00F57B55"/>
    <w:rsid w:val="00F57B69"/>
    <w:rsid w:val="00F57C92"/>
    <w:rsid w:val="00F57D48"/>
    <w:rsid w:val="00F57ED6"/>
    <w:rsid w:val="00F57F14"/>
    <w:rsid w:val="00F60048"/>
    <w:rsid w:val="00F6028A"/>
    <w:rsid w:val="00F604A6"/>
    <w:rsid w:val="00F60750"/>
    <w:rsid w:val="00F608B9"/>
    <w:rsid w:val="00F60B22"/>
    <w:rsid w:val="00F60CAA"/>
    <w:rsid w:val="00F60E1F"/>
    <w:rsid w:val="00F60F00"/>
    <w:rsid w:val="00F60F8C"/>
    <w:rsid w:val="00F611B3"/>
    <w:rsid w:val="00F61B26"/>
    <w:rsid w:val="00F61F8B"/>
    <w:rsid w:val="00F624CD"/>
    <w:rsid w:val="00F6255A"/>
    <w:rsid w:val="00F628B2"/>
    <w:rsid w:val="00F629F8"/>
    <w:rsid w:val="00F62F40"/>
    <w:rsid w:val="00F632D6"/>
    <w:rsid w:val="00F63771"/>
    <w:rsid w:val="00F63ACE"/>
    <w:rsid w:val="00F63E0B"/>
    <w:rsid w:val="00F63F2C"/>
    <w:rsid w:val="00F641CE"/>
    <w:rsid w:val="00F643C6"/>
    <w:rsid w:val="00F6475C"/>
    <w:rsid w:val="00F6478A"/>
    <w:rsid w:val="00F64AE6"/>
    <w:rsid w:val="00F64AF9"/>
    <w:rsid w:val="00F64C9D"/>
    <w:rsid w:val="00F650F1"/>
    <w:rsid w:val="00F6516B"/>
    <w:rsid w:val="00F6517C"/>
    <w:rsid w:val="00F653A2"/>
    <w:rsid w:val="00F65565"/>
    <w:rsid w:val="00F655AC"/>
    <w:rsid w:val="00F65641"/>
    <w:rsid w:val="00F6582F"/>
    <w:rsid w:val="00F658DB"/>
    <w:rsid w:val="00F65902"/>
    <w:rsid w:val="00F65BDC"/>
    <w:rsid w:val="00F65D30"/>
    <w:rsid w:val="00F65E0D"/>
    <w:rsid w:val="00F661F4"/>
    <w:rsid w:val="00F66459"/>
    <w:rsid w:val="00F66C1E"/>
    <w:rsid w:val="00F66D38"/>
    <w:rsid w:val="00F66D7B"/>
    <w:rsid w:val="00F66EA7"/>
    <w:rsid w:val="00F66F9F"/>
    <w:rsid w:val="00F66FEB"/>
    <w:rsid w:val="00F67011"/>
    <w:rsid w:val="00F6711E"/>
    <w:rsid w:val="00F67252"/>
    <w:rsid w:val="00F6737D"/>
    <w:rsid w:val="00F67792"/>
    <w:rsid w:val="00F67BF4"/>
    <w:rsid w:val="00F67C7F"/>
    <w:rsid w:val="00F67CA3"/>
    <w:rsid w:val="00F67D7E"/>
    <w:rsid w:val="00F7012E"/>
    <w:rsid w:val="00F702B9"/>
    <w:rsid w:val="00F703B7"/>
    <w:rsid w:val="00F703C9"/>
    <w:rsid w:val="00F7047F"/>
    <w:rsid w:val="00F70544"/>
    <w:rsid w:val="00F707E7"/>
    <w:rsid w:val="00F7084F"/>
    <w:rsid w:val="00F70859"/>
    <w:rsid w:val="00F70B2E"/>
    <w:rsid w:val="00F70CA6"/>
    <w:rsid w:val="00F70F54"/>
    <w:rsid w:val="00F71203"/>
    <w:rsid w:val="00F7124E"/>
    <w:rsid w:val="00F712B2"/>
    <w:rsid w:val="00F71313"/>
    <w:rsid w:val="00F7153F"/>
    <w:rsid w:val="00F71590"/>
    <w:rsid w:val="00F718D6"/>
    <w:rsid w:val="00F71D7A"/>
    <w:rsid w:val="00F721A5"/>
    <w:rsid w:val="00F72493"/>
    <w:rsid w:val="00F727FA"/>
    <w:rsid w:val="00F72AA0"/>
    <w:rsid w:val="00F72B55"/>
    <w:rsid w:val="00F72BB1"/>
    <w:rsid w:val="00F72D38"/>
    <w:rsid w:val="00F73096"/>
    <w:rsid w:val="00F730FE"/>
    <w:rsid w:val="00F73143"/>
    <w:rsid w:val="00F73204"/>
    <w:rsid w:val="00F734A5"/>
    <w:rsid w:val="00F7363A"/>
    <w:rsid w:val="00F73A2D"/>
    <w:rsid w:val="00F73A44"/>
    <w:rsid w:val="00F73B43"/>
    <w:rsid w:val="00F73E59"/>
    <w:rsid w:val="00F73FB2"/>
    <w:rsid w:val="00F7416B"/>
    <w:rsid w:val="00F74385"/>
    <w:rsid w:val="00F74700"/>
    <w:rsid w:val="00F74945"/>
    <w:rsid w:val="00F74A19"/>
    <w:rsid w:val="00F74BFD"/>
    <w:rsid w:val="00F74E2D"/>
    <w:rsid w:val="00F74F1F"/>
    <w:rsid w:val="00F75256"/>
    <w:rsid w:val="00F752F1"/>
    <w:rsid w:val="00F75549"/>
    <w:rsid w:val="00F7558A"/>
    <w:rsid w:val="00F75620"/>
    <w:rsid w:val="00F7568A"/>
    <w:rsid w:val="00F756D5"/>
    <w:rsid w:val="00F7596F"/>
    <w:rsid w:val="00F75ABD"/>
    <w:rsid w:val="00F75B62"/>
    <w:rsid w:val="00F75B78"/>
    <w:rsid w:val="00F75C22"/>
    <w:rsid w:val="00F75C59"/>
    <w:rsid w:val="00F75D1E"/>
    <w:rsid w:val="00F75DB6"/>
    <w:rsid w:val="00F75ED5"/>
    <w:rsid w:val="00F75FB9"/>
    <w:rsid w:val="00F75FD6"/>
    <w:rsid w:val="00F760DA"/>
    <w:rsid w:val="00F76137"/>
    <w:rsid w:val="00F762E2"/>
    <w:rsid w:val="00F763A1"/>
    <w:rsid w:val="00F76549"/>
    <w:rsid w:val="00F765F4"/>
    <w:rsid w:val="00F76703"/>
    <w:rsid w:val="00F76914"/>
    <w:rsid w:val="00F76AEF"/>
    <w:rsid w:val="00F76C95"/>
    <w:rsid w:val="00F7706A"/>
    <w:rsid w:val="00F7710E"/>
    <w:rsid w:val="00F7733F"/>
    <w:rsid w:val="00F77377"/>
    <w:rsid w:val="00F77557"/>
    <w:rsid w:val="00F775B1"/>
    <w:rsid w:val="00F7793C"/>
    <w:rsid w:val="00F77C0C"/>
    <w:rsid w:val="00F77CA9"/>
    <w:rsid w:val="00F77D0D"/>
    <w:rsid w:val="00F77F20"/>
    <w:rsid w:val="00F77F6E"/>
    <w:rsid w:val="00F77FEA"/>
    <w:rsid w:val="00F8003B"/>
    <w:rsid w:val="00F800DF"/>
    <w:rsid w:val="00F801FA"/>
    <w:rsid w:val="00F80255"/>
    <w:rsid w:val="00F8032C"/>
    <w:rsid w:val="00F8085F"/>
    <w:rsid w:val="00F80B11"/>
    <w:rsid w:val="00F80D29"/>
    <w:rsid w:val="00F81401"/>
    <w:rsid w:val="00F81446"/>
    <w:rsid w:val="00F816D5"/>
    <w:rsid w:val="00F81B3C"/>
    <w:rsid w:val="00F81EB1"/>
    <w:rsid w:val="00F82000"/>
    <w:rsid w:val="00F82097"/>
    <w:rsid w:val="00F82254"/>
    <w:rsid w:val="00F8254F"/>
    <w:rsid w:val="00F82854"/>
    <w:rsid w:val="00F82914"/>
    <w:rsid w:val="00F82CFD"/>
    <w:rsid w:val="00F82D20"/>
    <w:rsid w:val="00F82D65"/>
    <w:rsid w:val="00F8311A"/>
    <w:rsid w:val="00F83302"/>
    <w:rsid w:val="00F83358"/>
    <w:rsid w:val="00F83611"/>
    <w:rsid w:val="00F8381F"/>
    <w:rsid w:val="00F83C42"/>
    <w:rsid w:val="00F840D6"/>
    <w:rsid w:val="00F841A0"/>
    <w:rsid w:val="00F841EC"/>
    <w:rsid w:val="00F842FC"/>
    <w:rsid w:val="00F843B9"/>
    <w:rsid w:val="00F844E8"/>
    <w:rsid w:val="00F846F2"/>
    <w:rsid w:val="00F84987"/>
    <w:rsid w:val="00F8508E"/>
    <w:rsid w:val="00F850E6"/>
    <w:rsid w:val="00F853BD"/>
    <w:rsid w:val="00F854B5"/>
    <w:rsid w:val="00F85507"/>
    <w:rsid w:val="00F8550B"/>
    <w:rsid w:val="00F856E0"/>
    <w:rsid w:val="00F85801"/>
    <w:rsid w:val="00F8595A"/>
    <w:rsid w:val="00F85A24"/>
    <w:rsid w:val="00F85A94"/>
    <w:rsid w:val="00F85AC6"/>
    <w:rsid w:val="00F85C32"/>
    <w:rsid w:val="00F85C39"/>
    <w:rsid w:val="00F85CCA"/>
    <w:rsid w:val="00F85D1D"/>
    <w:rsid w:val="00F85EF8"/>
    <w:rsid w:val="00F85FE9"/>
    <w:rsid w:val="00F85FF1"/>
    <w:rsid w:val="00F861F7"/>
    <w:rsid w:val="00F86806"/>
    <w:rsid w:val="00F868C0"/>
    <w:rsid w:val="00F8696F"/>
    <w:rsid w:val="00F86ADE"/>
    <w:rsid w:val="00F86C14"/>
    <w:rsid w:val="00F86CE0"/>
    <w:rsid w:val="00F86D68"/>
    <w:rsid w:val="00F86E05"/>
    <w:rsid w:val="00F86E29"/>
    <w:rsid w:val="00F86F71"/>
    <w:rsid w:val="00F87132"/>
    <w:rsid w:val="00F8716D"/>
    <w:rsid w:val="00F87220"/>
    <w:rsid w:val="00F872A3"/>
    <w:rsid w:val="00F873D6"/>
    <w:rsid w:val="00F8779F"/>
    <w:rsid w:val="00F877C1"/>
    <w:rsid w:val="00F8781D"/>
    <w:rsid w:val="00F8793C"/>
    <w:rsid w:val="00F87B2D"/>
    <w:rsid w:val="00F87BBA"/>
    <w:rsid w:val="00F87C77"/>
    <w:rsid w:val="00F87CFF"/>
    <w:rsid w:val="00F87DF6"/>
    <w:rsid w:val="00F87F67"/>
    <w:rsid w:val="00F900AE"/>
    <w:rsid w:val="00F903A0"/>
    <w:rsid w:val="00F904B4"/>
    <w:rsid w:val="00F9059F"/>
    <w:rsid w:val="00F907F2"/>
    <w:rsid w:val="00F908AA"/>
    <w:rsid w:val="00F90949"/>
    <w:rsid w:val="00F9097B"/>
    <w:rsid w:val="00F90A89"/>
    <w:rsid w:val="00F90CA9"/>
    <w:rsid w:val="00F90F0B"/>
    <w:rsid w:val="00F90FC4"/>
    <w:rsid w:val="00F9104F"/>
    <w:rsid w:val="00F911AE"/>
    <w:rsid w:val="00F91963"/>
    <w:rsid w:val="00F91C39"/>
    <w:rsid w:val="00F91DF0"/>
    <w:rsid w:val="00F91E86"/>
    <w:rsid w:val="00F91FA7"/>
    <w:rsid w:val="00F91FE3"/>
    <w:rsid w:val="00F923AB"/>
    <w:rsid w:val="00F924F3"/>
    <w:rsid w:val="00F92701"/>
    <w:rsid w:val="00F9273B"/>
    <w:rsid w:val="00F92753"/>
    <w:rsid w:val="00F929D2"/>
    <w:rsid w:val="00F92A10"/>
    <w:rsid w:val="00F92DDD"/>
    <w:rsid w:val="00F93035"/>
    <w:rsid w:val="00F930C5"/>
    <w:rsid w:val="00F932D8"/>
    <w:rsid w:val="00F932FE"/>
    <w:rsid w:val="00F9370D"/>
    <w:rsid w:val="00F93B8E"/>
    <w:rsid w:val="00F93C8E"/>
    <w:rsid w:val="00F93D86"/>
    <w:rsid w:val="00F93DF1"/>
    <w:rsid w:val="00F93E1C"/>
    <w:rsid w:val="00F93F98"/>
    <w:rsid w:val="00F94115"/>
    <w:rsid w:val="00F9420A"/>
    <w:rsid w:val="00F94314"/>
    <w:rsid w:val="00F94349"/>
    <w:rsid w:val="00F94354"/>
    <w:rsid w:val="00F94425"/>
    <w:rsid w:val="00F945C1"/>
    <w:rsid w:val="00F945E9"/>
    <w:rsid w:val="00F9465D"/>
    <w:rsid w:val="00F946A5"/>
    <w:rsid w:val="00F947FC"/>
    <w:rsid w:val="00F94BCF"/>
    <w:rsid w:val="00F94C22"/>
    <w:rsid w:val="00F94C23"/>
    <w:rsid w:val="00F94CBF"/>
    <w:rsid w:val="00F94DE2"/>
    <w:rsid w:val="00F94E63"/>
    <w:rsid w:val="00F952C0"/>
    <w:rsid w:val="00F952C9"/>
    <w:rsid w:val="00F95329"/>
    <w:rsid w:val="00F95575"/>
    <w:rsid w:val="00F95590"/>
    <w:rsid w:val="00F955A4"/>
    <w:rsid w:val="00F958DA"/>
    <w:rsid w:val="00F95D4D"/>
    <w:rsid w:val="00F95DDC"/>
    <w:rsid w:val="00F95E6D"/>
    <w:rsid w:val="00F9601E"/>
    <w:rsid w:val="00F960AB"/>
    <w:rsid w:val="00F960C3"/>
    <w:rsid w:val="00F9655A"/>
    <w:rsid w:val="00F966A2"/>
    <w:rsid w:val="00F966D9"/>
    <w:rsid w:val="00F96867"/>
    <w:rsid w:val="00F968F8"/>
    <w:rsid w:val="00F969AE"/>
    <w:rsid w:val="00F969C8"/>
    <w:rsid w:val="00F96A47"/>
    <w:rsid w:val="00F96CE4"/>
    <w:rsid w:val="00F97240"/>
    <w:rsid w:val="00F972CF"/>
    <w:rsid w:val="00F977BF"/>
    <w:rsid w:val="00F979A1"/>
    <w:rsid w:val="00F979E4"/>
    <w:rsid w:val="00F979ED"/>
    <w:rsid w:val="00F97B49"/>
    <w:rsid w:val="00F97C9A"/>
    <w:rsid w:val="00F97DD8"/>
    <w:rsid w:val="00F97E03"/>
    <w:rsid w:val="00F97F5E"/>
    <w:rsid w:val="00F97F5F"/>
    <w:rsid w:val="00FA008F"/>
    <w:rsid w:val="00FA0159"/>
    <w:rsid w:val="00FA0248"/>
    <w:rsid w:val="00FA03A2"/>
    <w:rsid w:val="00FA0402"/>
    <w:rsid w:val="00FA048D"/>
    <w:rsid w:val="00FA04AA"/>
    <w:rsid w:val="00FA055B"/>
    <w:rsid w:val="00FA05E0"/>
    <w:rsid w:val="00FA0604"/>
    <w:rsid w:val="00FA0633"/>
    <w:rsid w:val="00FA072B"/>
    <w:rsid w:val="00FA0867"/>
    <w:rsid w:val="00FA087E"/>
    <w:rsid w:val="00FA09F6"/>
    <w:rsid w:val="00FA0BF5"/>
    <w:rsid w:val="00FA0C05"/>
    <w:rsid w:val="00FA0C71"/>
    <w:rsid w:val="00FA0D16"/>
    <w:rsid w:val="00FA0DC9"/>
    <w:rsid w:val="00FA1334"/>
    <w:rsid w:val="00FA186E"/>
    <w:rsid w:val="00FA1A76"/>
    <w:rsid w:val="00FA1D4A"/>
    <w:rsid w:val="00FA1FD6"/>
    <w:rsid w:val="00FA207D"/>
    <w:rsid w:val="00FA214B"/>
    <w:rsid w:val="00FA2211"/>
    <w:rsid w:val="00FA2322"/>
    <w:rsid w:val="00FA234A"/>
    <w:rsid w:val="00FA26AA"/>
    <w:rsid w:val="00FA2702"/>
    <w:rsid w:val="00FA274E"/>
    <w:rsid w:val="00FA2AA8"/>
    <w:rsid w:val="00FA2CBF"/>
    <w:rsid w:val="00FA2CE7"/>
    <w:rsid w:val="00FA2EF7"/>
    <w:rsid w:val="00FA2F70"/>
    <w:rsid w:val="00FA306D"/>
    <w:rsid w:val="00FA307C"/>
    <w:rsid w:val="00FA330E"/>
    <w:rsid w:val="00FA336B"/>
    <w:rsid w:val="00FA33A3"/>
    <w:rsid w:val="00FA3538"/>
    <w:rsid w:val="00FA37A7"/>
    <w:rsid w:val="00FA38CA"/>
    <w:rsid w:val="00FA3986"/>
    <w:rsid w:val="00FA39F2"/>
    <w:rsid w:val="00FA403E"/>
    <w:rsid w:val="00FA4557"/>
    <w:rsid w:val="00FA477E"/>
    <w:rsid w:val="00FA49AC"/>
    <w:rsid w:val="00FA4B65"/>
    <w:rsid w:val="00FA4C00"/>
    <w:rsid w:val="00FA4D97"/>
    <w:rsid w:val="00FA4E30"/>
    <w:rsid w:val="00FA539A"/>
    <w:rsid w:val="00FA53C9"/>
    <w:rsid w:val="00FA541A"/>
    <w:rsid w:val="00FA562E"/>
    <w:rsid w:val="00FA56F6"/>
    <w:rsid w:val="00FA5787"/>
    <w:rsid w:val="00FA5A94"/>
    <w:rsid w:val="00FA5BA7"/>
    <w:rsid w:val="00FA5BB3"/>
    <w:rsid w:val="00FA5C0F"/>
    <w:rsid w:val="00FA5D35"/>
    <w:rsid w:val="00FA5D85"/>
    <w:rsid w:val="00FA5EB4"/>
    <w:rsid w:val="00FA5FA4"/>
    <w:rsid w:val="00FA6029"/>
    <w:rsid w:val="00FA6051"/>
    <w:rsid w:val="00FA6299"/>
    <w:rsid w:val="00FA6457"/>
    <w:rsid w:val="00FA65CC"/>
    <w:rsid w:val="00FA67DE"/>
    <w:rsid w:val="00FA699F"/>
    <w:rsid w:val="00FA6D5A"/>
    <w:rsid w:val="00FA720B"/>
    <w:rsid w:val="00FA722D"/>
    <w:rsid w:val="00FA73B0"/>
    <w:rsid w:val="00FA74C9"/>
    <w:rsid w:val="00FA7612"/>
    <w:rsid w:val="00FA76EB"/>
    <w:rsid w:val="00FA7813"/>
    <w:rsid w:val="00FA7890"/>
    <w:rsid w:val="00FA7ABC"/>
    <w:rsid w:val="00FA7C2B"/>
    <w:rsid w:val="00FA7C59"/>
    <w:rsid w:val="00FA7D6D"/>
    <w:rsid w:val="00FA7E45"/>
    <w:rsid w:val="00FB006B"/>
    <w:rsid w:val="00FB0126"/>
    <w:rsid w:val="00FB013B"/>
    <w:rsid w:val="00FB026D"/>
    <w:rsid w:val="00FB04F6"/>
    <w:rsid w:val="00FB05A5"/>
    <w:rsid w:val="00FB0607"/>
    <w:rsid w:val="00FB07AF"/>
    <w:rsid w:val="00FB0861"/>
    <w:rsid w:val="00FB0A15"/>
    <w:rsid w:val="00FB0A56"/>
    <w:rsid w:val="00FB0AA4"/>
    <w:rsid w:val="00FB0C42"/>
    <w:rsid w:val="00FB0D71"/>
    <w:rsid w:val="00FB1089"/>
    <w:rsid w:val="00FB1391"/>
    <w:rsid w:val="00FB1500"/>
    <w:rsid w:val="00FB1554"/>
    <w:rsid w:val="00FB19D7"/>
    <w:rsid w:val="00FB1A36"/>
    <w:rsid w:val="00FB1BCE"/>
    <w:rsid w:val="00FB1C76"/>
    <w:rsid w:val="00FB1CE0"/>
    <w:rsid w:val="00FB1D1D"/>
    <w:rsid w:val="00FB1E7D"/>
    <w:rsid w:val="00FB1EEE"/>
    <w:rsid w:val="00FB1FDD"/>
    <w:rsid w:val="00FB215E"/>
    <w:rsid w:val="00FB241A"/>
    <w:rsid w:val="00FB2536"/>
    <w:rsid w:val="00FB264A"/>
    <w:rsid w:val="00FB26F4"/>
    <w:rsid w:val="00FB2814"/>
    <w:rsid w:val="00FB2AE3"/>
    <w:rsid w:val="00FB2BD9"/>
    <w:rsid w:val="00FB2D6A"/>
    <w:rsid w:val="00FB30A1"/>
    <w:rsid w:val="00FB31AF"/>
    <w:rsid w:val="00FB32DE"/>
    <w:rsid w:val="00FB37A7"/>
    <w:rsid w:val="00FB3820"/>
    <w:rsid w:val="00FB399A"/>
    <w:rsid w:val="00FB3A30"/>
    <w:rsid w:val="00FB3B50"/>
    <w:rsid w:val="00FB3B86"/>
    <w:rsid w:val="00FB3C69"/>
    <w:rsid w:val="00FB3C84"/>
    <w:rsid w:val="00FB3CC0"/>
    <w:rsid w:val="00FB3D3B"/>
    <w:rsid w:val="00FB40E1"/>
    <w:rsid w:val="00FB42B3"/>
    <w:rsid w:val="00FB44D0"/>
    <w:rsid w:val="00FB44F5"/>
    <w:rsid w:val="00FB4885"/>
    <w:rsid w:val="00FB4892"/>
    <w:rsid w:val="00FB49BC"/>
    <w:rsid w:val="00FB4B85"/>
    <w:rsid w:val="00FB4CD6"/>
    <w:rsid w:val="00FB4CF2"/>
    <w:rsid w:val="00FB52A0"/>
    <w:rsid w:val="00FB52AA"/>
    <w:rsid w:val="00FB52FB"/>
    <w:rsid w:val="00FB5568"/>
    <w:rsid w:val="00FB571B"/>
    <w:rsid w:val="00FB5B6F"/>
    <w:rsid w:val="00FB5BA0"/>
    <w:rsid w:val="00FB5C9E"/>
    <w:rsid w:val="00FB5D7F"/>
    <w:rsid w:val="00FB5EE5"/>
    <w:rsid w:val="00FB6066"/>
    <w:rsid w:val="00FB62A4"/>
    <w:rsid w:val="00FB632F"/>
    <w:rsid w:val="00FB6357"/>
    <w:rsid w:val="00FB66E1"/>
    <w:rsid w:val="00FB6A60"/>
    <w:rsid w:val="00FB6DB7"/>
    <w:rsid w:val="00FB6FED"/>
    <w:rsid w:val="00FB7456"/>
    <w:rsid w:val="00FB75C4"/>
    <w:rsid w:val="00FB77F1"/>
    <w:rsid w:val="00FB7BE3"/>
    <w:rsid w:val="00FB7D1B"/>
    <w:rsid w:val="00FB7E8E"/>
    <w:rsid w:val="00FB7F33"/>
    <w:rsid w:val="00FB7F36"/>
    <w:rsid w:val="00FB7F97"/>
    <w:rsid w:val="00FB7FE9"/>
    <w:rsid w:val="00FC002A"/>
    <w:rsid w:val="00FC0302"/>
    <w:rsid w:val="00FC0321"/>
    <w:rsid w:val="00FC0376"/>
    <w:rsid w:val="00FC071F"/>
    <w:rsid w:val="00FC07B8"/>
    <w:rsid w:val="00FC084D"/>
    <w:rsid w:val="00FC08B1"/>
    <w:rsid w:val="00FC0A0F"/>
    <w:rsid w:val="00FC0B72"/>
    <w:rsid w:val="00FC0BC6"/>
    <w:rsid w:val="00FC0D35"/>
    <w:rsid w:val="00FC0D5C"/>
    <w:rsid w:val="00FC0D69"/>
    <w:rsid w:val="00FC0DAB"/>
    <w:rsid w:val="00FC1074"/>
    <w:rsid w:val="00FC11AB"/>
    <w:rsid w:val="00FC12F0"/>
    <w:rsid w:val="00FC1472"/>
    <w:rsid w:val="00FC152D"/>
    <w:rsid w:val="00FC1914"/>
    <w:rsid w:val="00FC1C67"/>
    <w:rsid w:val="00FC1CE0"/>
    <w:rsid w:val="00FC1F57"/>
    <w:rsid w:val="00FC1F81"/>
    <w:rsid w:val="00FC239F"/>
    <w:rsid w:val="00FC25F6"/>
    <w:rsid w:val="00FC2613"/>
    <w:rsid w:val="00FC274C"/>
    <w:rsid w:val="00FC283C"/>
    <w:rsid w:val="00FC29E8"/>
    <w:rsid w:val="00FC29FE"/>
    <w:rsid w:val="00FC2A14"/>
    <w:rsid w:val="00FC2B61"/>
    <w:rsid w:val="00FC2E09"/>
    <w:rsid w:val="00FC2E29"/>
    <w:rsid w:val="00FC2E8E"/>
    <w:rsid w:val="00FC325F"/>
    <w:rsid w:val="00FC3346"/>
    <w:rsid w:val="00FC355C"/>
    <w:rsid w:val="00FC394B"/>
    <w:rsid w:val="00FC398A"/>
    <w:rsid w:val="00FC39B2"/>
    <w:rsid w:val="00FC3A41"/>
    <w:rsid w:val="00FC3B8D"/>
    <w:rsid w:val="00FC3BBF"/>
    <w:rsid w:val="00FC3EB2"/>
    <w:rsid w:val="00FC3F61"/>
    <w:rsid w:val="00FC3FD4"/>
    <w:rsid w:val="00FC407E"/>
    <w:rsid w:val="00FC422E"/>
    <w:rsid w:val="00FC4313"/>
    <w:rsid w:val="00FC4531"/>
    <w:rsid w:val="00FC4553"/>
    <w:rsid w:val="00FC45B8"/>
    <w:rsid w:val="00FC46C9"/>
    <w:rsid w:val="00FC49ED"/>
    <w:rsid w:val="00FC4CFC"/>
    <w:rsid w:val="00FC4DBC"/>
    <w:rsid w:val="00FC5154"/>
    <w:rsid w:val="00FC520C"/>
    <w:rsid w:val="00FC5473"/>
    <w:rsid w:val="00FC5565"/>
    <w:rsid w:val="00FC5571"/>
    <w:rsid w:val="00FC579F"/>
    <w:rsid w:val="00FC586A"/>
    <w:rsid w:val="00FC58E3"/>
    <w:rsid w:val="00FC5950"/>
    <w:rsid w:val="00FC5AB1"/>
    <w:rsid w:val="00FC5AE5"/>
    <w:rsid w:val="00FC5B6A"/>
    <w:rsid w:val="00FC5BA4"/>
    <w:rsid w:val="00FC5EC8"/>
    <w:rsid w:val="00FC5F0B"/>
    <w:rsid w:val="00FC6010"/>
    <w:rsid w:val="00FC611F"/>
    <w:rsid w:val="00FC6192"/>
    <w:rsid w:val="00FC62B1"/>
    <w:rsid w:val="00FC6508"/>
    <w:rsid w:val="00FC6883"/>
    <w:rsid w:val="00FC6977"/>
    <w:rsid w:val="00FC6C11"/>
    <w:rsid w:val="00FC6CB5"/>
    <w:rsid w:val="00FC6DE7"/>
    <w:rsid w:val="00FC6E09"/>
    <w:rsid w:val="00FC70E3"/>
    <w:rsid w:val="00FC715B"/>
    <w:rsid w:val="00FC71AA"/>
    <w:rsid w:val="00FC71C5"/>
    <w:rsid w:val="00FC7261"/>
    <w:rsid w:val="00FC72F1"/>
    <w:rsid w:val="00FC78BE"/>
    <w:rsid w:val="00FC7905"/>
    <w:rsid w:val="00FC7981"/>
    <w:rsid w:val="00FC7A8C"/>
    <w:rsid w:val="00FC7CAC"/>
    <w:rsid w:val="00FC7D15"/>
    <w:rsid w:val="00FC7D8B"/>
    <w:rsid w:val="00FC7E9F"/>
    <w:rsid w:val="00FD0409"/>
    <w:rsid w:val="00FD045F"/>
    <w:rsid w:val="00FD0522"/>
    <w:rsid w:val="00FD0679"/>
    <w:rsid w:val="00FD088B"/>
    <w:rsid w:val="00FD0C56"/>
    <w:rsid w:val="00FD0D44"/>
    <w:rsid w:val="00FD0DB5"/>
    <w:rsid w:val="00FD10D4"/>
    <w:rsid w:val="00FD11B2"/>
    <w:rsid w:val="00FD1295"/>
    <w:rsid w:val="00FD134A"/>
    <w:rsid w:val="00FD16B8"/>
    <w:rsid w:val="00FD1797"/>
    <w:rsid w:val="00FD1CBF"/>
    <w:rsid w:val="00FD1F7D"/>
    <w:rsid w:val="00FD2076"/>
    <w:rsid w:val="00FD2139"/>
    <w:rsid w:val="00FD2443"/>
    <w:rsid w:val="00FD24E6"/>
    <w:rsid w:val="00FD25B9"/>
    <w:rsid w:val="00FD275C"/>
    <w:rsid w:val="00FD2967"/>
    <w:rsid w:val="00FD2B38"/>
    <w:rsid w:val="00FD2CC0"/>
    <w:rsid w:val="00FD30FB"/>
    <w:rsid w:val="00FD3185"/>
    <w:rsid w:val="00FD321B"/>
    <w:rsid w:val="00FD32B5"/>
    <w:rsid w:val="00FD3404"/>
    <w:rsid w:val="00FD348B"/>
    <w:rsid w:val="00FD34D2"/>
    <w:rsid w:val="00FD34F0"/>
    <w:rsid w:val="00FD363E"/>
    <w:rsid w:val="00FD36A1"/>
    <w:rsid w:val="00FD36D1"/>
    <w:rsid w:val="00FD385F"/>
    <w:rsid w:val="00FD3932"/>
    <w:rsid w:val="00FD3F68"/>
    <w:rsid w:val="00FD40ED"/>
    <w:rsid w:val="00FD4253"/>
    <w:rsid w:val="00FD42CC"/>
    <w:rsid w:val="00FD4366"/>
    <w:rsid w:val="00FD4689"/>
    <w:rsid w:val="00FD4697"/>
    <w:rsid w:val="00FD4898"/>
    <w:rsid w:val="00FD4B37"/>
    <w:rsid w:val="00FD4C21"/>
    <w:rsid w:val="00FD4DD2"/>
    <w:rsid w:val="00FD4F51"/>
    <w:rsid w:val="00FD5208"/>
    <w:rsid w:val="00FD56D6"/>
    <w:rsid w:val="00FD59D7"/>
    <w:rsid w:val="00FD5C82"/>
    <w:rsid w:val="00FD5E6A"/>
    <w:rsid w:val="00FD5E77"/>
    <w:rsid w:val="00FD5FB2"/>
    <w:rsid w:val="00FD6308"/>
    <w:rsid w:val="00FD63B2"/>
    <w:rsid w:val="00FD644A"/>
    <w:rsid w:val="00FD677C"/>
    <w:rsid w:val="00FD6786"/>
    <w:rsid w:val="00FD6894"/>
    <w:rsid w:val="00FD694C"/>
    <w:rsid w:val="00FD699C"/>
    <w:rsid w:val="00FD69EC"/>
    <w:rsid w:val="00FD6A76"/>
    <w:rsid w:val="00FD6AAE"/>
    <w:rsid w:val="00FD6C4A"/>
    <w:rsid w:val="00FD6D04"/>
    <w:rsid w:val="00FD7585"/>
    <w:rsid w:val="00FD7681"/>
    <w:rsid w:val="00FD7B66"/>
    <w:rsid w:val="00FD7C01"/>
    <w:rsid w:val="00FD7C95"/>
    <w:rsid w:val="00FD7DB8"/>
    <w:rsid w:val="00FE022C"/>
    <w:rsid w:val="00FE03A0"/>
    <w:rsid w:val="00FE050A"/>
    <w:rsid w:val="00FE0702"/>
    <w:rsid w:val="00FE07A2"/>
    <w:rsid w:val="00FE090B"/>
    <w:rsid w:val="00FE0A2E"/>
    <w:rsid w:val="00FE0D7C"/>
    <w:rsid w:val="00FE0D82"/>
    <w:rsid w:val="00FE1024"/>
    <w:rsid w:val="00FE1051"/>
    <w:rsid w:val="00FE1211"/>
    <w:rsid w:val="00FE1372"/>
    <w:rsid w:val="00FE2181"/>
    <w:rsid w:val="00FE2320"/>
    <w:rsid w:val="00FE235F"/>
    <w:rsid w:val="00FE2672"/>
    <w:rsid w:val="00FE2732"/>
    <w:rsid w:val="00FE2763"/>
    <w:rsid w:val="00FE2848"/>
    <w:rsid w:val="00FE287C"/>
    <w:rsid w:val="00FE2B19"/>
    <w:rsid w:val="00FE2CA8"/>
    <w:rsid w:val="00FE2FAA"/>
    <w:rsid w:val="00FE3080"/>
    <w:rsid w:val="00FE3168"/>
    <w:rsid w:val="00FE319E"/>
    <w:rsid w:val="00FE31B9"/>
    <w:rsid w:val="00FE33EC"/>
    <w:rsid w:val="00FE34B1"/>
    <w:rsid w:val="00FE38F5"/>
    <w:rsid w:val="00FE38F7"/>
    <w:rsid w:val="00FE3930"/>
    <w:rsid w:val="00FE394E"/>
    <w:rsid w:val="00FE39C2"/>
    <w:rsid w:val="00FE408B"/>
    <w:rsid w:val="00FE40B3"/>
    <w:rsid w:val="00FE44E4"/>
    <w:rsid w:val="00FE4A22"/>
    <w:rsid w:val="00FE4B70"/>
    <w:rsid w:val="00FE4B79"/>
    <w:rsid w:val="00FE4E3F"/>
    <w:rsid w:val="00FE4E95"/>
    <w:rsid w:val="00FE4F6C"/>
    <w:rsid w:val="00FE516E"/>
    <w:rsid w:val="00FE5336"/>
    <w:rsid w:val="00FE539B"/>
    <w:rsid w:val="00FE53E5"/>
    <w:rsid w:val="00FE5523"/>
    <w:rsid w:val="00FE57D1"/>
    <w:rsid w:val="00FE5B71"/>
    <w:rsid w:val="00FE5C21"/>
    <w:rsid w:val="00FE5C93"/>
    <w:rsid w:val="00FE5D1B"/>
    <w:rsid w:val="00FE5E90"/>
    <w:rsid w:val="00FE6054"/>
    <w:rsid w:val="00FE62FD"/>
    <w:rsid w:val="00FE680E"/>
    <w:rsid w:val="00FE6980"/>
    <w:rsid w:val="00FE69E1"/>
    <w:rsid w:val="00FE6A02"/>
    <w:rsid w:val="00FE6B28"/>
    <w:rsid w:val="00FE6C7E"/>
    <w:rsid w:val="00FE6DBF"/>
    <w:rsid w:val="00FE713D"/>
    <w:rsid w:val="00FE7145"/>
    <w:rsid w:val="00FE719A"/>
    <w:rsid w:val="00FE765D"/>
    <w:rsid w:val="00FE782F"/>
    <w:rsid w:val="00FE7AA5"/>
    <w:rsid w:val="00FE7C47"/>
    <w:rsid w:val="00FE7CB8"/>
    <w:rsid w:val="00FE7CD7"/>
    <w:rsid w:val="00FE7E88"/>
    <w:rsid w:val="00FF0580"/>
    <w:rsid w:val="00FF05F3"/>
    <w:rsid w:val="00FF065E"/>
    <w:rsid w:val="00FF06C1"/>
    <w:rsid w:val="00FF0BB1"/>
    <w:rsid w:val="00FF0DF9"/>
    <w:rsid w:val="00FF0E61"/>
    <w:rsid w:val="00FF10E4"/>
    <w:rsid w:val="00FF11AB"/>
    <w:rsid w:val="00FF11F6"/>
    <w:rsid w:val="00FF1C6A"/>
    <w:rsid w:val="00FF1EC0"/>
    <w:rsid w:val="00FF1FA8"/>
    <w:rsid w:val="00FF1FB9"/>
    <w:rsid w:val="00FF1FC0"/>
    <w:rsid w:val="00FF2088"/>
    <w:rsid w:val="00FF21B8"/>
    <w:rsid w:val="00FF22B5"/>
    <w:rsid w:val="00FF24D4"/>
    <w:rsid w:val="00FF26DD"/>
    <w:rsid w:val="00FF27B9"/>
    <w:rsid w:val="00FF2AF8"/>
    <w:rsid w:val="00FF2BCC"/>
    <w:rsid w:val="00FF2E6C"/>
    <w:rsid w:val="00FF2FAE"/>
    <w:rsid w:val="00FF3371"/>
    <w:rsid w:val="00FF3373"/>
    <w:rsid w:val="00FF33AF"/>
    <w:rsid w:val="00FF33C3"/>
    <w:rsid w:val="00FF379E"/>
    <w:rsid w:val="00FF37C6"/>
    <w:rsid w:val="00FF39B5"/>
    <w:rsid w:val="00FF3F83"/>
    <w:rsid w:val="00FF4057"/>
    <w:rsid w:val="00FF455A"/>
    <w:rsid w:val="00FF4588"/>
    <w:rsid w:val="00FF46BD"/>
    <w:rsid w:val="00FF4712"/>
    <w:rsid w:val="00FF4743"/>
    <w:rsid w:val="00FF49B2"/>
    <w:rsid w:val="00FF49DF"/>
    <w:rsid w:val="00FF4A6F"/>
    <w:rsid w:val="00FF4BFB"/>
    <w:rsid w:val="00FF4E21"/>
    <w:rsid w:val="00FF4E6A"/>
    <w:rsid w:val="00FF4F17"/>
    <w:rsid w:val="00FF518F"/>
    <w:rsid w:val="00FF5210"/>
    <w:rsid w:val="00FF523F"/>
    <w:rsid w:val="00FF5639"/>
    <w:rsid w:val="00FF56C5"/>
    <w:rsid w:val="00FF5B50"/>
    <w:rsid w:val="00FF6051"/>
    <w:rsid w:val="00FF6156"/>
    <w:rsid w:val="00FF62CE"/>
    <w:rsid w:val="00FF6308"/>
    <w:rsid w:val="00FF6354"/>
    <w:rsid w:val="00FF662B"/>
    <w:rsid w:val="00FF6F93"/>
    <w:rsid w:val="00FF7003"/>
    <w:rsid w:val="00FF7238"/>
    <w:rsid w:val="00FF732E"/>
    <w:rsid w:val="00FF736F"/>
    <w:rsid w:val="00FF73D5"/>
    <w:rsid w:val="00FF757F"/>
    <w:rsid w:val="00FF7662"/>
    <w:rsid w:val="00FF76AC"/>
    <w:rsid w:val="00FF78DF"/>
    <w:rsid w:val="00FF7A4B"/>
    <w:rsid w:val="00FF7B3B"/>
    <w:rsid w:val="01470BF5"/>
    <w:rsid w:val="0156B29C"/>
    <w:rsid w:val="019C8963"/>
    <w:rsid w:val="0216D0A4"/>
    <w:rsid w:val="0216F035"/>
    <w:rsid w:val="021917AE"/>
    <w:rsid w:val="02501088"/>
    <w:rsid w:val="02B712F3"/>
    <w:rsid w:val="02C892E9"/>
    <w:rsid w:val="02ECEC53"/>
    <w:rsid w:val="03220720"/>
    <w:rsid w:val="033ACDBF"/>
    <w:rsid w:val="043EB209"/>
    <w:rsid w:val="04542CC3"/>
    <w:rsid w:val="059B1A37"/>
    <w:rsid w:val="05AF454A"/>
    <w:rsid w:val="05D78A1F"/>
    <w:rsid w:val="05DAA4BB"/>
    <w:rsid w:val="0621E758"/>
    <w:rsid w:val="062CE6BA"/>
    <w:rsid w:val="064C7E9D"/>
    <w:rsid w:val="06B683B2"/>
    <w:rsid w:val="07281902"/>
    <w:rsid w:val="076A1408"/>
    <w:rsid w:val="076DBCAE"/>
    <w:rsid w:val="082EA4A2"/>
    <w:rsid w:val="08B0319F"/>
    <w:rsid w:val="08B80A23"/>
    <w:rsid w:val="08FC71AB"/>
    <w:rsid w:val="09757CE9"/>
    <w:rsid w:val="098A3711"/>
    <w:rsid w:val="09DC198D"/>
    <w:rsid w:val="0A718B39"/>
    <w:rsid w:val="0A730481"/>
    <w:rsid w:val="0A8F33BD"/>
    <w:rsid w:val="0B0FC4B4"/>
    <w:rsid w:val="0BCFEA09"/>
    <w:rsid w:val="0C80537B"/>
    <w:rsid w:val="0C88D564"/>
    <w:rsid w:val="0DC4E5F1"/>
    <w:rsid w:val="0DF189E8"/>
    <w:rsid w:val="0E9CDC73"/>
    <w:rsid w:val="0EEDD8B3"/>
    <w:rsid w:val="0F7DE147"/>
    <w:rsid w:val="0F8B7998"/>
    <w:rsid w:val="10A94B8A"/>
    <w:rsid w:val="10CE4128"/>
    <w:rsid w:val="10F5D50B"/>
    <w:rsid w:val="11013122"/>
    <w:rsid w:val="1182F586"/>
    <w:rsid w:val="11B3BF1D"/>
    <w:rsid w:val="11B923BF"/>
    <w:rsid w:val="11D6EDF3"/>
    <w:rsid w:val="11DE4727"/>
    <w:rsid w:val="11E7E799"/>
    <w:rsid w:val="126A7E1D"/>
    <w:rsid w:val="12927CD0"/>
    <w:rsid w:val="12AE2B52"/>
    <w:rsid w:val="12BE1EA7"/>
    <w:rsid w:val="12E47AB4"/>
    <w:rsid w:val="12FAAC4C"/>
    <w:rsid w:val="13B32FE6"/>
    <w:rsid w:val="13F68E65"/>
    <w:rsid w:val="1431F99E"/>
    <w:rsid w:val="150C3E82"/>
    <w:rsid w:val="15142795"/>
    <w:rsid w:val="1519AA04"/>
    <w:rsid w:val="155A8466"/>
    <w:rsid w:val="1570241C"/>
    <w:rsid w:val="15A43D88"/>
    <w:rsid w:val="15EADBF8"/>
    <w:rsid w:val="15EEB632"/>
    <w:rsid w:val="165DFBB5"/>
    <w:rsid w:val="166101F2"/>
    <w:rsid w:val="168284AC"/>
    <w:rsid w:val="16EA873B"/>
    <w:rsid w:val="16F02D4D"/>
    <w:rsid w:val="16F0EBCB"/>
    <w:rsid w:val="170F0304"/>
    <w:rsid w:val="1738ACD1"/>
    <w:rsid w:val="17A30E0D"/>
    <w:rsid w:val="18100124"/>
    <w:rsid w:val="1813646E"/>
    <w:rsid w:val="1847B859"/>
    <w:rsid w:val="18DB523B"/>
    <w:rsid w:val="18E5623B"/>
    <w:rsid w:val="1923F607"/>
    <w:rsid w:val="1960BB6A"/>
    <w:rsid w:val="1961C59D"/>
    <w:rsid w:val="19701BF0"/>
    <w:rsid w:val="19F5D3DD"/>
    <w:rsid w:val="1A9230B1"/>
    <w:rsid w:val="1AA40A6F"/>
    <w:rsid w:val="1AF4DC51"/>
    <w:rsid w:val="1B3E67C8"/>
    <w:rsid w:val="1B71EA3C"/>
    <w:rsid w:val="1BE56EC4"/>
    <w:rsid w:val="1BF35AA6"/>
    <w:rsid w:val="1C6C0C8F"/>
    <w:rsid w:val="1CA076C8"/>
    <w:rsid w:val="1CE8F320"/>
    <w:rsid w:val="1D152872"/>
    <w:rsid w:val="1D41375B"/>
    <w:rsid w:val="1D4E832A"/>
    <w:rsid w:val="1D9E6C8B"/>
    <w:rsid w:val="1DCAE8A0"/>
    <w:rsid w:val="1E3A8E6F"/>
    <w:rsid w:val="1E6EF008"/>
    <w:rsid w:val="1E92BC2A"/>
    <w:rsid w:val="1E92DB9B"/>
    <w:rsid w:val="1ED8A263"/>
    <w:rsid w:val="1F3D9088"/>
    <w:rsid w:val="1F557D2D"/>
    <w:rsid w:val="1F7278A0"/>
    <w:rsid w:val="1F760861"/>
    <w:rsid w:val="1F9ECEB3"/>
    <w:rsid w:val="1FA1FFBE"/>
    <w:rsid w:val="200EB8BB"/>
    <w:rsid w:val="2026F277"/>
    <w:rsid w:val="202A04F1"/>
    <w:rsid w:val="20594952"/>
    <w:rsid w:val="20D43361"/>
    <w:rsid w:val="213020E0"/>
    <w:rsid w:val="213CCEF1"/>
    <w:rsid w:val="21771F25"/>
    <w:rsid w:val="21AA3338"/>
    <w:rsid w:val="227C1108"/>
    <w:rsid w:val="22C7DFDD"/>
    <w:rsid w:val="22EFD747"/>
    <w:rsid w:val="231E279A"/>
    <w:rsid w:val="2372CE23"/>
    <w:rsid w:val="23BFC9B2"/>
    <w:rsid w:val="23C544FB"/>
    <w:rsid w:val="243B42CF"/>
    <w:rsid w:val="2440768E"/>
    <w:rsid w:val="24813CBE"/>
    <w:rsid w:val="25230D13"/>
    <w:rsid w:val="25384C10"/>
    <w:rsid w:val="25527A4A"/>
    <w:rsid w:val="25AD3F37"/>
    <w:rsid w:val="25E2F3EE"/>
    <w:rsid w:val="260CEE1A"/>
    <w:rsid w:val="265BAD60"/>
    <w:rsid w:val="26A661FB"/>
    <w:rsid w:val="26C8E129"/>
    <w:rsid w:val="27020846"/>
    <w:rsid w:val="2736BA89"/>
    <w:rsid w:val="2751ECFD"/>
    <w:rsid w:val="27BDB1BA"/>
    <w:rsid w:val="28100B69"/>
    <w:rsid w:val="28208622"/>
    <w:rsid w:val="2821E755"/>
    <w:rsid w:val="2837FEF3"/>
    <w:rsid w:val="28443F86"/>
    <w:rsid w:val="2863926B"/>
    <w:rsid w:val="286BDC68"/>
    <w:rsid w:val="2888E840"/>
    <w:rsid w:val="28ABE75B"/>
    <w:rsid w:val="28C39286"/>
    <w:rsid w:val="28E4ADC8"/>
    <w:rsid w:val="293F4BE6"/>
    <w:rsid w:val="2957FC08"/>
    <w:rsid w:val="29EF3CAD"/>
    <w:rsid w:val="29F0AC72"/>
    <w:rsid w:val="29F9F9E9"/>
    <w:rsid w:val="2A2DDA07"/>
    <w:rsid w:val="2A3EC601"/>
    <w:rsid w:val="2ABB5799"/>
    <w:rsid w:val="2ABDD817"/>
    <w:rsid w:val="2B0A1335"/>
    <w:rsid w:val="2B5A251A"/>
    <w:rsid w:val="2BA1EE96"/>
    <w:rsid w:val="2BDFEE08"/>
    <w:rsid w:val="2C76F4C6"/>
    <w:rsid w:val="2CC4C83A"/>
    <w:rsid w:val="2D1506AF"/>
    <w:rsid w:val="2D46D23A"/>
    <w:rsid w:val="2DD56FF3"/>
    <w:rsid w:val="2E02B930"/>
    <w:rsid w:val="2E4EC9B9"/>
    <w:rsid w:val="2EECD306"/>
    <w:rsid w:val="2EF2AE09"/>
    <w:rsid w:val="2F36E70F"/>
    <w:rsid w:val="2FE57425"/>
    <w:rsid w:val="2FF386C9"/>
    <w:rsid w:val="30A87D1B"/>
    <w:rsid w:val="30C8E598"/>
    <w:rsid w:val="31023ACB"/>
    <w:rsid w:val="3145F57F"/>
    <w:rsid w:val="3147A25E"/>
    <w:rsid w:val="31E08065"/>
    <w:rsid w:val="3207ED83"/>
    <w:rsid w:val="3213151C"/>
    <w:rsid w:val="327B1541"/>
    <w:rsid w:val="3316DEF7"/>
    <w:rsid w:val="332529DF"/>
    <w:rsid w:val="33604DE6"/>
    <w:rsid w:val="3374A942"/>
    <w:rsid w:val="337CC4E0"/>
    <w:rsid w:val="33A4EB10"/>
    <w:rsid w:val="340A6A28"/>
    <w:rsid w:val="340F5436"/>
    <w:rsid w:val="34229075"/>
    <w:rsid w:val="35051FEC"/>
    <w:rsid w:val="3505300A"/>
    <w:rsid w:val="354D045C"/>
    <w:rsid w:val="3582124E"/>
    <w:rsid w:val="3595B161"/>
    <w:rsid w:val="35E0CA24"/>
    <w:rsid w:val="35FE87B8"/>
    <w:rsid w:val="360F25D7"/>
    <w:rsid w:val="36B19CEC"/>
    <w:rsid w:val="36B50988"/>
    <w:rsid w:val="36DAE800"/>
    <w:rsid w:val="372E5104"/>
    <w:rsid w:val="374E76BD"/>
    <w:rsid w:val="382852FA"/>
    <w:rsid w:val="38B10E8D"/>
    <w:rsid w:val="38FE4615"/>
    <w:rsid w:val="3906D86E"/>
    <w:rsid w:val="3932FC37"/>
    <w:rsid w:val="397DCC6E"/>
    <w:rsid w:val="3999FE95"/>
    <w:rsid w:val="399D2373"/>
    <w:rsid w:val="39CB2643"/>
    <w:rsid w:val="3A0BC0CE"/>
    <w:rsid w:val="3A1438F7"/>
    <w:rsid w:val="3A1FDCFE"/>
    <w:rsid w:val="3A69808B"/>
    <w:rsid w:val="3B2F5DE9"/>
    <w:rsid w:val="3B740BC7"/>
    <w:rsid w:val="3B9673E8"/>
    <w:rsid w:val="3C04CBF8"/>
    <w:rsid w:val="3C0A7F2C"/>
    <w:rsid w:val="3C58C38A"/>
    <w:rsid w:val="3C5F880C"/>
    <w:rsid w:val="3C8C3C02"/>
    <w:rsid w:val="3CE36D4E"/>
    <w:rsid w:val="3D5517E0"/>
    <w:rsid w:val="3D6ACDB3"/>
    <w:rsid w:val="3E043F21"/>
    <w:rsid w:val="3E8D2FE2"/>
    <w:rsid w:val="3EBC9E14"/>
    <w:rsid w:val="3F2E5C12"/>
    <w:rsid w:val="3FBBAC36"/>
    <w:rsid w:val="3FD306B2"/>
    <w:rsid w:val="3FD8015C"/>
    <w:rsid w:val="3FE82422"/>
    <w:rsid w:val="3FE9230F"/>
    <w:rsid w:val="3FEAC222"/>
    <w:rsid w:val="3FF0284E"/>
    <w:rsid w:val="4005DB15"/>
    <w:rsid w:val="404F1FF3"/>
    <w:rsid w:val="4074F62E"/>
    <w:rsid w:val="40C32E75"/>
    <w:rsid w:val="40CCB9CF"/>
    <w:rsid w:val="40FD5475"/>
    <w:rsid w:val="410F208E"/>
    <w:rsid w:val="41164226"/>
    <w:rsid w:val="4173171E"/>
    <w:rsid w:val="41CE71E2"/>
    <w:rsid w:val="422D5F1E"/>
    <w:rsid w:val="42376AF6"/>
    <w:rsid w:val="424C7783"/>
    <w:rsid w:val="42690A17"/>
    <w:rsid w:val="42AB90C6"/>
    <w:rsid w:val="42EF3125"/>
    <w:rsid w:val="42F007DC"/>
    <w:rsid w:val="432D73B4"/>
    <w:rsid w:val="432E1A55"/>
    <w:rsid w:val="4374F6D4"/>
    <w:rsid w:val="43B44550"/>
    <w:rsid w:val="43E530B5"/>
    <w:rsid w:val="441D4084"/>
    <w:rsid w:val="44319C22"/>
    <w:rsid w:val="4443ED6E"/>
    <w:rsid w:val="447FA29B"/>
    <w:rsid w:val="44EA9222"/>
    <w:rsid w:val="4531347F"/>
    <w:rsid w:val="4569BBE0"/>
    <w:rsid w:val="4573BEB7"/>
    <w:rsid w:val="4582B830"/>
    <w:rsid w:val="45A691B9"/>
    <w:rsid w:val="45B79E5A"/>
    <w:rsid w:val="45EE0CBA"/>
    <w:rsid w:val="4603D374"/>
    <w:rsid w:val="464206C6"/>
    <w:rsid w:val="46B0E786"/>
    <w:rsid w:val="4730E1B4"/>
    <w:rsid w:val="474EE8A8"/>
    <w:rsid w:val="477E862B"/>
    <w:rsid w:val="479654AC"/>
    <w:rsid w:val="479CCE2E"/>
    <w:rsid w:val="47CF9944"/>
    <w:rsid w:val="480E1C79"/>
    <w:rsid w:val="493E0D78"/>
    <w:rsid w:val="49608029"/>
    <w:rsid w:val="4997684D"/>
    <w:rsid w:val="499B3396"/>
    <w:rsid w:val="49D67E7A"/>
    <w:rsid w:val="4A041343"/>
    <w:rsid w:val="4ACED428"/>
    <w:rsid w:val="4AF53CCD"/>
    <w:rsid w:val="4AFF26CF"/>
    <w:rsid w:val="4B75EDC9"/>
    <w:rsid w:val="4B96C804"/>
    <w:rsid w:val="4C054962"/>
    <w:rsid w:val="4C0B17C0"/>
    <w:rsid w:val="4C98C197"/>
    <w:rsid w:val="4CC92DBB"/>
    <w:rsid w:val="4CD66EF9"/>
    <w:rsid w:val="4D09F457"/>
    <w:rsid w:val="4D41042E"/>
    <w:rsid w:val="4D451CC7"/>
    <w:rsid w:val="4D663A08"/>
    <w:rsid w:val="4D94F5D8"/>
    <w:rsid w:val="4DA08442"/>
    <w:rsid w:val="4DB9BF82"/>
    <w:rsid w:val="4DCEBF01"/>
    <w:rsid w:val="4DF8BDC0"/>
    <w:rsid w:val="4E1BE460"/>
    <w:rsid w:val="4E9A5808"/>
    <w:rsid w:val="4F38CB7E"/>
    <w:rsid w:val="4F79DD93"/>
    <w:rsid w:val="4F8EEA5F"/>
    <w:rsid w:val="507B8113"/>
    <w:rsid w:val="50821E4A"/>
    <w:rsid w:val="50BEB9B6"/>
    <w:rsid w:val="50CBB674"/>
    <w:rsid w:val="519A5941"/>
    <w:rsid w:val="523E3669"/>
    <w:rsid w:val="5288516B"/>
    <w:rsid w:val="52F87E32"/>
    <w:rsid w:val="53135B85"/>
    <w:rsid w:val="53143AF0"/>
    <w:rsid w:val="5370DEA8"/>
    <w:rsid w:val="53972B88"/>
    <w:rsid w:val="53A6AA49"/>
    <w:rsid w:val="548D88FE"/>
    <w:rsid w:val="550BFDE4"/>
    <w:rsid w:val="553716CF"/>
    <w:rsid w:val="554DF895"/>
    <w:rsid w:val="558B9081"/>
    <w:rsid w:val="55BD57C7"/>
    <w:rsid w:val="55C602EA"/>
    <w:rsid w:val="56162D60"/>
    <w:rsid w:val="562B19B8"/>
    <w:rsid w:val="5709ED90"/>
    <w:rsid w:val="574864DF"/>
    <w:rsid w:val="57A83132"/>
    <w:rsid w:val="57B7F27D"/>
    <w:rsid w:val="580A45DD"/>
    <w:rsid w:val="583C3057"/>
    <w:rsid w:val="58A97E6D"/>
    <w:rsid w:val="58AE451D"/>
    <w:rsid w:val="58FFD696"/>
    <w:rsid w:val="5917ACE0"/>
    <w:rsid w:val="5A217A3F"/>
    <w:rsid w:val="5A2993A3"/>
    <w:rsid w:val="5A436E30"/>
    <w:rsid w:val="5A606EDA"/>
    <w:rsid w:val="5A694A37"/>
    <w:rsid w:val="5BB5B428"/>
    <w:rsid w:val="5C0CBF34"/>
    <w:rsid w:val="5C181C54"/>
    <w:rsid w:val="5C8F017B"/>
    <w:rsid w:val="5CDE221B"/>
    <w:rsid w:val="5D31F096"/>
    <w:rsid w:val="5D4BB303"/>
    <w:rsid w:val="5DBE34AF"/>
    <w:rsid w:val="5E283A23"/>
    <w:rsid w:val="5E65E30C"/>
    <w:rsid w:val="5E6842C5"/>
    <w:rsid w:val="5ED7C081"/>
    <w:rsid w:val="5F218F36"/>
    <w:rsid w:val="5F5FBCCE"/>
    <w:rsid w:val="5F7BF92C"/>
    <w:rsid w:val="5FE38CEE"/>
    <w:rsid w:val="5FEED2FD"/>
    <w:rsid w:val="60BED6D6"/>
    <w:rsid w:val="60D9C6AD"/>
    <w:rsid w:val="60E59F5A"/>
    <w:rsid w:val="611ECEDB"/>
    <w:rsid w:val="61C0A948"/>
    <w:rsid w:val="61DA95E4"/>
    <w:rsid w:val="6253EFF9"/>
    <w:rsid w:val="6265BC7C"/>
    <w:rsid w:val="630DB025"/>
    <w:rsid w:val="6317236A"/>
    <w:rsid w:val="63A34045"/>
    <w:rsid w:val="63D0B87F"/>
    <w:rsid w:val="642DA94D"/>
    <w:rsid w:val="647FA2AB"/>
    <w:rsid w:val="64D958BB"/>
    <w:rsid w:val="6501EC5F"/>
    <w:rsid w:val="650DACCC"/>
    <w:rsid w:val="652BBFCA"/>
    <w:rsid w:val="659C4015"/>
    <w:rsid w:val="65DEB366"/>
    <w:rsid w:val="65EE38E1"/>
    <w:rsid w:val="66498EA9"/>
    <w:rsid w:val="67070951"/>
    <w:rsid w:val="673097C1"/>
    <w:rsid w:val="6733250E"/>
    <w:rsid w:val="675C1FA1"/>
    <w:rsid w:val="6822C174"/>
    <w:rsid w:val="6831FA64"/>
    <w:rsid w:val="685D2D51"/>
    <w:rsid w:val="689F752A"/>
    <w:rsid w:val="68C29478"/>
    <w:rsid w:val="6980208C"/>
    <w:rsid w:val="69F41088"/>
    <w:rsid w:val="6A36E8F6"/>
    <w:rsid w:val="6A653216"/>
    <w:rsid w:val="6B86141F"/>
    <w:rsid w:val="6BB6444E"/>
    <w:rsid w:val="6BD391C4"/>
    <w:rsid w:val="6BDC49C8"/>
    <w:rsid w:val="6C30FA5F"/>
    <w:rsid w:val="6CA5B4AC"/>
    <w:rsid w:val="6CBBCA2A"/>
    <w:rsid w:val="6CFB27EA"/>
    <w:rsid w:val="6D169821"/>
    <w:rsid w:val="6D67B7A7"/>
    <w:rsid w:val="6DA7F1D8"/>
    <w:rsid w:val="6DB29612"/>
    <w:rsid w:val="6DBA3665"/>
    <w:rsid w:val="6DE226D2"/>
    <w:rsid w:val="6F5C9207"/>
    <w:rsid w:val="6FC49279"/>
    <w:rsid w:val="6FD78220"/>
    <w:rsid w:val="70789303"/>
    <w:rsid w:val="70DE73E0"/>
    <w:rsid w:val="70E6888A"/>
    <w:rsid w:val="70F4999E"/>
    <w:rsid w:val="710BAEED"/>
    <w:rsid w:val="714CBD78"/>
    <w:rsid w:val="71A1F489"/>
    <w:rsid w:val="71FC4615"/>
    <w:rsid w:val="72599590"/>
    <w:rsid w:val="727E896D"/>
    <w:rsid w:val="72D75BC4"/>
    <w:rsid w:val="735DF3A8"/>
    <w:rsid w:val="7378DF7F"/>
    <w:rsid w:val="738B1531"/>
    <w:rsid w:val="73A1825A"/>
    <w:rsid w:val="73C325FF"/>
    <w:rsid w:val="741609A2"/>
    <w:rsid w:val="741D3DEB"/>
    <w:rsid w:val="7451025F"/>
    <w:rsid w:val="7486EC97"/>
    <w:rsid w:val="75640A54"/>
    <w:rsid w:val="756FB492"/>
    <w:rsid w:val="760760C0"/>
    <w:rsid w:val="76E89321"/>
    <w:rsid w:val="76F9DF4D"/>
    <w:rsid w:val="77103F92"/>
    <w:rsid w:val="77442860"/>
    <w:rsid w:val="77A4378C"/>
    <w:rsid w:val="77ED4ADA"/>
    <w:rsid w:val="782429D1"/>
    <w:rsid w:val="7825D986"/>
    <w:rsid w:val="785E9497"/>
    <w:rsid w:val="78AF5497"/>
    <w:rsid w:val="7921C948"/>
    <w:rsid w:val="795D0AF2"/>
    <w:rsid w:val="799623AB"/>
    <w:rsid w:val="79AC64E0"/>
    <w:rsid w:val="79C67880"/>
    <w:rsid w:val="79FD0812"/>
    <w:rsid w:val="7A2438A4"/>
    <w:rsid w:val="7A7C07E6"/>
    <w:rsid w:val="7A7DCA9F"/>
    <w:rsid w:val="7AD378C3"/>
    <w:rsid w:val="7AFE922D"/>
    <w:rsid w:val="7B0FF469"/>
    <w:rsid w:val="7B1170E6"/>
    <w:rsid w:val="7B3DA68D"/>
    <w:rsid w:val="7B49FE89"/>
    <w:rsid w:val="7B596D49"/>
    <w:rsid w:val="7B63FEB2"/>
    <w:rsid w:val="7B76C61C"/>
    <w:rsid w:val="7B8F28AE"/>
    <w:rsid w:val="7BD89555"/>
    <w:rsid w:val="7BE24DD5"/>
    <w:rsid w:val="7BEF44FE"/>
    <w:rsid w:val="7C1341E2"/>
    <w:rsid w:val="7C4067CC"/>
    <w:rsid w:val="7C651BF4"/>
    <w:rsid w:val="7C7E09A3"/>
    <w:rsid w:val="7C9BAD38"/>
    <w:rsid w:val="7C9ED630"/>
    <w:rsid w:val="7CF71C87"/>
    <w:rsid w:val="7D543141"/>
    <w:rsid w:val="7D6C53EA"/>
    <w:rsid w:val="7D7278C2"/>
    <w:rsid w:val="7DCF4657"/>
    <w:rsid w:val="7E4470A6"/>
    <w:rsid w:val="7E475D90"/>
    <w:rsid w:val="7E8D1CEC"/>
    <w:rsid w:val="7E96C363"/>
    <w:rsid w:val="7EB981AA"/>
    <w:rsid w:val="7EFAB45F"/>
    <w:rsid w:val="7F0A7CD2"/>
    <w:rsid w:val="7F13C26F"/>
    <w:rsid w:val="7F28CCA5"/>
    <w:rsid w:val="7F409ADC"/>
    <w:rsid w:val="7F6A4D48"/>
    <w:rsid w:val="7FDB6A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08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F5B"/>
    <w:pPr>
      <w:spacing w:before="120" w:after="160" w:line="259" w:lineRule="auto"/>
    </w:pPr>
    <w:rPr>
      <w:rFonts w:ascii="Franklin Gothic Book" w:eastAsia="Times New Roman" w:hAnsi="Franklin Gothic Book"/>
      <w:sz w:val="22"/>
      <w:szCs w:val="22"/>
      <w:lang w:eastAsia="ja-JP"/>
    </w:rPr>
  </w:style>
  <w:style w:type="paragraph" w:styleId="Heading1">
    <w:name w:val="heading 1"/>
    <w:next w:val="BodyText"/>
    <w:link w:val="Heading1Char"/>
    <w:uiPriority w:val="9"/>
    <w:qFormat/>
    <w:rsid w:val="0067090B"/>
    <w:pPr>
      <w:keepNext/>
      <w:pageBreakBefore/>
      <w:numPr>
        <w:numId w:val="2"/>
      </w:numPr>
      <w:pBdr>
        <w:bottom w:val="single" w:sz="4" w:space="1" w:color="auto"/>
      </w:pBdr>
      <w:tabs>
        <w:tab w:val="left" w:pos="2552"/>
      </w:tabs>
      <w:spacing w:before="600" w:after="480"/>
      <w:ind w:left="0"/>
      <w:outlineLvl w:val="0"/>
    </w:pPr>
    <w:rPr>
      <w:rFonts w:ascii="Franklin Gothic Medium" w:eastAsia="Times New Roman" w:hAnsi="Franklin Gothic Medium"/>
      <w:bCs/>
      <w:sz w:val="44"/>
      <w:szCs w:val="36"/>
      <w:lang w:eastAsia="ja-JP"/>
    </w:rPr>
  </w:style>
  <w:style w:type="paragraph" w:styleId="Heading2">
    <w:name w:val="heading 2"/>
    <w:next w:val="BodyText"/>
    <w:link w:val="Heading2Char"/>
    <w:uiPriority w:val="9"/>
    <w:unhideWhenUsed/>
    <w:qFormat/>
    <w:rsid w:val="009D26BC"/>
    <w:pPr>
      <w:keepNext/>
      <w:keepLines/>
      <w:numPr>
        <w:ilvl w:val="1"/>
        <w:numId w:val="2"/>
      </w:numPr>
      <w:tabs>
        <w:tab w:val="left" w:pos="851"/>
      </w:tabs>
      <w:spacing w:before="360" w:after="240"/>
      <w:outlineLvl w:val="1"/>
    </w:pPr>
    <w:rPr>
      <w:rFonts w:ascii="Franklin Gothic Medium" w:eastAsia="Times New Roman" w:hAnsi="Franklin Gothic Medium"/>
      <w:bCs/>
      <w:sz w:val="32"/>
      <w:szCs w:val="28"/>
      <w:lang w:eastAsia="ja-JP"/>
    </w:rPr>
  </w:style>
  <w:style w:type="paragraph" w:styleId="Heading3">
    <w:name w:val="heading 3"/>
    <w:next w:val="BodyText"/>
    <w:link w:val="Heading3Char"/>
    <w:uiPriority w:val="9"/>
    <w:unhideWhenUsed/>
    <w:qFormat/>
    <w:rsid w:val="00E049B8"/>
    <w:pPr>
      <w:keepNext/>
      <w:keepLines/>
      <w:numPr>
        <w:ilvl w:val="2"/>
        <w:numId w:val="2"/>
      </w:numPr>
      <w:tabs>
        <w:tab w:val="left" w:pos="851"/>
      </w:tabs>
      <w:spacing w:before="360" w:after="200"/>
      <w:outlineLvl w:val="2"/>
    </w:pPr>
    <w:rPr>
      <w:rFonts w:ascii="Franklin Gothic Medium" w:eastAsia="Times New Roman" w:hAnsi="Franklin Gothic Medium"/>
      <w:bCs/>
      <w:sz w:val="24"/>
      <w:szCs w:val="22"/>
      <w:lang w:eastAsia="ja-JP"/>
    </w:rPr>
  </w:style>
  <w:style w:type="paragraph" w:styleId="Heading4">
    <w:name w:val="heading 4"/>
    <w:next w:val="BodyText"/>
    <w:link w:val="Heading4Char"/>
    <w:autoRedefine/>
    <w:uiPriority w:val="9"/>
    <w:unhideWhenUsed/>
    <w:qFormat/>
    <w:rsid w:val="00376805"/>
    <w:pPr>
      <w:keepNext/>
      <w:keepLines/>
      <w:numPr>
        <w:ilvl w:val="3"/>
        <w:numId w:val="2"/>
      </w:numPr>
      <w:spacing w:before="360" w:after="200"/>
      <w:outlineLvl w:val="3"/>
    </w:pPr>
    <w:rPr>
      <w:rFonts w:ascii="Franklin Gothic Medium" w:eastAsia="Times New Roman" w:hAnsi="Franklin Gothic Medium"/>
      <w:bCs/>
      <w:i/>
      <w:iCs/>
      <w:noProof/>
      <w:sz w:val="24"/>
      <w:szCs w:val="22"/>
      <w:lang w:eastAsia="ja-JP"/>
    </w:rPr>
  </w:style>
  <w:style w:type="paragraph" w:styleId="Heading5">
    <w:name w:val="heading 5"/>
    <w:next w:val="BodyText"/>
    <w:link w:val="Heading5Char"/>
    <w:uiPriority w:val="9"/>
    <w:unhideWhenUsed/>
    <w:qFormat/>
    <w:rsid w:val="00B40AA5"/>
    <w:pPr>
      <w:keepNext/>
      <w:keepLines/>
      <w:numPr>
        <w:ilvl w:val="4"/>
        <w:numId w:val="2"/>
      </w:numPr>
      <w:spacing w:before="240" w:line="259" w:lineRule="auto"/>
      <w:outlineLvl w:val="4"/>
    </w:pPr>
    <w:rPr>
      <w:rFonts w:asciiTheme="majorHAnsi" w:eastAsia="Times New Roman" w:hAnsiTheme="majorHAnsi"/>
      <w:b/>
      <w:sz w:val="22"/>
      <w:szCs w:val="22"/>
      <w:lang w:eastAsia="ja-JP"/>
    </w:rPr>
  </w:style>
  <w:style w:type="paragraph" w:styleId="Heading6">
    <w:name w:val="heading 6"/>
    <w:next w:val="BodyText"/>
    <w:link w:val="Heading6Char"/>
    <w:uiPriority w:val="9"/>
    <w:unhideWhenUsed/>
    <w:qFormat/>
    <w:rsid w:val="00B40AA5"/>
    <w:pPr>
      <w:keepNext/>
      <w:keepLines/>
      <w:numPr>
        <w:ilvl w:val="5"/>
        <w:numId w:val="2"/>
      </w:numPr>
      <w:spacing w:before="200" w:line="259" w:lineRule="auto"/>
      <w:outlineLvl w:val="5"/>
    </w:pPr>
    <w:rPr>
      <w:rFonts w:asciiTheme="majorHAnsi" w:eastAsia="Times New Roman" w:hAnsiTheme="majorHAnsi"/>
      <w:i/>
      <w:iCs/>
      <w:color w:val="252525"/>
      <w:sz w:val="22"/>
      <w:szCs w:val="22"/>
      <w:u w:val="single"/>
      <w:lang w:eastAsia="ja-JP"/>
    </w:rPr>
  </w:style>
  <w:style w:type="paragraph" w:styleId="Heading7">
    <w:name w:val="heading 7"/>
    <w:next w:val="BodyText"/>
    <w:link w:val="Heading7Char"/>
    <w:uiPriority w:val="9"/>
    <w:unhideWhenUsed/>
    <w:qFormat/>
    <w:rsid w:val="00B40AA5"/>
    <w:pPr>
      <w:keepNext/>
      <w:pageBreakBefore/>
      <w:numPr>
        <w:ilvl w:val="6"/>
        <w:numId w:val="2"/>
      </w:numPr>
      <w:pBdr>
        <w:bottom w:val="single" w:sz="4" w:space="1" w:color="auto"/>
      </w:pBdr>
      <w:spacing w:after="360" w:line="216" w:lineRule="auto"/>
      <w:outlineLvl w:val="6"/>
    </w:pPr>
    <w:rPr>
      <w:rFonts w:ascii="Calibri Light" w:eastAsia="Times New Roman" w:hAnsi="Calibri Light"/>
      <w:b/>
      <w:iCs/>
      <w:sz w:val="36"/>
      <w:szCs w:val="22"/>
      <w:lang w:eastAsia="ja-JP"/>
    </w:rPr>
  </w:style>
  <w:style w:type="paragraph" w:styleId="Heading8">
    <w:name w:val="heading 8"/>
    <w:next w:val="BodyText"/>
    <w:link w:val="Heading8Char"/>
    <w:uiPriority w:val="9"/>
    <w:unhideWhenUsed/>
    <w:qFormat/>
    <w:rsid w:val="000731AD"/>
    <w:pPr>
      <w:spacing w:before="240" w:after="60" w:line="216" w:lineRule="auto"/>
      <w:outlineLvl w:val="7"/>
    </w:pPr>
    <w:rPr>
      <w:rFonts w:asciiTheme="majorHAnsi" w:eastAsia="Times New Roman" w:hAnsiTheme="majorHAnsi"/>
      <w:b/>
      <w:sz w:val="32"/>
      <w:lang w:eastAsia="ja-JP"/>
    </w:rPr>
  </w:style>
  <w:style w:type="paragraph" w:styleId="Heading9">
    <w:name w:val="heading 9"/>
    <w:next w:val="BodyText"/>
    <w:link w:val="Heading9Char"/>
    <w:uiPriority w:val="9"/>
    <w:unhideWhenUsed/>
    <w:qFormat/>
    <w:rsid w:val="000731AD"/>
    <w:pPr>
      <w:keepNext/>
      <w:keepLines/>
      <w:tabs>
        <w:tab w:val="left" w:pos="1021"/>
      </w:tabs>
      <w:spacing w:before="240" w:after="60" w:line="259" w:lineRule="auto"/>
      <w:outlineLvl w:val="8"/>
    </w:pPr>
    <w:rPr>
      <w:rFonts w:asciiTheme="majorHAnsi" w:eastAsia="Times New Roman" w:hAnsiTheme="majorHAnsi"/>
      <w:b/>
      <w:iCs/>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3176"/>
    <w:rPr>
      <w:color w:val="00B0F0"/>
      <w:u w:val="single"/>
      <w:lang w:val="en-AU"/>
    </w:rPr>
  </w:style>
  <w:style w:type="paragraph" w:styleId="BalloonText">
    <w:name w:val="Balloon Text"/>
    <w:basedOn w:val="Normal"/>
    <w:link w:val="BalloonTextChar"/>
    <w:uiPriority w:val="99"/>
    <w:semiHidden/>
    <w:unhideWhenUsed/>
    <w:rsid w:val="007310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310E5"/>
    <w:rPr>
      <w:rFonts w:ascii="Segoe UI" w:eastAsia="Times New Roman" w:hAnsi="Segoe UI" w:cs="Segoe UI"/>
      <w:sz w:val="18"/>
      <w:szCs w:val="18"/>
      <w:lang w:eastAsia="ja-JP"/>
    </w:rPr>
  </w:style>
  <w:style w:type="character" w:customStyle="1" w:styleId="Heading1Char">
    <w:name w:val="Heading 1 Char"/>
    <w:link w:val="Heading1"/>
    <w:uiPriority w:val="9"/>
    <w:rsid w:val="00802E55"/>
    <w:rPr>
      <w:rFonts w:ascii="Franklin Gothic Medium" w:eastAsia="Times New Roman" w:hAnsi="Franklin Gothic Medium"/>
      <w:bCs/>
      <w:sz w:val="44"/>
      <w:szCs w:val="36"/>
      <w:lang w:eastAsia="ja-JP"/>
    </w:rPr>
  </w:style>
  <w:style w:type="character" w:customStyle="1" w:styleId="Heading2Char">
    <w:name w:val="Heading 2 Char"/>
    <w:link w:val="Heading2"/>
    <w:uiPriority w:val="9"/>
    <w:rsid w:val="009D26BC"/>
    <w:rPr>
      <w:rFonts w:ascii="Franklin Gothic Medium" w:eastAsia="Times New Roman" w:hAnsi="Franklin Gothic Medium"/>
      <w:bCs/>
      <w:sz w:val="32"/>
      <w:szCs w:val="28"/>
      <w:lang w:eastAsia="ja-JP"/>
    </w:rPr>
  </w:style>
  <w:style w:type="character" w:customStyle="1" w:styleId="Heading3Char">
    <w:name w:val="Heading 3 Char"/>
    <w:link w:val="Heading3"/>
    <w:uiPriority w:val="9"/>
    <w:rsid w:val="00E049B8"/>
    <w:rPr>
      <w:rFonts w:ascii="Franklin Gothic Medium" w:eastAsia="Times New Roman" w:hAnsi="Franklin Gothic Medium"/>
      <w:bCs/>
      <w:sz w:val="24"/>
      <w:szCs w:val="22"/>
      <w:lang w:eastAsia="ja-JP"/>
    </w:rPr>
  </w:style>
  <w:style w:type="table" w:styleId="TableGrid">
    <w:name w:val="Table Grid"/>
    <w:aliases w:val="Table Grid2,Summary box,Table Gridbeth,RTI AMCP Table,new style,ASD Table,HealthConsult,HTAtableplain"/>
    <w:basedOn w:val="TableNormal"/>
    <w:uiPriority w:val="59"/>
    <w:rsid w:val="008B1EDB"/>
    <w:rPr>
      <w:rFonts w:ascii="Arial Narrow" w:eastAsia="Times New Roman" w:hAnsi="Arial Narrow"/>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Header">
    <w:name w:val="header"/>
    <w:link w:val="HeaderChar"/>
    <w:uiPriority w:val="99"/>
    <w:unhideWhenUsed/>
    <w:rsid w:val="002B679B"/>
    <w:pPr>
      <w:tabs>
        <w:tab w:val="right" w:pos="14572"/>
      </w:tabs>
      <w:spacing w:after="240"/>
    </w:pPr>
    <w:rPr>
      <w:rFonts w:eastAsia="Times New Roman"/>
      <w:b/>
      <w:sz w:val="18"/>
      <w:szCs w:val="22"/>
      <w:lang w:eastAsia="ja-JP"/>
    </w:rPr>
  </w:style>
  <w:style w:type="character" w:customStyle="1" w:styleId="HeaderChar">
    <w:name w:val="Header Char"/>
    <w:link w:val="Header"/>
    <w:uiPriority w:val="99"/>
    <w:rsid w:val="002B679B"/>
    <w:rPr>
      <w:rFonts w:eastAsia="Times New Roman"/>
      <w:b/>
      <w:sz w:val="18"/>
      <w:szCs w:val="22"/>
      <w:lang w:eastAsia="ja-JP"/>
    </w:rPr>
  </w:style>
  <w:style w:type="paragraph" w:styleId="Footer">
    <w:name w:val="footer"/>
    <w:basedOn w:val="Normal"/>
    <w:link w:val="FooterChar"/>
    <w:uiPriority w:val="99"/>
    <w:unhideWhenUsed/>
    <w:rsid w:val="00C37289"/>
    <w:pPr>
      <w:tabs>
        <w:tab w:val="right" w:pos="14572"/>
      </w:tabs>
      <w:spacing w:after="0" w:line="240" w:lineRule="auto"/>
    </w:pPr>
  </w:style>
  <w:style w:type="character" w:customStyle="1" w:styleId="FooterChar">
    <w:name w:val="Footer Char"/>
    <w:link w:val="Footer"/>
    <w:uiPriority w:val="99"/>
    <w:rsid w:val="00C37289"/>
    <w:rPr>
      <w:rFonts w:ascii="Franklin Gothic Book" w:eastAsia="Times New Roman" w:hAnsi="Franklin Gothic Book"/>
      <w:sz w:val="22"/>
      <w:szCs w:val="22"/>
      <w:lang w:eastAsia="ja-JP"/>
    </w:rPr>
  </w:style>
  <w:style w:type="paragraph" w:styleId="BodyText">
    <w:name w:val="Body Text"/>
    <w:basedOn w:val="Normal"/>
    <w:link w:val="BodyTextChar"/>
    <w:uiPriority w:val="99"/>
    <w:unhideWhenUsed/>
    <w:rsid w:val="0034224B"/>
  </w:style>
  <w:style w:type="character" w:customStyle="1" w:styleId="BodyTextChar">
    <w:name w:val="Body Text Char"/>
    <w:link w:val="BodyText"/>
    <w:uiPriority w:val="99"/>
    <w:rsid w:val="0034224B"/>
    <w:rPr>
      <w:rFonts w:ascii="Franklin Gothic Book" w:eastAsia="Times New Roman" w:hAnsi="Franklin Gothic Book"/>
      <w:sz w:val="22"/>
      <w:szCs w:val="22"/>
      <w:lang w:eastAsia="ja-JP"/>
    </w:rPr>
  </w:style>
  <w:style w:type="paragraph" w:customStyle="1" w:styleId="Titlesmall">
    <w:name w:val="Title small"/>
    <w:qFormat/>
    <w:rsid w:val="00216B9E"/>
    <w:pPr>
      <w:spacing w:before="1134" w:after="800" w:line="259" w:lineRule="auto"/>
      <w:ind w:left="4536"/>
    </w:pPr>
    <w:rPr>
      <w:rFonts w:ascii="Arial" w:eastAsia="Times New Roman" w:hAnsi="Arial"/>
      <w:b/>
      <w:color w:val="000000"/>
      <w:sz w:val="36"/>
      <w:szCs w:val="56"/>
      <w:lang w:eastAsia="ja-JP"/>
    </w:rPr>
  </w:style>
  <w:style w:type="paragraph" w:customStyle="1" w:styleId="Bulletpoint">
    <w:name w:val="Bullet point"/>
    <w:qFormat/>
    <w:rsid w:val="00D37202"/>
    <w:pPr>
      <w:numPr>
        <w:numId w:val="1"/>
      </w:numPr>
      <w:spacing w:before="40" w:after="120"/>
    </w:pPr>
    <w:rPr>
      <w:rFonts w:ascii="Franklin Gothic Book" w:eastAsia="Times New Roman" w:hAnsi="Franklin Gothic Book"/>
      <w:sz w:val="22"/>
      <w:szCs w:val="22"/>
      <w:lang w:eastAsia="ja-JP"/>
    </w:rPr>
  </w:style>
  <w:style w:type="paragraph" w:customStyle="1" w:styleId="Bulletpoint2ndlevel">
    <w:name w:val="Bullet point 2nd level"/>
    <w:basedOn w:val="Bulletpoint"/>
    <w:qFormat/>
    <w:rsid w:val="00027A14"/>
    <w:pPr>
      <w:numPr>
        <w:ilvl w:val="1"/>
      </w:numPr>
    </w:p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next w:val="Normal"/>
    <w:link w:val="CaptionChar"/>
    <w:unhideWhenUsed/>
    <w:qFormat/>
    <w:rsid w:val="00F91DF0"/>
    <w:pPr>
      <w:keepNext/>
      <w:spacing w:before="360" w:after="120"/>
      <w:ind w:left="1418" w:hanging="1418"/>
    </w:pPr>
    <w:rPr>
      <w:rFonts w:ascii="Arial Narrow" w:eastAsia="Times New Roman" w:hAnsi="Arial Narrow"/>
      <w:b/>
      <w:iCs/>
      <w:szCs w:val="18"/>
      <w:lang w:eastAsia="ja-JP"/>
    </w:rPr>
  </w:style>
  <w:style w:type="character" w:styleId="CommentReference">
    <w:name w:val="annotation reference"/>
    <w:aliases w:val="Table Title"/>
    <w:basedOn w:val="DefaultParagraphFont"/>
    <w:uiPriority w:val="99"/>
    <w:unhideWhenUsed/>
    <w:qFormat/>
    <w:rsid w:val="00E16EC4"/>
    <w:rPr>
      <w:sz w:val="16"/>
      <w:szCs w:val="16"/>
    </w:rPr>
  </w:style>
  <w:style w:type="paragraph" w:styleId="NormalWeb">
    <w:name w:val="Normal (Web)"/>
    <w:basedOn w:val="Normal"/>
    <w:uiPriority w:val="99"/>
    <w:unhideWhenUsed/>
    <w:rsid w:val="0063032A"/>
    <w:pPr>
      <w:spacing w:before="100" w:beforeAutospacing="1" w:after="100" w:afterAutospacing="1" w:line="240" w:lineRule="auto"/>
    </w:pPr>
    <w:rPr>
      <w:rFonts w:ascii="Times New Roman" w:hAnsi="Times New Roman"/>
      <w:sz w:val="24"/>
      <w:szCs w:val="24"/>
      <w:lang w:eastAsia="en-AU"/>
    </w:rPr>
  </w:style>
  <w:style w:type="paragraph" w:styleId="TOC7">
    <w:name w:val="toc 7"/>
    <w:next w:val="BodyText"/>
    <w:autoRedefine/>
    <w:uiPriority w:val="39"/>
    <w:unhideWhenUsed/>
    <w:rsid w:val="00C2542C"/>
    <w:pPr>
      <w:tabs>
        <w:tab w:val="right" w:leader="dot" w:pos="9628"/>
      </w:tabs>
      <w:spacing w:before="240"/>
      <w:ind w:left="1418" w:right="567" w:hanging="1418"/>
      <w:contextualSpacing/>
    </w:pPr>
    <w:rPr>
      <w:rFonts w:eastAsia="Times New Roman"/>
      <w:b/>
      <w:sz w:val="22"/>
      <w:szCs w:val="22"/>
      <w:lang w:eastAsia="ja-JP"/>
    </w:rPr>
  </w:style>
  <w:style w:type="paragraph" w:styleId="CommentSubject">
    <w:name w:val="annotation subject"/>
    <w:basedOn w:val="Normal"/>
    <w:next w:val="Normal"/>
    <w:link w:val="CommentSubjectChar"/>
    <w:uiPriority w:val="99"/>
    <w:semiHidden/>
    <w:unhideWhenUsed/>
    <w:rsid w:val="000077F2"/>
    <w:pPr>
      <w:spacing w:line="240" w:lineRule="auto"/>
    </w:pPr>
    <w:rPr>
      <w:b/>
      <w:bCs/>
      <w:sz w:val="20"/>
      <w:szCs w:val="20"/>
    </w:rPr>
  </w:style>
  <w:style w:type="character" w:customStyle="1" w:styleId="CommentSubjectChar">
    <w:name w:val="Comment Subject Char"/>
    <w:link w:val="CommentSubject"/>
    <w:uiPriority w:val="99"/>
    <w:semiHidden/>
    <w:rsid w:val="000077F2"/>
    <w:rPr>
      <w:rFonts w:eastAsia="Times New Roman"/>
      <w:b/>
      <w:bCs/>
      <w:sz w:val="20"/>
      <w:szCs w:val="20"/>
      <w:lang w:eastAsia="ja-JP"/>
    </w:rPr>
  </w:style>
  <w:style w:type="character" w:styleId="EndnoteReference">
    <w:name w:val="endnote reference"/>
    <w:uiPriority w:val="99"/>
    <w:semiHidden/>
    <w:unhideWhenUsed/>
    <w:rsid w:val="007310E5"/>
    <w:rPr>
      <w:vertAlign w:val="superscript"/>
    </w:rPr>
  </w:style>
  <w:style w:type="paragraph" w:styleId="EndnoteText">
    <w:name w:val="endnote text"/>
    <w:basedOn w:val="Normal"/>
    <w:link w:val="EndnoteTextChar"/>
    <w:uiPriority w:val="99"/>
    <w:semiHidden/>
    <w:unhideWhenUsed/>
    <w:rsid w:val="007310E5"/>
    <w:pPr>
      <w:spacing w:after="0" w:line="240" w:lineRule="auto"/>
    </w:pPr>
    <w:rPr>
      <w:sz w:val="20"/>
      <w:szCs w:val="20"/>
    </w:rPr>
  </w:style>
  <w:style w:type="character" w:customStyle="1" w:styleId="EndnoteTextChar">
    <w:name w:val="Endnote Text Char"/>
    <w:link w:val="EndnoteText"/>
    <w:uiPriority w:val="99"/>
    <w:semiHidden/>
    <w:rsid w:val="007310E5"/>
    <w:rPr>
      <w:rFonts w:eastAsia="Times New Roman"/>
      <w:sz w:val="20"/>
      <w:szCs w:val="20"/>
      <w:lang w:eastAsia="ja-JP"/>
    </w:rPr>
  </w:style>
  <w:style w:type="character" w:styleId="FollowedHyperlink">
    <w:name w:val="FollowedHyperlink"/>
    <w:uiPriority w:val="99"/>
    <w:semiHidden/>
    <w:unhideWhenUsed/>
    <w:rsid w:val="007310E5"/>
    <w:rPr>
      <w:color w:val="B26B02"/>
      <w:u w:val="single"/>
    </w:rPr>
  </w:style>
  <w:style w:type="character" w:styleId="FootnoteReference">
    <w:name w:val="footnote reference"/>
    <w:uiPriority w:val="99"/>
    <w:unhideWhenUsed/>
    <w:rsid w:val="007310E5"/>
    <w:rPr>
      <w:vertAlign w:val="superscript"/>
    </w:rPr>
  </w:style>
  <w:style w:type="paragraph" w:styleId="FootnoteText">
    <w:name w:val="footnote text"/>
    <w:basedOn w:val="Normal"/>
    <w:next w:val="BodyText"/>
    <w:link w:val="FootnoteTextChar"/>
    <w:uiPriority w:val="99"/>
    <w:unhideWhenUsed/>
    <w:rsid w:val="00CF2CAD"/>
    <w:pPr>
      <w:spacing w:after="0" w:line="240" w:lineRule="auto"/>
      <w:ind w:left="113" w:hanging="113"/>
    </w:pPr>
    <w:rPr>
      <w:rFonts w:asciiTheme="minorHAnsi" w:hAnsiTheme="minorHAnsi"/>
      <w:sz w:val="18"/>
      <w:szCs w:val="20"/>
    </w:rPr>
  </w:style>
  <w:style w:type="character" w:customStyle="1" w:styleId="FootnoteTextChar">
    <w:name w:val="Footnote Text Char"/>
    <w:link w:val="FootnoteText"/>
    <w:uiPriority w:val="99"/>
    <w:rsid w:val="00CF2CAD"/>
    <w:rPr>
      <w:rFonts w:asciiTheme="minorHAnsi" w:eastAsia="Times New Roman" w:hAnsiTheme="minorHAnsi"/>
      <w:sz w:val="18"/>
      <w:lang w:eastAsia="ja-JP"/>
    </w:rPr>
  </w:style>
  <w:style w:type="character" w:customStyle="1" w:styleId="Heading4Char">
    <w:name w:val="Heading 4 Char"/>
    <w:link w:val="Heading4"/>
    <w:uiPriority w:val="9"/>
    <w:rsid w:val="00376805"/>
    <w:rPr>
      <w:rFonts w:ascii="Franklin Gothic Medium" w:eastAsia="Times New Roman" w:hAnsi="Franklin Gothic Medium"/>
      <w:bCs/>
      <w:i/>
      <w:iCs/>
      <w:noProof/>
      <w:sz w:val="24"/>
      <w:szCs w:val="22"/>
      <w:lang w:eastAsia="ja-JP"/>
    </w:rPr>
  </w:style>
  <w:style w:type="character" w:customStyle="1" w:styleId="Heading5Char">
    <w:name w:val="Heading 5 Char"/>
    <w:link w:val="Heading5"/>
    <w:uiPriority w:val="9"/>
    <w:rsid w:val="000731AD"/>
    <w:rPr>
      <w:rFonts w:asciiTheme="majorHAnsi" w:eastAsia="Times New Roman" w:hAnsiTheme="majorHAnsi"/>
      <w:b/>
      <w:sz w:val="22"/>
      <w:szCs w:val="22"/>
      <w:lang w:eastAsia="ja-JP"/>
    </w:rPr>
  </w:style>
  <w:style w:type="character" w:customStyle="1" w:styleId="Heading6Char">
    <w:name w:val="Heading 6 Char"/>
    <w:link w:val="Heading6"/>
    <w:uiPriority w:val="9"/>
    <w:rsid w:val="000731AD"/>
    <w:rPr>
      <w:rFonts w:asciiTheme="majorHAnsi" w:eastAsia="Times New Roman" w:hAnsiTheme="majorHAnsi"/>
      <w:i/>
      <w:iCs/>
      <w:color w:val="252525"/>
      <w:sz w:val="22"/>
      <w:szCs w:val="22"/>
      <w:u w:val="single"/>
      <w:lang w:eastAsia="ja-JP"/>
    </w:rPr>
  </w:style>
  <w:style w:type="character" w:customStyle="1" w:styleId="Heading7Char">
    <w:name w:val="Heading 7 Char"/>
    <w:link w:val="Heading7"/>
    <w:uiPriority w:val="9"/>
    <w:rsid w:val="00A26F9A"/>
    <w:rPr>
      <w:rFonts w:ascii="Calibri Light" w:eastAsia="Times New Roman" w:hAnsi="Calibri Light"/>
      <w:b/>
      <w:iCs/>
      <w:sz w:val="36"/>
      <w:szCs w:val="22"/>
      <w:lang w:eastAsia="ja-JP"/>
    </w:rPr>
  </w:style>
  <w:style w:type="character" w:customStyle="1" w:styleId="Heading8Char">
    <w:name w:val="Heading 8 Char"/>
    <w:link w:val="Heading8"/>
    <w:uiPriority w:val="9"/>
    <w:rsid w:val="000731AD"/>
    <w:rPr>
      <w:rFonts w:asciiTheme="majorHAnsi" w:eastAsia="Times New Roman" w:hAnsiTheme="majorHAnsi"/>
      <w:b/>
      <w:sz w:val="32"/>
      <w:lang w:eastAsia="ja-JP"/>
    </w:rPr>
  </w:style>
  <w:style w:type="character" w:customStyle="1" w:styleId="Heading9Char">
    <w:name w:val="Heading 9 Char"/>
    <w:link w:val="Heading9"/>
    <w:uiPriority w:val="9"/>
    <w:rsid w:val="000731AD"/>
    <w:rPr>
      <w:rFonts w:asciiTheme="majorHAnsi" w:eastAsia="Times New Roman" w:hAnsiTheme="majorHAnsi"/>
      <w:b/>
      <w:iCs/>
      <w:sz w:val="24"/>
      <w:lang w:eastAsia="ja-JP"/>
    </w:rPr>
  </w:style>
  <w:style w:type="numbering" w:customStyle="1" w:styleId="Headings">
    <w:name w:val="Headings"/>
    <w:uiPriority w:val="99"/>
    <w:rsid w:val="00B40AA5"/>
    <w:pPr>
      <w:numPr>
        <w:numId w:val="2"/>
      </w:numPr>
    </w:pPr>
  </w:style>
  <w:style w:type="paragraph" w:styleId="TOC8">
    <w:name w:val="toc 8"/>
    <w:next w:val="BodyText"/>
    <w:autoRedefine/>
    <w:uiPriority w:val="39"/>
    <w:unhideWhenUsed/>
    <w:rsid w:val="00C2542C"/>
    <w:pPr>
      <w:tabs>
        <w:tab w:val="right" w:leader="dot" w:pos="9628"/>
      </w:tabs>
      <w:ind w:left="1985" w:right="567" w:hanging="567"/>
    </w:pPr>
    <w:rPr>
      <w:rFonts w:eastAsia="Times New Roman"/>
      <w:sz w:val="22"/>
      <w:szCs w:val="22"/>
      <w:lang w:eastAsia="ja-JP"/>
    </w:rPr>
  </w:style>
  <w:style w:type="paragraph" w:customStyle="1" w:styleId="ExecSumHeading1">
    <w:name w:val="Exec Sum Heading 1"/>
    <w:next w:val="BodyText"/>
    <w:qFormat/>
    <w:rsid w:val="00B11C5B"/>
    <w:pPr>
      <w:pageBreakBefore/>
      <w:spacing w:before="480" w:after="240" w:line="216" w:lineRule="auto"/>
      <w:ind w:left="788"/>
      <w:jc w:val="center"/>
      <w:outlineLvl w:val="0"/>
    </w:pPr>
    <w:rPr>
      <w:rFonts w:ascii="Arial" w:eastAsia="Times New Roman" w:hAnsi="Arial" w:cstheme="majorHAnsi"/>
      <w:b/>
      <w:color w:val="000080"/>
      <w:sz w:val="36"/>
      <w:szCs w:val="44"/>
      <w:lang w:eastAsia="ja-JP"/>
    </w:rPr>
  </w:style>
  <w:style w:type="character" w:customStyle="1" w:styleId="Mention1">
    <w:name w:val="Mention1"/>
    <w:uiPriority w:val="99"/>
    <w:semiHidden/>
    <w:unhideWhenUsed/>
    <w:rsid w:val="007310E5"/>
    <w:rPr>
      <w:color w:val="2B579A"/>
      <w:shd w:val="clear" w:color="auto" w:fill="E6E6E6"/>
    </w:rPr>
  </w:style>
  <w:style w:type="paragraph" w:customStyle="1" w:styleId="011TableHeading">
    <w:name w:val="01.1 Table Heading"/>
    <w:qFormat/>
    <w:rsid w:val="004A62E3"/>
    <w:pPr>
      <w:spacing w:before="40" w:after="40"/>
    </w:pPr>
    <w:rPr>
      <w:rFonts w:ascii="Arial Narrow" w:eastAsia="Times New Roman" w:hAnsi="Arial Narrow"/>
      <w:b/>
      <w:szCs w:val="22"/>
      <w:lang w:eastAsia="ja-JP"/>
    </w:rPr>
  </w:style>
  <w:style w:type="paragraph" w:customStyle="1" w:styleId="021TableHeadingRightAligned">
    <w:name w:val="02.1 Table Heading Right Aligned"/>
    <w:qFormat/>
    <w:rsid w:val="00A51776"/>
    <w:pPr>
      <w:spacing w:before="40" w:after="40"/>
      <w:ind w:right="113"/>
      <w:jc w:val="right"/>
    </w:pPr>
    <w:rPr>
      <w:rFonts w:ascii="Arial Narrow" w:eastAsia="Times New Roman" w:hAnsi="Arial Narrow"/>
      <w:b/>
      <w:szCs w:val="22"/>
      <w:lang w:eastAsia="ja-JP"/>
    </w:rPr>
  </w:style>
  <w:style w:type="paragraph" w:customStyle="1" w:styleId="081TableRightAligned22">
    <w:name w:val="08.1 Table Right Aligned 2:2"/>
    <w:qFormat/>
    <w:rsid w:val="00A51776"/>
    <w:pPr>
      <w:spacing w:before="40" w:after="40"/>
      <w:ind w:right="113"/>
      <w:jc w:val="right"/>
    </w:pPr>
    <w:rPr>
      <w:rFonts w:ascii="Arial Narrow" w:eastAsia="Times New Roman" w:hAnsi="Arial Narrow"/>
      <w:szCs w:val="22"/>
      <w:lang w:eastAsia="ja-JP"/>
    </w:rPr>
  </w:style>
  <w:style w:type="paragraph" w:styleId="Quote">
    <w:name w:val="Quote"/>
    <w:link w:val="QuoteChar"/>
    <w:uiPriority w:val="29"/>
    <w:qFormat/>
    <w:rsid w:val="008109F1"/>
    <w:pPr>
      <w:spacing w:before="160" w:after="160" w:line="259" w:lineRule="auto"/>
      <w:ind w:left="720" w:right="720"/>
    </w:pPr>
    <w:rPr>
      <w:rFonts w:eastAsia="Times New Roman"/>
      <w:i/>
      <w:iCs/>
      <w:color w:val="000000"/>
      <w:sz w:val="22"/>
      <w:szCs w:val="22"/>
      <w:lang w:eastAsia="ja-JP"/>
    </w:rPr>
  </w:style>
  <w:style w:type="character" w:customStyle="1" w:styleId="QuoteChar">
    <w:name w:val="Quote Char"/>
    <w:link w:val="Quote"/>
    <w:uiPriority w:val="29"/>
    <w:rsid w:val="008109F1"/>
    <w:rPr>
      <w:rFonts w:eastAsia="Times New Roman"/>
      <w:i/>
      <w:iCs/>
      <w:color w:val="000000"/>
      <w:lang w:val="en-AU" w:eastAsia="ja-JP"/>
    </w:rPr>
  </w:style>
  <w:style w:type="paragraph" w:customStyle="1" w:styleId="051Tabletext22">
    <w:name w:val="05.1 Table text 2:2"/>
    <w:link w:val="051Tabletext22Char"/>
    <w:qFormat/>
    <w:rsid w:val="00A51776"/>
    <w:pPr>
      <w:spacing w:before="40" w:after="40"/>
    </w:pPr>
    <w:rPr>
      <w:rFonts w:ascii="Arial Narrow" w:eastAsia="Times New Roman" w:hAnsi="Arial Narrow"/>
      <w:szCs w:val="22"/>
      <w:lang w:eastAsia="ja-JP"/>
    </w:rPr>
  </w:style>
  <w:style w:type="character" w:customStyle="1" w:styleId="051Tabletext22Char">
    <w:name w:val="05.1 Table text 2:2 Char"/>
    <w:link w:val="051Tabletext22"/>
    <w:rsid w:val="00A51776"/>
    <w:rPr>
      <w:rFonts w:ascii="Arial Narrow" w:eastAsia="Times New Roman" w:hAnsi="Arial Narrow"/>
      <w:szCs w:val="22"/>
      <w:lang w:eastAsia="ja-JP"/>
    </w:rPr>
  </w:style>
  <w:style w:type="paragraph" w:customStyle="1" w:styleId="071Tablebullet">
    <w:name w:val="07.1 Table bullet"/>
    <w:qFormat/>
    <w:rsid w:val="00A51776"/>
    <w:pPr>
      <w:numPr>
        <w:numId w:val="3"/>
      </w:numPr>
      <w:spacing w:before="40" w:after="40"/>
    </w:pPr>
    <w:rPr>
      <w:rFonts w:ascii="Arial Narrow" w:eastAsia="Times New Roman" w:hAnsi="Arial Narrow"/>
      <w:szCs w:val="22"/>
      <w:lang w:eastAsia="ja-JP"/>
    </w:rPr>
  </w:style>
  <w:style w:type="paragraph" w:customStyle="1" w:styleId="101Tablefootnotes">
    <w:name w:val="10.1 Table footnotes"/>
    <w:link w:val="101TablefootnotesChar"/>
    <w:qFormat/>
    <w:rsid w:val="000B2CBA"/>
    <w:pPr>
      <w:keepNext/>
      <w:spacing w:before="120"/>
    </w:pPr>
    <w:rPr>
      <w:rFonts w:ascii="Arial Narrow" w:eastAsia="Times New Roman" w:hAnsi="Arial Narrow"/>
      <w:sz w:val="18"/>
      <w:szCs w:val="22"/>
      <w:lang w:eastAsia="ja-JP"/>
    </w:rPr>
  </w:style>
  <w:style w:type="character" w:customStyle="1" w:styleId="101TablefootnotesChar">
    <w:name w:val="10.1 Table footnotes Char"/>
    <w:link w:val="101Tablefootnotes"/>
    <w:rsid w:val="000B2CBA"/>
    <w:rPr>
      <w:rFonts w:ascii="Arial Narrow" w:eastAsia="Times New Roman" w:hAnsi="Arial Narrow"/>
      <w:sz w:val="18"/>
      <w:szCs w:val="22"/>
      <w:lang w:eastAsia="ja-JP"/>
    </w:rPr>
  </w:style>
  <w:style w:type="paragraph" w:customStyle="1" w:styleId="111Tablefootnoteslast-nostick">
    <w:name w:val="11.1 Table footnotes last - no stick"/>
    <w:next w:val="BodyText"/>
    <w:qFormat/>
    <w:rsid w:val="00DA21F9"/>
    <w:pPr>
      <w:spacing w:before="120" w:after="360"/>
      <w:contextualSpacing/>
    </w:pPr>
    <w:rPr>
      <w:rFonts w:ascii="Arial Narrow" w:eastAsia="Times New Roman" w:hAnsi="Arial Narrow"/>
      <w:sz w:val="18"/>
      <w:szCs w:val="22"/>
      <w:lang w:val="en-US" w:eastAsia="ja-JP"/>
    </w:rPr>
  </w:style>
  <w:style w:type="paragraph" w:customStyle="1" w:styleId="031Tablesubheading">
    <w:name w:val="03.1 Table subheading"/>
    <w:qFormat/>
    <w:rsid w:val="00E23CD3"/>
    <w:pPr>
      <w:keepNext/>
      <w:spacing w:before="40" w:after="40"/>
    </w:pPr>
    <w:rPr>
      <w:rFonts w:ascii="Arial Narrow" w:eastAsia="Times New Roman" w:hAnsi="Arial Narrow"/>
      <w:b/>
      <w:szCs w:val="22"/>
      <w:lang w:eastAsia="ja-JP"/>
    </w:rPr>
  </w:style>
  <w:style w:type="paragraph" w:styleId="Title">
    <w:name w:val="Title"/>
    <w:next w:val="Normal"/>
    <w:link w:val="TitleChar"/>
    <w:uiPriority w:val="10"/>
    <w:qFormat/>
    <w:rsid w:val="00960398"/>
    <w:pPr>
      <w:spacing w:before="4536" w:after="800" w:line="480" w:lineRule="exact"/>
      <w:ind w:left="4536" w:right="113"/>
      <w:jc w:val="right"/>
    </w:pPr>
    <w:rPr>
      <w:rFonts w:ascii="Arial" w:eastAsia="Times New Roman" w:hAnsi="Arial"/>
      <w:b/>
      <w:i/>
      <w:sz w:val="44"/>
      <w:szCs w:val="56"/>
      <w:lang w:eastAsia="ja-JP"/>
    </w:rPr>
  </w:style>
  <w:style w:type="character" w:customStyle="1" w:styleId="TitleChar">
    <w:name w:val="Title Char"/>
    <w:link w:val="Title"/>
    <w:uiPriority w:val="10"/>
    <w:rsid w:val="00960398"/>
    <w:rPr>
      <w:rFonts w:ascii="Arial" w:eastAsia="Times New Roman" w:hAnsi="Arial"/>
      <w:b/>
      <w:i/>
      <w:sz w:val="44"/>
      <w:szCs w:val="56"/>
      <w:lang w:eastAsia="ja-JP"/>
    </w:rPr>
  </w:style>
  <w:style w:type="paragraph" w:styleId="TOC1">
    <w:name w:val="toc 1"/>
    <w:next w:val="TOC2"/>
    <w:autoRedefine/>
    <w:uiPriority w:val="39"/>
    <w:unhideWhenUsed/>
    <w:rsid w:val="009F6537"/>
    <w:pPr>
      <w:keepNext/>
      <w:tabs>
        <w:tab w:val="right" w:leader="dot" w:pos="9628"/>
      </w:tabs>
      <w:spacing w:before="120" w:after="100"/>
      <w:ind w:left="680" w:hanging="680"/>
    </w:pPr>
    <w:rPr>
      <w:rFonts w:asciiTheme="minorHAnsi" w:eastAsia="Times New Roman" w:hAnsiTheme="minorHAnsi"/>
      <w:b/>
      <w:sz w:val="22"/>
      <w:szCs w:val="22"/>
      <w:lang w:eastAsia="ja-JP"/>
    </w:rPr>
  </w:style>
  <w:style w:type="paragraph" w:styleId="TOC2">
    <w:name w:val="toc 2"/>
    <w:next w:val="TOC3"/>
    <w:autoRedefine/>
    <w:uiPriority w:val="39"/>
    <w:unhideWhenUsed/>
    <w:rsid w:val="00F0363D"/>
    <w:pPr>
      <w:tabs>
        <w:tab w:val="right" w:leader="dot" w:pos="9628"/>
      </w:tabs>
      <w:spacing w:before="120" w:after="100"/>
      <w:ind w:left="680" w:hanging="680"/>
    </w:pPr>
    <w:rPr>
      <w:rFonts w:eastAsia="Times New Roman"/>
      <w:noProof/>
      <w:sz w:val="22"/>
      <w:szCs w:val="22"/>
      <w:lang w:eastAsia="ja-JP"/>
    </w:rPr>
  </w:style>
  <w:style w:type="paragraph" w:styleId="TOC3">
    <w:name w:val="toc 3"/>
    <w:basedOn w:val="Normal"/>
    <w:next w:val="Normal"/>
    <w:autoRedefine/>
    <w:uiPriority w:val="39"/>
    <w:unhideWhenUsed/>
    <w:rsid w:val="00657B86"/>
    <w:pPr>
      <w:tabs>
        <w:tab w:val="left" w:pos="851"/>
        <w:tab w:val="right" w:leader="dot" w:pos="9628"/>
      </w:tabs>
      <w:spacing w:after="100" w:line="240" w:lineRule="auto"/>
      <w:ind w:left="1440" w:hanging="720"/>
    </w:pPr>
    <w:rPr>
      <w:rFonts w:asciiTheme="minorHAnsi" w:hAnsiTheme="minorHAnsi"/>
    </w:rPr>
  </w:style>
  <w:style w:type="paragraph" w:styleId="TOC4">
    <w:name w:val="toc 4"/>
    <w:basedOn w:val="Normal"/>
    <w:next w:val="Normal"/>
    <w:autoRedefine/>
    <w:uiPriority w:val="39"/>
    <w:unhideWhenUsed/>
    <w:rsid w:val="007310E5"/>
    <w:pPr>
      <w:spacing w:after="100"/>
      <w:ind w:left="660"/>
    </w:pPr>
  </w:style>
  <w:style w:type="paragraph" w:styleId="TOCHeading">
    <w:name w:val="TOC Heading"/>
    <w:uiPriority w:val="39"/>
    <w:unhideWhenUsed/>
    <w:qFormat/>
    <w:rsid w:val="007310E5"/>
    <w:pPr>
      <w:spacing w:after="160" w:line="259" w:lineRule="auto"/>
    </w:pPr>
    <w:rPr>
      <w:rFonts w:ascii="Calibri Light" w:eastAsia="Times New Roman" w:hAnsi="Calibri Light"/>
      <w:b/>
      <w:bCs/>
      <w:smallCaps/>
      <w:sz w:val="36"/>
      <w:szCs w:val="36"/>
      <w:lang w:val="en-US" w:eastAsia="ja-JP"/>
    </w:rPr>
  </w:style>
  <w:style w:type="table" w:customStyle="1" w:styleId="TableGrid1">
    <w:name w:val="Table Grid1"/>
    <w:basedOn w:val="TableNormal"/>
    <w:next w:val="TableGrid"/>
    <w:rsid w:val="00822A78"/>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blStylePr>
  </w:style>
  <w:style w:type="paragraph" w:customStyle="1" w:styleId="041Tabletext00">
    <w:name w:val="04.1 Table text 0:0"/>
    <w:qFormat/>
    <w:rsid w:val="00A51776"/>
    <w:pPr>
      <w:spacing w:line="259" w:lineRule="auto"/>
    </w:pPr>
    <w:rPr>
      <w:rFonts w:ascii="Arial Narrow" w:eastAsia="Times New Roman" w:hAnsi="Arial Narrow"/>
      <w:szCs w:val="22"/>
      <w:lang w:eastAsia="ja-JP"/>
    </w:rPr>
  </w:style>
  <w:style w:type="paragraph" w:customStyle="1" w:styleId="091TableRightAligned00">
    <w:name w:val="09.1 Table Right Aligned 0:0"/>
    <w:basedOn w:val="081TableRightAligned22"/>
    <w:qFormat/>
    <w:rsid w:val="00A51776"/>
    <w:pPr>
      <w:spacing w:before="0" w:after="0"/>
    </w:pPr>
  </w:style>
  <w:style w:type="paragraph" w:customStyle="1" w:styleId="061Tabletext62">
    <w:name w:val="06.1 Table text 6:2"/>
    <w:qFormat/>
    <w:rsid w:val="00A51776"/>
    <w:pPr>
      <w:spacing w:before="120" w:after="40"/>
    </w:pPr>
    <w:rPr>
      <w:rFonts w:ascii="Arial Narrow" w:eastAsia="Times New Roman" w:hAnsi="Arial Narrow"/>
      <w:szCs w:val="22"/>
      <w:lang w:eastAsia="ja-JP"/>
    </w:rPr>
  </w:style>
  <w:style w:type="table" w:customStyle="1" w:styleId="TableGrid3">
    <w:name w:val="Table Grid3"/>
    <w:basedOn w:val="TableNormal"/>
    <w:uiPriority w:val="39"/>
    <w:rsid w:val="00D56861"/>
    <w:rPr>
      <w:rFonts w:eastAsia="Times New Roman"/>
      <w:lang w:eastAsia="ja-JP"/>
    </w:rPr>
    <w:tblPr>
      <w:tblBorders>
        <w:top w:val="single" w:sz="4" w:space="0" w:color="auto"/>
        <w:bottom w:val="single" w:sz="4" w:space="0" w:color="auto"/>
        <w:insideH w:val="single" w:sz="4" w:space="0" w:color="auto"/>
      </w:tblBorders>
    </w:tblPr>
    <w:trPr>
      <w:cantSplit/>
    </w:trPr>
    <w:tblStylePr w:type="firstRow">
      <w:tblPr/>
      <w:tcPr>
        <w:shd w:val="clear" w:color="auto" w:fill="BFBFBF"/>
      </w:tcPr>
    </w:tblStylePr>
  </w:style>
  <w:style w:type="paragraph" w:customStyle="1" w:styleId="ExecSumHeading2">
    <w:name w:val="Exec Sum Heading 2"/>
    <w:next w:val="BodyText"/>
    <w:qFormat/>
    <w:rsid w:val="00662726"/>
    <w:pPr>
      <w:keepNext/>
      <w:spacing w:before="360" w:after="240"/>
      <w:outlineLvl w:val="1"/>
    </w:pPr>
    <w:rPr>
      <w:rFonts w:ascii="Franklin Gothic Medium" w:eastAsia="Times New Roman" w:hAnsi="Franklin Gothic Medium" w:cstheme="majorHAnsi"/>
      <w:sz w:val="32"/>
      <w:szCs w:val="44"/>
      <w:lang w:eastAsia="ja-JP"/>
    </w:rPr>
  </w:style>
  <w:style w:type="paragraph" w:customStyle="1" w:styleId="ExecSumHeading3">
    <w:name w:val="Exec Sum Heading 3"/>
    <w:next w:val="BodyText"/>
    <w:qFormat/>
    <w:rsid w:val="00DE25C0"/>
    <w:pPr>
      <w:keepNext/>
      <w:spacing w:before="240" w:line="216" w:lineRule="auto"/>
      <w:outlineLvl w:val="2"/>
    </w:pPr>
    <w:rPr>
      <w:rFonts w:ascii="Franklin Gothic Medium" w:eastAsia="Times New Roman" w:hAnsi="Franklin Gothic Medium" w:cstheme="majorHAnsi"/>
      <w:i/>
      <w:sz w:val="24"/>
      <w:szCs w:val="44"/>
      <w:lang w:eastAsia="ja-JP"/>
    </w:rPr>
  </w:style>
  <w:style w:type="character" w:customStyle="1" w:styleId="UnresolvedMention1">
    <w:name w:val="Unresolved Mention1"/>
    <w:uiPriority w:val="99"/>
    <w:semiHidden/>
    <w:unhideWhenUsed/>
    <w:rsid w:val="00D75B80"/>
    <w:rPr>
      <w:color w:val="808080"/>
      <w:shd w:val="clear" w:color="auto" w:fill="E6E6E6"/>
    </w:rPr>
  </w:style>
  <w:style w:type="paragraph" w:customStyle="1" w:styleId="References">
    <w:name w:val="References"/>
    <w:qFormat/>
    <w:rsid w:val="00C9184B"/>
    <w:pPr>
      <w:autoSpaceDE w:val="0"/>
      <w:autoSpaceDN w:val="0"/>
      <w:adjustRightInd w:val="0"/>
      <w:spacing w:before="120" w:after="240"/>
      <w:ind w:left="1004" w:hanging="720"/>
    </w:pPr>
    <w:rPr>
      <w:rFonts w:cs="Calibri"/>
      <w:sz w:val="22"/>
      <w:szCs w:val="18"/>
      <w:lang w:eastAsia="en-US"/>
    </w:rPr>
  </w:style>
  <w:style w:type="paragraph" w:styleId="Revision">
    <w:name w:val="Revision"/>
    <w:hidden/>
    <w:uiPriority w:val="99"/>
    <w:semiHidden/>
    <w:rsid w:val="00FA7ABC"/>
    <w:rPr>
      <w:rFonts w:eastAsia="Times New Roman"/>
      <w:sz w:val="22"/>
      <w:szCs w:val="22"/>
      <w:lang w:eastAsia="ja-JP"/>
    </w:rPr>
  </w:style>
  <w:style w:type="character" w:styleId="UnresolvedMention">
    <w:name w:val="Unresolved Mention"/>
    <w:uiPriority w:val="99"/>
    <w:semiHidden/>
    <w:unhideWhenUsed/>
    <w:rsid w:val="000878C3"/>
    <w:rPr>
      <w:color w:val="808080"/>
      <w:shd w:val="clear" w:color="auto" w:fill="E6E6E6"/>
    </w:rPr>
  </w:style>
  <w:style w:type="table" w:styleId="TableGridLight">
    <w:name w:val="Grid Table Light"/>
    <w:basedOn w:val="TableNormal"/>
    <w:uiPriority w:val="40"/>
    <w:rsid w:val="00DB4CB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5">
    <w:name w:val="toc 5"/>
    <w:basedOn w:val="Normal"/>
    <w:next w:val="Normal"/>
    <w:autoRedefine/>
    <w:uiPriority w:val="39"/>
    <w:unhideWhenUsed/>
    <w:rsid w:val="00D04DDB"/>
    <w:pPr>
      <w:tabs>
        <w:tab w:val="left" w:pos="1540"/>
        <w:tab w:val="left" w:pos="2041"/>
        <w:tab w:val="right" w:leader="dot" w:pos="9628"/>
      </w:tabs>
      <w:spacing w:after="0"/>
      <w:ind w:left="1815" w:hanging="454"/>
    </w:pPr>
  </w:style>
  <w:style w:type="table" w:styleId="PlainTable1">
    <w:name w:val="Plain Table 1"/>
    <w:basedOn w:val="TableNormal"/>
    <w:uiPriority w:val="41"/>
    <w:rsid w:val="002B5B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B5B4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2B5B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82F6E"/>
    <w:rPr>
      <w:b/>
      <w:bCs/>
    </w:rPr>
  </w:style>
  <w:style w:type="paragraph" w:customStyle="1" w:styleId="TableText">
    <w:name w:val="Table Text"/>
    <w:basedOn w:val="Normal"/>
    <w:link w:val="TableTextChar"/>
    <w:qFormat/>
    <w:rsid w:val="00A52F4C"/>
    <w:pPr>
      <w:spacing w:before="40" w:after="40" w:line="240" w:lineRule="auto"/>
    </w:pPr>
    <w:rPr>
      <w:rFonts w:ascii="Arial Narrow" w:eastAsiaTheme="minorHAnsi" w:hAnsi="Arial Narrow" w:cstheme="minorBidi"/>
      <w:sz w:val="20"/>
      <w:lang w:eastAsia="en-US"/>
    </w:rPr>
  </w:style>
  <w:style w:type="paragraph" w:customStyle="1" w:styleId="TableHeading">
    <w:name w:val="TableHeading"/>
    <w:basedOn w:val="Normal"/>
    <w:link w:val="TableHeadingChar"/>
    <w:qFormat/>
    <w:rsid w:val="00A52F4C"/>
    <w:pPr>
      <w:keepNext/>
      <w:spacing w:after="60" w:line="240" w:lineRule="auto"/>
    </w:pPr>
    <w:rPr>
      <w:rFonts w:ascii="Arial Narrow" w:eastAsiaTheme="minorHAnsi" w:hAnsi="Arial Narrow" w:cstheme="minorBidi"/>
      <w:b/>
      <w:sz w:val="20"/>
      <w:lang w:eastAsia="en-US"/>
    </w:rPr>
  </w:style>
  <w:style w:type="paragraph" w:styleId="CommentText">
    <w:name w:val="annotation text"/>
    <w:basedOn w:val="Normal"/>
    <w:link w:val="CommentTextChar"/>
    <w:uiPriority w:val="99"/>
    <w:unhideWhenUsed/>
    <w:rsid w:val="00A52F4C"/>
    <w:pPr>
      <w:spacing w:after="240" w:line="240" w:lineRule="auto"/>
    </w:pPr>
    <w:rPr>
      <w:rFonts w:ascii="Calibri" w:hAnsi="Calibri"/>
      <w:color w:val="000000"/>
      <w:szCs w:val="24"/>
      <w:lang w:eastAsia="en-AU"/>
    </w:rPr>
  </w:style>
  <w:style w:type="character" w:customStyle="1" w:styleId="CommentTextChar">
    <w:name w:val="Comment Text Char"/>
    <w:basedOn w:val="DefaultParagraphFont"/>
    <w:link w:val="CommentText"/>
    <w:uiPriority w:val="99"/>
    <w:rsid w:val="00A52F4C"/>
    <w:rPr>
      <w:rFonts w:eastAsia="Times New Roman"/>
      <w:color w:val="000000"/>
      <w:sz w:val="22"/>
      <w:szCs w:val="24"/>
    </w:rPr>
  </w:style>
  <w:style w:type="character" w:customStyle="1" w:styleId="TableTextChar">
    <w:name w:val="Table Text Char"/>
    <w:basedOn w:val="DefaultParagraphFont"/>
    <w:link w:val="TableText"/>
    <w:rsid w:val="00A52F4C"/>
    <w:rPr>
      <w:rFonts w:ascii="Arial Narrow" w:eastAsiaTheme="minorHAnsi" w:hAnsi="Arial Narrow" w:cstheme="minorBidi"/>
      <w:szCs w:val="22"/>
      <w:lang w:eastAsia="en-US"/>
    </w:rPr>
  </w:style>
  <w:style w:type="character" w:customStyle="1" w:styleId="TableHeadingChar">
    <w:name w:val="TableHeading Char"/>
    <w:link w:val="TableHeading"/>
    <w:rsid w:val="00A52F4C"/>
    <w:rPr>
      <w:rFonts w:ascii="Arial Narrow" w:eastAsiaTheme="minorHAnsi" w:hAnsi="Arial Narrow" w:cstheme="minorBidi"/>
      <w:b/>
      <w:szCs w:val="22"/>
      <w:lang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A52F4C"/>
    <w:rPr>
      <w:rFonts w:ascii="Arial Narrow" w:eastAsia="Times New Roman" w:hAnsi="Arial Narrow"/>
      <w:b/>
      <w:iCs/>
      <w:szCs w:val="18"/>
      <w:lang w:eastAsia="ja-JP"/>
    </w:rPr>
  </w:style>
  <w:style w:type="paragraph" w:styleId="ListParagraph">
    <w:name w:val="List Paragraph"/>
    <w:basedOn w:val="Normal"/>
    <w:link w:val="ListParagraphChar"/>
    <w:uiPriority w:val="34"/>
    <w:qFormat/>
    <w:rsid w:val="00A52F4C"/>
    <w:pPr>
      <w:ind w:left="720"/>
      <w:contextualSpacing/>
    </w:pPr>
    <w:rPr>
      <w:rFonts w:eastAsiaTheme="minorHAnsi" w:cstheme="minorBidi"/>
      <w:lang w:eastAsia="en-US"/>
    </w:rPr>
  </w:style>
  <w:style w:type="paragraph" w:customStyle="1" w:styleId="TableFigureFooter">
    <w:name w:val="Table/Figure Footer"/>
    <w:basedOn w:val="Normal"/>
    <w:link w:val="TableFigureFooterChar"/>
    <w:qFormat/>
    <w:rsid w:val="00A52F4C"/>
    <w:pPr>
      <w:tabs>
        <w:tab w:val="left" w:pos="284"/>
      </w:tabs>
      <w:spacing w:after="360" w:line="240" w:lineRule="auto"/>
    </w:pPr>
    <w:rPr>
      <w:rFonts w:ascii="Arial Narrow" w:hAnsi="Arial Narrow" w:cs="Arial"/>
      <w:snapToGrid w:val="0"/>
      <w:sz w:val="18"/>
      <w:lang w:eastAsia="en-AU"/>
    </w:rPr>
  </w:style>
  <w:style w:type="character" w:customStyle="1" w:styleId="TableFigureFooterChar">
    <w:name w:val="Table/Figure Footer Char"/>
    <w:link w:val="TableFigureFooter"/>
    <w:rsid w:val="00A52F4C"/>
    <w:rPr>
      <w:rFonts w:ascii="Arial Narrow" w:eastAsia="Times New Roman" w:hAnsi="Arial Narrow" w:cs="Arial"/>
      <w:snapToGrid w:val="0"/>
      <w:sz w:val="18"/>
      <w:szCs w:val="22"/>
    </w:rPr>
  </w:style>
  <w:style w:type="paragraph" w:customStyle="1" w:styleId="Tablenotes">
    <w:name w:val="Tablenotes"/>
    <w:basedOn w:val="Normal"/>
    <w:link w:val="TablenotesChar"/>
    <w:qFormat/>
    <w:rsid w:val="00A52F4C"/>
    <w:pPr>
      <w:widowControl w:val="0"/>
      <w:spacing w:after="120" w:line="240" w:lineRule="auto"/>
      <w:contextualSpacing/>
    </w:pPr>
    <w:rPr>
      <w:rFonts w:ascii="Arial Narrow" w:hAnsi="Arial Narrow" w:cs="Arial"/>
      <w:snapToGrid w:val="0"/>
      <w:sz w:val="18"/>
      <w:szCs w:val="20"/>
      <w:lang w:eastAsia="en-US"/>
    </w:rPr>
  </w:style>
  <w:style w:type="character" w:customStyle="1" w:styleId="TablenotesChar">
    <w:name w:val="Tablenotes Char"/>
    <w:basedOn w:val="DefaultParagraphFont"/>
    <w:link w:val="Tablenotes"/>
    <w:rsid w:val="00A52F4C"/>
    <w:rPr>
      <w:rFonts w:ascii="Arial Narrow" w:eastAsia="Times New Roman" w:hAnsi="Arial Narrow" w:cs="Arial"/>
      <w:snapToGrid w:val="0"/>
      <w:sz w:val="18"/>
      <w:lang w:eastAsia="en-US"/>
    </w:rPr>
  </w:style>
  <w:style w:type="character" w:customStyle="1" w:styleId="ListParagraphChar">
    <w:name w:val="List Paragraph Char"/>
    <w:basedOn w:val="DefaultParagraphFont"/>
    <w:link w:val="ListParagraph"/>
    <w:uiPriority w:val="34"/>
    <w:rsid w:val="00A52F4C"/>
    <w:rPr>
      <w:rFonts w:ascii="Franklin Gothic Book" w:eastAsiaTheme="minorHAnsi" w:hAnsi="Franklin Gothic Book" w:cstheme="minorBidi"/>
      <w:sz w:val="22"/>
      <w:szCs w:val="22"/>
      <w:lang w:eastAsia="en-US"/>
    </w:rPr>
  </w:style>
  <w:style w:type="paragraph" w:customStyle="1" w:styleId="TableFigNoteLast">
    <w:name w:val="TableFigNote Last"/>
    <w:basedOn w:val="Normal"/>
    <w:qFormat/>
    <w:rsid w:val="00A2367D"/>
    <w:pPr>
      <w:spacing w:after="360" w:line="240" w:lineRule="auto"/>
      <w:contextualSpacing/>
    </w:pPr>
    <w:rPr>
      <w:rFonts w:eastAsiaTheme="minorHAnsi" w:cstheme="minorBidi"/>
      <w:sz w:val="18"/>
      <w:lang w:eastAsia="en-US"/>
    </w:rPr>
  </w:style>
  <w:style w:type="paragraph" w:customStyle="1" w:styleId="TableFigNote">
    <w:name w:val="TableFigNote"/>
    <w:basedOn w:val="Normal"/>
    <w:qFormat/>
    <w:rsid w:val="002956F7"/>
    <w:pPr>
      <w:spacing w:after="360" w:line="240" w:lineRule="auto"/>
      <w:contextualSpacing/>
    </w:pPr>
    <w:rPr>
      <w:rFonts w:eastAsiaTheme="minorHAnsi" w:cstheme="minorBidi"/>
      <w:sz w:val="18"/>
      <w:lang w:eastAsia="en-US"/>
    </w:rPr>
  </w:style>
  <w:style w:type="paragraph" w:customStyle="1" w:styleId="TableHeading0">
    <w:name w:val="Table Heading"/>
    <w:basedOn w:val="Normal"/>
    <w:qFormat/>
    <w:rsid w:val="002956F7"/>
    <w:pPr>
      <w:spacing w:after="60" w:line="240" w:lineRule="auto"/>
    </w:pPr>
    <w:rPr>
      <w:rFonts w:ascii="Arial Narrow" w:eastAsiaTheme="minorHAnsi" w:hAnsi="Arial Narrow" w:cstheme="minorBidi"/>
      <w:b/>
      <w:sz w:val="20"/>
      <w:lang w:eastAsia="en-US"/>
    </w:rPr>
  </w:style>
  <w:style w:type="paragraph" w:customStyle="1" w:styleId="Nnumberedlist">
    <w:name w:val="Nnumbered list"/>
    <w:basedOn w:val="Normal"/>
    <w:rsid w:val="002E3206"/>
    <w:pPr>
      <w:numPr>
        <w:numId w:val="8"/>
      </w:numPr>
      <w:jc w:val="both"/>
    </w:pPr>
    <w:rPr>
      <w:rFonts w:ascii="Calibri" w:hAnsi="Calibri" w:cs="Tahoma"/>
      <w:lang w:eastAsia="en-AU"/>
    </w:rPr>
  </w:style>
  <w:style w:type="table" w:customStyle="1" w:styleId="TableGridLight1">
    <w:name w:val="Table Grid Light1"/>
    <w:basedOn w:val="TableNormal"/>
    <w:uiPriority w:val="40"/>
    <w:rsid w:val="007562F1"/>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BoxName">
    <w:name w:val="Box Name"/>
    <w:basedOn w:val="Normal"/>
    <w:qFormat/>
    <w:rsid w:val="007562F1"/>
    <w:pPr>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shd w:val="clear" w:color="auto" w:fill="F2F2F2" w:themeFill="background1" w:themeFillShade="F2"/>
      <w:spacing w:before="0" w:after="0" w:line="240" w:lineRule="auto"/>
      <w:jc w:val="center"/>
    </w:pPr>
    <w:rPr>
      <w:rFonts w:ascii="Franklin Gothic Medium" w:eastAsiaTheme="minorHAnsi" w:hAnsi="Franklin Gothic Medium" w:cstheme="minorBidi"/>
      <w:color w:val="595959" w:themeColor="text1" w:themeTint="A6"/>
      <w:sz w:val="20"/>
      <w:lang w:eastAsia="en-US"/>
    </w:rPr>
  </w:style>
  <w:style w:type="paragraph" w:customStyle="1" w:styleId="Tabletext0">
    <w:name w:val="Table text"/>
    <w:basedOn w:val="Normal"/>
    <w:link w:val="TabletextChar0"/>
    <w:qFormat/>
    <w:rsid w:val="005C7EBA"/>
    <w:pPr>
      <w:spacing w:before="40" w:after="40" w:line="240" w:lineRule="auto"/>
      <w:jc w:val="both"/>
    </w:pPr>
    <w:rPr>
      <w:rFonts w:ascii="Arial Narrow" w:hAnsi="Arial Narrow" w:cs="Tahoma"/>
      <w:sz w:val="20"/>
      <w:szCs w:val="20"/>
      <w:lang w:eastAsia="en-AU"/>
    </w:rPr>
  </w:style>
  <w:style w:type="character" w:customStyle="1" w:styleId="TabletextChar0">
    <w:name w:val="Table text Char"/>
    <w:link w:val="Tabletext0"/>
    <w:rsid w:val="005C7EBA"/>
    <w:rPr>
      <w:rFonts w:ascii="Arial Narrow" w:eastAsia="Times New Roman" w:hAnsi="Arial Narrow" w:cs="Tahoma"/>
    </w:rPr>
  </w:style>
  <w:style w:type="paragraph" w:customStyle="1" w:styleId="ESHeading3">
    <w:name w:val="ES Heading 3"/>
    <w:basedOn w:val="Normal"/>
    <w:next w:val="Normal"/>
    <w:link w:val="ESHeading3Char"/>
    <w:qFormat/>
    <w:rsid w:val="00126339"/>
    <w:pPr>
      <w:keepNext/>
      <w:spacing w:before="0"/>
      <w:outlineLvl w:val="2"/>
    </w:pPr>
    <w:rPr>
      <w:rFonts w:ascii="Franklin Gothic Medium" w:eastAsiaTheme="majorEastAsia" w:hAnsi="Franklin Gothic Medium" w:cstheme="majorBidi"/>
      <w:color w:val="000000" w:themeColor="text1"/>
      <w:sz w:val="24"/>
      <w:szCs w:val="26"/>
      <w:lang w:eastAsia="en-US"/>
    </w:rPr>
  </w:style>
  <w:style w:type="character" w:customStyle="1" w:styleId="ESHeading3Char">
    <w:name w:val="ES Heading 3 Char"/>
    <w:basedOn w:val="DefaultParagraphFont"/>
    <w:link w:val="ESHeading3"/>
    <w:rsid w:val="00126339"/>
    <w:rPr>
      <w:rFonts w:ascii="Franklin Gothic Medium" w:eastAsiaTheme="majorEastAsia" w:hAnsi="Franklin Gothic Medium" w:cstheme="majorBidi"/>
      <w:color w:val="000000" w:themeColor="text1"/>
      <w:sz w:val="24"/>
      <w:szCs w:val="26"/>
      <w:lang w:eastAsia="en-US"/>
    </w:rPr>
  </w:style>
  <w:style w:type="paragraph" w:customStyle="1" w:styleId="ESHeading4">
    <w:name w:val="ES Heading 4"/>
    <w:basedOn w:val="ESHeading3"/>
    <w:next w:val="Normal"/>
    <w:link w:val="ESHeading4Char"/>
    <w:qFormat/>
    <w:rsid w:val="00455985"/>
    <w:pPr>
      <w:outlineLvl w:val="3"/>
    </w:pPr>
    <w:rPr>
      <w:i/>
    </w:rPr>
  </w:style>
  <w:style w:type="character" w:customStyle="1" w:styleId="ESHeading4Char">
    <w:name w:val="ES Heading 4 Char"/>
    <w:basedOn w:val="ESHeading3Char"/>
    <w:link w:val="ESHeading4"/>
    <w:rsid w:val="00455985"/>
    <w:rPr>
      <w:rFonts w:ascii="Franklin Gothic Medium" w:eastAsiaTheme="majorEastAsia" w:hAnsi="Franklin Gothic Medium" w:cstheme="majorBidi"/>
      <w:i/>
      <w:color w:val="000000" w:themeColor="text1"/>
      <w:sz w:val="24"/>
      <w:szCs w:val="26"/>
      <w:lang w:eastAsia="en-US"/>
    </w:rPr>
  </w:style>
  <w:style w:type="paragraph" w:customStyle="1" w:styleId="EndNoteBibliography">
    <w:name w:val="EndNote Bibliography"/>
    <w:basedOn w:val="Normal"/>
    <w:link w:val="EndNoteBibliographyChar"/>
    <w:rsid w:val="00F8595A"/>
    <w:pPr>
      <w:numPr>
        <w:numId w:val="12"/>
      </w:numPr>
      <w:suppressAutoHyphens/>
      <w:spacing w:after="120" w:line="240" w:lineRule="atLeast"/>
      <w:textDirection w:val="btLr"/>
      <w:textAlignment w:val="top"/>
      <w:outlineLvl w:val="0"/>
    </w:pPr>
    <w:rPr>
      <w:rFonts w:ascii="Calibri" w:hAnsi="Calibri" w:cs="Calibri"/>
      <w:noProof/>
      <w:color w:val="000000"/>
      <w:position w:val="-1"/>
      <w:lang w:val="en-US" w:eastAsia="en-US"/>
    </w:rPr>
  </w:style>
  <w:style w:type="character" w:customStyle="1" w:styleId="EndNoteBibliographyChar">
    <w:name w:val="EndNote Bibliography Char"/>
    <w:basedOn w:val="CommentTextChar"/>
    <w:link w:val="EndNoteBibliography"/>
    <w:rsid w:val="005D3824"/>
    <w:rPr>
      <w:rFonts w:eastAsia="Times New Roman" w:cs="Calibri"/>
      <w:noProof/>
      <w:color w:val="000000"/>
      <w:position w:val="-1"/>
      <w:sz w:val="22"/>
      <w:szCs w:val="22"/>
      <w:lang w:val="en-US" w:eastAsia="en-US"/>
    </w:rPr>
  </w:style>
  <w:style w:type="paragraph" w:customStyle="1" w:styleId="In-tableHeading">
    <w:name w:val="In-table Heading"/>
    <w:qFormat/>
    <w:rsid w:val="002F7A78"/>
    <w:pPr>
      <w:keepNext/>
    </w:pPr>
    <w:rPr>
      <w:rFonts w:ascii="Arial Narrow" w:eastAsiaTheme="majorEastAsia" w:hAnsi="Arial Narrow"/>
      <w:b/>
      <w:szCs w:val="24"/>
      <w:lang w:val="en-US"/>
    </w:rPr>
  </w:style>
  <w:style w:type="character" w:styleId="PlaceholderText">
    <w:name w:val="Placeholder Text"/>
    <w:basedOn w:val="DefaultParagraphFont"/>
    <w:uiPriority w:val="99"/>
    <w:semiHidden/>
    <w:rsid w:val="00BF66BA"/>
    <w:rPr>
      <w:color w:val="666666"/>
    </w:rPr>
  </w:style>
  <w:style w:type="character" w:styleId="Mention">
    <w:name w:val="Mention"/>
    <w:basedOn w:val="DefaultParagraphFont"/>
    <w:uiPriority w:val="99"/>
    <w:unhideWhenUsed/>
    <w:rsid w:val="0018282B"/>
    <w:rPr>
      <w:color w:val="2B579A"/>
      <w:shd w:val="clear" w:color="auto" w:fill="E1DFDD"/>
    </w:rPr>
  </w:style>
  <w:style w:type="character" w:customStyle="1" w:styleId="TableFooterChar">
    <w:name w:val="Table Footer Char"/>
    <w:link w:val="TableFooter"/>
    <w:locked/>
    <w:rsid w:val="00E25DA9"/>
    <w:rPr>
      <w:rFonts w:ascii="Arial Narrow" w:eastAsia="Times New Roman" w:hAnsi="Arial Narrow" w:cs="Arial"/>
      <w:sz w:val="18"/>
    </w:rPr>
  </w:style>
  <w:style w:type="paragraph" w:customStyle="1" w:styleId="TableFooter">
    <w:name w:val="Table Footer"/>
    <w:basedOn w:val="Normal"/>
    <w:link w:val="TableFooterChar"/>
    <w:qFormat/>
    <w:rsid w:val="00E25DA9"/>
    <w:pPr>
      <w:widowControl w:val="0"/>
      <w:snapToGrid w:val="0"/>
      <w:spacing w:after="240" w:line="240" w:lineRule="auto"/>
      <w:contextualSpacing/>
      <w:jc w:val="both"/>
    </w:pPr>
    <w:rPr>
      <w:rFonts w:ascii="Arial Narrow" w:hAnsi="Arial Narrow" w:cs="Arial"/>
      <w:sz w:val="18"/>
      <w:szCs w:val="20"/>
      <w:lang w:eastAsia="en-AU"/>
    </w:rPr>
  </w:style>
  <w:style w:type="table" w:customStyle="1" w:styleId="Section3-footnot1">
    <w:name w:val="Section 3- footnot1"/>
    <w:basedOn w:val="TableNormal"/>
    <w:next w:val="TableGrid"/>
    <w:uiPriority w:val="59"/>
    <w:rsid w:val="00E2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0762">
      <w:bodyDiv w:val="1"/>
      <w:marLeft w:val="0"/>
      <w:marRight w:val="0"/>
      <w:marTop w:val="0"/>
      <w:marBottom w:val="0"/>
      <w:divBdr>
        <w:top w:val="none" w:sz="0" w:space="0" w:color="auto"/>
        <w:left w:val="none" w:sz="0" w:space="0" w:color="auto"/>
        <w:bottom w:val="none" w:sz="0" w:space="0" w:color="auto"/>
        <w:right w:val="none" w:sz="0" w:space="0" w:color="auto"/>
      </w:divBdr>
    </w:div>
    <w:div w:id="19672744">
      <w:bodyDiv w:val="1"/>
      <w:marLeft w:val="0"/>
      <w:marRight w:val="0"/>
      <w:marTop w:val="0"/>
      <w:marBottom w:val="0"/>
      <w:divBdr>
        <w:top w:val="none" w:sz="0" w:space="0" w:color="auto"/>
        <w:left w:val="none" w:sz="0" w:space="0" w:color="auto"/>
        <w:bottom w:val="none" w:sz="0" w:space="0" w:color="auto"/>
        <w:right w:val="none" w:sz="0" w:space="0" w:color="auto"/>
      </w:divBdr>
    </w:div>
    <w:div w:id="21830068">
      <w:bodyDiv w:val="1"/>
      <w:marLeft w:val="0"/>
      <w:marRight w:val="0"/>
      <w:marTop w:val="0"/>
      <w:marBottom w:val="0"/>
      <w:divBdr>
        <w:top w:val="none" w:sz="0" w:space="0" w:color="auto"/>
        <w:left w:val="none" w:sz="0" w:space="0" w:color="auto"/>
        <w:bottom w:val="none" w:sz="0" w:space="0" w:color="auto"/>
        <w:right w:val="none" w:sz="0" w:space="0" w:color="auto"/>
      </w:divBdr>
    </w:div>
    <w:div w:id="31468609">
      <w:bodyDiv w:val="1"/>
      <w:marLeft w:val="0"/>
      <w:marRight w:val="0"/>
      <w:marTop w:val="0"/>
      <w:marBottom w:val="0"/>
      <w:divBdr>
        <w:top w:val="none" w:sz="0" w:space="0" w:color="auto"/>
        <w:left w:val="none" w:sz="0" w:space="0" w:color="auto"/>
        <w:bottom w:val="none" w:sz="0" w:space="0" w:color="auto"/>
        <w:right w:val="none" w:sz="0" w:space="0" w:color="auto"/>
      </w:divBdr>
      <w:divsChild>
        <w:div w:id="155923866">
          <w:marLeft w:val="0"/>
          <w:marRight w:val="0"/>
          <w:marTop w:val="0"/>
          <w:marBottom w:val="0"/>
          <w:divBdr>
            <w:top w:val="none" w:sz="0" w:space="0" w:color="auto"/>
            <w:left w:val="none" w:sz="0" w:space="0" w:color="auto"/>
            <w:bottom w:val="none" w:sz="0" w:space="0" w:color="auto"/>
            <w:right w:val="none" w:sz="0" w:space="0" w:color="auto"/>
          </w:divBdr>
        </w:div>
        <w:div w:id="1576475727">
          <w:marLeft w:val="0"/>
          <w:marRight w:val="0"/>
          <w:marTop w:val="0"/>
          <w:marBottom w:val="0"/>
          <w:divBdr>
            <w:top w:val="none" w:sz="0" w:space="0" w:color="auto"/>
            <w:left w:val="none" w:sz="0" w:space="0" w:color="auto"/>
            <w:bottom w:val="none" w:sz="0" w:space="0" w:color="auto"/>
            <w:right w:val="none" w:sz="0" w:space="0" w:color="auto"/>
          </w:divBdr>
        </w:div>
        <w:div w:id="1625573094">
          <w:marLeft w:val="0"/>
          <w:marRight w:val="0"/>
          <w:marTop w:val="0"/>
          <w:marBottom w:val="0"/>
          <w:divBdr>
            <w:top w:val="none" w:sz="0" w:space="0" w:color="auto"/>
            <w:left w:val="none" w:sz="0" w:space="0" w:color="auto"/>
            <w:bottom w:val="none" w:sz="0" w:space="0" w:color="auto"/>
            <w:right w:val="none" w:sz="0" w:space="0" w:color="auto"/>
          </w:divBdr>
        </w:div>
        <w:div w:id="1737892118">
          <w:marLeft w:val="0"/>
          <w:marRight w:val="0"/>
          <w:marTop w:val="0"/>
          <w:marBottom w:val="0"/>
          <w:divBdr>
            <w:top w:val="none" w:sz="0" w:space="0" w:color="auto"/>
            <w:left w:val="none" w:sz="0" w:space="0" w:color="auto"/>
            <w:bottom w:val="none" w:sz="0" w:space="0" w:color="auto"/>
            <w:right w:val="none" w:sz="0" w:space="0" w:color="auto"/>
          </w:divBdr>
        </w:div>
      </w:divsChild>
    </w:div>
    <w:div w:id="47653606">
      <w:bodyDiv w:val="1"/>
      <w:marLeft w:val="0"/>
      <w:marRight w:val="0"/>
      <w:marTop w:val="0"/>
      <w:marBottom w:val="0"/>
      <w:divBdr>
        <w:top w:val="none" w:sz="0" w:space="0" w:color="auto"/>
        <w:left w:val="none" w:sz="0" w:space="0" w:color="auto"/>
        <w:bottom w:val="none" w:sz="0" w:space="0" w:color="auto"/>
        <w:right w:val="none" w:sz="0" w:space="0" w:color="auto"/>
      </w:divBdr>
    </w:div>
    <w:div w:id="76634206">
      <w:bodyDiv w:val="1"/>
      <w:marLeft w:val="0"/>
      <w:marRight w:val="0"/>
      <w:marTop w:val="0"/>
      <w:marBottom w:val="0"/>
      <w:divBdr>
        <w:top w:val="none" w:sz="0" w:space="0" w:color="auto"/>
        <w:left w:val="none" w:sz="0" w:space="0" w:color="auto"/>
        <w:bottom w:val="none" w:sz="0" w:space="0" w:color="auto"/>
        <w:right w:val="none" w:sz="0" w:space="0" w:color="auto"/>
      </w:divBdr>
    </w:div>
    <w:div w:id="76677684">
      <w:bodyDiv w:val="1"/>
      <w:marLeft w:val="0"/>
      <w:marRight w:val="0"/>
      <w:marTop w:val="0"/>
      <w:marBottom w:val="0"/>
      <w:divBdr>
        <w:top w:val="none" w:sz="0" w:space="0" w:color="auto"/>
        <w:left w:val="none" w:sz="0" w:space="0" w:color="auto"/>
        <w:bottom w:val="none" w:sz="0" w:space="0" w:color="auto"/>
        <w:right w:val="none" w:sz="0" w:space="0" w:color="auto"/>
      </w:divBdr>
    </w:div>
    <w:div w:id="88738059">
      <w:bodyDiv w:val="1"/>
      <w:marLeft w:val="0"/>
      <w:marRight w:val="0"/>
      <w:marTop w:val="0"/>
      <w:marBottom w:val="0"/>
      <w:divBdr>
        <w:top w:val="none" w:sz="0" w:space="0" w:color="auto"/>
        <w:left w:val="none" w:sz="0" w:space="0" w:color="auto"/>
        <w:bottom w:val="none" w:sz="0" w:space="0" w:color="auto"/>
        <w:right w:val="none" w:sz="0" w:space="0" w:color="auto"/>
      </w:divBdr>
      <w:divsChild>
        <w:div w:id="568878823">
          <w:marLeft w:val="0"/>
          <w:marRight w:val="0"/>
          <w:marTop w:val="0"/>
          <w:marBottom w:val="0"/>
          <w:divBdr>
            <w:top w:val="none" w:sz="0" w:space="0" w:color="auto"/>
            <w:left w:val="none" w:sz="0" w:space="0" w:color="auto"/>
            <w:bottom w:val="none" w:sz="0" w:space="0" w:color="auto"/>
            <w:right w:val="none" w:sz="0" w:space="0" w:color="auto"/>
          </w:divBdr>
          <w:divsChild>
            <w:div w:id="1938560236">
              <w:marLeft w:val="0"/>
              <w:marRight w:val="0"/>
              <w:marTop w:val="0"/>
              <w:marBottom w:val="0"/>
              <w:divBdr>
                <w:top w:val="none" w:sz="0" w:space="0" w:color="auto"/>
                <w:left w:val="none" w:sz="0" w:space="0" w:color="auto"/>
                <w:bottom w:val="none" w:sz="0" w:space="0" w:color="auto"/>
                <w:right w:val="none" w:sz="0" w:space="0" w:color="auto"/>
              </w:divBdr>
              <w:divsChild>
                <w:div w:id="314771880">
                  <w:marLeft w:val="0"/>
                  <w:marRight w:val="0"/>
                  <w:marTop w:val="0"/>
                  <w:marBottom w:val="0"/>
                  <w:divBdr>
                    <w:top w:val="none" w:sz="0" w:space="0" w:color="auto"/>
                    <w:left w:val="none" w:sz="0" w:space="0" w:color="auto"/>
                    <w:bottom w:val="none" w:sz="0" w:space="0" w:color="auto"/>
                    <w:right w:val="none" w:sz="0" w:space="0" w:color="auto"/>
                  </w:divBdr>
                  <w:divsChild>
                    <w:div w:id="236403617">
                      <w:marLeft w:val="0"/>
                      <w:marRight w:val="0"/>
                      <w:marTop w:val="0"/>
                      <w:marBottom w:val="0"/>
                      <w:divBdr>
                        <w:top w:val="none" w:sz="0" w:space="0" w:color="auto"/>
                        <w:left w:val="none" w:sz="0" w:space="0" w:color="auto"/>
                        <w:bottom w:val="none" w:sz="0" w:space="0" w:color="auto"/>
                        <w:right w:val="none" w:sz="0" w:space="0" w:color="auto"/>
                      </w:divBdr>
                      <w:divsChild>
                        <w:div w:id="827985811">
                          <w:marLeft w:val="0"/>
                          <w:marRight w:val="0"/>
                          <w:marTop w:val="0"/>
                          <w:marBottom w:val="0"/>
                          <w:divBdr>
                            <w:top w:val="none" w:sz="0" w:space="0" w:color="auto"/>
                            <w:left w:val="none" w:sz="0" w:space="0" w:color="auto"/>
                            <w:bottom w:val="none" w:sz="0" w:space="0" w:color="auto"/>
                            <w:right w:val="none" w:sz="0" w:space="0" w:color="auto"/>
                          </w:divBdr>
                          <w:divsChild>
                            <w:div w:id="706641460">
                              <w:marLeft w:val="0"/>
                              <w:marRight w:val="0"/>
                              <w:marTop w:val="0"/>
                              <w:marBottom w:val="0"/>
                              <w:divBdr>
                                <w:top w:val="none" w:sz="0" w:space="0" w:color="auto"/>
                                <w:left w:val="none" w:sz="0" w:space="0" w:color="auto"/>
                                <w:bottom w:val="none" w:sz="0" w:space="0" w:color="auto"/>
                                <w:right w:val="none" w:sz="0" w:space="0" w:color="auto"/>
                              </w:divBdr>
                              <w:divsChild>
                                <w:div w:id="821700121">
                                  <w:marLeft w:val="0"/>
                                  <w:marRight w:val="0"/>
                                  <w:marTop w:val="0"/>
                                  <w:marBottom w:val="0"/>
                                  <w:divBdr>
                                    <w:top w:val="none" w:sz="0" w:space="0" w:color="auto"/>
                                    <w:left w:val="none" w:sz="0" w:space="0" w:color="auto"/>
                                    <w:bottom w:val="none" w:sz="0" w:space="0" w:color="auto"/>
                                    <w:right w:val="none" w:sz="0" w:space="0" w:color="auto"/>
                                  </w:divBdr>
                                  <w:divsChild>
                                    <w:div w:id="125181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9389">
                      <w:marLeft w:val="0"/>
                      <w:marRight w:val="0"/>
                      <w:marTop w:val="0"/>
                      <w:marBottom w:val="0"/>
                      <w:divBdr>
                        <w:top w:val="none" w:sz="0" w:space="0" w:color="auto"/>
                        <w:left w:val="none" w:sz="0" w:space="0" w:color="auto"/>
                        <w:bottom w:val="none" w:sz="0" w:space="0" w:color="auto"/>
                        <w:right w:val="none" w:sz="0" w:space="0" w:color="auto"/>
                      </w:divBdr>
                      <w:divsChild>
                        <w:div w:id="809709713">
                          <w:marLeft w:val="0"/>
                          <w:marRight w:val="0"/>
                          <w:marTop w:val="0"/>
                          <w:marBottom w:val="0"/>
                          <w:divBdr>
                            <w:top w:val="none" w:sz="0" w:space="0" w:color="auto"/>
                            <w:left w:val="none" w:sz="0" w:space="0" w:color="auto"/>
                            <w:bottom w:val="none" w:sz="0" w:space="0" w:color="auto"/>
                            <w:right w:val="none" w:sz="0" w:space="0" w:color="auto"/>
                          </w:divBdr>
                        </w:div>
                        <w:div w:id="1110007889">
                          <w:marLeft w:val="0"/>
                          <w:marRight w:val="0"/>
                          <w:marTop w:val="0"/>
                          <w:marBottom w:val="0"/>
                          <w:divBdr>
                            <w:top w:val="none" w:sz="0" w:space="0" w:color="auto"/>
                            <w:left w:val="none" w:sz="0" w:space="0" w:color="auto"/>
                            <w:bottom w:val="none" w:sz="0" w:space="0" w:color="auto"/>
                            <w:right w:val="none" w:sz="0" w:space="0" w:color="auto"/>
                          </w:divBdr>
                          <w:divsChild>
                            <w:div w:id="970398163">
                              <w:marLeft w:val="0"/>
                              <w:marRight w:val="0"/>
                              <w:marTop w:val="0"/>
                              <w:marBottom w:val="0"/>
                              <w:divBdr>
                                <w:top w:val="none" w:sz="0" w:space="0" w:color="auto"/>
                                <w:left w:val="none" w:sz="0" w:space="0" w:color="auto"/>
                                <w:bottom w:val="none" w:sz="0" w:space="0" w:color="auto"/>
                                <w:right w:val="none" w:sz="0" w:space="0" w:color="auto"/>
                              </w:divBdr>
                              <w:divsChild>
                                <w:div w:id="1811510598">
                                  <w:marLeft w:val="0"/>
                                  <w:marRight w:val="0"/>
                                  <w:marTop w:val="0"/>
                                  <w:marBottom w:val="0"/>
                                  <w:divBdr>
                                    <w:top w:val="none" w:sz="0" w:space="0" w:color="auto"/>
                                    <w:left w:val="none" w:sz="0" w:space="0" w:color="auto"/>
                                    <w:bottom w:val="none" w:sz="0" w:space="0" w:color="auto"/>
                                    <w:right w:val="none" w:sz="0" w:space="0" w:color="auto"/>
                                  </w:divBdr>
                                  <w:divsChild>
                                    <w:div w:id="9651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377997">
          <w:marLeft w:val="0"/>
          <w:marRight w:val="0"/>
          <w:marTop w:val="0"/>
          <w:marBottom w:val="0"/>
          <w:divBdr>
            <w:top w:val="none" w:sz="0" w:space="0" w:color="auto"/>
            <w:left w:val="none" w:sz="0" w:space="0" w:color="auto"/>
            <w:bottom w:val="none" w:sz="0" w:space="0" w:color="auto"/>
            <w:right w:val="none" w:sz="0" w:space="0" w:color="auto"/>
          </w:divBdr>
          <w:divsChild>
            <w:div w:id="1492213869">
              <w:marLeft w:val="0"/>
              <w:marRight w:val="0"/>
              <w:marTop w:val="0"/>
              <w:marBottom w:val="0"/>
              <w:divBdr>
                <w:top w:val="none" w:sz="0" w:space="0" w:color="auto"/>
                <w:left w:val="none" w:sz="0" w:space="0" w:color="auto"/>
                <w:bottom w:val="none" w:sz="0" w:space="0" w:color="auto"/>
                <w:right w:val="none" w:sz="0" w:space="0" w:color="auto"/>
              </w:divBdr>
              <w:divsChild>
                <w:div w:id="656304965">
                  <w:marLeft w:val="0"/>
                  <w:marRight w:val="0"/>
                  <w:marTop w:val="0"/>
                  <w:marBottom w:val="0"/>
                  <w:divBdr>
                    <w:top w:val="none" w:sz="0" w:space="0" w:color="auto"/>
                    <w:left w:val="none" w:sz="0" w:space="0" w:color="auto"/>
                    <w:bottom w:val="none" w:sz="0" w:space="0" w:color="auto"/>
                    <w:right w:val="none" w:sz="0" w:space="0" w:color="auto"/>
                  </w:divBdr>
                  <w:divsChild>
                    <w:div w:id="1644852897">
                      <w:marLeft w:val="0"/>
                      <w:marRight w:val="0"/>
                      <w:marTop w:val="0"/>
                      <w:marBottom w:val="0"/>
                      <w:divBdr>
                        <w:top w:val="none" w:sz="0" w:space="0" w:color="auto"/>
                        <w:left w:val="none" w:sz="0" w:space="0" w:color="auto"/>
                        <w:bottom w:val="none" w:sz="0" w:space="0" w:color="auto"/>
                        <w:right w:val="none" w:sz="0" w:space="0" w:color="auto"/>
                      </w:divBdr>
                      <w:divsChild>
                        <w:div w:id="1152452654">
                          <w:marLeft w:val="0"/>
                          <w:marRight w:val="0"/>
                          <w:marTop w:val="0"/>
                          <w:marBottom w:val="0"/>
                          <w:divBdr>
                            <w:top w:val="none" w:sz="0" w:space="0" w:color="auto"/>
                            <w:left w:val="none" w:sz="0" w:space="0" w:color="auto"/>
                            <w:bottom w:val="none" w:sz="0" w:space="0" w:color="auto"/>
                            <w:right w:val="none" w:sz="0" w:space="0" w:color="auto"/>
                          </w:divBdr>
                          <w:divsChild>
                            <w:div w:id="1858500535">
                              <w:marLeft w:val="0"/>
                              <w:marRight w:val="0"/>
                              <w:marTop w:val="0"/>
                              <w:marBottom w:val="0"/>
                              <w:divBdr>
                                <w:top w:val="none" w:sz="0" w:space="0" w:color="auto"/>
                                <w:left w:val="none" w:sz="0" w:space="0" w:color="auto"/>
                                <w:bottom w:val="none" w:sz="0" w:space="0" w:color="auto"/>
                                <w:right w:val="none" w:sz="0" w:space="0" w:color="auto"/>
                              </w:divBdr>
                              <w:divsChild>
                                <w:div w:id="2025739019">
                                  <w:marLeft w:val="0"/>
                                  <w:marRight w:val="0"/>
                                  <w:marTop w:val="0"/>
                                  <w:marBottom w:val="0"/>
                                  <w:divBdr>
                                    <w:top w:val="none" w:sz="0" w:space="0" w:color="auto"/>
                                    <w:left w:val="none" w:sz="0" w:space="0" w:color="auto"/>
                                    <w:bottom w:val="none" w:sz="0" w:space="0" w:color="auto"/>
                                    <w:right w:val="none" w:sz="0" w:space="0" w:color="auto"/>
                                  </w:divBdr>
                                  <w:divsChild>
                                    <w:div w:id="1785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4417">
                          <w:marLeft w:val="0"/>
                          <w:marRight w:val="0"/>
                          <w:marTop w:val="0"/>
                          <w:marBottom w:val="0"/>
                          <w:divBdr>
                            <w:top w:val="none" w:sz="0" w:space="0" w:color="auto"/>
                            <w:left w:val="none" w:sz="0" w:space="0" w:color="auto"/>
                            <w:bottom w:val="none" w:sz="0" w:space="0" w:color="auto"/>
                            <w:right w:val="none" w:sz="0" w:space="0" w:color="auto"/>
                          </w:divBdr>
                        </w:div>
                      </w:divsChild>
                    </w:div>
                    <w:div w:id="2139445427">
                      <w:marLeft w:val="0"/>
                      <w:marRight w:val="0"/>
                      <w:marTop w:val="0"/>
                      <w:marBottom w:val="0"/>
                      <w:divBdr>
                        <w:top w:val="none" w:sz="0" w:space="0" w:color="auto"/>
                        <w:left w:val="none" w:sz="0" w:space="0" w:color="auto"/>
                        <w:bottom w:val="none" w:sz="0" w:space="0" w:color="auto"/>
                        <w:right w:val="none" w:sz="0" w:space="0" w:color="auto"/>
                      </w:divBdr>
                      <w:divsChild>
                        <w:div w:id="1815873473">
                          <w:marLeft w:val="0"/>
                          <w:marRight w:val="0"/>
                          <w:marTop w:val="0"/>
                          <w:marBottom w:val="0"/>
                          <w:divBdr>
                            <w:top w:val="none" w:sz="0" w:space="0" w:color="auto"/>
                            <w:left w:val="none" w:sz="0" w:space="0" w:color="auto"/>
                            <w:bottom w:val="none" w:sz="0" w:space="0" w:color="auto"/>
                            <w:right w:val="none" w:sz="0" w:space="0" w:color="auto"/>
                          </w:divBdr>
                          <w:divsChild>
                            <w:div w:id="2111657816">
                              <w:marLeft w:val="0"/>
                              <w:marRight w:val="0"/>
                              <w:marTop w:val="0"/>
                              <w:marBottom w:val="0"/>
                              <w:divBdr>
                                <w:top w:val="none" w:sz="0" w:space="0" w:color="auto"/>
                                <w:left w:val="none" w:sz="0" w:space="0" w:color="auto"/>
                                <w:bottom w:val="none" w:sz="0" w:space="0" w:color="auto"/>
                                <w:right w:val="none" w:sz="0" w:space="0" w:color="auto"/>
                              </w:divBdr>
                              <w:divsChild>
                                <w:div w:id="907837382">
                                  <w:marLeft w:val="0"/>
                                  <w:marRight w:val="0"/>
                                  <w:marTop w:val="0"/>
                                  <w:marBottom w:val="0"/>
                                  <w:divBdr>
                                    <w:top w:val="none" w:sz="0" w:space="0" w:color="auto"/>
                                    <w:left w:val="none" w:sz="0" w:space="0" w:color="auto"/>
                                    <w:bottom w:val="none" w:sz="0" w:space="0" w:color="auto"/>
                                    <w:right w:val="none" w:sz="0" w:space="0" w:color="auto"/>
                                  </w:divBdr>
                                  <w:divsChild>
                                    <w:div w:id="16481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5670">
      <w:bodyDiv w:val="1"/>
      <w:marLeft w:val="0"/>
      <w:marRight w:val="0"/>
      <w:marTop w:val="0"/>
      <w:marBottom w:val="0"/>
      <w:divBdr>
        <w:top w:val="none" w:sz="0" w:space="0" w:color="auto"/>
        <w:left w:val="none" w:sz="0" w:space="0" w:color="auto"/>
        <w:bottom w:val="none" w:sz="0" w:space="0" w:color="auto"/>
        <w:right w:val="none" w:sz="0" w:space="0" w:color="auto"/>
      </w:divBdr>
    </w:div>
    <w:div w:id="193076465">
      <w:bodyDiv w:val="1"/>
      <w:marLeft w:val="0"/>
      <w:marRight w:val="0"/>
      <w:marTop w:val="0"/>
      <w:marBottom w:val="0"/>
      <w:divBdr>
        <w:top w:val="none" w:sz="0" w:space="0" w:color="auto"/>
        <w:left w:val="none" w:sz="0" w:space="0" w:color="auto"/>
        <w:bottom w:val="none" w:sz="0" w:space="0" w:color="auto"/>
        <w:right w:val="none" w:sz="0" w:space="0" w:color="auto"/>
      </w:divBdr>
      <w:divsChild>
        <w:div w:id="89857554">
          <w:marLeft w:val="0"/>
          <w:marRight w:val="0"/>
          <w:marTop w:val="0"/>
          <w:marBottom w:val="0"/>
          <w:divBdr>
            <w:top w:val="none" w:sz="0" w:space="0" w:color="auto"/>
            <w:left w:val="none" w:sz="0" w:space="0" w:color="auto"/>
            <w:bottom w:val="none" w:sz="0" w:space="0" w:color="auto"/>
            <w:right w:val="none" w:sz="0" w:space="0" w:color="auto"/>
          </w:divBdr>
        </w:div>
        <w:div w:id="609901355">
          <w:marLeft w:val="0"/>
          <w:marRight w:val="0"/>
          <w:marTop w:val="0"/>
          <w:marBottom w:val="0"/>
          <w:divBdr>
            <w:top w:val="none" w:sz="0" w:space="0" w:color="auto"/>
            <w:left w:val="none" w:sz="0" w:space="0" w:color="auto"/>
            <w:bottom w:val="none" w:sz="0" w:space="0" w:color="auto"/>
            <w:right w:val="none" w:sz="0" w:space="0" w:color="auto"/>
          </w:divBdr>
        </w:div>
        <w:div w:id="686058540">
          <w:marLeft w:val="0"/>
          <w:marRight w:val="0"/>
          <w:marTop w:val="0"/>
          <w:marBottom w:val="0"/>
          <w:divBdr>
            <w:top w:val="none" w:sz="0" w:space="0" w:color="auto"/>
            <w:left w:val="none" w:sz="0" w:space="0" w:color="auto"/>
            <w:bottom w:val="none" w:sz="0" w:space="0" w:color="auto"/>
            <w:right w:val="none" w:sz="0" w:space="0" w:color="auto"/>
          </w:divBdr>
        </w:div>
        <w:div w:id="922451597">
          <w:marLeft w:val="0"/>
          <w:marRight w:val="0"/>
          <w:marTop w:val="0"/>
          <w:marBottom w:val="0"/>
          <w:divBdr>
            <w:top w:val="none" w:sz="0" w:space="0" w:color="auto"/>
            <w:left w:val="none" w:sz="0" w:space="0" w:color="auto"/>
            <w:bottom w:val="none" w:sz="0" w:space="0" w:color="auto"/>
            <w:right w:val="none" w:sz="0" w:space="0" w:color="auto"/>
          </w:divBdr>
        </w:div>
      </w:divsChild>
    </w:div>
    <w:div w:id="226914601">
      <w:bodyDiv w:val="1"/>
      <w:marLeft w:val="0"/>
      <w:marRight w:val="0"/>
      <w:marTop w:val="0"/>
      <w:marBottom w:val="0"/>
      <w:divBdr>
        <w:top w:val="none" w:sz="0" w:space="0" w:color="auto"/>
        <w:left w:val="none" w:sz="0" w:space="0" w:color="auto"/>
        <w:bottom w:val="none" w:sz="0" w:space="0" w:color="auto"/>
        <w:right w:val="none" w:sz="0" w:space="0" w:color="auto"/>
      </w:divBdr>
    </w:div>
    <w:div w:id="236794893">
      <w:bodyDiv w:val="1"/>
      <w:marLeft w:val="0"/>
      <w:marRight w:val="0"/>
      <w:marTop w:val="0"/>
      <w:marBottom w:val="0"/>
      <w:divBdr>
        <w:top w:val="none" w:sz="0" w:space="0" w:color="auto"/>
        <w:left w:val="none" w:sz="0" w:space="0" w:color="auto"/>
        <w:bottom w:val="none" w:sz="0" w:space="0" w:color="auto"/>
        <w:right w:val="none" w:sz="0" w:space="0" w:color="auto"/>
      </w:divBdr>
    </w:div>
    <w:div w:id="248731278">
      <w:bodyDiv w:val="1"/>
      <w:marLeft w:val="0"/>
      <w:marRight w:val="0"/>
      <w:marTop w:val="0"/>
      <w:marBottom w:val="0"/>
      <w:divBdr>
        <w:top w:val="none" w:sz="0" w:space="0" w:color="auto"/>
        <w:left w:val="none" w:sz="0" w:space="0" w:color="auto"/>
        <w:bottom w:val="none" w:sz="0" w:space="0" w:color="auto"/>
        <w:right w:val="none" w:sz="0" w:space="0" w:color="auto"/>
      </w:divBdr>
      <w:divsChild>
        <w:div w:id="1395856663">
          <w:marLeft w:val="0"/>
          <w:marRight w:val="0"/>
          <w:marTop w:val="0"/>
          <w:marBottom w:val="0"/>
          <w:divBdr>
            <w:top w:val="none" w:sz="0" w:space="0" w:color="auto"/>
            <w:left w:val="none" w:sz="0" w:space="0" w:color="auto"/>
            <w:bottom w:val="none" w:sz="0" w:space="0" w:color="auto"/>
            <w:right w:val="none" w:sz="0" w:space="0" w:color="auto"/>
          </w:divBdr>
          <w:divsChild>
            <w:div w:id="1769695665">
              <w:marLeft w:val="0"/>
              <w:marRight w:val="0"/>
              <w:marTop w:val="0"/>
              <w:marBottom w:val="0"/>
              <w:divBdr>
                <w:top w:val="none" w:sz="0" w:space="0" w:color="auto"/>
                <w:left w:val="none" w:sz="0" w:space="0" w:color="auto"/>
                <w:bottom w:val="none" w:sz="0" w:space="0" w:color="auto"/>
                <w:right w:val="none" w:sz="0" w:space="0" w:color="auto"/>
              </w:divBdr>
              <w:divsChild>
                <w:div w:id="1844860666">
                  <w:marLeft w:val="0"/>
                  <w:marRight w:val="0"/>
                  <w:marTop w:val="0"/>
                  <w:marBottom w:val="0"/>
                  <w:divBdr>
                    <w:top w:val="none" w:sz="0" w:space="0" w:color="auto"/>
                    <w:left w:val="none" w:sz="0" w:space="0" w:color="auto"/>
                    <w:bottom w:val="none" w:sz="0" w:space="0" w:color="auto"/>
                    <w:right w:val="none" w:sz="0" w:space="0" w:color="auto"/>
                  </w:divBdr>
                  <w:divsChild>
                    <w:div w:id="11076235">
                      <w:marLeft w:val="0"/>
                      <w:marRight w:val="0"/>
                      <w:marTop w:val="0"/>
                      <w:marBottom w:val="0"/>
                      <w:divBdr>
                        <w:top w:val="none" w:sz="0" w:space="0" w:color="auto"/>
                        <w:left w:val="none" w:sz="0" w:space="0" w:color="auto"/>
                        <w:bottom w:val="none" w:sz="0" w:space="0" w:color="auto"/>
                        <w:right w:val="none" w:sz="0" w:space="0" w:color="auto"/>
                      </w:divBdr>
                      <w:divsChild>
                        <w:div w:id="841819379">
                          <w:marLeft w:val="0"/>
                          <w:marRight w:val="0"/>
                          <w:marTop w:val="0"/>
                          <w:marBottom w:val="0"/>
                          <w:divBdr>
                            <w:top w:val="none" w:sz="0" w:space="0" w:color="auto"/>
                            <w:left w:val="none" w:sz="0" w:space="0" w:color="auto"/>
                            <w:bottom w:val="none" w:sz="0" w:space="0" w:color="auto"/>
                            <w:right w:val="none" w:sz="0" w:space="0" w:color="auto"/>
                          </w:divBdr>
                          <w:divsChild>
                            <w:div w:id="1197890678">
                              <w:marLeft w:val="0"/>
                              <w:marRight w:val="0"/>
                              <w:marTop w:val="0"/>
                              <w:marBottom w:val="0"/>
                              <w:divBdr>
                                <w:top w:val="none" w:sz="0" w:space="0" w:color="auto"/>
                                <w:left w:val="none" w:sz="0" w:space="0" w:color="auto"/>
                                <w:bottom w:val="none" w:sz="0" w:space="0" w:color="auto"/>
                                <w:right w:val="none" w:sz="0" w:space="0" w:color="auto"/>
                              </w:divBdr>
                              <w:divsChild>
                                <w:div w:id="687409781">
                                  <w:marLeft w:val="0"/>
                                  <w:marRight w:val="0"/>
                                  <w:marTop w:val="0"/>
                                  <w:marBottom w:val="0"/>
                                  <w:divBdr>
                                    <w:top w:val="none" w:sz="0" w:space="0" w:color="auto"/>
                                    <w:left w:val="none" w:sz="0" w:space="0" w:color="auto"/>
                                    <w:bottom w:val="none" w:sz="0" w:space="0" w:color="auto"/>
                                    <w:right w:val="none" w:sz="0" w:space="0" w:color="auto"/>
                                  </w:divBdr>
                                  <w:divsChild>
                                    <w:div w:id="18229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951707">
                      <w:marLeft w:val="0"/>
                      <w:marRight w:val="0"/>
                      <w:marTop w:val="0"/>
                      <w:marBottom w:val="0"/>
                      <w:divBdr>
                        <w:top w:val="none" w:sz="0" w:space="0" w:color="auto"/>
                        <w:left w:val="none" w:sz="0" w:space="0" w:color="auto"/>
                        <w:bottom w:val="none" w:sz="0" w:space="0" w:color="auto"/>
                        <w:right w:val="none" w:sz="0" w:space="0" w:color="auto"/>
                      </w:divBdr>
                      <w:divsChild>
                        <w:div w:id="394400603">
                          <w:marLeft w:val="0"/>
                          <w:marRight w:val="0"/>
                          <w:marTop w:val="0"/>
                          <w:marBottom w:val="0"/>
                          <w:divBdr>
                            <w:top w:val="none" w:sz="0" w:space="0" w:color="auto"/>
                            <w:left w:val="none" w:sz="0" w:space="0" w:color="auto"/>
                            <w:bottom w:val="none" w:sz="0" w:space="0" w:color="auto"/>
                            <w:right w:val="none" w:sz="0" w:space="0" w:color="auto"/>
                          </w:divBdr>
                          <w:divsChild>
                            <w:div w:id="1552569367">
                              <w:marLeft w:val="0"/>
                              <w:marRight w:val="0"/>
                              <w:marTop w:val="0"/>
                              <w:marBottom w:val="0"/>
                              <w:divBdr>
                                <w:top w:val="none" w:sz="0" w:space="0" w:color="auto"/>
                                <w:left w:val="none" w:sz="0" w:space="0" w:color="auto"/>
                                <w:bottom w:val="none" w:sz="0" w:space="0" w:color="auto"/>
                                <w:right w:val="none" w:sz="0" w:space="0" w:color="auto"/>
                              </w:divBdr>
                              <w:divsChild>
                                <w:div w:id="2143689812">
                                  <w:marLeft w:val="0"/>
                                  <w:marRight w:val="0"/>
                                  <w:marTop w:val="0"/>
                                  <w:marBottom w:val="0"/>
                                  <w:divBdr>
                                    <w:top w:val="none" w:sz="0" w:space="0" w:color="auto"/>
                                    <w:left w:val="none" w:sz="0" w:space="0" w:color="auto"/>
                                    <w:bottom w:val="none" w:sz="0" w:space="0" w:color="auto"/>
                                    <w:right w:val="none" w:sz="0" w:space="0" w:color="auto"/>
                                  </w:divBdr>
                                  <w:divsChild>
                                    <w:div w:id="96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05646">
          <w:marLeft w:val="0"/>
          <w:marRight w:val="0"/>
          <w:marTop w:val="0"/>
          <w:marBottom w:val="0"/>
          <w:divBdr>
            <w:top w:val="none" w:sz="0" w:space="0" w:color="auto"/>
            <w:left w:val="none" w:sz="0" w:space="0" w:color="auto"/>
            <w:bottom w:val="none" w:sz="0" w:space="0" w:color="auto"/>
            <w:right w:val="none" w:sz="0" w:space="0" w:color="auto"/>
          </w:divBdr>
          <w:divsChild>
            <w:div w:id="1308507886">
              <w:marLeft w:val="0"/>
              <w:marRight w:val="0"/>
              <w:marTop w:val="0"/>
              <w:marBottom w:val="0"/>
              <w:divBdr>
                <w:top w:val="none" w:sz="0" w:space="0" w:color="auto"/>
                <w:left w:val="none" w:sz="0" w:space="0" w:color="auto"/>
                <w:bottom w:val="none" w:sz="0" w:space="0" w:color="auto"/>
                <w:right w:val="none" w:sz="0" w:space="0" w:color="auto"/>
              </w:divBdr>
              <w:divsChild>
                <w:div w:id="1277172256">
                  <w:marLeft w:val="0"/>
                  <w:marRight w:val="0"/>
                  <w:marTop w:val="0"/>
                  <w:marBottom w:val="0"/>
                  <w:divBdr>
                    <w:top w:val="none" w:sz="0" w:space="0" w:color="auto"/>
                    <w:left w:val="none" w:sz="0" w:space="0" w:color="auto"/>
                    <w:bottom w:val="none" w:sz="0" w:space="0" w:color="auto"/>
                    <w:right w:val="none" w:sz="0" w:space="0" w:color="auto"/>
                  </w:divBdr>
                  <w:divsChild>
                    <w:div w:id="655572767">
                      <w:marLeft w:val="0"/>
                      <w:marRight w:val="0"/>
                      <w:marTop w:val="0"/>
                      <w:marBottom w:val="0"/>
                      <w:divBdr>
                        <w:top w:val="none" w:sz="0" w:space="0" w:color="auto"/>
                        <w:left w:val="none" w:sz="0" w:space="0" w:color="auto"/>
                        <w:bottom w:val="none" w:sz="0" w:space="0" w:color="auto"/>
                        <w:right w:val="none" w:sz="0" w:space="0" w:color="auto"/>
                      </w:divBdr>
                      <w:divsChild>
                        <w:div w:id="331762250">
                          <w:marLeft w:val="0"/>
                          <w:marRight w:val="0"/>
                          <w:marTop w:val="0"/>
                          <w:marBottom w:val="0"/>
                          <w:divBdr>
                            <w:top w:val="none" w:sz="0" w:space="0" w:color="auto"/>
                            <w:left w:val="none" w:sz="0" w:space="0" w:color="auto"/>
                            <w:bottom w:val="none" w:sz="0" w:space="0" w:color="auto"/>
                            <w:right w:val="none" w:sz="0" w:space="0" w:color="auto"/>
                          </w:divBdr>
                          <w:divsChild>
                            <w:div w:id="694968037">
                              <w:marLeft w:val="0"/>
                              <w:marRight w:val="0"/>
                              <w:marTop w:val="0"/>
                              <w:marBottom w:val="0"/>
                              <w:divBdr>
                                <w:top w:val="none" w:sz="0" w:space="0" w:color="auto"/>
                                <w:left w:val="none" w:sz="0" w:space="0" w:color="auto"/>
                                <w:bottom w:val="none" w:sz="0" w:space="0" w:color="auto"/>
                                <w:right w:val="none" w:sz="0" w:space="0" w:color="auto"/>
                              </w:divBdr>
                              <w:divsChild>
                                <w:div w:id="481627441">
                                  <w:marLeft w:val="0"/>
                                  <w:marRight w:val="0"/>
                                  <w:marTop w:val="0"/>
                                  <w:marBottom w:val="0"/>
                                  <w:divBdr>
                                    <w:top w:val="none" w:sz="0" w:space="0" w:color="auto"/>
                                    <w:left w:val="none" w:sz="0" w:space="0" w:color="auto"/>
                                    <w:bottom w:val="none" w:sz="0" w:space="0" w:color="auto"/>
                                    <w:right w:val="none" w:sz="0" w:space="0" w:color="auto"/>
                                  </w:divBdr>
                                  <w:divsChild>
                                    <w:div w:id="4385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9476">
                      <w:marLeft w:val="0"/>
                      <w:marRight w:val="0"/>
                      <w:marTop w:val="0"/>
                      <w:marBottom w:val="0"/>
                      <w:divBdr>
                        <w:top w:val="none" w:sz="0" w:space="0" w:color="auto"/>
                        <w:left w:val="none" w:sz="0" w:space="0" w:color="auto"/>
                        <w:bottom w:val="none" w:sz="0" w:space="0" w:color="auto"/>
                        <w:right w:val="none" w:sz="0" w:space="0" w:color="auto"/>
                      </w:divBdr>
                      <w:divsChild>
                        <w:div w:id="778138607">
                          <w:marLeft w:val="0"/>
                          <w:marRight w:val="0"/>
                          <w:marTop w:val="0"/>
                          <w:marBottom w:val="0"/>
                          <w:divBdr>
                            <w:top w:val="none" w:sz="0" w:space="0" w:color="auto"/>
                            <w:left w:val="none" w:sz="0" w:space="0" w:color="auto"/>
                            <w:bottom w:val="none" w:sz="0" w:space="0" w:color="auto"/>
                            <w:right w:val="none" w:sz="0" w:space="0" w:color="auto"/>
                          </w:divBdr>
                        </w:div>
                        <w:div w:id="1750543816">
                          <w:marLeft w:val="0"/>
                          <w:marRight w:val="0"/>
                          <w:marTop w:val="0"/>
                          <w:marBottom w:val="0"/>
                          <w:divBdr>
                            <w:top w:val="none" w:sz="0" w:space="0" w:color="auto"/>
                            <w:left w:val="none" w:sz="0" w:space="0" w:color="auto"/>
                            <w:bottom w:val="none" w:sz="0" w:space="0" w:color="auto"/>
                            <w:right w:val="none" w:sz="0" w:space="0" w:color="auto"/>
                          </w:divBdr>
                          <w:divsChild>
                            <w:div w:id="1429813248">
                              <w:marLeft w:val="0"/>
                              <w:marRight w:val="0"/>
                              <w:marTop w:val="0"/>
                              <w:marBottom w:val="0"/>
                              <w:divBdr>
                                <w:top w:val="none" w:sz="0" w:space="0" w:color="auto"/>
                                <w:left w:val="none" w:sz="0" w:space="0" w:color="auto"/>
                                <w:bottom w:val="none" w:sz="0" w:space="0" w:color="auto"/>
                                <w:right w:val="none" w:sz="0" w:space="0" w:color="auto"/>
                              </w:divBdr>
                              <w:divsChild>
                                <w:div w:id="1737167242">
                                  <w:marLeft w:val="0"/>
                                  <w:marRight w:val="0"/>
                                  <w:marTop w:val="0"/>
                                  <w:marBottom w:val="0"/>
                                  <w:divBdr>
                                    <w:top w:val="none" w:sz="0" w:space="0" w:color="auto"/>
                                    <w:left w:val="none" w:sz="0" w:space="0" w:color="auto"/>
                                    <w:bottom w:val="none" w:sz="0" w:space="0" w:color="auto"/>
                                    <w:right w:val="none" w:sz="0" w:space="0" w:color="auto"/>
                                  </w:divBdr>
                                  <w:divsChild>
                                    <w:div w:id="12215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099542">
      <w:bodyDiv w:val="1"/>
      <w:marLeft w:val="0"/>
      <w:marRight w:val="0"/>
      <w:marTop w:val="0"/>
      <w:marBottom w:val="0"/>
      <w:divBdr>
        <w:top w:val="none" w:sz="0" w:space="0" w:color="auto"/>
        <w:left w:val="none" w:sz="0" w:space="0" w:color="auto"/>
        <w:bottom w:val="none" w:sz="0" w:space="0" w:color="auto"/>
        <w:right w:val="none" w:sz="0" w:space="0" w:color="auto"/>
      </w:divBdr>
    </w:div>
    <w:div w:id="298875558">
      <w:bodyDiv w:val="1"/>
      <w:marLeft w:val="0"/>
      <w:marRight w:val="0"/>
      <w:marTop w:val="0"/>
      <w:marBottom w:val="0"/>
      <w:divBdr>
        <w:top w:val="none" w:sz="0" w:space="0" w:color="auto"/>
        <w:left w:val="none" w:sz="0" w:space="0" w:color="auto"/>
        <w:bottom w:val="none" w:sz="0" w:space="0" w:color="auto"/>
        <w:right w:val="none" w:sz="0" w:space="0" w:color="auto"/>
      </w:divBdr>
    </w:div>
    <w:div w:id="355927680">
      <w:bodyDiv w:val="1"/>
      <w:marLeft w:val="0"/>
      <w:marRight w:val="0"/>
      <w:marTop w:val="0"/>
      <w:marBottom w:val="0"/>
      <w:divBdr>
        <w:top w:val="none" w:sz="0" w:space="0" w:color="auto"/>
        <w:left w:val="none" w:sz="0" w:space="0" w:color="auto"/>
        <w:bottom w:val="none" w:sz="0" w:space="0" w:color="auto"/>
        <w:right w:val="none" w:sz="0" w:space="0" w:color="auto"/>
      </w:divBdr>
    </w:div>
    <w:div w:id="365176121">
      <w:bodyDiv w:val="1"/>
      <w:marLeft w:val="0"/>
      <w:marRight w:val="0"/>
      <w:marTop w:val="0"/>
      <w:marBottom w:val="0"/>
      <w:divBdr>
        <w:top w:val="none" w:sz="0" w:space="0" w:color="auto"/>
        <w:left w:val="none" w:sz="0" w:space="0" w:color="auto"/>
        <w:bottom w:val="none" w:sz="0" w:space="0" w:color="auto"/>
        <w:right w:val="none" w:sz="0" w:space="0" w:color="auto"/>
      </w:divBdr>
    </w:div>
    <w:div w:id="387656710">
      <w:bodyDiv w:val="1"/>
      <w:marLeft w:val="0"/>
      <w:marRight w:val="0"/>
      <w:marTop w:val="0"/>
      <w:marBottom w:val="0"/>
      <w:divBdr>
        <w:top w:val="none" w:sz="0" w:space="0" w:color="auto"/>
        <w:left w:val="none" w:sz="0" w:space="0" w:color="auto"/>
        <w:bottom w:val="none" w:sz="0" w:space="0" w:color="auto"/>
        <w:right w:val="none" w:sz="0" w:space="0" w:color="auto"/>
      </w:divBdr>
    </w:div>
    <w:div w:id="391928788">
      <w:bodyDiv w:val="1"/>
      <w:marLeft w:val="0"/>
      <w:marRight w:val="0"/>
      <w:marTop w:val="0"/>
      <w:marBottom w:val="0"/>
      <w:divBdr>
        <w:top w:val="none" w:sz="0" w:space="0" w:color="auto"/>
        <w:left w:val="none" w:sz="0" w:space="0" w:color="auto"/>
        <w:bottom w:val="none" w:sz="0" w:space="0" w:color="auto"/>
        <w:right w:val="none" w:sz="0" w:space="0" w:color="auto"/>
      </w:divBdr>
    </w:div>
    <w:div w:id="405611970">
      <w:bodyDiv w:val="1"/>
      <w:marLeft w:val="0"/>
      <w:marRight w:val="0"/>
      <w:marTop w:val="0"/>
      <w:marBottom w:val="0"/>
      <w:divBdr>
        <w:top w:val="none" w:sz="0" w:space="0" w:color="auto"/>
        <w:left w:val="none" w:sz="0" w:space="0" w:color="auto"/>
        <w:bottom w:val="none" w:sz="0" w:space="0" w:color="auto"/>
        <w:right w:val="none" w:sz="0" w:space="0" w:color="auto"/>
      </w:divBdr>
    </w:div>
    <w:div w:id="414977840">
      <w:bodyDiv w:val="1"/>
      <w:marLeft w:val="0"/>
      <w:marRight w:val="0"/>
      <w:marTop w:val="0"/>
      <w:marBottom w:val="0"/>
      <w:divBdr>
        <w:top w:val="none" w:sz="0" w:space="0" w:color="auto"/>
        <w:left w:val="none" w:sz="0" w:space="0" w:color="auto"/>
        <w:bottom w:val="none" w:sz="0" w:space="0" w:color="auto"/>
        <w:right w:val="none" w:sz="0" w:space="0" w:color="auto"/>
      </w:divBdr>
    </w:div>
    <w:div w:id="416100392">
      <w:bodyDiv w:val="1"/>
      <w:marLeft w:val="0"/>
      <w:marRight w:val="0"/>
      <w:marTop w:val="0"/>
      <w:marBottom w:val="0"/>
      <w:divBdr>
        <w:top w:val="none" w:sz="0" w:space="0" w:color="auto"/>
        <w:left w:val="none" w:sz="0" w:space="0" w:color="auto"/>
        <w:bottom w:val="none" w:sz="0" w:space="0" w:color="auto"/>
        <w:right w:val="none" w:sz="0" w:space="0" w:color="auto"/>
      </w:divBdr>
    </w:div>
    <w:div w:id="431172028">
      <w:bodyDiv w:val="1"/>
      <w:marLeft w:val="0"/>
      <w:marRight w:val="0"/>
      <w:marTop w:val="0"/>
      <w:marBottom w:val="0"/>
      <w:divBdr>
        <w:top w:val="none" w:sz="0" w:space="0" w:color="auto"/>
        <w:left w:val="none" w:sz="0" w:space="0" w:color="auto"/>
        <w:bottom w:val="none" w:sz="0" w:space="0" w:color="auto"/>
        <w:right w:val="none" w:sz="0" w:space="0" w:color="auto"/>
      </w:divBdr>
    </w:div>
    <w:div w:id="473256059">
      <w:bodyDiv w:val="1"/>
      <w:marLeft w:val="0"/>
      <w:marRight w:val="0"/>
      <w:marTop w:val="0"/>
      <w:marBottom w:val="0"/>
      <w:divBdr>
        <w:top w:val="none" w:sz="0" w:space="0" w:color="auto"/>
        <w:left w:val="none" w:sz="0" w:space="0" w:color="auto"/>
        <w:bottom w:val="none" w:sz="0" w:space="0" w:color="auto"/>
        <w:right w:val="none" w:sz="0" w:space="0" w:color="auto"/>
      </w:divBdr>
    </w:div>
    <w:div w:id="529411900">
      <w:bodyDiv w:val="1"/>
      <w:marLeft w:val="0"/>
      <w:marRight w:val="0"/>
      <w:marTop w:val="0"/>
      <w:marBottom w:val="0"/>
      <w:divBdr>
        <w:top w:val="none" w:sz="0" w:space="0" w:color="auto"/>
        <w:left w:val="none" w:sz="0" w:space="0" w:color="auto"/>
        <w:bottom w:val="none" w:sz="0" w:space="0" w:color="auto"/>
        <w:right w:val="none" w:sz="0" w:space="0" w:color="auto"/>
      </w:divBdr>
    </w:div>
    <w:div w:id="582839473">
      <w:bodyDiv w:val="1"/>
      <w:marLeft w:val="0"/>
      <w:marRight w:val="0"/>
      <w:marTop w:val="0"/>
      <w:marBottom w:val="0"/>
      <w:divBdr>
        <w:top w:val="none" w:sz="0" w:space="0" w:color="auto"/>
        <w:left w:val="none" w:sz="0" w:space="0" w:color="auto"/>
        <w:bottom w:val="none" w:sz="0" w:space="0" w:color="auto"/>
        <w:right w:val="none" w:sz="0" w:space="0" w:color="auto"/>
      </w:divBdr>
    </w:div>
    <w:div w:id="614168278">
      <w:bodyDiv w:val="1"/>
      <w:marLeft w:val="0"/>
      <w:marRight w:val="0"/>
      <w:marTop w:val="0"/>
      <w:marBottom w:val="0"/>
      <w:divBdr>
        <w:top w:val="none" w:sz="0" w:space="0" w:color="auto"/>
        <w:left w:val="none" w:sz="0" w:space="0" w:color="auto"/>
        <w:bottom w:val="none" w:sz="0" w:space="0" w:color="auto"/>
        <w:right w:val="none" w:sz="0" w:space="0" w:color="auto"/>
      </w:divBdr>
      <w:divsChild>
        <w:div w:id="98722133">
          <w:marLeft w:val="0"/>
          <w:marRight w:val="0"/>
          <w:marTop w:val="0"/>
          <w:marBottom w:val="0"/>
          <w:divBdr>
            <w:top w:val="none" w:sz="0" w:space="0" w:color="auto"/>
            <w:left w:val="none" w:sz="0" w:space="0" w:color="auto"/>
            <w:bottom w:val="none" w:sz="0" w:space="0" w:color="auto"/>
            <w:right w:val="none" w:sz="0" w:space="0" w:color="auto"/>
          </w:divBdr>
        </w:div>
      </w:divsChild>
    </w:div>
    <w:div w:id="623318283">
      <w:bodyDiv w:val="1"/>
      <w:marLeft w:val="0"/>
      <w:marRight w:val="0"/>
      <w:marTop w:val="0"/>
      <w:marBottom w:val="0"/>
      <w:divBdr>
        <w:top w:val="none" w:sz="0" w:space="0" w:color="auto"/>
        <w:left w:val="none" w:sz="0" w:space="0" w:color="auto"/>
        <w:bottom w:val="none" w:sz="0" w:space="0" w:color="auto"/>
        <w:right w:val="none" w:sz="0" w:space="0" w:color="auto"/>
      </w:divBdr>
    </w:div>
    <w:div w:id="665594959">
      <w:bodyDiv w:val="1"/>
      <w:marLeft w:val="0"/>
      <w:marRight w:val="0"/>
      <w:marTop w:val="0"/>
      <w:marBottom w:val="0"/>
      <w:divBdr>
        <w:top w:val="none" w:sz="0" w:space="0" w:color="auto"/>
        <w:left w:val="none" w:sz="0" w:space="0" w:color="auto"/>
        <w:bottom w:val="none" w:sz="0" w:space="0" w:color="auto"/>
        <w:right w:val="none" w:sz="0" w:space="0" w:color="auto"/>
      </w:divBdr>
    </w:div>
    <w:div w:id="702679209">
      <w:bodyDiv w:val="1"/>
      <w:marLeft w:val="0"/>
      <w:marRight w:val="0"/>
      <w:marTop w:val="0"/>
      <w:marBottom w:val="0"/>
      <w:divBdr>
        <w:top w:val="none" w:sz="0" w:space="0" w:color="auto"/>
        <w:left w:val="none" w:sz="0" w:space="0" w:color="auto"/>
        <w:bottom w:val="none" w:sz="0" w:space="0" w:color="auto"/>
        <w:right w:val="none" w:sz="0" w:space="0" w:color="auto"/>
      </w:divBdr>
      <w:divsChild>
        <w:div w:id="84888729">
          <w:marLeft w:val="0"/>
          <w:marRight w:val="0"/>
          <w:marTop w:val="0"/>
          <w:marBottom w:val="0"/>
          <w:divBdr>
            <w:top w:val="none" w:sz="0" w:space="0" w:color="auto"/>
            <w:left w:val="none" w:sz="0" w:space="0" w:color="auto"/>
            <w:bottom w:val="none" w:sz="0" w:space="0" w:color="auto"/>
            <w:right w:val="none" w:sz="0" w:space="0" w:color="auto"/>
          </w:divBdr>
          <w:divsChild>
            <w:div w:id="375784255">
              <w:marLeft w:val="0"/>
              <w:marRight w:val="0"/>
              <w:marTop w:val="0"/>
              <w:marBottom w:val="0"/>
              <w:divBdr>
                <w:top w:val="none" w:sz="0" w:space="0" w:color="auto"/>
                <w:left w:val="none" w:sz="0" w:space="0" w:color="auto"/>
                <w:bottom w:val="none" w:sz="0" w:space="0" w:color="auto"/>
                <w:right w:val="none" w:sz="0" w:space="0" w:color="auto"/>
              </w:divBdr>
              <w:divsChild>
                <w:div w:id="1659192625">
                  <w:marLeft w:val="0"/>
                  <w:marRight w:val="0"/>
                  <w:marTop w:val="0"/>
                  <w:marBottom w:val="0"/>
                  <w:divBdr>
                    <w:top w:val="none" w:sz="0" w:space="0" w:color="auto"/>
                    <w:left w:val="none" w:sz="0" w:space="0" w:color="auto"/>
                    <w:bottom w:val="none" w:sz="0" w:space="0" w:color="auto"/>
                    <w:right w:val="none" w:sz="0" w:space="0" w:color="auto"/>
                  </w:divBdr>
                  <w:divsChild>
                    <w:div w:id="827553801">
                      <w:marLeft w:val="0"/>
                      <w:marRight w:val="0"/>
                      <w:marTop w:val="0"/>
                      <w:marBottom w:val="0"/>
                      <w:divBdr>
                        <w:top w:val="none" w:sz="0" w:space="0" w:color="auto"/>
                        <w:left w:val="none" w:sz="0" w:space="0" w:color="auto"/>
                        <w:bottom w:val="none" w:sz="0" w:space="0" w:color="auto"/>
                        <w:right w:val="none" w:sz="0" w:space="0" w:color="auto"/>
                      </w:divBdr>
                      <w:divsChild>
                        <w:div w:id="53898742">
                          <w:marLeft w:val="0"/>
                          <w:marRight w:val="0"/>
                          <w:marTop w:val="0"/>
                          <w:marBottom w:val="0"/>
                          <w:divBdr>
                            <w:top w:val="none" w:sz="0" w:space="0" w:color="auto"/>
                            <w:left w:val="none" w:sz="0" w:space="0" w:color="auto"/>
                            <w:bottom w:val="none" w:sz="0" w:space="0" w:color="auto"/>
                            <w:right w:val="none" w:sz="0" w:space="0" w:color="auto"/>
                          </w:divBdr>
                          <w:divsChild>
                            <w:div w:id="1209681261">
                              <w:marLeft w:val="0"/>
                              <w:marRight w:val="0"/>
                              <w:marTop w:val="0"/>
                              <w:marBottom w:val="0"/>
                              <w:divBdr>
                                <w:top w:val="none" w:sz="0" w:space="0" w:color="auto"/>
                                <w:left w:val="none" w:sz="0" w:space="0" w:color="auto"/>
                                <w:bottom w:val="none" w:sz="0" w:space="0" w:color="auto"/>
                                <w:right w:val="none" w:sz="0" w:space="0" w:color="auto"/>
                              </w:divBdr>
                              <w:divsChild>
                                <w:div w:id="433593638">
                                  <w:marLeft w:val="0"/>
                                  <w:marRight w:val="0"/>
                                  <w:marTop w:val="0"/>
                                  <w:marBottom w:val="0"/>
                                  <w:divBdr>
                                    <w:top w:val="none" w:sz="0" w:space="0" w:color="auto"/>
                                    <w:left w:val="none" w:sz="0" w:space="0" w:color="auto"/>
                                    <w:bottom w:val="none" w:sz="0" w:space="0" w:color="auto"/>
                                    <w:right w:val="none" w:sz="0" w:space="0" w:color="auto"/>
                                  </w:divBdr>
                                  <w:divsChild>
                                    <w:div w:id="18502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080774">
                      <w:marLeft w:val="0"/>
                      <w:marRight w:val="0"/>
                      <w:marTop w:val="0"/>
                      <w:marBottom w:val="0"/>
                      <w:divBdr>
                        <w:top w:val="none" w:sz="0" w:space="0" w:color="auto"/>
                        <w:left w:val="none" w:sz="0" w:space="0" w:color="auto"/>
                        <w:bottom w:val="none" w:sz="0" w:space="0" w:color="auto"/>
                        <w:right w:val="none" w:sz="0" w:space="0" w:color="auto"/>
                      </w:divBdr>
                      <w:divsChild>
                        <w:div w:id="241724613">
                          <w:marLeft w:val="0"/>
                          <w:marRight w:val="0"/>
                          <w:marTop w:val="0"/>
                          <w:marBottom w:val="0"/>
                          <w:divBdr>
                            <w:top w:val="none" w:sz="0" w:space="0" w:color="auto"/>
                            <w:left w:val="none" w:sz="0" w:space="0" w:color="auto"/>
                            <w:bottom w:val="none" w:sz="0" w:space="0" w:color="auto"/>
                            <w:right w:val="none" w:sz="0" w:space="0" w:color="auto"/>
                          </w:divBdr>
                          <w:divsChild>
                            <w:div w:id="112142422">
                              <w:marLeft w:val="0"/>
                              <w:marRight w:val="0"/>
                              <w:marTop w:val="0"/>
                              <w:marBottom w:val="0"/>
                              <w:divBdr>
                                <w:top w:val="none" w:sz="0" w:space="0" w:color="auto"/>
                                <w:left w:val="none" w:sz="0" w:space="0" w:color="auto"/>
                                <w:bottom w:val="none" w:sz="0" w:space="0" w:color="auto"/>
                                <w:right w:val="none" w:sz="0" w:space="0" w:color="auto"/>
                              </w:divBdr>
                              <w:divsChild>
                                <w:div w:id="1073502341">
                                  <w:marLeft w:val="0"/>
                                  <w:marRight w:val="0"/>
                                  <w:marTop w:val="0"/>
                                  <w:marBottom w:val="0"/>
                                  <w:divBdr>
                                    <w:top w:val="none" w:sz="0" w:space="0" w:color="auto"/>
                                    <w:left w:val="none" w:sz="0" w:space="0" w:color="auto"/>
                                    <w:bottom w:val="none" w:sz="0" w:space="0" w:color="auto"/>
                                    <w:right w:val="none" w:sz="0" w:space="0" w:color="auto"/>
                                  </w:divBdr>
                                  <w:divsChild>
                                    <w:div w:id="8055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04376">
          <w:marLeft w:val="0"/>
          <w:marRight w:val="0"/>
          <w:marTop w:val="0"/>
          <w:marBottom w:val="0"/>
          <w:divBdr>
            <w:top w:val="none" w:sz="0" w:space="0" w:color="auto"/>
            <w:left w:val="none" w:sz="0" w:space="0" w:color="auto"/>
            <w:bottom w:val="none" w:sz="0" w:space="0" w:color="auto"/>
            <w:right w:val="none" w:sz="0" w:space="0" w:color="auto"/>
          </w:divBdr>
          <w:divsChild>
            <w:div w:id="737677758">
              <w:marLeft w:val="0"/>
              <w:marRight w:val="0"/>
              <w:marTop w:val="0"/>
              <w:marBottom w:val="0"/>
              <w:divBdr>
                <w:top w:val="none" w:sz="0" w:space="0" w:color="auto"/>
                <w:left w:val="none" w:sz="0" w:space="0" w:color="auto"/>
                <w:bottom w:val="none" w:sz="0" w:space="0" w:color="auto"/>
                <w:right w:val="none" w:sz="0" w:space="0" w:color="auto"/>
              </w:divBdr>
              <w:divsChild>
                <w:div w:id="1454900889">
                  <w:marLeft w:val="0"/>
                  <w:marRight w:val="0"/>
                  <w:marTop w:val="0"/>
                  <w:marBottom w:val="0"/>
                  <w:divBdr>
                    <w:top w:val="none" w:sz="0" w:space="0" w:color="auto"/>
                    <w:left w:val="none" w:sz="0" w:space="0" w:color="auto"/>
                    <w:bottom w:val="none" w:sz="0" w:space="0" w:color="auto"/>
                    <w:right w:val="none" w:sz="0" w:space="0" w:color="auto"/>
                  </w:divBdr>
                  <w:divsChild>
                    <w:div w:id="256640813">
                      <w:marLeft w:val="0"/>
                      <w:marRight w:val="0"/>
                      <w:marTop w:val="0"/>
                      <w:marBottom w:val="0"/>
                      <w:divBdr>
                        <w:top w:val="none" w:sz="0" w:space="0" w:color="auto"/>
                        <w:left w:val="none" w:sz="0" w:space="0" w:color="auto"/>
                        <w:bottom w:val="none" w:sz="0" w:space="0" w:color="auto"/>
                        <w:right w:val="none" w:sz="0" w:space="0" w:color="auto"/>
                      </w:divBdr>
                      <w:divsChild>
                        <w:div w:id="354308629">
                          <w:marLeft w:val="0"/>
                          <w:marRight w:val="0"/>
                          <w:marTop w:val="0"/>
                          <w:marBottom w:val="0"/>
                          <w:divBdr>
                            <w:top w:val="none" w:sz="0" w:space="0" w:color="auto"/>
                            <w:left w:val="none" w:sz="0" w:space="0" w:color="auto"/>
                            <w:bottom w:val="none" w:sz="0" w:space="0" w:color="auto"/>
                            <w:right w:val="none" w:sz="0" w:space="0" w:color="auto"/>
                          </w:divBdr>
                          <w:divsChild>
                            <w:div w:id="524755901">
                              <w:marLeft w:val="0"/>
                              <w:marRight w:val="0"/>
                              <w:marTop w:val="0"/>
                              <w:marBottom w:val="0"/>
                              <w:divBdr>
                                <w:top w:val="none" w:sz="0" w:space="0" w:color="auto"/>
                                <w:left w:val="none" w:sz="0" w:space="0" w:color="auto"/>
                                <w:bottom w:val="none" w:sz="0" w:space="0" w:color="auto"/>
                                <w:right w:val="none" w:sz="0" w:space="0" w:color="auto"/>
                              </w:divBdr>
                              <w:divsChild>
                                <w:div w:id="1656715937">
                                  <w:marLeft w:val="0"/>
                                  <w:marRight w:val="0"/>
                                  <w:marTop w:val="0"/>
                                  <w:marBottom w:val="0"/>
                                  <w:divBdr>
                                    <w:top w:val="none" w:sz="0" w:space="0" w:color="auto"/>
                                    <w:left w:val="none" w:sz="0" w:space="0" w:color="auto"/>
                                    <w:bottom w:val="none" w:sz="0" w:space="0" w:color="auto"/>
                                    <w:right w:val="none" w:sz="0" w:space="0" w:color="auto"/>
                                  </w:divBdr>
                                  <w:divsChild>
                                    <w:div w:id="18967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534404">
      <w:bodyDiv w:val="1"/>
      <w:marLeft w:val="0"/>
      <w:marRight w:val="0"/>
      <w:marTop w:val="0"/>
      <w:marBottom w:val="0"/>
      <w:divBdr>
        <w:top w:val="none" w:sz="0" w:space="0" w:color="auto"/>
        <w:left w:val="none" w:sz="0" w:space="0" w:color="auto"/>
        <w:bottom w:val="none" w:sz="0" w:space="0" w:color="auto"/>
        <w:right w:val="none" w:sz="0" w:space="0" w:color="auto"/>
      </w:divBdr>
    </w:div>
    <w:div w:id="765614677">
      <w:bodyDiv w:val="1"/>
      <w:marLeft w:val="0"/>
      <w:marRight w:val="0"/>
      <w:marTop w:val="0"/>
      <w:marBottom w:val="0"/>
      <w:divBdr>
        <w:top w:val="none" w:sz="0" w:space="0" w:color="auto"/>
        <w:left w:val="none" w:sz="0" w:space="0" w:color="auto"/>
        <w:bottom w:val="none" w:sz="0" w:space="0" w:color="auto"/>
        <w:right w:val="none" w:sz="0" w:space="0" w:color="auto"/>
      </w:divBdr>
    </w:div>
    <w:div w:id="774862606">
      <w:bodyDiv w:val="1"/>
      <w:marLeft w:val="0"/>
      <w:marRight w:val="0"/>
      <w:marTop w:val="0"/>
      <w:marBottom w:val="0"/>
      <w:divBdr>
        <w:top w:val="none" w:sz="0" w:space="0" w:color="auto"/>
        <w:left w:val="none" w:sz="0" w:space="0" w:color="auto"/>
        <w:bottom w:val="none" w:sz="0" w:space="0" w:color="auto"/>
        <w:right w:val="none" w:sz="0" w:space="0" w:color="auto"/>
      </w:divBdr>
    </w:div>
    <w:div w:id="851068980">
      <w:bodyDiv w:val="1"/>
      <w:marLeft w:val="0"/>
      <w:marRight w:val="0"/>
      <w:marTop w:val="0"/>
      <w:marBottom w:val="0"/>
      <w:divBdr>
        <w:top w:val="none" w:sz="0" w:space="0" w:color="auto"/>
        <w:left w:val="none" w:sz="0" w:space="0" w:color="auto"/>
        <w:bottom w:val="none" w:sz="0" w:space="0" w:color="auto"/>
        <w:right w:val="none" w:sz="0" w:space="0" w:color="auto"/>
      </w:divBdr>
    </w:div>
    <w:div w:id="938610579">
      <w:bodyDiv w:val="1"/>
      <w:marLeft w:val="0"/>
      <w:marRight w:val="0"/>
      <w:marTop w:val="0"/>
      <w:marBottom w:val="0"/>
      <w:divBdr>
        <w:top w:val="none" w:sz="0" w:space="0" w:color="auto"/>
        <w:left w:val="none" w:sz="0" w:space="0" w:color="auto"/>
        <w:bottom w:val="none" w:sz="0" w:space="0" w:color="auto"/>
        <w:right w:val="none" w:sz="0" w:space="0" w:color="auto"/>
      </w:divBdr>
    </w:div>
    <w:div w:id="961377694">
      <w:bodyDiv w:val="1"/>
      <w:marLeft w:val="0"/>
      <w:marRight w:val="0"/>
      <w:marTop w:val="0"/>
      <w:marBottom w:val="0"/>
      <w:divBdr>
        <w:top w:val="none" w:sz="0" w:space="0" w:color="auto"/>
        <w:left w:val="none" w:sz="0" w:space="0" w:color="auto"/>
        <w:bottom w:val="none" w:sz="0" w:space="0" w:color="auto"/>
        <w:right w:val="none" w:sz="0" w:space="0" w:color="auto"/>
      </w:divBdr>
    </w:div>
    <w:div w:id="977683506">
      <w:bodyDiv w:val="1"/>
      <w:marLeft w:val="0"/>
      <w:marRight w:val="0"/>
      <w:marTop w:val="0"/>
      <w:marBottom w:val="0"/>
      <w:divBdr>
        <w:top w:val="none" w:sz="0" w:space="0" w:color="auto"/>
        <w:left w:val="none" w:sz="0" w:space="0" w:color="auto"/>
        <w:bottom w:val="none" w:sz="0" w:space="0" w:color="auto"/>
        <w:right w:val="none" w:sz="0" w:space="0" w:color="auto"/>
      </w:divBdr>
    </w:div>
    <w:div w:id="1018432138">
      <w:bodyDiv w:val="1"/>
      <w:marLeft w:val="0"/>
      <w:marRight w:val="0"/>
      <w:marTop w:val="0"/>
      <w:marBottom w:val="0"/>
      <w:divBdr>
        <w:top w:val="none" w:sz="0" w:space="0" w:color="auto"/>
        <w:left w:val="none" w:sz="0" w:space="0" w:color="auto"/>
        <w:bottom w:val="none" w:sz="0" w:space="0" w:color="auto"/>
        <w:right w:val="none" w:sz="0" w:space="0" w:color="auto"/>
      </w:divBdr>
    </w:div>
    <w:div w:id="1047488797">
      <w:bodyDiv w:val="1"/>
      <w:marLeft w:val="0"/>
      <w:marRight w:val="0"/>
      <w:marTop w:val="0"/>
      <w:marBottom w:val="0"/>
      <w:divBdr>
        <w:top w:val="none" w:sz="0" w:space="0" w:color="auto"/>
        <w:left w:val="none" w:sz="0" w:space="0" w:color="auto"/>
        <w:bottom w:val="none" w:sz="0" w:space="0" w:color="auto"/>
        <w:right w:val="none" w:sz="0" w:space="0" w:color="auto"/>
      </w:divBdr>
    </w:div>
    <w:div w:id="1048454716">
      <w:bodyDiv w:val="1"/>
      <w:marLeft w:val="0"/>
      <w:marRight w:val="0"/>
      <w:marTop w:val="0"/>
      <w:marBottom w:val="0"/>
      <w:divBdr>
        <w:top w:val="none" w:sz="0" w:space="0" w:color="auto"/>
        <w:left w:val="none" w:sz="0" w:space="0" w:color="auto"/>
        <w:bottom w:val="none" w:sz="0" w:space="0" w:color="auto"/>
        <w:right w:val="none" w:sz="0" w:space="0" w:color="auto"/>
      </w:divBdr>
    </w:div>
    <w:div w:id="11003676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972">
          <w:marLeft w:val="0"/>
          <w:marRight w:val="0"/>
          <w:marTop w:val="0"/>
          <w:marBottom w:val="0"/>
          <w:divBdr>
            <w:top w:val="none" w:sz="0" w:space="0" w:color="auto"/>
            <w:left w:val="none" w:sz="0" w:space="0" w:color="auto"/>
            <w:bottom w:val="none" w:sz="0" w:space="0" w:color="auto"/>
            <w:right w:val="none" w:sz="0" w:space="0" w:color="auto"/>
          </w:divBdr>
        </w:div>
      </w:divsChild>
    </w:div>
    <w:div w:id="1171605445">
      <w:bodyDiv w:val="1"/>
      <w:marLeft w:val="0"/>
      <w:marRight w:val="0"/>
      <w:marTop w:val="0"/>
      <w:marBottom w:val="0"/>
      <w:divBdr>
        <w:top w:val="none" w:sz="0" w:space="0" w:color="auto"/>
        <w:left w:val="none" w:sz="0" w:space="0" w:color="auto"/>
        <w:bottom w:val="none" w:sz="0" w:space="0" w:color="auto"/>
        <w:right w:val="none" w:sz="0" w:space="0" w:color="auto"/>
      </w:divBdr>
    </w:div>
    <w:div w:id="1177039581">
      <w:bodyDiv w:val="1"/>
      <w:marLeft w:val="0"/>
      <w:marRight w:val="0"/>
      <w:marTop w:val="0"/>
      <w:marBottom w:val="0"/>
      <w:divBdr>
        <w:top w:val="none" w:sz="0" w:space="0" w:color="auto"/>
        <w:left w:val="none" w:sz="0" w:space="0" w:color="auto"/>
        <w:bottom w:val="none" w:sz="0" w:space="0" w:color="auto"/>
        <w:right w:val="none" w:sz="0" w:space="0" w:color="auto"/>
      </w:divBdr>
    </w:div>
    <w:div w:id="1260676407">
      <w:bodyDiv w:val="1"/>
      <w:marLeft w:val="0"/>
      <w:marRight w:val="0"/>
      <w:marTop w:val="0"/>
      <w:marBottom w:val="0"/>
      <w:divBdr>
        <w:top w:val="none" w:sz="0" w:space="0" w:color="auto"/>
        <w:left w:val="none" w:sz="0" w:space="0" w:color="auto"/>
        <w:bottom w:val="none" w:sz="0" w:space="0" w:color="auto"/>
        <w:right w:val="none" w:sz="0" w:space="0" w:color="auto"/>
      </w:divBdr>
      <w:divsChild>
        <w:div w:id="1060134443">
          <w:marLeft w:val="0"/>
          <w:marRight w:val="0"/>
          <w:marTop w:val="0"/>
          <w:marBottom w:val="0"/>
          <w:divBdr>
            <w:top w:val="none" w:sz="0" w:space="0" w:color="auto"/>
            <w:left w:val="none" w:sz="0" w:space="0" w:color="auto"/>
            <w:bottom w:val="none" w:sz="0" w:space="0" w:color="auto"/>
            <w:right w:val="none" w:sz="0" w:space="0" w:color="auto"/>
          </w:divBdr>
        </w:div>
      </w:divsChild>
    </w:div>
    <w:div w:id="1309045283">
      <w:bodyDiv w:val="1"/>
      <w:marLeft w:val="0"/>
      <w:marRight w:val="0"/>
      <w:marTop w:val="0"/>
      <w:marBottom w:val="0"/>
      <w:divBdr>
        <w:top w:val="none" w:sz="0" w:space="0" w:color="auto"/>
        <w:left w:val="none" w:sz="0" w:space="0" w:color="auto"/>
        <w:bottom w:val="none" w:sz="0" w:space="0" w:color="auto"/>
        <w:right w:val="none" w:sz="0" w:space="0" w:color="auto"/>
      </w:divBdr>
      <w:divsChild>
        <w:div w:id="1024794046">
          <w:marLeft w:val="0"/>
          <w:marRight w:val="0"/>
          <w:marTop w:val="0"/>
          <w:marBottom w:val="0"/>
          <w:divBdr>
            <w:top w:val="none" w:sz="0" w:space="0" w:color="auto"/>
            <w:left w:val="none" w:sz="0" w:space="0" w:color="auto"/>
            <w:bottom w:val="none" w:sz="0" w:space="0" w:color="auto"/>
            <w:right w:val="none" w:sz="0" w:space="0" w:color="auto"/>
          </w:divBdr>
          <w:divsChild>
            <w:div w:id="1838186260">
              <w:marLeft w:val="0"/>
              <w:marRight w:val="0"/>
              <w:marTop w:val="0"/>
              <w:marBottom w:val="0"/>
              <w:divBdr>
                <w:top w:val="none" w:sz="0" w:space="0" w:color="auto"/>
                <w:left w:val="none" w:sz="0" w:space="0" w:color="auto"/>
                <w:bottom w:val="none" w:sz="0" w:space="0" w:color="auto"/>
                <w:right w:val="none" w:sz="0" w:space="0" w:color="auto"/>
              </w:divBdr>
              <w:divsChild>
                <w:div w:id="1168979234">
                  <w:marLeft w:val="0"/>
                  <w:marRight w:val="0"/>
                  <w:marTop w:val="0"/>
                  <w:marBottom w:val="0"/>
                  <w:divBdr>
                    <w:top w:val="none" w:sz="0" w:space="0" w:color="auto"/>
                    <w:left w:val="none" w:sz="0" w:space="0" w:color="auto"/>
                    <w:bottom w:val="none" w:sz="0" w:space="0" w:color="auto"/>
                    <w:right w:val="none" w:sz="0" w:space="0" w:color="auto"/>
                  </w:divBdr>
                  <w:divsChild>
                    <w:div w:id="1375353180">
                      <w:marLeft w:val="0"/>
                      <w:marRight w:val="0"/>
                      <w:marTop w:val="0"/>
                      <w:marBottom w:val="0"/>
                      <w:divBdr>
                        <w:top w:val="none" w:sz="0" w:space="0" w:color="auto"/>
                        <w:left w:val="none" w:sz="0" w:space="0" w:color="auto"/>
                        <w:bottom w:val="none" w:sz="0" w:space="0" w:color="auto"/>
                        <w:right w:val="none" w:sz="0" w:space="0" w:color="auto"/>
                      </w:divBdr>
                      <w:divsChild>
                        <w:div w:id="1127703694">
                          <w:marLeft w:val="0"/>
                          <w:marRight w:val="0"/>
                          <w:marTop w:val="0"/>
                          <w:marBottom w:val="0"/>
                          <w:divBdr>
                            <w:top w:val="none" w:sz="0" w:space="0" w:color="auto"/>
                            <w:left w:val="none" w:sz="0" w:space="0" w:color="auto"/>
                            <w:bottom w:val="none" w:sz="0" w:space="0" w:color="auto"/>
                            <w:right w:val="none" w:sz="0" w:space="0" w:color="auto"/>
                          </w:divBdr>
                          <w:divsChild>
                            <w:div w:id="52971764">
                              <w:marLeft w:val="0"/>
                              <w:marRight w:val="0"/>
                              <w:marTop w:val="0"/>
                              <w:marBottom w:val="0"/>
                              <w:divBdr>
                                <w:top w:val="none" w:sz="0" w:space="0" w:color="auto"/>
                                <w:left w:val="none" w:sz="0" w:space="0" w:color="auto"/>
                                <w:bottom w:val="none" w:sz="0" w:space="0" w:color="auto"/>
                                <w:right w:val="none" w:sz="0" w:space="0" w:color="auto"/>
                              </w:divBdr>
                              <w:divsChild>
                                <w:div w:id="2119794517">
                                  <w:marLeft w:val="0"/>
                                  <w:marRight w:val="0"/>
                                  <w:marTop w:val="0"/>
                                  <w:marBottom w:val="0"/>
                                  <w:divBdr>
                                    <w:top w:val="none" w:sz="0" w:space="0" w:color="auto"/>
                                    <w:left w:val="none" w:sz="0" w:space="0" w:color="auto"/>
                                    <w:bottom w:val="none" w:sz="0" w:space="0" w:color="auto"/>
                                    <w:right w:val="none" w:sz="0" w:space="0" w:color="auto"/>
                                  </w:divBdr>
                                  <w:divsChild>
                                    <w:div w:id="14372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162560">
                      <w:marLeft w:val="0"/>
                      <w:marRight w:val="0"/>
                      <w:marTop w:val="0"/>
                      <w:marBottom w:val="0"/>
                      <w:divBdr>
                        <w:top w:val="none" w:sz="0" w:space="0" w:color="auto"/>
                        <w:left w:val="none" w:sz="0" w:space="0" w:color="auto"/>
                        <w:bottom w:val="none" w:sz="0" w:space="0" w:color="auto"/>
                        <w:right w:val="none" w:sz="0" w:space="0" w:color="auto"/>
                      </w:divBdr>
                      <w:divsChild>
                        <w:div w:id="260183814">
                          <w:marLeft w:val="0"/>
                          <w:marRight w:val="0"/>
                          <w:marTop w:val="0"/>
                          <w:marBottom w:val="0"/>
                          <w:divBdr>
                            <w:top w:val="none" w:sz="0" w:space="0" w:color="auto"/>
                            <w:left w:val="none" w:sz="0" w:space="0" w:color="auto"/>
                            <w:bottom w:val="none" w:sz="0" w:space="0" w:color="auto"/>
                            <w:right w:val="none" w:sz="0" w:space="0" w:color="auto"/>
                          </w:divBdr>
                        </w:div>
                        <w:div w:id="499269573">
                          <w:marLeft w:val="0"/>
                          <w:marRight w:val="0"/>
                          <w:marTop w:val="0"/>
                          <w:marBottom w:val="0"/>
                          <w:divBdr>
                            <w:top w:val="none" w:sz="0" w:space="0" w:color="auto"/>
                            <w:left w:val="none" w:sz="0" w:space="0" w:color="auto"/>
                            <w:bottom w:val="none" w:sz="0" w:space="0" w:color="auto"/>
                            <w:right w:val="none" w:sz="0" w:space="0" w:color="auto"/>
                          </w:divBdr>
                          <w:divsChild>
                            <w:div w:id="1410925252">
                              <w:marLeft w:val="0"/>
                              <w:marRight w:val="0"/>
                              <w:marTop w:val="0"/>
                              <w:marBottom w:val="0"/>
                              <w:divBdr>
                                <w:top w:val="none" w:sz="0" w:space="0" w:color="auto"/>
                                <w:left w:val="none" w:sz="0" w:space="0" w:color="auto"/>
                                <w:bottom w:val="none" w:sz="0" w:space="0" w:color="auto"/>
                                <w:right w:val="none" w:sz="0" w:space="0" w:color="auto"/>
                              </w:divBdr>
                              <w:divsChild>
                                <w:div w:id="1453863721">
                                  <w:marLeft w:val="0"/>
                                  <w:marRight w:val="0"/>
                                  <w:marTop w:val="0"/>
                                  <w:marBottom w:val="0"/>
                                  <w:divBdr>
                                    <w:top w:val="none" w:sz="0" w:space="0" w:color="auto"/>
                                    <w:left w:val="none" w:sz="0" w:space="0" w:color="auto"/>
                                    <w:bottom w:val="none" w:sz="0" w:space="0" w:color="auto"/>
                                    <w:right w:val="none" w:sz="0" w:space="0" w:color="auto"/>
                                  </w:divBdr>
                                  <w:divsChild>
                                    <w:div w:id="13918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296882">
          <w:marLeft w:val="0"/>
          <w:marRight w:val="0"/>
          <w:marTop w:val="0"/>
          <w:marBottom w:val="0"/>
          <w:divBdr>
            <w:top w:val="none" w:sz="0" w:space="0" w:color="auto"/>
            <w:left w:val="none" w:sz="0" w:space="0" w:color="auto"/>
            <w:bottom w:val="none" w:sz="0" w:space="0" w:color="auto"/>
            <w:right w:val="none" w:sz="0" w:space="0" w:color="auto"/>
          </w:divBdr>
          <w:divsChild>
            <w:div w:id="954750554">
              <w:marLeft w:val="0"/>
              <w:marRight w:val="0"/>
              <w:marTop w:val="0"/>
              <w:marBottom w:val="0"/>
              <w:divBdr>
                <w:top w:val="none" w:sz="0" w:space="0" w:color="auto"/>
                <w:left w:val="none" w:sz="0" w:space="0" w:color="auto"/>
                <w:bottom w:val="none" w:sz="0" w:space="0" w:color="auto"/>
                <w:right w:val="none" w:sz="0" w:space="0" w:color="auto"/>
              </w:divBdr>
              <w:divsChild>
                <w:div w:id="95297993">
                  <w:marLeft w:val="0"/>
                  <w:marRight w:val="0"/>
                  <w:marTop w:val="0"/>
                  <w:marBottom w:val="0"/>
                  <w:divBdr>
                    <w:top w:val="none" w:sz="0" w:space="0" w:color="auto"/>
                    <w:left w:val="none" w:sz="0" w:space="0" w:color="auto"/>
                    <w:bottom w:val="none" w:sz="0" w:space="0" w:color="auto"/>
                    <w:right w:val="none" w:sz="0" w:space="0" w:color="auto"/>
                  </w:divBdr>
                  <w:divsChild>
                    <w:div w:id="1925993859">
                      <w:marLeft w:val="0"/>
                      <w:marRight w:val="0"/>
                      <w:marTop w:val="0"/>
                      <w:marBottom w:val="0"/>
                      <w:divBdr>
                        <w:top w:val="none" w:sz="0" w:space="0" w:color="auto"/>
                        <w:left w:val="none" w:sz="0" w:space="0" w:color="auto"/>
                        <w:bottom w:val="none" w:sz="0" w:space="0" w:color="auto"/>
                        <w:right w:val="none" w:sz="0" w:space="0" w:color="auto"/>
                      </w:divBdr>
                      <w:divsChild>
                        <w:div w:id="195318226">
                          <w:marLeft w:val="0"/>
                          <w:marRight w:val="0"/>
                          <w:marTop w:val="0"/>
                          <w:marBottom w:val="0"/>
                          <w:divBdr>
                            <w:top w:val="none" w:sz="0" w:space="0" w:color="auto"/>
                            <w:left w:val="none" w:sz="0" w:space="0" w:color="auto"/>
                            <w:bottom w:val="none" w:sz="0" w:space="0" w:color="auto"/>
                            <w:right w:val="none" w:sz="0" w:space="0" w:color="auto"/>
                          </w:divBdr>
                          <w:divsChild>
                            <w:div w:id="764350232">
                              <w:marLeft w:val="0"/>
                              <w:marRight w:val="0"/>
                              <w:marTop w:val="0"/>
                              <w:marBottom w:val="0"/>
                              <w:divBdr>
                                <w:top w:val="none" w:sz="0" w:space="0" w:color="auto"/>
                                <w:left w:val="none" w:sz="0" w:space="0" w:color="auto"/>
                                <w:bottom w:val="none" w:sz="0" w:space="0" w:color="auto"/>
                                <w:right w:val="none" w:sz="0" w:space="0" w:color="auto"/>
                              </w:divBdr>
                              <w:divsChild>
                                <w:div w:id="295962415">
                                  <w:marLeft w:val="0"/>
                                  <w:marRight w:val="0"/>
                                  <w:marTop w:val="0"/>
                                  <w:marBottom w:val="0"/>
                                  <w:divBdr>
                                    <w:top w:val="none" w:sz="0" w:space="0" w:color="auto"/>
                                    <w:left w:val="none" w:sz="0" w:space="0" w:color="auto"/>
                                    <w:bottom w:val="none" w:sz="0" w:space="0" w:color="auto"/>
                                    <w:right w:val="none" w:sz="0" w:space="0" w:color="auto"/>
                                  </w:divBdr>
                                  <w:divsChild>
                                    <w:div w:id="5395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96488">
                      <w:marLeft w:val="0"/>
                      <w:marRight w:val="0"/>
                      <w:marTop w:val="0"/>
                      <w:marBottom w:val="0"/>
                      <w:divBdr>
                        <w:top w:val="none" w:sz="0" w:space="0" w:color="auto"/>
                        <w:left w:val="none" w:sz="0" w:space="0" w:color="auto"/>
                        <w:bottom w:val="none" w:sz="0" w:space="0" w:color="auto"/>
                        <w:right w:val="none" w:sz="0" w:space="0" w:color="auto"/>
                      </w:divBdr>
                      <w:divsChild>
                        <w:div w:id="631399135">
                          <w:marLeft w:val="0"/>
                          <w:marRight w:val="0"/>
                          <w:marTop w:val="0"/>
                          <w:marBottom w:val="0"/>
                          <w:divBdr>
                            <w:top w:val="none" w:sz="0" w:space="0" w:color="auto"/>
                            <w:left w:val="none" w:sz="0" w:space="0" w:color="auto"/>
                            <w:bottom w:val="none" w:sz="0" w:space="0" w:color="auto"/>
                            <w:right w:val="none" w:sz="0" w:space="0" w:color="auto"/>
                          </w:divBdr>
                        </w:div>
                        <w:div w:id="1250239811">
                          <w:marLeft w:val="0"/>
                          <w:marRight w:val="0"/>
                          <w:marTop w:val="0"/>
                          <w:marBottom w:val="0"/>
                          <w:divBdr>
                            <w:top w:val="none" w:sz="0" w:space="0" w:color="auto"/>
                            <w:left w:val="none" w:sz="0" w:space="0" w:color="auto"/>
                            <w:bottom w:val="none" w:sz="0" w:space="0" w:color="auto"/>
                            <w:right w:val="none" w:sz="0" w:space="0" w:color="auto"/>
                          </w:divBdr>
                          <w:divsChild>
                            <w:div w:id="1013411990">
                              <w:marLeft w:val="0"/>
                              <w:marRight w:val="0"/>
                              <w:marTop w:val="0"/>
                              <w:marBottom w:val="0"/>
                              <w:divBdr>
                                <w:top w:val="none" w:sz="0" w:space="0" w:color="auto"/>
                                <w:left w:val="none" w:sz="0" w:space="0" w:color="auto"/>
                                <w:bottom w:val="none" w:sz="0" w:space="0" w:color="auto"/>
                                <w:right w:val="none" w:sz="0" w:space="0" w:color="auto"/>
                              </w:divBdr>
                              <w:divsChild>
                                <w:div w:id="1923828045">
                                  <w:marLeft w:val="0"/>
                                  <w:marRight w:val="0"/>
                                  <w:marTop w:val="0"/>
                                  <w:marBottom w:val="0"/>
                                  <w:divBdr>
                                    <w:top w:val="none" w:sz="0" w:space="0" w:color="auto"/>
                                    <w:left w:val="none" w:sz="0" w:space="0" w:color="auto"/>
                                    <w:bottom w:val="none" w:sz="0" w:space="0" w:color="auto"/>
                                    <w:right w:val="none" w:sz="0" w:space="0" w:color="auto"/>
                                  </w:divBdr>
                                  <w:divsChild>
                                    <w:div w:id="8570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967863">
      <w:bodyDiv w:val="1"/>
      <w:marLeft w:val="0"/>
      <w:marRight w:val="0"/>
      <w:marTop w:val="0"/>
      <w:marBottom w:val="0"/>
      <w:divBdr>
        <w:top w:val="none" w:sz="0" w:space="0" w:color="auto"/>
        <w:left w:val="none" w:sz="0" w:space="0" w:color="auto"/>
        <w:bottom w:val="none" w:sz="0" w:space="0" w:color="auto"/>
        <w:right w:val="none" w:sz="0" w:space="0" w:color="auto"/>
      </w:divBdr>
    </w:div>
    <w:div w:id="1412384208">
      <w:bodyDiv w:val="1"/>
      <w:marLeft w:val="0"/>
      <w:marRight w:val="0"/>
      <w:marTop w:val="0"/>
      <w:marBottom w:val="0"/>
      <w:divBdr>
        <w:top w:val="none" w:sz="0" w:space="0" w:color="auto"/>
        <w:left w:val="none" w:sz="0" w:space="0" w:color="auto"/>
        <w:bottom w:val="none" w:sz="0" w:space="0" w:color="auto"/>
        <w:right w:val="none" w:sz="0" w:space="0" w:color="auto"/>
      </w:divBdr>
    </w:div>
    <w:div w:id="1504777834">
      <w:bodyDiv w:val="1"/>
      <w:marLeft w:val="0"/>
      <w:marRight w:val="0"/>
      <w:marTop w:val="0"/>
      <w:marBottom w:val="0"/>
      <w:divBdr>
        <w:top w:val="none" w:sz="0" w:space="0" w:color="auto"/>
        <w:left w:val="none" w:sz="0" w:space="0" w:color="auto"/>
        <w:bottom w:val="none" w:sz="0" w:space="0" w:color="auto"/>
        <w:right w:val="none" w:sz="0" w:space="0" w:color="auto"/>
      </w:divBdr>
    </w:div>
    <w:div w:id="1517646136">
      <w:bodyDiv w:val="1"/>
      <w:marLeft w:val="0"/>
      <w:marRight w:val="0"/>
      <w:marTop w:val="0"/>
      <w:marBottom w:val="0"/>
      <w:divBdr>
        <w:top w:val="none" w:sz="0" w:space="0" w:color="auto"/>
        <w:left w:val="none" w:sz="0" w:space="0" w:color="auto"/>
        <w:bottom w:val="none" w:sz="0" w:space="0" w:color="auto"/>
        <w:right w:val="none" w:sz="0" w:space="0" w:color="auto"/>
      </w:divBdr>
    </w:div>
    <w:div w:id="1546872426">
      <w:bodyDiv w:val="1"/>
      <w:marLeft w:val="0"/>
      <w:marRight w:val="0"/>
      <w:marTop w:val="0"/>
      <w:marBottom w:val="0"/>
      <w:divBdr>
        <w:top w:val="none" w:sz="0" w:space="0" w:color="auto"/>
        <w:left w:val="none" w:sz="0" w:space="0" w:color="auto"/>
        <w:bottom w:val="none" w:sz="0" w:space="0" w:color="auto"/>
        <w:right w:val="none" w:sz="0" w:space="0" w:color="auto"/>
      </w:divBdr>
    </w:div>
    <w:div w:id="1579292056">
      <w:bodyDiv w:val="1"/>
      <w:marLeft w:val="0"/>
      <w:marRight w:val="0"/>
      <w:marTop w:val="0"/>
      <w:marBottom w:val="0"/>
      <w:divBdr>
        <w:top w:val="none" w:sz="0" w:space="0" w:color="auto"/>
        <w:left w:val="none" w:sz="0" w:space="0" w:color="auto"/>
        <w:bottom w:val="none" w:sz="0" w:space="0" w:color="auto"/>
        <w:right w:val="none" w:sz="0" w:space="0" w:color="auto"/>
      </w:divBdr>
    </w:div>
    <w:div w:id="1582327770">
      <w:bodyDiv w:val="1"/>
      <w:marLeft w:val="0"/>
      <w:marRight w:val="0"/>
      <w:marTop w:val="0"/>
      <w:marBottom w:val="0"/>
      <w:divBdr>
        <w:top w:val="none" w:sz="0" w:space="0" w:color="auto"/>
        <w:left w:val="none" w:sz="0" w:space="0" w:color="auto"/>
        <w:bottom w:val="none" w:sz="0" w:space="0" w:color="auto"/>
        <w:right w:val="none" w:sz="0" w:space="0" w:color="auto"/>
      </w:divBdr>
    </w:div>
    <w:div w:id="1633562249">
      <w:bodyDiv w:val="1"/>
      <w:marLeft w:val="0"/>
      <w:marRight w:val="0"/>
      <w:marTop w:val="0"/>
      <w:marBottom w:val="0"/>
      <w:divBdr>
        <w:top w:val="none" w:sz="0" w:space="0" w:color="auto"/>
        <w:left w:val="none" w:sz="0" w:space="0" w:color="auto"/>
        <w:bottom w:val="none" w:sz="0" w:space="0" w:color="auto"/>
        <w:right w:val="none" w:sz="0" w:space="0" w:color="auto"/>
      </w:divBdr>
    </w:div>
    <w:div w:id="1643271713">
      <w:bodyDiv w:val="1"/>
      <w:marLeft w:val="0"/>
      <w:marRight w:val="0"/>
      <w:marTop w:val="0"/>
      <w:marBottom w:val="0"/>
      <w:divBdr>
        <w:top w:val="none" w:sz="0" w:space="0" w:color="auto"/>
        <w:left w:val="none" w:sz="0" w:space="0" w:color="auto"/>
        <w:bottom w:val="none" w:sz="0" w:space="0" w:color="auto"/>
        <w:right w:val="none" w:sz="0" w:space="0" w:color="auto"/>
      </w:divBdr>
    </w:div>
    <w:div w:id="1727992630">
      <w:bodyDiv w:val="1"/>
      <w:marLeft w:val="0"/>
      <w:marRight w:val="0"/>
      <w:marTop w:val="0"/>
      <w:marBottom w:val="0"/>
      <w:divBdr>
        <w:top w:val="none" w:sz="0" w:space="0" w:color="auto"/>
        <w:left w:val="none" w:sz="0" w:space="0" w:color="auto"/>
        <w:bottom w:val="none" w:sz="0" w:space="0" w:color="auto"/>
        <w:right w:val="none" w:sz="0" w:space="0" w:color="auto"/>
      </w:divBdr>
    </w:div>
    <w:div w:id="1791392017">
      <w:bodyDiv w:val="1"/>
      <w:marLeft w:val="0"/>
      <w:marRight w:val="0"/>
      <w:marTop w:val="0"/>
      <w:marBottom w:val="0"/>
      <w:divBdr>
        <w:top w:val="none" w:sz="0" w:space="0" w:color="auto"/>
        <w:left w:val="none" w:sz="0" w:space="0" w:color="auto"/>
        <w:bottom w:val="none" w:sz="0" w:space="0" w:color="auto"/>
        <w:right w:val="none" w:sz="0" w:space="0" w:color="auto"/>
      </w:divBdr>
    </w:div>
    <w:div w:id="1837308478">
      <w:bodyDiv w:val="1"/>
      <w:marLeft w:val="0"/>
      <w:marRight w:val="0"/>
      <w:marTop w:val="0"/>
      <w:marBottom w:val="0"/>
      <w:divBdr>
        <w:top w:val="none" w:sz="0" w:space="0" w:color="auto"/>
        <w:left w:val="none" w:sz="0" w:space="0" w:color="auto"/>
        <w:bottom w:val="none" w:sz="0" w:space="0" w:color="auto"/>
        <w:right w:val="none" w:sz="0" w:space="0" w:color="auto"/>
      </w:divBdr>
      <w:divsChild>
        <w:div w:id="1140996430">
          <w:marLeft w:val="0"/>
          <w:marRight w:val="0"/>
          <w:marTop w:val="0"/>
          <w:marBottom w:val="0"/>
          <w:divBdr>
            <w:top w:val="none" w:sz="0" w:space="0" w:color="auto"/>
            <w:left w:val="none" w:sz="0" w:space="0" w:color="auto"/>
            <w:bottom w:val="none" w:sz="0" w:space="0" w:color="auto"/>
            <w:right w:val="none" w:sz="0" w:space="0" w:color="auto"/>
          </w:divBdr>
        </w:div>
      </w:divsChild>
    </w:div>
    <w:div w:id="1882591131">
      <w:bodyDiv w:val="1"/>
      <w:marLeft w:val="0"/>
      <w:marRight w:val="0"/>
      <w:marTop w:val="0"/>
      <w:marBottom w:val="0"/>
      <w:divBdr>
        <w:top w:val="none" w:sz="0" w:space="0" w:color="auto"/>
        <w:left w:val="none" w:sz="0" w:space="0" w:color="auto"/>
        <w:bottom w:val="none" w:sz="0" w:space="0" w:color="auto"/>
        <w:right w:val="none" w:sz="0" w:space="0" w:color="auto"/>
      </w:divBdr>
    </w:div>
    <w:div w:id="1898082862">
      <w:bodyDiv w:val="1"/>
      <w:marLeft w:val="0"/>
      <w:marRight w:val="0"/>
      <w:marTop w:val="0"/>
      <w:marBottom w:val="0"/>
      <w:divBdr>
        <w:top w:val="none" w:sz="0" w:space="0" w:color="auto"/>
        <w:left w:val="none" w:sz="0" w:space="0" w:color="auto"/>
        <w:bottom w:val="none" w:sz="0" w:space="0" w:color="auto"/>
        <w:right w:val="none" w:sz="0" w:space="0" w:color="auto"/>
      </w:divBdr>
    </w:div>
    <w:div w:id="1898124684">
      <w:bodyDiv w:val="1"/>
      <w:marLeft w:val="0"/>
      <w:marRight w:val="0"/>
      <w:marTop w:val="0"/>
      <w:marBottom w:val="0"/>
      <w:divBdr>
        <w:top w:val="none" w:sz="0" w:space="0" w:color="auto"/>
        <w:left w:val="none" w:sz="0" w:space="0" w:color="auto"/>
        <w:bottom w:val="none" w:sz="0" w:space="0" w:color="auto"/>
        <w:right w:val="none" w:sz="0" w:space="0" w:color="auto"/>
      </w:divBdr>
    </w:div>
    <w:div w:id="1909069095">
      <w:bodyDiv w:val="1"/>
      <w:marLeft w:val="0"/>
      <w:marRight w:val="0"/>
      <w:marTop w:val="0"/>
      <w:marBottom w:val="0"/>
      <w:divBdr>
        <w:top w:val="none" w:sz="0" w:space="0" w:color="auto"/>
        <w:left w:val="none" w:sz="0" w:space="0" w:color="auto"/>
        <w:bottom w:val="none" w:sz="0" w:space="0" w:color="auto"/>
        <w:right w:val="none" w:sz="0" w:space="0" w:color="auto"/>
      </w:divBdr>
    </w:div>
    <w:div w:id="1917130023">
      <w:bodyDiv w:val="1"/>
      <w:marLeft w:val="0"/>
      <w:marRight w:val="0"/>
      <w:marTop w:val="0"/>
      <w:marBottom w:val="0"/>
      <w:divBdr>
        <w:top w:val="none" w:sz="0" w:space="0" w:color="auto"/>
        <w:left w:val="none" w:sz="0" w:space="0" w:color="auto"/>
        <w:bottom w:val="none" w:sz="0" w:space="0" w:color="auto"/>
        <w:right w:val="none" w:sz="0" w:space="0" w:color="auto"/>
      </w:divBdr>
      <w:divsChild>
        <w:div w:id="390737960">
          <w:marLeft w:val="0"/>
          <w:marRight w:val="0"/>
          <w:marTop w:val="0"/>
          <w:marBottom w:val="0"/>
          <w:divBdr>
            <w:top w:val="none" w:sz="0" w:space="0" w:color="auto"/>
            <w:left w:val="none" w:sz="0" w:space="0" w:color="auto"/>
            <w:bottom w:val="none" w:sz="0" w:space="0" w:color="auto"/>
            <w:right w:val="none" w:sz="0" w:space="0" w:color="auto"/>
          </w:divBdr>
        </w:div>
      </w:divsChild>
    </w:div>
    <w:div w:id="1958216578">
      <w:bodyDiv w:val="1"/>
      <w:marLeft w:val="0"/>
      <w:marRight w:val="0"/>
      <w:marTop w:val="0"/>
      <w:marBottom w:val="0"/>
      <w:divBdr>
        <w:top w:val="none" w:sz="0" w:space="0" w:color="auto"/>
        <w:left w:val="none" w:sz="0" w:space="0" w:color="auto"/>
        <w:bottom w:val="none" w:sz="0" w:space="0" w:color="auto"/>
        <w:right w:val="none" w:sz="0" w:space="0" w:color="auto"/>
      </w:divBdr>
    </w:div>
    <w:div w:id="2017152856">
      <w:bodyDiv w:val="1"/>
      <w:marLeft w:val="0"/>
      <w:marRight w:val="0"/>
      <w:marTop w:val="0"/>
      <w:marBottom w:val="0"/>
      <w:divBdr>
        <w:top w:val="none" w:sz="0" w:space="0" w:color="auto"/>
        <w:left w:val="none" w:sz="0" w:space="0" w:color="auto"/>
        <w:bottom w:val="none" w:sz="0" w:space="0" w:color="auto"/>
        <w:right w:val="none" w:sz="0" w:space="0" w:color="auto"/>
      </w:divBdr>
    </w:div>
    <w:div w:id="2032796829">
      <w:bodyDiv w:val="1"/>
      <w:marLeft w:val="0"/>
      <w:marRight w:val="0"/>
      <w:marTop w:val="0"/>
      <w:marBottom w:val="0"/>
      <w:divBdr>
        <w:top w:val="none" w:sz="0" w:space="0" w:color="auto"/>
        <w:left w:val="none" w:sz="0" w:space="0" w:color="auto"/>
        <w:bottom w:val="none" w:sz="0" w:space="0" w:color="auto"/>
        <w:right w:val="none" w:sz="0" w:space="0" w:color="auto"/>
      </w:divBdr>
      <w:divsChild>
        <w:div w:id="1479804959">
          <w:marLeft w:val="0"/>
          <w:marRight w:val="0"/>
          <w:marTop w:val="0"/>
          <w:marBottom w:val="0"/>
          <w:divBdr>
            <w:top w:val="none" w:sz="0" w:space="0" w:color="auto"/>
            <w:left w:val="none" w:sz="0" w:space="0" w:color="auto"/>
            <w:bottom w:val="none" w:sz="0" w:space="0" w:color="auto"/>
            <w:right w:val="none" w:sz="0" w:space="0" w:color="auto"/>
          </w:divBdr>
          <w:divsChild>
            <w:div w:id="114060314">
              <w:marLeft w:val="0"/>
              <w:marRight w:val="0"/>
              <w:marTop w:val="0"/>
              <w:marBottom w:val="0"/>
              <w:divBdr>
                <w:top w:val="none" w:sz="0" w:space="0" w:color="auto"/>
                <w:left w:val="none" w:sz="0" w:space="0" w:color="auto"/>
                <w:bottom w:val="none" w:sz="0" w:space="0" w:color="auto"/>
                <w:right w:val="none" w:sz="0" w:space="0" w:color="auto"/>
              </w:divBdr>
              <w:divsChild>
                <w:div w:id="379280537">
                  <w:marLeft w:val="0"/>
                  <w:marRight w:val="0"/>
                  <w:marTop w:val="0"/>
                  <w:marBottom w:val="0"/>
                  <w:divBdr>
                    <w:top w:val="none" w:sz="0" w:space="0" w:color="auto"/>
                    <w:left w:val="none" w:sz="0" w:space="0" w:color="auto"/>
                    <w:bottom w:val="none" w:sz="0" w:space="0" w:color="auto"/>
                    <w:right w:val="none" w:sz="0" w:space="0" w:color="auto"/>
                  </w:divBdr>
                  <w:divsChild>
                    <w:div w:id="909578664">
                      <w:marLeft w:val="0"/>
                      <w:marRight w:val="0"/>
                      <w:marTop w:val="0"/>
                      <w:marBottom w:val="0"/>
                      <w:divBdr>
                        <w:top w:val="none" w:sz="0" w:space="0" w:color="auto"/>
                        <w:left w:val="none" w:sz="0" w:space="0" w:color="auto"/>
                        <w:bottom w:val="none" w:sz="0" w:space="0" w:color="auto"/>
                        <w:right w:val="none" w:sz="0" w:space="0" w:color="auto"/>
                      </w:divBdr>
                      <w:divsChild>
                        <w:div w:id="1184901961">
                          <w:marLeft w:val="0"/>
                          <w:marRight w:val="0"/>
                          <w:marTop w:val="0"/>
                          <w:marBottom w:val="0"/>
                          <w:divBdr>
                            <w:top w:val="none" w:sz="0" w:space="0" w:color="auto"/>
                            <w:left w:val="none" w:sz="0" w:space="0" w:color="auto"/>
                            <w:bottom w:val="none" w:sz="0" w:space="0" w:color="auto"/>
                            <w:right w:val="none" w:sz="0" w:space="0" w:color="auto"/>
                          </w:divBdr>
                          <w:divsChild>
                            <w:div w:id="1326277247">
                              <w:marLeft w:val="0"/>
                              <w:marRight w:val="0"/>
                              <w:marTop w:val="0"/>
                              <w:marBottom w:val="0"/>
                              <w:divBdr>
                                <w:top w:val="none" w:sz="0" w:space="0" w:color="auto"/>
                                <w:left w:val="none" w:sz="0" w:space="0" w:color="auto"/>
                                <w:bottom w:val="none" w:sz="0" w:space="0" w:color="auto"/>
                                <w:right w:val="none" w:sz="0" w:space="0" w:color="auto"/>
                              </w:divBdr>
                              <w:divsChild>
                                <w:div w:id="647712132">
                                  <w:marLeft w:val="0"/>
                                  <w:marRight w:val="0"/>
                                  <w:marTop w:val="0"/>
                                  <w:marBottom w:val="0"/>
                                  <w:divBdr>
                                    <w:top w:val="none" w:sz="0" w:space="0" w:color="auto"/>
                                    <w:left w:val="none" w:sz="0" w:space="0" w:color="auto"/>
                                    <w:bottom w:val="none" w:sz="0" w:space="0" w:color="auto"/>
                                    <w:right w:val="none" w:sz="0" w:space="0" w:color="auto"/>
                                  </w:divBdr>
                                  <w:divsChild>
                                    <w:div w:id="17997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17026">
                      <w:marLeft w:val="0"/>
                      <w:marRight w:val="0"/>
                      <w:marTop w:val="0"/>
                      <w:marBottom w:val="0"/>
                      <w:divBdr>
                        <w:top w:val="none" w:sz="0" w:space="0" w:color="auto"/>
                        <w:left w:val="none" w:sz="0" w:space="0" w:color="auto"/>
                        <w:bottom w:val="none" w:sz="0" w:space="0" w:color="auto"/>
                        <w:right w:val="none" w:sz="0" w:space="0" w:color="auto"/>
                      </w:divBdr>
                      <w:divsChild>
                        <w:div w:id="1625112630">
                          <w:marLeft w:val="0"/>
                          <w:marRight w:val="0"/>
                          <w:marTop w:val="0"/>
                          <w:marBottom w:val="0"/>
                          <w:divBdr>
                            <w:top w:val="none" w:sz="0" w:space="0" w:color="auto"/>
                            <w:left w:val="none" w:sz="0" w:space="0" w:color="auto"/>
                            <w:bottom w:val="none" w:sz="0" w:space="0" w:color="auto"/>
                            <w:right w:val="none" w:sz="0" w:space="0" w:color="auto"/>
                          </w:divBdr>
                        </w:div>
                        <w:div w:id="1831485177">
                          <w:marLeft w:val="0"/>
                          <w:marRight w:val="0"/>
                          <w:marTop w:val="0"/>
                          <w:marBottom w:val="0"/>
                          <w:divBdr>
                            <w:top w:val="none" w:sz="0" w:space="0" w:color="auto"/>
                            <w:left w:val="none" w:sz="0" w:space="0" w:color="auto"/>
                            <w:bottom w:val="none" w:sz="0" w:space="0" w:color="auto"/>
                            <w:right w:val="none" w:sz="0" w:space="0" w:color="auto"/>
                          </w:divBdr>
                          <w:divsChild>
                            <w:div w:id="1333341420">
                              <w:marLeft w:val="0"/>
                              <w:marRight w:val="0"/>
                              <w:marTop w:val="0"/>
                              <w:marBottom w:val="0"/>
                              <w:divBdr>
                                <w:top w:val="none" w:sz="0" w:space="0" w:color="auto"/>
                                <w:left w:val="none" w:sz="0" w:space="0" w:color="auto"/>
                                <w:bottom w:val="none" w:sz="0" w:space="0" w:color="auto"/>
                                <w:right w:val="none" w:sz="0" w:space="0" w:color="auto"/>
                              </w:divBdr>
                              <w:divsChild>
                                <w:div w:id="1173689204">
                                  <w:marLeft w:val="0"/>
                                  <w:marRight w:val="0"/>
                                  <w:marTop w:val="0"/>
                                  <w:marBottom w:val="0"/>
                                  <w:divBdr>
                                    <w:top w:val="none" w:sz="0" w:space="0" w:color="auto"/>
                                    <w:left w:val="none" w:sz="0" w:space="0" w:color="auto"/>
                                    <w:bottom w:val="none" w:sz="0" w:space="0" w:color="auto"/>
                                    <w:right w:val="none" w:sz="0" w:space="0" w:color="auto"/>
                                  </w:divBdr>
                                  <w:divsChild>
                                    <w:div w:id="16764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507266">
          <w:marLeft w:val="0"/>
          <w:marRight w:val="0"/>
          <w:marTop w:val="0"/>
          <w:marBottom w:val="0"/>
          <w:divBdr>
            <w:top w:val="none" w:sz="0" w:space="0" w:color="auto"/>
            <w:left w:val="none" w:sz="0" w:space="0" w:color="auto"/>
            <w:bottom w:val="none" w:sz="0" w:space="0" w:color="auto"/>
            <w:right w:val="none" w:sz="0" w:space="0" w:color="auto"/>
          </w:divBdr>
          <w:divsChild>
            <w:div w:id="1226914576">
              <w:marLeft w:val="0"/>
              <w:marRight w:val="0"/>
              <w:marTop w:val="0"/>
              <w:marBottom w:val="0"/>
              <w:divBdr>
                <w:top w:val="none" w:sz="0" w:space="0" w:color="auto"/>
                <w:left w:val="none" w:sz="0" w:space="0" w:color="auto"/>
                <w:bottom w:val="none" w:sz="0" w:space="0" w:color="auto"/>
                <w:right w:val="none" w:sz="0" w:space="0" w:color="auto"/>
              </w:divBdr>
              <w:divsChild>
                <w:div w:id="492139390">
                  <w:marLeft w:val="0"/>
                  <w:marRight w:val="0"/>
                  <w:marTop w:val="0"/>
                  <w:marBottom w:val="0"/>
                  <w:divBdr>
                    <w:top w:val="none" w:sz="0" w:space="0" w:color="auto"/>
                    <w:left w:val="none" w:sz="0" w:space="0" w:color="auto"/>
                    <w:bottom w:val="none" w:sz="0" w:space="0" w:color="auto"/>
                    <w:right w:val="none" w:sz="0" w:space="0" w:color="auto"/>
                  </w:divBdr>
                  <w:divsChild>
                    <w:div w:id="493880490">
                      <w:marLeft w:val="0"/>
                      <w:marRight w:val="0"/>
                      <w:marTop w:val="0"/>
                      <w:marBottom w:val="0"/>
                      <w:divBdr>
                        <w:top w:val="none" w:sz="0" w:space="0" w:color="auto"/>
                        <w:left w:val="none" w:sz="0" w:space="0" w:color="auto"/>
                        <w:bottom w:val="none" w:sz="0" w:space="0" w:color="auto"/>
                        <w:right w:val="none" w:sz="0" w:space="0" w:color="auto"/>
                      </w:divBdr>
                      <w:divsChild>
                        <w:div w:id="753168085">
                          <w:marLeft w:val="0"/>
                          <w:marRight w:val="0"/>
                          <w:marTop w:val="0"/>
                          <w:marBottom w:val="0"/>
                          <w:divBdr>
                            <w:top w:val="none" w:sz="0" w:space="0" w:color="auto"/>
                            <w:left w:val="none" w:sz="0" w:space="0" w:color="auto"/>
                            <w:bottom w:val="none" w:sz="0" w:space="0" w:color="auto"/>
                            <w:right w:val="none" w:sz="0" w:space="0" w:color="auto"/>
                          </w:divBdr>
                          <w:divsChild>
                            <w:div w:id="1612741061">
                              <w:marLeft w:val="0"/>
                              <w:marRight w:val="0"/>
                              <w:marTop w:val="0"/>
                              <w:marBottom w:val="0"/>
                              <w:divBdr>
                                <w:top w:val="none" w:sz="0" w:space="0" w:color="auto"/>
                                <w:left w:val="none" w:sz="0" w:space="0" w:color="auto"/>
                                <w:bottom w:val="none" w:sz="0" w:space="0" w:color="auto"/>
                                <w:right w:val="none" w:sz="0" w:space="0" w:color="auto"/>
                              </w:divBdr>
                              <w:divsChild>
                                <w:div w:id="1862550065">
                                  <w:marLeft w:val="0"/>
                                  <w:marRight w:val="0"/>
                                  <w:marTop w:val="0"/>
                                  <w:marBottom w:val="0"/>
                                  <w:divBdr>
                                    <w:top w:val="none" w:sz="0" w:space="0" w:color="auto"/>
                                    <w:left w:val="none" w:sz="0" w:space="0" w:color="auto"/>
                                    <w:bottom w:val="none" w:sz="0" w:space="0" w:color="auto"/>
                                    <w:right w:val="none" w:sz="0" w:space="0" w:color="auto"/>
                                  </w:divBdr>
                                  <w:divsChild>
                                    <w:div w:id="5030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81041">
                      <w:marLeft w:val="0"/>
                      <w:marRight w:val="0"/>
                      <w:marTop w:val="0"/>
                      <w:marBottom w:val="0"/>
                      <w:divBdr>
                        <w:top w:val="none" w:sz="0" w:space="0" w:color="auto"/>
                        <w:left w:val="none" w:sz="0" w:space="0" w:color="auto"/>
                        <w:bottom w:val="none" w:sz="0" w:space="0" w:color="auto"/>
                        <w:right w:val="none" w:sz="0" w:space="0" w:color="auto"/>
                      </w:divBdr>
                      <w:divsChild>
                        <w:div w:id="118883103">
                          <w:marLeft w:val="0"/>
                          <w:marRight w:val="0"/>
                          <w:marTop w:val="0"/>
                          <w:marBottom w:val="0"/>
                          <w:divBdr>
                            <w:top w:val="none" w:sz="0" w:space="0" w:color="auto"/>
                            <w:left w:val="none" w:sz="0" w:space="0" w:color="auto"/>
                            <w:bottom w:val="none" w:sz="0" w:space="0" w:color="auto"/>
                            <w:right w:val="none" w:sz="0" w:space="0" w:color="auto"/>
                          </w:divBdr>
                          <w:divsChild>
                            <w:div w:id="418912204">
                              <w:marLeft w:val="0"/>
                              <w:marRight w:val="0"/>
                              <w:marTop w:val="0"/>
                              <w:marBottom w:val="0"/>
                              <w:divBdr>
                                <w:top w:val="none" w:sz="0" w:space="0" w:color="auto"/>
                                <w:left w:val="none" w:sz="0" w:space="0" w:color="auto"/>
                                <w:bottom w:val="none" w:sz="0" w:space="0" w:color="auto"/>
                                <w:right w:val="none" w:sz="0" w:space="0" w:color="auto"/>
                              </w:divBdr>
                              <w:divsChild>
                                <w:div w:id="1128664973">
                                  <w:marLeft w:val="0"/>
                                  <w:marRight w:val="0"/>
                                  <w:marTop w:val="0"/>
                                  <w:marBottom w:val="0"/>
                                  <w:divBdr>
                                    <w:top w:val="none" w:sz="0" w:space="0" w:color="auto"/>
                                    <w:left w:val="none" w:sz="0" w:space="0" w:color="auto"/>
                                    <w:bottom w:val="none" w:sz="0" w:space="0" w:color="auto"/>
                                    <w:right w:val="none" w:sz="0" w:space="0" w:color="auto"/>
                                  </w:divBdr>
                                  <w:divsChild>
                                    <w:div w:id="16136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65664">
      <w:bodyDiv w:val="1"/>
      <w:marLeft w:val="0"/>
      <w:marRight w:val="0"/>
      <w:marTop w:val="0"/>
      <w:marBottom w:val="0"/>
      <w:divBdr>
        <w:top w:val="none" w:sz="0" w:space="0" w:color="auto"/>
        <w:left w:val="none" w:sz="0" w:space="0" w:color="auto"/>
        <w:bottom w:val="none" w:sz="0" w:space="0" w:color="auto"/>
        <w:right w:val="none" w:sz="0" w:space="0" w:color="auto"/>
      </w:divBdr>
    </w:div>
    <w:div w:id="2101876232">
      <w:bodyDiv w:val="1"/>
      <w:marLeft w:val="0"/>
      <w:marRight w:val="0"/>
      <w:marTop w:val="0"/>
      <w:marBottom w:val="0"/>
      <w:divBdr>
        <w:top w:val="none" w:sz="0" w:space="0" w:color="auto"/>
        <w:left w:val="none" w:sz="0" w:space="0" w:color="auto"/>
        <w:bottom w:val="none" w:sz="0" w:space="0" w:color="auto"/>
        <w:right w:val="none" w:sz="0" w:space="0" w:color="auto"/>
      </w:divBdr>
    </w:div>
    <w:div w:id="21243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ac.gov.au/applications/1712" TargetMode="External"/><Relationship Id="rId18" Type="http://schemas.openxmlformats.org/officeDocument/2006/relationships/hyperlink" Target="https://www.msac.gov.au/sites/default/files/2025-03/level-2-sleep-studies-for-the-diagnosis-and-management-of-sleep-disordered-breathing-in-children-and-adolescents.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edicalcostsfinder.health.gov.au/service/?id=Q12250&amp;mode=OH&amp;specialty=TOT&amp;specialtyname=All%20specialties" TargetMode="External"/><Relationship Id="rId7" Type="http://schemas.openxmlformats.org/officeDocument/2006/relationships/settings" Target="settings.xml"/><Relationship Id="rId12" Type="http://schemas.openxmlformats.org/officeDocument/2006/relationships/hyperlink" Target="https://www.msac.gov.au/applications/1130" TargetMode="External"/><Relationship Id="rId17" Type="http://schemas.openxmlformats.org/officeDocument/2006/relationships/hyperlink" Target="https://www.msac.gov.au/applications/1712" TargetMode="External"/><Relationship Id="rId25" Type="http://schemas.openxmlformats.org/officeDocument/2006/relationships/hyperlink" Target="http://msac.gov.au/internet/msac/publishing.nsf/Content/Home-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sac.gov.au/applications/1130" TargetMode="External"/><Relationship Id="rId20" Type="http://schemas.openxmlformats.org/officeDocument/2006/relationships/image" Target="media/image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 TargetMode="External"/><Relationship Id="rId24" Type="http://schemas.openxmlformats.org/officeDocument/2006/relationships/hyperlink" Target="https://www.aihw.gov.au/getmedia/b750c9ab-464f-463e-9edf-ddf8693e5522/6-admitted-patient-care-2022-23-tables-procedures.xls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9.health.gov.au/mbs/fullDisplay.cfm?type=item&amp;q=12217&amp;qt=item&amp;criteria=12217" TargetMode="External"/><Relationship Id="rId23" Type="http://schemas.openxmlformats.org/officeDocument/2006/relationships/hyperlink" Target="https://herecoau.sharepoint.com/sites/Clients/Shared%20Documents/MBS/MBS04%20FFP%20DCAR%201712.1%20sleep%20studies/07%20Deliverables/deductions%20for%20motor%20vehicle%20expens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sac.gov.au/sites/default/files/documents/1712%2520Final%2520PSD%2520-%2520April2024.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9.health.gov.au/mbs/fullDisplay.cfm?type=item&amp;q=12215&amp;qt=item&amp;criteria=12215" TargetMode="External"/><Relationship Id="rId22" Type="http://schemas.openxmlformats.org/officeDocument/2006/relationships/hyperlink" Target="https://medicalcostsfinder.health.gov.au/service/?id=Q12203&amp;mode=OH&amp;specialty=TOT&amp;specialtyname=All%20specialties&amp;tab=fees"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homesleep.com.au/sleep-study-services/" TargetMode="External"/><Relationship Id="rId1" Type="http://schemas.openxmlformats.org/officeDocument/2006/relationships/hyperlink" Target="https://qclass.com.au/sleep-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3" ma:contentTypeDescription="Create a new document." ma:contentTypeScope="" ma:versionID="b67814db4cbf52fde07137e7d49b245e">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dea1ae2ed431f796c5177aed60a9a2d6"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Props1.xml><?xml version="1.0" encoding="utf-8"?>
<ds:datastoreItem xmlns:ds="http://schemas.openxmlformats.org/officeDocument/2006/customXml" ds:itemID="{83922752-CAB4-4811-B12C-BFB2357C0B1D}">
  <ds:schemaRefs>
    <ds:schemaRef ds:uri="http://schemas.openxmlformats.org/officeDocument/2006/bibliography"/>
  </ds:schemaRefs>
</ds:datastoreItem>
</file>

<file path=customXml/itemProps2.xml><?xml version="1.0" encoding="utf-8"?>
<ds:datastoreItem xmlns:ds="http://schemas.openxmlformats.org/officeDocument/2006/customXml" ds:itemID="{CDF8C8C2-0E62-48A7-8FE2-C55D66C91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b557-581c-46d3-8cc7-77c65017dc6f"/>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CA7F7-4154-4F6E-84F4-BAFC98577BBB}">
  <ds:schemaRefs>
    <ds:schemaRef ds:uri="http://schemas.microsoft.com/sharepoint/v3/contenttype/forms"/>
  </ds:schemaRefs>
</ds:datastoreItem>
</file>

<file path=customXml/itemProps4.xml><?xml version="1.0" encoding="utf-8"?>
<ds:datastoreItem xmlns:ds="http://schemas.openxmlformats.org/officeDocument/2006/customXml" ds:itemID="{AC5065FF-97AD-4B37-8911-8C439C2ED69A}">
  <ds:schemaRefs>
    <ds:schemaRef ds:uri="http://purl.org/dc/elements/1.1/"/>
    <ds:schemaRef ds:uri="7513b557-581c-46d3-8cc7-77c65017dc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d54a9e-4aca-451b-99db-b94fe438e98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15534</Words>
  <Characters>84197</Characters>
  <Application>Microsoft Office Word</Application>
  <DocSecurity>0</DocSecurity>
  <Lines>2053</Lines>
  <Paragraphs>1278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98453</CharactersWithSpaces>
  <SharedDoc>false</SharedDoc>
  <HLinks>
    <vt:vector size="96" baseType="variant">
      <vt:variant>
        <vt:i4>6684716</vt:i4>
      </vt:variant>
      <vt:variant>
        <vt:i4>153</vt:i4>
      </vt:variant>
      <vt:variant>
        <vt:i4>0</vt:i4>
      </vt:variant>
      <vt:variant>
        <vt:i4>5</vt:i4>
      </vt:variant>
      <vt:variant>
        <vt:lpwstr>http://msac.gov.au/internet/msac/publishing.nsf/Content/Home-1</vt:lpwstr>
      </vt:variant>
      <vt:variant>
        <vt:lpwstr/>
      </vt:variant>
      <vt:variant>
        <vt:i4>64</vt:i4>
      </vt:variant>
      <vt:variant>
        <vt:i4>135</vt:i4>
      </vt:variant>
      <vt:variant>
        <vt:i4>0</vt:i4>
      </vt:variant>
      <vt:variant>
        <vt:i4>5</vt:i4>
      </vt:variant>
      <vt:variant>
        <vt:lpwstr>https://www.aihw.gov.au/getmedia/b750c9ab-464f-463e-9edf-ddf8693e5522/6-admitted-patient-care-2022-23-tables-procedures.xlsx</vt:lpwstr>
      </vt:variant>
      <vt:variant>
        <vt:lpwstr/>
      </vt:variant>
      <vt:variant>
        <vt:i4>5439512</vt:i4>
      </vt:variant>
      <vt:variant>
        <vt:i4>108</vt:i4>
      </vt:variant>
      <vt:variant>
        <vt:i4>0</vt:i4>
      </vt:variant>
      <vt:variant>
        <vt:i4>5</vt:i4>
      </vt:variant>
      <vt:variant>
        <vt:lpwstr>https://herecoau.sharepoint.com/sites/Clients/Shared Documents/MBS/MBS04 FFP DCAR 1712.1 sleep studies/07 Deliverables/deductions for motor vehicle expenses</vt:lpwstr>
      </vt:variant>
      <vt:variant>
        <vt:lpwstr/>
      </vt:variant>
      <vt:variant>
        <vt:i4>8061024</vt:i4>
      </vt:variant>
      <vt:variant>
        <vt:i4>105</vt:i4>
      </vt:variant>
      <vt:variant>
        <vt:i4>0</vt:i4>
      </vt:variant>
      <vt:variant>
        <vt:i4>5</vt:i4>
      </vt:variant>
      <vt:variant>
        <vt:lpwstr>https://medicalcostsfinder.health.gov.au/service/?id=Q12203&amp;mode=OH&amp;specialty=TOT&amp;specialtyname=All%20specialties&amp;tab=fees</vt:lpwstr>
      </vt:variant>
      <vt:variant>
        <vt:lpwstr/>
      </vt:variant>
      <vt:variant>
        <vt:i4>1179653</vt:i4>
      </vt:variant>
      <vt:variant>
        <vt:i4>102</vt:i4>
      </vt:variant>
      <vt:variant>
        <vt:i4>0</vt:i4>
      </vt:variant>
      <vt:variant>
        <vt:i4>5</vt:i4>
      </vt:variant>
      <vt:variant>
        <vt:lpwstr>https://medicalcostsfinder.health.gov.au/service/?id=Q12250&amp;mode=OH&amp;specialty=TOT&amp;specialtyname=All%20specialties</vt:lpwstr>
      </vt:variant>
      <vt:variant>
        <vt:lpwstr/>
      </vt:variant>
      <vt:variant>
        <vt:i4>5308423</vt:i4>
      </vt:variant>
      <vt:variant>
        <vt:i4>69</vt:i4>
      </vt:variant>
      <vt:variant>
        <vt:i4>0</vt:i4>
      </vt:variant>
      <vt:variant>
        <vt:i4>5</vt:i4>
      </vt:variant>
      <vt:variant>
        <vt:lpwstr>https://www.msac.gov.au/sites/default/files/documents/1712%2520Final%2520PSD%2520-%2520April2024.pdf</vt:lpwstr>
      </vt:variant>
      <vt:variant>
        <vt:lpwstr/>
      </vt:variant>
      <vt:variant>
        <vt:i4>393218</vt:i4>
      </vt:variant>
      <vt:variant>
        <vt:i4>45</vt:i4>
      </vt:variant>
      <vt:variant>
        <vt:i4>0</vt:i4>
      </vt:variant>
      <vt:variant>
        <vt:i4>5</vt:i4>
      </vt:variant>
      <vt:variant>
        <vt:lpwstr>https://www.msac.gov.au/sites/default/files/2025-03/level-2-sleep-studies-for-the-diagnosis-and-management-of-sleep-disordered-breathing-in-children-and-adolescents.pdf</vt:lpwstr>
      </vt:variant>
      <vt:variant>
        <vt:lpwstr/>
      </vt:variant>
      <vt:variant>
        <vt:i4>1048656</vt:i4>
      </vt:variant>
      <vt:variant>
        <vt:i4>24</vt:i4>
      </vt:variant>
      <vt:variant>
        <vt:i4>0</vt:i4>
      </vt:variant>
      <vt:variant>
        <vt:i4>5</vt:i4>
      </vt:variant>
      <vt:variant>
        <vt:lpwstr>https://www.msac.gov.au/applications/1712</vt:lpwstr>
      </vt:variant>
      <vt:variant>
        <vt:lpwstr/>
      </vt:variant>
      <vt:variant>
        <vt:i4>1179734</vt:i4>
      </vt:variant>
      <vt:variant>
        <vt:i4>21</vt:i4>
      </vt:variant>
      <vt:variant>
        <vt:i4>0</vt:i4>
      </vt:variant>
      <vt:variant>
        <vt:i4>5</vt:i4>
      </vt:variant>
      <vt:variant>
        <vt:lpwstr>https://www.msac.gov.au/applications/1130</vt:lpwstr>
      </vt:variant>
      <vt:variant>
        <vt:lpwstr/>
      </vt:variant>
      <vt:variant>
        <vt:i4>2621549</vt:i4>
      </vt:variant>
      <vt:variant>
        <vt:i4>18</vt:i4>
      </vt:variant>
      <vt:variant>
        <vt:i4>0</vt:i4>
      </vt:variant>
      <vt:variant>
        <vt:i4>5</vt:i4>
      </vt:variant>
      <vt:variant>
        <vt:lpwstr>https://www9.health.gov.au/mbs/fullDisplay.cfm?type=item&amp;q=12217&amp;qt=item&amp;criteria=12217</vt:lpwstr>
      </vt:variant>
      <vt:variant>
        <vt:lpwstr/>
      </vt:variant>
      <vt:variant>
        <vt:i4>2752621</vt:i4>
      </vt:variant>
      <vt:variant>
        <vt:i4>15</vt:i4>
      </vt:variant>
      <vt:variant>
        <vt:i4>0</vt:i4>
      </vt:variant>
      <vt:variant>
        <vt:i4>5</vt:i4>
      </vt:variant>
      <vt:variant>
        <vt:lpwstr>https://www9.health.gov.au/mbs/fullDisplay.cfm?type=item&amp;q=12215&amp;qt=item&amp;criteria=12215</vt:lpwstr>
      </vt:variant>
      <vt:variant>
        <vt:lpwstr/>
      </vt:variant>
      <vt:variant>
        <vt:i4>1048656</vt:i4>
      </vt:variant>
      <vt:variant>
        <vt:i4>6</vt:i4>
      </vt:variant>
      <vt:variant>
        <vt:i4>0</vt:i4>
      </vt:variant>
      <vt:variant>
        <vt:i4>5</vt:i4>
      </vt:variant>
      <vt:variant>
        <vt:lpwstr>https://www.msac.gov.au/applications/1712</vt:lpwstr>
      </vt:variant>
      <vt:variant>
        <vt:lpwstr/>
      </vt:variant>
      <vt:variant>
        <vt:i4>1179734</vt:i4>
      </vt:variant>
      <vt:variant>
        <vt:i4>3</vt:i4>
      </vt:variant>
      <vt:variant>
        <vt:i4>0</vt:i4>
      </vt:variant>
      <vt:variant>
        <vt:i4>5</vt:i4>
      </vt:variant>
      <vt:variant>
        <vt:lpwstr>https://www.msac.gov.au/applications/1130</vt:lpwstr>
      </vt:variant>
      <vt:variant>
        <vt:lpwstr/>
      </vt:variant>
      <vt:variant>
        <vt:i4>3997744</vt:i4>
      </vt:variant>
      <vt:variant>
        <vt:i4>0</vt:i4>
      </vt:variant>
      <vt:variant>
        <vt:i4>0</vt:i4>
      </vt:variant>
      <vt:variant>
        <vt:i4>5</vt:i4>
      </vt:variant>
      <vt:variant>
        <vt:lpwstr>http://www.msac.gov.au/</vt:lpwstr>
      </vt:variant>
      <vt:variant>
        <vt:lpwstr/>
      </vt:variant>
      <vt:variant>
        <vt:i4>6946937</vt:i4>
      </vt:variant>
      <vt:variant>
        <vt:i4>3</vt:i4>
      </vt:variant>
      <vt:variant>
        <vt:i4>0</vt:i4>
      </vt:variant>
      <vt:variant>
        <vt:i4>5</vt:i4>
      </vt:variant>
      <vt:variant>
        <vt:lpwstr>https://www.homesleep.com.au/sleep-study-services/</vt:lpwstr>
      </vt:variant>
      <vt:variant>
        <vt:lpwstr/>
      </vt:variant>
      <vt:variant>
        <vt:i4>6160462</vt:i4>
      </vt:variant>
      <vt:variant>
        <vt:i4>0</vt:i4>
      </vt:variant>
      <vt:variant>
        <vt:i4>0</vt:i4>
      </vt:variant>
      <vt:variant>
        <vt:i4>5</vt:i4>
      </vt:variant>
      <vt:variant>
        <vt:lpwstr>https://qclass.com.au/sleep-studies/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2025-10-03T02:52:00Z</dcterms:created>
  <dcterms:modified xsi:type="dcterms:W3CDTF">2025-10-07T01:16:00Z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10, 0, 1, 1</vt:lpwstr>
  </property>
  <property fmtid="{D5CDD505-2E9C-101B-9397-08002B2CF9AE}" pid="6" name="Order">
    <vt:r8>669800</vt:r8>
  </property>
  <property fmtid="{D5CDD505-2E9C-101B-9397-08002B2CF9AE}" pid="7" name="ClassificationContentMarkingHeaderText">
    <vt:lpwstr>OFFICIAL</vt:lpwstr>
  </property>
  <property fmtid="{D5CDD505-2E9C-101B-9397-08002B2CF9AE}" pid="8" name="MSIP_Label_7cd3e8b9-ffed-43a8-b7f4-cc2fa0382d36_ActionId">
    <vt:lpwstr>fc453434-2e3f-42f0-9c1c-fcdb1488ac64</vt:lpwstr>
  </property>
  <property fmtid="{D5CDD505-2E9C-101B-9397-08002B2CF9AE}" pid="9" name="MediaServiceImageTags">
    <vt:lpwstr/>
  </property>
  <property fmtid="{D5CDD505-2E9C-101B-9397-08002B2CF9AE}" pid="10" name="ContentTypeId">
    <vt:lpwstr>0x0101005E4A37BE997BE34FBB7D5057D341D123</vt:lpwstr>
  </property>
  <property fmtid="{D5CDD505-2E9C-101B-9397-08002B2CF9AE}" pid="11" name="ComplianceAssetId">
    <vt:lpwstr/>
  </property>
  <property fmtid="{D5CDD505-2E9C-101B-9397-08002B2CF9AE}" pid="12" name="ClassificationContentMarkingHeaderFontProps">
    <vt:lpwstr>#ff0000,12,Calibri</vt:lpwstr>
  </property>
  <property fmtid="{D5CDD505-2E9C-101B-9397-08002B2CF9AE}" pid="13" name="_ExtendedDescription">
    <vt:lpwstr/>
  </property>
  <property fmtid="{D5CDD505-2E9C-101B-9397-08002B2CF9AE}" pid="14" name="TriggerFlowInfo">
    <vt:lpwstr/>
  </property>
  <property fmtid="{D5CDD505-2E9C-101B-9397-08002B2CF9AE}" pid="15" name="MSIP_Label_7cd3e8b9-ffed-43a8-b7f4-cc2fa0382d36_ContentBits">
    <vt:lpwstr>3</vt:lpwstr>
  </property>
  <property fmtid="{D5CDD505-2E9C-101B-9397-08002B2CF9AE}" pid="16" name="docLang">
    <vt:lpwstr>en</vt:lpwstr>
  </property>
  <property fmtid="{D5CDD505-2E9C-101B-9397-08002B2CF9AE}" pid="17" name="MSIP_Label_7cd3e8b9-ffed-43a8-b7f4-cc2fa0382d36_Name">
    <vt:lpwstr>O</vt:lpwstr>
  </property>
  <property fmtid="{D5CDD505-2E9C-101B-9397-08002B2CF9AE}" pid="18" name="ClassificationContentMarkingFooterShapeIds">
    <vt:lpwstr>73abebc7,422b1405,31dcd38f</vt:lpwstr>
  </property>
  <property fmtid="{D5CDD505-2E9C-101B-9397-08002B2CF9AE}" pid="19" name="MSIP_Label_7cd3e8b9-ffed-43a8-b7f4-cc2fa0382d36_Enabled">
    <vt:lpwstr>true</vt:lpwstr>
  </property>
  <property fmtid="{D5CDD505-2E9C-101B-9397-08002B2CF9AE}" pid="20" name="ClassificationContentMarkingHeaderShapeIds">
    <vt:lpwstr>4d5ee7b3,5a98ec38,35cbc24e</vt:lpwstr>
  </property>
  <property fmtid="{D5CDD505-2E9C-101B-9397-08002B2CF9AE}" pid="21" name="ClassificationContentMarkingFooterFontProps">
    <vt:lpwstr>#ff0000,12,Calibri</vt:lpwstr>
  </property>
  <property fmtid="{D5CDD505-2E9C-101B-9397-08002B2CF9AE}" pid="22" name="MSIP_Label_7cd3e8b9-ffed-43a8-b7f4-cc2fa0382d36_SetDate">
    <vt:lpwstr>2025-09-25T04:46:17Z</vt:lpwstr>
  </property>
</Properties>
</file>