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A222" w14:textId="77777777" w:rsidR="006977FF" w:rsidRPr="00CC5607" w:rsidRDefault="006977FF" w:rsidP="006977FF">
      <w:pPr>
        <w:keepNext/>
        <w:keepLines/>
        <w:spacing w:before="0" w:after="360" w:line="240" w:lineRule="auto"/>
        <w:ind w:left="788"/>
        <w:jc w:val="center"/>
        <w:outlineLvl w:val="0"/>
        <w:rPr>
          <w:rFonts w:ascii="Arial" w:hAnsi="Arial" w:cs="Arial"/>
          <w:b/>
          <w:bCs/>
          <w:color w:val="000080"/>
          <w:sz w:val="36"/>
          <w:szCs w:val="36"/>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16C2F329" w14:textId="22CD173E" w:rsidR="003E00D6" w:rsidRDefault="003E00D6" w:rsidP="00772829">
      <w:pPr>
        <w:tabs>
          <w:tab w:val="left" w:pos="3686"/>
        </w:tabs>
        <w:spacing w:after="240"/>
        <w:rPr>
          <w:rFonts w:ascii="Arial" w:hAnsi="Arial" w:cs="Arial"/>
          <w:b/>
          <w:szCs w:val="24"/>
        </w:rPr>
      </w:pPr>
      <w:r w:rsidRPr="2914E55D">
        <w:rPr>
          <w:rFonts w:ascii="Arial" w:eastAsia="Times New Roman" w:hAnsi="Arial" w:cs="Arial"/>
          <w:b/>
          <w:bCs/>
          <w:i/>
          <w:iCs/>
          <w:color w:val="000080"/>
          <w:sz w:val="28"/>
          <w:szCs w:val="28"/>
          <w:lang w:eastAsia="en-AU"/>
        </w:rPr>
        <w:t xml:space="preserve">Application No. 1779 – </w:t>
      </w:r>
      <w:r w:rsidRPr="0094473E">
        <w:rPr>
          <w:rFonts w:ascii="Arial" w:eastAsia="Times New Roman" w:hAnsi="Arial" w:cs="Arial"/>
          <w:b/>
          <w:bCs/>
          <w:i/>
          <w:iCs/>
          <w:color w:val="000080"/>
          <w:sz w:val="28"/>
          <w:szCs w:val="28"/>
          <w:lang w:eastAsia="en-AU"/>
        </w:rPr>
        <w:t>Testing of tumour tissue to detect FGFR2 fusions or rearrangements in people with cholangiocarcinoma, to determine eligibility for treatment with PBS subsidised futibatinib</w:t>
      </w:r>
      <w:r w:rsidRPr="00CE28E3">
        <w:rPr>
          <w:rFonts w:ascii="Arial" w:hAnsi="Arial" w:cs="Arial"/>
          <w:b/>
          <w:szCs w:val="24"/>
        </w:rPr>
        <w:t xml:space="preserve"> </w:t>
      </w:r>
    </w:p>
    <w:p w14:paraId="35263561" w14:textId="11D98E53" w:rsidR="00772829" w:rsidRPr="00362C53" w:rsidRDefault="00772829" w:rsidP="00362C53">
      <w:pPr>
        <w:tabs>
          <w:tab w:val="left" w:pos="3544"/>
        </w:tabs>
        <w:rPr>
          <w:rFonts w:ascii="Arial" w:hAnsi="Arial" w:cs="Arial"/>
          <w:b/>
          <w:bCs/>
        </w:rPr>
      </w:pPr>
      <w:r w:rsidRPr="00CE28E3">
        <w:rPr>
          <w:rFonts w:ascii="Arial" w:hAnsi="Arial" w:cs="Arial"/>
          <w:b/>
          <w:szCs w:val="24"/>
        </w:rPr>
        <w:t>Applicant:</w:t>
      </w:r>
      <w:r w:rsidRPr="00CE28E3">
        <w:rPr>
          <w:rFonts w:ascii="Arial" w:hAnsi="Arial" w:cs="Arial"/>
          <w:b/>
          <w:szCs w:val="24"/>
        </w:rPr>
        <w:tab/>
      </w:r>
      <w:r w:rsidR="00362C53" w:rsidRPr="0094473E">
        <w:rPr>
          <w:rFonts w:ascii="Arial" w:hAnsi="Arial" w:cs="Arial"/>
          <w:b/>
          <w:bCs/>
        </w:rPr>
        <w:t>Taiho Pharma Oceania Pty Ltd.</w:t>
      </w:r>
    </w:p>
    <w:p w14:paraId="2C102C36" w14:textId="756499B9" w:rsidR="00451870" w:rsidRDefault="00772829" w:rsidP="00772829">
      <w:pPr>
        <w:tabs>
          <w:tab w:val="left" w:pos="3686"/>
        </w:tabs>
        <w:spacing w:after="360"/>
        <w:rPr>
          <w:rFonts w:ascii="Arial" w:hAnsi="Arial" w:cs="Arial"/>
          <w:b/>
          <w:szCs w:val="24"/>
        </w:rPr>
      </w:pPr>
      <w:r w:rsidRPr="00CE28E3">
        <w:rPr>
          <w:rFonts w:ascii="Arial" w:hAnsi="Arial" w:cs="Arial"/>
          <w:b/>
          <w:szCs w:val="24"/>
        </w:rPr>
        <w:t>Date of MSAC consideration:</w:t>
      </w:r>
      <w:r w:rsidR="00362C53">
        <w:rPr>
          <w:rFonts w:ascii="Arial" w:hAnsi="Arial" w:cs="Arial"/>
          <w:b/>
          <w:szCs w:val="24"/>
        </w:rPr>
        <w:tab/>
      </w:r>
      <w:r w:rsidR="00F04C40">
        <w:rPr>
          <w:rFonts w:ascii="Arial" w:hAnsi="Arial" w:cs="Arial"/>
          <w:b/>
          <w:szCs w:val="24"/>
        </w:rPr>
        <w:t>31 July</w:t>
      </w:r>
      <w:r w:rsidR="00165DD7">
        <w:rPr>
          <w:rFonts w:ascii="Arial" w:hAnsi="Arial" w:cs="Arial"/>
          <w:b/>
          <w:szCs w:val="24"/>
        </w:rPr>
        <w:t xml:space="preserve"> 2025 </w:t>
      </w:r>
    </w:p>
    <w:p w14:paraId="65773F07" w14:textId="03F9B8A4" w:rsidR="0041363A" w:rsidRPr="0041363A" w:rsidRDefault="0041363A" w:rsidP="0041363A">
      <w:pPr>
        <w:spacing w:after="240"/>
        <w:rPr>
          <w:color w:val="0000FF"/>
          <w:u w:val="single"/>
        </w:rPr>
      </w:pPr>
      <w:bookmarkStart w:id="0" w:name="_Hlk194308493"/>
      <w:r w:rsidRPr="00333EDF">
        <w:t xml:space="preserve">Context for decision: MSAC makes its advice in accordance with its Terms of Reference, </w:t>
      </w:r>
      <w:hyperlink r:id="rId8" w:tooltip="Link to Medical Services Advisory Committee website" w:history="1">
        <w:r w:rsidRPr="000D2098">
          <w:rPr>
            <w:rStyle w:val="Hyperlink"/>
            <w:color w:val="007BB8"/>
          </w:rPr>
          <w:t>visit the MSAC website</w:t>
        </w:r>
      </w:hyperlink>
      <w:bookmarkEnd w:id="0"/>
    </w:p>
    <w:p w14:paraId="7EAA7262" w14:textId="79469116" w:rsidR="00772829" w:rsidRDefault="00772829" w:rsidP="001D50A7">
      <w:pPr>
        <w:pStyle w:val="Heading2"/>
        <w:numPr>
          <w:ilvl w:val="0"/>
          <w:numId w:val="10"/>
        </w:numPr>
      </w:pPr>
      <w:bookmarkStart w:id="1" w:name="_Toc69491415"/>
      <w:r w:rsidRPr="00CE28E3">
        <w:t xml:space="preserve">Purpose </w:t>
      </w:r>
      <w:r w:rsidRPr="00CE28E3">
        <w:rPr>
          <w:szCs w:val="32"/>
        </w:rPr>
        <w:t>of</w:t>
      </w:r>
      <w:r w:rsidRPr="00CE28E3">
        <w:t xml:space="preserve"> application</w:t>
      </w:r>
      <w:bookmarkEnd w:id="1"/>
    </w:p>
    <w:p w14:paraId="3C0AD554" w14:textId="4860F789" w:rsidR="00A13AE8" w:rsidRPr="00FE02BC" w:rsidRDefault="00A13AE8" w:rsidP="00D928F6">
      <w:pPr>
        <w:pStyle w:val="MSACESParagraph"/>
        <w:jc w:val="both"/>
        <w:rPr>
          <w:rFonts w:ascii="Franklin Gothic Book" w:hAnsi="Franklin Gothic Book"/>
          <w:sz w:val="22"/>
        </w:rPr>
      </w:pPr>
      <w:bookmarkStart w:id="2" w:name="_Toc69491416"/>
      <w:r w:rsidRPr="00FE02BC">
        <w:rPr>
          <w:rFonts w:ascii="Franklin Gothic Book" w:hAnsi="Franklin Gothic Book"/>
          <w:sz w:val="22"/>
        </w:rPr>
        <w:t>Th</w:t>
      </w:r>
      <w:r w:rsidR="00B120E7">
        <w:rPr>
          <w:rFonts w:ascii="Franklin Gothic Book" w:hAnsi="Franklin Gothic Book"/>
          <w:sz w:val="22"/>
        </w:rPr>
        <w:t xml:space="preserve">is </w:t>
      </w:r>
      <w:r w:rsidRPr="00FE02BC">
        <w:rPr>
          <w:rFonts w:ascii="Franklin Gothic Book" w:hAnsi="Franklin Gothic Book"/>
          <w:sz w:val="22"/>
        </w:rPr>
        <w:t>codependent application request</w:t>
      </w:r>
      <w:r w:rsidR="00B120E7">
        <w:rPr>
          <w:rFonts w:ascii="Franklin Gothic Book" w:hAnsi="Franklin Gothic Book"/>
          <w:sz w:val="22"/>
        </w:rPr>
        <w:t>s</w:t>
      </w:r>
      <w:r w:rsidRPr="00FE02BC">
        <w:rPr>
          <w:rFonts w:ascii="Franklin Gothic Book" w:hAnsi="Franklin Gothic Book"/>
          <w:sz w:val="22"/>
        </w:rPr>
        <w:t xml:space="preserve">: </w:t>
      </w:r>
    </w:p>
    <w:p w14:paraId="06A6C239" w14:textId="521D566B" w:rsidR="00A13AE8" w:rsidRPr="00FE02BC" w:rsidRDefault="00A13AE8" w:rsidP="75124A81">
      <w:pPr>
        <w:pStyle w:val="MSACESParagraph"/>
        <w:numPr>
          <w:ilvl w:val="0"/>
          <w:numId w:val="12"/>
        </w:numPr>
        <w:jc w:val="both"/>
        <w:rPr>
          <w:rFonts w:ascii="Franklin Gothic Book" w:hAnsi="Franklin Gothic Book" w:cstheme="minorBidi"/>
          <w:sz w:val="22"/>
        </w:rPr>
      </w:pPr>
      <w:r w:rsidRPr="75124A81">
        <w:rPr>
          <w:rFonts w:ascii="Franklin Gothic Book" w:hAnsi="Franklin Gothic Book" w:cstheme="minorBidi"/>
          <w:sz w:val="22"/>
        </w:rPr>
        <w:t>Medicare Benefits Schedule (MBS) listing of testing of tumour tissue to detect fibroblast growth factor receptor 2 (</w:t>
      </w:r>
      <w:r w:rsidRPr="75124A81">
        <w:rPr>
          <w:rFonts w:ascii="Franklin Gothic Book" w:hAnsi="Franklin Gothic Book" w:cstheme="minorBidi"/>
          <w:i/>
          <w:iCs/>
          <w:sz w:val="22"/>
        </w:rPr>
        <w:t>FGFR2</w:t>
      </w:r>
      <w:r w:rsidRPr="75124A81">
        <w:rPr>
          <w:rFonts w:ascii="Franklin Gothic Book" w:hAnsi="Franklin Gothic Book" w:cstheme="minorBidi"/>
          <w:sz w:val="22"/>
        </w:rPr>
        <w:t>) fusions or rearrangements</w:t>
      </w:r>
      <w:r w:rsidR="31575703" w:rsidRPr="75124A81">
        <w:rPr>
          <w:rFonts w:ascii="Franklin Gothic Book" w:hAnsi="Franklin Gothic Book" w:cstheme="minorBidi"/>
          <w:sz w:val="22"/>
        </w:rPr>
        <w:t xml:space="preserve"> </w:t>
      </w:r>
      <w:r w:rsidR="31575703" w:rsidRPr="75124A81">
        <w:rPr>
          <w:rFonts w:ascii="Franklin Gothic Book" w:eastAsia="Franklin Gothic Book" w:hAnsi="Franklin Gothic Book" w:cs="Franklin Gothic Book"/>
          <w:sz w:val="22"/>
        </w:rPr>
        <w:t xml:space="preserve">in </w:t>
      </w:r>
      <w:r w:rsidR="00902481">
        <w:rPr>
          <w:rFonts w:ascii="Franklin Gothic Book" w:eastAsia="Franklin Gothic Book" w:hAnsi="Franklin Gothic Book" w:cs="Franklin Gothic Book"/>
          <w:sz w:val="22"/>
        </w:rPr>
        <w:t xml:space="preserve">people </w:t>
      </w:r>
      <w:r w:rsidR="31575703" w:rsidRPr="75124A81">
        <w:rPr>
          <w:rFonts w:ascii="Franklin Gothic Book" w:eastAsia="Franklin Gothic Book" w:hAnsi="Franklin Gothic Book" w:cs="Franklin Gothic Book"/>
          <w:sz w:val="22"/>
        </w:rPr>
        <w:t xml:space="preserve">with cholangiocarcinoma (CCA), to determine eligibility for treatment with PBS subsidised futibatinib; </w:t>
      </w:r>
      <w:r w:rsidRPr="75124A81">
        <w:rPr>
          <w:rFonts w:ascii="Franklin Gothic Book" w:hAnsi="Franklin Gothic Book" w:cstheme="minorBidi"/>
          <w:sz w:val="22"/>
        </w:rPr>
        <w:t>and</w:t>
      </w:r>
    </w:p>
    <w:p w14:paraId="7F7E7455" w14:textId="287FC3DF" w:rsidR="00D676F7" w:rsidRDefault="00A13AE8" w:rsidP="00D676F7">
      <w:pPr>
        <w:pStyle w:val="MSACESBulletPoint"/>
        <w:jc w:val="both"/>
        <w:rPr>
          <w:rFonts w:ascii="Franklin Gothic Book" w:hAnsi="Franklin Gothic Book"/>
          <w:i/>
          <w:iCs/>
          <w:sz w:val="22"/>
        </w:rPr>
      </w:pPr>
      <w:r w:rsidRPr="00FE02BC">
        <w:rPr>
          <w:rFonts w:ascii="Franklin Gothic Book" w:hAnsi="Franklin Gothic Book"/>
          <w:sz w:val="22"/>
        </w:rPr>
        <w:t xml:space="preserve">Pharmaceutical Benefits Scheme (PBS) Authority required (streamlined) listing of futibatinib for the treatment of locally advanced or metastatic cholangiocarcinoma (CCA) in patients with </w:t>
      </w:r>
      <w:r w:rsidRPr="00FE02BC">
        <w:rPr>
          <w:rFonts w:ascii="Franklin Gothic Book" w:hAnsi="Franklin Gothic Book"/>
          <w:i/>
          <w:iCs/>
          <w:sz w:val="22"/>
        </w:rPr>
        <w:t>FGFR2</w:t>
      </w:r>
      <w:r w:rsidRPr="00FE02BC">
        <w:rPr>
          <w:rFonts w:ascii="Franklin Gothic Book" w:hAnsi="Franklin Gothic Book"/>
          <w:sz w:val="22"/>
        </w:rPr>
        <w:t xml:space="preserve"> fusion or rearrangement.</w:t>
      </w:r>
    </w:p>
    <w:p w14:paraId="01C71ECC" w14:textId="2F09BC83" w:rsidR="00D676F7" w:rsidRPr="00D676F7" w:rsidRDefault="00D676F7" w:rsidP="00F6572C">
      <w:pPr>
        <w:pStyle w:val="MSACESBulletPoint"/>
        <w:numPr>
          <w:ilvl w:val="0"/>
          <w:numId w:val="0"/>
        </w:numPr>
        <w:spacing w:line="257" w:lineRule="auto"/>
        <w:jc w:val="both"/>
        <w:rPr>
          <w:rFonts w:ascii="Franklin Gothic Book" w:hAnsi="Franklin Gothic Book"/>
          <w:sz w:val="22"/>
        </w:rPr>
      </w:pPr>
      <w:r w:rsidRPr="75124A81">
        <w:rPr>
          <w:rFonts w:ascii="Franklin Gothic Book" w:hAnsi="Franklin Gothic Book"/>
          <w:sz w:val="22"/>
        </w:rPr>
        <w:t xml:space="preserve">MSAC deferred its advice at their April 2025 meeting requesting further information for outstanding issues and noting that the </w:t>
      </w:r>
      <w:r w:rsidR="53F8928B" w:rsidRPr="75124A81">
        <w:rPr>
          <w:rFonts w:ascii="Franklin Gothic Book" w:eastAsia="Franklin Gothic Book" w:hAnsi="Franklin Gothic Book" w:cs="Franklin Gothic Book"/>
          <w:sz w:val="22"/>
        </w:rPr>
        <w:t xml:space="preserve">Pharmaceutical Benefits Advisory Committee (PBAC) </w:t>
      </w:r>
      <w:r w:rsidRPr="75124A81">
        <w:rPr>
          <w:rFonts w:ascii="Franklin Gothic Book" w:hAnsi="Franklin Gothic Book"/>
          <w:sz w:val="22"/>
        </w:rPr>
        <w:t>did not recommend futibatinib</w:t>
      </w:r>
      <w:r w:rsidR="006409F7" w:rsidRPr="75124A81">
        <w:rPr>
          <w:rFonts w:ascii="Franklin Gothic Book" w:hAnsi="Franklin Gothic Book"/>
          <w:sz w:val="22"/>
        </w:rPr>
        <w:t xml:space="preserve"> at its March 2025 meeting</w:t>
      </w:r>
      <w:r w:rsidRPr="75124A81">
        <w:rPr>
          <w:rFonts w:ascii="Franklin Gothic Book" w:hAnsi="Franklin Gothic Book"/>
          <w:sz w:val="22"/>
        </w:rPr>
        <w:t xml:space="preserve">. </w:t>
      </w:r>
      <w:r w:rsidR="001962ED">
        <w:rPr>
          <w:rFonts w:ascii="Franklin Gothic Book" w:hAnsi="Franklin Gothic Book"/>
          <w:sz w:val="22"/>
        </w:rPr>
        <w:t xml:space="preserve">At the time, </w:t>
      </w:r>
      <w:r w:rsidR="007C2C95" w:rsidRPr="75124A81">
        <w:rPr>
          <w:rFonts w:ascii="Franklin Gothic Book" w:hAnsi="Franklin Gothic Book"/>
          <w:sz w:val="22"/>
        </w:rPr>
        <w:t xml:space="preserve">PBAC </w:t>
      </w:r>
      <w:r w:rsidRPr="75124A81">
        <w:rPr>
          <w:rFonts w:ascii="Franklin Gothic Book" w:hAnsi="Franklin Gothic Book"/>
          <w:sz w:val="22"/>
        </w:rPr>
        <w:t>considered the</w:t>
      </w:r>
      <w:r w:rsidR="00221C9C" w:rsidRPr="75124A81">
        <w:rPr>
          <w:rFonts w:ascii="Franklin Gothic Book" w:hAnsi="Franklin Gothic Book"/>
          <w:sz w:val="22"/>
        </w:rPr>
        <w:t xml:space="preserve"> </w:t>
      </w:r>
      <w:r w:rsidRPr="75124A81">
        <w:rPr>
          <w:rFonts w:ascii="Franklin Gothic Book" w:hAnsi="Franklin Gothic Book"/>
          <w:sz w:val="22"/>
        </w:rPr>
        <w:t>issues could be addressed in an early re-entry submission. An early re-entry PBAC submission was submitted on 2 May 2025, for consideration at the July 2025 PBAC meeting.</w:t>
      </w:r>
    </w:p>
    <w:p w14:paraId="0BCF98E8" w14:textId="1771A267" w:rsidR="00CD5F4D" w:rsidRDefault="00D676F7" w:rsidP="00F6572C">
      <w:pPr>
        <w:pStyle w:val="MSACESBulletPoint"/>
        <w:numPr>
          <w:ilvl w:val="0"/>
          <w:numId w:val="0"/>
        </w:numPr>
        <w:jc w:val="both"/>
        <w:rPr>
          <w:rFonts w:ascii="Franklin Gothic Book" w:hAnsi="Franklin Gothic Book"/>
          <w:i/>
          <w:iCs/>
          <w:sz w:val="22"/>
        </w:rPr>
      </w:pPr>
      <w:r w:rsidRPr="00D676F7">
        <w:rPr>
          <w:rFonts w:ascii="Franklin Gothic Book" w:hAnsi="Franklin Gothic Book"/>
          <w:sz w:val="22"/>
        </w:rPr>
        <w:t>This streamlined re</w:t>
      </w:r>
      <w:r w:rsidR="004F05A4">
        <w:rPr>
          <w:rFonts w:ascii="Franklin Gothic Book" w:hAnsi="Franklin Gothic Book"/>
          <w:sz w:val="22"/>
        </w:rPr>
        <w:t>application</w:t>
      </w:r>
      <w:r w:rsidRPr="00D676F7">
        <w:rPr>
          <w:rFonts w:ascii="Franklin Gothic Book" w:hAnsi="Franklin Gothic Book"/>
          <w:sz w:val="22"/>
        </w:rPr>
        <w:t xml:space="preserve"> </w:t>
      </w:r>
      <w:r w:rsidR="002F65C7">
        <w:rPr>
          <w:rFonts w:ascii="Franklin Gothic Book" w:hAnsi="Franklin Gothic Book"/>
          <w:sz w:val="22"/>
        </w:rPr>
        <w:t>aim</w:t>
      </w:r>
      <w:r w:rsidR="006B3101">
        <w:rPr>
          <w:rFonts w:ascii="Franklin Gothic Book" w:hAnsi="Franklin Gothic Book"/>
          <w:sz w:val="22"/>
        </w:rPr>
        <w:t>ed</w:t>
      </w:r>
      <w:r w:rsidR="002F65C7">
        <w:rPr>
          <w:rFonts w:ascii="Franklin Gothic Book" w:hAnsi="Franklin Gothic Book"/>
          <w:sz w:val="22"/>
        </w:rPr>
        <w:t xml:space="preserve"> to </w:t>
      </w:r>
      <w:r w:rsidRPr="00D676F7">
        <w:rPr>
          <w:rFonts w:ascii="Franklin Gothic Book" w:hAnsi="Franklin Gothic Book"/>
          <w:sz w:val="22"/>
        </w:rPr>
        <w:t xml:space="preserve">address the key issues identified by MSAC </w:t>
      </w:r>
      <w:r w:rsidR="002F65C7">
        <w:rPr>
          <w:rFonts w:ascii="Franklin Gothic Book" w:hAnsi="Franklin Gothic Book"/>
          <w:sz w:val="22"/>
        </w:rPr>
        <w:t xml:space="preserve">at </w:t>
      </w:r>
      <w:r w:rsidR="008F433C">
        <w:rPr>
          <w:rFonts w:ascii="Franklin Gothic Book" w:hAnsi="Franklin Gothic Book"/>
          <w:sz w:val="22"/>
        </w:rPr>
        <w:t>its</w:t>
      </w:r>
      <w:r w:rsidR="002F65C7">
        <w:rPr>
          <w:rFonts w:ascii="Franklin Gothic Book" w:hAnsi="Franklin Gothic Book"/>
          <w:sz w:val="22"/>
        </w:rPr>
        <w:t xml:space="preserve"> April 2025 meeting.</w:t>
      </w:r>
    </w:p>
    <w:p w14:paraId="60ED25FE" w14:textId="77777777" w:rsidR="00A8213D" w:rsidRPr="00D155C0" w:rsidRDefault="00A8213D" w:rsidP="00A8213D">
      <w:pPr>
        <w:pStyle w:val="Heading2"/>
        <w:numPr>
          <w:ilvl w:val="0"/>
          <w:numId w:val="10"/>
        </w:numPr>
      </w:pPr>
      <w:bookmarkStart w:id="3" w:name="_Hlk193982496"/>
      <w:bookmarkStart w:id="4" w:name="_Hlk194308564"/>
      <w:r w:rsidRPr="00D155C0">
        <w:t>MSAC’s advice to the Minister</w:t>
      </w:r>
    </w:p>
    <w:p w14:paraId="43172ED1" w14:textId="16BE15C0" w:rsidR="001C732C" w:rsidRPr="00BC39A0" w:rsidRDefault="00A8213D" w:rsidP="001C732C">
      <w:r>
        <w:t xml:space="preserve">After considering the strength of the available evidence in relation to comparative safety, clinical effectiveness, cost-effectiveness and total cost, </w:t>
      </w:r>
      <w:r w:rsidR="001C732C" w:rsidRPr="75124A81">
        <w:rPr>
          <w:rFonts w:eastAsia="Franklin Gothic Book"/>
        </w:rPr>
        <w:t xml:space="preserve">MSAC </w:t>
      </w:r>
      <w:r w:rsidR="001C732C">
        <w:t xml:space="preserve">did not support testing </w:t>
      </w:r>
      <w:r w:rsidR="001C732C" w:rsidRPr="75124A81">
        <w:t xml:space="preserve">of tumour tissue to detect </w:t>
      </w:r>
      <w:r w:rsidR="001C732C" w:rsidRPr="75124A81">
        <w:rPr>
          <w:i/>
          <w:iCs/>
        </w:rPr>
        <w:t>FGFR2</w:t>
      </w:r>
      <w:r w:rsidR="001C732C" w:rsidRPr="75124A81">
        <w:t xml:space="preserve"> fusions or rearrangements in </w:t>
      </w:r>
      <w:r w:rsidR="00902481">
        <w:t>people</w:t>
      </w:r>
      <w:r w:rsidR="001C732C" w:rsidRPr="75124A81">
        <w:t xml:space="preserve"> with cholangiocarcinoma (CCA), to determine eligibility for treatment with PBS subsidised futibatinib. MSAC noted that the PBAC did not recommend futibatinib for PBS listing at its July 2025 meeting. </w:t>
      </w:r>
    </w:p>
    <w:p w14:paraId="54A6FB04" w14:textId="1CD87036" w:rsidR="00A8213D" w:rsidRPr="00AA2B95" w:rsidRDefault="001C732C" w:rsidP="00AA2B95">
      <w:pPr>
        <w:pStyle w:val="TableFooter"/>
        <w:keepNext/>
        <w:keepLines/>
        <w:rPr>
          <w:rFonts w:ascii="Franklin Gothic Book" w:eastAsia="Franklin Gothic Book" w:hAnsi="Franklin Gothic Book"/>
          <w:sz w:val="22"/>
          <w:szCs w:val="22"/>
        </w:rPr>
      </w:pPr>
      <w:r w:rsidRPr="66F0DBCD">
        <w:rPr>
          <w:rFonts w:ascii="Franklin Gothic Book" w:hAnsi="Franklin Gothic Book" w:cstheme="minorBidi"/>
          <w:sz w:val="22"/>
          <w:szCs w:val="22"/>
        </w:rPr>
        <w:lastRenderedPageBreak/>
        <w:t xml:space="preserve">MSAC recalled that it </w:t>
      </w:r>
      <w:r w:rsidR="00902481">
        <w:rPr>
          <w:rFonts w:ascii="Franklin Gothic Book" w:hAnsi="Franklin Gothic Book" w:cstheme="minorBidi"/>
          <w:sz w:val="22"/>
          <w:szCs w:val="22"/>
        </w:rPr>
        <w:t>deferred providing advice on the</w:t>
      </w:r>
      <w:r w:rsidRPr="66F0DBCD">
        <w:rPr>
          <w:rFonts w:ascii="Franklin Gothic Book" w:hAnsi="Franklin Gothic Book" w:cstheme="minorBidi"/>
          <w:sz w:val="22"/>
          <w:szCs w:val="22"/>
        </w:rPr>
        <w:t xml:space="preserve"> proposed testing in April 2025. MSAC had advised revising the economic and financial analyses by including an updated test fee, testing the whole CCA population at diagnosis and accounting for testing conducted outside of the intended CCA population. MSAC considered that while the current reapplication for the test incorporated a higher test fee to reflect the costs associated with a panel test, it did not appropriately address MSAC</w:t>
      </w:r>
      <w:r w:rsidR="00703D62">
        <w:rPr>
          <w:rFonts w:ascii="Franklin Gothic Book" w:hAnsi="Franklin Gothic Book" w:cstheme="minorBidi"/>
          <w:sz w:val="22"/>
          <w:szCs w:val="22"/>
        </w:rPr>
        <w:t>’s previous</w:t>
      </w:r>
      <w:r w:rsidRPr="66F0DBCD">
        <w:rPr>
          <w:rFonts w:ascii="Franklin Gothic Book" w:hAnsi="Franklin Gothic Book" w:cstheme="minorBidi"/>
          <w:sz w:val="22"/>
          <w:szCs w:val="22"/>
        </w:rPr>
        <w:t xml:space="preserve"> concerns and advice that testing should be performed in all newly diagnosed patients with CCA. MSAC also considered that further advice from the Department</w:t>
      </w:r>
      <w:r w:rsidR="003254DB">
        <w:rPr>
          <w:rFonts w:ascii="Franklin Gothic Book" w:hAnsi="Franklin Gothic Book" w:cstheme="minorBidi"/>
          <w:sz w:val="22"/>
          <w:szCs w:val="22"/>
        </w:rPr>
        <w:t xml:space="preserve"> of Health, Disability and Ageing (the Department)</w:t>
      </w:r>
      <w:r w:rsidRPr="66F0DBCD">
        <w:rPr>
          <w:rFonts w:ascii="Franklin Gothic Book" w:hAnsi="Franklin Gothic Book" w:cstheme="minorBidi"/>
          <w:sz w:val="22"/>
          <w:szCs w:val="22"/>
        </w:rPr>
        <w:t xml:space="preserve"> was required on the appropriate MBS fee for panel testing. MSAC reiterated that the claim of codependency of </w:t>
      </w:r>
      <w:r w:rsidRPr="66F0DBCD">
        <w:rPr>
          <w:rFonts w:ascii="Franklin Gothic Book" w:hAnsi="Franklin Gothic Book" w:cstheme="minorBidi"/>
          <w:i/>
          <w:iCs/>
          <w:sz w:val="22"/>
          <w:szCs w:val="22"/>
        </w:rPr>
        <w:t>FGFR2</w:t>
      </w:r>
      <w:r w:rsidRPr="66F0DBCD">
        <w:rPr>
          <w:rFonts w:ascii="Franklin Gothic Book" w:hAnsi="Franklin Gothic Book" w:cstheme="minorBidi"/>
          <w:sz w:val="22"/>
          <w:szCs w:val="22"/>
        </w:rPr>
        <w:t xml:space="preserve"> testing and futibatinib was reasonable. MSAC considered that the outstanding issues relating to the testing component could be addressed as a streamlined application.</w:t>
      </w:r>
    </w:p>
    <w:tbl>
      <w:tblPr>
        <w:tblStyle w:val="Section3-footnot1"/>
        <w:tblW w:w="0" w:type="auto"/>
        <w:tblLook w:val="04A0" w:firstRow="1" w:lastRow="0" w:firstColumn="1" w:lastColumn="0" w:noHBand="0" w:noVBand="1"/>
        <w:tblDescription w:val="Consumer summary of MSAC consideration"/>
      </w:tblPr>
      <w:tblGrid>
        <w:gridCol w:w="9016"/>
      </w:tblGrid>
      <w:tr w:rsidR="00A8213D" w:rsidRPr="00F91D6E" w14:paraId="744B4853" w14:textId="77777777">
        <w:trPr>
          <w:tblHeader/>
        </w:trPr>
        <w:tc>
          <w:tcPr>
            <w:tcW w:w="9016" w:type="dxa"/>
          </w:tcPr>
          <w:p w14:paraId="24F8B52D" w14:textId="77777777" w:rsidR="00A8213D" w:rsidRPr="00F91D6E" w:rsidRDefault="00A8213D" w:rsidP="002C2EDA">
            <w:pPr>
              <w:keepNext/>
              <w:keepLines/>
              <w:spacing w:after="120" w:line="259" w:lineRule="auto"/>
              <w:rPr>
                <w:rFonts w:eastAsia="Calibri"/>
                <w:b/>
                <w:bCs/>
              </w:rPr>
            </w:pPr>
            <w:r w:rsidRPr="00F91D6E">
              <w:rPr>
                <w:b/>
                <w:bCs/>
              </w:rPr>
              <w:t>Consumer summary</w:t>
            </w:r>
          </w:p>
        </w:tc>
      </w:tr>
      <w:tr w:rsidR="002C2EDA" w:rsidRPr="00F91D6E" w14:paraId="3BA38EC1" w14:textId="77777777">
        <w:tc>
          <w:tcPr>
            <w:tcW w:w="9016" w:type="dxa"/>
          </w:tcPr>
          <w:p w14:paraId="507CAD22" w14:textId="28E7D0F6" w:rsidR="002C2EDA" w:rsidRDefault="002C2EDA" w:rsidP="002C2EDA">
            <w:r>
              <w:t xml:space="preserve">This was a codependent </w:t>
            </w:r>
            <w:r w:rsidR="00024063">
              <w:t xml:space="preserve">reapplication </w:t>
            </w:r>
            <w:r>
              <w:t xml:space="preserve">from Taiho Pharma Oceania Pty Ltd requesting Medicare Benefits Schedule (MBS) listing of a tumour tissue test to detect </w:t>
            </w:r>
            <w:r w:rsidRPr="000C287F">
              <w:t>fibroblast growth factor receptor 2</w:t>
            </w:r>
            <w:r>
              <w:t xml:space="preserve"> (</w:t>
            </w:r>
            <w:r w:rsidRPr="000F33E2">
              <w:rPr>
                <w:i/>
                <w:iCs/>
              </w:rPr>
              <w:t>FGFR2</w:t>
            </w:r>
            <w:r>
              <w:t>) gene alterations in patients with cholangiocarcinoma</w:t>
            </w:r>
            <w:r w:rsidR="00BA7002">
              <w:t xml:space="preserve"> (CCA)</w:t>
            </w:r>
            <w:r>
              <w:t xml:space="preserve">. </w:t>
            </w:r>
            <w:r w:rsidR="004B707D">
              <w:t xml:space="preserve">The </w:t>
            </w:r>
            <w:r w:rsidR="005C411B">
              <w:t>re</w:t>
            </w:r>
            <w:r w:rsidR="004B707D">
              <w:t xml:space="preserve">application proposed that </w:t>
            </w:r>
            <w:r w:rsidR="00FD2643">
              <w:t>p</w:t>
            </w:r>
            <w:r>
              <w:t xml:space="preserve">eople whose tumours are identified as having </w:t>
            </w:r>
            <w:r w:rsidRPr="00D3683E">
              <w:rPr>
                <w:i/>
                <w:iCs/>
              </w:rPr>
              <w:t>FGFR2</w:t>
            </w:r>
            <w:r>
              <w:t xml:space="preserve"> alterations w</w:t>
            </w:r>
            <w:r w:rsidR="00FD2643">
              <w:t>ould</w:t>
            </w:r>
            <w:r>
              <w:t xml:space="preserve"> be eligible to access a medicine called futibatinib. The applicant has also requested listing of futibatinib on the Pharmaceutical Benefits Scheme (PBS)</w:t>
            </w:r>
            <w:r w:rsidR="00750839">
              <w:t xml:space="preserve">. Applications for new drugs to be listed </w:t>
            </w:r>
            <w:r w:rsidR="0053148C">
              <w:t>on the PBS are</w:t>
            </w:r>
            <w:r>
              <w:t xml:space="preserve"> considered by the Pharmaceutical Benefits Advisory Committee (PBAC).</w:t>
            </w:r>
          </w:p>
          <w:p w14:paraId="5A0AC425" w14:textId="77777777" w:rsidR="002C2EDA" w:rsidRDefault="002C2EDA" w:rsidP="002C2EDA">
            <w:r>
              <w:t>PBAC and MSAC initially considered this application at their March 2025 and April 2025 meetings, respectively.</w:t>
            </w:r>
          </w:p>
          <w:p w14:paraId="6A13B4A1" w14:textId="3982D390" w:rsidR="002C2EDA" w:rsidRDefault="0053148C" w:rsidP="002C2EDA">
            <w:r>
              <w:t>CCA</w:t>
            </w:r>
            <w:r w:rsidR="002C2EDA">
              <w:t xml:space="preserve"> is also known as bile duct cancer. The bile ducts are a group of thin tubes starting inside the liver that carry bile from the liver and gallbladder into the small intestine. C</w:t>
            </w:r>
            <w:r>
              <w:t>CA</w:t>
            </w:r>
            <w:r w:rsidR="002C2EDA">
              <w:t xml:space="preserve"> is a rare and aggressive form of cancer, with not many treatment options available. Because of this, survival after diagnosis is usually relatively short, with only half of the patients alive</w:t>
            </w:r>
            <w:r w:rsidR="00D93A2D">
              <w:t xml:space="preserve"> </w:t>
            </w:r>
            <w:r w:rsidR="002C2EDA">
              <w:t>a year after diagnosis. Therefore, there is a need to have access to more effective treatments.</w:t>
            </w:r>
          </w:p>
          <w:p w14:paraId="110561A1" w14:textId="60CCB8DA" w:rsidR="002C2EDA" w:rsidRDefault="002C2EDA" w:rsidP="002C2EDA">
            <w:r>
              <w:t xml:space="preserve">This genetic testing targets the </w:t>
            </w:r>
            <w:r w:rsidRPr="00D3683E">
              <w:rPr>
                <w:i/>
                <w:iCs/>
              </w:rPr>
              <w:t>FGFR2</w:t>
            </w:r>
            <w:r>
              <w:t xml:space="preserve"> gene. The </w:t>
            </w:r>
            <w:r w:rsidRPr="00776372">
              <w:t xml:space="preserve">FGFR2 </w:t>
            </w:r>
            <w:r>
              <w:t xml:space="preserve">protein is associated with cell growth and </w:t>
            </w:r>
            <w:proofErr w:type="gramStart"/>
            <w:r>
              <w:t>differentiation, and</w:t>
            </w:r>
            <w:proofErr w:type="gramEnd"/>
            <w:r>
              <w:t xml:space="preserve"> is implicated in cancer growth. </w:t>
            </w:r>
            <w:r w:rsidRPr="00D3683E">
              <w:rPr>
                <w:i/>
                <w:iCs/>
              </w:rPr>
              <w:t>FGFR2</w:t>
            </w:r>
            <w:r>
              <w:t xml:space="preserve"> alterations are mainly found in </w:t>
            </w:r>
            <w:r w:rsidR="001C3C26">
              <w:t xml:space="preserve">CCA </w:t>
            </w:r>
            <w:r>
              <w:t>and not in other cancers.</w:t>
            </w:r>
          </w:p>
          <w:p w14:paraId="70A933B0" w14:textId="79077944" w:rsidR="00B615F8" w:rsidRDefault="002C2EDA" w:rsidP="002C2EDA">
            <w:r>
              <w:t xml:space="preserve">MSAC noted that there are other gene targets that are relevant to </w:t>
            </w:r>
            <w:r w:rsidR="001C3C26">
              <w:t xml:space="preserve">CCA </w:t>
            </w:r>
            <w:r>
              <w:t xml:space="preserve">patients, including </w:t>
            </w:r>
            <w:r w:rsidRPr="00833FD6">
              <w:rPr>
                <w:i/>
                <w:iCs/>
              </w:rPr>
              <w:t>IDH1</w:t>
            </w:r>
            <w:r>
              <w:t>. MSAC considered that</w:t>
            </w:r>
            <w:r w:rsidR="00B615F8">
              <w:t xml:space="preserve"> most</w:t>
            </w:r>
            <w:r>
              <w:t xml:space="preserve"> pathology laboratories </w:t>
            </w:r>
            <w:r w:rsidR="00B615F8">
              <w:t xml:space="preserve">currently do </w:t>
            </w:r>
            <w:r>
              <w:t xml:space="preserve">not perform single gene testing and would use a multigene panel approach that included, among other genes, </w:t>
            </w:r>
            <w:r w:rsidRPr="00833FD6">
              <w:rPr>
                <w:i/>
                <w:iCs/>
              </w:rPr>
              <w:t>IDH1</w:t>
            </w:r>
            <w:r>
              <w:rPr>
                <w:i/>
                <w:iCs/>
              </w:rPr>
              <w:t xml:space="preserve"> </w:t>
            </w:r>
            <w:r>
              <w:t xml:space="preserve">and </w:t>
            </w:r>
            <w:r w:rsidRPr="00D3683E">
              <w:rPr>
                <w:i/>
                <w:iCs/>
              </w:rPr>
              <w:t>FGFR2</w:t>
            </w:r>
            <w:r>
              <w:t>.</w:t>
            </w:r>
            <w:r w:rsidR="00624D12">
              <w:t xml:space="preserve"> MSAC noted that it may not be financially feasible for labora</w:t>
            </w:r>
            <w:r w:rsidR="00A06D1A">
              <w:t xml:space="preserve">tories to provide single gene tests, </w:t>
            </w:r>
            <w:r w:rsidR="00B615F8">
              <w:t xml:space="preserve">and </w:t>
            </w:r>
            <w:r w:rsidR="00A06D1A">
              <w:t xml:space="preserve">therefore it considered that </w:t>
            </w:r>
            <w:r w:rsidR="00B615F8">
              <w:t>the MBS item should be a</w:t>
            </w:r>
            <w:r w:rsidR="00A06D1A">
              <w:t xml:space="preserve"> gene </w:t>
            </w:r>
            <w:r w:rsidR="00BA7002">
              <w:t>panel</w:t>
            </w:r>
            <w:r w:rsidR="00A06D1A">
              <w:t xml:space="preserve"> test</w:t>
            </w:r>
            <w:r w:rsidR="00B615F8">
              <w:t>.</w:t>
            </w:r>
            <w:r>
              <w:t xml:space="preserve"> </w:t>
            </w:r>
          </w:p>
          <w:p w14:paraId="167F0880" w14:textId="7B6956A2" w:rsidR="002C2EDA" w:rsidRDefault="0082518E" w:rsidP="002C2EDA">
            <w:r>
              <w:t xml:space="preserve">MSAC received consultation from </w:t>
            </w:r>
            <w:r w:rsidR="005C5E46">
              <w:t>organisations around the MBS item fee. This consultation provide</w:t>
            </w:r>
            <w:r w:rsidR="000C2518">
              <w:t>d</w:t>
            </w:r>
            <w:r w:rsidR="005C5E46">
              <w:t xml:space="preserve"> a range of prices between </w:t>
            </w:r>
            <w:r w:rsidR="000C2518">
              <w:t>$</w:t>
            </w:r>
            <w:r w:rsidR="002F2F5B">
              <w:t>300</w:t>
            </w:r>
            <w:r w:rsidR="000C2518">
              <w:t xml:space="preserve"> - $1</w:t>
            </w:r>
            <w:r w:rsidR="00D75E2D">
              <w:t>,</w:t>
            </w:r>
            <w:r w:rsidR="000C2518">
              <w:t>2</w:t>
            </w:r>
            <w:r w:rsidR="002F2F5B">
              <w:t>4</w:t>
            </w:r>
            <w:r w:rsidR="000C2518">
              <w:t>7</w:t>
            </w:r>
            <w:r w:rsidR="00B615F8">
              <w:t>.</w:t>
            </w:r>
            <w:r w:rsidR="002C2EDA">
              <w:t xml:space="preserve"> MSAC </w:t>
            </w:r>
            <w:r w:rsidR="000C2518">
              <w:t>considered</w:t>
            </w:r>
            <w:r w:rsidR="002C2EDA">
              <w:t xml:space="preserve"> that </w:t>
            </w:r>
            <w:r w:rsidR="000125D4">
              <w:t>it was important to get</w:t>
            </w:r>
            <w:r w:rsidR="002C2EDA">
              <w:t xml:space="preserve"> an appropriate gene panel </w:t>
            </w:r>
            <w:r w:rsidR="000125D4">
              <w:t xml:space="preserve">test </w:t>
            </w:r>
            <w:r w:rsidR="002C2EDA">
              <w:t>fee</w:t>
            </w:r>
            <w:r w:rsidR="000125D4">
              <w:t xml:space="preserve"> otherwise patients may have to pay out of pocket</w:t>
            </w:r>
            <w:r w:rsidR="009736B4">
              <w:t>.</w:t>
            </w:r>
            <w:r w:rsidR="000C2518">
              <w:t xml:space="preserve"> </w:t>
            </w:r>
            <w:r w:rsidR="009736B4">
              <w:t>H</w:t>
            </w:r>
            <w:r w:rsidR="000C2518">
              <w:t>owever</w:t>
            </w:r>
            <w:r w:rsidR="009736B4">
              <w:t>,</w:t>
            </w:r>
            <w:r w:rsidR="000C2518">
              <w:t xml:space="preserve"> </w:t>
            </w:r>
            <w:r w:rsidR="00F22817">
              <w:t>due to the range of feedback it was not certain what the appropriate fee should be</w:t>
            </w:r>
            <w:r w:rsidR="00AE043D">
              <w:t>.</w:t>
            </w:r>
            <w:r w:rsidR="002C2EDA">
              <w:t xml:space="preserve"> </w:t>
            </w:r>
            <w:r w:rsidR="007C7185">
              <w:t xml:space="preserve">MSAC </w:t>
            </w:r>
            <w:r w:rsidR="00084E90">
              <w:t>noted</w:t>
            </w:r>
            <w:r w:rsidR="007C7185">
              <w:t xml:space="preserve"> that </w:t>
            </w:r>
            <w:r w:rsidR="00DA353F">
              <w:t xml:space="preserve">it </w:t>
            </w:r>
            <w:r w:rsidR="00F22817">
              <w:t xml:space="preserve">will </w:t>
            </w:r>
            <w:r w:rsidR="00DA353F">
              <w:t xml:space="preserve">work together with the Department to </w:t>
            </w:r>
            <w:r w:rsidR="00084E90">
              <w:t>advice on</w:t>
            </w:r>
            <w:r w:rsidR="00DA353F">
              <w:t xml:space="preserve"> the appropriate fee</w:t>
            </w:r>
            <w:r w:rsidR="00084E90">
              <w:t>s</w:t>
            </w:r>
            <w:r w:rsidR="00DA353F">
              <w:t xml:space="preserve"> for this test and future gene </w:t>
            </w:r>
            <w:r w:rsidR="00084E90">
              <w:t>panel</w:t>
            </w:r>
            <w:r w:rsidR="00DA353F">
              <w:t xml:space="preserve"> tests which it may</w:t>
            </w:r>
            <w:r>
              <w:t xml:space="preserve"> consider</w:t>
            </w:r>
            <w:r w:rsidR="002C2EDA">
              <w:t>.</w:t>
            </w:r>
          </w:p>
          <w:p w14:paraId="2275D405" w14:textId="5811EE4E" w:rsidR="002C2EDA" w:rsidRDefault="002C2EDA" w:rsidP="002C2EDA">
            <w:r>
              <w:t xml:space="preserve">The application originally </w:t>
            </w:r>
            <w:r w:rsidR="001C3C26">
              <w:t xml:space="preserve">proposed </w:t>
            </w:r>
            <w:r>
              <w:t xml:space="preserve">for the test to be performed once spread of the cancer (from the bile duct) was confirmed. However, during its </w:t>
            </w:r>
            <w:r w:rsidR="00D75E2D">
              <w:t xml:space="preserve">initial </w:t>
            </w:r>
            <w:r>
              <w:t xml:space="preserve">consideration, MSAC </w:t>
            </w:r>
            <w:r w:rsidR="00084E90">
              <w:t xml:space="preserve">advised </w:t>
            </w:r>
            <w:r>
              <w:t xml:space="preserve">that the test should be performed when a patient is first diagnosed with </w:t>
            </w:r>
            <w:r w:rsidR="001C3C26">
              <w:t>CCA</w:t>
            </w:r>
            <w:r>
              <w:t xml:space="preserve">. MSAC considered it appropriate to test all newly diagnosed patients because most (70%) </w:t>
            </w:r>
            <w:r w:rsidR="001D4198">
              <w:t xml:space="preserve">CCA </w:t>
            </w:r>
            <w:r>
              <w:t xml:space="preserve">patients are diagnosed with late-stage cancer, and the cancer tends to progress very quickly. </w:t>
            </w:r>
            <w:r w:rsidR="00782B9D">
              <w:t>In the re</w:t>
            </w:r>
            <w:r w:rsidR="00024063">
              <w:t>application</w:t>
            </w:r>
            <w:r w:rsidR="00782B9D">
              <w:t xml:space="preserve"> the applicant disagreed with this approach</w:t>
            </w:r>
            <w:r w:rsidR="00D34FD1">
              <w:t>,</w:t>
            </w:r>
            <w:r w:rsidR="00782B9D">
              <w:t xml:space="preserve"> </w:t>
            </w:r>
            <w:r w:rsidR="00D34FD1">
              <w:t>stating</w:t>
            </w:r>
            <w:r w:rsidR="00782B9D">
              <w:t xml:space="preserve"> it would increase the eligible population size by nearly </w:t>
            </w:r>
            <w:r w:rsidR="0044342E">
              <w:t>360</w:t>
            </w:r>
            <w:r w:rsidR="00782B9D">
              <w:t>%</w:t>
            </w:r>
            <w:r w:rsidR="00D34FD1">
              <w:t xml:space="preserve"> and that most of these patients would not go on to receive futibatinib treatment</w:t>
            </w:r>
            <w:r w:rsidR="00782B9D">
              <w:t>.</w:t>
            </w:r>
            <w:r w:rsidR="00872187">
              <w:t xml:space="preserve"> </w:t>
            </w:r>
            <w:r w:rsidR="00E06C02">
              <w:t xml:space="preserve">However, MSAC reaffirmed that it is beneficial to test patients at </w:t>
            </w:r>
            <w:r w:rsidR="00E06C02">
              <w:lastRenderedPageBreak/>
              <w:t xml:space="preserve">diagnosis so they can receive test results and access appropriate treatment as soon as possible. MSAC considered it unreasonable to </w:t>
            </w:r>
            <w:r w:rsidR="00084E90">
              <w:t>delay testing</w:t>
            </w:r>
            <w:r w:rsidR="00E06C02">
              <w:t>, as these patients are very unwell.</w:t>
            </w:r>
          </w:p>
          <w:p w14:paraId="1D537C2A" w14:textId="085889A6" w:rsidR="002C2EDA" w:rsidRDefault="002C2EDA" w:rsidP="002C2EDA">
            <w:r>
              <w:t>C</w:t>
            </w:r>
            <w:r w:rsidR="002C3BE3">
              <w:t>CA</w:t>
            </w:r>
            <w:r>
              <w:t xml:space="preserve"> can be hard to diagnose </w:t>
            </w:r>
            <w:r w:rsidR="000272C8">
              <w:t xml:space="preserve">as it </w:t>
            </w:r>
            <w:r w:rsidR="00FE547F">
              <w:t xml:space="preserve">can </w:t>
            </w:r>
            <w:r w:rsidR="000272C8">
              <w:t xml:space="preserve">look </w:t>
            </w:r>
            <w:proofErr w:type="gramStart"/>
            <w:r w:rsidR="000272C8">
              <w:t>similar to</w:t>
            </w:r>
            <w:proofErr w:type="gramEnd"/>
            <w:r>
              <w:t xml:space="preserve"> other cancers</w:t>
            </w:r>
            <w:r w:rsidR="00084E90">
              <w:t xml:space="preserve"> when examined under the microscope</w:t>
            </w:r>
            <w:r>
              <w:t xml:space="preserve">. In April 2025, </w:t>
            </w:r>
            <w:r w:rsidR="00C52AB8">
              <w:t xml:space="preserve">MSAC considered that there is possibility that other cancers which are located close to the bile ducts may be thought to be </w:t>
            </w:r>
            <w:r w:rsidR="00A227D4">
              <w:t>CCA</w:t>
            </w:r>
            <w:r w:rsidR="00C52AB8">
              <w:t xml:space="preserve"> when in fact </w:t>
            </w:r>
            <w:r w:rsidR="00C52AB8" w:rsidRPr="3C637BEE">
              <w:t>they</w:t>
            </w:r>
            <w:r w:rsidR="00C52AB8">
              <w:t xml:space="preserve"> are not. Therefore, MSAC considered that this may increase the number of </w:t>
            </w:r>
            <w:r w:rsidR="00C52AB8" w:rsidRPr="0063579F">
              <w:rPr>
                <w:i/>
                <w:iCs/>
              </w:rPr>
              <w:t>FGFR2</w:t>
            </w:r>
            <w:r w:rsidR="00C52AB8">
              <w:t xml:space="preserve"> testing than expected. </w:t>
            </w:r>
            <w:r>
              <w:t xml:space="preserve">MSAC requested information about how </w:t>
            </w:r>
            <w:r w:rsidR="00647821">
              <w:t>this may</w:t>
            </w:r>
            <w:r>
              <w:t xml:space="preserve"> impact the </w:t>
            </w:r>
            <w:r w:rsidR="00906B2D">
              <w:t xml:space="preserve">economic evaluation and </w:t>
            </w:r>
            <w:r>
              <w:t xml:space="preserve">financial budget. </w:t>
            </w:r>
            <w:r w:rsidR="00793258">
              <w:t>In the re</w:t>
            </w:r>
            <w:r w:rsidR="00024063">
              <w:t>application</w:t>
            </w:r>
            <w:r w:rsidR="00BB42D6">
              <w:t>, t</w:t>
            </w:r>
            <w:r>
              <w:t xml:space="preserve">he applicant stated that these patients </w:t>
            </w:r>
            <w:r w:rsidR="00BB42D6">
              <w:t>may</w:t>
            </w:r>
            <w:r>
              <w:t xml:space="preserve"> already </w:t>
            </w:r>
            <w:r w:rsidR="00BB42D6">
              <w:t xml:space="preserve">be </w:t>
            </w:r>
            <w:r>
              <w:t xml:space="preserve">considered in the </w:t>
            </w:r>
            <w:r w:rsidR="0089372F">
              <w:t>population</w:t>
            </w:r>
            <w:r>
              <w:t xml:space="preserve"> because the data they used from the Australian Institute of Health and Welfare (AIHW) </w:t>
            </w:r>
            <w:r w:rsidR="008D79BF">
              <w:t>would</w:t>
            </w:r>
            <w:r w:rsidR="0089372F">
              <w:t xml:space="preserve"> have </w:t>
            </w:r>
            <w:r w:rsidR="008D79BF">
              <w:t xml:space="preserve">already </w:t>
            </w:r>
            <w:r>
              <w:t>included them</w:t>
            </w:r>
            <w:r w:rsidR="0089372F">
              <w:t>.</w:t>
            </w:r>
            <w:r>
              <w:t xml:space="preserve"> MSAC disagreed that the AIHW </w:t>
            </w:r>
            <w:r w:rsidR="008D79BF">
              <w:t xml:space="preserve">data </w:t>
            </w:r>
            <w:r>
              <w:t xml:space="preserve">would </w:t>
            </w:r>
            <w:r w:rsidR="008D79BF">
              <w:t>fully</w:t>
            </w:r>
            <w:r w:rsidR="00CC7E6B">
              <w:t xml:space="preserve"> </w:t>
            </w:r>
            <w:r w:rsidR="006F0853">
              <w:t>account</w:t>
            </w:r>
            <w:r w:rsidR="005969EA">
              <w:t xml:space="preserve"> for patients in non-CCA population</w:t>
            </w:r>
            <w:r w:rsidR="00B9668E">
              <w:t>s</w:t>
            </w:r>
            <w:r w:rsidR="005969EA">
              <w:t xml:space="preserve"> who may also access </w:t>
            </w:r>
            <w:r w:rsidR="005969EA" w:rsidRPr="00094EB7">
              <w:rPr>
                <w:i/>
                <w:iCs/>
              </w:rPr>
              <w:t>FGFR2</w:t>
            </w:r>
            <w:r w:rsidR="005969EA">
              <w:t xml:space="preserve"> testing</w:t>
            </w:r>
            <w:r w:rsidR="00D75E2D">
              <w:t>.</w:t>
            </w:r>
            <w:r>
              <w:t xml:space="preserve"> Therefore, MSAC </w:t>
            </w:r>
            <w:r w:rsidR="001762AC">
              <w:t xml:space="preserve">considered that the </w:t>
            </w:r>
            <w:r w:rsidR="00C52AB8">
              <w:t>re</w:t>
            </w:r>
            <w:r w:rsidR="001762AC">
              <w:t>applica</w:t>
            </w:r>
            <w:r w:rsidR="00C52AB8">
              <w:t>tion</w:t>
            </w:r>
            <w:r w:rsidR="001762AC">
              <w:t xml:space="preserve"> </w:t>
            </w:r>
            <w:r w:rsidR="007300D7">
              <w:t xml:space="preserve">did not </w:t>
            </w:r>
            <w:r w:rsidR="00FD66FF">
              <w:t>adequately address</w:t>
            </w:r>
            <w:r w:rsidR="00933E02">
              <w:t xml:space="preserve"> </w:t>
            </w:r>
            <w:r w:rsidR="00C52AB8">
              <w:t>MSAC’s initial concern</w:t>
            </w:r>
            <w:r w:rsidR="00D75E2D">
              <w:t xml:space="preserve"> of the testing being performed outside of the CCA population</w:t>
            </w:r>
            <w:r>
              <w:t>.</w:t>
            </w:r>
          </w:p>
          <w:p w14:paraId="26CF2183" w14:textId="042CE668" w:rsidR="002C2EDA" w:rsidRDefault="002C2EDA" w:rsidP="002C2EDA">
            <w:r>
              <w:t xml:space="preserve">At its July 2025 meeting, PBAC did not recommend listing futibatinib on the PBS because the applicant had not </w:t>
            </w:r>
            <w:r w:rsidR="00D46A8F">
              <w:t xml:space="preserve">adequately </w:t>
            </w:r>
            <w:r>
              <w:t xml:space="preserve">addressed the issues PBAC had flagged when it first considered the application in March 2025. The issues included uncertainties in the economic analysis such as the effect of the medicine, the size of the patient population </w:t>
            </w:r>
            <w:r w:rsidR="00D46A8F">
              <w:t>who would be treated with futibatinib</w:t>
            </w:r>
            <w:r>
              <w:t xml:space="preserve"> and the number of patients who have </w:t>
            </w:r>
            <w:r w:rsidRPr="00833FD6">
              <w:rPr>
                <w:i/>
                <w:iCs/>
              </w:rPr>
              <w:t>FGFR2</w:t>
            </w:r>
            <w:r>
              <w:t xml:space="preserve"> alterations. </w:t>
            </w:r>
          </w:p>
          <w:p w14:paraId="734578A7" w14:textId="59DB4F4A" w:rsidR="002C2EDA" w:rsidRDefault="002C2EDA" w:rsidP="002C2EDA">
            <w:r>
              <w:t xml:space="preserve">MSAC acknowledged that </w:t>
            </w:r>
            <w:r w:rsidRPr="00A4233D">
              <w:rPr>
                <w:i/>
                <w:iCs/>
              </w:rPr>
              <w:t>FGFR2</w:t>
            </w:r>
            <w:r>
              <w:t xml:space="preserve"> testing is safe and effective</w:t>
            </w:r>
            <w:r w:rsidR="0092132E">
              <w:t xml:space="preserve"> and considered that the codependency of </w:t>
            </w:r>
            <w:r w:rsidR="001706DD" w:rsidRPr="000C287F">
              <w:rPr>
                <w:i/>
              </w:rPr>
              <w:t>FGFR2</w:t>
            </w:r>
            <w:r w:rsidR="001706DD">
              <w:t xml:space="preserve"> testing and futibatinib</w:t>
            </w:r>
            <w:r w:rsidR="0092132E">
              <w:t xml:space="preserve"> ha</w:t>
            </w:r>
            <w:r w:rsidR="001706DD">
              <w:t>s</w:t>
            </w:r>
            <w:r w:rsidR="0092132E">
              <w:t xml:space="preserve"> been established</w:t>
            </w:r>
            <w:r>
              <w:t>. However,</w:t>
            </w:r>
            <w:r w:rsidR="00CD7967">
              <w:t xml:space="preserve"> MSAC considered</w:t>
            </w:r>
            <w:r>
              <w:t xml:space="preserve"> the issues from the </w:t>
            </w:r>
            <w:r w:rsidR="00D75E2D">
              <w:t xml:space="preserve">initial </w:t>
            </w:r>
            <w:r w:rsidR="00024063">
              <w:t xml:space="preserve">application </w:t>
            </w:r>
            <w:r>
              <w:t xml:space="preserve">had still not been resolved in this </w:t>
            </w:r>
            <w:r w:rsidR="00024063">
              <w:t>reapplication</w:t>
            </w:r>
            <w:r>
              <w:t>.</w:t>
            </w:r>
            <w:r w:rsidR="00416947">
              <w:t xml:space="preserve"> As such, MSAC did not support t</w:t>
            </w:r>
            <w:r w:rsidR="00EB6C5B">
              <w:t>his reapplication.</w:t>
            </w:r>
            <w:r>
              <w:t xml:space="preserve"> In addition, the PBAC did not recommend listing the codependent drug futibatinib on the PBS because of unresolved issues from the </w:t>
            </w:r>
            <w:r w:rsidR="00D75E2D">
              <w:t>initial</w:t>
            </w:r>
            <w:r>
              <w:t xml:space="preserve"> submission.</w:t>
            </w:r>
          </w:p>
          <w:p w14:paraId="4B32853F" w14:textId="77777777" w:rsidR="002C2EDA" w:rsidRDefault="002C2EDA" w:rsidP="002C2EDA">
            <w:pPr>
              <w:pStyle w:val="Heading3"/>
              <w:spacing w:before="240" w:after="120"/>
            </w:pPr>
            <w:r w:rsidRPr="00A4233D">
              <w:t xml:space="preserve">MSAC’s advice to the </w:t>
            </w:r>
            <w:proofErr w:type="gramStart"/>
            <w:r w:rsidRPr="00A4233D">
              <w:t>Commonwealth Minister</w:t>
            </w:r>
            <w:proofErr w:type="gramEnd"/>
            <w:r w:rsidRPr="00A4233D">
              <w:t xml:space="preserve"> for Health</w:t>
            </w:r>
            <w:r>
              <w:t>, Disability</w:t>
            </w:r>
            <w:r w:rsidRPr="00A4233D">
              <w:t xml:space="preserve"> and Age</w:t>
            </w:r>
            <w:r>
              <w:t>ing</w:t>
            </w:r>
          </w:p>
          <w:p w14:paraId="55D3DBC9" w14:textId="7A44EB03" w:rsidR="002C2EDA" w:rsidRPr="00F91D6E" w:rsidRDefault="002C2EDA" w:rsidP="002C2EDA">
            <w:pPr>
              <w:spacing w:after="120" w:line="259" w:lineRule="auto"/>
            </w:pPr>
            <w:r>
              <w:t xml:space="preserve">MSAC did not </w:t>
            </w:r>
            <w:r w:rsidR="00D75E2D">
              <w:t xml:space="preserve">support </w:t>
            </w:r>
            <w:r>
              <w:t>listing</w:t>
            </w:r>
            <w:r w:rsidR="00D75E2D">
              <w:t xml:space="preserve"> of</w:t>
            </w:r>
            <w:r>
              <w:t xml:space="preserve"> </w:t>
            </w:r>
            <w:r w:rsidRPr="00A4233D">
              <w:rPr>
                <w:i/>
                <w:iCs/>
              </w:rPr>
              <w:t>FGFR2</w:t>
            </w:r>
            <w:r>
              <w:t xml:space="preserve"> testing on the MBS for access to futibatinib on the PBS. Although MSAC considered the test to be safe and effective, MSAC noted several outstanding issues that had not been resolved from the </w:t>
            </w:r>
            <w:r w:rsidR="00D75E2D">
              <w:t xml:space="preserve">initial </w:t>
            </w:r>
            <w:r w:rsidR="00024063">
              <w:t>application</w:t>
            </w:r>
            <w:r w:rsidR="006F1B28">
              <w:t xml:space="preserve">. MSAC considered that </w:t>
            </w:r>
            <w:r w:rsidR="00234CE4">
              <w:t>further information was need</w:t>
            </w:r>
            <w:r w:rsidR="00796EB6">
              <w:t>ed</w:t>
            </w:r>
            <w:r w:rsidR="00234CE4">
              <w:t xml:space="preserve"> to</w:t>
            </w:r>
            <w:r w:rsidR="002B1C4F">
              <w:t xml:space="preserve"> </w:t>
            </w:r>
            <w:r w:rsidR="00766F8A">
              <w:t xml:space="preserve">clarify the </w:t>
            </w:r>
            <w:r w:rsidR="00084E90">
              <w:t xml:space="preserve">testing </w:t>
            </w:r>
            <w:r w:rsidR="00766F8A">
              <w:t xml:space="preserve">population and </w:t>
            </w:r>
            <w:r w:rsidR="005169EF">
              <w:t xml:space="preserve">accurately determine the impact </w:t>
            </w:r>
            <w:r w:rsidR="00141112">
              <w:t xml:space="preserve">that </w:t>
            </w:r>
            <w:r w:rsidR="005169EF">
              <w:t>testing at diagnosis would make to</w:t>
            </w:r>
            <w:r w:rsidR="00141112">
              <w:t xml:space="preserve"> the economic and financial analys</w:t>
            </w:r>
            <w:r w:rsidR="00084E90">
              <w:t>e</w:t>
            </w:r>
            <w:r w:rsidR="00141112">
              <w:t>s</w:t>
            </w:r>
            <w:r>
              <w:t xml:space="preserve">. This meant that MSAC could not </w:t>
            </w:r>
            <w:r w:rsidR="00D75E2D">
              <w:t xml:space="preserve">assess </w:t>
            </w:r>
            <w:r>
              <w:t xml:space="preserve">if the testing was good value for money or </w:t>
            </w:r>
            <w:r w:rsidR="00D75E2D">
              <w:t xml:space="preserve">determine </w:t>
            </w:r>
            <w:r>
              <w:t>the total cost</w:t>
            </w:r>
            <w:r w:rsidR="00D75E2D">
              <w:t xml:space="preserve"> of testing</w:t>
            </w:r>
            <w:r>
              <w:t xml:space="preserve"> to the health system.</w:t>
            </w:r>
          </w:p>
        </w:tc>
      </w:tr>
    </w:tbl>
    <w:p w14:paraId="0CA848B3" w14:textId="77777777" w:rsidR="00A8213D" w:rsidRPr="00D155C0" w:rsidRDefault="00A8213D" w:rsidP="00A8213D">
      <w:pPr>
        <w:pStyle w:val="Heading2"/>
        <w:numPr>
          <w:ilvl w:val="0"/>
          <w:numId w:val="10"/>
        </w:numPr>
      </w:pPr>
      <w:r w:rsidRPr="003A793E">
        <w:lastRenderedPageBreak/>
        <w:t>Summary of consideration and rationale for MSAC’s advice</w:t>
      </w:r>
    </w:p>
    <w:bookmarkEnd w:id="3"/>
    <w:bookmarkEnd w:id="4"/>
    <w:p w14:paraId="08DDC0BA" w14:textId="1847761B" w:rsidR="005C6C4A" w:rsidRDefault="005C6C4A" w:rsidP="00AA2B95">
      <w:pPr>
        <w:jc w:val="both"/>
      </w:pPr>
      <w:r>
        <w:t>MSAC noted this was a streamlined codependent application from Taiho Pharma Oceania Pty Ltd for Medicare Benefits Schedule (</w:t>
      </w:r>
      <w:r w:rsidRPr="00BA6BAC">
        <w:t>MBS</w:t>
      </w:r>
      <w:r>
        <w:t>)</w:t>
      </w:r>
      <w:r w:rsidRPr="00BA6BAC">
        <w:t xml:space="preserve"> </w:t>
      </w:r>
      <w:r w:rsidR="0006246C">
        <w:t>listing</w:t>
      </w:r>
      <w:r w:rsidR="0006246C" w:rsidRPr="00BA6BAC">
        <w:t xml:space="preserve"> </w:t>
      </w:r>
      <w:r w:rsidRPr="00BA6BAC">
        <w:t xml:space="preserve">of </w:t>
      </w:r>
      <w:r w:rsidR="00024063">
        <w:t>the testing of tumour tissue to detect</w:t>
      </w:r>
      <w:r w:rsidRPr="00BA6BAC">
        <w:t xml:space="preserve"> </w:t>
      </w:r>
      <w:r w:rsidRPr="000C287F">
        <w:t>fibroblast growth factor receptor 2</w:t>
      </w:r>
      <w:r w:rsidRPr="00013871">
        <w:t xml:space="preserve"> </w:t>
      </w:r>
      <w:r>
        <w:t>(</w:t>
      </w:r>
      <w:r w:rsidRPr="00BA6BAC">
        <w:rPr>
          <w:i/>
          <w:iCs/>
        </w:rPr>
        <w:t>FGFR2</w:t>
      </w:r>
      <w:r>
        <w:t xml:space="preserve">) </w:t>
      </w:r>
      <w:r w:rsidR="00024063" w:rsidRPr="006C6104">
        <w:t xml:space="preserve">fusions or rearrangements in people with </w:t>
      </w:r>
      <w:r w:rsidRPr="00013871">
        <w:t>cholangiocarcinoma</w:t>
      </w:r>
      <w:r>
        <w:t xml:space="preserve"> (</w:t>
      </w:r>
      <w:r w:rsidRPr="00BA6BAC">
        <w:t>CCA</w:t>
      </w:r>
      <w:r>
        <w:t>)</w:t>
      </w:r>
      <w:r w:rsidRPr="00BA6BAC">
        <w:t xml:space="preserve">, to determine eligibility for </w:t>
      </w:r>
      <w:r w:rsidR="0006246C" w:rsidRPr="006C6104">
        <w:t xml:space="preserve">treatment with </w:t>
      </w:r>
      <w:r w:rsidR="0006246C" w:rsidRPr="00ED0551">
        <w:t xml:space="preserve">Pharmaceutical Benefits Scheme </w:t>
      </w:r>
      <w:r w:rsidR="0006246C">
        <w:t>(PBS) subsidised</w:t>
      </w:r>
      <w:r w:rsidRPr="00BA6BAC">
        <w:t xml:space="preserve"> futibatinib.</w:t>
      </w:r>
    </w:p>
    <w:p w14:paraId="4009668F" w14:textId="6940396E" w:rsidR="00C84997" w:rsidRDefault="005C6C4A" w:rsidP="00AA2B95">
      <w:pPr>
        <w:jc w:val="both"/>
      </w:pPr>
      <w:r w:rsidRPr="005C6C4A">
        <w:t xml:space="preserve">MSAC noted that this was a </w:t>
      </w:r>
      <w:r w:rsidR="00E06571" w:rsidRPr="005C6C4A">
        <w:t>re</w:t>
      </w:r>
      <w:r w:rsidR="00E06571">
        <w:t>application</w:t>
      </w:r>
      <w:r w:rsidRPr="005C6C4A">
        <w:t>. At its previous consideration in April 2025 (</w:t>
      </w:r>
      <w:hyperlink r:id="rId9" w:history="1">
        <w:r w:rsidR="008200C6">
          <w:rPr>
            <w:rStyle w:val="Hyperlink"/>
          </w:rPr>
          <w:t>MSAC 1779</w:t>
        </w:r>
      </w:hyperlink>
      <w:r w:rsidRPr="005C6C4A">
        <w:t xml:space="preserve">) MSAC deferred </w:t>
      </w:r>
      <w:r w:rsidR="00FE050F">
        <w:t xml:space="preserve">providing </w:t>
      </w:r>
      <w:r w:rsidRPr="005C6C4A">
        <w:t xml:space="preserve">its </w:t>
      </w:r>
      <w:r w:rsidR="00FE050F">
        <w:t>advice</w:t>
      </w:r>
      <w:r w:rsidR="00AD1A75">
        <w:t xml:space="preserve">. </w:t>
      </w:r>
      <w:r w:rsidR="00D373D6" w:rsidRPr="00E96A3A">
        <w:rPr>
          <w:rFonts w:eastAsia="Franklin Gothic Book" w:cs="Franklin Gothic Book"/>
          <w:color w:val="000000" w:themeColor="text1"/>
        </w:rPr>
        <w:t xml:space="preserve">MSAC </w:t>
      </w:r>
      <w:r w:rsidR="00D373D6">
        <w:rPr>
          <w:rFonts w:eastAsia="Franklin Gothic Book" w:cs="Franklin Gothic Book"/>
          <w:color w:val="000000" w:themeColor="text1"/>
        </w:rPr>
        <w:t>acknowledged</w:t>
      </w:r>
      <w:r w:rsidR="00D373D6" w:rsidRPr="00E96A3A">
        <w:rPr>
          <w:rFonts w:eastAsia="Franklin Gothic Book" w:cs="Franklin Gothic Book"/>
          <w:color w:val="000000" w:themeColor="text1"/>
        </w:rPr>
        <w:t xml:space="preserve"> that patients with </w:t>
      </w:r>
      <w:r w:rsidR="00D373D6" w:rsidRPr="1CB9E7EE">
        <w:rPr>
          <w:rFonts w:eastAsia="Franklin Gothic Book" w:cs="Franklin Gothic Book"/>
          <w:color w:val="000000" w:themeColor="text1"/>
        </w:rPr>
        <w:t>CCA</w:t>
      </w:r>
      <w:r w:rsidR="00D373D6" w:rsidRPr="00E96A3A">
        <w:rPr>
          <w:rFonts w:eastAsia="Franklin Gothic Book" w:cs="Franklin Gothic Book"/>
          <w:color w:val="000000" w:themeColor="text1"/>
        </w:rPr>
        <w:t xml:space="preserve"> typically have a poor prognosis, and that there </w:t>
      </w:r>
      <w:r w:rsidR="00D373D6" w:rsidRPr="1CB9E7EE">
        <w:rPr>
          <w:rFonts w:eastAsia="Franklin Gothic Book" w:cs="Franklin Gothic Book"/>
          <w:color w:val="000000" w:themeColor="text1"/>
        </w:rPr>
        <w:t>is</w:t>
      </w:r>
      <w:r w:rsidR="00D373D6" w:rsidRPr="00E96A3A">
        <w:rPr>
          <w:rFonts w:eastAsia="Franklin Gothic Book" w:cs="Franklin Gothic Book"/>
          <w:color w:val="000000" w:themeColor="text1"/>
        </w:rPr>
        <w:t xml:space="preserve"> a high clinical need for </w:t>
      </w:r>
      <w:r w:rsidR="00D373D6">
        <w:rPr>
          <w:rFonts w:eastAsia="Franklin Gothic Book" w:cs="Franklin Gothic Book"/>
          <w:color w:val="000000" w:themeColor="text1"/>
        </w:rPr>
        <w:t xml:space="preserve">new </w:t>
      </w:r>
      <w:r w:rsidR="00D373D6" w:rsidRPr="00E96A3A">
        <w:rPr>
          <w:rFonts w:eastAsia="Franklin Gothic Book" w:cs="Franklin Gothic Book"/>
          <w:color w:val="000000" w:themeColor="text1"/>
        </w:rPr>
        <w:t>treatment</w:t>
      </w:r>
      <w:r w:rsidR="00D373D6">
        <w:rPr>
          <w:rFonts w:eastAsia="Franklin Gothic Book" w:cs="Franklin Gothic Book"/>
          <w:color w:val="000000" w:themeColor="text1"/>
        </w:rPr>
        <w:t xml:space="preserve"> option</w:t>
      </w:r>
      <w:r w:rsidR="00D373D6" w:rsidRPr="00E96A3A">
        <w:rPr>
          <w:rFonts w:eastAsia="Franklin Gothic Book" w:cs="Franklin Gothic Book"/>
          <w:color w:val="000000" w:themeColor="text1"/>
        </w:rPr>
        <w:t xml:space="preserve">s for this </w:t>
      </w:r>
      <w:r w:rsidR="00D373D6">
        <w:rPr>
          <w:rFonts w:eastAsia="Franklin Gothic Book" w:cs="Franklin Gothic Book"/>
          <w:color w:val="000000" w:themeColor="text1"/>
        </w:rPr>
        <w:t>patient population.</w:t>
      </w:r>
      <w:r w:rsidR="00D373D6" w:rsidRPr="00E96A3A">
        <w:rPr>
          <w:rFonts w:eastAsia="Franklin Gothic Book" w:cs="Franklin Gothic Book"/>
          <w:color w:val="000000" w:themeColor="text1"/>
        </w:rPr>
        <w:t xml:space="preserve"> </w:t>
      </w:r>
      <w:r w:rsidR="00A3096F">
        <w:t xml:space="preserve">MSAC considered the claim of codependency of </w:t>
      </w:r>
      <w:r w:rsidR="00A3096F" w:rsidRPr="004361C8">
        <w:rPr>
          <w:i/>
          <w:iCs/>
        </w:rPr>
        <w:t>FGFR2</w:t>
      </w:r>
      <w:r w:rsidR="00A3096F">
        <w:t xml:space="preserve"> testing and futibatinib was reasonable based on the available (albeit limited) information. </w:t>
      </w:r>
      <w:r w:rsidR="007B01BB">
        <w:t>MSAC considered that t</w:t>
      </w:r>
      <w:r w:rsidR="007B01BB" w:rsidRPr="001B388B">
        <w:t xml:space="preserve">he test is safe and </w:t>
      </w:r>
      <w:r w:rsidR="007B01BB">
        <w:t xml:space="preserve">effective, however has uncertain economic and financial implications. MSAC requested that the economic and financial analyses be revised by including a more appropriate test fee and </w:t>
      </w:r>
      <w:r w:rsidR="007B01BB">
        <w:lastRenderedPageBreak/>
        <w:t>by incorporating more accurate estimates of the number of patients who would be tested in practice</w:t>
      </w:r>
      <w:r w:rsidR="00AD1A75">
        <w:t>.</w:t>
      </w:r>
      <w:r w:rsidR="005149FA">
        <w:t xml:space="preserve"> </w:t>
      </w:r>
    </w:p>
    <w:p w14:paraId="205ADC13" w14:textId="6A31A0BB" w:rsidR="005C6C4A" w:rsidRDefault="005149FA" w:rsidP="00AA2B95">
      <w:pPr>
        <w:jc w:val="both"/>
      </w:pPr>
      <w:r>
        <w:t xml:space="preserve">MSAC noted that </w:t>
      </w:r>
      <w:r w:rsidR="00AC3F37">
        <w:t xml:space="preserve">at its March 2025 meeting, </w:t>
      </w:r>
      <w:r w:rsidR="005C6C4A">
        <w:t xml:space="preserve">the PBAC did not recommend PBS </w:t>
      </w:r>
      <w:r>
        <w:t>listing</w:t>
      </w:r>
      <w:r w:rsidR="005C6C4A">
        <w:t xml:space="preserve"> </w:t>
      </w:r>
      <w:r w:rsidR="008863BA">
        <w:t xml:space="preserve">of </w:t>
      </w:r>
      <w:r w:rsidR="005C6C4A">
        <w:t>futibatinib</w:t>
      </w:r>
      <w:r w:rsidR="00AC3F37">
        <w:t xml:space="preserve"> for the treatment of patients with locally advanced or metastatic </w:t>
      </w:r>
      <w:r w:rsidR="00C84997">
        <w:t>CCA</w:t>
      </w:r>
      <w:r w:rsidR="00AC3F37">
        <w:t xml:space="preserve"> who have previously progressed on systemic therapy and have a </w:t>
      </w:r>
      <w:r w:rsidR="00AC3F37" w:rsidRPr="75124A81">
        <w:rPr>
          <w:i/>
          <w:iCs/>
        </w:rPr>
        <w:t>FGFR2</w:t>
      </w:r>
      <w:r w:rsidR="00AC3F37">
        <w:t xml:space="preserve"> fusion or rearrangement. </w:t>
      </w:r>
      <w:r w:rsidR="1172B55A">
        <w:t xml:space="preserve">The </w:t>
      </w:r>
      <w:r w:rsidR="00AC3F37">
        <w:t xml:space="preserve">PBAC advised that a resubmission, through an early re-entry pathway, </w:t>
      </w:r>
      <w:r w:rsidR="005E2E9E">
        <w:t xml:space="preserve">should </w:t>
      </w:r>
      <w:r w:rsidR="00AC3F37">
        <w:t xml:space="preserve">include a more realistic estimate of the clinical benefit in the economic model and revise utilisation estimates to more accurately reflect the prevalence of CCA and the number of patients with </w:t>
      </w:r>
      <w:r w:rsidR="00AC3F37" w:rsidRPr="75124A81">
        <w:rPr>
          <w:i/>
          <w:iCs/>
        </w:rPr>
        <w:t>FGFR2</w:t>
      </w:r>
      <w:r w:rsidR="00AC3F37">
        <w:t xml:space="preserve"> fusions or rearrangements.</w:t>
      </w:r>
      <w:r w:rsidR="00055CC2">
        <w:t xml:space="preserve"> </w:t>
      </w:r>
      <w:r w:rsidR="005C6C4A">
        <w:t xml:space="preserve">MSAC noted that the PBAC </w:t>
      </w:r>
      <w:r w:rsidR="002B2978">
        <w:t xml:space="preserve">had considered the early re-entry submission </w:t>
      </w:r>
      <w:r w:rsidR="005C6C4A">
        <w:t>at its July 2025 meeting</w:t>
      </w:r>
      <w:r w:rsidR="002B2978">
        <w:t>, where it again</w:t>
      </w:r>
      <w:r w:rsidR="005C6C4A">
        <w:t xml:space="preserve"> did not recommend PBS funding of futibatinib </w:t>
      </w:r>
      <w:r w:rsidR="00AC3F37">
        <w:t>as</w:t>
      </w:r>
      <w:r w:rsidR="005C6C4A">
        <w:t xml:space="preserve"> the resubmission did not adequately address the outstanding issues requested as part of its March 2025 consideration.</w:t>
      </w:r>
    </w:p>
    <w:p w14:paraId="736DD8FC" w14:textId="251EC4E6" w:rsidR="009C4087" w:rsidRDefault="006C2A9D" w:rsidP="00AA2B95">
      <w:pPr>
        <w:jc w:val="both"/>
      </w:pPr>
      <w:r>
        <w:t>MSAC recalled that</w:t>
      </w:r>
      <w:r w:rsidR="00693046">
        <w:t xml:space="preserve"> </w:t>
      </w:r>
      <w:r w:rsidR="007365B1">
        <w:t xml:space="preserve">it </w:t>
      </w:r>
      <w:r w:rsidR="00CB176B">
        <w:t>had supported</w:t>
      </w:r>
      <w:r w:rsidR="00D373D6">
        <w:t xml:space="preserve"> public funding for</w:t>
      </w:r>
      <w:r w:rsidR="005C6C4A">
        <w:t xml:space="preserve"> testing </w:t>
      </w:r>
      <w:r w:rsidR="003164D9">
        <w:t>of tumour tissue to detect</w:t>
      </w:r>
      <w:r w:rsidR="005C6C4A">
        <w:t xml:space="preserve"> </w:t>
      </w:r>
      <w:r w:rsidR="005C6C4A" w:rsidRPr="75124A81">
        <w:rPr>
          <w:i/>
          <w:iCs/>
        </w:rPr>
        <w:t>IDH1</w:t>
      </w:r>
      <w:r w:rsidR="005C6C4A">
        <w:t xml:space="preserve"> mutations in </w:t>
      </w:r>
      <w:r w:rsidR="003164D9">
        <w:t xml:space="preserve">patients with </w:t>
      </w:r>
      <w:r w:rsidR="005C6C4A">
        <w:t>CCA to determine eligibility for ivosidenib, at its November 2024 meeting</w:t>
      </w:r>
      <w:r w:rsidR="00D373D6">
        <w:t xml:space="preserve"> (</w:t>
      </w:r>
      <w:hyperlink r:id="rId10">
        <w:r w:rsidR="00D373D6" w:rsidRPr="75124A81">
          <w:rPr>
            <w:rStyle w:val="Hyperlink"/>
          </w:rPr>
          <w:t>MSAC 1750</w:t>
        </w:r>
      </w:hyperlink>
      <w:r w:rsidR="00D373D6">
        <w:t>)</w:t>
      </w:r>
      <w:r w:rsidR="00693046">
        <w:t>.</w:t>
      </w:r>
      <w:r w:rsidR="005C6C4A">
        <w:t xml:space="preserve"> </w:t>
      </w:r>
      <w:r w:rsidR="00C15615">
        <w:t xml:space="preserve">MSAC noted that </w:t>
      </w:r>
      <w:r w:rsidR="00C15615" w:rsidRPr="75124A81">
        <w:rPr>
          <w:i/>
          <w:iCs/>
        </w:rPr>
        <w:t>FGFR2</w:t>
      </w:r>
      <w:r w:rsidR="00C15615">
        <w:t xml:space="preserve"> testing is more </w:t>
      </w:r>
      <w:r w:rsidR="003164D9">
        <w:t xml:space="preserve">technically </w:t>
      </w:r>
      <w:r w:rsidR="00C15615">
        <w:t xml:space="preserve">complex than </w:t>
      </w:r>
      <w:r w:rsidR="00C15615" w:rsidRPr="75124A81">
        <w:rPr>
          <w:i/>
          <w:iCs/>
        </w:rPr>
        <w:t>IDH1</w:t>
      </w:r>
      <w:r w:rsidR="00C15615">
        <w:t xml:space="preserve"> testing. </w:t>
      </w:r>
      <w:r w:rsidR="00C15615" w:rsidRPr="75124A81">
        <w:rPr>
          <w:i/>
          <w:iCs/>
        </w:rPr>
        <w:t>FGFR2</w:t>
      </w:r>
      <w:r w:rsidR="00C15615">
        <w:t xml:space="preserve"> variants comprise a variety of fusion partners (currently more than 140), with half of them on the same chromosome or intragenic. MSAC </w:t>
      </w:r>
      <w:r w:rsidR="009C4087">
        <w:t xml:space="preserve">recalled it had considered that </w:t>
      </w:r>
      <w:r w:rsidR="00C15615" w:rsidRPr="75124A81">
        <w:rPr>
          <w:i/>
          <w:iCs/>
        </w:rPr>
        <w:t>FGFR2</w:t>
      </w:r>
      <w:r w:rsidR="0044342E" w:rsidRPr="75124A81">
        <w:rPr>
          <w:i/>
          <w:iCs/>
        </w:rPr>
        <w:t xml:space="preserve"> </w:t>
      </w:r>
      <w:r w:rsidR="0044342E">
        <w:t>testing</w:t>
      </w:r>
      <w:r w:rsidR="00C15615">
        <w:t xml:space="preserve"> is not suitable</w:t>
      </w:r>
      <w:r w:rsidR="0044342E">
        <w:t xml:space="preserve"> to be performed </w:t>
      </w:r>
      <w:r w:rsidR="00094EB7">
        <w:t>using</w:t>
      </w:r>
      <w:r w:rsidR="00C15615">
        <w:t xml:space="preserve"> fluorescent in situ hybridisation (FISH</w:t>
      </w:r>
      <w:proofErr w:type="gramStart"/>
      <w:r w:rsidR="00C15615">
        <w:t>)</w:t>
      </w:r>
      <w:r w:rsidR="00E47743">
        <w:t>,</w:t>
      </w:r>
      <w:r w:rsidR="00C15615">
        <w:t xml:space="preserve"> and</w:t>
      </w:r>
      <w:proofErr w:type="gramEnd"/>
      <w:r w:rsidR="00C15615">
        <w:t xml:space="preserve"> </w:t>
      </w:r>
      <w:r w:rsidR="00D373D6" w:rsidRPr="75124A81">
        <w:rPr>
          <w:rFonts w:eastAsia="Franklin Gothic Book" w:cs="Franklin Gothic Book"/>
          <w:color w:val="000000" w:themeColor="text1"/>
        </w:rPr>
        <w:t xml:space="preserve">considered a combined next generation sequencing (NGS) test on DNA and RNA as the most appropriate method </w:t>
      </w:r>
      <w:r w:rsidR="00D373D6">
        <w:t xml:space="preserve">to accurately detect </w:t>
      </w:r>
      <w:r w:rsidR="00D373D6" w:rsidRPr="75124A81">
        <w:rPr>
          <w:i/>
          <w:iCs/>
        </w:rPr>
        <w:t>FGFR2</w:t>
      </w:r>
      <w:r w:rsidR="00D373D6">
        <w:t xml:space="preserve"> fusions and rearrangements</w:t>
      </w:r>
      <w:r w:rsidR="00C15615">
        <w:t xml:space="preserve">. </w:t>
      </w:r>
      <w:r w:rsidR="00383D1E">
        <w:t xml:space="preserve">MSAC recalled </w:t>
      </w:r>
      <w:r w:rsidR="00CF7F80">
        <w:t xml:space="preserve">that </w:t>
      </w:r>
      <w:r w:rsidR="00383D1E">
        <w:t xml:space="preserve">it had considered </w:t>
      </w:r>
      <w:r w:rsidR="00CF7F80">
        <w:t>a single MBS item for a DNA and RNA NGS panel test</w:t>
      </w:r>
      <w:r w:rsidR="009E1076">
        <w:t>,</w:t>
      </w:r>
      <w:r w:rsidR="00CF7F80">
        <w:t xml:space="preserve"> for </w:t>
      </w:r>
      <w:r w:rsidR="00CF7F80" w:rsidRPr="75124A81">
        <w:rPr>
          <w:i/>
          <w:iCs/>
        </w:rPr>
        <w:t>FGFR2</w:t>
      </w:r>
      <w:r w:rsidR="00CF7F80">
        <w:t xml:space="preserve"> fusions and rearrangements and </w:t>
      </w:r>
      <w:r w:rsidR="00CF7F80" w:rsidRPr="75124A81">
        <w:rPr>
          <w:i/>
          <w:iCs/>
        </w:rPr>
        <w:t>IDH1</w:t>
      </w:r>
      <w:r w:rsidR="00CF7F80">
        <w:t xml:space="preserve"> sequencing</w:t>
      </w:r>
      <w:r w:rsidR="00C42B4C">
        <w:t>,</w:t>
      </w:r>
      <w:r w:rsidR="00CF7F80">
        <w:t xml:space="preserve"> would be appropriate if both tests are funded. </w:t>
      </w:r>
      <w:r w:rsidR="00656ED1">
        <w:t xml:space="preserve">MSAC considered single gene testing </w:t>
      </w:r>
      <w:r w:rsidR="008C036E">
        <w:t xml:space="preserve">of tumour tissue </w:t>
      </w:r>
      <w:r w:rsidR="00656ED1">
        <w:t>may no longer be efficient or cost-effective for pathology laboratories</w:t>
      </w:r>
      <w:r w:rsidR="00C42B4C">
        <w:t>.</w:t>
      </w:r>
      <w:r w:rsidR="00CF7F80">
        <w:t xml:space="preserve"> </w:t>
      </w:r>
      <w:r w:rsidR="005C6C4A">
        <w:t xml:space="preserve">MSAC </w:t>
      </w:r>
      <w:r w:rsidR="00D373D6">
        <w:t>considered</w:t>
      </w:r>
      <w:r w:rsidR="005C6C4A">
        <w:t xml:space="preserve"> that laboratories would</w:t>
      </w:r>
      <w:r w:rsidR="00906B2D">
        <w:t xml:space="preserve"> likely</w:t>
      </w:r>
      <w:r w:rsidR="005C6C4A">
        <w:t xml:space="preserve"> include both </w:t>
      </w:r>
      <w:r w:rsidR="005C6C4A" w:rsidRPr="75124A81">
        <w:rPr>
          <w:i/>
          <w:iCs/>
        </w:rPr>
        <w:t>IDH1</w:t>
      </w:r>
      <w:r w:rsidR="005C6C4A">
        <w:t xml:space="preserve"> and </w:t>
      </w:r>
      <w:r w:rsidR="005C6C4A" w:rsidRPr="75124A81">
        <w:rPr>
          <w:i/>
          <w:iCs/>
        </w:rPr>
        <w:t>FGFR2</w:t>
      </w:r>
      <w:r w:rsidR="005C6C4A">
        <w:t xml:space="preserve"> testing on a gene panel</w:t>
      </w:r>
      <w:r w:rsidR="007365B1">
        <w:t>,</w:t>
      </w:r>
      <w:r w:rsidR="00906B2D">
        <w:t xml:space="preserve"> rather than as separate single gene tests.</w:t>
      </w:r>
      <w:r w:rsidR="007365B1">
        <w:t xml:space="preserve"> </w:t>
      </w:r>
      <w:r w:rsidR="00906B2D">
        <w:t>Therefore, MSAC</w:t>
      </w:r>
      <w:r w:rsidR="007365B1">
        <w:t xml:space="preserve"> considered it appropriate </w:t>
      </w:r>
      <w:r w:rsidR="00F6575D">
        <w:t>to assess</w:t>
      </w:r>
      <w:r w:rsidR="003148C8">
        <w:t xml:space="preserve"> </w:t>
      </w:r>
      <w:r w:rsidR="00656ED1">
        <w:t xml:space="preserve">the testing </w:t>
      </w:r>
      <w:r w:rsidR="00F6575D">
        <w:t xml:space="preserve">methodology </w:t>
      </w:r>
      <w:r w:rsidR="00656ED1">
        <w:t xml:space="preserve">that would occur in </w:t>
      </w:r>
      <w:r w:rsidR="0054624A">
        <w:t xml:space="preserve">clinical </w:t>
      </w:r>
      <w:r w:rsidR="00656ED1">
        <w:t>practice</w:t>
      </w:r>
      <w:r w:rsidR="00F6575D">
        <w:t>, specifically</w:t>
      </w:r>
      <w:r w:rsidR="00656ED1">
        <w:t xml:space="preserve"> </w:t>
      </w:r>
      <w:r w:rsidR="00F6575D" w:rsidRPr="75124A81">
        <w:rPr>
          <w:i/>
          <w:iCs/>
        </w:rPr>
        <w:t>FGFR2</w:t>
      </w:r>
      <w:r w:rsidR="00F6575D">
        <w:t xml:space="preserve"> testing on a </w:t>
      </w:r>
      <w:r w:rsidR="00656ED1">
        <w:t>gene panel</w:t>
      </w:r>
      <w:r w:rsidR="00F6575D">
        <w:t xml:space="preserve">, rather than single gene testing of </w:t>
      </w:r>
      <w:r w:rsidR="00F6575D" w:rsidRPr="75124A81">
        <w:rPr>
          <w:i/>
          <w:iCs/>
        </w:rPr>
        <w:t>FGFR2</w:t>
      </w:r>
      <w:r w:rsidR="005C6C4A">
        <w:t xml:space="preserve">. </w:t>
      </w:r>
    </w:p>
    <w:p w14:paraId="6860DF30" w14:textId="08CB8033" w:rsidR="005C6C4A" w:rsidRDefault="005C6C4A" w:rsidP="00AA2B95">
      <w:pPr>
        <w:jc w:val="both"/>
      </w:pPr>
      <w:r>
        <w:t xml:space="preserve">MSAC </w:t>
      </w:r>
      <w:r w:rsidR="00740AF7">
        <w:t xml:space="preserve">noted that consultation input on the </w:t>
      </w:r>
      <w:r>
        <w:t>appropriate fee for a gene panel</w:t>
      </w:r>
      <w:r w:rsidR="00BE2F8B">
        <w:t xml:space="preserve"> item</w:t>
      </w:r>
      <w:r w:rsidR="00740AF7">
        <w:t xml:space="preserve"> was received from multiple stakeholders,</w:t>
      </w:r>
      <w:r>
        <w:t xml:space="preserve"> </w:t>
      </w:r>
      <w:r w:rsidR="00740AF7">
        <w:t>including The Royal College of Pathologists of Australasia and Public Pathology Australia. MSAC noted that the</w:t>
      </w:r>
      <w:r>
        <w:t xml:space="preserve"> fee </w:t>
      </w:r>
      <w:r w:rsidR="00B36EDB">
        <w:t xml:space="preserve">proposed in the inputs for a </w:t>
      </w:r>
      <w:r w:rsidR="0044342E">
        <w:t xml:space="preserve">DNA and RNA </w:t>
      </w:r>
      <w:r w:rsidR="00B36EDB">
        <w:t xml:space="preserve">NGS gene panel test including </w:t>
      </w:r>
      <w:r w:rsidR="00B36EDB" w:rsidRPr="75124A81">
        <w:rPr>
          <w:i/>
          <w:iCs/>
        </w:rPr>
        <w:t>IDH1</w:t>
      </w:r>
      <w:r w:rsidR="00B36EDB">
        <w:t xml:space="preserve"> and </w:t>
      </w:r>
      <w:r w:rsidR="00B36EDB" w:rsidRPr="75124A81">
        <w:rPr>
          <w:i/>
          <w:iCs/>
        </w:rPr>
        <w:t>FGFR2</w:t>
      </w:r>
      <w:r w:rsidR="00B36EDB">
        <w:t xml:space="preserve"> testing </w:t>
      </w:r>
      <w:r>
        <w:t>rang</w:t>
      </w:r>
      <w:r w:rsidR="00B36EDB">
        <w:t>ed</w:t>
      </w:r>
      <w:r>
        <w:t xml:space="preserve"> from $</w:t>
      </w:r>
      <w:r w:rsidR="005F3D8F">
        <w:t>300</w:t>
      </w:r>
      <w:r>
        <w:t xml:space="preserve"> to $1,247. </w:t>
      </w:r>
      <w:r w:rsidR="00B36EDB">
        <w:t xml:space="preserve">MSAC considered a fee of $300 to be too low for a gene panel including the technically complex </w:t>
      </w:r>
      <w:r w:rsidR="00B36EDB" w:rsidRPr="75124A81">
        <w:rPr>
          <w:i/>
          <w:iCs/>
        </w:rPr>
        <w:t>FGFR2</w:t>
      </w:r>
      <w:r w:rsidR="00B36EDB">
        <w:t xml:space="preserve"> testing. </w:t>
      </w:r>
      <w:r w:rsidR="00BE2F8B">
        <w:t>MSAC noted that a</w:t>
      </w:r>
      <w:r>
        <w:t>t the time of th</w:t>
      </w:r>
      <w:r w:rsidR="00BE2F8B">
        <w:t>e</w:t>
      </w:r>
      <w:r>
        <w:t xml:space="preserve"> </w:t>
      </w:r>
      <w:r w:rsidR="00B36EDB">
        <w:t>reapplication</w:t>
      </w:r>
      <w:r>
        <w:t xml:space="preserve">, the applicant did not have access to the stakeholder </w:t>
      </w:r>
      <w:proofErr w:type="gramStart"/>
      <w:r>
        <w:t xml:space="preserve">information, </w:t>
      </w:r>
      <w:r w:rsidR="00BE2F8B">
        <w:t>and</w:t>
      </w:r>
      <w:proofErr w:type="gramEnd"/>
      <w:r>
        <w:t xml:space="preserve"> used a cost of $885 based on the </w:t>
      </w:r>
      <w:r w:rsidR="00B36EDB">
        <w:t xml:space="preserve">published </w:t>
      </w:r>
      <w:r>
        <w:t>fee from the Peter MacCallum Cancer Centre</w:t>
      </w:r>
      <w:r w:rsidR="00BE2F8B">
        <w:t xml:space="preserve"> (</w:t>
      </w:r>
      <w:r w:rsidR="00233A9A">
        <w:t>PMCC</w:t>
      </w:r>
      <w:r w:rsidR="00BE2F8B">
        <w:t>)</w:t>
      </w:r>
      <w:r>
        <w:t>.</w:t>
      </w:r>
      <w:r w:rsidR="00EC3EE2">
        <w:t xml:space="preserve"> MSAC considered </w:t>
      </w:r>
      <w:r w:rsidR="00571281">
        <w:t>it unc</w:t>
      </w:r>
      <w:r w:rsidR="00233A9A">
        <w:t>ertain</w:t>
      </w:r>
      <w:r w:rsidR="00571281">
        <w:t xml:space="preserve"> whether it is feasible for other laboratories to perform the test </w:t>
      </w:r>
      <w:r w:rsidR="00233A9A">
        <w:t>f</w:t>
      </w:r>
      <w:r w:rsidR="00571281">
        <w:t>or this fee</w:t>
      </w:r>
      <w:r w:rsidR="00233A9A">
        <w:t xml:space="preserve"> as it was unclear whether the PMCC test fee had been </w:t>
      </w:r>
      <w:r w:rsidR="009D323A">
        <w:t>cross-</w:t>
      </w:r>
      <w:r w:rsidR="00233A9A">
        <w:t xml:space="preserve">subsidised </w:t>
      </w:r>
      <w:r w:rsidR="005554AA">
        <w:t xml:space="preserve">by other sources of funding </w:t>
      </w:r>
      <w:r w:rsidR="00233A9A">
        <w:t xml:space="preserve">(for example through </w:t>
      </w:r>
      <w:r w:rsidR="003736BE">
        <w:t xml:space="preserve">philanthropic </w:t>
      </w:r>
      <w:r w:rsidR="00233A9A">
        <w:t>or research</w:t>
      </w:r>
      <w:r w:rsidR="00B520D3">
        <w:t xml:space="preserve"> funding</w:t>
      </w:r>
      <w:r w:rsidR="00233A9A">
        <w:t>)</w:t>
      </w:r>
      <w:r w:rsidR="00B520D3">
        <w:t xml:space="preserve">. </w:t>
      </w:r>
      <w:r w:rsidR="00571281">
        <w:t xml:space="preserve">However, MSAC noted that this fee is </w:t>
      </w:r>
      <w:proofErr w:type="gramStart"/>
      <w:r w:rsidR="00571281">
        <w:t>similar to</w:t>
      </w:r>
      <w:proofErr w:type="gramEnd"/>
      <w:r w:rsidR="00571281">
        <w:t xml:space="preserve"> the gene panel test for sarcoma (MBS 73376; fee $800).</w:t>
      </w:r>
      <w:r w:rsidR="00B520D3">
        <w:t xml:space="preserve"> </w:t>
      </w:r>
      <w:r w:rsidR="007050BE">
        <w:t xml:space="preserve">MSAC </w:t>
      </w:r>
      <w:r w:rsidR="00745942">
        <w:t>considered</w:t>
      </w:r>
      <w:r w:rsidR="007050BE">
        <w:t xml:space="preserve"> that </w:t>
      </w:r>
      <w:r w:rsidR="00ED3C7E">
        <w:t xml:space="preserve">it was important to find the appropriate </w:t>
      </w:r>
      <w:r w:rsidR="00233A9A">
        <w:t>fee for the test</w:t>
      </w:r>
      <w:r w:rsidR="00ED3C7E">
        <w:t xml:space="preserve"> </w:t>
      </w:r>
      <w:r w:rsidR="0044342E">
        <w:t xml:space="preserve">to avoid </w:t>
      </w:r>
      <w:r w:rsidR="00AD5297">
        <w:t xml:space="preserve">patients </w:t>
      </w:r>
      <w:r w:rsidR="0044342E">
        <w:t>having to pay</w:t>
      </w:r>
      <w:r w:rsidR="00AD5297">
        <w:t xml:space="preserve"> out of pocket costs. MSAC considered</w:t>
      </w:r>
      <w:r w:rsidR="00745942">
        <w:t xml:space="preserve"> that there </w:t>
      </w:r>
      <w:r w:rsidR="00ED3796">
        <w:t>i</w:t>
      </w:r>
      <w:r w:rsidR="00745942">
        <w:t xml:space="preserve">s a need to establish a </w:t>
      </w:r>
      <w:r w:rsidR="00EA24D6">
        <w:t xml:space="preserve">standardised price </w:t>
      </w:r>
      <w:r w:rsidR="007F4D25">
        <w:t xml:space="preserve">guide </w:t>
      </w:r>
      <w:r w:rsidR="00EA24D6">
        <w:t>for gene panel tests</w:t>
      </w:r>
      <w:r w:rsidR="00903C93">
        <w:t xml:space="preserve"> based on the sample (i.e. DNA or RNA or both) and the number of genes tested</w:t>
      </w:r>
      <w:r w:rsidR="00A71249">
        <w:t xml:space="preserve"> and sought further advice from the Department</w:t>
      </w:r>
      <w:r w:rsidR="007050BE">
        <w:t>.</w:t>
      </w:r>
      <w:r w:rsidR="00AD5297">
        <w:t xml:space="preserve"> </w:t>
      </w:r>
    </w:p>
    <w:p w14:paraId="675F3071" w14:textId="2D3508F4" w:rsidR="005C6C4A" w:rsidRDefault="005C6C4A" w:rsidP="00AA2B95">
      <w:pPr>
        <w:jc w:val="both"/>
      </w:pPr>
      <w:r>
        <w:t xml:space="preserve">MSAC noted </w:t>
      </w:r>
      <w:r w:rsidR="0021022A">
        <w:t>that</w:t>
      </w:r>
      <w:r>
        <w:t xml:space="preserve"> because </w:t>
      </w:r>
      <w:r w:rsidRPr="7F079A81">
        <w:rPr>
          <w:i/>
          <w:iCs/>
        </w:rPr>
        <w:t>FGFR2</w:t>
      </w:r>
      <w:r>
        <w:t xml:space="preserve"> would be tested as part of a </w:t>
      </w:r>
      <w:r w:rsidR="630A2A90">
        <w:t xml:space="preserve">gene </w:t>
      </w:r>
      <w:r>
        <w:t xml:space="preserve">panel, the </w:t>
      </w:r>
      <w:r w:rsidR="00BF158C">
        <w:t xml:space="preserve">test will </w:t>
      </w:r>
      <w:r w:rsidR="00903C93">
        <w:t xml:space="preserve">likely </w:t>
      </w:r>
      <w:r w:rsidR="00BF158C">
        <w:t>have a higher cost than</w:t>
      </w:r>
      <w:r>
        <w:t xml:space="preserve"> a single gene test</w:t>
      </w:r>
      <w:r w:rsidR="00305BF0">
        <w:t>, which may increase</w:t>
      </w:r>
      <w:r>
        <w:t xml:space="preserve"> cost</w:t>
      </w:r>
      <w:r w:rsidR="00305BF0">
        <w:t xml:space="preserve">s </w:t>
      </w:r>
      <w:r>
        <w:t xml:space="preserve">in the economic and financial evaluations. </w:t>
      </w:r>
      <w:r w:rsidR="00305BF0">
        <w:t>MSAC noted the</w:t>
      </w:r>
      <w:r>
        <w:t xml:space="preserve"> applicant</w:t>
      </w:r>
      <w:r w:rsidR="00903C93">
        <w:t>’</w:t>
      </w:r>
      <w:r w:rsidR="00305BF0">
        <w:t>s</w:t>
      </w:r>
      <w:r>
        <w:t xml:space="preserve"> </w:t>
      </w:r>
      <w:r w:rsidR="00305BF0">
        <w:t>position</w:t>
      </w:r>
      <w:r>
        <w:t xml:space="preserve"> that its </w:t>
      </w:r>
      <w:r w:rsidR="00903C93">
        <w:t xml:space="preserve">reapplication </w:t>
      </w:r>
      <w:r>
        <w:t xml:space="preserve">should only account for the </w:t>
      </w:r>
      <w:r w:rsidR="00903C93">
        <w:t xml:space="preserve">incremental </w:t>
      </w:r>
      <w:r>
        <w:t xml:space="preserve">difference between </w:t>
      </w:r>
      <w:r w:rsidR="00903C93">
        <w:t>the</w:t>
      </w:r>
      <w:r>
        <w:t xml:space="preserve"> single gene </w:t>
      </w:r>
      <w:r w:rsidRPr="7F079A81">
        <w:rPr>
          <w:i/>
          <w:iCs/>
        </w:rPr>
        <w:t xml:space="preserve">IDH1 </w:t>
      </w:r>
      <w:r w:rsidR="00903C93">
        <w:t>test fee</w:t>
      </w:r>
      <w:r>
        <w:t xml:space="preserve"> and the proposed </w:t>
      </w:r>
      <w:r w:rsidR="44960972">
        <w:t xml:space="preserve">gene </w:t>
      </w:r>
      <w:r>
        <w:t xml:space="preserve">panel </w:t>
      </w:r>
      <w:r w:rsidR="00903C93">
        <w:t>fee</w:t>
      </w:r>
      <w:r>
        <w:t xml:space="preserve"> in </w:t>
      </w:r>
      <w:r w:rsidR="00903C93">
        <w:t>the economic and financial analyses</w:t>
      </w:r>
      <w:r w:rsidR="00305BF0">
        <w:t xml:space="preserve">. </w:t>
      </w:r>
      <w:r>
        <w:t xml:space="preserve">MSAC considered </w:t>
      </w:r>
      <w:r w:rsidR="00531E59">
        <w:t xml:space="preserve">that </w:t>
      </w:r>
      <w:r w:rsidR="00903C93">
        <w:t>this</w:t>
      </w:r>
      <w:r w:rsidR="00531E59">
        <w:t xml:space="preserve"> was </w:t>
      </w:r>
      <w:r>
        <w:t>reasonable.</w:t>
      </w:r>
    </w:p>
    <w:p w14:paraId="2466CBC4" w14:textId="6F15F4B5" w:rsidR="005C6C4A" w:rsidRDefault="005C6C4A" w:rsidP="00AA2B95">
      <w:pPr>
        <w:jc w:val="both"/>
      </w:pPr>
      <w:r>
        <w:t xml:space="preserve">MSAC recalled that during its previous consideration it recommended that all patients undergo </w:t>
      </w:r>
      <w:r w:rsidRPr="00F30F80">
        <w:rPr>
          <w:i/>
          <w:iCs/>
        </w:rPr>
        <w:t>FGFR2</w:t>
      </w:r>
      <w:r>
        <w:t xml:space="preserve"> testing at the time of </w:t>
      </w:r>
      <w:r w:rsidR="001C268C">
        <w:t xml:space="preserve">CCA </w:t>
      </w:r>
      <w:r>
        <w:t xml:space="preserve">diagnosis. </w:t>
      </w:r>
      <w:r w:rsidR="001657F6">
        <w:t>MSAC noted that the re</w:t>
      </w:r>
      <w:r w:rsidR="001C268C">
        <w:t>application</w:t>
      </w:r>
      <w:r w:rsidR="001657F6">
        <w:t xml:space="preserve"> stated </w:t>
      </w:r>
      <w:r>
        <w:t xml:space="preserve">this </w:t>
      </w:r>
      <w:r w:rsidR="001657F6">
        <w:t xml:space="preserve">would </w:t>
      </w:r>
      <w:r>
        <w:lastRenderedPageBreak/>
        <w:t>increase the proposed test population by 357%</w:t>
      </w:r>
      <w:r w:rsidR="001C268C">
        <w:t xml:space="preserve"> and</w:t>
      </w:r>
      <w:r w:rsidR="001A549A">
        <w:t xml:space="preserve"> argued that only patients who receive first line treatment in the locally advanced or metastatic disease stages </w:t>
      </w:r>
      <w:r w:rsidR="006B5632">
        <w:t xml:space="preserve">should </w:t>
      </w:r>
      <w:r w:rsidR="001A549A">
        <w:t>receive testing</w:t>
      </w:r>
      <w:r w:rsidR="00B647D4">
        <w:t>. The re</w:t>
      </w:r>
      <w:r w:rsidR="001C268C">
        <w:t>application</w:t>
      </w:r>
      <w:r w:rsidR="00B647D4">
        <w:t xml:space="preserve"> </w:t>
      </w:r>
      <w:r w:rsidR="000E7BED">
        <w:t xml:space="preserve">calculated that this population would be a </w:t>
      </w:r>
      <w:r w:rsidR="006B5632">
        <w:t>200%</w:t>
      </w:r>
      <w:r w:rsidR="000E7BED">
        <w:t xml:space="preserve"> increase </w:t>
      </w:r>
      <w:r w:rsidR="001C268C">
        <w:t xml:space="preserve">compared </w:t>
      </w:r>
      <w:r w:rsidR="000E7BED">
        <w:t xml:space="preserve">to </w:t>
      </w:r>
      <w:r w:rsidR="001C268C">
        <w:t xml:space="preserve">that in </w:t>
      </w:r>
      <w:r w:rsidR="000E7BED">
        <w:t xml:space="preserve">the </w:t>
      </w:r>
      <w:r w:rsidR="0044342E">
        <w:t>initial application</w:t>
      </w:r>
      <w:r w:rsidR="00FA2EC6">
        <w:t>.</w:t>
      </w:r>
      <w:r w:rsidR="00D318F6">
        <w:t xml:space="preserve"> </w:t>
      </w:r>
      <w:r>
        <w:t xml:space="preserve">MSAC noted that </w:t>
      </w:r>
      <w:r w:rsidRPr="006C4D25">
        <w:t xml:space="preserve">these are very unwell </w:t>
      </w:r>
      <w:proofErr w:type="gramStart"/>
      <w:r w:rsidRPr="006C4D25">
        <w:t>patients</w:t>
      </w:r>
      <w:r>
        <w:t>, and</w:t>
      </w:r>
      <w:proofErr w:type="gramEnd"/>
      <w:r w:rsidRPr="006C4D25">
        <w:t xml:space="preserve"> </w:t>
      </w:r>
      <w:r>
        <w:t xml:space="preserve">considered </w:t>
      </w:r>
      <w:r w:rsidR="00BF6C4F">
        <w:t>it unreasonable to</w:t>
      </w:r>
      <w:r>
        <w:t xml:space="preserve"> wait until patients have </w:t>
      </w:r>
      <w:r w:rsidR="00BF6C4F">
        <w:t xml:space="preserve">received </w:t>
      </w:r>
      <w:r>
        <w:t>first line therapy</w:t>
      </w:r>
      <w:r w:rsidR="00BF6C4F">
        <w:t xml:space="preserve"> </w:t>
      </w:r>
      <w:r w:rsidR="003F4DB6">
        <w:t>for</w:t>
      </w:r>
      <w:r w:rsidR="00BF6C4F">
        <w:t xml:space="preserve"> the locally advanced or metastatic </w:t>
      </w:r>
      <w:r w:rsidR="003F4DB6">
        <w:t>disease</w:t>
      </w:r>
      <w:r>
        <w:t xml:space="preserve"> before testing. </w:t>
      </w:r>
      <w:r w:rsidR="005E2B70">
        <w:t>MSAC considered that t</w:t>
      </w:r>
      <w:r>
        <w:t xml:space="preserve">esting at diagnosis </w:t>
      </w:r>
      <w:r w:rsidRPr="00B46FB3">
        <w:t>avoid</w:t>
      </w:r>
      <w:r>
        <w:t>s</w:t>
      </w:r>
      <w:r w:rsidRPr="00B46FB3">
        <w:t xml:space="preserve"> delay, save</w:t>
      </w:r>
      <w:r>
        <w:t>s</w:t>
      </w:r>
      <w:r w:rsidRPr="00B46FB3">
        <w:t xml:space="preserve"> tissue</w:t>
      </w:r>
      <w:r>
        <w:t xml:space="preserve"> and</w:t>
      </w:r>
      <w:r w:rsidRPr="00B46FB3">
        <w:t xml:space="preserve"> minimise</w:t>
      </w:r>
      <w:r>
        <w:t>s</w:t>
      </w:r>
      <w:r w:rsidRPr="00B46FB3">
        <w:t xml:space="preserve"> </w:t>
      </w:r>
      <w:r>
        <w:t xml:space="preserve">the </w:t>
      </w:r>
      <w:r w:rsidRPr="00B46FB3">
        <w:t>need for re</w:t>
      </w:r>
      <w:r w:rsidR="001C268C">
        <w:t>-</w:t>
      </w:r>
      <w:r w:rsidRPr="00B46FB3">
        <w:t>biopsy</w:t>
      </w:r>
      <w:r>
        <w:t xml:space="preserve">. </w:t>
      </w:r>
      <w:r w:rsidR="005E2B70">
        <w:t xml:space="preserve">Therefore, MSAC </w:t>
      </w:r>
      <w:r w:rsidR="00945537">
        <w:t>re</w:t>
      </w:r>
      <w:r w:rsidR="001C268C">
        <w:t>-</w:t>
      </w:r>
      <w:r w:rsidR="00945537">
        <w:t xml:space="preserve">affirmed its </w:t>
      </w:r>
      <w:r w:rsidR="00C37665">
        <w:t>initial</w:t>
      </w:r>
      <w:r w:rsidR="00945537">
        <w:t xml:space="preserve"> </w:t>
      </w:r>
      <w:r w:rsidR="005E2B70">
        <w:t>advi</w:t>
      </w:r>
      <w:r w:rsidR="00945537">
        <w:t>ce</w:t>
      </w:r>
      <w:r w:rsidR="005E2B70">
        <w:t xml:space="preserve"> that testing should </w:t>
      </w:r>
      <w:r w:rsidR="00945537">
        <w:t xml:space="preserve">be done at diagnosis of CCA. </w:t>
      </w:r>
    </w:p>
    <w:p w14:paraId="16A3D774" w14:textId="75115B5F" w:rsidR="005C6C4A" w:rsidRDefault="005F2F01" w:rsidP="00AA2B95">
      <w:pPr>
        <w:jc w:val="both"/>
      </w:pPr>
      <w:r>
        <w:t xml:space="preserve">MSAC noted that there was no specific </w:t>
      </w:r>
      <w:r w:rsidR="00E35776">
        <w:t xml:space="preserve">histological </w:t>
      </w:r>
      <w:r>
        <w:t xml:space="preserve">marker </w:t>
      </w:r>
      <w:r w:rsidR="00E35776">
        <w:t>for</w:t>
      </w:r>
      <w:r>
        <w:t xml:space="preserve"> </w:t>
      </w:r>
      <w:proofErr w:type="gramStart"/>
      <w:r>
        <w:t>CCA</w:t>
      </w:r>
      <w:r w:rsidR="00E35776">
        <w:t>, and</w:t>
      </w:r>
      <w:proofErr w:type="gramEnd"/>
      <w:r w:rsidR="00E35776">
        <w:t xml:space="preserve"> therefore considered that it can be difficult to distinguish CCA and other adenocarcinomas that </w:t>
      </w:r>
      <w:r w:rsidR="00724253">
        <w:t>may metastasise to the liver</w:t>
      </w:r>
      <w:r w:rsidR="00E35776">
        <w:t>,</w:t>
      </w:r>
      <w:r w:rsidR="00EB7C0C">
        <w:t xml:space="preserve"> such as</w:t>
      </w:r>
      <w:r w:rsidR="005C6C4A" w:rsidRPr="00075A86">
        <w:t xml:space="preserve"> pancreatic</w:t>
      </w:r>
      <w:r w:rsidR="003F4DB6">
        <w:t xml:space="preserve"> cancer</w:t>
      </w:r>
      <w:r w:rsidR="005C6C4A" w:rsidRPr="00075A86">
        <w:t xml:space="preserve"> or </w:t>
      </w:r>
      <w:r w:rsidR="005C6C4A">
        <w:t>cancer of unknown primary</w:t>
      </w:r>
      <w:r w:rsidR="005C6C4A" w:rsidRPr="00075A86">
        <w:t>.</w:t>
      </w:r>
      <w:r w:rsidR="005C6C4A">
        <w:t xml:space="preserve"> </w:t>
      </w:r>
      <w:r w:rsidR="00E35776" w:rsidRPr="74465C00">
        <w:t>Due to this diagnostic uncertainty, MSAC</w:t>
      </w:r>
      <w:r w:rsidR="00E35776">
        <w:t xml:space="preserve"> recalled that in its initial consideration it</w:t>
      </w:r>
      <w:r w:rsidR="00E35776" w:rsidRPr="74465C00">
        <w:t xml:space="preserve"> considered there </w:t>
      </w:r>
      <w:r w:rsidR="00520891">
        <w:t>to be</w:t>
      </w:r>
      <w:r w:rsidR="00E35776" w:rsidRPr="74465C00">
        <w:t xml:space="preserve"> a risk that </w:t>
      </w:r>
      <w:r w:rsidR="00E35776" w:rsidRPr="74465C00">
        <w:rPr>
          <w:i/>
          <w:iCs/>
        </w:rPr>
        <w:t>FGFR2</w:t>
      </w:r>
      <w:r w:rsidR="00E35776" w:rsidRPr="74465C00">
        <w:t xml:space="preserve"> testing may be higher than expected due to testing non-CCA tumours which are presumed to be CCA</w:t>
      </w:r>
      <w:r w:rsidR="00E35776">
        <w:t>.</w:t>
      </w:r>
      <w:r w:rsidR="00D545F5">
        <w:t xml:space="preserve"> Given that most </w:t>
      </w:r>
      <w:r w:rsidR="00D545F5" w:rsidRPr="002513E5">
        <w:rPr>
          <w:i/>
          <w:iCs/>
        </w:rPr>
        <w:t>FGFR2</w:t>
      </w:r>
      <w:r w:rsidR="00D545F5">
        <w:t xml:space="preserve"> fusions and rearrangements occur in patients with intrahepatic CCA</w:t>
      </w:r>
      <w:r w:rsidR="001A2D4B">
        <w:t xml:space="preserve"> (</w:t>
      </w:r>
      <w:proofErr w:type="spellStart"/>
      <w:r w:rsidR="001A2D4B">
        <w:t>iCCA</w:t>
      </w:r>
      <w:proofErr w:type="spellEnd"/>
      <w:r w:rsidR="001A2D4B">
        <w:t>)</w:t>
      </w:r>
      <w:r w:rsidR="00D545F5">
        <w:t xml:space="preserve">, MSAC considered that testing tumours other than </w:t>
      </w:r>
      <w:proofErr w:type="spellStart"/>
      <w:r w:rsidR="00D545F5">
        <w:t>iCCA</w:t>
      </w:r>
      <w:proofErr w:type="spellEnd"/>
      <w:r w:rsidR="00D545F5">
        <w:t xml:space="preserve"> may lead to a significant number of tests without any clinical benefit.</w:t>
      </w:r>
      <w:r w:rsidR="00E35776">
        <w:t xml:space="preserve"> </w:t>
      </w:r>
      <w:r w:rsidR="00F60497">
        <w:t xml:space="preserve">MSAC noted </w:t>
      </w:r>
      <w:r w:rsidR="005C6C4A">
        <w:t xml:space="preserve">the </w:t>
      </w:r>
      <w:r w:rsidR="00E35776">
        <w:t>reapplication</w:t>
      </w:r>
      <w:r w:rsidR="001A2D4B">
        <w:t xml:space="preserve"> argued that</w:t>
      </w:r>
      <w:r w:rsidR="005C6C4A">
        <w:t xml:space="preserve"> </w:t>
      </w:r>
      <w:r w:rsidR="001A2D4B">
        <w:t>the</w:t>
      </w:r>
      <w:r w:rsidR="005C6C4A">
        <w:t xml:space="preserve"> Australian Institute of Health and Welfare</w:t>
      </w:r>
      <w:r w:rsidR="008130BE">
        <w:t xml:space="preserve"> (AIHW)</w:t>
      </w:r>
      <w:r w:rsidR="005C6C4A">
        <w:t xml:space="preserve"> epidemiology data used to estimate patient numbers in the </w:t>
      </w:r>
      <w:r w:rsidR="00520891">
        <w:t>initial application</w:t>
      </w:r>
      <w:r w:rsidR="001A2D4B">
        <w:t xml:space="preserve"> would have already captured patients who may have been misdiagnosed with CCA</w:t>
      </w:r>
      <w:r w:rsidR="005C6C4A">
        <w:t xml:space="preserve">. MSAC disagreed with this statement and </w:t>
      </w:r>
      <w:r w:rsidR="005969EA">
        <w:t xml:space="preserve">considered </w:t>
      </w:r>
      <w:r w:rsidR="005C6C4A">
        <w:t>that the AIHW</w:t>
      </w:r>
      <w:r w:rsidR="003F4DB6">
        <w:t xml:space="preserve"> data</w:t>
      </w:r>
      <w:r w:rsidR="005C6C4A">
        <w:t xml:space="preserve"> would not </w:t>
      </w:r>
      <w:r w:rsidR="005969EA">
        <w:t xml:space="preserve">fully account for patients in non-CCA populations who may also access </w:t>
      </w:r>
      <w:r w:rsidR="005969EA" w:rsidRPr="00094EB7">
        <w:rPr>
          <w:i/>
          <w:iCs/>
        </w:rPr>
        <w:t>FGFR2</w:t>
      </w:r>
      <w:r w:rsidR="005969EA">
        <w:t xml:space="preserve"> testing</w:t>
      </w:r>
      <w:r w:rsidR="005C6C4A">
        <w:t>.</w:t>
      </w:r>
      <w:r w:rsidR="00B9668E">
        <w:t xml:space="preserve"> The reapplication did not provide any further information or risk mitigation strategies to address MSAC’s concern.</w:t>
      </w:r>
      <w:r w:rsidR="005C6C4A">
        <w:t xml:space="preserve"> MSAC </w:t>
      </w:r>
      <w:r w:rsidR="008B756E">
        <w:t xml:space="preserve">reiterated </w:t>
      </w:r>
      <w:r w:rsidR="005C6C4A">
        <w:t xml:space="preserve">that there is a significant risk of </w:t>
      </w:r>
      <w:r w:rsidR="00120375">
        <w:t>the expa</w:t>
      </w:r>
      <w:r w:rsidR="008B756E">
        <w:t>n</w:t>
      </w:r>
      <w:r w:rsidR="00120375">
        <w:t>sion</w:t>
      </w:r>
      <w:r w:rsidR="005C6C4A">
        <w:t xml:space="preserve"> of testing</w:t>
      </w:r>
      <w:r w:rsidR="008B756E">
        <w:t xml:space="preserve"> to populations other than CCA. MSAC acknowledged that there is significant uncertainty in the proportion of patients from these (unintended) populations who may access the test in practice</w:t>
      </w:r>
      <w:r w:rsidR="005C6C4A">
        <w:t>,</w:t>
      </w:r>
      <w:r w:rsidR="00F01B48">
        <w:t xml:space="preserve"> however advised that this should be taken into consideration </w:t>
      </w:r>
      <w:r w:rsidR="00667076">
        <w:t>in the economic and financial analys</w:t>
      </w:r>
      <w:r w:rsidR="00F01B48">
        <w:t>e</w:t>
      </w:r>
      <w:r w:rsidR="00667076">
        <w:t>s</w:t>
      </w:r>
      <w:r w:rsidR="00F01B48">
        <w:t xml:space="preserve"> of any subsequent reapplication</w:t>
      </w:r>
      <w:r w:rsidR="00667076">
        <w:t>.</w:t>
      </w:r>
      <w:r w:rsidR="00F01B48">
        <w:t xml:space="preserve"> </w:t>
      </w:r>
      <w:r w:rsidR="00A3096F">
        <w:t>To man</w:t>
      </w:r>
      <w:r w:rsidR="008D1B1A">
        <w:t>a</w:t>
      </w:r>
      <w:r w:rsidR="00A3096F">
        <w:t xml:space="preserve">ge the risk of testing expanding beyond the intended CCA population, MSAC considered it reasonable to monitor </w:t>
      </w:r>
      <w:r w:rsidR="00A3096F" w:rsidRPr="002513E5">
        <w:rPr>
          <w:i/>
          <w:iCs/>
        </w:rPr>
        <w:t>FGFR2</w:t>
      </w:r>
      <w:r w:rsidR="00A3096F">
        <w:t xml:space="preserve"> test utilisation, if supported for MBS listing. </w:t>
      </w:r>
    </w:p>
    <w:p w14:paraId="3DA666F4" w14:textId="1EC75322" w:rsidR="009C3DA9" w:rsidRDefault="009C3DA9" w:rsidP="00AA2B95">
      <w:pPr>
        <w:jc w:val="both"/>
      </w:pPr>
      <w:r>
        <w:t xml:space="preserve">MSAC recalled that the initial application modelled 40% of testing at no cost, as this is currently provided by </w:t>
      </w:r>
      <w:proofErr w:type="spellStart"/>
      <w:r>
        <w:t>Omico</w:t>
      </w:r>
      <w:proofErr w:type="spellEnd"/>
      <w:r>
        <w:t xml:space="preserve"> in clinical practice. </w:t>
      </w:r>
      <w:r w:rsidR="000F3449">
        <w:t>However,</w:t>
      </w:r>
      <w:r w:rsidR="000F3449" w:rsidRPr="006C6104">
        <w:t xml:space="preserve"> MSAC considered it </w:t>
      </w:r>
      <w:r w:rsidR="000F3449">
        <w:t xml:space="preserve">was </w:t>
      </w:r>
      <w:r w:rsidR="000F3449" w:rsidRPr="006C6104">
        <w:t xml:space="preserve">unlikely that </w:t>
      </w:r>
      <w:proofErr w:type="spellStart"/>
      <w:r w:rsidR="000F3449" w:rsidRPr="006C6104">
        <w:t>O</w:t>
      </w:r>
      <w:r w:rsidR="000F3449">
        <w:t>mico</w:t>
      </w:r>
      <w:proofErr w:type="spellEnd"/>
      <w:r w:rsidR="000F3449" w:rsidRPr="006C6104">
        <w:t xml:space="preserve"> would continue testing for CCA at no cost</w:t>
      </w:r>
      <w:r w:rsidR="000F3449">
        <w:t xml:space="preserve"> if the item were MBS listed. As such, MSAC </w:t>
      </w:r>
      <w:r w:rsidR="006D53AB">
        <w:t>advised</w:t>
      </w:r>
      <w:r w:rsidR="006D53AB" w:rsidRPr="006C6104">
        <w:t xml:space="preserve"> </w:t>
      </w:r>
      <w:r w:rsidR="000F3449">
        <w:t>that</w:t>
      </w:r>
      <w:r w:rsidR="000F3449" w:rsidRPr="006C6104">
        <w:t xml:space="preserve"> the modelling </w:t>
      </w:r>
      <w:r w:rsidR="000F3449">
        <w:t>be revised to</w:t>
      </w:r>
      <w:r w:rsidR="000F3449" w:rsidRPr="006C6104">
        <w:t xml:space="preserve"> include </w:t>
      </w:r>
      <w:r w:rsidR="000F3449">
        <w:t xml:space="preserve">all testing at full cost. </w:t>
      </w:r>
      <w:r>
        <w:t>MSAC noted that the reapplication had modelled 20% of testing at no cost</w:t>
      </w:r>
      <w:r w:rsidR="0051207B">
        <w:t xml:space="preserve"> (reduced from the 40% modelled in the initial application)</w:t>
      </w:r>
      <w:r>
        <w:t xml:space="preserve">. </w:t>
      </w:r>
      <w:r w:rsidR="000F3449">
        <w:t>MSAC reiterated its initial advice and considered that analyses should be performed by including all testing at full cost.</w:t>
      </w:r>
    </w:p>
    <w:p w14:paraId="268D27ED" w14:textId="5FDA8463" w:rsidR="005C6C4A" w:rsidRPr="005C6C4A" w:rsidRDefault="00C562DF" w:rsidP="00AA2B95">
      <w:pPr>
        <w:jc w:val="both"/>
      </w:pPr>
      <w:r>
        <w:t xml:space="preserve">While </w:t>
      </w:r>
      <w:r w:rsidR="005C6C4A">
        <w:t xml:space="preserve">MSAC considered the test to be safe and effective, </w:t>
      </w:r>
      <w:r>
        <w:t xml:space="preserve">and the codependency of </w:t>
      </w:r>
      <w:r w:rsidRPr="7F079A81">
        <w:rPr>
          <w:i/>
          <w:iCs/>
        </w:rPr>
        <w:t>FGFR2</w:t>
      </w:r>
      <w:r>
        <w:t xml:space="preserve"> testing and futibatinib to be established</w:t>
      </w:r>
      <w:r w:rsidR="00633322">
        <w:t>, it considered</w:t>
      </w:r>
      <w:r w:rsidR="005C6C4A">
        <w:t xml:space="preserve"> that there </w:t>
      </w:r>
      <w:r w:rsidR="00DE130E">
        <w:t>were</w:t>
      </w:r>
      <w:r w:rsidR="005C6C4A">
        <w:t xml:space="preserve"> </w:t>
      </w:r>
      <w:r w:rsidR="007E4DBC">
        <w:t xml:space="preserve">still </w:t>
      </w:r>
      <w:r w:rsidR="005C6C4A">
        <w:t xml:space="preserve">unresolved issues outstanding from its </w:t>
      </w:r>
      <w:r w:rsidR="008D1B1A">
        <w:t xml:space="preserve">initial </w:t>
      </w:r>
      <w:r w:rsidR="005C6C4A">
        <w:t>consideration</w:t>
      </w:r>
      <w:r w:rsidR="007E4DBC">
        <w:t>.</w:t>
      </w:r>
      <w:r w:rsidR="00B31BC0">
        <w:t xml:space="preserve"> MSAC requested further advice from the Department on the appropriate MBS fee for gene panel testing. </w:t>
      </w:r>
      <w:r w:rsidR="007E4DBC">
        <w:t>MSAC considered that</w:t>
      </w:r>
      <w:r w:rsidR="00663AFB">
        <w:t xml:space="preserve"> the issues related to the </w:t>
      </w:r>
      <w:r w:rsidR="008D1B1A">
        <w:t xml:space="preserve">testing </w:t>
      </w:r>
      <w:r w:rsidR="00663AFB">
        <w:t>population remained unresolved</w:t>
      </w:r>
      <w:r w:rsidR="005C6C4A">
        <w:t>. Further,</w:t>
      </w:r>
      <w:r w:rsidR="00B859CF">
        <w:t xml:space="preserve"> MSAC noted</w:t>
      </w:r>
      <w:r w:rsidR="005C6C4A">
        <w:t xml:space="preserve"> the PBAC did not recommend listing futibatinib on the PBS</w:t>
      </w:r>
      <w:r w:rsidR="00B859CF">
        <w:t xml:space="preserve"> at its </w:t>
      </w:r>
      <w:r w:rsidR="00B31BC0">
        <w:t>July 2025 meeting</w:t>
      </w:r>
      <w:r w:rsidR="005C6C4A">
        <w:t xml:space="preserve">. </w:t>
      </w:r>
      <w:r w:rsidR="003F4DB6">
        <w:t>Taking all this into consideration</w:t>
      </w:r>
      <w:r w:rsidR="005C6C4A">
        <w:t xml:space="preserve">, MSAC did not </w:t>
      </w:r>
      <w:r w:rsidR="008D1B1A">
        <w:t xml:space="preserve">support </w:t>
      </w:r>
      <w:r w:rsidR="003F4DB6">
        <w:t xml:space="preserve">the </w:t>
      </w:r>
      <w:r w:rsidR="005C6C4A">
        <w:t xml:space="preserve">listing </w:t>
      </w:r>
      <w:r w:rsidR="003F4DB6">
        <w:t xml:space="preserve">of </w:t>
      </w:r>
      <w:r w:rsidR="005C6C4A" w:rsidRPr="7F079A81">
        <w:rPr>
          <w:i/>
          <w:iCs/>
        </w:rPr>
        <w:t>FGFR2</w:t>
      </w:r>
      <w:r w:rsidR="005C6C4A">
        <w:t xml:space="preserve"> testing on the MBS. </w:t>
      </w:r>
      <w:r w:rsidR="008C1F59">
        <w:t>MSAC considered</w:t>
      </w:r>
      <w:r w:rsidR="00B31BC0">
        <w:t xml:space="preserve"> that before the application could be reconsidered,</w:t>
      </w:r>
      <w:r w:rsidR="008C1F59">
        <w:t xml:space="preserve"> the</w:t>
      </w:r>
      <w:r w:rsidR="005C6C4A">
        <w:t xml:space="preserve"> applicant would need to address the issues </w:t>
      </w:r>
      <w:r w:rsidR="00D75926">
        <w:t xml:space="preserve">raised by </w:t>
      </w:r>
      <w:r w:rsidR="005C6C4A">
        <w:t>MSAC, specifically:</w:t>
      </w:r>
    </w:p>
    <w:p w14:paraId="10417E13" w14:textId="5FCD00FD" w:rsidR="005C6C4A" w:rsidRPr="005C6C4A" w:rsidRDefault="001778AC" w:rsidP="00AA2B95">
      <w:pPr>
        <w:pStyle w:val="Bullet"/>
        <w:numPr>
          <w:ilvl w:val="0"/>
          <w:numId w:val="28"/>
        </w:numPr>
        <w:spacing w:before="0"/>
        <w:ind w:left="720"/>
        <w:jc w:val="both"/>
        <w:rPr>
          <w:rFonts w:ascii="Franklin Gothic Book" w:hAnsi="Franklin Gothic Book"/>
        </w:rPr>
      </w:pPr>
      <w:r w:rsidRPr="005C6C4A">
        <w:rPr>
          <w:rFonts w:ascii="Franklin Gothic Book" w:hAnsi="Franklin Gothic Book"/>
        </w:rPr>
        <w:t>I</w:t>
      </w:r>
      <w:r w:rsidR="005C6C4A" w:rsidRPr="005C6C4A">
        <w:rPr>
          <w:rFonts w:ascii="Franklin Gothic Book" w:hAnsi="Franklin Gothic Book"/>
        </w:rPr>
        <w:t>nclude</w:t>
      </w:r>
      <w:r>
        <w:rPr>
          <w:rFonts w:ascii="Franklin Gothic Book" w:hAnsi="Franklin Gothic Book"/>
        </w:rPr>
        <w:t xml:space="preserve"> </w:t>
      </w:r>
      <w:r w:rsidRPr="005C6C4A">
        <w:rPr>
          <w:rFonts w:ascii="Franklin Gothic Book" w:hAnsi="Franklin Gothic Book"/>
        </w:rPr>
        <w:t xml:space="preserve">testing </w:t>
      </w:r>
      <w:r w:rsidR="00C51581">
        <w:rPr>
          <w:rFonts w:ascii="Franklin Gothic Book" w:hAnsi="Franklin Gothic Book"/>
        </w:rPr>
        <w:t>cost</w:t>
      </w:r>
      <w:r w:rsidR="00523603">
        <w:rPr>
          <w:rFonts w:ascii="Franklin Gothic Book" w:hAnsi="Franklin Gothic Book"/>
        </w:rPr>
        <w:t>s</w:t>
      </w:r>
      <w:r w:rsidR="00C51581">
        <w:rPr>
          <w:rFonts w:ascii="Franklin Gothic Book" w:hAnsi="Franklin Gothic Book"/>
        </w:rPr>
        <w:t xml:space="preserve"> for </w:t>
      </w:r>
      <w:r w:rsidR="00F36FFE">
        <w:rPr>
          <w:rFonts w:ascii="Franklin Gothic Book" w:hAnsi="Franklin Gothic Book"/>
        </w:rPr>
        <w:t xml:space="preserve">all patients diagnosed with </w:t>
      </w:r>
      <w:r w:rsidR="008D1B1A">
        <w:rPr>
          <w:rFonts w:ascii="Franklin Gothic Book" w:hAnsi="Franklin Gothic Book"/>
        </w:rPr>
        <w:t xml:space="preserve">CCA </w:t>
      </w:r>
      <w:r w:rsidR="00F36FFE">
        <w:rPr>
          <w:rFonts w:ascii="Franklin Gothic Book" w:hAnsi="Franklin Gothic Book"/>
        </w:rPr>
        <w:t xml:space="preserve">at the point of </w:t>
      </w:r>
      <w:r w:rsidRPr="005C6C4A">
        <w:rPr>
          <w:rFonts w:ascii="Franklin Gothic Book" w:hAnsi="Franklin Gothic Book"/>
        </w:rPr>
        <w:t>diagnosis</w:t>
      </w:r>
      <w:r>
        <w:rPr>
          <w:rFonts w:ascii="Franklin Gothic Book" w:hAnsi="Franklin Gothic Book"/>
        </w:rPr>
        <w:t xml:space="preserve"> for</w:t>
      </w:r>
      <w:r w:rsidR="005C6C4A" w:rsidRPr="005C6C4A">
        <w:rPr>
          <w:rFonts w:ascii="Franklin Gothic Book" w:hAnsi="Franklin Gothic Book"/>
        </w:rPr>
        <w:t xml:space="preserve"> all economic modelling and </w:t>
      </w:r>
      <w:r w:rsidR="008D1B1A">
        <w:rPr>
          <w:rFonts w:ascii="Franklin Gothic Book" w:hAnsi="Franklin Gothic Book"/>
        </w:rPr>
        <w:t>financial</w:t>
      </w:r>
      <w:r w:rsidR="008D1B1A" w:rsidRPr="005C6C4A">
        <w:rPr>
          <w:rFonts w:ascii="Franklin Gothic Book" w:hAnsi="Franklin Gothic Book"/>
        </w:rPr>
        <w:t xml:space="preserve"> </w:t>
      </w:r>
      <w:r w:rsidR="005C6C4A" w:rsidRPr="005C6C4A">
        <w:rPr>
          <w:rFonts w:ascii="Franklin Gothic Book" w:hAnsi="Franklin Gothic Book"/>
        </w:rPr>
        <w:t xml:space="preserve">impact </w:t>
      </w:r>
      <w:r>
        <w:rPr>
          <w:rFonts w:ascii="Franklin Gothic Book" w:hAnsi="Franklin Gothic Book"/>
        </w:rPr>
        <w:t>analys</w:t>
      </w:r>
      <w:r w:rsidR="003F4DB6">
        <w:rPr>
          <w:rFonts w:ascii="Franklin Gothic Book" w:hAnsi="Franklin Gothic Book"/>
        </w:rPr>
        <w:t>i</w:t>
      </w:r>
      <w:r>
        <w:rPr>
          <w:rFonts w:ascii="Franklin Gothic Book" w:hAnsi="Franklin Gothic Book"/>
        </w:rPr>
        <w:t>s</w:t>
      </w:r>
      <w:r w:rsidR="00B2003E">
        <w:rPr>
          <w:rFonts w:ascii="Franklin Gothic Book" w:hAnsi="Franklin Gothic Book"/>
        </w:rPr>
        <w:t>.</w:t>
      </w:r>
    </w:p>
    <w:p w14:paraId="3B8E639D" w14:textId="3D0049E6" w:rsidR="005C6C4A" w:rsidRDefault="00B2003E" w:rsidP="00AA2B95">
      <w:pPr>
        <w:pStyle w:val="Bullet"/>
        <w:numPr>
          <w:ilvl w:val="0"/>
          <w:numId w:val="28"/>
        </w:numPr>
        <w:spacing w:before="0"/>
        <w:ind w:left="720"/>
        <w:jc w:val="both"/>
        <w:rPr>
          <w:rFonts w:ascii="Franklin Gothic Book" w:hAnsi="Franklin Gothic Book"/>
        </w:rPr>
      </w:pPr>
      <w:r>
        <w:rPr>
          <w:rFonts w:ascii="Franklin Gothic Book" w:hAnsi="Franklin Gothic Book"/>
        </w:rPr>
        <w:t>A</w:t>
      </w:r>
      <w:r w:rsidR="005C6C4A" w:rsidRPr="005C6C4A">
        <w:rPr>
          <w:rFonts w:ascii="Franklin Gothic Book" w:hAnsi="Franklin Gothic Book"/>
        </w:rPr>
        <w:t xml:space="preserve">ddress the issue of </w:t>
      </w:r>
      <w:r>
        <w:rPr>
          <w:rFonts w:ascii="Franklin Gothic Book" w:hAnsi="Franklin Gothic Book"/>
        </w:rPr>
        <w:t>expansion</w:t>
      </w:r>
      <w:r w:rsidRPr="005C6C4A">
        <w:rPr>
          <w:rFonts w:ascii="Franklin Gothic Book" w:hAnsi="Franklin Gothic Book"/>
        </w:rPr>
        <w:t xml:space="preserve"> </w:t>
      </w:r>
      <w:r w:rsidR="008D1B1A">
        <w:rPr>
          <w:rFonts w:ascii="Franklin Gothic Book" w:hAnsi="Franklin Gothic Book"/>
        </w:rPr>
        <w:t xml:space="preserve">of the testing to populations outside of the intended CCA population (e.g. </w:t>
      </w:r>
      <w:r w:rsidR="005C6C4A" w:rsidRPr="005C6C4A">
        <w:rPr>
          <w:rFonts w:ascii="Franklin Gothic Book" w:hAnsi="Franklin Gothic Book"/>
        </w:rPr>
        <w:t xml:space="preserve">pancreatic cancer </w:t>
      </w:r>
      <w:r w:rsidR="008D1B1A">
        <w:rPr>
          <w:rFonts w:ascii="Franklin Gothic Book" w:hAnsi="Franklin Gothic Book"/>
        </w:rPr>
        <w:t>and</w:t>
      </w:r>
      <w:r w:rsidR="008D1B1A" w:rsidRPr="005C6C4A">
        <w:rPr>
          <w:rFonts w:ascii="Franklin Gothic Book" w:hAnsi="Franklin Gothic Book"/>
        </w:rPr>
        <w:t xml:space="preserve"> </w:t>
      </w:r>
      <w:r w:rsidR="00BF6C4F">
        <w:rPr>
          <w:rFonts w:ascii="Franklin Gothic Book" w:hAnsi="Franklin Gothic Book"/>
        </w:rPr>
        <w:t>cancer of unknown primary</w:t>
      </w:r>
      <w:r w:rsidR="008D1B1A">
        <w:rPr>
          <w:rFonts w:ascii="Franklin Gothic Book" w:hAnsi="Franklin Gothic Book"/>
        </w:rPr>
        <w:t>)</w:t>
      </w:r>
      <w:r w:rsidR="005C6C4A" w:rsidRPr="005C6C4A">
        <w:rPr>
          <w:rFonts w:ascii="Franklin Gothic Book" w:hAnsi="Franklin Gothic Book"/>
        </w:rPr>
        <w:t>.</w:t>
      </w:r>
    </w:p>
    <w:p w14:paraId="510A687D" w14:textId="4AA471F2" w:rsidR="00F664EC" w:rsidRDefault="00F664EC" w:rsidP="00AA2B95">
      <w:pPr>
        <w:pStyle w:val="Bullet"/>
        <w:numPr>
          <w:ilvl w:val="0"/>
          <w:numId w:val="28"/>
        </w:numPr>
        <w:spacing w:before="0"/>
        <w:ind w:left="720"/>
        <w:jc w:val="both"/>
        <w:rPr>
          <w:rFonts w:ascii="Franklin Gothic Book" w:hAnsi="Franklin Gothic Book"/>
        </w:rPr>
      </w:pPr>
      <w:r>
        <w:rPr>
          <w:rFonts w:ascii="Franklin Gothic Book" w:hAnsi="Franklin Gothic Book"/>
        </w:rPr>
        <w:t>Revise the economic and financial analyses by removing the assumption that 20% of the testing will be performed at no cost</w:t>
      </w:r>
    </w:p>
    <w:p w14:paraId="1F45628A" w14:textId="0AD50CE1" w:rsidR="00B2003E" w:rsidRPr="005C6C4A" w:rsidRDefault="00B2003E" w:rsidP="00AA2B95">
      <w:pPr>
        <w:pStyle w:val="Bullet"/>
        <w:numPr>
          <w:ilvl w:val="0"/>
          <w:numId w:val="0"/>
        </w:numPr>
        <w:spacing w:before="0"/>
        <w:jc w:val="both"/>
        <w:rPr>
          <w:rFonts w:ascii="Franklin Gothic Book" w:hAnsi="Franklin Gothic Book"/>
        </w:rPr>
      </w:pPr>
      <w:r>
        <w:rPr>
          <w:rFonts w:ascii="Franklin Gothic Book" w:hAnsi="Franklin Gothic Book"/>
        </w:rPr>
        <w:lastRenderedPageBreak/>
        <w:t>MSAC considered that these issues could be addressed in a streamlined reapplication.</w:t>
      </w:r>
    </w:p>
    <w:p w14:paraId="6710B69D" w14:textId="406E0D2C" w:rsidR="00772829" w:rsidRPr="00CE28E3" w:rsidRDefault="00772829" w:rsidP="00A8213D">
      <w:pPr>
        <w:pStyle w:val="Heading2"/>
        <w:numPr>
          <w:ilvl w:val="0"/>
          <w:numId w:val="10"/>
        </w:numPr>
      </w:pPr>
      <w:r w:rsidRPr="00CE28E3">
        <w:t>Background</w:t>
      </w:r>
      <w:bookmarkEnd w:id="2"/>
    </w:p>
    <w:p w14:paraId="650B5C5E" w14:textId="5067ED83" w:rsidR="006C3B16" w:rsidRDefault="002F65C7" w:rsidP="00D928F6">
      <w:pPr>
        <w:jc w:val="both"/>
      </w:pPr>
      <w:bookmarkStart w:id="5" w:name="_Hlk69734494"/>
      <w:r w:rsidRPr="002F65C7">
        <w:t xml:space="preserve">Taiho Pharma Oceania Pty Ltd </w:t>
      </w:r>
      <w:r>
        <w:t>submitted a</w:t>
      </w:r>
      <w:r w:rsidR="00174332">
        <w:t>n integrated co</w:t>
      </w:r>
      <w:r w:rsidR="00CC4F96">
        <w:t>dependent</w:t>
      </w:r>
      <w:r w:rsidR="00174332">
        <w:t xml:space="preserve"> </w:t>
      </w:r>
      <w:r w:rsidR="00CC4F96">
        <w:t>application in October 2024 for consideration by the PBAC and MSAC</w:t>
      </w:r>
      <w:r w:rsidR="00B54DCB">
        <w:t xml:space="preserve"> at the March 2025 and April 2025 meetings, respectively.</w:t>
      </w:r>
    </w:p>
    <w:p w14:paraId="489BF9F3" w14:textId="5E8158F0" w:rsidR="00FB75E0" w:rsidRDefault="0018798F" w:rsidP="00D928F6">
      <w:pPr>
        <w:jc w:val="both"/>
      </w:pPr>
      <w:r>
        <w:t xml:space="preserve">The </w:t>
      </w:r>
      <w:r w:rsidR="004C3E2B">
        <w:t xml:space="preserve">PBAC did not recommend </w:t>
      </w:r>
      <w:r w:rsidR="00262DC7">
        <w:t xml:space="preserve">futibatinib </w:t>
      </w:r>
      <w:r w:rsidR="00262DC7" w:rsidRPr="00FE02BC">
        <w:t xml:space="preserve">for the treatment of locally advanced or metastatic cholangiocarcinoma (CCA) in patients with </w:t>
      </w:r>
      <w:r w:rsidR="00262DC7" w:rsidRPr="00FE02BC">
        <w:rPr>
          <w:i/>
          <w:iCs/>
        </w:rPr>
        <w:t>FGFR2</w:t>
      </w:r>
      <w:r w:rsidR="00262DC7" w:rsidRPr="00FE02BC">
        <w:t xml:space="preserve"> fusion or rearrangement</w:t>
      </w:r>
      <w:r w:rsidR="00262DC7">
        <w:t xml:space="preserve"> at the March 2025 meeting.</w:t>
      </w:r>
      <w:r w:rsidR="00E167E5">
        <w:t xml:space="preserve"> </w:t>
      </w:r>
      <w:r w:rsidR="00253861" w:rsidRPr="00576EE4">
        <w:t>The PBAC considered that there was a high clinical need for treatments for patients with</w:t>
      </w:r>
      <w:r w:rsidR="00253861">
        <w:t xml:space="preserve"> CCA</w:t>
      </w:r>
      <w:r w:rsidR="00253861" w:rsidRPr="00576EE4">
        <w:t xml:space="preserve">, </w:t>
      </w:r>
      <w:r w:rsidR="00253861">
        <w:t xml:space="preserve">particularly those with </w:t>
      </w:r>
      <w:r w:rsidR="00253861" w:rsidRPr="00576EE4">
        <w:t xml:space="preserve">locally advanced or metastatic </w:t>
      </w:r>
      <w:r w:rsidR="00253861">
        <w:t xml:space="preserve">disease, where the </w:t>
      </w:r>
      <w:r w:rsidR="00253861" w:rsidRPr="00576EE4">
        <w:t>prognosis</w:t>
      </w:r>
      <w:r w:rsidR="00253861">
        <w:t xml:space="preserve"> is generally poor</w:t>
      </w:r>
      <w:r w:rsidR="00253861" w:rsidRPr="00576EE4">
        <w:t xml:space="preserve">. </w:t>
      </w:r>
      <w:r w:rsidR="00653248" w:rsidRPr="001F0309">
        <w:t>The PBAC noted that based on the available clinical evidence the magnitude of clinical benefit was highly uncertain. The PBAC considered the economic model would need to be amended to include a more conservative and realistic estimate of clinical benefit to increase the reliability of the incremental cost-effectiveness ratio (ICER). The PBAC considered futibatinib would be cost-effective with an ICER of less than</w:t>
      </w:r>
      <w:r w:rsidR="00FF2D12">
        <w:t xml:space="preserve"> $55,000 to </w:t>
      </w:r>
      <w:r w:rsidR="006A3A4D">
        <w:t>&lt;</w:t>
      </w:r>
      <w:r w:rsidR="00653248" w:rsidRPr="001F0309">
        <w:t xml:space="preserve"> $75,000 per QALY. The PBAC noted the estimated number of patients that would be treated with futibatinib was uncertain and would need revision to more accurately reflect the prevalence of CCA and the number of patients with a </w:t>
      </w:r>
      <w:r w:rsidR="00653248" w:rsidRPr="001F0309">
        <w:rPr>
          <w:i/>
        </w:rPr>
        <w:t>FGFR2</w:t>
      </w:r>
      <w:r w:rsidR="00653248" w:rsidRPr="001F0309">
        <w:t xml:space="preserve"> fusion or rearrangement. The PBAC considered the outstanding issues could be addressed in an early re-entry submission </w:t>
      </w:r>
      <w:r w:rsidR="00253861" w:rsidRPr="001F0309">
        <w:t>(Ratified Minutes)</w:t>
      </w:r>
      <w:r w:rsidR="00253861" w:rsidRPr="00E219BC">
        <w:rPr>
          <w:i/>
          <w:iCs/>
        </w:rPr>
        <w:t>.</w:t>
      </w:r>
      <w:r w:rsidR="00253861" w:rsidRPr="007A0F21">
        <w:t xml:space="preserve"> </w:t>
      </w:r>
    </w:p>
    <w:p w14:paraId="09B70E0F" w14:textId="3E867DFC" w:rsidR="003B6DB1" w:rsidRDefault="003B6DB1" w:rsidP="00D928F6">
      <w:pPr>
        <w:jc w:val="both"/>
      </w:pPr>
      <w:r>
        <w:t xml:space="preserve">An early re-entry PBAC submission was lodged 2 May 2025 for consideration at the July 2025 PBAC meeting. </w:t>
      </w:r>
      <w:r w:rsidR="00AF1E2A">
        <w:t>A summary of key issues addressed in th</w:t>
      </w:r>
      <w:r w:rsidR="00296DE3">
        <w:t>e</w:t>
      </w:r>
      <w:r w:rsidR="00AF1E2A">
        <w:t xml:space="preserve"> resubmission can be found in Table 1-1</w:t>
      </w:r>
      <w:r w:rsidR="00401264">
        <w:t xml:space="preserve"> of the</w:t>
      </w:r>
      <w:r w:rsidR="00CF668C">
        <w:t xml:space="preserve"> early re-entry PBAC</w:t>
      </w:r>
      <w:r w:rsidR="00401264">
        <w:t xml:space="preserve"> </w:t>
      </w:r>
      <w:r w:rsidR="00296DE3">
        <w:t>submission</w:t>
      </w:r>
      <w:r w:rsidR="00401264">
        <w:t xml:space="preserve">. </w:t>
      </w:r>
    </w:p>
    <w:p w14:paraId="6802FC16" w14:textId="7659F651" w:rsidR="00E84EE4" w:rsidRPr="001F0309" w:rsidRDefault="006C3B16" w:rsidP="00D928F6">
      <w:pPr>
        <w:jc w:val="both"/>
      </w:pPr>
      <w:r w:rsidRPr="001F0309">
        <w:t>MSAC deferred its advice at their April 2025 m</w:t>
      </w:r>
      <w:r w:rsidR="00262DC7" w:rsidRPr="001F0309">
        <w:t>eeting.</w:t>
      </w:r>
      <w:r w:rsidRPr="001F0309">
        <w:t xml:space="preserve"> </w:t>
      </w:r>
      <w:r w:rsidR="00133D06" w:rsidRPr="001F0309">
        <w:t>MSAC noted that the PBAC did not recommend futibatinib</w:t>
      </w:r>
      <w:r w:rsidR="006409F7" w:rsidRPr="001F0309">
        <w:t xml:space="preserve"> at its March 2025 meeting</w:t>
      </w:r>
      <w:r w:rsidR="00133D06" w:rsidRPr="001F0309">
        <w:t>,</w:t>
      </w:r>
      <w:r w:rsidR="000D0F2B" w:rsidRPr="001F0309">
        <w:t xml:space="preserve"> and </w:t>
      </w:r>
      <w:r w:rsidR="00FE2DF1" w:rsidRPr="001F0309">
        <w:t xml:space="preserve">requested further information regarding the </w:t>
      </w:r>
      <w:r w:rsidR="00755FE5" w:rsidRPr="001F0309">
        <w:t>testing population</w:t>
      </w:r>
      <w:r w:rsidR="00444FB6" w:rsidRPr="001F0309">
        <w:t xml:space="preserve">, test methodology, </w:t>
      </w:r>
      <w:r w:rsidR="00FE2DF1" w:rsidRPr="001F0309">
        <w:t xml:space="preserve">cost effectiveness and financial </w:t>
      </w:r>
      <w:r w:rsidR="00983838" w:rsidRPr="001F0309">
        <w:t xml:space="preserve">analysis. </w:t>
      </w:r>
      <w:r w:rsidR="00E84EE4" w:rsidRPr="001F0309">
        <w:t xml:space="preserve">MSAC considered that a streamlined </w:t>
      </w:r>
      <w:r w:rsidR="006E3A51" w:rsidRPr="001F0309">
        <w:t>re</w:t>
      </w:r>
      <w:r w:rsidR="006E3A51">
        <w:t>application</w:t>
      </w:r>
      <w:r w:rsidR="006E3A51" w:rsidRPr="001F0309">
        <w:t xml:space="preserve"> </w:t>
      </w:r>
      <w:r w:rsidR="00E84EE4" w:rsidRPr="001F0309">
        <w:t>could proceed via the direct MSAC assessment pathway.</w:t>
      </w:r>
      <w:r w:rsidR="00983838" w:rsidRPr="001F0309">
        <w:t xml:space="preserve"> The MSAC</w:t>
      </w:r>
      <w:r w:rsidR="005517A8" w:rsidRPr="001F0309">
        <w:t xml:space="preserve"> summary</w:t>
      </w:r>
      <w:r w:rsidR="00983838" w:rsidRPr="001F0309">
        <w:t xml:space="preserve"> </w:t>
      </w:r>
      <w:r w:rsidR="00AB5181" w:rsidRPr="001F0309">
        <w:t>outcome</w:t>
      </w:r>
      <w:r w:rsidR="005517A8" w:rsidRPr="001F0309">
        <w:t xml:space="preserve">s </w:t>
      </w:r>
      <w:r w:rsidR="00983838" w:rsidRPr="001F0309">
        <w:t>is below</w:t>
      </w:r>
      <w:r w:rsidR="00AB5181" w:rsidRPr="001F0309">
        <w:t>:</w:t>
      </w:r>
    </w:p>
    <w:p w14:paraId="6FE23F23" w14:textId="1161DD25" w:rsidR="000B6B37" w:rsidRPr="00E84EE4" w:rsidRDefault="005B2F9F" w:rsidP="00D928F6">
      <w:pPr>
        <w:jc w:val="both"/>
        <w:rPr>
          <w:rFonts w:eastAsia="Franklin Gothic Book" w:cs="Franklin Gothic Book"/>
          <w:i/>
          <w:color w:val="000000" w:themeColor="text1"/>
        </w:rPr>
      </w:pPr>
      <w:r w:rsidRPr="00D928F6">
        <w:rPr>
          <w:i/>
          <w:iCs/>
        </w:rPr>
        <w:t>“</w:t>
      </w:r>
      <w:r w:rsidR="000B6B37" w:rsidRPr="00E219BC">
        <w:rPr>
          <w:rFonts w:eastAsia="Franklin Gothic Book" w:cs="Franklin Gothic Book"/>
          <w:iCs/>
          <w:color w:val="000000" w:themeColor="text1"/>
        </w:rPr>
        <w:t xml:space="preserve">MSAC acknowledged that patients with CCA typically have a poor prognosis, and that there is a high clinical need for new treatment options for this patient population. MSAC considered the claim of codependency of </w:t>
      </w:r>
      <w:r w:rsidR="000B6B37" w:rsidRPr="002C1B51">
        <w:rPr>
          <w:rFonts w:eastAsia="Franklin Gothic Book" w:cs="Franklin Gothic Book"/>
          <w:i/>
          <w:color w:val="000000" w:themeColor="text1"/>
        </w:rPr>
        <w:t>FGFR2</w:t>
      </w:r>
      <w:r w:rsidR="000B6B37" w:rsidRPr="00E219BC">
        <w:rPr>
          <w:rFonts w:eastAsia="Franklin Gothic Book" w:cs="Franklin Gothic Book"/>
          <w:iCs/>
          <w:color w:val="000000" w:themeColor="text1"/>
        </w:rPr>
        <w:t xml:space="preserve"> testing and futibatinib </w:t>
      </w:r>
      <w:r w:rsidR="000B6B37" w:rsidRPr="00E219BC" w:rsidDel="00C9349D">
        <w:rPr>
          <w:rFonts w:eastAsia="Franklin Gothic Book" w:cs="Franklin Gothic Book"/>
          <w:iCs/>
          <w:color w:val="000000" w:themeColor="text1"/>
        </w:rPr>
        <w:t xml:space="preserve">was </w:t>
      </w:r>
      <w:r w:rsidR="000B6B37" w:rsidRPr="00E219BC">
        <w:rPr>
          <w:rFonts w:eastAsia="Franklin Gothic Book" w:cs="Franklin Gothic Book"/>
          <w:iCs/>
          <w:color w:val="000000" w:themeColor="text1"/>
        </w:rPr>
        <w:t xml:space="preserve">reasonable based on the available (albeit limited) information. MSAC considered that </w:t>
      </w:r>
      <w:r w:rsidR="000B6B37" w:rsidRPr="002C1B51">
        <w:rPr>
          <w:rFonts w:eastAsia="Franklin Gothic Book" w:cs="Franklin Gothic Book"/>
          <w:i/>
          <w:color w:val="000000" w:themeColor="text1"/>
        </w:rPr>
        <w:t>FGFR2</w:t>
      </w:r>
      <w:r w:rsidR="000B6B37" w:rsidRPr="00E219BC">
        <w:rPr>
          <w:rFonts w:eastAsia="Franklin Gothic Book" w:cs="Franklin Gothic Book"/>
          <w:iCs/>
          <w:color w:val="000000" w:themeColor="text1"/>
        </w:rPr>
        <w:t xml:space="preserve"> testing should occur in the whole CCA population</w:t>
      </w:r>
      <w:r w:rsidR="000B6B37" w:rsidRPr="00E219BC" w:rsidDel="001A7E90">
        <w:rPr>
          <w:rFonts w:eastAsia="Franklin Gothic Book" w:cs="Franklin Gothic Book"/>
          <w:iCs/>
          <w:color w:val="000000" w:themeColor="text1"/>
        </w:rPr>
        <w:t xml:space="preserve"> </w:t>
      </w:r>
      <w:r w:rsidR="000B6B37" w:rsidRPr="00E219BC">
        <w:rPr>
          <w:rFonts w:eastAsia="Franklin Gothic Book" w:cs="Franklin Gothic Book"/>
          <w:iCs/>
          <w:color w:val="000000" w:themeColor="text1"/>
        </w:rPr>
        <w:t xml:space="preserve">at diagnosis to prevent any delays in treatment decisions as it is a rapidly progressing cancer and the tumour samples for testing are small. MSAC considered a combined next generation sequencing (NGS) test on DNA and RNA as the most appropriate method to ensure that </w:t>
      </w:r>
      <w:r w:rsidR="000B6B37" w:rsidRPr="002C1B51">
        <w:rPr>
          <w:rFonts w:eastAsia="Franklin Gothic Book" w:cs="Franklin Gothic Book"/>
          <w:i/>
          <w:color w:val="000000" w:themeColor="text1"/>
        </w:rPr>
        <w:t>FGFR2</w:t>
      </w:r>
      <w:r w:rsidR="000B6B37" w:rsidRPr="00E219BC">
        <w:rPr>
          <w:rFonts w:eastAsia="Franklin Gothic Book" w:cs="Franklin Gothic Book"/>
          <w:iCs/>
          <w:color w:val="000000" w:themeColor="text1"/>
        </w:rPr>
        <w:t xml:space="preserve"> fusions and rearrangements are accurately detected, with NGS on RNA or DNA as the next preferred method should a combination test be unavailable. MSAC considered that Fluorescence </w:t>
      </w:r>
      <w:proofErr w:type="gramStart"/>
      <w:r w:rsidR="000B6B37" w:rsidRPr="00E219BC">
        <w:rPr>
          <w:rFonts w:eastAsia="Franklin Gothic Book" w:cs="Franklin Gothic Book"/>
          <w:iCs/>
          <w:color w:val="000000" w:themeColor="text1"/>
        </w:rPr>
        <w:t>In</w:t>
      </w:r>
      <w:proofErr w:type="gramEnd"/>
      <w:r w:rsidR="000B6B37" w:rsidRPr="00E219BC">
        <w:rPr>
          <w:rFonts w:eastAsia="Franklin Gothic Book" w:cs="Franklin Gothic Book"/>
          <w:iCs/>
          <w:color w:val="000000" w:themeColor="text1"/>
        </w:rPr>
        <w:t xml:space="preserve"> Situ Hybridisation (FISH) was not an appropriate testing option as it is less robust (compared to, and superseded by, NGS testing) in detecting tumours with </w:t>
      </w:r>
      <w:r w:rsidR="000B6B37" w:rsidRPr="002C1B51">
        <w:rPr>
          <w:rFonts w:eastAsia="Franklin Gothic Book" w:cs="Franklin Gothic Book"/>
          <w:i/>
          <w:color w:val="000000" w:themeColor="text1"/>
        </w:rPr>
        <w:t>FGFR2</w:t>
      </w:r>
      <w:r w:rsidR="000B6B37" w:rsidRPr="00E219BC">
        <w:rPr>
          <w:rFonts w:eastAsia="Franklin Gothic Book" w:cs="Franklin Gothic Book"/>
          <w:iCs/>
          <w:color w:val="000000" w:themeColor="text1"/>
        </w:rPr>
        <w:t xml:space="preserve"> fusions and rearrangements. MSAC considered that a single MBS item for a DNA and RNA NGS panel test for </w:t>
      </w:r>
      <w:r w:rsidR="000B6B37" w:rsidRPr="002C1B51">
        <w:rPr>
          <w:rFonts w:eastAsia="Franklin Gothic Book" w:cs="Franklin Gothic Book"/>
          <w:i/>
          <w:color w:val="000000" w:themeColor="text1"/>
        </w:rPr>
        <w:t>FGFR2</w:t>
      </w:r>
      <w:r w:rsidR="000B6B37" w:rsidRPr="00E219BC">
        <w:rPr>
          <w:rFonts w:eastAsia="Franklin Gothic Book" w:cs="Franklin Gothic Book"/>
          <w:iCs/>
          <w:color w:val="000000" w:themeColor="text1"/>
        </w:rPr>
        <w:t xml:space="preserve"> fusions and rearrangements and </w:t>
      </w:r>
      <w:r w:rsidR="000B6B37" w:rsidRPr="002C1B51">
        <w:rPr>
          <w:rFonts w:eastAsia="Franklin Gothic Book" w:cs="Franklin Gothic Book"/>
          <w:i/>
          <w:color w:val="000000" w:themeColor="text1"/>
        </w:rPr>
        <w:t>IDH1</w:t>
      </w:r>
      <w:r w:rsidR="000B6B37" w:rsidRPr="00E219BC">
        <w:rPr>
          <w:rFonts w:eastAsia="Franklin Gothic Book" w:cs="Franklin Gothic Book"/>
          <w:iCs/>
          <w:color w:val="000000" w:themeColor="text1"/>
        </w:rPr>
        <w:t xml:space="preserve"> sequencing (Application 1750 supported by MSAC in November 2024 for the whole CCA population) would be appropriate if both tests are funded. MSAC considered an appropriate fee for the panel needed to be determined. MSAC considered there is a risk that test may be used outside of the intended CCA population for other cancers as it can be difficult to differentiate CCA and other cancer in nearby organs (e.g. pancreatic cancers and cancers of unknown primary). MSAC requested further information on the cost effectiveness of a panel test and potential financial impact of testing if testing were to occur in these (unintended) populations in practice. MSAC considered that updated economic and financial analyses should be presented to MSAC via the direct MSAC assessment pathway.</w:t>
      </w:r>
      <w:r w:rsidRPr="00E219BC">
        <w:rPr>
          <w:rFonts w:eastAsia="Franklin Gothic Book" w:cs="Franklin Gothic Book"/>
          <w:iCs/>
          <w:color w:val="000000" w:themeColor="text1"/>
        </w:rPr>
        <w:t>”</w:t>
      </w:r>
    </w:p>
    <w:p w14:paraId="3F8849E7" w14:textId="744B7C4E" w:rsidR="0018798F" w:rsidRPr="000E2DEC" w:rsidRDefault="0018798F" w:rsidP="00D928F6">
      <w:pPr>
        <w:jc w:val="both"/>
      </w:pPr>
      <w:r>
        <w:lastRenderedPageBreak/>
        <w:t xml:space="preserve">A summary of key matters of MSAC concern and how this </w:t>
      </w:r>
      <w:r w:rsidR="006E3A51">
        <w:t xml:space="preserve">reapplication </w:t>
      </w:r>
      <w:r w:rsidR="002C4DD6">
        <w:t>addresses</w:t>
      </w:r>
      <w:r>
        <w:t xml:space="preserve"> these concerns is provided in </w:t>
      </w:r>
      <w:r>
        <w:fldChar w:fldCharType="begin"/>
      </w:r>
      <w:r>
        <w:instrText xml:space="preserve"> REF _Ref69480768 \h </w:instrText>
      </w:r>
      <w:r w:rsidR="00D928F6">
        <w:instrText xml:space="preserve"> \* MERGEFORMAT </w:instrText>
      </w:r>
      <w:r>
        <w:fldChar w:fldCharType="separate"/>
      </w:r>
      <w:r w:rsidRPr="00CE28E3">
        <w:t>Table</w:t>
      </w:r>
      <w:r>
        <w:t> </w:t>
      </w:r>
      <w:r>
        <w:rPr>
          <w:noProof/>
        </w:rPr>
        <w:t>1</w:t>
      </w:r>
      <w:r>
        <w:fldChar w:fldCharType="end"/>
      </w:r>
      <w:r>
        <w:t>.</w:t>
      </w:r>
    </w:p>
    <w:p w14:paraId="6EC12EDF" w14:textId="3AF2297B" w:rsidR="0068682C" w:rsidRPr="00CE28E3" w:rsidRDefault="0068682C" w:rsidP="0068682C">
      <w:pPr>
        <w:pStyle w:val="Caption"/>
      </w:pPr>
      <w:bookmarkStart w:id="6" w:name="_Ref69480768"/>
      <w:bookmarkStart w:id="7" w:name="_Hlk69734557"/>
      <w:bookmarkEnd w:id="5"/>
      <w:r w:rsidRPr="00CE28E3">
        <w:t>Table</w:t>
      </w:r>
      <w:r w:rsidR="004A4FDF">
        <w:t> </w:t>
      </w:r>
      <w:r w:rsidR="00432A41">
        <w:fldChar w:fldCharType="begin"/>
      </w:r>
      <w:r w:rsidR="00432A41">
        <w:instrText xml:space="preserve"> SEQ Table \* ARABIC </w:instrText>
      </w:r>
      <w:r w:rsidR="00432A41">
        <w:fldChar w:fldCharType="separate"/>
      </w:r>
      <w:r w:rsidR="00432A41">
        <w:rPr>
          <w:noProof/>
        </w:rPr>
        <w:t>1</w:t>
      </w:r>
      <w:r w:rsidR="00432A41">
        <w:rPr>
          <w:noProof/>
        </w:rPr>
        <w:fldChar w:fldCharType="end"/>
      </w:r>
      <w:bookmarkEnd w:id="6"/>
      <w:r w:rsidRPr="00CE28E3">
        <w:tab/>
        <w:t xml:space="preserve">Summary of key matters of </w:t>
      </w:r>
      <w:r w:rsidR="004423C0">
        <w:t xml:space="preserve">MSAC </w:t>
      </w:r>
      <w:r w:rsidRPr="00CE28E3">
        <w:t>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90"/>
        <w:gridCol w:w="3028"/>
      </w:tblGrid>
      <w:tr w:rsidR="00F57885" w:rsidRPr="00CE28E3" w14:paraId="2BDCC27B" w14:textId="77777777" w:rsidTr="007A33F2">
        <w:trPr>
          <w:cantSplit/>
          <w:tblHeader/>
        </w:trPr>
        <w:tc>
          <w:tcPr>
            <w:tcW w:w="1663" w:type="pct"/>
          </w:tcPr>
          <w:p w14:paraId="58F6A808" w14:textId="77777777" w:rsidR="00F57885" w:rsidRPr="00CE28E3" w:rsidRDefault="00F57885" w:rsidP="00824458">
            <w:pPr>
              <w:pStyle w:val="In-tableHeading"/>
            </w:pPr>
            <w:bookmarkStart w:id="8" w:name="ColumnTitle_Table1"/>
            <w:bookmarkStart w:id="9" w:name="_Hlk68275590"/>
            <w:bookmarkEnd w:id="8"/>
            <w:r w:rsidRPr="00CE28E3">
              <w:t>Component</w:t>
            </w:r>
          </w:p>
        </w:tc>
        <w:tc>
          <w:tcPr>
            <w:tcW w:w="1658" w:type="pct"/>
          </w:tcPr>
          <w:p w14:paraId="09992FB9" w14:textId="77777777" w:rsidR="00F57885" w:rsidRPr="00CE28E3" w:rsidRDefault="00F57885" w:rsidP="00824458">
            <w:pPr>
              <w:pStyle w:val="In-tableHeading"/>
            </w:pPr>
            <w:r w:rsidRPr="00CE28E3">
              <w:t>Matter of concern</w:t>
            </w:r>
          </w:p>
        </w:tc>
        <w:tc>
          <w:tcPr>
            <w:tcW w:w="1679" w:type="pct"/>
          </w:tcPr>
          <w:p w14:paraId="54C88680" w14:textId="77777777" w:rsidR="00F57885" w:rsidRPr="00CE28E3" w:rsidRDefault="00F57885" w:rsidP="00824458">
            <w:pPr>
              <w:pStyle w:val="In-tableHeading"/>
            </w:pPr>
            <w:r w:rsidRPr="00CE28E3">
              <w:t>How the current assessment report addresses it</w:t>
            </w:r>
          </w:p>
        </w:tc>
      </w:tr>
      <w:tr w:rsidR="00F57885" w:rsidRPr="00CE28E3" w14:paraId="0D0A7682" w14:textId="77777777" w:rsidTr="007A33F2">
        <w:trPr>
          <w:cantSplit/>
        </w:trPr>
        <w:tc>
          <w:tcPr>
            <w:tcW w:w="1663" w:type="pct"/>
          </w:tcPr>
          <w:p w14:paraId="4F1DA453" w14:textId="2AC5EA64" w:rsidR="00F57885" w:rsidRPr="0044697F" w:rsidRDefault="008F254E" w:rsidP="00824458">
            <w:pPr>
              <w:pStyle w:val="TableText"/>
            </w:pPr>
            <w:r w:rsidRPr="0044697F">
              <w:t>Testing population</w:t>
            </w:r>
          </w:p>
        </w:tc>
        <w:tc>
          <w:tcPr>
            <w:tcW w:w="1658" w:type="pct"/>
          </w:tcPr>
          <w:p w14:paraId="3F35F478" w14:textId="519E34AA" w:rsidR="00F57885" w:rsidRPr="0044697F" w:rsidRDefault="004423C0" w:rsidP="00824458">
            <w:pPr>
              <w:pStyle w:val="TableText"/>
              <w:rPr>
                <w:szCs w:val="20"/>
              </w:rPr>
            </w:pPr>
            <w:r w:rsidRPr="0044697F">
              <w:rPr>
                <w:rFonts w:eastAsia="Times New Roman" w:cs="Arial"/>
                <w:snapToGrid w:val="0"/>
                <w:szCs w:val="20"/>
              </w:rPr>
              <w:t xml:space="preserve">MSAC considered that </w:t>
            </w:r>
            <w:r w:rsidRPr="0044697F">
              <w:rPr>
                <w:rFonts w:eastAsia="Times New Roman" w:cs="Arial"/>
                <w:i/>
                <w:snapToGrid w:val="0"/>
                <w:szCs w:val="20"/>
              </w:rPr>
              <w:t>FGFR2</w:t>
            </w:r>
            <w:r w:rsidRPr="0044697F">
              <w:rPr>
                <w:rFonts w:eastAsia="Times New Roman" w:cs="Arial"/>
                <w:snapToGrid w:val="0"/>
                <w:szCs w:val="20"/>
              </w:rPr>
              <w:t xml:space="preserve"> testing should occur in the whole CCA population</w:t>
            </w:r>
            <w:r w:rsidRPr="0044697F" w:rsidDel="001A7E90">
              <w:rPr>
                <w:rFonts w:eastAsia="Times New Roman" w:cs="Arial"/>
                <w:snapToGrid w:val="0"/>
                <w:szCs w:val="20"/>
              </w:rPr>
              <w:t xml:space="preserve"> </w:t>
            </w:r>
            <w:r w:rsidRPr="0044697F">
              <w:rPr>
                <w:rFonts w:eastAsia="Times New Roman" w:cs="Arial"/>
                <w:snapToGrid w:val="0"/>
                <w:szCs w:val="20"/>
              </w:rPr>
              <w:t>at diagnosis to prevent any delays in treatment decisions as it is a rapidly progressing cancer and the tumour samples for testing are small.</w:t>
            </w:r>
          </w:p>
        </w:tc>
        <w:tc>
          <w:tcPr>
            <w:tcW w:w="1679" w:type="pct"/>
          </w:tcPr>
          <w:p w14:paraId="13F08427" w14:textId="18C253A4" w:rsidR="00F57885" w:rsidRPr="00CE28E3" w:rsidRDefault="00FB75E0" w:rsidP="00824458">
            <w:pPr>
              <w:pStyle w:val="TableText"/>
            </w:pPr>
            <w:r>
              <w:t>Although t</w:t>
            </w:r>
            <w:r w:rsidR="00F65F59">
              <w:t>esting population has been revised</w:t>
            </w:r>
            <w:r>
              <w:t>, it did not include the whole CCA population at diagnosis as advised by MSAC</w:t>
            </w:r>
            <w:r w:rsidR="002F49D6">
              <w:t>.</w:t>
            </w:r>
          </w:p>
        </w:tc>
      </w:tr>
      <w:tr w:rsidR="00F57885" w:rsidRPr="00CE28E3" w14:paraId="4C3B6A2C" w14:textId="77777777" w:rsidTr="007A33F2">
        <w:trPr>
          <w:cantSplit/>
        </w:trPr>
        <w:tc>
          <w:tcPr>
            <w:tcW w:w="1663" w:type="pct"/>
          </w:tcPr>
          <w:p w14:paraId="3ADC1FC4" w14:textId="1F5D3F76" w:rsidR="00F57885" w:rsidRPr="00CE28E3" w:rsidRDefault="00F23612" w:rsidP="00824458">
            <w:pPr>
              <w:pStyle w:val="TableText"/>
            </w:pPr>
            <w:r>
              <w:t>Test methodology</w:t>
            </w:r>
          </w:p>
        </w:tc>
        <w:tc>
          <w:tcPr>
            <w:tcW w:w="1658" w:type="pct"/>
          </w:tcPr>
          <w:p w14:paraId="3CB1DF2C" w14:textId="34AC6428" w:rsidR="00F57885" w:rsidRDefault="00F23612" w:rsidP="00824458">
            <w:pPr>
              <w:pStyle w:val="TableText"/>
              <w:rPr>
                <w:rFonts w:eastAsia="Times New Roman" w:cs="Arial"/>
                <w:snapToGrid w:val="0"/>
                <w:szCs w:val="20"/>
              </w:rPr>
            </w:pPr>
            <w:r w:rsidRPr="00B40151">
              <w:t xml:space="preserve">MSAC considered a combined next generation sequencing (NGS) test on DNA and RNA as the most appropriate method to ensure that </w:t>
            </w:r>
            <w:r w:rsidRPr="00B40151">
              <w:rPr>
                <w:i/>
              </w:rPr>
              <w:t>FGFR2</w:t>
            </w:r>
            <w:r w:rsidRPr="00B40151">
              <w:t xml:space="preserve"> fusions and rearrangements are accurately detected, with NGS on RNA or DNA as the next preferred method should a combination test be unavailable.</w:t>
            </w:r>
            <w:r w:rsidR="00052294">
              <w:t xml:space="preserve"> </w:t>
            </w:r>
            <w:r w:rsidRPr="00F23612">
              <w:rPr>
                <w:rFonts w:eastAsia="Times New Roman" w:cs="Arial"/>
                <w:snapToGrid w:val="0"/>
                <w:szCs w:val="20"/>
              </w:rPr>
              <w:t>MSAC considered that a single MBS item for a DNA and RNA NGS panel test for</w:t>
            </w:r>
            <w:r w:rsidRPr="00F23612">
              <w:rPr>
                <w:rFonts w:eastAsia="Times New Roman" w:cs="Arial"/>
                <w:i/>
                <w:snapToGrid w:val="0"/>
                <w:szCs w:val="20"/>
              </w:rPr>
              <w:t xml:space="preserve"> FGFR2</w:t>
            </w:r>
            <w:r w:rsidRPr="00F23612">
              <w:rPr>
                <w:rFonts w:eastAsia="Times New Roman" w:cs="Arial"/>
                <w:snapToGrid w:val="0"/>
                <w:szCs w:val="20"/>
              </w:rPr>
              <w:t xml:space="preserve"> fusions and </w:t>
            </w:r>
            <w:r w:rsidR="00C263B3" w:rsidRPr="00F23612">
              <w:rPr>
                <w:rFonts w:eastAsia="Times New Roman" w:cs="Arial"/>
                <w:snapToGrid w:val="0"/>
                <w:szCs w:val="20"/>
              </w:rPr>
              <w:t>rearrangements and</w:t>
            </w:r>
            <w:r w:rsidRPr="00F23612">
              <w:rPr>
                <w:rFonts w:eastAsia="Times New Roman" w:cs="Arial"/>
                <w:snapToGrid w:val="0"/>
                <w:szCs w:val="20"/>
              </w:rPr>
              <w:t xml:space="preserve"> </w:t>
            </w:r>
            <w:r w:rsidRPr="00F23612">
              <w:rPr>
                <w:rFonts w:eastAsia="Times New Roman" w:cs="Arial"/>
                <w:i/>
                <w:snapToGrid w:val="0"/>
                <w:szCs w:val="20"/>
              </w:rPr>
              <w:t>IDH1</w:t>
            </w:r>
            <w:r w:rsidRPr="00F23612">
              <w:rPr>
                <w:rFonts w:eastAsia="Times New Roman" w:cs="Arial"/>
                <w:snapToGrid w:val="0"/>
                <w:szCs w:val="20"/>
              </w:rPr>
              <w:t xml:space="preserve"> sequencing (Application 1750 supported by MSAC in November 2024 for the whole CCA population) would be appropriate if both tests are funded. MSAC considered an appropriate fee for the panel needed to be determined.</w:t>
            </w:r>
          </w:p>
          <w:p w14:paraId="29BB6916" w14:textId="552E78D8" w:rsidR="00D93D30" w:rsidRPr="00CE28E3" w:rsidRDefault="00D93D30" w:rsidP="00824458">
            <w:pPr>
              <w:pStyle w:val="TableText"/>
              <w:rPr>
                <w:rFonts w:eastAsia="Times New Roman" w:cs="Arial"/>
                <w:snapToGrid w:val="0"/>
                <w:szCs w:val="20"/>
              </w:rPr>
            </w:pPr>
          </w:p>
        </w:tc>
        <w:tc>
          <w:tcPr>
            <w:tcW w:w="1679" w:type="pct"/>
          </w:tcPr>
          <w:p w14:paraId="15BB4464" w14:textId="2ECD8270" w:rsidR="0049037D" w:rsidRPr="00677CEF" w:rsidRDefault="00F57885" w:rsidP="00824458">
            <w:pPr>
              <w:pStyle w:val="TableText"/>
              <w:rPr>
                <w:rFonts w:eastAsia="Times New Roman" w:cs="Arial"/>
                <w:snapToGrid w:val="0"/>
                <w:szCs w:val="20"/>
              </w:rPr>
            </w:pPr>
            <w:r w:rsidRPr="00CE28E3">
              <w:rPr>
                <w:rFonts w:eastAsia="Times New Roman" w:cs="Arial"/>
                <w:snapToGrid w:val="0"/>
                <w:szCs w:val="20"/>
              </w:rPr>
              <w:br/>
            </w:r>
            <w:r w:rsidR="00A538D5">
              <w:rPr>
                <w:rFonts w:eastAsia="Times New Roman" w:cs="Arial"/>
                <w:snapToGrid w:val="0"/>
                <w:szCs w:val="20"/>
              </w:rPr>
              <w:t>T</w:t>
            </w:r>
            <w:r w:rsidR="00FB75E0">
              <w:rPr>
                <w:rFonts w:eastAsia="Times New Roman" w:cs="Arial"/>
                <w:snapToGrid w:val="0"/>
                <w:szCs w:val="20"/>
              </w:rPr>
              <w:t>h</w:t>
            </w:r>
            <w:r w:rsidR="00F55D53">
              <w:rPr>
                <w:rFonts w:eastAsia="Times New Roman" w:cs="Arial"/>
                <w:snapToGrid w:val="0"/>
                <w:szCs w:val="20"/>
              </w:rPr>
              <w:t>e</w:t>
            </w:r>
            <w:r w:rsidR="00E655BA">
              <w:rPr>
                <w:rFonts w:eastAsia="Times New Roman" w:cs="Arial"/>
                <w:snapToGrid w:val="0"/>
                <w:szCs w:val="20"/>
              </w:rPr>
              <w:t xml:space="preserve"> </w:t>
            </w:r>
            <w:r w:rsidR="00FB75E0">
              <w:rPr>
                <w:rFonts w:eastAsia="Times New Roman" w:cs="Arial"/>
                <w:bCs/>
                <w:snapToGrid w:val="0"/>
                <w:szCs w:val="20"/>
              </w:rPr>
              <w:t xml:space="preserve">applicant </w:t>
            </w:r>
            <w:r w:rsidR="0049037D">
              <w:rPr>
                <w:rFonts w:eastAsia="Times New Roman" w:cs="Arial"/>
                <w:bCs/>
                <w:snapToGrid w:val="0"/>
                <w:szCs w:val="20"/>
              </w:rPr>
              <w:t>note</w:t>
            </w:r>
            <w:r w:rsidR="00E655BA">
              <w:rPr>
                <w:rFonts w:eastAsia="Times New Roman" w:cs="Arial"/>
                <w:bCs/>
                <w:snapToGrid w:val="0"/>
                <w:szCs w:val="20"/>
              </w:rPr>
              <w:t>d</w:t>
            </w:r>
            <w:r w:rsidR="0049037D">
              <w:rPr>
                <w:rFonts w:eastAsia="Times New Roman" w:cs="Arial"/>
                <w:bCs/>
                <w:snapToGrid w:val="0"/>
                <w:szCs w:val="20"/>
              </w:rPr>
              <w:t xml:space="preserve"> that MSAC is seeking public consultation to inform an appropriate </w:t>
            </w:r>
            <w:r w:rsidR="00BC6A6C">
              <w:rPr>
                <w:rFonts w:eastAsia="Times New Roman" w:cs="Arial"/>
                <w:bCs/>
                <w:snapToGrid w:val="0"/>
                <w:szCs w:val="20"/>
              </w:rPr>
              <w:t>fee,</w:t>
            </w:r>
            <w:r w:rsidR="00677CEF">
              <w:rPr>
                <w:rFonts w:eastAsia="Times New Roman" w:cs="Arial"/>
                <w:bCs/>
                <w:snapToGrid w:val="0"/>
                <w:szCs w:val="20"/>
              </w:rPr>
              <w:t xml:space="preserve"> and this </w:t>
            </w:r>
            <w:r w:rsidR="00C263B3">
              <w:rPr>
                <w:rFonts w:eastAsia="Times New Roman" w:cs="Arial"/>
                <w:bCs/>
                <w:snapToGrid w:val="0"/>
                <w:szCs w:val="20"/>
              </w:rPr>
              <w:t>advice</w:t>
            </w:r>
            <w:r w:rsidR="00677CEF">
              <w:rPr>
                <w:rFonts w:eastAsia="Times New Roman" w:cs="Arial"/>
                <w:bCs/>
                <w:snapToGrid w:val="0"/>
                <w:szCs w:val="20"/>
              </w:rPr>
              <w:t xml:space="preserve"> was not available at the time of lodgement of this </w:t>
            </w:r>
            <w:r w:rsidR="008B4AD7">
              <w:rPr>
                <w:rFonts w:eastAsia="Times New Roman" w:cs="Arial"/>
                <w:bCs/>
                <w:snapToGrid w:val="0"/>
                <w:szCs w:val="20"/>
              </w:rPr>
              <w:t>re</w:t>
            </w:r>
            <w:r w:rsidR="00A538D5">
              <w:rPr>
                <w:rFonts w:eastAsia="Times New Roman" w:cs="Arial"/>
                <w:bCs/>
                <w:snapToGrid w:val="0"/>
                <w:szCs w:val="20"/>
              </w:rPr>
              <w:t>application</w:t>
            </w:r>
            <w:r w:rsidR="00677CEF">
              <w:rPr>
                <w:rFonts w:eastAsia="Times New Roman" w:cs="Arial"/>
                <w:bCs/>
                <w:snapToGrid w:val="0"/>
                <w:szCs w:val="20"/>
              </w:rPr>
              <w:t>.</w:t>
            </w:r>
          </w:p>
        </w:tc>
      </w:tr>
      <w:tr w:rsidR="00E8253E" w:rsidRPr="00CE28E3" w14:paraId="3BB49D16" w14:textId="77777777" w:rsidTr="007A33F2">
        <w:trPr>
          <w:cantSplit/>
        </w:trPr>
        <w:tc>
          <w:tcPr>
            <w:tcW w:w="1663" w:type="pct"/>
          </w:tcPr>
          <w:p w14:paraId="1D34711A" w14:textId="59D48B57" w:rsidR="00E8253E" w:rsidRDefault="008E1AF6" w:rsidP="00824458">
            <w:pPr>
              <w:pStyle w:val="TableText"/>
            </w:pPr>
            <w:r>
              <w:t>Cost effectiveness of testing</w:t>
            </w:r>
          </w:p>
        </w:tc>
        <w:tc>
          <w:tcPr>
            <w:tcW w:w="1658" w:type="pct"/>
          </w:tcPr>
          <w:p w14:paraId="7FE3B50E" w14:textId="72DEDE04" w:rsidR="00E8253E" w:rsidRPr="00B40151" w:rsidRDefault="00E8253E" w:rsidP="00824458">
            <w:pPr>
              <w:pStyle w:val="TableText"/>
            </w:pPr>
            <w:r w:rsidRPr="00D93D30">
              <w:rPr>
                <w:rFonts w:eastAsia="Times New Roman" w:cs="Arial"/>
                <w:snapToGrid w:val="0"/>
                <w:szCs w:val="20"/>
              </w:rPr>
              <w:t>MSAC requested further information on the cost effectiveness of a panel test</w:t>
            </w:r>
            <w:r>
              <w:rPr>
                <w:rFonts w:eastAsia="Times New Roman" w:cs="Arial"/>
                <w:snapToGrid w:val="0"/>
                <w:szCs w:val="20"/>
              </w:rPr>
              <w:t>.</w:t>
            </w:r>
          </w:p>
        </w:tc>
        <w:tc>
          <w:tcPr>
            <w:tcW w:w="1679" w:type="pct"/>
          </w:tcPr>
          <w:p w14:paraId="5DA5C648" w14:textId="3EC2C59D" w:rsidR="00897663" w:rsidRPr="00CE28E3" w:rsidRDefault="00D56226" w:rsidP="00824458">
            <w:pPr>
              <w:pStyle w:val="TableText"/>
              <w:rPr>
                <w:rFonts w:eastAsia="Times New Roman" w:cs="Arial"/>
                <w:snapToGrid w:val="0"/>
                <w:szCs w:val="20"/>
              </w:rPr>
            </w:pPr>
            <w:r>
              <w:rPr>
                <w:rFonts w:eastAsia="Times New Roman" w:cs="Arial"/>
                <w:snapToGrid w:val="0"/>
                <w:szCs w:val="20"/>
              </w:rPr>
              <w:t>As the appropriate fee has not yet been determined the m</w:t>
            </w:r>
            <w:r w:rsidR="00897663">
              <w:rPr>
                <w:rFonts w:eastAsia="Times New Roman" w:cs="Arial"/>
                <w:snapToGrid w:val="0"/>
                <w:szCs w:val="20"/>
              </w:rPr>
              <w:t>odel</w:t>
            </w:r>
            <w:r>
              <w:rPr>
                <w:rFonts w:eastAsia="Times New Roman" w:cs="Arial"/>
                <w:snapToGrid w:val="0"/>
                <w:szCs w:val="20"/>
              </w:rPr>
              <w:t xml:space="preserve"> has been</w:t>
            </w:r>
            <w:r w:rsidR="00897663">
              <w:rPr>
                <w:rFonts w:eastAsia="Times New Roman" w:cs="Arial"/>
                <w:snapToGrid w:val="0"/>
                <w:szCs w:val="20"/>
              </w:rPr>
              <w:t xml:space="preserve"> updated </w:t>
            </w:r>
            <w:r>
              <w:rPr>
                <w:rFonts w:eastAsia="Times New Roman" w:cs="Arial"/>
                <w:snapToGrid w:val="0"/>
                <w:szCs w:val="20"/>
              </w:rPr>
              <w:t xml:space="preserve">to </w:t>
            </w:r>
            <w:r w:rsidR="00DC1E32">
              <w:rPr>
                <w:rFonts w:eastAsia="Times New Roman" w:cs="Arial"/>
                <w:snapToGrid w:val="0"/>
                <w:szCs w:val="20"/>
              </w:rPr>
              <w:t>facilitate decision making</w:t>
            </w:r>
            <w:r>
              <w:rPr>
                <w:rFonts w:eastAsia="Times New Roman" w:cs="Arial"/>
                <w:snapToGrid w:val="0"/>
                <w:szCs w:val="20"/>
              </w:rPr>
              <w:t>.</w:t>
            </w:r>
          </w:p>
        </w:tc>
      </w:tr>
      <w:tr w:rsidR="00F57885" w:rsidRPr="00CE28E3" w14:paraId="3B9AD9C3" w14:textId="77777777" w:rsidTr="007A33F2">
        <w:trPr>
          <w:cantSplit/>
        </w:trPr>
        <w:tc>
          <w:tcPr>
            <w:tcW w:w="1663" w:type="pct"/>
          </w:tcPr>
          <w:p w14:paraId="23382853" w14:textId="2454FC26" w:rsidR="00F57885" w:rsidRPr="00CE28E3" w:rsidRDefault="00DC6AD2" w:rsidP="00824458">
            <w:pPr>
              <w:pStyle w:val="TableText"/>
            </w:pPr>
            <w:r>
              <w:t>Financial impact of testing</w:t>
            </w:r>
          </w:p>
        </w:tc>
        <w:tc>
          <w:tcPr>
            <w:tcW w:w="1658" w:type="pct"/>
          </w:tcPr>
          <w:p w14:paraId="6CCD4AF3" w14:textId="4E9B56EE" w:rsidR="00F57885" w:rsidRDefault="00136662" w:rsidP="00824458">
            <w:pPr>
              <w:pStyle w:val="TableText"/>
              <w:rPr>
                <w:rFonts w:eastAsia="Times New Roman" w:cs="Arial"/>
                <w:snapToGrid w:val="0"/>
                <w:szCs w:val="20"/>
              </w:rPr>
            </w:pPr>
            <w:r w:rsidRPr="00136662">
              <w:rPr>
                <w:rFonts w:eastAsia="Times New Roman" w:cs="Arial"/>
                <w:snapToGrid w:val="0"/>
                <w:szCs w:val="20"/>
              </w:rPr>
              <w:t xml:space="preserve">MSAC considered there is a risk </w:t>
            </w:r>
            <w:r w:rsidR="003F7679">
              <w:rPr>
                <w:rFonts w:eastAsia="Times New Roman" w:cs="Arial"/>
                <w:snapToGrid w:val="0"/>
                <w:szCs w:val="20"/>
              </w:rPr>
              <w:t>of test</w:t>
            </w:r>
            <w:r w:rsidR="00CB0A75">
              <w:rPr>
                <w:rFonts w:eastAsia="Times New Roman" w:cs="Arial"/>
                <w:snapToGrid w:val="0"/>
                <w:szCs w:val="20"/>
              </w:rPr>
              <w:t xml:space="preserve"> leakage</w:t>
            </w:r>
            <w:r w:rsidRPr="00136662">
              <w:rPr>
                <w:rFonts w:eastAsia="Times New Roman" w:cs="Arial"/>
                <w:snapToGrid w:val="0"/>
                <w:szCs w:val="20"/>
              </w:rPr>
              <w:t xml:space="preserve"> outside of the intended CCA population </w:t>
            </w:r>
            <w:r w:rsidR="00194D55">
              <w:rPr>
                <w:rFonts w:eastAsia="Times New Roman" w:cs="Arial"/>
                <w:snapToGrid w:val="0"/>
                <w:szCs w:val="20"/>
              </w:rPr>
              <w:t xml:space="preserve">as </w:t>
            </w:r>
            <w:r w:rsidRPr="00136662">
              <w:rPr>
                <w:rFonts w:eastAsia="Times New Roman" w:cs="Arial"/>
                <w:snapToGrid w:val="0"/>
                <w:szCs w:val="20"/>
              </w:rPr>
              <w:t>it can be difficult to differentiate CCA and other cancer in nearby organs (e.g. pancreatic cancers and cancers of unknown primary).</w:t>
            </w:r>
          </w:p>
          <w:p w14:paraId="3C6FBFDC" w14:textId="5BB1BFFC" w:rsidR="00556F1F" w:rsidRPr="00CE28E3" w:rsidRDefault="00556F1F" w:rsidP="00824458">
            <w:pPr>
              <w:pStyle w:val="TableText"/>
            </w:pPr>
            <w:r w:rsidRPr="00556F1F">
              <w:t>MSAC requested further information on the potential financial impact of testing if testing were to occur in these (unintended) populations in practice.</w:t>
            </w:r>
          </w:p>
        </w:tc>
        <w:tc>
          <w:tcPr>
            <w:tcW w:w="1679" w:type="pct"/>
          </w:tcPr>
          <w:p w14:paraId="26202E3E" w14:textId="0408259B" w:rsidR="00F57885" w:rsidRPr="00CE28E3" w:rsidRDefault="00F57885" w:rsidP="00824458">
            <w:pPr>
              <w:pStyle w:val="TableText"/>
              <w:rPr>
                <w:rFonts w:eastAsia="Times New Roman" w:cs="Arial"/>
                <w:bCs/>
                <w:snapToGrid w:val="0"/>
                <w:szCs w:val="20"/>
              </w:rPr>
            </w:pPr>
            <w:r w:rsidRPr="00CE28E3">
              <w:rPr>
                <w:rFonts w:eastAsia="Times New Roman" w:cs="Arial"/>
                <w:snapToGrid w:val="0"/>
                <w:szCs w:val="20"/>
              </w:rPr>
              <w:br/>
            </w:r>
            <w:r w:rsidR="00DC1E32">
              <w:rPr>
                <w:rFonts w:eastAsia="Times New Roman" w:cs="Arial"/>
                <w:snapToGrid w:val="0"/>
                <w:szCs w:val="20"/>
              </w:rPr>
              <w:t xml:space="preserve">The budget impact model has </w:t>
            </w:r>
            <w:r w:rsidR="00405AD0">
              <w:rPr>
                <w:rFonts w:eastAsia="Times New Roman" w:cs="Arial"/>
                <w:snapToGrid w:val="0"/>
                <w:szCs w:val="20"/>
              </w:rPr>
              <w:t>been updated to test the impact of</w:t>
            </w:r>
            <w:r w:rsidR="004F6640">
              <w:rPr>
                <w:rFonts w:eastAsia="Times New Roman" w:cs="Arial"/>
                <w:snapToGrid w:val="0"/>
                <w:szCs w:val="20"/>
              </w:rPr>
              <w:t xml:space="preserve"> testing.</w:t>
            </w:r>
          </w:p>
        </w:tc>
      </w:tr>
    </w:tbl>
    <w:p w14:paraId="5E50AE17" w14:textId="77777777" w:rsidR="0018798F" w:rsidRDefault="00D04681" w:rsidP="00BF16DE">
      <w:pPr>
        <w:pStyle w:val="TableFigureFooter"/>
      </w:pPr>
      <w:bookmarkStart w:id="10" w:name="_Hlk68275617"/>
      <w:bookmarkEnd w:id="9"/>
      <w:r>
        <w:rPr>
          <w:szCs w:val="20"/>
        </w:rPr>
        <w:t xml:space="preserve">Abbreviations: CCA = cholangiocarcinoma; </w:t>
      </w:r>
      <w:r w:rsidR="00FB4EF5" w:rsidRPr="002C1B51">
        <w:rPr>
          <w:i/>
          <w:szCs w:val="20"/>
        </w:rPr>
        <w:t>FGFR2</w:t>
      </w:r>
      <w:r w:rsidR="00FB4EF5">
        <w:rPr>
          <w:szCs w:val="20"/>
        </w:rPr>
        <w:t xml:space="preserve"> = </w:t>
      </w:r>
      <w:r w:rsidR="00FB4EF5" w:rsidRPr="00FB4EF5">
        <w:rPr>
          <w:szCs w:val="20"/>
        </w:rPr>
        <w:t>fibroblast growth factor receptor 2</w:t>
      </w:r>
      <w:r w:rsidR="00F57885" w:rsidRPr="00CE28E3">
        <w:t xml:space="preserve">Assessment; MSAC = Medical Services Advisory Committee; </w:t>
      </w:r>
      <w:r>
        <w:t>NGS = next generation sequencing</w:t>
      </w:r>
    </w:p>
    <w:p w14:paraId="68D6ECA1" w14:textId="709B0D1B" w:rsidR="005200E2" w:rsidRPr="0018798F" w:rsidRDefault="006F2CF7" w:rsidP="00D928F6">
      <w:pPr>
        <w:jc w:val="both"/>
        <w:rPr>
          <w:rFonts w:ascii="Arial Narrow" w:hAnsi="Arial Narrow"/>
          <w:color w:val="258221"/>
          <w:sz w:val="18"/>
        </w:rPr>
      </w:pPr>
      <w:r w:rsidRPr="00DA1EE6">
        <w:t>MSAC application 1750 (Testing of tumour tissue to detect isocitrate dehydrogenase 1 [</w:t>
      </w:r>
      <w:r w:rsidRPr="002E4764">
        <w:rPr>
          <w:i/>
          <w:iCs/>
        </w:rPr>
        <w:t>IDH1</w:t>
      </w:r>
      <w:r w:rsidRPr="00DA1EE6">
        <w:t xml:space="preserve">] mutations in patients with CCA to determine eligibility for ivosidenib on the PBS) was considered at the July 2024 PBAC/MSAC meetings. The PBAC did not recommend ivosidenib at the July 2024 meeting. MSAC deferred its decision at the July 2024 meeting due to PBAC not recommending ivosidenib at the time. This application was considered again by PBAC and MSAC at the November </w:t>
      </w:r>
      <w:r w:rsidRPr="00DA1EE6">
        <w:lastRenderedPageBreak/>
        <w:t xml:space="preserve">2024 meetings and </w:t>
      </w:r>
      <w:r w:rsidR="00A7689B">
        <w:t xml:space="preserve">was </w:t>
      </w:r>
      <w:r w:rsidRPr="00DA1EE6">
        <w:t>supported by both committees.</w:t>
      </w:r>
      <w:r w:rsidR="00EC653E">
        <w:t xml:space="preserve"> </w:t>
      </w:r>
      <w:r w:rsidR="005200E2">
        <w:t xml:space="preserve">Ivosidenib was listed on the PBS and </w:t>
      </w:r>
      <w:r w:rsidR="005200E2" w:rsidRPr="00BC0290">
        <w:rPr>
          <w:i/>
          <w:iCs/>
        </w:rPr>
        <w:t>IDH1</w:t>
      </w:r>
      <w:r w:rsidR="005200E2">
        <w:t xml:space="preserve"> testing listed on the MBS on 1 July 2025.</w:t>
      </w:r>
      <w:r w:rsidR="00EC653E">
        <w:t xml:space="preserve"> </w:t>
      </w:r>
      <w:r w:rsidR="00A538D5">
        <w:t xml:space="preserve"> </w:t>
      </w:r>
    </w:p>
    <w:p w14:paraId="6F52500A" w14:textId="71F1689F" w:rsidR="00772829" w:rsidRPr="00CE28E3" w:rsidRDefault="00772829" w:rsidP="005F7F0A">
      <w:pPr>
        <w:pStyle w:val="Heading2"/>
        <w:numPr>
          <w:ilvl w:val="0"/>
          <w:numId w:val="10"/>
        </w:numPr>
      </w:pPr>
      <w:bookmarkStart w:id="11" w:name="_Toc69491417"/>
      <w:bookmarkEnd w:id="7"/>
      <w:bookmarkEnd w:id="10"/>
      <w:r w:rsidRPr="00CE28E3">
        <w:t>Prerequisites to implementation of any funding advice</w:t>
      </w:r>
      <w:bookmarkEnd w:id="11"/>
    </w:p>
    <w:p w14:paraId="04264AF9" w14:textId="5B5D94E9" w:rsidR="00D05D60" w:rsidRPr="00D05D60" w:rsidRDefault="007113A2" w:rsidP="00313B1D">
      <w:pPr>
        <w:jc w:val="both"/>
      </w:pPr>
      <w:r w:rsidRPr="007113A2">
        <w:t>LYTGOBI (futibatinib)</w:t>
      </w:r>
      <w:r>
        <w:t xml:space="preserve"> has been granted </w:t>
      </w:r>
      <w:r w:rsidR="00F50D7B">
        <w:t xml:space="preserve">provisional registration </w:t>
      </w:r>
      <w:r>
        <w:t>by the TGA</w:t>
      </w:r>
      <w:r w:rsidRPr="007113A2">
        <w:t xml:space="preserve"> in the Australian Register of Therapeutic Goods (ARTG</w:t>
      </w:r>
      <w:r w:rsidR="00D05D60">
        <w:t xml:space="preserve">). </w:t>
      </w:r>
      <w:r w:rsidR="00D05D60" w:rsidRPr="00D05D60">
        <w:t xml:space="preserve">The indication is: </w:t>
      </w:r>
    </w:p>
    <w:p w14:paraId="6B6796AE" w14:textId="6C862AAA" w:rsidR="00310C3F" w:rsidRDefault="00B14D9D" w:rsidP="00313B1D">
      <w:pPr>
        <w:jc w:val="both"/>
      </w:pPr>
      <w:r w:rsidRPr="00E219BC">
        <w:t>“</w:t>
      </w:r>
      <w:r w:rsidR="00D05D60" w:rsidRPr="00E219BC">
        <w:t>LYTGOBI monotherapy has provisional approval in Australia for the treatment of adult patients with locally advanced or metastatic intrahepatic cholangiocarcinoma with a fibroblast growth factor receptor 2 (</w:t>
      </w:r>
      <w:r w:rsidR="00D05D60" w:rsidRPr="00BC7725">
        <w:rPr>
          <w:i/>
          <w:iCs/>
        </w:rPr>
        <w:t>FGFR2</w:t>
      </w:r>
      <w:r w:rsidR="00D05D60" w:rsidRPr="00E219BC">
        <w:t xml:space="preserve">) fusion or rearrangement that have progressed after at least one prior line of systemic therapy. The decision to approve this indication has been made </w:t>
      </w:r>
      <w:proofErr w:type="gramStart"/>
      <w:r w:rsidR="00D05D60" w:rsidRPr="00E219BC">
        <w:t>on the basis of</w:t>
      </w:r>
      <w:proofErr w:type="gramEnd"/>
      <w:r w:rsidR="00D05D60" w:rsidRPr="00E219BC">
        <w:t xml:space="preserve"> the favourable objective response rate and duration of response in a single arm trial. Continued approval of this indication depends on verification and description of benefit in confirmatory trials.</w:t>
      </w:r>
      <w:r w:rsidRPr="00E219BC">
        <w:t>”</w:t>
      </w:r>
    </w:p>
    <w:p w14:paraId="55FCF942" w14:textId="36A2629B" w:rsidR="007009D1" w:rsidRPr="005E57D0" w:rsidRDefault="005922D1" w:rsidP="00313B1D">
      <w:pPr>
        <w:pStyle w:val="Instructionaltext"/>
        <w:spacing w:line="240" w:lineRule="auto"/>
        <w:jc w:val="both"/>
        <w:rPr>
          <w:color w:val="auto"/>
        </w:rPr>
      </w:pPr>
      <w:r w:rsidRPr="005922D1">
        <w:rPr>
          <w:color w:val="auto"/>
        </w:rPr>
        <w:t xml:space="preserve">The PBAC considered it would be appropriate for futibatinib to be listed for patients with locally advanced or metastatic CCA who have previously progressed on systemic therapy and who have evidence of an </w:t>
      </w:r>
      <w:r w:rsidRPr="005922D1">
        <w:rPr>
          <w:i/>
          <w:iCs/>
          <w:color w:val="auto"/>
        </w:rPr>
        <w:t>FGRF2</w:t>
      </w:r>
      <w:r w:rsidRPr="005922D1">
        <w:rPr>
          <w:color w:val="auto"/>
        </w:rPr>
        <w:t xml:space="preserve"> fusion or rearrangement. The PBAC agreed with the ESCs that it can be difficult to differentiate between intrahepatic and extrahepatic </w:t>
      </w:r>
      <w:proofErr w:type="gramStart"/>
      <w:r w:rsidRPr="005922D1">
        <w:rPr>
          <w:color w:val="auto"/>
        </w:rPr>
        <w:t>CCA</w:t>
      </w:r>
      <w:proofErr w:type="gramEnd"/>
      <w:r w:rsidRPr="005922D1">
        <w:rPr>
          <w:color w:val="auto"/>
        </w:rPr>
        <w:t xml:space="preserve"> and it was likely futibatinib would provide benefit in the small population of patients with non-</w:t>
      </w:r>
      <w:proofErr w:type="spellStart"/>
      <w:r w:rsidRPr="005922D1">
        <w:rPr>
          <w:color w:val="auto"/>
        </w:rPr>
        <w:t>iCCA</w:t>
      </w:r>
      <w:proofErr w:type="spellEnd"/>
      <w:r w:rsidRPr="005922D1">
        <w:rPr>
          <w:color w:val="auto"/>
        </w:rPr>
        <w:t xml:space="preserve"> who have an </w:t>
      </w:r>
      <w:r w:rsidRPr="005922D1">
        <w:rPr>
          <w:i/>
          <w:iCs/>
          <w:color w:val="auto"/>
        </w:rPr>
        <w:t>FGFR2</w:t>
      </w:r>
      <w:r w:rsidRPr="005922D1">
        <w:rPr>
          <w:color w:val="auto"/>
        </w:rPr>
        <w:t xml:space="preserve"> fusion or rearrangement.</w:t>
      </w:r>
    </w:p>
    <w:p w14:paraId="586F7783" w14:textId="3989A331" w:rsidR="000D06EC" w:rsidRPr="00330942" w:rsidRDefault="000D06EC" w:rsidP="00313B1D">
      <w:pPr>
        <w:pStyle w:val="Instructionaltext"/>
        <w:spacing w:line="240" w:lineRule="auto"/>
        <w:jc w:val="both"/>
        <w:rPr>
          <w:color w:val="auto"/>
        </w:rPr>
      </w:pPr>
      <w:r w:rsidRPr="7F079A81">
        <w:rPr>
          <w:i/>
          <w:iCs/>
          <w:color w:val="auto"/>
        </w:rPr>
        <w:t>FGFR2</w:t>
      </w:r>
      <w:r w:rsidRPr="7F079A81">
        <w:rPr>
          <w:color w:val="auto"/>
        </w:rPr>
        <w:t xml:space="preserve"> fusions or rearrangements testing is expected to be conducted in specialist laboratories who must hold the appropriate accreditation and registration for this testing procedure to receive MBS funding for the proposed test. Laboratories will need to participate in the relevant Royal College of Pathologist of Australasia (RCPA) Quality Assurance Program </w:t>
      </w:r>
      <w:r w:rsidR="566916F3" w:rsidRPr="7F079A81">
        <w:rPr>
          <w:color w:val="auto"/>
        </w:rPr>
        <w:t>(QAP)</w:t>
      </w:r>
      <w:r w:rsidRPr="7F079A81">
        <w:rPr>
          <w:color w:val="auto"/>
        </w:rPr>
        <w:t xml:space="preserve">. Testing must be conducted, and the results interpreted and reported by suitably qualified and trained pathologists. </w:t>
      </w:r>
    </w:p>
    <w:p w14:paraId="52AC3D9A" w14:textId="5BA30CC8" w:rsidR="00310C3F" w:rsidRPr="00330A0A" w:rsidRDefault="00EF1415" w:rsidP="00313B1D">
      <w:pPr>
        <w:pStyle w:val="Instructionaltext"/>
        <w:jc w:val="both"/>
      </w:pPr>
      <w:r>
        <w:rPr>
          <w:color w:val="auto"/>
        </w:rPr>
        <w:t>M</w:t>
      </w:r>
      <w:r w:rsidR="000D06EC" w:rsidRPr="00330942">
        <w:rPr>
          <w:color w:val="auto"/>
        </w:rPr>
        <w:t xml:space="preserve">any laboratories in Australia currently offer National Association of Testing Authorities (NATA) accredited testing for </w:t>
      </w:r>
      <w:r w:rsidR="000D06EC" w:rsidRPr="00330942">
        <w:rPr>
          <w:i/>
          <w:iCs/>
          <w:color w:val="auto"/>
        </w:rPr>
        <w:t>FGFR2</w:t>
      </w:r>
      <w:r w:rsidR="000D06EC" w:rsidRPr="00330942">
        <w:rPr>
          <w:color w:val="auto"/>
        </w:rPr>
        <w:t xml:space="preserve"> fusions, supported by </w:t>
      </w:r>
      <w:r w:rsidR="00FB03E0">
        <w:rPr>
          <w:color w:val="auto"/>
        </w:rPr>
        <w:t xml:space="preserve">an </w:t>
      </w:r>
      <w:r w:rsidR="000D06EC" w:rsidRPr="00330942">
        <w:rPr>
          <w:color w:val="auto"/>
        </w:rPr>
        <w:t>established external quality assessment program.</w:t>
      </w:r>
    </w:p>
    <w:p w14:paraId="44C3B242" w14:textId="37B0ED03" w:rsidR="00772829" w:rsidRPr="00CE28E3" w:rsidRDefault="00772829" w:rsidP="005F7F0A">
      <w:pPr>
        <w:pStyle w:val="Heading2"/>
        <w:numPr>
          <w:ilvl w:val="0"/>
          <w:numId w:val="10"/>
        </w:numPr>
      </w:pPr>
      <w:bookmarkStart w:id="12" w:name="_Toc69491418"/>
      <w:r w:rsidRPr="00CE28E3">
        <w:t>Proposal for public funding</w:t>
      </w:r>
      <w:bookmarkEnd w:id="12"/>
    </w:p>
    <w:p w14:paraId="628409B2" w14:textId="11F63E2F" w:rsidR="00082E5F" w:rsidRPr="00A571E7" w:rsidRDefault="00F55D53" w:rsidP="0094766C">
      <w:pPr>
        <w:spacing w:before="0" w:after="240" w:line="240" w:lineRule="auto"/>
        <w:jc w:val="both"/>
        <w:rPr>
          <w:rFonts w:eastAsia="Times New Roman" w:cs="Arial"/>
          <w:snapToGrid w:val="0"/>
          <w:lang w:eastAsia="en-AU"/>
        </w:rPr>
      </w:pPr>
      <w:bookmarkStart w:id="13" w:name="_Ref69481033"/>
      <w:r>
        <w:rPr>
          <w:rFonts w:eastAsia="Times New Roman" w:cs="Arial"/>
          <w:snapToGrid w:val="0"/>
          <w:lang w:eastAsia="en-AU"/>
        </w:rPr>
        <w:t>In its initial consideration, t</w:t>
      </w:r>
      <w:r w:rsidR="00082E5F" w:rsidRPr="00A571E7">
        <w:rPr>
          <w:rFonts w:eastAsia="Times New Roman" w:cs="Arial"/>
          <w:snapToGrid w:val="0"/>
          <w:lang w:eastAsia="en-AU"/>
        </w:rPr>
        <w:t xml:space="preserve">he ESCs proposed the following MBS item descriptor if a </w:t>
      </w:r>
      <w:r w:rsidR="00082E5F" w:rsidRPr="001F0309">
        <w:rPr>
          <w:rFonts w:eastAsia="Times New Roman" w:cs="Arial"/>
          <w:snapToGrid w:val="0"/>
          <w:lang w:eastAsia="en-AU"/>
        </w:rPr>
        <w:t xml:space="preserve">single gene test for </w:t>
      </w:r>
      <w:r w:rsidR="00082E5F" w:rsidRPr="001F0309">
        <w:rPr>
          <w:rFonts w:eastAsia="Times New Roman" w:cs="Arial"/>
          <w:i/>
          <w:iCs/>
          <w:snapToGrid w:val="0"/>
          <w:lang w:eastAsia="en-AU"/>
        </w:rPr>
        <w:t>FGFR2</w:t>
      </w:r>
      <w:r w:rsidR="00082E5F" w:rsidRPr="00A571E7">
        <w:rPr>
          <w:rFonts w:eastAsia="Times New Roman" w:cs="Arial"/>
          <w:snapToGrid w:val="0"/>
          <w:lang w:eastAsia="en-AU"/>
        </w:rPr>
        <w:t xml:space="preserve"> is supported</w:t>
      </w:r>
      <w:r w:rsidR="000D42F0">
        <w:rPr>
          <w:rFonts w:eastAsia="Times New Roman" w:cs="Arial"/>
          <w:snapToGrid w:val="0"/>
          <w:lang w:eastAsia="en-AU"/>
        </w:rPr>
        <w:t xml:space="preserve"> (</w:t>
      </w:r>
      <w:r w:rsidR="00D9649D">
        <w:rPr>
          <w:rFonts w:eastAsia="Times New Roman" w:cs="Arial"/>
          <w:snapToGrid w:val="0"/>
          <w:lang w:eastAsia="en-AU"/>
        </w:rPr>
        <w:fldChar w:fldCharType="begin"/>
      </w:r>
      <w:r w:rsidR="00D9649D">
        <w:rPr>
          <w:rFonts w:eastAsia="Times New Roman" w:cs="Arial"/>
          <w:snapToGrid w:val="0"/>
          <w:lang w:eastAsia="en-AU"/>
        </w:rPr>
        <w:instrText xml:space="preserve"> REF _Ref207203464 \h </w:instrText>
      </w:r>
      <w:r w:rsidR="00D9649D">
        <w:rPr>
          <w:rFonts w:eastAsia="Times New Roman" w:cs="Arial"/>
          <w:snapToGrid w:val="0"/>
          <w:lang w:eastAsia="en-AU"/>
        </w:rPr>
      </w:r>
      <w:r w:rsidR="00D9649D">
        <w:rPr>
          <w:rFonts w:eastAsia="Times New Roman" w:cs="Arial"/>
          <w:snapToGrid w:val="0"/>
          <w:lang w:eastAsia="en-AU"/>
        </w:rPr>
        <w:fldChar w:fldCharType="separate"/>
      </w:r>
      <w:r w:rsidR="00D9649D">
        <w:t xml:space="preserve">Table </w:t>
      </w:r>
      <w:r w:rsidR="00D9649D">
        <w:rPr>
          <w:noProof/>
        </w:rPr>
        <w:t>2</w:t>
      </w:r>
      <w:r w:rsidR="00D9649D">
        <w:rPr>
          <w:rFonts w:eastAsia="Times New Roman" w:cs="Arial"/>
          <w:snapToGrid w:val="0"/>
          <w:lang w:eastAsia="en-AU"/>
        </w:rPr>
        <w:fldChar w:fldCharType="end"/>
      </w:r>
      <w:r w:rsidR="00D9649D">
        <w:rPr>
          <w:rFonts w:eastAsia="Times New Roman" w:cs="Arial"/>
          <w:snapToGrid w:val="0"/>
          <w:lang w:eastAsia="en-AU"/>
        </w:rPr>
        <w:t>)</w:t>
      </w:r>
      <w:r w:rsidR="00082E5F" w:rsidRPr="00A571E7">
        <w:rPr>
          <w:rFonts w:eastAsia="Times New Roman" w:cs="Arial"/>
          <w:snapToGrid w:val="0"/>
          <w:lang w:eastAsia="en-AU"/>
        </w:rPr>
        <w:t>.</w:t>
      </w:r>
    </w:p>
    <w:p w14:paraId="33B4FF2A" w14:textId="4BD9793A" w:rsidR="00432A41" w:rsidRDefault="00432A41" w:rsidP="001F0309">
      <w:pPr>
        <w:pStyle w:val="Caption"/>
      </w:pPr>
      <w:bookmarkStart w:id="14" w:name="_Ref207203464"/>
      <w:r>
        <w:t xml:space="preserve">Table </w:t>
      </w:r>
      <w:r>
        <w:fldChar w:fldCharType="begin"/>
      </w:r>
      <w:r>
        <w:instrText xml:space="preserve"> SEQ Table \* ARABIC </w:instrText>
      </w:r>
      <w:r>
        <w:fldChar w:fldCharType="separate"/>
      </w:r>
      <w:r>
        <w:rPr>
          <w:noProof/>
        </w:rPr>
        <w:t>2</w:t>
      </w:r>
      <w:r>
        <w:rPr>
          <w:noProof/>
        </w:rPr>
        <w:fldChar w:fldCharType="end"/>
      </w:r>
      <w:bookmarkEnd w:id="14"/>
      <w:r>
        <w:t xml:space="preserve"> - MBS item descriptor for </w:t>
      </w:r>
      <w:r w:rsidR="00F87460">
        <w:t>s</w:t>
      </w:r>
      <w:r>
        <w:t>ingle gene</w:t>
      </w:r>
      <w:r w:rsidRPr="001F0309">
        <w:rPr>
          <w:i/>
          <w:iCs/>
        </w:rPr>
        <w:t xml:space="preserve"> FGFR2</w:t>
      </w:r>
      <w:r>
        <w:t xml:space="preserve"> testing</w:t>
      </w:r>
      <w:r w:rsidR="004F05A4">
        <w:t xml:space="preserve"> as per ESCs advice</w:t>
      </w:r>
    </w:p>
    <w:tbl>
      <w:tblPr>
        <w:tblStyle w:val="ASDTable1"/>
        <w:tblW w:w="0" w:type="auto"/>
        <w:tblLook w:val="04A0" w:firstRow="1" w:lastRow="0" w:firstColumn="1" w:lastColumn="0" w:noHBand="0" w:noVBand="1"/>
      </w:tblPr>
      <w:tblGrid>
        <w:gridCol w:w="9016"/>
      </w:tblGrid>
      <w:tr w:rsidR="00082E5F" w:rsidRPr="00A571E7" w14:paraId="656A3A99" w14:textId="77777777" w:rsidTr="007A33F2">
        <w:trPr>
          <w:trHeight w:val="247"/>
        </w:trPr>
        <w:tc>
          <w:tcPr>
            <w:tcW w:w="9016" w:type="dxa"/>
          </w:tcPr>
          <w:p w14:paraId="7E74E460" w14:textId="6DB21865" w:rsidR="00082E5F" w:rsidRPr="00A571E7" w:rsidRDefault="00082E5F" w:rsidP="007E7842">
            <w:pPr>
              <w:spacing w:before="0" w:after="120"/>
              <w:jc w:val="both"/>
              <w:rPr>
                <w:rFonts w:ascii="Arial Narrow" w:hAnsi="Arial Narrow" w:cstheme="minorHAnsi"/>
                <w:snapToGrid w:val="0"/>
              </w:rPr>
            </w:pPr>
            <w:r w:rsidRPr="00A571E7">
              <w:rPr>
                <w:rFonts w:ascii="Arial Narrow" w:hAnsi="Arial Narrow" w:cstheme="minorHAnsi"/>
                <w:snapToGrid w:val="0"/>
              </w:rPr>
              <w:t>Category 6 – Pathology Services</w:t>
            </w:r>
          </w:p>
        </w:tc>
      </w:tr>
      <w:tr w:rsidR="00082E5F" w:rsidRPr="00A571E7" w14:paraId="32D47CC7" w14:textId="77777777" w:rsidTr="007A33F2">
        <w:trPr>
          <w:trHeight w:val="550"/>
        </w:trPr>
        <w:tc>
          <w:tcPr>
            <w:tcW w:w="9016" w:type="dxa"/>
          </w:tcPr>
          <w:p w14:paraId="3756E603" w14:textId="77777777" w:rsidR="00082E5F" w:rsidRPr="00A571E7" w:rsidRDefault="00082E5F" w:rsidP="007E7842">
            <w:pPr>
              <w:tabs>
                <w:tab w:val="left" w:pos="7251"/>
              </w:tabs>
              <w:spacing w:before="0" w:after="120"/>
              <w:rPr>
                <w:rFonts w:ascii="Arial Narrow" w:hAnsi="Arial Narrow" w:cstheme="minorHAnsi"/>
                <w:snapToGrid w:val="0"/>
              </w:rPr>
            </w:pPr>
            <w:r w:rsidRPr="00A571E7">
              <w:rPr>
                <w:rFonts w:ascii="Arial Narrow" w:hAnsi="Arial Narrow" w:cstheme="minorHAnsi"/>
                <w:snapToGrid w:val="0"/>
              </w:rPr>
              <w:t>Proposed item descriptor XXXXX                                                                    Group P7 - Genetics</w:t>
            </w:r>
          </w:p>
          <w:p w14:paraId="1BC2C02F" w14:textId="77777777" w:rsidR="00082E5F" w:rsidRPr="00A571E7" w:rsidRDefault="00082E5F" w:rsidP="007E7842">
            <w:pPr>
              <w:spacing w:before="0" w:after="120"/>
              <w:jc w:val="both"/>
              <w:rPr>
                <w:rFonts w:ascii="Arial Narrow" w:hAnsi="Arial Narrow"/>
                <w:snapToGrid w:val="0"/>
              </w:rPr>
            </w:pPr>
            <w:r w:rsidRPr="00A571E7">
              <w:rPr>
                <w:rFonts w:ascii="Arial Narrow" w:hAnsi="Arial Narrow"/>
                <w:snapToGrid w:val="0"/>
              </w:rPr>
              <w:t>A nucleic acid-based test of tumour tissue for FGFR2 fusions or rearrangements in a patient with cholangiocarcinoma requested by, or on behalf of, a specialist or consultant physician to determine access to a relevant treatment under the Pharmaceutical Benefits Scheme (PBS)</w:t>
            </w:r>
          </w:p>
          <w:p w14:paraId="19537C4E" w14:textId="77777777" w:rsidR="00082E5F" w:rsidRPr="00A571E7" w:rsidRDefault="00082E5F" w:rsidP="007E7842">
            <w:pPr>
              <w:spacing w:before="0" w:after="120"/>
              <w:jc w:val="both"/>
              <w:rPr>
                <w:rFonts w:ascii="Arial Narrow" w:hAnsi="Arial Narrow" w:cstheme="minorHAnsi"/>
                <w:snapToGrid w:val="0"/>
              </w:rPr>
            </w:pPr>
            <w:r w:rsidRPr="00A571E7">
              <w:rPr>
                <w:rFonts w:ascii="Arial Narrow" w:hAnsi="Arial Narrow" w:cstheme="minorHAnsi"/>
                <w:snapToGrid w:val="0"/>
              </w:rPr>
              <w:t>Applicable only once per lifetime.</w:t>
            </w:r>
          </w:p>
        </w:tc>
      </w:tr>
      <w:tr w:rsidR="00082E5F" w:rsidRPr="00A571E7" w14:paraId="16F27646" w14:textId="77777777" w:rsidTr="007A33F2">
        <w:trPr>
          <w:trHeight w:val="309"/>
        </w:trPr>
        <w:tc>
          <w:tcPr>
            <w:tcW w:w="9016" w:type="dxa"/>
          </w:tcPr>
          <w:p w14:paraId="1CC399DD" w14:textId="77777777" w:rsidR="00082E5F" w:rsidRPr="00A571E7" w:rsidRDefault="00082E5F" w:rsidP="007E7842">
            <w:pPr>
              <w:spacing w:before="0"/>
              <w:jc w:val="both"/>
              <w:rPr>
                <w:rFonts w:ascii="Arial Narrow" w:hAnsi="Arial Narrow"/>
                <w:snapToGrid w:val="0"/>
              </w:rPr>
            </w:pPr>
            <w:r w:rsidRPr="00A571E7">
              <w:rPr>
                <w:rFonts w:ascii="Arial Narrow" w:hAnsi="Arial Narrow"/>
                <w:snapToGrid w:val="0"/>
              </w:rPr>
              <w:t>Fee: $682.35 Benefit: 75% = $511.80 85% = $580.00</w:t>
            </w:r>
          </w:p>
        </w:tc>
      </w:tr>
    </w:tbl>
    <w:p w14:paraId="7571D258" w14:textId="75DE5177" w:rsidR="00082E5F" w:rsidRPr="00A571E7" w:rsidRDefault="005200E2" w:rsidP="0094766C">
      <w:pPr>
        <w:spacing w:before="240" w:after="240" w:line="240" w:lineRule="auto"/>
        <w:jc w:val="both"/>
        <w:rPr>
          <w:rFonts w:eastAsia="Times New Roman" w:cs="Arial"/>
          <w:snapToGrid w:val="0"/>
          <w:lang w:eastAsia="en-AU"/>
        </w:rPr>
      </w:pPr>
      <w:r>
        <w:rPr>
          <w:rFonts w:eastAsia="Times New Roman" w:cs="Arial"/>
          <w:snapToGrid w:val="0"/>
          <w:lang w:eastAsia="en-AU"/>
        </w:rPr>
        <w:t>T</w:t>
      </w:r>
      <w:r w:rsidR="00DF0812" w:rsidRPr="001F0309">
        <w:rPr>
          <w:rFonts w:eastAsia="Times New Roman" w:cs="Arial"/>
          <w:snapToGrid w:val="0"/>
          <w:lang w:eastAsia="en-AU"/>
        </w:rPr>
        <w:t>he</w:t>
      </w:r>
      <w:r w:rsidR="00082E5F" w:rsidRPr="001F0309">
        <w:rPr>
          <w:rFonts w:eastAsia="Times New Roman" w:cs="Arial"/>
          <w:snapToGrid w:val="0"/>
          <w:lang w:eastAsia="en-AU"/>
        </w:rPr>
        <w:t xml:space="preserve"> ESCs</w:t>
      </w:r>
      <w:r w:rsidR="00082E5F" w:rsidRPr="00A571E7">
        <w:rPr>
          <w:rFonts w:eastAsia="Times New Roman" w:cs="Arial"/>
          <w:snapToGrid w:val="0"/>
          <w:lang w:eastAsia="en-AU"/>
        </w:rPr>
        <w:t xml:space="preserve"> proposed the following MBS item descriptor if </w:t>
      </w:r>
      <w:r w:rsidR="00082E5F" w:rsidRPr="001F0309">
        <w:rPr>
          <w:rFonts w:eastAsia="Times New Roman" w:cs="Arial"/>
          <w:snapToGrid w:val="0"/>
          <w:lang w:eastAsia="en-AU"/>
        </w:rPr>
        <w:t>panel testing</w:t>
      </w:r>
      <w:r w:rsidR="00082E5F" w:rsidRPr="00A571E7">
        <w:rPr>
          <w:rFonts w:eastAsia="Times New Roman" w:cs="Arial"/>
          <w:snapToGrid w:val="0"/>
          <w:lang w:eastAsia="en-AU"/>
        </w:rPr>
        <w:t xml:space="preserve"> is supported</w:t>
      </w:r>
      <w:r w:rsidR="006F6778">
        <w:rPr>
          <w:rFonts w:eastAsia="Times New Roman" w:cs="Arial"/>
          <w:snapToGrid w:val="0"/>
          <w:lang w:eastAsia="en-AU"/>
        </w:rPr>
        <w:t xml:space="preserve"> (</w:t>
      </w:r>
      <w:r w:rsidR="006F6778">
        <w:rPr>
          <w:rFonts w:eastAsia="Times New Roman" w:cs="Arial"/>
          <w:snapToGrid w:val="0"/>
          <w:lang w:eastAsia="en-AU"/>
        </w:rPr>
        <w:fldChar w:fldCharType="begin"/>
      </w:r>
      <w:r w:rsidR="006F6778">
        <w:rPr>
          <w:rFonts w:eastAsia="Times New Roman" w:cs="Arial"/>
          <w:snapToGrid w:val="0"/>
          <w:lang w:eastAsia="en-AU"/>
        </w:rPr>
        <w:instrText xml:space="preserve"> REF _Ref207203516 \h </w:instrText>
      </w:r>
      <w:r w:rsidR="006F6778">
        <w:rPr>
          <w:rFonts w:eastAsia="Times New Roman" w:cs="Arial"/>
          <w:snapToGrid w:val="0"/>
          <w:lang w:eastAsia="en-AU"/>
        </w:rPr>
      </w:r>
      <w:r w:rsidR="006F6778">
        <w:rPr>
          <w:rFonts w:eastAsia="Times New Roman" w:cs="Arial"/>
          <w:snapToGrid w:val="0"/>
          <w:lang w:eastAsia="en-AU"/>
        </w:rPr>
        <w:fldChar w:fldCharType="separate"/>
      </w:r>
      <w:r w:rsidR="006F6778">
        <w:t xml:space="preserve">Table </w:t>
      </w:r>
      <w:r w:rsidR="006F6778">
        <w:rPr>
          <w:noProof/>
        </w:rPr>
        <w:t>3</w:t>
      </w:r>
      <w:r w:rsidR="006F6778">
        <w:rPr>
          <w:rFonts w:eastAsia="Times New Roman" w:cs="Arial"/>
          <w:snapToGrid w:val="0"/>
          <w:lang w:eastAsia="en-AU"/>
        </w:rPr>
        <w:fldChar w:fldCharType="end"/>
      </w:r>
      <w:r w:rsidR="006F6778">
        <w:rPr>
          <w:rFonts w:eastAsia="Times New Roman" w:cs="Arial"/>
          <w:snapToGrid w:val="0"/>
          <w:lang w:eastAsia="en-AU"/>
        </w:rPr>
        <w:t>)</w:t>
      </w:r>
      <w:r w:rsidR="00082E5F" w:rsidRPr="00A571E7">
        <w:rPr>
          <w:rFonts w:eastAsia="Times New Roman" w:cs="Arial"/>
          <w:snapToGrid w:val="0"/>
          <w:lang w:eastAsia="en-AU"/>
        </w:rPr>
        <w:t>.</w:t>
      </w:r>
      <w:r w:rsidR="00082E5F">
        <w:rPr>
          <w:rFonts w:eastAsia="Times New Roman" w:cs="Arial"/>
          <w:snapToGrid w:val="0"/>
          <w:lang w:eastAsia="en-AU"/>
        </w:rPr>
        <w:t xml:space="preserve"> </w:t>
      </w:r>
    </w:p>
    <w:p w14:paraId="4B2CEE5F" w14:textId="2A416930" w:rsidR="00432A41" w:rsidRDefault="00432A41" w:rsidP="001F0309">
      <w:pPr>
        <w:pStyle w:val="Caption"/>
      </w:pPr>
      <w:bookmarkStart w:id="15" w:name="_Ref207203516"/>
      <w:r>
        <w:lastRenderedPageBreak/>
        <w:t xml:space="preserve">Table </w:t>
      </w:r>
      <w:r>
        <w:fldChar w:fldCharType="begin"/>
      </w:r>
      <w:r>
        <w:instrText xml:space="preserve"> SEQ Table \* ARABIC </w:instrText>
      </w:r>
      <w:r>
        <w:fldChar w:fldCharType="separate"/>
      </w:r>
      <w:r>
        <w:rPr>
          <w:noProof/>
        </w:rPr>
        <w:t>3</w:t>
      </w:r>
      <w:r>
        <w:rPr>
          <w:noProof/>
        </w:rPr>
        <w:fldChar w:fldCharType="end"/>
      </w:r>
      <w:bookmarkEnd w:id="15"/>
      <w:r>
        <w:t xml:space="preserve"> - MBS item descriptor</w:t>
      </w:r>
      <w:r w:rsidR="00F87460">
        <w:t xml:space="preserve"> for panel testing including </w:t>
      </w:r>
      <w:r w:rsidR="00F87460" w:rsidRPr="001F0309">
        <w:rPr>
          <w:i/>
          <w:iCs/>
        </w:rPr>
        <w:t>FGFR2</w:t>
      </w:r>
      <w:r w:rsidR="00F87460">
        <w:t xml:space="preserve"> and </w:t>
      </w:r>
      <w:r w:rsidR="00F87460" w:rsidRPr="001F0309">
        <w:rPr>
          <w:i/>
          <w:iCs/>
        </w:rPr>
        <w:t>IDH1</w:t>
      </w:r>
      <w:r w:rsidR="00F87460">
        <w:t xml:space="preserve"> testing</w:t>
      </w:r>
      <w:r w:rsidR="004F05A4">
        <w:t xml:space="preserve"> as per ESCs advice</w:t>
      </w:r>
    </w:p>
    <w:tbl>
      <w:tblPr>
        <w:tblStyle w:val="ASDTable1"/>
        <w:tblW w:w="0" w:type="auto"/>
        <w:tblLook w:val="04A0" w:firstRow="1" w:lastRow="0" w:firstColumn="1" w:lastColumn="0" w:noHBand="0" w:noVBand="1"/>
      </w:tblPr>
      <w:tblGrid>
        <w:gridCol w:w="9016"/>
      </w:tblGrid>
      <w:tr w:rsidR="00082E5F" w:rsidRPr="00A571E7" w14:paraId="4180CE5B" w14:textId="77777777" w:rsidTr="007A33F2">
        <w:trPr>
          <w:trHeight w:val="247"/>
        </w:trPr>
        <w:tc>
          <w:tcPr>
            <w:tcW w:w="9016" w:type="dxa"/>
          </w:tcPr>
          <w:p w14:paraId="2A9F6F62" w14:textId="77777777" w:rsidR="00082E5F" w:rsidRPr="00A571E7" w:rsidRDefault="00082E5F" w:rsidP="007E7842">
            <w:pPr>
              <w:keepNext/>
              <w:keepLines/>
              <w:spacing w:before="0" w:after="120"/>
              <w:jc w:val="both"/>
              <w:rPr>
                <w:rFonts w:ascii="Arial Narrow" w:hAnsi="Arial Narrow" w:cstheme="minorHAnsi"/>
                <w:snapToGrid w:val="0"/>
              </w:rPr>
            </w:pPr>
            <w:r w:rsidRPr="00A571E7">
              <w:rPr>
                <w:rFonts w:ascii="Arial Narrow" w:hAnsi="Arial Narrow" w:cstheme="minorHAnsi"/>
                <w:snapToGrid w:val="0"/>
              </w:rPr>
              <w:t>Category 6 – Pathology Services</w:t>
            </w:r>
          </w:p>
        </w:tc>
      </w:tr>
      <w:tr w:rsidR="00082E5F" w:rsidRPr="00A571E7" w14:paraId="2F8BE3F3" w14:textId="77777777" w:rsidTr="007A33F2">
        <w:trPr>
          <w:trHeight w:val="274"/>
        </w:trPr>
        <w:tc>
          <w:tcPr>
            <w:tcW w:w="9016" w:type="dxa"/>
          </w:tcPr>
          <w:p w14:paraId="0579450A" w14:textId="77777777" w:rsidR="00082E5F" w:rsidRPr="00A571E7" w:rsidRDefault="00082E5F" w:rsidP="007E7842">
            <w:pPr>
              <w:keepNext/>
              <w:keepLines/>
              <w:spacing w:before="0" w:after="120"/>
              <w:jc w:val="both"/>
              <w:rPr>
                <w:rFonts w:ascii="Arial Narrow" w:hAnsi="Arial Narrow" w:cstheme="minorHAnsi"/>
                <w:snapToGrid w:val="0"/>
              </w:rPr>
            </w:pPr>
            <w:r w:rsidRPr="00A571E7">
              <w:rPr>
                <w:rFonts w:ascii="Arial Narrow" w:hAnsi="Arial Narrow" w:cstheme="minorHAnsi"/>
                <w:snapToGrid w:val="0"/>
              </w:rPr>
              <w:t>Proposed item descriptor XXXXX                                                                       Group P7 - Genetics</w:t>
            </w:r>
          </w:p>
          <w:p w14:paraId="185A4B28" w14:textId="77777777" w:rsidR="00082E5F" w:rsidRPr="00A571E7" w:rsidRDefault="00082E5F" w:rsidP="007E7842">
            <w:pPr>
              <w:keepNext/>
              <w:keepLines/>
              <w:spacing w:before="0" w:after="120"/>
              <w:jc w:val="both"/>
              <w:rPr>
                <w:rFonts w:ascii="Arial Narrow" w:hAnsi="Arial Narrow"/>
                <w:snapToGrid w:val="0"/>
              </w:rPr>
            </w:pPr>
            <w:r w:rsidRPr="00A571E7">
              <w:rPr>
                <w:rFonts w:ascii="Arial Narrow" w:hAnsi="Arial Narrow"/>
                <w:snapToGrid w:val="0"/>
              </w:rPr>
              <w:t>A nucleic acid-based multi-gene panel test of tumour tissue from a patient with cholangiocarcinoma requested by, or on behalf of, a specialist or consultant physician, if the test is:</w:t>
            </w:r>
          </w:p>
          <w:p w14:paraId="5B01EBB0" w14:textId="77777777" w:rsidR="00082E5F" w:rsidRPr="00A571E7" w:rsidRDefault="00082E5F" w:rsidP="001D50A7">
            <w:pPr>
              <w:keepNext/>
              <w:keepLines/>
              <w:numPr>
                <w:ilvl w:val="0"/>
                <w:numId w:val="13"/>
              </w:numPr>
              <w:spacing w:before="0"/>
              <w:ind w:left="714" w:hanging="357"/>
              <w:jc w:val="both"/>
              <w:rPr>
                <w:rFonts w:ascii="Arial Narrow" w:hAnsi="Arial Narrow"/>
                <w:snapToGrid w:val="0"/>
              </w:rPr>
            </w:pPr>
            <w:r w:rsidRPr="00A571E7">
              <w:rPr>
                <w:rFonts w:ascii="Arial Narrow" w:hAnsi="Arial Narrow"/>
                <w:snapToGrid w:val="0"/>
              </w:rPr>
              <w:t xml:space="preserve">To detect at least IDH1 variant </w:t>
            </w:r>
            <w:proofErr w:type="spellStart"/>
            <w:r w:rsidRPr="00A571E7">
              <w:rPr>
                <w:rFonts w:ascii="Arial Narrow" w:hAnsi="Arial Narrow"/>
                <w:snapToGrid w:val="0"/>
              </w:rPr>
              <w:t>status</w:t>
            </w:r>
            <w:r w:rsidRPr="00A571E7">
              <w:rPr>
                <w:rFonts w:ascii="Arial Narrow" w:hAnsi="Arial Narrow"/>
                <w:i/>
                <w:iCs/>
                <w:snapToGrid w:val="0"/>
                <w:vertAlign w:val="superscript"/>
              </w:rPr>
              <w:t>a</w:t>
            </w:r>
            <w:proofErr w:type="spellEnd"/>
            <w:r w:rsidRPr="00A571E7">
              <w:rPr>
                <w:rFonts w:ascii="Arial Narrow" w:hAnsi="Arial Narrow"/>
                <w:snapToGrid w:val="0"/>
              </w:rPr>
              <w:t>, and</w:t>
            </w:r>
          </w:p>
          <w:p w14:paraId="73BB9494" w14:textId="77777777" w:rsidR="00082E5F" w:rsidRPr="00A571E7" w:rsidRDefault="00082E5F" w:rsidP="001D50A7">
            <w:pPr>
              <w:keepNext/>
              <w:keepLines/>
              <w:numPr>
                <w:ilvl w:val="0"/>
                <w:numId w:val="13"/>
              </w:numPr>
              <w:spacing w:before="0"/>
              <w:ind w:left="714" w:hanging="357"/>
              <w:jc w:val="both"/>
              <w:rPr>
                <w:rFonts w:ascii="Arial Narrow" w:hAnsi="Arial Narrow"/>
                <w:snapToGrid w:val="0"/>
              </w:rPr>
            </w:pPr>
            <w:r w:rsidRPr="00A571E7">
              <w:rPr>
                <w:rFonts w:ascii="Arial Narrow" w:hAnsi="Arial Narrow"/>
                <w:snapToGrid w:val="0"/>
              </w:rPr>
              <w:t>To detect the fusion or rearrangement status of at least FGFR2</w:t>
            </w:r>
          </w:p>
          <w:p w14:paraId="7E3FE334" w14:textId="77777777" w:rsidR="00082E5F" w:rsidRPr="00A571E7" w:rsidRDefault="00082E5F" w:rsidP="001D50A7">
            <w:pPr>
              <w:keepNext/>
              <w:keepLines/>
              <w:numPr>
                <w:ilvl w:val="0"/>
                <w:numId w:val="13"/>
              </w:numPr>
              <w:spacing w:before="0"/>
              <w:ind w:left="714" w:hanging="357"/>
              <w:jc w:val="both"/>
              <w:rPr>
                <w:rFonts w:ascii="Arial Narrow" w:hAnsi="Arial Narrow"/>
                <w:snapToGrid w:val="0"/>
              </w:rPr>
            </w:pPr>
            <w:r w:rsidRPr="00A571E7">
              <w:rPr>
                <w:rFonts w:ascii="Arial Narrow" w:hAnsi="Arial Narrow"/>
                <w:snapToGrid w:val="0"/>
              </w:rPr>
              <w:t>To determine access to a relevant treatment under the Pharmaceutical Benefits Scheme (PBS)</w:t>
            </w:r>
          </w:p>
          <w:p w14:paraId="73FC4264" w14:textId="77777777" w:rsidR="00082E5F" w:rsidRPr="00A571E7" w:rsidRDefault="00082E5F" w:rsidP="007E7842">
            <w:pPr>
              <w:keepNext/>
              <w:keepLines/>
              <w:spacing w:before="0" w:after="120"/>
              <w:jc w:val="both"/>
              <w:rPr>
                <w:rFonts w:ascii="Arial Narrow" w:hAnsi="Arial Narrow" w:cstheme="minorHAnsi"/>
                <w:snapToGrid w:val="0"/>
              </w:rPr>
            </w:pPr>
            <w:r w:rsidRPr="00A571E7">
              <w:rPr>
                <w:rFonts w:ascii="Arial Narrow" w:hAnsi="Arial Narrow" w:cstheme="minorHAnsi"/>
                <w:snapToGrid w:val="0"/>
              </w:rPr>
              <w:t>Applicable only once per lifetime.</w:t>
            </w:r>
          </w:p>
        </w:tc>
      </w:tr>
      <w:tr w:rsidR="00082E5F" w:rsidRPr="00A571E7" w14:paraId="42FFD0A4" w14:textId="77777777" w:rsidTr="007A33F2">
        <w:trPr>
          <w:trHeight w:val="194"/>
        </w:trPr>
        <w:tc>
          <w:tcPr>
            <w:tcW w:w="9016" w:type="dxa"/>
          </w:tcPr>
          <w:p w14:paraId="24B4B13A" w14:textId="77777777" w:rsidR="00082E5F" w:rsidRPr="00A571E7" w:rsidRDefault="00082E5F" w:rsidP="007E7842">
            <w:pPr>
              <w:keepNext/>
              <w:keepLines/>
              <w:spacing w:before="0" w:after="120"/>
              <w:jc w:val="both"/>
              <w:rPr>
                <w:rFonts w:ascii="Arial Narrow" w:hAnsi="Arial Narrow"/>
                <w:snapToGrid w:val="0"/>
              </w:rPr>
            </w:pPr>
            <w:r w:rsidRPr="00A571E7">
              <w:rPr>
                <w:rFonts w:ascii="Arial Narrow" w:hAnsi="Arial Narrow"/>
                <w:snapToGrid w:val="0"/>
              </w:rPr>
              <w:t>Fee: $TBC Benefit: 75% = $TBC 85% = $TBC</w:t>
            </w:r>
          </w:p>
        </w:tc>
      </w:tr>
    </w:tbl>
    <w:p w14:paraId="00D805EC" w14:textId="0896BDBC" w:rsidR="008C21B5" w:rsidRPr="008C21B5" w:rsidRDefault="00082E5F" w:rsidP="008C21B5">
      <w:pPr>
        <w:keepNext/>
        <w:keepLines/>
        <w:spacing w:before="0" w:after="120" w:line="240" w:lineRule="auto"/>
        <w:jc w:val="both"/>
        <w:rPr>
          <w:rFonts w:ascii="Arial Narrow" w:eastAsia="Times New Roman" w:hAnsi="Arial Narrow"/>
          <w:snapToGrid w:val="0"/>
          <w:sz w:val="20"/>
          <w:szCs w:val="20"/>
          <w:lang w:eastAsia="en-AU"/>
        </w:rPr>
      </w:pPr>
      <w:proofErr w:type="spellStart"/>
      <w:r w:rsidRPr="00A571E7">
        <w:rPr>
          <w:rFonts w:ascii="Arial Narrow" w:eastAsia="Times New Roman" w:hAnsi="Arial Narrow" w:cs="Arial"/>
          <w:snapToGrid w:val="0"/>
          <w:sz w:val="20"/>
          <w:szCs w:val="20"/>
          <w:vertAlign w:val="superscript"/>
          <w:lang w:eastAsia="en-AU"/>
        </w:rPr>
        <w:t>a</w:t>
      </w:r>
      <w:r w:rsidRPr="00A571E7">
        <w:rPr>
          <w:rFonts w:ascii="Arial Narrow" w:eastAsia="Times New Roman" w:hAnsi="Arial Narrow"/>
          <w:snapToGrid w:val="0"/>
          <w:sz w:val="20"/>
          <w:szCs w:val="20"/>
          <w:lang w:eastAsia="en-AU"/>
        </w:rPr>
        <w:t>Note</w:t>
      </w:r>
      <w:proofErr w:type="spellEnd"/>
      <w:r w:rsidRPr="00A571E7">
        <w:rPr>
          <w:rFonts w:ascii="Arial Narrow" w:eastAsia="Times New Roman" w:hAnsi="Arial Narrow"/>
          <w:snapToGrid w:val="0"/>
          <w:sz w:val="20"/>
          <w:szCs w:val="20"/>
          <w:lang w:eastAsia="en-AU"/>
        </w:rPr>
        <w:t xml:space="preserve"> that this would only be included if </w:t>
      </w:r>
      <w:r w:rsidRPr="00A571E7">
        <w:rPr>
          <w:rFonts w:ascii="Arial Narrow" w:eastAsia="Times New Roman" w:hAnsi="Arial Narrow"/>
          <w:i/>
          <w:iCs/>
          <w:snapToGrid w:val="0"/>
          <w:sz w:val="20"/>
          <w:szCs w:val="20"/>
          <w:lang w:eastAsia="en-AU"/>
        </w:rPr>
        <w:t>IDH1</w:t>
      </w:r>
      <w:r w:rsidRPr="00A571E7">
        <w:rPr>
          <w:rFonts w:ascii="Arial Narrow" w:eastAsia="Times New Roman" w:hAnsi="Arial Narrow"/>
          <w:snapToGrid w:val="0"/>
          <w:sz w:val="20"/>
          <w:szCs w:val="20"/>
          <w:lang w:eastAsia="en-AU"/>
        </w:rPr>
        <w:t xml:space="preserve"> testing is MBS listed.</w:t>
      </w:r>
    </w:p>
    <w:p w14:paraId="78EBAA50" w14:textId="65B9AE74" w:rsidR="004260E2" w:rsidRPr="004260E2" w:rsidRDefault="005200E2" w:rsidP="00A5687B">
      <w:pPr>
        <w:spacing w:before="0" w:after="240" w:line="240" w:lineRule="auto"/>
        <w:jc w:val="both"/>
        <w:rPr>
          <w:rFonts w:eastAsia="Times New Roman" w:cs="Arial"/>
          <w:snapToGrid w:val="0"/>
          <w:lang w:eastAsia="en-AU"/>
        </w:rPr>
      </w:pPr>
      <w:r>
        <w:rPr>
          <w:rFonts w:eastAsia="Times New Roman" w:cs="Arial"/>
          <w:snapToGrid w:val="0"/>
          <w:lang w:eastAsia="en-AU"/>
        </w:rPr>
        <w:t xml:space="preserve">At its April 2025 meeting, </w:t>
      </w:r>
      <w:r w:rsidRPr="00421EDD" w:rsidDel="005200E2">
        <w:rPr>
          <w:rFonts w:eastAsia="Franklin Gothic Book" w:cs="Franklin Gothic Book"/>
          <w:iCs/>
          <w:color w:val="000000" w:themeColor="text1"/>
        </w:rPr>
        <w:t xml:space="preserve">MSAC considered that a single MBS item for a DNA and RNA NGS panel test for </w:t>
      </w:r>
      <w:r w:rsidRPr="00421EDD" w:rsidDel="005200E2">
        <w:rPr>
          <w:rFonts w:eastAsia="Franklin Gothic Book" w:cs="Franklin Gothic Book"/>
          <w:i/>
          <w:color w:val="000000" w:themeColor="text1"/>
        </w:rPr>
        <w:t xml:space="preserve">FGFR2 </w:t>
      </w:r>
      <w:r w:rsidRPr="00421EDD" w:rsidDel="005200E2">
        <w:rPr>
          <w:rFonts w:eastAsia="Franklin Gothic Book" w:cs="Franklin Gothic Book"/>
          <w:iCs/>
          <w:color w:val="000000" w:themeColor="text1"/>
        </w:rPr>
        <w:t xml:space="preserve">fusions and rearrangements and </w:t>
      </w:r>
      <w:r w:rsidRPr="002C1B51" w:rsidDel="005200E2">
        <w:rPr>
          <w:rFonts w:eastAsia="Franklin Gothic Book" w:cs="Franklin Gothic Book"/>
          <w:i/>
          <w:color w:val="000000" w:themeColor="text1"/>
        </w:rPr>
        <w:t>IDH1</w:t>
      </w:r>
      <w:r w:rsidRPr="00421EDD" w:rsidDel="005200E2">
        <w:rPr>
          <w:rFonts w:eastAsia="Franklin Gothic Book" w:cs="Franklin Gothic Book"/>
          <w:iCs/>
          <w:color w:val="000000" w:themeColor="text1"/>
        </w:rPr>
        <w:t xml:space="preserve"> sequencing (Application 1750 supported by MSAC in November 2024 for the whole CCA population) would be appropriate if both tests are funded.</w:t>
      </w:r>
      <w:r w:rsidRPr="00E84EE4" w:rsidDel="005200E2">
        <w:rPr>
          <w:rFonts w:eastAsia="Franklin Gothic Book" w:cs="Franklin Gothic Book"/>
          <w:i/>
          <w:color w:val="000000" w:themeColor="text1"/>
        </w:rPr>
        <w:t xml:space="preserve"> </w:t>
      </w:r>
      <w:r w:rsidR="00DB2101">
        <w:rPr>
          <w:rFonts w:eastAsia="Times New Roman" w:cs="Arial"/>
          <w:snapToGrid w:val="0"/>
          <w:lang w:eastAsia="en-AU"/>
        </w:rPr>
        <w:t xml:space="preserve">The applicant </w:t>
      </w:r>
      <w:r w:rsidR="004E5E9D">
        <w:rPr>
          <w:rFonts w:eastAsia="Times New Roman" w:cs="Arial"/>
          <w:snapToGrid w:val="0"/>
          <w:lang w:eastAsia="en-AU"/>
        </w:rPr>
        <w:t>acknowledge</w:t>
      </w:r>
      <w:r w:rsidR="00F55D53">
        <w:rPr>
          <w:rFonts w:eastAsia="Times New Roman" w:cs="Arial"/>
          <w:snapToGrid w:val="0"/>
          <w:lang w:eastAsia="en-AU"/>
        </w:rPr>
        <w:t>d</w:t>
      </w:r>
      <w:r w:rsidR="004E5E9D">
        <w:rPr>
          <w:rFonts w:eastAsia="Times New Roman" w:cs="Arial"/>
          <w:snapToGrid w:val="0"/>
          <w:lang w:eastAsia="en-AU"/>
        </w:rPr>
        <w:t xml:space="preserve"> MSAC’s desire to future proof the MBS item descriptor</w:t>
      </w:r>
      <w:r w:rsidR="001C531D">
        <w:rPr>
          <w:rFonts w:eastAsia="Times New Roman" w:cs="Arial"/>
          <w:snapToGrid w:val="0"/>
          <w:lang w:eastAsia="en-AU"/>
        </w:rPr>
        <w:t xml:space="preserve">. However, </w:t>
      </w:r>
      <w:r w:rsidR="00F55D53">
        <w:rPr>
          <w:rFonts w:eastAsia="Times New Roman" w:cs="Arial"/>
          <w:snapToGrid w:val="0"/>
          <w:lang w:eastAsia="en-AU"/>
        </w:rPr>
        <w:t>the applicant noted that</w:t>
      </w:r>
      <w:r w:rsidR="00B050C0">
        <w:rPr>
          <w:rFonts w:eastAsia="Times New Roman" w:cs="Arial"/>
          <w:b/>
          <w:bCs/>
          <w:snapToGrid w:val="0"/>
          <w:lang w:eastAsia="en-AU"/>
        </w:rPr>
        <w:t xml:space="preserve"> </w:t>
      </w:r>
      <w:r w:rsidR="00F55D53">
        <w:rPr>
          <w:rFonts w:eastAsia="Times New Roman" w:cs="Arial"/>
          <w:snapToGrid w:val="0"/>
          <w:lang w:eastAsia="en-AU"/>
        </w:rPr>
        <w:t>t</w:t>
      </w:r>
      <w:r w:rsidR="004260E2">
        <w:rPr>
          <w:rFonts w:eastAsia="Times New Roman" w:cs="Arial"/>
          <w:snapToGrid w:val="0"/>
          <w:lang w:eastAsia="en-AU"/>
        </w:rPr>
        <w:t xml:space="preserve">esting at the point of CCA diagnosis will result in additional cost to the MBS, much of which will be attributable to testing in patients who will never be assessed for eligibility for treatment in the second line advanced setting (futibatinib and/or ivosidenib), including those who elect no treatment at all in the advanced </w:t>
      </w:r>
      <w:r w:rsidR="004B7B27">
        <w:rPr>
          <w:rFonts w:eastAsia="Times New Roman" w:cs="Arial"/>
          <w:snapToGrid w:val="0"/>
          <w:lang w:eastAsia="en-AU"/>
        </w:rPr>
        <w:t xml:space="preserve">disease </w:t>
      </w:r>
      <w:r w:rsidR="004260E2">
        <w:rPr>
          <w:rFonts w:eastAsia="Times New Roman" w:cs="Arial"/>
          <w:snapToGrid w:val="0"/>
          <w:lang w:eastAsia="en-AU"/>
        </w:rPr>
        <w:t xml:space="preserve">setting. </w:t>
      </w:r>
    </w:p>
    <w:p w14:paraId="679A75F4" w14:textId="78A5861C" w:rsidR="00914ABB" w:rsidRPr="00B050C0" w:rsidRDefault="00B050C0" w:rsidP="00A5687B">
      <w:pPr>
        <w:spacing w:before="0" w:after="240" w:line="240" w:lineRule="auto"/>
        <w:jc w:val="both"/>
        <w:rPr>
          <w:rFonts w:eastAsia="Times New Roman" w:cs="Arial"/>
          <w:b/>
          <w:bCs/>
          <w:snapToGrid w:val="0"/>
          <w:lang w:eastAsia="en-AU"/>
        </w:rPr>
      </w:pPr>
      <w:r>
        <w:rPr>
          <w:rFonts w:eastAsia="Times New Roman" w:cs="Arial"/>
          <w:snapToGrid w:val="0"/>
          <w:lang w:eastAsia="en-AU"/>
        </w:rPr>
        <w:t>G</w:t>
      </w:r>
      <w:r w:rsidR="00914ABB" w:rsidRPr="0021200C">
        <w:rPr>
          <w:rFonts w:eastAsia="Times New Roman" w:cs="Arial"/>
          <w:snapToGrid w:val="0"/>
          <w:lang w:eastAsia="en-AU"/>
        </w:rPr>
        <w:t xml:space="preserve">iven the </w:t>
      </w:r>
      <w:r w:rsidR="005200E2">
        <w:rPr>
          <w:rFonts w:eastAsia="Times New Roman" w:cs="Arial"/>
          <w:snapToGrid w:val="0"/>
          <w:lang w:eastAsia="en-AU"/>
        </w:rPr>
        <w:t>higher</w:t>
      </w:r>
      <w:r w:rsidR="00914ABB" w:rsidRPr="0021200C">
        <w:rPr>
          <w:rFonts w:eastAsia="Times New Roman" w:cs="Arial"/>
          <w:snapToGrid w:val="0"/>
          <w:lang w:eastAsia="en-AU"/>
        </w:rPr>
        <w:t xml:space="preserve"> cost </w:t>
      </w:r>
      <w:r w:rsidR="006429F0" w:rsidRPr="0021200C">
        <w:rPr>
          <w:rFonts w:eastAsia="Times New Roman" w:cs="Arial"/>
          <w:snapToGrid w:val="0"/>
          <w:lang w:eastAsia="en-AU"/>
        </w:rPr>
        <w:t xml:space="preserve">of testing </w:t>
      </w:r>
      <w:r w:rsidR="004B7B27">
        <w:rPr>
          <w:rFonts w:eastAsia="Times New Roman" w:cs="Arial"/>
          <w:snapToGrid w:val="0"/>
          <w:lang w:eastAsia="en-AU"/>
        </w:rPr>
        <w:t xml:space="preserve">estimated </w:t>
      </w:r>
      <w:r w:rsidR="003007D0" w:rsidRPr="0021200C">
        <w:rPr>
          <w:rFonts w:eastAsia="Times New Roman" w:cs="Arial"/>
          <w:snapToGrid w:val="0"/>
          <w:lang w:eastAsia="en-AU"/>
        </w:rPr>
        <w:t>under the proposed MBS item descriptor</w:t>
      </w:r>
      <w:r w:rsidR="003007D0">
        <w:rPr>
          <w:rFonts w:eastAsia="Times New Roman" w:cs="Arial"/>
          <w:snapToGrid w:val="0"/>
          <w:lang w:eastAsia="en-AU"/>
        </w:rPr>
        <w:t xml:space="preserve"> </w:t>
      </w:r>
      <w:r w:rsidR="006429F0" w:rsidRPr="0021200C">
        <w:rPr>
          <w:rFonts w:eastAsia="Times New Roman" w:cs="Arial"/>
          <w:snapToGrid w:val="0"/>
          <w:lang w:eastAsia="en-AU"/>
        </w:rPr>
        <w:t>to identify one patient eligible for futibatinib</w:t>
      </w:r>
      <w:r w:rsidR="003007D0">
        <w:rPr>
          <w:rFonts w:eastAsia="Times New Roman" w:cs="Arial"/>
          <w:snapToGrid w:val="0"/>
          <w:lang w:eastAsia="en-AU"/>
        </w:rPr>
        <w:t xml:space="preserve">, </w:t>
      </w:r>
      <w:r w:rsidR="007735CE">
        <w:rPr>
          <w:rFonts w:eastAsia="Times New Roman" w:cs="Arial"/>
          <w:snapToGrid w:val="0"/>
          <w:lang w:eastAsia="en-AU"/>
        </w:rPr>
        <w:t xml:space="preserve">the </w:t>
      </w:r>
      <w:r>
        <w:rPr>
          <w:rFonts w:eastAsia="Times New Roman" w:cs="Arial"/>
          <w:snapToGrid w:val="0"/>
          <w:lang w:eastAsia="en-AU"/>
        </w:rPr>
        <w:t>a</w:t>
      </w:r>
      <w:r w:rsidR="007735CE">
        <w:rPr>
          <w:rFonts w:eastAsia="Times New Roman" w:cs="Arial"/>
          <w:snapToGrid w:val="0"/>
          <w:lang w:eastAsia="en-AU"/>
        </w:rPr>
        <w:t>pplicant propose</w:t>
      </w:r>
      <w:r w:rsidR="00F55D53">
        <w:rPr>
          <w:rFonts w:eastAsia="Times New Roman" w:cs="Arial"/>
          <w:snapToGrid w:val="0"/>
          <w:lang w:eastAsia="en-AU"/>
        </w:rPr>
        <w:t>d</w:t>
      </w:r>
      <w:r w:rsidR="008D3004">
        <w:rPr>
          <w:rFonts w:eastAsia="Times New Roman" w:cs="Arial"/>
          <w:snapToGrid w:val="0"/>
          <w:lang w:eastAsia="en-AU"/>
        </w:rPr>
        <w:t xml:space="preserve"> </w:t>
      </w:r>
      <w:r w:rsidR="00440551">
        <w:rPr>
          <w:rFonts w:eastAsia="Times New Roman" w:cs="Arial"/>
          <w:snapToGrid w:val="0"/>
          <w:lang w:eastAsia="en-AU"/>
        </w:rPr>
        <w:t xml:space="preserve">that </w:t>
      </w:r>
      <w:r>
        <w:rPr>
          <w:rFonts w:eastAsia="Times New Roman" w:cs="Arial"/>
          <w:snapToGrid w:val="0"/>
          <w:lang w:eastAsia="en-AU"/>
        </w:rPr>
        <w:t xml:space="preserve">the descriptor </w:t>
      </w:r>
      <w:r w:rsidR="00440551">
        <w:rPr>
          <w:rFonts w:eastAsia="Times New Roman" w:cs="Arial"/>
          <w:snapToGrid w:val="0"/>
          <w:lang w:eastAsia="en-AU"/>
        </w:rPr>
        <w:t>be narrowed a</w:t>
      </w:r>
      <w:r w:rsidR="00825E51">
        <w:rPr>
          <w:rFonts w:eastAsia="Times New Roman" w:cs="Arial"/>
          <w:snapToGrid w:val="0"/>
          <w:lang w:eastAsia="en-AU"/>
        </w:rPr>
        <w:t xml:space="preserve">nd the cost effectiveness </w:t>
      </w:r>
      <w:r w:rsidR="00AC0B78">
        <w:rPr>
          <w:rFonts w:eastAsia="Times New Roman" w:cs="Arial"/>
          <w:snapToGrid w:val="0"/>
          <w:lang w:eastAsia="en-AU"/>
        </w:rPr>
        <w:t xml:space="preserve">of </w:t>
      </w:r>
      <w:r w:rsidR="00F01268">
        <w:rPr>
          <w:rFonts w:eastAsia="Times New Roman" w:cs="Arial"/>
          <w:snapToGrid w:val="0"/>
          <w:lang w:eastAsia="en-AU"/>
        </w:rPr>
        <w:t>testing all patients</w:t>
      </w:r>
      <w:r w:rsidR="0096621B">
        <w:rPr>
          <w:rFonts w:eastAsia="Times New Roman" w:cs="Arial"/>
          <w:snapToGrid w:val="0"/>
          <w:lang w:eastAsia="en-AU"/>
        </w:rPr>
        <w:t xml:space="preserve"> with CCA</w:t>
      </w:r>
      <w:r w:rsidR="00F01268">
        <w:rPr>
          <w:rFonts w:eastAsia="Times New Roman" w:cs="Arial"/>
          <w:snapToGrid w:val="0"/>
          <w:lang w:eastAsia="en-AU"/>
        </w:rPr>
        <w:t xml:space="preserve"> be </w:t>
      </w:r>
      <w:r w:rsidR="00F24509">
        <w:rPr>
          <w:rFonts w:eastAsia="Times New Roman" w:cs="Arial"/>
          <w:snapToGrid w:val="0"/>
          <w:lang w:eastAsia="en-AU"/>
        </w:rPr>
        <w:t>re</w:t>
      </w:r>
      <w:r w:rsidR="00F01268">
        <w:rPr>
          <w:rFonts w:eastAsia="Times New Roman" w:cs="Arial"/>
          <w:snapToGrid w:val="0"/>
          <w:lang w:eastAsia="en-AU"/>
        </w:rPr>
        <w:t xml:space="preserve">considered </w:t>
      </w:r>
      <w:r w:rsidR="0096621B">
        <w:rPr>
          <w:rFonts w:eastAsia="Times New Roman" w:cs="Arial"/>
          <w:snapToGrid w:val="0"/>
          <w:lang w:eastAsia="en-AU"/>
        </w:rPr>
        <w:t>if</w:t>
      </w:r>
      <w:r w:rsidR="00F01268">
        <w:rPr>
          <w:rFonts w:eastAsia="Times New Roman" w:cs="Arial"/>
          <w:snapToGrid w:val="0"/>
          <w:lang w:eastAsia="en-AU"/>
        </w:rPr>
        <w:t xml:space="preserve"> </w:t>
      </w:r>
      <w:r w:rsidR="0084590B">
        <w:rPr>
          <w:rFonts w:eastAsia="Times New Roman" w:cs="Arial"/>
          <w:snapToGrid w:val="0"/>
          <w:lang w:eastAsia="en-AU"/>
        </w:rPr>
        <w:t xml:space="preserve">targeted treatments </w:t>
      </w:r>
      <w:r w:rsidR="0096621B">
        <w:rPr>
          <w:rFonts w:eastAsia="Times New Roman" w:cs="Arial"/>
          <w:snapToGrid w:val="0"/>
          <w:lang w:eastAsia="en-AU"/>
        </w:rPr>
        <w:t>become</w:t>
      </w:r>
      <w:r w:rsidR="0084590B">
        <w:rPr>
          <w:rFonts w:eastAsia="Times New Roman" w:cs="Arial"/>
          <w:snapToGrid w:val="0"/>
          <w:lang w:eastAsia="en-AU"/>
        </w:rPr>
        <w:t xml:space="preserve"> available in the earlier phase</w:t>
      </w:r>
      <w:r w:rsidR="0096621B">
        <w:rPr>
          <w:rFonts w:eastAsia="Times New Roman" w:cs="Arial"/>
          <w:snapToGrid w:val="0"/>
          <w:lang w:eastAsia="en-AU"/>
        </w:rPr>
        <w:t>s</w:t>
      </w:r>
      <w:r w:rsidR="0084590B">
        <w:rPr>
          <w:rFonts w:eastAsia="Times New Roman" w:cs="Arial"/>
          <w:snapToGrid w:val="0"/>
          <w:lang w:eastAsia="en-AU"/>
        </w:rPr>
        <w:t xml:space="preserve"> of disease.</w:t>
      </w:r>
    </w:p>
    <w:p w14:paraId="54242888" w14:textId="77777777" w:rsidR="00645D1E" w:rsidRDefault="00645D1E" w:rsidP="00645D1E">
      <w:pPr>
        <w:jc w:val="both"/>
      </w:pPr>
      <w:r>
        <w:t>In preparing the initial submission, the applicant identified a range of MBS fees listed for NGS. This included:</w:t>
      </w:r>
    </w:p>
    <w:p w14:paraId="0A33C38C" w14:textId="77777777" w:rsidR="00645D1E" w:rsidRPr="00657C4C" w:rsidRDefault="00645D1E" w:rsidP="00645D1E">
      <w:pPr>
        <w:pStyle w:val="ListParagraph"/>
        <w:numPr>
          <w:ilvl w:val="0"/>
          <w:numId w:val="19"/>
        </w:numPr>
        <w:jc w:val="both"/>
      </w:pPr>
      <w:r w:rsidRPr="00657C4C">
        <w:t>Item 73437 for a DNA and RNA-based multi-gene panel test of tumour tissue from a patient with a new diagnosis of non-small cell lung cancer has a fee of $1,247.00</w:t>
      </w:r>
      <w:r>
        <w:t>.</w:t>
      </w:r>
    </w:p>
    <w:p w14:paraId="7EE1990A" w14:textId="77777777" w:rsidR="00645D1E" w:rsidRPr="00657C4C" w:rsidRDefault="00645D1E" w:rsidP="00645D1E">
      <w:pPr>
        <w:pStyle w:val="ListParagraph"/>
        <w:numPr>
          <w:ilvl w:val="0"/>
          <w:numId w:val="19"/>
        </w:numPr>
        <w:jc w:val="both"/>
      </w:pPr>
      <w:r w:rsidRPr="00657C4C">
        <w:t xml:space="preserve">Item 73439 for an RNA-based </w:t>
      </w:r>
      <w:r w:rsidRPr="00B0670B">
        <w:t>multi-gene panel test</w:t>
      </w:r>
      <w:r w:rsidRPr="00657C4C">
        <w:t xml:space="preserve"> of tumour tissue from a patient with a new diagnosis of non-small cell lung cancer has a fee of $682.55.  </w:t>
      </w:r>
    </w:p>
    <w:p w14:paraId="2FB903E7" w14:textId="77777777" w:rsidR="00645D1E" w:rsidRPr="00657C4C" w:rsidRDefault="00645D1E" w:rsidP="00645D1E">
      <w:pPr>
        <w:pStyle w:val="ListParagraph"/>
        <w:numPr>
          <w:ilvl w:val="0"/>
          <w:numId w:val="19"/>
        </w:numPr>
        <w:jc w:val="both"/>
      </w:pPr>
      <w:r w:rsidRPr="00657C4C">
        <w:t>Item 73376 for the analysis of tumour tissue from a patient with sarcoma for the analysis of four or more genes has a fee of $800, or item 73374 for the analysis of tumour tissue from a patient with sarcoma for the analysis of one gene has a fee of $340.</w:t>
      </w:r>
    </w:p>
    <w:p w14:paraId="67D784B7" w14:textId="77777777" w:rsidR="00645D1E" w:rsidRPr="00657C4C" w:rsidRDefault="00645D1E" w:rsidP="00645D1E">
      <w:pPr>
        <w:pStyle w:val="ListParagraph"/>
        <w:numPr>
          <w:ilvl w:val="0"/>
          <w:numId w:val="19"/>
        </w:numPr>
        <w:jc w:val="both"/>
      </w:pPr>
      <w:r w:rsidRPr="00657C4C">
        <w:t>Item 73433 for an NGS test for NTRK fusions by DNA or RNA in tumour tissue from a patient with a locally advanced or metastatic solid tumour has a fee of $1,000.00</w:t>
      </w:r>
      <w:r>
        <w:t>.</w:t>
      </w:r>
    </w:p>
    <w:p w14:paraId="520B4B7A" w14:textId="0629DC7C" w:rsidR="00645D1E" w:rsidRDefault="000A6951" w:rsidP="7F079A81">
      <w:pPr>
        <w:spacing w:line="257" w:lineRule="auto"/>
        <w:jc w:val="both"/>
        <w:rPr>
          <w:rFonts w:eastAsia="Franklin Gothic Book" w:cs="Franklin Gothic Book"/>
        </w:rPr>
      </w:pPr>
      <w:r>
        <w:t>T</w:t>
      </w:r>
      <w:r w:rsidR="00645D1E">
        <w:t>he</w:t>
      </w:r>
      <w:r w:rsidR="00F55D53">
        <w:t xml:space="preserve"> applicant noted that the</w:t>
      </w:r>
      <w:r w:rsidR="00645D1E">
        <w:t xml:space="preserve"> published private cost of reporting a single gene is $350 at Peter Mac</w:t>
      </w:r>
      <w:r>
        <w:t>Callum Cancer Centre</w:t>
      </w:r>
      <w:r w:rsidR="00645D1E">
        <w:t>.</w:t>
      </w:r>
    </w:p>
    <w:p w14:paraId="165B6FD9" w14:textId="7EC22FF7" w:rsidR="00645D1E" w:rsidRDefault="00392A26" w:rsidP="00645D1E">
      <w:pPr>
        <w:jc w:val="both"/>
      </w:pPr>
      <w:r>
        <w:t xml:space="preserve">In the initial submission, </w:t>
      </w:r>
      <w:r w:rsidR="00F55D53">
        <w:t xml:space="preserve">the applicant proposed </w:t>
      </w:r>
      <w:r>
        <w:t xml:space="preserve">a </w:t>
      </w:r>
      <w:r w:rsidR="00645D1E">
        <w:t xml:space="preserve">fee of $350 per test in the base case of the economic and financial analyses given testing was proposed using RNA only and reporting limited to </w:t>
      </w:r>
      <w:r w:rsidR="00645D1E" w:rsidRPr="002C1B51">
        <w:rPr>
          <w:i/>
        </w:rPr>
        <w:t>FGFR2</w:t>
      </w:r>
      <w:r w:rsidR="00645D1E">
        <w:t xml:space="preserve"> fusions or rearrangements. </w:t>
      </w:r>
    </w:p>
    <w:p w14:paraId="431CB3D4" w14:textId="1C5E91E1" w:rsidR="005E7F72" w:rsidRPr="00E219BC" w:rsidRDefault="005E7F72" w:rsidP="00A5687B">
      <w:pPr>
        <w:spacing w:before="240" w:after="240" w:line="240" w:lineRule="auto"/>
        <w:jc w:val="both"/>
        <w:rPr>
          <w:rFonts w:eastAsia="Times New Roman" w:cs="Arial"/>
          <w:b/>
          <w:bCs/>
          <w:snapToGrid w:val="0"/>
          <w:lang w:eastAsia="en-AU"/>
        </w:rPr>
      </w:pPr>
      <w:r w:rsidRPr="00E219BC">
        <w:rPr>
          <w:rFonts w:eastAsia="Times New Roman" w:cs="Arial"/>
          <w:b/>
          <w:bCs/>
          <w:snapToGrid w:val="0"/>
          <w:lang w:eastAsia="en-AU"/>
        </w:rPr>
        <w:t>Single gene test</w:t>
      </w:r>
      <w:r w:rsidR="005200E2">
        <w:rPr>
          <w:rFonts w:eastAsia="Times New Roman" w:cs="Arial"/>
          <w:b/>
          <w:bCs/>
          <w:snapToGrid w:val="0"/>
          <w:lang w:eastAsia="en-AU"/>
        </w:rPr>
        <w:t xml:space="preserve"> fee</w:t>
      </w:r>
    </w:p>
    <w:p w14:paraId="01B4EB54" w14:textId="3E61E78D" w:rsidR="00C9737F" w:rsidRDefault="00C9737F" w:rsidP="005E57D0">
      <w:pPr>
        <w:jc w:val="both"/>
        <w:rPr>
          <w:rFonts w:eastAsia="Times New Roman" w:cs="Arial"/>
          <w:snapToGrid w:val="0"/>
          <w:lang w:eastAsia="en-AU"/>
        </w:rPr>
      </w:pPr>
      <w:r w:rsidRPr="003E78E5">
        <w:rPr>
          <w:rFonts w:eastAsia="Times New Roman" w:cs="Arial"/>
          <w:snapToGrid w:val="0"/>
          <w:lang w:eastAsia="en-AU"/>
        </w:rPr>
        <w:t xml:space="preserve">The ESCs considered that if an RNA testing </w:t>
      </w:r>
      <w:r w:rsidR="1E467332" w:rsidRPr="003E78E5">
        <w:rPr>
          <w:rFonts w:eastAsia="Times New Roman" w:cs="Arial"/>
          <w:snapToGrid w:val="0"/>
          <w:lang w:eastAsia="en-AU"/>
        </w:rPr>
        <w:t xml:space="preserve">gene </w:t>
      </w:r>
      <w:r w:rsidRPr="003E78E5">
        <w:rPr>
          <w:rFonts w:eastAsia="Times New Roman" w:cs="Arial"/>
          <w:snapToGrid w:val="0"/>
          <w:lang w:eastAsia="en-AU"/>
        </w:rPr>
        <w:t>panel alone is supported, a fee comparable to MBS item 73439 for fusion testing in lung cancer would be appropriate ($682.35).</w:t>
      </w:r>
      <w:r>
        <w:rPr>
          <w:rFonts w:eastAsia="Times New Roman" w:cs="Arial"/>
          <w:snapToGrid w:val="0"/>
          <w:lang w:eastAsia="en-AU"/>
        </w:rPr>
        <w:t xml:space="preserve"> </w:t>
      </w:r>
    </w:p>
    <w:p w14:paraId="3DB6B2F1" w14:textId="365C0BDB" w:rsidR="005E7F72" w:rsidRPr="00E219BC" w:rsidRDefault="005E7F72" w:rsidP="00AA2B95">
      <w:pPr>
        <w:keepNext/>
        <w:keepLines/>
        <w:jc w:val="both"/>
        <w:rPr>
          <w:rFonts w:eastAsia="Times New Roman" w:cs="Arial"/>
          <w:b/>
          <w:bCs/>
          <w:snapToGrid w:val="0"/>
          <w:lang w:eastAsia="en-AU"/>
        </w:rPr>
      </w:pPr>
      <w:r w:rsidRPr="00E219BC">
        <w:rPr>
          <w:rFonts w:eastAsia="Times New Roman" w:cs="Arial"/>
          <w:b/>
          <w:bCs/>
          <w:snapToGrid w:val="0"/>
          <w:lang w:eastAsia="en-AU"/>
        </w:rPr>
        <w:lastRenderedPageBreak/>
        <w:t>Panel testing</w:t>
      </w:r>
      <w:r w:rsidR="005200E2">
        <w:rPr>
          <w:rFonts w:eastAsia="Times New Roman" w:cs="Arial"/>
          <w:b/>
          <w:bCs/>
          <w:snapToGrid w:val="0"/>
          <w:lang w:eastAsia="en-AU"/>
        </w:rPr>
        <w:t xml:space="preserve"> fee</w:t>
      </w:r>
    </w:p>
    <w:p w14:paraId="0064F997" w14:textId="10BAD3A1" w:rsidR="00011FB3" w:rsidRDefault="00B351DD" w:rsidP="00AA2B95">
      <w:pPr>
        <w:keepNext/>
        <w:keepLines/>
        <w:jc w:val="both"/>
        <w:rPr>
          <w:rFonts w:eastAsia="Times New Roman" w:cs="Arial"/>
        </w:rPr>
      </w:pPr>
      <w:r w:rsidRPr="001F0309">
        <w:rPr>
          <w:rFonts w:eastAsia="Times New Roman" w:cs="Arial"/>
          <w:snapToGrid w:val="0"/>
          <w:lang w:eastAsia="en-AU"/>
        </w:rPr>
        <w:t>T</w:t>
      </w:r>
      <w:r w:rsidR="0089134F" w:rsidRPr="001F0309">
        <w:rPr>
          <w:rFonts w:eastAsia="Times New Roman" w:cs="Arial"/>
          <w:snapToGrid w:val="0"/>
          <w:lang w:eastAsia="en-AU"/>
        </w:rPr>
        <w:t xml:space="preserve">he PBS listing of ivosidenib </w:t>
      </w:r>
      <w:r w:rsidR="27D4138D" w:rsidRPr="001F0309">
        <w:rPr>
          <w:rFonts w:eastAsia="Times New Roman" w:cs="Arial"/>
          <w:snapToGrid w:val="0"/>
          <w:lang w:eastAsia="en-AU"/>
        </w:rPr>
        <w:t xml:space="preserve">and MBS listing (item 73319) for </w:t>
      </w:r>
      <w:r w:rsidR="27D4138D" w:rsidRPr="001F0309">
        <w:rPr>
          <w:rFonts w:eastAsia="Times New Roman" w:cs="Arial"/>
          <w:i/>
          <w:snapToGrid w:val="0"/>
          <w:lang w:eastAsia="en-AU"/>
        </w:rPr>
        <w:t>IDH1</w:t>
      </w:r>
      <w:r w:rsidR="27D4138D" w:rsidRPr="001F0309">
        <w:rPr>
          <w:rFonts w:eastAsia="Times New Roman" w:cs="Arial"/>
          <w:snapToGrid w:val="0"/>
          <w:lang w:eastAsia="en-AU"/>
        </w:rPr>
        <w:t xml:space="preserve"> testing occur</w:t>
      </w:r>
      <w:r w:rsidR="20B41135" w:rsidRPr="001F0309">
        <w:rPr>
          <w:rFonts w:eastAsia="Times New Roman" w:cs="Arial"/>
          <w:snapToGrid w:val="0"/>
          <w:lang w:eastAsia="en-AU"/>
        </w:rPr>
        <w:t>r</w:t>
      </w:r>
      <w:r w:rsidR="27D4138D" w:rsidRPr="001F0309">
        <w:rPr>
          <w:rFonts w:eastAsia="Times New Roman" w:cs="Arial"/>
          <w:snapToGrid w:val="0"/>
          <w:lang w:eastAsia="en-AU"/>
        </w:rPr>
        <w:t>ed on 1 July 2025</w:t>
      </w:r>
      <w:r w:rsidR="00505CD4" w:rsidRPr="001839D7">
        <w:t>.</w:t>
      </w:r>
      <w:r w:rsidR="00505CD4">
        <w:t xml:space="preserve"> Based on this,</w:t>
      </w:r>
      <w:r w:rsidR="003F1099">
        <w:t xml:space="preserve"> </w:t>
      </w:r>
      <w:r w:rsidR="00505CD4">
        <w:t>panel testing</w:t>
      </w:r>
      <w:r w:rsidR="003F1099">
        <w:t xml:space="preserve"> is </w:t>
      </w:r>
      <w:r w:rsidR="00D902BF">
        <w:t xml:space="preserve">considered </w:t>
      </w:r>
      <w:r w:rsidR="003F1099">
        <w:t>the most likely scenario</w:t>
      </w:r>
      <w:r w:rsidR="0089134F">
        <w:t xml:space="preserve">. </w:t>
      </w:r>
      <w:r w:rsidR="00BC64DB">
        <w:t xml:space="preserve">Whilst MSAC has sought public consultation to inform an appropriate fee, </w:t>
      </w:r>
      <w:r w:rsidR="00BC64DB" w:rsidRPr="109AA310">
        <w:rPr>
          <w:rFonts w:eastAsia="Times New Roman" w:cs="Arial"/>
          <w:snapToGrid w:val="0"/>
        </w:rPr>
        <w:t xml:space="preserve">this advice was not available at the time of lodgement of this </w:t>
      </w:r>
      <w:r w:rsidR="008B4AD7">
        <w:rPr>
          <w:rFonts w:eastAsia="Times New Roman" w:cs="Arial"/>
          <w:snapToGrid w:val="0"/>
        </w:rPr>
        <w:t>re</w:t>
      </w:r>
      <w:r w:rsidR="00BC64DB" w:rsidRPr="109AA310">
        <w:rPr>
          <w:rFonts w:eastAsia="Times New Roman" w:cs="Arial"/>
          <w:snapToGrid w:val="0"/>
        </w:rPr>
        <w:t>application.</w:t>
      </w:r>
      <w:r w:rsidR="00D902BF" w:rsidRPr="109AA310">
        <w:rPr>
          <w:rFonts w:eastAsia="Times New Roman" w:cs="Arial"/>
          <w:snapToGrid w:val="0"/>
        </w:rPr>
        <w:t xml:space="preserve"> The applicant has undertaken targeted consultation to inform the </w:t>
      </w:r>
      <w:r w:rsidR="00CE6542" w:rsidRPr="109AA310">
        <w:rPr>
          <w:rFonts w:eastAsia="Times New Roman" w:cs="Arial"/>
          <w:snapToGrid w:val="0"/>
        </w:rPr>
        <w:t xml:space="preserve">additional </w:t>
      </w:r>
      <w:r w:rsidR="00D902BF" w:rsidRPr="109AA310">
        <w:rPr>
          <w:rFonts w:eastAsia="Times New Roman" w:cs="Arial"/>
          <w:snapToGrid w:val="0"/>
        </w:rPr>
        <w:t>analyses presented in this re</w:t>
      </w:r>
      <w:r w:rsidR="001839D7">
        <w:rPr>
          <w:rFonts w:eastAsia="Times New Roman" w:cs="Arial"/>
          <w:snapToGrid w:val="0"/>
        </w:rPr>
        <w:t>application</w:t>
      </w:r>
      <w:r w:rsidR="00D902BF" w:rsidRPr="109AA310">
        <w:rPr>
          <w:rFonts w:eastAsia="Times New Roman" w:cs="Arial"/>
          <w:snapToGrid w:val="0"/>
        </w:rPr>
        <w:t>.</w:t>
      </w:r>
    </w:p>
    <w:p w14:paraId="387A9C02" w14:textId="63CD0409" w:rsidR="00E76CA4" w:rsidRDefault="005200E2" w:rsidP="00505DEA">
      <w:pPr>
        <w:jc w:val="both"/>
      </w:pPr>
      <w:r>
        <w:t>At its February 2025 meeting, t</w:t>
      </w:r>
      <w:r w:rsidR="00505DEA" w:rsidRPr="00F70331">
        <w:t>he ESCs considered that the MBS item fee</w:t>
      </w:r>
      <w:r w:rsidR="00505DEA">
        <w:t xml:space="preserve"> for panel testing</w:t>
      </w:r>
      <w:r w:rsidR="00505DEA" w:rsidRPr="00F70331">
        <w:t xml:space="preserve"> should be aligned to other established MBS items for panel testing</w:t>
      </w:r>
      <w:r w:rsidR="00CE6542">
        <w:t>,</w:t>
      </w:r>
      <w:r w:rsidR="00505DEA" w:rsidRPr="00F70331">
        <w:t xml:space="preserve"> such as item 73437 for sequence and fusion testing in lung carcinoma (MBS fee $1,247.00)</w:t>
      </w:r>
      <w:r w:rsidR="00505DEA">
        <w:t xml:space="preserve">. </w:t>
      </w:r>
      <w:r w:rsidR="00E82B72">
        <w:t xml:space="preserve">However, </w:t>
      </w:r>
      <w:r w:rsidR="001839D7">
        <w:t xml:space="preserve">the applicant </w:t>
      </w:r>
      <w:r w:rsidR="00E655BA">
        <w:t>argued</w:t>
      </w:r>
      <w:r w:rsidR="001839D7">
        <w:t xml:space="preserve"> that </w:t>
      </w:r>
      <w:r w:rsidR="00E82B72">
        <w:t>t</w:t>
      </w:r>
      <w:r w:rsidR="00942B5F">
        <w:t xml:space="preserve">his item </w:t>
      </w:r>
      <w:r w:rsidR="008F7037">
        <w:t xml:space="preserve">has a benefit reflective of testing </w:t>
      </w:r>
      <w:r w:rsidR="004E1EA3">
        <w:t>at least 4 genes</w:t>
      </w:r>
      <w:r w:rsidR="00E82B72">
        <w:t xml:space="preserve"> and may not be </w:t>
      </w:r>
      <w:r w:rsidR="00FE3601">
        <w:t>entirely</w:t>
      </w:r>
      <w:r w:rsidR="00CC033D">
        <w:t xml:space="preserve"> </w:t>
      </w:r>
      <w:r w:rsidR="00E82B72">
        <w:t xml:space="preserve">relevant to this </w:t>
      </w:r>
      <w:r w:rsidR="008B4AD7">
        <w:t>re</w:t>
      </w:r>
      <w:r w:rsidR="00E82B72">
        <w:t>application</w:t>
      </w:r>
      <w:r w:rsidR="00BF7DF1">
        <w:t xml:space="preserve">. </w:t>
      </w:r>
    </w:p>
    <w:p w14:paraId="7DCB3DA0" w14:textId="4F1D8B47" w:rsidR="00505DEA" w:rsidRDefault="001839D7" w:rsidP="00505DEA">
      <w:pPr>
        <w:jc w:val="both"/>
      </w:pPr>
      <w:r>
        <w:t>The applicant noted that</w:t>
      </w:r>
      <w:r w:rsidR="00BF7DF1">
        <w:t xml:space="preserve"> </w:t>
      </w:r>
      <w:r w:rsidR="0097476A">
        <w:t xml:space="preserve">only two targets are included </w:t>
      </w:r>
      <w:r w:rsidR="00DE294F">
        <w:t>in the proposed CCA panel.</w:t>
      </w:r>
      <w:r w:rsidR="00FD0C54">
        <w:t xml:space="preserve"> </w:t>
      </w:r>
      <w:r>
        <w:t>The applicant noted</w:t>
      </w:r>
      <w:r w:rsidR="00B853D9">
        <w:t xml:space="preserve"> from targeted consultation that an appropriate fee would </w:t>
      </w:r>
      <w:r w:rsidR="0023750F">
        <w:t xml:space="preserve">likely </w:t>
      </w:r>
      <w:r w:rsidR="00B853D9">
        <w:t>be less than the lung panel and in the vicin</w:t>
      </w:r>
      <w:r w:rsidR="004931A5">
        <w:t>ity of $800</w:t>
      </w:r>
      <w:r w:rsidR="00E76CA4">
        <w:t>-$900.</w:t>
      </w:r>
      <w:r w:rsidR="00CF0B4F">
        <w:t xml:space="preserve"> </w:t>
      </w:r>
      <w:r w:rsidR="000A6951">
        <w:t>The applicant noted that</w:t>
      </w:r>
      <w:r w:rsidR="00CF0B4F">
        <w:t xml:space="preserve"> the private cost of an NGS DNA and RNA panel is </w:t>
      </w:r>
      <w:r w:rsidR="000868B9">
        <w:t xml:space="preserve">currently </w:t>
      </w:r>
      <w:r w:rsidR="00CF0B4F">
        <w:t>$885</w:t>
      </w:r>
      <w:r w:rsidR="000868B9">
        <w:t xml:space="preserve"> at Peter Mac</w:t>
      </w:r>
      <w:r w:rsidR="000A6951">
        <w:t>Callum Cancer Centre</w:t>
      </w:r>
      <w:r w:rsidR="00CF0B4F">
        <w:t>.</w:t>
      </w:r>
    </w:p>
    <w:p w14:paraId="0357C13D" w14:textId="1FE8EEC9" w:rsidR="00FB33E6" w:rsidRDefault="00E655BA" w:rsidP="00B478F2">
      <w:pPr>
        <w:jc w:val="both"/>
      </w:pPr>
      <w:r>
        <w:t>The applicant</w:t>
      </w:r>
      <w:r w:rsidR="0089134F">
        <w:t xml:space="preserve"> consider</w:t>
      </w:r>
      <w:r>
        <w:t>ed</w:t>
      </w:r>
      <w:r w:rsidR="0089134F">
        <w:t xml:space="preserve"> that it would be appropriate to only apply </w:t>
      </w:r>
      <w:r w:rsidR="0089134F" w:rsidRPr="00E219BC">
        <w:t xml:space="preserve">the incremental cost of testing required to detect </w:t>
      </w:r>
      <w:r w:rsidR="0089134F" w:rsidRPr="00CE272B">
        <w:rPr>
          <w:i/>
          <w:iCs/>
        </w:rPr>
        <w:t>FGFR2</w:t>
      </w:r>
      <w:r w:rsidR="0089134F" w:rsidRPr="00E219BC">
        <w:t xml:space="preserve"> fusion or rearrangement</w:t>
      </w:r>
      <w:r w:rsidR="0089134F" w:rsidRPr="00E2432F">
        <w:t xml:space="preserve"> in</w:t>
      </w:r>
      <w:r w:rsidR="0089134F">
        <w:t xml:space="preserve"> this </w:t>
      </w:r>
      <w:r w:rsidR="00B26D58">
        <w:t>reapplication</w:t>
      </w:r>
      <w:r w:rsidR="0089134F">
        <w:t>.</w:t>
      </w:r>
      <w:r w:rsidR="0096083C">
        <w:t xml:space="preserve"> </w:t>
      </w:r>
      <w:r w:rsidR="00FB33E6">
        <w:t xml:space="preserve"> </w:t>
      </w:r>
    </w:p>
    <w:p w14:paraId="18315F54" w14:textId="59FF9406" w:rsidR="00371B53" w:rsidRDefault="00C816E4" w:rsidP="00B478F2">
      <w:pPr>
        <w:jc w:val="both"/>
      </w:pPr>
      <w:r>
        <w:t>T</w:t>
      </w:r>
      <w:r w:rsidR="0096083C">
        <w:t xml:space="preserve">he MSAC </w:t>
      </w:r>
      <w:r w:rsidR="00E655BA">
        <w:t xml:space="preserve">1750 </w:t>
      </w:r>
      <w:r w:rsidR="0096083C">
        <w:t xml:space="preserve">PSD </w:t>
      </w:r>
      <w:r>
        <w:t xml:space="preserve">indicates that </w:t>
      </w:r>
      <w:r w:rsidR="007F0A38">
        <w:t xml:space="preserve">the proposed fee for </w:t>
      </w:r>
      <w:r w:rsidR="00FE0150" w:rsidRPr="002C1B51">
        <w:rPr>
          <w:i/>
          <w:iCs/>
        </w:rPr>
        <w:t>IDH1</w:t>
      </w:r>
      <w:r w:rsidR="00FE0150">
        <w:t xml:space="preserve"> testing is </w:t>
      </w:r>
      <w:r w:rsidR="002C2585">
        <w:t>$</w:t>
      </w:r>
      <w:r w:rsidR="00FE0150">
        <w:t xml:space="preserve">340. </w:t>
      </w:r>
    </w:p>
    <w:p w14:paraId="019EA513" w14:textId="06C632D3" w:rsidR="009D08F9" w:rsidRDefault="00652310" w:rsidP="00DD4344">
      <w:pPr>
        <w:rPr>
          <w:rFonts w:ascii="Arial Narrow" w:eastAsia="Times New Roman" w:hAnsi="Arial Narrow"/>
          <w:snapToGrid w:val="0"/>
          <w:sz w:val="20"/>
          <w:szCs w:val="20"/>
          <w:lang w:eastAsia="en-AU"/>
        </w:rPr>
      </w:pPr>
      <w:r w:rsidRPr="00E219BC">
        <w:t xml:space="preserve">Based on the information above, this </w:t>
      </w:r>
      <w:r w:rsidR="00E655BA">
        <w:t>reapplication</w:t>
      </w:r>
      <w:r w:rsidR="00E655BA" w:rsidRPr="00E219BC">
        <w:t xml:space="preserve"> </w:t>
      </w:r>
      <w:r w:rsidRPr="00E219BC">
        <w:t>assume</w:t>
      </w:r>
      <w:r w:rsidR="00E655BA">
        <w:t>d</w:t>
      </w:r>
      <w:r w:rsidRPr="00E219BC">
        <w:t xml:space="preserve"> an incremental cost of $</w:t>
      </w:r>
      <w:r w:rsidR="00FC16BE" w:rsidRPr="00E219BC">
        <w:t xml:space="preserve">885-$340 = $545 </w:t>
      </w:r>
      <w:r w:rsidR="008C36F3" w:rsidRPr="00E219BC">
        <w:t xml:space="preserve">in the base case </w:t>
      </w:r>
      <w:r w:rsidR="00FC16BE" w:rsidRPr="00E219BC">
        <w:t xml:space="preserve">for </w:t>
      </w:r>
      <w:r w:rsidR="00FC16BE" w:rsidRPr="002C1B51">
        <w:rPr>
          <w:i/>
          <w:iCs/>
        </w:rPr>
        <w:t>FGFR2</w:t>
      </w:r>
      <w:r w:rsidR="00FC16BE" w:rsidRPr="00E219BC">
        <w:t xml:space="preserve"> testing</w:t>
      </w:r>
      <w:r w:rsidR="008C36F3" w:rsidRPr="00E219BC">
        <w:t>, when included</w:t>
      </w:r>
      <w:r w:rsidR="00FC16BE" w:rsidRPr="00E219BC">
        <w:t xml:space="preserve"> on a panel test with </w:t>
      </w:r>
      <w:r w:rsidR="00FC16BE" w:rsidRPr="002C1B51">
        <w:rPr>
          <w:i/>
          <w:iCs/>
        </w:rPr>
        <w:t>IDH1</w:t>
      </w:r>
      <w:r w:rsidR="008C36F3" w:rsidRPr="00E219BC">
        <w:t xml:space="preserve"> testing.</w:t>
      </w:r>
    </w:p>
    <w:p w14:paraId="34E0B08F" w14:textId="631F0233" w:rsidR="00772829" w:rsidRDefault="00772829" w:rsidP="005F7F0A">
      <w:pPr>
        <w:pStyle w:val="Heading2"/>
        <w:numPr>
          <w:ilvl w:val="0"/>
          <w:numId w:val="10"/>
        </w:numPr>
      </w:pPr>
      <w:bookmarkStart w:id="16" w:name="_Toc69491419"/>
      <w:bookmarkEnd w:id="13"/>
      <w:r w:rsidRPr="00CE28E3">
        <w:t>Population</w:t>
      </w:r>
      <w:bookmarkEnd w:id="16"/>
      <w:r w:rsidRPr="00CE28E3">
        <w:t xml:space="preserve"> </w:t>
      </w:r>
    </w:p>
    <w:p w14:paraId="3D7D407C" w14:textId="28219805" w:rsidR="00F84EC3" w:rsidRPr="001F0309" w:rsidRDefault="00F84EC3" w:rsidP="00B4524D">
      <w:pPr>
        <w:jc w:val="both"/>
        <w:rPr>
          <w:b/>
        </w:rPr>
      </w:pPr>
      <w:r w:rsidRPr="001F0309">
        <w:rPr>
          <w:b/>
        </w:rPr>
        <w:t xml:space="preserve">Testing in locally advanced </w:t>
      </w:r>
      <w:r w:rsidR="006C26F6" w:rsidRPr="001F0309">
        <w:rPr>
          <w:b/>
        </w:rPr>
        <w:t>or metastatic disease</w:t>
      </w:r>
    </w:p>
    <w:p w14:paraId="235C08B6" w14:textId="712D7FAA" w:rsidR="002813CA" w:rsidRDefault="00DA12E5" w:rsidP="00B4524D">
      <w:pPr>
        <w:jc w:val="both"/>
      </w:pPr>
      <w:r>
        <w:t>The applicant noted that t</w:t>
      </w:r>
      <w:r w:rsidR="00B4524D">
        <w:t xml:space="preserve">he test population </w:t>
      </w:r>
      <w:r w:rsidR="00664F2C">
        <w:t>was</w:t>
      </w:r>
      <w:r w:rsidR="00B4524D">
        <w:t xml:space="preserve"> </w:t>
      </w:r>
      <w:r w:rsidR="00604CE3">
        <w:t>increased by 200%</w:t>
      </w:r>
      <w:r w:rsidR="00B4524D">
        <w:t xml:space="preserve"> in the PBAC early re-entry submission to account for testing earlier in the algorithm (i.e. all patients who receive first line treatment in the locally advanced or metastatic disease stages receive testing). </w:t>
      </w:r>
    </w:p>
    <w:p w14:paraId="5E087209" w14:textId="3D93A116" w:rsidR="00B36A39" w:rsidRDefault="000274A6" w:rsidP="00B4524D">
      <w:pPr>
        <w:jc w:val="both"/>
      </w:pPr>
      <w:r>
        <w:t>The applicant noted that i</w:t>
      </w:r>
      <w:r w:rsidR="00B36A39">
        <w:t xml:space="preserve">ncluding locally advanced or </w:t>
      </w:r>
      <w:r w:rsidR="00C436D0">
        <w:t>metastatic</w:t>
      </w:r>
      <w:r w:rsidR="00B36A39">
        <w:t xml:space="preserve"> patient</w:t>
      </w:r>
      <w:r w:rsidR="00C436D0">
        <w:t>s</w:t>
      </w:r>
      <w:r w:rsidR="00B36A39">
        <w:t xml:space="preserve"> who elect no first-</w:t>
      </w:r>
      <w:r w:rsidR="00BF3984">
        <w:t>line treatment</w:t>
      </w:r>
      <w:r w:rsidR="00B36A39">
        <w:t xml:space="preserve"> </w:t>
      </w:r>
      <w:r w:rsidR="00D22621">
        <w:t>results</w:t>
      </w:r>
      <w:r w:rsidR="00B36A39">
        <w:t xml:space="preserve"> in a</w:t>
      </w:r>
      <w:r w:rsidR="00E474B1">
        <w:t xml:space="preserve"> 286% increase in </w:t>
      </w:r>
      <w:r w:rsidR="00DF41A4">
        <w:t>testin</w:t>
      </w:r>
      <w:r w:rsidR="007B61E1">
        <w:t>g</w:t>
      </w:r>
      <w:r>
        <w:t>, and</w:t>
      </w:r>
      <w:r w:rsidR="00E474B1">
        <w:t xml:space="preserve"> </w:t>
      </w:r>
      <w:r w:rsidR="00F93C4D">
        <w:t>i</w:t>
      </w:r>
      <w:r w:rsidR="00E474B1">
        <w:t xml:space="preserve">ncluding all patients at the first diagnosis of CCA </w:t>
      </w:r>
      <w:r w:rsidR="00B1002D">
        <w:t xml:space="preserve">as </w:t>
      </w:r>
      <w:r w:rsidR="00F93C4D">
        <w:t xml:space="preserve">previously </w:t>
      </w:r>
      <w:r w:rsidR="00B1002D">
        <w:t xml:space="preserve">proposed by MSAC </w:t>
      </w:r>
      <w:r w:rsidR="00E474B1">
        <w:t>(i</w:t>
      </w:r>
      <w:r w:rsidR="00C77010">
        <w:t>.</w:t>
      </w:r>
      <w:r w:rsidR="00E474B1">
        <w:t xml:space="preserve">e. either early stage or advanced disease) would result in a </w:t>
      </w:r>
      <w:r w:rsidR="00CD6326">
        <w:t xml:space="preserve">357% </w:t>
      </w:r>
      <w:r w:rsidR="000B2AB3">
        <w:t>increase in testing.</w:t>
      </w:r>
      <w:r w:rsidR="002A57A6">
        <w:t xml:space="preserve"> The applicant consider</w:t>
      </w:r>
      <w:r w:rsidR="00F93C4D">
        <w:t>ed</w:t>
      </w:r>
      <w:r w:rsidR="002A57A6">
        <w:t xml:space="preserve"> that the</w:t>
      </w:r>
      <w:r w:rsidR="007B61E1">
        <w:t>s</w:t>
      </w:r>
      <w:r w:rsidR="002A57A6">
        <w:t>e are not reasonable scenarios</w:t>
      </w:r>
      <w:r w:rsidR="001839A9">
        <w:t xml:space="preserve"> as, </w:t>
      </w:r>
      <w:proofErr w:type="gramStart"/>
      <w:r w:rsidR="001839A9">
        <w:t>at this point in time</w:t>
      </w:r>
      <w:proofErr w:type="gramEnd"/>
      <w:r w:rsidR="001839A9">
        <w:t xml:space="preserve">, </w:t>
      </w:r>
      <w:r w:rsidR="003A17D5">
        <w:t>they do not reflect clinical practice</w:t>
      </w:r>
      <w:r w:rsidR="005A4820">
        <w:t>.</w:t>
      </w:r>
    </w:p>
    <w:p w14:paraId="4E44735F" w14:textId="13E635BA" w:rsidR="002E7834" w:rsidRDefault="002E7834" w:rsidP="002E7834">
      <w:pPr>
        <w:jc w:val="both"/>
      </w:pPr>
      <w:r>
        <w:rPr>
          <w:rFonts w:eastAsia="Times New Roman" w:cs="Arial"/>
          <w:snapToGrid w:val="0"/>
          <w:lang w:eastAsia="en-AU"/>
        </w:rPr>
        <w:t>T</w:t>
      </w:r>
      <w:r>
        <w:rPr>
          <w:rFonts w:eastAsia="Times New Roman" w:cs="Arial"/>
          <w:snapToGrid w:val="0"/>
          <w:lang w:val="en-US" w:eastAsia="en-AU"/>
        </w:rPr>
        <w:t xml:space="preserve">he applicant </w:t>
      </w:r>
      <w:r w:rsidRPr="00F85E68">
        <w:rPr>
          <w:rFonts w:eastAsia="Times New Roman" w:cs="Arial"/>
          <w:snapToGrid w:val="0"/>
          <w:lang w:val="en-US" w:eastAsia="en-AU"/>
        </w:rPr>
        <w:t>consider</w:t>
      </w:r>
      <w:r w:rsidR="00F93C4D">
        <w:rPr>
          <w:rFonts w:eastAsia="Times New Roman" w:cs="Arial"/>
          <w:snapToGrid w:val="0"/>
          <w:lang w:val="en-US" w:eastAsia="en-AU"/>
        </w:rPr>
        <w:t>ed</w:t>
      </w:r>
      <w:r w:rsidRPr="00F85E68">
        <w:rPr>
          <w:rFonts w:eastAsia="Times New Roman" w:cs="Arial"/>
          <w:snapToGrid w:val="0"/>
          <w:lang w:val="en-US" w:eastAsia="en-AU"/>
        </w:rPr>
        <w:t xml:space="preserve"> it </w:t>
      </w:r>
      <w:r w:rsidR="009205A7">
        <w:rPr>
          <w:rFonts w:eastAsia="Times New Roman" w:cs="Arial"/>
          <w:snapToGrid w:val="0"/>
          <w:lang w:val="en-US" w:eastAsia="en-AU"/>
        </w:rPr>
        <w:t>appropriate</w:t>
      </w:r>
      <w:r w:rsidRPr="00F85E68">
        <w:rPr>
          <w:rFonts w:eastAsia="Times New Roman" w:cs="Arial"/>
          <w:snapToGrid w:val="0"/>
          <w:lang w:val="en-US" w:eastAsia="en-AU"/>
        </w:rPr>
        <w:t xml:space="preserve"> to only apply the cost of testing </w:t>
      </w:r>
      <w:r>
        <w:rPr>
          <w:rFonts w:eastAsia="Times New Roman" w:cs="Arial"/>
          <w:snapToGrid w:val="0"/>
          <w:lang w:val="en-US" w:eastAsia="en-AU"/>
        </w:rPr>
        <w:t xml:space="preserve">according to the proposed clinical </w:t>
      </w:r>
      <w:r w:rsidR="00C43D2E">
        <w:rPr>
          <w:rFonts w:eastAsia="Times New Roman" w:cs="Arial"/>
          <w:snapToGrid w:val="0"/>
          <w:lang w:val="en-US" w:eastAsia="en-AU"/>
        </w:rPr>
        <w:t>algorithm,</w:t>
      </w:r>
      <w:r>
        <w:rPr>
          <w:rFonts w:eastAsia="Times New Roman" w:cs="Arial"/>
          <w:snapToGrid w:val="0"/>
          <w:lang w:val="en-US" w:eastAsia="en-AU"/>
        </w:rPr>
        <w:t xml:space="preserve"> which is </w:t>
      </w:r>
      <w:r w:rsidRPr="00F85E68">
        <w:rPr>
          <w:rFonts w:eastAsia="Times New Roman" w:cs="Arial"/>
          <w:snapToGrid w:val="0"/>
          <w:lang w:eastAsia="en-AU"/>
        </w:rPr>
        <w:t>aligned with key clinical guidelines</w:t>
      </w:r>
      <w:r w:rsidR="009205A7">
        <w:rPr>
          <w:rFonts w:eastAsia="Times New Roman" w:cs="Arial"/>
          <w:snapToGrid w:val="0"/>
          <w:lang w:eastAsia="en-AU"/>
        </w:rPr>
        <w:t xml:space="preserve"> (</w:t>
      </w:r>
      <w:r w:rsidRPr="00F85E68">
        <w:rPr>
          <w:rFonts w:eastAsia="Times New Roman" w:cs="Arial"/>
          <w:snapToGrid w:val="0"/>
          <w:lang w:eastAsia="en-AU"/>
        </w:rPr>
        <w:t>which recommend that testing occur in the advanced stage of disease</w:t>
      </w:r>
      <w:r w:rsidR="009205A7">
        <w:rPr>
          <w:rFonts w:eastAsia="Times New Roman" w:cs="Arial"/>
          <w:snapToGrid w:val="0"/>
          <w:lang w:eastAsia="en-AU"/>
        </w:rPr>
        <w:t>)</w:t>
      </w:r>
      <w:r w:rsidRPr="00F85E68">
        <w:rPr>
          <w:rFonts w:eastAsia="Times New Roman" w:cs="Arial"/>
          <w:snapToGrid w:val="0"/>
          <w:lang w:eastAsia="en-AU"/>
        </w:rPr>
        <w:t xml:space="preserve">, the inclusion criteria of FOENIX-CCA2 and the timing of testing in current Australian clinical practice. </w:t>
      </w:r>
      <w:r w:rsidR="00F93C4D">
        <w:t>The applicant noted that they had</w:t>
      </w:r>
      <w:r>
        <w:t xml:space="preserve"> received</w:t>
      </w:r>
      <w:r w:rsidR="00F93C4D">
        <w:t xml:space="preserve"> advice</w:t>
      </w:r>
      <w:r>
        <w:t xml:space="preserve"> from clinical experts at the Advisory Board (cited in the initial submission) and targeted consultation during the preparation of this </w:t>
      </w:r>
      <w:r w:rsidR="00986BA9">
        <w:t>re</w:t>
      </w:r>
      <w:r w:rsidR="00AD2159">
        <w:t>application</w:t>
      </w:r>
      <w:r>
        <w:t xml:space="preserve"> </w:t>
      </w:r>
      <w:r w:rsidR="004D251A">
        <w:t>which stated</w:t>
      </w:r>
      <w:r>
        <w:t xml:space="preserve"> that, in practice, testing will occur in patients with locally advanced or metastatic disease who are electing first-line treatment (i</w:t>
      </w:r>
      <w:r w:rsidR="00C77010">
        <w:t>.</w:t>
      </w:r>
      <w:r>
        <w:t xml:space="preserve">e. in most cases durvalumab + </w:t>
      </w:r>
      <w:proofErr w:type="spellStart"/>
      <w:r>
        <w:t>GemCis</w:t>
      </w:r>
      <w:proofErr w:type="spellEnd"/>
      <w:r>
        <w:t>)</w:t>
      </w:r>
      <w:r w:rsidR="00801797">
        <w:t xml:space="preserve"> </w:t>
      </w:r>
      <w:r w:rsidR="000E6B90">
        <w:t>for the sole purpose of guiding</w:t>
      </w:r>
      <w:r w:rsidR="00801797">
        <w:t xml:space="preserve"> second line targeted treatment</w:t>
      </w:r>
      <w:r>
        <w:t>.</w:t>
      </w:r>
    </w:p>
    <w:p w14:paraId="2CFD3F94" w14:textId="04096F33" w:rsidR="00BF3984" w:rsidRPr="00F279E2" w:rsidRDefault="00BF3984" w:rsidP="00BF3984">
      <w:pPr>
        <w:spacing w:before="0" w:after="240" w:line="240" w:lineRule="auto"/>
        <w:jc w:val="both"/>
        <w:rPr>
          <w:rFonts w:eastAsia="Times New Roman" w:cs="Arial"/>
          <w:snapToGrid w:val="0"/>
          <w:lang w:val="en-US" w:eastAsia="en-AU"/>
        </w:rPr>
      </w:pPr>
      <w:r w:rsidRPr="00F85E68">
        <w:rPr>
          <w:rFonts w:eastAsia="Times New Roman" w:cs="Arial"/>
          <w:snapToGrid w:val="0"/>
          <w:lang w:val="en-US" w:eastAsia="en-AU"/>
        </w:rPr>
        <w:t>Given the rare nature of this cancer and fusion/rearrangement, the applicant</w:t>
      </w:r>
      <w:r w:rsidR="00945380">
        <w:rPr>
          <w:rFonts w:eastAsia="Times New Roman" w:cs="Arial"/>
          <w:snapToGrid w:val="0"/>
          <w:lang w:val="en-US" w:eastAsia="en-AU"/>
        </w:rPr>
        <w:t xml:space="preserve"> considered</w:t>
      </w:r>
      <w:r w:rsidRPr="00F85E68">
        <w:rPr>
          <w:rFonts w:eastAsia="Times New Roman" w:cs="Arial"/>
          <w:snapToGrid w:val="0"/>
          <w:lang w:val="en-US" w:eastAsia="en-AU"/>
        </w:rPr>
        <w:t xml:space="preserve"> </w:t>
      </w:r>
      <w:r w:rsidR="00945380">
        <w:rPr>
          <w:rFonts w:eastAsia="Times New Roman" w:cs="Arial"/>
          <w:snapToGrid w:val="0"/>
          <w:lang w:val="en-US" w:eastAsia="en-AU"/>
        </w:rPr>
        <w:t xml:space="preserve">the test </w:t>
      </w:r>
      <w:r w:rsidR="00AD2159">
        <w:rPr>
          <w:rFonts w:eastAsia="Times New Roman" w:cs="Arial"/>
          <w:snapToGrid w:val="0"/>
          <w:lang w:val="en-US" w:eastAsia="en-AU"/>
        </w:rPr>
        <w:t>cost</w:t>
      </w:r>
      <w:r w:rsidR="00945380">
        <w:rPr>
          <w:rFonts w:eastAsia="Times New Roman" w:cs="Arial"/>
          <w:snapToGrid w:val="0"/>
          <w:lang w:val="en-US" w:eastAsia="en-AU"/>
        </w:rPr>
        <w:t xml:space="preserve"> was</w:t>
      </w:r>
      <w:r w:rsidRPr="00F85E68">
        <w:rPr>
          <w:rFonts w:eastAsia="Times New Roman" w:cs="Arial"/>
          <w:snapToGrid w:val="0"/>
          <w:lang w:val="en-US" w:eastAsia="en-AU"/>
        </w:rPr>
        <w:t xml:space="preserve"> at a disadvantage, compared to other more common diseases and cancers with biomarkers.</w:t>
      </w:r>
      <w:r w:rsidRPr="00F85E68">
        <w:rPr>
          <w:rFonts w:eastAsia="Times New Roman" w:cs="Arial"/>
          <w:snapToGrid w:val="0"/>
          <w:lang w:eastAsia="en-AU"/>
        </w:rPr>
        <w:t xml:space="preserve"> </w:t>
      </w:r>
      <w:r w:rsidR="00945380">
        <w:rPr>
          <w:rFonts w:eastAsia="Times New Roman" w:cs="Arial"/>
          <w:snapToGrid w:val="0"/>
          <w:lang w:val="en-US" w:eastAsia="en-AU"/>
        </w:rPr>
        <w:t>The applicant</w:t>
      </w:r>
      <w:r w:rsidRPr="00F85E68">
        <w:rPr>
          <w:rFonts w:eastAsia="Times New Roman" w:cs="Arial"/>
          <w:snapToGrid w:val="0"/>
          <w:lang w:val="en-US" w:eastAsia="en-AU"/>
        </w:rPr>
        <w:t xml:space="preserve"> therefore </w:t>
      </w:r>
      <w:r>
        <w:rPr>
          <w:rFonts w:eastAsia="Times New Roman" w:cs="Arial"/>
          <w:snapToGrid w:val="0"/>
          <w:lang w:val="en-US" w:eastAsia="en-AU"/>
        </w:rPr>
        <w:t>considered</w:t>
      </w:r>
      <w:r w:rsidRPr="00F85E68">
        <w:rPr>
          <w:rFonts w:eastAsia="Times New Roman" w:cs="Arial"/>
          <w:snapToGrid w:val="0"/>
          <w:lang w:val="en-US" w:eastAsia="en-AU"/>
        </w:rPr>
        <w:t xml:space="preserve"> </w:t>
      </w:r>
      <w:r w:rsidR="00945380">
        <w:rPr>
          <w:rFonts w:eastAsia="Times New Roman" w:cs="Arial"/>
          <w:snapToGrid w:val="0"/>
          <w:lang w:val="en-US" w:eastAsia="en-AU"/>
        </w:rPr>
        <w:t xml:space="preserve">it </w:t>
      </w:r>
      <w:r w:rsidRPr="00F85E68">
        <w:rPr>
          <w:rFonts w:eastAsia="Times New Roman" w:cs="Arial"/>
          <w:snapToGrid w:val="0"/>
          <w:lang w:val="en-US" w:eastAsia="en-AU"/>
        </w:rPr>
        <w:t>unreasonable for the cost of any additional testing beyond that proposed in Section</w:t>
      </w:r>
      <w:r w:rsidR="00B14CF4">
        <w:rPr>
          <w:rFonts w:eastAsia="Times New Roman" w:cs="Arial"/>
          <w:snapToGrid w:val="0"/>
          <w:lang w:val="en-US" w:eastAsia="en-AU"/>
        </w:rPr>
        <w:t xml:space="preserve"> </w:t>
      </w:r>
      <w:r w:rsidR="006A3A4D">
        <w:rPr>
          <w:rFonts w:eastAsia="Times New Roman" w:cs="Arial"/>
          <w:snapToGrid w:val="0"/>
          <w:lang w:val="en-US" w:eastAsia="en-AU"/>
        </w:rPr>
        <w:t xml:space="preserve">13 and </w:t>
      </w:r>
      <w:r w:rsidR="00B14CF4">
        <w:rPr>
          <w:rFonts w:eastAsia="Times New Roman" w:cs="Arial"/>
          <w:snapToGrid w:val="0"/>
          <w:lang w:val="en-US" w:eastAsia="en-AU"/>
        </w:rPr>
        <w:t>14</w:t>
      </w:r>
      <w:r w:rsidRPr="00F85E68">
        <w:rPr>
          <w:rFonts w:eastAsia="Times New Roman" w:cs="Arial"/>
          <w:snapToGrid w:val="0"/>
          <w:lang w:val="en-US" w:eastAsia="en-AU"/>
        </w:rPr>
        <w:t xml:space="preserve"> to be borne by the </w:t>
      </w:r>
      <w:r w:rsidR="00E46C18">
        <w:rPr>
          <w:rFonts w:eastAsia="Times New Roman" w:cs="Arial"/>
          <w:snapToGrid w:val="0"/>
          <w:lang w:val="en-US" w:eastAsia="en-AU"/>
        </w:rPr>
        <w:t>test</w:t>
      </w:r>
      <w:r w:rsidRPr="00F85E68">
        <w:rPr>
          <w:rFonts w:eastAsia="Times New Roman" w:cs="Arial"/>
          <w:snapToGrid w:val="0"/>
          <w:lang w:val="en-US" w:eastAsia="en-AU"/>
        </w:rPr>
        <w:t xml:space="preserve"> in this </w:t>
      </w:r>
      <w:r w:rsidR="00E46C18">
        <w:rPr>
          <w:rFonts w:eastAsia="Times New Roman" w:cs="Arial"/>
          <w:snapToGrid w:val="0"/>
          <w:lang w:val="en-US" w:eastAsia="en-AU"/>
        </w:rPr>
        <w:t>re</w:t>
      </w:r>
      <w:r w:rsidR="00AD2159">
        <w:rPr>
          <w:rFonts w:eastAsia="Times New Roman" w:cs="Arial"/>
          <w:snapToGrid w:val="0"/>
          <w:lang w:val="en-US" w:eastAsia="en-AU"/>
        </w:rPr>
        <w:t>application</w:t>
      </w:r>
      <w:r w:rsidRPr="00F85E68">
        <w:rPr>
          <w:rFonts w:eastAsia="Times New Roman" w:cs="Arial"/>
          <w:snapToGrid w:val="0"/>
          <w:lang w:val="en-US" w:eastAsia="en-AU"/>
        </w:rPr>
        <w:t xml:space="preserve">. </w:t>
      </w:r>
    </w:p>
    <w:p w14:paraId="787815F7" w14:textId="3227C0F7" w:rsidR="003C6FF9" w:rsidRDefault="00E46C18" w:rsidP="00B4524D">
      <w:pPr>
        <w:jc w:val="both"/>
      </w:pPr>
      <w:r>
        <w:lastRenderedPageBreak/>
        <w:t xml:space="preserve">The applicant therefore considered it was appropriate </w:t>
      </w:r>
      <w:r w:rsidR="00406D00">
        <w:t>that</w:t>
      </w:r>
      <w:r w:rsidR="0004649D">
        <w:t xml:space="preserve"> t</w:t>
      </w:r>
      <w:r w:rsidR="003C6FF9">
        <w:t xml:space="preserve">he </w:t>
      </w:r>
      <w:r w:rsidR="0029006B">
        <w:t>updated economic and financial analyses use</w:t>
      </w:r>
      <w:r w:rsidR="00406D00">
        <w:t>d</w:t>
      </w:r>
      <w:r w:rsidR="0029006B">
        <w:t xml:space="preserve"> the </w:t>
      </w:r>
      <w:r w:rsidR="0004649D">
        <w:t>200%</w:t>
      </w:r>
      <w:r w:rsidR="0029006B">
        <w:t xml:space="preserve"> </w:t>
      </w:r>
      <w:r w:rsidR="0004649D">
        <w:t>increase to</w:t>
      </w:r>
      <w:r w:rsidR="0029006B">
        <w:t xml:space="preserve"> the test population.</w:t>
      </w:r>
    </w:p>
    <w:p w14:paraId="26B361C3" w14:textId="3A227F39" w:rsidR="006C26F6" w:rsidRPr="001F0309" w:rsidRDefault="006C26F6" w:rsidP="00A5687B">
      <w:pPr>
        <w:jc w:val="both"/>
        <w:rPr>
          <w:b/>
        </w:rPr>
      </w:pPr>
      <w:r w:rsidRPr="001F0309">
        <w:rPr>
          <w:b/>
        </w:rPr>
        <w:t xml:space="preserve">Testing of patients with pancreatic cancer and cancer of unknown </w:t>
      </w:r>
      <w:r w:rsidR="00AD2159" w:rsidRPr="001F0309">
        <w:rPr>
          <w:b/>
          <w:bCs/>
        </w:rPr>
        <w:t>primary</w:t>
      </w:r>
    </w:p>
    <w:p w14:paraId="4505945A" w14:textId="648776D6" w:rsidR="003900E6" w:rsidRDefault="00CB1138" w:rsidP="00A5687B">
      <w:pPr>
        <w:jc w:val="both"/>
      </w:pPr>
      <w:r>
        <w:t xml:space="preserve">The </w:t>
      </w:r>
      <w:r w:rsidR="00406D00">
        <w:t>a</w:t>
      </w:r>
      <w:r>
        <w:t>pplicant contend</w:t>
      </w:r>
      <w:r w:rsidR="00406D00">
        <w:t xml:space="preserve">ed </w:t>
      </w:r>
      <w:r>
        <w:t>that the MSAC</w:t>
      </w:r>
      <w:r w:rsidR="00406D00">
        <w:t>’s</w:t>
      </w:r>
      <w:r>
        <w:t xml:space="preserve"> request to include </w:t>
      </w:r>
      <w:r w:rsidR="00546B36">
        <w:t xml:space="preserve">additional </w:t>
      </w:r>
      <w:r>
        <w:t xml:space="preserve">testing of patients with pancreatic cancer and cancer of unknown </w:t>
      </w:r>
      <w:r w:rsidR="00AD2159">
        <w:t xml:space="preserve">primary </w:t>
      </w:r>
      <w:r>
        <w:t xml:space="preserve">would </w:t>
      </w:r>
      <w:r w:rsidR="00015A82">
        <w:t xml:space="preserve">be </w:t>
      </w:r>
      <w:r>
        <w:t>double count</w:t>
      </w:r>
      <w:r w:rsidR="00015A82">
        <w:t>ing</w:t>
      </w:r>
      <w:r w:rsidR="00546B36">
        <w:t xml:space="preserve">. </w:t>
      </w:r>
      <w:r w:rsidR="00980C7A">
        <w:t>The applicant considered that i</w:t>
      </w:r>
      <w:r w:rsidR="00015A82">
        <w:t xml:space="preserve">f </w:t>
      </w:r>
      <w:r w:rsidR="009A44BD">
        <w:t>differentiating</w:t>
      </w:r>
      <w:r w:rsidR="00015A82">
        <w:t xml:space="preserve"> the site </w:t>
      </w:r>
      <w:r w:rsidR="00894EB9">
        <w:t xml:space="preserve">of the </w:t>
      </w:r>
      <w:r w:rsidR="009A44BD">
        <w:t xml:space="preserve">primary </w:t>
      </w:r>
      <w:r w:rsidR="00894EB9">
        <w:t xml:space="preserve">tumour </w:t>
      </w:r>
      <w:r w:rsidR="00015A82">
        <w:t xml:space="preserve">is </w:t>
      </w:r>
      <w:r w:rsidR="00F92621">
        <w:t xml:space="preserve">as </w:t>
      </w:r>
      <w:r w:rsidR="00015A82">
        <w:t>problematic</w:t>
      </w:r>
      <w:r w:rsidR="00F92621">
        <w:t xml:space="preserve"> as </w:t>
      </w:r>
      <w:r w:rsidR="00780C65">
        <w:t>suggested, it</w:t>
      </w:r>
      <w:r w:rsidR="006C26F6">
        <w:t xml:space="preserve"> c</w:t>
      </w:r>
      <w:r w:rsidR="00980C7A">
        <w:t>ould</w:t>
      </w:r>
      <w:r w:rsidR="006C26F6">
        <w:t xml:space="preserve"> reasonably be expected that </w:t>
      </w:r>
      <w:r w:rsidR="00F92621">
        <w:t xml:space="preserve">these patients </w:t>
      </w:r>
      <w:r w:rsidR="00980C7A">
        <w:t>were</w:t>
      </w:r>
      <w:r w:rsidR="003900E6">
        <w:t xml:space="preserve"> already </w:t>
      </w:r>
      <w:r w:rsidR="006C26F6">
        <w:t>captured</w:t>
      </w:r>
      <w:r w:rsidR="00A342C6">
        <w:t xml:space="preserve"> in the</w:t>
      </w:r>
      <w:r w:rsidR="003900E6">
        <w:t xml:space="preserve"> </w:t>
      </w:r>
      <w:r w:rsidR="00015A82">
        <w:t xml:space="preserve">AIHW </w:t>
      </w:r>
      <w:r w:rsidR="007E73DD">
        <w:t xml:space="preserve">epidemiology </w:t>
      </w:r>
      <w:r w:rsidR="00243E55">
        <w:t>data</w:t>
      </w:r>
      <w:r w:rsidR="00015A82">
        <w:t xml:space="preserve"> </w:t>
      </w:r>
      <w:r w:rsidR="00894EB9">
        <w:t>used</w:t>
      </w:r>
      <w:r w:rsidR="007E73DD">
        <w:t xml:space="preserve"> to estimate patient numbers</w:t>
      </w:r>
      <w:r w:rsidR="00894EB9">
        <w:t xml:space="preserve"> in the </w:t>
      </w:r>
      <w:r w:rsidR="005D561B">
        <w:t xml:space="preserve">original </w:t>
      </w:r>
      <w:r w:rsidR="00894EB9">
        <w:t>submission</w:t>
      </w:r>
      <w:r w:rsidR="00015A82">
        <w:t>.</w:t>
      </w:r>
    </w:p>
    <w:p w14:paraId="543A8119" w14:textId="2105BB55" w:rsidR="003C6FF9" w:rsidRDefault="005D561B" w:rsidP="00A5687B">
      <w:pPr>
        <w:jc w:val="both"/>
      </w:pPr>
      <w:r>
        <w:t>The applicant therefore considered it was appropriate that</w:t>
      </w:r>
      <w:r w:rsidR="00A342C6">
        <w:t xml:space="preserve"> the updated </w:t>
      </w:r>
      <w:r w:rsidR="003C6FF9">
        <w:t>economic and financial analyses d</w:t>
      </w:r>
      <w:r>
        <w:t>id</w:t>
      </w:r>
      <w:r w:rsidR="003C6FF9">
        <w:t xml:space="preserve"> not </w:t>
      </w:r>
      <w:r w:rsidR="00D70109">
        <w:t xml:space="preserve">further </w:t>
      </w:r>
      <w:r w:rsidR="003C6FF9">
        <w:t>adjust testing to account for potential misdiagnoses</w:t>
      </w:r>
      <w:r w:rsidR="008F0CF8">
        <w:t xml:space="preserve">, as these patients </w:t>
      </w:r>
      <w:r>
        <w:t>were</w:t>
      </w:r>
      <w:r w:rsidR="008F0CF8">
        <w:t xml:space="preserve"> assumed to already be included</w:t>
      </w:r>
      <w:r w:rsidR="003C6FF9">
        <w:t>.</w:t>
      </w:r>
    </w:p>
    <w:p w14:paraId="130AD3B2" w14:textId="11D72300" w:rsidR="00A342C6" w:rsidRPr="001F0309" w:rsidRDefault="000032D4" w:rsidP="00A5687B">
      <w:pPr>
        <w:jc w:val="both"/>
        <w:rPr>
          <w:b/>
        </w:rPr>
      </w:pPr>
      <w:r w:rsidRPr="001F0309">
        <w:rPr>
          <w:b/>
        </w:rPr>
        <w:t>Diagnostic yield</w:t>
      </w:r>
    </w:p>
    <w:p w14:paraId="48B2F217" w14:textId="4422A76A" w:rsidR="000032D4" w:rsidRDefault="000032D4" w:rsidP="00A5687B">
      <w:pPr>
        <w:jc w:val="both"/>
      </w:pPr>
      <w:r>
        <w:t xml:space="preserve">The diagnostic yield </w:t>
      </w:r>
      <w:r w:rsidR="00AD2159">
        <w:t>was reduced</w:t>
      </w:r>
      <w:r>
        <w:t xml:space="preserve"> from 20% to 13.9 in the early re-entry submission</w:t>
      </w:r>
      <w:r w:rsidR="00441F58">
        <w:t xml:space="preserve"> to PBAC</w:t>
      </w:r>
      <w:r w:rsidR="00AD2159">
        <w:t xml:space="preserve"> in the assessment of the financial impact</w:t>
      </w:r>
      <w:r>
        <w:t xml:space="preserve">. </w:t>
      </w:r>
      <w:r w:rsidR="00BD1636">
        <w:t>Yield of 13.9%</w:t>
      </w:r>
      <w:r>
        <w:t xml:space="preserve"> </w:t>
      </w:r>
      <w:r w:rsidR="002F7695">
        <w:t>was</w:t>
      </w:r>
      <w:r>
        <w:t xml:space="preserve"> </w:t>
      </w:r>
      <w:r w:rsidR="00BD1636">
        <w:t>included</w:t>
      </w:r>
      <w:r>
        <w:t xml:space="preserve"> in th</w:t>
      </w:r>
      <w:r w:rsidR="009B2766">
        <w:t>e</w:t>
      </w:r>
      <w:r>
        <w:t xml:space="preserve"> MSAC re</w:t>
      </w:r>
      <w:r w:rsidR="00AD2159">
        <w:t>application</w:t>
      </w:r>
      <w:r w:rsidR="004A55C4">
        <w:t xml:space="preserve"> and </w:t>
      </w:r>
      <w:r w:rsidR="009B2766">
        <w:t>was</w:t>
      </w:r>
      <w:r w:rsidR="004A55C4">
        <w:t xml:space="preserve"> </w:t>
      </w:r>
      <w:r w:rsidR="00865DD7">
        <w:t>also</w:t>
      </w:r>
      <w:r w:rsidR="002179E6">
        <w:t xml:space="preserve"> </w:t>
      </w:r>
      <w:r w:rsidR="00181740">
        <w:t>considered in the economic model.</w:t>
      </w:r>
    </w:p>
    <w:p w14:paraId="7856702E" w14:textId="5A4FC991" w:rsidR="0022350B" w:rsidRPr="0022350B" w:rsidRDefault="00772829" w:rsidP="005F7F0A">
      <w:pPr>
        <w:pStyle w:val="Heading2"/>
        <w:numPr>
          <w:ilvl w:val="0"/>
          <w:numId w:val="10"/>
        </w:numPr>
      </w:pPr>
      <w:bookmarkStart w:id="17" w:name="_Toc69491420"/>
      <w:r w:rsidRPr="00CE28E3">
        <w:t>Comparator</w:t>
      </w:r>
      <w:bookmarkEnd w:id="17"/>
    </w:p>
    <w:p w14:paraId="1E4076B4" w14:textId="007D6541" w:rsidR="00BD59D1" w:rsidRDefault="007E44B6" w:rsidP="007E3E0C">
      <w:r>
        <w:t>There was no</w:t>
      </w:r>
      <w:r w:rsidR="007E3E0C">
        <w:t xml:space="preserve"> change</w:t>
      </w:r>
      <w:r w:rsidR="00502B6B">
        <w:t xml:space="preserve"> to the drug or test comparator</w:t>
      </w:r>
      <w:r>
        <w:t xml:space="preserve"> compared to the initial submission</w:t>
      </w:r>
      <w:r w:rsidR="00502B6B">
        <w:t>.</w:t>
      </w:r>
    </w:p>
    <w:p w14:paraId="1532D5B2" w14:textId="673661B7" w:rsidR="00412C7D" w:rsidRDefault="003637D3" w:rsidP="005F7F0A">
      <w:pPr>
        <w:pStyle w:val="Heading2"/>
        <w:numPr>
          <w:ilvl w:val="0"/>
          <w:numId w:val="10"/>
        </w:numPr>
      </w:pPr>
      <w:bookmarkStart w:id="18" w:name="_Toc69491422"/>
      <w:r>
        <w:t>Summary of consultation input</w:t>
      </w:r>
    </w:p>
    <w:p w14:paraId="184E64A7" w14:textId="191DF811" w:rsidR="003637D3" w:rsidRPr="001F0309" w:rsidRDefault="003637D3" w:rsidP="003637D3">
      <w:r w:rsidRPr="001F0309">
        <w:t xml:space="preserve">The Department received consultation input on the potential test fees from three organisations (The Royal College of Pathologists of Australasia [RCPA], Public Pathology Australia [PPA], and QIAGEN). </w:t>
      </w:r>
    </w:p>
    <w:p w14:paraId="127813B1" w14:textId="77777777" w:rsidR="003637D3" w:rsidRPr="001F0309" w:rsidRDefault="003637D3" w:rsidP="003637D3">
      <w:r w:rsidRPr="001F0309">
        <w:t xml:space="preserve">The organisations were asked to advise on the appropriate costs for testing </w:t>
      </w:r>
      <w:r w:rsidRPr="001F0309">
        <w:rPr>
          <w:i/>
          <w:iCs/>
        </w:rPr>
        <w:t>FGFR2</w:t>
      </w:r>
      <w:r w:rsidRPr="001F0309">
        <w:t xml:space="preserve"> fusions and rearrangements and </w:t>
      </w:r>
      <w:r w:rsidRPr="001F0309">
        <w:rPr>
          <w:i/>
          <w:iCs/>
        </w:rPr>
        <w:t>IDH1</w:t>
      </w:r>
      <w:r w:rsidRPr="001F0309">
        <w:t xml:space="preserve"> variants in tumour tissue from a patient with suspected CCA using the following methodologies:</w:t>
      </w:r>
    </w:p>
    <w:p w14:paraId="2398298C" w14:textId="77777777" w:rsidR="003637D3" w:rsidRPr="001F0309" w:rsidRDefault="003637D3" w:rsidP="003637D3">
      <w:pPr>
        <w:pStyle w:val="ListParagraph"/>
        <w:numPr>
          <w:ilvl w:val="0"/>
          <w:numId w:val="20"/>
        </w:numPr>
      </w:pPr>
      <w:r w:rsidRPr="001F0309">
        <w:t>A DNA and RNA next generation sequencing (NGS) multigene panel test (with at least 2 genes)</w:t>
      </w:r>
    </w:p>
    <w:p w14:paraId="1F7E94D6" w14:textId="77777777" w:rsidR="003637D3" w:rsidRPr="001F0309" w:rsidRDefault="003637D3" w:rsidP="003637D3">
      <w:pPr>
        <w:pStyle w:val="ListParagraph"/>
        <w:numPr>
          <w:ilvl w:val="0"/>
          <w:numId w:val="20"/>
        </w:numPr>
      </w:pPr>
      <w:r w:rsidRPr="001F0309">
        <w:t>A DNA NGS multigene panel test (with at least 2 genes)</w:t>
      </w:r>
    </w:p>
    <w:p w14:paraId="56209954" w14:textId="77777777" w:rsidR="003637D3" w:rsidRPr="001F0309" w:rsidRDefault="003637D3" w:rsidP="003637D3">
      <w:pPr>
        <w:pStyle w:val="ListParagraph"/>
        <w:numPr>
          <w:ilvl w:val="0"/>
          <w:numId w:val="20"/>
        </w:numPr>
      </w:pPr>
      <w:proofErr w:type="gramStart"/>
      <w:r w:rsidRPr="001F0309">
        <w:t>A</w:t>
      </w:r>
      <w:proofErr w:type="gramEnd"/>
      <w:r w:rsidRPr="001F0309">
        <w:t xml:space="preserve"> RNA NGS multigene panel test (with at least 2 genes)</w:t>
      </w:r>
    </w:p>
    <w:p w14:paraId="3BA6FF36" w14:textId="77777777" w:rsidR="003637D3" w:rsidRPr="001F0309" w:rsidRDefault="003637D3" w:rsidP="003637D3">
      <w:r w:rsidRPr="001F0309">
        <w:t xml:space="preserve">They were also asked to advise on the appropriate cost for testing </w:t>
      </w:r>
      <w:r w:rsidRPr="001F0309">
        <w:rPr>
          <w:i/>
        </w:rPr>
        <w:t>FGFR2</w:t>
      </w:r>
      <w:r w:rsidRPr="001F0309">
        <w:t xml:space="preserve"> fusions and rearrangements as a single gene test using the following methodologies:</w:t>
      </w:r>
    </w:p>
    <w:p w14:paraId="10999057" w14:textId="77777777" w:rsidR="003637D3" w:rsidRPr="001F0309" w:rsidRDefault="003637D3" w:rsidP="003637D3">
      <w:pPr>
        <w:pStyle w:val="ListParagraph"/>
        <w:numPr>
          <w:ilvl w:val="0"/>
          <w:numId w:val="21"/>
        </w:numPr>
      </w:pPr>
      <w:r w:rsidRPr="001F0309">
        <w:t>DNA and RNA NGS</w:t>
      </w:r>
    </w:p>
    <w:p w14:paraId="6E430549" w14:textId="77777777" w:rsidR="003637D3" w:rsidRPr="001F0309" w:rsidRDefault="003637D3" w:rsidP="003637D3">
      <w:pPr>
        <w:pStyle w:val="ListParagraph"/>
        <w:numPr>
          <w:ilvl w:val="0"/>
          <w:numId w:val="21"/>
        </w:numPr>
      </w:pPr>
      <w:r w:rsidRPr="001F0309">
        <w:t>DNA NGS</w:t>
      </w:r>
    </w:p>
    <w:p w14:paraId="1C2EBDC1" w14:textId="77777777" w:rsidR="003637D3" w:rsidRPr="001F0309" w:rsidRDefault="003637D3" w:rsidP="003637D3">
      <w:pPr>
        <w:pStyle w:val="ListParagraph"/>
        <w:numPr>
          <w:ilvl w:val="0"/>
          <w:numId w:val="21"/>
        </w:numPr>
      </w:pPr>
      <w:r w:rsidRPr="001F0309">
        <w:t>RNA NGS</w:t>
      </w:r>
    </w:p>
    <w:p w14:paraId="48324EE2" w14:textId="41D5AFC5" w:rsidR="003637D3" w:rsidRPr="001F0309" w:rsidRDefault="003637D3" w:rsidP="003637D3">
      <w:r w:rsidRPr="001F0309">
        <w:t xml:space="preserve">The input received is summarized in </w:t>
      </w:r>
      <w:r w:rsidRPr="001F0309">
        <w:fldChar w:fldCharType="begin"/>
      </w:r>
      <w:r w:rsidRPr="001F0309">
        <w:instrText xml:space="preserve"> REF _Ref202947453 \h  \* MERGEFORMAT </w:instrText>
      </w:r>
      <w:r w:rsidRPr="001F0309">
        <w:fldChar w:fldCharType="separate"/>
      </w:r>
      <w:r w:rsidRPr="001F0309">
        <w:t xml:space="preserve">Table </w:t>
      </w:r>
      <w:r w:rsidRPr="001F0309">
        <w:rPr>
          <w:noProof/>
        </w:rPr>
        <w:t>4</w:t>
      </w:r>
      <w:r w:rsidRPr="001F0309">
        <w:fldChar w:fldCharType="end"/>
      </w:r>
      <w:r w:rsidRPr="001F0309">
        <w:t xml:space="preserve"> below.</w:t>
      </w:r>
    </w:p>
    <w:p w14:paraId="6A356B72" w14:textId="47823453" w:rsidR="003637D3" w:rsidRPr="001F0309" w:rsidRDefault="003637D3" w:rsidP="0002228A">
      <w:pPr>
        <w:pStyle w:val="Caption"/>
        <w:keepLines/>
      </w:pPr>
      <w:bookmarkStart w:id="19" w:name="_Ref202947453"/>
      <w:r w:rsidRPr="001F0309">
        <w:lastRenderedPageBreak/>
        <w:t xml:space="preserve">Table </w:t>
      </w:r>
      <w:r w:rsidR="007D7722">
        <w:fldChar w:fldCharType="begin"/>
      </w:r>
      <w:r w:rsidR="007D7722">
        <w:instrText xml:space="preserve"> SEQ Table \* ARABIC </w:instrText>
      </w:r>
      <w:r w:rsidR="007D7722">
        <w:fldChar w:fldCharType="separate"/>
      </w:r>
      <w:r w:rsidR="007D7722" w:rsidRPr="001F0309">
        <w:rPr>
          <w:noProof/>
        </w:rPr>
        <w:t>4</w:t>
      </w:r>
      <w:r w:rsidR="007D7722">
        <w:rPr>
          <w:noProof/>
        </w:rPr>
        <w:fldChar w:fldCharType="end"/>
      </w:r>
      <w:bookmarkEnd w:id="19"/>
      <w:r w:rsidRPr="001F0309">
        <w:t xml:space="preserve"> Summary of consultation input on test costs for application 1779</w:t>
      </w:r>
    </w:p>
    <w:tbl>
      <w:tblPr>
        <w:tblStyle w:val="TableGrid"/>
        <w:tblW w:w="0" w:type="auto"/>
        <w:tblLook w:val="04A0" w:firstRow="1" w:lastRow="0" w:firstColumn="1" w:lastColumn="0" w:noHBand="0" w:noVBand="1"/>
      </w:tblPr>
      <w:tblGrid>
        <w:gridCol w:w="2254"/>
        <w:gridCol w:w="2254"/>
        <w:gridCol w:w="2254"/>
        <w:gridCol w:w="2254"/>
      </w:tblGrid>
      <w:tr w:rsidR="003637D3" w:rsidRPr="009B2766" w14:paraId="35CAE065" w14:textId="77777777">
        <w:tc>
          <w:tcPr>
            <w:tcW w:w="2254" w:type="dxa"/>
            <w:shd w:val="clear" w:color="auto" w:fill="D0CECE" w:themeFill="background2" w:themeFillShade="E6"/>
            <w:vAlign w:val="center"/>
          </w:tcPr>
          <w:p w14:paraId="6FAAC53F" w14:textId="77777777" w:rsidR="003637D3" w:rsidRPr="00593368" w:rsidRDefault="003637D3" w:rsidP="0002228A">
            <w:pPr>
              <w:keepNext/>
              <w:keepLines/>
              <w:jc w:val="center"/>
              <w:rPr>
                <w:rFonts w:ascii="Arial Narrow" w:hAnsi="Arial Narrow"/>
                <w:b/>
                <w:bCs/>
                <w:sz w:val="20"/>
                <w:szCs w:val="20"/>
              </w:rPr>
            </w:pPr>
            <w:r w:rsidRPr="00593368">
              <w:rPr>
                <w:rFonts w:ascii="Arial Narrow" w:hAnsi="Arial Narrow"/>
                <w:b/>
                <w:bCs/>
                <w:sz w:val="20"/>
                <w:szCs w:val="20"/>
              </w:rPr>
              <w:t>Test Type</w:t>
            </w:r>
          </w:p>
        </w:tc>
        <w:tc>
          <w:tcPr>
            <w:tcW w:w="2254" w:type="dxa"/>
            <w:shd w:val="clear" w:color="auto" w:fill="D0CECE" w:themeFill="background2" w:themeFillShade="E6"/>
            <w:vAlign w:val="center"/>
          </w:tcPr>
          <w:p w14:paraId="055DEF96" w14:textId="77777777" w:rsidR="003637D3" w:rsidRPr="00593368" w:rsidRDefault="003637D3" w:rsidP="0002228A">
            <w:pPr>
              <w:keepNext/>
              <w:keepLines/>
              <w:jc w:val="center"/>
              <w:rPr>
                <w:rFonts w:ascii="Arial Narrow" w:hAnsi="Arial Narrow"/>
                <w:b/>
                <w:bCs/>
                <w:sz w:val="20"/>
                <w:szCs w:val="20"/>
              </w:rPr>
            </w:pPr>
            <w:r w:rsidRPr="00593368">
              <w:rPr>
                <w:rFonts w:ascii="Arial Narrow" w:hAnsi="Arial Narrow"/>
                <w:b/>
                <w:bCs/>
                <w:sz w:val="20"/>
                <w:szCs w:val="20"/>
              </w:rPr>
              <w:t>PPA</w:t>
            </w:r>
          </w:p>
        </w:tc>
        <w:tc>
          <w:tcPr>
            <w:tcW w:w="2254" w:type="dxa"/>
            <w:shd w:val="clear" w:color="auto" w:fill="D0CECE" w:themeFill="background2" w:themeFillShade="E6"/>
            <w:vAlign w:val="center"/>
          </w:tcPr>
          <w:p w14:paraId="7FBCFDF8" w14:textId="77777777" w:rsidR="003637D3" w:rsidRPr="00593368" w:rsidRDefault="003637D3" w:rsidP="0002228A">
            <w:pPr>
              <w:keepNext/>
              <w:keepLines/>
              <w:jc w:val="center"/>
              <w:rPr>
                <w:rFonts w:ascii="Arial Narrow" w:hAnsi="Arial Narrow"/>
                <w:b/>
                <w:bCs/>
                <w:sz w:val="20"/>
                <w:szCs w:val="20"/>
              </w:rPr>
            </w:pPr>
            <w:r w:rsidRPr="00593368">
              <w:rPr>
                <w:rFonts w:ascii="Arial Narrow" w:hAnsi="Arial Narrow"/>
                <w:b/>
                <w:bCs/>
                <w:sz w:val="20"/>
                <w:szCs w:val="20"/>
              </w:rPr>
              <w:t>RCPA</w:t>
            </w:r>
          </w:p>
        </w:tc>
        <w:tc>
          <w:tcPr>
            <w:tcW w:w="2254" w:type="dxa"/>
            <w:shd w:val="clear" w:color="auto" w:fill="D0CECE" w:themeFill="background2" w:themeFillShade="E6"/>
            <w:vAlign w:val="center"/>
          </w:tcPr>
          <w:p w14:paraId="106800F1" w14:textId="77777777" w:rsidR="003637D3" w:rsidRPr="00593368" w:rsidRDefault="003637D3" w:rsidP="0002228A">
            <w:pPr>
              <w:keepNext/>
              <w:keepLines/>
              <w:jc w:val="center"/>
              <w:rPr>
                <w:rFonts w:ascii="Arial Narrow" w:hAnsi="Arial Narrow"/>
                <w:b/>
                <w:bCs/>
                <w:sz w:val="20"/>
                <w:szCs w:val="20"/>
              </w:rPr>
            </w:pPr>
            <w:r w:rsidRPr="00593368">
              <w:rPr>
                <w:rFonts w:ascii="Arial Narrow" w:hAnsi="Arial Narrow"/>
                <w:b/>
                <w:bCs/>
                <w:sz w:val="20"/>
                <w:szCs w:val="20"/>
              </w:rPr>
              <w:t>QIAGEN</w:t>
            </w:r>
          </w:p>
        </w:tc>
      </w:tr>
      <w:tr w:rsidR="003637D3" w:rsidRPr="009B2766" w14:paraId="1A2C93EA" w14:textId="77777777">
        <w:tc>
          <w:tcPr>
            <w:tcW w:w="2254" w:type="dxa"/>
            <w:vAlign w:val="center"/>
          </w:tcPr>
          <w:p w14:paraId="66213813"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DNA + RNA NGS Multigene Panel (≥2 genes)</w:t>
            </w:r>
          </w:p>
        </w:tc>
        <w:tc>
          <w:tcPr>
            <w:tcW w:w="2254" w:type="dxa"/>
            <w:vAlign w:val="center"/>
          </w:tcPr>
          <w:p w14:paraId="23710E31"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$1247</w:t>
            </w:r>
          </w:p>
        </w:tc>
        <w:tc>
          <w:tcPr>
            <w:tcW w:w="2254" w:type="dxa"/>
            <w:vAlign w:val="center"/>
          </w:tcPr>
          <w:p w14:paraId="433A3236"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$1247</w:t>
            </w:r>
          </w:p>
        </w:tc>
        <w:tc>
          <w:tcPr>
            <w:tcW w:w="2254" w:type="dxa"/>
            <w:vAlign w:val="center"/>
          </w:tcPr>
          <w:p w14:paraId="2AA5153D"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$300–480</w:t>
            </w:r>
            <w:r w:rsidRPr="00593368">
              <w:rPr>
                <w:rFonts w:ascii="Arial Narrow" w:hAnsi="Arial Narrow"/>
                <w:sz w:val="20"/>
                <w:szCs w:val="20"/>
                <w:vertAlign w:val="superscript"/>
              </w:rPr>
              <w:t>1</w:t>
            </w:r>
          </w:p>
        </w:tc>
      </w:tr>
      <w:tr w:rsidR="003637D3" w:rsidRPr="009B2766" w14:paraId="145079DB" w14:textId="77777777">
        <w:tc>
          <w:tcPr>
            <w:tcW w:w="2254" w:type="dxa"/>
            <w:vAlign w:val="center"/>
          </w:tcPr>
          <w:p w14:paraId="3B3327D0"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DNA NGS Multigene Panel (≥2 genes)</w:t>
            </w:r>
          </w:p>
        </w:tc>
        <w:tc>
          <w:tcPr>
            <w:tcW w:w="2254" w:type="dxa"/>
            <w:vAlign w:val="center"/>
          </w:tcPr>
          <w:p w14:paraId="348B2C0F"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~$400</w:t>
            </w:r>
          </w:p>
        </w:tc>
        <w:tc>
          <w:tcPr>
            <w:tcW w:w="2254" w:type="dxa"/>
            <w:vAlign w:val="center"/>
          </w:tcPr>
          <w:p w14:paraId="5A25F897"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$682.35</w:t>
            </w:r>
          </w:p>
        </w:tc>
        <w:tc>
          <w:tcPr>
            <w:tcW w:w="2254" w:type="dxa"/>
            <w:vAlign w:val="center"/>
          </w:tcPr>
          <w:p w14:paraId="7DBE9B15"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$165–325</w:t>
            </w:r>
            <w:r w:rsidRPr="00593368">
              <w:rPr>
                <w:rFonts w:ascii="Arial Narrow" w:hAnsi="Arial Narrow"/>
                <w:sz w:val="20"/>
                <w:szCs w:val="20"/>
                <w:vertAlign w:val="superscript"/>
              </w:rPr>
              <w:t>1</w:t>
            </w:r>
          </w:p>
        </w:tc>
      </w:tr>
      <w:tr w:rsidR="003637D3" w:rsidRPr="009B2766" w14:paraId="1BFC8F73" w14:textId="77777777">
        <w:tc>
          <w:tcPr>
            <w:tcW w:w="2254" w:type="dxa"/>
            <w:vAlign w:val="center"/>
          </w:tcPr>
          <w:p w14:paraId="6E5F7889"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RNA NGS Multigene Panel (≥2 genes)</w:t>
            </w:r>
          </w:p>
        </w:tc>
        <w:tc>
          <w:tcPr>
            <w:tcW w:w="2254" w:type="dxa"/>
            <w:vAlign w:val="center"/>
          </w:tcPr>
          <w:p w14:paraId="5F9FFF87"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~$850</w:t>
            </w:r>
          </w:p>
        </w:tc>
        <w:tc>
          <w:tcPr>
            <w:tcW w:w="2254" w:type="dxa"/>
            <w:vAlign w:val="center"/>
          </w:tcPr>
          <w:p w14:paraId="181ABD48"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$682.35</w:t>
            </w:r>
          </w:p>
        </w:tc>
        <w:tc>
          <w:tcPr>
            <w:tcW w:w="2254" w:type="dxa"/>
            <w:vAlign w:val="center"/>
          </w:tcPr>
          <w:p w14:paraId="54DC2176"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$175–300</w:t>
            </w:r>
            <w:r w:rsidRPr="00593368">
              <w:rPr>
                <w:rFonts w:ascii="Arial Narrow" w:hAnsi="Arial Narrow"/>
                <w:sz w:val="20"/>
                <w:szCs w:val="20"/>
                <w:vertAlign w:val="superscript"/>
              </w:rPr>
              <w:t>1</w:t>
            </w:r>
          </w:p>
        </w:tc>
      </w:tr>
      <w:tr w:rsidR="003637D3" w:rsidRPr="009B2766" w14:paraId="5248A368" w14:textId="77777777">
        <w:tc>
          <w:tcPr>
            <w:tcW w:w="2254" w:type="dxa"/>
            <w:vAlign w:val="center"/>
          </w:tcPr>
          <w:p w14:paraId="4317F19D"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RNA + DNA Single Gene</w:t>
            </w:r>
          </w:p>
        </w:tc>
        <w:tc>
          <w:tcPr>
            <w:tcW w:w="2254" w:type="dxa"/>
            <w:vAlign w:val="center"/>
          </w:tcPr>
          <w:p w14:paraId="089CEEC7"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Not provided</w:t>
            </w:r>
          </w:p>
        </w:tc>
        <w:tc>
          <w:tcPr>
            <w:tcW w:w="2254" w:type="dxa"/>
            <w:vAlign w:val="center"/>
          </w:tcPr>
          <w:p w14:paraId="0780FA80"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$1247</w:t>
            </w:r>
          </w:p>
        </w:tc>
        <w:tc>
          <w:tcPr>
            <w:tcW w:w="2254" w:type="dxa"/>
            <w:vAlign w:val="center"/>
          </w:tcPr>
          <w:p w14:paraId="7A16A86F"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$275-480</w:t>
            </w:r>
            <w:r w:rsidRPr="00593368">
              <w:rPr>
                <w:rFonts w:ascii="Arial Narrow" w:hAnsi="Arial Narrow"/>
                <w:sz w:val="20"/>
                <w:szCs w:val="20"/>
                <w:vertAlign w:val="superscript"/>
              </w:rPr>
              <w:t>1</w:t>
            </w:r>
          </w:p>
        </w:tc>
      </w:tr>
      <w:tr w:rsidR="003637D3" w:rsidRPr="009B2766" w14:paraId="38AC23E0" w14:textId="77777777">
        <w:tc>
          <w:tcPr>
            <w:tcW w:w="2254" w:type="dxa"/>
            <w:vAlign w:val="center"/>
          </w:tcPr>
          <w:p w14:paraId="47B1BB00"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DNA NGS Single Gene</w:t>
            </w:r>
          </w:p>
        </w:tc>
        <w:tc>
          <w:tcPr>
            <w:tcW w:w="2254" w:type="dxa"/>
            <w:vAlign w:val="center"/>
          </w:tcPr>
          <w:p w14:paraId="085FD043"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$200</w:t>
            </w:r>
          </w:p>
        </w:tc>
        <w:tc>
          <w:tcPr>
            <w:tcW w:w="2254" w:type="dxa"/>
            <w:vAlign w:val="center"/>
          </w:tcPr>
          <w:p w14:paraId="5EC544F9"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Not provided</w:t>
            </w:r>
          </w:p>
        </w:tc>
        <w:tc>
          <w:tcPr>
            <w:tcW w:w="2254" w:type="dxa"/>
            <w:vAlign w:val="center"/>
          </w:tcPr>
          <w:p w14:paraId="50F3EBDB"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$165–325</w:t>
            </w:r>
            <w:r w:rsidRPr="00593368">
              <w:rPr>
                <w:rFonts w:ascii="Arial Narrow" w:hAnsi="Arial Narrow"/>
                <w:sz w:val="20"/>
                <w:szCs w:val="20"/>
                <w:vertAlign w:val="superscript"/>
              </w:rPr>
              <w:t>1</w:t>
            </w:r>
          </w:p>
        </w:tc>
      </w:tr>
      <w:tr w:rsidR="003637D3" w:rsidRPr="009B2766" w14:paraId="4B6959A0" w14:textId="77777777">
        <w:tc>
          <w:tcPr>
            <w:tcW w:w="2254" w:type="dxa"/>
            <w:vAlign w:val="center"/>
          </w:tcPr>
          <w:p w14:paraId="3EE910C2"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RNA NGS Single Gene</w:t>
            </w:r>
          </w:p>
        </w:tc>
        <w:tc>
          <w:tcPr>
            <w:tcW w:w="2254" w:type="dxa"/>
            <w:vAlign w:val="center"/>
          </w:tcPr>
          <w:p w14:paraId="0E34A7CA"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$850</w:t>
            </w:r>
          </w:p>
        </w:tc>
        <w:tc>
          <w:tcPr>
            <w:tcW w:w="2254" w:type="dxa"/>
            <w:vAlign w:val="center"/>
          </w:tcPr>
          <w:p w14:paraId="1515A489"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$682.35</w:t>
            </w:r>
          </w:p>
        </w:tc>
        <w:tc>
          <w:tcPr>
            <w:tcW w:w="2254" w:type="dxa"/>
            <w:vAlign w:val="center"/>
          </w:tcPr>
          <w:p w14:paraId="7A55DF6D" w14:textId="77777777" w:rsidR="003637D3" w:rsidRPr="00593368" w:rsidRDefault="003637D3" w:rsidP="0002228A">
            <w:pPr>
              <w:keepNext/>
              <w:keepLines/>
              <w:jc w:val="center"/>
              <w:rPr>
                <w:rFonts w:ascii="Arial Narrow" w:hAnsi="Arial Narrow"/>
                <w:sz w:val="20"/>
                <w:szCs w:val="20"/>
              </w:rPr>
            </w:pPr>
            <w:r w:rsidRPr="00593368">
              <w:rPr>
                <w:rFonts w:ascii="Arial Narrow" w:hAnsi="Arial Narrow"/>
                <w:sz w:val="20"/>
                <w:szCs w:val="20"/>
              </w:rPr>
              <w:t>$175–300</w:t>
            </w:r>
            <w:r w:rsidRPr="00593368">
              <w:rPr>
                <w:rFonts w:ascii="Arial Narrow" w:hAnsi="Arial Narrow"/>
                <w:sz w:val="20"/>
                <w:szCs w:val="20"/>
                <w:vertAlign w:val="superscript"/>
              </w:rPr>
              <w:t>1</w:t>
            </w:r>
          </w:p>
        </w:tc>
      </w:tr>
    </w:tbl>
    <w:p w14:paraId="23A020E0" w14:textId="77777777" w:rsidR="003637D3" w:rsidRPr="001F0309" w:rsidRDefault="003637D3" w:rsidP="0002228A">
      <w:pPr>
        <w:pStyle w:val="TableFooter"/>
        <w:keepNext/>
        <w:keepLines/>
      </w:pPr>
      <w:r w:rsidRPr="001F0309">
        <w:rPr>
          <w:vertAlign w:val="superscript"/>
        </w:rPr>
        <w:t xml:space="preserve">1 </w:t>
      </w:r>
      <w:r w:rsidRPr="001F0309">
        <w:t>Cost per sample</w:t>
      </w:r>
    </w:p>
    <w:p w14:paraId="5119EB5E" w14:textId="64949189" w:rsidR="003637D3" w:rsidRPr="001F0309" w:rsidRDefault="003637D3" w:rsidP="003637D3">
      <w:r w:rsidRPr="001F0309">
        <w:t>Given MSAC identified there may be clinical uncertainty in assigning a morphological diagnosis of CCA at the time of diagnosis and that the test population may, in practice include a proportion of those with pancreatic cancer or cancer of unknown primary</w:t>
      </w:r>
      <w:r w:rsidR="00C77010" w:rsidRPr="001F0309">
        <w:t>,</w:t>
      </w:r>
      <w:r w:rsidRPr="001F0309">
        <w:t xml:space="preserve"> RCPA and PPA were asked to advise on an estimate of the proportion and number of patients with pancreatic cancers and cancer of unknown primary who may be suspected of having CCA and tested for </w:t>
      </w:r>
      <w:r w:rsidRPr="001F0309">
        <w:rPr>
          <w:i/>
          <w:iCs/>
        </w:rPr>
        <w:t>FGFR2</w:t>
      </w:r>
      <w:r w:rsidRPr="001F0309">
        <w:t xml:space="preserve"> fusions or rearrangements.</w:t>
      </w:r>
    </w:p>
    <w:p w14:paraId="471676A8" w14:textId="77777777" w:rsidR="003637D3" w:rsidRPr="001F0309" w:rsidRDefault="003637D3" w:rsidP="003637D3">
      <w:r w:rsidRPr="001F0309">
        <w:t xml:space="preserve">RCPA stated that there is significant uncertainty, but the number is likely very small especially after multidisciplinary team (MDT) review. They suggested that requiring a final MDT diagnosis of CCA could help reduce uncertainty and recommended using World Health Organization terminology of “intrahepatic cholangiocarcinoma” and “carcinoma of the extrahepatic bile ducts” to clearly distinguish between intrahepatic and extrahepatic CCA. RCPA noted that the clinical trials that supported funding for </w:t>
      </w:r>
      <w:r w:rsidRPr="001F0309">
        <w:rPr>
          <w:i/>
          <w:iCs/>
        </w:rPr>
        <w:t>FGFR2</w:t>
      </w:r>
      <w:r w:rsidRPr="001F0309">
        <w:t xml:space="preserve"> testing likely included a small proportion of patients who may not have had true CCA, and this uncertainty may already be reflected in the clinical and cost-effectiveness estimates.</w:t>
      </w:r>
    </w:p>
    <w:p w14:paraId="54136BBB" w14:textId="45E3B43A" w:rsidR="005B406E" w:rsidRPr="001F0309" w:rsidRDefault="003637D3" w:rsidP="00E219BC">
      <w:r w:rsidRPr="001F0309">
        <w:t xml:space="preserve">PPA provided an estimate for South Australia, noting around 100 cases of CCA are diagnosed annually, with approximately 200 cases entering the differential diagnosis between CCA and pancreatic cancer. They noted that SA Pathology captures about 60% of these cases, therefore they estimate around 200 patients would be tested for </w:t>
      </w:r>
      <w:r w:rsidRPr="001F0309">
        <w:rPr>
          <w:i/>
          <w:iCs/>
        </w:rPr>
        <w:t>FGFR2</w:t>
      </w:r>
      <w:r w:rsidRPr="001F0309">
        <w:t xml:space="preserve"> fusions on the MBS each year.</w:t>
      </w:r>
    </w:p>
    <w:p w14:paraId="03C7A1F1" w14:textId="013670A8" w:rsidR="00772829" w:rsidRPr="00CE28E3" w:rsidRDefault="00772829" w:rsidP="005F7F0A">
      <w:pPr>
        <w:pStyle w:val="Heading2"/>
        <w:numPr>
          <w:ilvl w:val="0"/>
          <w:numId w:val="10"/>
        </w:numPr>
      </w:pPr>
      <w:r w:rsidRPr="00CE28E3">
        <w:t>Characteristics of the evidence base</w:t>
      </w:r>
      <w:bookmarkEnd w:id="18"/>
    </w:p>
    <w:p w14:paraId="36B53B57" w14:textId="66405EAB" w:rsidR="00956ACE" w:rsidRDefault="00B406AF" w:rsidP="00B406AF">
      <w:bookmarkStart w:id="20" w:name="_Hlk68276301"/>
      <w:r>
        <w:t xml:space="preserve">Refer to PBAC </w:t>
      </w:r>
      <w:r w:rsidR="00495F73">
        <w:t>public summary document</w:t>
      </w:r>
      <w:r w:rsidR="00822935">
        <w:t xml:space="preserve"> and Section </w:t>
      </w:r>
      <w:r w:rsidR="007D2996">
        <w:t xml:space="preserve">11 and </w:t>
      </w:r>
      <w:r w:rsidR="003217B4">
        <w:t xml:space="preserve">12 </w:t>
      </w:r>
      <w:r w:rsidR="00822935">
        <w:t>below.</w:t>
      </w:r>
    </w:p>
    <w:p w14:paraId="254B1083" w14:textId="0E5E982A" w:rsidR="00EA5BE8" w:rsidRPr="00CE28E3" w:rsidRDefault="0037681C" w:rsidP="00B406AF">
      <w:r>
        <w:t>There were n</w:t>
      </w:r>
      <w:r w:rsidR="00EA5BE8">
        <w:t>o change</w:t>
      </w:r>
      <w:r>
        <w:t>s</w:t>
      </w:r>
      <w:r w:rsidR="00EA5BE8">
        <w:t xml:space="preserve"> to the evidence base for the test component</w:t>
      </w:r>
      <w:r w:rsidR="007E44B6">
        <w:t xml:space="preserve"> compared to the initial submission</w:t>
      </w:r>
      <w:r w:rsidR="00EA5BE8">
        <w:t>.</w:t>
      </w:r>
    </w:p>
    <w:p w14:paraId="3B9FC2AD" w14:textId="1D86BE1B" w:rsidR="00772829" w:rsidRPr="00CE28E3" w:rsidRDefault="00772829" w:rsidP="005F7F0A">
      <w:pPr>
        <w:pStyle w:val="Heading2"/>
        <w:numPr>
          <w:ilvl w:val="0"/>
          <w:numId w:val="10"/>
        </w:numPr>
      </w:pPr>
      <w:bookmarkStart w:id="21" w:name="_Toc69491423"/>
      <w:bookmarkEnd w:id="20"/>
      <w:r w:rsidRPr="00CE28E3">
        <w:t>Comparative safety</w:t>
      </w:r>
      <w:bookmarkEnd w:id="21"/>
    </w:p>
    <w:p w14:paraId="1C8AC392" w14:textId="25B1DEDA" w:rsidR="00FB3810" w:rsidRPr="00B06E41" w:rsidRDefault="0037681C" w:rsidP="00FB3810">
      <w:r>
        <w:t>There were n</w:t>
      </w:r>
      <w:r w:rsidR="00FB3810">
        <w:t>o change</w:t>
      </w:r>
      <w:r>
        <w:t>s</w:t>
      </w:r>
      <w:r w:rsidR="00FB3810">
        <w:t xml:space="preserve"> to </w:t>
      </w:r>
      <w:r>
        <w:t xml:space="preserve">the </w:t>
      </w:r>
      <w:r w:rsidR="00822935">
        <w:t>claim of comparative safety</w:t>
      </w:r>
      <w:r w:rsidR="00FB3810">
        <w:t xml:space="preserve"> for the drug or test component</w:t>
      </w:r>
      <w:r w:rsidR="007E44B6">
        <w:t xml:space="preserve"> compared to the initial submission</w:t>
      </w:r>
      <w:r w:rsidR="00FB3810">
        <w:t>.</w:t>
      </w:r>
    </w:p>
    <w:p w14:paraId="3717AA01" w14:textId="512A5739" w:rsidR="00772829" w:rsidRPr="00CE28E3" w:rsidRDefault="00772829" w:rsidP="005F7F0A">
      <w:pPr>
        <w:pStyle w:val="Heading2"/>
        <w:numPr>
          <w:ilvl w:val="0"/>
          <w:numId w:val="10"/>
        </w:numPr>
      </w:pPr>
      <w:bookmarkStart w:id="22" w:name="_Toc69491424"/>
      <w:r w:rsidRPr="00CE28E3">
        <w:lastRenderedPageBreak/>
        <w:t>Comparative effectiveness</w:t>
      </w:r>
      <w:bookmarkEnd w:id="22"/>
    </w:p>
    <w:p w14:paraId="77165AB5" w14:textId="4422B523" w:rsidR="00D41F18" w:rsidRPr="00B06E41" w:rsidRDefault="00B06E41" w:rsidP="00395102">
      <w:pPr>
        <w:jc w:val="both"/>
      </w:pPr>
      <w:r>
        <w:t xml:space="preserve">The </w:t>
      </w:r>
      <w:r w:rsidR="00000638">
        <w:t xml:space="preserve">early re-entry submission </w:t>
      </w:r>
      <w:r w:rsidR="00124935">
        <w:t xml:space="preserve">to PBAC altered the </w:t>
      </w:r>
      <w:r w:rsidR="006C70B6">
        <w:t xml:space="preserve">overall survival hazard ratio </w:t>
      </w:r>
      <w:r w:rsidR="00F22675">
        <w:t xml:space="preserve">(to 0.32 from 0.24) based on the PBAC </w:t>
      </w:r>
      <w:r w:rsidR="007E44B6">
        <w:t xml:space="preserve">advice </w:t>
      </w:r>
      <w:r w:rsidR="00F22675">
        <w:t xml:space="preserve">from </w:t>
      </w:r>
      <w:r w:rsidR="0037681C">
        <w:t>its</w:t>
      </w:r>
      <w:r w:rsidR="00F22675">
        <w:t xml:space="preserve"> March 2025 meeting. This increased </w:t>
      </w:r>
      <w:r w:rsidR="001042F2">
        <w:t xml:space="preserve">the </w:t>
      </w:r>
      <w:r w:rsidR="00D41F18">
        <w:t>overall</w:t>
      </w:r>
      <w:r w:rsidR="00F22675">
        <w:t xml:space="preserve"> </w:t>
      </w:r>
      <w:r w:rsidR="00D41F18">
        <w:t>survival</w:t>
      </w:r>
      <w:r w:rsidR="00F22675">
        <w:t xml:space="preserve"> </w:t>
      </w:r>
      <w:r w:rsidR="001042F2">
        <w:t>associated with</w:t>
      </w:r>
      <w:r w:rsidR="00F22675">
        <w:t xml:space="preserve"> FOLFOX</w:t>
      </w:r>
      <w:r w:rsidR="001042F2">
        <w:t xml:space="preserve"> treatment</w:t>
      </w:r>
      <w:r w:rsidR="00F22675">
        <w:t xml:space="preserve"> </w:t>
      </w:r>
      <w:r w:rsidR="00D41F18">
        <w:t>and increased the ICER.</w:t>
      </w:r>
      <w:r w:rsidR="001B0878">
        <w:t xml:space="preserve"> </w:t>
      </w:r>
      <w:r w:rsidR="00D41F18">
        <w:t>No change</w:t>
      </w:r>
      <w:r w:rsidR="0037681C">
        <w:t>s</w:t>
      </w:r>
      <w:r w:rsidR="00D41F18">
        <w:t xml:space="preserve"> </w:t>
      </w:r>
      <w:r w:rsidR="001B0878">
        <w:t xml:space="preserve">occurred </w:t>
      </w:r>
      <w:r w:rsidR="00D41F18">
        <w:t xml:space="preserve">to </w:t>
      </w:r>
      <w:r w:rsidR="000936FA">
        <w:t xml:space="preserve">the futibatinib </w:t>
      </w:r>
      <w:r w:rsidR="001B0878">
        <w:t>PFS or OS curves.</w:t>
      </w:r>
    </w:p>
    <w:p w14:paraId="0D09C9E4" w14:textId="049417B7" w:rsidR="00772829" w:rsidRPr="00CE28E3" w:rsidRDefault="00772829" w:rsidP="00EB026B">
      <w:pPr>
        <w:pStyle w:val="Heading2"/>
        <w:numPr>
          <w:ilvl w:val="0"/>
          <w:numId w:val="10"/>
        </w:numPr>
      </w:pPr>
      <w:bookmarkStart w:id="23" w:name="_Toc69491425"/>
      <w:r w:rsidRPr="00CE28E3">
        <w:t>Economic evaluation</w:t>
      </w:r>
      <w:bookmarkEnd w:id="23"/>
    </w:p>
    <w:p w14:paraId="1B3DCF97" w14:textId="45147432" w:rsidR="00B94C81" w:rsidRPr="00596F0B" w:rsidRDefault="00681E10" w:rsidP="00395102">
      <w:pPr>
        <w:pStyle w:val="Instructionaltext"/>
        <w:jc w:val="both"/>
        <w:rPr>
          <w:i/>
          <w:iCs/>
          <w:color w:val="auto"/>
        </w:rPr>
      </w:pPr>
      <w:r w:rsidRPr="001F0309">
        <w:rPr>
          <w:color w:val="auto"/>
        </w:rPr>
        <w:t>The base case in the original submission</w:t>
      </w:r>
      <w:r w:rsidR="00B01DA1" w:rsidRPr="001F0309">
        <w:rPr>
          <w:color w:val="auto"/>
        </w:rPr>
        <w:t xml:space="preserve"> resulted in an ICER of </w:t>
      </w:r>
      <w:r w:rsidR="00BB6F32">
        <w:rPr>
          <w:color w:val="auto"/>
        </w:rPr>
        <w:t>$95,000 to &lt; $115,000</w:t>
      </w:r>
      <w:r w:rsidR="00AA38C2" w:rsidRPr="008E2CE6">
        <w:rPr>
          <w:color w:val="auto"/>
        </w:rPr>
        <w:t>/</w:t>
      </w:r>
      <w:r w:rsidR="007E44B6">
        <w:rPr>
          <w:color w:val="auto"/>
        </w:rPr>
        <w:t>quality adjusted life year (</w:t>
      </w:r>
      <w:r w:rsidR="00AA38C2" w:rsidRPr="001F0309">
        <w:rPr>
          <w:color w:val="auto"/>
        </w:rPr>
        <w:t>QALY</w:t>
      </w:r>
      <w:r w:rsidR="007E44B6">
        <w:rPr>
          <w:color w:val="auto"/>
        </w:rPr>
        <w:t>)</w:t>
      </w:r>
      <w:r w:rsidR="00210822" w:rsidRPr="001F0309">
        <w:rPr>
          <w:color w:val="auto"/>
        </w:rPr>
        <w:t xml:space="preserve"> and the </w:t>
      </w:r>
      <w:r w:rsidR="00210822" w:rsidRPr="001F0309">
        <w:rPr>
          <w:bCs/>
          <w:color w:val="auto"/>
        </w:rPr>
        <w:t xml:space="preserve">cost of testing to identify one patient treated with futibatinib of </w:t>
      </w:r>
      <w:r w:rsidR="00D87729" w:rsidRPr="001F0309">
        <w:rPr>
          <w:color w:val="auto"/>
        </w:rPr>
        <w:t>$1</w:t>
      </w:r>
      <w:r w:rsidR="4A7147A2" w:rsidRPr="001F0309">
        <w:rPr>
          <w:color w:val="auto"/>
        </w:rPr>
        <w:t>,</w:t>
      </w:r>
      <w:r w:rsidR="00D87729" w:rsidRPr="001F0309">
        <w:rPr>
          <w:color w:val="auto"/>
        </w:rPr>
        <w:t>050</w:t>
      </w:r>
      <w:r w:rsidR="003832C4" w:rsidRPr="001F0309">
        <w:rPr>
          <w:color w:val="auto"/>
        </w:rPr>
        <w:t>.</w:t>
      </w:r>
      <w:r w:rsidR="003832C4" w:rsidRPr="00596F0B">
        <w:rPr>
          <w:i/>
          <w:iCs/>
          <w:color w:val="auto"/>
        </w:rPr>
        <w:t xml:space="preserve"> </w:t>
      </w:r>
    </w:p>
    <w:p w14:paraId="23FD5815" w14:textId="028BD476" w:rsidR="00F0297F" w:rsidRPr="00E219BC" w:rsidRDefault="007C2C95" w:rsidP="00395102">
      <w:pPr>
        <w:pStyle w:val="Instructionaltext"/>
        <w:jc w:val="both"/>
        <w:rPr>
          <w:i/>
          <w:iCs/>
          <w:color w:val="auto"/>
        </w:rPr>
      </w:pPr>
      <w:r w:rsidRPr="001F0309">
        <w:rPr>
          <w:color w:val="auto"/>
        </w:rPr>
        <w:t>At its March 2025 meeting, t</w:t>
      </w:r>
      <w:r w:rsidR="00F0297F" w:rsidRPr="001F0309">
        <w:rPr>
          <w:color w:val="auto"/>
        </w:rPr>
        <w:t xml:space="preserve">he PBAC </w:t>
      </w:r>
      <w:r w:rsidR="00D91F60" w:rsidRPr="001F0309">
        <w:rPr>
          <w:color w:val="auto"/>
        </w:rPr>
        <w:t>noted uncertainty</w:t>
      </w:r>
      <w:r w:rsidR="00F0297F" w:rsidRPr="001F0309">
        <w:rPr>
          <w:color w:val="auto"/>
        </w:rPr>
        <w:t xml:space="preserve"> </w:t>
      </w:r>
      <w:r w:rsidR="00232C3F" w:rsidRPr="001F0309">
        <w:rPr>
          <w:color w:val="auto"/>
        </w:rPr>
        <w:t>w</w:t>
      </w:r>
      <w:r w:rsidR="00D91F60" w:rsidRPr="001F0309">
        <w:rPr>
          <w:color w:val="auto"/>
        </w:rPr>
        <w:t>ithin</w:t>
      </w:r>
      <w:r w:rsidR="00F0297F" w:rsidRPr="001F0309">
        <w:rPr>
          <w:color w:val="auto"/>
        </w:rPr>
        <w:t xml:space="preserve"> the economic evaluation of futibatinib</w:t>
      </w:r>
      <w:r w:rsidR="00D91F60" w:rsidRPr="001F0309">
        <w:rPr>
          <w:color w:val="auto"/>
        </w:rPr>
        <w:t>. PBAC n</w:t>
      </w:r>
      <w:r w:rsidR="00F0297F" w:rsidRPr="001F0309">
        <w:rPr>
          <w:color w:val="auto"/>
        </w:rPr>
        <w:t>ot</w:t>
      </w:r>
      <w:r w:rsidR="00D91F60" w:rsidRPr="001F0309">
        <w:rPr>
          <w:color w:val="auto"/>
        </w:rPr>
        <w:t>ed</w:t>
      </w:r>
      <w:r w:rsidR="00F0297F" w:rsidRPr="001F0309">
        <w:rPr>
          <w:color w:val="auto"/>
        </w:rPr>
        <w:t xml:space="preserve"> </w:t>
      </w:r>
      <w:r w:rsidR="000D4436" w:rsidRPr="001F0309">
        <w:rPr>
          <w:color w:val="auto"/>
        </w:rPr>
        <w:t>t</w:t>
      </w:r>
      <w:r w:rsidR="00F0297F" w:rsidRPr="001F0309">
        <w:rPr>
          <w:color w:val="auto"/>
        </w:rPr>
        <w:t xml:space="preserve">he model </w:t>
      </w:r>
      <w:r w:rsidR="000D4436" w:rsidRPr="001F0309">
        <w:rPr>
          <w:color w:val="auto"/>
        </w:rPr>
        <w:t>resulted</w:t>
      </w:r>
      <w:r w:rsidR="00F0297F" w:rsidRPr="001F0309">
        <w:rPr>
          <w:color w:val="auto"/>
        </w:rPr>
        <w:t xml:space="preserve"> </w:t>
      </w:r>
      <w:r w:rsidR="00232C3F" w:rsidRPr="001F0309">
        <w:rPr>
          <w:color w:val="auto"/>
        </w:rPr>
        <w:t xml:space="preserve">in </w:t>
      </w:r>
      <w:r w:rsidR="00F0297F" w:rsidRPr="001F0309">
        <w:rPr>
          <w:color w:val="auto"/>
        </w:rPr>
        <w:t xml:space="preserve">an undiscounted life year gain of 2.48 over a 10-year horizon, which </w:t>
      </w:r>
      <w:r w:rsidR="00232C3F" w:rsidRPr="001F0309">
        <w:rPr>
          <w:color w:val="auto"/>
        </w:rPr>
        <w:t>it</w:t>
      </w:r>
      <w:r w:rsidR="00F0297F" w:rsidRPr="001F0309">
        <w:rPr>
          <w:color w:val="auto"/>
        </w:rPr>
        <w:t xml:space="preserve"> considered implausibly large. </w:t>
      </w:r>
      <w:r w:rsidR="0043291A">
        <w:rPr>
          <w:color w:val="auto"/>
        </w:rPr>
        <w:t xml:space="preserve">The </w:t>
      </w:r>
      <w:r w:rsidR="00232C3F" w:rsidRPr="001F0309">
        <w:rPr>
          <w:color w:val="auto"/>
        </w:rPr>
        <w:t>PBAC</w:t>
      </w:r>
      <w:r w:rsidR="00F0297F" w:rsidRPr="001F0309">
        <w:rPr>
          <w:color w:val="auto"/>
        </w:rPr>
        <w:t xml:space="preserve"> recommended </w:t>
      </w:r>
      <w:r w:rsidR="001A3BC3" w:rsidRPr="001F0309">
        <w:rPr>
          <w:color w:val="auto"/>
        </w:rPr>
        <w:t xml:space="preserve">the model should </w:t>
      </w:r>
      <w:r w:rsidR="00F0297F" w:rsidRPr="001F0309">
        <w:rPr>
          <w:color w:val="auto"/>
        </w:rPr>
        <w:t>us</w:t>
      </w:r>
      <w:r w:rsidR="001A3BC3" w:rsidRPr="001F0309">
        <w:rPr>
          <w:color w:val="auto"/>
        </w:rPr>
        <w:t>e</w:t>
      </w:r>
      <w:r w:rsidR="00F0297F" w:rsidRPr="001F0309">
        <w:rPr>
          <w:color w:val="auto"/>
        </w:rPr>
        <w:t xml:space="preserve"> more conservative </w:t>
      </w:r>
      <w:r w:rsidR="003E3F97" w:rsidRPr="001F0309">
        <w:rPr>
          <w:color w:val="auto"/>
        </w:rPr>
        <w:t>overall survival</w:t>
      </w:r>
      <w:r w:rsidR="00F0297F" w:rsidRPr="001F0309">
        <w:rPr>
          <w:color w:val="auto"/>
        </w:rPr>
        <w:t xml:space="preserve"> hazard ratios</w:t>
      </w:r>
      <w:r w:rsidR="003E3F97" w:rsidRPr="001F0309">
        <w:rPr>
          <w:color w:val="auto"/>
        </w:rPr>
        <w:t xml:space="preserve">, noting </w:t>
      </w:r>
      <w:r w:rsidR="00F0297F" w:rsidRPr="001F0309">
        <w:rPr>
          <w:color w:val="auto"/>
        </w:rPr>
        <w:t>Paine 2022</w:t>
      </w:r>
      <w:r w:rsidR="003E3F97" w:rsidRPr="001F0309">
        <w:rPr>
          <w:color w:val="auto"/>
        </w:rPr>
        <w:t>,</w:t>
      </w:r>
      <w:r w:rsidR="00F0297F" w:rsidRPr="001F0309">
        <w:rPr>
          <w:color w:val="auto"/>
        </w:rPr>
        <w:t xml:space="preserve"> and Borad 2022 (HR: 0.48–0.49 vs the model’s 0.24) to better reflect realistic outcomes. Additionally, the PBAC suggested shortening the time horizon to 5 years to reduce uncertainty and align with </w:t>
      </w:r>
      <w:r w:rsidR="0053611C" w:rsidRPr="001F0309">
        <w:rPr>
          <w:color w:val="auto"/>
        </w:rPr>
        <w:t>application 1750 for</w:t>
      </w:r>
      <w:r w:rsidR="00F0297F" w:rsidRPr="001F0309">
        <w:rPr>
          <w:color w:val="auto"/>
        </w:rPr>
        <w:t xml:space="preserve"> ivosidenib in </w:t>
      </w:r>
      <w:r w:rsidR="00F0297F" w:rsidRPr="001F0309">
        <w:rPr>
          <w:i/>
          <w:color w:val="auto"/>
        </w:rPr>
        <w:t>IDH1</w:t>
      </w:r>
      <w:r w:rsidR="00F0297F" w:rsidRPr="001F0309">
        <w:rPr>
          <w:color w:val="auto"/>
        </w:rPr>
        <w:t>-positive CCA</w:t>
      </w:r>
      <w:r w:rsidR="00F0297F" w:rsidRPr="00F0297F">
        <w:rPr>
          <w:i/>
          <w:iCs/>
          <w:color w:val="auto"/>
        </w:rPr>
        <w:t>.</w:t>
      </w:r>
    </w:p>
    <w:p w14:paraId="20054C41" w14:textId="4962770D" w:rsidR="00C555A7" w:rsidRPr="00335AD5" w:rsidRDefault="0043291A" w:rsidP="00395102">
      <w:pPr>
        <w:pStyle w:val="Instructionaltext"/>
        <w:jc w:val="both"/>
        <w:rPr>
          <w:color w:val="auto"/>
        </w:rPr>
      </w:pPr>
      <w:r>
        <w:rPr>
          <w:color w:val="auto"/>
        </w:rPr>
        <w:t>The applicant noted t</w:t>
      </w:r>
      <w:r w:rsidR="00591FFA">
        <w:rPr>
          <w:color w:val="auto"/>
        </w:rPr>
        <w:t>hree</w:t>
      </w:r>
      <w:r w:rsidR="005F77F4" w:rsidRPr="00335AD5">
        <w:rPr>
          <w:color w:val="auto"/>
        </w:rPr>
        <w:t xml:space="preserve"> key</w:t>
      </w:r>
      <w:r w:rsidR="00C555A7" w:rsidRPr="00335AD5">
        <w:rPr>
          <w:color w:val="auto"/>
        </w:rPr>
        <w:t xml:space="preserve"> inputs were changed in the PBAC </w:t>
      </w:r>
      <w:r w:rsidR="002B66E1" w:rsidRPr="00335AD5">
        <w:rPr>
          <w:color w:val="auto"/>
        </w:rPr>
        <w:t>early re-entry submission.</w:t>
      </w:r>
      <w:r w:rsidR="00335AD5">
        <w:rPr>
          <w:color w:val="auto"/>
        </w:rPr>
        <w:t xml:space="preserve"> These did not impact the test component.</w:t>
      </w:r>
    </w:p>
    <w:p w14:paraId="3450A690" w14:textId="26132AD7" w:rsidR="005F77F4" w:rsidRDefault="004922A0" w:rsidP="001D50A7">
      <w:pPr>
        <w:pStyle w:val="Instructionaltext"/>
        <w:numPr>
          <w:ilvl w:val="0"/>
          <w:numId w:val="15"/>
        </w:numPr>
        <w:jc w:val="both"/>
        <w:rPr>
          <w:color w:val="auto"/>
        </w:rPr>
      </w:pPr>
      <w:r w:rsidRPr="00335AD5">
        <w:rPr>
          <w:color w:val="auto"/>
        </w:rPr>
        <w:t>T</w:t>
      </w:r>
      <w:r w:rsidR="005F77F4" w:rsidRPr="00335AD5">
        <w:rPr>
          <w:color w:val="auto"/>
        </w:rPr>
        <w:t xml:space="preserve">he </w:t>
      </w:r>
      <w:r w:rsidRPr="00335AD5">
        <w:rPr>
          <w:color w:val="auto"/>
        </w:rPr>
        <w:t xml:space="preserve">change in the OS HR to 0.32 was accompanied by </w:t>
      </w:r>
      <w:r w:rsidR="00335AD5" w:rsidRPr="00335AD5">
        <w:rPr>
          <w:color w:val="auto"/>
        </w:rPr>
        <w:t xml:space="preserve">a structural change to permit use of HRs in the model. </w:t>
      </w:r>
    </w:p>
    <w:p w14:paraId="0180808D" w14:textId="1EF74CA5" w:rsidR="00335AD5" w:rsidRDefault="00335AD5" w:rsidP="001D50A7">
      <w:pPr>
        <w:pStyle w:val="Instructionaltext"/>
        <w:numPr>
          <w:ilvl w:val="0"/>
          <w:numId w:val="15"/>
        </w:numPr>
        <w:jc w:val="both"/>
        <w:rPr>
          <w:color w:val="auto"/>
        </w:rPr>
      </w:pPr>
      <w:r>
        <w:rPr>
          <w:color w:val="auto"/>
        </w:rPr>
        <w:t>The time horizon was reduced from 10 to 7 years.</w:t>
      </w:r>
    </w:p>
    <w:p w14:paraId="584820E6" w14:textId="6E029542" w:rsidR="1069B889" w:rsidRPr="004034F5" w:rsidRDefault="006F6675" w:rsidP="004034F5">
      <w:pPr>
        <w:pStyle w:val="Instructionaltext"/>
        <w:numPr>
          <w:ilvl w:val="0"/>
          <w:numId w:val="15"/>
        </w:numPr>
        <w:jc w:val="both"/>
        <w:rPr>
          <w:color w:val="auto"/>
        </w:rPr>
      </w:pPr>
      <w:r>
        <w:rPr>
          <w:color w:val="auto"/>
        </w:rPr>
        <w:t>The</w:t>
      </w:r>
      <w:r w:rsidR="00EB6FEE">
        <w:rPr>
          <w:color w:val="auto"/>
        </w:rPr>
        <w:t xml:space="preserve"> effective</w:t>
      </w:r>
      <w:r>
        <w:rPr>
          <w:color w:val="auto"/>
        </w:rPr>
        <w:t xml:space="preserve"> </w:t>
      </w:r>
      <w:r w:rsidR="002F71D6" w:rsidRPr="002F71D6">
        <w:rPr>
          <w:color w:val="auto"/>
        </w:rPr>
        <w:t xml:space="preserve">approved ex-manufacturer price </w:t>
      </w:r>
      <w:r w:rsidR="002F71D6">
        <w:rPr>
          <w:color w:val="auto"/>
        </w:rPr>
        <w:t>(</w:t>
      </w:r>
      <w:r>
        <w:rPr>
          <w:color w:val="auto"/>
        </w:rPr>
        <w:t>AEMP</w:t>
      </w:r>
      <w:r w:rsidR="002F71D6">
        <w:rPr>
          <w:color w:val="auto"/>
        </w:rPr>
        <w:t>)</w:t>
      </w:r>
      <w:r>
        <w:rPr>
          <w:color w:val="auto"/>
        </w:rPr>
        <w:t xml:space="preserve"> of futibatinib was reduced from </w:t>
      </w:r>
      <w:r w:rsidRPr="00ED60D0">
        <w:rPr>
          <w:color w:val="auto"/>
        </w:rPr>
        <w:t>$</w:t>
      </w:r>
      <w:r w:rsidR="00ED60D0" w:rsidRPr="00DB1B51">
        <w:rPr>
          <w:b/>
          <w:bCs/>
          <w:color w:val="auto"/>
        </w:rPr>
        <w:t>Redacted</w:t>
      </w:r>
      <w:r w:rsidR="00B32D05">
        <w:rPr>
          <w:b/>
          <w:bCs/>
          <w:color w:val="auto"/>
        </w:rPr>
        <w:t xml:space="preserve"> </w:t>
      </w:r>
      <w:r w:rsidRPr="00ED60D0">
        <w:rPr>
          <w:color w:val="auto"/>
        </w:rPr>
        <w:t xml:space="preserve">per </w:t>
      </w:r>
      <w:r w:rsidR="0013585D" w:rsidRPr="00ED60D0">
        <w:rPr>
          <w:color w:val="auto"/>
        </w:rPr>
        <w:t>pack</w:t>
      </w:r>
      <w:r w:rsidRPr="00ED60D0">
        <w:rPr>
          <w:color w:val="auto"/>
        </w:rPr>
        <w:t xml:space="preserve"> to $</w:t>
      </w:r>
      <w:r w:rsidR="00ED60D0" w:rsidRPr="00DB1B51">
        <w:rPr>
          <w:b/>
          <w:bCs/>
          <w:color w:val="auto"/>
        </w:rPr>
        <w:t>Redacted</w:t>
      </w:r>
      <w:r w:rsidRPr="00ED60D0">
        <w:rPr>
          <w:color w:val="auto"/>
        </w:rPr>
        <w:t>.</w:t>
      </w:r>
    </w:p>
    <w:p w14:paraId="1FAE0294" w14:textId="4905A153" w:rsidR="00335AD5" w:rsidRPr="00245C17" w:rsidRDefault="003C587B" w:rsidP="000C5638">
      <w:pPr>
        <w:pStyle w:val="Instructionaltext"/>
        <w:rPr>
          <w:color w:val="auto"/>
        </w:rPr>
      </w:pPr>
      <w:r w:rsidRPr="001F0309">
        <w:rPr>
          <w:bCs/>
          <w:color w:val="auto"/>
        </w:rPr>
        <w:t xml:space="preserve">These input changes resulted in an ICER of </w:t>
      </w:r>
      <w:r w:rsidR="00E14274" w:rsidRPr="00E14274">
        <w:rPr>
          <w:bCs/>
          <w:color w:val="auto"/>
        </w:rPr>
        <w:t>$75,000 to &lt; $95,000</w:t>
      </w:r>
      <w:r w:rsidR="00E14274" w:rsidRPr="00E14274" w:rsidDel="00E14274">
        <w:rPr>
          <w:bCs/>
          <w:color w:val="auto"/>
        </w:rPr>
        <w:t xml:space="preserve"> </w:t>
      </w:r>
      <w:r w:rsidRPr="008E2CE6">
        <w:rPr>
          <w:bCs/>
          <w:color w:val="auto"/>
        </w:rPr>
        <w:t>/QALY</w:t>
      </w:r>
      <w:r w:rsidR="00ED6605" w:rsidRPr="008E2CE6">
        <w:rPr>
          <w:bCs/>
          <w:color w:val="auto"/>
        </w:rPr>
        <w:t xml:space="preserve"> in</w:t>
      </w:r>
      <w:r w:rsidR="00ED6605" w:rsidRPr="001F0309">
        <w:rPr>
          <w:bCs/>
          <w:color w:val="auto"/>
        </w:rPr>
        <w:t xml:space="preserve"> the </w:t>
      </w:r>
      <w:r w:rsidR="007217F1" w:rsidRPr="001F0309">
        <w:rPr>
          <w:bCs/>
          <w:color w:val="auto"/>
        </w:rPr>
        <w:t>re</w:t>
      </w:r>
      <w:r w:rsidR="00ED6605" w:rsidRPr="001F0309">
        <w:rPr>
          <w:bCs/>
          <w:color w:val="auto"/>
        </w:rPr>
        <w:t>submission to PBAC</w:t>
      </w:r>
      <w:r w:rsidR="007217F1" w:rsidRPr="001F0309">
        <w:rPr>
          <w:bCs/>
          <w:color w:val="auto"/>
        </w:rPr>
        <w:t>. T</w:t>
      </w:r>
      <w:r w:rsidR="00BB262D" w:rsidRPr="001F0309">
        <w:rPr>
          <w:bCs/>
          <w:color w:val="auto"/>
        </w:rPr>
        <w:t>he cost</w:t>
      </w:r>
      <w:r w:rsidR="007217F1" w:rsidRPr="001F0309">
        <w:rPr>
          <w:bCs/>
          <w:color w:val="auto"/>
        </w:rPr>
        <w:t xml:space="preserve"> of testing</w:t>
      </w:r>
      <w:r w:rsidR="00BB262D" w:rsidRPr="001F0309">
        <w:rPr>
          <w:bCs/>
          <w:color w:val="auto"/>
        </w:rPr>
        <w:t xml:space="preserve"> to identify one patient treated with futibatinib</w:t>
      </w:r>
      <w:r w:rsidR="006F6675" w:rsidRPr="001F0309">
        <w:rPr>
          <w:bCs/>
          <w:color w:val="auto"/>
        </w:rPr>
        <w:t xml:space="preserve"> </w:t>
      </w:r>
      <w:r w:rsidR="007D518A" w:rsidRPr="001F0309">
        <w:rPr>
          <w:bCs/>
          <w:color w:val="auto"/>
        </w:rPr>
        <w:t>was $1,050</w:t>
      </w:r>
      <w:r w:rsidR="006F7005" w:rsidRPr="001F0309">
        <w:rPr>
          <w:bCs/>
          <w:color w:val="auto"/>
        </w:rPr>
        <w:t>.</w:t>
      </w:r>
      <w:r w:rsidR="57DBFB99" w:rsidRPr="007C2C95">
        <w:rPr>
          <w:bCs/>
          <w:color w:val="auto"/>
        </w:rPr>
        <w:t xml:space="preserve"> </w:t>
      </w:r>
      <w:r w:rsidR="57DBFB99" w:rsidRPr="1069B889">
        <w:rPr>
          <w:color w:val="auto"/>
        </w:rPr>
        <w:t xml:space="preserve">Further details </w:t>
      </w:r>
      <w:r w:rsidR="0043291A">
        <w:rPr>
          <w:color w:val="auto"/>
        </w:rPr>
        <w:t>were</w:t>
      </w:r>
      <w:r w:rsidR="57DBFB99" w:rsidRPr="1069B889">
        <w:rPr>
          <w:color w:val="auto"/>
        </w:rPr>
        <w:t xml:space="preserve"> provided in the PBAC early re-entry submission.</w:t>
      </w:r>
    </w:p>
    <w:p w14:paraId="6CCF5CC3" w14:textId="3CF78753" w:rsidR="00591FFA" w:rsidRPr="0043291A" w:rsidRDefault="00591FFA" w:rsidP="00591FFA">
      <w:pPr>
        <w:pStyle w:val="Instructionaltext"/>
        <w:jc w:val="both"/>
        <w:rPr>
          <w:color w:val="auto"/>
        </w:rPr>
      </w:pPr>
      <w:r>
        <w:rPr>
          <w:color w:val="auto"/>
        </w:rPr>
        <w:t xml:space="preserve">There was also a reduction in the diagnostic yield to 13.9% from 20% in the </w:t>
      </w:r>
      <w:r w:rsidRPr="0043291A">
        <w:rPr>
          <w:color w:val="auto"/>
        </w:rPr>
        <w:t>financial</w:t>
      </w:r>
      <w:r w:rsidR="00653248" w:rsidRPr="0043291A">
        <w:rPr>
          <w:color w:val="auto"/>
        </w:rPr>
        <w:t xml:space="preserve"> </w:t>
      </w:r>
      <w:r w:rsidR="00653248" w:rsidRPr="001F0309">
        <w:rPr>
          <w:color w:val="auto"/>
        </w:rPr>
        <w:t>and economic</w:t>
      </w:r>
      <w:r w:rsidRPr="0043291A">
        <w:rPr>
          <w:color w:val="auto"/>
        </w:rPr>
        <w:t xml:space="preserve"> estimates.</w:t>
      </w:r>
    </w:p>
    <w:p w14:paraId="64C88D0D" w14:textId="1ACF2652" w:rsidR="00304C6E" w:rsidRPr="001F0309" w:rsidRDefault="00DA4859" w:rsidP="001D408E">
      <w:pPr>
        <w:pStyle w:val="Instructionaltext"/>
        <w:jc w:val="both"/>
        <w:rPr>
          <w:bCs/>
          <w:color w:val="auto"/>
        </w:rPr>
      </w:pPr>
      <w:r>
        <w:rPr>
          <w:bCs/>
          <w:color w:val="auto"/>
        </w:rPr>
        <w:t>The applicant noted that i</w:t>
      </w:r>
      <w:r w:rsidR="00304C6E" w:rsidRPr="001F0309">
        <w:rPr>
          <w:bCs/>
          <w:color w:val="auto"/>
        </w:rPr>
        <w:t>nclu</w:t>
      </w:r>
      <w:r>
        <w:rPr>
          <w:bCs/>
          <w:color w:val="auto"/>
        </w:rPr>
        <w:t>ding</w:t>
      </w:r>
      <w:r w:rsidR="00304C6E" w:rsidRPr="001F0309">
        <w:rPr>
          <w:bCs/>
          <w:color w:val="auto"/>
        </w:rPr>
        <w:t xml:space="preserve"> the diagnostic yield of 13.9% down from 20% </w:t>
      </w:r>
      <w:r w:rsidR="00591FFA" w:rsidRPr="001F0309">
        <w:rPr>
          <w:bCs/>
          <w:color w:val="auto"/>
        </w:rPr>
        <w:t xml:space="preserve">in the economic model </w:t>
      </w:r>
      <w:r w:rsidR="00304C6E" w:rsidRPr="001F0309">
        <w:rPr>
          <w:bCs/>
          <w:color w:val="auto"/>
        </w:rPr>
        <w:t>increase</w:t>
      </w:r>
      <w:r>
        <w:rPr>
          <w:bCs/>
          <w:color w:val="auto"/>
        </w:rPr>
        <w:t>d</w:t>
      </w:r>
      <w:r w:rsidR="00304C6E" w:rsidRPr="001F0309">
        <w:rPr>
          <w:bCs/>
          <w:color w:val="auto"/>
        </w:rPr>
        <w:t xml:space="preserve"> the ICER to </w:t>
      </w:r>
      <w:r w:rsidR="00BB788A" w:rsidRPr="00E14274">
        <w:rPr>
          <w:bCs/>
          <w:color w:val="auto"/>
        </w:rPr>
        <w:t>$75,000 to &lt; $95,000</w:t>
      </w:r>
      <w:r w:rsidR="00BB788A" w:rsidRPr="00E14274" w:rsidDel="00E14274">
        <w:rPr>
          <w:bCs/>
          <w:color w:val="auto"/>
        </w:rPr>
        <w:t xml:space="preserve"> </w:t>
      </w:r>
      <w:r w:rsidR="0059225F" w:rsidRPr="001F0309">
        <w:rPr>
          <w:bCs/>
          <w:color w:val="auto"/>
        </w:rPr>
        <w:t xml:space="preserve">and the cost </w:t>
      </w:r>
      <w:r w:rsidR="00582932" w:rsidRPr="001F0309">
        <w:rPr>
          <w:bCs/>
          <w:color w:val="auto"/>
        </w:rPr>
        <w:t xml:space="preserve">of testing </w:t>
      </w:r>
      <w:r w:rsidR="0059225F" w:rsidRPr="001F0309">
        <w:rPr>
          <w:bCs/>
          <w:color w:val="auto"/>
        </w:rPr>
        <w:t>to identify one patient treated with futibatinib to $1,511.</w:t>
      </w:r>
    </w:p>
    <w:p w14:paraId="3CB16BCB" w14:textId="7E05CADC" w:rsidR="003C587B" w:rsidRPr="00335AD5" w:rsidRDefault="007660AD" w:rsidP="00395102">
      <w:pPr>
        <w:pStyle w:val="Instructionaltext"/>
        <w:jc w:val="both"/>
        <w:rPr>
          <w:color w:val="auto"/>
        </w:rPr>
      </w:pPr>
      <w:r>
        <w:rPr>
          <w:color w:val="auto"/>
        </w:rPr>
        <w:t>The applicant noted that i</w:t>
      </w:r>
      <w:r w:rsidR="00DA4859">
        <w:rPr>
          <w:color w:val="auto"/>
        </w:rPr>
        <w:t>n its previous consideration, t</w:t>
      </w:r>
      <w:r w:rsidR="003C587B">
        <w:rPr>
          <w:color w:val="auto"/>
        </w:rPr>
        <w:t xml:space="preserve">he MSAC </w:t>
      </w:r>
      <w:r w:rsidR="00DA4859">
        <w:rPr>
          <w:color w:val="auto"/>
        </w:rPr>
        <w:t xml:space="preserve">had </w:t>
      </w:r>
      <w:r w:rsidR="003C587B">
        <w:rPr>
          <w:color w:val="auto"/>
        </w:rPr>
        <w:t>proposed</w:t>
      </w:r>
      <w:r w:rsidR="00AE765D">
        <w:rPr>
          <w:color w:val="auto"/>
        </w:rPr>
        <w:t xml:space="preserve"> the following</w:t>
      </w:r>
      <w:r w:rsidR="003C587B">
        <w:rPr>
          <w:color w:val="auto"/>
        </w:rPr>
        <w:t xml:space="preserve"> </w:t>
      </w:r>
      <w:r w:rsidR="004B6C3B">
        <w:rPr>
          <w:color w:val="auto"/>
        </w:rPr>
        <w:t xml:space="preserve">four </w:t>
      </w:r>
      <w:r w:rsidR="00AE765D">
        <w:rPr>
          <w:color w:val="auto"/>
        </w:rPr>
        <w:t>additional changes to the test component</w:t>
      </w:r>
      <w:r w:rsidR="00C06105">
        <w:rPr>
          <w:color w:val="auto"/>
        </w:rPr>
        <w:t>:</w:t>
      </w:r>
    </w:p>
    <w:p w14:paraId="13215412" w14:textId="3D6DD7E1" w:rsidR="00AE765D" w:rsidRPr="00335AD5" w:rsidRDefault="007C0E52" w:rsidP="001D50A7">
      <w:pPr>
        <w:pStyle w:val="Instructionaltext"/>
        <w:numPr>
          <w:ilvl w:val="0"/>
          <w:numId w:val="14"/>
        </w:numPr>
        <w:jc w:val="both"/>
        <w:rPr>
          <w:color w:val="auto"/>
        </w:rPr>
      </w:pPr>
      <w:r>
        <w:rPr>
          <w:color w:val="auto"/>
        </w:rPr>
        <w:t xml:space="preserve">Increase </w:t>
      </w:r>
      <w:r w:rsidR="00A447AF">
        <w:rPr>
          <w:color w:val="auto"/>
        </w:rPr>
        <w:t xml:space="preserve">test </w:t>
      </w:r>
      <w:r>
        <w:rPr>
          <w:color w:val="auto"/>
        </w:rPr>
        <w:t xml:space="preserve">cost (range of </w:t>
      </w:r>
      <w:r w:rsidR="005E140F">
        <w:rPr>
          <w:color w:val="auto"/>
        </w:rPr>
        <w:t>$682.35 to $1,247, from $350)</w:t>
      </w:r>
    </w:p>
    <w:p w14:paraId="1D0183D6" w14:textId="415BB668" w:rsidR="005E140F" w:rsidRPr="00335AD5" w:rsidRDefault="005E140F" w:rsidP="001D50A7">
      <w:pPr>
        <w:pStyle w:val="Instructionaltext"/>
        <w:numPr>
          <w:ilvl w:val="0"/>
          <w:numId w:val="14"/>
        </w:numPr>
        <w:jc w:val="both"/>
        <w:rPr>
          <w:color w:val="auto"/>
        </w:rPr>
      </w:pPr>
      <w:r>
        <w:rPr>
          <w:color w:val="auto"/>
        </w:rPr>
        <w:t>Re</w:t>
      </w:r>
      <w:r w:rsidR="00296763">
        <w:rPr>
          <w:color w:val="auto"/>
        </w:rPr>
        <w:t>duce</w:t>
      </w:r>
      <w:r>
        <w:rPr>
          <w:color w:val="auto"/>
        </w:rPr>
        <w:t xml:space="preserve"> </w:t>
      </w:r>
      <w:proofErr w:type="spellStart"/>
      <w:r>
        <w:rPr>
          <w:color w:val="auto"/>
        </w:rPr>
        <w:t>Omico</w:t>
      </w:r>
      <w:proofErr w:type="spellEnd"/>
      <w:r>
        <w:rPr>
          <w:color w:val="auto"/>
        </w:rPr>
        <w:t xml:space="preserve"> testing </w:t>
      </w:r>
      <w:r w:rsidR="009000BE">
        <w:rPr>
          <w:color w:val="auto"/>
        </w:rPr>
        <w:t>where MBS does not pay from 40%</w:t>
      </w:r>
      <w:r w:rsidR="00694E23">
        <w:rPr>
          <w:color w:val="auto"/>
        </w:rPr>
        <w:t xml:space="preserve"> to 0%</w:t>
      </w:r>
    </w:p>
    <w:p w14:paraId="7AA5A968" w14:textId="43E8380B" w:rsidR="008534DD" w:rsidRDefault="00E67F47" w:rsidP="001D50A7">
      <w:pPr>
        <w:pStyle w:val="Instructionaltext"/>
        <w:numPr>
          <w:ilvl w:val="0"/>
          <w:numId w:val="14"/>
        </w:numPr>
        <w:jc w:val="both"/>
        <w:rPr>
          <w:color w:val="auto"/>
        </w:rPr>
      </w:pPr>
      <w:r>
        <w:rPr>
          <w:color w:val="auto"/>
        </w:rPr>
        <w:t>I</w:t>
      </w:r>
      <w:r w:rsidR="00DE2568">
        <w:rPr>
          <w:color w:val="auto"/>
        </w:rPr>
        <w:t xml:space="preserve">nclude </w:t>
      </w:r>
      <w:r w:rsidR="002967AF">
        <w:rPr>
          <w:color w:val="auto"/>
        </w:rPr>
        <w:t>testing at the point of</w:t>
      </w:r>
      <w:r w:rsidR="009300CF">
        <w:rPr>
          <w:color w:val="auto"/>
        </w:rPr>
        <w:t xml:space="preserve"> CCA </w:t>
      </w:r>
      <w:r w:rsidR="002967AF">
        <w:rPr>
          <w:color w:val="auto"/>
        </w:rPr>
        <w:t>diagnosis</w:t>
      </w:r>
      <w:r w:rsidR="00772057">
        <w:rPr>
          <w:color w:val="auto"/>
        </w:rPr>
        <w:t xml:space="preserve"> (</w:t>
      </w:r>
      <w:r>
        <w:rPr>
          <w:color w:val="auto"/>
        </w:rPr>
        <w:t xml:space="preserve">equivalent to </w:t>
      </w:r>
      <w:r w:rsidR="00772057">
        <w:rPr>
          <w:color w:val="auto"/>
        </w:rPr>
        <w:t xml:space="preserve">an additional </w:t>
      </w:r>
      <w:r w:rsidR="00694E23">
        <w:rPr>
          <w:color w:val="auto"/>
        </w:rPr>
        <w:t>357</w:t>
      </w:r>
      <w:r w:rsidR="00A065F0">
        <w:rPr>
          <w:color w:val="auto"/>
        </w:rPr>
        <w:t xml:space="preserve">% </w:t>
      </w:r>
      <w:r>
        <w:rPr>
          <w:color w:val="auto"/>
        </w:rPr>
        <w:t xml:space="preserve">of tests </w:t>
      </w:r>
      <w:r w:rsidR="00A065F0">
        <w:rPr>
          <w:color w:val="auto"/>
        </w:rPr>
        <w:t xml:space="preserve">versus </w:t>
      </w:r>
      <w:r w:rsidR="00EA30C3">
        <w:rPr>
          <w:color w:val="auto"/>
        </w:rPr>
        <w:t>base case)</w:t>
      </w:r>
    </w:p>
    <w:p w14:paraId="2371E388" w14:textId="39541134" w:rsidR="002967AF" w:rsidRPr="002967AF" w:rsidRDefault="002967AF" w:rsidP="001D50A7">
      <w:pPr>
        <w:pStyle w:val="Instructionaltext"/>
        <w:numPr>
          <w:ilvl w:val="0"/>
          <w:numId w:val="14"/>
        </w:numPr>
        <w:jc w:val="both"/>
        <w:rPr>
          <w:color w:val="auto"/>
        </w:rPr>
      </w:pPr>
      <w:r>
        <w:rPr>
          <w:color w:val="auto"/>
        </w:rPr>
        <w:t xml:space="preserve">Increase testing </w:t>
      </w:r>
      <w:r w:rsidR="0029620F">
        <w:rPr>
          <w:color w:val="auto"/>
        </w:rPr>
        <w:t xml:space="preserve">population </w:t>
      </w:r>
      <w:r w:rsidR="006403EB">
        <w:rPr>
          <w:color w:val="auto"/>
        </w:rPr>
        <w:t>by taking into consideration the patients with</w:t>
      </w:r>
      <w:r>
        <w:rPr>
          <w:color w:val="auto"/>
        </w:rPr>
        <w:t xml:space="preserve"> </w:t>
      </w:r>
      <w:r w:rsidR="0029620F">
        <w:rPr>
          <w:color w:val="auto"/>
        </w:rPr>
        <w:t xml:space="preserve">pancreatic cancer and cancer of unknown </w:t>
      </w:r>
      <w:r w:rsidR="006403EB">
        <w:rPr>
          <w:color w:val="auto"/>
        </w:rPr>
        <w:t>primary who may access the test</w:t>
      </w:r>
    </w:p>
    <w:p w14:paraId="602090D0" w14:textId="410B0D16" w:rsidR="001C358F" w:rsidRPr="001F0309" w:rsidRDefault="007660AD" w:rsidP="00395102">
      <w:pPr>
        <w:pStyle w:val="Instructionaltext"/>
        <w:jc w:val="both"/>
        <w:rPr>
          <w:bCs/>
          <w:color w:val="auto"/>
        </w:rPr>
      </w:pPr>
      <w:r>
        <w:rPr>
          <w:bCs/>
          <w:color w:val="auto"/>
        </w:rPr>
        <w:lastRenderedPageBreak/>
        <w:t>The applicant noted that u</w:t>
      </w:r>
      <w:r w:rsidR="0004394E" w:rsidRPr="001F0309">
        <w:rPr>
          <w:bCs/>
          <w:color w:val="auto"/>
        </w:rPr>
        <w:t>sing</w:t>
      </w:r>
      <w:r w:rsidR="00F175C1" w:rsidRPr="001F0309">
        <w:rPr>
          <w:bCs/>
          <w:color w:val="auto"/>
        </w:rPr>
        <w:t xml:space="preserve"> </w:t>
      </w:r>
      <w:r w:rsidR="008F69E7" w:rsidRPr="001F0309">
        <w:rPr>
          <w:bCs/>
          <w:color w:val="auto"/>
        </w:rPr>
        <w:t xml:space="preserve">the </w:t>
      </w:r>
      <w:r w:rsidR="0004394E" w:rsidRPr="001F0309">
        <w:rPr>
          <w:bCs/>
          <w:color w:val="auto"/>
        </w:rPr>
        <w:t xml:space="preserve">upper thresholds </w:t>
      </w:r>
      <w:r w:rsidR="00694E23" w:rsidRPr="001F0309">
        <w:rPr>
          <w:bCs/>
          <w:color w:val="auto"/>
        </w:rPr>
        <w:t>of</w:t>
      </w:r>
      <w:r w:rsidR="008F69E7" w:rsidRPr="001F0309">
        <w:rPr>
          <w:bCs/>
          <w:color w:val="auto"/>
        </w:rPr>
        <w:t xml:space="preserve"> MSAC changes</w:t>
      </w:r>
      <w:r w:rsidR="00D37A00" w:rsidRPr="001F0309">
        <w:rPr>
          <w:bCs/>
          <w:color w:val="auto"/>
        </w:rPr>
        <w:t xml:space="preserve"> above</w:t>
      </w:r>
      <w:r w:rsidR="00852B5F" w:rsidRPr="001F0309">
        <w:rPr>
          <w:bCs/>
          <w:color w:val="auto"/>
        </w:rPr>
        <w:t xml:space="preserve">, the </w:t>
      </w:r>
      <w:r w:rsidR="00C41224" w:rsidRPr="001F0309">
        <w:rPr>
          <w:bCs/>
          <w:color w:val="auto"/>
        </w:rPr>
        <w:t xml:space="preserve">cost </w:t>
      </w:r>
      <w:r w:rsidR="00582932" w:rsidRPr="001F0309">
        <w:rPr>
          <w:bCs/>
          <w:color w:val="auto"/>
        </w:rPr>
        <w:t xml:space="preserve">of testing </w:t>
      </w:r>
      <w:r w:rsidR="00C41224" w:rsidRPr="001F0309">
        <w:rPr>
          <w:bCs/>
          <w:color w:val="auto"/>
        </w:rPr>
        <w:t xml:space="preserve">to identify </w:t>
      </w:r>
      <w:r w:rsidR="003E56DD" w:rsidRPr="001F0309">
        <w:rPr>
          <w:bCs/>
          <w:color w:val="auto"/>
        </w:rPr>
        <w:t>one</w:t>
      </w:r>
      <w:r w:rsidR="00C41224" w:rsidRPr="001F0309">
        <w:rPr>
          <w:bCs/>
          <w:color w:val="auto"/>
        </w:rPr>
        <w:t xml:space="preserve"> patient who will have futibatinib </w:t>
      </w:r>
      <w:r w:rsidR="003E56DD" w:rsidRPr="001F0309">
        <w:rPr>
          <w:bCs/>
          <w:color w:val="auto"/>
        </w:rPr>
        <w:t>increase</w:t>
      </w:r>
      <w:r>
        <w:rPr>
          <w:bCs/>
          <w:color w:val="auto"/>
        </w:rPr>
        <w:t>d</w:t>
      </w:r>
      <w:r w:rsidR="003E56DD" w:rsidRPr="001F0309">
        <w:rPr>
          <w:bCs/>
          <w:color w:val="auto"/>
        </w:rPr>
        <w:t xml:space="preserve"> to</w:t>
      </w:r>
      <w:r w:rsidR="00C41224" w:rsidRPr="001F0309">
        <w:rPr>
          <w:bCs/>
          <w:color w:val="auto"/>
        </w:rPr>
        <w:t xml:space="preserve"> $</w:t>
      </w:r>
      <w:r w:rsidR="00694E23" w:rsidRPr="001F0309">
        <w:rPr>
          <w:bCs/>
          <w:color w:val="auto"/>
        </w:rPr>
        <w:t>32,040</w:t>
      </w:r>
      <w:r w:rsidR="004D1072" w:rsidRPr="001F0309">
        <w:rPr>
          <w:bCs/>
          <w:color w:val="auto"/>
        </w:rPr>
        <w:t>.</w:t>
      </w:r>
    </w:p>
    <w:p w14:paraId="68350301" w14:textId="372CE793" w:rsidR="004D2430" w:rsidRDefault="006B5578" w:rsidP="00395102">
      <w:pPr>
        <w:pStyle w:val="Instructionaltext"/>
        <w:jc w:val="both"/>
        <w:rPr>
          <w:color w:val="auto"/>
        </w:rPr>
      </w:pPr>
      <w:r>
        <w:rPr>
          <w:color w:val="auto"/>
        </w:rPr>
        <w:t>T</w:t>
      </w:r>
      <w:r w:rsidR="007A5899">
        <w:rPr>
          <w:color w:val="auto"/>
        </w:rPr>
        <w:t xml:space="preserve">he applicant considered that the </w:t>
      </w:r>
      <w:r w:rsidR="004D2430">
        <w:rPr>
          <w:color w:val="auto"/>
        </w:rPr>
        <w:t>$</w:t>
      </w:r>
      <w:r w:rsidR="00694E23">
        <w:rPr>
          <w:color w:val="auto"/>
        </w:rPr>
        <w:t>32</w:t>
      </w:r>
      <w:r w:rsidR="004D2430">
        <w:rPr>
          <w:color w:val="auto"/>
        </w:rPr>
        <w:t>,0</w:t>
      </w:r>
      <w:r w:rsidR="00B50399">
        <w:rPr>
          <w:color w:val="auto"/>
        </w:rPr>
        <w:t>4</w:t>
      </w:r>
      <w:r w:rsidR="004D2430">
        <w:rPr>
          <w:color w:val="auto"/>
        </w:rPr>
        <w:t xml:space="preserve">0 cost of testing </w:t>
      </w:r>
      <w:r w:rsidR="00160F84">
        <w:rPr>
          <w:color w:val="auto"/>
        </w:rPr>
        <w:t xml:space="preserve">per </w:t>
      </w:r>
      <w:r w:rsidR="008246DE">
        <w:rPr>
          <w:color w:val="auto"/>
        </w:rPr>
        <w:t xml:space="preserve">futibatinib </w:t>
      </w:r>
      <w:r w:rsidR="00160F84">
        <w:rPr>
          <w:color w:val="auto"/>
        </w:rPr>
        <w:t>treated patient</w:t>
      </w:r>
      <w:r>
        <w:rPr>
          <w:color w:val="auto"/>
        </w:rPr>
        <w:t xml:space="preserve"> </w:t>
      </w:r>
      <w:r w:rsidR="00AB10D6" w:rsidRPr="002E5F06">
        <w:rPr>
          <w:color w:val="auto"/>
        </w:rPr>
        <w:t>represent</w:t>
      </w:r>
      <w:r w:rsidR="007A5899" w:rsidRPr="002E5F06">
        <w:rPr>
          <w:color w:val="auto"/>
        </w:rPr>
        <w:t>ed</w:t>
      </w:r>
      <w:r w:rsidR="004D2430" w:rsidRPr="002E5F06">
        <w:rPr>
          <w:color w:val="auto"/>
        </w:rPr>
        <w:t xml:space="preserve"> </w:t>
      </w:r>
      <w:r w:rsidR="002E5F06" w:rsidRPr="00DB1B51">
        <w:rPr>
          <w:b/>
          <w:bCs/>
          <w:color w:val="auto"/>
        </w:rPr>
        <w:t>Redacted</w:t>
      </w:r>
      <w:r w:rsidR="008648BE" w:rsidRPr="002E5F06">
        <w:rPr>
          <w:color w:val="auto"/>
        </w:rPr>
        <w:t xml:space="preserve">% of the </w:t>
      </w:r>
      <w:r w:rsidR="00887573" w:rsidRPr="002E5F06">
        <w:rPr>
          <w:color w:val="auto"/>
        </w:rPr>
        <w:t xml:space="preserve">calculated </w:t>
      </w:r>
      <w:r w:rsidR="008648BE" w:rsidRPr="002E5F06">
        <w:rPr>
          <w:color w:val="auto"/>
        </w:rPr>
        <w:t>drug cost</w:t>
      </w:r>
      <w:r w:rsidR="009427B5" w:rsidRPr="002E5F06">
        <w:rPr>
          <w:color w:val="auto"/>
        </w:rPr>
        <w:t xml:space="preserve"> in the model</w:t>
      </w:r>
      <w:r w:rsidR="009A3EEC" w:rsidRPr="002E5F06">
        <w:rPr>
          <w:color w:val="auto"/>
        </w:rPr>
        <w:t xml:space="preserve"> and </w:t>
      </w:r>
      <w:r w:rsidR="002E5F06" w:rsidRPr="00DB1B51">
        <w:rPr>
          <w:b/>
          <w:bCs/>
          <w:color w:val="auto"/>
        </w:rPr>
        <w:t>Redacted</w:t>
      </w:r>
      <w:r w:rsidR="009A3EEC" w:rsidRPr="002E5F06">
        <w:rPr>
          <w:color w:val="auto"/>
        </w:rPr>
        <w:t>% of the</w:t>
      </w:r>
      <w:r w:rsidR="009A3EEC">
        <w:rPr>
          <w:color w:val="auto"/>
        </w:rPr>
        <w:t xml:space="preserve"> total costs of </w:t>
      </w:r>
      <w:r w:rsidR="00CE3B87">
        <w:rPr>
          <w:color w:val="auto"/>
        </w:rPr>
        <w:t>the futibatinib ar</w:t>
      </w:r>
      <w:r w:rsidR="007A5899">
        <w:rPr>
          <w:color w:val="auto"/>
        </w:rPr>
        <w:t>m. The applicant considered that this was</w:t>
      </w:r>
      <w:r w:rsidR="002D3643">
        <w:rPr>
          <w:color w:val="auto"/>
        </w:rPr>
        <w:t xml:space="preserve"> not reflective of a plausible clinical scenario</w:t>
      </w:r>
      <w:r w:rsidR="00135883">
        <w:rPr>
          <w:color w:val="auto"/>
        </w:rPr>
        <w:t xml:space="preserve"> </w:t>
      </w:r>
      <w:r w:rsidR="007A5899">
        <w:rPr>
          <w:color w:val="auto"/>
        </w:rPr>
        <w:t>that was</w:t>
      </w:r>
      <w:r w:rsidR="00135883">
        <w:rPr>
          <w:color w:val="auto"/>
        </w:rPr>
        <w:t xml:space="preserve"> described in </w:t>
      </w:r>
      <w:r w:rsidR="007A5899">
        <w:rPr>
          <w:color w:val="auto"/>
        </w:rPr>
        <w:t xml:space="preserve">the </w:t>
      </w:r>
      <w:r w:rsidR="00135883">
        <w:rPr>
          <w:color w:val="auto"/>
        </w:rPr>
        <w:t>earlier sections</w:t>
      </w:r>
      <w:r w:rsidR="007A5899">
        <w:rPr>
          <w:color w:val="auto"/>
        </w:rPr>
        <w:t xml:space="preserve"> of the re</w:t>
      </w:r>
      <w:r w:rsidR="006403EB">
        <w:rPr>
          <w:color w:val="auto"/>
        </w:rPr>
        <w:t>application</w:t>
      </w:r>
      <w:r w:rsidR="00360213">
        <w:rPr>
          <w:color w:val="auto"/>
        </w:rPr>
        <w:t xml:space="preserve">. </w:t>
      </w:r>
    </w:p>
    <w:p w14:paraId="53291BB6" w14:textId="2FE8E3D5" w:rsidR="00A01B18" w:rsidRDefault="006403EB" w:rsidP="000C5638">
      <w:pPr>
        <w:pStyle w:val="Instructionaltext"/>
        <w:jc w:val="both"/>
        <w:rPr>
          <w:color w:val="auto"/>
        </w:rPr>
      </w:pPr>
      <w:r>
        <w:rPr>
          <w:color w:val="auto"/>
        </w:rPr>
        <w:t>T</w:t>
      </w:r>
      <w:r w:rsidR="007D4E19">
        <w:rPr>
          <w:color w:val="auto"/>
        </w:rPr>
        <w:t xml:space="preserve">he applicant </w:t>
      </w:r>
      <w:r w:rsidR="00B67DB0">
        <w:rPr>
          <w:color w:val="auto"/>
        </w:rPr>
        <w:t xml:space="preserve">proposed </w:t>
      </w:r>
      <w:r w:rsidR="00D82FC6">
        <w:rPr>
          <w:color w:val="auto"/>
        </w:rPr>
        <w:t>t</w:t>
      </w:r>
      <w:r w:rsidR="00FC5640">
        <w:rPr>
          <w:color w:val="auto"/>
        </w:rPr>
        <w:t xml:space="preserve">he </w:t>
      </w:r>
      <w:r w:rsidR="00B67DB0">
        <w:rPr>
          <w:color w:val="auto"/>
        </w:rPr>
        <w:t xml:space="preserve">below </w:t>
      </w:r>
      <w:r w:rsidR="00FC5640">
        <w:rPr>
          <w:color w:val="auto"/>
        </w:rPr>
        <w:t>upd</w:t>
      </w:r>
      <w:r w:rsidR="00A01B18">
        <w:rPr>
          <w:color w:val="auto"/>
        </w:rPr>
        <w:t>ated values</w:t>
      </w:r>
      <w:r w:rsidR="00CE3B87">
        <w:rPr>
          <w:color w:val="auto"/>
        </w:rPr>
        <w:t xml:space="preserve">, consistent with Sections </w:t>
      </w:r>
      <w:r w:rsidR="007E4045">
        <w:rPr>
          <w:color w:val="auto"/>
        </w:rPr>
        <w:t>6</w:t>
      </w:r>
      <w:r w:rsidR="00CE3B87">
        <w:rPr>
          <w:color w:val="auto"/>
        </w:rPr>
        <w:t xml:space="preserve"> and </w:t>
      </w:r>
      <w:r w:rsidR="007E4045">
        <w:rPr>
          <w:color w:val="auto"/>
        </w:rPr>
        <w:t>7</w:t>
      </w:r>
      <w:r w:rsidR="00A01B18">
        <w:rPr>
          <w:color w:val="auto"/>
        </w:rPr>
        <w:t>:</w:t>
      </w:r>
    </w:p>
    <w:p w14:paraId="3A4694C4" w14:textId="676F61FF" w:rsidR="005243DD" w:rsidRDefault="00D82FC6" w:rsidP="001D50A7">
      <w:pPr>
        <w:pStyle w:val="Instructionaltext"/>
        <w:numPr>
          <w:ilvl w:val="0"/>
          <w:numId w:val="16"/>
        </w:numPr>
        <w:jc w:val="both"/>
        <w:rPr>
          <w:color w:val="auto"/>
        </w:rPr>
      </w:pPr>
      <w:r>
        <w:rPr>
          <w:color w:val="auto"/>
        </w:rPr>
        <w:t xml:space="preserve">An updated </w:t>
      </w:r>
      <w:r w:rsidR="00193873">
        <w:rPr>
          <w:color w:val="auto"/>
        </w:rPr>
        <w:t xml:space="preserve">panel </w:t>
      </w:r>
      <w:r>
        <w:rPr>
          <w:color w:val="auto"/>
        </w:rPr>
        <w:t xml:space="preserve">test cost of </w:t>
      </w:r>
      <w:r w:rsidR="005944A4">
        <w:rPr>
          <w:color w:val="auto"/>
        </w:rPr>
        <w:t xml:space="preserve">$885, with </w:t>
      </w:r>
      <w:r>
        <w:rPr>
          <w:color w:val="auto"/>
        </w:rPr>
        <w:t>$545</w:t>
      </w:r>
      <w:r w:rsidR="005944A4">
        <w:rPr>
          <w:color w:val="auto"/>
        </w:rPr>
        <w:t xml:space="preserve"> attributable to </w:t>
      </w:r>
      <w:r w:rsidR="005944A4" w:rsidRPr="002C1B51">
        <w:rPr>
          <w:i/>
          <w:color w:val="auto"/>
        </w:rPr>
        <w:t>FGFR2</w:t>
      </w:r>
      <w:r w:rsidR="005944A4">
        <w:rPr>
          <w:color w:val="auto"/>
        </w:rPr>
        <w:t xml:space="preserve"> testing</w:t>
      </w:r>
    </w:p>
    <w:p w14:paraId="67C8E575" w14:textId="7DEE9C1B" w:rsidR="00851DFD" w:rsidRDefault="00B67DB0" w:rsidP="001D50A7">
      <w:pPr>
        <w:pStyle w:val="Instructionaltext"/>
        <w:numPr>
          <w:ilvl w:val="0"/>
          <w:numId w:val="16"/>
        </w:numPr>
        <w:jc w:val="both"/>
        <w:rPr>
          <w:color w:val="auto"/>
        </w:rPr>
      </w:pPr>
      <w:r>
        <w:rPr>
          <w:color w:val="auto"/>
        </w:rPr>
        <w:t>An i</w:t>
      </w:r>
      <w:r w:rsidR="00851DFD">
        <w:rPr>
          <w:color w:val="auto"/>
        </w:rPr>
        <w:t xml:space="preserve">ncrease </w:t>
      </w:r>
      <w:r w:rsidR="00EA1D6D">
        <w:rPr>
          <w:color w:val="auto"/>
        </w:rPr>
        <w:t xml:space="preserve">in </w:t>
      </w:r>
      <w:r w:rsidR="00851DFD">
        <w:rPr>
          <w:color w:val="auto"/>
        </w:rPr>
        <w:t>testing</w:t>
      </w:r>
      <w:r w:rsidR="00D65D70">
        <w:rPr>
          <w:color w:val="auto"/>
        </w:rPr>
        <w:t xml:space="preserve"> population</w:t>
      </w:r>
      <w:r w:rsidR="00851DFD">
        <w:rPr>
          <w:color w:val="auto"/>
        </w:rPr>
        <w:t xml:space="preserve"> to </w:t>
      </w:r>
      <w:r w:rsidR="00D762E9">
        <w:rPr>
          <w:color w:val="auto"/>
        </w:rPr>
        <w:t xml:space="preserve">include testing at </w:t>
      </w:r>
      <w:r w:rsidR="00B56B6C">
        <w:rPr>
          <w:color w:val="auto"/>
        </w:rPr>
        <w:t xml:space="preserve">the </w:t>
      </w:r>
      <w:r w:rsidR="00D762E9">
        <w:rPr>
          <w:color w:val="auto"/>
        </w:rPr>
        <w:t xml:space="preserve">point of </w:t>
      </w:r>
      <w:r w:rsidR="00B56B6C">
        <w:rPr>
          <w:color w:val="auto"/>
        </w:rPr>
        <w:t>first line</w:t>
      </w:r>
      <w:r w:rsidR="00D96705">
        <w:rPr>
          <w:color w:val="auto"/>
        </w:rPr>
        <w:t xml:space="preserve"> </w:t>
      </w:r>
      <w:r w:rsidR="00D762E9">
        <w:rPr>
          <w:color w:val="auto"/>
        </w:rPr>
        <w:t>treatment</w:t>
      </w:r>
      <w:r w:rsidR="00EA1D6D">
        <w:rPr>
          <w:color w:val="auto"/>
        </w:rPr>
        <w:t xml:space="preserve"> in the locally advanced and metastatic stage</w:t>
      </w:r>
      <w:r w:rsidR="00D762E9">
        <w:rPr>
          <w:color w:val="auto"/>
        </w:rPr>
        <w:t xml:space="preserve"> (i.e. 200% additional versus base case)</w:t>
      </w:r>
    </w:p>
    <w:p w14:paraId="7305C8DF" w14:textId="1974C5B8" w:rsidR="00C77010" w:rsidRDefault="00062B9C" w:rsidP="001D50A7">
      <w:pPr>
        <w:pStyle w:val="Instructionaltext"/>
        <w:numPr>
          <w:ilvl w:val="0"/>
          <w:numId w:val="16"/>
        </w:numPr>
        <w:jc w:val="both"/>
        <w:rPr>
          <w:color w:val="auto"/>
        </w:rPr>
      </w:pPr>
      <w:r>
        <w:rPr>
          <w:color w:val="auto"/>
        </w:rPr>
        <w:t xml:space="preserve">No increase </w:t>
      </w:r>
      <w:r w:rsidR="00220151">
        <w:rPr>
          <w:color w:val="auto"/>
        </w:rPr>
        <w:t>in</w:t>
      </w:r>
      <w:r>
        <w:rPr>
          <w:color w:val="auto"/>
        </w:rPr>
        <w:t xml:space="preserve"> testing population </w:t>
      </w:r>
      <w:r w:rsidR="00E2178C">
        <w:rPr>
          <w:color w:val="auto"/>
        </w:rPr>
        <w:t xml:space="preserve">to include pancreatic cancer and cancer of unknown </w:t>
      </w:r>
      <w:r w:rsidR="006403EB">
        <w:rPr>
          <w:color w:val="auto"/>
        </w:rPr>
        <w:t>primary</w:t>
      </w:r>
      <w:r w:rsidR="00220151">
        <w:rPr>
          <w:color w:val="auto"/>
        </w:rPr>
        <w:t>,</w:t>
      </w:r>
      <w:r w:rsidR="000404F3">
        <w:rPr>
          <w:color w:val="auto"/>
        </w:rPr>
        <w:t xml:space="preserve"> </w:t>
      </w:r>
      <w:r w:rsidR="00EB4D2D">
        <w:rPr>
          <w:color w:val="auto"/>
        </w:rPr>
        <w:t>as the</w:t>
      </w:r>
      <w:r w:rsidR="00B67DB0">
        <w:rPr>
          <w:color w:val="auto"/>
        </w:rPr>
        <w:t xml:space="preserve"> applicant considered these</w:t>
      </w:r>
      <w:r w:rsidR="00EB4D2D">
        <w:rPr>
          <w:color w:val="auto"/>
        </w:rPr>
        <w:t xml:space="preserve"> </w:t>
      </w:r>
      <w:r w:rsidR="00220151">
        <w:rPr>
          <w:color w:val="auto"/>
        </w:rPr>
        <w:t xml:space="preserve">patients </w:t>
      </w:r>
      <w:r w:rsidR="00B67DB0">
        <w:rPr>
          <w:color w:val="auto"/>
        </w:rPr>
        <w:t>were</w:t>
      </w:r>
      <w:r w:rsidR="00EB4D2D">
        <w:rPr>
          <w:color w:val="auto"/>
        </w:rPr>
        <w:t xml:space="preserve"> already included in the epidemiology</w:t>
      </w:r>
      <w:r w:rsidR="00220151">
        <w:rPr>
          <w:color w:val="auto"/>
        </w:rPr>
        <w:t xml:space="preserve"> estimates</w:t>
      </w:r>
      <w:r w:rsidR="003A6489">
        <w:rPr>
          <w:color w:val="auto"/>
        </w:rPr>
        <w:t xml:space="preserve"> derived from AIHW</w:t>
      </w:r>
    </w:p>
    <w:p w14:paraId="5D0691AB" w14:textId="43FA2F51" w:rsidR="006403EB" w:rsidRPr="00C77010" w:rsidRDefault="0083480D" w:rsidP="002C1B51">
      <w:pPr>
        <w:pStyle w:val="Instructionaltext"/>
        <w:numPr>
          <w:ilvl w:val="0"/>
          <w:numId w:val="16"/>
        </w:numPr>
        <w:jc w:val="both"/>
        <w:rPr>
          <w:i/>
          <w:color w:val="auto"/>
        </w:rPr>
      </w:pPr>
      <w:r w:rsidRPr="00C77010">
        <w:rPr>
          <w:color w:val="auto"/>
        </w:rPr>
        <w:t>Reduction in diagnostic yield to 13.9%, consistent with the early re-entry submission to PBAC</w:t>
      </w:r>
      <w:r w:rsidR="574657F3" w:rsidRPr="00C77010">
        <w:rPr>
          <w:color w:val="auto"/>
        </w:rPr>
        <w:t xml:space="preserve">. </w:t>
      </w:r>
      <w:r w:rsidR="3D4466A4" w:rsidRPr="00454A1B">
        <w:rPr>
          <w:color w:val="000000" w:themeColor="text1"/>
        </w:rPr>
        <w:t>The</w:t>
      </w:r>
      <w:r w:rsidR="00B67DB0" w:rsidRPr="00454A1B">
        <w:rPr>
          <w:color w:val="000000" w:themeColor="text1"/>
        </w:rPr>
        <w:t xml:space="preserve"> </w:t>
      </w:r>
      <w:r w:rsidR="003254DB">
        <w:rPr>
          <w:color w:val="000000" w:themeColor="text1"/>
        </w:rPr>
        <w:t>D</w:t>
      </w:r>
      <w:r w:rsidR="00B67DB0" w:rsidRPr="00454A1B">
        <w:rPr>
          <w:color w:val="000000" w:themeColor="text1"/>
        </w:rPr>
        <w:t>epartment noted that the</w:t>
      </w:r>
      <w:r w:rsidR="3D4466A4" w:rsidRPr="00454A1B">
        <w:rPr>
          <w:color w:val="000000" w:themeColor="text1"/>
        </w:rPr>
        <w:t xml:space="preserve"> economic model assumed that 13.9% of tested patients would be eligible for futibatinib treatment.</w:t>
      </w:r>
      <w:r w:rsidR="7CC6DB91" w:rsidRPr="00454A1B">
        <w:rPr>
          <w:color w:val="000000" w:themeColor="text1"/>
        </w:rPr>
        <w:t xml:space="preserve"> </w:t>
      </w:r>
      <w:r w:rsidR="00B67DB0" w:rsidRPr="00454A1B">
        <w:rPr>
          <w:color w:val="000000" w:themeColor="text1"/>
        </w:rPr>
        <w:t>The Department considered that t</w:t>
      </w:r>
      <w:r w:rsidR="3D4466A4" w:rsidRPr="00454A1B">
        <w:rPr>
          <w:color w:val="000000" w:themeColor="text1"/>
        </w:rPr>
        <w:t>his did not refle</w:t>
      </w:r>
      <w:r w:rsidR="2B01F0DC" w:rsidRPr="00454A1B">
        <w:rPr>
          <w:color w:val="000000" w:themeColor="text1"/>
        </w:rPr>
        <w:t xml:space="preserve">ct testing at initial diagnosis of </w:t>
      </w:r>
      <w:r w:rsidR="698512C5" w:rsidRPr="00454A1B">
        <w:rPr>
          <w:color w:val="000000" w:themeColor="text1"/>
        </w:rPr>
        <w:t xml:space="preserve">CCA. </w:t>
      </w:r>
      <w:r w:rsidR="00B67DB0" w:rsidRPr="00454A1B">
        <w:rPr>
          <w:color w:val="000000" w:themeColor="text1"/>
        </w:rPr>
        <w:t>As, i</w:t>
      </w:r>
      <w:r w:rsidR="698512C5" w:rsidRPr="00454A1B">
        <w:rPr>
          <w:color w:val="000000" w:themeColor="text1"/>
        </w:rPr>
        <w:t xml:space="preserve">f all patients diagnosed with CCA </w:t>
      </w:r>
      <w:r w:rsidR="5C690906" w:rsidRPr="00454A1B">
        <w:rPr>
          <w:color w:val="000000" w:themeColor="text1"/>
        </w:rPr>
        <w:t xml:space="preserve">have testing at diagnosis, the diagnostic yield would be </w:t>
      </w:r>
      <w:r w:rsidR="00D034D1" w:rsidRPr="00454A1B">
        <w:rPr>
          <w:color w:val="000000" w:themeColor="text1"/>
        </w:rPr>
        <w:t>lower</w:t>
      </w:r>
      <w:r w:rsidR="5C690906" w:rsidRPr="00454A1B">
        <w:rPr>
          <w:color w:val="000000" w:themeColor="text1"/>
        </w:rPr>
        <w:t>.</w:t>
      </w:r>
      <w:r w:rsidR="5C690906" w:rsidRPr="00454A1B">
        <w:rPr>
          <w:i/>
          <w:iCs/>
          <w:color w:val="000000" w:themeColor="text1"/>
        </w:rPr>
        <w:t xml:space="preserve"> </w:t>
      </w:r>
    </w:p>
    <w:p w14:paraId="53FAA820" w14:textId="02F00EB6" w:rsidR="000A052B" w:rsidRPr="000A052B" w:rsidRDefault="00B67DB0" w:rsidP="001F0309">
      <w:pPr>
        <w:pStyle w:val="Instructionaltext"/>
        <w:numPr>
          <w:ilvl w:val="0"/>
          <w:numId w:val="16"/>
        </w:numPr>
        <w:jc w:val="both"/>
        <w:rPr>
          <w:color w:val="auto"/>
        </w:rPr>
      </w:pPr>
      <w:r>
        <w:rPr>
          <w:color w:val="auto"/>
        </w:rPr>
        <w:t>The applicant also noted that</w:t>
      </w:r>
      <w:r w:rsidR="000A052B">
        <w:rPr>
          <w:color w:val="auto"/>
        </w:rPr>
        <w:t xml:space="preserve"> </w:t>
      </w:r>
      <w:r w:rsidR="00F12CBD">
        <w:rPr>
          <w:color w:val="auto"/>
        </w:rPr>
        <w:t xml:space="preserve">the </w:t>
      </w:r>
      <w:r w:rsidR="00141DCB">
        <w:rPr>
          <w:color w:val="auto"/>
        </w:rPr>
        <w:t xml:space="preserve">average </w:t>
      </w:r>
      <w:r w:rsidR="0063170D">
        <w:rPr>
          <w:color w:val="auto"/>
        </w:rPr>
        <w:t xml:space="preserve">proportion of </w:t>
      </w:r>
      <w:r w:rsidR="002F28D8">
        <w:rPr>
          <w:color w:val="auto"/>
        </w:rPr>
        <w:t>testing</w:t>
      </w:r>
      <w:r w:rsidR="00141DCB">
        <w:rPr>
          <w:color w:val="auto"/>
        </w:rPr>
        <w:t xml:space="preserve"> undertaken</w:t>
      </w:r>
      <w:r w:rsidR="002F28D8">
        <w:rPr>
          <w:color w:val="auto"/>
        </w:rPr>
        <w:t xml:space="preserve"> by </w:t>
      </w:r>
      <w:proofErr w:type="spellStart"/>
      <w:r w:rsidR="002F28D8">
        <w:rPr>
          <w:color w:val="auto"/>
        </w:rPr>
        <w:t>Omico</w:t>
      </w:r>
      <w:proofErr w:type="spellEnd"/>
      <w:r w:rsidR="00141DCB">
        <w:rPr>
          <w:color w:val="auto"/>
        </w:rPr>
        <w:t xml:space="preserve"> or </w:t>
      </w:r>
      <w:r w:rsidR="002F28D8">
        <w:rPr>
          <w:color w:val="auto"/>
        </w:rPr>
        <w:t>within</w:t>
      </w:r>
      <w:r w:rsidR="00141DCB">
        <w:rPr>
          <w:color w:val="auto"/>
        </w:rPr>
        <w:t xml:space="preserve"> a </w:t>
      </w:r>
      <w:r w:rsidR="002F28D8">
        <w:rPr>
          <w:color w:val="auto"/>
        </w:rPr>
        <w:t>public hospital (</w:t>
      </w:r>
      <w:proofErr w:type="spellStart"/>
      <w:r w:rsidR="002F28D8">
        <w:rPr>
          <w:color w:val="auto"/>
        </w:rPr>
        <w:t>ie</w:t>
      </w:r>
      <w:proofErr w:type="spellEnd"/>
      <w:r w:rsidR="002F28D8">
        <w:rPr>
          <w:color w:val="auto"/>
        </w:rPr>
        <w:t>. non-MBS</w:t>
      </w:r>
      <w:r w:rsidR="00141DCB">
        <w:rPr>
          <w:color w:val="auto"/>
        </w:rPr>
        <w:t xml:space="preserve"> testing</w:t>
      </w:r>
      <w:r w:rsidR="002F28D8">
        <w:rPr>
          <w:color w:val="auto"/>
        </w:rPr>
        <w:t>) was revised to</w:t>
      </w:r>
      <w:r w:rsidR="000A052B">
        <w:rPr>
          <w:color w:val="auto"/>
        </w:rPr>
        <w:t xml:space="preserve"> 20%. </w:t>
      </w:r>
      <w:r>
        <w:rPr>
          <w:color w:val="auto"/>
        </w:rPr>
        <w:t>The applicant noted they had</w:t>
      </w:r>
      <w:r w:rsidR="00F12CBD">
        <w:rPr>
          <w:color w:val="auto"/>
        </w:rPr>
        <w:t xml:space="preserve"> received </w:t>
      </w:r>
      <w:r>
        <w:rPr>
          <w:color w:val="auto"/>
        </w:rPr>
        <w:t xml:space="preserve">advice </w:t>
      </w:r>
      <w:r w:rsidR="00F12CBD">
        <w:rPr>
          <w:color w:val="auto"/>
        </w:rPr>
        <w:t>through t</w:t>
      </w:r>
      <w:r w:rsidR="000A052B">
        <w:rPr>
          <w:color w:val="auto"/>
        </w:rPr>
        <w:t xml:space="preserve">argeted consultation during the preparation of this </w:t>
      </w:r>
      <w:r w:rsidR="000A052B" w:rsidRPr="006403EB">
        <w:rPr>
          <w:color w:val="auto"/>
        </w:rPr>
        <w:t>re</w:t>
      </w:r>
      <w:r w:rsidR="006403EB">
        <w:rPr>
          <w:color w:val="auto"/>
        </w:rPr>
        <w:t>application</w:t>
      </w:r>
      <w:r w:rsidR="00F12CBD">
        <w:rPr>
          <w:color w:val="auto"/>
        </w:rPr>
        <w:t xml:space="preserve"> </w:t>
      </w:r>
      <w:r>
        <w:rPr>
          <w:color w:val="auto"/>
        </w:rPr>
        <w:t xml:space="preserve">that </w:t>
      </w:r>
      <w:r w:rsidR="00F12CBD">
        <w:rPr>
          <w:color w:val="auto"/>
        </w:rPr>
        <w:t>suggested</w:t>
      </w:r>
      <w:r w:rsidR="000A052B">
        <w:rPr>
          <w:color w:val="auto"/>
        </w:rPr>
        <w:t xml:space="preserve"> </w:t>
      </w:r>
      <w:proofErr w:type="gramStart"/>
      <w:r w:rsidR="000A052B">
        <w:rPr>
          <w:color w:val="auto"/>
        </w:rPr>
        <w:t>a number of</w:t>
      </w:r>
      <w:proofErr w:type="gramEnd"/>
      <w:r w:rsidR="000A052B">
        <w:rPr>
          <w:color w:val="auto"/>
        </w:rPr>
        <w:t xml:space="preserve"> patients with CCA undergo testing as inpatients due to the severity of their condition.</w:t>
      </w:r>
      <w:r w:rsidR="00992632">
        <w:rPr>
          <w:color w:val="auto"/>
        </w:rPr>
        <w:t xml:space="preserve"> </w:t>
      </w:r>
      <w:r w:rsidR="35906C89" w:rsidRPr="05F5137F">
        <w:rPr>
          <w:color w:val="auto"/>
        </w:rPr>
        <w:t xml:space="preserve">The applicant </w:t>
      </w:r>
      <w:r w:rsidR="00992632" w:rsidRPr="05F5137F">
        <w:rPr>
          <w:color w:val="auto"/>
        </w:rPr>
        <w:t>consider</w:t>
      </w:r>
      <w:r w:rsidR="2F9D5434" w:rsidRPr="05F5137F">
        <w:rPr>
          <w:color w:val="auto"/>
        </w:rPr>
        <w:t>ed</w:t>
      </w:r>
      <w:r w:rsidR="00992632">
        <w:rPr>
          <w:color w:val="auto"/>
        </w:rPr>
        <w:t xml:space="preserve"> it a reasonable assumption that </w:t>
      </w:r>
      <w:r w:rsidR="005B422D">
        <w:rPr>
          <w:color w:val="auto"/>
        </w:rPr>
        <w:t xml:space="preserve">government funded </w:t>
      </w:r>
      <w:proofErr w:type="spellStart"/>
      <w:r w:rsidR="005B422D">
        <w:rPr>
          <w:color w:val="auto"/>
        </w:rPr>
        <w:t>Omico</w:t>
      </w:r>
      <w:proofErr w:type="spellEnd"/>
      <w:r w:rsidR="005B422D">
        <w:rPr>
          <w:color w:val="auto"/>
        </w:rPr>
        <w:t xml:space="preserve"> testing would not be eligible for an MBS service.</w:t>
      </w:r>
    </w:p>
    <w:p w14:paraId="51F6DA9E" w14:textId="1896D522" w:rsidR="00EB7E64" w:rsidRPr="001F0309" w:rsidRDefault="00A81C7B" w:rsidP="000C5638">
      <w:pPr>
        <w:pStyle w:val="Instructionaltext"/>
        <w:jc w:val="both"/>
        <w:rPr>
          <w:color w:val="auto"/>
        </w:rPr>
      </w:pPr>
      <w:r>
        <w:rPr>
          <w:color w:val="auto"/>
        </w:rPr>
        <w:t>With these updated values t</w:t>
      </w:r>
      <w:r w:rsidR="00220151" w:rsidRPr="001F0309">
        <w:rPr>
          <w:color w:val="auto"/>
        </w:rPr>
        <w:t xml:space="preserve">he ICER </w:t>
      </w:r>
      <w:r w:rsidRPr="00FC6947">
        <w:rPr>
          <w:color w:val="auto"/>
        </w:rPr>
        <w:t xml:space="preserve">was </w:t>
      </w:r>
      <w:r w:rsidR="00FC6947" w:rsidRPr="00FC6947">
        <w:rPr>
          <w:color w:val="auto"/>
        </w:rPr>
        <w:t>$95,000 to &lt; $115,000</w:t>
      </w:r>
      <w:r w:rsidR="00220151" w:rsidRPr="00FC6947">
        <w:rPr>
          <w:color w:val="auto"/>
        </w:rPr>
        <w:t>/QALY</w:t>
      </w:r>
      <w:r>
        <w:rPr>
          <w:color w:val="auto"/>
        </w:rPr>
        <w:t xml:space="preserve"> and</w:t>
      </w:r>
      <w:r w:rsidR="007A375D">
        <w:rPr>
          <w:color w:val="auto"/>
        </w:rPr>
        <w:t xml:space="preserve"> </w:t>
      </w:r>
      <w:r w:rsidR="004007B3" w:rsidRPr="001F0309">
        <w:rPr>
          <w:color w:val="auto"/>
        </w:rPr>
        <w:t>a test cost of $</w:t>
      </w:r>
      <w:r w:rsidR="00AA609F" w:rsidRPr="001F0309">
        <w:rPr>
          <w:color w:val="auto"/>
        </w:rPr>
        <w:t>6,273.38</w:t>
      </w:r>
      <w:r w:rsidR="00950599" w:rsidRPr="001F0309">
        <w:rPr>
          <w:color w:val="auto"/>
        </w:rPr>
        <w:t xml:space="preserve"> </w:t>
      </w:r>
      <w:r w:rsidR="00B440F1" w:rsidRPr="001F0309">
        <w:rPr>
          <w:color w:val="auto"/>
        </w:rPr>
        <w:t>to identify one patient treated with futibatinib.</w:t>
      </w:r>
      <w:r w:rsidR="00B4211E" w:rsidRPr="001F0309">
        <w:rPr>
          <w:color w:val="auto"/>
        </w:rPr>
        <w:t xml:space="preserve"> </w:t>
      </w:r>
    </w:p>
    <w:p w14:paraId="7C03671C" w14:textId="2FCB79D1" w:rsidR="0076567E" w:rsidRDefault="00A57EC3" w:rsidP="000C5638">
      <w:pPr>
        <w:pStyle w:val="Instructionaltext"/>
        <w:jc w:val="both"/>
        <w:rPr>
          <w:color w:val="auto"/>
        </w:rPr>
      </w:pPr>
      <w:r w:rsidRPr="00D81AF4">
        <w:rPr>
          <w:color w:val="auto"/>
        </w:rPr>
        <w:fldChar w:fldCharType="begin"/>
      </w:r>
      <w:r w:rsidRPr="00D81AF4">
        <w:rPr>
          <w:color w:val="auto"/>
        </w:rPr>
        <w:instrText xml:space="preserve"> REF _Ref200351989 \h </w:instrText>
      </w:r>
      <w:r w:rsidR="00D81AF4" w:rsidRPr="00D81AF4">
        <w:rPr>
          <w:color w:val="auto"/>
        </w:rPr>
        <w:instrText xml:space="preserve"> \* MERGEFORMAT </w:instrText>
      </w:r>
      <w:r w:rsidRPr="00D81AF4">
        <w:rPr>
          <w:color w:val="auto"/>
        </w:rPr>
      </w:r>
      <w:r w:rsidRPr="00D81AF4">
        <w:rPr>
          <w:color w:val="auto"/>
        </w:rPr>
        <w:fldChar w:fldCharType="separate"/>
      </w:r>
      <w:r w:rsidR="003637D3" w:rsidRPr="00E219BC">
        <w:rPr>
          <w:color w:val="auto"/>
        </w:rPr>
        <w:t>Table 5</w:t>
      </w:r>
      <w:r w:rsidRPr="00D81AF4">
        <w:rPr>
          <w:color w:val="auto"/>
        </w:rPr>
        <w:fldChar w:fldCharType="end"/>
      </w:r>
      <w:r w:rsidRPr="00D81AF4">
        <w:rPr>
          <w:color w:val="auto"/>
        </w:rPr>
        <w:t xml:space="preserve"> </w:t>
      </w:r>
      <w:r w:rsidR="0076567E" w:rsidRPr="00A57EC3">
        <w:rPr>
          <w:color w:val="auto"/>
        </w:rPr>
        <w:t xml:space="preserve">presents the results of the economic evaluation using the </w:t>
      </w:r>
      <w:r w:rsidR="000C5638" w:rsidRPr="00A57EC3">
        <w:rPr>
          <w:color w:val="auto"/>
        </w:rPr>
        <w:t xml:space="preserve">updated values described </w:t>
      </w:r>
      <w:r w:rsidR="000C5638">
        <w:rPr>
          <w:color w:val="auto"/>
        </w:rPr>
        <w:t>above.</w:t>
      </w:r>
    </w:p>
    <w:p w14:paraId="3C25A65F" w14:textId="2C0D08A4" w:rsidR="00821F58" w:rsidRDefault="00821F58" w:rsidP="00A57EC3">
      <w:pPr>
        <w:pStyle w:val="Caption"/>
      </w:pPr>
      <w:bookmarkStart w:id="24" w:name="_Ref200351989"/>
      <w:r>
        <w:t xml:space="preserve">Table </w:t>
      </w:r>
      <w:r w:rsidR="007D7722">
        <w:fldChar w:fldCharType="begin"/>
      </w:r>
      <w:r w:rsidR="007D7722">
        <w:instrText xml:space="preserve"> SEQ Table \* ARABIC </w:instrText>
      </w:r>
      <w:r w:rsidR="007D7722">
        <w:fldChar w:fldCharType="separate"/>
      </w:r>
      <w:r w:rsidR="007D7722">
        <w:rPr>
          <w:noProof/>
        </w:rPr>
        <w:t>5</w:t>
      </w:r>
      <w:r w:rsidR="007D7722">
        <w:rPr>
          <w:noProof/>
        </w:rPr>
        <w:fldChar w:fldCharType="end"/>
      </w:r>
      <w:bookmarkEnd w:id="24"/>
      <w:r>
        <w:t xml:space="preserve">: </w:t>
      </w:r>
      <w:r w:rsidR="00A57EC3">
        <w:t>Cost results from the economic model – updated base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851"/>
        <w:gridCol w:w="850"/>
        <w:gridCol w:w="851"/>
        <w:gridCol w:w="850"/>
        <w:gridCol w:w="1134"/>
        <w:gridCol w:w="851"/>
        <w:gridCol w:w="799"/>
      </w:tblGrid>
      <w:tr w:rsidR="00DB1B51" w:rsidRPr="00B2763B" w14:paraId="30D5EF7F" w14:textId="77777777" w:rsidTr="00FA31E0">
        <w:trPr>
          <w:trHeight w:val="620"/>
          <w:tblHeader/>
        </w:trPr>
        <w:tc>
          <w:tcPr>
            <w:tcW w:w="1696" w:type="dxa"/>
            <w:shd w:val="clear" w:color="auto" w:fill="D9D9D9" w:themeFill="background1" w:themeFillShade="D9"/>
            <w:noWrap/>
            <w:vAlign w:val="bottom"/>
            <w:hideMark/>
          </w:tcPr>
          <w:p w14:paraId="358C6326" w14:textId="77777777" w:rsidR="0097062E" w:rsidRPr="00593368" w:rsidRDefault="0097062E" w:rsidP="0097062E">
            <w:pPr>
              <w:spacing w:before="0" w:after="0" w:line="240" w:lineRule="auto"/>
              <w:rPr>
                <w:rFonts w:ascii="Arial Narrow" w:eastAsia="Times New Roman" w:hAnsi="Arial Narrow" w:cs="Times New Roman"/>
                <w:b/>
                <w:bCs/>
                <w:sz w:val="20"/>
                <w:szCs w:val="20"/>
                <w:lang w:eastAsia="en-AU"/>
              </w:rPr>
            </w:pPr>
          </w:p>
        </w:tc>
        <w:tc>
          <w:tcPr>
            <w:tcW w:w="1134" w:type="dxa"/>
            <w:shd w:val="clear" w:color="auto" w:fill="D9D9D9" w:themeFill="background1" w:themeFillShade="D9"/>
            <w:noWrap/>
            <w:vAlign w:val="bottom"/>
            <w:hideMark/>
          </w:tcPr>
          <w:p w14:paraId="65C4692B" w14:textId="406FBBB2" w:rsidR="0097062E" w:rsidRPr="00593368" w:rsidRDefault="0097062E" w:rsidP="00A57EC3">
            <w:pPr>
              <w:spacing w:before="0" w:after="0" w:line="240" w:lineRule="auto"/>
              <w:jc w:val="center"/>
              <w:rPr>
                <w:rFonts w:ascii="Arial Narrow" w:eastAsia="Times New Roman" w:hAnsi="Arial Narrow" w:cs="Times New Roman"/>
                <w:b/>
                <w:bCs/>
                <w:sz w:val="20"/>
                <w:szCs w:val="20"/>
                <w:lang w:eastAsia="en-AU"/>
              </w:rPr>
            </w:pPr>
            <w:r w:rsidRPr="00593368">
              <w:rPr>
                <w:rFonts w:ascii="Arial Narrow" w:eastAsia="Times New Roman" w:hAnsi="Arial Narrow" w:cs="Calibri"/>
                <w:b/>
                <w:bCs/>
                <w:sz w:val="20"/>
                <w:szCs w:val="20"/>
                <w:lang w:eastAsia="en-AU"/>
              </w:rPr>
              <w:t>Total costs ($)</w:t>
            </w:r>
          </w:p>
        </w:tc>
        <w:tc>
          <w:tcPr>
            <w:tcW w:w="851" w:type="dxa"/>
            <w:shd w:val="clear" w:color="auto" w:fill="D9D9D9" w:themeFill="background1" w:themeFillShade="D9"/>
            <w:noWrap/>
            <w:vAlign w:val="bottom"/>
          </w:tcPr>
          <w:p w14:paraId="3B037196" w14:textId="198067B8"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PF</w:t>
            </w:r>
          </w:p>
        </w:tc>
        <w:tc>
          <w:tcPr>
            <w:tcW w:w="850" w:type="dxa"/>
            <w:shd w:val="clear" w:color="auto" w:fill="D9D9D9" w:themeFill="background1" w:themeFillShade="D9"/>
            <w:noWrap/>
            <w:vAlign w:val="bottom"/>
          </w:tcPr>
          <w:p w14:paraId="0E294E9A" w14:textId="6E17BF54"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PD</w:t>
            </w:r>
          </w:p>
        </w:tc>
        <w:tc>
          <w:tcPr>
            <w:tcW w:w="851" w:type="dxa"/>
            <w:shd w:val="clear" w:color="auto" w:fill="D9D9D9" w:themeFill="background1" w:themeFillShade="D9"/>
            <w:noWrap/>
            <w:vAlign w:val="bottom"/>
          </w:tcPr>
          <w:p w14:paraId="61B92BE1" w14:textId="2013F047"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AE</w:t>
            </w:r>
          </w:p>
        </w:tc>
        <w:tc>
          <w:tcPr>
            <w:tcW w:w="850" w:type="dxa"/>
            <w:shd w:val="clear" w:color="auto" w:fill="D9D9D9" w:themeFill="background1" w:themeFillShade="D9"/>
            <w:noWrap/>
            <w:vAlign w:val="bottom"/>
          </w:tcPr>
          <w:p w14:paraId="17D550F3" w14:textId="37F5A9E3"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EOL</w:t>
            </w:r>
          </w:p>
        </w:tc>
        <w:tc>
          <w:tcPr>
            <w:tcW w:w="1134" w:type="dxa"/>
            <w:shd w:val="clear" w:color="auto" w:fill="D9D9D9" w:themeFill="background1" w:themeFillShade="D9"/>
            <w:noWrap/>
            <w:vAlign w:val="bottom"/>
          </w:tcPr>
          <w:p w14:paraId="6D8F3791" w14:textId="668337FD"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Drug acquisition</w:t>
            </w:r>
          </w:p>
        </w:tc>
        <w:tc>
          <w:tcPr>
            <w:tcW w:w="851" w:type="dxa"/>
            <w:shd w:val="clear" w:color="auto" w:fill="D9D9D9" w:themeFill="background1" w:themeFillShade="D9"/>
            <w:noWrap/>
            <w:vAlign w:val="bottom"/>
          </w:tcPr>
          <w:p w14:paraId="2A53A5D8" w14:textId="5307CC89"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Drug admin.</w:t>
            </w:r>
          </w:p>
        </w:tc>
        <w:tc>
          <w:tcPr>
            <w:tcW w:w="799" w:type="dxa"/>
            <w:shd w:val="clear" w:color="auto" w:fill="D9D9D9" w:themeFill="background1" w:themeFillShade="D9"/>
            <w:vAlign w:val="bottom"/>
          </w:tcPr>
          <w:p w14:paraId="3CAC18B7" w14:textId="5F0696FC" w:rsidR="0097062E" w:rsidRPr="00593368" w:rsidRDefault="0097062E" w:rsidP="00A57EC3">
            <w:pPr>
              <w:spacing w:before="0" w:after="0" w:line="240" w:lineRule="auto"/>
              <w:jc w:val="center"/>
              <w:rPr>
                <w:rFonts w:ascii="Arial Narrow" w:eastAsia="Times New Roman" w:hAnsi="Arial Narrow" w:cs="Calibri"/>
                <w:b/>
                <w:bCs/>
                <w:sz w:val="20"/>
                <w:szCs w:val="20"/>
                <w:lang w:eastAsia="en-AU"/>
              </w:rPr>
            </w:pPr>
            <w:r w:rsidRPr="00593368">
              <w:rPr>
                <w:rFonts w:ascii="Arial Narrow" w:eastAsia="Times New Roman" w:hAnsi="Arial Narrow" w:cs="Calibri"/>
                <w:b/>
                <w:bCs/>
                <w:sz w:val="20"/>
                <w:szCs w:val="20"/>
                <w:lang w:eastAsia="en-AU"/>
              </w:rPr>
              <w:t>Test costs</w:t>
            </w:r>
          </w:p>
        </w:tc>
      </w:tr>
      <w:tr w:rsidR="00F137B6" w:rsidRPr="00B2763B" w14:paraId="7BBABA91" w14:textId="77777777" w:rsidTr="00FA31E0">
        <w:trPr>
          <w:trHeight w:val="431"/>
        </w:trPr>
        <w:tc>
          <w:tcPr>
            <w:tcW w:w="1696" w:type="dxa"/>
            <w:noWrap/>
            <w:vAlign w:val="bottom"/>
            <w:hideMark/>
          </w:tcPr>
          <w:p w14:paraId="1A5199A1" w14:textId="77777777" w:rsidR="0097062E" w:rsidRPr="00593368" w:rsidRDefault="0097062E" w:rsidP="0097062E">
            <w:pPr>
              <w:spacing w:before="0" w:after="0" w:line="240" w:lineRule="auto"/>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Futibatinib</w:t>
            </w:r>
          </w:p>
        </w:tc>
        <w:tc>
          <w:tcPr>
            <w:tcW w:w="1134" w:type="dxa"/>
            <w:vAlign w:val="bottom"/>
            <w:hideMark/>
          </w:tcPr>
          <w:p w14:paraId="477F7BB2" w14:textId="030B9FB4"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w:t>
            </w:r>
            <w:r w:rsidR="004641DE" w:rsidRPr="00593368">
              <w:rPr>
                <w:rFonts w:ascii="Arial Narrow" w:eastAsia="Times New Roman" w:hAnsi="Arial Narrow" w:cs="Calibri"/>
                <w:b/>
                <w:bCs/>
                <w:color w:val="000000"/>
                <w:sz w:val="20"/>
                <w:szCs w:val="20"/>
                <w:lang w:eastAsia="en-AU"/>
              </w:rPr>
              <w:t>Redacted</w:t>
            </w:r>
          </w:p>
        </w:tc>
        <w:tc>
          <w:tcPr>
            <w:tcW w:w="851" w:type="dxa"/>
            <w:vAlign w:val="bottom"/>
            <w:hideMark/>
          </w:tcPr>
          <w:p w14:paraId="00B93D13"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$2,215</w:t>
            </w:r>
          </w:p>
        </w:tc>
        <w:tc>
          <w:tcPr>
            <w:tcW w:w="850" w:type="dxa"/>
            <w:vAlign w:val="bottom"/>
            <w:hideMark/>
          </w:tcPr>
          <w:p w14:paraId="5D68BA79"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$787</w:t>
            </w:r>
          </w:p>
        </w:tc>
        <w:tc>
          <w:tcPr>
            <w:tcW w:w="851" w:type="dxa"/>
            <w:vAlign w:val="bottom"/>
            <w:hideMark/>
          </w:tcPr>
          <w:p w14:paraId="15C6931F"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$802</w:t>
            </w:r>
          </w:p>
        </w:tc>
        <w:tc>
          <w:tcPr>
            <w:tcW w:w="850" w:type="dxa"/>
            <w:vAlign w:val="bottom"/>
            <w:hideMark/>
          </w:tcPr>
          <w:p w14:paraId="7E06BF0F"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$45,990</w:t>
            </w:r>
          </w:p>
        </w:tc>
        <w:tc>
          <w:tcPr>
            <w:tcW w:w="1134" w:type="dxa"/>
            <w:vAlign w:val="bottom"/>
            <w:hideMark/>
          </w:tcPr>
          <w:p w14:paraId="63DCA87E" w14:textId="4DB118D2"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w:t>
            </w:r>
            <w:r w:rsidR="00A14EE6" w:rsidRPr="00593368">
              <w:rPr>
                <w:rFonts w:ascii="Arial Narrow" w:eastAsia="Times New Roman" w:hAnsi="Arial Narrow" w:cs="Calibri"/>
                <w:b/>
                <w:bCs/>
                <w:color w:val="000000"/>
                <w:sz w:val="20"/>
                <w:szCs w:val="20"/>
                <w:lang w:eastAsia="en-AU"/>
              </w:rPr>
              <w:t>Redacted</w:t>
            </w:r>
            <w:r w:rsidR="00A14EE6" w:rsidRPr="00593368" w:rsidDel="00A14EE6">
              <w:rPr>
                <w:rFonts w:ascii="Arial Narrow" w:eastAsia="Times New Roman" w:hAnsi="Arial Narrow" w:cs="Calibri"/>
                <w:color w:val="000000"/>
                <w:sz w:val="20"/>
                <w:szCs w:val="20"/>
                <w:lang w:eastAsia="en-AU"/>
              </w:rPr>
              <w:t xml:space="preserve"> </w:t>
            </w:r>
          </w:p>
        </w:tc>
        <w:tc>
          <w:tcPr>
            <w:tcW w:w="851" w:type="dxa"/>
            <w:vAlign w:val="bottom"/>
            <w:hideMark/>
          </w:tcPr>
          <w:p w14:paraId="2338E854"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$0</w:t>
            </w:r>
          </w:p>
        </w:tc>
        <w:tc>
          <w:tcPr>
            <w:tcW w:w="799" w:type="dxa"/>
            <w:vAlign w:val="bottom"/>
          </w:tcPr>
          <w:p w14:paraId="5335C216" w14:textId="1ADB1D69"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$6,273</w:t>
            </w:r>
          </w:p>
        </w:tc>
      </w:tr>
      <w:tr w:rsidR="00F137B6" w:rsidRPr="00B2763B" w14:paraId="56CB9826" w14:textId="77777777" w:rsidTr="00FA31E0">
        <w:trPr>
          <w:trHeight w:val="422"/>
        </w:trPr>
        <w:tc>
          <w:tcPr>
            <w:tcW w:w="1696" w:type="dxa"/>
            <w:noWrap/>
            <w:vAlign w:val="bottom"/>
            <w:hideMark/>
          </w:tcPr>
          <w:p w14:paraId="45943906" w14:textId="77777777" w:rsidR="0097062E" w:rsidRPr="00593368" w:rsidRDefault="0097062E" w:rsidP="0097062E">
            <w:pPr>
              <w:spacing w:before="0" w:after="0" w:line="240" w:lineRule="auto"/>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Chemotherapy</w:t>
            </w:r>
          </w:p>
        </w:tc>
        <w:tc>
          <w:tcPr>
            <w:tcW w:w="1134" w:type="dxa"/>
            <w:vAlign w:val="bottom"/>
            <w:hideMark/>
          </w:tcPr>
          <w:p w14:paraId="625C67D4"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$59,608</w:t>
            </w:r>
          </w:p>
        </w:tc>
        <w:tc>
          <w:tcPr>
            <w:tcW w:w="851" w:type="dxa"/>
            <w:vAlign w:val="bottom"/>
            <w:hideMark/>
          </w:tcPr>
          <w:p w14:paraId="0E082941"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$1,412</w:t>
            </w:r>
          </w:p>
        </w:tc>
        <w:tc>
          <w:tcPr>
            <w:tcW w:w="850" w:type="dxa"/>
            <w:vAlign w:val="bottom"/>
            <w:hideMark/>
          </w:tcPr>
          <w:p w14:paraId="6A23520A"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$299</w:t>
            </w:r>
          </w:p>
        </w:tc>
        <w:tc>
          <w:tcPr>
            <w:tcW w:w="851" w:type="dxa"/>
            <w:vAlign w:val="bottom"/>
            <w:hideMark/>
          </w:tcPr>
          <w:p w14:paraId="680F4902"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$1,577</w:t>
            </w:r>
          </w:p>
        </w:tc>
        <w:tc>
          <w:tcPr>
            <w:tcW w:w="850" w:type="dxa"/>
            <w:vAlign w:val="bottom"/>
            <w:hideMark/>
          </w:tcPr>
          <w:p w14:paraId="2D70C9D7"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$49,990</w:t>
            </w:r>
          </w:p>
        </w:tc>
        <w:tc>
          <w:tcPr>
            <w:tcW w:w="1134" w:type="dxa"/>
            <w:vAlign w:val="bottom"/>
            <w:hideMark/>
          </w:tcPr>
          <w:p w14:paraId="5AFBF719"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$2,740</w:t>
            </w:r>
          </w:p>
        </w:tc>
        <w:tc>
          <w:tcPr>
            <w:tcW w:w="851" w:type="dxa"/>
            <w:vAlign w:val="bottom"/>
            <w:hideMark/>
          </w:tcPr>
          <w:p w14:paraId="0F436A8D" w14:textId="77777777"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$3,590</w:t>
            </w:r>
          </w:p>
        </w:tc>
        <w:tc>
          <w:tcPr>
            <w:tcW w:w="799" w:type="dxa"/>
            <w:vAlign w:val="bottom"/>
          </w:tcPr>
          <w:p w14:paraId="49E13F8E" w14:textId="63041325" w:rsidR="0097062E" w:rsidRPr="00593368" w:rsidRDefault="0097062E" w:rsidP="0097062E">
            <w:pPr>
              <w:spacing w:before="0" w:after="0" w:line="240" w:lineRule="auto"/>
              <w:jc w:val="center"/>
              <w:rPr>
                <w:rFonts w:ascii="Arial Narrow" w:eastAsia="Times New Roman" w:hAnsi="Arial Narrow" w:cs="Calibri"/>
                <w:color w:val="000000"/>
                <w:sz w:val="20"/>
                <w:szCs w:val="20"/>
                <w:lang w:eastAsia="en-AU"/>
              </w:rPr>
            </w:pPr>
            <w:r w:rsidRPr="00593368">
              <w:rPr>
                <w:rFonts w:ascii="Arial Narrow" w:eastAsia="Times New Roman" w:hAnsi="Arial Narrow" w:cs="Calibri"/>
                <w:color w:val="000000"/>
                <w:sz w:val="20"/>
                <w:szCs w:val="20"/>
                <w:lang w:eastAsia="en-AU"/>
              </w:rPr>
              <w:t>$0</w:t>
            </w:r>
          </w:p>
        </w:tc>
      </w:tr>
      <w:tr w:rsidR="00F137B6" w:rsidRPr="00B2763B" w14:paraId="59E84111" w14:textId="77777777" w:rsidTr="00FA31E0">
        <w:trPr>
          <w:trHeight w:val="415"/>
        </w:trPr>
        <w:tc>
          <w:tcPr>
            <w:tcW w:w="1696" w:type="dxa"/>
            <w:noWrap/>
            <w:vAlign w:val="bottom"/>
            <w:hideMark/>
          </w:tcPr>
          <w:p w14:paraId="5B98DC72" w14:textId="54D95150" w:rsidR="0097062E" w:rsidRPr="00593368" w:rsidRDefault="0097062E" w:rsidP="0097062E">
            <w:pPr>
              <w:spacing w:before="0" w:after="0" w:line="240" w:lineRule="auto"/>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Incremental</w:t>
            </w:r>
            <w:r w:rsidR="00713EEB" w:rsidRPr="00593368">
              <w:rPr>
                <w:rFonts w:ascii="Arial Narrow" w:eastAsia="Times New Roman" w:hAnsi="Arial Narrow" w:cs="Calibri"/>
                <w:b/>
                <w:bCs/>
                <w:color w:val="000000"/>
                <w:sz w:val="20"/>
                <w:szCs w:val="20"/>
                <w:lang w:eastAsia="en-AU"/>
              </w:rPr>
              <w:t xml:space="preserve"> cost</w:t>
            </w:r>
          </w:p>
        </w:tc>
        <w:tc>
          <w:tcPr>
            <w:tcW w:w="1134" w:type="dxa"/>
            <w:noWrap/>
            <w:vAlign w:val="bottom"/>
            <w:hideMark/>
          </w:tcPr>
          <w:p w14:paraId="124DD7CF" w14:textId="1D4C8541"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w:t>
            </w:r>
            <w:r w:rsidR="00F137B6" w:rsidRPr="00593368">
              <w:rPr>
                <w:rFonts w:ascii="Arial Narrow" w:eastAsia="Times New Roman" w:hAnsi="Arial Narrow" w:cs="Calibri"/>
                <w:b/>
                <w:bCs/>
                <w:color w:val="000000"/>
                <w:sz w:val="20"/>
                <w:szCs w:val="20"/>
                <w:lang w:eastAsia="en-AU"/>
              </w:rPr>
              <w:t>Redacted</w:t>
            </w:r>
          </w:p>
        </w:tc>
        <w:tc>
          <w:tcPr>
            <w:tcW w:w="851" w:type="dxa"/>
            <w:noWrap/>
            <w:vAlign w:val="bottom"/>
            <w:hideMark/>
          </w:tcPr>
          <w:p w14:paraId="4F5CE43C" w14:textId="7777777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$803</w:t>
            </w:r>
          </w:p>
        </w:tc>
        <w:tc>
          <w:tcPr>
            <w:tcW w:w="850" w:type="dxa"/>
            <w:noWrap/>
            <w:vAlign w:val="bottom"/>
            <w:hideMark/>
          </w:tcPr>
          <w:p w14:paraId="39ACA8F0" w14:textId="7777777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$488</w:t>
            </w:r>
          </w:p>
        </w:tc>
        <w:tc>
          <w:tcPr>
            <w:tcW w:w="851" w:type="dxa"/>
            <w:noWrap/>
            <w:vAlign w:val="bottom"/>
            <w:hideMark/>
          </w:tcPr>
          <w:p w14:paraId="2FD9E28B" w14:textId="7777777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-$774</w:t>
            </w:r>
          </w:p>
        </w:tc>
        <w:tc>
          <w:tcPr>
            <w:tcW w:w="850" w:type="dxa"/>
            <w:noWrap/>
            <w:vAlign w:val="bottom"/>
            <w:hideMark/>
          </w:tcPr>
          <w:p w14:paraId="54D4C2CA" w14:textId="7777777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-$3,999</w:t>
            </w:r>
          </w:p>
        </w:tc>
        <w:tc>
          <w:tcPr>
            <w:tcW w:w="1134" w:type="dxa"/>
            <w:noWrap/>
            <w:vAlign w:val="bottom"/>
            <w:hideMark/>
          </w:tcPr>
          <w:p w14:paraId="0141A67D" w14:textId="1AE4F211"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w:t>
            </w:r>
            <w:r w:rsidR="00A14EE6" w:rsidRPr="00593368">
              <w:rPr>
                <w:rFonts w:ascii="Arial Narrow" w:eastAsia="Times New Roman" w:hAnsi="Arial Narrow" w:cs="Calibri"/>
                <w:b/>
                <w:bCs/>
                <w:color w:val="000000"/>
                <w:sz w:val="20"/>
                <w:szCs w:val="20"/>
                <w:lang w:eastAsia="en-AU"/>
              </w:rPr>
              <w:t>Redacted</w:t>
            </w:r>
          </w:p>
        </w:tc>
        <w:tc>
          <w:tcPr>
            <w:tcW w:w="851" w:type="dxa"/>
            <w:noWrap/>
            <w:vAlign w:val="bottom"/>
            <w:hideMark/>
          </w:tcPr>
          <w:p w14:paraId="4E9CBA7D" w14:textId="7777777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-$3,590</w:t>
            </w:r>
          </w:p>
        </w:tc>
        <w:tc>
          <w:tcPr>
            <w:tcW w:w="799" w:type="dxa"/>
            <w:vAlign w:val="bottom"/>
          </w:tcPr>
          <w:p w14:paraId="5AA0EFF5" w14:textId="2E5F4FA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$6,273</w:t>
            </w:r>
          </w:p>
        </w:tc>
      </w:tr>
      <w:tr w:rsidR="00F137B6" w:rsidRPr="00B2763B" w14:paraId="7D939F56" w14:textId="519CDF71" w:rsidTr="00FA31E0">
        <w:trPr>
          <w:trHeight w:val="407"/>
        </w:trPr>
        <w:tc>
          <w:tcPr>
            <w:tcW w:w="1696" w:type="dxa"/>
            <w:noWrap/>
            <w:vAlign w:val="bottom"/>
            <w:hideMark/>
          </w:tcPr>
          <w:p w14:paraId="3E1509E9" w14:textId="163F59D1" w:rsidR="0097062E" w:rsidRPr="00593368" w:rsidRDefault="0097062E" w:rsidP="0097062E">
            <w:pPr>
              <w:spacing w:before="0" w:after="0" w:line="240" w:lineRule="auto"/>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 of incremental</w:t>
            </w:r>
            <w:r w:rsidR="00713EEB" w:rsidRPr="00593368">
              <w:rPr>
                <w:rFonts w:ascii="Arial Narrow" w:eastAsia="Times New Roman" w:hAnsi="Arial Narrow" w:cs="Calibri"/>
                <w:b/>
                <w:bCs/>
                <w:color w:val="000000"/>
                <w:sz w:val="20"/>
                <w:szCs w:val="20"/>
                <w:lang w:eastAsia="en-AU"/>
              </w:rPr>
              <w:t xml:space="preserve"> cost</w:t>
            </w:r>
          </w:p>
        </w:tc>
        <w:tc>
          <w:tcPr>
            <w:tcW w:w="1134" w:type="dxa"/>
            <w:noWrap/>
            <w:vAlign w:val="bottom"/>
          </w:tcPr>
          <w:p w14:paraId="4829F63A" w14:textId="758237C0"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p>
        </w:tc>
        <w:tc>
          <w:tcPr>
            <w:tcW w:w="851" w:type="dxa"/>
            <w:noWrap/>
            <w:vAlign w:val="bottom"/>
          </w:tcPr>
          <w:p w14:paraId="0CD7ECF5" w14:textId="5F7D52A8" w:rsidR="0097062E" w:rsidRPr="00593368" w:rsidRDefault="003A3391"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Redacted</w:t>
            </w:r>
            <w:r w:rsidR="0097062E" w:rsidRPr="00593368">
              <w:rPr>
                <w:rFonts w:ascii="Arial Narrow" w:eastAsia="Times New Roman" w:hAnsi="Arial Narrow" w:cs="Calibri"/>
                <w:b/>
                <w:bCs/>
                <w:color w:val="000000"/>
                <w:sz w:val="20"/>
                <w:szCs w:val="20"/>
                <w:lang w:eastAsia="en-AU"/>
              </w:rPr>
              <w:t>%</w:t>
            </w:r>
          </w:p>
        </w:tc>
        <w:tc>
          <w:tcPr>
            <w:tcW w:w="850" w:type="dxa"/>
            <w:noWrap/>
            <w:vAlign w:val="bottom"/>
          </w:tcPr>
          <w:p w14:paraId="52AA3D55" w14:textId="3BCBE8B7" w:rsidR="0097062E" w:rsidRPr="00593368" w:rsidRDefault="003A3391"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Redacted</w:t>
            </w:r>
            <w:r w:rsidR="0097062E" w:rsidRPr="00593368">
              <w:rPr>
                <w:rFonts w:ascii="Arial Narrow" w:eastAsia="Times New Roman" w:hAnsi="Arial Narrow" w:cs="Calibri"/>
                <w:b/>
                <w:bCs/>
                <w:color w:val="000000"/>
                <w:sz w:val="20"/>
                <w:szCs w:val="20"/>
                <w:lang w:eastAsia="en-AU"/>
              </w:rPr>
              <w:t>%</w:t>
            </w:r>
          </w:p>
        </w:tc>
        <w:tc>
          <w:tcPr>
            <w:tcW w:w="851" w:type="dxa"/>
            <w:noWrap/>
            <w:vAlign w:val="bottom"/>
          </w:tcPr>
          <w:p w14:paraId="67FFC6E9" w14:textId="75DE6FFB"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w:t>
            </w:r>
            <w:r w:rsidR="003A3391" w:rsidRPr="00593368">
              <w:rPr>
                <w:rFonts w:ascii="Arial Narrow" w:eastAsia="Times New Roman" w:hAnsi="Arial Narrow" w:cs="Calibri"/>
                <w:b/>
                <w:bCs/>
                <w:color w:val="000000"/>
                <w:sz w:val="20"/>
                <w:szCs w:val="20"/>
                <w:lang w:eastAsia="en-AU"/>
              </w:rPr>
              <w:t xml:space="preserve"> Redacted</w:t>
            </w:r>
            <w:r w:rsidRPr="00593368">
              <w:rPr>
                <w:rFonts w:ascii="Arial Narrow" w:eastAsia="Times New Roman" w:hAnsi="Arial Narrow" w:cs="Calibri"/>
                <w:b/>
                <w:bCs/>
                <w:color w:val="000000"/>
                <w:sz w:val="20"/>
                <w:szCs w:val="20"/>
                <w:lang w:eastAsia="en-AU"/>
              </w:rPr>
              <w:t>%</w:t>
            </w:r>
          </w:p>
        </w:tc>
        <w:tc>
          <w:tcPr>
            <w:tcW w:w="850" w:type="dxa"/>
            <w:noWrap/>
            <w:vAlign w:val="bottom"/>
          </w:tcPr>
          <w:p w14:paraId="5A7EBB19" w14:textId="09DF9AE7"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w:t>
            </w:r>
            <w:r w:rsidR="003A3391" w:rsidRPr="00593368">
              <w:rPr>
                <w:rFonts w:ascii="Arial Narrow" w:eastAsia="Times New Roman" w:hAnsi="Arial Narrow" w:cs="Calibri"/>
                <w:b/>
                <w:bCs/>
                <w:color w:val="000000"/>
                <w:sz w:val="20"/>
                <w:szCs w:val="20"/>
                <w:lang w:eastAsia="en-AU"/>
              </w:rPr>
              <w:t xml:space="preserve"> Redacted</w:t>
            </w:r>
            <w:r w:rsidRPr="00593368">
              <w:rPr>
                <w:rFonts w:ascii="Arial Narrow" w:eastAsia="Times New Roman" w:hAnsi="Arial Narrow" w:cs="Calibri"/>
                <w:b/>
                <w:bCs/>
                <w:color w:val="000000"/>
                <w:sz w:val="20"/>
                <w:szCs w:val="20"/>
                <w:lang w:eastAsia="en-AU"/>
              </w:rPr>
              <w:t>%</w:t>
            </w:r>
          </w:p>
        </w:tc>
        <w:tc>
          <w:tcPr>
            <w:tcW w:w="1134" w:type="dxa"/>
            <w:noWrap/>
            <w:vAlign w:val="bottom"/>
          </w:tcPr>
          <w:p w14:paraId="4ADCA1D9" w14:textId="104C4144" w:rsidR="0097062E" w:rsidRPr="00593368" w:rsidRDefault="00A14EE6"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Redacted</w:t>
            </w:r>
            <w:r w:rsidR="0097062E" w:rsidRPr="00593368">
              <w:rPr>
                <w:rFonts w:ascii="Arial Narrow" w:eastAsia="Times New Roman" w:hAnsi="Arial Narrow" w:cs="Calibri"/>
                <w:b/>
                <w:bCs/>
                <w:color w:val="000000"/>
                <w:sz w:val="20"/>
                <w:szCs w:val="20"/>
                <w:lang w:eastAsia="en-AU"/>
              </w:rPr>
              <w:t>%</w:t>
            </w:r>
          </w:p>
        </w:tc>
        <w:tc>
          <w:tcPr>
            <w:tcW w:w="851" w:type="dxa"/>
            <w:noWrap/>
            <w:vAlign w:val="bottom"/>
          </w:tcPr>
          <w:p w14:paraId="0D39CDAA" w14:textId="73BEE016" w:rsidR="0097062E" w:rsidRPr="00593368" w:rsidRDefault="0097062E"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w:t>
            </w:r>
            <w:r w:rsidR="003A3391" w:rsidRPr="00593368">
              <w:rPr>
                <w:rFonts w:ascii="Arial Narrow" w:eastAsia="Times New Roman" w:hAnsi="Arial Narrow" w:cs="Calibri"/>
                <w:b/>
                <w:bCs/>
                <w:color w:val="000000"/>
                <w:sz w:val="20"/>
                <w:szCs w:val="20"/>
                <w:lang w:eastAsia="en-AU"/>
              </w:rPr>
              <w:t xml:space="preserve"> Redacted</w:t>
            </w:r>
            <w:r w:rsidRPr="00593368">
              <w:rPr>
                <w:rFonts w:ascii="Arial Narrow" w:eastAsia="Times New Roman" w:hAnsi="Arial Narrow" w:cs="Calibri"/>
                <w:b/>
                <w:bCs/>
                <w:color w:val="000000"/>
                <w:sz w:val="20"/>
                <w:szCs w:val="20"/>
                <w:lang w:eastAsia="en-AU"/>
              </w:rPr>
              <w:t>%</w:t>
            </w:r>
          </w:p>
        </w:tc>
        <w:tc>
          <w:tcPr>
            <w:tcW w:w="799" w:type="dxa"/>
            <w:vAlign w:val="bottom"/>
          </w:tcPr>
          <w:p w14:paraId="0A34E37F" w14:textId="0FF24932" w:rsidR="0097062E" w:rsidRPr="00593368" w:rsidRDefault="003A3391" w:rsidP="0097062E">
            <w:pPr>
              <w:spacing w:before="0" w:after="0" w:line="240" w:lineRule="auto"/>
              <w:jc w:val="center"/>
              <w:rPr>
                <w:rFonts w:ascii="Arial Narrow" w:eastAsia="Times New Roman" w:hAnsi="Arial Narrow" w:cs="Calibri"/>
                <w:b/>
                <w:bCs/>
                <w:color w:val="000000"/>
                <w:sz w:val="20"/>
                <w:szCs w:val="20"/>
                <w:lang w:eastAsia="en-AU"/>
              </w:rPr>
            </w:pPr>
            <w:r w:rsidRPr="00593368">
              <w:rPr>
                <w:rFonts w:ascii="Arial Narrow" w:eastAsia="Times New Roman" w:hAnsi="Arial Narrow" w:cs="Calibri"/>
                <w:b/>
                <w:bCs/>
                <w:color w:val="000000"/>
                <w:sz w:val="20"/>
                <w:szCs w:val="20"/>
                <w:lang w:eastAsia="en-AU"/>
              </w:rPr>
              <w:t>Redacted</w:t>
            </w:r>
            <w:r w:rsidR="0097062E" w:rsidRPr="00593368">
              <w:rPr>
                <w:rFonts w:ascii="Arial Narrow" w:eastAsia="Times New Roman" w:hAnsi="Arial Narrow" w:cs="Calibri"/>
                <w:b/>
                <w:bCs/>
                <w:color w:val="000000"/>
                <w:sz w:val="20"/>
                <w:szCs w:val="20"/>
                <w:lang w:eastAsia="en-AU"/>
              </w:rPr>
              <w:t>%</w:t>
            </w:r>
          </w:p>
        </w:tc>
      </w:tr>
    </w:tbl>
    <w:p w14:paraId="161C4A9E" w14:textId="0A1330BD" w:rsidR="00F137B6" w:rsidRDefault="00A57EC3" w:rsidP="00B2763B">
      <w:pPr>
        <w:pStyle w:val="TableFooter"/>
      </w:pPr>
      <w:r>
        <w:t>Abbreviations: AE = adverse events, EOL = end of life costs</w:t>
      </w:r>
      <w:r w:rsidR="00E81D25">
        <w:t xml:space="preserve">, </w:t>
      </w:r>
      <w:r>
        <w:t>PD = progressed disease state, PF = progression free state</w:t>
      </w:r>
    </w:p>
    <w:p w14:paraId="06C52B1E" w14:textId="152CA366" w:rsidR="00657496" w:rsidRDefault="002A03AC" w:rsidP="0058012B">
      <w:pPr>
        <w:jc w:val="both"/>
      </w:pPr>
      <w:r>
        <w:t xml:space="preserve">The incremental cost of futibatinib treatment </w:t>
      </w:r>
      <w:r w:rsidRPr="005356D9">
        <w:t xml:space="preserve">becomes </w:t>
      </w:r>
      <w:r w:rsidR="003B0D5F">
        <w:rPr>
          <w:b/>
          <w:bCs/>
        </w:rPr>
        <w:t>R</w:t>
      </w:r>
      <w:r w:rsidR="00675EC8" w:rsidRPr="00DB1B51">
        <w:rPr>
          <w:b/>
          <w:bCs/>
        </w:rPr>
        <w:t>edacted</w:t>
      </w:r>
      <w:r w:rsidR="00675EC8">
        <w:t xml:space="preserve"> </w:t>
      </w:r>
      <w:r w:rsidRPr="005356D9">
        <w:t xml:space="preserve">and incremental QALYs are constant at 0.91. As such, the ICER ($/QALY) is </w:t>
      </w:r>
      <w:r w:rsidR="005356D9" w:rsidRPr="00FC6947">
        <w:t>$95,000 to &lt; $115,000</w:t>
      </w:r>
      <w:r w:rsidRPr="005356D9">
        <w:t>.</w:t>
      </w:r>
      <w:r w:rsidR="00657496" w:rsidRPr="00657496">
        <w:t xml:space="preserve"> </w:t>
      </w:r>
    </w:p>
    <w:p w14:paraId="23588511" w14:textId="503AA2F7" w:rsidR="00071CEF" w:rsidRDefault="00772829" w:rsidP="003254DB">
      <w:pPr>
        <w:pStyle w:val="Heading2"/>
        <w:numPr>
          <w:ilvl w:val="0"/>
          <w:numId w:val="10"/>
        </w:numPr>
      </w:pPr>
      <w:bookmarkStart w:id="25" w:name="_Toc69491426"/>
      <w:r w:rsidRPr="00CE28E3">
        <w:lastRenderedPageBreak/>
        <w:t>Financial/budgetary impacts</w:t>
      </w:r>
      <w:bookmarkEnd w:id="25"/>
    </w:p>
    <w:p w14:paraId="7A1F00B1" w14:textId="6D5D20B1" w:rsidR="003473F5" w:rsidRDefault="00E93735" w:rsidP="00FA31E0">
      <w:pPr>
        <w:spacing w:after="0"/>
        <w:jc w:val="both"/>
      </w:pPr>
      <w:r>
        <w:t xml:space="preserve">Using the values </w:t>
      </w:r>
      <w:r w:rsidR="002F1226" w:rsidRPr="00CE6A19">
        <w:t xml:space="preserve">described in </w:t>
      </w:r>
      <w:r w:rsidR="00BA5338" w:rsidRPr="00CE6A19">
        <w:t>Section 1</w:t>
      </w:r>
      <w:r w:rsidR="00C52CFC" w:rsidRPr="00CE6A19">
        <w:t>3</w:t>
      </w:r>
      <w:r w:rsidR="00BA5338" w:rsidRPr="00CE6A19">
        <w:t xml:space="preserve"> of this </w:t>
      </w:r>
      <w:r w:rsidR="002F71D6" w:rsidRPr="00CE6A19">
        <w:t>reapplication</w:t>
      </w:r>
      <w:r w:rsidR="002F1226" w:rsidRPr="00CE6A19">
        <w:t xml:space="preserve">, </w:t>
      </w:r>
      <w:r w:rsidR="003473F5" w:rsidRPr="00CE6A19">
        <w:t>the</w:t>
      </w:r>
      <w:r w:rsidR="00B16704" w:rsidRPr="00CE6A19">
        <w:t xml:space="preserve"> applicant</w:t>
      </w:r>
      <w:r w:rsidR="003473F5" w:rsidRPr="00CE6A19">
        <w:t xml:space="preserve"> </w:t>
      </w:r>
      <w:r w:rsidR="00BD7F7A" w:rsidRPr="00CE6A19">
        <w:t xml:space="preserve">estimated costs to MBS of </w:t>
      </w:r>
      <w:r w:rsidR="00BD7F7A" w:rsidRPr="00CE6A19">
        <w:rPr>
          <w:i/>
        </w:rPr>
        <w:t>FGFR</w:t>
      </w:r>
      <w:r w:rsidR="005E4ABC" w:rsidRPr="00CE6A19">
        <w:rPr>
          <w:i/>
        </w:rPr>
        <w:t>2</w:t>
      </w:r>
      <w:r w:rsidR="00BD7F7A" w:rsidRPr="00CE6A19">
        <w:t xml:space="preserve"> testing </w:t>
      </w:r>
      <w:r w:rsidR="00B16704" w:rsidRPr="00CE6A19">
        <w:t>as</w:t>
      </w:r>
      <w:r w:rsidR="00BD7F7A" w:rsidRPr="00CE6A19">
        <w:t xml:space="preserve"> </w:t>
      </w:r>
      <w:r w:rsidR="00CE6A19" w:rsidRPr="00CE6A19">
        <w:t>$0 to &lt; $10 million</w:t>
      </w:r>
      <w:r w:rsidR="00B67496">
        <w:t xml:space="preserve"> </w:t>
      </w:r>
      <w:r w:rsidR="00BD7F7A" w:rsidRPr="00CE6A19">
        <w:t xml:space="preserve">in year 1, increasing to </w:t>
      </w:r>
      <w:r w:rsidR="00CE6A19" w:rsidRPr="00CE6A19">
        <w:t xml:space="preserve">$0 to &lt; $10 million </w:t>
      </w:r>
      <w:r w:rsidR="00BD7F7A" w:rsidRPr="00CE6A19">
        <w:t>in year 6</w:t>
      </w:r>
      <w:r w:rsidR="0088508E" w:rsidRPr="00CE6A19">
        <w:t xml:space="preserve"> (</w:t>
      </w:r>
      <w:r w:rsidR="00883227" w:rsidRPr="00CE6A19">
        <w:fldChar w:fldCharType="begin"/>
      </w:r>
      <w:r w:rsidR="00883227" w:rsidRPr="00CE6A19">
        <w:instrText xml:space="preserve"> REF _Ref200370769 \h </w:instrText>
      </w:r>
      <w:r w:rsidR="00CE6A19">
        <w:instrText xml:space="preserve"> \* MERGEFORMAT </w:instrText>
      </w:r>
      <w:r w:rsidR="00883227" w:rsidRPr="00CE6A19">
        <w:fldChar w:fldCharType="separate"/>
      </w:r>
      <w:r w:rsidR="003637D3" w:rsidRPr="00CE6A19">
        <w:t xml:space="preserve">Table </w:t>
      </w:r>
      <w:r w:rsidR="003637D3" w:rsidRPr="00CE6A19">
        <w:rPr>
          <w:noProof/>
        </w:rPr>
        <w:t>6</w:t>
      </w:r>
      <w:r w:rsidR="00883227" w:rsidRPr="00CE6A19">
        <w:fldChar w:fldCharType="end"/>
      </w:r>
      <w:r w:rsidR="0088508E" w:rsidRPr="00CE6A19">
        <w:t>)</w:t>
      </w:r>
      <w:r w:rsidR="00BD7F7A" w:rsidRPr="00CE6A19">
        <w:t>.</w:t>
      </w:r>
    </w:p>
    <w:p w14:paraId="68FFF88C" w14:textId="41F72748" w:rsidR="00883227" w:rsidRDefault="00883227" w:rsidP="00883227">
      <w:pPr>
        <w:pStyle w:val="Caption"/>
      </w:pPr>
      <w:bookmarkStart w:id="26" w:name="_Ref200370769"/>
      <w:r>
        <w:t xml:space="preserve">Table </w:t>
      </w:r>
      <w:r w:rsidR="007D7722">
        <w:fldChar w:fldCharType="begin"/>
      </w:r>
      <w:r w:rsidR="007D7722">
        <w:instrText xml:space="preserve"> SEQ Table \* ARABIC </w:instrText>
      </w:r>
      <w:r w:rsidR="007D7722">
        <w:fldChar w:fldCharType="separate"/>
      </w:r>
      <w:r w:rsidR="007D7722">
        <w:rPr>
          <w:noProof/>
        </w:rPr>
        <w:t>6</w:t>
      </w:r>
      <w:r w:rsidR="007D7722">
        <w:rPr>
          <w:noProof/>
        </w:rPr>
        <w:fldChar w:fldCharType="end"/>
      </w:r>
      <w:bookmarkEnd w:id="26"/>
      <w:r>
        <w:t xml:space="preserve">: </w:t>
      </w:r>
      <w:r w:rsidRPr="00576A4D">
        <w:t xml:space="preserve">MBS costs of </w:t>
      </w:r>
      <w:r w:rsidRPr="002C1B51">
        <w:rPr>
          <w:i/>
        </w:rPr>
        <w:t>FGFR2</w:t>
      </w:r>
      <w:r w:rsidRPr="00576A4D">
        <w:t xml:space="preserve"> testing – updated base case</w:t>
      </w:r>
    </w:p>
    <w:tbl>
      <w:tblPr>
        <w:tblW w:w="0" w:type="auto"/>
        <w:tblLook w:val="04A0" w:firstRow="1" w:lastRow="0" w:firstColumn="1" w:lastColumn="0" w:noHBand="0" w:noVBand="1"/>
      </w:tblPr>
      <w:tblGrid>
        <w:gridCol w:w="3478"/>
        <w:gridCol w:w="923"/>
        <w:gridCol w:w="923"/>
        <w:gridCol w:w="923"/>
        <w:gridCol w:w="923"/>
        <w:gridCol w:w="923"/>
        <w:gridCol w:w="923"/>
      </w:tblGrid>
      <w:tr w:rsidR="0000492E" w:rsidRPr="003473F5" w14:paraId="1DBA339F" w14:textId="77777777" w:rsidTr="004025E1">
        <w:trPr>
          <w:trHeight w:val="256"/>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7A046C" w14:textId="1D1AD4A0" w:rsidR="003473F5" w:rsidRPr="00FA31E0" w:rsidRDefault="003473F5" w:rsidP="003473F5">
            <w:pPr>
              <w:spacing w:before="0" w:after="0" w:line="240" w:lineRule="auto"/>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Description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08585C" w14:textId="77777777"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2025</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3292F1" w14:textId="77777777"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2026</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3C195F" w14:textId="77777777"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2027</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A601B1" w14:textId="77777777"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2028</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9BB545" w14:textId="77777777"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2029</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860D54" w14:textId="77777777"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2030</w:t>
            </w:r>
          </w:p>
        </w:tc>
      </w:tr>
      <w:tr w:rsidR="0000492E" w:rsidRPr="003473F5" w14:paraId="2708627B" w14:textId="77777777" w:rsidTr="004025E1">
        <w:trPr>
          <w:trHeight w:val="256"/>
        </w:trPr>
        <w:tc>
          <w:tcPr>
            <w:tcW w:w="0" w:type="auto"/>
            <w:tcBorders>
              <w:top w:val="nil"/>
              <w:left w:val="single" w:sz="4" w:space="0" w:color="auto"/>
              <w:bottom w:val="single" w:sz="4" w:space="0" w:color="auto"/>
              <w:right w:val="single" w:sz="4" w:space="0" w:color="auto"/>
            </w:tcBorders>
            <w:noWrap/>
            <w:vAlign w:val="center"/>
            <w:hideMark/>
          </w:tcPr>
          <w:p w14:paraId="795BFB3D" w14:textId="0D2A19C2" w:rsidR="003473F5" w:rsidRPr="00FA31E0" w:rsidRDefault="003473F5" w:rsidP="003473F5">
            <w:pPr>
              <w:spacing w:before="0" w:after="0" w:line="240" w:lineRule="auto"/>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Resubmission to PBAC (already doubled the population)</w:t>
            </w:r>
          </w:p>
        </w:tc>
        <w:tc>
          <w:tcPr>
            <w:tcW w:w="0" w:type="auto"/>
            <w:tcBorders>
              <w:top w:val="nil"/>
              <w:left w:val="nil"/>
              <w:bottom w:val="single" w:sz="4" w:space="0" w:color="auto"/>
              <w:right w:val="single" w:sz="4" w:space="0" w:color="auto"/>
            </w:tcBorders>
            <w:noWrap/>
            <w:vAlign w:val="center"/>
            <w:hideMark/>
          </w:tcPr>
          <w:p w14:paraId="58C24400" w14:textId="0D3EDAC5"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2FB7A31F" w14:textId="33B2D950"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32F99E0D" w14:textId="295308D8"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2D311EA2" w14:textId="66C455D2"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5070F262" w14:textId="1D30BFCD"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180F8906" w14:textId="54EE5447"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r>
      <w:tr w:rsidR="0000492E" w:rsidRPr="003473F5" w14:paraId="2515D3C6" w14:textId="77777777" w:rsidTr="004025E1">
        <w:trPr>
          <w:trHeight w:val="256"/>
        </w:trPr>
        <w:tc>
          <w:tcPr>
            <w:tcW w:w="0" w:type="auto"/>
            <w:tcBorders>
              <w:top w:val="nil"/>
              <w:left w:val="single" w:sz="4" w:space="0" w:color="auto"/>
              <w:bottom w:val="single" w:sz="4" w:space="0" w:color="auto"/>
              <w:right w:val="single" w:sz="4" w:space="0" w:color="auto"/>
            </w:tcBorders>
            <w:noWrap/>
            <w:vAlign w:val="center"/>
            <w:hideMark/>
          </w:tcPr>
          <w:p w14:paraId="07B6BE1C" w14:textId="65982228" w:rsidR="003473F5" w:rsidRPr="00FA31E0" w:rsidRDefault="003473F5" w:rsidP="003473F5">
            <w:pPr>
              <w:spacing w:before="0" w:after="0" w:line="240" w:lineRule="auto"/>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Change test cost to $545</w:t>
            </w:r>
          </w:p>
        </w:tc>
        <w:tc>
          <w:tcPr>
            <w:tcW w:w="0" w:type="auto"/>
            <w:tcBorders>
              <w:top w:val="nil"/>
              <w:left w:val="nil"/>
              <w:bottom w:val="single" w:sz="4" w:space="0" w:color="auto"/>
              <w:right w:val="single" w:sz="4" w:space="0" w:color="auto"/>
            </w:tcBorders>
            <w:noWrap/>
            <w:vAlign w:val="center"/>
            <w:hideMark/>
          </w:tcPr>
          <w:p w14:paraId="08A7FF35" w14:textId="3DEC7AB2"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2FF64F39" w14:textId="12C14BA8"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174A15AD" w14:textId="7C05FBB8"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102E4AC5" w14:textId="0FF248D9"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5AF70E87" w14:textId="500FC7A7"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52F53C44" w14:textId="115A1872"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r>
      <w:tr w:rsidR="0000492E" w:rsidRPr="003473F5" w14:paraId="1D9EEAE6" w14:textId="77777777" w:rsidTr="004025E1">
        <w:trPr>
          <w:trHeight w:val="256"/>
        </w:trPr>
        <w:tc>
          <w:tcPr>
            <w:tcW w:w="0" w:type="auto"/>
            <w:tcBorders>
              <w:top w:val="nil"/>
              <w:left w:val="single" w:sz="4" w:space="0" w:color="auto"/>
              <w:bottom w:val="single" w:sz="4" w:space="0" w:color="auto"/>
              <w:right w:val="single" w:sz="4" w:space="0" w:color="auto"/>
            </w:tcBorders>
            <w:noWrap/>
            <w:vAlign w:val="center"/>
            <w:hideMark/>
          </w:tcPr>
          <w:p w14:paraId="516A08F4" w14:textId="77777777" w:rsidR="003473F5" w:rsidRPr="00FA31E0" w:rsidRDefault="003473F5" w:rsidP="003473F5">
            <w:pPr>
              <w:spacing w:before="0" w:after="0" w:line="240" w:lineRule="auto"/>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Include OMICO testing to 20%</w:t>
            </w:r>
          </w:p>
        </w:tc>
        <w:tc>
          <w:tcPr>
            <w:tcW w:w="0" w:type="auto"/>
            <w:tcBorders>
              <w:top w:val="nil"/>
              <w:left w:val="nil"/>
              <w:bottom w:val="single" w:sz="4" w:space="0" w:color="auto"/>
              <w:right w:val="single" w:sz="4" w:space="0" w:color="auto"/>
            </w:tcBorders>
            <w:noWrap/>
            <w:vAlign w:val="center"/>
            <w:hideMark/>
          </w:tcPr>
          <w:p w14:paraId="6BE6510E" w14:textId="6E7E4178"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7DC06CCF" w14:textId="02235A96"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5A1B4299" w14:textId="1BC70B30"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62D6DC18" w14:textId="5C15C046"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67C66FDD" w14:textId="07FE84D5"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42BE67BF" w14:textId="45EF7869" w:rsidR="003473F5" w:rsidRPr="00FA31E0" w:rsidRDefault="003473F5" w:rsidP="003473F5">
            <w:pPr>
              <w:spacing w:before="0" w:after="0" w:line="240" w:lineRule="auto"/>
              <w:jc w:val="center"/>
              <w:rPr>
                <w:rFonts w:ascii="Arial Narrow" w:eastAsia="Times New Roman" w:hAnsi="Arial Narrow" w:cs="Arial"/>
                <w:color w:val="000000"/>
                <w:sz w:val="20"/>
                <w:szCs w:val="20"/>
                <w:lang w:eastAsia="en-AU"/>
              </w:rPr>
            </w:pPr>
            <w:r w:rsidRPr="00FA31E0">
              <w:rPr>
                <w:rFonts w:ascii="Arial Narrow" w:eastAsia="Times New Roman" w:hAnsi="Arial Narrow" w:cs="Arial"/>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r>
      <w:tr w:rsidR="0000492E" w:rsidRPr="003473F5" w14:paraId="06CBA6B9" w14:textId="77777777" w:rsidTr="004025E1">
        <w:trPr>
          <w:trHeight w:val="256"/>
        </w:trPr>
        <w:tc>
          <w:tcPr>
            <w:tcW w:w="0" w:type="auto"/>
            <w:tcBorders>
              <w:top w:val="nil"/>
              <w:left w:val="single" w:sz="4" w:space="0" w:color="auto"/>
              <w:bottom w:val="single" w:sz="4" w:space="0" w:color="auto"/>
              <w:right w:val="single" w:sz="4" w:space="0" w:color="auto"/>
            </w:tcBorders>
            <w:noWrap/>
            <w:vAlign w:val="center"/>
            <w:hideMark/>
          </w:tcPr>
          <w:p w14:paraId="74A62B3B" w14:textId="77777777" w:rsidR="003473F5" w:rsidRPr="00FA31E0" w:rsidRDefault="003473F5" w:rsidP="003473F5">
            <w:pPr>
              <w:spacing w:before="0" w:after="0" w:line="240" w:lineRule="auto"/>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All changes</w:t>
            </w:r>
          </w:p>
        </w:tc>
        <w:tc>
          <w:tcPr>
            <w:tcW w:w="0" w:type="auto"/>
            <w:tcBorders>
              <w:top w:val="nil"/>
              <w:left w:val="nil"/>
              <w:bottom w:val="single" w:sz="4" w:space="0" w:color="auto"/>
              <w:right w:val="single" w:sz="4" w:space="0" w:color="auto"/>
            </w:tcBorders>
            <w:noWrap/>
            <w:vAlign w:val="center"/>
            <w:hideMark/>
          </w:tcPr>
          <w:p w14:paraId="25D560AF" w14:textId="6D8CA285"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05EAE2EF" w14:textId="0D98D1B1"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1F1097A2" w14:textId="396B8EFE"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5A95ED27" w14:textId="77CEAA26"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44B7E010" w14:textId="2F4BE208"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c>
          <w:tcPr>
            <w:tcW w:w="0" w:type="auto"/>
            <w:tcBorders>
              <w:top w:val="nil"/>
              <w:left w:val="nil"/>
              <w:bottom w:val="single" w:sz="4" w:space="0" w:color="auto"/>
              <w:right w:val="single" w:sz="4" w:space="0" w:color="auto"/>
            </w:tcBorders>
            <w:noWrap/>
            <w:vAlign w:val="center"/>
            <w:hideMark/>
          </w:tcPr>
          <w:p w14:paraId="5D1B990E" w14:textId="47EB080E" w:rsidR="003473F5" w:rsidRPr="00FA31E0"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FA31E0">
              <w:rPr>
                <w:rFonts w:ascii="Arial Narrow" w:eastAsia="Times New Roman" w:hAnsi="Arial Narrow" w:cs="Arial"/>
                <w:b/>
                <w:bCs/>
                <w:color w:val="000000"/>
                <w:sz w:val="20"/>
                <w:szCs w:val="20"/>
                <w:lang w:eastAsia="en-AU"/>
              </w:rPr>
              <w:t>$</w:t>
            </w:r>
            <w:r w:rsidR="0000492E" w:rsidRPr="00FA31E0">
              <w:rPr>
                <w:rFonts w:ascii="Arial Narrow" w:eastAsia="Times New Roman" w:hAnsi="Arial Narrow" w:cs="Arial"/>
                <w:b/>
                <w:bCs/>
                <w:color w:val="000000"/>
                <w:sz w:val="20"/>
                <w:szCs w:val="20"/>
                <w:lang w:eastAsia="en-AU"/>
              </w:rPr>
              <w:t>Redacted</w:t>
            </w:r>
            <w:r w:rsidR="0000492E" w:rsidRPr="00FA31E0">
              <w:rPr>
                <w:rFonts w:ascii="Arial Narrow" w:eastAsia="Times New Roman" w:hAnsi="Arial Narrow" w:cs="Arial"/>
                <w:b/>
                <w:bCs/>
                <w:color w:val="000000"/>
                <w:sz w:val="20"/>
                <w:szCs w:val="20"/>
                <w:vertAlign w:val="superscript"/>
                <w:lang w:eastAsia="en-AU"/>
              </w:rPr>
              <w:t>1</w:t>
            </w:r>
          </w:p>
        </w:tc>
      </w:tr>
    </w:tbl>
    <w:p w14:paraId="6F71FF01" w14:textId="77777777" w:rsidR="00C54CFD" w:rsidRDefault="001D50A7" w:rsidP="00C54CFD">
      <w:pPr>
        <w:pStyle w:val="TableFooter"/>
      </w:pPr>
      <w:r>
        <w:t>Abbreviations: PBAC = Pharmaceutical Benefits Advisory Committee</w:t>
      </w:r>
    </w:p>
    <w:p w14:paraId="07F2181C" w14:textId="77777777" w:rsidR="00C54CFD" w:rsidRDefault="00C54CFD" w:rsidP="00C54CFD">
      <w:pPr>
        <w:pStyle w:val="TableFooter"/>
        <w:rPr>
          <w:i/>
          <w:iCs/>
          <w:snapToGrid w:val="0"/>
          <w:color w:val="0D0D0D"/>
          <w:szCs w:val="18"/>
          <w:lang w:eastAsia="en-AU"/>
        </w:rPr>
      </w:pPr>
      <w:r w:rsidRPr="00F65B8B">
        <w:rPr>
          <w:i/>
          <w:iCs/>
          <w:snapToGrid w:val="0"/>
          <w:color w:val="0D0D0D"/>
          <w:szCs w:val="18"/>
          <w:lang w:eastAsia="en-AU"/>
        </w:rPr>
        <w:t>The redacted values correspond to the following ranges:</w:t>
      </w:r>
    </w:p>
    <w:p w14:paraId="11B56593" w14:textId="37F62408" w:rsidR="00F876F9" w:rsidRDefault="004E4530" w:rsidP="004025E1">
      <w:pPr>
        <w:pStyle w:val="TableFooter"/>
        <w:spacing w:after="0"/>
      </w:pPr>
      <w:r>
        <w:rPr>
          <w:i/>
          <w:iCs/>
          <w:snapToGrid w:val="0"/>
          <w:color w:val="0D0D0D"/>
          <w:szCs w:val="18"/>
          <w:vertAlign w:val="superscript"/>
          <w:lang w:eastAsia="en-AU"/>
        </w:rPr>
        <w:t>1</w:t>
      </w:r>
      <w:r w:rsidR="00C54CFD" w:rsidRPr="00F65B8B">
        <w:rPr>
          <w:i/>
          <w:iCs/>
          <w:snapToGrid w:val="0"/>
          <w:color w:val="0D0D0D"/>
          <w:szCs w:val="18"/>
          <w:lang w:eastAsia="en-AU"/>
        </w:rPr>
        <w:t>$0 to &lt; $10 million</w:t>
      </w:r>
    </w:p>
    <w:p w14:paraId="2F677007" w14:textId="783C124F" w:rsidR="00EF2A5E" w:rsidRPr="001F0309" w:rsidRDefault="00A07636" w:rsidP="0025027B">
      <w:pPr>
        <w:jc w:val="both"/>
      </w:pPr>
      <w:r w:rsidRPr="001F0309">
        <w:t xml:space="preserve">The Department </w:t>
      </w:r>
      <w:r w:rsidR="001F2B28" w:rsidRPr="001F0309">
        <w:t>provided</w:t>
      </w:r>
      <w:r w:rsidR="003D7D2E" w:rsidRPr="001F0309">
        <w:t xml:space="preserve"> sensitivity analyses on the </w:t>
      </w:r>
      <w:r w:rsidR="00797A82" w:rsidRPr="001F0309">
        <w:t xml:space="preserve">financial estimates. These </w:t>
      </w:r>
      <w:r w:rsidR="002F71D6">
        <w:t>are</w:t>
      </w:r>
      <w:r w:rsidR="00797A82" w:rsidRPr="001F0309">
        <w:t xml:space="preserve"> </w:t>
      </w:r>
      <w:r w:rsidR="001F2B28" w:rsidRPr="001F0309">
        <w:t>shown</w:t>
      </w:r>
      <w:r w:rsidR="004B553C" w:rsidRPr="001F0309">
        <w:t xml:space="preserve"> below in </w:t>
      </w:r>
      <w:r w:rsidR="004B553C" w:rsidRPr="001F0309">
        <w:fldChar w:fldCharType="begin"/>
      </w:r>
      <w:r w:rsidR="004B553C" w:rsidRPr="001F0309">
        <w:instrText xml:space="preserve"> REF _Ref202966636 \h </w:instrText>
      </w:r>
      <w:r w:rsidR="001F2B28" w:rsidRPr="001F0309">
        <w:instrText xml:space="preserve"> \* MERGEFORMAT </w:instrText>
      </w:r>
      <w:r w:rsidR="004B553C" w:rsidRPr="001F0309">
        <w:fldChar w:fldCharType="separate"/>
      </w:r>
      <w:r w:rsidR="004B553C" w:rsidRPr="001F0309">
        <w:t xml:space="preserve">Table </w:t>
      </w:r>
      <w:r w:rsidR="004B553C" w:rsidRPr="001F0309">
        <w:rPr>
          <w:noProof/>
        </w:rPr>
        <w:t>7</w:t>
      </w:r>
      <w:r w:rsidR="004B553C" w:rsidRPr="001F0309">
        <w:fldChar w:fldCharType="end"/>
      </w:r>
      <w:r w:rsidR="004B553C" w:rsidRPr="001F0309">
        <w:t>.</w:t>
      </w:r>
    </w:p>
    <w:p w14:paraId="0DE8BD9F" w14:textId="012D08AA" w:rsidR="00207FCE" w:rsidRPr="001F0309" w:rsidRDefault="00207FCE" w:rsidP="00BA023D">
      <w:pPr>
        <w:pStyle w:val="Caption"/>
        <w:keepLines/>
      </w:pPr>
      <w:bookmarkStart w:id="27" w:name="_Ref202966636"/>
      <w:r w:rsidRPr="001F0309">
        <w:lastRenderedPageBreak/>
        <w:t xml:space="preserve">Table </w:t>
      </w:r>
      <w:r w:rsidR="007D7722">
        <w:fldChar w:fldCharType="begin"/>
      </w:r>
      <w:r w:rsidR="007D7722">
        <w:instrText xml:space="preserve"> SEQ Table \* ARABIC </w:instrText>
      </w:r>
      <w:r w:rsidR="007D7722">
        <w:fldChar w:fldCharType="separate"/>
      </w:r>
      <w:r w:rsidR="007D7722" w:rsidRPr="001F0309">
        <w:rPr>
          <w:noProof/>
        </w:rPr>
        <w:t>7</w:t>
      </w:r>
      <w:r w:rsidR="007D7722">
        <w:rPr>
          <w:noProof/>
        </w:rPr>
        <w:fldChar w:fldCharType="end"/>
      </w:r>
      <w:bookmarkEnd w:id="27"/>
      <w:r w:rsidRPr="001F0309">
        <w:t xml:space="preserve"> Department conducted sensitivity analysis</w:t>
      </w:r>
    </w:p>
    <w:tbl>
      <w:tblPr>
        <w:tblStyle w:val="TableGrid"/>
        <w:tblW w:w="5000" w:type="pct"/>
        <w:tblLayout w:type="fixed"/>
        <w:tblLook w:val="04A0" w:firstRow="1" w:lastRow="0" w:firstColumn="1" w:lastColumn="0" w:noHBand="0" w:noVBand="1"/>
      </w:tblPr>
      <w:tblGrid>
        <w:gridCol w:w="2264"/>
        <w:gridCol w:w="1134"/>
        <w:gridCol w:w="1134"/>
        <w:gridCol w:w="1134"/>
        <w:gridCol w:w="1138"/>
        <w:gridCol w:w="1132"/>
        <w:gridCol w:w="1080"/>
      </w:tblGrid>
      <w:tr w:rsidR="005C5508" w:rsidRPr="00B16704" w14:paraId="5977FDE4" w14:textId="77777777" w:rsidTr="004025E1">
        <w:tc>
          <w:tcPr>
            <w:tcW w:w="1255" w:type="pct"/>
            <w:shd w:val="clear" w:color="auto" w:fill="D0CECE" w:themeFill="background2" w:themeFillShade="E6"/>
            <w:vAlign w:val="center"/>
          </w:tcPr>
          <w:p w14:paraId="059C19E9" w14:textId="7EEBE023"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Description </w:t>
            </w:r>
          </w:p>
        </w:tc>
        <w:tc>
          <w:tcPr>
            <w:tcW w:w="629" w:type="pct"/>
            <w:shd w:val="clear" w:color="auto" w:fill="D0CECE" w:themeFill="background2" w:themeFillShade="E6"/>
            <w:vAlign w:val="center"/>
          </w:tcPr>
          <w:p w14:paraId="509AB571" w14:textId="3A0294CD"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2025</w:t>
            </w:r>
          </w:p>
        </w:tc>
        <w:tc>
          <w:tcPr>
            <w:tcW w:w="629" w:type="pct"/>
            <w:shd w:val="clear" w:color="auto" w:fill="D0CECE" w:themeFill="background2" w:themeFillShade="E6"/>
            <w:vAlign w:val="center"/>
          </w:tcPr>
          <w:p w14:paraId="5A2F99EC" w14:textId="0EE0C37C"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2026</w:t>
            </w:r>
          </w:p>
        </w:tc>
        <w:tc>
          <w:tcPr>
            <w:tcW w:w="629" w:type="pct"/>
            <w:shd w:val="clear" w:color="auto" w:fill="D0CECE" w:themeFill="background2" w:themeFillShade="E6"/>
            <w:vAlign w:val="center"/>
          </w:tcPr>
          <w:p w14:paraId="6F30E5D2" w14:textId="5269FB25"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2027</w:t>
            </w:r>
          </w:p>
        </w:tc>
        <w:tc>
          <w:tcPr>
            <w:tcW w:w="631" w:type="pct"/>
            <w:shd w:val="clear" w:color="auto" w:fill="D0CECE" w:themeFill="background2" w:themeFillShade="E6"/>
            <w:vAlign w:val="center"/>
          </w:tcPr>
          <w:p w14:paraId="41EDA97E" w14:textId="46D4A2D1"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2028</w:t>
            </w:r>
          </w:p>
        </w:tc>
        <w:tc>
          <w:tcPr>
            <w:tcW w:w="628" w:type="pct"/>
            <w:shd w:val="clear" w:color="auto" w:fill="D0CECE" w:themeFill="background2" w:themeFillShade="E6"/>
            <w:vAlign w:val="center"/>
          </w:tcPr>
          <w:p w14:paraId="558C1885" w14:textId="667706BD"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2029</w:t>
            </w:r>
          </w:p>
        </w:tc>
        <w:tc>
          <w:tcPr>
            <w:tcW w:w="599" w:type="pct"/>
            <w:shd w:val="clear" w:color="auto" w:fill="D0CECE" w:themeFill="background2" w:themeFillShade="E6"/>
            <w:vAlign w:val="center"/>
          </w:tcPr>
          <w:p w14:paraId="7A9586AC" w14:textId="63592857" w:rsidR="004901DB" w:rsidRPr="00FA31E0" w:rsidRDefault="004901DB"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2030</w:t>
            </w:r>
          </w:p>
        </w:tc>
      </w:tr>
      <w:tr w:rsidR="005C5508" w:rsidRPr="00B16704" w14:paraId="638404F5" w14:textId="77777777" w:rsidTr="004025E1">
        <w:tc>
          <w:tcPr>
            <w:tcW w:w="1255" w:type="pct"/>
            <w:tcBorders>
              <w:top w:val="single" w:sz="6" w:space="0" w:color="auto"/>
              <w:left w:val="single" w:sz="6" w:space="0" w:color="auto"/>
              <w:bottom w:val="single" w:sz="6" w:space="0" w:color="auto"/>
              <w:right w:val="single" w:sz="6" w:space="0" w:color="auto"/>
            </w:tcBorders>
          </w:tcPr>
          <w:p w14:paraId="71FF2B37" w14:textId="56A35A32" w:rsidR="004901DB" w:rsidRPr="00FA31E0" w:rsidRDefault="004901DB" w:rsidP="00BA023D">
            <w:pPr>
              <w:keepNext/>
              <w:keepLines/>
              <w:jc w:val="both"/>
              <w:rPr>
                <w:rStyle w:val="CommentReference"/>
                <w:rFonts w:ascii="Arial Narrow" w:hAnsi="Arial Narrow"/>
                <w:sz w:val="20"/>
                <w:szCs w:val="20"/>
                <w:vertAlign w:val="superscript"/>
              </w:rPr>
            </w:pPr>
            <w:r w:rsidRPr="00FA31E0">
              <w:rPr>
                <w:rStyle w:val="normaltextrun"/>
                <w:rFonts w:ascii="Arial Narrow" w:hAnsi="Arial Narrow" w:cs="Segoe UI"/>
                <w:sz w:val="20"/>
                <w:szCs w:val="20"/>
              </w:rPr>
              <w:t xml:space="preserve">Total incident </w:t>
            </w:r>
            <w:proofErr w:type="spellStart"/>
            <w:r w:rsidRPr="00FA31E0">
              <w:rPr>
                <w:rStyle w:val="normaltextrun"/>
                <w:rFonts w:ascii="Arial Narrow" w:hAnsi="Arial Narrow" w:cs="Segoe UI"/>
                <w:sz w:val="20"/>
                <w:szCs w:val="20"/>
              </w:rPr>
              <w:t>population</w:t>
            </w:r>
            <w:r w:rsidR="00291B0A" w:rsidRPr="00FA31E0">
              <w:rPr>
                <w:rStyle w:val="normaltextrun"/>
                <w:rFonts w:ascii="Arial Narrow" w:hAnsi="Arial Narrow" w:cs="Segoe UI"/>
                <w:sz w:val="20"/>
                <w:szCs w:val="20"/>
                <w:vertAlign w:val="superscript"/>
              </w:rPr>
              <w:t>a</w:t>
            </w:r>
            <w:proofErr w:type="spellEnd"/>
          </w:p>
        </w:tc>
        <w:tc>
          <w:tcPr>
            <w:tcW w:w="629" w:type="pct"/>
            <w:tcBorders>
              <w:top w:val="single" w:sz="6" w:space="0" w:color="auto"/>
              <w:left w:val="single" w:sz="6" w:space="0" w:color="auto"/>
              <w:bottom w:val="single" w:sz="6" w:space="0" w:color="auto"/>
              <w:right w:val="single" w:sz="6" w:space="0" w:color="auto"/>
            </w:tcBorders>
          </w:tcPr>
          <w:p w14:paraId="6529E1D4" w14:textId="3B968126"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29" w:type="pct"/>
            <w:tcBorders>
              <w:top w:val="single" w:sz="6" w:space="0" w:color="auto"/>
              <w:left w:val="single" w:sz="6" w:space="0" w:color="auto"/>
              <w:bottom w:val="single" w:sz="6" w:space="0" w:color="auto"/>
              <w:right w:val="single" w:sz="6" w:space="0" w:color="auto"/>
            </w:tcBorders>
          </w:tcPr>
          <w:p w14:paraId="12C95DCE" w14:textId="5653FA77"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29" w:type="pct"/>
            <w:tcBorders>
              <w:top w:val="single" w:sz="6" w:space="0" w:color="auto"/>
              <w:left w:val="single" w:sz="6" w:space="0" w:color="auto"/>
              <w:bottom w:val="single" w:sz="6" w:space="0" w:color="auto"/>
              <w:right w:val="single" w:sz="6" w:space="0" w:color="auto"/>
            </w:tcBorders>
          </w:tcPr>
          <w:p w14:paraId="52206EDE" w14:textId="549B9413"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31" w:type="pct"/>
            <w:tcBorders>
              <w:top w:val="single" w:sz="6" w:space="0" w:color="auto"/>
              <w:left w:val="single" w:sz="6" w:space="0" w:color="auto"/>
              <w:bottom w:val="single" w:sz="6" w:space="0" w:color="auto"/>
              <w:right w:val="single" w:sz="6" w:space="0" w:color="auto"/>
            </w:tcBorders>
          </w:tcPr>
          <w:p w14:paraId="414A1BFB" w14:textId="7D940796"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28" w:type="pct"/>
            <w:tcBorders>
              <w:top w:val="single" w:sz="6" w:space="0" w:color="auto"/>
              <w:left w:val="single" w:sz="6" w:space="0" w:color="auto"/>
              <w:bottom w:val="single" w:sz="6" w:space="0" w:color="auto"/>
              <w:right w:val="single" w:sz="6" w:space="0" w:color="auto"/>
            </w:tcBorders>
          </w:tcPr>
          <w:p w14:paraId="53204426" w14:textId="539FF109"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599" w:type="pct"/>
            <w:tcBorders>
              <w:top w:val="single" w:sz="6" w:space="0" w:color="auto"/>
              <w:left w:val="single" w:sz="6" w:space="0" w:color="auto"/>
              <w:bottom w:val="single" w:sz="6" w:space="0" w:color="auto"/>
              <w:right w:val="single" w:sz="6" w:space="0" w:color="auto"/>
            </w:tcBorders>
          </w:tcPr>
          <w:p w14:paraId="17E34916" w14:textId="17DF5D40"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r>
      <w:tr w:rsidR="005C5508" w:rsidRPr="00B16704" w14:paraId="33FFC146" w14:textId="77777777" w:rsidTr="004025E1">
        <w:tc>
          <w:tcPr>
            <w:tcW w:w="1255" w:type="pct"/>
            <w:tcBorders>
              <w:top w:val="single" w:sz="6" w:space="0" w:color="auto"/>
              <w:left w:val="single" w:sz="6" w:space="0" w:color="auto"/>
              <w:bottom w:val="single" w:sz="6" w:space="0" w:color="auto"/>
              <w:right w:val="single" w:sz="6" w:space="0" w:color="auto"/>
            </w:tcBorders>
          </w:tcPr>
          <w:p w14:paraId="70505537" w14:textId="6F092748" w:rsidR="004901DB" w:rsidRPr="00FA31E0" w:rsidRDefault="004901DB" w:rsidP="00BA023D">
            <w:pPr>
              <w:keepNext/>
              <w:keepLines/>
              <w:jc w:val="both"/>
              <w:rPr>
                <w:rStyle w:val="CommentReference"/>
                <w:rFonts w:ascii="Arial Narrow" w:hAnsi="Arial Narrow"/>
                <w:sz w:val="20"/>
                <w:szCs w:val="20"/>
                <w:vertAlign w:val="superscript"/>
              </w:rPr>
            </w:pPr>
            <w:r w:rsidRPr="00FA31E0">
              <w:rPr>
                <w:rStyle w:val="normaltextrun"/>
                <w:rFonts w:ascii="Arial Narrow" w:hAnsi="Arial Narrow" w:cs="Segoe UI"/>
                <w:sz w:val="20"/>
                <w:szCs w:val="20"/>
              </w:rPr>
              <w:t>Patients diagnosed with locally advanced, metastatic CCA (80</w:t>
            </w:r>
            <w:proofErr w:type="gramStart"/>
            <w:r w:rsidRPr="00FA31E0">
              <w:rPr>
                <w:rStyle w:val="normaltextrun"/>
                <w:rFonts w:ascii="Arial Narrow" w:hAnsi="Arial Narrow" w:cs="Segoe UI"/>
                <w:sz w:val="20"/>
                <w:szCs w:val="20"/>
              </w:rPr>
              <w:t>%)</w:t>
            </w:r>
            <w:r w:rsidR="00291B0A" w:rsidRPr="00FA31E0">
              <w:rPr>
                <w:rStyle w:val="normaltextrun"/>
                <w:rFonts w:ascii="Arial Narrow" w:hAnsi="Arial Narrow" w:cs="Segoe UI"/>
                <w:sz w:val="20"/>
                <w:szCs w:val="20"/>
                <w:vertAlign w:val="superscript"/>
              </w:rPr>
              <w:t>a</w:t>
            </w:r>
            <w:proofErr w:type="gramEnd"/>
          </w:p>
        </w:tc>
        <w:tc>
          <w:tcPr>
            <w:tcW w:w="629" w:type="pct"/>
            <w:tcBorders>
              <w:top w:val="single" w:sz="6" w:space="0" w:color="auto"/>
              <w:left w:val="single" w:sz="6" w:space="0" w:color="auto"/>
              <w:bottom w:val="single" w:sz="6" w:space="0" w:color="auto"/>
              <w:right w:val="single" w:sz="6" w:space="0" w:color="auto"/>
            </w:tcBorders>
          </w:tcPr>
          <w:p w14:paraId="54E2239A" w14:textId="7F155173"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29" w:type="pct"/>
            <w:tcBorders>
              <w:top w:val="single" w:sz="6" w:space="0" w:color="auto"/>
              <w:left w:val="single" w:sz="6" w:space="0" w:color="auto"/>
              <w:bottom w:val="single" w:sz="6" w:space="0" w:color="auto"/>
              <w:right w:val="single" w:sz="6" w:space="0" w:color="auto"/>
            </w:tcBorders>
          </w:tcPr>
          <w:p w14:paraId="027CB845" w14:textId="622F3CE5"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29" w:type="pct"/>
            <w:tcBorders>
              <w:top w:val="single" w:sz="6" w:space="0" w:color="auto"/>
              <w:left w:val="single" w:sz="6" w:space="0" w:color="auto"/>
              <w:bottom w:val="single" w:sz="6" w:space="0" w:color="auto"/>
              <w:right w:val="single" w:sz="6" w:space="0" w:color="auto"/>
            </w:tcBorders>
          </w:tcPr>
          <w:p w14:paraId="05B5E312" w14:textId="3AB788BF"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31" w:type="pct"/>
            <w:tcBorders>
              <w:top w:val="single" w:sz="6" w:space="0" w:color="auto"/>
              <w:left w:val="single" w:sz="6" w:space="0" w:color="auto"/>
              <w:bottom w:val="single" w:sz="6" w:space="0" w:color="auto"/>
              <w:right w:val="single" w:sz="6" w:space="0" w:color="auto"/>
            </w:tcBorders>
          </w:tcPr>
          <w:p w14:paraId="2DD4DF44" w14:textId="2F6824BB"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628" w:type="pct"/>
            <w:tcBorders>
              <w:top w:val="single" w:sz="6" w:space="0" w:color="auto"/>
              <w:left w:val="single" w:sz="6" w:space="0" w:color="auto"/>
              <w:bottom w:val="single" w:sz="6" w:space="0" w:color="auto"/>
              <w:right w:val="single" w:sz="6" w:space="0" w:color="auto"/>
            </w:tcBorders>
          </w:tcPr>
          <w:p w14:paraId="5A86073D" w14:textId="7FCC57BD"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c>
          <w:tcPr>
            <w:tcW w:w="599" w:type="pct"/>
            <w:tcBorders>
              <w:top w:val="single" w:sz="6" w:space="0" w:color="auto"/>
              <w:left w:val="single" w:sz="6" w:space="0" w:color="auto"/>
              <w:bottom w:val="single" w:sz="6" w:space="0" w:color="auto"/>
              <w:right w:val="single" w:sz="6" w:space="0" w:color="auto"/>
            </w:tcBorders>
          </w:tcPr>
          <w:p w14:paraId="62D08E0E" w14:textId="37615089"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2</w:t>
            </w:r>
          </w:p>
        </w:tc>
      </w:tr>
      <w:tr w:rsidR="005C5508" w:rsidRPr="00B16704" w14:paraId="2C88E80C" w14:textId="77777777" w:rsidTr="004025E1">
        <w:tc>
          <w:tcPr>
            <w:tcW w:w="1255" w:type="pct"/>
          </w:tcPr>
          <w:p w14:paraId="473C512B" w14:textId="2B5B5A9B" w:rsidR="004901DB" w:rsidRPr="00FA31E0" w:rsidRDefault="004901DB" w:rsidP="00BA023D">
            <w:pPr>
              <w:keepNext/>
              <w:keepLines/>
              <w:jc w:val="both"/>
              <w:rPr>
                <w:rFonts w:ascii="Arial Narrow" w:hAnsi="Arial Narrow"/>
                <w:sz w:val="20"/>
                <w:szCs w:val="20"/>
                <w:vertAlign w:val="superscript"/>
              </w:rPr>
            </w:pPr>
            <w:r w:rsidRPr="00FA31E0">
              <w:rPr>
                <w:rFonts w:ascii="Arial Narrow" w:hAnsi="Arial Narrow"/>
                <w:sz w:val="20"/>
                <w:szCs w:val="20"/>
              </w:rPr>
              <w:t xml:space="preserve">Number of patients tested in the original </w:t>
            </w:r>
            <w:proofErr w:type="spellStart"/>
            <w:r w:rsidRPr="00FA31E0">
              <w:rPr>
                <w:rFonts w:ascii="Arial Narrow" w:hAnsi="Arial Narrow"/>
                <w:sz w:val="20"/>
                <w:szCs w:val="20"/>
              </w:rPr>
              <w:t>submission</w:t>
            </w:r>
            <w:r w:rsidR="00291B0A" w:rsidRPr="00FA31E0">
              <w:rPr>
                <w:rFonts w:ascii="Arial Narrow" w:hAnsi="Arial Narrow"/>
                <w:sz w:val="20"/>
                <w:szCs w:val="20"/>
                <w:vertAlign w:val="superscript"/>
              </w:rPr>
              <w:t>b</w:t>
            </w:r>
            <w:proofErr w:type="spellEnd"/>
          </w:p>
        </w:tc>
        <w:tc>
          <w:tcPr>
            <w:tcW w:w="629" w:type="pct"/>
          </w:tcPr>
          <w:p w14:paraId="7002BBFB" w14:textId="6AAFC70B"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1</w:t>
            </w:r>
          </w:p>
        </w:tc>
        <w:tc>
          <w:tcPr>
            <w:tcW w:w="629" w:type="pct"/>
          </w:tcPr>
          <w:p w14:paraId="33F27276" w14:textId="7473EFEC"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1</w:t>
            </w:r>
            <w:r w:rsidR="004901DB" w:rsidRPr="00FA31E0">
              <w:rPr>
                <w:rFonts w:ascii="Arial Narrow" w:hAnsi="Arial Narrow"/>
                <w:sz w:val="20"/>
                <w:szCs w:val="20"/>
              </w:rPr>
              <w:t xml:space="preserve"> </w:t>
            </w:r>
          </w:p>
        </w:tc>
        <w:tc>
          <w:tcPr>
            <w:tcW w:w="629" w:type="pct"/>
          </w:tcPr>
          <w:p w14:paraId="771DF075" w14:textId="1EC82566"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1</w:t>
            </w:r>
          </w:p>
        </w:tc>
        <w:tc>
          <w:tcPr>
            <w:tcW w:w="631" w:type="pct"/>
          </w:tcPr>
          <w:p w14:paraId="529E9F4E" w14:textId="7F4F8CD9"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1</w:t>
            </w:r>
          </w:p>
        </w:tc>
        <w:tc>
          <w:tcPr>
            <w:tcW w:w="628" w:type="pct"/>
          </w:tcPr>
          <w:p w14:paraId="2A525545" w14:textId="29DB5606"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1</w:t>
            </w:r>
          </w:p>
        </w:tc>
        <w:tc>
          <w:tcPr>
            <w:tcW w:w="599" w:type="pct"/>
          </w:tcPr>
          <w:p w14:paraId="339DFB0E" w14:textId="5E7FDAF3"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1</w:t>
            </w:r>
          </w:p>
        </w:tc>
      </w:tr>
      <w:tr w:rsidR="005C5508" w:rsidRPr="00B16704" w14:paraId="396FDB27" w14:textId="77777777" w:rsidTr="004025E1">
        <w:tc>
          <w:tcPr>
            <w:tcW w:w="1255" w:type="pct"/>
          </w:tcPr>
          <w:p w14:paraId="5499B0D7" w14:textId="69FF9403" w:rsidR="004901DB" w:rsidRPr="00FA31E0" w:rsidRDefault="004901DB" w:rsidP="00BA023D">
            <w:pPr>
              <w:keepNext/>
              <w:keepLines/>
              <w:jc w:val="both"/>
              <w:rPr>
                <w:rFonts w:ascii="Arial Narrow" w:hAnsi="Arial Narrow"/>
                <w:sz w:val="20"/>
                <w:szCs w:val="20"/>
              </w:rPr>
            </w:pPr>
            <w:r w:rsidRPr="00FA31E0">
              <w:rPr>
                <w:rFonts w:ascii="Arial Narrow" w:hAnsi="Arial Narrow"/>
                <w:sz w:val="20"/>
                <w:szCs w:val="20"/>
              </w:rPr>
              <w:t xml:space="preserve">Number of patients tested in </w:t>
            </w:r>
            <w:proofErr w:type="spellStart"/>
            <w:r w:rsidR="006E3A51" w:rsidRPr="00FA31E0">
              <w:rPr>
                <w:rFonts w:ascii="Arial Narrow" w:hAnsi="Arial Narrow"/>
                <w:sz w:val="20"/>
                <w:szCs w:val="20"/>
              </w:rPr>
              <w:t>reapplication</w:t>
            </w:r>
            <w:r w:rsidR="00291B0A" w:rsidRPr="00FA31E0">
              <w:rPr>
                <w:rFonts w:ascii="Arial Narrow" w:hAnsi="Arial Narrow"/>
                <w:sz w:val="20"/>
                <w:szCs w:val="20"/>
                <w:vertAlign w:val="superscript"/>
              </w:rPr>
              <w:t>c</w:t>
            </w:r>
            <w:proofErr w:type="spellEnd"/>
            <w:r w:rsidR="006E3A51" w:rsidRPr="00FA31E0">
              <w:rPr>
                <w:rFonts w:ascii="Arial Narrow" w:hAnsi="Arial Narrow"/>
                <w:sz w:val="20"/>
                <w:szCs w:val="20"/>
              </w:rPr>
              <w:t xml:space="preserve"> </w:t>
            </w:r>
          </w:p>
        </w:tc>
        <w:tc>
          <w:tcPr>
            <w:tcW w:w="629" w:type="pct"/>
          </w:tcPr>
          <w:p w14:paraId="27221DE5" w14:textId="3FBD7ACE"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00B5552B" w:rsidRPr="00FA31E0">
              <w:rPr>
                <w:rFonts w:ascii="Arial Narrow" w:eastAsia="Times New Roman" w:hAnsi="Arial Narrow" w:cs="Arial"/>
                <w:b/>
                <w:bCs/>
                <w:color w:val="000000"/>
                <w:sz w:val="20"/>
                <w:szCs w:val="20"/>
                <w:vertAlign w:val="superscript"/>
                <w:lang w:eastAsia="en-AU"/>
              </w:rPr>
              <w:t>2</w:t>
            </w:r>
          </w:p>
        </w:tc>
        <w:tc>
          <w:tcPr>
            <w:tcW w:w="629" w:type="pct"/>
          </w:tcPr>
          <w:p w14:paraId="62E1A258" w14:textId="69D97B6B"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00B5552B" w:rsidRPr="00FA31E0">
              <w:rPr>
                <w:rFonts w:ascii="Arial Narrow" w:eastAsia="Times New Roman" w:hAnsi="Arial Narrow" w:cs="Arial"/>
                <w:b/>
                <w:bCs/>
                <w:color w:val="000000"/>
                <w:sz w:val="20"/>
                <w:szCs w:val="20"/>
                <w:vertAlign w:val="superscript"/>
                <w:lang w:eastAsia="en-AU"/>
              </w:rPr>
              <w:t>2</w:t>
            </w:r>
          </w:p>
        </w:tc>
        <w:tc>
          <w:tcPr>
            <w:tcW w:w="629" w:type="pct"/>
          </w:tcPr>
          <w:p w14:paraId="051E071A" w14:textId="30AB6ECE"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00B5552B" w:rsidRPr="00FA31E0">
              <w:rPr>
                <w:rFonts w:ascii="Arial Narrow" w:eastAsia="Times New Roman" w:hAnsi="Arial Narrow" w:cs="Arial"/>
                <w:b/>
                <w:bCs/>
                <w:color w:val="000000"/>
                <w:sz w:val="20"/>
                <w:szCs w:val="20"/>
                <w:vertAlign w:val="superscript"/>
                <w:lang w:eastAsia="en-AU"/>
              </w:rPr>
              <w:t>2</w:t>
            </w:r>
          </w:p>
        </w:tc>
        <w:tc>
          <w:tcPr>
            <w:tcW w:w="631" w:type="pct"/>
          </w:tcPr>
          <w:p w14:paraId="6C0330F5" w14:textId="4E9586A0"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00B5552B" w:rsidRPr="00FA31E0">
              <w:rPr>
                <w:rFonts w:ascii="Arial Narrow" w:eastAsia="Times New Roman" w:hAnsi="Arial Narrow" w:cs="Arial"/>
                <w:b/>
                <w:bCs/>
                <w:color w:val="000000"/>
                <w:sz w:val="20"/>
                <w:szCs w:val="20"/>
                <w:vertAlign w:val="superscript"/>
                <w:lang w:eastAsia="en-AU"/>
              </w:rPr>
              <w:t>2</w:t>
            </w:r>
          </w:p>
        </w:tc>
        <w:tc>
          <w:tcPr>
            <w:tcW w:w="628" w:type="pct"/>
          </w:tcPr>
          <w:p w14:paraId="517A0FE7" w14:textId="0060F099"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00B5552B" w:rsidRPr="00FA31E0">
              <w:rPr>
                <w:rFonts w:ascii="Arial Narrow" w:eastAsia="Times New Roman" w:hAnsi="Arial Narrow" w:cs="Arial"/>
                <w:b/>
                <w:bCs/>
                <w:color w:val="000000"/>
                <w:sz w:val="20"/>
                <w:szCs w:val="20"/>
                <w:vertAlign w:val="superscript"/>
                <w:lang w:eastAsia="en-AU"/>
              </w:rPr>
              <w:t>2</w:t>
            </w:r>
          </w:p>
        </w:tc>
        <w:tc>
          <w:tcPr>
            <w:tcW w:w="599" w:type="pct"/>
          </w:tcPr>
          <w:p w14:paraId="52C0F625" w14:textId="2B3C2044" w:rsidR="004901DB" w:rsidRPr="00FA31E0" w:rsidRDefault="005C5508" w:rsidP="00BA023D">
            <w:pPr>
              <w:keepNext/>
              <w:keepLines/>
              <w:jc w:val="both"/>
              <w:rPr>
                <w:rFonts w:ascii="Arial Narrow" w:hAnsi="Arial Narrow"/>
                <w:sz w:val="20"/>
                <w:szCs w:val="20"/>
              </w:rPr>
            </w:pPr>
            <w:r w:rsidRPr="00FA31E0">
              <w:rPr>
                <w:rFonts w:ascii="Arial Narrow" w:eastAsia="Times New Roman" w:hAnsi="Arial Narrow" w:cs="Arial"/>
                <w:b/>
                <w:bCs/>
                <w:color w:val="000000"/>
                <w:sz w:val="20"/>
                <w:szCs w:val="20"/>
                <w:lang w:eastAsia="en-AU"/>
              </w:rPr>
              <w:t>Redacted</w:t>
            </w:r>
            <w:r w:rsidR="00B5552B" w:rsidRPr="00FA31E0">
              <w:rPr>
                <w:rFonts w:ascii="Arial Narrow" w:eastAsia="Times New Roman" w:hAnsi="Arial Narrow" w:cs="Arial"/>
                <w:b/>
                <w:bCs/>
                <w:color w:val="000000"/>
                <w:sz w:val="20"/>
                <w:szCs w:val="20"/>
                <w:vertAlign w:val="superscript"/>
                <w:lang w:eastAsia="en-AU"/>
              </w:rPr>
              <w:t>2</w:t>
            </w:r>
          </w:p>
        </w:tc>
      </w:tr>
      <w:tr w:rsidR="005C5508" w:rsidRPr="00B16704" w14:paraId="425A0ADC" w14:textId="77777777" w:rsidTr="004025E1">
        <w:tc>
          <w:tcPr>
            <w:tcW w:w="1255" w:type="pct"/>
          </w:tcPr>
          <w:p w14:paraId="272AF894" w14:textId="3CAE9FE7" w:rsidR="004901DB" w:rsidRPr="00FA31E0" w:rsidRDefault="004901DB" w:rsidP="00BA023D">
            <w:pPr>
              <w:keepNext/>
              <w:keepLines/>
              <w:jc w:val="both"/>
              <w:rPr>
                <w:rFonts w:ascii="Arial Narrow" w:hAnsi="Arial Narrow"/>
                <w:sz w:val="20"/>
                <w:szCs w:val="20"/>
                <w:vertAlign w:val="superscript"/>
              </w:rPr>
            </w:pPr>
            <w:r w:rsidRPr="00FA31E0">
              <w:rPr>
                <w:rFonts w:ascii="Arial Narrow" w:hAnsi="Arial Narrow"/>
                <w:sz w:val="20"/>
                <w:szCs w:val="20"/>
              </w:rPr>
              <w:t>Cost to MBS</w:t>
            </w:r>
            <w:r w:rsidR="0058742B" w:rsidRPr="00FA31E0">
              <w:rPr>
                <w:rFonts w:ascii="Arial Narrow" w:hAnsi="Arial Narrow"/>
                <w:sz w:val="20"/>
                <w:szCs w:val="20"/>
              </w:rPr>
              <w:t xml:space="preserve"> of </w:t>
            </w:r>
            <w:r w:rsidR="0058742B" w:rsidRPr="00FA31E0">
              <w:rPr>
                <w:rFonts w:ascii="Arial Narrow" w:hAnsi="Arial Narrow"/>
                <w:i/>
                <w:iCs/>
                <w:sz w:val="20"/>
                <w:szCs w:val="20"/>
              </w:rPr>
              <w:t>FGFR2</w:t>
            </w:r>
            <w:r w:rsidR="0058742B" w:rsidRPr="00FA31E0">
              <w:rPr>
                <w:rFonts w:ascii="Arial Narrow" w:hAnsi="Arial Narrow"/>
                <w:sz w:val="20"/>
                <w:szCs w:val="20"/>
              </w:rPr>
              <w:t xml:space="preserve"> testing</w:t>
            </w:r>
            <w:r w:rsidRPr="00FA31E0">
              <w:rPr>
                <w:rFonts w:ascii="Arial Narrow" w:hAnsi="Arial Narrow"/>
                <w:sz w:val="20"/>
                <w:szCs w:val="20"/>
              </w:rPr>
              <w:t xml:space="preserve"> if testing is done at </w:t>
            </w:r>
            <w:proofErr w:type="spellStart"/>
            <w:r w:rsidRPr="00FA31E0">
              <w:rPr>
                <w:rFonts w:ascii="Arial Narrow" w:hAnsi="Arial Narrow"/>
                <w:sz w:val="20"/>
                <w:szCs w:val="20"/>
              </w:rPr>
              <w:t>diagnosis</w:t>
            </w:r>
            <w:r w:rsidR="00291B0A" w:rsidRPr="00FA31E0">
              <w:rPr>
                <w:rFonts w:ascii="Arial Narrow" w:hAnsi="Arial Narrow"/>
                <w:sz w:val="20"/>
                <w:szCs w:val="20"/>
                <w:vertAlign w:val="superscript"/>
              </w:rPr>
              <w:t>d</w:t>
            </w:r>
            <w:proofErr w:type="spellEnd"/>
            <w:r w:rsidR="49235602" w:rsidRPr="00FA31E0">
              <w:rPr>
                <w:rFonts w:ascii="Arial Narrow" w:hAnsi="Arial Narrow"/>
                <w:sz w:val="20"/>
                <w:szCs w:val="20"/>
                <w:vertAlign w:val="superscript"/>
              </w:rPr>
              <w:t xml:space="preserve"> </w:t>
            </w:r>
          </w:p>
        </w:tc>
        <w:tc>
          <w:tcPr>
            <w:tcW w:w="629" w:type="pct"/>
          </w:tcPr>
          <w:p w14:paraId="368F0036" w14:textId="3887568A" w:rsidR="004901DB" w:rsidRPr="00FA31E0" w:rsidRDefault="004901DB" w:rsidP="00BA023D">
            <w:pPr>
              <w:keepNext/>
              <w:keepLines/>
              <w:jc w:val="both"/>
              <w:rPr>
                <w:rFonts w:ascii="Arial Narrow" w:hAnsi="Arial Narrow"/>
                <w:sz w:val="20"/>
                <w:szCs w:val="20"/>
              </w:rPr>
            </w:pPr>
            <w:r w:rsidRPr="00FA31E0">
              <w:rPr>
                <w:rFonts w:ascii="Arial Narrow" w:hAnsi="Arial Narrow"/>
                <w:sz w:val="20"/>
                <w:szCs w:val="20"/>
              </w:rPr>
              <w:t>$</w:t>
            </w:r>
            <w:r w:rsidR="005C5508" w:rsidRPr="00FA31E0">
              <w:rPr>
                <w:rFonts w:ascii="Arial Narrow" w:eastAsia="Times New Roman" w:hAnsi="Arial Narrow" w:cs="Arial"/>
                <w:b/>
                <w:bCs/>
                <w:color w:val="000000"/>
                <w:sz w:val="20"/>
                <w:szCs w:val="20"/>
                <w:lang w:eastAsia="en-AU"/>
              </w:rPr>
              <w:t>Redacted</w:t>
            </w:r>
            <w:r w:rsidR="005C5508" w:rsidRPr="00FA31E0">
              <w:rPr>
                <w:rFonts w:ascii="Arial Narrow" w:eastAsia="Times New Roman" w:hAnsi="Arial Narrow" w:cs="Arial"/>
                <w:b/>
                <w:bCs/>
                <w:color w:val="000000"/>
                <w:sz w:val="20"/>
                <w:szCs w:val="20"/>
                <w:vertAlign w:val="superscript"/>
                <w:lang w:eastAsia="en-AU"/>
              </w:rPr>
              <w:t>3</w:t>
            </w:r>
          </w:p>
        </w:tc>
        <w:tc>
          <w:tcPr>
            <w:tcW w:w="629" w:type="pct"/>
          </w:tcPr>
          <w:p w14:paraId="2707E52B" w14:textId="5D0ECEF9"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9" w:type="pct"/>
          </w:tcPr>
          <w:p w14:paraId="74EF7C62" w14:textId="1394D68E"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31" w:type="pct"/>
          </w:tcPr>
          <w:p w14:paraId="2283ACAC" w14:textId="44787F63"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8" w:type="pct"/>
          </w:tcPr>
          <w:p w14:paraId="3083F9B5" w14:textId="643DCE1F"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599" w:type="pct"/>
          </w:tcPr>
          <w:p w14:paraId="520F6992" w14:textId="028BF0C3"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r>
      <w:tr w:rsidR="005C5508" w:rsidRPr="00B16704" w14:paraId="1E8608CF" w14:textId="77777777" w:rsidTr="004025E1">
        <w:tc>
          <w:tcPr>
            <w:tcW w:w="1255" w:type="pct"/>
          </w:tcPr>
          <w:p w14:paraId="7CDB7AD9" w14:textId="4DA020F6" w:rsidR="00A64FC4" w:rsidRPr="00FA31E0" w:rsidRDefault="00DE796C" w:rsidP="00BA023D">
            <w:pPr>
              <w:keepNext/>
              <w:keepLines/>
              <w:jc w:val="both"/>
              <w:rPr>
                <w:rFonts w:ascii="Arial Narrow" w:hAnsi="Arial Narrow"/>
                <w:sz w:val="20"/>
                <w:szCs w:val="20"/>
              </w:rPr>
            </w:pPr>
            <w:r w:rsidRPr="00FA31E0">
              <w:rPr>
                <w:rFonts w:ascii="Arial Narrow" w:hAnsi="Arial Narrow"/>
                <w:sz w:val="20"/>
                <w:szCs w:val="20"/>
              </w:rPr>
              <w:t>Cost to MBS</w:t>
            </w:r>
            <w:r w:rsidR="0058742B" w:rsidRPr="00FA31E0">
              <w:rPr>
                <w:rFonts w:ascii="Arial Narrow" w:hAnsi="Arial Narrow"/>
                <w:sz w:val="20"/>
                <w:szCs w:val="20"/>
              </w:rPr>
              <w:t xml:space="preserve"> of </w:t>
            </w:r>
            <w:r w:rsidR="0058742B" w:rsidRPr="00FA31E0">
              <w:rPr>
                <w:rFonts w:ascii="Arial Narrow" w:hAnsi="Arial Narrow"/>
                <w:i/>
                <w:iCs/>
                <w:sz w:val="20"/>
                <w:szCs w:val="20"/>
              </w:rPr>
              <w:t>FGFR2</w:t>
            </w:r>
            <w:r w:rsidR="0058742B" w:rsidRPr="00FA31E0">
              <w:rPr>
                <w:rFonts w:ascii="Arial Narrow" w:hAnsi="Arial Narrow"/>
                <w:sz w:val="20"/>
                <w:szCs w:val="20"/>
              </w:rPr>
              <w:t xml:space="preserve"> testing</w:t>
            </w:r>
            <w:r w:rsidRPr="00FA31E0">
              <w:rPr>
                <w:rFonts w:ascii="Arial Narrow" w:hAnsi="Arial Narrow"/>
                <w:sz w:val="20"/>
                <w:szCs w:val="20"/>
              </w:rPr>
              <w:t xml:space="preserve"> if testing is done at </w:t>
            </w:r>
            <w:r w:rsidR="008B27EC" w:rsidRPr="00FA31E0">
              <w:rPr>
                <w:rFonts w:ascii="Arial Narrow" w:hAnsi="Arial Narrow"/>
                <w:sz w:val="20"/>
                <w:szCs w:val="20"/>
              </w:rPr>
              <w:t>locally advanced</w:t>
            </w:r>
            <w:r w:rsidR="008132E3" w:rsidRPr="00FA31E0">
              <w:rPr>
                <w:rFonts w:ascii="Arial Narrow" w:hAnsi="Arial Narrow"/>
                <w:sz w:val="20"/>
                <w:szCs w:val="20"/>
              </w:rPr>
              <w:t>, met</w:t>
            </w:r>
            <w:r w:rsidR="00DD509A" w:rsidRPr="00FA31E0">
              <w:rPr>
                <w:rFonts w:ascii="Arial Narrow" w:hAnsi="Arial Narrow"/>
                <w:sz w:val="20"/>
                <w:szCs w:val="20"/>
              </w:rPr>
              <w:t>ast</w:t>
            </w:r>
            <w:r w:rsidR="00EE2341" w:rsidRPr="00FA31E0">
              <w:rPr>
                <w:rFonts w:ascii="Arial Narrow" w:hAnsi="Arial Narrow"/>
                <w:sz w:val="20"/>
                <w:szCs w:val="20"/>
              </w:rPr>
              <w:t xml:space="preserve">atic </w:t>
            </w:r>
            <w:proofErr w:type="spellStart"/>
            <w:r w:rsidR="00EE2341" w:rsidRPr="00FA31E0">
              <w:rPr>
                <w:rFonts w:ascii="Arial Narrow" w:hAnsi="Arial Narrow"/>
                <w:sz w:val="20"/>
                <w:szCs w:val="20"/>
              </w:rPr>
              <w:t>CCA</w:t>
            </w:r>
            <w:r w:rsidR="00291B0A" w:rsidRPr="00FA31E0">
              <w:rPr>
                <w:rFonts w:ascii="Arial Narrow" w:hAnsi="Arial Narrow"/>
                <w:sz w:val="20"/>
                <w:szCs w:val="20"/>
                <w:vertAlign w:val="superscript"/>
              </w:rPr>
              <w:t>d</w:t>
            </w:r>
            <w:proofErr w:type="spellEnd"/>
          </w:p>
        </w:tc>
        <w:tc>
          <w:tcPr>
            <w:tcW w:w="629" w:type="pct"/>
          </w:tcPr>
          <w:p w14:paraId="0B04CE32" w14:textId="0F752924" w:rsidR="00A64FC4"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9" w:type="pct"/>
          </w:tcPr>
          <w:p w14:paraId="52671547" w14:textId="42BD9C8F" w:rsidR="00A64FC4"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9" w:type="pct"/>
          </w:tcPr>
          <w:p w14:paraId="57A818B6" w14:textId="1B1EED73" w:rsidR="00A64FC4"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31" w:type="pct"/>
          </w:tcPr>
          <w:p w14:paraId="66C8E8BD" w14:textId="5E1564B8" w:rsidR="00A64FC4"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8" w:type="pct"/>
          </w:tcPr>
          <w:p w14:paraId="449586B5" w14:textId="3E69AC27" w:rsidR="00A64FC4"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599" w:type="pct"/>
          </w:tcPr>
          <w:p w14:paraId="375DA4BF" w14:textId="6C8D8D06" w:rsidR="00A64FC4"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r>
      <w:tr w:rsidR="005C5508" w:rsidRPr="00B16704" w14:paraId="16DF5D93" w14:textId="77777777" w:rsidTr="004025E1">
        <w:tc>
          <w:tcPr>
            <w:tcW w:w="1255" w:type="pct"/>
          </w:tcPr>
          <w:p w14:paraId="4792E38B" w14:textId="0D68169E" w:rsidR="004901DB" w:rsidRPr="00FA31E0" w:rsidRDefault="004901DB" w:rsidP="00BA023D">
            <w:pPr>
              <w:keepNext/>
              <w:keepLines/>
              <w:jc w:val="both"/>
              <w:rPr>
                <w:rFonts w:ascii="Arial Narrow" w:hAnsi="Arial Narrow"/>
                <w:sz w:val="20"/>
                <w:szCs w:val="20"/>
              </w:rPr>
            </w:pPr>
            <w:r w:rsidRPr="00FA31E0">
              <w:rPr>
                <w:rFonts w:ascii="Arial Narrow" w:hAnsi="Arial Narrow"/>
                <w:sz w:val="20"/>
                <w:szCs w:val="20"/>
              </w:rPr>
              <w:t>Cost to MBS</w:t>
            </w:r>
            <w:r w:rsidR="0058742B" w:rsidRPr="00FA31E0">
              <w:rPr>
                <w:rFonts w:ascii="Arial Narrow" w:hAnsi="Arial Narrow"/>
                <w:sz w:val="20"/>
                <w:szCs w:val="20"/>
              </w:rPr>
              <w:t xml:space="preserve"> of </w:t>
            </w:r>
            <w:r w:rsidR="0058742B" w:rsidRPr="00FA31E0">
              <w:rPr>
                <w:rFonts w:ascii="Arial Narrow" w:hAnsi="Arial Narrow"/>
                <w:i/>
                <w:iCs/>
                <w:sz w:val="20"/>
                <w:szCs w:val="20"/>
              </w:rPr>
              <w:t>FGFR2</w:t>
            </w:r>
            <w:r w:rsidR="0058742B" w:rsidRPr="00FA31E0">
              <w:rPr>
                <w:rFonts w:ascii="Arial Narrow" w:hAnsi="Arial Narrow"/>
                <w:sz w:val="20"/>
                <w:szCs w:val="20"/>
              </w:rPr>
              <w:t xml:space="preserve"> testing</w:t>
            </w:r>
            <w:r w:rsidRPr="00FA31E0">
              <w:rPr>
                <w:rFonts w:ascii="Arial Narrow" w:hAnsi="Arial Narrow"/>
                <w:sz w:val="20"/>
                <w:szCs w:val="20"/>
              </w:rPr>
              <w:t xml:space="preserve"> if test</w:t>
            </w:r>
            <w:r w:rsidR="00BB7665" w:rsidRPr="00FA31E0">
              <w:rPr>
                <w:rFonts w:ascii="Arial Narrow" w:hAnsi="Arial Narrow"/>
                <w:sz w:val="20"/>
                <w:szCs w:val="20"/>
              </w:rPr>
              <w:t>ed at diagnosis and test</w:t>
            </w:r>
            <w:r w:rsidRPr="00FA31E0">
              <w:rPr>
                <w:rFonts w:ascii="Arial Narrow" w:hAnsi="Arial Narrow"/>
                <w:sz w:val="20"/>
                <w:szCs w:val="20"/>
              </w:rPr>
              <w:t xml:space="preserve"> price increases to $124</w:t>
            </w:r>
            <w:r w:rsidR="00AB39E7" w:rsidRPr="00FA31E0">
              <w:rPr>
                <w:rFonts w:ascii="Arial Narrow" w:hAnsi="Arial Narrow"/>
                <w:sz w:val="20"/>
                <w:szCs w:val="20"/>
              </w:rPr>
              <w:t>7</w:t>
            </w:r>
            <w:r w:rsidR="00291B0A" w:rsidRPr="00FA31E0">
              <w:rPr>
                <w:rFonts w:ascii="Arial Narrow" w:hAnsi="Arial Narrow"/>
                <w:sz w:val="20"/>
                <w:szCs w:val="20"/>
                <w:vertAlign w:val="superscript"/>
              </w:rPr>
              <w:t>e</w:t>
            </w:r>
          </w:p>
        </w:tc>
        <w:tc>
          <w:tcPr>
            <w:tcW w:w="629" w:type="pct"/>
          </w:tcPr>
          <w:p w14:paraId="693026FB" w14:textId="422C94B9"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9" w:type="pct"/>
          </w:tcPr>
          <w:p w14:paraId="77546311" w14:textId="51510CF6"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9" w:type="pct"/>
          </w:tcPr>
          <w:p w14:paraId="7B6974FD" w14:textId="55B1751D"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31" w:type="pct"/>
          </w:tcPr>
          <w:p w14:paraId="17BA0AD2" w14:textId="51DA395B"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628" w:type="pct"/>
          </w:tcPr>
          <w:p w14:paraId="573DC5F9" w14:textId="2B6D34B5"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c>
          <w:tcPr>
            <w:tcW w:w="599" w:type="pct"/>
          </w:tcPr>
          <w:p w14:paraId="77E0B752" w14:textId="6FD0C969" w:rsidR="004901DB" w:rsidRPr="00FA31E0" w:rsidRDefault="005C5508" w:rsidP="00BA023D">
            <w:pPr>
              <w:keepNext/>
              <w:keepLines/>
              <w:jc w:val="both"/>
              <w:rPr>
                <w:rFonts w:ascii="Arial Narrow" w:hAnsi="Arial Narrow"/>
                <w:sz w:val="20"/>
                <w:szCs w:val="20"/>
              </w:rPr>
            </w:pPr>
            <w:r w:rsidRPr="00FA31E0">
              <w:rPr>
                <w:rFonts w:ascii="Arial Narrow" w:hAnsi="Arial Narrow"/>
                <w:sz w:val="20"/>
                <w:szCs w:val="20"/>
              </w:rPr>
              <w:t>$</w:t>
            </w:r>
            <w:r w:rsidRPr="00FA31E0">
              <w:rPr>
                <w:rFonts w:ascii="Arial Narrow" w:eastAsia="Times New Roman" w:hAnsi="Arial Narrow" w:cs="Arial"/>
                <w:b/>
                <w:bCs/>
                <w:color w:val="000000"/>
                <w:sz w:val="20"/>
                <w:szCs w:val="20"/>
                <w:lang w:eastAsia="en-AU"/>
              </w:rPr>
              <w:t>Redacted</w:t>
            </w:r>
            <w:r w:rsidRPr="00FA31E0">
              <w:rPr>
                <w:rFonts w:ascii="Arial Narrow" w:eastAsia="Times New Roman" w:hAnsi="Arial Narrow" w:cs="Arial"/>
                <w:b/>
                <w:bCs/>
                <w:color w:val="000000"/>
                <w:sz w:val="20"/>
                <w:szCs w:val="20"/>
                <w:vertAlign w:val="superscript"/>
                <w:lang w:eastAsia="en-AU"/>
              </w:rPr>
              <w:t>3</w:t>
            </w:r>
          </w:p>
        </w:tc>
      </w:tr>
    </w:tbl>
    <w:p w14:paraId="35A7FB66" w14:textId="37CBB668" w:rsidR="005C23B5" w:rsidRPr="001F0309" w:rsidRDefault="00291B0A" w:rsidP="00BA023D">
      <w:pPr>
        <w:pStyle w:val="TableFooter"/>
        <w:keepNext/>
        <w:keepLines/>
      </w:pPr>
      <w:proofErr w:type="spellStart"/>
      <w:proofErr w:type="gramStart"/>
      <w:r>
        <w:rPr>
          <w:vertAlign w:val="superscript"/>
        </w:rPr>
        <w:t>a</w:t>
      </w:r>
      <w:proofErr w:type="spellEnd"/>
      <w:r w:rsidR="000F6A4B" w:rsidRPr="001F0309">
        <w:rPr>
          <w:vertAlign w:val="superscript"/>
        </w:rPr>
        <w:t xml:space="preserve">  </w:t>
      </w:r>
      <w:r w:rsidR="000F6A4B" w:rsidRPr="001F0309">
        <w:t>Information</w:t>
      </w:r>
      <w:proofErr w:type="gramEnd"/>
      <w:r w:rsidR="000F6A4B" w:rsidRPr="001F0309">
        <w:t xml:space="preserve"> sourced from PBAC </w:t>
      </w:r>
      <w:r w:rsidR="0EC06185" w:rsidRPr="001F0309">
        <w:t xml:space="preserve">early re-entry </w:t>
      </w:r>
      <w:r w:rsidR="000F6A4B" w:rsidRPr="001F0309">
        <w:t>submission</w:t>
      </w:r>
      <w:r w:rsidR="00B4030B" w:rsidRPr="001F0309">
        <w:t xml:space="preserve"> </w:t>
      </w:r>
    </w:p>
    <w:p w14:paraId="3608EC4E" w14:textId="1D2197F6" w:rsidR="000F6A4B" w:rsidRPr="001F0309" w:rsidRDefault="00291B0A" w:rsidP="00BA023D">
      <w:pPr>
        <w:pStyle w:val="TableFooter"/>
        <w:keepNext/>
        <w:keepLines/>
      </w:pPr>
      <w:r>
        <w:rPr>
          <w:vertAlign w:val="superscript"/>
        </w:rPr>
        <w:t>b</w:t>
      </w:r>
      <w:r w:rsidR="00526B4B" w:rsidRPr="001F0309">
        <w:rPr>
          <w:vertAlign w:val="superscript"/>
        </w:rPr>
        <w:t xml:space="preserve"> </w:t>
      </w:r>
      <w:proofErr w:type="gramStart"/>
      <w:r w:rsidR="00833E8C" w:rsidRPr="001F0309">
        <w:t>The</w:t>
      </w:r>
      <w:proofErr w:type="gramEnd"/>
      <w:r w:rsidR="00833E8C" w:rsidRPr="001F0309">
        <w:t xml:space="preserve"> original submission did not present an estimate of number of patients tested. During the evaluation the implied estimates were calculated based on the submission’s estimate of number of units of testing presented in the financial workbook, which was estimated by multiplying the number of patient years of futibatinib treatment in the incident population (12.5 months; 1.04 patient years per patient treated) by 500% (based on an assumed 20% prevalence).</w:t>
      </w:r>
    </w:p>
    <w:p w14:paraId="332371C3" w14:textId="2CCF8C97" w:rsidR="00C22764" w:rsidRPr="001F0309" w:rsidRDefault="00291B0A" w:rsidP="00BA023D">
      <w:pPr>
        <w:pStyle w:val="TableFooter"/>
        <w:keepNext/>
        <w:keepLines/>
      </w:pPr>
      <w:r>
        <w:rPr>
          <w:vertAlign w:val="superscript"/>
        </w:rPr>
        <w:t>c</w:t>
      </w:r>
      <w:r w:rsidR="00C22764" w:rsidRPr="001F0309">
        <w:rPr>
          <w:vertAlign w:val="superscript"/>
        </w:rPr>
        <w:t xml:space="preserve"> </w:t>
      </w:r>
      <w:r w:rsidR="00B4030B" w:rsidRPr="001F0309">
        <w:t>200% increase from original submission</w:t>
      </w:r>
    </w:p>
    <w:p w14:paraId="7AC0E73E" w14:textId="315136A0" w:rsidR="003E70D2" w:rsidRPr="001F0309" w:rsidRDefault="00291B0A" w:rsidP="00BA023D">
      <w:pPr>
        <w:pStyle w:val="TableFooter"/>
        <w:keepNext/>
        <w:keepLines/>
      </w:pPr>
      <w:r>
        <w:rPr>
          <w:vertAlign w:val="superscript"/>
        </w:rPr>
        <w:t>d</w:t>
      </w:r>
      <w:r w:rsidR="003E70D2" w:rsidRPr="001F0309">
        <w:t xml:space="preserve"> </w:t>
      </w:r>
      <w:r w:rsidR="001004A1" w:rsidRPr="001F0309">
        <w:t xml:space="preserve">Calculated by </w:t>
      </w:r>
      <w:r w:rsidR="00D860FF" w:rsidRPr="001F0309">
        <w:t xml:space="preserve">Incident rate </w:t>
      </w:r>
      <w:r w:rsidR="001004A1" w:rsidRPr="001F0309">
        <w:t xml:space="preserve">x test </w:t>
      </w:r>
      <w:r w:rsidR="00584EDE" w:rsidRPr="001F0309">
        <w:t>price</w:t>
      </w:r>
      <w:r w:rsidR="005E3CBB" w:rsidRPr="001F0309">
        <w:t xml:space="preserve"> ($545</w:t>
      </w:r>
      <w:r w:rsidR="008777D1" w:rsidRPr="001F0309">
        <w:t>, at 80% MBS rebate</w:t>
      </w:r>
      <w:r w:rsidR="005E3CBB" w:rsidRPr="001F0309">
        <w:t>)</w:t>
      </w:r>
      <w:r w:rsidR="0058742B" w:rsidRPr="001F0309">
        <w:t xml:space="preserve">. Note that this does not include costs to the MBS for </w:t>
      </w:r>
      <w:r w:rsidR="0058742B" w:rsidRPr="00B16704">
        <w:t>optical coherence tomography</w:t>
      </w:r>
      <w:r w:rsidR="0007065C" w:rsidRPr="001F0309">
        <w:t xml:space="preserve"> no</w:t>
      </w:r>
      <w:r w:rsidR="0058742B" w:rsidRPr="001F0309">
        <w:t>r cost</w:t>
      </w:r>
      <w:r w:rsidR="0007065C" w:rsidRPr="001F0309">
        <w:t xml:space="preserve"> offsets to the MBS </w:t>
      </w:r>
      <w:r w:rsidR="0058742B" w:rsidRPr="001F0309">
        <w:t>from reduction in FOLFOX administration</w:t>
      </w:r>
      <w:r w:rsidR="005D66D0" w:rsidRPr="001F0309">
        <w:t>.</w:t>
      </w:r>
    </w:p>
    <w:p w14:paraId="740BD9E3" w14:textId="13A973B1" w:rsidR="00086666" w:rsidRDefault="00291B0A" w:rsidP="004025E1">
      <w:pPr>
        <w:pStyle w:val="TableFooter"/>
        <w:keepNext/>
        <w:keepLines/>
        <w:spacing w:after="0"/>
      </w:pPr>
      <w:r>
        <w:rPr>
          <w:vertAlign w:val="superscript"/>
        </w:rPr>
        <w:t>e</w:t>
      </w:r>
      <w:r w:rsidR="00086666" w:rsidRPr="001F0309">
        <w:t xml:space="preserve"> Calculated by Incident rate x test price ($</w:t>
      </w:r>
      <w:r w:rsidR="00AB39E7" w:rsidRPr="001F0309">
        <w:t>1247</w:t>
      </w:r>
      <w:r w:rsidR="00086666" w:rsidRPr="001F0309">
        <w:t>, at 80% MBS rebate)</w:t>
      </w:r>
      <w:r w:rsidR="0058742B" w:rsidRPr="001F0309">
        <w:t xml:space="preserve">. Note that this does not include costs to the MBS for </w:t>
      </w:r>
      <w:r w:rsidR="0058742B" w:rsidRPr="00B16704">
        <w:t>optical coherence tomography</w:t>
      </w:r>
      <w:r w:rsidR="00086666" w:rsidRPr="001F0309">
        <w:t xml:space="preserve"> no</w:t>
      </w:r>
      <w:r w:rsidR="0058742B" w:rsidRPr="001F0309">
        <w:t>r cost</w:t>
      </w:r>
      <w:r w:rsidR="00086666" w:rsidRPr="001F0309">
        <w:t xml:space="preserve"> offsets to the MBS </w:t>
      </w:r>
      <w:r w:rsidR="0058742B" w:rsidRPr="001F0309">
        <w:t>from reduction in FOLFOX administration</w:t>
      </w:r>
      <w:r w:rsidR="00086666" w:rsidRPr="001F0309">
        <w:t>.</w:t>
      </w:r>
    </w:p>
    <w:p w14:paraId="2225A831" w14:textId="77777777" w:rsidR="005C5508" w:rsidRPr="00F65B8B" w:rsidRDefault="005C5508" w:rsidP="004025E1">
      <w:pPr>
        <w:tabs>
          <w:tab w:val="left" w:pos="284"/>
        </w:tabs>
        <w:spacing w:before="0" w:after="0" w:line="240" w:lineRule="auto"/>
        <w:jc w:val="both"/>
        <w:rPr>
          <w:rFonts w:ascii="Arial Narrow" w:eastAsia="Times New Roman" w:hAnsi="Arial Narrow" w:cs="Arial"/>
          <w:i/>
          <w:iCs/>
          <w:snapToGrid w:val="0"/>
          <w:color w:val="0D0D0D"/>
          <w:sz w:val="18"/>
          <w:szCs w:val="18"/>
          <w:lang w:eastAsia="en-AU"/>
        </w:rPr>
      </w:pPr>
      <w:r w:rsidRPr="00F65B8B">
        <w:rPr>
          <w:rFonts w:ascii="Arial Narrow" w:eastAsia="Times New Roman" w:hAnsi="Arial Narrow" w:cs="Arial"/>
          <w:i/>
          <w:iCs/>
          <w:snapToGrid w:val="0"/>
          <w:color w:val="0D0D0D"/>
          <w:sz w:val="18"/>
          <w:szCs w:val="18"/>
          <w:lang w:eastAsia="en-AU"/>
        </w:rPr>
        <w:t>The redacted values correspond to the following ranges:</w:t>
      </w:r>
    </w:p>
    <w:p w14:paraId="19B232E6" w14:textId="77777777" w:rsidR="005C5508" w:rsidRPr="00F65B8B" w:rsidRDefault="005C5508" w:rsidP="005C5508">
      <w:pPr>
        <w:tabs>
          <w:tab w:val="left" w:pos="284"/>
        </w:tabs>
        <w:spacing w:before="0" w:after="0" w:line="240" w:lineRule="auto"/>
        <w:jc w:val="both"/>
        <w:rPr>
          <w:rFonts w:ascii="Arial Narrow" w:eastAsia="Times New Roman" w:hAnsi="Arial Narrow" w:cs="Arial"/>
          <w:i/>
          <w:iCs/>
          <w:snapToGrid w:val="0"/>
          <w:color w:val="0D0D0D"/>
          <w:sz w:val="18"/>
          <w:szCs w:val="18"/>
          <w:lang w:eastAsia="en-AU"/>
        </w:rPr>
      </w:pPr>
      <w:r w:rsidRPr="00F65B8B">
        <w:rPr>
          <w:rFonts w:ascii="Arial Narrow" w:eastAsia="Times New Roman" w:hAnsi="Arial Narrow" w:cs="Arial"/>
          <w:i/>
          <w:iCs/>
          <w:snapToGrid w:val="0"/>
          <w:color w:val="0D0D0D"/>
          <w:sz w:val="18"/>
          <w:szCs w:val="18"/>
          <w:vertAlign w:val="superscript"/>
          <w:lang w:eastAsia="en-AU"/>
        </w:rPr>
        <w:t>1</w:t>
      </w:r>
      <w:r w:rsidRPr="00F65B8B">
        <w:rPr>
          <w:rFonts w:ascii="Arial Narrow" w:eastAsia="Times New Roman" w:hAnsi="Arial Narrow" w:cs="Arial"/>
          <w:i/>
          <w:iCs/>
          <w:snapToGrid w:val="0"/>
          <w:color w:val="0D0D0D"/>
          <w:sz w:val="18"/>
          <w:szCs w:val="18"/>
          <w:lang w:eastAsia="en-AU"/>
        </w:rPr>
        <w:t>&lt; 500</w:t>
      </w:r>
    </w:p>
    <w:p w14:paraId="645765E3" w14:textId="77777777" w:rsidR="005C5508" w:rsidRPr="00F65B8B" w:rsidRDefault="005C5508" w:rsidP="005C5508">
      <w:pPr>
        <w:tabs>
          <w:tab w:val="left" w:pos="284"/>
        </w:tabs>
        <w:spacing w:before="0" w:after="0" w:line="240" w:lineRule="auto"/>
        <w:jc w:val="both"/>
        <w:rPr>
          <w:rFonts w:ascii="Arial Narrow" w:eastAsia="Times New Roman" w:hAnsi="Arial Narrow" w:cs="Arial"/>
          <w:i/>
          <w:iCs/>
          <w:snapToGrid w:val="0"/>
          <w:color w:val="0D0D0D"/>
          <w:sz w:val="18"/>
          <w:szCs w:val="18"/>
          <w:lang w:eastAsia="en-AU"/>
        </w:rPr>
      </w:pPr>
      <w:r w:rsidRPr="00F65B8B">
        <w:rPr>
          <w:rFonts w:ascii="Arial Narrow" w:eastAsia="Times New Roman" w:hAnsi="Arial Narrow" w:cs="Arial"/>
          <w:i/>
          <w:iCs/>
          <w:snapToGrid w:val="0"/>
          <w:color w:val="0D0D0D"/>
          <w:sz w:val="18"/>
          <w:szCs w:val="18"/>
          <w:vertAlign w:val="superscript"/>
          <w:lang w:eastAsia="en-AU"/>
        </w:rPr>
        <w:t>2</w:t>
      </w:r>
      <w:r w:rsidRPr="00F65B8B">
        <w:rPr>
          <w:rFonts w:ascii="Arial Narrow" w:eastAsia="Times New Roman" w:hAnsi="Arial Narrow" w:cs="Arial"/>
          <w:i/>
          <w:iCs/>
          <w:snapToGrid w:val="0"/>
          <w:color w:val="0D0D0D"/>
          <w:sz w:val="18"/>
          <w:szCs w:val="18"/>
          <w:lang w:eastAsia="en-AU"/>
        </w:rPr>
        <w:t>500 to &lt; 5,000</w:t>
      </w:r>
    </w:p>
    <w:p w14:paraId="42A2D974" w14:textId="579EF570" w:rsidR="005C5508" w:rsidRPr="004025E1" w:rsidRDefault="005C5508" w:rsidP="004025E1">
      <w:pPr>
        <w:spacing w:before="0"/>
      </w:pPr>
      <w:r w:rsidRPr="00F65B8B">
        <w:rPr>
          <w:rFonts w:ascii="Arial Narrow" w:eastAsia="Times New Roman" w:hAnsi="Arial Narrow" w:cs="Arial"/>
          <w:i/>
          <w:iCs/>
          <w:snapToGrid w:val="0"/>
          <w:color w:val="0D0D0D"/>
          <w:sz w:val="18"/>
          <w:szCs w:val="18"/>
          <w:vertAlign w:val="superscript"/>
          <w:lang w:eastAsia="en-AU"/>
        </w:rPr>
        <w:t>3</w:t>
      </w:r>
      <w:r w:rsidRPr="00F65B8B">
        <w:rPr>
          <w:rFonts w:ascii="Arial Narrow" w:eastAsia="Times New Roman" w:hAnsi="Arial Narrow" w:cs="Arial"/>
          <w:i/>
          <w:iCs/>
          <w:snapToGrid w:val="0"/>
          <w:color w:val="0D0D0D"/>
          <w:sz w:val="18"/>
          <w:szCs w:val="18"/>
          <w:lang w:eastAsia="en-AU"/>
        </w:rPr>
        <w:t>$0 to &lt; $10 million</w:t>
      </w:r>
    </w:p>
    <w:p w14:paraId="7838A9FF" w14:textId="5A67AB2C" w:rsidR="00772829" w:rsidRPr="00CE28E3" w:rsidRDefault="00772829" w:rsidP="00EB026B">
      <w:pPr>
        <w:pStyle w:val="Heading2"/>
        <w:numPr>
          <w:ilvl w:val="0"/>
          <w:numId w:val="10"/>
        </w:numPr>
      </w:pPr>
      <w:bookmarkStart w:id="28" w:name="_Toc69491427"/>
      <w:r w:rsidRPr="00CE28E3">
        <w:t xml:space="preserve">Other relevant </w:t>
      </w:r>
      <w:bookmarkEnd w:id="28"/>
      <w:r w:rsidR="00FA5766">
        <w:t>information</w:t>
      </w:r>
    </w:p>
    <w:p w14:paraId="281E7328" w14:textId="2DF2850E" w:rsidR="007D6DDE" w:rsidRPr="001F0309" w:rsidRDefault="007D7722" w:rsidP="007233C0">
      <w:pPr>
        <w:jc w:val="both"/>
      </w:pPr>
      <w:r w:rsidRPr="001F0309">
        <w:fldChar w:fldCharType="begin"/>
      </w:r>
      <w:r w:rsidRPr="001F0309">
        <w:instrText xml:space="preserve"> REF _Ref203044357 \h </w:instrText>
      </w:r>
      <w:r w:rsidR="007036FA" w:rsidRPr="001F0309">
        <w:instrText xml:space="preserve"> \* MERGEFORMAT </w:instrText>
      </w:r>
      <w:r w:rsidRPr="001F0309">
        <w:fldChar w:fldCharType="separate"/>
      </w:r>
      <w:r w:rsidRPr="001F0309">
        <w:t xml:space="preserve">Table </w:t>
      </w:r>
      <w:r w:rsidRPr="001F0309">
        <w:rPr>
          <w:noProof/>
        </w:rPr>
        <w:t>8</w:t>
      </w:r>
      <w:r w:rsidRPr="001F0309">
        <w:fldChar w:fldCharType="end"/>
      </w:r>
      <w:r w:rsidRPr="001F0309">
        <w:t xml:space="preserve"> below </w:t>
      </w:r>
      <w:r w:rsidR="00C26C81" w:rsidRPr="001F0309">
        <w:t>is the estimated utilisation data and financial impact analysis from application 1750</w:t>
      </w:r>
      <w:r w:rsidR="000161BD" w:rsidRPr="001F0309">
        <w:t xml:space="preserve"> for </w:t>
      </w:r>
      <w:r w:rsidR="000161BD" w:rsidRPr="001F0309">
        <w:rPr>
          <w:i/>
          <w:iCs/>
        </w:rPr>
        <w:t>IDH1</w:t>
      </w:r>
      <w:r w:rsidR="000161BD" w:rsidRPr="001F0309">
        <w:t xml:space="preserve"> testing in CCA. </w:t>
      </w:r>
    </w:p>
    <w:p w14:paraId="2EA3D139" w14:textId="33BECEC7" w:rsidR="007D7722" w:rsidRDefault="007D7722" w:rsidP="00E219BC">
      <w:pPr>
        <w:pStyle w:val="Caption"/>
      </w:pPr>
      <w:bookmarkStart w:id="29" w:name="_Ref203044357"/>
      <w:r w:rsidRPr="001F0309">
        <w:lastRenderedPageBreak/>
        <w:t xml:space="preserve">Table </w:t>
      </w:r>
      <w:r>
        <w:fldChar w:fldCharType="begin"/>
      </w:r>
      <w:r>
        <w:instrText xml:space="preserve"> SEQ Table \* ARABIC </w:instrText>
      </w:r>
      <w:r>
        <w:fldChar w:fldCharType="separate"/>
      </w:r>
      <w:r w:rsidRPr="001F0309">
        <w:rPr>
          <w:noProof/>
        </w:rPr>
        <w:t>8</w:t>
      </w:r>
      <w:r>
        <w:rPr>
          <w:noProof/>
        </w:rPr>
        <w:fldChar w:fldCharType="end"/>
      </w:r>
      <w:bookmarkEnd w:id="29"/>
      <w:r w:rsidRPr="001F0309">
        <w:t xml:space="preserve"> - Estimated use and financial implications to the MBS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5"/>
        <w:gridCol w:w="1131"/>
        <w:gridCol w:w="1131"/>
        <w:gridCol w:w="1131"/>
        <w:gridCol w:w="1131"/>
        <w:gridCol w:w="1132"/>
        <w:gridCol w:w="945"/>
      </w:tblGrid>
      <w:tr w:rsidR="00BF5B03" w:rsidRPr="0086674B" w14:paraId="6B701B8D" w14:textId="77777777" w:rsidTr="00BF5B03">
        <w:trPr>
          <w:tblHeader/>
        </w:trPr>
        <w:tc>
          <w:tcPr>
            <w:tcW w:w="1351" w:type="pct"/>
            <w:vAlign w:val="center"/>
          </w:tcPr>
          <w:p w14:paraId="2C81B478"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p>
        </w:tc>
        <w:tc>
          <w:tcPr>
            <w:tcW w:w="639" w:type="pct"/>
            <w:vAlign w:val="center"/>
          </w:tcPr>
          <w:p w14:paraId="06F51E03"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r w:rsidRPr="0086674B">
              <w:rPr>
                <w:rFonts w:ascii="Arial Narrow" w:hAnsi="Arial Narrow" w:cs="Arial"/>
                <w:b/>
                <w:color w:val="0D0D0D"/>
                <w:sz w:val="20"/>
              </w:rPr>
              <w:t>Year 1</w:t>
            </w:r>
          </w:p>
        </w:tc>
        <w:tc>
          <w:tcPr>
            <w:tcW w:w="639" w:type="pct"/>
            <w:vAlign w:val="center"/>
          </w:tcPr>
          <w:p w14:paraId="048D1855"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r w:rsidRPr="0086674B">
              <w:rPr>
                <w:rFonts w:ascii="Arial Narrow" w:hAnsi="Arial Narrow" w:cs="Arial"/>
                <w:b/>
                <w:color w:val="0D0D0D"/>
                <w:sz w:val="20"/>
              </w:rPr>
              <w:t>Year 2</w:t>
            </w:r>
          </w:p>
        </w:tc>
        <w:tc>
          <w:tcPr>
            <w:tcW w:w="639" w:type="pct"/>
            <w:vAlign w:val="center"/>
          </w:tcPr>
          <w:p w14:paraId="33EB340B"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r w:rsidRPr="0086674B">
              <w:rPr>
                <w:rFonts w:ascii="Arial Narrow" w:hAnsi="Arial Narrow" w:cs="Arial"/>
                <w:b/>
                <w:color w:val="0D0D0D"/>
                <w:sz w:val="20"/>
              </w:rPr>
              <w:t>Year 3</w:t>
            </w:r>
          </w:p>
        </w:tc>
        <w:tc>
          <w:tcPr>
            <w:tcW w:w="639" w:type="pct"/>
            <w:vAlign w:val="center"/>
          </w:tcPr>
          <w:p w14:paraId="6138688E"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r w:rsidRPr="0086674B">
              <w:rPr>
                <w:rFonts w:ascii="Arial Narrow" w:hAnsi="Arial Narrow" w:cs="Arial"/>
                <w:b/>
                <w:color w:val="0D0D0D"/>
                <w:sz w:val="20"/>
              </w:rPr>
              <w:t>Year 4</w:t>
            </w:r>
          </w:p>
        </w:tc>
        <w:tc>
          <w:tcPr>
            <w:tcW w:w="639" w:type="pct"/>
            <w:vAlign w:val="center"/>
          </w:tcPr>
          <w:p w14:paraId="4C0FF244"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r w:rsidRPr="0086674B">
              <w:rPr>
                <w:rFonts w:ascii="Arial Narrow" w:hAnsi="Arial Narrow" w:cs="Arial"/>
                <w:b/>
                <w:color w:val="0D0D0D"/>
                <w:sz w:val="20"/>
              </w:rPr>
              <w:t>Year 5</w:t>
            </w:r>
          </w:p>
        </w:tc>
        <w:tc>
          <w:tcPr>
            <w:tcW w:w="454" w:type="pct"/>
          </w:tcPr>
          <w:p w14:paraId="1ACDFD03" w14:textId="77777777" w:rsidR="00BF5B03" w:rsidRPr="0086674B" w:rsidRDefault="00BF5B03" w:rsidP="007060A2">
            <w:pPr>
              <w:keepNext/>
              <w:widowControl w:val="0"/>
              <w:spacing w:after="0" w:line="240" w:lineRule="auto"/>
              <w:jc w:val="center"/>
              <w:rPr>
                <w:rFonts w:ascii="Arial Narrow" w:hAnsi="Arial Narrow" w:cs="Arial"/>
                <w:b/>
                <w:color w:val="0D0D0D"/>
                <w:sz w:val="20"/>
              </w:rPr>
            </w:pPr>
            <w:r w:rsidRPr="0086674B">
              <w:rPr>
                <w:rFonts w:ascii="Arial Narrow" w:hAnsi="Arial Narrow" w:cs="Arial"/>
                <w:b/>
                <w:color w:val="0D0D0D"/>
                <w:sz w:val="20"/>
              </w:rPr>
              <w:t>Year 6</w:t>
            </w:r>
          </w:p>
        </w:tc>
      </w:tr>
      <w:tr w:rsidR="00BF5B03" w:rsidRPr="0086674B" w14:paraId="4A800161" w14:textId="77777777" w:rsidTr="00BF5B03">
        <w:tc>
          <w:tcPr>
            <w:tcW w:w="5000" w:type="pct"/>
            <w:gridSpan w:val="7"/>
            <w:vAlign w:val="center"/>
          </w:tcPr>
          <w:p w14:paraId="46DDEAA8" w14:textId="77777777" w:rsidR="00BF5B03" w:rsidRPr="0086674B" w:rsidRDefault="00BF5B03" w:rsidP="007060A2">
            <w:pPr>
              <w:keepNext/>
              <w:widowControl w:val="0"/>
              <w:spacing w:after="0" w:line="240" w:lineRule="auto"/>
              <w:jc w:val="both"/>
              <w:rPr>
                <w:rFonts w:ascii="Arial Narrow" w:hAnsi="Arial Narrow" w:cs="Arial"/>
                <w:b/>
                <w:color w:val="0D0D0D"/>
                <w:sz w:val="20"/>
              </w:rPr>
            </w:pPr>
            <w:r w:rsidRPr="0086674B">
              <w:rPr>
                <w:rFonts w:ascii="Arial Narrow" w:hAnsi="Arial Narrow" w:cs="Arial"/>
                <w:b/>
                <w:color w:val="0D0D0D"/>
                <w:sz w:val="20"/>
              </w:rPr>
              <w:t>Estimated extent of use of IDH1 testing</w:t>
            </w:r>
          </w:p>
        </w:tc>
      </w:tr>
      <w:tr w:rsidR="00BF5B03" w:rsidRPr="0086674B" w14:paraId="6249BCE3" w14:textId="77777777" w:rsidTr="00BF5B03">
        <w:tc>
          <w:tcPr>
            <w:tcW w:w="1351" w:type="pct"/>
            <w:vAlign w:val="center"/>
          </w:tcPr>
          <w:p w14:paraId="2BC1B19E"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Total CCA incidence</w:t>
            </w:r>
          </w:p>
        </w:tc>
        <w:tc>
          <w:tcPr>
            <w:tcW w:w="639" w:type="pct"/>
          </w:tcPr>
          <w:p w14:paraId="40C7C9E6"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tcPr>
          <w:p w14:paraId="4B994BAE"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vertAlign w:val="superscript"/>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tcPr>
          <w:p w14:paraId="52F924DB"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tcPr>
          <w:p w14:paraId="3B07CCCF"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tcPr>
          <w:p w14:paraId="35490694"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454" w:type="pct"/>
          </w:tcPr>
          <w:p w14:paraId="4D8E2C63"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r>
      <w:tr w:rsidR="00BF5B03" w:rsidRPr="0086674B" w14:paraId="05214752" w14:textId="77777777" w:rsidTr="00BF5B03">
        <w:tc>
          <w:tcPr>
            <w:tcW w:w="1351" w:type="pct"/>
            <w:vAlign w:val="center"/>
          </w:tcPr>
          <w:p w14:paraId="41E03206"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Number of patients tested (uptake of 90%)</w:t>
            </w:r>
          </w:p>
        </w:tc>
        <w:tc>
          <w:tcPr>
            <w:tcW w:w="639" w:type="pct"/>
            <w:vAlign w:val="center"/>
          </w:tcPr>
          <w:p w14:paraId="50EBD6B0"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vertAlign w:val="superscript"/>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vAlign w:val="center"/>
          </w:tcPr>
          <w:p w14:paraId="0297F4DC"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vAlign w:val="center"/>
          </w:tcPr>
          <w:p w14:paraId="1A994403"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vAlign w:val="center"/>
          </w:tcPr>
          <w:p w14:paraId="04D2E164"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639" w:type="pct"/>
            <w:vAlign w:val="center"/>
          </w:tcPr>
          <w:p w14:paraId="291D6995"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c>
          <w:tcPr>
            <w:tcW w:w="454" w:type="pct"/>
            <w:vAlign w:val="center"/>
          </w:tcPr>
          <w:p w14:paraId="68685211"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2</w:t>
            </w:r>
          </w:p>
        </w:tc>
      </w:tr>
      <w:tr w:rsidR="00BF5B03" w:rsidRPr="0086674B" w14:paraId="6EAC8210" w14:textId="77777777" w:rsidTr="00BF5B03">
        <w:tc>
          <w:tcPr>
            <w:tcW w:w="1351" w:type="pct"/>
            <w:vAlign w:val="center"/>
          </w:tcPr>
          <w:p w14:paraId="68B9D2E7"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Number of patients likely to receive a positive test result (9.15% positive rate)</w:t>
            </w:r>
          </w:p>
        </w:tc>
        <w:tc>
          <w:tcPr>
            <w:tcW w:w="639" w:type="pct"/>
            <w:vAlign w:val="center"/>
          </w:tcPr>
          <w:p w14:paraId="3BDCD803"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1</w:t>
            </w:r>
          </w:p>
        </w:tc>
        <w:tc>
          <w:tcPr>
            <w:tcW w:w="639" w:type="pct"/>
            <w:vAlign w:val="center"/>
          </w:tcPr>
          <w:p w14:paraId="2257BABE"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1</w:t>
            </w:r>
          </w:p>
        </w:tc>
        <w:tc>
          <w:tcPr>
            <w:tcW w:w="639" w:type="pct"/>
            <w:vAlign w:val="center"/>
          </w:tcPr>
          <w:p w14:paraId="1AA3C1B9"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1</w:t>
            </w:r>
          </w:p>
        </w:tc>
        <w:tc>
          <w:tcPr>
            <w:tcW w:w="639" w:type="pct"/>
            <w:vAlign w:val="center"/>
          </w:tcPr>
          <w:p w14:paraId="174BA09D"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1</w:t>
            </w:r>
          </w:p>
        </w:tc>
        <w:tc>
          <w:tcPr>
            <w:tcW w:w="639" w:type="pct"/>
            <w:vAlign w:val="center"/>
          </w:tcPr>
          <w:p w14:paraId="4B5D68AC"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1</w:t>
            </w:r>
          </w:p>
        </w:tc>
        <w:tc>
          <w:tcPr>
            <w:tcW w:w="454" w:type="pct"/>
            <w:vAlign w:val="center"/>
          </w:tcPr>
          <w:p w14:paraId="59856CD1" w14:textId="77777777" w:rsidR="00BF5B03" w:rsidRPr="0086674B" w:rsidRDefault="00BF5B03" w:rsidP="007060A2">
            <w:pPr>
              <w:keepNext/>
              <w:widowControl w:val="0"/>
              <w:tabs>
                <w:tab w:val="decimal" w:pos="396"/>
              </w:tabs>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Redacted</w:t>
            </w:r>
            <w:r w:rsidRPr="0086674B">
              <w:rPr>
                <w:rFonts w:ascii="Arial Narrow" w:hAnsi="Arial Narrow" w:cs="Arial"/>
                <w:b/>
                <w:bCs/>
                <w:color w:val="0D0D0D"/>
                <w:sz w:val="20"/>
                <w:vertAlign w:val="superscript"/>
              </w:rPr>
              <w:t>1</w:t>
            </w:r>
          </w:p>
        </w:tc>
      </w:tr>
      <w:tr w:rsidR="00BF5B03" w:rsidRPr="0086674B" w14:paraId="7594E976" w14:textId="77777777" w:rsidTr="00BF5B03">
        <w:tc>
          <w:tcPr>
            <w:tcW w:w="5000" w:type="pct"/>
            <w:gridSpan w:val="7"/>
            <w:tcBorders>
              <w:bottom w:val="single" w:sz="4" w:space="0" w:color="auto"/>
            </w:tcBorders>
            <w:vAlign w:val="center"/>
          </w:tcPr>
          <w:p w14:paraId="6B068E7B" w14:textId="77777777" w:rsidR="00BF5B03" w:rsidRPr="0086674B" w:rsidRDefault="00BF5B03" w:rsidP="007060A2">
            <w:pPr>
              <w:keepNext/>
              <w:widowControl w:val="0"/>
              <w:spacing w:after="0" w:line="240" w:lineRule="auto"/>
              <w:jc w:val="both"/>
              <w:rPr>
                <w:rFonts w:ascii="Arial Narrow" w:hAnsi="Arial Narrow" w:cs="Arial"/>
                <w:b/>
                <w:bCs/>
                <w:color w:val="0D0D0D"/>
                <w:sz w:val="20"/>
              </w:rPr>
            </w:pPr>
            <w:r w:rsidRPr="0086674B">
              <w:rPr>
                <w:rFonts w:ascii="Arial Narrow" w:hAnsi="Arial Narrow" w:cs="Arial"/>
                <w:b/>
                <w:color w:val="0D0D0D"/>
                <w:sz w:val="20"/>
              </w:rPr>
              <w:t>Estimated financial implications of the IDH1 testing to the MBS</w:t>
            </w:r>
          </w:p>
        </w:tc>
      </w:tr>
      <w:tr w:rsidR="00BF5B03" w:rsidRPr="0086674B" w14:paraId="0687852B" w14:textId="77777777" w:rsidTr="00BF5B03">
        <w:tc>
          <w:tcPr>
            <w:tcW w:w="1351" w:type="pct"/>
            <w:tcBorders>
              <w:bottom w:val="nil"/>
            </w:tcBorders>
            <w:vAlign w:val="center"/>
          </w:tcPr>
          <w:p w14:paraId="6CCD398B"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Cost to MBS less copayments (80% of the proposed MBS fee)</w:t>
            </w:r>
          </w:p>
        </w:tc>
        <w:tc>
          <w:tcPr>
            <w:tcW w:w="639" w:type="pct"/>
            <w:tcBorders>
              <w:bottom w:val="nil"/>
            </w:tcBorders>
            <w:vAlign w:val="center"/>
          </w:tcPr>
          <w:p w14:paraId="18257612" w14:textId="19DB60A7"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702F4BA8" w14:textId="3955FFC6"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617651EF" w14:textId="3F9108A1"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133218DD" w14:textId="0BC82F12"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03F0A45D" w14:textId="59C4106C"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454" w:type="pct"/>
            <w:tcBorders>
              <w:bottom w:val="nil"/>
            </w:tcBorders>
            <w:vAlign w:val="center"/>
          </w:tcPr>
          <w:p w14:paraId="41DE419A" w14:textId="4DB33EF3"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r>
      <w:tr w:rsidR="00BF5B03" w:rsidRPr="0086674B" w14:paraId="5A0C51FF" w14:textId="77777777" w:rsidTr="00BF5B03">
        <w:tc>
          <w:tcPr>
            <w:tcW w:w="1351" w:type="pct"/>
            <w:tcBorders>
              <w:bottom w:val="nil"/>
            </w:tcBorders>
            <w:vAlign w:val="center"/>
          </w:tcPr>
          <w:p w14:paraId="180C7C65"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 xml:space="preserve">Cost to MBS less copayment (85% of the proposed MBS </w:t>
            </w:r>
            <w:proofErr w:type="gramStart"/>
            <w:r w:rsidRPr="0086674B">
              <w:rPr>
                <w:rFonts w:ascii="Arial Narrow" w:hAnsi="Arial Narrow" w:cs="Arial"/>
                <w:color w:val="0D0D0D"/>
                <w:sz w:val="20"/>
              </w:rPr>
              <w:t>fee)</w:t>
            </w:r>
            <w:r w:rsidRPr="0086674B">
              <w:rPr>
                <w:rFonts w:ascii="Arial Narrow" w:hAnsi="Arial Narrow" w:cs="Arial"/>
                <w:color w:val="0D0D0D"/>
                <w:sz w:val="20"/>
                <w:vertAlign w:val="superscript"/>
              </w:rPr>
              <w:t>a</w:t>
            </w:r>
            <w:proofErr w:type="gramEnd"/>
          </w:p>
        </w:tc>
        <w:tc>
          <w:tcPr>
            <w:tcW w:w="639" w:type="pct"/>
            <w:tcBorders>
              <w:bottom w:val="nil"/>
            </w:tcBorders>
            <w:vAlign w:val="center"/>
          </w:tcPr>
          <w:p w14:paraId="320CE3E4" w14:textId="1FD5E115"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338F7A52" w14:textId="49C13C90"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2254631F" w14:textId="2FF8E1F1"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1A6B731B" w14:textId="6C45CCFA"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nil"/>
            </w:tcBorders>
            <w:vAlign w:val="center"/>
          </w:tcPr>
          <w:p w14:paraId="272B9A4B" w14:textId="483B3F0F"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454" w:type="pct"/>
            <w:tcBorders>
              <w:bottom w:val="nil"/>
            </w:tcBorders>
            <w:vAlign w:val="center"/>
          </w:tcPr>
          <w:p w14:paraId="4ECAEDA9" w14:textId="2E89EF85"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r>
      <w:tr w:rsidR="00BF5B03" w:rsidRPr="0086674B" w14:paraId="4D44EED1" w14:textId="77777777" w:rsidTr="00BF5B03">
        <w:tc>
          <w:tcPr>
            <w:tcW w:w="5000" w:type="pct"/>
            <w:gridSpan w:val="7"/>
            <w:vAlign w:val="center"/>
          </w:tcPr>
          <w:p w14:paraId="25B2892B" w14:textId="77777777" w:rsidR="00BF5B03" w:rsidRPr="0086674B" w:rsidRDefault="00BF5B03" w:rsidP="007060A2">
            <w:pPr>
              <w:keepNext/>
              <w:widowControl w:val="0"/>
              <w:spacing w:after="0" w:line="240" w:lineRule="auto"/>
              <w:jc w:val="both"/>
              <w:rPr>
                <w:rFonts w:ascii="Arial Narrow" w:hAnsi="Arial Narrow" w:cs="Arial"/>
                <w:b/>
                <w:color w:val="0D0D0D"/>
                <w:sz w:val="20"/>
              </w:rPr>
            </w:pPr>
            <w:r w:rsidRPr="0086674B">
              <w:rPr>
                <w:rFonts w:ascii="Arial Narrow" w:hAnsi="Arial Narrow" w:cs="Arial"/>
                <w:b/>
                <w:color w:val="0D0D0D"/>
                <w:sz w:val="20"/>
              </w:rPr>
              <w:t>Estimated financial implications for ECG monitoring to the MBS</w:t>
            </w:r>
          </w:p>
        </w:tc>
      </w:tr>
      <w:tr w:rsidR="00BF5B03" w:rsidRPr="0086674B" w14:paraId="1474A36A" w14:textId="77777777" w:rsidTr="00BF5B03">
        <w:tc>
          <w:tcPr>
            <w:tcW w:w="1351" w:type="pct"/>
            <w:vAlign w:val="center"/>
          </w:tcPr>
          <w:p w14:paraId="688AAA9B"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Cost to MBS less copayments (80% benefit, MBS item 11704)</w:t>
            </w:r>
          </w:p>
        </w:tc>
        <w:tc>
          <w:tcPr>
            <w:tcW w:w="639" w:type="pct"/>
            <w:vAlign w:val="center"/>
          </w:tcPr>
          <w:p w14:paraId="2ABFDE9E" w14:textId="0B15FE5D"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1DCC12DD" w14:textId="09E59026"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38FC7C5B" w14:textId="26216F89"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493B8141" w14:textId="14CDBDC0"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0ADA7E6C" w14:textId="2DCA614C"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454" w:type="pct"/>
            <w:vAlign w:val="center"/>
          </w:tcPr>
          <w:p w14:paraId="7B30A69C" w14:textId="64F323DD"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r>
      <w:tr w:rsidR="00BF5B03" w:rsidRPr="0086674B" w14:paraId="3B6100A7" w14:textId="77777777" w:rsidTr="00BF5B03">
        <w:tc>
          <w:tcPr>
            <w:tcW w:w="1351" w:type="pct"/>
            <w:vAlign w:val="center"/>
          </w:tcPr>
          <w:p w14:paraId="59ADCCFB" w14:textId="77777777" w:rsidR="00BF5B03" w:rsidRPr="0086674B" w:rsidRDefault="00BF5B03" w:rsidP="007060A2">
            <w:pPr>
              <w:keepNext/>
              <w:widowControl w:val="0"/>
              <w:spacing w:after="0" w:line="240" w:lineRule="auto"/>
              <w:jc w:val="both"/>
              <w:rPr>
                <w:rFonts w:ascii="Arial Narrow" w:hAnsi="Arial Narrow" w:cs="Arial"/>
                <w:color w:val="0D0D0D"/>
                <w:sz w:val="20"/>
              </w:rPr>
            </w:pPr>
            <w:r w:rsidRPr="0086674B">
              <w:rPr>
                <w:rFonts w:ascii="Arial Narrow" w:hAnsi="Arial Narrow" w:cs="Arial"/>
                <w:color w:val="0D0D0D"/>
                <w:sz w:val="20"/>
              </w:rPr>
              <w:t xml:space="preserve">Cost to MBS less copayment (85% of the proposed MBS </w:t>
            </w:r>
            <w:proofErr w:type="gramStart"/>
            <w:r w:rsidRPr="0086674B">
              <w:rPr>
                <w:rFonts w:ascii="Arial Narrow" w:hAnsi="Arial Narrow" w:cs="Arial"/>
                <w:color w:val="0D0D0D"/>
                <w:sz w:val="20"/>
              </w:rPr>
              <w:t>fee)</w:t>
            </w:r>
            <w:r w:rsidRPr="0086674B">
              <w:rPr>
                <w:rFonts w:ascii="Arial Narrow" w:hAnsi="Arial Narrow" w:cs="Arial"/>
                <w:color w:val="0D0D0D"/>
                <w:sz w:val="20"/>
                <w:vertAlign w:val="superscript"/>
              </w:rPr>
              <w:t>a</w:t>
            </w:r>
            <w:proofErr w:type="gramEnd"/>
          </w:p>
        </w:tc>
        <w:tc>
          <w:tcPr>
            <w:tcW w:w="639" w:type="pct"/>
            <w:vAlign w:val="center"/>
          </w:tcPr>
          <w:p w14:paraId="7B9DB137" w14:textId="3659F3E3"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6BA48ABB" w14:textId="4DCC81CB"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226B1C99" w14:textId="7AE7678C"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0234EC62" w14:textId="6E822750"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435D1410" w14:textId="3365DD1D"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454" w:type="pct"/>
            <w:vAlign w:val="center"/>
          </w:tcPr>
          <w:p w14:paraId="64D786F3" w14:textId="3DCC8449"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r>
      <w:tr w:rsidR="00BF5B03" w:rsidRPr="0086674B" w14:paraId="53710B37" w14:textId="77777777" w:rsidTr="00BF5B03">
        <w:tc>
          <w:tcPr>
            <w:tcW w:w="5000" w:type="pct"/>
            <w:gridSpan w:val="7"/>
            <w:tcBorders>
              <w:bottom w:val="single" w:sz="4" w:space="0" w:color="auto"/>
            </w:tcBorders>
            <w:vAlign w:val="center"/>
          </w:tcPr>
          <w:p w14:paraId="1362E17C" w14:textId="77777777" w:rsidR="00BF5B03" w:rsidRPr="0086674B" w:rsidRDefault="00BF5B03" w:rsidP="007060A2">
            <w:pPr>
              <w:keepNext/>
              <w:widowControl w:val="0"/>
              <w:spacing w:after="0" w:line="240" w:lineRule="auto"/>
              <w:jc w:val="both"/>
              <w:rPr>
                <w:rFonts w:ascii="Arial Narrow" w:hAnsi="Arial Narrow" w:cs="Arial"/>
                <w:b/>
                <w:color w:val="0D0D0D"/>
                <w:sz w:val="20"/>
              </w:rPr>
            </w:pPr>
            <w:r w:rsidRPr="0086674B">
              <w:rPr>
                <w:rFonts w:ascii="Arial Narrow" w:hAnsi="Arial Narrow" w:cs="Arial"/>
                <w:b/>
                <w:color w:val="0D0D0D"/>
                <w:sz w:val="20"/>
              </w:rPr>
              <w:t xml:space="preserve">Net financial implications </w:t>
            </w:r>
          </w:p>
        </w:tc>
      </w:tr>
      <w:tr w:rsidR="00BF5B03" w:rsidRPr="0086674B" w14:paraId="25F28656" w14:textId="77777777" w:rsidTr="00BF5B03">
        <w:tc>
          <w:tcPr>
            <w:tcW w:w="1351" w:type="pct"/>
            <w:vAlign w:val="center"/>
          </w:tcPr>
          <w:p w14:paraId="32C82D86" w14:textId="77777777" w:rsidR="00BF5B03" w:rsidRPr="0086674B" w:rsidRDefault="00BF5B03" w:rsidP="007060A2">
            <w:pPr>
              <w:keepNext/>
              <w:widowControl w:val="0"/>
              <w:spacing w:after="0" w:line="240" w:lineRule="auto"/>
              <w:jc w:val="both"/>
              <w:rPr>
                <w:rFonts w:ascii="Times" w:eastAsia="Times New Roman" w:hAnsi="Times" w:cs="Times New Roman"/>
                <w:b/>
                <w:bCs/>
                <w:color w:val="0D0D0D"/>
                <w:sz w:val="20"/>
              </w:rPr>
            </w:pPr>
            <w:r w:rsidRPr="0086674B">
              <w:rPr>
                <w:rFonts w:ascii="Arial Narrow" w:hAnsi="Arial Narrow" w:cs="Arial"/>
                <w:b/>
                <w:bCs/>
                <w:color w:val="0D0D0D"/>
                <w:sz w:val="20"/>
              </w:rPr>
              <w:t>Net cost to MBS</w:t>
            </w:r>
          </w:p>
        </w:tc>
        <w:tc>
          <w:tcPr>
            <w:tcW w:w="639" w:type="pct"/>
            <w:vAlign w:val="center"/>
          </w:tcPr>
          <w:p w14:paraId="448740C6" w14:textId="56237D6E"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13CCD6A1" w14:textId="4956EBD9"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3452AB24" w14:textId="173EF23C"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627C56F2" w14:textId="1EBB07AA"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vAlign w:val="center"/>
          </w:tcPr>
          <w:p w14:paraId="57207E12" w14:textId="01051CDD"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454" w:type="pct"/>
            <w:vAlign w:val="center"/>
          </w:tcPr>
          <w:p w14:paraId="1491518F" w14:textId="0EA70D9C"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r>
      <w:tr w:rsidR="00BF5B03" w:rsidRPr="0086674B" w14:paraId="63765CCF" w14:textId="77777777" w:rsidTr="00BF5B03">
        <w:tc>
          <w:tcPr>
            <w:tcW w:w="1351" w:type="pct"/>
            <w:tcBorders>
              <w:bottom w:val="single" w:sz="4" w:space="0" w:color="auto"/>
            </w:tcBorders>
            <w:vAlign w:val="center"/>
          </w:tcPr>
          <w:p w14:paraId="64184B3C" w14:textId="77777777" w:rsidR="00BF5B03" w:rsidRPr="0086674B" w:rsidRDefault="00BF5B03" w:rsidP="007060A2">
            <w:pPr>
              <w:keepNext/>
              <w:widowControl w:val="0"/>
              <w:spacing w:after="0" w:line="240" w:lineRule="auto"/>
              <w:jc w:val="both"/>
              <w:rPr>
                <w:rFonts w:ascii="Arial Narrow" w:hAnsi="Arial Narrow" w:cs="Arial"/>
                <w:b/>
                <w:bCs/>
                <w:color w:val="0D0D0D"/>
                <w:sz w:val="20"/>
              </w:rPr>
            </w:pPr>
            <w:r w:rsidRPr="0086674B">
              <w:rPr>
                <w:rFonts w:ascii="Arial Narrow" w:hAnsi="Arial Narrow" w:cs="Arial"/>
                <w:b/>
                <w:bCs/>
                <w:color w:val="0D0D0D"/>
                <w:sz w:val="20"/>
              </w:rPr>
              <w:t xml:space="preserve">Net cost to MBS, assuming 85% </w:t>
            </w:r>
            <w:proofErr w:type="spellStart"/>
            <w:r w:rsidRPr="0086674B">
              <w:rPr>
                <w:rFonts w:ascii="Arial Narrow" w:hAnsi="Arial Narrow" w:cs="Arial"/>
                <w:b/>
                <w:bCs/>
                <w:color w:val="0D0D0D"/>
                <w:sz w:val="20"/>
              </w:rPr>
              <w:t>benefit</w:t>
            </w:r>
            <w:r w:rsidRPr="0086674B">
              <w:rPr>
                <w:rFonts w:ascii="Arial Narrow" w:hAnsi="Arial Narrow" w:cs="Arial"/>
                <w:b/>
                <w:bCs/>
                <w:color w:val="0D0D0D"/>
                <w:sz w:val="20"/>
                <w:vertAlign w:val="superscript"/>
              </w:rPr>
              <w:t>a</w:t>
            </w:r>
            <w:proofErr w:type="spellEnd"/>
          </w:p>
        </w:tc>
        <w:tc>
          <w:tcPr>
            <w:tcW w:w="639" w:type="pct"/>
            <w:tcBorders>
              <w:bottom w:val="single" w:sz="4" w:space="0" w:color="auto"/>
            </w:tcBorders>
            <w:vAlign w:val="center"/>
          </w:tcPr>
          <w:p w14:paraId="130B2D44" w14:textId="1FBE0739"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single" w:sz="4" w:space="0" w:color="auto"/>
            </w:tcBorders>
            <w:vAlign w:val="center"/>
          </w:tcPr>
          <w:p w14:paraId="2ED455D5" w14:textId="7F52CA30"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single" w:sz="4" w:space="0" w:color="auto"/>
            </w:tcBorders>
            <w:vAlign w:val="center"/>
          </w:tcPr>
          <w:p w14:paraId="22ED94D6" w14:textId="400FE992"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single" w:sz="4" w:space="0" w:color="auto"/>
            </w:tcBorders>
            <w:vAlign w:val="center"/>
          </w:tcPr>
          <w:p w14:paraId="0F73A206" w14:textId="10CD71EC"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639" w:type="pct"/>
            <w:tcBorders>
              <w:bottom w:val="single" w:sz="4" w:space="0" w:color="auto"/>
            </w:tcBorders>
            <w:vAlign w:val="center"/>
          </w:tcPr>
          <w:p w14:paraId="621B7035" w14:textId="6341DAE7"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c>
          <w:tcPr>
            <w:tcW w:w="454" w:type="pct"/>
            <w:tcBorders>
              <w:bottom w:val="single" w:sz="4" w:space="0" w:color="auto"/>
            </w:tcBorders>
            <w:vAlign w:val="center"/>
          </w:tcPr>
          <w:p w14:paraId="51AC8BA7" w14:textId="5D8DE854" w:rsidR="00BF5B03" w:rsidRPr="0086674B" w:rsidRDefault="00803BE5" w:rsidP="007060A2">
            <w:pPr>
              <w:keepNext/>
              <w:widowControl w:val="0"/>
              <w:spacing w:after="0" w:line="240" w:lineRule="auto"/>
              <w:jc w:val="center"/>
              <w:rPr>
                <w:rFonts w:ascii="Arial Narrow" w:hAnsi="Arial Narrow" w:cs="Arial"/>
                <w:b/>
                <w:bCs/>
                <w:color w:val="0D0D0D"/>
                <w:sz w:val="20"/>
              </w:rPr>
            </w:pPr>
            <w:r w:rsidRPr="0086674B">
              <w:rPr>
                <w:rFonts w:ascii="Arial Narrow" w:hAnsi="Arial Narrow" w:cs="Arial"/>
                <w:b/>
                <w:bCs/>
                <w:color w:val="0D0D0D"/>
                <w:sz w:val="20"/>
              </w:rPr>
              <w:t>$</w:t>
            </w:r>
            <w:r w:rsidR="00BF5B03" w:rsidRPr="0086674B">
              <w:rPr>
                <w:rFonts w:ascii="Arial Narrow" w:hAnsi="Arial Narrow" w:cs="Arial"/>
                <w:b/>
                <w:bCs/>
                <w:color w:val="0D0D0D"/>
                <w:sz w:val="20"/>
              </w:rPr>
              <w:t>Redacted</w:t>
            </w:r>
            <w:r w:rsidR="00BF5B03" w:rsidRPr="0086674B">
              <w:rPr>
                <w:rFonts w:ascii="Arial Narrow" w:hAnsi="Arial Narrow" w:cs="Arial"/>
                <w:b/>
                <w:bCs/>
                <w:color w:val="0D0D0D"/>
                <w:sz w:val="20"/>
                <w:vertAlign w:val="superscript"/>
              </w:rPr>
              <w:t>3</w:t>
            </w:r>
          </w:p>
        </w:tc>
      </w:tr>
    </w:tbl>
    <w:p w14:paraId="0F0A8333" w14:textId="77777777" w:rsidR="007D7722" w:rsidRPr="0086674B" w:rsidRDefault="007D7722" w:rsidP="007D7722">
      <w:pPr>
        <w:tabs>
          <w:tab w:val="left" w:pos="284"/>
        </w:tabs>
        <w:spacing w:before="0" w:after="0" w:line="240" w:lineRule="auto"/>
        <w:jc w:val="both"/>
        <w:rPr>
          <w:rFonts w:ascii="Arial Narrow" w:eastAsia="Times New Roman" w:hAnsi="Arial Narrow" w:cs="Arial"/>
          <w:snapToGrid w:val="0"/>
          <w:color w:val="0D0D0D"/>
          <w:sz w:val="18"/>
          <w:szCs w:val="18"/>
          <w:lang w:eastAsia="en-AU"/>
        </w:rPr>
      </w:pPr>
      <w:r w:rsidRPr="0086674B">
        <w:rPr>
          <w:rFonts w:ascii="Arial Narrow" w:eastAsia="Times New Roman" w:hAnsi="Arial Narrow" w:cs="Arial"/>
          <w:snapToGrid w:val="0"/>
          <w:color w:val="0D0D0D"/>
          <w:sz w:val="18"/>
          <w:szCs w:val="18"/>
          <w:lang w:eastAsia="en-AU"/>
        </w:rPr>
        <w:t xml:space="preserve">Source: Table 4-19 and Table 4-20, p181 of the submission. </w:t>
      </w:r>
    </w:p>
    <w:p w14:paraId="2157EFFB" w14:textId="77777777" w:rsidR="007D7722" w:rsidRPr="0086674B" w:rsidRDefault="007D7722" w:rsidP="007D7722">
      <w:pPr>
        <w:tabs>
          <w:tab w:val="left" w:pos="284"/>
        </w:tabs>
        <w:spacing w:before="0" w:after="0" w:line="240" w:lineRule="auto"/>
        <w:jc w:val="both"/>
        <w:rPr>
          <w:rFonts w:ascii="Arial Narrow" w:eastAsia="Times New Roman" w:hAnsi="Arial Narrow" w:cs="Arial"/>
          <w:snapToGrid w:val="0"/>
          <w:color w:val="0D0D0D"/>
          <w:sz w:val="18"/>
          <w:szCs w:val="18"/>
          <w:lang w:val="pt-PT" w:eastAsia="en-AU"/>
        </w:rPr>
      </w:pPr>
      <w:r w:rsidRPr="0086674B">
        <w:rPr>
          <w:rFonts w:ascii="Arial Narrow" w:eastAsia="Times New Roman" w:hAnsi="Arial Narrow" w:cs="Arial"/>
          <w:snapToGrid w:val="0"/>
          <w:color w:val="0D0D0D"/>
          <w:sz w:val="18"/>
          <w:szCs w:val="18"/>
          <w:lang w:val="pt-PT" w:eastAsia="en-AU"/>
        </w:rPr>
        <w:t>CCA = cholangiocarcinoma; ECG = electrocardiogram; IDH1 = isocitrate dehydrogenase 1</w:t>
      </w:r>
    </w:p>
    <w:p w14:paraId="7779952B" w14:textId="71CC60B5" w:rsidR="005F578D" w:rsidRPr="0086674B" w:rsidRDefault="007D7722" w:rsidP="005F578D">
      <w:pPr>
        <w:tabs>
          <w:tab w:val="left" w:pos="284"/>
        </w:tabs>
        <w:spacing w:before="0" w:after="0" w:line="240" w:lineRule="auto"/>
        <w:jc w:val="both"/>
        <w:rPr>
          <w:rFonts w:ascii="Arial Narrow" w:eastAsia="Times New Roman" w:hAnsi="Arial Narrow" w:cs="Arial"/>
          <w:snapToGrid w:val="0"/>
          <w:color w:val="0D0D0D"/>
          <w:sz w:val="18"/>
          <w:szCs w:val="18"/>
          <w:lang w:eastAsia="en-AU"/>
        </w:rPr>
      </w:pPr>
      <w:proofErr w:type="spellStart"/>
      <w:proofErr w:type="gramStart"/>
      <w:r w:rsidRPr="0086674B">
        <w:rPr>
          <w:rFonts w:ascii="Arial Narrow" w:eastAsia="Times New Roman" w:hAnsi="Arial Narrow" w:cs="Arial"/>
          <w:snapToGrid w:val="0"/>
          <w:color w:val="0D0D0D"/>
          <w:sz w:val="18"/>
          <w:szCs w:val="18"/>
          <w:vertAlign w:val="superscript"/>
          <w:lang w:eastAsia="en-AU"/>
        </w:rPr>
        <w:t>a</w:t>
      </w:r>
      <w:proofErr w:type="spellEnd"/>
      <w:proofErr w:type="gramEnd"/>
      <w:r w:rsidRPr="0086674B">
        <w:rPr>
          <w:rFonts w:ascii="Arial Narrow" w:eastAsia="Times New Roman" w:hAnsi="Arial Narrow" w:cs="Arial"/>
          <w:snapToGrid w:val="0"/>
          <w:color w:val="0D0D0D"/>
          <w:sz w:val="18"/>
          <w:szCs w:val="18"/>
          <w:vertAlign w:val="superscript"/>
          <w:lang w:eastAsia="en-AU"/>
        </w:rPr>
        <w:t xml:space="preserve"> </w:t>
      </w:r>
      <w:r w:rsidRPr="0086674B">
        <w:rPr>
          <w:rFonts w:ascii="Arial Narrow" w:eastAsia="Times New Roman" w:hAnsi="Arial Narrow" w:cs="Arial"/>
          <w:snapToGrid w:val="0"/>
          <w:color w:val="0D0D0D"/>
          <w:sz w:val="18"/>
          <w:szCs w:val="18"/>
          <w:lang w:eastAsia="en-AU"/>
        </w:rPr>
        <w:t>Additional analyses performed during the evaluation, by assuming 85% benefit as</w:t>
      </w:r>
      <w:r w:rsidRPr="0086674B">
        <w:rPr>
          <w:rFonts w:ascii="Arial Narrow" w:eastAsia="Times New Roman" w:hAnsi="Arial Narrow" w:cs="Arial"/>
          <w:snapToGrid w:val="0"/>
          <w:sz w:val="18"/>
          <w:szCs w:val="18"/>
          <w:lang w:eastAsia="en-AU"/>
        </w:rPr>
        <w:t xml:space="preserve"> </w:t>
      </w:r>
      <w:r w:rsidRPr="0086674B">
        <w:rPr>
          <w:rFonts w:ascii="Arial Narrow" w:eastAsia="Times New Roman" w:hAnsi="Arial Narrow" w:cs="Arial"/>
          <w:snapToGrid w:val="0"/>
          <w:color w:val="0D0D0D"/>
          <w:sz w:val="18"/>
          <w:szCs w:val="18"/>
          <w:lang w:eastAsia="en-AU"/>
        </w:rPr>
        <w:t xml:space="preserve">for out of hospital services. </w:t>
      </w:r>
      <w:bookmarkStart w:id="30" w:name="_Hlk206161361"/>
    </w:p>
    <w:p w14:paraId="476FA901" w14:textId="430D7CCD" w:rsidR="005F578D" w:rsidRPr="0086674B" w:rsidRDefault="005F578D" w:rsidP="0002228A">
      <w:pPr>
        <w:tabs>
          <w:tab w:val="left" w:pos="284"/>
        </w:tabs>
        <w:spacing w:after="0" w:line="240" w:lineRule="auto"/>
        <w:jc w:val="both"/>
        <w:rPr>
          <w:rFonts w:ascii="Arial Narrow" w:eastAsia="Times New Roman" w:hAnsi="Arial Narrow" w:cs="Arial"/>
          <w:snapToGrid w:val="0"/>
          <w:color w:val="0D0D0D"/>
          <w:sz w:val="18"/>
          <w:szCs w:val="18"/>
          <w:lang w:eastAsia="en-AU"/>
        </w:rPr>
      </w:pPr>
      <w:r w:rsidRPr="0086674B">
        <w:rPr>
          <w:rFonts w:ascii="Arial Narrow" w:eastAsia="Times New Roman" w:hAnsi="Arial Narrow" w:cs="Arial"/>
          <w:snapToGrid w:val="0"/>
          <w:color w:val="0D0D0D"/>
          <w:sz w:val="18"/>
          <w:szCs w:val="18"/>
          <w:lang w:eastAsia="en-AU"/>
        </w:rPr>
        <w:t>The redacted values correspond to the following ranges:</w:t>
      </w:r>
    </w:p>
    <w:p w14:paraId="21B3771D" w14:textId="77777777" w:rsidR="005F578D" w:rsidRPr="0086674B" w:rsidRDefault="005F578D" w:rsidP="005F578D">
      <w:pPr>
        <w:tabs>
          <w:tab w:val="left" w:pos="284"/>
        </w:tabs>
        <w:spacing w:before="0" w:after="0" w:line="240" w:lineRule="auto"/>
        <w:jc w:val="both"/>
        <w:rPr>
          <w:rFonts w:ascii="Arial Narrow" w:eastAsia="Times New Roman" w:hAnsi="Arial Narrow" w:cs="Arial"/>
          <w:snapToGrid w:val="0"/>
          <w:color w:val="0D0D0D"/>
          <w:sz w:val="18"/>
          <w:szCs w:val="18"/>
          <w:lang w:eastAsia="en-AU"/>
        </w:rPr>
      </w:pPr>
      <w:r w:rsidRPr="0086674B">
        <w:rPr>
          <w:rFonts w:ascii="Arial Narrow" w:eastAsia="Times New Roman" w:hAnsi="Arial Narrow" w:cs="Arial"/>
          <w:snapToGrid w:val="0"/>
          <w:color w:val="0D0D0D"/>
          <w:sz w:val="18"/>
          <w:szCs w:val="18"/>
          <w:vertAlign w:val="superscript"/>
          <w:lang w:eastAsia="en-AU"/>
        </w:rPr>
        <w:t>1</w:t>
      </w:r>
      <w:r w:rsidRPr="0086674B">
        <w:rPr>
          <w:rFonts w:ascii="Arial Narrow" w:eastAsia="Times New Roman" w:hAnsi="Arial Narrow" w:cs="Arial"/>
          <w:snapToGrid w:val="0"/>
          <w:color w:val="0D0D0D"/>
          <w:sz w:val="18"/>
          <w:szCs w:val="18"/>
          <w:lang w:eastAsia="en-AU"/>
        </w:rPr>
        <w:t>&lt; 500</w:t>
      </w:r>
    </w:p>
    <w:p w14:paraId="7CED4EA6" w14:textId="77777777" w:rsidR="005F578D" w:rsidRPr="0086674B" w:rsidRDefault="005F578D" w:rsidP="005F578D">
      <w:pPr>
        <w:tabs>
          <w:tab w:val="left" w:pos="284"/>
        </w:tabs>
        <w:spacing w:before="0" w:after="0" w:line="240" w:lineRule="auto"/>
        <w:jc w:val="both"/>
        <w:rPr>
          <w:rFonts w:ascii="Arial Narrow" w:eastAsia="Times New Roman" w:hAnsi="Arial Narrow" w:cs="Arial"/>
          <w:snapToGrid w:val="0"/>
          <w:color w:val="0D0D0D"/>
          <w:sz w:val="18"/>
          <w:szCs w:val="18"/>
          <w:lang w:eastAsia="en-AU"/>
        </w:rPr>
      </w:pPr>
      <w:r w:rsidRPr="0086674B">
        <w:rPr>
          <w:rFonts w:ascii="Arial Narrow" w:eastAsia="Times New Roman" w:hAnsi="Arial Narrow" w:cs="Arial"/>
          <w:snapToGrid w:val="0"/>
          <w:color w:val="0D0D0D"/>
          <w:sz w:val="18"/>
          <w:szCs w:val="18"/>
          <w:vertAlign w:val="superscript"/>
          <w:lang w:eastAsia="en-AU"/>
        </w:rPr>
        <w:t>2</w:t>
      </w:r>
      <w:r w:rsidRPr="0086674B">
        <w:rPr>
          <w:rFonts w:ascii="Arial Narrow" w:eastAsia="Times New Roman" w:hAnsi="Arial Narrow" w:cs="Arial"/>
          <w:snapToGrid w:val="0"/>
          <w:color w:val="0D0D0D"/>
          <w:sz w:val="18"/>
          <w:szCs w:val="18"/>
          <w:lang w:eastAsia="en-AU"/>
        </w:rPr>
        <w:t>500 to &lt; 5,000</w:t>
      </w:r>
    </w:p>
    <w:p w14:paraId="69192128" w14:textId="36EF4292" w:rsidR="005F578D" w:rsidRPr="0086674B" w:rsidRDefault="005F578D" w:rsidP="00F53E2A">
      <w:pPr>
        <w:spacing w:before="0"/>
      </w:pPr>
      <w:r w:rsidRPr="0086674B">
        <w:rPr>
          <w:rFonts w:ascii="Arial Narrow" w:eastAsia="Times New Roman" w:hAnsi="Arial Narrow" w:cs="Arial"/>
          <w:snapToGrid w:val="0"/>
          <w:color w:val="0D0D0D"/>
          <w:sz w:val="18"/>
          <w:szCs w:val="18"/>
          <w:vertAlign w:val="superscript"/>
          <w:lang w:eastAsia="en-AU"/>
        </w:rPr>
        <w:t>3</w:t>
      </w:r>
      <w:r w:rsidRPr="0086674B">
        <w:rPr>
          <w:rFonts w:ascii="Arial Narrow" w:eastAsia="Times New Roman" w:hAnsi="Arial Narrow" w:cs="Arial"/>
          <w:snapToGrid w:val="0"/>
          <w:color w:val="0D0D0D"/>
          <w:sz w:val="18"/>
          <w:szCs w:val="18"/>
          <w:lang w:eastAsia="en-AU"/>
        </w:rPr>
        <w:t>$0 to &lt; $10 million</w:t>
      </w:r>
    </w:p>
    <w:p w14:paraId="1664CFA2" w14:textId="16AA872A" w:rsidR="007B2520" w:rsidRPr="001F0309" w:rsidRDefault="007416E7" w:rsidP="007233C0">
      <w:pPr>
        <w:jc w:val="both"/>
      </w:pPr>
      <w:r w:rsidRPr="001F0309">
        <w:t>As noted in the PSD for 1750</w:t>
      </w:r>
      <w:r w:rsidR="00F403E8" w:rsidRPr="001F0309">
        <w:t xml:space="preserve">, the listing of </w:t>
      </w:r>
      <w:r w:rsidR="00F403E8" w:rsidRPr="001F0309">
        <w:rPr>
          <w:i/>
          <w:iCs/>
        </w:rPr>
        <w:t>IDH1</w:t>
      </w:r>
      <w:r w:rsidR="00F403E8" w:rsidRPr="001F0309">
        <w:t xml:space="preserve"> testing for CCA patients was estimated to result in a net </w:t>
      </w:r>
      <w:r w:rsidR="00F403E8" w:rsidRPr="00F63874">
        <w:t xml:space="preserve">cost of </w:t>
      </w:r>
      <w:r w:rsidR="00CC7038" w:rsidRPr="00F65B8B">
        <w:rPr>
          <w:i/>
          <w:iCs/>
        </w:rPr>
        <w:t>$0 to &lt; $10 million</w:t>
      </w:r>
      <w:r w:rsidR="00CC7038" w:rsidRPr="00F65B8B" w:rsidDel="00CC7038">
        <w:t xml:space="preserve"> </w:t>
      </w:r>
      <w:r w:rsidR="00F403E8" w:rsidRPr="00F63874">
        <w:t xml:space="preserve">in Year 1 to </w:t>
      </w:r>
      <w:r w:rsidR="00F63874" w:rsidRPr="00F65B8B">
        <w:rPr>
          <w:i/>
          <w:iCs/>
        </w:rPr>
        <w:t>$0 to &lt; $10 million</w:t>
      </w:r>
      <w:r w:rsidR="00F63874" w:rsidRPr="00F65B8B" w:rsidDel="00F63874">
        <w:t xml:space="preserve"> </w:t>
      </w:r>
      <w:r w:rsidR="00F403E8" w:rsidRPr="00F63874">
        <w:t>in Year</w:t>
      </w:r>
      <w:r w:rsidR="00F403E8" w:rsidRPr="001F0309">
        <w:t xml:space="preserve"> 6 to the MBS. </w:t>
      </w:r>
      <w:r w:rsidR="00677F48" w:rsidRPr="001F0309">
        <w:t xml:space="preserve">At its </w:t>
      </w:r>
      <w:r w:rsidR="00A945B7" w:rsidRPr="001F0309">
        <w:t>June 2024 meeting the</w:t>
      </w:r>
      <w:r w:rsidR="00F403E8" w:rsidRPr="001F0309">
        <w:t xml:space="preserve"> ESCs noted that an epidemiological approach was utilised to estimate the number of patients who would receive treatment based on the CCA incidence data from the Australian Institute of Health and Welfare (AIHW) and historical growth rate. The ESCs agreed with the commentary that the Applicant Developed Assessment Report (ADAR) had overestimated the number of patients likely to be treated with ivosidenib.</w:t>
      </w:r>
      <w:r w:rsidR="004025E1">
        <w:t xml:space="preserve"> </w:t>
      </w:r>
      <w:r w:rsidR="00F403E8" w:rsidRPr="001F0309">
        <w:t xml:space="preserve">Consequently, the MBS costs for electrocardiograms (ECGs) to monitor patients receiving ivosidenib were likely to be lower than estimated. The ESCs noted the ADAR’s overestimation was accepted by the applicant in its pre-ESC response. The ESCs noted that sensitivity analyses indicated the financial results were largely stable under the scenarios tested. However, the ESCs also considered that potential increases in testing could occur due to a “diagnostic expansion’. The ESCs considered that if the MBS fee for the proposed item were raised from aligning with other </w:t>
      </w:r>
      <w:r w:rsidR="00F403E8" w:rsidRPr="001F0309">
        <w:rPr>
          <w:i/>
        </w:rPr>
        <w:t>IDH1</w:t>
      </w:r>
      <w:r w:rsidR="00F403E8" w:rsidRPr="001F0309">
        <w:t xml:space="preserve"> testing to instead aligned with other comparable MBS items, this would also increase the net financial cost to the MBS. Similarly, if the testing were implemented as a gene panel test to futureproof testing for patients with CCA, then this would likely be at a higher cost than $340 per test.</w:t>
      </w:r>
    </w:p>
    <w:p w14:paraId="5C5B07EF" w14:textId="6B8CCDD3" w:rsidR="00A945B7" w:rsidRPr="001F0309" w:rsidRDefault="00A945B7" w:rsidP="007233C0">
      <w:pPr>
        <w:jc w:val="both"/>
      </w:pPr>
      <w:bookmarkStart w:id="31" w:name="_Hlk206161280"/>
      <w:bookmarkEnd w:id="30"/>
      <w:r w:rsidRPr="001F0309">
        <w:t xml:space="preserve">At its </w:t>
      </w:r>
      <w:r w:rsidR="004E46CB" w:rsidRPr="001F0309">
        <w:t>August</w:t>
      </w:r>
      <w:r w:rsidRPr="001F0309">
        <w:t xml:space="preserve"> 2024 meeting</w:t>
      </w:r>
      <w:r w:rsidR="004E46CB" w:rsidRPr="001F0309">
        <w:t xml:space="preserve">, </w:t>
      </w:r>
      <w:r w:rsidR="009773F9" w:rsidRPr="001F0309">
        <w:t xml:space="preserve">MSAC noted ESC’s concern about possible diagnostic expansion leading to </w:t>
      </w:r>
      <w:r w:rsidR="009773F9" w:rsidRPr="001F0309">
        <w:rPr>
          <w:i/>
        </w:rPr>
        <w:t>IDH1</w:t>
      </w:r>
      <w:r w:rsidR="009773F9" w:rsidRPr="001F0309">
        <w:t xml:space="preserve"> testing intended for patients with CCA also being conducted in patients with </w:t>
      </w:r>
      <w:r w:rsidR="009773F9" w:rsidRPr="001F0309">
        <w:lastRenderedPageBreak/>
        <w:t xml:space="preserve">primary distal common bile duct or head of pancreas, and metastatic </w:t>
      </w:r>
      <w:proofErr w:type="spellStart"/>
      <w:r w:rsidR="009773F9" w:rsidRPr="001F0309">
        <w:t>pancreatobiliary</w:t>
      </w:r>
      <w:proofErr w:type="spellEnd"/>
      <w:r w:rsidR="009773F9" w:rsidRPr="001F0309">
        <w:t xml:space="preserve"> cancer or carcinoma of unknown primary site. MSAC noted the pre-MSAC response argued that this was unlikely, as a diagnosis of CCA is required to have occurred before genetic testing of the tumour tissue. MSAC agreed with ESC that these cancers had similar profiles to </w:t>
      </w:r>
      <w:proofErr w:type="gramStart"/>
      <w:r w:rsidR="009773F9" w:rsidRPr="001F0309">
        <w:t>CCA, and</w:t>
      </w:r>
      <w:proofErr w:type="gramEnd"/>
      <w:r w:rsidR="009773F9" w:rsidRPr="001F0309">
        <w:t xml:space="preserve"> noted that </w:t>
      </w:r>
      <w:r w:rsidR="009773F9" w:rsidRPr="001F0309">
        <w:rPr>
          <w:i/>
          <w:iCs/>
        </w:rPr>
        <w:t>IDH1</w:t>
      </w:r>
      <w:r w:rsidR="009773F9" w:rsidRPr="001F0309">
        <w:t xml:space="preserve"> variants are more common in intrahepatic CCA than in extrahepatic CCA. MSAC considered that, even if there was leakage through diagnostic expansion, the additional service volume would be extremely small. MSAC considered it would be appropriate for all patients with a tumour in their bile ducts to receive this testing (including when it is uncertain whether the CCA is the primary tumour), and that this would not have any material effect on the financial cost or the cost-effectiveness of testing. Overall, MSAC advised the financial cost of </w:t>
      </w:r>
      <w:r w:rsidR="009773F9" w:rsidRPr="001F0309">
        <w:rPr>
          <w:i/>
          <w:iCs/>
        </w:rPr>
        <w:t>IDH1</w:t>
      </w:r>
      <w:r w:rsidR="009773F9" w:rsidRPr="001F0309">
        <w:t xml:space="preserve"> testing to the MBS was acceptable. However, given the remaining uncertainty around test volumes, MSAC considered if it were to support this testing, it would be appropriate to review service volumes following implementation.</w:t>
      </w:r>
    </w:p>
    <w:p w14:paraId="1C546C0D" w14:textId="2B9FCBB7" w:rsidR="009D1DFB" w:rsidRPr="00A737D1" w:rsidRDefault="00CF145A" w:rsidP="00CF145A">
      <w:pPr>
        <w:pStyle w:val="Heading2"/>
        <w:numPr>
          <w:ilvl w:val="0"/>
          <w:numId w:val="10"/>
        </w:numPr>
      </w:pPr>
      <w:bookmarkStart w:id="32" w:name="_Hlk193984667"/>
      <w:bookmarkEnd w:id="31"/>
      <w:r>
        <w:t>A</w:t>
      </w:r>
      <w:r w:rsidR="009D1DFB" w:rsidRPr="003A793E">
        <w:t>pplicant comments on MSAC’s Public Summary Document</w:t>
      </w:r>
    </w:p>
    <w:p w14:paraId="6DC1FA2C" w14:textId="41F9CA79" w:rsidR="009D1DFB" w:rsidRPr="003036B1" w:rsidRDefault="000D5868" w:rsidP="009D1DFB">
      <w:pPr>
        <w:spacing w:after="240"/>
        <w:rPr>
          <w:color w:val="000000" w:themeColor="text1"/>
        </w:rPr>
      </w:pPr>
      <w:r w:rsidRPr="003036B1">
        <w:rPr>
          <w:color w:val="000000" w:themeColor="text1"/>
        </w:rPr>
        <w:t xml:space="preserve">Taiho remains committed to working with MSAC to facilitate access to testing of tumour tissue to detect </w:t>
      </w:r>
      <w:r w:rsidRPr="003036B1">
        <w:rPr>
          <w:i/>
          <w:iCs/>
          <w:color w:val="000000" w:themeColor="text1"/>
        </w:rPr>
        <w:t>FGFR2</w:t>
      </w:r>
      <w:r w:rsidRPr="003036B1">
        <w:rPr>
          <w:color w:val="000000" w:themeColor="text1"/>
        </w:rPr>
        <w:t xml:space="preserve"> fusions or rearrangements in people with CCA, to determine eligibility for treatment with PBS subsidised futibatinib.</w:t>
      </w:r>
    </w:p>
    <w:p w14:paraId="45A766D1" w14:textId="77777777" w:rsidR="009D1DFB" w:rsidRPr="00A737D1" w:rsidRDefault="009D1DFB" w:rsidP="00CF145A">
      <w:pPr>
        <w:pStyle w:val="Heading2"/>
        <w:numPr>
          <w:ilvl w:val="0"/>
          <w:numId w:val="10"/>
        </w:numPr>
      </w:pPr>
      <w:r w:rsidRPr="003A793E">
        <w:t>Further information on MSAC</w:t>
      </w:r>
    </w:p>
    <w:p w14:paraId="7C6A7D43" w14:textId="33B9066F" w:rsidR="009D1DFB" w:rsidRPr="00BA023D" w:rsidRDefault="009D1DFB" w:rsidP="00BA023D">
      <w:pPr>
        <w:pStyle w:val="BodyText"/>
        <w:rPr>
          <w:b/>
          <w:bCs/>
          <w:i/>
          <w:iCs/>
        </w:rPr>
      </w:pPr>
      <w:r w:rsidRPr="00F309FA">
        <w:rPr>
          <w:bCs/>
          <w:iCs/>
        </w:rPr>
        <w:t xml:space="preserve">MSAC Terms of Reference and other information are available on the MSAC Website: </w:t>
      </w:r>
      <w:hyperlink r:id="rId11" w:tooltip="Link to the MSAC website" w:history="1">
        <w:r w:rsidRPr="000D2098">
          <w:rPr>
            <w:rStyle w:val="Hyperlink"/>
            <w:iCs/>
            <w:color w:val="007BB8"/>
          </w:rPr>
          <w:t>visit the MSAC website</w:t>
        </w:r>
      </w:hyperlink>
      <w:bookmarkEnd w:id="32"/>
    </w:p>
    <w:sectPr w:rsidR="009D1DFB" w:rsidRPr="00BA023D" w:rsidSect="00784341">
      <w:headerReference w:type="even" r:id="rId12"/>
      <w:headerReference w:type="default" r:id="rId13"/>
      <w:footerReference w:type="even" r:id="rId14"/>
      <w:footerReference w:type="default" r:id="rId15"/>
      <w:headerReference w:type="first" r:id="rId16"/>
      <w:footerReference w:type="first" r:id="rId17"/>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6FB4" w14:textId="77777777" w:rsidR="00B71FDC" w:rsidRDefault="00B71FDC" w:rsidP="00B62DF2">
      <w:pPr>
        <w:spacing w:after="0" w:line="240" w:lineRule="auto"/>
      </w:pPr>
      <w:r>
        <w:separator/>
      </w:r>
    </w:p>
  </w:endnote>
  <w:endnote w:type="continuationSeparator" w:id="0">
    <w:p w14:paraId="0EECF274" w14:textId="77777777" w:rsidR="00B71FDC" w:rsidRDefault="00B71FDC" w:rsidP="00B6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F2B4" w14:textId="0D96D5B3" w:rsidR="005947B5" w:rsidRDefault="00237D79" w:rsidP="0031246A">
    <w:pPr>
      <w:pStyle w:val="Footer"/>
      <w:jc w:val="right"/>
    </w:pPr>
    <w:r>
      <w:rPr>
        <w:noProof/>
      </w:rPr>
      <mc:AlternateContent>
        <mc:Choice Requires="wps">
          <w:drawing>
            <wp:anchor distT="0" distB="0" distL="0" distR="0" simplePos="0" relativeHeight="251658244" behindDoc="0" locked="0" layoutInCell="1" allowOverlap="1" wp14:anchorId="6540150B" wp14:editId="00CB71BA">
              <wp:simplePos x="635" y="635"/>
              <wp:positionH relativeFrom="page">
                <wp:align>center</wp:align>
              </wp:positionH>
              <wp:positionV relativeFrom="page">
                <wp:align>bottom</wp:align>
              </wp:positionV>
              <wp:extent cx="609600" cy="476250"/>
              <wp:effectExtent l="0" t="0" r="0" b="0"/>
              <wp:wrapNone/>
              <wp:docPr id="13051296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D08E318" w14:textId="58FD1996"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0150B"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7D08E318" w14:textId="58FD1996"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A135" w14:textId="201D3532" w:rsidR="005947B5" w:rsidRDefault="00237D79" w:rsidP="0031246A">
    <w:pPr>
      <w:pStyle w:val="Footer"/>
      <w:jc w:val="right"/>
    </w:pPr>
    <w:r>
      <w:rPr>
        <w:noProof/>
      </w:rPr>
      <mc:AlternateContent>
        <mc:Choice Requires="wps">
          <w:drawing>
            <wp:anchor distT="0" distB="0" distL="0" distR="0" simplePos="0" relativeHeight="251658245" behindDoc="0" locked="0" layoutInCell="1" allowOverlap="1" wp14:anchorId="02E2D47A" wp14:editId="11AB09BD">
              <wp:simplePos x="635" y="635"/>
              <wp:positionH relativeFrom="page">
                <wp:align>center</wp:align>
              </wp:positionH>
              <wp:positionV relativeFrom="page">
                <wp:align>bottom</wp:align>
              </wp:positionV>
              <wp:extent cx="609600" cy="476250"/>
              <wp:effectExtent l="0" t="0" r="0" b="0"/>
              <wp:wrapNone/>
              <wp:docPr id="12619326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DC4A0F0" w14:textId="4B5EDF58"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2D47A"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0DC4A0F0" w14:textId="4B5EDF58"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F80F" w14:textId="404F0D9C" w:rsidR="00620E27" w:rsidRDefault="00237D79">
    <w:pPr>
      <w:pStyle w:val="Footer"/>
    </w:pPr>
    <w:r>
      <w:rPr>
        <w:noProof/>
      </w:rPr>
      <mc:AlternateContent>
        <mc:Choice Requires="wps">
          <w:drawing>
            <wp:anchor distT="0" distB="0" distL="0" distR="0" simplePos="0" relativeHeight="251658243" behindDoc="0" locked="0" layoutInCell="1" allowOverlap="1" wp14:anchorId="33C9F250" wp14:editId="5DCC6AC7">
              <wp:simplePos x="635" y="635"/>
              <wp:positionH relativeFrom="page">
                <wp:align>center</wp:align>
              </wp:positionH>
              <wp:positionV relativeFrom="page">
                <wp:align>bottom</wp:align>
              </wp:positionV>
              <wp:extent cx="609600" cy="476250"/>
              <wp:effectExtent l="0" t="0" r="0" b="0"/>
              <wp:wrapNone/>
              <wp:docPr id="8021232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39151EA" w14:textId="39005BBE"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9F250"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439151EA" w14:textId="39005BBE"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EB70" w14:textId="77777777" w:rsidR="00B71FDC" w:rsidRDefault="00B71FDC" w:rsidP="00B62DF2">
      <w:pPr>
        <w:spacing w:after="0" w:line="240" w:lineRule="auto"/>
      </w:pPr>
      <w:r>
        <w:separator/>
      </w:r>
    </w:p>
  </w:footnote>
  <w:footnote w:type="continuationSeparator" w:id="0">
    <w:p w14:paraId="738CC216" w14:textId="77777777" w:rsidR="00B71FDC" w:rsidRDefault="00B71FDC" w:rsidP="00B62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096E" w14:textId="3F27771E" w:rsidR="00620E27" w:rsidRDefault="00237D79">
    <w:pPr>
      <w:pStyle w:val="Header"/>
    </w:pPr>
    <w:r>
      <w:rPr>
        <w:noProof/>
      </w:rPr>
      <mc:AlternateContent>
        <mc:Choice Requires="wps">
          <w:drawing>
            <wp:anchor distT="0" distB="0" distL="0" distR="0" simplePos="0" relativeHeight="251658241" behindDoc="0" locked="0" layoutInCell="1" allowOverlap="1" wp14:anchorId="6811A0C6" wp14:editId="3B1800C6">
              <wp:simplePos x="635" y="635"/>
              <wp:positionH relativeFrom="page">
                <wp:align>center</wp:align>
              </wp:positionH>
              <wp:positionV relativeFrom="page">
                <wp:align>top</wp:align>
              </wp:positionV>
              <wp:extent cx="609600" cy="476250"/>
              <wp:effectExtent l="0" t="0" r="0" b="0"/>
              <wp:wrapNone/>
              <wp:docPr id="525795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8964992" w14:textId="38915934"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11A0C6"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78964992" w14:textId="38915934"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F251" w14:textId="6666916B" w:rsidR="00620E27" w:rsidRDefault="00237D79">
    <w:pPr>
      <w:pStyle w:val="Header"/>
    </w:pPr>
    <w:r>
      <w:rPr>
        <w:noProof/>
      </w:rPr>
      <mc:AlternateContent>
        <mc:Choice Requires="wps">
          <w:drawing>
            <wp:anchor distT="0" distB="0" distL="0" distR="0" simplePos="0" relativeHeight="251658242" behindDoc="0" locked="0" layoutInCell="1" allowOverlap="1" wp14:anchorId="07E5A751" wp14:editId="3BF6DBE6">
              <wp:simplePos x="635" y="635"/>
              <wp:positionH relativeFrom="page">
                <wp:align>center</wp:align>
              </wp:positionH>
              <wp:positionV relativeFrom="page">
                <wp:align>top</wp:align>
              </wp:positionV>
              <wp:extent cx="609600" cy="476250"/>
              <wp:effectExtent l="0" t="0" r="0" b="0"/>
              <wp:wrapNone/>
              <wp:docPr id="12976399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FD7EA06" w14:textId="7939DD97"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5A751"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5FD7EA06" w14:textId="7939DD97"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51E1" w14:textId="625D1B1A" w:rsidR="00620E27" w:rsidRDefault="00237D79">
    <w:pPr>
      <w:pStyle w:val="Header"/>
    </w:pPr>
    <w:r>
      <w:rPr>
        <w:noProof/>
      </w:rPr>
      <mc:AlternateContent>
        <mc:Choice Requires="wps">
          <w:drawing>
            <wp:anchor distT="0" distB="0" distL="0" distR="0" simplePos="0" relativeHeight="251658240" behindDoc="0" locked="0" layoutInCell="1" allowOverlap="1" wp14:anchorId="28E5ADAE" wp14:editId="0C5EAC42">
              <wp:simplePos x="635" y="635"/>
              <wp:positionH relativeFrom="page">
                <wp:align>center</wp:align>
              </wp:positionH>
              <wp:positionV relativeFrom="page">
                <wp:align>top</wp:align>
              </wp:positionV>
              <wp:extent cx="609600" cy="476250"/>
              <wp:effectExtent l="0" t="0" r="0" b="0"/>
              <wp:wrapNone/>
              <wp:docPr id="155912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1E44FFD" w14:textId="7EDD56FA"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5ADAE"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11E44FFD" w14:textId="7EDD56FA" w:rsidR="00237D79" w:rsidRPr="001F0309" w:rsidRDefault="00237D79" w:rsidP="001F0309">
                    <w:pPr>
                      <w:spacing w:after="0"/>
                      <w:rPr>
                        <w:rFonts w:ascii="Aptos" w:eastAsia="Aptos" w:hAnsi="Aptos" w:cs="Aptos"/>
                        <w:noProof/>
                        <w:color w:val="FF0000"/>
                        <w:sz w:val="24"/>
                        <w:szCs w:val="24"/>
                      </w:rPr>
                    </w:pPr>
                    <w:r w:rsidRPr="001F030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E74"/>
    <w:multiLevelType w:val="hybridMultilevel"/>
    <w:tmpl w:val="139ED38E"/>
    <w:lvl w:ilvl="0" w:tplc="8526A37C">
      <w:start w:val="1"/>
      <w:numFmt w:val="decimal"/>
      <w:lvlText w:val="%1."/>
      <w:lvlJc w:val="left"/>
      <w:pPr>
        <w:ind w:left="720" w:hanging="360"/>
      </w:pPr>
    </w:lvl>
    <w:lvl w:ilvl="1" w:tplc="4370B4FC">
      <w:start w:val="1"/>
      <w:numFmt w:val="decimal"/>
      <w:lvlText w:val="%2."/>
      <w:lvlJc w:val="left"/>
      <w:pPr>
        <w:ind w:left="720" w:hanging="360"/>
      </w:pPr>
    </w:lvl>
    <w:lvl w:ilvl="2" w:tplc="D6BC9450">
      <w:start w:val="1"/>
      <w:numFmt w:val="decimal"/>
      <w:lvlText w:val="%3."/>
      <w:lvlJc w:val="left"/>
      <w:pPr>
        <w:ind w:left="720" w:hanging="360"/>
      </w:pPr>
    </w:lvl>
    <w:lvl w:ilvl="3" w:tplc="34D63FAE">
      <w:start w:val="1"/>
      <w:numFmt w:val="decimal"/>
      <w:lvlText w:val="%4."/>
      <w:lvlJc w:val="left"/>
      <w:pPr>
        <w:ind w:left="720" w:hanging="360"/>
      </w:pPr>
    </w:lvl>
    <w:lvl w:ilvl="4" w:tplc="5EE883EC">
      <w:start w:val="1"/>
      <w:numFmt w:val="decimal"/>
      <w:lvlText w:val="%5."/>
      <w:lvlJc w:val="left"/>
      <w:pPr>
        <w:ind w:left="720" w:hanging="360"/>
      </w:pPr>
    </w:lvl>
    <w:lvl w:ilvl="5" w:tplc="7D8837D6">
      <w:start w:val="1"/>
      <w:numFmt w:val="decimal"/>
      <w:lvlText w:val="%6."/>
      <w:lvlJc w:val="left"/>
      <w:pPr>
        <w:ind w:left="720" w:hanging="360"/>
      </w:pPr>
    </w:lvl>
    <w:lvl w:ilvl="6" w:tplc="7924B7E2">
      <w:start w:val="1"/>
      <w:numFmt w:val="decimal"/>
      <w:lvlText w:val="%7."/>
      <w:lvlJc w:val="left"/>
      <w:pPr>
        <w:ind w:left="720" w:hanging="360"/>
      </w:pPr>
    </w:lvl>
    <w:lvl w:ilvl="7" w:tplc="CCBE1F26">
      <w:start w:val="1"/>
      <w:numFmt w:val="decimal"/>
      <w:lvlText w:val="%8."/>
      <w:lvlJc w:val="left"/>
      <w:pPr>
        <w:ind w:left="720" w:hanging="360"/>
      </w:pPr>
    </w:lvl>
    <w:lvl w:ilvl="8" w:tplc="55AE5FB4">
      <w:start w:val="1"/>
      <w:numFmt w:val="decimal"/>
      <w:lvlText w:val="%9."/>
      <w:lvlJc w:val="left"/>
      <w:pPr>
        <w:ind w:left="720" w:hanging="360"/>
      </w:pPr>
    </w:lvl>
  </w:abstractNum>
  <w:abstractNum w:abstractNumId="1" w15:restartNumberingAfterBreak="0">
    <w:nsid w:val="0A977AF4"/>
    <w:multiLevelType w:val="hybridMultilevel"/>
    <w:tmpl w:val="40F6A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F14ED7"/>
    <w:multiLevelType w:val="hybridMultilevel"/>
    <w:tmpl w:val="B42C71F6"/>
    <w:lvl w:ilvl="0" w:tplc="758298E6">
      <w:start w:val="1"/>
      <w:numFmt w:val="decimal"/>
      <w:lvlText w:val="%1."/>
      <w:lvlJc w:val="left"/>
      <w:pPr>
        <w:ind w:left="1020" w:hanging="360"/>
      </w:pPr>
    </w:lvl>
    <w:lvl w:ilvl="1" w:tplc="4CF2550E">
      <w:start w:val="1"/>
      <w:numFmt w:val="decimal"/>
      <w:lvlText w:val="%2."/>
      <w:lvlJc w:val="left"/>
      <w:pPr>
        <w:ind w:left="1020" w:hanging="360"/>
      </w:pPr>
    </w:lvl>
    <w:lvl w:ilvl="2" w:tplc="818E88CE">
      <w:start w:val="1"/>
      <w:numFmt w:val="decimal"/>
      <w:lvlText w:val="%3."/>
      <w:lvlJc w:val="left"/>
      <w:pPr>
        <w:ind w:left="1020" w:hanging="360"/>
      </w:pPr>
    </w:lvl>
    <w:lvl w:ilvl="3" w:tplc="E348E184">
      <w:start w:val="1"/>
      <w:numFmt w:val="decimal"/>
      <w:lvlText w:val="%4."/>
      <w:lvlJc w:val="left"/>
      <w:pPr>
        <w:ind w:left="1020" w:hanging="360"/>
      </w:pPr>
    </w:lvl>
    <w:lvl w:ilvl="4" w:tplc="290E4772">
      <w:start w:val="1"/>
      <w:numFmt w:val="decimal"/>
      <w:lvlText w:val="%5."/>
      <w:lvlJc w:val="left"/>
      <w:pPr>
        <w:ind w:left="1020" w:hanging="360"/>
      </w:pPr>
    </w:lvl>
    <w:lvl w:ilvl="5" w:tplc="4998C63C">
      <w:start w:val="1"/>
      <w:numFmt w:val="decimal"/>
      <w:lvlText w:val="%6."/>
      <w:lvlJc w:val="left"/>
      <w:pPr>
        <w:ind w:left="1020" w:hanging="360"/>
      </w:pPr>
    </w:lvl>
    <w:lvl w:ilvl="6" w:tplc="7A523558">
      <w:start w:val="1"/>
      <w:numFmt w:val="decimal"/>
      <w:lvlText w:val="%7."/>
      <w:lvlJc w:val="left"/>
      <w:pPr>
        <w:ind w:left="1020" w:hanging="360"/>
      </w:pPr>
    </w:lvl>
    <w:lvl w:ilvl="7" w:tplc="EED636E6">
      <w:start w:val="1"/>
      <w:numFmt w:val="decimal"/>
      <w:lvlText w:val="%8."/>
      <w:lvlJc w:val="left"/>
      <w:pPr>
        <w:ind w:left="1020" w:hanging="360"/>
      </w:pPr>
    </w:lvl>
    <w:lvl w:ilvl="8" w:tplc="9A089894">
      <w:start w:val="1"/>
      <w:numFmt w:val="decimal"/>
      <w:lvlText w:val="%9."/>
      <w:lvlJc w:val="left"/>
      <w:pPr>
        <w:ind w:left="1020" w:hanging="360"/>
      </w:p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B00D7"/>
    <w:multiLevelType w:val="hybridMultilevel"/>
    <w:tmpl w:val="C82CB7F6"/>
    <w:lvl w:ilvl="0" w:tplc="FA9AA1A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E622C6"/>
    <w:multiLevelType w:val="hybridMultilevel"/>
    <w:tmpl w:val="8E26ECE4"/>
    <w:lvl w:ilvl="0" w:tplc="8820A526">
      <w:start w:val="1"/>
      <w:numFmt w:val="decimal"/>
      <w:lvlText w:val="%1."/>
      <w:lvlJc w:val="left"/>
      <w:pPr>
        <w:ind w:left="1020" w:hanging="360"/>
      </w:pPr>
    </w:lvl>
    <w:lvl w:ilvl="1" w:tplc="13EEE388">
      <w:start w:val="1"/>
      <w:numFmt w:val="decimal"/>
      <w:lvlText w:val="%2."/>
      <w:lvlJc w:val="left"/>
      <w:pPr>
        <w:ind w:left="1020" w:hanging="360"/>
      </w:pPr>
    </w:lvl>
    <w:lvl w:ilvl="2" w:tplc="91FE5A4E">
      <w:start w:val="1"/>
      <w:numFmt w:val="decimal"/>
      <w:lvlText w:val="%3."/>
      <w:lvlJc w:val="left"/>
      <w:pPr>
        <w:ind w:left="1020" w:hanging="360"/>
      </w:pPr>
    </w:lvl>
    <w:lvl w:ilvl="3" w:tplc="F2483EE8">
      <w:start w:val="1"/>
      <w:numFmt w:val="decimal"/>
      <w:lvlText w:val="%4."/>
      <w:lvlJc w:val="left"/>
      <w:pPr>
        <w:ind w:left="1020" w:hanging="360"/>
      </w:pPr>
    </w:lvl>
    <w:lvl w:ilvl="4" w:tplc="C47672E8">
      <w:start w:val="1"/>
      <w:numFmt w:val="decimal"/>
      <w:lvlText w:val="%5."/>
      <w:lvlJc w:val="left"/>
      <w:pPr>
        <w:ind w:left="1020" w:hanging="360"/>
      </w:pPr>
    </w:lvl>
    <w:lvl w:ilvl="5" w:tplc="B25AD5AE">
      <w:start w:val="1"/>
      <w:numFmt w:val="decimal"/>
      <w:lvlText w:val="%6."/>
      <w:lvlJc w:val="left"/>
      <w:pPr>
        <w:ind w:left="1020" w:hanging="360"/>
      </w:pPr>
    </w:lvl>
    <w:lvl w:ilvl="6" w:tplc="F3F82DDA">
      <w:start w:val="1"/>
      <w:numFmt w:val="decimal"/>
      <w:lvlText w:val="%7."/>
      <w:lvlJc w:val="left"/>
      <w:pPr>
        <w:ind w:left="1020" w:hanging="360"/>
      </w:pPr>
    </w:lvl>
    <w:lvl w:ilvl="7" w:tplc="9286AAF0">
      <w:start w:val="1"/>
      <w:numFmt w:val="decimal"/>
      <w:lvlText w:val="%8."/>
      <w:lvlJc w:val="left"/>
      <w:pPr>
        <w:ind w:left="1020" w:hanging="360"/>
      </w:pPr>
    </w:lvl>
    <w:lvl w:ilvl="8" w:tplc="4FEA49BA">
      <w:start w:val="1"/>
      <w:numFmt w:val="decimal"/>
      <w:lvlText w:val="%9."/>
      <w:lvlJc w:val="left"/>
      <w:pPr>
        <w:ind w:left="1020" w:hanging="360"/>
      </w:pPr>
    </w:lvl>
  </w:abstractNum>
  <w:abstractNum w:abstractNumId="6"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CEB2D24"/>
    <w:multiLevelType w:val="hybridMultilevel"/>
    <w:tmpl w:val="FA646AEE"/>
    <w:lvl w:ilvl="0" w:tplc="B4709976">
      <w:start w:val="1"/>
      <w:numFmt w:val="decimal"/>
      <w:lvlText w:val="%1."/>
      <w:lvlJc w:val="left"/>
      <w:pPr>
        <w:ind w:left="720" w:hanging="360"/>
      </w:pPr>
    </w:lvl>
    <w:lvl w:ilvl="1" w:tplc="E95ADB82">
      <w:start w:val="1"/>
      <w:numFmt w:val="decimal"/>
      <w:lvlText w:val="%2."/>
      <w:lvlJc w:val="left"/>
      <w:pPr>
        <w:ind w:left="720" w:hanging="360"/>
      </w:pPr>
    </w:lvl>
    <w:lvl w:ilvl="2" w:tplc="AA8C695A">
      <w:start w:val="1"/>
      <w:numFmt w:val="decimal"/>
      <w:lvlText w:val="%3."/>
      <w:lvlJc w:val="left"/>
      <w:pPr>
        <w:ind w:left="720" w:hanging="360"/>
      </w:pPr>
    </w:lvl>
    <w:lvl w:ilvl="3" w:tplc="3CDE9B9C">
      <w:start w:val="1"/>
      <w:numFmt w:val="decimal"/>
      <w:lvlText w:val="%4."/>
      <w:lvlJc w:val="left"/>
      <w:pPr>
        <w:ind w:left="720" w:hanging="360"/>
      </w:pPr>
    </w:lvl>
    <w:lvl w:ilvl="4" w:tplc="15E8E98A">
      <w:start w:val="1"/>
      <w:numFmt w:val="decimal"/>
      <w:lvlText w:val="%5."/>
      <w:lvlJc w:val="left"/>
      <w:pPr>
        <w:ind w:left="720" w:hanging="360"/>
      </w:pPr>
    </w:lvl>
    <w:lvl w:ilvl="5" w:tplc="18E2F46A">
      <w:start w:val="1"/>
      <w:numFmt w:val="decimal"/>
      <w:lvlText w:val="%6."/>
      <w:lvlJc w:val="left"/>
      <w:pPr>
        <w:ind w:left="720" w:hanging="360"/>
      </w:pPr>
    </w:lvl>
    <w:lvl w:ilvl="6" w:tplc="2C74D932">
      <w:start w:val="1"/>
      <w:numFmt w:val="decimal"/>
      <w:lvlText w:val="%7."/>
      <w:lvlJc w:val="left"/>
      <w:pPr>
        <w:ind w:left="720" w:hanging="360"/>
      </w:pPr>
    </w:lvl>
    <w:lvl w:ilvl="7" w:tplc="164A88CC">
      <w:start w:val="1"/>
      <w:numFmt w:val="decimal"/>
      <w:lvlText w:val="%8."/>
      <w:lvlJc w:val="left"/>
      <w:pPr>
        <w:ind w:left="720" w:hanging="360"/>
      </w:pPr>
    </w:lvl>
    <w:lvl w:ilvl="8" w:tplc="75C0A12E">
      <w:start w:val="1"/>
      <w:numFmt w:val="decimal"/>
      <w:lvlText w:val="%9."/>
      <w:lvlJc w:val="left"/>
      <w:pPr>
        <w:ind w:left="720" w:hanging="360"/>
      </w:pPr>
    </w:lvl>
  </w:abstractNum>
  <w:abstractNum w:abstractNumId="8" w15:restartNumberingAfterBreak="0">
    <w:nsid w:val="1DAC7BA3"/>
    <w:multiLevelType w:val="hybridMultilevel"/>
    <w:tmpl w:val="EDE4050A"/>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F311D3"/>
    <w:multiLevelType w:val="hybridMultilevel"/>
    <w:tmpl w:val="DFBA7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E54322"/>
    <w:multiLevelType w:val="hybridMultilevel"/>
    <w:tmpl w:val="4B52DB24"/>
    <w:lvl w:ilvl="0" w:tplc="92483622">
      <w:start w:val="1"/>
      <w:numFmt w:val="decimal"/>
      <w:lvlText w:val="%1."/>
      <w:lvlJc w:val="left"/>
      <w:pPr>
        <w:ind w:left="1020" w:hanging="360"/>
      </w:pPr>
    </w:lvl>
    <w:lvl w:ilvl="1" w:tplc="2EB8C678">
      <w:start w:val="1"/>
      <w:numFmt w:val="decimal"/>
      <w:lvlText w:val="%2."/>
      <w:lvlJc w:val="left"/>
      <w:pPr>
        <w:ind w:left="1020" w:hanging="360"/>
      </w:pPr>
    </w:lvl>
    <w:lvl w:ilvl="2" w:tplc="A4EA1E88">
      <w:start w:val="1"/>
      <w:numFmt w:val="decimal"/>
      <w:lvlText w:val="%3."/>
      <w:lvlJc w:val="left"/>
      <w:pPr>
        <w:ind w:left="1020" w:hanging="360"/>
      </w:pPr>
    </w:lvl>
    <w:lvl w:ilvl="3" w:tplc="BACCC530">
      <w:start w:val="1"/>
      <w:numFmt w:val="decimal"/>
      <w:lvlText w:val="%4."/>
      <w:lvlJc w:val="left"/>
      <w:pPr>
        <w:ind w:left="1020" w:hanging="360"/>
      </w:pPr>
    </w:lvl>
    <w:lvl w:ilvl="4" w:tplc="3D703BAA">
      <w:start w:val="1"/>
      <w:numFmt w:val="decimal"/>
      <w:lvlText w:val="%5."/>
      <w:lvlJc w:val="left"/>
      <w:pPr>
        <w:ind w:left="1020" w:hanging="360"/>
      </w:pPr>
    </w:lvl>
    <w:lvl w:ilvl="5" w:tplc="444C8E0A">
      <w:start w:val="1"/>
      <w:numFmt w:val="decimal"/>
      <w:lvlText w:val="%6."/>
      <w:lvlJc w:val="left"/>
      <w:pPr>
        <w:ind w:left="1020" w:hanging="360"/>
      </w:pPr>
    </w:lvl>
    <w:lvl w:ilvl="6" w:tplc="8ABA8C14">
      <w:start w:val="1"/>
      <w:numFmt w:val="decimal"/>
      <w:lvlText w:val="%7."/>
      <w:lvlJc w:val="left"/>
      <w:pPr>
        <w:ind w:left="1020" w:hanging="360"/>
      </w:pPr>
    </w:lvl>
    <w:lvl w:ilvl="7" w:tplc="7BE8FAE8">
      <w:start w:val="1"/>
      <w:numFmt w:val="decimal"/>
      <w:lvlText w:val="%8."/>
      <w:lvlJc w:val="left"/>
      <w:pPr>
        <w:ind w:left="1020" w:hanging="360"/>
      </w:pPr>
    </w:lvl>
    <w:lvl w:ilvl="8" w:tplc="3FE6B740">
      <w:start w:val="1"/>
      <w:numFmt w:val="decimal"/>
      <w:lvlText w:val="%9."/>
      <w:lvlJc w:val="left"/>
      <w:pPr>
        <w:ind w:left="1020" w:hanging="360"/>
      </w:pPr>
    </w:lvl>
  </w:abstractNum>
  <w:abstractNum w:abstractNumId="11"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2" w15:restartNumberingAfterBreak="0">
    <w:nsid w:val="254B62EB"/>
    <w:multiLevelType w:val="hybridMultilevel"/>
    <w:tmpl w:val="7A76871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5C53EB"/>
    <w:multiLevelType w:val="hybridMultilevel"/>
    <w:tmpl w:val="2B5E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E942450"/>
    <w:multiLevelType w:val="hybridMultilevel"/>
    <w:tmpl w:val="B9743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9428D7"/>
    <w:multiLevelType w:val="hybridMultilevel"/>
    <w:tmpl w:val="DE3C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303BA8"/>
    <w:multiLevelType w:val="hybridMultilevel"/>
    <w:tmpl w:val="93CA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start w:val="1"/>
      <w:numFmt w:val="bullet"/>
      <w:pStyle w:val="EvidenceSubhead"/>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2" w15:restartNumberingAfterBreak="0">
    <w:nsid w:val="42376C72"/>
    <w:multiLevelType w:val="hybridMultilevel"/>
    <w:tmpl w:val="8FB46082"/>
    <w:lvl w:ilvl="0" w:tplc="B712C85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2A13C99"/>
    <w:multiLevelType w:val="hybridMultilevel"/>
    <w:tmpl w:val="1F3809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D7813"/>
    <w:multiLevelType w:val="hybridMultilevel"/>
    <w:tmpl w:val="9A60ECC4"/>
    <w:lvl w:ilvl="0" w:tplc="A134B9FC">
      <w:start w:val="1"/>
      <w:numFmt w:val="decimal"/>
      <w:lvlText w:val="%1."/>
      <w:lvlJc w:val="left"/>
      <w:pPr>
        <w:ind w:left="1020" w:hanging="360"/>
      </w:pPr>
    </w:lvl>
    <w:lvl w:ilvl="1" w:tplc="98D49752">
      <w:start w:val="1"/>
      <w:numFmt w:val="decimal"/>
      <w:lvlText w:val="%2."/>
      <w:lvlJc w:val="left"/>
      <w:pPr>
        <w:ind w:left="1020" w:hanging="360"/>
      </w:pPr>
    </w:lvl>
    <w:lvl w:ilvl="2" w:tplc="A62C6CE6">
      <w:start w:val="1"/>
      <w:numFmt w:val="decimal"/>
      <w:lvlText w:val="%3."/>
      <w:lvlJc w:val="left"/>
      <w:pPr>
        <w:ind w:left="1020" w:hanging="360"/>
      </w:pPr>
    </w:lvl>
    <w:lvl w:ilvl="3" w:tplc="0E680F30">
      <w:start w:val="1"/>
      <w:numFmt w:val="decimal"/>
      <w:lvlText w:val="%4."/>
      <w:lvlJc w:val="left"/>
      <w:pPr>
        <w:ind w:left="1020" w:hanging="360"/>
      </w:pPr>
    </w:lvl>
    <w:lvl w:ilvl="4" w:tplc="0B621BBA">
      <w:start w:val="1"/>
      <w:numFmt w:val="decimal"/>
      <w:lvlText w:val="%5."/>
      <w:lvlJc w:val="left"/>
      <w:pPr>
        <w:ind w:left="1020" w:hanging="360"/>
      </w:pPr>
    </w:lvl>
    <w:lvl w:ilvl="5" w:tplc="FDC659F6">
      <w:start w:val="1"/>
      <w:numFmt w:val="decimal"/>
      <w:lvlText w:val="%6."/>
      <w:lvlJc w:val="left"/>
      <w:pPr>
        <w:ind w:left="1020" w:hanging="360"/>
      </w:pPr>
    </w:lvl>
    <w:lvl w:ilvl="6" w:tplc="872039EC">
      <w:start w:val="1"/>
      <w:numFmt w:val="decimal"/>
      <w:lvlText w:val="%7."/>
      <w:lvlJc w:val="left"/>
      <w:pPr>
        <w:ind w:left="1020" w:hanging="360"/>
      </w:pPr>
    </w:lvl>
    <w:lvl w:ilvl="7" w:tplc="98A8D936">
      <w:start w:val="1"/>
      <w:numFmt w:val="decimal"/>
      <w:lvlText w:val="%8."/>
      <w:lvlJc w:val="left"/>
      <w:pPr>
        <w:ind w:left="1020" w:hanging="360"/>
      </w:pPr>
    </w:lvl>
    <w:lvl w:ilvl="8" w:tplc="A6D4BCBC">
      <w:start w:val="1"/>
      <w:numFmt w:val="decimal"/>
      <w:lvlText w:val="%9."/>
      <w:lvlJc w:val="left"/>
      <w:pPr>
        <w:ind w:left="1020" w:hanging="360"/>
      </w:pPr>
    </w:lvl>
  </w:abstractNum>
  <w:abstractNum w:abstractNumId="26" w15:restartNumberingAfterBreak="0">
    <w:nsid w:val="5E1A4E3C"/>
    <w:multiLevelType w:val="hybridMultilevel"/>
    <w:tmpl w:val="19E235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E27A45"/>
    <w:multiLevelType w:val="hybridMultilevel"/>
    <w:tmpl w:val="D5C46034"/>
    <w:lvl w:ilvl="0" w:tplc="0D62D814">
      <w:start w:val="1"/>
      <w:numFmt w:val="decimal"/>
      <w:lvlText w:val="%1."/>
      <w:lvlJc w:val="left"/>
      <w:pPr>
        <w:ind w:left="1020" w:hanging="360"/>
      </w:pPr>
    </w:lvl>
    <w:lvl w:ilvl="1" w:tplc="3110BAAA">
      <w:start w:val="1"/>
      <w:numFmt w:val="decimal"/>
      <w:lvlText w:val="%2."/>
      <w:lvlJc w:val="left"/>
      <w:pPr>
        <w:ind w:left="1020" w:hanging="360"/>
      </w:pPr>
    </w:lvl>
    <w:lvl w:ilvl="2" w:tplc="8884AF92">
      <w:start w:val="1"/>
      <w:numFmt w:val="decimal"/>
      <w:lvlText w:val="%3."/>
      <w:lvlJc w:val="left"/>
      <w:pPr>
        <w:ind w:left="1020" w:hanging="360"/>
      </w:pPr>
    </w:lvl>
    <w:lvl w:ilvl="3" w:tplc="180622EA">
      <w:start w:val="1"/>
      <w:numFmt w:val="decimal"/>
      <w:lvlText w:val="%4."/>
      <w:lvlJc w:val="left"/>
      <w:pPr>
        <w:ind w:left="1020" w:hanging="360"/>
      </w:pPr>
    </w:lvl>
    <w:lvl w:ilvl="4" w:tplc="E1EA64EE">
      <w:start w:val="1"/>
      <w:numFmt w:val="decimal"/>
      <w:lvlText w:val="%5."/>
      <w:lvlJc w:val="left"/>
      <w:pPr>
        <w:ind w:left="1020" w:hanging="360"/>
      </w:pPr>
    </w:lvl>
    <w:lvl w:ilvl="5" w:tplc="8EFAA820">
      <w:start w:val="1"/>
      <w:numFmt w:val="decimal"/>
      <w:lvlText w:val="%6."/>
      <w:lvlJc w:val="left"/>
      <w:pPr>
        <w:ind w:left="1020" w:hanging="360"/>
      </w:pPr>
    </w:lvl>
    <w:lvl w:ilvl="6" w:tplc="4E30EFBC">
      <w:start w:val="1"/>
      <w:numFmt w:val="decimal"/>
      <w:lvlText w:val="%7."/>
      <w:lvlJc w:val="left"/>
      <w:pPr>
        <w:ind w:left="1020" w:hanging="360"/>
      </w:pPr>
    </w:lvl>
    <w:lvl w:ilvl="7" w:tplc="C24C50F4">
      <w:start w:val="1"/>
      <w:numFmt w:val="decimal"/>
      <w:lvlText w:val="%8."/>
      <w:lvlJc w:val="left"/>
      <w:pPr>
        <w:ind w:left="1020" w:hanging="360"/>
      </w:pPr>
    </w:lvl>
    <w:lvl w:ilvl="8" w:tplc="1C8C80A6">
      <w:start w:val="1"/>
      <w:numFmt w:val="decimal"/>
      <w:lvlText w:val="%9."/>
      <w:lvlJc w:val="left"/>
      <w:pPr>
        <w:ind w:left="1020" w:hanging="360"/>
      </w:pPr>
    </w:lvl>
  </w:abstractNum>
  <w:abstractNum w:abstractNumId="28" w15:restartNumberingAfterBreak="0">
    <w:nsid w:val="69AE7D1D"/>
    <w:multiLevelType w:val="hybridMultilevel"/>
    <w:tmpl w:val="34ECA23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4E230E"/>
    <w:multiLevelType w:val="hybridMultilevel"/>
    <w:tmpl w:val="FD6CB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E94FAF"/>
    <w:multiLevelType w:val="hybridMultilevel"/>
    <w:tmpl w:val="2268692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749109160">
    <w:abstractNumId w:val="18"/>
  </w:num>
  <w:num w:numId="2" w16cid:durableId="1270162788">
    <w:abstractNumId w:val="33"/>
  </w:num>
  <w:num w:numId="3" w16cid:durableId="1754930659">
    <w:abstractNumId w:val="3"/>
  </w:num>
  <w:num w:numId="4" w16cid:durableId="410388863">
    <w:abstractNumId w:val="11"/>
  </w:num>
  <w:num w:numId="5" w16cid:durableId="1821774551">
    <w:abstractNumId w:val="31"/>
  </w:num>
  <w:num w:numId="6" w16cid:durableId="758334604">
    <w:abstractNumId w:val="13"/>
  </w:num>
  <w:num w:numId="7" w16cid:durableId="1414619933">
    <w:abstractNumId w:val="15"/>
  </w:num>
  <w:num w:numId="8" w16cid:durableId="747844684">
    <w:abstractNumId w:val="17"/>
  </w:num>
  <w:num w:numId="9" w16cid:durableId="1180662619">
    <w:abstractNumId w:val="23"/>
  </w:num>
  <w:num w:numId="10" w16cid:durableId="1993099311">
    <w:abstractNumId w:val="4"/>
  </w:num>
  <w:num w:numId="11" w16cid:durableId="1728722686">
    <w:abstractNumId w:val="6"/>
  </w:num>
  <w:num w:numId="12" w16cid:durableId="432748491">
    <w:abstractNumId w:val="22"/>
  </w:num>
  <w:num w:numId="13" w16cid:durableId="502739959">
    <w:abstractNumId w:val="26"/>
  </w:num>
  <w:num w:numId="14" w16cid:durableId="383607931">
    <w:abstractNumId w:val="28"/>
  </w:num>
  <w:num w:numId="15" w16cid:durableId="815948720">
    <w:abstractNumId w:val="30"/>
  </w:num>
  <w:num w:numId="16" w16cid:durableId="1960604585">
    <w:abstractNumId w:val="29"/>
  </w:num>
  <w:num w:numId="17" w16cid:durableId="248393304">
    <w:abstractNumId w:val="16"/>
  </w:num>
  <w:num w:numId="18" w16cid:durableId="849104850">
    <w:abstractNumId w:val="21"/>
  </w:num>
  <w:num w:numId="19" w16cid:durableId="1433041385">
    <w:abstractNumId w:val="19"/>
  </w:num>
  <w:num w:numId="20" w16cid:durableId="990214569">
    <w:abstractNumId w:val="24"/>
  </w:num>
  <w:num w:numId="21" w16cid:durableId="1858886625">
    <w:abstractNumId w:val="1"/>
  </w:num>
  <w:num w:numId="22" w16cid:durableId="1637024442">
    <w:abstractNumId w:val="20"/>
  </w:num>
  <w:num w:numId="23" w16cid:durableId="2114745845">
    <w:abstractNumId w:val="8"/>
  </w:num>
  <w:num w:numId="24" w16cid:durableId="709690138">
    <w:abstractNumId w:val="14"/>
  </w:num>
  <w:num w:numId="25" w16cid:durableId="662585556">
    <w:abstractNumId w:val="12"/>
  </w:num>
  <w:num w:numId="26" w16cid:durableId="213277886">
    <w:abstractNumId w:val="9"/>
  </w:num>
  <w:num w:numId="27" w16cid:durableId="1332297666">
    <w:abstractNumId w:val="18"/>
  </w:num>
  <w:num w:numId="28" w16cid:durableId="814759832">
    <w:abstractNumId w:val="32"/>
  </w:num>
  <w:num w:numId="29" w16cid:durableId="2012563121">
    <w:abstractNumId w:val="27"/>
  </w:num>
  <w:num w:numId="30" w16cid:durableId="2036153563">
    <w:abstractNumId w:val="0"/>
  </w:num>
  <w:num w:numId="31" w16cid:durableId="75789933">
    <w:abstractNumId w:val="25"/>
  </w:num>
  <w:num w:numId="32" w16cid:durableId="1811632733">
    <w:abstractNumId w:val="7"/>
  </w:num>
  <w:num w:numId="33" w16cid:durableId="1817643254">
    <w:abstractNumId w:val="2"/>
  </w:num>
  <w:num w:numId="34" w16cid:durableId="1284463077">
    <w:abstractNumId w:val="10"/>
  </w:num>
  <w:num w:numId="35" w16cid:durableId="175547168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638"/>
    <w:rsid w:val="000006FD"/>
    <w:rsid w:val="00000E54"/>
    <w:rsid w:val="00000E72"/>
    <w:rsid w:val="0000109A"/>
    <w:rsid w:val="00001555"/>
    <w:rsid w:val="00001AE6"/>
    <w:rsid w:val="00001D55"/>
    <w:rsid w:val="00001E0B"/>
    <w:rsid w:val="00001E9C"/>
    <w:rsid w:val="000021A2"/>
    <w:rsid w:val="000032D4"/>
    <w:rsid w:val="00003F7E"/>
    <w:rsid w:val="0000492E"/>
    <w:rsid w:val="00004D69"/>
    <w:rsid w:val="00004F7F"/>
    <w:rsid w:val="000054C9"/>
    <w:rsid w:val="000058E4"/>
    <w:rsid w:val="00005DC8"/>
    <w:rsid w:val="000061D9"/>
    <w:rsid w:val="000070F5"/>
    <w:rsid w:val="00007E66"/>
    <w:rsid w:val="00010290"/>
    <w:rsid w:val="00010444"/>
    <w:rsid w:val="0001068E"/>
    <w:rsid w:val="000106AF"/>
    <w:rsid w:val="00010D0F"/>
    <w:rsid w:val="00010D49"/>
    <w:rsid w:val="00010F39"/>
    <w:rsid w:val="0001121D"/>
    <w:rsid w:val="00011568"/>
    <w:rsid w:val="00011FB3"/>
    <w:rsid w:val="000125D4"/>
    <w:rsid w:val="00013E3B"/>
    <w:rsid w:val="000141BB"/>
    <w:rsid w:val="000142AD"/>
    <w:rsid w:val="00014974"/>
    <w:rsid w:val="000156E9"/>
    <w:rsid w:val="000157E8"/>
    <w:rsid w:val="00015A82"/>
    <w:rsid w:val="000161BD"/>
    <w:rsid w:val="00016670"/>
    <w:rsid w:val="00016861"/>
    <w:rsid w:val="00017200"/>
    <w:rsid w:val="00020EC3"/>
    <w:rsid w:val="00021D9F"/>
    <w:rsid w:val="0002228A"/>
    <w:rsid w:val="000228B8"/>
    <w:rsid w:val="0002291B"/>
    <w:rsid w:val="0002381B"/>
    <w:rsid w:val="00023ED1"/>
    <w:rsid w:val="00024063"/>
    <w:rsid w:val="00024E8F"/>
    <w:rsid w:val="00024EA5"/>
    <w:rsid w:val="000253E8"/>
    <w:rsid w:val="00025893"/>
    <w:rsid w:val="00025EE5"/>
    <w:rsid w:val="00026736"/>
    <w:rsid w:val="000269F7"/>
    <w:rsid w:val="000272C8"/>
    <w:rsid w:val="000274A6"/>
    <w:rsid w:val="0002755F"/>
    <w:rsid w:val="0003025E"/>
    <w:rsid w:val="00030FAE"/>
    <w:rsid w:val="0003155C"/>
    <w:rsid w:val="00032162"/>
    <w:rsid w:val="000321A5"/>
    <w:rsid w:val="000322BF"/>
    <w:rsid w:val="0003261E"/>
    <w:rsid w:val="0003423A"/>
    <w:rsid w:val="0003477F"/>
    <w:rsid w:val="00035534"/>
    <w:rsid w:val="0003641D"/>
    <w:rsid w:val="0003665B"/>
    <w:rsid w:val="00036AD8"/>
    <w:rsid w:val="00036E01"/>
    <w:rsid w:val="00037037"/>
    <w:rsid w:val="00037302"/>
    <w:rsid w:val="0004005D"/>
    <w:rsid w:val="000404F3"/>
    <w:rsid w:val="00040580"/>
    <w:rsid w:val="00040ADF"/>
    <w:rsid w:val="00040FB4"/>
    <w:rsid w:val="0004178C"/>
    <w:rsid w:val="00041BF6"/>
    <w:rsid w:val="00041F5D"/>
    <w:rsid w:val="00042CE9"/>
    <w:rsid w:val="00042F34"/>
    <w:rsid w:val="00043301"/>
    <w:rsid w:val="0004394E"/>
    <w:rsid w:val="00043C1D"/>
    <w:rsid w:val="00043F38"/>
    <w:rsid w:val="000443A6"/>
    <w:rsid w:val="000449D1"/>
    <w:rsid w:val="00045B8D"/>
    <w:rsid w:val="00045CC5"/>
    <w:rsid w:val="00045E3A"/>
    <w:rsid w:val="00046139"/>
    <w:rsid w:val="0004649D"/>
    <w:rsid w:val="00046B6A"/>
    <w:rsid w:val="000472D4"/>
    <w:rsid w:val="00047F10"/>
    <w:rsid w:val="000500E8"/>
    <w:rsid w:val="00051023"/>
    <w:rsid w:val="000514FE"/>
    <w:rsid w:val="00052294"/>
    <w:rsid w:val="00052DB7"/>
    <w:rsid w:val="00052DD3"/>
    <w:rsid w:val="0005326D"/>
    <w:rsid w:val="00053EE8"/>
    <w:rsid w:val="00053F6C"/>
    <w:rsid w:val="000541F0"/>
    <w:rsid w:val="00055224"/>
    <w:rsid w:val="00055CC2"/>
    <w:rsid w:val="000561DC"/>
    <w:rsid w:val="000562E0"/>
    <w:rsid w:val="000572BB"/>
    <w:rsid w:val="0005751E"/>
    <w:rsid w:val="00057B20"/>
    <w:rsid w:val="00057DCE"/>
    <w:rsid w:val="000605A3"/>
    <w:rsid w:val="00062327"/>
    <w:rsid w:val="0006246C"/>
    <w:rsid w:val="000626E6"/>
    <w:rsid w:val="00062B9C"/>
    <w:rsid w:val="0006339C"/>
    <w:rsid w:val="00063AFE"/>
    <w:rsid w:val="00064778"/>
    <w:rsid w:val="00064783"/>
    <w:rsid w:val="000647C2"/>
    <w:rsid w:val="00064D23"/>
    <w:rsid w:val="00064DFC"/>
    <w:rsid w:val="00065A87"/>
    <w:rsid w:val="00065F3A"/>
    <w:rsid w:val="00066E9B"/>
    <w:rsid w:val="0007021F"/>
    <w:rsid w:val="0007065C"/>
    <w:rsid w:val="000709A0"/>
    <w:rsid w:val="00071286"/>
    <w:rsid w:val="00071781"/>
    <w:rsid w:val="00071CEF"/>
    <w:rsid w:val="00071E5F"/>
    <w:rsid w:val="000723BA"/>
    <w:rsid w:val="00072501"/>
    <w:rsid w:val="00073683"/>
    <w:rsid w:val="00073895"/>
    <w:rsid w:val="00074199"/>
    <w:rsid w:val="00074EF1"/>
    <w:rsid w:val="00076822"/>
    <w:rsid w:val="000768DC"/>
    <w:rsid w:val="00080241"/>
    <w:rsid w:val="00081384"/>
    <w:rsid w:val="00081778"/>
    <w:rsid w:val="00082E5F"/>
    <w:rsid w:val="00084D74"/>
    <w:rsid w:val="00084E90"/>
    <w:rsid w:val="00085E8D"/>
    <w:rsid w:val="00086666"/>
    <w:rsid w:val="000868B9"/>
    <w:rsid w:val="00086E58"/>
    <w:rsid w:val="000870B6"/>
    <w:rsid w:val="00087259"/>
    <w:rsid w:val="000872BB"/>
    <w:rsid w:val="0008750D"/>
    <w:rsid w:val="00090613"/>
    <w:rsid w:val="000906DD"/>
    <w:rsid w:val="00090BD1"/>
    <w:rsid w:val="000914B7"/>
    <w:rsid w:val="00091857"/>
    <w:rsid w:val="00091C59"/>
    <w:rsid w:val="00092A21"/>
    <w:rsid w:val="00092ABF"/>
    <w:rsid w:val="00092EBC"/>
    <w:rsid w:val="000936FA"/>
    <w:rsid w:val="00093A97"/>
    <w:rsid w:val="00093D9A"/>
    <w:rsid w:val="00094307"/>
    <w:rsid w:val="00094656"/>
    <w:rsid w:val="00094EB7"/>
    <w:rsid w:val="00096B52"/>
    <w:rsid w:val="00097CA0"/>
    <w:rsid w:val="000A00FD"/>
    <w:rsid w:val="000A052B"/>
    <w:rsid w:val="000A05AE"/>
    <w:rsid w:val="000A085A"/>
    <w:rsid w:val="000A10BF"/>
    <w:rsid w:val="000A2ACD"/>
    <w:rsid w:val="000A2B65"/>
    <w:rsid w:val="000A2DA8"/>
    <w:rsid w:val="000A596F"/>
    <w:rsid w:val="000A5C47"/>
    <w:rsid w:val="000A5F28"/>
    <w:rsid w:val="000A629E"/>
    <w:rsid w:val="000A6718"/>
    <w:rsid w:val="000A6855"/>
    <w:rsid w:val="000A6951"/>
    <w:rsid w:val="000A6B30"/>
    <w:rsid w:val="000B05EC"/>
    <w:rsid w:val="000B0C54"/>
    <w:rsid w:val="000B0CFD"/>
    <w:rsid w:val="000B0F29"/>
    <w:rsid w:val="000B11E7"/>
    <w:rsid w:val="000B15EB"/>
    <w:rsid w:val="000B21AF"/>
    <w:rsid w:val="000B2AB3"/>
    <w:rsid w:val="000B2EC8"/>
    <w:rsid w:val="000B3330"/>
    <w:rsid w:val="000B44B5"/>
    <w:rsid w:val="000B46C5"/>
    <w:rsid w:val="000B6B37"/>
    <w:rsid w:val="000B6CF0"/>
    <w:rsid w:val="000B720C"/>
    <w:rsid w:val="000B7665"/>
    <w:rsid w:val="000C0FCE"/>
    <w:rsid w:val="000C145D"/>
    <w:rsid w:val="000C2518"/>
    <w:rsid w:val="000C287F"/>
    <w:rsid w:val="000C2C57"/>
    <w:rsid w:val="000C40A1"/>
    <w:rsid w:val="000C4101"/>
    <w:rsid w:val="000C4252"/>
    <w:rsid w:val="000C50E0"/>
    <w:rsid w:val="000C5638"/>
    <w:rsid w:val="000C7C46"/>
    <w:rsid w:val="000C7E14"/>
    <w:rsid w:val="000D06EC"/>
    <w:rsid w:val="000D0F2B"/>
    <w:rsid w:val="000D13D1"/>
    <w:rsid w:val="000D1B52"/>
    <w:rsid w:val="000D1E42"/>
    <w:rsid w:val="000D2140"/>
    <w:rsid w:val="000D2F18"/>
    <w:rsid w:val="000D30E6"/>
    <w:rsid w:val="000D3349"/>
    <w:rsid w:val="000D42F0"/>
    <w:rsid w:val="000D4436"/>
    <w:rsid w:val="000D4C1B"/>
    <w:rsid w:val="000D5523"/>
    <w:rsid w:val="000D57DB"/>
    <w:rsid w:val="000D5868"/>
    <w:rsid w:val="000D58F8"/>
    <w:rsid w:val="000D6998"/>
    <w:rsid w:val="000E03DC"/>
    <w:rsid w:val="000E0622"/>
    <w:rsid w:val="000E08B1"/>
    <w:rsid w:val="000E1124"/>
    <w:rsid w:val="000E1970"/>
    <w:rsid w:val="000E2DEC"/>
    <w:rsid w:val="000E48CC"/>
    <w:rsid w:val="000E54B9"/>
    <w:rsid w:val="000E5531"/>
    <w:rsid w:val="000E6315"/>
    <w:rsid w:val="000E6410"/>
    <w:rsid w:val="000E678B"/>
    <w:rsid w:val="000E6B90"/>
    <w:rsid w:val="000E6FEA"/>
    <w:rsid w:val="000E7168"/>
    <w:rsid w:val="000E7BED"/>
    <w:rsid w:val="000F067A"/>
    <w:rsid w:val="000F298F"/>
    <w:rsid w:val="000F2E01"/>
    <w:rsid w:val="000F2F23"/>
    <w:rsid w:val="000F3449"/>
    <w:rsid w:val="000F4404"/>
    <w:rsid w:val="000F5A54"/>
    <w:rsid w:val="000F6A4B"/>
    <w:rsid w:val="000F71B0"/>
    <w:rsid w:val="000F71F4"/>
    <w:rsid w:val="000F7987"/>
    <w:rsid w:val="001004A1"/>
    <w:rsid w:val="0010051C"/>
    <w:rsid w:val="00102162"/>
    <w:rsid w:val="001025A5"/>
    <w:rsid w:val="00102B98"/>
    <w:rsid w:val="001036B1"/>
    <w:rsid w:val="0010426F"/>
    <w:rsid w:val="001042F2"/>
    <w:rsid w:val="0010448B"/>
    <w:rsid w:val="0010521F"/>
    <w:rsid w:val="00105476"/>
    <w:rsid w:val="0010625A"/>
    <w:rsid w:val="00107524"/>
    <w:rsid w:val="00107DCD"/>
    <w:rsid w:val="00107E61"/>
    <w:rsid w:val="00107EF0"/>
    <w:rsid w:val="0011100C"/>
    <w:rsid w:val="00111417"/>
    <w:rsid w:val="00112C61"/>
    <w:rsid w:val="00112FA0"/>
    <w:rsid w:val="00113B5F"/>
    <w:rsid w:val="00113C60"/>
    <w:rsid w:val="00114756"/>
    <w:rsid w:val="00114C3B"/>
    <w:rsid w:val="00115059"/>
    <w:rsid w:val="001153ED"/>
    <w:rsid w:val="00115509"/>
    <w:rsid w:val="00115691"/>
    <w:rsid w:val="00117039"/>
    <w:rsid w:val="00117F04"/>
    <w:rsid w:val="00120375"/>
    <w:rsid w:val="00120710"/>
    <w:rsid w:val="00120BD3"/>
    <w:rsid w:val="00120EDD"/>
    <w:rsid w:val="00120F8A"/>
    <w:rsid w:val="001224BB"/>
    <w:rsid w:val="00122AE3"/>
    <w:rsid w:val="00122EE1"/>
    <w:rsid w:val="00123658"/>
    <w:rsid w:val="001237AF"/>
    <w:rsid w:val="001247EB"/>
    <w:rsid w:val="00124935"/>
    <w:rsid w:val="00124961"/>
    <w:rsid w:val="00124D49"/>
    <w:rsid w:val="00124F3C"/>
    <w:rsid w:val="00125B61"/>
    <w:rsid w:val="00126122"/>
    <w:rsid w:val="001264EE"/>
    <w:rsid w:val="001266E6"/>
    <w:rsid w:val="001274DA"/>
    <w:rsid w:val="00127B16"/>
    <w:rsid w:val="00127BCA"/>
    <w:rsid w:val="001301F2"/>
    <w:rsid w:val="00131A02"/>
    <w:rsid w:val="00131B7C"/>
    <w:rsid w:val="00131D45"/>
    <w:rsid w:val="00131E58"/>
    <w:rsid w:val="001320F0"/>
    <w:rsid w:val="00132E81"/>
    <w:rsid w:val="00133063"/>
    <w:rsid w:val="0013345F"/>
    <w:rsid w:val="001336E0"/>
    <w:rsid w:val="00133D06"/>
    <w:rsid w:val="00133F34"/>
    <w:rsid w:val="0013483B"/>
    <w:rsid w:val="0013492C"/>
    <w:rsid w:val="00134C2C"/>
    <w:rsid w:val="0013522D"/>
    <w:rsid w:val="00135273"/>
    <w:rsid w:val="0013585D"/>
    <w:rsid w:val="00135883"/>
    <w:rsid w:val="00135FC9"/>
    <w:rsid w:val="00136662"/>
    <w:rsid w:val="00137B65"/>
    <w:rsid w:val="0014087A"/>
    <w:rsid w:val="00140D26"/>
    <w:rsid w:val="00141112"/>
    <w:rsid w:val="00141DCB"/>
    <w:rsid w:val="00142015"/>
    <w:rsid w:val="00142D23"/>
    <w:rsid w:val="00143478"/>
    <w:rsid w:val="001439AA"/>
    <w:rsid w:val="00143F2F"/>
    <w:rsid w:val="00145FFB"/>
    <w:rsid w:val="0014630D"/>
    <w:rsid w:val="00146624"/>
    <w:rsid w:val="00146ED1"/>
    <w:rsid w:val="00150376"/>
    <w:rsid w:val="0015086D"/>
    <w:rsid w:val="001509D0"/>
    <w:rsid w:val="00151DBD"/>
    <w:rsid w:val="00151E8F"/>
    <w:rsid w:val="001521A9"/>
    <w:rsid w:val="001531D6"/>
    <w:rsid w:val="001538BA"/>
    <w:rsid w:val="001539B2"/>
    <w:rsid w:val="00153BE7"/>
    <w:rsid w:val="00154203"/>
    <w:rsid w:val="00154764"/>
    <w:rsid w:val="00154E88"/>
    <w:rsid w:val="001552B1"/>
    <w:rsid w:val="00155434"/>
    <w:rsid w:val="00155BDA"/>
    <w:rsid w:val="001566D4"/>
    <w:rsid w:val="00156761"/>
    <w:rsid w:val="00156B1C"/>
    <w:rsid w:val="00156FA7"/>
    <w:rsid w:val="00157A5E"/>
    <w:rsid w:val="00157AAC"/>
    <w:rsid w:val="0016023A"/>
    <w:rsid w:val="00160F84"/>
    <w:rsid w:val="0016183F"/>
    <w:rsid w:val="00161D18"/>
    <w:rsid w:val="00162090"/>
    <w:rsid w:val="00162678"/>
    <w:rsid w:val="00162875"/>
    <w:rsid w:val="00162DBF"/>
    <w:rsid w:val="001642D3"/>
    <w:rsid w:val="00164795"/>
    <w:rsid w:val="00164CF8"/>
    <w:rsid w:val="001653AE"/>
    <w:rsid w:val="0016551D"/>
    <w:rsid w:val="001655CF"/>
    <w:rsid w:val="001657F6"/>
    <w:rsid w:val="0016587C"/>
    <w:rsid w:val="00165DD7"/>
    <w:rsid w:val="001666D2"/>
    <w:rsid w:val="0016688B"/>
    <w:rsid w:val="00166C4A"/>
    <w:rsid w:val="001705B7"/>
    <w:rsid w:val="001706DD"/>
    <w:rsid w:val="00170D5B"/>
    <w:rsid w:val="00170EF7"/>
    <w:rsid w:val="001715A0"/>
    <w:rsid w:val="00171E6F"/>
    <w:rsid w:val="00172B8F"/>
    <w:rsid w:val="001736F8"/>
    <w:rsid w:val="00173D85"/>
    <w:rsid w:val="00174332"/>
    <w:rsid w:val="001743F6"/>
    <w:rsid w:val="00174D3F"/>
    <w:rsid w:val="00174E02"/>
    <w:rsid w:val="00174E26"/>
    <w:rsid w:val="00174FD4"/>
    <w:rsid w:val="00175A08"/>
    <w:rsid w:val="001761D6"/>
    <w:rsid w:val="001762AC"/>
    <w:rsid w:val="001778AC"/>
    <w:rsid w:val="00180575"/>
    <w:rsid w:val="001809A7"/>
    <w:rsid w:val="00181740"/>
    <w:rsid w:val="00183423"/>
    <w:rsid w:val="001839A9"/>
    <w:rsid w:val="001839D7"/>
    <w:rsid w:val="001844D0"/>
    <w:rsid w:val="0018461C"/>
    <w:rsid w:val="00184BAE"/>
    <w:rsid w:val="00184BC9"/>
    <w:rsid w:val="0018505D"/>
    <w:rsid w:val="00185629"/>
    <w:rsid w:val="001858FD"/>
    <w:rsid w:val="001863B0"/>
    <w:rsid w:val="00186ED3"/>
    <w:rsid w:val="001877BB"/>
    <w:rsid w:val="0018798F"/>
    <w:rsid w:val="0019090A"/>
    <w:rsid w:val="0019165A"/>
    <w:rsid w:val="00191951"/>
    <w:rsid w:val="00192A47"/>
    <w:rsid w:val="0019311D"/>
    <w:rsid w:val="0019362A"/>
    <w:rsid w:val="00193873"/>
    <w:rsid w:val="0019464A"/>
    <w:rsid w:val="0019474E"/>
    <w:rsid w:val="00194D55"/>
    <w:rsid w:val="001953ED"/>
    <w:rsid w:val="00195728"/>
    <w:rsid w:val="0019581F"/>
    <w:rsid w:val="001962ED"/>
    <w:rsid w:val="00196B7C"/>
    <w:rsid w:val="00196FDC"/>
    <w:rsid w:val="001970C0"/>
    <w:rsid w:val="0019738E"/>
    <w:rsid w:val="001A1CB7"/>
    <w:rsid w:val="001A2B3F"/>
    <w:rsid w:val="001A2D4B"/>
    <w:rsid w:val="001A30EE"/>
    <w:rsid w:val="001A38AA"/>
    <w:rsid w:val="001A3BC3"/>
    <w:rsid w:val="001A420B"/>
    <w:rsid w:val="001A4B97"/>
    <w:rsid w:val="001A4F7D"/>
    <w:rsid w:val="001A52FD"/>
    <w:rsid w:val="001A549A"/>
    <w:rsid w:val="001A5538"/>
    <w:rsid w:val="001A5EA2"/>
    <w:rsid w:val="001A6078"/>
    <w:rsid w:val="001A635F"/>
    <w:rsid w:val="001A658F"/>
    <w:rsid w:val="001A676C"/>
    <w:rsid w:val="001A6901"/>
    <w:rsid w:val="001A70BD"/>
    <w:rsid w:val="001A7B42"/>
    <w:rsid w:val="001A7CC1"/>
    <w:rsid w:val="001A7D8F"/>
    <w:rsid w:val="001B0464"/>
    <w:rsid w:val="001B0582"/>
    <w:rsid w:val="001B0878"/>
    <w:rsid w:val="001B1E7E"/>
    <w:rsid w:val="001B2A97"/>
    <w:rsid w:val="001B2CD4"/>
    <w:rsid w:val="001B38E0"/>
    <w:rsid w:val="001B3FA4"/>
    <w:rsid w:val="001B56FE"/>
    <w:rsid w:val="001B5FF9"/>
    <w:rsid w:val="001B7329"/>
    <w:rsid w:val="001C1488"/>
    <w:rsid w:val="001C174A"/>
    <w:rsid w:val="001C1D05"/>
    <w:rsid w:val="001C268C"/>
    <w:rsid w:val="001C2A48"/>
    <w:rsid w:val="001C358F"/>
    <w:rsid w:val="001C3612"/>
    <w:rsid w:val="001C3C26"/>
    <w:rsid w:val="001C531D"/>
    <w:rsid w:val="001C5F1D"/>
    <w:rsid w:val="001C655A"/>
    <w:rsid w:val="001C65F8"/>
    <w:rsid w:val="001C69E3"/>
    <w:rsid w:val="001C6DFD"/>
    <w:rsid w:val="001C732C"/>
    <w:rsid w:val="001D0CAE"/>
    <w:rsid w:val="001D32C0"/>
    <w:rsid w:val="001D3A17"/>
    <w:rsid w:val="001D3A64"/>
    <w:rsid w:val="001D3D5E"/>
    <w:rsid w:val="001D408E"/>
    <w:rsid w:val="001D4198"/>
    <w:rsid w:val="001D4AD9"/>
    <w:rsid w:val="001D50A7"/>
    <w:rsid w:val="001D5793"/>
    <w:rsid w:val="001D5891"/>
    <w:rsid w:val="001D5FDF"/>
    <w:rsid w:val="001D74A7"/>
    <w:rsid w:val="001D79A4"/>
    <w:rsid w:val="001E05AB"/>
    <w:rsid w:val="001E15F2"/>
    <w:rsid w:val="001E17FA"/>
    <w:rsid w:val="001E22F7"/>
    <w:rsid w:val="001E254E"/>
    <w:rsid w:val="001E25D4"/>
    <w:rsid w:val="001E41E3"/>
    <w:rsid w:val="001E465F"/>
    <w:rsid w:val="001E48E5"/>
    <w:rsid w:val="001E6D36"/>
    <w:rsid w:val="001F0154"/>
    <w:rsid w:val="001F0309"/>
    <w:rsid w:val="001F0D44"/>
    <w:rsid w:val="001F0DC9"/>
    <w:rsid w:val="001F11A0"/>
    <w:rsid w:val="001F188C"/>
    <w:rsid w:val="001F245A"/>
    <w:rsid w:val="001F2902"/>
    <w:rsid w:val="001F2B28"/>
    <w:rsid w:val="001F3F36"/>
    <w:rsid w:val="001F63BC"/>
    <w:rsid w:val="001F658C"/>
    <w:rsid w:val="001F675C"/>
    <w:rsid w:val="001F6F44"/>
    <w:rsid w:val="001F7563"/>
    <w:rsid w:val="001F7E9D"/>
    <w:rsid w:val="002001C2"/>
    <w:rsid w:val="002008C8"/>
    <w:rsid w:val="002013BC"/>
    <w:rsid w:val="00202234"/>
    <w:rsid w:val="00202F29"/>
    <w:rsid w:val="00203665"/>
    <w:rsid w:val="00203902"/>
    <w:rsid w:val="002040E4"/>
    <w:rsid w:val="002046FA"/>
    <w:rsid w:val="002055FB"/>
    <w:rsid w:val="0020620E"/>
    <w:rsid w:val="002073D7"/>
    <w:rsid w:val="00207F59"/>
    <w:rsid w:val="00207FCE"/>
    <w:rsid w:val="0021022A"/>
    <w:rsid w:val="00210822"/>
    <w:rsid w:val="00211328"/>
    <w:rsid w:val="00211AFE"/>
    <w:rsid w:val="00211B0A"/>
    <w:rsid w:val="00211DC3"/>
    <w:rsid w:val="00211FCE"/>
    <w:rsid w:val="0021200C"/>
    <w:rsid w:val="0021459F"/>
    <w:rsid w:val="00215313"/>
    <w:rsid w:val="002155B6"/>
    <w:rsid w:val="002157E4"/>
    <w:rsid w:val="00215AFB"/>
    <w:rsid w:val="00215C7A"/>
    <w:rsid w:val="00215DEA"/>
    <w:rsid w:val="002179E6"/>
    <w:rsid w:val="00217FF8"/>
    <w:rsid w:val="002200D8"/>
    <w:rsid w:val="00220151"/>
    <w:rsid w:val="0022035A"/>
    <w:rsid w:val="002204BC"/>
    <w:rsid w:val="002213B7"/>
    <w:rsid w:val="00221859"/>
    <w:rsid w:val="00221AC9"/>
    <w:rsid w:val="00221C9C"/>
    <w:rsid w:val="00221CAE"/>
    <w:rsid w:val="0022350B"/>
    <w:rsid w:val="00223664"/>
    <w:rsid w:val="00223A56"/>
    <w:rsid w:val="00225833"/>
    <w:rsid w:val="00226095"/>
    <w:rsid w:val="00226492"/>
    <w:rsid w:val="00227B89"/>
    <w:rsid w:val="00227F43"/>
    <w:rsid w:val="002303F1"/>
    <w:rsid w:val="00230A49"/>
    <w:rsid w:val="00230F1C"/>
    <w:rsid w:val="00230F22"/>
    <w:rsid w:val="0023207E"/>
    <w:rsid w:val="002329AC"/>
    <w:rsid w:val="00232C3F"/>
    <w:rsid w:val="00232F8F"/>
    <w:rsid w:val="00233A9A"/>
    <w:rsid w:val="00234640"/>
    <w:rsid w:val="00234CE4"/>
    <w:rsid w:val="00234DA1"/>
    <w:rsid w:val="00234F08"/>
    <w:rsid w:val="002351DA"/>
    <w:rsid w:val="00235251"/>
    <w:rsid w:val="0023528F"/>
    <w:rsid w:val="00235D88"/>
    <w:rsid w:val="00236E0A"/>
    <w:rsid w:val="00236FB7"/>
    <w:rsid w:val="0023750F"/>
    <w:rsid w:val="00237D79"/>
    <w:rsid w:val="00240106"/>
    <w:rsid w:val="002401EF"/>
    <w:rsid w:val="002409F1"/>
    <w:rsid w:val="002411C7"/>
    <w:rsid w:val="0024129D"/>
    <w:rsid w:val="00241ACB"/>
    <w:rsid w:val="0024276A"/>
    <w:rsid w:val="00242F4E"/>
    <w:rsid w:val="0024319B"/>
    <w:rsid w:val="00243A32"/>
    <w:rsid w:val="00243E55"/>
    <w:rsid w:val="00244B93"/>
    <w:rsid w:val="00244BAB"/>
    <w:rsid w:val="002452A0"/>
    <w:rsid w:val="002459C0"/>
    <w:rsid w:val="00245C17"/>
    <w:rsid w:val="002463A6"/>
    <w:rsid w:val="002464D6"/>
    <w:rsid w:val="002467C9"/>
    <w:rsid w:val="002469DF"/>
    <w:rsid w:val="00246ADB"/>
    <w:rsid w:val="00247083"/>
    <w:rsid w:val="002470F4"/>
    <w:rsid w:val="002473FC"/>
    <w:rsid w:val="0025027B"/>
    <w:rsid w:val="00250F58"/>
    <w:rsid w:val="002513E5"/>
    <w:rsid w:val="002517A5"/>
    <w:rsid w:val="00251886"/>
    <w:rsid w:val="00251F6C"/>
    <w:rsid w:val="002520EB"/>
    <w:rsid w:val="0025249C"/>
    <w:rsid w:val="002527CF"/>
    <w:rsid w:val="00253215"/>
    <w:rsid w:val="002537EC"/>
    <w:rsid w:val="00253861"/>
    <w:rsid w:val="002539ED"/>
    <w:rsid w:val="00253AE5"/>
    <w:rsid w:val="00253C95"/>
    <w:rsid w:val="002540F9"/>
    <w:rsid w:val="0025440D"/>
    <w:rsid w:val="0025448F"/>
    <w:rsid w:val="0025450E"/>
    <w:rsid w:val="00254591"/>
    <w:rsid w:val="00255152"/>
    <w:rsid w:val="0025554E"/>
    <w:rsid w:val="0025728A"/>
    <w:rsid w:val="0026019E"/>
    <w:rsid w:val="002605DC"/>
    <w:rsid w:val="00260D17"/>
    <w:rsid w:val="00261B14"/>
    <w:rsid w:val="00262729"/>
    <w:rsid w:val="00262742"/>
    <w:rsid w:val="00262BB3"/>
    <w:rsid w:val="00262DC7"/>
    <w:rsid w:val="002638F4"/>
    <w:rsid w:val="00267C92"/>
    <w:rsid w:val="00270031"/>
    <w:rsid w:val="0027108C"/>
    <w:rsid w:val="002712A8"/>
    <w:rsid w:val="0027157C"/>
    <w:rsid w:val="0027160C"/>
    <w:rsid w:val="00271680"/>
    <w:rsid w:val="00272087"/>
    <w:rsid w:val="00272FC8"/>
    <w:rsid w:val="00273134"/>
    <w:rsid w:val="002738B4"/>
    <w:rsid w:val="002742E6"/>
    <w:rsid w:val="0027430D"/>
    <w:rsid w:val="00274DDC"/>
    <w:rsid w:val="00274FF5"/>
    <w:rsid w:val="002751D1"/>
    <w:rsid w:val="00275209"/>
    <w:rsid w:val="00275908"/>
    <w:rsid w:val="002774FD"/>
    <w:rsid w:val="00280BB3"/>
    <w:rsid w:val="002813CA"/>
    <w:rsid w:val="00281DD8"/>
    <w:rsid w:val="002820AA"/>
    <w:rsid w:val="00283FAD"/>
    <w:rsid w:val="00284340"/>
    <w:rsid w:val="00284710"/>
    <w:rsid w:val="00284FA8"/>
    <w:rsid w:val="00285CE2"/>
    <w:rsid w:val="002867B4"/>
    <w:rsid w:val="00287CC4"/>
    <w:rsid w:val="00287E07"/>
    <w:rsid w:val="00287E78"/>
    <w:rsid w:val="0029006B"/>
    <w:rsid w:val="0029046E"/>
    <w:rsid w:val="00290676"/>
    <w:rsid w:val="00291462"/>
    <w:rsid w:val="00291572"/>
    <w:rsid w:val="00291B0A"/>
    <w:rsid w:val="00292A24"/>
    <w:rsid w:val="00293455"/>
    <w:rsid w:val="0029552A"/>
    <w:rsid w:val="00295544"/>
    <w:rsid w:val="0029620F"/>
    <w:rsid w:val="00296763"/>
    <w:rsid w:val="002967AF"/>
    <w:rsid w:val="00296DE3"/>
    <w:rsid w:val="002A00FF"/>
    <w:rsid w:val="002A03AC"/>
    <w:rsid w:val="002A04B4"/>
    <w:rsid w:val="002A145B"/>
    <w:rsid w:val="002A18BE"/>
    <w:rsid w:val="002A1A21"/>
    <w:rsid w:val="002A210B"/>
    <w:rsid w:val="002A2FD8"/>
    <w:rsid w:val="002A30F1"/>
    <w:rsid w:val="002A36F6"/>
    <w:rsid w:val="002A38C3"/>
    <w:rsid w:val="002A4084"/>
    <w:rsid w:val="002A4153"/>
    <w:rsid w:val="002A455C"/>
    <w:rsid w:val="002A4657"/>
    <w:rsid w:val="002A4A8D"/>
    <w:rsid w:val="002A4AD6"/>
    <w:rsid w:val="002A57A6"/>
    <w:rsid w:val="002A5BFA"/>
    <w:rsid w:val="002A5FCD"/>
    <w:rsid w:val="002A7196"/>
    <w:rsid w:val="002A76AE"/>
    <w:rsid w:val="002A79FD"/>
    <w:rsid w:val="002B1384"/>
    <w:rsid w:val="002B1BBF"/>
    <w:rsid w:val="002B1C4F"/>
    <w:rsid w:val="002B2771"/>
    <w:rsid w:val="002B2978"/>
    <w:rsid w:val="002B2B17"/>
    <w:rsid w:val="002B3681"/>
    <w:rsid w:val="002B5549"/>
    <w:rsid w:val="002B63F0"/>
    <w:rsid w:val="002B65BE"/>
    <w:rsid w:val="002B667C"/>
    <w:rsid w:val="002B66E1"/>
    <w:rsid w:val="002B70AF"/>
    <w:rsid w:val="002B78B8"/>
    <w:rsid w:val="002C025F"/>
    <w:rsid w:val="002C11CA"/>
    <w:rsid w:val="002C1B51"/>
    <w:rsid w:val="002C2585"/>
    <w:rsid w:val="002C2A39"/>
    <w:rsid w:val="002C2EDA"/>
    <w:rsid w:val="002C3A44"/>
    <w:rsid w:val="002C3BE3"/>
    <w:rsid w:val="002C44F6"/>
    <w:rsid w:val="002C45E8"/>
    <w:rsid w:val="002C4C0D"/>
    <w:rsid w:val="002C4DD6"/>
    <w:rsid w:val="002C6B5F"/>
    <w:rsid w:val="002C70CE"/>
    <w:rsid w:val="002C71A4"/>
    <w:rsid w:val="002D0E6F"/>
    <w:rsid w:val="002D0F59"/>
    <w:rsid w:val="002D10B5"/>
    <w:rsid w:val="002D26A8"/>
    <w:rsid w:val="002D28DC"/>
    <w:rsid w:val="002D3643"/>
    <w:rsid w:val="002D3B84"/>
    <w:rsid w:val="002D3D1C"/>
    <w:rsid w:val="002D4A55"/>
    <w:rsid w:val="002D4C7F"/>
    <w:rsid w:val="002D5097"/>
    <w:rsid w:val="002D542E"/>
    <w:rsid w:val="002D55E4"/>
    <w:rsid w:val="002D5F03"/>
    <w:rsid w:val="002D690D"/>
    <w:rsid w:val="002D78B6"/>
    <w:rsid w:val="002E01F1"/>
    <w:rsid w:val="002E0810"/>
    <w:rsid w:val="002E0A5D"/>
    <w:rsid w:val="002E0D85"/>
    <w:rsid w:val="002E1F84"/>
    <w:rsid w:val="002E2AB8"/>
    <w:rsid w:val="002E3839"/>
    <w:rsid w:val="002E4613"/>
    <w:rsid w:val="002E4764"/>
    <w:rsid w:val="002E4DBE"/>
    <w:rsid w:val="002E52EB"/>
    <w:rsid w:val="002E537A"/>
    <w:rsid w:val="002E5A11"/>
    <w:rsid w:val="002E5F06"/>
    <w:rsid w:val="002E6136"/>
    <w:rsid w:val="002E620E"/>
    <w:rsid w:val="002E63BE"/>
    <w:rsid w:val="002E7775"/>
    <w:rsid w:val="002E7834"/>
    <w:rsid w:val="002E7AD2"/>
    <w:rsid w:val="002F0904"/>
    <w:rsid w:val="002F1226"/>
    <w:rsid w:val="002F1399"/>
    <w:rsid w:val="002F1E15"/>
    <w:rsid w:val="002F23BF"/>
    <w:rsid w:val="002F28D8"/>
    <w:rsid w:val="002F2AC0"/>
    <w:rsid w:val="002F2B8F"/>
    <w:rsid w:val="002F2F5B"/>
    <w:rsid w:val="002F32FB"/>
    <w:rsid w:val="002F418C"/>
    <w:rsid w:val="002F46C8"/>
    <w:rsid w:val="002F47D4"/>
    <w:rsid w:val="002F49D6"/>
    <w:rsid w:val="002F5611"/>
    <w:rsid w:val="002F5F5E"/>
    <w:rsid w:val="002F5F85"/>
    <w:rsid w:val="002F65C7"/>
    <w:rsid w:val="002F67B5"/>
    <w:rsid w:val="002F693F"/>
    <w:rsid w:val="002F71D6"/>
    <w:rsid w:val="002F7695"/>
    <w:rsid w:val="003007D0"/>
    <w:rsid w:val="003008CC"/>
    <w:rsid w:val="00300A51"/>
    <w:rsid w:val="00301763"/>
    <w:rsid w:val="00301DAC"/>
    <w:rsid w:val="0030212A"/>
    <w:rsid w:val="00302252"/>
    <w:rsid w:val="0030353D"/>
    <w:rsid w:val="003036B1"/>
    <w:rsid w:val="00303A1A"/>
    <w:rsid w:val="00303C60"/>
    <w:rsid w:val="00304C6E"/>
    <w:rsid w:val="00304FB8"/>
    <w:rsid w:val="00305BF0"/>
    <w:rsid w:val="00305CF9"/>
    <w:rsid w:val="00306C5F"/>
    <w:rsid w:val="00307299"/>
    <w:rsid w:val="003074F1"/>
    <w:rsid w:val="00310B9B"/>
    <w:rsid w:val="00310C3F"/>
    <w:rsid w:val="003116B6"/>
    <w:rsid w:val="0031213D"/>
    <w:rsid w:val="0031242C"/>
    <w:rsid w:val="0031246A"/>
    <w:rsid w:val="003137C3"/>
    <w:rsid w:val="00313B1D"/>
    <w:rsid w:val="003140D2"/>
    <w:rsid w:val="003148C8"/>
    <w:rsid w:val="003162AA"/>
    <w:rsid w:val="003164D9"/>
    <w:rsid w:val="00316874"/>
    <w:rsid w:val="00316B60"/>
    <w:rsid w:val="00316E4F"/>
    <w:rsid w:val="00317606"/>
    <w:rsid w:val="00317714"/>
    <w:rsid w:val="003201AD"/>
    <w:rsid w:val="00320A17"/>
    <w:rsid w:val="0032143A"/>
    <w:rsid w:val="003217B4"/>
    <w:rsid w:val="003228FA"/>
    <w:rsid w:val="00322C4A"/>
    <w:rsid w:val="00322DA9"/>
    <w:rsid w:val="00323AF6"/>
    <w:rsid w:val="00323FBC"/>
    <w:rsid w:val="003251C2"/>
    <w:rsid w:val="003254DB"/>
    <w:rsid w:val="00325CE2"/>
    <w:rsid w:val="00325FA0"/>
    <w:rsid w:val="00326267"/>
    <w:rsid w:val="00326856"/>
    <w:rsid w:val="00326BFC"/>
    <w:rsid w:val="00326C3C"/>
    <w:rsid w:val="00326F1C"/>
    <w:rsid w:val="00327162"/>
    <w:rsid w:val="00330454"/>
    <w:rsid w:val="00330A0A"/>
    <w:rsid w:val="00330C1A"/>
    <w:rsid w:val="00330D32"/>
    <w:rsid w:val="003328A9"/>
    <w:rsid w:val="00334159"/>
    <w:rsid w:val="00335AD5"/>
    <w:rsid w:val="003365A8"/>
    <w:rsid w:val="003371B5"/>
    <w:rsid w:val="00337378"/>
    <w:rsid w:val="00337BAF"/>
    <w:rsid w:val="00337C80"/>
    <w:rsid w:val="00340341"/>
    <w:rsid w:val="0034081E"/>
    <w:rsid w:val="00340D83"/>
    <w:rsid w:val="003417CB"/>
    <w:rsid w:val="00341A75"/>
    <w:rsid w:val="00341D92"/>
    <w:rsid w:val="003435A9"/>
    <w:rsid w:val="00343E76"/>
    <w:rsid w:val="003442C3"/>
    <w:rsid w:val="00344649"/>
    <w:rsid w:val="00344E8B"/>
    <w:rsid w:val="00345496"/>
    <w:rsid w:val="00345BCF"/>
    <w:rsid w:val="003466F9"/>
    <w:rsid w:val="003473F5"/>
    <w:rsid w:val="00350092"/>
    <w:rsid w:val="00350EBA"/>
    <w:rsid w:val="003519AD"/>
    <w:rsid w:val="00351E0E"/>
    <w:rsid w:val="00352938"/>
    <w:rsid w:val="00354EB4"/>
    <w:rsid w:val="00355DA6"/>
    <w:rsid w:val="00355F28"/>
    <w:rsid w:val="00356D29"/>
    <w:rsid w:val="003571C2"/>
    <w:rsid w:val="00357B37"/>
    <w:rsid w:val="00357DBD"/>
    <w:rsid w:val="00360213"/>
    <w:rsid w:val="00361130"/>
    <w:rsid w:val="003611C2"/>
    <w:rsid w:val="00362C53"/>
    <w:rsid w:val="003637D3"/>
    <w:rsid w:val="003640A7"/>
    <w:rsid w:val="003642AB"/>
    <w:rsid w:val="00365447"/>
    <w:rsid w:val="0036771A"/>
    <w:rsid w:val="0036794E"/>
    <w:rsid w:val="00370B29"/>
    <w:rsid w:val="00370C5B"/>
    <w:rsid w:val="00370D26"/>
    <w:rsid w:val="00370FE0"/>
    <w:rsid w:val="00371B53"/>
    <w:rsid w:val="00372892"/>
    <w:rsid w:val="00372C8D"/>
    <w:rsid w:val="003736BE"/>
    <w:rsid w:val="00374AA5"/>
    <w:rsid w:val="00375175"/>
    <w:rsid w:val="003755AF"/>
    <w:rsid w:val="003757E0"/>
    <w:rsid w:val="0037681C"/>
    <w:rsid w:val="0038146C"/>
    <w:rsid w:val="00381D2A"/>
    <w:rsid w:val="00382609"/>
    <w:rsid w:val="00383131"/>
    <w:rsid w:val="003832C4"/>
    <w:rsid w:val="003832DE"/>
    <w:rsid w:val="00383D1E"/>
    <w:rsid w:val="00383D8F"/>
    <w:rsid w:val="00385F69"/>
    <w:rsid w:val="00385FFB"/>
    <w:rsid w:val="00386124"/>
    <w:rsid w:val="003864D5"/>
    <w:rsid w:val="00386E1C"/>
    <w:rsid w:val="003874E1"/>
    <w:rsid w:val="003900E6"/>
    <w:rsid w:val="00390567"/>
    <w:rsid w:val="00390DE6"/>
    <w:rsid w:val="00391592"/>
    <w:rsid w:val="003917FD"/>
    <w:rsid w:val="00391A2E"/>
    <w:rsid w:val="003927F1"/>
    <w:rsid w:val="00392A26"/>
    <w:rsid w:val="00393058"/>
    <w:rsid w:val="003937C6"/>
    <w:rsid w:val="0039495A"/>
    <w:rsid w:val="00395102"/>
    <w:rsid w:val="003951AF"/>
    <w:rsid w:val="003966F6"/>
    <w:rsid w:val="0039677D"/>
    <w:rsid w:val="00397F88"/>
    <w:rsid w:val="003A0660"/>
    <w:rsid w:val="003A0D52"/>
    <w:rsid w:val="003A17AA"/>
    <w:rsid w:val="003A17D5"/>
    <w:rsid w:val="003A2430"/>
    <w:rsid w:val="003A24C6"/>
    <w:rsid w:val="003A2650"/>
    <w:rsid w:val="003A2AF2"/>
    <w:rsid w:val="003A2CD2"/>
    <w:rsid w:val="003A2ED1"/>
    <w:rsid w:val="003A316D"/>
    <w:rsid w:val="003A329F"/>
    <w:rsid w:val="003A3391"/>
    <w:rsid w:val="003A4C47"/>
    <w:rsid w:val="003A573B"/>
    <w:rsid w:val="003A5D25"/>
    <w:rsid w:val="003A6133"/>
    <w:rsid w:val="003A6489"/>
    <w:rsid w:val="003A6724"/>
    <w:rsid w:val="003A67D0"/>
    <w:rsid w:val="003A6E1A"/>
    <w:rsid w:val="003A72D1"/>
    <w:rsid w:val="003B0BA1"/>
    <w:rsid w:val="003B0C18"/>
    <w:rsid w:val="003B0D5F"/>
    <w:rsid w:val="003B0F16"/>
    <w:rsid w:val="003B24F5"/>
    <w:rsid w:val="003B34D7"/>
    <w:rsid w:val="003B3B29"/>
    <w:rsid w:val="003B3BA8"/>
    <w:rsid w:val="003B3D97"/>
    <w:rsid w:val="003B4045"/>
    <w:rsid w:val="003B4599"/>
    <w:rsid w:val="003B4900"/>
    <w:rsid w:val="003B4CA6"/>
    <w:rsid w:val="003B5923"/>
    <w:rsid w:val="003B61B7"/>
    <w:rsid w:val="003B6C5E"/>
    <w:rsid w:val="003B6DB1"/>
    <w:rsid w:val="003C07BE"/>
    <w:rsid w:val="003C1AE2"/>
    <w:rsid w:val="003C2D2B"/>
    <w:rsid w:val="003C4F8F"/>
    <w:rsid w:val="003C573D"/>
    <w:rsid w:val="003C587B"/>
    <w:rsid w:val="003C5959"/>
    <w:rsid w:val="003C6B59"/>
    <w:rsid w:val="003C6EEE"/>
    <w:rsid w:val="003C6FF9"/>
    <w:rsid w:val="003C750D"/>
    <w:rsid w:val="003C7912"/>
    <w:rsid w:val="003D1F5B"/>
    <w:rsid w:val="003D2763"/>
    <w:rsid w:val="003D299E"/>
    <w:rsid w:val="003D3FBF"/>
    <w:rsid w:val="003D421C"/>
    <w:rsid w:val="003D4AD2"/>
    <w:rsid w:val="003D51F3"/>
    <w:rsid w:val="003D550E"/>
    <w:rsid w:val="003D55E1"/>
    <w:rsid w:val="003D5CB9"/>
    <w:rsid w:val="003D63DD"/>
    <w:rsid w:val="003D641A"/>
    <w:rsid w:val="003D6680"/>
    <w:rsid w:val="003D685F"/>
    <w:rsid w:val="003D7176"/>
    <w:rsid w:val="003D71EB"/>
    <w:rsid w:val="003D79F0"/>
    <w:rsid w:val="003D7D2E"/>
    <w:rsid w:val="003E00D6"/>
    <w:rsid w:val="003E22CB"/>
    <w:rsid w:val="003E2343"/>
    <w:rsid w:val="003E2EE6"/>
    <w:rsid w:val="003E3B8A"/>
    <w:rsid w:val="003E3F97"/>
    <w:rsid w:val="003E406B"/>
    <w:rsid w:val="003E4424"/>
    <w:rsid w:val="003E4F96"/>
    <w:rsid w:val="003E54E7"/>
    <w:rsid w:val="003E56DD"/>
    <w:rsid w:val="003E5CCA"/>
    <w:rsid w:val="003E63AB"/>
    <w:rsid w:val="003E6CAE"/>
    <w:rsid w:val="003E6CD1"/>
    <w:rsid w:val="003E70D2"/>
    <w:rsid w:val="003E72B5"/>
    <w:rsid w:val="003E7773"/>
    <w:rsid w:val="003E78E5"/>
    <w:rsid w:val="003F0A99"/>
    <w:rsid w:val="003F1099"/>
    <w:rsid w:val="003F115E"/>
    <w:rsid w:val="003F14C2"/>
    <w:rsid w:val="003F1DDE"/>
    <w:rsid w:val="003F2210"/>
    <w:rsid w:val="003F2CC5"/>
    <w:rsid w:val="003F4C0A"/>
    <w:rsid w:val="003F4DB6"/>
    <w:rsid w:val="003F52CC"/>
    <w:rsid w:val="003F535C"/>
    <w:rsid w:val="003F7054"/>
    <w:rsid w:val="003F7196"/>
    <w:rsid w:val="003F71C0"/>
    <w:rsid w:val="003F7679"/>
    <w:rsid w:val="003F77F7"/>
    <w:rsid w:val="004007B3"/>
    <w:rsid w:val="004007CA"/>
    <w:rsid w:val="004008AF"/>
    <w:rsid w:val="00400966"/>
    <w:rsid w:val="00400B5F"/>
    <w:rsid w:val="00401264"/>
    <w:rsid w:val="0040160A"/>
    <w:rsid w:val="00401A82"/>
    <w:rsid w:val="00401DBF"/>
    <w:rsid w:val="00402402"/>
    <w:rsid w:val="004025E1"/>
    <w:rsid w:val="004033D9"/>
    <w:rsid w:val="004034F5"/>
    <w:rsid w:val="00403524"/>
    <w:rsid w:val="00404A94"/>
    <w:rsid w:val="00405080"/>
    <w:rsid w:val="0040551F"/>
    <w:rsid w:val="00405699"/>
    <w:rsid w:val="00405AD0"/>
    <w:rsid w:val="00406D00"/>
    <w:rsid w:val="0040771F"/>
    <w:rsid w:val="0040794C"/>
    <w:rsid w:val="004111F7"/>
    <w:rsid w:val="00411D62"/>
    <w:rsid w:val="0041217D"/>
    <w:rsid w:val="004122D4"/>
    <w:rsid w:val="004125C6"/>
    <w:rsid w:val="0041275F"/>
    <w:rsid w:val="00412834"/>
    <w:rsid w:val="00412C7D"/>
    <w:rsid w:val="0041363A"/>
    <w:rsid w:val="00413D9A"/>
    <w:rsid w:val="00413E26"/>
    <w:rsid w:val="00414192"/>
    <w:rsid w:val="00414E18"/>
    <w:rsid w:val="00415460"/>
    <w:rsid w:val="00415981"/>
    <w:rsid w:val="0041627E"/>
    <w:rsid w:val="00416947"/>
    <w:rsid w:val="00416970"/>
    <w:rsid w:val="00416B2F"/>
    <w:rsid w:val="00420569"/>
    <w:rsid w:val="00421A89"/>
    <w:rsid w:val="00421B51"/>
    <w:rsid w:val="00421C6F"/>
    <w:rsid w:val="00421D76"/>
    <w:rsid w:val="00421EBC"/>
    <w:rsid w:val="00421EDD"/>
    <w:rsid w:val="00422534"/>
    <w:rsid w:val="00422F88"/>
    <w:rsid w:val="0042304B"/>
    <w:rsid w:val="004230D8"/>
    <w:rsid w:val="00424084"/>
    <w:rsid w:val="004242BA"/>
    <w:rsid w:val="0042448D"/>
    <w:rsid w:val="00425E5A"/>
    <w:rsid w:val="004260E2"/>
    <w:rsid w:val="0042624B"/>
    <w:rsid w:val="004273AD"/>
    <w:rsid w:val="004302D5"/>
    <w:rsid w:val="004305AE"/>
    <w:rsid w:val="00431800"/>
    <w:rsid w:val="00431D0E"/>
    <w:rsid w:val="0043291A"/>
    <w:rsid w:val="00432A41"/>
    <w:rsid w:val="00433050"/>
    <w:rsid w:val="00433541"/>
    <w:rsid w:val="00433966"/>
    <w:rsid w:val="0043632A"/>
    <w:rsid w:val="00436514"/>
    <w:rsid w:val="004369ED"/>
    <w:rsid w:val="004376DF"/>
    <w:rsid w:val="004378A3"/>
    <w:rsid w:val="00437FDE"/>
    <w:rsid w:val="004403FC"/>
    <w:rsid w:val="00440551"/>
    <w:rsid w:val="00441F58"/>
    <w:rsid w:val="004423C0"/>
    <w:rsid w:val="004423F7"/>
    <w:rsid w:val="00442A49"/>
    <w:rsid w:val="0044342E"/>
    <w:rsid w:val="0044415F"/>
    <w:rsid w:val="004447F5"/>
    <w:rsid w:val="0044491C"/>
    <w:rsid w:val="00444FB6"/>
    <w:rsid w:val="00444FF2"/>
    <w:rsid w:val="0044690B"/>
    <w:rsid w:val="0044697F"/>
    <w:rsid w:val="00446BBE"/>
    <w:rsid w:val="0044782C"/>
    <w:rsid w:val="004504C8"/>
    <w:rsid w:val="0045093D"/>
    <w:rsid w:val="00450A64"/>
    <w:rsid w:val="004511A7"/>
    <w:rsid w:val="00451645"/>
    <w:rsid w:val="00451870"/>
    <w:rsid w:val="0045212B"/>
    <w:rsid w:val="00452D07"/>
    <w:rsid w:val="0045381D"/>
    <w:rsid w:val="00453ABB"/>
    <w:rsid w:val="00453FF7"/>
    <w:rsid w:val="004542EC"/>
    <w:rsid w:val="00454A1B"/>
    <w:rsid w:val="00454F8E"/>
    <w:rsid w:val="004567E3"/>
    <w:rsid w:val="00456C60"/>
    <w:rsid w:val="004605C0"/>
    <w:rsid w:val="00460FC0"/>
    <w:rsid w:val="004617CD"/>
    <w:rsid w:val="00462778"/>
    <w:rsid w:val="004628DE"/>
    <w:rsid w:val="00463AB9"/>
    <w:rsid w:val="004641DE"/>
    <w:rsid w:val="00464F6C"/>
    <w:rsid w:val="00465446"/>
    <w:rsid w:val="0046572D"/>
    <w:rsid w:val="00467546"/>
    <w:rsid w:val="00467A6F"/>
    <w:rsid w:val="0047159D"/>
    <w:rsid w:val="00471D0D"/>
    <w:rsid w:val="0047423E"/>
    <w:rsid w:val="0047452E"/>
    <w:rsid w:val="00474998"/>
    <w:rsid w:val="00474E01"/>
    <w:rsid w:val="00475758"/>
    <w:rsid w:val="00475F04"/>
    <w:rsid w:val="004771D4"/>
    <w:rsid w:val="0047723D"/>
    <w:rsid w:val="004806B3"/>
    <w:rsid w:val="00480805"/>
    <w:rsid w:val="00481E14"/>
    <w:rsid w:val="00482216"/>
    <w:rsid w:val="00482804"/>
    <w:rsid w:val="00482A30"/>
    <w:rsid w:val="00482B47"/>
    <w:rsid w:val="0048323E"/>
    <w:rsid w:val="0048355F"/>
    <w:rsid w:val="004838CB"/>
    <w:rsid w:val="00483F13"/>
    <w:rsid w:val="00484BB1"/>
    <w:rsid w:val="00484DC5"/>
    <w:rsid w:val="00485163"/>
    <w:rsid w:val="00485675"/>
    <w:rsid w:val="004858D0"/>
    <w:rsid w:val="00486AF2"/>
    <w:rsid w:val="00486B18"/>
    <w:rsid w:val="00487481"/>
    <w:rsid w:val="0048766D"/>
    <w:rsid w:val="00487BD4"/>
    <w:rsid w:val="00487C85"/>
    <w:rsid w:val="00487DB0"/>
    <w:rsid w:val="004901DB"/>
    <w:rsid w:val="0049037D"/>
    <w:rsid w:val="004905F8"/>
    <w:rsid w:val="00490B8D"/>
    <w:rsid w:val="00490DC4"/>
    <w:rsid w:val="004911DD"/>
    <w:rsid w:val="004922A0"/>
    <w:rsid w:val="0049300B"/>
    <w:rsid w:val="0049318A"/>
    <w:rsid w:val="004931A5"/>
    <w:rsid w:val="004939C3"/>
    <w:rsid w:val="004946AC"/>
    <w:rsid w:val="00494F64"/>
    <w:rsid w:val="004951D7"/>
    <w:rsid w:val="00495287"/>
    <w:rsid w:val="0049579C"/>
    <w:rsid w:val="00495F73"/>
    <w:rsid w:val="00496948"/>
    <w:rsid w:val="00497A45"/>
    <w:rsid w:val="00497B9F"/>
    <w:rsid w:val="00497E1C"/>
    <w:rsid w:val="004A0B10"/>
    <w:rsid w:val="004A14A1"/>
    <w:rsid w:val="004A2084"/>
    <w:rsid w:val="004A27CC"/>
    <w:rsid w:val="004A280E"/>
    <w:rsid w:val="004A3844"/>
    <w:rsid w:val="004A4430"/>
    <w:rsid w:val="004A4FDF"/>
    <w:rsid w:val="004A5489"/>
    <w:rsid w:val="004A55C4"/>
    <w:rsid w:val="004A5CC0"/>
    <w:rsid w:val="004A5E73"/>
    <w:rsid w:val="004A5EB0"/>
    <w:rsid w:val="004A7A11"/>
    <w:rsid w:val="004A7A52"/>
    <w:rsid w:val="004B0892"/>
    <w:rsid w:val="004B0E48"/>
    <w:rsid w:val="004B19FE"/>
    <w:rsid w:val="004B1D24"/>
    <w:rsid w:val="004B1EEF"/>
    <w:rsid w:val="004B2A4D"/>
    <w:rsid w:val="004B2F45"/>
    <w:rsid w:val="004B33C2"/>
    <w:rsid w:val="004B3F7A"/>
    <w:rsid w:val="004B4214"/>
    <w:rsid w:val="004B46C8"/>
    <w:rsid w:val="004B4924"/>
    <w:rsid w:val="004B553C"/>
    <w:rsid w:val="004B689D"/>
    <w:rsid w:val="004B6C3B"/>
    <w:rsid w:val="004B707D"/>
    <w:rsid w:val="004B722A"/>
    <w:rsid w:val="004B792C"/>
    <w:rsid w:val="004B7B27"/>
    <w:rsid w:val="004B7BA1"/>
    <w:rsid w:val="004C0E97"/>
    <w:rsid w:val="004C1116"/>
    <w:rsid w:val="004C17B2"/>
    <w:rsid w:val="004C2A3F"/>
    <w:rsid w:val="004C345B"/>
    <w:rsid w:val="004C3E2B"/>
    <w:rsid w:val="004C48C8"/>
    <w:rsid w:val="004C4EAD"/>
    <w:rsid w:val="004C598D"/>
    <w:rsid w:val="004C6EC2"/>
    <w:rsid w:val="004C7D0B"/>
    <w:rsid w:val="004D0F0B"/>
    <w:rsid w:val="004D1072"/>
    <w:rsid w:val="004D141A"/>
    <w:rsid w:val="004D18A9"/>
    <w:rsid w:val="004D219E"/>
    <w:rsid w:val="004D2430"/>
    <w:rsid w:val="004D251A"/>
    <w:rsid w:val="004D326D"/>
    <w:rsid w:val="004D3897"/>
    <w:rsid w:val="004D399C"/>
    <w:rsid w:val="004D4425"/>
    <w:rsid w:val="004D53C1"/>
    <w:rsid w:val="004D5AC2"/>
    <w:rsid w:val="004D5CDF"/>
    <w:rsid w:val="004D675E"/>
    <w:rsid w:val="004D67D4"/>
    <w:rsid w:val="004D7C16"/>
    <w:rsid w:val="004E01B7"/>
    <w:rsid w:val="004E0942"/>
    <w:rsid w:val="004E0B8B"/>
    <w:rsid w:val="004E10FC"/>
    <w:rsid w:val="004E1EA3"/>
    <w:rsid w:val="004E2BD6"/>
    <w:rsid w:val="004E396F"/>
    <w:rsid w:val="004E4189"/>
    <w:rsid w:val="004E4530"/>
    <w:rsid w:val="004E46CB"/>
    <w:rsid w:val="004E4700"/>
    <w:rsid w:val="004E5E9D"/>
    <w:rsid w:val="004E70E0"/>
    <w:rsid w:val="004E7976"/>
    <w:rsid w:val="004F0060"/>
    <w:rsid w:val="004F05A4"/>
    <w:rsid w:val="004F1126"/>
    <w:rsid w:val="004F3AFA"/>
    <w:rsid w:val="004F5400"/>
    <w:rsid w:val="004F570D"/>
    <w:rsid w:val="004F6450"/>
    <w:rsid w:val="004F6640"/>
    <w:rsid w:val="004F668F"/>
    <w:rsid w:val="004F6AD3"/>
    <w:rsid w:val="00501386"/>
    <w:rsid w:val="00501BD9"/>
    <w:rsid w:val="00501C25"/>
    <w:rsid w:val="00501DCD"/>
    <w:rsid w:val="00501E83"/>
    <w:rsid w:val="005027A6"/>
    <w:rsid w:val="00502B6B"/>
    <w:rsid w:val="00502DAE"/>
    <w:rsid w:val="00502FFB"/>
    <w:rsid w:val="005034AF"/>
    <w:rsid w:val="00503843"/>
    <w:rsid w:val="005038A0"/>
    <w:rsid w:val="00504A82"/>
    <w:rsid w:val="0050512C"/>
    <w:rsid w:val="0050576F"/>
    <w:rsid w:val="00505CD4"/>
    <w:rsid w:val="00505DEA"/>
    <w:rsid w:val="00505E19"/>
    <w:rsid w:val="00505E9F"/>
    <w:rsid w:val="005103C5"/>
    <w:rsid w:val="00510CB8"/>
    <w:rsid w:val="00510DA1"/>
    <w:rsid w:val="0051207B"/>
    <w:rsid w:val="00512530"/>
    <w:rsid w:val="005131D3"/>
    <w:rsid w:val="0051352C"/>
    <w:rsid w:val="00513D52"/>
    <w:rsid w:val="00514958"/>
    <w:rsid w:val="005149FA"/>
    <w:rsid w:val="00514FC2"/>
    <w:rsid w:val="005159CA"/>
    <w:rsid w:val="00515BFA"/>
    <w:rsid w:val="00515C0C"/>
    <w:rsid w:val="005162D2"/>
    <w:rsid w:val="0051698B"/>
    <w:rsid w:val="005169EF"/>
    <w:rsid w:val="00516D93"/>
    <w:rsid w:val="00516FFF"/>
    <w:rsid w:val="00517A86"/>
    <w:rsid w:val="005200E2"/>
    <w:rsid w:val="00520891"/>
    <w:rsid w:val="005215DC"/>
    <w:rsid w:val="00522385"/>
    <w:rsid w:val="00522474"/>
    <w:rsid w:val="00522D11"/>
    <w:rsid w:val="0052349D"/>
    <w:rsid w:val="00523603"/>
    <w:rsid w:val="0052383F"/>
    <w:rsid w:val="00523FAC"/>
    <w:rsid w:val="005243DD"/>
    <w:rsid w:val="00524BE8"/>
    <w:rsid w:val="0052575D"/>
    <w:rsid w:val="0052615B"/>
    <w:rsid w:val="0052622F"/>
    <w:rsid w:val="00526A98"/>
    <w:rsid w:val="00526B4B"/>
    <w:rsid w:val="00526C92"/>
    <w:rsid w:val="00526E6B"/>
    <w:rsid w:val="00527294"/>
    <w:rsid w:val="005275FC"/>
    <w:rsid w:val="0052768C"/>
    <w:rsid w:val="005304A0"/>
    <w:rsid w:val="00530896"/>
    <w:rsid w:val="005310AF"/>
    <w:rsid w:val="0053148C"/>
    <w:rsid w:val="00531D71"/>
    <w:rsid w:val="00531E59"/>
    <w:rsid w:val="00532003"/>
    <w:rsid w:val="00532B8C"/>
    <w:rsid w:val="00532BF1"/>
    <w:rsid w:val="00533897"/>
    <w:rsid w:val="005338BF"/>
    <w:rsid w:val="005342C3"/>
    <w:rsid w:val="00534AEE"/>
    <w:rsid w:val="005356D9"/>
    <w:rsid w:val="0053611C"/>
    <w:rsid w:val="005362F5"/>
    <w:rsid w:val="00536B78"/>
    <w:rsid w:val="0053725B"/>
    <w:rsid w:val="005407B1"/>
    <w:rsid w:val="00540A0B"/>
    <w:rsid w:val="00540C4F"/>
    <w:rsid w:val="00540C57"/>
    <w:rsid w:val="00541746"/>
    <w:rsid w:val="00541F0F"/>
    <w:rsid w:val="005423FA"/>
    <w:rsid w:val="00543D29"/>
    <w:rsid w:val="00544BE4"/>
    <w:rsid w:val="005450C7"/>
    <w:rsid w:val="00545419"/>
    <w:rsid w:val="0054624A"/>
    <w:rsid w:val="005465C8"/>
    <w:rsid w:val="00546A28"/>
    <w:rsid w:val="00546B36"/>
    <w:rsid w:val="00547673"/>
    <w:rsid w:val="0055093F"/>
    <w:rsid w:val="005517A8"/>
    <w:rsid w:val="00551894"/>
    <w:rsid w:val="005531BD"/>
    <w:rsid w:val="005554AA"/>
    <w:rsid w:val="005567B2"/>
    <w:rsid w:val="00556B0E"/>
    <w:rsid w:val="00556C41"/>
    <w:rsid w:val="00556F1F"/>
    <w:rsid w:val="00557870"/>
    <w:rsid w:val="00560277"/>
    <w:rsid w:val="00560938"/>
    <w:rsid w:val="00560AF1"/>
    <w:rsid w:val="005610A2"/>
    <w:rsid w:val="00561562"/>
    <w:rsid w:val="00561663"/>
    <w:rsid w:val="00563DE6"/>
    <w:rsid w:val="00563E1B"/>
    <w:rsid w:val="0056528D"/>
    <w:rsid w:val="0056628B"/>
    <w:rsid w:val="00566298"/>
    <w:rsid w:val="0056714F"/>
    <w:rsid w:val="0057091E"/>
    <w:rsid w:val="00570D8D"/>
    <w:rsid w:val="00571281"/>
    <w:rsid w:val="005723D6"/>
    <w:rsid w:val="00572D5F"/>
    <w:rsid w:val="005740BE"/>
    <w:rsid w:val="00574A6E"/>
    <w:rsid w:val="00575708"/>
    <w:rsid w:val="005769DA"/>
    <w:rsid w:val="00577043"/>
    <w:rsid w:val="00577145"/>
    <w:rsid w:val="005773BE"/>
    <w:rsid w:val="005777F3"/>
    <w:rsid w:val="00577F85"/>
    <w:rsid w:val="0058012B"/>
    <w:rsid w:val="005803C6"/>
    <w:rsid w:val="00580601"/>
    <w:rsid w:val="00582365"/>
    <w:rsid w:val="00582381"/>
    <w:rsid w:val="005823D5"/>
    <w:rsid w:val="00582932"/>
    <w:rsid w:val="00582F7E"/>
    <w:rsid w:val="00584140"/>
    <w:rsid w:val="00584B34"/>
    <w:rsid w:val="00584EDE"/>
    <w:rsid w:val="00585C1B"/>
    <w:rsid w:val="0058742B"/>
    <w:rsid w:val="00587639"/>
    <w:rsid w:val="00587663"/>
    <w:rsid w:val="00590996"/>
    <w:rsid w:val="00591FFA"/>
    <w:rsid w:val="0059225F"/>
    <w:rsid w:val="005922D1"/>
    <w:rsid w:val="00592638"/>
    <w:rsid w:val="00593138"/>
    <w:rsid w:val="00593368"/>
    <w:rsid w:val="005937E4"/>
    <w:rsid w:val="00593A33"/>
    <w:rsid w:val="005944A4"/>
    <w:rsid w:val="00594768"/>
    <w:rsid w:val="005947B5"/>
    <w:rsid w:val="005960BB"/>
    <w:rsid w:val="005969EA"/>
    <w:rsid w:val="00596F0B"/>
    <w:rsid w:val="00597407"/>
    <w:rsid w:val="005A0496"/>
    <w:rsid w:val="005A1722"/>
    <w:rsid w:val="005A247C"/>
    <w:rsid w:val="005A2848"/>
    <w:rsid w:val="005A4047"/>
    <w:rsid w:val="005A4384"/>
    <w:rsid w:val="005A43D6"/>
    <w:rsid w:val="005A45D9"/>
    <w:rsid w:val="005A4820"/>
    <w:rsid w:val="005A5095"/>
    <w:rsid w:val="005A7012"/>
    <w:rsid w:val="005A75B2"/>
    <w:rsid w:val="005A76FE"/>
    <w:rsid w:val="005A7A5E"/>
    <w:rsid w:val="005B0880"/>
    <w:rsid w:val="005B1A9C"/>
    <w:rsid w:val="005B1C07"/>
    <w:rsid w:val="005B22FD"/>
    <w:rsid w:val="005B2F9F"/>
    <w:rsid w:val="005B3432"/>
    <w:rsid w:val="005B3BD6"/>
    <w:rsid w:val="005B406E"/>
    <w:rsid w:val="005B422D"/>
    <w:rsid w:val="005B60D6"/>
    <w:rsid w:val="005B64E1"/>
    <w:rsid w:val="005B6C34"/>
    <w:rsid w:val="005B7D6C"/>
    <w:rsid w:val="005C07EA"/>
    <w:rsid w:val="005C108A"/>
    <w:rsid w:val="005C14C1"/>
    <w:rsid w:val="005C23B5"/>
    <w:rsid w:val="005C2515"/>
    <w:rsid w:val="005C32A9"/>
    <w:rsid w:val="005C32E7"/>
    <w:rsid w:val="005C411B"/>
    <w:rsid w:val="005C477A"/>
    <w:rsid w:val="005C485C"/>
    <w:rsid w:val="005C48F4"/>
    <w:rsid w:val="005C4C7F"/>
    <w:rsid w:val="005C5391"/>
    <w:rsid w:val="005C5508"/>
    <w:rsid w:val="005C5E46"/>
    <w:rsid w:val="005C63F4"/>
    <w:rsid w:val="005C6C4A"/>
    <w:rsid w:val="005C7215"/>
    <w:rsid w:val="005C73C4"/>
    <w:rsid w:val="005C7D17"/>
    <w:rsid w:val="005D00EA"/>
    <w:rsid w:val="005D023B"/>
    <w:rsid w:val="005D02C4"/>
    <w:rsid w:val="005D064B"/>
    <w:rsid w:val="005D0B84"/>
    <w:rsid w:val="005D2304"/>
    <w:rsid w:val="005D2973"/>
    <w:rsid w:val="005D2990"/>
    <w:rsid w:val="005D3A04"/>
    <w:rsid w:val="005D48A1"/>
    <w:rsid w:val="005D48FE"/>
    <w:rsid w:val="005D561B"/>
    <w:rsid w:val="005D626A"/>
    <w:rsid w:val="005D66D0"/>
    <w:rsid w:val="005D7471"/>
    <w:rsid w:val="005D749D"/>
    <w:rsid w:val="005D74C2"/>
    <w:rsid w:val="005D7C24"/>
    <w:rsid w:val="005D7CE4"/>
    <w:rsid w:val="005E01F1"/>
    <w:rsid w:val="005E0F91"/>
    <w:rsid w:val="005E140F"/>
    <w:rsid w:val="005E18D4"/>
    <w:rsid w:val="005E1E93"/>
    <w:rsid w:val="005E24C1"/>
    <w:rsid w:val="005E2679"/>
    <w:rsid w:val="005E2702"/>
    <w:rsid w:val="005E273F"/>
    <w:rsid w:val="005E2B70"/>
    <w:rsid w:val="005E2E9E"/>
    <w:rsid w:val="005E3CBB"/>
    <w:rsid w:val="005E4061"/>
    <w:rsid w:val="005E48AD"/>
    <w:rsid w:val="005E4ABC"/>
    <w:rsid w:val="005E4B62"/>
    <w:rsid w:val="005E4CDF"/>
    <w:rsid w:val="005E57D0"/>
    <w:rsid w:val="005E5874"/>
    <w:rsid w:val="005E6A57"/>
    <w:rsid w:val="005E75D5"/>
    <w:rsid w:val="005E79B6"/>
    <w:rsid w:val="005E7F72"/>
    <w:rsid w:val="005F1555"/>
    <w:rsid w:val="005F1972"/>
    <w:rsid w:val="005F2978"/>
    <w:rsid w:val="005F2F01"/>
    <w:rsid w:val="005F3D8F"/>
    <w:rsid w:val="005F4530"/>
    <w:rsid w:val="005F4721"/>
    <w:rsid w:val="005F578D"/>
    <w:rsid w:val="005F580E"/>
    <w:rsid w:val="005F61BE"/>
    <w:rsid w:val="005F6AD1"/>
    <w:rsid w:val="005F6B52"/>
    <w:rsid w:val="005F720A"/>
    <w:rsid w:val="005F77F4"/>
    <w:rsid w:val="005F79DE"/>
    <w:rsid w:val="005F7F0A"/>
    <w:rsid w:val="006003AC"/>
    <w:rsid w:val="006016CB"/>
    <w:rsid w:val="00601A74"/>
    <w:rsid w:val="00601B9C"/>
    <w:rsid w:val="0060210B"/>
    <w:rsid w:val="00602278"/>
    <w:rsid w:val="00602F43"/>
    <w:rsid w:val="00603A67"/>
    <w:rsid w:val="00603B08"/>
    <w:rsid w:val="0060469D"/>
    <w:rsid w:val="00604CE3"/>
    <w:rsid w:val="00605776"/>
    <w:rsid w:val="006057CD"/>
    <w:rsid w:val="00610162"/>
    <w:rsid w:val="00610ABA"/>
    <w:rsid w:val="00610C8D"/>
    <w:rsid w:val="00610CDB"/>
    <w:rsid w:val="00610DFE"/>
    <w:rsid w:val="00611039"/>
    <w:rsid w:val="00612DAA"/>
    <w:rsid w:val="00612EFF"/>
    <w:rsid w:val="00613037"/>
    <w:rsid w:val="006135AB"/>
    <w:rsid w:val="00613852"/>
    <w:rsid w:val="006138E4"/>
    <w:rsid w:val="00613FDA"/>
    <w:rsid w:val="006144F6"/>
    <w:rsid w:val="0061495F"/>
    <w:rsid w:val="00616407"/>
    <w:rsid w:val="00616DDD"/>
    <w:rsid w:val="006179B5"/>
    <w:rsid w:val="006200E5"/>
    <w:rsid w:val="00620E27"/>
    <w:rsid w:val="00620E43"/>
    <w:rsid w:val="00620E5A"/>
    <w:rsid w:val="00621539"/>
    <w:rsid w:val="006231CA"/>
    <w:rsid w:val="0062417A"/>
    <w:rsid w:val="006243BF"/>
    <w:rsid w:val="00624734"/>
    <w:rsid w:val="00624767"/>
    <w:rsid w:val="00624D12"/>
    <w:rsid w:val="006250E9"/>
    <w:rsid w:val="006255A7"/>
    <w:rsid w:val="00625C08"/>
    <w:rsid w:val="00625CFD"/>
    <w:rsid w:val="006277D4"/>
    <w:rsid w:val="0063170D"/>
    <w:rsid w:val="006318D3"/>
    <w:rsid w:val="00631EE4"/>
    <w:rsid w:val="0063286D"/>
    <w:rsid w:val="00633322"/>
    <w:rsid w:val="0063399C"/>
    <w:rsid w:val="00633B2F"/>
    <w:rsid w:val="00635811"/>
    <w:rsid w:val="00635EE4"/>
    <w:rsid w:val="0063730F"/>
    <w:rsid w:val="006378E3"/>
    <w:rsid w:val="00640225"/>
    <w:rsid w:val="006403EB"/>
    <w:rsid w:val="006409F7"/>
    <w:rsid w:val="00640C31"/>
    <w:rsid w:val="00640CA2"/>
    <w:rsid w:val="0064214E"/>
    <w:rsid w:val="00642209"/>
    <w:rsid w:val="006429F0"/>
    <w:rsid w:val="00643226"/>
    <w:rsid w:val="00643450"/>
    <w:rsid w:val="00643A9C"/>
    <w:rsid w:val="006459EF"/>
    <w:rsid w:val="00645D1E"/>
    <w:rsid w:val="00646491"/>
    <w:rsid w:val="006465F3"/>
    <w:rsid w:val="006467AB"/>
    <w:rsid w:val="00647821"/>
    <w:rsid w:val="00647F8A"/>
    <w:rsid w:val="0065083B"/>
    <w:rsid w:val="00652310"/>
    <w:rsid w:val="006524EF"/>
    <w:rsid w:val="00652983"/>
    <w:rsid w:val="00652AF4"/>
    <w:rsid w:val="00652CE7"/>
    <w:rsid w:val="00653248"/>
    <w:rsid w:val="006534BF"/>
    <w:rsid w:val="0065360C"/>
    <w:rsid w:val="006537D7"/>
    <w:rsid w:val="006537ED"/>
    <w:rsid w:val="0065444A"/>
    <w:rsid w:val="006544AA"/>
    <w:rsid w:val="00654C2E"/>
    <w:rsid w:val="00654F68"/>
    <w:rsid w:val="00655CF9"/>
    <w:rsid w:val="00655D45"/>
    <w:rsid w:val="00655FCB"/>
    <w:rsid w:val="006567BD"/>
    <w:rsid w:val="00656ED1"/>
    <w:rsid w:val="0065714C"/>
    <w:rsid w:val="00657496"/>
    <w:rsid w:val="006606B7"/>
    <w:rsid w:val="00660A74"/>
    <w:rsid w:val="00662447"/>
    <w:rsid w:val="00662E5F"/>
    <w:rsid w:val="006631FD"/>
    <w:rsid w:val="00663AFB"/>
    <w:rsid w:val="00663F11"/>
    <w:rsid w:val="00664434"/>
    <w:rsid w:val="00664F2C"/>
    <w:rsid w:val="0066561F"/>
    <w:rsid w:val="00665C06"/>
    <w:rsid w:val="00666A58"/>
    <w:rsid w:val="00667076"/>
    <w:rsid w:val="006671A8"/>
    <w:rsid w:val="006674C9"/>
    <w:rsid w:val="006701C3"/>
    <w:rsid w:val="00670650"/>
    <w:rsid w:val="006712C0"/>
    <w:rsid w:val="00672B67"/>
    <w:rsid w:val="00672BDB"/>
    <w:rsid w:val="00672CD2"/>
    <w:rsid w:val="006733C7"/>
    <w:rsid w:val="00673DE6"/>
    <w:rsid w:val="006744AC"/>
    <w:rsid w:val="00674C7D"/>
    <w:rsid w:val="00674EE9"/>
    <w:rsid w:val="0067533F"/>
    <w:rsid w:val="00675DEE"/>
    <w:rsid w:val="00675EC8"/>
    <w:rsid w:val="00676FFF"/>
    <w:rsid w:val="006774DE"/>
    <w:rsid w:val="00677CEF"/>
    <w:rsid w:val="00677F48"/>
    <w:rsid w:val="00680114"/>
    <w:rsid w:val="0068070C"/>
    <w:rsid w:val="00680B40"/>
    <w:rsid w:val="00681E10"/>
    <w:rsid w:val="00681EC9"/>
    <w:rsid w:val="00681FE9"/>
    <w:rsid w:val="006822FA"/>
    <w:rsid w:val="0068288C"/>
    <w:rsid w:val="006834BA"/>
    <w:rsid w:val="00683F36"/>
    <w:rsid w:val="00685589"/>
    <w:rsid w:val="006862AD"/>
    <w:rsid w:val="0068682C"/>
    <w:rsid w:val="00686BA4"/>
    <w:rsid w:val="00687945"/>
    <w:rsid w:val="00690949"/>
    <w:rsid w:val="00690A02"/>
    <w:rsid w:val="00690F9F"/>
    <w:rsid w:val="0069109C"/>
    <w:rsid w:val="006913BC"/>
    <w:rsid w:val="00693046"/>
    <w:rsid w:val="0069322B"/>
    <w:rsid w:val="006938AA"/>
    <w:rsid w:val="0069467E"/>
    <w:rsid w:val="0069474B"/>
    <w:rsid w:val="0069475D"/>
    <w:rsid w:val="00694E23"/>
    <w:rsid w:val="006966F3"/>
    <w:rsid w:val="00697645"/>
    <w:rsid w:val="006977FF"/>
    <w:rsid w:val="00697966"/>
    <w:rsid w:val="006A0C2A"/>
    <w:rsid w:val="006A0EEB"/>
    <w:rsid w:val="006A154C"/>
    <w:rsid w:val="006A176F"/>
    <w:rsid w:val="006A2C30"/>
    <w:rsid w:val="006A3A2B"/>
    <w:rsid w:val="006A3A4D"/>
    <w:rsid w:val="006A4B51"/>
    <w:rsid w:val="006A4B78"/>
    <w:rsid w:val="006A5745"/>
    <w:rsid w:val="006A5A8D"/>
    <w:rsid w:val="006A6447"/>
    <w:rsid w:val="006A6BF1"/>
    <w:rsid w:val="006B0A91"/>
    <w:rsid w:val="006B3032"/>
    <w:rsid w:val="006B3101"/>
    <w:rsid w:val="006B3B73"/>
    <w:rsid w:val="006B3DD8"/>
    <w:rsid w:val="006B48A1"/>
    <w:rsid w:val="006B49AA"/>
    <w:rsid w:val="006B4B4A"/>
    <w:rsid w:val="006B5578"/>
    <w:rsid w:val="006B5632"/>
    <w:rsid w:val="006B6DF8"/>
    <w:rsid w:val="006B75C6"/>
    <w:rsid w:val="006C016E"/>
    <w:rsid w:val="006C06EE"/>
    <w:rsid w:val="006C14A7"/>
    <w:rsid w:val="006C1F53"/>
    <w:rsid w:val="006C1FF9"/>
    <w:rsid w:val="006C26F6"/>
    <w:rsid w:val="006C2933"/>
    <w:rsid w:val="006C2A9D"/>
    <w:rsid w:val="006C2BB7"/>
    <w:rsid w:val="006C354C"/>
    <w:rsid w:val="006C3B16"/>
    <w:rsid w:val="006C3B76"/>
    <w:rsid w:val="006C3C0E"/>
    <w:rsid w:val="006C4568"/>
    <w:rsid w:val="006C4572"/>
    <w:rsid w:val="006C4ECC"/>
    <w:rsid w:val="006C5064"/>
    <w:rsid w:val="006C60A7"/>
    <w:rsid w:val="006C6AA8"/>
    <w:rsid w:val="006C70B6"/>
    <w:rsid w:val="006C758C"/>
    <w:rsid w:val="006C7B03"/>
    <w:rsid w:val="006C7FCC"/>
    <w:rsid w:val="006D0455"/>
    <w:rsid w:val="006D0CAD"/>
    <w:rsid w:val="006D0E31"/>
    <w:rsid w:val="006D0EC2"/>
    <w:rsid w:val="006D1A43"/>
    <w:rsid w:val="006D3335"/>
    <w:rsid w:val="006D36AE"/>
    <w:rsid w:val="006D4330"/>
    <w:rsid w:val="006D4331"/>
    <w:rsid w:val="006D4863"/>
    <w:rsid w:val="006D4C72"/>
    <w:rsid w:val="006D4E4C"/>
    <w:rsid w:val="006D53AB"/>
    <w:rsid w:val="006D554C"/>
    <w:rsid w:val="006D5585"/>
    <w:rsid w:val="006D58E3"/>
    <w:rsid w:val="006D5F76"/>
    <w:rsid w:val="006D627B"/>
    <w:rsid w:val="006D6D96"/>
    <w:rsid w:val="006D7211"/>
    <w:rsid w:val="006D75C8"/>
    <w:rsid w:val="006E1939"/>
    <w:rsid w:val="006E1FAC"/>
    <w:rsid w:val="006E3179"/>
    <w:rsid w:val="006E34A0"/>
    <w:rsid w:val="006E3A51"/>
    <w:rsid w:val="006E3AF5"/>
    <w:rsid w:val="006E4293"/>
    <w:rsid w:val="006E7610"/>
    <w:rsid w:val="006F0853"/>
    <w:rsid w:val="006F09B7"/>
    <w:rsid w:val="006F0D46"/>
    <w:rsid w:val="006F1B28"/>
    <w:rsid w:val="006F23DD"/>
    <w:rsid w:val="006F2A38"/>
    <w:rsid w:val="006F2CF7"/>
    <w:rsid w:val="006F3507"/>
    <w:rsid w:val="006F4161"/>
    <w:rsid w:val="006F5158"/>
    <w:rsid w:val="006F5896"/>
    <w:rsid w:val="006F65ED"/>
    <w:rsid w:val="006F6675"/>
    <w:rsid w:val="006F6778"/>
    <w:rsid w:val="006F6BC1"/>
    <w:rsid w:val="006F7005"/>
    <w:rsid w:val="006F77E9"/>
    <w:rsid w:val="00700950"/>
    <w:rsid w:val="007009D1"/>
    <w:rsid w:val="00700D20"/>
    <w:rsid w:val="00701136"/>
    <w:rsid w:val="00701601"/>
    <w:rsid w:val="00701761"/>
    <w:rsid w:val="007018B1"/>
    <w:rsid w:val="007027D0"/>
    <w:rsid w:val="00702B5F"/>
    <w:rsid w:val="00702E3E"/>
    <w:rsid w:val="0070319A"/>
    <w:rsid w:val="007036FA"/>
    <w:rsid w:val="00703CB4"/>
    <w:rsid w:val="00703D62"/>
    <w:rsid w:val="0070466C"/>
    <w:rsid w:val="007046F1"/>
    <w:rsid w:val="00704749"/>
    <w:rsid w:val="00704DE7"/>
    <w:rsid w:val="007050BE"/>
    <w:rsid w:val="007052EE"/>
    <w:rsid w:val="00705BD7"/>
    <w:rsid w:val="00706E9B"/>
    <w:rsid w:val="00707C18"/>
    <w:rsid w:val="007103A9"/>
    <w:rsid w:val="00710A23"/>
    <w:rsid w:val="007113A2"/>
    <w:rsid w:val="00712472"/>
    <w:rsid w:val="007126A4"/>
    <w:rsid w:val="00712C87"/>
    <w:rsid w:val="007130C9"/>
    <w:rsid w:val="00713AEA"/>
    <w:rsid w:val="00713EEB"/>
    <w:rsid w:val="007144C7"/>
    <w:rsid w:val="007147E4"/>
    <w:rsid w:val="00715046"/>
    <w:rsid w:val="00716AD2"/>
    <w:rsid w:val="00720092"/>
    <w:rsid w:val="007203CA"/>
    <w:rsid w:val="00720E81"/>
    <w:rsid w:val="007217F1"/>
    <w:rsid w:val="00721A61"/>
    <w:rsid w:val="00721F2D"/>
    <w:rsid w:val="007226F5"/>
    <w:rsid w:val="007229D1"/>
    <w:rsid w:val="007233C0"/>
    <w:rsid w:val="00723B2C"/>
    <w:rsid w:val="00723B5B"/>
    <w:rsid w:val="00724253"/>
    <w:rsid w:val="00724A73"/>
    <w:rsid w:val="00724ED0"/>
    <w:rsid w:val="00724F92"/>
    <w:rsid w:val="007253D6"/>
    <w:rsid w:val="00725769"/>
    <w:rsid w:val="0072578A"/>
    <w:rsid w:val="0072597A"/>
    <w:rsid w:val="00726191"/>
    <w:rsid w:val="0073008E"/>
    <w:rsid w:val="007300D7"/>
    <w:rsid w:val="007307AE"/>
    <w:rsid w:val="00731159"/>
    <w:rsid w:val="007320B6"/>
    <w:rsid w:val="007321F3"/>
    <w:rsid w:val="00734AE6"/>
    <w:rsid w:val="00735E97"/>
    <w:rsid w:val="007365B1"/>
    <w:rsid w:val="0073792C"/>
    <w:rsid w:val="00740791"/>
    <w:rsid w:val="0074089A"/>
    <w:rsid w:val="00740AF7"/>
    <w:rsid w:val="00740BA0"/>
    <w:rsid w:val="007416E7"/>
    <w:rsid w:val="0074257A"/>
    <w:rsid w:val="007425CD"/>
    <w:rsid w:val="007436BA"/>
    <w:rsid w:val="007442D9"/>
    <w:rsid w:val="007453FA"/>
    <w:rsid w:val="0074585D"/>
    <w:rsid w:val="00745942"/>
    <w:rsid w:val="007461EF"/>
    <w:rsid w:val="0074648E"/>
    <w:rsid w:val="00746DFD"/>
    <w:rsid w:val="00747434"/>
    <w:rsid w:val="0074788B"/>
    <w:rsid w:val="00747918"/>
    <w:rsid w:val="0075078B"/>
    <w:rsid w:val="00750839"/>
    <w:rsid w:val="00751298"/>
    <w:rsid w:val="0075133D"/>
    <w:rsid w:val="00751353"/>
    <w:rsid w:val="0075137C"/>
    <w:rsid w:val="0075203B"/>
    <w:rsid w:val="00752748"/>
    <w:rsid w:val="007527B9"/>
    <w:rsid w:val="00752858"/>
    <w:rsid w:val="0075418A"/>
    <w:rsid w:val="00754569"/>
    <w:rsid w:val="0075476C"/>
    <w:rsid w:val="007549AE"/>
    <w:rsid w:val="00754C8A"/>
    <w:rsid w:val="00755FE5"/>
    <w:rsid w:val="007566F9"/>
    <w:rsid w:val="00756F2F"/>
    <w:rsid w:val="00757F87"/>
    <w:rsid w:val="0076260D"/>
    <w:rsid w:val="00762B02"/>
    <w:rsid w:val="007632D5"/>
    <w:rsid w:val="00763AEC"/>
    <w:rsid w:val="00763B77"/>
    <w:rsid w:val="00764D72"/>
    <w:rsid w:val="007651BD"/>
    <w:rsid w:val="0076555B"/>
    <w:rsid w:val="0076567E"/>
    <w:rsid w:val="007660AD"/>
    <w:rsid w:val="0076664E"/>
    <w:rsid w:val="00766F8A"/>
    <w:rsid w:val="0076702C"/>
    <w:rsid w:val="00767283"/>
    <w:rsid w:val="007677D2"/>
    <w:rsid w:val="00767A87"/>
    <w:rsid w:val="00767F6C"/>
    <w:rsid w:val="00772057"/>
    <w:rsid w:val="007726D1"/>
    <w:rsid w:val="00772829"/>
    <w:rsid w:val="00772EFF"/>
    <w:rsid w:val="007735CE"/>
    <w:rsid w:val="00773C23"/>
    <w:rsid w:val="00773F5B"/>
    <w:rsid w:val="00774520"/>
    <w:rsid w:val="007745C5"/>
    <w:rsid w:val="00774CE1"/>
    <w:rsid w:val="00775B4D"/>
    <w:rsid w:val="00775F54"/>
    <w:rsid w:val="00776372"/>
    <w:rsid w:val="00776C34"/>
    <w:rsid w:val="00776C3C"/>
    <w:rsid w:val="00777848"/>
    <w:rsid w:val="00777893"/>
    <w:rsid w:val="00780C65"/>
    <w:rsid w:val="00781376"/>
    <w:rsid w:val="00781961"/>
    <w:rsid w:val="00781D76"/>
    <w:rsid w:val="00782B9D"/>
    <w:rsid w:val="00784341"/>
    <w:rsid w:val="007843D3"/>
    <w:rsid w:val="007852E9"/>
    <w:rsid w:val="007854DE"/>
    <w:rsid w:val="00785D88"/>
    <w:rsid w:val="00786012"/>
    <w:rsid w:val="00786320"/>
    <w:rsid w:val="007866A6"/>
    <w:rsid w:val="00790305"/>
    <w:rsid w:val="00790B15"/>
    <w:rsid w:val="00790F49"/>
    <w:rsid w:val="00791416"/>
    <w:rsid w:val="007924FE"/>
    <w:rsid w:val="00792819"/>
    <w:rsid w:val="007931CB"/>
    <w:rsid w:val="00793258"/>
    <w:rsid w:val="0079345B"/>
    <w:rsid w:val="00793F1A"/>
    <w:rsid w:val="0079403A"/>
    <w:rsid w:val="007940F4"/>
    <w:rsid w:val="00794359"/>
    <w:rsid w:val="0079488C"/>
    <w:rsid w:val="007951D4"/>
    <w:rsid w:val="00795D8D"/>
    <w:rsid w:val="00795E9C"/>
    <w:rsid w:val="0079606E"/>
    <w:rsid w:val="0079614C"/>
    <w:rsid w:val="00796DA0"/>
    <w:rsid w:val="00796EB6"/>
    <w:rsid w:val="00797218"/>
    <w:rsid w:val="00797A82"/>
    <w:rsid w:val="00797C46"/>
    <w:rsid w:val="007A0882"/>
    <w:rsid w:val="007A0922"/>
    <w:rsid w:val="007A17B2"/>
    <w:rsid w:val="007A19F6"/>
    <w:rsid w:val="007A1C61"/>
    <w:rsid w:val="007A2181"/>
    <w:rsid w:val="007A25B9"/>
    <w:rsid w:val="007A2B65"/>
    <w:rsid w:val="007A33F2"/>
    <w:rsid w:val="007A375D"/>
    <w:rsid w:val="007A43FC"/>
    <w:rsid w:val="007A44ED"/>
    <w:rsid w:val="007A5617"/>
    <w:rsid w:val="007A5899"/>
    <w:rsid w:val="007A610E"/>
    <w:rsid w:val="007A63DC"/>
    <w:rsid w:val="007A6BFB"/>
    <w:rsid w:val="007A6F8C"/>
    <w:rsid w:val="007A7848"/>
    <w:rsid w:val="007B01BB"/>
    <w:rsid w:val="007B0245"/>
    <w:rsid w:val="007B083F"/>
    <w:rsid w:val="007B0880"/>
    <w:rsid w:val="007B0D01"/>
    <w:rsid w:val="007B0DDD"/>
    <w:rsid w:val="007B1A81"/>
    <w:rsid w:val="007B1C55"/>
    <w:rsid w:val="007B1F22"/>
    <w:rsid w:val="007B2085"/>
    <w:rsid w:val="007B2177"/>
    <w:rsid w:val="007B22C8"/>
    <w:rsid w:val="007B24DF"/>
    <w:rsid w:val="007B2520"/>
    <w:rsid w:val="007B26D6"/>
    <w:rsid w:val="007B2FDC"/>
    <w:rsid w:val="007B30C0"/>
    <w:rsid w:val="007B38A0"/>
    <w:rsid w:val="007B38B7"/>
    <w:rsid w:val="007B4C90"/>
    <w:rsid w:val="007B4F7B"/>
    <w:rsid w:val="007B504C"/>
    <w:rsid w:val="007B5698"/>
    <w:rsid w:val="007B583D"/>
    <w:rsid w:val="007B5E89"/>
    <w:rsid w:val="007B61E1"/>
    <w:rsid w:val="007B65ED"/>
    <w:rsid w:val="007B6684"/>
    <w:rsid w:val="007B6B21"/>
    <w:rsid w:val="007B7024"/>
    <w:rsid w:val="007B7269"/>
    <w:rsid w:val="007B7DC6"/>
    <w:rsid w:val="007C0390"/>
    <w:rsid w:val="007C0E52"/>
    <w:rsid w:val="007C102B"/>
    <w:rsid w:val="007C1087"/>
    <w:rsid w:val="007C14A2"/>
    <w:rsid w:val="007C1647"/>
    <w:rsid w:val="007C1E92"/>
    <w:rsid w:val="007C1EB3"/>
    <w:rsid w:val="007C281E"/>
    <w:rsid w:val="007C2C95"/>
    <w:rsid w:val="007C300E"/>
    <w:rsid w:val="007C328D"/>
    <w:rsid w:val="007C336F"/>
    <w:rsid w:val="007C36CF"/>
    <w:rsid w:val="007C3C40"/>
    <w:rsid w:val="007C41B1"/>
    <w:rsid w:val="007C5095"/>
    <w:rsid w:val="007C580A"/>
    <w:rsid w:val="007C62EA"/>
    <w:rsid w:val="007C7185"/>
    <w:rsid w:val="007C72E4"/>
    <w:rsid w:val="007C73A2"/>
    <w:rsid w:val="007C763F"/>
    <w:rsid w:val="007D149E"/>
    <w:rsid w:val="007D26C4"/>
    <w:rsid w:val="007D2996"/>
    <w:rsid w:val="007D30B7"/>
    <w:rsid w:val="007D4E19"/>
    <w:rsid w:val="007D4F5E"/>
    <w:rsid w:val="007D518A"/>
    <w:rsid w:val="007D5C58"/>
    <w:rsid w:val="007D62A9"/>
    <w:rsid w:val="007D6DDE"/>
    <w:rsid w:val="007D7722"/>
    <w:rsid w:val="007D7E6D"/>
    <w:rsid w:val="007E15AD"/>
    <w:rsid w:val="007E173A"/>
    <w:rsid w:val="007E25ED"/>
    <w:rsid w:val="007E2BC0"/>
    <w:rsid w:val="007E37B2"/>
    <w:rsid w:val="007E3E0C"/>
    <w:rsid w:val="007E4045"/>
    <w:rsid w:val="007E44B6"/>
    <w:rsid w:val="007E4DBC"/>
    <w:rsid w:val="007E5279"/>
    <w:rsid w:val="007E5949"/>
    <w:rsid w:val="007E73DD"/>
    <w:rsid w:val="007E7842"/>
    <w:rsid w:val="007E7E51"/>
    <w:rsid w:val="007F00E2"/>
    <w:rsid w:val="007F033B"/>
    <w:rsid w:val="007F082F"/>
    <w:rsid w:val="007F0A38"/>
    <w:rsid w:val="007F11F5"/>
    <w:rsid w:val="007F129D"/>
    <w:rsid w:val="007F29D9"/>
    <w:rsid w:val="007F3A03"/>
    <w:rsid w:val="007F4D25"/>
    <w:rsid w:val="007F52E0"/>
    <w:rsid w:val="007F657D"/>
    <w:rsid w:val="007F67E9"/>
    <w:rsid w:val="007F757A"/>
    <w:rsid w:val="007F7C7B"/>
    <w:rsid w:val="007F7EA0"/>
    <w:rsid w:val="008008E1"/>
    <w:rsid w:val="00801257"/>
    <w:rsid w:val="0080144F"/>
    <w:rsid w:val="00801797"/>
    <w:rsid w:val="008026B1"/>
    <w:rsid w:val="00802E48"/>
    <w:rsid w:val="00803BE5"/>
    <w:rsid w:val="008040A2"/>
    <w:rsid w:val="00804632"/>
    <w:rsid w:val="008050E9"/>
    <w:rsid w:val="00805103"/>
    <w:rsid w:val="008054D9"/>
    <w:rsid w:val="00806268"/>
    <w:rsid w:val="00806688"/>
    <w:rsid w:val="00807A3E"/>
    <w:rsid w:val="00810338"/>
    <w:rsid w:val="00810994"/>
    <w:rsid w:val="00810E5A"/>
    <w:rsid w:val="00812282"/>
    <w:rsid w:val="008130BE"/>
    <w:rsid w:val="008132E3"/>
    <w:rsid w:val="008135E9"/>
    <w:rsid w:val="00813927"/>
    <w:rsid w:val="00813FA5"/>
    <w:rsid w:val="00814006"/>
    <w:rsid w:val="008148E4"/>
    <w:rsid w:val="008157F1"/>
    <w:rsid w:val="008167F5"/>
    <w:rsid w:val="00816EC2"/>
    <w:rsid w:val="008200C6"/>
    <w:rsid w:val="0082048D"/>
    <w:rsid w:val="00820A85"/>
    <w:rsid w:val="00821758"/>
    <w:rsid w:val="00821C25"/>
    <w:rsid w:val="00821E9F"/>
    <w:rsid w:val="00821F58"/>
    <w:rsid w:val="0082265B"/>
    <w:rsid w:val="00822935"/>
    <w:rsid w:val="00822DCC"/>
    <w:rsid w:val="008236E1"/>
    <w:rsid w:val="00824310"/>
    <w:rsid w:val="00824458"/>
    <w:rsid w:val="008246DE"/>
    <w:rsid w:val="008249F7"/>
    <w:rsid w:val="00824B74"/>
    <w:rsid w:val="0082518E"/>
    <w:rsid w:val="008252CB"/>
    <w:rsid w:val="00825E51"/>
    <w:rsid w:val="00827027"/>
    <w:rsid w:val="00830784"/>
    <w:rsid w:val="008330D1"/>
    <w:rsid w:val="00833E8C"/>
    <w:rsid w:val="0083480D"/>
    <w:rsid w:val="00835EC9"/>
    <w:rsid w:val="00835F77"/>
    <w:rsid w:val="00837023"/>
    <w:rsid w:val="0083741E"/>
    <w:rsid w:val="008374A8"/>
    <w:rsid w:val="00837B27"/>
    <w:rsid w:val="00837EF5"/>
    <w:rsid w:val="0084093E"/>
    <w:rsid w:val="00841388"/>
    <w:rsid w:val="00841EFB"/>
    <w:rsid w:val="00841F44"/>
    <w:rsid w:val="00842C82"/>
    <w:rsid w:val="00842DC5"/>
    <w:rsid w:val="00842F53"/>
    <w:rsid w:val="008436D7"/>
    <w:rsid w:val="008437E9"/>
    <w:rsid w:val="008440FE"/>
    <w:rsid w:val="008452F2"/>
    <w:rsid w:val="0084590B"/>
    <w:rsid w:val="00846119"/>
    <w:rsid w:val="008474E3"/>
    <w:rsid w:val="00851547"/>
    <w:rsid w:val="00851DFD"/>
    <w:rsid w:val="00852350"/>
    <w:rsid w:val="008527ED"/>
    <w:rsid w:val="008529BD"/>
    <w:rsid w:val="00852B5F"/>
    <w:rsid w:val="00852E31"/>
    <w:rsid w:val="00852E45"/>
    <w:rsid w:val="008534DD"/>
    <w:rsid w:val="008537F7"/>
    <w:rsid w:val="008546BE"/>
    <w:rsid w:val="00855720"/>
    <w:rsid w:val="00856074"/>
    <w:rsid w:val="00856666"/>
    <w:rsid w:val="0085763A"/>
    <w:rsid w:val="00857949"/>
    <w:rsid w:val="00861770"/>
    <w:rsid w:val="00861CC2"/>
    <w:rsid w:val="00862020"/>
    <w:rsid w:val="00862360"/>
    <w:rsid w:val="00863B6C"/>
    <w:rsid w:val="00863D74"/>
    <w:rsid w:val="00863F95"/>
    <w:rsid w:val="008648BE"/>
    <w:rsid w:val="0086597C"/>
    <w:rsid w:val="00865DD7"/>
    <w:rsid w:val="0086616B"/>
    <w:rsid w:val="008664FA"/>
    <w:rsid w:val="00866519"/>
    <w:rsid w:val="0086674B"/>
    <w:rsid w:val="0086733A"/>
    <w:rsid w:val="00867C1B"/>
    <w:rsid w:val="00867F9C"/>
    <w:rsid w:val="00870B6A"/>
    <w:rsid w:val="008710C1"/>
    <w:rsid w:val="008719C2"/>
    <w:rsid w:val="00872187"/>
    <w:rsid w:val="008722FE"/>
    <w:rsid w:val="0087277A"/>
    <w:rsid w:val="00872A47"/>
    <w:rsid w:val="008736E2"/>
    <w:rsid w:val="00874253"/>
    <w:rsid w:val="00874419"/>
    <w:rsid w:val="00874565"/>
    <w:rsid w:val="00875C80"/>
    <w:rsid w:val="008771C7"/>
    <w:rsid w:val="00877218"/>
    <w:rsid w:val="00877247"/>
    <w:rsid w:val="008777D1"/>
    <w:rsid w:val="008801AE"/>
    <w:rsid w:val="00880AA3"/>
    <w:rsid w:val="00882726"/>
    <w:rsid w:val="00882996"/>
    <w:rsid w:val="00883227"/>
    <w:rsid w:val="0088421C"/>
    <w:rsid w:val="0088445B"/>
    <w:rsid w:val="0088508E"/>
    <w:rsid w:val="008863BA"/>
    <w:rsid w:val="008865F1"/>
    <w:rsid w:val="00887573"/>
    <w:rsid w:val="00887837"/>
    <w:rsid w:val="00887E3D"/>
    <w:rsid w:val="0089070F"/>
    <w:rsid w:val="00890CA7"/>
    <w:rsid w:val="00890F3F"/>
    <w:rsid w:val="0089134F"/>
    <w:rsid w:val="00891A32"/>
    <w:rsid w:val="00891AF6"/>
    <w:rsid w:val="00891BC3"/>
    <w:rsid w:val="00892C57"/>
    <w:rsid w:val="00892EA3"/>
    <w:rsid w:val="0089372F"/>
    <w:rsid w:val="008937C8"/>
    <w:rsid w:val="008940FC"/>
    <w:rsid w:val="008947D9"/>
    <w:rsid w:val="00894EB9"/>
    <w:rsid w:val="00895B27"/>
    <w:rsid w:val="008967C4"/>
    <w:rsid w:val="00897663"/>
    <w:rsid w:val="00897FCA"/>
    <w:rsid w:val="008A060A"/>
    <w:rsid w:val="008A06C6"/>
    <w:rsid w:val="008A0D2A"/>
    <w:rsid w:val="008A1693"/>
    <w:rsid w:val="008A1726"/>
    <w:rsid w:val="008A254F"/>
    <w:rsid w:val="008A2630"/>
    <w:rsid w:val="008A2DEA"/>
    <w:rsid w:val="008A390C"/>
    <w:rsid w:val="008A39B0"/>
    <w:rsid w:val="008A39DA"/>
    <w:rsid w:val="008A4CFB"/>
    <w:rsid w:val="008A4F0E"/>
    <w:rsid w:val="008A5833"/>
    <w:rsid w:val="008A6FB2"/>
    <w:rsid w:val="008B1020"/>
    <w:rsid w:val="008B27EC"/>
    <w:rsid w:val="008B2BC3"/>
    <w:rsid w:val="008B2F33"/>
    <w:rsid w:val="008B3A88"/>
    <w:rsid w:val="008B3C04"/>
    <w:rsid w:val="008B42A1"/>
    <w:rsid w:val="008B4A66"/>
    <w:rsid w:val="008B4AD7"/>
    <w:rsid w:val="008B4BFC"/>
    <w:rsid w:val="008B51B4"/>
    <w:rsid w:val="008B5B67"/>
    <w:rsid w:val="008B5D7A"/>
    <w:rsid w:val="008B66E3"/>
    <w:rsid w:val="008B756E"/>
    <w:rsid w:val="008B7848"/>
    <w:rsid w:val="008B7CD6"/>
    <w:rsid w:val="008C036E"/>
    <w:rsid w:val="008C1E05"/>
    <w:rsid w:val="008C1F2A"/>
    <w:rsid w:val="008C1F59"/>
    <w:rsid w:val="008C21B5"/>
    <w:rsid w:val="008C34BB"/>
    <w:rsid w:val="008C36F3"/>
    <w:rsid w:val="008C3C03"/>
    <w:rsid w:val="008C45E2"/>
    <w:rsid w:val="008C5164"/>
    <w:rsid w:val="008C58BA"/>
    <w:rsid w:val="008C5D58"/>
    <w:rsid w:val="008D0175"/>
    <w:rsid w:val="008D199F"/>
    <w:rsid w:val="008D1B1A"/>
    <w:rsid w:val="008D241E"/>
    <w:rsid w:val="008D2CB4"/>
    <w:rsid w:val="008D3004"/>
    <w:rsid w:val="008D3726"/>
    <w:rsid w:val="008D3783"/>
    <w:rsid w:val="008D4CB0"/>
    <w:rsid w:val="008D6397"/>
    <w:rsid w:val="008D73C9"/>
    <w:rsid w:val="008D79BF"/>
    <w:rsid w:val="008D7A5E"/>
    <w:rsid w:val="008D7DCF"/>
    <w:rsid w:val="008E16BF"/>
    <w:rsid w:val="008E1AF6"/>
    <w:rsid w:val="008E2288"/>
    <w:rsid w:val="008E2CE6"/>
    <w:rsid w:val="008E3049"/>
    <w:rsid w:val="008E35A3"/>
    <w:rsid w:val="008E5DDF"/>
    <w:rsid w:val="008E5FCA"/>
    <w:rsid w:val="008E6881"/>
    <w:rsid w:val="008E7274"/>
    <w:rsid w:val="008F03EC"/>
    <w:rsid w:val="008F0562"/>
    <w:rsid w:val="008F0714"/>
    <w:rsid w:val="008F0CD4"/>
    <w:rsid w:val="008F0CF8"/>
    <w:rsid w:val="008F14B4"/>
    <w:rsid w:val="008F2078"/>
    <w:rsid w:val="008F254E"/>
    <w:rsid w:val="008F2598"/>
    <w:rsid w:val="008F2608"/>
    <w:rsid w:val="008F260B"/>
    <w:rsid w:val="008F2771"/>
    <w:rsid w:val="008F304E"/>
    <w:rsid w:val="008F30D7"/>
    <w:rsid w:val="008F377A"/>
    <w:rsid w:val="008F433C"/>
    <w:rsid w:val="008F4394"/>
    <w:rsid w:val="008F498E"/>
    <w:rsid w:val="008F655A"/>
    <w:rsid w:val="008F65E0"/>
    <w:rsid w:val="008F69E7"/>
    <w:rsid w:val="008F7037"/>
    <w:rsid w:val="009000BE"/>
    <w:rsid w:val="009000EF"/>
    <w:rsid w:val="00900F3E"/>
    <w:rsid w:val="009019A2"/>
    <w:rsid w:val="009019AE"/>
    <w:rsid w:val="00901EAC"/>
    <w:rsid w:val="00902481"/>
    <w:rsid w:val="00903C93"/>
    <w:rsid w:val="00906821"/>
    <w:rsid w:val="00906B2D"/>
    <w:rsid w:val="00906CED"/>
    <w:rsid w:val="00906DCE"/>
    <w:rsid w:val="00906E65"/>
    <w:rsid w:val="009073C4"/>
    <w:rsid w:val="00910C80"/>
    <w:rsid w:val="00910F46"/>
    <w:rsid w:val="00912DDE"/>
    <w:rsid w:val="009144D5"/>
    <w:rsid w:val="00914ABB"/>
    <w:rsid w:val="00915002"/>
    <w:rsid w:val="009156F2"/>
    <w:rsid w:val="00915F93"/>
    <w:rsid w:val="00915F98"/>
    <w:rsid w:val="00915FA3"/>
    <w:rsid w:val="00916505"/>
    <w:rsid w:val="0091773D"/>
    <w:rsid w:val="009205A7"/>
    <w:rsid w:val="009208E1"/>
    <w:rsid w:val="0092132E"/>
    <w:rsid w:val="009217F8"/>
    <w:rsid w:val="00922810"/>
    <w:rsid w:val="0092470E"/>
    <w:rsid w:val="00924D76"/>
    <w:rsid w:val="00925187"/>
    <w:rsid w:val="00925A8C"/>
    <w:rsid w:val="0092709C"/>
    <w:rsid w:val="00927118"/>
    <w:rsid w:val="0092717F"/>
    <w:rsid w:val="00927744"/>
    <w:rsid w:val="009279D0"/>
    <w:rsid w:val="00927B05"/>
    <w:rsid w:val="009300CF"/>
    <w:rsid w:val="00930F4E"/>
    <w:rsid w:val="00930F59"/>
    <w:rsid w:val="00931DBD"/>
    <w:rsid w:val="00932428"/>
    <w:rsid w:val="009325BE"/>
    <w:rsid w:val="0093365D"/>
    <w:rsid w:val="00933E02"/>
    <w:rsid w:val="009340FE"/>
    <w:rsid w:val="0093541B"/>
    <w:rsid w:val="00936062"/>
    <w:rsid w:val="009366B2"/>
    <w:rsid w:val="00936B8D"/>
    <w:rsid w:val="00937082"/>
    <w:rsid w:val="00937CBE"/>
    <w:rsid w:val="009412AD"/>
    <w:rsid w:val="0094166D"/>
    <w:rsid w:val="0094170E"/>
    <w:rsid w:val="00941B7D"/>
    <w:rsid w:val="009427B5"/>
    <w:rsid w:val="00942B5F"/>
    <w:rsid w:val="0094312C"/>
    <w:rsid w:val="00944087"/>
    <w:rsid w:val="00944BD4"/>
    <w:rsid w:val="00944E74"/>
    <w:rsid w:val="00945380"/>
    <w:rsid w:val="00945537"/>
    <w:rsid w:val="00945538"/>
    <w:rsid w:val="00947278"/>
    <w:rsid w:val="0094766C"/>
    <w:rsid w:val="0095012E"/>
    <w:rsid w:val="009501D1"/>
    <w:rsid w:val="00950599"/>
    <w:rsid w:val="0095061B"/>
    <w:rsid w:val="00951337"/>
    <w:rsid w:val="00951934"/>
    <w:rsid w:val="00951C8E"/>
    <w:rsid w:val="0095207B"/>
    <w:rsid w:val="00952B06"/>
    <w:rsid w:val="009544BC"/>
    <w:rsid w:val="00954C8C"/>
    <w:rsid w:val="009551F0"/>
    <w:rsid w:val="009557BF"/>
    <w:rsid w:val="00955FD5"/>
    <w:rsid w:val="0095639E"/>
    <w:rsid w:val="0095641F"/>
    <w:rsid w:val="00956ACE"/>
    <w:rsid w:val="009572A0"/>
    <w:rsid w:val="009574AE"/>
    <w:rsid w:val="009579C8"/>
    <w:rsid w:val="00957D24"/>
    <w:rsid w:val="00957D6D"/>
    <w:rsid w:val="009602E8"/>
    <w:rsid w:val="00960654"/>
    <w:rsid w:val="0096083C"/>
    <w:rsid w:val="00960DCF"/>
    <w:rsid w:val="00961B53"/>
    <w:rsid w:val="009620F0"/>
    <w:rsid w:val="00963264"/>
    <w:rsid w:val="0096389D"/>
    <w:rsid w:val="00964430"/>
    <w:rsid w:val="00964971"/>
    <w:rsid w:val="00964BBE"/>
    <w:rsid w:val="00964F4C"/>
    <w:rsid w:val="009656D0"/>
    <w:rsid w:val="00965839"/>
    <w:rsid w:val="00965A32"/>
    <w:rsid w:val="0096621B"/>
    <w:rsid w:val="00966334"/>
    <w:rsid w:val="009676C0"/>
    <w:rsid w:val="0097062E"/>
    <w:rsid w:val="0097090A"/>
    <w:rsid w:val="00972567"/>
    <w:rsid w:val="00972ADB"/>
    <w:rsid w:val="009736B4"/>
    <w:rsid w:val="0097476A"/>
    <w:rsid w:val="00974A5D"/>
    <w:rsid w:val="009766C3"/>
    <w:rsid w:val="009766FB"/>
    <w:rsid w:val="009773F9"/>
    <w:rsid w:val="00977496"/>
    <w:rsid w:val="00977688"/>
    <w:rsid w:val="0097775E"/>
    <w:rsid w:val="00977FB6"/>
    <w:rsid w:val="009803A9"/>
    <w:rsid w:val="009803CB"/>
    <w:rsid w:val="009803D4"/>
    <w:rsid w:val="009807A2"/>
    <w:rsid w:val="00980AAB"/>
    <w:rsid w:val="00980C7A"/>
    <w:rsid w:val="0098199C"/>
    <w:rsid w:val="00981DD0"/>
    <w:rsid w:val="00983838"/>
    <w:rsid w:val="00984585"/>
    <w:rsid w:val="009846BF"/>
    <w:rsid w:val="00985715"/>
    <w:rsid w:val="0098621B"/>
    <w:rsid w:val="00986350"/>
    <w:rsid w:val="00986BA9"/>
    <w:rsid w:val="009873F3"/>
    <w:rsid w:val="00987674"/>
    <w:rsid w:val="00987DE0"/>
    <w:rsid w:val="009904EB"/>
    <w:rsid w:val="0099088A"/>
    <w:rsid w:val="00991780"/>
    <w:rsid w:val="00992632"/>
    <w:rsid w:val="00992A84"/>
    <w:rsid w:val="00992FC1"/>
    <w:rsid w:val="0099317C"/>
    <w:rsid w:val="00995E98"/>
    <w:rsid w:val="00996C17"/>
    <w:rsid w:val="00996F15"/>
    <w:rsid w:val="00997271"/>
    <w:rsid w:val="00997BA8"/>
    <w:rsid w:val="009A0372"/>
    <w:rsid w:val="009A06F4"/>
    <w:rsid w:val="009A22F7"/>
    <w:rsid w:val="009A27A3"/>
    <w:rsid w:val="009A3775"/>
    <w:rsid w:val="009A3778"/>
    <w:rsid w:val="009A3E2E"/>
    <w:rsid w:val="009A3EEC"/>
    <w:rsid w:val="009A44BD"/>
    <w:rsid w:val="009A4E36"/>
    <w:rsid w:val="009A4F6D"/>
    <w:rsid w:val="009A6E7F"/>
    <w:rsid w:val="009A7F34"/>
    <w:rsid w:val="009B00B9"/>
    <w:rsid w:val="009B08C7"/>
    <w:rsid w:val="009B0B7A"/>
    <w:rsid w:val="009B0BF5"/>
    <w:rsid w:val="009B1557"/>
    <w:rsid w:val="009B2245"/>
    <w:rsid w:val="009B258E"/>
    <w:rsid w:val="009B2766"/>
    <w:rsid w:val="009B2AED"/>
    <w:rsid w:val="009B3A84"/>
    <w:rsid w:val="009B4B44"/>
    <w:rsid w:val="009B4D8D"/>
    <w:rsid w:val="009B52E8"/>
    <w:rsid w:val="009B5742"/>
    <w:rsid w:val="009B5997"/>
    <w:rsid w:val="009B5AD5"/>
    <w:rsid w:val="009B62B6"/>
    <w:rsid w:val="009B6B23"/>
    <w:rsid w:val="009B6C7E"/>
    <w:rsid w:val="009B6FE1"/>
    <w:rsid w:val="009B737C"/>
    <w:rsid w:val="009B74D8"/>
    <w:rsid w:val="009B7ABD"/>
    <w:rsid w:val="009B7EA9"/>
    <w:rsid w:val="009C0171"/>
    <w:rsid w:val="009C055E"/>
    <w:rsid w:val="009C1D27"/>
    <w:rsid w:val="009C3BD9"/>
    <w:rsid w:val="009C3DA9"/>
    <w:rsid w:val="009C3DC9"/>
    <w:rsid w:val="009C4087"/>
    <w:rsid w:val="009C46C7"/>
    <w:rsid w:val="009C55F9"/>
    <w:rsid w:val="009C5B82"/>
    <w:rsid w:val="009C5F4F"/>
    <w:rsid w:val="009C6D4C"/>
    <w:rsid w:val="009C756E"/>
    <w:rsid w:val="009D08F9"/>
    <w:rsid w:val="009D132E"/>
    <w:rsid w:val="009D1DFB"/>
    <w:rsid w:val="009D21BE"/>
    <w:rsid w:val="009D323A"/>
    <w:rsid w:val="009D3BDE"/>
    <w:rsid w:val="009D3C3D"/>
    <w:rsid w:val="009D4708"/>
    <w:rsid w:val="009D5288"/>
    <w:rsid w:val="009D65BE"/>
    <w:rsid w:val="009D74C6"/>
    <w:rsid w:val="009E1076"/>
    <w:rsid w:val="009E1316"/>
    <w:rsid w:val="009E2AD3"/>
    <w:rsid w:val="009E2ADA"/>
    <w:rsid w:val="009E47E5"/>
    <w:rsid w:val="009E4B21"/>
    <w:rsid w:val="009E5A95"/>
    <w:rsid w:val="009E7288"/>
    <w:rsid w:val="009F032C"/>
    <w:rsid w:val="009F0848"/>
    <w:rsid w:val="009F1061"/>
    <w:rsid w:val="009F146F"/>
    <w:rsid w:val="009F1A82"/>
    <w:rsid w:val="009F1B08"/>
    <w:rsid w:val="009F2056"/>
    <w:rsid w:val="009F280F"/>
    <w:rsid w:val="009F3C0E"/>
    <w:rsid w:val="009F3C75"/>
    <w:rsid w:val="009F45F3"/>
    <w:rsid w:val="009F48BC"/>
    <w:rsid w:val="009F60EC"/>
    <w:rsid w:val="00A0015E"/>
    <w:rsid w:val="00A0037E"/>
    <w:rsid w:val="00A006D1"/>
    <w:rsid w:val="00A009A5"/>
    <w:rsid w:val="00A00AC7"/>
    <w:rsid w:val="00A01303"/>
    <w:rsid w:val="00A0191E"/>
    <w:rsid w:val="00A01B18"/>
    <w:rsid w:val="00A02282"/>
    <w:rsid w:val="00A02403"/>
    <w:rsid w:val="00A02C4F"/>
    <w:rsid w:val="00A02CDF"/>
    <w:rsid w:val="00A03E54"/>
    <w:rsid w:val="00A03F38"/>
    <w:rsid w:val="00A048A8"/>
    <w:rsid w:val="00A04A09"/>
    <w:rsid w:val="00A04EC5"/>
    <w:rsid w:val="00A051A2"/>
    <w:rsid w:val="00A055F8"/>
    <w:rsid w:val="00A05821"/>
    <w:rsid w:val="00A05D1D"/>
    <w:rsid w:val="00A05EA2"/>
    <w:rsid w:val="00A065F0"/>
    <w:rsid w:val="00A0670E"/>
    <w:rsid w:val="00A06D1A"/>
    <w:rsid w:val="00A07087"/>
    <w:rsid w:val="00A070D7"/>
    <w:rsid w:val="00A07636"/>
    <w:rsid w:val="00A076CC"/>
    <w:rsid w:val="00A07D89"/>
    <w:rsid w:val="00A101C6"/>
    <w:rsid w:val="00A10EE8"/>
    <w:rsid w:val="00A1165C"/>
    <w:rsid w:val="00A1186D"/>
    <w:rsid w:val="00A125D6"/>
    <w:rsid w:val="00A12707"/>
    <w:rsid w:val="00A13AE8"/>
    <w:rsid w:val="00A14240"/>
    <w:rsid w:val="00A14870"/>
    <w:rsid w:val="00A14E53"/>
    <w:rsid w:val="00A14EE6"/>
    <w:rsid w:val="00A15580"/>
    <w:rsid w:val="00A15D86"/>
    <w:rsid w:val="00A16449"/>
    <w:rsid w:val="00A169D2"/>
    <w:rsid w:val="00A20876"/>
    <w:rsid w:val="00A2089D"/>
    <w:rsid w:val="00A216D2"/>
    <w:rsid w:val="00A227D4"/>
    <w:rsid w:val="00A22EFC"/>
    <w:rsid w:val="00A24AD6"/>
    <w:rsid w:val="00A25204"/>
    <w:rsid w:val="00A2603A"/>
    <w:rsid w:val="00A261F9"/>
    <w:rsid w:val="00A26389"/>
    <w:rsid w:val="00A27256"/>
    <w:rsid w:val="00A27894"/>
    <w:rsid w:val="00A30264"/>
    <w:rsid w:val="00A303B8"/>
    <w:rsid w:val="00A3096F"/>
    <w:rsid w:val="00A31882"/>
    <w:rsid w:val="00A34055"/>
    <w:rsid w:val="00A342C6"/>
    <w:rsid w:val="00A34735"/>
    <w:rsid w:val="00A35F49"/>
    <w:rsid w:val="00A361C3"/>
    <w:rsid w:val="00A3654D"/>
    <w:rsid w:val="00A36805"/>
    <w:rsid w:val="00A372C6"/>
    <w:rsid w:val="00A372EF"/>
    <w:rsid w:val="00A3770E"/>
    <w:rsid w:val="00A37E8F"/>
    <w:rsid w:val="00A40291"/>
    <w:rsid w:val="00A41161"/>
    <w:rsid w:val="00A411FA"/>
    <w:rsid w:val="00A41213"/>
    <w:rsid w:val="00A41CAD"/>
    <w:rsid w:val="00A426BB"/>
    <w:rsid w:val="00A43755"/>
    <w:rsid w:val="00A43771"/>
    <w:rsid w:val="00A44333"/>
    <w:rsid w:val="00A447AF"/>
    <w:rsid w:val="00A448C3"/>
    <w:rsid w:val="00A44EC1"/>
    <w:rsid w:val="00A45243"/>
    <w:rsid w:val="00A454B3"/>
    <w:rsid w:val="00A45C9C"/>
    <w:rsid w:val="00A45E52"/>
    <w:rsid w:val="00A463E8"/>
    <w:rsid w:val="00A464DF"/>
    <w:rsid w:val="00A46652"/>
    <w:rsid w:val="00A46D15"/>
    <w:rsid w:val="00A4713D"/>
    <w:rsid w:val="00A472A9"/>
    <w:rsid w:val="00A501B4"/>
    <w:rsid w:val="00A5036D"/>
    <w:rsid w:val="00A50FAC"/>
    <w:rsid w:val="00A51063"/>
    <w:rsid w:val="00A52FF3"/>
    <w:rsid w:val="00A5323B"/>
    <w:rsid w:val="00A538D5"/>
    <w:rsid w:val="00A53E2F"/>
    <w:rsid w:val="00A549C5"/>
    <w:rsid w:val="00A54FB4"/>
    <w:rsid w:val="00A5687B"/>
    <w:rsid w:val="00A56DE0"/>
    <w:rsid w:val="00A571E7"/>
    <w:rsid w:val="00A5726F"/>
    <w:rsid w:val="00A57739"/>
    <w:rsid w:val="00A57EC3"/>
    <w:rsid w:val="00A6056E"/>
    <w:rsid w:val="00A60C92"/>
    <w:rsid w:val="00A60E70"/>
    <w:rsid w:val="00A61BCC"/>
    <w:rsid w:val="00A6228E"/>
    <w:rsid w:val="00A63562"/>
    <w:rsid w:val="00A63C18"/>
    <w:rsid w:val="00A6446E"/>
    <w:rsid w:val="00A64FC4"/>
    <w:rsid w:val="00A6574E"/>
    <w:rsid w:val="00A662DC"/>
    <w:rsid w:val="00A665AD"/>
    <w:rsid w:val="00A6741B"/>
    <w:rsid w:val="00A67784"/>
    <w:rsid w:val="00A67B85"/>
    <w:rsid w:val="00A67E1D"/>
    <w:rsid w:val="00A706B4"/>
    <w:rsid w:val="00A710CC"/>
    <w:rsid w:val="00A71249"/>
    <w:rsid w:val="00A721DA"/>
    <w:rsid w:val="00A72E7D"/>
    <w:rsid w:val="00A74226"/>
    <w:rsid w:val="00A743DD"/>
    <w:rsid w:val="00A757B0"/>
    <w:rsid w:val="00A75BD1"/>
    <w:rsid w:val="00A7689B"/>
    <w:rsid w:val="00A776A4"/>
    <w:rsid w:val="00A778B2"/>
    <w:rsid w:val="00A8049D"/>
    <w:rsid w:val="00A81C7B"/>
    <w:rsid w:val="00A8213D"/>
    <w:rsid w:val="00A822C2"/>
    <w:rsid w:val="00A825A6"/>
    <w:rsid w:val="00A82990"/>
    <w:rsid w:val="00A82B2F"/>
    <w:rsid w:val="00A83786"/>
    <w:rsid w:val="00A83E6D"/>
    <w:rsid w:val="00A840AA"/>
    <w:rsid w:val="00A843A4"/>
    <w:rsid w:val="00A8550B"/>
    <w:rsid w:val="00A863EC"/>
    <w:rsid w:val="00A8653B"/>
    <w:rsid w:val="00A90375"/>
    <w:rsid w:val="00A90401"/>
    <w:rsid w:val="00A90951"/>
    <w:rsid w:val="00A91EBC"/>
    <w:rsid w:val="00A921E3"/>
    <w:rsid w:val="00A922D3"/>
    <w:rsid w:val="00A92AD5"/>
    <w:rsid w:val="00A92BD3"/>
    <w:rsid w:val="00A945B7"/>
    <w:rsid w:val="00A94D20"/>
    <w:rsid w:val="00A960AD"/>
    <w:rsid w:val="00A96CC3"/>
    <w:rsid w:val="00A9732F"/>
    <w:rsid w:val="00A9752B"/>
    <w:rsid w:val="00A9769D"/>
    <w:rsid w:val="00A9786F"/>
    <w:rsid w:val="00A97BE8"/>
    <w:rsid w:val="00AA2461"/>
    <w:rsid w:val="00AA2574"/>
    <w:rsid w:val="00AA2865"/>
    <w:rsid w:val="00AA2B95"/>
    <w:rsid w:val="00AA2F2F"/>
    <w:rsid w:val="00AA38C2"/>
    <w:rsid w:val="00AA3A9B"/>
    <w:rsid w:val="00AA3BF1"/>
    <w:rsid w:val="00AA4014"/>
    <w:rsid w:val="00AA4288"/>
    <w:rsid w:val="00AA4A94"/>
    <w:rsid w:val="00AA5410"/>
    <w:rsid w:val="00AA56C2"/>
    <w:rsid w:val="00AA5AF9"/>
    <w:rsid w:val="00AA609F"/>
    <w:rsid w:val="00AA66F3"/>
    <w:rsid w:val="00AA6A6C"/>
    <w:rsid w:val="00AA7521"/>
    <w:rsid w:val="00AA7AC4"/>
    <w:rsid w:val="00AB095D"/>
    <w:rsid w:val="00AB0B4D"/>
    <w:rsid w:val="00AB10D6"/>
    <w:rsid w:val="00AB21C6"/>
    <w:rsid w:val="00AB245A"/>
    <w:rsid w:val="00AB2841"/>
    <w:rsid w:val="00AB393A"/>
    <w:rsid w:val="00AB39E7"/>
    <w:rsid w:val="00AB3E63"/>
    <w:rsid w:val="00AB4987"/>
    <w:rsid w:val="00AB5181"/>
    <w:rsid w:val="00AB51E4"/>
    <w:rsid w:val="00AB5B03"/>
    <w:rsid w:val="00AB654B"/>
    <w:rsid w:val="00AB752A"/>
    <w:rsid w:val="00AB78DE"/>
    <w:rsid w:val="00AB793F"/>
    <w:rsid w:val="00AB7DC0"/>
    <w:rsid w:val="00AC0B78"/>
    <w:rsid w:val="00AC0C17"/>
    <w:rsid w:val="00AC16CF"/>
    <w:rsid w:val="00AC253F"/>
    <w:rsid w:val="00AC27E5"/>
    <w:rsid w:val="00AC36E9"/>
    <w:rsid w:val="00AC3E33"/>
    <w:rsid w:val="00AC3F37"/>
    <w:rsid w:val="00AC4273"/>
    <w:rsid w:val="00AC6F7D"/>
    <w:rsid w:val="00AC720A"/>
    <w:rsid w:val="00AC74BC"/>
    <w:rsid w:val="00AD0EF7"/>
    <w:rsid w:val="00AD0F25"/>
    <w:rsid w:val="00AD1A75"/>
    <w:rsid w:val="00AD2159"/>
    <w:rsid w:val="00AD357C"/>
    <w:rsid w:val="00AD3716"/>
    <w:rsid w:val="00AD375B"/>
    <w:rsid w:val="00AD3E18"/>
    <w:rsid w:val="00AD5297"/>
    <w:rsid w:val="00AD60EA"/>
    <w:rsid w:val="00AD67D4"/>
    <w:rsid w:val="00AD7C77"/>
    <w:rsid w:val="00AE043D"/>
    <w:rsid w:val="00AE0C8D"/>
    <w:rsid w:val="00AE10EA"/>
    <w:rsid w:val="00AE1216"/>
    <w:rsid w:val="00AE1289"/>
    <w:rsid w:val="00AE252E"/>
    <w:rsid w:val="00AE291B"/>
    <w:rsid w:val="00AE4331"/>
    <w:rsid w:val="00AE5C5A"/>
    <w:rsid w:val="00AE614D"/>
    <w:rsid w:val="00AE66CD"/>
    <w:rsid w:val="00AE765D"/>
    <w:rsid w:val="00AE7849"/>
    <w:rsid w:val="00AE7977"/>
    <w:rsid w:val="00AE7CF4"/>
    <w:rsid w:val="00AF0045"/>
    <w:rsid w:val="00AF0CC0"/>
    <w:rsid w:val="00AF1A45"/>
    <w:rsid w:val="00AF1E2A"/>
    <w:rsid w:val="00AF1F10"/>
    <w:rsid w:val="00AF22C6"/>
    <w:rsid w:val="00AF2585"/>
    <w:rsid w:val="00AF28F6"/>
    <w:rsid w:val="00AF2E2D"/>
    <w:rsid w:val="00AF32D5"/>
    <w:rsid w:val="00AF3D39"/>
    <w:rsid w:val="00AF441E"/>
    <w:rsid w:val="00AF497B"/>
    <w:rsid w:val="00AF5BD6"/>
    <w:rsid w:val="00AF6490"/>
    <w:rsid w:val="00AF6A4C"/>
    <w:rsid w:val="00AF6DA9"/>
    <w:rsid w:val="00AF7DF3"/>
    <w:rsid w:val="00B00690"/>
    <w:rsid w:val="00B01650"/>
    <w:rsid w:val="00B01DA1"/>
    <w:rsid w:val="00B02183"/>
    <w:rsid w:val="00B022E5"/>
    <w:rsid w:val="00B02D5C"/>
    <w:rsid w:val="00B02FEC"/>
    <w:rsid w:val="00B047C2"/>
    <w:rsid w:val="00B04CB1"/>
    <w:rsid w:val="00B050C0"/>
    <w:rsid w:val="00B05635"/>
    <w:rsid w:val="00B05F6F"/>
    <w:rsid w:val="00B0655F"/>
    <w:rsid w:val="00B0670B"/>
    <w:rsid w:val="00B06B93"/>
    <w:rsid w:val="00B06E41"/>
    <w:rsid w:val="00B06EBD"/>
    <w:rsid w:val="00B07620"/>
    <w:rsid w:val="00B1002D"/>
    <w:rsid w:val="00B103AA"/>
    <w:rsid w:val="00B1084B"/>
    <w:rsid w:val="00B120E7"/>
    <w:rsid w:val="00B1314F"/>
    <w:rsid w:val="00B1480A"/>
    <w:rsid w:val="00B14CF4"/>
    <w:rsid w:val="00B14D9D"/>
    <w:rsid w:val="00B151CF"/>
    <w:rsid w:val="00B16704"/>
    <w:rsid w:val="00B16E30"/>
    <w:rsid w:val="00B17266"/>
    <w:rsid w:val="00B179BC"/>
    <w:rsid w:val="00B2003E"/>
    <w:rsid w:val="00B200DD"/>
    <w:rsid w:val="00B20445"/>
    <w:rsid w:val="00B23043"/>
    <w:rsid w:val="00B245B7"/>
    <w:rsid w:val="00B247AD"/>
    <w:rsid w:val="00B25D05"/>
    <w:rsid w:val="00B26622"/>
    <w:rsid w:val="00B26669"/>
    <w:rsid w:val="00B26CDE"/>
    <w:rsid w:val="00B26D58"/>
    <w:rsid w:val="00B2763B"/>
    <w:rsid w:val="00B276B4"/>
    <w:rsid w:val="00B27795"/>
    <w:rsid w:val="00B27DFE"/>
    <w:rsid w:val="00B27F7E"/>
    <w:rsid w:val="00B30191"/>
    <w:rsid w:val="00B303F6"/>
    <w:rsid w:val="00B307B7"/>
    <w:rsid w:val="00B30ADA"/>
    <w:rsid w:val="00B312C6"/>
    <w:rsid w:val="00B31BC0"/>
    <w:rsid w:val="00B32D05"/>
    <w:rsid w:val="00B33405"/>
    <w:rsid w:val="00B3366C"/>
    <w:rsid w:val="00B33B53"/>
    <w:rsid w:val="00B33ED6"/>
    <w:rsid w:val="00B33F4D"/>
    <w:rsid w:val="00B3506A"/>
    <w:rsid w:val="00B351DD"/>
    <w:rsid w:val="00B36028"/>
    <w:rsid w:val="00B36694"/>
    <w:rsid w:val="00B36A39"/>
    <w:rsid w:val="00B36CB1"/>
    <w:rsid w:val="00B36EDB"/>
    <w:rsid w:val="00B37992"/>
    <w:rsid w:val="00B40064"/>
    <w:rsid w:val="00B40151"/>
    <w:rsid w:val="00B402A5"/>
    <w:rsid w:val="00B4030B"/>
    <w:rsid w:val="00B40352"/>
    <w:rsid w:val="00B406AF"/>
    <w:rsid w:val="00B411B8"/>
    <w:rsid w:val="00B4211E"/>
    <w:rsid w:val="00B42877"/>
    <w:rsid w:val="00B440F1"/>
    <w:rsid w:val="00B443AB"/>
    <w:rsid w:val="00B44C81"/>
    <w:rsid w:val="00B4524D"/>
    <w:rsid w:val="00B46FEA"/>
    <w:rsid w:val="00B475F3"/>
    <w:rsid w:val="00B478F2"/>
    <w:rsid w:val="00B50399"/>
    <w:rsid w:val="00B50A44"/>
    <w:rsid w:val="00B520D3"/>
    <w:rsid w:val="00B52514"/>
    <w:rsid w:val="00B52DCC"/>
    <w:rsid w:val="00B5444E"/>
    <w:rsid w:val="00B54516"/>
    <w:rsid w:val="00B54BDC"/>
    <w:rsid w:val="00B54DCB"/>
    <w:rsid w:val="00B54F2E"/>
    <w:rsid w:val="00B55524"/>
    <w:rsid w:val="00B5552B"/>
    <w:rsid w:val="00B56B6C"/>
    <w:rsid w:val="00B575BF"/>
    <w:rsid w:val="00B601D5"/>
    <w:rsid w:val="00B601F9"/>
    <w:rsid w:val="00B60B39"/>
    <w:rsid w:val="00B611E4"/>
    <w:rsid w:val="00B61243"/>
    <w:rsid w:val="00B612EA"/>
    <w:rsid w:val="00B61377"/>
    <w:rsid w:val="00B615F8"/>
    <w:rsid w:val="00B617EE"/>
    <w:rsid w:val="00B61C66"/>
    <w:rsid w:val="00B61DD6"/>
    <w:rsid w:val="00B62604"/>
    <w:rsid w:val="00B62B9C"/>
    <w:rsid w:val="00B62DF2"/>
    <w:rsid w:val="00B6309C"/>
    <w:rsid w:val="00B642E5"/>
    <w:rsid w:val="00B647D4"/>
    <w:rsid w:val="00B65A3E"/>
    <w:rsid w:val="00B66A87"/>
    <w:rsid w:val="00B66EBE"/>
    <w:rsid w:val="00B67496"/>
    <w:rsid w:val="00B675F1"/>
    <w:rsid w:val="00B67973"/>
    <w:rsid w:val="00B67DB0"/>
    <w:rsid w:val="00B712D0"/>
    <w:rsid w:val="00B71FDC"/>
    <w:rsid w:val="00B72246"/>
    <w:rsid w:val="00B75031"/>
    <w:rsid w:val="00B757E5"/>
    <w:rsid w:val="00B76BF5"/>
    <w:rsid w:val="00B77C38"/>
    <w:rsid w:val="00B81B04"/>
    <w:rsid w:val="00B81F38"/>
    <w:rsid w:val="00B821B8"/>
    <w:rsid w:val="00B82994"/>
    <w:rsid w:val="00B83B62"/>
    <w:rsid w:val="00B84732"/>
    <w:rsid w:val="00B84C6B"/>
    <w:rsid w:val="00B84CD8"/>
    <w:rsid w:val="00B8535F"/>
    <w:rsid w:val="00B853D9"/>
    <w:rsid w:val="00B859CF"/>
    <w:rsid w:val="00B86CE8"/>
    <w:rsid w:val="00B87073"/>
    <w:rsid w:val="00B878CD"/>
    <w:rsid w:val="00B90DF6"/>
    <w:rsid w:val="00B90F1D"/>
    <w:rsid w:val="00B918C8"/>
    <w:rsid w:val="00B91A03"/>
    <w:rsid w:val="00B91CB1"/>
    <w:rsid w:val="00B91DFB"/>
    <w:rsid w:val="00B9249B"/>
    <w:rsid w:val="00B932D8"/>
    <w:rsid w:val="00B93575"/>
    <w:rsid w:val="00B94C81"/>
    <w:rsid w:val="00B9501B"/>
    <w:rsid w:val="00B9536C"/>
    <w:rsid w:val="00B9668E"/>
    <w:rsid w:val="00B97570"/>
    <w:rsid w:val="00BA023D"/>
    <w:rsid w:val="00BA0FD4"/>
    <w:rsid w:val="00BA1935"/>
    <w:rsid w:val="00BA1FFB"/>
    <w:rsid w:val="00BA2B3F"/>
    <w:rsid w:val="00BA346D"/>
    <w:rsid w:val="00BA3E28"/>
    <w:rsid w:val="00BA3FFC"/>
    <w:rsid w:val="00BA4B6A"/>
    <w:rsid w:val="00BA4E45"/>
    <w:rsid w:val="00BA4FBE"/>
    <w:rsid w:val="00BA5338"/>
    <w:rsid w:val="00BA59FB"/>
    <w:rsid w:val="00BA6534"/>
    <w:rsid w:val="00BA7002"/>
    <w:rsid w:val="00BA7503"/>
    <w:rsid w:val="00BB036E"/>
    <w:rsid w:val="00BB0958"/>
    <w:rsid w:val="00BB0D55"/>
    <w:rsid w:val="00BB13E2"/>
    <w:rsid w:val="00BB14A3"/>
    <w:rsid w:val="00BB1A50"/>
    <w:rsid w:val="00BB262D"/>
    <w:rsid w:val="00BB345B"/>
    <w:rsid w:val="00BB3935"/>
    <w:rsid w:val="00BB42D6"/>
    <w:rsid w:val="00BB5107"/>
    <w:rsid w:val="00BB6595"/>
    <w:rsid w:val="00BB67C7"/>
    <w:rsid w:val="00BB6DFF"/>
    <w:rsid w:val="00BB6F32"/>
    <w:rsid w:val="00BB7665"/>
    <w:rsid w:val="00BB788A"/>
    <w:rsid w:val="00BB7C88"/>
    <w:rsid w:val="00BC0AC8"/>
    <w:rsid w:val="00BC15DE"/>
    <w:rsid w:val="00BC17C8"/>
    <w:rsid w:val="00BC285F"/>
    <w:rsid w:val="00BC369C"/>
    <w:rsid w:val="00BC39A0"/>
    <w:rsid w:val="00BC3A7E"/>
    <w:rsid w:val="00BC3DA5"/>
    <w:rsid w:val="00BC3F27"/>
    <w:rsid w:val="00BC4972"/>
    <w:rsid w:val="00BC58BF"/>
    <w:rsid w:val="00BC5BA7"/>
    <w:rsid w:val="00BC5CE6"/>
    <w:rsid w:val="00BC64DB"/>
    <w:rsid w:val="00BC6881"/>
    <w:rsid w:val="00BC6897"/>
    <w:rsid w:val="00BC6A6C"/>
    <w:rsid w:val="00BC6B74"/>
    <w:rsid w:val="00BC7725"/>
    <w:rsid w:val="00BD00AE"/>
    <w:rsid w:val="00BD0276"/>
    <w:rsid w:val="00BD0605"/>
    <w:rsid w:val="00BD0950"/>
    <w:rsid w:val="00BD1636"/>
    <w:rsid w:val="00BD1914"/>
    <w:rsid w:val="00BD1B8D"/>
    <w:rsid w:val="00BD324A"/>
    <w:rsid w:val="00BD33D4"/>
    <w:rsid w:val="00BD36B4"/>
    <w:rsid w:val="00BD3A9E"/>
    <w:rsid w:val="00BD3E17"/>
    <w:rsid w:val="00BD40B1"/>
    <w:rsid w:val="00BD52DE"/>
    <w:rsid w:val="00BD54D7"/>
    <w:rsid w:val="00BD59D1"/>
    <w:rsid w:val="00BD5E24"/>
    <w:rsid w:val="00BD705C"/>
    <w:rsid w:val="00BD723A"/>
    <w:rsid w:val="00BD7F7A"/>
    <w:rsid w:val="00BE13D6"/>
    <w:rsid w:val="00BE215E"/>
    <w:rsid w:val="00BE2207"/>
    <w:rsid w:val="00BE24C5"/>
    <w:rsid w:val="00BE24CE"/>
    <w:rsid w:val="00BE2F8B"/>
    <w:rsid w:val="00BE47BF"/>
    <w:rsid w:val="00BE5374"/>
    <w:rsid w:val="00BE581E"/>
    <w:rsid w:val="00BE582F"/>
    <w:rsid w:val="00BE5D8E"/>
    <w:rsid w:val="00BE627A"/>
    <w:rsid w:val="00BE6CE8"/>
    <w:rsid w:val="00BF158C"/>
    <w:rsid w:val="00BF16DE"/>
    <w:rsid w:val="00BF225B"/>
    <w:rsid w:val="00BF23AA"/>
    <w:rsid w:val="00BF24ED"/>
    <w:rsid w:val="00BF2D5E"/>
    <w:rsid w:val="00BF3984"/>
    <w:rsid w:val="00BF43A8"/>
    <w:rsid w:val="00BF44E3"/>
    <w:rsid w:val="00BF5B03"/>
    <w:rsid w:val="00BF5B87"/>
    <w:rsid w:val="00BF6C02"/>
    <w:rsid w:val="00BF6C4F"/>
    <w:rsid w:val="00BF6C61"/>
    <w:rsid w:val="00BF7C54"/>
    <w:rsid w:val="00BF7DF1"/>
    <w:rsid w:val="00C00B4D"/>
    <w:rsid w:val="00C01C50"/>
    <w:rsid w:val="00C01D5F"/>
    <w:rsid w:val="00C032B0"/>
    <w:rsid w:val="00C0345A"/>
    <w:rsid w:val="00C03511"/>
    <w:rsid w:val="00C03826"/>
    <w:rsid w:val="00C04C3A"/>
    <w:rsid w:val="00C04E33"/>
    <w:rsid w:val="00C05700"/>
    <w:rsid w:val="00C05C27"/>
    <w:rsid w:val="00C060D0"/>
    <w:rsid w:val="00C06105"/>
    <w:rsid w:val="00C074CD"/>
    <w:rsid w:val="00C07C6D"/>
    <w:rsid w:val="00C107C3"/>
    <w:rsid w:val="00C11D6E"/>
    <w:rsid w:val="00C11E52"/>
    <w:rsid w:val="00C13520"/>
    <w:rsid w:val="00C136F2"/>
    <w:rsid w:val="00C14EED"/>
    <w:rsid w:val="00C14F93"/>
    <w:rsid w:val="00C14F9B"/>
    <w:rsid w:val="00C14FAB"/>
    <w:rsid w:val="00C15615"/>
    <w:rsid w:val="00C15E2C"/>
    <w:rsid w:val="00C15F42"/>
    <w:rsid w:val="00C1610B"/>
    <w:rsid w:val="00C1611D"/>
    <w:rsid w:val="00C161D6"/>
    <w:rsid w:val="00C16C9A"/>
    <w:rsid w:val="00C175E4"/>
    <w:rsid w:val="00C17BB0"/>
    <w:rsid w:val="00C207AF"/>
    <w:rsid w:val="00C21715"/>
    <w:rsid w:val="00C21E27"/>
    <w:rsid w:val="00C222F7"/>
    <w:rsid w:val="00C22764"/>
    <w:rsid w:val="00C232E0"/>
    <w:rsid w:val="00C2411C"/>
    <w:rsid w:val="00C24201"/>
    <w:rsid w:val="00C24523"/>
    <w:rsid w:val="00C24B5E"/>
    <w:rsid w:val="00C2534F"/>
    <w:rsid w:val="00C263B3"/>
    <w:rsid w:val="00C263D2"/>
    <w:rsid w:val="00C26C81"/>
    <w:rsid w:val="00C271A0"/>
    <w:rsid w:val="00C30058"/>
    <w:rsid w:val="00C30161"/>
    <w:rsid w:val="00C30F0E"/>
    <w:rsid w:val="00C317A2"/>
    <w:rsid w:val="00C31C3C"/>
    <w:rsid w:val="00C31F8D"/>
    <w:rsid w:val="00C32709"/>
    <w:rsid w:val="00C34302"/>
    <w:rsid w:val="00C343FC"/>
    <w:rsid w:val="00C34468"/>
    <w:rsid w:val="00C355E7"/>
    <w:rsid w:val="00C3592F"/>
    <w:rsid w:val="00C35B0B"/>
    <w:rsid w:val="00C3651F"/>
    <w:rsid w:val="00C36633"/>
    <w:rsid w:val="00C36E9D"/>
    <w:rsid w:val="00C37665"/>
    <w:rsid w:val="00C37C86"/>
    <w:rsid w:val="00C41224"/>
    <w:rsid w:val="00C412B1"/>
    <w:rsid w:val="00C42A91"/>
    <w:rsid w:val="00C42B4C"/>
    <w:rsid w:val="00C42F52"/>
    <w:rsid w:val="00C436D0"/>
    <w:rsid w:val="00C43D2E"/>
    <w:rsid w:val="00C4436C"/>
    <w:rsid w:val="00C45653"/>
    <w:rsid w:val="00C46017"/>
    <w:rsid w:val="00C461B2"/>
    <w:rsid w:val="00C4630A"/>
    <w:rsid w:val="00C46E09"/>
    <w:rsid w:val="00C46F12"/>
    <w:rsid w:val="00C47558"/>
    <w:rsid w:val="00C4769C"/>
    <w:rsid w:val="00C47C8E"/>
    <w:rsid w:val="00C50429"/>
    <w:rsid w:val="00C50900"/>
    <w:rsid w:val="00C51581"/>
    <w:rsid w:val="00C52451"/>
    <w:rsid w:val="00C52AB8"/>
    <w:rsid w:val="00C52CFC"/>
    <w:rsid w:val="00C52FD1"/>
    <w:rsid w:val="00C5306A"/>
    <w:rsid w:val="00C5359B"/>
    <w:rsid w:val="00C53AF7"/>
    <w:rsid w:val="00C53FCD"/>
    <w:rsid w:val="00C54787"/>
    <w:rsid w:val="00C54A81"/>
    <w:rsid w:val="00C54CFD"/>
    <w:rsid w:val="00C554B5"/>
    <w:rsid w:val="00C555A7"/>
    <w:rsid w:val="00C55C25"/>
    <w:rsid w:val="00C562DF"/>
    <w:rsid w:val="00C56E5C"/>
    <w:rsid w:val="00C56EF2"/>
    <w:rsid w:val="00C570A6"/>
    <w:rsid w:val="00C579F3"/>
    <w:rsid w:val="00C60012"/>
    <w:rsid w:val="00C600B3"/>
    <w:rsid w:val="00C60DE1"/>
    <w:rsid w:val="00C61464"/>
    <w:rsid w:val="00C61B3C"/>
    <w:rsid w:val="00C645F2"/>
    <w:rsid w:val="00C65010"/>
    <w:rsid w:val="00C653C3"/>
    <w:rsid w:val="00C658B6"/>
    <w:rsid w:val="00C661FC"/>
    <w:rsid w:val="00C67DF4"/>
    <w:rsid w:val="00C67E8E"/>
    <w:rsid w:val="00C70A96"/>
    <w:rsid w:val="00C71B68"/>
    <w:rsid w:val="00C72177"/>
    <w:rsid w:val="00C72529"/>
    <w:rsid w:val="00C72AA1"/>
    <w:rsid w:val="00C73372"/>
    <w:rsid w:val="00C73390"/>
    <w:rsid w:val="00C745C1"/>
    <w:rsid w:val="00C74B8C"/>
    <w:rsid w:val="00C75313"/>
    <w:rsid w:val="00C75FD2"/>
    <w:rsid w:val="00C76213"/>
    <w:rsid w:val="00C77010"/>
    <w:rsid w:val="00C802B4"/>
    <w:rsid w:val="00C81134"/>
    <w:rsid w:val="00C816E4"/>
    <w:rsid w:val="00C816EA"/>
    <w:rsid w:val="00C81D82"/>
    <w:rsid w:val="00C8268F"/>
    <w:rsid w:val="00C82B5E"/>
    <w:rsid w:val="00C83535"/>
    <w:rsid w:val="00C83A81"/>
    <w:rsid w:val="00C83D84"/>
    <w:rsid w:val="00C8420A"/>
    <w:rsid w:val="00C84997"/>
    <w:rsid w:val="00C84F0F"/>
    <w:rsid w:val="00C8550F"/>
    <w:rsid w:val="00C856B8"/>
    <w:rsid w:val="00C85A70"/>
    <w:rsid w:val="00C85B88"/>
    <w:rsid w:val="00C86930"/>
    <w:rsid w:val="00C871C9"/>
    <w:rsid w:val="00C87368"/>
    <w:rsid w:val="00C87436"/>
    <w:rsid w:val="00C876C3"/>
    <w:rsid w:val="00C8785C"/>
    <w:rsid w:val="00C907EC"/>
    <w:rsid w:val="00C908B0"/>
    <w:rsid w:val="00C90A1A"/>
    <w:rsid w:val="00C90C49"/>
    <w:rsid w:val="00C91651"/>
    <w:rsid w:val="00C917A4"/>
    <w:rsid w:val="00C91EB3"/>
    <w:rsid w:val="00C922A2"/>
    <w:rsid w:val="00C924FC"/>
    <w:rsid w:val="00C934A2"/>
    <w:rsid w:val="00C93FE0"/>
    <w:rsid w:val="00C9737F"/>
    <w:rsid w:val="00C973B7"/>
    <w:rsid w:val="00C97407"/>
    <w:rsid w:val="00C97CEE"/>
    <w:rsid w:val="00C97F16"/>
    <w:rsid w:val="00CA027A"/>
    <w:rsid w:val="00CA205C"/>
    <w:rsid w:val="00CA26EA"/>
    <w:rsid w:val="00CA2FB2"/>
    <w:rsid w:val="00CA3D3A"/>
    <w:rsid w:val="00CA3E71"/>
    <w:rsid w:val="00CA42D6"/>
    <w:rsid w:val="00CA42E8"/>
    <w:rsid w:val="00CA464A"/>
    <w:rsid w:val="00CA47D9"/>
    <w:rsid w:val="00CA528A"/>
    <w:rsid w:val="00CA53FF"/>
    <w:rsid w:val="00CA5B05"/>
    <w:rsid w:val="00CA61A4"/>
    <w:rsid w:val="00CA67C8"/>
    <w:rsid w:val="00CA69D5"/>
    <w:rsid w:val="00CB0A75"/>
    <w:rsid w:val="00CB0D9C"/>
    <w:rsid w:val="00CB10F0"/>
    <w:rsid w:val="00CB1138"/>
    <w:rsid w:val="00CB15E9"/>
    <w:rsid w:val="00CB176B"/>
    <w:rsid w:val="00CB1906"/>
    <w:rsid w:val="00CB1D6E"/>
    <w:rsid w:val="00CB2BD5"/>
    <w:rsid w:val="00CB2E3D"/>
    <w:rsid w:val="00CB30A6"/>
    <w:rsid w:val="00CB365E"/>
    <w:rsid w:val="00CB392F"/>
    <w:rsid w:val="00CB4240"/>
    <w:rsid w:val="00CB5608"/>
    <w:rsid w:val="00CB5C55"/>
    <w:rsid w:val="00CB5D71"/>
    <w:rsid w:val="00CB5D85"/>
    <w:rsid w:val="00CB618E"/>
    <w:rsid w:val="00CB7AC8"/>
    <w:rsid w:val="00CB7E0A"/>
    <w:rsid w:val="00CC00D2"/>
    <w:rsid w:val="00CC033D"/>
    <w:rsid w:val="00CC06CC"/>
    <w:rsid w:val="00CC0D46"/>
    <w:rsid w:val="00CC1710"/>
    <w:rsid w:val="00CC1D1A"/>
    <w:rsid w:val="00CC376B"/>
    <w:rsid w:val="00CC38EF"/>
    <w:rsid w:val="00CC4310"/>
    <w:rsid w:val="00CC43CB"/>
    <w:rsid w:val="00CC4F96"/>
    <w:rsid w:val="00CC5798"/>
    <w:rsid w:val="00CC5956"/>
    <w:rsid w:val="00CC6260"/>
    <w:rsid w:val="00CC7038"/>
    <w:rsid w:val="00CC7777"/>
    <w:rsid w:val="00CC7E6B"/>
    <w:rsid w:val="00CD06DD"/>
    <w:rsid w:val="00CD093C"/>
    <w:rsid w:val="00CD0EE1"/>
    <w:rsid w:val="00CD1404"/>
    <w:rsid w:val="00CD252B"/>
    <w:rsid w:val="00CD25B2"/>
    <w:rsid w:val="00CD4B4A"/>
    <w:rsid w:val="00CD5F4D"/>
    <w:rsid w:val="00CD6326"/>
    <w:rsid w:val="00CD643C"/>
    <w:rsid w:val="00CD7523"/>
    <w:rsid w:val="00CD7967"/>
    <w:rsid w:val="00CD7EF8"/>
    <w:rsid w:val="00CE0602"/>
    <w:rsid w:val="00CE07F5"/>
    <w:rsid w:val="00CE1A15"/>
    <w:rsid w:val="00CE20FA"/>
    <w:rsid w:val="00CE26EA"/>
    <w:rsid w:val="00CE272B"/>
    <w:rsid w:val="00CE28E3"/>
    <w:rsid w:val="00CE34B2"/>
    <w:rsid w:val="00CE3B87"/>
    <w:rsid w:val="00CE6542"/>
    <w:rsid w:val="00CE6A19"/>
    <w:rsid w:val="00CE748E"/>
    <w:rsid w:val="00CF02A2"/>
    <w:rsid w:val="00CF0429"/>
    <w:rsid w:val="00CF0B4F"/>
    <w:rsid w:val="00CF145A"/>
    <w:rsid w:val="00CF1589"/>
    <w:rsid w:val="00CF15F1"/>
    <w:rsid w:val="00CF19E9"/>
    <w:rsid w:val="00CF1A2D"/>
    <w:rsid w:val="00CF25FE"/>
    <w:rsid w:val="00CF2913"/>
    <w:rsid w:val="00CF2E11"/>
    <w:rsid w:val="00CF3F48"/>
    <w:rsid w:val="00CF439F"/>
    <w:rsid w:val="00CF54AC"/>
    <w:rsid w:val="00CF59F4"/>
    <w:rsid w:val="00CF668C"/>
    <w:rsid w:val="00CF7120"/>
    <w:rsid w:val="00CF724C"/>
    <w:rsid w:val="00CF7649"/>
    <w:rsid w:val="00CF7F80"/>
    <w:rsid w:val="00CF7FDB"/>
    <w:rsid w:val="00D001B4"/>
    <w:rsid w:val="00D003B7"/>
    <w:rsid w:val="00D00DDF"/>
    <w:rsid w:val="00D00E2C"/>
    <w:rsid w:val="00D00E36"/>
    <w:rsid w:val="00D00E6D"/>
    <w:rsid w:val="00D02385"/>
    <w:rsid w:val="00D02A2D"/>
    <w:rsid w:val="00D02F4F"/>
    <w:rsid w:val="00D034D1"/>
    <w:rsid w:val="00D0435A"/>
    <w:rsid w:val="00D04582"/>
    <w:rsid w:val="00D045B9"/>
    <w:rsid w:val="00D04681"/>
    <w:rsid w:val="00D04CB3"/>
    <w:rsid w:val="00D04D5D"/>
    <w:rsid w:val="00D04D68"/>
    <w:rsid w:val="00D05255"/>
    <w:rsid w:val="00D05D60"/>
    <w:rsid w:val="00D065EF"/>
    <w:rsid w:val="00D104DE"/>
    <w:rsid w:val="00D10D80"/>
    <w:rsid w:val="00D12573"/>
    <w:rsid w:val="00D14463"/>
    <w:rsid w:val="00D14D52"/>
    <w:rsid w:val="00D14E59"/>
    <w:rsid w:val="00D175B4"/>
    <w:rsid w:val="00D17F36"/>
    <w:rsid w:val="00D20031"/>
    <w:rsid w:val="00D20B95"/>
    <w:rsid w:val="00D22621"/>
    <w:rsid w:val="00D22DF4"/>
    <w:rsid w:val="00D23743"/>
    <w:rsid w:val="00D23896"/>
    <w:rsid w:val="00D26089"/>
    <w:rsid w:val="00D26865"/>
    <w:rsid w:val="00D26D01"/>
    <w:rsid w:val="00D26FD9"/>
    <w:rsid w:val="00D27A94"/>
    <w:rsid w:val="00D27B56"/>
    <w:rsid w:val="00D30CFB"/>
    <w:rsid w:val="00D313B3"/>
    <w:rsid w:val="00D318F6"/>
    <w:rsid w:val="00D31EE9"/>
    <w:rsid w:val="00D3292B"/>
    <w:rsid w:val="00D32BFD"/>
    <w:rsid w:val="00D336FA"/>
    <w:rsid w:val="00D33F02"/>
    <w:rsid w:val="00D34178"/>
    <w:rsid w:val="00D34FD1"/>
    <w:rsid w:val="00D35354"/>
    <w:rsid w:val="00D358F7"/>
    <w:rsid w:val="00D36376"/>
    <w:rsid w:val="00D36E67"/>
    <w:rsid w:val="00D36E88"/>
    <w:rsid w:val="00D373D6"/>
    <w:rsid w:val="00D37796"/>
    <w:rsid w:val="00D37A00"/>
    <w:rsid w:val="00D37DA5"/>
    <w:rsid w:val="00D37EF5"/>
    <w:rsid w:val="00D403BE"/>
    <w:rsid w:val="00D40F70"/>
    <w:rsid w:val="00D41266"/>
    <w:rsid w:val="00D419C9"/>
    <w:rsid w:val="00D41F18"/>
    <w:rsid w:val="00D4200A"/>
    <w:rsid w:val="00D428B9"/>
    <w:rsid w:val="00D43206"/>
    <w:rsid w:val="00D43246"/>
    <w:rsid w:val="00D4394F"/>
    <w:rsid w:val="00D4494D"/>
    <w:rsid w:val="00D44999"/>
    <w:rsid w:val="00D45750"/>
    <w:rsid w:val="00D457EA"/>
    <w:rsid w:val="00D45C42"/>
    <w:rsid w:val="00D46A8F"/>
    <w:rsid w:val="00D470C8"/>
    <w:rsid w:val="00D4772C"/>
    <w:rsid w:val="00D50036"/>
    <w:rsid w:val="00D507A5"/>
    <w:rsid w:val="00D50970"/>
    <w:rsid w:val="00D51D79"/>
    <w:rsid w:val="00D52E54"/>
    <w:rsid w:val="00D52FF5"/>
    <w:rsid w:val="00D545F5"/>
    <w:rsid w:val="00D54769"/>
    <w:rsid w:val="00D54C10"/>
    <w:rsid w:val="00D56226"/>
    <w:rsid w:val="00D56DFA"/>
    <w:rsid w:val="00D57259"/>
    <w:rsid w:val="00D60B73"/>
    <w:rsid w:val="00D60E22"/>
    <w:rsid w:val="00D61302"/>
    <w:rsid w:val="00D62F4D"/>
    <w:rsid w:val="00D63914"/>
    <w:rsid w:val="00D643DB"/>
    <w:rsid w:val="00D64906"/>
    <w:rsid w:val="00D652D9"/>
    <w:rsid w:val="00D65375"/>
    <w:rsid w:val="00D65D70"/>
    <w:rsid w:val="00D676F7"/>
    <w:rsid w:val="00D67AEA"/>
    <w:rsid w:val="00D70109"/>
    <w:rsid w:val="00D70DDA"/>
    <w:rsid w:val="00D71031"/>
    <w:rsid w:val="00D71C7D"/>
    <w:rsid w:val="00D733F6"/>
    <w:rsid w:val="00D739DC"/>
    <w:rsid w:val="00D73AD9"/>
    <w:rsid w:val="00D757E8"/>
    <w:rsid w:val="00D75926"/>
    <w:rsid w:val="00D75E2D"/>
    <w:rsid w:val="00D75F49"/>
    <w:rsid w:val="00D76137"/>
    <w:rsid w:val="00D762E9"/>
    <w:rsid w:val="00D76E4F"/>
    <w:rsid w:val="00D771D6"/>
    <w:rsid w:val="00D779DF"/>
    <w:rsid w:val="00D77B20"/>
    <w:rsid w:val="00D80C29"/>
    <w:rsid w:val="00D80DF1"/>
    <w:rsid w:val="00D812F8"/>
    <w:rsid w:val="00D8155A"/>
    <w:rsid w:val="00D819E7"/>
    <w:rsid w:val="00D81AF4"/>
    <w:rsid w:val="00D81DED"/>
    <w:rsid w:val="00D81FA4"/>
    <w:rsid w:val="00D82ED8"/>
    <w:rsid w:val="00D82FC6"/>
    <w:rsid w:val="00D8316D"/>
    <w:rsid w:val="00D83B51"/>
    <w:rsid w:val="00D83C8E"/>
    <w:rsid w:val="00D83DD5"/>
    <w:rsid w:val="00D84000"/>
    <w:rsid w:val="00D84096"/>
    <w:rsid w:val="00D8456A"/>
    <w:rsid w:val="00D84709"/>
    <w:rsid w:val="00D84CB7"/>
    <w:rsid w:val="00D84ECA"/>
    <w:rsid w:val="00D8525E"/>
    <w:rsid w:val="00D858C5"/>
    <w:rsid w:val="00D85A08"/>
    <w:rsid w:val="00D85C1F"/>
    <w:rsid w:val="00D860FF"/>
    <w:rsid w:val="00D86911"/>
    <w:rsid w:val="00D87729"/>
    <w:rsid w:val="00D900BC"/>
    <w:rsid w:val="00D902BF"/>
    <w:rsid w:val="00D9041B"/>
    <w:rsid w:val="00D90A97"/>
    <w:rsid w:val="00D90DBB"/>
    <w:rsid w:val="00D91118"/>
    <w:rsid w:val="00D9141D"/>
    <w:rsid w:val="00D91431"/>
    <w:rsid w:val="00D918B9"/>
    <w:rsid w:val="00D91F11"/>
    <w:rsid w:val="00D91F60"/>
    <w:rsid w:val="00D928F6"/>
    <w:rsid w:val="00D92C9C"/>
    <w:rsid w:val="00D92D09"/>
    <w:rsid w:val="00D92FC8"/>
    <w:rsid w:val="00D93A2D"/>
    <w:rsid w:val="00D93A6D"/>
    <w:rsid w:val="00D93D30"/>
    <w:rsid w:val="00D94269"/>
    <w:rsid w:val="00D946C9"/>
    <w:rsid w:val="00D94CF3"/>
    <w:rsid w:val="00D960FA"/>
    <w:rsid w:val="00D9649D"/>
    <w:rsid w:val="00D96705"/>
    <w:rsid w:val="00D967A8"/>
    <w:rsid w:val="00DA058E"/>
    <w:rsid w:val="00DA0A05"/>
    <w:rsid w:val="00DA12E5"/>
    <w:rsid w:val="00DA17E6"/>
    <w:rsid w:val="00DA1EE6"/>
    <w:rsid w:val="00DA2DDE"/>
    <w:rsid w:val="00DA353F"/>
    <w:rsid w:val="00DA3635"/>
    <w:rsid w:val="00DA4859"/>
    <w:rsid w:val="00DA48AC"/>
    <w:rsid w:val="00DA512C"/>
    <w:rsid w:val="00DA57F7"/>
    <w:rsid w:val="00DA6765"/>
    <w:rsid w:val="00DA67BD"/>
    <w:rsid w:val="00DB003C"/>
    <w:rsid w:val="00DB1AD5"/>
    <w:rsid w:val="00DB1B51"/>
    <w:rsid w:val="00DB1C73"/>
    <w:rsid w:val="00DB1E91"/>
    <w:rsid w:val="00DB2101"/>
    <w:rsid w:val="00DB3B47"/>
    <w:rsid w:val="00DB4410"/>
    <w:rsid w:val="00DB4732"/>
    <w:rsid w:val="00DB4911"/>
    <w:rsid w:val="00DB5117"/>
    <w:rsid w:val="00DB5521"/>
    <w:rsid w:val="00DB6031"/>
    <w:rsid w:val="00DB664A"/>
    <w:rsid w:val="00DB7463"/>
    <w:rsid w:val="00DB788A"/>
    <w:rsid w:val="00DB7ABE"/>
    <w:rsid w:val="00DB7D02"/>
    <w:rsid w:val="00DC0DEB"/>
    <w:rsid w:val="00DC14AF"/>
    <w:rsid w:val="00DC1593"/>
    <w:rsid w:val="00DC16E7"/>
    <w:rsid w:val="00DC1720"/>
    <w:rsid w:val="00DC1D4F"/>
    <w:rsid w:val="00DC1D80"/>
    <w:rsid w:val="00DC1E32"/>
    <w:rsid w:val="00DC21E2"/>
    <w:rsid w:val="00DC2409"/>
    <w:rsid w:val="00DC3238"/>
    <w:rsid w:val="00DC3633"/>
    <w:rsid w:val="00DC39E3"/>
    <w:rsid w:val="00DC4108"/>
    <w:rsid w:val="00DC47B5"/>
    <w:rsid w:val="00DC4EC7"/>
    <w:rsid w:val="00DC4F64"/>
    <w:rsid w:val="00DC50C5"/>
    <w:rsid w:val="00DC64A7"/>
    <w:rsid w:val="00DC6AD2"/>
    <w:rsid w:val="00DC7D14"/>
    <w:rsid w:val="00DD0631"/>
    <w:rsid w:val="00DD0953"/>
    <w:rsid w:val="00DD171A"/>
    <w:rsid w:val="00DD1A95"/>
    <w:rsid w:val="00DD1CFB"/>
    <w:rsid w:val="00DD24CB"/>
    <w:rsid w:val="00DD2C81"/>
    <w:rsid w:val="00DD3965"/>
    <w:rsid w:val="00DD3AF2"/>
    <w:rsid w:val="00DD3E37"/>
    <w:rsid w:val="00DD4285"/>
    <w:rsid w:val="00DD4344"/>
    <w:rsid w:val="00DD509A"/>
    <w:rsid w:val="00DD57D3"/>
    <w:rsid w:val="00DD7487"/>
    <w:rsid w:val="00DD7577"/>
    <w:rsid w:val="00DD7DCF"/>
    <w:rsid w:val="00DE058A"/>
    <w:rsid w:val="00DE130E"/>
    <w:rsid w:val="00DE14F9"/>
    <w:rsid w:val="00DE1839"/>
    <w:rsid w:val="00DE2496"/>
    <w:rsid w:val="00DE2568"/>
    <w:rsid w:val="00DE2617"/>
    <w:rsid w:val="00DE294F"/>
    <w:rsid w:val="00DE3859"/>
    <w:rsid w:val="00DE5A7A"/>
    <w:rsid w:val="00DE7099"/>
    <w:rsid w:val="00DE796C"/>
    <w:rsid w:val="00DF0812"/>
    <w:rsid w:val="00DF0885"/>
    <w:rsid w:val="00DF0AC7"/>
    <w:rsid w:val="00DF0D37"/>
    <w:rsid w:val="00DF0FAA"/>
    <w:rsid w:val="00DF11D1"/>
    <w:rsid w:val="00DF1DC0"/>
    <w:rsid w:val="00DF2D7A"/>
    <w:rsid w:val="00DF341B"/>
    <w:rsid w:val="00DF39E9"/>
    <w:rsid w:val="00DF3CD6"/>
    <w:rsid w:val="00DF41A4"/>
    <w:rsid w:val="00DF431B"/>
    <w:rsid w:val="00DF45FC"/>
    <w:rsid w:val="00DF4C48"/>
    <w:rsid w:val="00DF60A8"/>
    <w:rsid w:val="00DF6238"/>
    <w:rsid w:val="00DF74D9"/>
    <w:rsid w:val="00DF7D5E"/>
    <w:rsid w:val="00E009E4"/>
    <w:rsid w:val="00E01321"/>
    <w:rsid w:val="00E016E8"/>
    <w:rsid w:val="00E02348"/>
    <w:rsid w:val="00E02EEB"/>
    <w:rsid w:val="00E034C2"/>
    <w:rsid w:val="00E0360B"/>
    <w:rsid w:val="00E036B8"/>
    <w:rsid w:val="00E037DC"/>
    <w:rsid w:val="00E03A91"/>
    <w:rsid w:val="00E03A96"/>
    <w:rsid w:val="00E04137"/>
    <w:rsid w:val="00E05ABB"/>
    <w:rsid w:val="00E05B8E"/>
    <w:rsid w:val="00E05D56"/>
    <w:rsid w:val="00E06571"/>
    <w:rsid w:val="00E06C02"/>
    <w:rsid w:val="00E06F6D"/>
    <w:rsid w:val="00E070DC"/>
    <w:rsid w:val="00E079B8"/>
    <w:rsid w:val="00E103EB"/>
    <w:rsid w:val="00E105A9"/>
    <w:rsid w:val="00E108D7"/>
    <w:rsid w:val="00E10F84"/>
    <w:rsid w:val="00E12010"/>
    <w:rsid w:val="00E13BE5"/>
    <w:rsid w:val="00E14274"/>
    <w:rsid w:val="00E143D6"/>
    <w:rsid w:val="00E14A14"/>
    <w:rsid w:val="00E14FC7"/>
    <w:rsid w:val="00E15056"/>
    <w:rsid w:val="00E150A2"/>
    <w:rsid w:val="00E15D82"/>
    <w:rsid w:val="00E15DB1"/>
    <w:rsid w:val="00E167E5"/>
    <w:rsid w:val="00E16D58"/>
    <w:rsid w:val="00E17552"/>
    <w:rsid w:val="00E17AA6"/>
    <w:rsid w:val="00E20140"/>
    <w:rsid w:val="00E21617"/>
    <w:rsid w:val="00E2178C"/>
    <w:rsid w:val="00E219BC"/>
    <w:rsid w:val="00E21B03"/>
    <w:rsid w:val="00E21C6E"/>
    <w:rsid w:val="00E22445"/>
    <w:rsid w:val="00E22B25"/>
    <w:rsid w:val="00E23210"/>
    <w:rsid w:val="00E23962"/>
    <w:rsid w:val="00E2432F"/>
    <w:rsid w:val="00E24AFB"/>
    <w:rsid w:val="00E260A3"/>
    <w:rsid w:val="00E2658B"/>
    <w:rsid w:val="00E26D15"/>
    <w:rsid w:val="00E26D7B"/>
    <w:rsid w:val="00E27A10"/>
    <w:rsid w:val="00E27DDB"/>
    <w:rsid w:val="00E3036C"/>
    <w:rsid w:val="00E31702"/>
    <w:rsid w:val="00E3199C"/>
    <w:rsid w:val="00E31AEA"/>
    <w:rsid w:val="00E31B75"/>
    <w:rsid w:val="00E3242E"/>
    <w:rsid w:val="00E330C9"/>
    <w:rsid w:val="00E3330E"/>
    <w:rsid w:val="00E3351F"/>
    <w:rsid w:val="00E337A6"/>
    <w:rsid w:val="00E33992"/>
    <w:rsid w:val="00E33DAB"/>
    <w:rsid w:val="00E341D7"/>
    <w:rsid w:val="00E346AB"/>
    <w:rsid w:val="00E35776"/>
    <w:rsid w:val="00E35966"/>
    <w:rsid w:val="00E40DAE"/>
    <w:rsid w:val="00E40F62"/>
    <w:rsid w:val="00E41BA8"/>
    <w:rsid w:val="00E41C6A"/>
    <w:rsid w:val="00E43249"/>
    <w:rsid w:val="00E436A2"/>
    <w:rsid w:val="00E43E5F"/>
    <w:rsid w:val="00E43EF3"/>
    <w:rsid w:val="00E4521A"/>
    <w:rsid w:val="00E458D8"/>
    <w:rsid w:val="00E46C18"/>
    <w:rsid w:val="00E474B1"/>
    <w:rsid w:val="00E47743"/>
    <w:rsid w:val="00E50065"/>
    <w:rsid w:val="00E50B8E"/>
    <w:rsid w:val="00E518A7"/>
    <w:rsid w:val="00E52360"/>
    <w:rsid w:val="00E529F5"/>
    <w:rsid w:val="00E531BB"/>
    <w:rsid w:val="00E53251"/>
    <w:rsid w:val="00E5356B"/>
    <w:rsid w:val="00E53E00"/>
    <w:rsid w:val="00E54221"/>
    <w:rsid w:val="00E54563"/>
    <w:rsid w:val="00E562F4"/>
    <w:rsid w:val="00E5650A"/>
    <w:rsid w:val="00E56EEE"/>
    <w:rsid w:val="00E574EC"/>
    <w:rsid w:val="00E57F9C"/>
    <w:rsid w:val="00E613C4"/>
    <w:rsid w:val="00E61455"/>
    <w:rsid w:val="00E615F9"/>
    <w:rsid w:val="00E6193C"/>
    <w:rsid w:val="00E62073"/>
    <w:rsid w:val="00E62BC2"/>
    <w:rsid w:val="00E63135"/>
    <w:rsid w:val="00E63DAA"/>
    <w:rsid w:val="00E64549"/>
    <w:rsid w:val="00E651DC"/>
    <w:rsid w:val="00E655BA"/>
    <w:rsid w:val="00E6569F"/>
    <w:rsid w:val="00E6794E"/>
    <w:rsid w:val="00E67D27"/>
    <w:rsid w:val="00E67F47"/>
    <w:rsid w:val="00E702AC"/>
    <w:rsid w:val="00E70590"/>
    <w:rsid w:val="00E71A46"/>
    <w:rsid w:val="00E7221D"/>
    <w:rsid w:val="00E723A4"/>
    <w:rsid w:val="00E72DDE"/>
    <w:rsid w:val="00E72F57"/>
    <w:rsid w:val="00E73758"/>
    <w:rsid w:val="00E73E8D"/>
    <w:rsid w:val="00E73EEE"/>
    <w:rsid w:val="00E73EF5"/>
    <w:rsid w:val="00E74D1B"/>
    <w:rsid w:val="00E7615F"/>
    <w:rsid w:val="00E7639A"/>
    <w:rsid w:val="00E76AE0"/>
    <w:rsid w:val="00E76CA4"/>
    <w:rsid w:val="00E76DDE"/>
    <w:rsid w:val="00E77B5E"/>
    <w:rsid w:val="00E80656"/>
    <w:rsid w:val="00E80A86"/>
    <w:rsid w:val="00E80EE9"/>
    <w:rsid w:val="00E81267"/>
    <w:rsid w:val="00E81A87"/>
    <w:rsid w:val="00E81D25"/>
    <w:rsid w:val="00E8253E"/>
    <w:rsid w:val="00E82B72"/>
    <w:rsid w:val="00E83948"/>
    <w:rsid w:val="00E83CF9"/>
    <w:rsid w:val="00E84EBC"/>
    <w:rsid w:val="00E84EE4"/>
    <w:rsid w:val="00E852D4"/>
    <w:rsid w:val="00E86A46"/>
    <w:rsid w:val="00E86DFA"/>
    <w:rsid w:val="00E86F2B"/>
    <w:rsid w:val="00E87A8B"/>
    <w:rsid w:val="00E87B58"/>
    <w:rsid w:val="00E9011A"/>
    <w:rsid w:val="00E90EC0"/>
    <w:rsid w:val="00E91695"/>
    <w:rsid w:val="00E92974"/>
    <w:rsid w:val="00E92F98"/>
    <w:rsid w:val="00E9331D"/>
    <w:rsid w:val="00E93735"/>
    <w:rsid w:val="00E93F86"/>
    <w:rsid w:val="00E93FC0"/>
    <w:rsid w:val="00E941A6"/>
    <w:rsid w:val="00E946A7"/>
    <w:rsid w:val="00E946B6"/>
    <w:rsid w:val="00E94D45"/>
    <w:rsid w:val="00E94FA5"/>
    <w:rsid w:val="00E95322"/>
    <w:rsid w:val="00E95490"/>
    <w:rsid w:val="00E95AAA"/>
    <w:rsid w:val="00E968C1"/>
    <w:rsid w:val="00E971F6"/>
    <w:rsid w:val="00EA0888"/>
    <w:rsid w:val="00EA0E54"/>
    <w:rsid w:val="00EA1769"/>
    <w:rsid w:val="00EA1D6D"/>
    <w:rsid w:val="00EA24D6"/>
    <w:rsid w:val="00EA25C7"/>
    <w:rsid w:val="00EA2B11"/>
    <w:rsid w:val="00EA2D96"/>
    <w:rsid w:val="00EA30C3"/>
    <w:rsid w:val="00EA3671"/>
    <w:rsid w:val="00EA4817"/>
    <w:rsid w:val="00EA4907"/>
    <w:rsid w:val="00EA4984"/>
    <w:rsid w:val="00EA5BE8"/>
    <w:rsid w:val="00EA66D5"/>
    <w:rsid w:val="00EA692A"/>
    <w:rsid w:val="00EA703A"/>
    <w:rsid w:val="00EA7C63"/>
    <w:rsid w:val="00EA7EBF"/>
    <w:rsid w:val="00EB026B"/>
    <w:rsid w:val="00EB0608"/>
    <w:rsid w:val="00EB0DEA"/>
    <w:rsid w:val="00EB169E"/>
    <w:rsid w:val="00EB1F63"/>
    <w:rsid w:val="00EB20FE"/>
    <w:rsid w:val="00EB2172"/>
    <w:rsid w:val="00EB27BC"/>
    <w:rsid w:val="00EB3218"/>
    <w:rsid w:val="00EB329C"/>
    <w:rsid w:val="00EB360A"/>
    <w:rsid w:val="00EB3969"/>
    <w:rsid w:val="00EB3D2B"/>
    <w:rsid w:val="00EB46E6"/>
    <w:rsid w:val="00EB4D2D"/>
    <w:rsid w:val="00EB5061"/>
    <w:rsid w:val="00EB51E3"/>
    <w:rsid w:val="00EB5572"/>
    <w:rsid w:val="00EB6120"/>
    <w:rsid w:val="00EB6563"/>
    <w:rsid w:val="00EB6A32"/>
    <w:rsid w:val="00EB6C5B"/>
    <w:rsid w:val="00EB6FEE"/>
    <w:rsid w:val="00EB7C0C"/>
    <w:rsid w:val="00EB7E64"/>
    <w:rsid w:val="00EC0369"/>
    <w:rsid w:val="00EC12D7"/>
    <w:rsid w:val="00EC1A38"/>
    <w:rsid w:val="00EC1C4B"/>
    <w:rsid w:val="00EC1C6C"/>
    <w:rsid w:val="00EC33A0"/>
    <w:rsid w:val="00EC3981"/>
    <w:rsid w:val="00EC3EE2"/>
    <w:rsid w:val="00EC4836"/>
    <w:rsid w:val="00EC4A5F"/>
    <w:rsid w:val="00EC5088"/>
    <w:rsid w:val="00EC653E"/>
    <w:rsid w:val="00EC6F99"/>
    <w:rsid w:val="00EC7AFF"/>
    <w:rsid w:val="00EC7D5C"/>
    <w:rsid w:val="00ED00AC"/>
    <w:rsid w:val="00ED12F4"/>
    <w:rsid w:val="00ED17F5"/>
    <w:rsid w:val="00ED277D"/>
    <w:rsid w:val="00ED3579"/>
    <w:rsid w:val="00ED3796"/>
    <w:rsid w:val="00ED3C7E"/>
    <w:rsid w:val="00ED5E38"/>
    <w:rsid w:val="00ED60D0"/>
    <w:rsid w:val="00ED61A4"/>
    <w:rsid w:val="00ED6605"/>
    <w:rsid w:val="00ED7BB1"/>
    <w:rsid w:val="00EE00FD"/>
    <w:rsid w:val="00EE11C0"/>
    <w:rsid w:val="00EE169C"/>
    <w:rsid w:val="00EE19C5"/>
    <w:rsid w:val="00EE1B9E"/>
    <w:rsid w:val="00EE1DAD"/>
    <w:rsid w:val="00EE2341"/>
    <w:rsid w:val="00EE29F0"/>
    <w:rsid w:val="00EE3A2B"/>
    <w:rsid w:val="00EE4490"/>
    <w:rsid w:val="00EE4619"/>
    <w:rsid w:val="00EE4EEF"/>
    <w:rsid w:val="00EE5C89"/>
    <w:rsid w:val="00EE5FE3"/>
    <w:rsid w:val="00EE62F8"/>
    <w:rsid w:val="00EE6832"/>
    <w:rsid w:val="00EE74C2"/>
    <w:rsid w:val="00EE78C0"/>
    <w:rsid w:val="00EF086F"/>
    <w:rsid w:val="00EF1415"/>
    <w:rsid w:val="00EF1755"/>
    <w:rsid w:val="00EF1BD2"/>
    <w:rsid w:val="00EF2833"/>
    <w:rsid w:val="00EF2A5E"/>
    <w:rsid w:val="00EF38DA"/>
    <w:rsid w:val="00EF3D58"/>
    <w:rsid w:val="00EF4997"/>
    <w:rsid w:val="00EF65FA"/>
    <w:rsid w:val="00EF6A4E"/>
    <w:rsid w:val="00EF7063"/>
    <w:rsid w:val="00EF7084"/>
    <w:rsid w:val="00F00A3C"/>
    <w:rsid w:val="00F00E49"/>
    <w:rsid w:val="00F01268"/>
    <w:rsid w:val="00F01B48"/>
    <w:rsid w:val="00F02421"/>
    <w:rsid w:val="00F0297F"/>
    <w:rsid w:val="00F0298A"/>
    <w:rsid w:val="00F03B39"/>
    <w:rsid w:val="00F03D78"/>
    <w:rsid w:val="00F04052"/>
    <w:rsid w:val="00F0497F"/>
    <w:rsid w:val="00F04C40"/>
    <w:rsid w:val="00F04E57"/>
    <w:rsid w:val="00F04FED"/>
    <w:rsid w:val="00F06673"/>
    <w:rsid w:val="00F06961"/>
    <w:rsid w:val="00F074AA"/>
    <w:rsid w:val="00F075F8"/>
    <w:rsid w:val="00F1066F"/>
    <w:rsid w:val="00F11208"/>
    <w:rsid w:val="00F11B80"/>
    <w:rsid w:val="00F12728"/>
    <w:rsid w:val="00F12CBD"/>
    <w:rsid w:val="00F137B6"/>
    <w:rsid w:val="00F14105"/>
    <w:rsid w:val="00F1415F"/>
    <w:rsid w:val="00F14201"/>
    <w:rsid w:val="00F14877"/>
    <w:rsid w:val="00F14938"/>
    <w:rsid w:val="00F149F1"/>
    <w:rsid w:val="00F1508C"/>
    <w:rsid w:val="00F1578E"/>
    <w:rsid w:val="00F159D6"/>
    <w:rsid w:val="00F175C1"/>
    <w:rsid w:val="00F17AC4"/>
    <w:rsid w:val="00F20359"/>
    <w:rsid w:val="00F20763"/>
    <w:rsid w:val="00F21481"/>
    <w:rsid w:val="00F22675"/>
    <w:rsid w:val="00F227C8"/>
    <w:rsid w:val="00F22817"/>
    <w:rsid w:val="00F23612"/>
    <w:rsid w:val="00F238B3"/>
    <w:rsid w:val="00F23CB7"/>
    <w:rsid w:val="00F2420F"/>
    <w:rsid w:val="00F24509"/>
    <w:rsid w:val="00F24F2A"/>
    <w:rsid w:val="00F2541E"/>
    <w:rsid w:val="00F257B5"/>
    <w:rsid w:val="00F25BFC"/>
    <w:rsid w:val="00F26118"/>
    <w:rsid w:val="00F26995"/>
    <w:rsid w:val="00F2720E"/>
    <w:rsid w:val="00F2776D"/>
    <w:rsid w:val="00F279E2"/>
    <w:rsid w:val="00F30CDB"/>
    <w:rsid w:val="00F334F3"/>
    <w:rsid w:val="00F346E6"/>
    <w:rsid w:val="00F35142"/>
    <w:rsid w:val="00F35423"/>
    <w:rsid w:val="00F36FFE"/>
    <w:rsid w:val="00F37959"/>
    <w:rsid w:val="00F403E8"/>
    <w:rsid w:val="00F40864"/>
    <w:rsid w:val="00F41135"/>
    <w:rsid w:val="00F4368B"/>
    <w:rsid w:val="00F43B68"/>
    <w:rsid w:val="00F43DFC"/>
    <w:rsid w:val="00F44744"/>
    <w:rsid w:val="00F44895"/>
    <w:rsid w:val="00F44C96"/>
    <w:rsid w:val="00F458EF"/>
    <w:rsid w:val="00F45C5F"/>
    <w:rsid w:val="00F50585"/>
    <w:rsid w:val="00F50D7B"/>
    <w:rsid w:val="00F516E3"/>
    <w:rsid w:val="00F5373E"/>
    <w:rsid w:val="00F53749"/>
    <w:rsid w:val="00F53915"/>
    <w:rsid w:val="00F53E2A"/>
    <w:rsid w:val="00F54832"/>
    <w:rsid w:val="00F54F0B"/>
    <w:rsid w:val="00F553A1"/>
    <w:rsid w:val="00F55D53"/>
    <w:rsid w:val="00F55E7B"/>
    <w:rsid w:val="00F56B3E"/>
    <w:rsid w:val="00F5764D"/>
    <w:rsid w:val="00F57782"/>
    <w:rsid w:val="00F57885"/>
    <w:rsid w:val="00F60497"/>
    <w:rsid w:val="00F61F4C"/>
    <w:rsid w:val="00F62330"/>
    <w:rsid w:val="00F624BB"/>
    <w:rsid w:val="00F63874"/>
    <w:rsid w:val="00F6542B"/>
    <w:rsid w:val="00F6572C"/>
    <w:rsid w:val="00F6575D"/>
    <w:rsid w:val="00F65B8B"/>
    <w:rsid w:val="00F65F59"/>
    <w:rsid w:val="00F66144"/>
    <w:rsid w:val="00F66403"/>
    <w:rsid w:val="00F664EC"/>
    <w:rsid w:val="00F6713F"/>
    <w:rsid w:val="00F673BF"/>
    <w:rsid w:val="00F70331"/>
    <w:rsid w:val="00F70E06"/>
    <w:rsid w:val="00F714DB"/>
    <w:rsid w:val="00F71FE5"/>
    <w:rsid w:val="00F729F2"/>
    <w:rsid w:val="00F73343"/>
    <w:rsid w:val="00F73548"/>
    <w:rsid w:val="00F74115"/>
    <w:rsid w:val="00F74891"/>
    <w:rsid w:val="00F74B51"/>
    <w:rsid w:val="00F74CC0"/>
    <w:rsid w:val="00F75129"/>
    <w:rsid w:val="00F75670"/>
    <w:rsid w:val="00F7658D"/>
    <w:rsid w:val="00F77272"/>
    <w:rsid w:val="00F77B78"/>
    <w:rsid w:val="00F805AD"/>
    <w:rsid w:val="00F81362"/>
    <w:rsid w:val="00F8249A"/>
    <w:rsid w:val="00F83220"/>
    <w:rsid w:val="00F8473B"/>
    <w:rsid w:val="00F84EC3"/>
    <w:rsid w:val="00F84FE5"/>
    <w:rsid w:val="00F854EE"/>
    <w:rsid w:val="00F85B39"/>
    <w:rsid w:val="00F85E68"/>
    <w:rsid w:val="00F86021"/>
    <w:rsid w:val="00F8634E"/>
    <w:rsid w:val="00F86B87"/>
    <w:rsid w:val="00F86D07"/>
    <w:rsid w:val="00F87460"/>
    <w:rsid w:val="00F876F9"/>
    <w:rsid w:val="00F90A63"/>
    <w:rsid w:val="00F90EEC"/>
    <w:rsid w:val="00F91353"/>
    <w:rsid w:val="00F915F5"/>
    <w:rsid w:val="00F92621"/>
    <w:rsid w:val="00F92B2A"/>
    <w:rsid w:val="00F93C4D"/>
    <w:rsid w:val="00F95A3F"/>
    <w:rsid w:val="00F95FF7"/>
    <w:rsid w:val="00F9684A"/>
    <w:rsid w:val="00F97B20"/>
    <w:rsid w:val="00FA0825"/>
    <w:rsid w:val="00FA08AD"/>
    <w:rsid w:val="00FA143C"/>
    <w:rsid w:val="00FA1661"/>
    <w:rsid w:val="00FA2690"/>
    <w:rsid w:val="00FA2EC6"/>
    <w:rsid w:val="00FA2F27"/>
    <w:rsid w:val="00FA31E0"/>
    <w:rsid w:val="00FA4150"/>
    <w:rsid w:val="00FA5766"/>
    <w:rsid w:val="00FA73EC"/>
    <w:rsid w:val="00FA7955"/>
    <w:rsid w:val="00FA7D7D"/>
    <w:rsid w:val="00FB03E0"/>
    <w:rsid w:val="00FB072D"/>
    <w:rsid w:val="00FB08AD"/>
    <w:rsid w:val="00FB33E6"/>
    <w:rsid w:val="00FB3810"/>
    <w:rsid w:val="00FB3865"/>
    <w:rsid w:val="00FB4EF5"/>
    <w:rsid w:val="00FB5374"/>
    <w:rsid w:val="00FB5852"/>
    <w:rsid w:val="00FB61E9"/>
    <w:rsid w:val="00FB620D"/>
    <w:rsid w:val="00FB68CE"/>
    <w:rsid w:val="00FB6A69"/>
    <w:rsid w:val="00FB6F67"/>
    <w:rsid w:val="00FB7208"/>
    <w:rsid w:val="00FB75E0"/>
    <w:rsid w:val="00FB7CEA"/>
    <w:rsid w:val="00FC01E2"/>
    <w:rsid w:val="00FC0AD7"/>
    <w:rsid w:val="00FC10DE"/>
    <w:rsid w:val="00FC149F"/>
    <w:rsid w:val="00FC1608"/>
    <w:rsid w:val="00FC16BE"/>
    <w:rsid w:val="00FC24B7"/>
    <w:rsid w:val="00FC2D5F"/>
    <w:rsid w:val="00FC351A"/>
    <w:rsid w:val="00FC3E8A"/>
    <w:rsid w:val="00FC5603"/>
    <w:rsid w:val="00FC5640"/>
    <w:rsid w:val="00FC6947"/>
    <w:rsid w:val="00FC71C9"/>
    <w:rsid w:val="00FC75BF"/>
    <w:rsid w:val="00FC7699"/>
    <w:rsid w:val="00FD0916"/>
    <w:rsid w:val="00FD0B28"/>
    <w:rsid w:val="00FD0C54"/>
    <w:rsid w:val="00FD1485"/>
    <w:rsid w:val="00FD1538"/>
    <w:rsid w:val="00FD17BA"/>
    <w:rsid w:val="00FD184E"/>
    <w:rsid w:val="00FD1E4F"/>
    <w:rsid w:val="00FD2136"/>
    <w:rsid w:val="00FD2643"/>
    <w:rsid w:val="00FD2C9D"/>
    <w:rsid w:val="00FD2F74"/>
    <w:rsid w:val="00FD399C"/>
    <w:rsid w:val="00FD3B94"/>
    <w:rsid w:val="00FD3DA0"/>
    <w:rsid w:val="00FD40DD"/>
    <w:rsid w:val="00FD43B3"/>
    <w:rsid w:val="00FD5759"/>
    <w:rsid w:val="00FD6295"/>
    <w:rsid w:val="00FD66FF"/>
    <w:rsid w:val="00FD698B"/>
    <w:rsid w:val="00FE0150"/>
    <w:rsid w:val="00FE050F"/>
    <w:rsid w:val="00FE0AF3"/>
    <w:rsid w:val="00FE1118"/>
    <w:rsid w:val="00FE1251"/>
    <w:rsid w:val="00FE1806"/>
    <w:rsid w:val="00FE2DF1"/>
    <w:rsid w:val="00FE2E63"/>
    <w:rsid w:val="00FE3230"/>
    <w:rsid w:val="00FE35EE"/>
    <w:rsid w:val="00FE3601"/>
    <w:rsid w:val="00FE3D46"/>
    <w:rsid w:val="00FE40E5"/>
    <w:rsid w:val="00FE4625"/>
    <w:rsid w:val="00FE4739"/>
    <w:rsid w:val="00FE4DB2"/>
    <w:rsid w:val="00FE5458"/>
    <w:rsid w:val="00FE547F"/>
    <w:rsid w:val="00FE681D"/>
    <w:rsid w:val="00FE71B9"/>
    <w:rsid w:val="00FE74DF"/>
    <w:rsid w:val="00FF05A9"/>
    <w:rsid w:val="00FF0A24"/>
    <w:rsid w:val="00FF0DBD"/>
    <w:rsid w:val="00FF1301"/>
    <w:rsid w:val="00FF1FCB"/>
    <w:rsid w:val="00FF2100"/>
    <w:rsid w:val="00FF2D12"/>
    <w:rsid w:val="00FF3A07"/>
    <w:rsid w:val="00FF3A10"/>
    <w:rsid w:val="00FF3FEA"/>
    <w:rsid w:val="00FF4C0C"/>
    <w:rsid w:val="00FF4C68"/>
    <w:rsid w:val="00FF5561"/>
    <w:rsid w:val="00FF6222"/>
    <w:rsid w:val="02F462C8"/>
    <w:rsid w:val="04D8194D"/>
    <w:rsid w:val="0575A545"/>
    <w:rsid w:val="05F5137F"/>
    <w:rsid w:val="06D16B0B"/>
    <w:rsid w:val="0718B35E"/>
    <w:rsid w:val="07CF0235"/>
    <w:rsid w:val="07E45DAF"/>
    <w:rsid w:val="08A4D481"/>
    <w:rsid w:val="0A0916F9"/>
    <w:rsid w:val="0D174B4A"/>
    <w:rsid w:val="0DDD94B6"/>
    <w:rsid w:val="0EC06185"/>
    <w:rsid w:val="1069B889"/>
    <w:rsid w:val="109AA310"/>
    <w:rsid w:val="10B04BA9"/>
    <w:rsid w:val="1172B55A"/>
    <w:rsid w:val="149D2C38"/>
    <w:rsid w:val="14EF8A32"/>
    <w:rsid w:val="17ADE571"/>
    <w:rsid w:val="19429D06"/>
    <w:rsid w:val="1986E1A0"/>
    <w:rsid w:val="1E467332"/>
    <w:rsid w:val="20B41135"/>
    <w:rsid w:val="20D9EC86"/>
    <w:rsid w:val="20F24EEC"/>
    <w:rsid w:val="22C7D285"/>
    <w:rsid w:val="246A8969"/>
    <w:rsid w:val="25BCCA93"/>
    <w:rsid w:val="275CA221"/>
    <w:rsid w:val="27D4138D"/>
    <w:rsid w:val="2AADC25F"/>
    <w:rsid w:val="2B01F0DC"/>
    <w:rsid w:val="2C434D19"/>
    <w:rsid w:val="2CA975BD"/>
    <w:rsid w:val="2EFC6DEE"/>
    <w:rsid w:val="2F9D5434"/>
    <w:rsid w:val="31575703"/>
    <w:rsid w:val="31655F19"/>
    <w:rsid w:val="3208E771"/>
    <w:rsid w:val="34139800"/>
    <w:rsid w:val="34AE9A2D"/>
    <w:rsid w:val="3569CA8F"/>
    <w:rsid w:val="35906C89"/>
    <w:rsid w:val="3601F26C"/>
    <w:rsid w:val="3D4466A4"/>
    <w:rsid w:val="3DD378EB"/>
    <w:rsid w:val="3F327601"/>
    <w:rsid w:val="3F8D54BB"/>
    <w:rsid w:val="403BE302"/>
    <w:rsid w:val="414F90AB"/>
    <w:rsid w:val="42C7FB90"/>
    <w:rsid w:val="42D5A79E"/>
    <w:rsid w:val="437AC3C8"/>
    <w:rsid w:val="43D792B6"/>
    <w:rsid w:val="44960972"/>
    <w:rsid w:val="46017587"/>
    <w:rsid w:val="46D361A3"/>
    <w:rsid w:val="49235602"/>
    <w:rsid w:val="4A7147A2"/>
    <w:rsid w:val="4AA0FFA6"/>
    <w:rsid w:val="4B6E67F3"/>
    <w:rsid w:val="4EBA20BA"/>
    <w:rsid w:val="508FC80C"/>
    <w:rsid w:val="5167199C"/>
    <w:rsid w:val="53758FF0"/>
    <w:rsid w:val="53F8928B"/>
    <w:rsid w:val="566916F3"/>
    <w:rsid w:val="57159D17"/>
    <w:rsid w:val="574657F3"/>
    <w:rsid w:val="57959E44"/>
    <w:rsid w:val="57DBFB99"/>
    <w:rsid w:val="5B4A5721"/>
    <w:rsid w:val="5C690906"/>
    <w:rsid w:val="5D818F26"/>
    <w:rsid w:val="5F3F2B76"/>
    <w:rsid w:val="5F408F15"/>
    <w:rsid w:val="5F905F9F"/>
    <w:rsid w:val="5F9450D4"/>
    <w:rsid w:val="5FB4089A"/>
    <w:rsid w:val="61178FA4"/>
    <w:rsid w:val="630A2A90"/>
    <w:rsid w:val="64C2657D"/>
    <w:rsid w:val="65F32C5B"/>
    <w:rsid w:val="668E29A2"/>
    <w:rsid w:val="66F0DBCD"/>
    <w:rsid w:val="698512C5"/>
    <w:rsid w:val="6AFDB696"/>
    <w:rsid w:val="6B1AA0B4"/>
    <w:rsid w:val="6D359ACC"/>
    <w:rsid w:val="6F0547DE"/>
    <w:rsid w:val="73D982C8"/>
    <w:rsid w:val="75124A81"/>
    <w:rsid w:val="75322D19"/>
    <w:rsid w:val="753BF620"/>
    <w:rsid w:val="7671F224"/>
    <w:rsid w:val="77B02567"/>
    <w:rsid w:val="77E31104"/>
    <w:rsid w:val="7BAE2BBF"/>
    <w:rsid w:val="7BE8DF61"/>
    <w:rsid w:val="7CC6DB91"/>
    <w:rsid w:val="7D48D851"/>
    <w:rsid w:val="7DF387B5"/>
    <w:rsid w:val="7F079A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w:hAnsi="Times"/>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
    <w:basedOn w:val="TableNormal"/>
    <w:uiPriority w:val="5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Times" w:hAnsi="Times"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Times" w:hAnsi="Times"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Times" w:hAnsi="Times"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ind w:left="714" w:hanging="357"/>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paragraph" w:customStyle="1" w:styleId="MSACESBulletPoint">
    <w:name w:val="MSAC ES Bullet Point"/>
    <w:basedOn w:val="MSACESParagraph"/>
    <w:link w:val="MSACESBulletPointChar"/>
    <w:uiPriority w:val="1"/>
    <w:rsid w:val="003162AA"/>
    <w:pPr>
      <w:numPr>
        <w:numId w:val="11"/>
      </w:numPr>
      <w:spacing w:before="120" w:after="120"/>
      <w:ind w:left="714" w:hanging="357"/>
    </w:pPr>
  </w:style>
  <w:style w:type="character" w:customStyle="1" w:styleId="MSACESBulletPointChar">
    <w:name w:val="MSAC ES Bullet Point Char"/>
    <w:basedOn w:val="MSACESParagraphChar"/>
    <w:link w:val="MSACESBulletPoint"/>
    <w:uiPriority w:val="1"/>
    <w:rsid w:val="003162AA"/>
    <w:rPr>
      <w:rFonts w:ascii="Times New Roman" w:hAnsi="Times New Roman" w:cs="Times New Roman"/>
      <w:sz w:val="24"/>
    </w:rPr>
  </w:style>
  <w:style w:type="character" w:styleId="UnresolvedMention">
    <w:name w:val="Unresolved Mention"/>
    <w:basedOn w:val="DefaultParagraphFont"/>
    <w:uiPriority w:val="99"/>
    <w:semiHidden/>
    <w:unhideWhenUsed/>
    <w:rsid w:val="00B617EE"/>
    <w:rPr>
      <w:color w:val="605E5C"/>
      <w:shd w:val="clear" w:color="auto" w:fill="E1DFDD"/>
    </w:rPr>
  </w:style>
  <w:style w:type="paragraph" w:customStyle="1" w:styleId="ESHeading3">
    <w:name w:val="ES Heading 3"/>
    <w:basedOn w:val="Normal"/>
    <w:uiPriority w:val="8"/>
    <w:semiHidden/>
    <w:rsid w:val="000D06EC"/>
    <w:pPr>
      <w:keepNext/>
      <w:keepLines/>
      <w:spacing w:before="360" w:after="120" w:line="240" w:lineRule="auto"/>
      <w:ind w:left="1080" w:hanging="1080"/>
      <w:outlineLvl w:val="1"/>
    </w:pPr>
    <w:rPr>
      <w:rFonts w:asciiTheme="majorHAnsi" w:eastAsiaTheme="majorEastAsia" w:hAnsiTheme="majorHAnsi" w:cstheme="majorBidi"/>
      <w:b/>
      <w:snapToGrid w:val="0"/>
      <w:sz w:val="24"/>
      <w:szCs w:val="28"/>
    </w:rPr>
  </w:style>
  <w:style w:type="table" w:customStyle="1" w:styleId="ASDTable1">
    <w:name w:val="ASD Table1"/>
    <w:basedOn w:val="TableNormal"/>
    <w:next w:val="TableGrid"/>
    <w:uiPriority w:val="39"/>
    <w:rsid w:val="00A571E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s">
    <w:name w:val="Normal Bullets"/>
    <w:basedOn w:val="Normal"/>
    <w:uiPriority w:val="3"/>
    <w:rsid w:val="00D92FC8"/>
    <w:pPr>
      <w:numPr>
        <w:numId w:val="18"/>
      </w:numPr>
      <w:spacing w:before="0" w:after="240" w:line="276" w:lineRule="auto"/>
      <w:contextualSpacing/>
      <w:jc w:val="both"/>
    </w:pPr>
    <w:rPr>
      <w:rFonts w:ascii="Calibri" w:eastAsiaTheme="majorEastAsia" w:hAnsi="Calibri" w:cstheme="majorBidi"/>
      <w:lang w:bidi="en-US"/>
    </w:rPr>
  </w:style>
  <w:style w:type="paragraph" w:customStyle="1" w:styleId="EvidenceSubhead">
    <w:name w:val="EvidenceSubhead"/>
    <w:basedOn w:val="Heading2"/>
    <w:rsid w:val="00D92FC8"/>
    <w:pPr>
      <w:keepLines w:val="0"/>
      <w:numPr>
        <w:numId w:val="18"/>
      </w:numPr>
      <w:tabs>
        <w:tab w:val="num" w:pos="576"/>
      </w:tabs>
      <w:spacing w:before="120" w:after="120" w:line="260" w:lineRule="exact"/>
      <w:contextualSpacing/>
    </w:pPr>
    <w:rPr>
      <w:rFonts w:ascii="Tahoma" w:hAnsi="Tahoma" w:cs="Times New Roman"/>
      <w:b/>
      <w:noProof/>
      <w:color w:val="362C66"/>
      <w:sz w:val="22"/>
      <w:szCs w:val="22"/>
      <w:u w:val="single"/>
      <w:lang w:val="en-US"/>
    </w:rPr>
  </w:style>
  <w:style w:type="character" w:styleId="Mention">
    <w:name w:val="Mention"/>
    <w:basedOn w:val="DefaultParagraphFont"/>
    <w:uiPriority w:val="99"/>
    <w:unhideWhenUsed/>
    <w:rsid w:val="006231CA"/>
    <w:rPr>
      <w:color w:val="2B579A"/>
      <w:shd w:val="clear" w:color="auto" w:fill="E1DFDD"/>
    </w:rPr>
  </w:style>
  <w:style w:type="character" w:customStyle="1" w:styleId="normaltextrun">
    <w:name w:val="normaltextrun"/>
    <w:basedOn w:val="DefaultParagraphFont"/>
    <w:rsid w:val="004A280E"/>
  </w:style>
  <w:style w:type="character" w:customStyle="1" w:styleId="eop">
    <w:name w:val="eop"/>
    <w:basedOn w:val="DefaultParagraphFont"/>
    <w:rsid w:val="004A280E"/>
  </w:style>
  <w:style w:type="table" w:customStyle="1" w:styleId="Section3-footnot1">
    <w:name w:val="Section 3- footnot1"/>
    <w:basedOn w:val="TableNormal"/>
    <w:next w:val="TableGrid"/>
    <w:uiPriority w:val="59"/>
    <w:rsid w:val="00A8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D1DFB"/>
    <w:pPr>
      <w:spacing w:after="120"/>
    </w:pPr>
  </w:style>
  <w:style w:type="character" w:customStyle="1" w:styleId="BodyTextChar">
    <w:name w:val="Body Text Char"/>
    <w:basedOn w:val="DefaultParagraphFont"/>
    <w:link w:val="BodyText"/>
    <w:uiPriority w:val="99"/>
    <w:rsid w:val="009D1DFB"/>
    <w:rPr>
      <w:rFonts w:ascii="Franklin Gothic Book" w:hAnsi="Franklin Gothic Book"/>
    </w:rPr>
  </w:style>
  <w:style w:type="paragraph" w:customStyle="1" w:styleId="BulletBeforeDash">
    <w:name w:val="BulletBeforeDash"/>
    <w:basedOn w:val="Normal"/>
    <w:rsid w:val="005C6C4A"/>
    <w:pPr>
      <w:numPr>
        <w:numId w:val="28"/>
      </w:numPr>
      <w:spacing w:before="0" w:after="0" w:line="240" w:lineRule="auto"/>
      <w:ind w:left="720"/>
    </w:pPr>
    <w:rPr>
      <w:rFonts w:ascii="Times New Roman" w:eastAsia="Times New Roman" w:hAnsi="Times New Roman"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2052772">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598513245">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ac.gov.au/internet/msac/publishing.nsf/Content/Home-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sac.gov.au/applications/17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sac.gov.au/applications/1779"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b67814db4cbf52fde07137e7d49b245e">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dea1ae2ed431f796c5177aed60a9a2d6"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customXml/itemProps2.xml><?xml version="1.0" encoding="utf-8"?>
<ds:datastoreItem xmlns:ds="http://schemas.openxmlformats.org/officeDocument/2006/customXml" ds:itemID="{969FC328-37D7-4AB5-8B6A-2B8B3B3E8A18}"/>
</file>

<file path=customXml/itemProps3.xml><?xml version="1.0" encoding="utf-8"?>
<ds:datastoreItem xmlns:ds="http://schemas.openxmlformats.org/officeDocument/2006/customXml" ds:itemID="{AFC03D16-4593-4633-9B8F-EFB96F92BAD4}"/>
</file>

<file path=customXml/itemProps4.xml><?xml version="1.0" encoding="utf-8"?>
<ds:datastoreItem xmlns:ds="http://schemas.openxmlformats.org/officeDocument/2006/customXml" ds:itemID="{E0A4A274-BEBD-4370-914B-09D781B9BE76}"/>
</file>

<file path=docProps/app.xml><?xml version="1.0" encoding="utf-8"?>
<Properties xmlns="http://schemas.openxmlformats.org/officeDocument/2006/extended-properties" xmlns:vt="http://schemas.openxmlformats.org/officeDocument/2006/docPropsVTypes">
  <Template>Normal.dotm</Template>
  <TotalTime>0</TotalTime>
  <Pages>18</Pages>
  <Words>8116</Words>
  <Characters>46264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2025-10-27T04:46:00Z</dcterms:created>
  <dcterms:modified xsi:type="dcterms:W3CDTF">2025-10-27T04:46:00Z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PArchived">
    <vt:lpwstr>Archived</vt:lpwstr>
  </property>
  <property fmtid="{D5CDD505-2E9C-101B-9397-08002B2CF9AE}" pid="3" name="MSIP_Label_7cd3e8b9-ffed-43a8-b7f4-cc2fa0382d36_SiteId">
    <vt:lpwstr>34a3929c-73cf-4954-abfe-147dc3517892</vt:lpwstr>
  </property>
  <property fmtid="{D5CDD505-2E9C-101B-9397-08002B2CF9AE}" pid="4" name="ClassificationContentMarkingFooterText">
    <vt:lpwstr>OFFICIAL</vt:lpwstr>
  </property>
  <property fmtid="{D5CDD505-2E9C-101B-9397-08002B2CF9AE}" pid="5" name="MSIP_Label_7cd3e8b9-ffed-43a8-b7f4-cc2fa0382d36_Method">
    <vt:lpwstr>Privileged</vt:lpwstr>
  </property>
  <property fmtid="{D5CDD505-2E9C-101B-9397-08002B2CF9AE}" pid="6" name="MSIP_Label_7cd3e8b9-ffed-43a8-b7f4-cc2fa0382d36_Tag">
    <vt:lpwstr>10, 0, 1, 2</vt:lpwstr>
  </property>
  <property fmtid="{D5CDD505-2E9C-101B-9397-08002B2CF9AE}" pid="7" name="Order">
    <vt:r8>52515300</vt:r8>
  </property>
  <property fmtid="{D5CDD505-2E9C-101B-9397-08002B2CF9AE}" pid="8" name="ClassificationContentMarkingHeaderText">
    <vt:lpwstr>OFFICIAL</vt:lpwstr>
  </property>
  <property fmtid="{D5CDD505-2E9C-101B-9397-08002B2CF9AE}" pid="9" name="MSIP_Label_7cd3e8b9-ffed-43a8-b7f4-cc2fa0382d36_ActionId">
    <vt:lpwstr>5de67b74-557b-40fb-aaf6-f378ac60fb3b</vt:lpwstr>
  </property>
  <property fmtid="{D5CDD505-2E9C-101B-9397-08002B2CF9AE}" pid="10" name="MediaServiceImageTags">
    <vt:lpwstr/>
  </property>
  <property fmtid="{D5CDD505-2E9C-101B-9397-08002B2CF9AE}" pid="11" name="xd_ProgID">
    <vt:lpwstr/>
  </property>
  <property fmtid="{D5CDD505-2E9C-101B-9397-08002B2CF9AE}" pid="12" name="ContentTypeId">
    <vt:lpwstr>0x0101005E4A37BE997BE34FBB7D5057D341D123</vt:lpwstr>
  </property>
  <property fmtid="{D5CDD505-2E9C-101B-9397-08002B2CF9AE}" pid="13" name="TrimRecordURI">
    <vt:lpwstr>257124604</vt:lpwstr>
  </property>
  <property fmtid="{D5CDD505-2E9C-101B-9397-08002B2CF9AE}" pid="14" name="ComplianceAssetId">
    <vt:lpwstr/>
  </property>
  <property fmtid="{D5CDD505-2E9C-101B-9397-08002B2CF9AE}" pid="15" name="ClassificationContentMarkingHeaderFontProps">
    <vt:lpwstr>#ff0000,12,Aptos</vt:lpwstr>
  </property>
  <property fmtid="{D5CDD505-2E9C-101B-9397-08002B2CF9AE}" pid="16" name="TemplateUrl">
    <vt:lpwstr/>
  </property>
  <property fmtid="{D5CDD505-2E9C-101B-9397-08002B2CF9AE}" pid="17" name="_ExtendedDescription">
    <vt:lpwstr/>
  </property>
  <property fmtid="{D5CDD505-2E9C-101B-9397-08002B2CF9AE}" pid="18" name="HPPTrimRecordId">
    <vt:lpwstr>D25-2520023</vt:lpwstr>
  </property>
  <property fmtid="{D5CDD505-2E9C-101B-9397-08002B2CF9AE}" pid="19" name="TriggerFlowInfo">
    <vt:lpwstr/>
  </property>
  <property fmtid="{D5CDD505-2E9C-101B-9397-08002B2CF9AE}" pid="20" name="MSIP_Label_7cd3e8b9-ffed-43a8-b7f4-cc2fa0382d36_ContentBits">
    <vt:lpwstr>3</vt:lpwstr>
  </property>
  <property fmtid="{D5CDD505-2E9C-101B-9397-08002B2CF9AE}" pid="21" name="HPPTrimContainerId">
    <vt:lpwstr>E25-307288</vt:lpwstr>
  </property>
  <property fmtid="{D5CDD505-2E9C-101B-9397-08002B2CF9AE}" pid="22" name="docLang">
    <vt:lpwstr>en</vt:lpwstr>
  </property>
  <property fmtid="{D5CDD505-2E9C-101B-9397-08002B2CF9AE}" pid="23" name="MSIP_Label_7cd3e8b9-ffed-43a8-b7f4-cc2fa0382d36_Name">
    <vt:lpwstr>O</vt:lpwstr>
  </property>
  <property fmtid="{D5CDD505-2E9C-101B-9397-08002B2CF9AE}" pid="24" name="ClassificationContentMarkingFooterShapeIds">
    <vt:lpwstr>2fcf6def,4dcab2dd,4b379048</vt:lpwstr>
  </property>
  <property fmtid="{D5CDD505-2E9C-101B-9397-08002B2CF9AE}" pid="25" name="MSIP_Label_7cd3e8b9-ffed-43a8-b7f4-cc2fa0382d36_Enabled">
    <vt:lpwstr>true</vt:lpwstr>
  </property>
  <property fmtid="{D5CDD505-2E9C-101B-9397-08002B2CF9AE}" pid="26" name="xd_Signature">
    <vt:bool>false</vt:bool>
  </property>
  <property fmtid="{D5CDD505-2E9C-101B-9397-08002B2CF9AE}" pid="27" name="ClassificationContentMarkingHeaderShapeIds">
    <vt:lpwstr>5cee48fa,1f5701de,4d586a0a</vt:lpwstr>
  </property>
  <property fmtid="{D5CDD505-2E9C-101B-9397-08002B2CF9AE}" pid="28" name="ClassificationContentMarkingFooterFontProps">
    <vt:lpwstr>#ff0000,12,Aptos</vt:lpwstr>
  </property>
  <property fmtid="{D5CDD505-2E9C-101B-9397-08002B2CF9AE}" pid="29" name="MSIP_Label_7cd3e8b9-ffed-43a8-b7f4-cc2fa0382d36_SetDate">
    <vt:lpwstr>2025-08-18T01:21:05Z</vt:lpwstr>
  </property>
  <property fmtid="{D5CDD505-2E9C-101B-9397-08002B2CF9AE}" pid="30" name="HPPTrimLink">
    <vt:lpwstr>https://auc-common-prd-app-as-trim.azurewebsites.net/Api/DownloadTrimFile/HPP/D25-2520023</vt:lpwstr>
  </property>
</Properties>
</file>