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C2F4" w14:textId="77777777" w:rsidR="003A0813" w:rsidRPr="00CC5607" w:rsidRDefault="003A0813" w:rsidP="003A0813">
      <w:pPr>
        <w:keepNext/>
        <w:keepLines/>
        <w:spacing w:before="0" w:after="360" w:line="240" w:lineRule="auto"/>
        <w:ind w:left="788"/>
        <w:jc w:val="center"/>
        <w:outlineLvl w:val="0"/>
        <w:rPr>
          <w:rFonts w:ascii="Arial" w:hAnsi="Arial" w:cs="Arial"/>
          <w:b/>
          <w:bCs/>
          <w:color w:val="000080"/>
          <w:sz w:val="36"/>
          <w:szCs w:val="36"/>
        </w:rPr>
      </w:pPr>
      <w:r w:rsidRPr="00F268B7">
        <w:rPr>
          <w:rFonts w:ascii="Arial" w:eastAsiaTheme="majorEastAsia" w:hAnsi="Arial" w:cs="Arial"/>
          <w:b/>
          <w:bCs/>
          <w:color w:val="000080"/>
          <w:sz w:val="36"/>
          <w:szCs w:val="36"/>
        </w:rPr>
        <w:t>Medical Services Advisory Committee (MSAC)</w:t>
      </w:r>
      <w:r w:rsidRPr="00F268B7">
        <w:rPr>
          <w:rFonts w:ascii="Arial" w:eastAsiaTheme="majorEastAsia" w:hAnsi="Arial" w:cs="Arial"/>
          <w:b/>
          <w:bCs/>
          <w:color w:val="000080"/>
          <w:sz w:val="36"/>
          <w:szCs w:val="36"/>
        </w:rPr>
        <w:br/>
      </w:r>
      <w:r w:rsidRPr="00F76D74">
        <w:rPr>
          <w:rFonts w:ascii="Arial" w:hAnsi="Arial" w:cs="Arial"/>
          <w:b/>
          <w:bCs/>
          <w:color w:val="000080"/>
          <w:sz w:val="36"/>
          <w:szCs w:val="36"/>
        </w:rPr>
        <w:t>Public Summary Document</w:t>
      </w:r>
    </w:p>
    <w:p w14:paraId="7A128FDE" w14:textId="14B60228" w:rsidR="00772829" w:rsidRPr="00CE28E3" w:rsidRDefault="00772829" w:rsidP="00772829">
      <w:pPr>
        <w:pStyle w:val="Subtitle"/>
      </w:pPr>
      <w:r w:rsidRPr="00CE28E3">
        <w:t>Application No</w:t>
      </w:r>
      <w:r w:rsidRPr="00523869">
        <w:t xml:space="preserve">. </w:t>
      </w:r>
      <w:r w:rsidR="00523869" w:rsidRPr="00523869">
        <w:t>1786</w:t>
      </w:r>
      <w:r w:rsidRPr="00523869">
        <w:t xml:space="preserve"> – </w:t>
      </w:r>
      <w:r w:rsidR="00523869" w:rsidRPr="00523869">
        <w:t xml:space="preserve">FreeStyle Libre 2 </w:t>
      </w:r>
      <w:r w:rsidR="00BF3C02">
        <w:t>C</w:t>
      </w:r>
      <w:r w:rsidR="00523869" w:rsidRPr="00523869">
        <w:t xml:space="preserve">ontinuous </w:t>
      </w:r>
      <w:r w:rsidR="00BF3C02">
        <w:t>G</w:t>
      </w:r>
      <w:r w:rsidR="00523869" w:rsidRPr="00523869">
        <w:t xml:space="preserve">lucose </w:t>
      </w:r>
      <w:r w:rsidR="00BF3C02">
        <w:t>M</w:t>
      </w:r>
      <w:r w:rsidR="00523869" w:rsidRPr="00523869">
        <w:t xml:space="preserve">onitoring </w:t>
      </w:r>
      <w:r w:rsidR="00BF3C02">
        <w:t xml:space="preserve">Products </w:t>
      </w:r>
      <w:r w:rsidR="00523869" w:rsidRPr="00523869">
        <w:t xml:space="preserve">for </w:t>
      </w:r>
      <w:r w:rsidR="00BF3C02">
        <w:t>P</w:t>
      </w:r>
      <w:r w:rsidR="00523869" w:rsidRPr="00523869">
        <w:t xml:space="preserve">eople with </w:t>
      </w:r>
      <w:r w:rsidR="00BF3C02">
        <w:t>T</w:t>
      </w:r>
      <w:r w:rsidR="00523869" w:rsidRPr="00523869">
        <w:t>ype 2 diabetes</w:t>
      </w:r>
      <w:r w:rsidR="00BF3C02">
        <w:t xml:space="preserve"> Requiring Insulin</w:t>
      </w:r>
      <w:r w:rsidR="00523869" w:rsidRPr="00523869">
        <w:t xml:space="preserve">, </w:t>
      </w:r>
      <w:r w:rsidR="00BF3C02">
        <w:t>G</w:t>
      </w:r>
      <w:r w:rsidR="00523869" w:rsidRPr="00523869">
        <w:t xml:space="preserve">estational </w:t>
      </w:r>
      <w:r w:rsidR="00BF3C02">
        <w:t>D</w:t>
      </w:r>
      <w:r w:rsidR="00523869" w:rsidRPr="00523869">
        <w:t xml:space="preserve">iabetes and </w:t>
      </w:r>
      <w:r w:rsidR="00BF3C02">
        <w:t>Other Types of Diabetes</w:t>
      </w:r>
    </w:p>
    <w:p w14:paraId="35263561" w14:textId="6DD53EE4" w:rsidR="00772829" w:rsidRPr="00CE28E3" w:rsidRDefault="00772829" w:rsidP="00772829">
      <w:pPr>
        <w:tabs>
          <w:tab w:val="left" w:pos="3686"/>
        </w:tabs>
        <w:spacing w:after="240"/>
        <w:rPr>
          <w:rFonts w:ascii="Arial" w:hAnsi="Arial" w:cs="Arial"/>
          <w:b/>
          <w:szCs w:val="24"/>
        </w:rPr>
      </w:pPr>
      <w:r w:rsidRPr="00CE28E3">
        <w:rPr>
          <w:rFonts w:ascii="Arial" w:hAnsi="Arial" w:cs="Arial"/>
          <w:b/>
          <w:szCs w:val="24"/>
        </w:rPr>
        <w:t>Applicant:</w:t>
      </w:r>
      <w:r w:rsidRPr="00CE28E3">
        <w:rPr>
          <w:rFonts w:ascii="Arial" w:hAnsi="Arial" w:cs="Arial"/>
          <w:b/>
          <w:szCs w:val="24"/>
        </w:rPr>
        <w:tab/>
      </w:r>
      <w:r w:rsidR="00523869" w:rsidRPr="00523869">
        <w:rPr>
          <w:rFonts w:ascii="Arial" w:hAnsi="Arial" w:cs="Arial"/>
          <w:b/>
          <w:szCs w:val="24"/>
        </w:rPr>
        <w:t>Abbott Australasia Pty Ltd</w:t>
      </w:r>
    </w:p>
    <w:p w14:paraId="15DA9C4A" w14:textId="677CFF5A" w:rsidR="009A3778" w:rsidRDefault="00772829" w:rsidP="00772829">
      <w:pPr>
        <w:tabs>
          <w:tab w:val="left" w:pos="3686"/>
        </w:tabs>
        <w:spacing w:after="360"/>
        <w:rPr>
          <w:rFonts w:ascii="Arial" w:hAnsi="Arial" w:cs="Arial"/>
          <w:b/>
          <w:szCs w:val="24"/>
        </w:rPr>
      </w:pPr>
      <w:r w:rsidRPr="00CE28E3">
        <w:rPr>
          <w:rFonts w:ascii="Arial" w:hAnsi="Arial" w:cs="Arial"/>
          <w:b/>
          <w:szCs w:val="24"/>
        </w:rPr>
        <w:t xml:space="preserve">Date of </w:t>
      </w:r>
      <w:r w:rsidR="003A0813">
        <w:rPr>
          <w:rFonts w:ascii="Arial" w:hAnsi="Arial" w:cs="Arial"/>
          <w:b/>
          <w:szCs w:val="24"/>
        </w:rPr>
        <w:t>MSAC</w:t>
      </w:r>
      <w:r w:rsidRPr="00CE28E3">
        <w:rPr>
          <w:rFonts w:ascii="Arial" w:hAnsi="Arial" w:cs="Arial"/>
          <w:b/>
          <w:szCs w:val="24"/>
        </w:rPr>
        <w:t xml:space="preserve"> consideration:</w:t>
      </w:r>
      <w:r w:rsidRPr="00CE28E3">
        <w:rPr>
          <w:rFonts w:ascii="Arial" w:hAnsi="Arial" w:cs="Arial"/>
          <w:b/>
          <w:szCs w:val="24"/>
        </w:rPr>
        <w:tab/>
      </w:r>
      <w:r w:rsidR="003A0813">
        <w:rPr>
          <w:rFonts w:ascii="Arial" w:hAnsi="Arial" w:cs="Arial"/>
          <w:b/>
          <w:szCs w:val="24"/>
        </w:rPr>
        <w:t>31 July</w:t>
      </w:r>
      <w:r w:rsidR="00140A7D">
        <w:rPr>
          <w:rFonts w:ascii="Arial" w:hAnsi="Arial" w:cs="Arial"/>
          <w:b/>
          <w:szCs w:val="24"/>
        </w:rPr>
        <w:t xml:space="preserve"> 2025</w:t>
      </w:r>
    </w:p>
    <w:p w14:paraId="54722033" w14:textId="77777777" w:rsidR="003A0813" w:rsidRPr="00333EDF" w:rsidRDefault="003A0813" w:rsidP="003A0813">
      <w:pPr>
        <w:spacing w:after="240"/>
        <w:rPr>
          <w:color w:val="0000FF"/>
          <w:u w:val="single"/>
        </w:rPr>
      </w:pPr>
      <w:bookmarkStart w:id="0" w:name="_Hlk194308493"/>
      <w:r w:rsidRPr="00333EDF">
        <w:t xml:space="preserve">Context for decision: MSAC makes its advice in accordance with its Terms of Reference, </w:t>
      </w:r>
      <w:hyperlink r:id="rId11" w:tooltip="Link to Medical Services Advisory Committee website" w:history="1">
        <w:r w:rsidRPr="000D2098">
          <w:rPr>
            <w:rStyle w:val="Hyperlink"/>
            <w:color w:val="007BB8"/>
          </w:rPr>
          <w:t>visit the MSAC website</w:t>
        </w:r>
      </w:hyperlink>
    </w:p>
    <w:p w14:paraId="7EAA7262" w14:textId="776190B0" w:rsidR="00772829" w:rsidRPr="00CE28E3" w:rsidRDefault="00772829" w:rsidP="003027B3">
      <w:pPr>
        <w:pStyle w:val="Heading2"/>
        <w:numPr>
          <w:ilvl w:val="0"/>
          <w:numId w:val="27"/>
        </w:numPr>
        <w:ind w:hanging="720"/>
      </w:pPr>
      <w:bookmarkStart w:id="1" w:name="_Toc69491415"/>
      <w:bookmarkEnd w:id="0"/>
      <w:r w:rsidRPr="00CE28E3">
        <w:t xml:space="preserve">Purpose </w:t>
      </w:r>
      <w:r w:rsidRPr="00CE28E3">
        <w:rPr>
          <w:szCs w:val="32"/>
        </w:rPr>
        <w:t>of</w:t>
      </w:r>
      <w:r w:rsidRPr="00CE28E3">
        <w:t xml:space="preserve"> application</w:t>
      </w:r>
      <w:bookmarkEnd w:id="1"/>
    </w:p>
    <w:p w14:paraId="57EB46C4" w14:textId="68886169" w:rsidR="00DC418D" w:rsidRDefault="00772829" w:rsidP="00CB7DB7">
      <w:pPr>
        <w:spacing w:after="240"/>
        <w:rPr>
          <w:iCs/>
        </w:rPr>
      </w:pPr>
      <w:bookmarkStart w:id="2" w:name="_Hlk69734469"/>
      <w:r w:rsidRPr="009A3778">
        <w:rPr>
          <w:iCs/>
        </w:rPr>
        <w:t xml:space="preserve">An application requesting </w:t>
      </w:r>
      <w:r w:rsidR="00523869" w:rsidRPr="00560015">
        <w:rPr>
          <w:iCs/>
        </w:rPr>
        <w:t>National Diabetes Service</w:t>
      </w:r>
      <w:r w:rsidR="00523869">
        <w:rPr>
          <w:iCs/>
        </w:rPr>
        <w:t>s</w:t>
      </w:r>
      <w:r w:rsidR="00523869" w:rsidRPr="00560015">
        <w:rPr>
          <w:iCs/>
        </w:rPr>
        <w:t xml:space="preserve"> Scheme </w:t>
      </w:r>
      <w:r w:rsidR="00523869">
        <w:rPr>
          <w:iCs/>
        </w:rPr>
        <w:t xml:space="preserve">(NDSS) </w:t>
      </w:r>
      <w:r w:rsidR="00523869" w:rsidRPr="00560015">
        <w:rPr>
          <w:iCs/>
        </w:rPr>
        <w:t>funding</w:t>
      </w:r>
      <w:r w:rsidR="00523869" w:rsidRPr="009A3778">
        <w:rPr>
          <w:iCs/>
        </w:rPr>
        <w:t xml:space="preserve"> </w:t>
      </w:r>
      <w:r w:rsidRPr="009A3778">
        <w:rPr>
          <w:iCs/>
        </w:rPr>
        <w:t xml:space="preserve">of </w:t>
      </w:r>
      <w:r w:rsidR="00CB7DB7">
        <w:rPr>
          <w:iCs/>
        </w:rPr>
        <w:t xml:space="preserve">the </w:t>
      </w:r>
      <w:r w:rsidR="00523869" w:rsidRPr="00523869">
        <w:t xml:space="preserve">FreeStyle Libre 2 </w:t>
      </w:r>
      <w:r w:rsidR="00E97731">
        <w:t xml:space="preserve">(FSL2) </w:t>
      </w:r>
      <w:r w:rsidR="00523869" w:rsidRPr="00523869">
        <w:t>continuous glucose monitoring</w:t>
      </w:r>
      <w:r w:rsidR="003138CE">
        <w:t xml:space="preserve"> (CGM)</w:t>
      </w:r>
      <w:r w:rsidR="00523869" w:rsidRPr="00523869">
        <w:t xml:space="preserve"> system for </w:t>
      </w:r>
      <w:r w:rsidR="00CB7DB7" w:rsidRPr="00CB7DB7">
        <w:rPr>
          <w:iCs/>
        </w:rPr>
        <w:t>people with type 2 diabetes (T2D) requiring treatment with insulin (PICO Set 1), pregnant women with gestational diabetes (</w:t>
      </w:r>
      <w:r w:rsidR="00646A21">
        <w:rPr>
          <w:iCs/>
        </w:rPr>
        <w:t>GDM</w:t>
      </w:r>
      <w:r w:rsidR="00E668A5" w:rsidRPr="00A54EDF">
        <w:rPr>
          <w:iCs/>
        </w:rPr>
        <w:t>)</w:t>
      </w:r>
      <w:r w:rsidR="00646A21" w:rsidRPr="00A54EDF">
        <w:rPr>
          <w:iCs/>
        </w:rPr>
        <w:t xml:space="preserve"> </w:t>
      </w:r>
      <w:r w:rsidR="00E668A5" w:rsidRPr="00A54EDF">
        <w:rPr>
          <w:iCs/>
        </w:rPr>
        <w:t>(</w:t>
      </w:r>
      <w:r w:rsidR="00CB7DB7" w:rsidRPr="00CB7DB7">
        <w:rPr>
          <w:iCs/>
        </w:rPr>
        <w:t>PICO Set 2)</w:t>
      </w:r>
      <w:r w:rsidR="00342642">
        <w:rPr>
          <w:iCs/>
        </w:rPr>
        <w:t>,</w:t>
      </w:r>
      <w:r w:rsidR="00CB7DB7" w:rsidRPr="00CB7DB7">
        <w:rPr>
          <w:iCs/>
        </w:rPr>
        <w:t xml:space="preserve"> and people with Type 3c diabetes </w:t>
      </w:r>
      <w:r w:rsidR="00646A21">
        <w:rPr>
          <w:iCs/>
        </w:rPr>
        <w:t xml:space="preserve">(T3cD) </w:t>
      </w:r>
      <w:r w:rsidR="00CB7DB7" w:rsidRPr="00CB7DB7">
        <w:rPr>
          <w:iCs/>
        </w:rPr>
        <w:t>requiring insulin (PICO Set 3) was received from Abbott Australasia Pty Ltd by the Department of Health</w:t>
      </w:r>
      <w:r w:rsidR="003A0813">
        <w:rPr>
          <w:iCs/>
        </w:rPr>
        <w:t>, Disability</w:t>
      </w:r>
      <w:r w:rsidR="00CB7DB7" w:rsidRPr="00CB7DB7">
        <w:rPr>
          <w:iCs/>
        </w:rPr>
        <w:t xml:space="preserve"> and Age</w:t>
      </w:r>
      <w:r w:rsidR="003A0813">
        <w:rPr>
          <w:iCs/>
        </w:rPr>
        <w:t>ing</w:t>
      </w:r>
      <w:r w:rsidR="00CB7DB7" w:rsidRPr="00A54EDF">
        <w:rPr>
          <w:iCs/>
        </w:rPr>
        <w:t>.</w:t>
      </w:r>
      <w:r w:rsidR="00CB7DB7" w:rsidRPr="00CB7DB7">
        <w:rPr>
          <w:iCs/>
        </w:rPr>
        <w:t xml:space="preserve"> </w:t>
      </w:r>
    </w:p>
    <w:p w14:paraId="209D51A3" w14:textId="0FB9B5C0" w:rsidR="00CB7DB7" w:rsidRDefault="008F1026" w:rsidP="00CB7DB7">
      <w:pPr>
        <w:spacing w:after="240"/>
      </w:pPr>
      <w:r w:rsidRPr="00CB7DB7">
        <w:rPr>
          <w:iCs/>
        </w:rPr>
        <w:t xml:space="preserve">PICO Set 3 was subsequently expanded (following a meeting including the </w:t>
      </w:r>
      <w:r>
        <w:rPr>
          <w:iCs/>
        </w:rPr>
        <w:t>d</w:t>
      </w:r>
      <w:r w:rsidRPr="00CB7DB7">
        <w:rPr>
          <w:iCs/>
        </w:rPr>
        <w:t xml:space="preserve">epartment and the applicant) to include all people aged ≥21 years with other </w:t>
      </w:r>
      <w:r>
        <w:rPr>
          <w:iCs/>
        </w:rPr>
        <w:t xml:space="preserve">conditions </w:t>
      </w:r>
      <w:proofErr w:type="gramStart"/>
      <w:r w:rsidRPr="001C4F4D">
        <w:t>similar to</w:t>
      </w:r>
      <w:proofErr w:type="gramEnd"/>
      <w:r w:rsidRPr="001C4F4D">
        <w:t xml:space="preserve"> </w:t>
      </w:r>
      <w:r w:rsidRPr="00A54EDF">
        <w:t>type 1 diabetes (</w:t>
      </w:r>
      <w:r w:rsidRPr="001C4F4D">
        <w:t>T1D</w:t>
      </w:r>
      <w:r w:rsidRPr="00A54EDF">
        <w:t>)</w:t>
      </w:r>
      <w:r w:rsidRPr="00CB7DB7">
        <w:rPr>
          <w:iCs/>
        </w:rPr>
        <w:t xml:space="preserve"> </w:t>
      </w:r>
      <w:r>
        <w:rPr>
          <w:iCs/>
        </w:rPr>
        <w:t>requiring</w:t>
      </w:r>
      <w:r w:rsidRPr="00CB7DB7">
        <w:rPr>
          <w:iCs/>
        </w:rPr>
        <w:t xml:space="preserve"> insulin</w:t>
      </w:r>
      <w:r w:rsidRPr="00A54EDF">
        <w:rPr>
          <w:iCs/>
        </w:rPr>
        <w:t>.</w:t>
      </w:r>
      <w:r>
        <w:rPr>
          <w:iCs/>
        </w:rPr>
        <w:t xml:space="preserve"> </w:t>
      </w:r>
      <w:r w:rsidR="00EE7AFE">
        <w:t xml:space="preserve">The applicant </w:t>
      </w:r>
      <w:r w:rsidR="00493919">
        <w:t xml:space="preserve">also </w:t>
      </w:r>
      <w:r w:rsidR="00EE7AFE">
        <w:t xml:space="preserve">expanded the PICO to include the </w:t>
      </w:r>
      <w:r w:rsidR="00EE7AFE" w:rsidRPr="00A54EDF">
        <w:t>FSL2</w:t>
      </w:r>
      <w:r w:rsidR="00EE7AFE">
        <w:t xml:space="preserve"> Plus</w:t>
      </w:r>
      <w:r w:rsidR="00493919">
        <w:t>,</w:t>
      </w:r>
      <w:r w:rsidR="00EE7AFE">
        <w:t xml:space="preserve"> planned </w:t>
      </w:r>
      <w:r w:rsidR="002125FB" w:rsidRPr="00A54EDF">
        <w:t>for</w:t>
      </w:r>
      <w:r w:rsidR="00EE7AFE" w:rsidRPr="00A54EDF">
        <w:t xml:space="preserve"> launch</w:t>
      </w:r>
      <w:r w:rsidR="00EE7AFE">
        <w:t xml:space="preserve"> at the end of March 2025.</w:t>
      </w:r>
    </w:p>
    <w:p w14:paraId="179315D5" w14:textId="1B27D1BD" w:rsidR="003A0813" w:rsidRPr="00D155C0" w:rsidRDefault="003A0813" w:rsidP="001947DB">
      <w:pPr>
        <w:pStyle w:val="Heading2"/>
        <w:keepNext w:val="0"/>
        <w:keepLines w:val="0"/>
        <w:numPr>
          <w:ilvl w:val="0"/>
          <w:numId w:val="27"/>
        </w:numPr>
        <w:ind w:hanging="720"/>
      </w:pPr>
      <w:bookmarkStart w:id="3" w:name="_Hlk193982496"/>
      <w:bookmarkStart w:id="4" w:name="_Hlk194308564"/>
      <w:r w:rsidRPr="00D155C0">
        <w:t>MSAC’s advice to the Minister</w:t>
      </w:r>
    </w:p>
    <w:p w14:paraId="3F292045" w14:textId="7D71BF44" w:rsidR="00413EA0" w:rsidRPr="001D3413" w:rsidRDefault="003A0813" w:rsidP="001947DB">
      <w:pPr>
        <w:pStyle w:val="TableFooter"/>
        <w:contextualSpacing w:val="0"/>
        <w:jc w:val="left"/>
        <w:rPr>
          <w:rFonts w:ascii="Franklin Gothic Book" w:hAnsi="Franklin Gothic Book"/>
          <w:sz w:val="22"/>
          <w:szCs w:val="22"/>
        </w:rPr>
      </w:pPr>
      <w:r w:rsidRPr="00333EDF">
        <w:rPr>
          <w:rFonts w:ascii="Franklin Gothic Book" w:hAnsi="Franklin Gothic Book"/>
          <w:sz w:val="22"/>
          <w:szCs w:val="22"/>
        </w:rPr>
        <w:t xml:space="preserve">After considering the strength of the available evidence in relation to comparative safety, clinical effectiveness, cost-effectiveness and total cost, </w:t>
      </w:r>
      <w:r w:rsidR="00413EA0" w:rsidRPr="001D3413">
        <w:rPr>
          <w:rFonts w:ascii="Franklin Gothic Book" w:hAnsi="Franklin Gothic Book"/>
          <w:sz w:val="22"/>
          <w:szCs w:val="22"/>
        </w:rPr>
        <w:t xml:space="preserve">MSAC </w:t>
      </w:r>
      <w:r w:rsidR="00A42606">
        <w:rPr>
          <w:rFonts w:ascii="Franklin Gothic Book" w:hAnsi="Franklin Gothic Book"/>
          <w:sz w:val="22"/>
          <w:szCs w:val="22"/>
        </w:rPr>
        <w:t xml:space="preserve">deferred its advice on </w:t>
      </w:r>
      <w:r w:rsidR="00667157" w:rsidRPr="001D3413">
        <w:rPr>
          <w:rFonts w:ascii="Franklin Gothic Book" w:hAnsi="Franklin Gothic Book"/>
          <w:sz w:val="22"/>
          <w:szCs w:val="22"/>
        </w:rPr>
        <w:t>NDSS subsidisation</w:t>
      </w:r>
      <w:r w:rsidR="00413EA0" w:rsidRPr="001D3413">
        <w:rPr>
          <w:rFonts w:ascii="Franklin Gothic Book" w:hAnsi="Franklin Gothic Book"/>
          <w:sz w:val="22"/>
          <w:szCs w:val="22"/>
        </w:rPr>
        <w:t xml:space="preserve"> of the Freestyle Libre 2 continuous glucose monitoring (CGM) system for people with insulin dependent type 2 diabetes (T2D), gestational diabetes and people aged over 21 years with type 3c diabetes.</w:t>
      </w:r>
    </w:p>
    <w:p w14:paraId="27C7D554" w14:textId="41C07C17" w:rsidR="00413EA0" w:rsidRPr="001D3413" w:rsidRDefault="00CD3989" w:rsidP="001947DB">
      <w:pPr>
        <w:pStyle w:val="TableFooter"/>
        <w:contextualSpacing w:val="0"/>
        <w:jc w:val="left"/>
        <w:rPr>
          <w:rFonts w:ascii="Franklin Gothic Book" w:hAnsi="Franklin Gothic Book"/>
          <w:sz w:val="22"/>
          <w:szCs w:val="22"/>
        </w:rPr>
      </w:pPr>
      <w:r>
        <w:rPr>
          <w:rFonts w:ascii="Franklin Gothic Book" w:hAnsi="Franklin Gothic Book"/>
          <w:sz w:val="22"/>
          <w:szCs w:val="22"/>
        </w:rPr>
        <w:t>Regarding the T2D population,</w:t>
      </w:r>
      <w:r w:rsidR="00413EA0" w:rsidRPr="001D3413">
        <w:rPr>
          <w:rFonts w:ascii="Franklin Gothic Book" w:hAnsi="Franklin Gothic Book"/>
          <w:sz w:val="22"/>
          <w:szCs w:val="22"/>
        </w:rPr>
        <w:t xml:space="preserve"> MSAC considered the clinical claim that CGM leads to an overall improvement in glycaemic control measured using glycated haemoglobin (HbA1c) was not fully supported. The trials were relatively small, short term, and did not report end-organ outcomes. The reduction in HbA1c was lower than the level considered a meaningful improvement by the Pharmaceutical Benefits Advisory Committee and regulatory agencies. However, MSAC considered that CGM had other benefits for patients and T2D management. This includes empowering patients to manage their T2D and manage blood sugar levels during times of acute illness. MSAC considered CGM could improve quality of </w:t>
      </w:r>
      <w:proofErr w:type="gramStart"/>
      <w:r w:rsidR="00413EA0" w:rsidRPr="001D3413">
        <w:rPr>
          <w:rFonts w:ascii="Franklin Gothic Book" w:hAnsi="Franklin Gothic Book"/>
          <w:sz w:val="22"/>
          <w:szCs w:val="22"/>
        </w:rPr>
        <w:t>life</w:t>
      </w:r>
      <w:proofErr w:type="gramEnd"/>
      <w:r w:rsidR="00413EA0" w:rsidRPr="001D3413">
        <w:rPr>
          <w:rFonts w:ascii="Franklin Gothic Book" w:hAnsi="Franklin Gothic Book"/>
          <w:sz w:val="22"/>
          <w:szCs w:val="22"/>
        </w:rPr>
        <w:t xml:space="preserve"> and this was reflected in strong consumer support for public funding. MSAC considered that the proposed population was large with variable clinical needs and anticipated benefits from CGM. MSAC considered the economic evaluation lacked face validity and could not be used to reliably establish cost-effectiveness. MSAC considered that the proposed </w:t>
      </w:r>
      <w:r w:rsidR="004214B6">
        <w:rPr>
          <w:rFonts w:ascii="Franklin Gothic Book" w:hAnsi="Franklin Gothic Book"/>
          <w:sz w:val="22"/>
          <w:szCs w:val="22"/>
        </w:rPr>
        <w:t xml:space="preserve">T2D </w:t>
      </w:r>
      <w:r w:rsidR="00413EA0" w:rsidRPr="001D3413">
        <w:rPr>
          <w:rFonts w:ascii="Franklin Gothic Book" w:hAnsi="Franklin Gothic Book"/>
          <w:sz w:val="22"/>
          <w:szCs w:val="22"/>
        </w:rPr>
        <w:t>population was heterogeneous and considered that CGM may be more clinically effective and cost-effective for some of the subpopulations, including patients who use both long acting and short acting insulin, people using insulin with higher levels of glycated haemoglobin (e.g. &gt; 8%) as well as Aboriginal and Torres Strait Islander people.</w:t>
      </w:r>
      <w:r w:rsidR="00FA3B2F" w:rsidRPr="00FA3B2F">
        <w:rPr>
          <w:rFonts w:ascii="Franklin Gothic Book" w:hAnsi="Franklin Gothic Book"/>
          <w:sz w:val="22"/>
          <w:szCs w:val="22"/>
        </w:rPr>
        <w:t xml:space="preserve"> </w:t>
      </w:r>
      <w:r w:rsidR="00444443">
        <w:rPr>
          <w:rFonts w:ascii="Franklin Gothic Book" w:hAnsi="Franklin Gothic Book"/>
          <w:sz w:val="22"/>
          <w:szCs w:val="22"/>
        </w:rPr>
        <w:t xml:space="preserve">MSAC considered that it may be beneficial to identify the subgroups of patients </w:t>
      </w:r>
      <w:r w:rsidR="00074632">
        <w:rPr>
          <w:rFonts w:ascii="Franklin Gothic Book" w:hAnsi="Franklin Gothic Book"/>
          <w:sz w:val="22"/>
          <w:szCs w:val="22"/>
        </w:rPr>
        <w:t xml:space="preserve">with T2DM </w:t>
      </w:r>
      <w:r w:rsidR="00444443">
        <w:rPr>
          <w:rFonts w:ascii="Franklin Gothic Book" w:hAnsi="Franklin Gothic Book"/>
          <w:sz w:val="22"/>
          <w:szCs w:val="22"/>
        </w:rPr>
        <w:t>most likely to receive the greatest clinical benefit</w:t>
      </w:r>
      <w:r w:rsidR="002A79EE">
        <w:rPr>
          <w:rFonts w:ascii="Franklin Gothic Book" w:hAnsi="Franklin Gothic Book"/>
          <w:sz w:val="22"/>
          <w:szCs w:val="22"/>
        </w:rPr>
        <w:t xml:space="preserve"> from CGM. </w:t>
      </w:r>
      <w:r w:rsidR="00FA3B2F">
        <w:rPr>
          <w:rFonts w:ascii="Franklin Gothic Book" w:hAnsi="Franklin Gothic Book"/>
          <w:sz w:val="22"/>
          <w:szCs w:val="22"/>
        </w:rPr>
        <w:t>MSAC also noted that CGM may be used intermittently to establish better glycaemic control rather than continuously</w:t>
      </w:r>
      <w:r w:rsidR="00632625">
        <w:rPr>
          <w:rFonts w:ascii="Franklin Gothic Book" w:hAnsi="Franklin Gothic Book"/>
          <w:sz w:val="22"/>
          <w:szCs w:val="22"/>
        </w:rPr>
        <w:t xml:space="preserve">. </w:t>
      </w:r>
      <w:r w:rsidR="00444443">
        <w:rPr>
          <w:rFonts w:ascii="Franklin Gothic Book" w:hAnsi="Franklin Gothic Book"/>
          <w:sz w:val="22"/>
          <w:szCs w:val="22"/>
        </w:rPr>
        <w:t xml:space="preserve">MSAC considered that there was clinical need in the gestational diabetes and type 3c </w:t>
      </w:r>
      <w:proofErr w:type="gramStart"/>
      <w:r w:rsidR="00444443">
        <w:rPr>
          <w:rFonts w:ascii="Franklin Gothic Book" w:hAnsi="Franklin Gothic Book"/>
          <w:sz w:val="22"/>
          <w:szCs w:val="22"/>
        </w:rPr>
        <w:t>populations, but</w:t>
      </w:r>
      <w:proofErr w:type="gramEnd"/>
      <w:r w:rsidR="00444443">
        <w:rPr>
          <w:rFonts w:ascii="Franklin Gothic Book" w:hAnsi="Franklin Gothic Book"/>
          <w:sz w:val="22"/>
          <w:szCs w:val="22"/>
        </w:rPr>
        <w:t xml:space="preserve"> noted that evidence was limited. </w:t>
      </w:r>
      <w:r w:rsidR="00413EA0" w:rsidRPr="001D3413">
        <w:rPr>
          <w:rFonts w:ascii="Franklin Gothic Book" w:hAnsi="Franklin Gothic Book"/>
          <w:sz w:val="22"/>
          <w:szCs w:val="22"/>
        </w:rPr>
        <w:t>MSAC considered that there was substantial uncertainty around estimated utilisation. MSAC considered the budget impact of subsidising CGM for the proposed population</w:t>
      </w:r>
      <w:r w:rsidR="003B1627">
        <w:rPr>
          <w:rFonts w:ascii="Franklin Gothic Book" w:hAnsi="Franklin Gothic Book"/>
          <w:sz w:val="22"/>
          <w:szCs w:val="22"/>
        </w:rPr>
        <w:t>s</w:t>
      </w:r>
      <w:r w:rsidR="00413EA0" w:rsidRPr="001D3413">
        <w:rPr>
          <w:rFonts w:ascii="Franklin Gothic Book" w:hAnsi="Franklin Gothic Book"/>
          <w:sz w:val="22"/>
          <w:szCs w:val="22"/>
        </w:rPr>
        <w:t xml:space="preserve"> would be very large.</w:t>
      </w:r>
    </w:p>
    <w:p w14:paraId="64C46CE1" w14:textId="52DEDB01" w:rsidR="00784096" w:rsidRDefault="00413EA0" w:rsidP="001947DB">
      <w:pPr>
        <w:pStyle w:val="TableFooter"/>
        <w:rPr>
          <w:rFonts w:ascii="Franklin Gothic Book" w:hAnsi="Franklin Gothic Book"/>
          <w:sz w:val="22"/>
          <w:szCs w:val="22"/>
        </w:rPr>
      </w:pPr>
      <w:r w:rsidRPr="001D3413">
        <w:rPr>
          <w:rFonts w:ascii="Franklin Gothic Book" w:hAnsi="Franklin Gothic Book"/>
          <w:sz w:val="22"/>
          <w:szCs w:val="22"/>
        </w:rPr>
        <w:t>MSAC therefore advised that a revised resubmission should focus on the subpopulations who have a greater clinical need for CGM and are more likely to benefit from CGM</w:t>
      </w:r>
      <w:r w:rsidR="003D7A09">
        <w:rPr>
          <w:rFonts w:ascii="Franklin Gothic Book" w:hAnsi="Franklin Gothic Book"/>
          <w:sz w:val="22"/>
          <w:szCs w:val="22"/>
        </w:rPr>
        <w:t>, as well as presenting evidence around two different patterns of usage,</w:t>
      </w:r>
      <w:r w:rsidR="003D7A09" w:rsidRPr="005C4EBB">
        <w:rPr>
          <w:rFonts w:ascii="Franklin Gothic Book" w:hAnsi="Franklin Gothic Book"/>
          <w:sz w:val="22"/>
          <w:szCs w:val="22"/>
        </w:rPr>
        <w:t xml:space="preserve"> </w:t>
      </w:r>
      <w:r w:rsidR="003D7A09">
        <w:rPr>
          <w:rFonts w:ascii="Franklin Gothic Book" w:hAnsi="Franklin Gothic Book"/>
          <w:sz w:val="22"/>
          <w:szCs w:val="22"/>
        </w:rPr>
        <w:t>and any more recent clinical evidence of effectiveness</w:t>
      </w:r>
      <w:r w:rsidRPr="001D3413">
        <w:rPr>
          <w:rFonts w:ascii="Franklin Gothic Book" w:hAnsi="Franklin Gothic Book"/>
          <w:sz w:val="22"/>
          <w:szCs w:val="22"/>
        </w:rPr>
        <w:t xml:space="preserve">. MSAC further advised that a resubmission should present a revised economic evaluation focussed on the populations with a higher clinical need and addressing the issues in the model. MSAC considered revised estimates of utilisation would be required to more accurately estimate the size of the subpopulations.   </w:t>
      </w:r>
    </w:p>
    <w:tbl>
      <w:tblPr>
        <w:tblStyle w:val="Section3-footnot1"/>
        <w:tblW w:w="0" w:type="auto"/>
        <w:tblLook w:val="04A0" w:firstRow="1" w:lastRow="0" w:firstColumn="1" w:lastColumn="0" w:noHBand="0" w:noVBand="1"/>
        <w:tblDescription w:val="Consumer summary of MSAC consideration"/>
      </w:tblPr>
      <w:tblGrid>
        <w:gridCol w:w="9016"/>
      </w:tblGrid>
      <w:tr w:rsidR="003A0813" w:rsidRPr="00F91D6E" w14:paraId="7543163A" w14:textId="77777777">
        <w:trPr>
          <w:tblHeader/>
        </w:trPr>
        <w:tc>
          <w:tcPr>
            <w:tcW w:w="9016" w:type="dxa"/>
          </w:tcPr>
          <w:p w14:paraId="5BD0D332" w14:textId="77777777" w:rsidR="003A0813" w:rsidRPr="00F91D6E" w:rsidRDefault="003A0813" w:rsidP="009C373B">
            <w:pPr>
              <w:keepNext/>
              <w:keepLines/>
              <w:spacing w:after="120" w:line="259" w:lineRule="auto"/>
              <w:rPr>
                <w:rFonts w:eastAsia="Calibri"/>
                <w:b/>
                <w:bCs/>
              </w:rPr>
            </w:pPr>
            <w:r w:rsidRPr="00F91D6E">
              <w:rPr>
                <w:b/>
                <w:bCs/>
              </w:rPr>
              <w:t>Consumer summary</w:t>
            </w:r>
          </w:p>
        </w:tc>
      </w:tr>
      <w:tr w:rsidR="009C373B" w:rsidRPr="00F91D6E" w14:paraId="5004B1E7" w14:textId="77777777">
        <w:tc>
          <w:tcPr>
            <w:tcW w:w="9016" w:type="dxa"/>
          </w:tcPr>
          <w:p w14:paraId="06DA6E16" w14:textId="53FF21EF" w:rsidR="009C373B" w:rsidRDefault="009C373B" w:rsidP="009C373B">
            <w:r w:rsidRPr="00AF46D8">
              <w:t xml:space="preserve">This is an application from </w:t>
            </w:r>
            <w:r>
              <w:t>Abbott Australasia Pty Ltd</w:t>
            </w:r>
            <w:r w:rsidRPr="00AF46D8">
              <w:t xml:space="preserve"> requesting </w:t>
            </w:r>
            <w:r>
              <w:t>public funding under the National Diabetes Services Scheme</w:t>
            </w:r>
            <w:r w:rsidR="00DD01AF">
              <w:t xml:space="preserve"> (NDSS)</w:t>
            </w:r>
            <w:r>
              <w:t xml:space="preserve"> for </w:t>
            </w:r>
            <w:r w:rsidRPr="00CE0499">
              <w:t xml:space="preserve">the FreeStyle Libre 2 (FSL2) </w:t>
            </w:r>
            <w:r>
              <w:t xml:space="preserve">and FSL2 Plus </w:t>
            </w:r>
            <w:r w:rsidRPr="00CE0499">
              <w:t>continuous glucose monitoring (CGM) system for people with type 2 diabetes (T2D) requiring treatment with insulin, pregnant women with gestational diabetes, and all people aged ≥21 years with other conditions similar to type 1 diabetes requiring insulin</w:t>
            </w:r>
            <w:r>
              <w:t>, including</w:t>
            </w:r>
            <w:r w:rsidRPr="00CE0499">
              <w:t xml:space="preserve"> </w:t>
            </w:r>
            <w:r>
              <w:t>t</w:t>
            </w:r>
            <w:r w:rsidRPr="00CE0499">
              <w:t>ype 3c diabetes</w:t>
            </w:r>
            <w:r>
              <w:t>.</w:t>
            </w:r>
          </w:p>
          <w:p w14:paraId="68A11245" w14:textId="598FFEF5" w:rsidR="003C70AD" w:rsidRDefault="003C70AD" w:rsidP="003C70AD">
            <w:r>
              <w:t>Diabetes is a condition that can cause high blood sugar</w:t>
            </w:r>
            <w:r w:rsidR="00E12716">
              <w:t>, which is when sugar (glucose) builds up in the bloodstream</w:t>
            </w:r>
            <w:r>
              <w:t xml:space="preserve">. The most common types of diabetes are called type 1 and type 2. People can also develop diabetes during pregnancy, known as gestational diabetes. There are also other types of diabetes (such as type 3c), which are less common. High blood sugar (hyperglycaemia) caused by diabetes can cause a range of issues including heart disease, nerve damage and kidney damage, and can even be life-threatening. Gestational diabetes can cause problems not only for the mother, but also the baby. The amount of sugar in a person’s bloodstream is usually controlled by a hormone called insulin. Insulin is like a key, which unlocks cells and allows sugar to move from the bloodstream into the cells. People with diabetes either do not produce enough insulin (type 1) or cannot properly use the insulin they produce (type 2). Many people with diabetes use insulin injections to help keep their blood sugar levels under control, but too much insulin can cause low blood sugar (hypoglycaemia) which can also cause health problems. </w:t>
            </w:r>
          </w:p>
          <w:p w14:paraId="0646DD27" w14:textId="184D8930" w:rsidR="003C70AD" w:rsidRDefault="003C70AD" w:rsidP="003C70AD">
            <w:r>
              <w:t xml:space="preserve">People with diabetes need to regularly check their blood sugar levels, particularly around mealtimes, to help them know if they might need to use insulin, and their blood sugar level will help them work out how much insulin they need. If their blood sugar levels are too low, they might need to eat more food to raise their blood sugar level and not use insulin. Most people check their blood sugar level by pricking their finger and placing the drop of blood onto a test strip that can measure blood glucose levels. This is called self-monitoring of blood glucose (SMBG). Some people need to do several finger prick tests over the day, which can be painful and inconvenient. Another way to test blood sugar is by using a continuous glucose monitor (CGM). This is a small device that sits on the skin (usually worn on the back of the upper arm), with a sensor that is inserted just under the skin and continuously measures the glucose level in the fluid under the skin. The CGM device sends the results via Bluetooth to the person’s smartphone or other type of receiver, so they can monitor their blood sugar levels in real time. This information </w:t>
            </w:r>
            <w:r w:rsidR="009A006A">
              <w:t>lets</w:t>
            </w:r>
            <w:r>
              <w:t xml:space="preserve"> people with diabetes see their blood sugar at any point in </w:t>
            </w:r>
            <w:proofErr w:type="gramStart"/>
            <w:r>
              <w:t>time, and</w:t>
            </w:r>
            <w:proofErr w:type="gramEnd"/>
            <w:r>
              <w:t xml:space="preserve"> also lets them see trends in their blood sugar levels. This could be for example over the past 24 hours, or longer time periods (e.g. over past 90 days), </w:t>
            </w:r>
            <w:r w:rsidR="009A006A">
              <w:t>which helps people understand</w:t>
            </w:r>
            <w:r>
              <w:t xml:space="preserve"> the effects of their behaviour (for example, what they eat, or how much they exercise) on their blood sugar levels. CGM can also reduce the burden on carers, provide information to doctors about treatment, and enable remote monitoring, which may improve access to care.</w:t>
            </w:r>
          </w:p>
          <w:p w14:paraId="2DD57FA0" w14:textId="6F8348FD" w:rsidR="00EF1ED0" w:rsidRDefault="00EF1ED0" w:rsidP="00EF1ED0">
            <w:r>
              <w:t>One such CGM device is called FreeStyle Libre 2 (FSL2). FSL2 is already funded under Australia’s National Diabetes Service Scheme (NDSS) for people with type 1 diabetes. This application is requesting funding for FSL2 be broadened to include people with type 2 diabetes who use insulin, as well as people who develop diabetes while they are pregnant, and people with some similar conditions. An application was also considered by MSAC for another type of CGM device (</w:t>
            </w:r>
            <w:hyperlink r:id="rId12" w:history="1">
              <w:r w:rsidRPr="00565FAC">
                <w:rPr>
                  <w:rStyle w:val="Hyperlink"/>
                </w:rPr>
                <w:t>Application 1785</w:t>
              </w:r>
            </w:hyperlink>
            <w:r>
              <w:t>).</w:t>
            </w:r>
          </w:p>
          <w:p w14:paraId="2D2E4553" w14:textId="5F6AC50A" w:rsidR="009C373B" w:rsidRDefault="009C373B" w:rsidP="009C373B">
            <w:r>
              <w:t xml:space="preserve">MSAC acknowledged the large </w:t>
            </w:r>
            <w:r w:rsidR="005054E3">
              <w:t xml:space="preserve">amount </w:t>
            </w:r>
            <w:r>
              <w:t xml:space="preserve">of public consultation input received for this application and appreciated the effort that people had gone to in sharing their experiences. </w:t>
            </w:r>
            <w:r w:rsidR="0062133A">
              <w:t xml:space="preserve">MSAC noted </w:t>
            </w:r>
            <w:r w:rsidR="008C1625">
              <w:t xml:space="preserve">that a major theme in the feedback was the importance of supporting self-management through patient education and empowerment. </w:t>
            </w:r>
          </w:p>
          <w:p w14:paraId="571CEB5C" w14:textId="7F3D5B67" w:rsidR="00461BA0" w:rsidRDefault="0027288C" w:rsidP="00461BA0">
            <w:r>
              <w:t>MSAC considered that CGM systems</w:t>
            </w:r>
            <w:r w:rsidR="0056116A">
              <w:t xml:space="preserve"> with similar features</w:t>
            </w:r>
            <w:r w:rsidR="005259B1">
              <w:t xml:space="preserve"> and functionality</w:t>
            </w:r>
            <w:r>
              <w:t xml:space="preserve"> were</w:t>
            </w:r>
            <w:r w:rsidR="002E3596">
              <w:t xml:space="preserve"> likely</w:t>
            </w:r>
            <w:r>
              <w:t xml:space="preserve"> similarly safe and effective regardless of the brand of device. </w:t>
            </w:r>
            <w:r w:rsidR="009C373B">
              <w:t xml:space="preserve">MSAC </w:t>
            </w:r>
            <w:r w:rsidR="00AF0DE8">
              <w:t>considered using CGM systems to be as safe as finger pricking for</w:t>
            </w:r>
            <w:r w:rsidR="009C373B">
              <w:t xml:space="preserve"> SMBG. </w:t>
            </w:r>
            <w:r w:rsidR="0057496C">
              <w:t xml:space="preserve">MSAC noted the application claimed CGM was more effective than SMBG for monitoring blood glucose levels, and that this claim was based on monitoring using CGM resulting in more of a reduction in long-term average blood glucose </w:t>
            </w:r>
            <w:r w:rsidR="00846795">
              <w:t>levels using a measure called glycated haemoglobin, also known as HbA1c, than</w:t>
            </w:r>
            <w:r w:rsidR="0057496C">
              <w:t xml:space="preserve"> SMBG. On </w:t>
            </w:r>
            <w:r w:rsidR="00461BA0">
              <w:t>average, CGM resulted in a reduction in HbA1c that was around 0.3% more than SMBG, which the</w:t>
            </w:r>
            <w:r w:rsidR="00461BA0" w:rsidRPr="005606C6">
              <w:t xml:space="preserve"> </w:t>
            </w:r>
            <w:r w:rsidR="00461BA0">
              <w:t>application</w:t>
            </w:r>
            <w:r w:rsidR="00461BA0" w:rsidRPr="005606C6">
              <w:t xml:space="preserve"> stated was clinically meaningful</w:t>
            </w:r>
            <w:r w:rsidR="00461BA0">
              <w:t>. However,</w:t>
            </w:r>
            <w:r w:rsidR="00461BA0" w:rsidRPr="005606C6">
              <w:t xml:space="preserve"> MSAC noted that a </w:t>
            </w:r>
            <w:r w:rsidR="00461BA0">
              <w:t xml:space="preserve">difference in </w:t>
            </w:r>
            <w:r w:rsidR="00461BA0" w:rsidRPr="005606C6">
              <w:t>reduction</w:t>
            </w:r>
            <w:r w:rsidR="00461BA0">
              <w:t xml:space="preserve"> in HbA1c</w:t>
            </w:r>
            <w:r w:rsidR="00461BA0" w:rsidRPr="005606C6">
              <w:t xml:space="preserve"> of 0.5% has previously been accepted as the </w:t>
            </w:r>
            <w:r w:rsidR="00461BA0">
              <w:t>smallest</w:t>
            </w:r>
            <w:r w:rsidR="00461BA0" w:rsidRPr="005606C6">
              <w:t xml:space="preserve"> difference needed to show better clinical outcomes</w:t>
            </w:r>
            <w:r w:rsidR="00461BA0">
              <w:t xml:space="preserve"> by international committees that evaluate medicines and medical services and by diabetes organisations</w:t>
            </w:r>
            <w:r w:rsidR="00461BA0" w:rsidRPr="005606C6">
              <w:t>.</w:t>
            </w:r>
            <w:r w:rsidR="00461BA0">
              <w:t xml:space="preserve"> </w:t>
            </w:r>
            <w:r w:rsidR="00461BA0" w:rsidRPr="005443EB">
              <w:t>The follow-up time in the studies was also relatively short (1 year or less), so</w:t>
            </w:r>
            <w:r w:rsidR="00461BA0">
              <w:t xml:space="preserve"> MSAC considered that</w:t>
            </w:r>
            <w:r w:rsidR="00461BA0" w:rsidRPr="005443EB">
              <w:t xml:space="preserve"> the long-term benefits </w:t>
            </w:r>
            <w:r w:rsidR="00461BA0">
              <w:t>of CGM were</w:t>
            </w:r>
            <w:r w:rsidR="00461BA0" w:rsidRPr="005443EB">
              <w:t xml:space="preserve"> </w:t>
            </w:r>
            <w:r w:rsidR="00461BA0">
              <w:t>not shown in these studies</w:t>
            </w:r>
            <w:r w:rsidR="00461BA0" w:rsidRPr="005443EB">
              <w:t>.</w:t>
            </w:r>
          </w:p>
          <w:p w14:paraId="0B7E1BD1" w14:textId="5DC2F155" w:rsidR="00461BA0" w:rsidRDefault="00461BA0" w:rsidP="00461BA0">
            <w:r>
              <w:t>MSAC noted that there is a large group of people with type 2 diabetes, with a wide range of different backgrounds and clinical needs, and therefore that it was not likely the effects of CGM would be the same for everyone with type 2 diabetes.</w:t>
            </w:r>
            <w:r w:rsidR="005A1A00">
              <w:t xml:space="preserve"> MSAC also noted that sometimes CGM is used intermittently rather than continuously, to achieve better glucose control, and then check that control has been obtained.</w:t>
            </w:r>
          </w:p>
          <w:p w14:paraId="7FFDC9E8" w14:textId="77777777" w:rsidR="00461BA0" w:rsidRDefault="00461BA0" w:rsidP="00461BA0">
            <w:r>
              <w:t>MSAC also noted that the estimated financial impact to the NDSS of funding CGM for everyone with type 2 diabetes was very large, which MSAC considered may not be reasonable for a technology that has not been demonstrated t</w:t>
            </w:r>
            <w:r w:rsidRPr="00441A52">
              <w:t>o have significant clin</w:t>
            </w:r>
            <w:r>
              <w:t xml:space="preserve">ical benefit. </w:t>
            </w:r>
          </w:p>
          <w:p w14:paraId="4637D732" w14:textId="6E215BBC" w:rsidR="00461BA0" w:rsidRDefault="00461BA0" w:rsidP="00461BA0">
            <w:r>
              <w:t xml:space="preserve">MSAC also identified </w:t>
            </w:r>
            <w:r w:rsidRPr="00C12B2D">
              <w:t>some problems with the economic modelling used to assess the costs and benefits to the health system of funding this technology</w:t>
            </w:r>
            <w:r>
              <w:t>, which meant that its cost effectiveness was uncertain. However, M</w:t>
            </w:r>
            <w:r w:rsidRPr="00862147">
              <w:t>SAC considered t</w:t>
            </w:r>
            <w:r>
              <w:t xml:space="preserve">hat CGM could be particularly beneficial for some groups of people with type 2 diabetes and at certain </w:t>
            </w:r>
            <w:r w:rsidDel="007F1815">
              <w:t>t</w:t>
            </w:r>
            <w:r>
              <w:t xml:space="preserve">imes. Such groups could include First Nations people, who </w:t>
            </w:r>
            <w:r w:rsidR="00692F00">
              <w:t>may particularly benefit from this intervention</w:t>
            </w:r>
            <w:r>
              <w:t xml:space="preserve"> and for whom finger prick testing may not be culturally appropriate; people who have a disability that increases the burden of finger prick testing on carers or on themselves; and people with baseline HbA1</w:t>
            </w:r>
            <w:r w:rsidRPr="001F75DA">
              <w:t xml:space="preserve">c levels </w:t>
            </w:r>
            <w:r>
              <w:t xml:space="preserve">over </w:t>
            </w:r>
            <w:r w:rsidRPr="001F75DA">
              <w:t>8</w:t>
            </w:r>
            <w:r>
              <w:t>%. MSAC also considered that it ma</w:t>
            </w:r>
            <w:r w:rsidRPr="00E154C2">
              <w:t xml:space="preserve">y be most beneficial and cost-effective to fund CGM for shorter periods rather than </w:t>
            </w:r>
            <w:r w:rsidR="004E612C">
              <w:t>continuously</w:t>
            </w:r>
            <w:r w:rsidRPr="00E154C2">
              <w:t>. More evidence is needed to determine whether CGM is especially useful in these circumstances</w:t>
            </w:r>
            <w:r w:rsidR="00B239EB">
              <w:t>.</w:t>
            </w:r>
          </w:p>
          <w:p w14:paraId="67477433" w14:textId="4533A254" w:rsidR="00461BA0" w:rsidRDefault="00461BA0" w:rsidP="00461BA0">
            <w:r>
              <w:t xml:space="preserve">For people with gestational diabetes and other conditions </w:t>
            </w:r>
            <w:proofErr w:type="gramStart"/>
            <w:r>
              <w:t>similar to</w:t>
            </w:r>
            <w:proofErr w:type="gramEnd"/>
            <w:r>
              <w:t xml:space="preserve"> type 1 diabetes, MSAC noted that evidence was limited because these types of diabetes are less common. However, MSAC felt that these were small, but important, subgroups who would most likely benefit from CGM. </w:t>
            </w:r>
          </w:p>
          <w:p w14:paraId="3FCF2C05" w14:textId="14171FCB" w:rsidR="00B239EB" w:rsidRDefault="00B239EB" w:rsidP="00461BA0">
            <w:r>
              <w:t>MSAC advised that, if CGM is funded for any of the identified populations in the future, the funding arrangements should match those in place for type 1 diabetes, to ensure that public funding of CGM is equitable.</w:t>
            </w:r>
          </w:p>
          <w:p w14:paraId="4C703683" w14:textId="3B41BCF7" w:rsidR="009C373B" w:rsidRPr="009C373B" w:rsidRDefault="009C373B" w:rsidP="009C373B">
            <w:pPr>
              <w:pStyle w:val="Heading3"/>
              <w:spacing w:before="240" w:after="120"/>
              <w:rPr>
                <w:sz w:val="22"/>
                <w:szCs w:val="22"/>
              </w:rPr>
            </w:pPr>
            <w:r w:rsidRPr="009C373B">
              <w:rPr>
                <w:sz w:val="22"/>
                <w:szCs w:val="22"/>
              </w:rPr>
              <w:t xml:space="preserve">MSAC’s advice to the </w:t>
            </w:r>
            <w:proofErr w:type="gramStart"/>
            <w:r w:rsidRPr="009C373B">
              <w:rPr>
                <w:sz w:val="22"/>
                <w:szCs w:val="22"/>
              </w:rPr>
              <w:t>Commonwealth Minister</w:t>
            </w:r>
            <w:proofErr w:type="gramEnd"/>
            <w:r w:rsidRPr="009C373B">
              <w:rPr>
                <w:sz w:val="22"/>
                <w:szCs w:val="22"/>
              </w:rPr>
              <w:t xml:space="preserve"> for Health, Disability and Ageing</w:t>
            </w:r>
          </w:p>
          <w:p w14:paraId="2FF11D7B" w14:textId="34AFFCC5" w:rsidR="009C373B" w:rsidRPr="00F91D6E" w:rsidRDefault="009C373B" w:rsidP="009C373B">
            <w:pPr>
              <w:spacing w:after="120" w:line="259" w:lineRule="auto"/>
            </w:pPr>
            <w:r w:rsidRPr="00AF46D8">
              <w:t xml:space="preserve">MSAC deferred its </w:t>
            </w:r>
            <w:r>
              <w:t>decision on public funding for this application</w:t>
            </w:r>
            <w:r w:rsidR="00E3130C">
              <w:t xml:space="preserve">, with a mind to support a resubmission if the applicant </w:t>
            </w:r>
            <w:r w:rsidR="000C67B6">
              <w:t>address</w:t>
            </w:r>
            <w:r w:rsidR="00B21E5A">
              <w:t xml:space="preserve">es the issues </w:t>
            </w:r>
            <w:r w:rsidR="00487D3E">
              <w:t>raised by MSAC</w:t>
            </w:r>
            <w:r>
              <w:t xml:space="preserve">. MSAC requested that more work is done to clearly identify the subgroups of people with type 2 diabetes who would gain the most benefit from CGM, </w:t>
            </w:r>
            <w:r w:rsidR="00EB155B">
              <w:t>and</w:t>
            </w:r>
            <w:r>
              <w:t xml:space="preserve"> </w:t>
            </w:r>
            <w:r w:rsidR="00EB155B">
              <w:t xml:space="preserve">to fix problems with the economic model </w:t>
            </w:r>
            <w:r w:rsidR="00F858F5">
              <w:t>to ensure</w:t>
            </w:r>
            <w:r w:rsidR="00EB155B">
              <w:t xml:space="preserve"> its results are reliable</w:t>
            </w:r>
            <w:r>
              <w:t xml:space="preserve">. </w:t>
            </w:r>
          </w:p>
        </w:tc>
      </w:tr>
    </w:tbl>
    <w:p w14:paraId="5F29C9ED" w14:textId="77777777" w:rsidR="003A0813" w:rsidRPr="00D155C0" w:rsidRDefault="003A0813" w:rsidP="003027B3">
      <w:pPr>
        <w:pStyle w:val="Heading2"/>
        <w:numPr>
          <w:ilvl w:val="0"/>
          <w:numId w:val="27"/>
        </w:numPr>
        <w:ind w:hanging="720"/>
      </w:pPr>
      <w:r w:rsidRPr="003A793E">
        <w:t>Summary of consideration and rationale for MSAC’s advice</w:t>
      </w:r>
    </w:p>
    <w:bookmarkEnd w:id="3"/>
    <w:bookmarkEnd w:id="4"/>
    <w:p w14:paraId="55B2D04B" w14:textId="2F7A08C2" w:rsidR="004161A5" w:rsidRPr="004161A5" w:rsidRDefault="004161A5" w:rsidP="004161A5">
      <w:pPr>
        <w:spacing w:after="240"/>
        <w:rPr>
          <w:iCs/>
        </w:rPr>
      </w:pPr>
      <w:r w:rsidRPr="004161A5">
        <w:rPr>
          <w:iCs/>
        </w:rPr>
        <w:t xml:space="preserve">MSAC noted that this application was from Abbott Australasia Pty Ltd requesting National Diabetes Services Scheme (NDSS) funding of the FreeStyle Libre 2 (FSL2) and FSL2 Plus continuous glucose monitoring (CGM) system for people with type 2 diabetes (T2D) requiring treatment with insulin (PICO set 1), pregnant women with gestational diabetes (PICO set 2), and all people aged ≥21 years with other conditions similar to type 1 diabetes (T1D) requiring insulin, including type 3c diabetes (T3cD) (PICO set 3). </w:t>
      </w:r>
      <w:r w:rsidR="00AD3A06">
        <w:rPr>
          <w:iCs/>
        </w:rPr>
        <w:t>MSAC noted that</w:t>
      </w:r>
      <w:r w:rsidR="00D94A4C">
        <w:rPr>
          <w:iCs/>
        </w:rPr>
        <w:t xml:space="preserve"> the proposed NDSS eligibility criteria for FLS2</w:t>
      </w:r>
      <w:r w:rsidR="00AD3A06">
        <w:rPr>
          <w:iCs/>
        </w:rPr>
        <w:t xml:space="preserve"> for PICO set 2 </w:t>
      </w:r>
      <w:r w:rsidR="00C3108A">
        <w:rPr>
          <w:iCs/>
        </w:rPr>
        <w:t xml:space="preserve">(pregnant women with gestational diabetes) </w:t>
      </w:r>
      <w:r w:rsidR="00AD3A06">
        <w:rPr>
          <w:iCs/>
        </w:rPr>
        <w:t>did not specify</w:t>
      </w:r>
      <w:r w:rsidR="001141BA">
        <w:rPr>
          <w:iCs/>
        </w:rPr>
        <w:t xml:space="preserve"> </w:t>
      </w:r>
      <w:r w:rsidR="005A3452">
        <w:rPr>
          <w:iCs/>
        </w:rPr>
        <w:t>that this population needed to be us</w:t>
      </w:r>
      <w:r w:rsidR="00C6350F">
        <w:rPr>
          <w:iCs/>
        </w:rPr>
        <w:t>ing insulin</w:t>
      </w:r>
      <w:r w:rsidR="003C4F5E">
        <w:rPr>
          <w:iCs/>
        </w:rPr>
        <w:t xml:space="preserve">. </w:t>
      </w:r>
    </w:p>
    <w:p w14:paraId="78A90BF1" w14:textId="24E98626" w:rsidR="005977C8" w:rsidRDefault="005977C8" w:rsidP="004161A5">
      <w:pPr>
        <w:spacing w:after="240"/>
      </w:pPr>
      <w:r w:rsidRPr="00050EFB">
        <w:t>MSAC noted</w:t>
      </w:r>
      <w:r>
        <w:t xml:space="preserve"> </w:t>
      </w:r>
      <w:r w:rsidRPr="00050EFB">
        <w:t>t</w:t>
      </w:r>
      <w:r w:rsidRPr="00D83958">
        <w:t>he</w:t>
      </w:r>
      <w:r w:rsidRPr="00050EFB">
        <w:t xml:space="preserve"> </w:t>
      </w:r>
      <w:r>
        <w:t xml:space="preserve">recommendations from the </w:t>
      </w:r>
      <w:r w:rsidRPr="00050EFB">
        <w:t xml:space="preserve">Royal Australian College of General </w:t>
      </w:r>
      <w:r w:rsidRPr="005D6CA7">
        <w:t xml:space="preserve">Practitioners (RACGP) </w:t>
      </w:r>
      <w:r>
        <w:t>regarding when blood glucose levels (BGLs) should be actively checked. BGL c</w:t>
      </w:r>
      <w:r w:rsidRPr="00927A36">
        <w:t xml:space="preserve">hecking is usually conducted </w:t>
      </w:r>
      <w:r>
        <w:t>using</w:t>
      </w:r>
      <w:r w:rsidRPr="00927A36">
        <w:t xml:space="preserve"> </w:t>
      </w:r>
      <w:r w:rsidRPr="00D83958">
        <w:t xml:space="preserve">self-monitoring of blood glucose (SMBG) </w:t>
      </w:r>
      <w:r>
        <w:t>via</w:t>
      </w:r>
      <w:r w:rsidRPr="00D83958">
        <w:t xml:space="preserve"> finger prick testing.</w:t>
      </w:r>
      <w:r w:rsidRPr="00927A36">
        <w:t xml:space="preserve"> </w:t>
      </w:r>
      <w:r>
        <w:t xml:space="preserve">MSAC noted that the number of times per day a patient needs to check their BGL varies widely and depends on the context. MSAC noted that </w:t>
      </w:r>
      <w:r w:rsidRPr="004207F4">
        <w:t>people on long</w:t>
      </w:r>
      <w:r w:rsidR="009B699F">
        <w:t>-</w:t>
      </w:r>
      <w:r w:rsidRPr="004207F4">
        <w:t xml:space="preserve">acting once daily insulin generally need to check their blood </w:t>
      </w:r>
      <w:r>
        <w:t>glucose</w:t>
      </w:r>
      <w:r w:rsidRPr="004207F4">
        <w:t xml:space="preserve"> </w:t>
      </w:r>
      <w:r>
        <w:t>only</w:t>
      </w:r>
      <w:r w:rsidRPr="004207F4">
        <w:t xml:space="preserve"> once a day (</w:t>
      </w:r>
      <w:r>
        <w:t xml:space="preserve">in the </w:t>
      </w:r>
      <w:r w:rsidRPr="004207F4">
        <w:t xml:space="preserve">morning), </w:t>
      </w:r>
      <w:r>
        <w:t xml:space="preserve">except for </w:t>
      </w:r>
      <w:r w:rsidRPr="004207F4">
        <w:t>during times of illness</w:t>
      </w:r>
      <w:r>
        <w:t>,</w:t>
      </w:r>
      <w:r w:rsidRPr="004207F4">
        <w:t xml:space="preserve"> dosage adjustment or if they are on other medications that cause hypoglyc</w:t>
      </w:r>
      <w:r>
        <w:t>a</w:t>
      </w:r>
      <w:r w:rsidRPr="004207F4">
        <w:t>emia (</w:t>
      </w:r>
      <w:r>
        <w:t>such as</w:t>
      </w:r>
      <w:r w:rsidRPr="004207F4">
        <w:t xml:space="preserve"> sulfonylureas </w:t>
      </w:r>
      <w:r>
        <w:t xml:space="preserve">which is </w:t>
      </w:r>
      <w:r w:rsidRPr="004207F4">
        <w:t>now rarely used</w:t>
      </w:r>
      <w:r w:rsidR="009F5328">
        <w:t>).</w:t>
      </w:r>
      <w:r w:rsidR="007F72A9">
        <w:t xml:space="preserve"> People on both short</w:t>
      </w:r>
      <w:r w:rsidR="009B699F">
        <w:t>-</w:t>
      </w:r>
      <w:r w:rsidR="007F72A9">
        <w:t xml:space="preserve"> and long</w:t>
      </w:r>
      <w:r w:rsidR="009B699F">
        <w:t>-</w:t>
      </w:r>
      <w:r w:rsidR="007F72A9">
        <w:t>acting insulin may need to check their blood glucose more often.</w:t>
      </w:r>
    </w:p>
    <w:p w14:paraId="0C44C3F2" w14:textId="31887911" w:rsidR="00034EA6" w:rsidRPr="00436C24" w:rsidRDefault="00034EA6" w:rsidP="00034EA6">
      <w:r w:rsidRPr="00436C24">
        <w:t>CGM systems</w:t>
      </w:r>
      <w:r>
        <w:t xml:space="preserve"> are designed to replace</w:t>
      </w:r>
      <w:r w:rsidRPr="00436C24">
        <w:t xml:space="preserve"> </w:t>
      </w:r>
      <w:r>
        <w:t>SMBG</w:t>
      </w:r>
      <w:r w:rsidRPr="00436C24">
        <w:t xml:space="preserve">. </w:t>
      </w:r>
      <w:r>
        <w:t>MSAC noted that t</w:t>
      </w:r>
      <w:r w:rsidRPr="00436C24">
        <w:t xml:space="preserve">he </w:t>
      </w:r>
      <w:r>
        <w:t>FSL2</w:t>
      </w:r>
      <w:r w:rsidRPr="00436C24">
        <w:t xml:space="preserve"> CGM system uses a sensor to measure glucose concentrations in interstitial fluid</w:t>
      </w:r>
      <w:r>
        <w:t>, then</w:t>
      </w:r>
      <w:r w:rsidRPr="00436C24">
        <w:t xml:space="preserve"> reports the measurements in real time via a Bluetooth-enabled display device. The system issues </w:t>
      </w:r>
      <w:proofErr w:type="gramStart"/>
      <w:r w:rsidRPr="00436C24">
        <w:t>alerts</w:t>
      </w:r>
      <w:proofErr w:type="gramEnd"/>
      <w:r w:rsidRPr="00436C24">
        <w:t xml:space="preserve"> for </w:t>
      </w:r>
      <w:r w:rsidR="00616B7F">
        <w:t xml:space="preserve">readings indicative of </w:t>
      </w:r>
      <w:r w:rsidRPr="00436C24">
        <w:t xml:space="preserve">hypo- and hyperglycaemia to </w:t>
      </w:r>
      <w:r>
        <w:t>aid</w:t>
      </w:r>
      <w:r w:rsidRPr="00436C24">
        <w:t xml:space="preserve"> timely blood glucose management. Patients using </w:t>
      </w:r>
      <w:r>
        <w:t>FSL2 or FSL2 Plus</w:t>
      </w:r>
      <w:r w:rsidRPr="00436C24">
        <w:t xml:space="preserve"> only require finger prick testing if the system fails to give a reading or</w:t>
      </w:r>
      <w:r>
        <w:t xml:space="preserve"> if a</w:t>
      </w:r>
      <w:r w:rsidRPr="00436C24">
        <w:t xml:space="preserve"> reading is </w:t>
      </w:r>
      <w:r>
        <w:t>in</w:t>
      </w:r>
      <w:r w:rsidRPr="00436C24">
        <w:t>consistent with their symptoms.</w:t>
      </w:r>
    </w:p>
    <w:p w14:paraId="451DD79B" w14:textId="241F250A" w:rsidR="00034EA6" w:rsidRDefault="00034EA6" w:rsidP="00034EA6">
      <w:r>
        <w:t>MSAC noted the history of funding under the NDSS for people with type 1 diabetes mellitus (T1D) i</w:t>
      </w:r>
      <w:r w:rsidRPr="006B7AC0">
        <w:t>n Australia. Funding was initially made available to</w:t>
      </w:r>
      <w:r>
        <w:t xml:space="preserve"> people with</w:t>
      </w:r>
      <w:r w:rsidRPr="006B7AC0">
        <w:t xml:space="preserve"> T1D aged under 21 in April 2017</w:t>
      </w:r>
      <w:r>
        <w:t xml:space="preserve">, with access further expanded in </w:t>
      </w:r>
      <w:r w:rsidRPr="006B7AC0">
        <w:t xml:space="preserve">2019 </w:t>
      </w:r>
      <w:r>
        <w:t xml:space="preserve">and in </w:t>
      </w:r>
      <w:r w:rsidRPr="006B7AC0">
        <w:t>2022</w:t>
      </w:r>
      <w:r>
        <w:t xml:space="preserve">. For some </w:t>
      </w:r>
      <w:r w:rsidR="00406390">
        <w:t xml:space="preserve">groups, there is a </w:t>
      </w:r>
      <w:r w:rsidR="00406390" w:rsidRPr="006B7AC0">
        <w:t>co-payment (</w:t>
      </w:r>
      <w:r w:rsidR="002F4B65">
        <w:t xml:space="preserve">equivalent to </w:t>
      </w:r>
      <w:r w:rsidR="003B089A">
        <w:t xml:space="preserve">around </w:t>
      </w:r>
      <w:r w:rsidR="00406390" w:rsidRPr="006B7AC0">
        <w:t>$3</w:t>
      </w:r>
      <w:r w:rsidR="003B089A">
        <w:t>5</w:t>
      </w:r>
      <w:r w:rsidR="00406390">
        <w:t>.</w:t>
      </w:r>
      <w:r w:rsidR="003B089A">
        <w:t>9</w:t>
      </w:r>
      <w:r w:rsidR="00406390">
        <w:t>0</w:t>
      </w:r>
      <w:r w:rsidR="003B089A">
        <w:t xml:space="preserve"> per month</w:t>
      </w:r>
      <w:r w:rsidR="00406390">
        <w:t>).</w:t>
      </w:r>
      <w:r>
        <w:t xml:space="preserve"> MSAC noted that NDSS funding is not currently available for CGM for people with T2D.</w:t>
      </w:r>
    </w:p>
    <w:p w14:paraId="78DF8FAE" w14:textId="7AD5E238" w:rsidR="00034EA6" w:rsidRDefault="00034EA6" w:rsidP="00034EA6">
      <w:r w:rsidRPr="003204FD">
        <w:t xml:space="preserve">MSAC noted that the NDSS currently funds CGM products from 3 manufacturers, 2 of which have submitted applications for consideration at </w:t>
      </w:r>
      <w:r w:rsidR="004221DD">
        <w:t>the July 2025</w:t>
      </w:r>
      <w:r w:rsidRPr="003204FD">
        <w:t xml:space="preserve"> meeting. </w:t>
      </w:r>
      <w:r w:rsidRPr="008E4DE0">
        <w:t>MSAC Application 178</w:t>
      </w:r>
      <w:r w:rsidR="00CB63A6">
        <w:t>5</w:t>
      </w:r>
      <w:r w:rsidRPr="003204FD">
        <w:t xml:space="preserve"> seeks funding for the </w:t>
      </w:r>
      <w:r w:rsidR="00CB63A6">
        <w:t>Dexcom ONE+</w:t>
      </w:r>
      <w:r w:rsidRPr="003204FD">
        <w:t xml:space="preserve"> CGM system.</w:t>
      </w:r>
    </w:p>
    <w:p w14:paraId="2D0DFEA2" w14:textId="7BA1B03D" w:rsidR="00E4425A" w:rsidRDefault="00E4425A" w:rsidP="00E4425A">
      <w:r>
        <w:t xml:space="preserve">MSAC </w:t>
      </w:r>
      <w:r w:rsidRPr="00E23C74">
        <w:t>noted the similarities</w:t>
      </w:r>
      <w:r w:rsidR="00995EB0">
        <w:t xml:space="preserve"> and differences</w:t>
      </w:r>
      <w:r w:rsidRPr="00E23C74">
        <w:t xml:space="preserve"> between this application and Application 178</w:t>
      </w:r>
      <w:r>
        <w:t>5</w:t>
      </w:r>
      <w:r w:rsidRPr="00E23C74">
        <w:t>. Both applications request</w:t>
      </w:r>
      <w:r>
        <w:t>ed</w:t>
      </w:r>
      <w:r w:rsidRPr="00E23C74">
        <w:t xml:space="preserve"> funding for CGM systems in patients with T2D who use insulin</w:t>
      </w:r>
      <w:r>
        <w:t>,</w:t>
      </w:r>
      <w:r w:rsidRPr="00E23C74">
        <w:t xml:space="preserve"> and specific subpopulations</w:t>
      </w:r>
      <w:r>
        <w:t xml:space="preserve"> of these patients</w:t>
      </w:r>
      <w:r w:rsidRPr="00E23C74">
        <w:t>. The subpopulations in this application are</w:t>
      </w:r>
      <w:r w:rsidR="00636869">
        <w:t xml:space="preserve"> people using</w:t>
      </w:r>
      <w:r w:rsidRPr="00E23C74">
        <w:t xml:space="preserve"> </w:t>
      </w:r>
      <w:r>
        <w:t>intensive insulin therapy (</w:t>
      </w:r>
      <w:r w:rsidRPr="00E23C74">
        <w:t>IIT</w:t>
      </w:r>
      <w:r>
        <w:t>; defined as multiple daily insulin injections or continuous subcutaneous insulin infusion)</w:t>
      </w:r>
      <w:r w:rsidRPr="00E23C74">
        <w:t xml:space="preserve"> users and</w:t>
      </w:r>
      <w:r w:rsidR="00252943">
        <w:t xml:space="preserve"> people using</w:t>
      </w:r>
      <w:r w:rsidRPr="00E23C74">
        <w:t xml:space="preserve"> non-IIT</w:t>
      </w:r>
      <w:r>
        <w:t>. In application 1785,</w:t>
      </w:r>
      <w:r w:rsidRPr="00E23C74">
        <w:t xml:space="preserve"> the subpopulations</w:t>
      </w:r>
      <w:r>
        <w:t xml:space="preserve"> </w:t>
      </w:r>
      <w:r w:rsidRPr="00E23C74">
        <w:t xml:space="preserve">are </w:t>
      </w:r>
      <w:r>
        <w:t>also IIT and non-IIT users, although the definition of IIT differs (</w:t>
      </w:r>
      <w:r w:rsidRPr="00D16CDD">
        <w:t>treatment with basal insulin and rapid-acting insulin</w:t>
      </w:r>
      <w:r>
        <w:t>). Applic</w:t>
      </w:r>
      <w:r w:rsidR="00AF0295">
        <w:t>ation 1785 was restricted to people with T2D and did not include the additional populations defined in PICO sets 2 and 3 of this application.</w:t>
      </w:r>
      <w:r>
        <w:t xml:space="preserve"> The primary outcome in both applications was change in glycated haemoglobin (HbA1c).</w:t>
      </w:r>
    </w:p>
    <w:p w14:paraId="496ECDD4" w14:textId="0899EC24" w:rsidR="00E4425A" w:rsidRPr="008E4DE0" w:rsidRDefault="0045303B" w:rsidP="008E4DE0">
      <w:pPr>
        <w:rPr>
          <w:rFonts w:eastAsia="Times New Roman" w:cs="Times New Roman"/>
          <w:lang w:eastAsia="en-AU"/>
        </w:rPr>
      </w:pPr>
      <w:r w:rsidRPr="00DE0C28">
        <w:t xml:space="preserve">MSAC </w:t>
      </w:r>
      <w:r w:rsidRPr="002539B4">
        <w:t xml:space="preserve">recalled </w:t>
      </w:r>
      <w:r>
        <w:t>its previous</w:t>
      </w:r>
      <w:r w:rsidRPr="00DE0C28">
        <w:t xml:space="preserve"> review of CGM products provided via the NDSS for people with T1D in 2021 (</w:t>
      </w:r>
      <w:hyperlink r:id="rId13" w:history="1">
        <w:r w:rsidRPr="00DE0C28">
          <w:rPr>
            <w:rStyle w:val="Hyperlink"/>
          </w:rPr>
          <w:t>MSAC Review 1663</w:t>
        </w:r>
      </w:hyperlink>
      <w:r w:rsidRPr="00DE0C28">
        <w:t xml:space="preserve">). </w:t>
      </w:r>
      <w:r>
        <w:rPr>
          <w:rFonts w:eastAsia="Times New Roman" w:cs="Times New Roman"/>
          <w:lang w:eastAsia="en-AU"/>
        </w:rPr>
        <w:t>MSAC recalled it considered further work was required to define the patient populations that would benefit most from CGM, noting</w:t>
      </w:r>
      <w:r>
        <w:t xml:space="preserve"> that available guidelines </w:t>
      </w:r>
      <w:r w:rsidRPr="000D4B18">
        <w:rPr>
          <w:rFonts w:eastAsia="Times New Roman" w:cs="Times New Roman"/>
          <w:lang w:eastAsia="en-AU"/>
        </w:rPr>
        <w:t>recommend CGM for all people with T1D treated with multiple daily insulin injections</w:t>
      </w:r>
      <w:r>
        <w:rPr>
          <w:rFonts w:eastAsia="Times New Roman" w:cs="Times New Roman"/>
          <w:lang w:eastAsia="en-AU"/>
        </w:rPr>
        <w:t>. MSAC recalled the review concluded that based on the available evidence, CGM is likely no different to SMBG in terms of HbA1c change and safety for most patients. MSAC recalled the review’s conclusion that the economic model failed to provide</w:t>
      </w:r>
      <w:r w:rsidRPr="000D4B18">
        <w:rPr>
          <w:rFonts w:eastAsia="Times New Roman" w:cs="Times New Roman"/>
          <w:lang w:eastAsia="en-AU"/>
        </w:rPr>
        <w:t xml:space="preserve"> a reliable basis for estimating the cost</w:t>
      </w:r>
      <w:r>
        <w:rPr>
          <w:rFonts w:eastAsia="Times New Roman" w:cs="Times New Roman"/>
          <w:lang w:eastAsia="en-AU"/>
        </w:rPr>
        <w:t>-</w:t>
      </w:r>
      <w:r w:rsidRPr="000D4B18">
        <w:rPr>
          <w:rFonts w:eastAsia="Times New Roman" w:cs="Times New Roman"/>
          <w:lang w:eastAsia="en-AU"/>
        </w:rPr>
        <w:t>effectiveness of CGM compared to SMBG</w:t>
      </w:r>
      <w:r>
        <w:rPr>
          <w:rFonts w:eastAsia="Times New Roman" w:cs="Times New Roman"/>
          <w:lang w:eastAsia="en-AU"/>
        </w:rPr>
        <w:t xml:space="preserve"> and failed to </w:t>
      </w:r>
      <w:r w:rsidRPr="000D4B18">
        <w:rPr>
          <w:rFonts w:eastAsia="Times New Roman" w:cs="Times New Roman"/>
          <w:lang w:eastAsia="en-AU"/>
        </w:rPr>
        <w:t xml:space="preserve">adequately capture </w:t>
      </w:r>
      <w:r>
        <w:rPr>
          <w:rFonts w:eastAsia="Times New Roman" w:cs="Times New Roman"/>
          <w:lang w:eastAsia="en-AU"/>
        </w:rPr>
        <w:t xml:space="preserve">the </w:t>
      </w:r>
      <w:r w:rsidRPr="000D4B18">
        <w:rPr>
          <w:rFonts w:eastAsia="Times New Roman" w:cs="Times New Roman"/>
          <w:lang w:eastAsia="en-AU"/>
        </w:rPr>
        <w:t xml:space="preserve">range of clinical and </w:t>
      </w:r>
      <w:r>
        <w:rPr>
          <w:rFonts w:eastAsia="Times New Roman" w:cs="Times New Roman"/>
          <w:lang w:eastAsia="en-AU"/>
        </w:rPr>
        <w:t>qu</w:t>
      </w:r>
      <w:r w:rsidRPr="00976D9F">
        <w:rPr>
          <w:rFonts w:eastAsia="Times New Roman" w:cs="Times New Roman"/>
          <w:lang w:eastAsia="en-AU"/>
        </w:rPr>
        <w:t>ality of life (QoL) ben</w:t>
      </w:r>
      <w:r w:rsidRPr="000D4B18">
        <w:rPr>
          <w:rFonts w:eastAsia="Times New Roman" w:cs="Times New Roman"/>
          <w:lang w:eastAsia="en-AU"/>
        </w:rPr>
        <w:t xml:space="preserve">efits </w:t>
      </w:r>
      <w:r>
        <w:rPr>
          <w:rFonts w:eastAsia="Times New Roman" w:cs="Times New Roman"/>
          <w:lang w:eastAsia="en-AU"/>
        </w:rPr>
        <w:t xml:space="preserve">that </w:t>
      </w:r>
      <w:r w:rsidRPr="000D4B18">
        <w:rPr>
          <w:rFonts w:eastAsia="Times New Roman" w:cs="Times New Roman"/>
          <w:lang w:eastAsia="en-AU"/>
        </w:rPr>
        <w:t>CGM devices could potentially offer</w:t>
      </w:r>
      <w:r>
        <w:rPr>
          <w:rFonts w:eastAsia="Times New Roman" w:cs="Times New Roman"/>
          <w:lang w:eastAsia="en-AU"/>
        </w:rPr>
        <w:t>.</w:t>
      </w:r>
      <w:r>
        <w:t xml:space="preserve"> The review</w:t>
      </w:r>
      <w:r>
        <w:rPr>
          <w:rFonts w:eastAsia="Times New Roman" w:cs="Times New Roman"/>
          <w:lang w:eastAsia="en-AU"/>
        </w:rPr>
        <w:t xml:space="preserve"> recommended</w:t>
      </w:r>
      <w:r w:rsidRPr="000D4B18">
        <w:rPr>
          <w:rFonts w:eastAsia="Times New Roman" w:cs="Times New Roman"/>
          <w:lang w:eastAsia="en-AU"/>
        </w:rPr>
        <w:t xml:space="preserve"> th</w:t>
      </w:r>
      <w:r>
        <w:rPr>
          <w:rFonts w:eastAsia="Times New Roman" w:cs="Times New Roman"/>
          <w:lang w:eastAsia="en-AU"/>
        </w:rPr>
        <w:t>at the</w:t>
      </w:r>
      <w:r w:rsidRPr="000D4B18">
        <w:rPr>
          <w:rFonts w:eastAsia="Times New Roman" w:cs="Times New Roman"/>
          <w:lang w:eastAsia="en-AU"/>
        </w:rPr>
        <w:t xml:space="preserve"> pri</w:t>
      </w:r>
      <w:r w:rsidRPr="00976D9F">
        <w:rPr>
          <w:rFonts w:eastAsia="Times New Roman" w:cs="Times New Roman"/>
          <w:lang w:eastAsia="en-AU"/>
        </w:rPr>
        <w:t xml:space="preserve">mary outcomes modelled should also include avoidance of hypoglycaemic events, time in optimal glycaemic range and QoL measures. </w:t>
      </w:r>
      <w:r w:rsidR="00644EDC">
        <w:rPr>
          <w:rFonts w:eastAsia="Times New Roman" w:cs="Times New Roman"/>
          <w:lang w:eastAsia="en-AU"/>
        </w:rPr>
        <w:t>In the</w:t>
      </w:r>
      <w:r w:rsidR="00644EDC" w:rsidRPr="00976D9F">
        <w:rPr>
          <w:rFonts w:eastAsia="Times New Roman" w:cs="Times New Roman"/>
          <w:lang w:eastAsia="en-AU"/>
        </w:rPr>
        <w:t xml:space="preserve"> </w:t>
      </w:r>
      <w:r w:rsidRPr="00976D9F">
        <w:rPr>
          <w:rFonts w:eastAsia="Times New Roman" w:cs="Times New Roman"/>
          <w:lang w:eastAsia="en-AU"/>
        </w:rPr>
        <w:t>review</w:t>
      </w:r>
      <w:r w:rsidR="00644EDC">
        <w:rPr>
          <w:rFonts w:eastAsia="Times New Roman" w:cs="Times New Roman"/>
          <w:lang w:eastAsia="en-AU"/>
        </w:rPr>
        <w:t xml:space="preserve">, </w:t>
      </w:r>
      <w:r w:rsidR="00644EDC" w:rsidRPr="00644EDC">
        <w:rPr>
          <w:rFonts w:eastAsia="Times New Roman" w:cs="Times New Roman"/>
          <w:lang w:eastAsia="en-AU"/>
        </w:rPr>
        <w:t>MSAC further noted the lack of evidence available to suggest a significant difference in clinical outcomes between CGM devices and considered the revised economic model should be device agnostic</w:t>
      </w:r>
      <w:r>
        <w:rPr>
          <w:rFonts w:eastAsia="Times New Roman" w:cs="Times New Roman"/>
          <w:lang w:eastAsia="en-AU"/>
        </w:rPr>
        <w:t>.</w:t>
      </w:r>
    </w:p>
    <w:p w14:paraId="47ED9EC5" w14:textId="23CA8E82" w:rsidR="004161A5" w:rsidRPr="004161A5" w:rsidRDefault="004161A5" w:rsidP="004161A5">
      <w:pPr>
        <w:spacing w:after="240"/>
        <w:rPr>
          <w:iCs/>
        </w:rPr>
      </w:pPr>
      <w:r w:rsidRPr="004161A5">
        <w:rPr>
          <w:iCs/>
        </w:rPr>
        <w:t>The applicant was granted a hearing</w:t>
      </w:r>
      <w:r w:rsidR="005D7567">
        <w:rPr>
          <w:iCs/>
        </w:rPr>
        <w:t xml:space="preserve"> at the MSAC meeting</w:t>
      </w:r>
      <w:r w:rsidRPr="004161A5">
        <w:rPr>
          <w:iCs/>
        </w:rPr>
        <w:t xml:space="preserve">. The applicant’s clinical expert noted that a reduction in HbA1c of 0.3% as shown in the data supporting the application may appear </w:t>
      </w:r>
      <w:proofErr w:type="gramStart"/>
      <w:r w:rsidRPr="004161A5">
        <w:rPr>
          <w:iCs/>
        </w:rPr>
        <w:t>modest, but</w:t>
      </w:r>
      <w:proofErr w:type="gramEnd"/>
      <w:r w:rsidRPr="004161A5">
        <w:rPr>
          <w:iCs/>
        </w:rPr>
        <w:t xml:space="preserve"> claimed that any reduction in HbA1c is clinically meaningful as it reduces the risk of microvascular complications over time. They also noted that many patients prefer CGM to SMBG using a finger-prick sample, and the usage rate of the CGM device is high, including in patients in remote First Nations communities. The expert noted that several CGM devices are available, but that </w:t>
      </w:r>
      <w:r w:rsidR="00C149A6">
        <w:rPr>
          <w:iCs/>
        </w:rPr>
        <w:t xml:space="preserve">there </w:t>
      </w:r>
      <w:r w:rsidR="00457984">
        <w:rPr>
          <w:iCs/>
        </w:rPr>
        <w:t>is</w:t>
      </w:r>
      <w:r w:rsidR="00C149A6">
        <w:rPr>
          <w:iCs/>
        </w:rPr>
        <w:t xml:space="preserve"> current</w:t>
      </w:r>
      <w:r w:rsidR="00457984">
        <w:rPr>
          <w:iCs/>
        </w:rPr>
        <w:t>ly</w:t>
      </w:r>
      <w:r w:rsidR="00C149A6">
        <w:rPr>
          <w:iCs/>
        </w:rPr>
        <w:t xml:space="preserve"> inequi</w:t>
      </w:r>
      <w:r w:rsidR="00457984">
        <w:rPr>
          <w:iCs/>
        </w:rPr>
        <w:t>ty</w:t>
      </w:r>
      <w:r w:rsidR="00C149A6">
        <w:rPr>
          <w:iCs/>
        </w:rPr>
        <w:t xml:space="preserve"> </w:t>
      </w:r>
      <w:r w:rsidR="001F3370">
        <w:rPr>
          <w:iCs/>
        </w:rPr>
        <w:t>in access</w:t>
      </w:r>
      <w:r w:rsidR="00457984">
        <w:rPr>
          <w:iCs/>
        </w:rPr>
        <w:t>ing</w:t>
      </w:r>
      <w:r w:rsidR="001F3370">
        <w:rPr>
          <w:iCs/>
        </w:rPr>
        <w:t xml:space="preserve"> CGM </w:t>
      </w:r>
      <w:r w:rsidR="00457984">
        <w:rPr>
          <w:iCs/>
        </w:rPr>
        <w:t xml:space="preserve">in Australia, because it </w:t>
      </w:r>
      <w:r w:rsidR="001F3370">
        <w:rPr>
          <w:iCs/>
        </w:rPr>
        <w:t>is subsidised for T1D</w:t>
      </w:r>
      <w:r w:rsidR="0058259D">
        <w:rPr>
          <w:iCs/>
        </w:rPr>
        <w:t xml:space="preserve"> </w:t>
      </w:r>
      <w:r w:rsidR="00457984">
        <w:rPr>
          <w:iCs/>
        </w:rPr>
        <w:t>via the NDSS</w:t>
      </w:r>
      <w:r w:rsidR="0058259D">
        <w:rPr>
          <w:iCs/>
        </w:rPr>
        <w:t xml:space="preserve"> but not </w:t>
      </w:r>
      <w:r w:rsidR="00222E7B">
        <w:rPr>
          <w:iCs/>
        </w:rPr>
        <w:t xml:space="preserve">for </w:t>
      </w:r>
      <w:r w:rsidR="0058259D">
        <w:rPr>
          <w:iCs/>
        </w:rPr>
        <w:t>T2D</w:t>
      </w:r>
      <w:r w:rsidR="001210A0">
        <w:rPr>
          <w:iCs/>
        </w:rPr>
        <w:t xml:space="preserve"> or other types of diabetes</w:t>
      </w:r>
      <w:r w:rsidR="00457984">
        <w:rPr>
          <w:iCs/>
        </w:rPr>
        <w:t>, which means that people with T2D can only access the technology if they can afford the associated costs</w:t>
      </w:r>
      <w:r w:rsidR="0058259D">
        <w:rPr>
          <w:iCs/>
        </w:rPr>
        <w:t xml:space="preserve">. </w:t>
      </w:r>
      <w:r w:rsidRPr="004161A5">
        <w:rPr>
          <w:iCs/>
        </w:rPr>
        <w:t>The</w:t>
      </w:r>
      <w:r w:rsidR="00457984">
        <w:rPr>
          <w:iCs/>
        </w:rPr>
        <w:t xml:space="preserve"> applicant’s representative stated the</w:t>
      </w:r>
      <w:r w:rsidRPr="004161A5">
        <w:rPr>
          <w:iCs/>
        </w:rPr>
        <w:t xml:space="preserve"> value of CGM is in improving glycaemi</w:t>
      </w:r>
      <w:r w:rsidR="00092610">
        <w:rPr>
          <w:iCs/>
        </w:rPr>
        <w:t>c contro</w:t>
      </w:r>
      <w:r w:rsidR="007779A7">
        <w:rPr>
          <w:iCs/>
        </w:rPr>
        <w:t>l</w:t>
      </w:r>
      <w:r w:rsidRPr="004161A5">
        <w:rPr>
          <w:iCs/>
        </w:rPr>
        <w:t xml:space="preserve"> and </w:t>
      </w:r>
      <w:r w:rsidR="007779A7">
        <w:rPr>
          <w:iCs/>
        </w:rPr>
        <w:t xml:space="preserve">reducing the </w:t>
      </w:r>
      <w:r w:rsidR="00053D3C">
        <w:rPr>
          <w:iCs/>
        </w:rPr>
        <w:t xml:space="preserve">incidence of </w:t>
      </w:r>
      <w:r w:rsidR="006A4776">
        <w:rPr>
          <w:iCs/>
        </w:rPr>
        <w:t>hyperglycaemi</w:t>
      </w:r>
      <w:r w:rsidR="0052531B">
        <w:rPr>
          <w:iCs/>
        </w:rPr>
        <w:t>c</w:t>
      </w:r>
      <w:r w:rsidRPr="004161A5">
        <w:rPr>
          <w:iCs/>
        </w:rPr>
        <w:t xml:space="preserve"> </w:t>
      </w:r>
      <w:r w:rsidR="00457984">
        <w:rPr>
          <w:iCs/>
        </w:rPr>
        <w:t xml:space="preserve">and </w:t>
      </w:r>
      <w:r w:rsidRPr="004161A5">
        <w:rPr>
          <w:iCs/>
        </w:rPr>
        <w:t>hypoglycaemi</w:t>
      </w:r>
      <w:r w:rsidR="0052531B">
        <w:rPr>
          <w:iCs/>
        </w:rPr>
        <w:t>c e</w:t>
      </w:r>
      <w:r w:rsidR="003D3615">
        <w:rPr>
          <w:iCs/>
        </w:rPr>
        <w:t>pisodes</w:t>
      </w:r>
      <w:r w:rsidR="00750DE2">
        <w:rPr>
          <w:iCs/>
        </w:rPr>
        <w:t>. The applicant’s representative</w:t>
      </w:r>
      <w:r w:rsidR="00457984">
        <w:rPr>
          <w:iCs/>
        </w:rPr>
        <w:t xml:space="preserve"> emphasised</w:t>
      </w:r>
      <w:r w:rsidR="00457984" w:rsidRPr="004161A5">
        <w:rPr>
          <w:iCs/>
        </w:rPr>
        <w:t xml:space="preserve"> </w:t>
      </w:r>
      <w:r w:rsidRPr="004161A5">
        <w:rPr>
          <w:iCs/>
        </w:rPr>
        <w:t xml:space="preserve">patient preference for CGM </w:t>
      </w:r>
      <w:r w:rsidR="0058259D">
        <w:rPr>
          <w:iCs/>
        </w:rPr>
        <w:t>over SMBG</w:t>
      </w:r>
      <w:r w:rsidRPr="004161A5">
        <w:rPr>
          <w:iCs/>
        </w:rPr>
        <w:t>. MSAC noted that PICO set 1 (people with T2D who require insulin) is a broad group and queried whether there may be differential impacts in different subpopulations; however, the applicant’s clinical expert noted there were HbA1c reductions across the board in this group.</w:t>
      </w:r>
    </w:p>
    <w:p w14:paraId="01F0B706" w14:textId="3C157E09" w:rsidR="004161A5" w:rsidRPr="004161A5" w:rsidRDefault="004161A5" w:rsidP="004161A5">
      <w:pPr>
        <w:spacing w:after="240"/>
        <w:rPr>
          <w:iCs/>
        </w:rPr>
      </w:pPr>
      <w:r w:rsidRPr="004161A5">
        <w:rPr>
          <w:iCs/>
        </w:rPr>
        <w:t xml:space="preserve">MSAC noted the large number of consultation inputs received for this application, with a total of 2,270 inputs from consumers, health professionals and organisations. </w:t>
      </w:r>
      <w:r w:rsidR="0084073D">
        <w:rPr>
          <w:iCs/>
        </w:rPr>
        <w:t xml:space="preserve">MSAC acknowledged the effort that people had gone to in sharing their experiences. </w:t>
      </w:r>
      <w:r w:rsidRPr="004161A5">
        <w:rPr>
          <w:iCs/>
        </w:rPr>
        <w:t>MSAC noted that consultation inputs from patients who have experience with CGM indicate a clear patient preference for CGM in place of SMBG, which can lead to increased compliance and device use. Inputs noted the reduced risk of hypoglycaemic episodes with CGM, leading to peace of mind</w:t>
      </w:r>
      <w:r w:rsidR="00672FDB">
        <w:rPr>
          <w:iCs/>
        </w:rPr>
        <w:t xml:space="preserve">, </w:t>
      </w:r>
      <w:r w:rsidRPr="004161A5">
        <w:rPr>
          <w:iCs/>
        </w:rPr>
        <w:t xml:space="preserve">and particular benefits for people with disability and their carers. MSAC also noted the high importance of patient education and empowerment of patients using CGM, which can support behaviour change and improved self-management. Consultation inputs identified CGM as particularly beneficial for First Nations people, where SMBG can be seen as culturally unacceptable and can be associated with shame. </w:t>
      </w:r>
    </w:p>
    <w:p w14:paraId="3965E887" w14:textId="77777777" w:rsidR="004161A5" w:rsidRPr="004161A5" w:rsidRDefault="004161A5" w:rsidP="004161A5">
      <w:pPr>
        <w:spacing w:after="240"/>
        <w:rPr>
          <w:iCs/>
        </w:rPr>
      </w:pPr>
      <w:r w:rsidRPr="004161A5">
        <w:rPr>
          <w:iCs/>
        </w:rPr>
        <w:t xml:space="preserve">MSAC noted that people with T2D are a very heterogeneous population. Ideal HbA1c targets will vary among individuals based on their age, risk factors, comorbidities, life goals and other personal contextual factors. </w:t>
      </w:r>
    </w:p>
    <w:p w14:paraId="159646B2" w14:textId="77777777" w:rsidR="004161A5" w:rsidRPr="004161A5" w:rsidRDefault="004161A5" w:rsidP="004161A5">
      <w:pPr>
        <w:spacing w:after="240"/>
        <w:rPr>
          <w:iCs/>
        </w:rPr>
      </w:pPr>
      <w:r w:rsidRPr="004161A5">
        <w:rPr>
          <w:iCs/>
        </w:rPr>
        <w:t>MSAC noted that the comparator in each of the 3 PICO sets was SMBG using a finger-prick capillary blood sample, glucose test strips and a glucose meter, and considered this to be appropriate.</w:t>
      </w:r>
    </w:p>
    <w:p w14:paraId="4122E60B" w14:textId="32158559" w:rsidR="004161A5" w:rsidRPr="004161A5" w:rsidRDefault="004161A5" w:rsidP="004161A5">
      <w:pPr>
        <w:spacing w:after="240"/>
        <w:rPr>
          <w:iCs/>
        </w:rPr>
      </w:pPr>
      <w:r w:rsidRPr="004161A5">
        <w:rPr>
          <w:iCs/>
        </w:rPr>
        <w:t xml:space="preserve">MSAC noted that the evidence </w:t>
      </w:r>
      <w:r w:rsidR="00D0375F">
        <w:rPr>
          <w:iCs/>
        </w:rPr>
        <w:t xml:space="preserve">base </w:t>
      </w:r>
      <w:r w:rsidRPr="004161A5">
        <w:rPr>
          <w:iCs/>
        </w:rPr>
        <w:t>pr</w:t>
      </w:r>
      <w:r w:rsidR="00D0375F">
        <w:rPr>
          <w:iCs/>
        </w:rPr>
        <w:t>esented in the applicant-developed assessment report (ADAR)</w:t>
      </w:r>
      <w:r w:rsidR="001F6FAF">
        <w:rPr>
          <w:iCs/>
        </w:rPr>
        <w:t>, which</w:t>
      </w:r>
      <w:r w:rsidR="00D0375F">
        <w:rPr>
          <w:iCs/>
        </w:rPr>
        <w:t xml:space="preserve"> </w:t>
      </w:r>
      <w:r w:rsidRPr="004161A5">
        <w:rPr>
          <w:iCs/>
        </w:rPr>
        <w:t xml:space="preserve">comprised 3 randomised controlled trials (RCTs) and 2 cohort studies for PICO set 1, and 5 observational studies each for PICO sets 2 and 3. </w:t>
      </w:r>
      <w:r w:rsidR="00261029">
        <w:t xml:space="preserve">MSAC noted that the evidence presented was from older versions of the FreeStyle Libre device, which MSAC did not consider to be of concern, noting that version updates would be unlikely to impact overall functionality and clinical benefit. </w:t>
      </w:r>
      <w:r w:rsidRPr="004161A5">
        <w:rPr>
          <w:iCs/>
        </w:rPr>
        <w:t xml:space="preserve">MSAC considered that the studies for all PICO sets involved small patient numbers (considering the size of the population with diabetes) and short timeframes. </w:t>
      </w:r>
      <w:r w:rsidR="009D65B8">
        <w:t>MSAC further noted that the trials did not report end organ outcomes.</w:t>
      </w:r>
      <w:r w:rsidRPr="004161A5">
        <w:rPr>
          <w:iCs/>
        </w:rPr>
        <w:t xml:space="preserve"> </w:t>
      </w:r>
      <w:r w:rsidR="00A319F5">
        <w:rPr>
          <w:iCs/>
        </w:rPr>
        <w:t xml:space="preserve">MSAC </w:t>
      </w:r>
      <w:r w:rsidR="00503C92">
        <w:rPr>
          <w:iCs/>
        </w:rPr>
        <w:t xml:space="preserve">noted that there were no Australian studies included in the evidence for PICO set 1 and all the patients in the included studies were adult patients. </w:t>
      </w:r>
      <w:r w:rsidRPr="004161A5">
        <w:rPr>
          <w:iCs/>
        </w:rPr>
        <w:t xml:space="preserve">MSAC considered that the evidence for PICO sets 2 and 3 was low </w:t>
      </w:r>
      <w:r w:rsidR="0055161C">
        <w:rPr>
          <w:iCs/>
        </w:rPr>
        <w:t>quality</w:t>
      </w:r>
      <w:r w:rsidRPr="004161A5">
        <w:rPr>
          <w:iCs/>
        </w:rPr>
        <w:t xml:space="preserve"> with high risk of </w:t>
      </w:r>
      <w:proofErr w:type="gramStart"/>
      <w:r w:rsidRPr="004161A5">
        <w:rPr>
          <w:iCs/>
        </w:rPr>
        <w:t>bias, but</w:t>
      </w:r>
      <w:proofErr w:type="gramEnd"/>
      <w:r w:rsidRPr="004161A5">
        <w:rPr>
          <w:iCs/>
        </w:rPr>
        <w:t xml:space="preserve"> acknowledged that RCTs would be difficult to conduct in these groups. </w:t>
      </w:r>
    </w:p>
    <w:p w14:paraId="72E0037E" w14:textId="6E82B3AD" w:rsidR="004161A5" w:rsidRPr="004161A5" w:rsidRDefault="000617A3" w:rsidP="004161A5">
      <w:pPr>
        <w:spacing w:after="240"/>
        <w:rPr>
          <w:iCs/>
        </w:rPr>
      </w:pPr>
      <w:r>
        <w:rPr>
          <w:iCs/>
        </w:rPr>
        <w:t>MSAC noted that the clinical claim was non-inferior safety and superior effectiveness compared with SMBG.</w:t>
      </w:r>
      <w:r w:rsidR="00E133AD">
        <w:rPr>
          <w:iCs/>
        </w:rPr>
        <w:t xml:space="preserve"> </w:t>
      </w:r>
      <w:r w:rsidR="004161A5" w:rsidRPr="004161A5">
        <w:rPr>
          <w:iCs/>
        </w:rPr>
        <w:t xml:space="preserve">MSAC considered that the evidence base was weak, although adverse events and safety issues were minor. MSAC agreed with ESC that the claim of noninferior safety was not well supported </w:t>
      </w:r>
      <w:r w:rsidR="00B01687">
        <w:rPr>
          <w:iCs/>
        </w:rPr>
        <w:t xml:space="preserve">directly </w:t>
      </w:r>
      <w:r w:rsidR="004161A5" w:rsidRPr="004161A5">
        <w:rPr>
          <w:iCs/>
        </w:rPr>
        <w:t xml:space="preserve">by the evidence, but was, on balance, </w:t>
      </w:r>
      <w:r w:rsidR="006D5365">
        <w:rPr>
          <w:iCs/>
        </w:rPr>
        <w:t>appropriate</w:t>
      </w:r>
      <w:r w:rsidR="004161A5" w:rsidRPr="004161A5">
        <w:rPr>
          <w:iCs/>
        </w:rPr>
        <w:t>.</w:t>
      </w:r>
    </w:p>
    <w:p w14:paraId="00AB52FD" w14:textId="009407EA" w:rsidR="004161A5" w:rsidRPr="0085656D" w:rsidRDefault="004337D2" w:rsidP="004161A5">
      <w:pPr>
        <w:spacing w:after="240"/>
      </w:pPr>
      <w:r>
        <w:rPr>
          <w:iCs/>
        </w:rPr>
        <w:t>MSAC noted that comparative effectiveness f</w:t>
      </w:r>
      <w:r w:rsidR="004161A5" w:rsidRPr="004161A5">
        <w:rPr>
          <w:iCs/>
        </w:rPr>
        <w:t>or PICO set 1</w:t>
      </w:r>
      <w:r>
        <w:rPr>
          <w:iCs/>
        </w:rPr>
        <w:t xml:space="preserve"> was </w:t>
      </w:r>
      <w:r w:rsidR="00950D7F">
        <w:rPr>
          <w:iCs/>
        </w:rPr>
        <w:t>primarily based on</w:t>
      </w:r>
      <w:r>
        <w:rPr>
          <w:iCs/>
        </w:rPr>
        <w:t xml:space="preserve"> changes in HbA1c</w:t>
      </w:r>
      <w:r w:rsidR="007E6BD4">
        <w:rPr>
          <w:iCs/>
        </w:rPr>
        <w:t>.</w:t>
      </w:r>
      <w:r w:rsidR="004161A5" w:rsidRPr="004161A5">
        <w:rPr>
          <w:iCs/>
        </w:rPr>
        <w:t xml:space="preserve"> MSAC noted </w:t>
      </w:r>
      <w:r w:rsidR="006A4960">
        <w:rPr>
          <w:iCs/>
        </w:rPr>
        <w:t xml:space="preserve">that </w:t>
      </w:r>
      <w:r w:rsidR="00585B3A">
        <w:rPr>
          <w:iCs/>
        </w:rPr>
        <w:t>the</w:t>
      </w:r>
      <w:r w:rsidR="0060005E">
        <w:rPr>
          <w:iCs/>
        </w:rPr>
        <w:t xml:space="preserve"> </w:t>
      </w:r>
      <w:r w:rsidR="005003FA">
        <w:rPr>
          <w:iCs/>
        </w:rPr>
        <w:t>difference in</w:t>
      </w:r>
      <w:r w:rsidR="0060005E">
        <w:rPr>
          <w:iCs/>
        </w:rPr>
        <w:t xml:space="preserve"> </w:t>
      </w:r>
      <w:r w:rsidR="004161A5" w:rsidRPr="004161A5">
        <w:rPr>
          <w:iCs/>
        </w:rPr>
        <w:t>reduction of HbA1c</w:t>
      </w:r>
      <w:r w:rsidR="003656A0">
        <w:rPr>
          <w:iCs/>
        </w:rPr>
        <w:t xml:space="preserve"> between CGM and SMBG</w:t>
      </w:r>
      <w:r w:rsidR="004161A5" w:rsidRPr="004161A5">
        <w:rPr>
          <w:iCs/>
        </w:rPr>
        <w:t xml:space="preserve"> </w:t>
      </w:r>
      <w:r w:rsidR="00585B3A">
        <w:rPr>
          <w:iCs/>
        </w:rPr>
        <w:t xml:space="preserve">associated with FSL </w:t>
      </w:r>
      <w:r w:rsidR="00121DAB">
        <w:rPr>
          <w:iCs/>
        </w:rPr>
        <w:t>was 0.</w:t>
      </w:r>
      <w:r w:rsidR="0072718B">
        <w:rPr>
          <w:iCs/>
        </w:rPr>
        <w:t>29</w:t>
      </w:r>
      <w:r w:rsidR="00121DAB">
        <w:rPr>
          <w:iCs/>
        </w:rPr>
        <w:t>%</w:t>
      </w:r>
      <w:r w:rsidR="0072718B">
        <w:rPr>
          <w:iCs/>
        </w:rPr>
        <w:t xml:space="preserve"> based on a meta-analysis of comparative studies</w:t>
      </w:r>
      <w:r w:rsidR="004161A5" w:rsidRPr="004161A5">
        <w:rPr>
          <w:iCs/>
        </w:rPr>
        <w:t xml:space="preserve">. </w:t>
      </w:r>
      <w:r w:rsidR="00585B3A">
        <w:rPr>
          <w:iCs/>
        </w:rPr>
        <w:t>In the ADAR, a 0.</w:t>
      </w:r>
      <w:r w:rsidR="0072718B">
        <w:rPr>
          <w:iCs/>
        </w:rPr>
        <w:t>3</w:t>
      </w:r>
      <w:r w:rsidR="00585B3A">
        <w:rPr>
          <w:iCs/>
        </w:rPr>
        <w:t xml:space="preserve">% reduction was selected as the MCID for change in HbA1c, and therefore the demonstrated change was argued to demonstrate superior effectiveness. </w:t>
      </w:r>
      <w:r w:rsidR="002C1034">
        <w:t xml:space="preserve">MSAC agreed with ESC’s observation that this threshold is lower than the </w:t>
      </w:r>
      <w:r w:rsidR="002C1034" w:rsidDel="00AC1620">
        <w:t xml:space="preserve">MCID </w:t>
      </w:r>
      <w:r w:rsidR="002C1034">
        <w:t>of 0.5% for superiority that has previously been used by the</w:t>
      </w:r>
      <w:r w:rsidR="002C1034" w:rsidRPr="005014B3">
        <w:t xml:space="preserve"> </w:t>
      </w:r>
      <w:r w:rsidR="002C1034" w:rsidRPr="00B034B9">
        <w:rPr>
          <w:rFonts w:eastAsia="Times New Roman" w:cs="Times New Roman"/>
          <w:color w:val="000000"/>
          <w:szCs w:val="20"/>
          <w:lang w:eastAsia="en-AU"/>
        </w:rPr>
        <w:t>Pharmaceutical Benefits Advisory Committee (PBAC)</w:t>
      </w:r>
      <w:r w:rsidR="005649A3">
        <w:rPr>
          <w:rFonts w:eastAsia="Times New Roman" w:cs="Times New Roman"/>
          <w:color w:val="000000"/>
          <w:szCs w:val="20"/>
          <w:lang w:eastAsia="en-AU"/>
        </w:rPr>
        <w:t xml:space="preserve">. </w:t>
      </w:r>
      <w:r w:rsidR="003D76E2" w:rsidRPr="00F7550E">
        <w:rPr>
          <w:rFonts w:eastAsia="Times New Roman" w:cs="Times New Roman"/>
          <w:color w:val="000000"/>
          <w:szCs w:val="20"/>
          <w:lang w:eastAsia="en-AU"/>
        </w:rPr>
        <w:t>The International Diabetes Federation</w:t>
      </w:r>
      <w:r w:rsidR="003D76E2" w:rsidRPr="00172EF3">
        <w:rPr>
          <w:rStyle w:val="FootnoteReference"/>
        </w:rPr>
        <w:footnoteReference w:id="2"/>
      </w:r>
      <w:r w:rsidR="003D76E2" w:rsidRPr="00F7550E">
        <w:rPr>
          <w:rFonts w:eastAsia="Times New Roman" w:cs="Times New Roman"/>
          <w:color w:val="000000"/>
          <w:szCs w:val="20"/>
          <w:lang w:eastAsia="en-AU"/>
        </w:rPr>
        <w:t xml:space="preserve">, </w:t>
      </w:r>
      <w:r w:rsidR="003D76E2">
        <w:rPr>
          <w:rFonts w:eastAsia="Times New Roman" w:cs="Times New Roman"/>
          <w:color w:val="000000"/>
          <w:szCs w:val="20"/>
          <w:lang w:eastAsia="en-AU"/>
        </w:rPr>
        <w:t>England’s</w:t>
      </w:r>
      <w:r w:rsidR="003D76E2" w:rsidRPr="00F7550E">
        <w:rPr>
          <w:rFonts w:eastAsia="Times New Roman" w:cs="Times New Roman"/>
          <w:color w:val="000000"/>
          <w:szCs w:val="20"/>
          <w:lang w:eastAsia="en-AU"/>
        </w:rPr>
        <w:t xml:space="preserve"> National Institute for Health and Care Excellence</w:t>
      </w:r>
      <w:r w:rsidR="003D76E2" w:rsidRPr="00172EF3">
        <w:rPr>
          <w:rStyle w:val="FootnoteReference"/>
        </w:rPr>
        <w:footnoteReference w:id="3"/>
      </w:r>
      <w:r w:rsidR="003D76E2" w:rsidRPr="00D8515B">
        <w:rPr>
          <w:rFonts w:eastAsia="Times New Roman" w:cs="Times New Roman"/>
          <w:color w:val="000000"/>
          <w:szCs w:val="20"/>
          <w:vertAlign w:val="superscript"/>
          <w:lang w:eastAsia="en-AU"/>
        </w:rPr>
        <w:t>,</w:t>
      </w:r>
      <w:r w:rsidR="003D76E2" w:rsidRPr="00172EF3">
        <w:rPr>
          <w:rStyle w:val="FootnoteReference"/>
        </w:rPr>
        <w:footnoteReference w:id="4"/>
      </w:r>
      <w:r w:rsidR="003D76E2" w:rsidRPr="00F7550E">
        <w:rPr>
          <w:rFonts w:eastAsia="Times New Roman" w:cs="Times New Roman"/>
          <w:color w:val="000000"/>
          <w:szCs w:val="20"/>
          <w:lang w:eastAsia="en-AU"/>
        </w:rPr>
        <w:t>, the Australian Diabetes Society</w:t>
      </w:r>
      <w:r w:rsidR="003D76E2" w:rsidRPr="00172EF3">
        <w:rPr>
          <w:rStyle w:val="FootnoteReference"/>
        </w:rPr>
        <w:footnoteReference w:id="5"/>
      </w:r>
      <w:r w:rsidR="003D76E2" w:rsidRPr="00172EF3">
        <w:t xml:space="preserve"> </w:t>
      </w:r>
      <w:r w:rsidR="003D76E2" w:rsidRPr="00F7550E">
        <w:rPr>
          <w:rFonts w:eastAsia="Times New Roman" w:cs="Times New Roman"/>
          <w:color w:val="000000"/>
          <w:szCs w:val="20"/>
          <w:lang w:eastAsia="en-AU"/>
        </w:rPr>
        <w:t xml:space="preserve"> and the Royal Australian College of General Practitioners</w:t>
      </w:r>
      <w:r w:rsidR="003D76E2" w:rsidRPr="00172EF3">
        <w:rPr>
          <w:rStyle w:val="FootnoteReference"/>
        </w:rPr>
        <w:footnoteReference w:id="6"/>
      </w:r>
      <w:r w:rsidR="003D76E2" w:rsidRPr="00F7550E">
        <w:rPr>
          <w:rFonts w:eastAsia="Times New Roman" w:cs="Times New Roman"/>
          <w:color w:val="000000"/>
          <w:szCs w:val="20"/>
          <w:lang w:eastAsia="en-AU"/>
        </w:rPr>
        <w:t xml:space="preserve"> have also nominated 0.5% as the MCID for HbA1c</w:t>
      </w:r>
      <w:r w:rsidR="003D76E2">
        <w:rPr>
          <w:rFonts w:eastAsia="Times New Roman" w:cs="Times New Roman"/>
          <w:color w:val="000000"/>
          <w:szCs w:val="20"/>
          <w:lang w:eastAsia="en-AU"/>
        </w:rPr>
        <w:t>.</w:t>
      </w:r>
      <w:r w:rsidR="005649A3" w:rsidRPr="005649A3">
        <w:t>The European Medicines Agency</w:t>
      </w:r>
      <w:r w:rsidR="005649A3" w:rsidRPr="005649A3">
        <w:rPr>
          <w:vertAlign w:val="superscript"/>
        </w:rPr>
        <w:footnoteReference w:id="7"/>
      </w:r>
      <w:r w:rsidR="005649A3" w:rsidRPr="005649A3">
        <w:t xml:space="preserve"> guidance supports the use of a 0.3% HbA1c to establish non-inferiority. </w:t>
      </w:r>
      <w:r w:rsidR="004161A5" w:rsidRPr="004161A5">
        <w:rPr>
          <w:iCs/>
        </w:rPr>
        <w:t xml:space="preserve">MSAC noted the applicant’s pre-MSAC </w:t>
      </w:r>
      <w:proofErr w:type="gramStart"/>
      <w:r w:rsidR="004161A5" w:rsidRPr="004161A5">
        <w:rPr>
          <w:iCs/>
        </w:rPr>
        <w:t>response</w:t>
      </w:r>
      <w:proofErr w:type="gramEnd"/>
      <w:r w:rsidR="004161A5" w:rsidRPr="004161A5">
        <w:rPr>
          <w:iCs/>
        </w:rPr>
        <w:t xml:space="preserve"> and the expert opinion provided in the applicant’s hearing, which restated that any reduction in HbA1c has beneficial outcomes. </w:t>
      </w:r>
      <w:r w:rsidR="001B3F8C">
        <w:rPr>
          <w:iCs/>
        </w:rPr>
        <w:t>MSAC noted that the pre-MSAC response</w:t>
      </w:r>
      <w:r w:rsidR="00841D3A">
        <w:rPr>
          <w:iCs/>
        </w:rPr>
        <w:t xml:space="preserve"> als</w:t>
      </w:r>
      <w:r w:rsidR="006C23C2">
        <w:rPr>
          <w:iCs/>
        </w:rPr>
        <w:t xml:space="preserve">o argued </w:t>
      </w:r>
      <w:r w:rsidR="00841D3A">
        <w:rPr>
          <w:iCs/>
        </w:rPr>
        <w:t xml:space="preserve">that </w:t>
      </w:r>
      <w:r w:rsidR="001B3F8C">
        <w:rPr>
          <w:iCs/>
        </w:rPr>
        <w:t>the c</w:t>
      </w:r>
      <w:r w:rsidR="001B3F8C" w:rsidRPr="007979D2">
        <w:rPr>
          <w:iCs/>
        </w:rPr>
        <w:t>linical evidence presented does not show a singular change in HBA1c of 0.3% but rather a range of 0.3-0.7</w:t>
      </w:r>
      <w:r w:rsidR="001B3F8C">
        <w:rPr>
          <w:iCs/>
        </w:rPr>
        <w:t>3</w:t>
      </w:r>
      <w:r w:rsidR="001B3F8C" w:rsidRPr="007979D2">
        <w:rPr>
          <w:iCs/>
        </w:rPr>
        <w:t>%</w:t>
      </w:r>
      <w:r w:rsidR="001B3F8C">
        <w:rPr>
          <w:iCs/>
        </w:rPr>
        <w:t xml:space="preserve"> if single</w:t>
      </w:r>
      <w:r w:rsidR="007F03B6">
        <w:rPr>
          <w:iCs/>
        </w:rPr>
        <w:t>-</w:t>
      </w:r>
      <w:r w:rsidR="001B3F8C">
        <w:rPr>
          <w:iCs/>
        </w:rPr>
        <w:t>arm studies based on real world evidence (RWE) are included.</w:t>
      </w:r>
      <w:r w:rsidR="00841D3A">
        <w:rPr>
          <w:iCs/>
        </w:rPr>
        <w:t xml:space="preserve"> However</w:t>
      </w:r>
      <w:r w:rsidR="0072718B">
        <w:rPr>
          <w:iCs/>
        </w:rPr>
        <w:t>,</w:t>
      </w:r>
      <w:r w:rsidR="00841D3A">
        <w:rPr>
          <w:iCs/>
        </w:rPr>
        <w:t xml:space="preserve"> </w:t>
      </w:r>
      <w:r w:rsidR="00435B57">
        <w:rPr>
          <w:iCs/>
        </w:rPr>
        <w:t xml:space="preserve">MSAC </w:t>
      </w:r>
      <w:r w:rsidR="0072718B">
        <w:rPr>
          <w:iCs/>
        </w:rPr>
        <w:t xml:space="preserve">considered the meta-analysis to </w:t>
      </w:r>
      <w:r w:rsidR="000C19DE">
        <w:rPr>
          <w:iCs/>
        </w:rPr>
        <w:t xml:space="preserve">be the most appropriate evidence given the high risk of bias associated with the single-arm </w:t>
      </w:r>
      <w:r w:rsidR="007F03B6">
        <w:rPr>
          <w:iCs/>
        </w:rPr>
        <w:t>studies</w:t>
      </w:r>
      <w:r w:rsidR="00435B57">
        <w:rPr>
          <w:iCs/>
        </w:rPr>
        <w:t>.</w:t>
      </w:r>
      <w:r w:rsidR="00B774A1">
        <w:rPr>
          <w:iCs/>
        </w:rPr>
        <w:t xml:space="preserve"> </w:t>
      </w:r>
      <w:r w:rsidR="00491123">
        <w:t>MSAC agreed with ESC that stronger evidence would be needed to accept a MCID of 0.3% for a superiority claim</w:t>
      </w:r>
      <w:r w:rsidR="00491123" w:rsidRPr="00097EFE">
        <w:t>.</w:t>
      </w:r>
      <w:r w:rsidR="00951B6C" w:rsidRPr="00951B6C">
        <w:t xml:space="preserve"> MSAC noted ESC advice that Appendix 12 of the MSAC Guidelines outlines an approach to establishing an alternative MCID (p 296) using a meta-regression of randomised trials (in this case of any intervention in T2D) comparing the observed treatment effect on the proposed surrogate measure (in this case HbA1c within the first 12 months) with the observed treatment effect on the target patient-relevant clinical outcome (in this case any one or more of the modelled diabetes complications over subsequent years).</w:t>
      </w:r>
    </w:p>
    <w:p w14:paraId="55FC355F" w14:textId="37D7A6F3" w:rsidR="004337D2" w:rsidRDefault="00FD48EA" w:rsidP="004337D2">
      <w:pPr>
        <w:spacing w:after="240"/>
        <w:rPr>
          <w:iCs/>
        </w:rPr>
      </w:pPr>
      <w:r>
        <w:rPr>
          <w:iCs/>
        </w:rPr>
        <w:t xml:space="preserve">MSAC </w:t>
      </w:r>
      <w:r w:rsidR="00D23DCE">
        <w:rPr>
          <w:iCs/>
        </w:rPr>
        <w:t>considered</w:t>
      </w:r>
      <w:r>
        <w:rPr>
          <w:iCs/>
        </w:rPr>
        <w:t xml:space="preserve"> that </w:t>
      </w:r>
      <w:r w:rsidR="00705B19">
        <w:rPr>
          <w:iCs/>
        </w:rPr>
        <w:t xml:space="preserve">if </w:t>
      </w:r>
      <w:r w:rsidR="004161A5" w:rsidRPr="004161A5">
        <w:rPr>
          <w:iCs/>
        </w:rPr>
        <w:t xml:space="preserve">the claim of superior effectiveness could not be established based on HbA1c change alone, other data </w:t>
      </w:r>
      <w:r w:rsidR="00705B19">
        <w:rPr>
          <w:iCs/>
        </w:rPr>
        <w:t>would be</w:t>
      </w:r>
      <w:r w:rsidR="00705B19" w:rsidRPr="004161A5">
        <w:rPr>
          <w:iCs/>
        </w:rPr>
        <w:t xml:space="preserve"> </w:t>
      </w:r>
      <w:r w:rsidR="004161A5" w:rsidRPr="004161A5">
        <w:rPr>
          <w:iCs/>
        </w:rPr>
        <w:t xml:space="preserve">required, including quality of life (QoL). MSAC noted that patient-related outcomes </w:t>
      </w:r>
      <w:r w:rsidR="00162BE2">
        <w:rPr>
          <w:iCs/>
        </w:rPr>
        <w:t xml:space="preserve">reported in the ADAR evidence base </w:t>
      </w:r>
      <w:r w:rsidR="004161A5" w:rsidRPr="004161A5">
        <w:rPr>
          <w:iCs/>
        </w:rPr>
        <w:t xml:space="preserve">were indicative of benefits but were variable among </w:t>
      </w:r>
      <w:r w:rsidR="00BB16AC">
        <w:rPr>
          <w:iCs/>
        </w:rPr>
        <w:t xml:space="preserve">the </w:t>
      </w:r>
      <w:r w:rsidR="004161A5" w:rsidRPr="004161A5">
        <w:rPr>
          <w:iCs/>
        </w:rPr>
        <w:t>studies</w:t>
      </w:r>
      <w:r w:rsidR="00BB16AC">
        <w:rPr>
          <w:iCs/>
        </w:rPr>
        <w:t xml:space="preserve"> listed</w:t>
      </w:r>
      <w:r w:rsidR="004161A5" w:rsidRPr="004161A5">
        <w:rPr>
          <w:iCs/>
        </w:rPr>
        <w:t xml:space="preserve">. </w:t>
      </w:r>
      <w:r w:rsidR="00C335B9" w:rsidRPr="00C335B9">
        <w:rPr>
          <w:iCs/>
        </w:rPr>
        <w:t>MSAC considered that CGM has other benefits for patients and T2D management. This includes empowering patient to manage their T2D and manage blood sugar levels during times of acute illness</w:t>
      </w:r>
      <w:r w:rsidR="00C0319B">
        <w:rPr>
          <w:iCs/>
        </w:rPr>
        <w:t xml:space="preserve"> as well as avoid hypoglycaemia, particularly nocturnal</w:t>
      </w:r>
      <w:r w:rsidR="00C335B9" w:rsidRPr="00C335B9">
        <w:rPr>
          <w:iCs/>
        </w:rPr>
        <w:t>.</w:t>
      </w:r>
      <w:r w:rsidR="00BB4832">
        <w:rPr>
          <w:iCs/>
        </w:rPr>
        <w:t xml:space="preserve"> MSAC considered CGM could improve quality of </w:t>
      </w:r>
      <w:proofErr w:type="gramStart"/>
      <w:r w:rsidR="00BB4832">
        <w:rPr>
          <w:iCs/>
        </w:rPr>
        <w:t>life</w:t>
      </w:r>
      <w:proofErr w:type="gramEnd"/>
      <w:r w:rsidR="00BB4832">
        <w:rPr>
          <w:iCs/>
        </w:rPr>
        <w:t xml:space="preserve"> and this was reflected in strong consumer support for public funding.</w:t>
      </w:r>
    </w:p>
    <w:p w14:paraId="479B74CC" w14:textId="3CDC0BB4" w:rsidR="004161A5" w:rsidRPr="004161A5" w:rsidRDefault="004337D2" w:rsidP="004161A5">
      <w:pPr>
        <w:spacing w:after="240"/>
        <w:rPr>
          <w:iCs/>
        </w:rPr>
      </w:pPr>
      <w:r w:rsidRPr="004161A5">
        <w:rPr>
          <w:iCs/>
        </w:rPr>
        <w:t>MSAC agreed with ESC that evidence to support the clinical claim of superior effectiveness for PICO sets 2 and 3</w:t>
      </w:r>
      <w:r w:rsidR="00AC4D4A">
        <w:rPr>
          <w:iCs/>
        </w:rPr>
        <w:t xml:space="preserve"> was very limited</w:t>
      </w:r>
      <w:r w:rsidRPr="004161A5">
        <w:rPr>
          <w:iCs/>
        </w:rPr>
        <w:t xml:space="preserve">. However, MSAC considered that these were small but important subgroups for which there was potential for improved clinical outcomes using CGM. </w:t>
      </w:r>
    </w:p>
    <w:p w14:paraId="0835684F" w14:textId="72D487D0" w:rsidR="000A7FC9" w:rsidRDefault="004161A5" w:rsidP="004161A5">
      <w:pPr>
        <w:spacing w:after="240"/>
        <w:rPr>
          <w:iCs/>
        </w:rPr>
      </w:pPr>
      <w:r w:rsidRPr="004161A5">
        <w:rPr>
          <w:iCs/>
        </w:rPr>
        <w:t xml:space="preserve">MSAC noted the </w:t>
      </w:r>
      <w:r w:rsidR="009E2EF0">
        <w:rPr>
          <w:iCs/>
        </w:rPr>
        <w:t xml:space="preserve">differing approaches to </w:t>
      </w:r>
      <w:r w:rsidRPr="004161A5">
        <w:rPr>
          <w:iCs/>
        </w:rPr>
        <w:t>economic evaluation</w:t>
      </w:r>
      <w:r w:rsidR="009E2EF0">
        <w:rPr>
          <w:iCs/>
        </w:rPr>
        <w:t xml:space="preserve"> used for </w:t>
      </w:r>
      <w:r w:rsidR="007642B8">
        <w:rPr>
          <w:iCs/>
        </w:rPr>
        <w:t>each PICO set.</w:t>
      </w:r>
      <w:r w:rsidR="009E2EF0">
        <w:rPr>
          <w:iCs/>
        </w:rPr>
        <w:t xml:space="preserve"> </w:t>
      </w:r>
      <w:r w:rsidRPr="004161A5">
        <w:rPr>
          <w:iCs/>
        </w:rPr>
        <w:t>PICO set 1 used a cost-utility analysis</w:t>
      </w:r>
      <w:r w:rsidR="00576A8A">
        <w:rPr>
          <w:iCs/>
        </w:rPr>
        <w:t xml:space="preserve"> (CUA)</w:t>
      </w:r>
      <w:r w:rsidRPr="004161A5">
        <w:rPr>
          <w:iCs/>
        </w:rPr>
        <w:t>, PICO set 2 used a cost-consequence analysis</w:t>
      </w:r>
      <w:r w:rsidR="00576A8A">
        <w:rPr>
          <w:iCs/>
        </w:rPr>
        <w:t xml:space="preserve"> (CCA)</w:t>
      </w:r>
      <w:r w:rsidRPr="004161A5">
        <w:rPr>
          <w:iCs/>
        </w:rPr>
        <w:t xml:space="preserve">, and there were insufficient data for economic modelling for PICO set 3. </w:t>
      </w:r>
    </w:p>
    <w:p w14:paraId="69ED39CA" w14:textId="32A6A92A" w:rsidR="008E608E" w:rsidRDefault="004161A5" w:rsidP="004161A5">
      <w:pPr>
        <w:spacing w:after="240"/>
        <w:rPr>
          <w:iCs/>
        </w:rPr>
      </w:pPr>
      <w:r w:rsidRPr="004161A5">
        <w:rPr>
          <w:iCs/>
        </w:rPr>
        <w:t>MSAC</w:t>
      </w:r>
      <w:r w:rsidR="00891D8B">
        <w:rPr>
          <w:iCs/>
        </w:rPr>
        <w:t xml:space="preserve"> noted that the pre-MSAC response had </w:t>
      </w:r>
      <w:r w:rsidR="004068AD">
        <w:rPr>
          <w:iCs/>
        </w:rPr>
        <w:t>onl</w:t>
      </w:r>
      <w:r w:rsidR="00012ECA">
        <w:rPr>
          <w:iCs/>
        </w:rPr>
        <w:t>y partially addressed the concerns raised by ESC about the economic model</w:t>
      </w:r>
      <w:r w:rsidR="00576A8A">
        <w:rPr>
          <w:iCs/>
        </w:rPr>
        <w:t xml:space="preserve"> used for the CUA</w:t>
      </w:r>
      <w:r w:rsidR="00012ECA">
        <w:rPr>
          <w:iCs/>
        </w:rPr>
        <w:t>. MSAC considered that the pre-MSAC response did clarify that the RECOD</w:t>
      </w:r>
      <w:r w:rsidR="00A61D55">
        <w:rPr>
          <w:iCs/>
        </w:rPr>
        <w:t>e</w:t>
      </w:r>
      <w:r w:rsidR="00B85671">
        <w:rPr>
          <w:iCs/>
        </w:rPr>
        <w:t xml:space="preserve"> risk</w:t>
      </w:r>
      <w:r w:rsidR="00A61D55">
        <w:rPr>
          <w:iCs/>
        </w:rPr>
        <w:t xml:space="preserve"> equa</w:t>
      </w:r>
      <w:r w:rsidR="00B85671">
        <w:rPr>
          <w:iCs/>
        </w:rPr>
        <w:t xml:space="preserve">tions </w:t>
      </w:r>
      <w:r w:rsidR="00254838" w:rsidRPr="00254838">
        <w:rPr>
          <w:iCs/>
        </w:rPr>
        <w:t xml:space="preserve">were validated to capture incremental effects across interventions as part of </w:t>
      </w:r>
      <w:r w:rsidR="00562659">
        <w:rPr>
          <w:iCs/>
        </w:rPr>
        <w:t>an external validation study</w:t>
      </w:r>
      <w:r w:rsidR="00254838">
        <w:rPr>
          <w:iCs/>
        </w:rPr>
        <w:t>.</w:t>
      </w:r>
      <w:r w:rsidR="00AA684A">
        <w:rPr>
          <w:iCs/>
        </w:rPr>
        <w:t xml:space="preserve"> However</w:t>
      </w:r>
      <w:r w:rsidR="00694B02">
        <w:rPr>
          <w:iCs/>
        </w:rPr>
        <w:t>,</w:t>
      </w:r>
      <w:r w:rsidR="00AA684A">
        <w:rPr>
          <w:iCs/>
        </w:rPr>
        <w:t xml:space="preserve"> the pre-MSAC response did not address the concern that the</w:t>
      </w:r>
      <w:r w:rsidRPr="004161A5">
        <w:rPr>
          <w:iCs/>
        </w:rPr>
        <w:t xml:space="preserve"> equations were not up to date. MSAC noted that the model generated large cost offsets from hospitalisations but considered that the evidence to support this was poor. Overall, MSAC considered that the model produced implausible results. </w:t>
      </w:r>
    </w:p>
    <w:p w14:paraId="31DC9B7D" w14:textId="55BD536A" w:rsidR="004161A5" w:rsidRPr="004161A5" w:rsidRDefault="00FF1E0B" w:rsidP="004161A5">
      <w:pPr>
        <w:spacing w:after="240"/>
        <w:rPr>
          <w:iCs/>
        </w:rPr>
      </w:pPr>
      <w:r w:rsidRPr="004161A5" w:rsidDel="00701F0B">
        <w:rPr>
          <w:iCs/>
        </w:rPr>
        <w:t xml:space="preserve">MSAC </w:t>
      </w:r>
      <w:r w:rsidR="00E00C4B">
        <w:rPr>
          <w:iCs/>
        </w:rPr>
        <w:t>noted that the pre-MSAC response</w:t>
      </w:r>
      <w:r w:rsidRPr="004161A5" w:rsidDel="00701F0B">
        <w:rPr>
          <w:iCs/>
        </w:rPr>
        <w:t xml:space="preserve"> </w:t>
      </w:r>
      <w:r w:rsidR="008833CB">
        <w:rPr>
          <w:iCs/>
        </w:rPr>
        <w:t xml:space="preserve">had </w:t>
      </w:r>
      <w:r w:rsidR="006E1918">
        <w:rPr>
          <w:iCs/>
        </w:rPr>
        <w:t xml:space="preserve">reported </w:t>
      </w:r>
      <w:r w:rsidR="00832062">
        <w:rPr>
          <w:iCs/>
        </w:rPr>
        <w:t xml:space="preserve">that </w:t>
      </w:r>
      <w:r w:rsidR="004E5AA4">
        <w:rPr>
          <w:iCs/>
        </w:rPr>
        <w:t>if the only benefit assigned to CG</w:t>
      </w:r>
      <w:r w:rsidR="00B73D59">
        <w:rPr>
          <w:iCs/>
        </w:rPr>
        <w:t xml:space="preserve">M was </w:t>
      </w:r>
      <w:r w:rsidR="00C0726E">
        <w:rPr>
          <w:iCs/>
        </w:rPr>
        <w:t xml:space="preserve">due to a utility improvement </w:t>
      </w:r>
      <w:r w:rsidR="00B73D59">
        <w:rPr>
          <w:iCs/>
        </w:rPr>
        <w:t xml:space="preserve">from </w:t>
      </w:r>
      <w:r w:rsidR="00C0726E">
        <w:rPr>
          <w:iCs/>
        </w:rPr>
        <w:t>a</w:t>
      </w:r>
      <w:r w:rsidR="00C312DF">
        <w:rPr>
          <w:iCs/>
        </w:rPr>
        <w:t>voiding</w:t>
      </w:r>
      <w:r w:rsidR="00257C6A">
        <w:rPr>
          <w:iCs/>
        </w:rPr>
        <w:t xml:space="preserve"> finger</w:t>
      </w:r>
      <w:r w:rsidR="00193042">
        <w:rPr>
          <w:iCs/>
        </w:rPr>
        <w:t>-pricking</w:t>
      </w:r>
      <w:r w:rsidR="00CD27A8">
        <w:rPr>
          <w:iCs/>
        </w:rPr>
        <w:t xml:space="preserve">, this would yield an </w:t>
      </w:r>
      <w:r w:rsidR="00D8071F">
        <w:rPr>
          <w:iCs/>
        </w:rPr>
        <w:t>ICER</w:t>
      </w:r>
      <w:r w:rsidR="00772FA3">
        <w:rPr>
          <w:iCs/>
        </w:rPr>
        <w:t xml:space="preserve"> </w:t>
      </w:r>
      <w:r w:rsidR="00C2352A">
        <w:rPr>
          <w:iCs/>
        </w:rPr>
        <w:t xml:space="preserve">of </w:t>
      </w:r>
      <w:r w:rsidR="00772FA3">
        <w:rPr>
          <w:iCs/>
        </w:rPr>
        <w:t>$</w:t>
      </w:r>
      <w:r w:rsidR="00772FA3" w:rsidRPr="0010425C">
        <w:rPr>
          <w:iCs/>
        </w:rPr>
        <w:t xml:space="preserve">35,000 </w:t>
      </w:r>
      <w:r w:rsidR="002D5336" w:rsidRPr="0010425C">
        <w:rPr>
          <w:iCs/>
        </w:rPr>
        <w:t>to</w:t>
      </w:r>
      <w:r w:rsidR="002D5336">
        <w:rPr>
          <w:iCs/>
        </w:rPr>
        <w:t xml:space="preserve"> &lt;</w:t>
      </w:r>
      <w:r w:rsidR="0093362D">
        <w:rPr>
          <w:iCs/>
        </w:rPr>
        <w:t xml:space="preserve"> </w:t>
      </w:r>
      <w:r w:rsidR="002D5336">
        <w:rPr>
          <w:iCs/>
        </w:rPr>
        <w:t>$45</w:t>
      </w:r>
      <w:r w:rsidR="0093362D">
        <w:rPr>
          <w:iCs/>
        </w:rPr>
        <w:t>,000</w:t>
      </w:r>
      <w:r w:rsidR="00772FA3" w:rsidRPr="00391868">
        <w:rPr>
          <w:iCs/>
        </w:rPr>
        <w:t xml:space="preserve"> </w:t>
      </w:r>
      <w:r w:rsidR="00772FA3">
        <w:rPr>
          <w:iCs/>
        </w:rPr>
        <w:t xml:space="preserve">per </w:t>
      </w:r>
      <w:r w:rsidR="00A84087">
        <w:rPr>
          <w:iCs/>
        </w:rPr>
        <w:t>quality-adjusted life year (</w:t>
      </w:r>
      <w:r w:rsidR="00772FA3">
        <w:rPr>
          <w:iCs/>
        </w:rPr>
        <w:t>QALY</w:t>
      </w:r>
      <w:r w:rsidR="00A84087">
        <w:rPr>
          <w:iCs/>
        </w:rPr>
        <w:t>)</w:t>
      </w:r>
      <w:r w:rsidR="004A1DD7">
        <w:rPr>
          <w:iCs/>
        </w:rPr>
        <w:t xml:space="preserve">. The pre-MSAC response </w:t>
      </w:r>
      <w:r w:rsidR="00EE0FA6">
        <w:rPr>
          <w:iCs/>
        </w:rPr>
        <w:t xml:space="preserve">suggested that this showed CGM was cost effective </w:t>
      </w:r>
      <w:r w:rsidR="003D019B">
        <w:rPr>
          <w:iCs/>
        </w:rPr>
        <w:t xml:space="preserve">even </w:t>
      </w:r>
      <w:r w:rsidR="001107E5">
        <w:rPr>
          <w:iCs/>
        </w:rPr>
        <w:t>if HbA1C reductions were ignored</w:t>
      </w:r>
      <w:r w:rsidR="007A6A91">
        <w:rPr>
          <w:iCs/>
        </w:rPr>
        <w:t>. However</w:t>
      </w:r>
      <w:r w:rsidR="00014173">
        <w:rPr>
          <w:iCs/>
        </w:rPr>
        <w:t>,</w:t>
      </w:r>
      <w:r w:rsidR="007A6A91">
        <w:rPr>
          <w:iCs/>
        </w:rPr>
        <w:t xml:space="preserve"> </w:t>
      </w:r>
      <w:r w:rsidR="00540839">
        <w:rPr>
          <w:iCs/>
        </w:rPr>
        <w:t xml:space="preserve">the 0.03 </w:t>
      </w:r>
      <w:r w:rsidR="0075788B">
        <w:rPr>
          <w:iCs/>
        </w:rPr>
        <w:t>dis</w:t>
      </w:r>
      <w:r w:rsidR="00540839">
        <w:rPr>
          <w:iCs/>
        </w:rPr>
        <w:t xml:space="preserve">utility applied </w:t>
      </w:r>
      <w:r w:rsidR="0075788B">
        <w:rPr>
          <w:iCs/>
        </w:rPr>
        <w:t xml:space="preserve">to finger-pricking </w:t>
      </w:r>
      <w:r w:rsidR="00540839">
        <w:rPr>
          <w:iCs/>
        </w:rPr>
        <w:t xml:space="preserve">was from </w:t>
      </w:r>
      <w:r w:rsidRPr="004161A5" w:rsidDel="00701F0B">
        <w:rPr>
          <w:iCs/>
        </w:rPr>
        <w:t xml:space="preserve">Matza et al. (2017) </w:t>
      </w:r>
      <w:r w:rsidR="000E7C3B">
        <w:rPr>
          <w:iCs/>
        </w:rPr>
        <w:t xml:space="preserve">which had not been included in the ADAR clinical evidence </w:t>
      </w:r>
      <w:proofErr w:type="gramStart"/>
      <w:r w:rsidR="000E7C3B">
        <w:rPr>
          <w:iCs/>
        </w:rPr>
        <w:t>base</w:t>
      </w:r>
      <w:proofErr w:type="gramEnd"/>
      <w:r w:rsidR="000E7C3B">
        <w:rPr>
          <w:iCs/>
        </w:rPr>
        <w:t xml:space="preserve"> and which had derived this value from differences in utilities elicited from members </w:t>
      </w:r>
      <w:r w:rsidRPr="004161A5" w:rsidDel="00701F0B">
        <w:rPr>
          <w:iCs/>
        </w:rPr>
        <w:t xml:space="preserve">of the </w:t>
      </w:r>
      <w:proofErr w:type="gramStart"/>
      <w:r w:rsidRPr="004161A5" w:rsidDel="00701F0B">
        <w:rPr>
          <w:iCs/>
        </w:rPr>
        <w:t>general public</w:t>
      </w:r>
      <w:proofErr w:type="gramEnd"/>
      <w:r w:rsidRPr="004161A5" w:rsidDel="00701F0B">
        <w:rPr>
          <w:iCs/>
        </w:rPr>
        <w:t xml:space="preserve"> for sensor-based glucose monitoring and SMBG</w:t>
      </w:r>
      <w:r w:rsidR="008E7151">
        <w:rPr>
          <w:iCs/>
        </w:rPr>
        <w:t xml:space="preserve">. </w:t>
      </w:r>
      <w:r w:rsidR="001E0F05" w:rsidRPr="006605F3">
        <w:rPr>
          <w:iCs/>
        </w:rPr>
        <w:t>MSAC questioned the applicability of the population in Matza</w:t>
      </w:r>
      <w:r w:rsidR="001E0F05">
        <w:rPr>
          <w:iCs/>
        </w:rPr>
        <w:t xml:space="preserve"> et al</w:t>
      </w:r>
      <w:r w:rsidR="001E0F05" w:rsidRPr="006605F3">
        <w:rPr>
          <w:iCs/>
        </w:rPr>
        <w:t xml:space="preserve"> </w:t>
      </w:r>
      <w:r w:rsidR="001E0F05">
        <w:rPr>
          <w:iCs/>
        </w:rPr>
        <w:t>(</w:t>
      </w:r>
      <w:r w:rsidR="001E0F05" w:rsidRPr="006605F3">
        <w:rPr>
          <w:iCs/>
        </w:rPr>
        <w:t>2017</w:t>
      </w:r>
      <w:r w:rsidR="001E0F05">
        <w:rPr>
          <w:iCs/>
        </w:rPr>
        <w:t xml:space="preserve">), which comprised 209 participants </w:t>
      </w:r>
      <w:proofErr w:type="gramStart"/>
      <w:r w:rsidR="001E0F05">
        <w:rPr>
          <w:iCs/>
        </w:rPr>
        <w:t>from the UK general population,</w:t>
      </w:r>
      <w:proofErr w:type="gramEnd"/>
      <w:r w:rsidR="001E0F05">
        <w:rPr>
          <w:iCs/>
        </w:rPr>
        <w:t xml:space="preserve"> </w:t>
      </w:r>
      <w:r w:rsidR="001E0F05" w:rsidRPr="006605F3">
        <w:rPr>
          <w:iCs/>
        </w:rPr>
        <w:t>to the proposed Australian population</w:t>
      </w:r>
      <w:r w:rsidR="001E0F05">
        <w:rPr>
          <w:iCs/>
        </w:rPr>
        <w:t xml:space="preserve"> of people living with diabetes, and the inferential method used to obtain </w:t>
      </w:r>
      <w:r w:rsidR="001E0F05" w:rsidRPr="00B749F6">
        <w:t xml:space="preserve">the difference between the derived utilities for </w:t>
      </w:r>
      <w:r w:rsidR="001E0F05">
        <w:t>sensor-</w:t>
      </w:r>
      <w:r w:rsidR="001E0F05" w:rsidRPr="00B749F6">
        <w:t>based glucose</w:t>
      </w:r>
      <w:r w:rsidR="001E0F05">
        <w:t xml:space="preserve"> monitoring</w:t>
      </w:r>
      <w:r w:rsidR="001E0F05" w:rsidRPr="00B749F6">
        <w:t xml:space="preserve"> and conventional glucose monitorin</w:t>
      </w:r>
      <w:r w:rsidR="001E0F05">
        <w:t>g to estimate the 0.03 disutility</w:t>
      </w:r>
      <w:r w:rsidR="001E0F05">
        <w:rPr>
          <w:iCs/>
        </w:rPr>
        <w:t xml:space="preserve">. </w:t>
      </w:r>
      <w:r w:rsidRPr="004161A5" w:rsidDel="00701F0B">
        <w:rPr>
          <w:iCs/>
        </w:rPr>
        <w:t xml:space="preserve">However, MSAC accepted that SMBG is associated with some level of disutility, as many patients avoid finger-pricking. MSAC also considered that the level of disutility would vary depending on the person’s individual circumstances; that is, it would be context dependent, rather than associated with </w:t>
      </w:r>
      <w:proofErr w:type="gramStart"/>
      <w:r w:rsidRPr="004161A5" w:rsidDel="00701F0B">
        <w:rPr>
          <w:iCs/>
        </w:rPr>
        <w:t>particular demographic</w:t>
      </w:r>
      <w:proofErr w:type="gramEnd"/>
      <w:r w:rsidRPr="004161A5" w:rsidDel="00701F0B">
        <w:rPr>
          <w:iCs/>
        </w:rPr>
        <w:t xml:space="preserve"> groups.</w:t>
      </w:r>
    </w:p>
    <w:p w14:paraId="7E383E24" w14:textId="0D9040CB" w:rsidR="00A445E1" w:rsidRDefault="00576A8A" w:rsidP="004161A5">
      <w:pPr>
        <w:spacing w:after="240"/>
        <w:rPr>
          <w:iCs/>
        </w:rPr>
      </w:pPr>
      <w:r>
        <w:rPr>
          <w:iCs/>
        </w:rPr>
        <w:t xml:space="preserve">MSAC noted that the CCA for PICO set 2 concluded that CGM would be cost saving </w:t>
      </w:r>
      <w:r w:rsidR="00A65B1F">
        <w:rPr>
          <w:iCs/>
        </w:rPr>
        <w:t>compared to SMBG for gestational diabetes</w:t>
      </w:r>
      <w:r w:rsidR="0035538E">
        <w:rPr>
          <w:iCs/>
        </w:rPr>
        <w:t xml:space="preserve">. MSAC noted that this did not include consideration of hyper- or hypoglycaemia </w:t>
      </w:r>
      <w:r w:rsidR="00494E15">
        <w:rPr>
          <w:iCs/>
        </w:rPr>
        <w:t xml:space="preserve">and that all cost-effectiveness came from </w:t>
      </w:r>
      <w:r w:rsidR="002D3AC6">
        <w:rPr>
          <w:iCs/>
        </w:rPr>
        <w:t>reduction in macrosomia</w:t>
      </w:r>
      <w:r w:rsidR="00B8549A">
        <w:rPr>
          <w:iCs/>
        </w:rPr>
        <w:t xml:space="preserve"> of the infants of people with gestational diabetes</w:t>
      </w:r>
      <w:r w:rsidR="002D3AC6">
        <w:rPr>
          <w:iCs/>
        </w:rPr>
        <w:t xml:space="preserve">. </w:t>
      </w:r>
      <w:r w:rsidR="00494E15">
        <w:rPr>
          <w:iCs/>
        </w:rPr>
        <w:t xml:space="preserve">MSAC considered this a crude measure but acknowledged that people with gestational diabetes is an important group and that </w:t>
      </w:r>
      <w:r w:rsidR="00DA3098">
        <w:rPr>
          <w:iCs/>
        </w:rPr>
        <w:t xml:space="preserve">considering the health of affected </w:t>
      </w:r>
      <w:r w:rsidR="00903129">
        <w:rPr>
          <w:iCs/>
        </w:rPr>
        <w:t>infants</w:t>
      </w:r>
      <w:r w:rsidR="00DA3098">
        <w:rPr>
          <w:iCs/>
        </w:rPr>
        <w:t xml:space="preserve"> was critical.</w:t>
      </w:r>
      <w:r w:rsidR="00AF3DF3">
        <w:rPr>
          <w:iCs/>
        </w:rPr>
        <w:t xml:space="preserve"> </w:t>
      </w:r>
      <w:r w:rsidR="004161A5" w:rsidRPr="004161A5">
        <w:rPr>
          <w:iCs/>
        </w:rPr>
        <w:t xml:space="preserve">MSAC noted the financial and budgetary impacts. </w:t>
      </w:r>
    </w:p>
    <w:p w14:paraId="7745E67E" w14:textId="0B113856" w:rsidR="004161A5" w:rsidRPr="004161A5" w:rsidRDefault="004161A5" w:rsidP="004161A5">
      <w:pPr>
        <w:spacing w:after="240"/>
        <w:rPr>
          <w:iCs/>
        </w:rPr>
      </w:pPr>
      <w:r w:rsidRPr="004161A5">
        <w:rPr>
          <w:iCs/>
        </w:rPr>
        <w:t xml:space="preserve">MSAC noted uncertainty in the </w:t>
      </w:r>
      <w:r w:rsidR="00246627">
        <w:rPr>
          <w:iCs/>
        </w:rPr>
        <w:t xml:space="preserve">size </w:t>
      </w:r>
      <w:r w:rsidR="00C6531B">
        <w:rPr>
          <w:iCs/>
        </w:rPr>
        <w:t>of</w:t>
      </w:r>
      <w:r w:rsidRPr="004161A5">
        <w:rPr>
          <w:iCs/>
        </w:rPr>
        <w:t xml:space="preserve"> the eligible patient population – this application estimated the eligible population for PICO set 1 (intensive insulin users) to be 33,361 patients</w:t>
      </w:r>
      <w:r w:rsidR="0058498B">
        <w:rPr>
          <w:iCs/>
        </w:rPr>
        <w:t>.</w:t>
      </w:r>
      <w:r w:rsidR="0058498B" w:rsidRPr="0058498B">
        <w:rPr>
          <w:lang w:val="en-US"/>
        </w:rPr>
        <w:t xml:space="preserve"> </w:t>
      </w:r>
      <w:r w:rsidR="0058498B">
        <w:rPr>
          <w:lang w:val="en-US"/>
        </w:rPr>
        <w:t>MSAC noted the differences in estimates between this application and Application 178</w:t>
      </w:r>
      <w:r w:rsidR="00F37827">
        <w:rPr>
          <w:lang w:val="en-US"/>
        </w:rPr>
        <w:t>5</w:t>
      </w:r>
      <w:r w:rsidR="0058498B">
        <w:rPr>
          <w:lang w:val="en-US"/>
        </w:rPr>
        <w:t xml:space="preserve"> which need to be resolved (although noting the differences were partly based on different definitions of the IIT population</w:t>
      </w:r>
      <w:r w:rsidR="0058498B">
        <w:rPr>
          <w:iCs/>
        </w:rPr>
        <w:t>)</w:t>
      </w:r>
      <w:r w:rsidRPr="004161A5">
        <w:rPr>
          <w:iCs/>
        </w:rPr>
        <w:t xml:space="preserve">. MSAC also considered that uptake </w:t>
      </w:r>
      <w:r w:rsidR="00601DBF">
        <w:rPr>
          <w:iCs/>
        </w:rPr>
        <w:t xml:space="preserve">had likely been underestimated, </w:t>
      </w:r>
      <w:r w:rsidR="0010135A">
        <w:rPr>
          <w:iCs/>
        </w:rPr>
        <w:t>with the ADAR proposing uptake</w:t>
      </w:r>
      <w:r w:rsidR="00305C66">
        <w:rPr>
          <w:iCs/>
        </w:rPr>
        <w:t xml:space="preserve"> of</w:t>
      </w:r>
      <w:r w:rsidR="00361DAE">
        <w:rPr>
          <w:iCs/>
        </w:rPr>
        <w:t xml:space="preserve"> </w:t>
      </w:r>
      <w:r w:rsidR="0010425C">
        <w:rPr>
          <w:b/>
          <w:bCs/>
          <w:iCs/>
        </w:rPr>
        <w:t>R</w:t>
      </w:r>
      <w:r w:rsidR="003E1ED0">
        <w:rPr>
          <w:b/>
          <w:bCs/>
          <w:iCs/>
        </w:rPr>
        <w:t>EDACTED</w:t>
      </w:r>
      <w:r w:rsidR="00361DAE">
        <w:rPr>
          <w:iCs/>
        </w:rPr>
        <w:t xml:space="preserve">% in year 1 and rising to </w:t>
      </w:r>
      <w:r w:rsidR="0010425C">
        <w:rPr>
          <w:b/>
          <w:bCs/>
          <w:iCs/>
        </w:rPr>
        <w:t>R</w:t>
      </w:r>
      <w:r w:rsidR="003E1ED0">
        <w:rPr>
          <w:b/>
          <w:bCs/>
          <w:iCs/>
        </w:rPr>
        <w:t>EDACTED</w:t>
      </w:r>
      <w:r w:rsidR="00361DAE">
        <w:rPr>
          <w:iCs/>
        </w:rPr>
        <w:t>% in year 6</w:t>
      </w:r>
      <w:r w:rsidR="00361DAE" w:rsidRPr="00361DAE">
        <w:rPr>
          <w:iCs/>
        </w:rPr>
        <w:t xml:space="preserve"> </w:t>
      </w:r>
      <w:r w:rsidR="00361DAE">
        <w:rPr>
          <w:iCs/>
        </w:rPr>
        <w:t>for PICO set 1</w:t>
      </w:r>
      <w:r w:rsidRPr="004161A5">
        <w:rPr>
          <w:iCs/>
        </w:rPr>
        <w:t xml:space="preserve">. MSAC noted that </w:t>
      </w:r>
      <w:r w:rsidR="004607E4">
        <w:rPr>
          <w:iCs/>
        </w:rPr>
        <w:t xml:space="preserve">even accepting these estimates at face value, </w:t>
      </w:r>
      <w:r w:rsidRPr="004161A5">
        <w:rPr>
          <w:iCs/>
        </w:rPr>
        <w:t xml:space="preserve">the overall budget impact was high due to the large size of the eligible patient population in PICO set 1 and the lifelong time horizon of device use. </w:t>
      </w:r>
    </w:p>
    <w:p w14:paraId="29E82FDC" w14:textId="733C575A" w:rsidR="00C63804" w:rsidRDefault="001A65EA" w:rsidP="008E4DE0">
      <w:r>
        <w:t>MSAC considered the evidence presented in this application, and that of application 1786, and considered that there was likely no difference between the FSL and Dexcom devices in terms of clinical effectivenes</w:t>
      </w:r>
      <w:r w:rsidRPr="005A4CCD">
        <w:t>s.</w:t>
      </w:r>
      <w:r>
        <w:t xml:space="preserve"> </w:t>
      </w:r>
      <w:r w:rsidR="00C63804">
        <w:t xml:space="preserve">On balance, MSAC agreed with ESC that there is likely to be some degree of class effect with this technology when CGM systems have similar features and </w:t>
      </w:r>
      <w:proofErr w:type="gramStart"/>
      <w:r w:rsidR="00C63804">
        <w:t>functionality</w:t>
      </w:r>
      <w:proofErr w:type="gramEnd"/>
      <w:r w:rsidR="00C63804" w:rsidRPr="00C01FDE">
        <w:t xml:space="preserve"> </w:t>
      </w:r>
      <w:r w:rsidR="00C63804">
        <w:t>but that further consideration should be given as to whether devices with specific features should be considered equivalent.</w:t>
      </w:r>
    </w:p>
    <w:p w14:paraId="4FA8790B" w14:textId="708FB028" w:rsidR="004161A5" w:rsidRPr="000218FE" w:rsidRDefault="001531DF" w:rsidP="008E4DE0">
      <w:r>
        <w:t xml:space="preserve">Given that the </w:t>
      </w:r>
      <w:r w:rsidRPr="00A2267A">
        <w:t xml:space="preserve">outcomes for the Dexcom ONE+ and FSL CGM systems </w:t>
      </w:r>
      <w:r>
        <w:t>were judged to be</w:t>
      </w:r>
      <w:r w:rsidRPr="00A2267A">
        <w:t xml:space="preserve"> comparable, </w:t>
      </w:r>
      <w:r>
        <w:t xml:space="preserve">MSAC considered that </w:t>
      </w:r>
      <w:r w:rsidRPr="00A2267A">
        <w:t>price</w:t>
      </w:r>
      <w:r>
        <w:t xml:space="preserve"> is</w:t>
      </w:r>
      <w:r w:rsidRPr="00A2267A">
        <w:t xml:space="preserve"> the main difference between the 2 applications</w:t>
      </w:r>
      <w:r>
        <w:t>. MSAC agreed with ESC that either a price premium or price competition approach would be appropriate</w:t>
      </w:r>
      <w:r w:rsidR="000218FE">
        <w:t xml:space="preserve">. </w:t>
      </w:r>
      <w:r w:rsidR="0002218B">
        <w:rPr>
          <w:b/>
          <w:bCs/>
        </w:rPr>
        <w:t>REDACTED</w:t>
      </w:r>
      <w:r w:rsidR="0002218B">
        <w:t>.</w:t>
      </w:r>
      <w:r w:rsidR="004161A5" w:rsidRPr="004161A5">
        <w:rPr>
          <w:iCs/>
        </w:rPr>
        <w:t xml:space="preserve"> </w:t>
      </w:r>
    </w:p>
    <w:p w14:paraId="6951F376" w14:textId="6A9BA777" w:rsidR="00D77004" w:rsidRDefault="004161A5" w:rsidP="00D77004">
      <w:r w:rsidRPr="004161A5">
        <w:rPr>
          <w:iCs/>
        </w:rPr>
        <w:t xml:space="preserve">MSAC noted the current equity issues with funding, in that T1D patients can currently access CGM through the NDSS, with some patients making a co-payment. MSAC advised that any funding for CGM for T2D patients should match the funding model for T1D patients. </w:t>
      </w:r>
    </w:p>
    <w:p w14:paraId="59927594" w14:textId="546FDBDF" w:rsidR="00D77004" w:rsidRDefault="00D77004" w:rsidP="00D77004">
      <w:pPr>
        <w:rPr>
          <w:rFonts w:eastAsia="Times New Roman" w:cs="Times New Roman"/>
          <w:lang w:eastAsia="en-AU"/>
        </w:rPr>
      </w:pPr>
      <w:r>
        <w:t xml:space="preserve">MSAC noted that most patients with T2D are managed in </w:t>
      </w:r>
      <w:r w:rsidRPr="009449CC">
        <w:t>a general practitioner (GP) se</w:t>
      </w:r>
      <w:r>
        <w:t>tting, but</w:t>
      </w:r>
      <w:r>
        <w:rPr>
          <w:rFonts w:eastAsia="Times New Roman" w:cs="Times New Roman"/>
          <w:lang w:eastAsia="en-AU"/>
        </w:rPr>
        <w:t xml:space="preserve"> GPs are not currently included in the set of health professionals who can certify </w:t>
      </w:r>
      <w:r w:rsidRPr="005B3125">
        <w:rPr>
          <w:rFonts w:eastAsia="Times New Roman" w:cs="Times New Roman"/>
          <w:lang w:eastAsia="en-AU"/>
        </w:rPr>
        <w:t xml:space="preserve">eligibility </w:t>
      </w:r>
      <w:r w:rsidRPr="00DA2A78">
        <w:rPr>
          <w:rFonts w:eastAsia="Times New Roman" w:cs="Times New Roman"/>
          <w:lang w:eastAsia="en-AU"/>
        </w:rPr>
        <w:t>for CGM products through the NDSS. MSAC considered that</w:t>
      </w:r>
      <w:r>
        <w:rPr>
          <w:rFonts w:eastAsia="Times New Roman" w:cs="Times New Roman"/>
          <w:lang w:eastAsia="en-AU"/>
        </w:rPr>
        <w:t xml:space="preserve"> </w:t>
      </w:r>
      <w:r w:rsidRPr="00DA2A78">
        <w:rPr>
          <w:rFonts w:eastAsia="Times New Roman" w:cs="Times New Roman"/>
          <w:lang w:eastAsia="en-AU"/>
        </w:rPr>
        <w:t>t</w:t>
      </w:r>
      <w:r w:rsidRPr="0084020B">
        <w:rPr>
          <w:rFonts w:eastAsia="Times New Roman" w:cs="Times New Roman"/>
          <w:lang w:eastAsia="en-AU"/>
        </w:rPr>
        <w:t>he</w:t>
      </w:r>
      <w:r>
        <w:rPr>
          <w:rFonts w:eastAsia="Times New Roman" w:cs="Times New Roman"/>
          <w:lang w:eastAsia="en-AU"/>
        </w:rPr>
        <w:t xml:space="preserve"> insufficient numbers of </w:t>
      </w:r>
      <w:r w:rsidRPr="0084020B">
        <w:rPr>
          <w:rFonts w:eastAsia="Times New Roman" w:cs="Times New Roman"/>
          <w:lang w:eastAsia="en-AU"/>
        </w:rPr>
        <w:t>endocrinologists and diabetes educators</w:t>
      </w:r>
      <w:r>
        <w:rPr>
          <w:rFonts w:eastAsia="Times New Roman" w:cs="Times New Roman"/>
          <w:lang w:eastAsia="en-AU"/>
        </w:rPr>
        <w:t xml:space="preserve"> </w:t>
      </w:r>
      <w:r w:rsidR="00A9297F">
        <w:rPr>
          <w:rFonts w:eastAsia="Times New Roman" w:cs="Times New Roman"/>
          <w:lang w:eastAsia="en-AU"/>
        </w:rPr>
        <w:t>(</w:t>
      </w:r>
      <w:r w:rsidR="007660E2">
        <w:rPr>
          <w:rFonts w:eastAsia="Times New Roman" w:cs="Times New Roman"/>
          <w:lang w:eastAsia="en-AU"/>
        </w:rPr>
        <w:t>who are currently able to certify eligibility for CGM products)</w:t>
      </w:r>
      <w:r>
        <w:rPr>
          <w:rFonts w:eastAsia="Times New Roman" w:cs="Times New Roman"/>
          <w:lang w:eastAsia="en-AU"/>
        </w:rPr>
        <w:t xml:space="preserve"> would create bottlenecks if CGM devices are funded for people with T2D. MSAC considered that allowing</w:t>
      </w:r>
      <w:r w:rsidRPr="0084020B">
        <w:rPr>
          <w:rFonts w:eastAsia="Times New Roman" w:cs="Times New Roman"/>
          <w:lang w:eastAsia="en-AU"/>
        </w:rPr>
        <w:t xml:space="preserve"> GPs to approve CGM</w:t>
      </w:r>
      <w:r>
        <w:rPr>
          <w:rFonts w:eastAsia="Times New Roman" w:cs="Times New Roman"/>
          <w:lang w:eastAsia="en-AU"/>
        </w:rPr>
        <w:t xml:space="preserve"> for both T1D and T2D (if funded), with guidance, would be appropriate. MSAC noted that consumer feedback also supports an extended role for GPs. </w:t>
      </w:r>
      <w:r w:rsidRPr="00C57C4B">
        <w:rPr>
          <w:rFonts w:eastAsia="Times New Roman" w:cs="Times New Roman"/>
          <w:lang w:eastAsia="en-AU"/>
        </w:rPr>
        <w:t>MSAC noted</w:t>
      </w:r>
      <w:r>
        <w:rPr>
          <w:rFonts w:eastAsia="Times New Roman" w:cs="Times New Roman"/>
          <w:lang w:eastAsia="en-AU"/>
        </w:rPr>
        <w:t xml:space="preserve"> that the RACGP does not support mandating GPs to complete additional education before they are able to sign CGM application forms. </w:t>
      </w:r>
      <w:r w:rsidRPr="00AC0C71">
        <w:rPr>
          <w:rFonts w:eastAsia="Times New Roman" w:cs="Times New Roman"/>
          <w:lang w:eastAsia="en-AU"/>
        </w:rPr>
        <w:t>MSAC considered that changes to the NDSS IT system may</w:t>
      </w:r>
      <w:r>
        <w:rPr>
          <w:rFonts w:eastAsia="Times New Roman" w:cs="Times New Roman"/>
          <w:lang w:eastAsia="en-AU"/>
        </w:rPr>
        <w:t xml:space="preserve"> also</w:t>
      </w:r>
      <w:r w:rsidRPr="00AC0C71">
        <w:rPr>
          <w:rFonts w:eastAsia="Times New Roman" w:cs="Times New Roman"/>
          <w:lang w:eastAsia="en-AU"/>
        </w:rPr>
        <w:t xml:space="preserve"> be needed to ensure access to CGM products is limited to those who are in cohorts that have newly received access.</w:t>
      </w:r>
    </w:p>
    <w:p w14:paraId="40BF0B66" w14:textId="270788AF" w:rsidR="0008363E" w:rsidRDefault="0008363E" w:rsidP="0008363E">
      <w:pPr>
        <w:rPr>
          <w:rFonts w:eastAsia="Franklin Gothic Book" w:cs="Franklin Gothic Book"/>
          <w:color w:val="000000" w:themeColor="text1"/>
        </w:rPr>
      </w:pPr>
      <w:r>
        <w:t xml:space="preserve">Overall, </w:t>
      </w:r>
      <w:r w:rsidR="0005426C">
        <w:t xml:space="preserve">MSAC </w:t>
      </w:r>
      <w:r>
        <w:t xml:space="preserve">considered the PICO set 1 population proposed in this application is very broad and heterogeneous and that the evidence presented is not sufficient to </w:t>
      </w:r>
      <w:r w:rsidR="25FD9398">
        <w:t xml:space="preserve">fully </w:t>
      </w:r>
      <w:r>
        <w:t>support a claim of superior clinical effectiveness.</w:t>
      </w:r>
      <w:r w:rsidRPr="00D3640D">
        <w:rPr>
          <w:rFonts w:eastAsia="Franklin Gothic Book" w:cs="Franklin Gothic Book"/>
          <w:color w:val="000000" w:themeColor="text1"/>
        </w:rPr>
        <w:t xml:space="preserve"> </w:t>
      </w:r>
      <w:r w:rsidRPr="00EE0C28">
        <w:rPr>
          <w:rFonts w:eastAsia="Franklin Gothic Book" w:cs="Franklin Gothic Book"/>
          <w:color w:val="000000" w:themeColor="text1"/>
        </w:rPr>
        <w:t>The reduction in HbA1c</w:t>
      </w:r>
      <w:r>
        <w:rPr>
          <w:rFonts w:eastAsia="Franklin Gothic Book" w:cs="Franklin Gothic Book"/>
          <w:color w:val="000000" w:themeColor="text1"/>
        </w:rPr>
        <w:t xml:space="preserve"> reported from the evidence base</w:t>
      </w:r>
      <w:r w:rsidRPr="00EE0C28">
        <w:rPr>
          <w:rFonts w:eastAsia="Franklin Gothic Book" w:cs="Franklin Gothic Book"/>
          <w:color w:val="000000" w:themeColor="text1"/>
        </w:rPr>
        <w:t xml:space="preserve"> was lower than the level considered </w:t>
      </w:r>
      <w:r w:rsidR="002233DA">
        <w:rPr>
          <w:rFonts w:eastAsia="Franklin Gothic Book" w:cs="Franklin Gothic Book"/>
          <w:color w:val="000000" w:themeColor="text1"/>
        </w:rPr>
        <w:t>to be</w:t>
      </w:r>
      <w:r w:rsidRPr="00EE0C28">
        <w:rPr>
          <w:rFonts w:eastAsia="Franklin Gothic Book" w:cs="Franklin Gothic Book"/>
          <w:color w:val="000000" w:themeColor="text1"/>
        </w:rPr>
        <w:t xml:space="preserve"> a meaningful improvement by the </w:t>
      </w:r>
      <w:r w:rsidR="00D25995">
        <w:rPr>
          <w:rFonts w:eastAsia="Franklin Gothic Book" w:cs="Franklin Gothic Book"/>
          <w:color w:val="000000" w:themeColor="text1"/>
        </w:rPr>
        <w:t>PBAC</w:t>
      </w:r>
      <w:r w:rsidRPr="00EE0C28">
        <w:rPr>
          <w:rFonts w:eastAsia="Franklin Gothic Book" w:cs="Franklin Gothic Book"/>
          <w:color w:val="000000" w:themeColor="text1"/>
        </w:rPr>
        <w:t xml:space="preserve"> and regulatory agencies</w:t>
      </w:r>
      <w:r>
        <w:rPr>
          <w:rFonts w:eastAsia="Franklin Gothic Book" w:cs="Franklin Gothic Book"/>
          <w:color w:val="000000" w:themeColor="text1"/>
        </w:rPr>
        <w:t>.</w:t>
      </w:r>
      <w:r w:rsidRPr="00305DF8">
        <w:rPr>
          <w:rFonts w:eastAsia="Franklin Gothic Book" w:cs="Franklin Gothic Book"/>
          <w:color w:val="000000" w:themeColor="text1"/>
        </w:rPr>
        <w:t xml:space="preserve"> </w:t>
      </w:r>
      <w:r>
        <w:rPr>
          <w:rFonts w:eastAsia="Franklin Gothic Book" w:cs="Franklin Gothic Book"/>
          <w:color w:val="000000" w:themeColor="text1"/>
        </w:rPr>
        <w:t>The</w:t>
      </w:r>
      <w:r w:rsidR="00695C92">
        <w:rPr>
          <w:rFonts w:eastAsia="Franklin Gothic Book" w:cs="Franklin Gothic Book"/>
          <w:color w:val="000000" w:themeColor="text1"/>
        </w:rPr>
        <w:t xml:space="preserve"> economic model presented for PICO set 1 included outdated</w:t>
      </w:r>
      <w:r>
        <w:rPr>
          <w:rFonts w:eastAsia="Franklin Gothic Book" w:cs="Franklin Gothic Book"/>
          <w:color w:val="000000" w:themeColor="text1"/>
        </w:rPr>
        <w:t xml:space="preserve"> </w:t>
      </w:r>
      <w:r w:rsidR="00695C92">
        <w:rPr>
          <w:rFonts w:eastAsia="Franklin Gothic Book" w:cs="Franklin Gothic Book"/>
          <w:color w:val="000000" w:themeColor="text1"/>
        </w:rPr>
        <w:t xml:space="preserve">risk equations and generated implausible results. </w:t>
      </w:r>
    </w:p>
    <w:p w14:paraId="7C2524BD" w14:textId="35252334" w:rsidR="0008363E" w:rsidRDefault="00AC4B2C" w:rsidP="0008363E">
      <w:r w:rsidRPr="00AC4B2C">
        <w:t>MSAC considered that CGM may be more clinically effective and cost-effective for some of subpopulations and this should be further considered</w:t>
      </w:r>
      <w:r>
        <w:t>.</w:t>
      </w:r>
      <w:r w:rsidR="0008363E">
        <w:t xml:space="preserve"> </w:t>
      </w:r>
      <w:r w:rsidR="00B8141F" w:rsidRPr="00B8141F">
        <w:t xml:space="preserve">MSAC therefore deferred its advice on public funding of the </w:t>
      </w:r>
      <w:r w:rsidR="005B3513">
        <w:t>FSL2 and FSL2 Plus</w:t>
      </w:r>
      <w:r w:rsidR="00B8141F" w:rsidRPr="00B8141F">
        <w:t xml:space="preserve"> CGM system until these issues are adequately addressed.</w:t>
      </w:r>
    </w:p>
    <w:p w14:paraId="1D897113" w14:textId="26562A31" w:rsidR="00944037" w:rsidRDefault="00CB2C0B" w:rsidP="0008363E">
      <w:r w:rsidRPr="00CB2C0B">
        <w:t>MSAC considered that certain subpopulations are likely to have greater clinical need, derive more clinical benefit and/or show greater QoL improvements if they use a CGM device, although further evidence</w:t>
      </w:r>
      <w:r w:rsidR="0037744C">
        <w:t xml:space="preserve"> that is more up-to-date and specific to these groups</w:t>
      </w:r>
      <w:r w:rsidRPr="00CB2C0B">
        <w:t xml:space="preserve"> is required. </w:t>
      </w:r>
    </w:p>
    <w:p w14:paraId="5A50F285" w14:textId="4A32E509" w:rsidR="0008363E" w:rsidRDefault="0008363E" w:rsidP="0008363E">
      <w:r>
        <w:t>MSAC therefore considered that a resubmission may wish to consider the clinical evidence for these and other subpopulations with T2D to evaluate whether CGM would be better targeted to these subpopulations. These subpopulations could include</w:t>
      </w:r>
    </w:p>
    <w:p w14:paraId="6E74B4C7" w14:textId="7DF7234A" w:rsidR="0008363E" w:rsidRDefault="0008363E" w:rsidP="0008363E">
      <w:pPr>
        <w:pStyle w:val="ListParagraph"/>
        <w:numPr>
          <w:ilvl w:val="0"/>
          <w:numId w:val="32"/>
        </w:numPr>
        <w:spacing w:before="0" w:after="0" w:line="240" w:lineRule="auto"/>
      </w:pPr>
      <w:r w:rsidRPr="00040A9E">
        <w:t>people using insulin with higher</w:t>
      </w:r>
      <w:r>
        <w:t xml:space="preserve"> baseline</w:t>
      </w:r>
      <w:r w:rsidRPr="00040A9E">
        <w:t xml:space="preserve"> levels of glycated haemoglobin (e.g. &gt; 8</w:t>
      </w:r>
      <w:r>
        <w:t>%</w:t>
      </w:r>
      <w:r w:rsidR="2F82ECB9">
        <w:t xml:space="preserve"> and &gt;9</w:t>
      </w:r>
      <w:r w:rsidRPr="00040A9E">
        <w:t xml:space="preserve">%) </w:t>
      </w:r>
    </w:p>
    <w:p w14:paraId="0E4815AE" w14:textId="77777777" w:rsidR="0008363E" w:rsidRDefault="0008363E" w:rsidP="0008363E">
      <w:pPr>
        <w:pStyle w:val="ListParagraph"/>
        <w:numPr>
          <w:ilvl w:val="0"/>
          <w:numId w:val="32"/>
        </w:numPr>
        <w:spacing w:before="0" w:after="0" w:line="240" w:lineRule="auto"/>
      </w:pPr>
      <w:r>
        <w:t>First Nations pe</w:t>
      </w:r>
      <w:r w:rsidRPr="00C42445">
        <w:t>ople</w:t>
      </w:r>
      <w:r>
        <w:t xml:space="preserve"> (e.g. with baseline HbA1c &gt;7%)</w:t>
      </w:r>
    </w:p>
    <w:p w14:paraId="7E747086" w14:textId="77777777" w:rsidR="0008363E" w:rsidRDefault="0008363E" w:rsidP="0008363E">
      <w:pPr>
        <w:pStyle w:val="ListParagraph"/>
        <w:numPr>
          <w:ilvl w:val="0"/>
          <w:numId w:val="32"/>
        </w:numPr>
        <w:spacing w:before="0" w:after="0" w:line="240" w:lineRule="auto"/>
      </w:pPr>
      <w:r>
        <w:rPr>
          <w:rFonts w:eastAsia="Franklin Gothic Book" w:cs="Franklin Gothic Book"/>
          <w:color w:val="000000" w:themeColor="text1"/>
        </w:rPr>
        <w:t>people who use both long acting and short acting insulin</w:t>
      </w:r>
    </w:p>
    <w:p w14:paraId="25D5D093" w14:textId="02B74031" w:rsidR="007454CA" w:rsidRDefault="007454CA" w:rsidP="007454CA">
      <w:pPr>
        <w:pStyle w:val="ListParagraph"/>
        <w:numPr>
          <w:ilvl w:val="0"/>
          <w:numId w:val="32"/>
        </w:numPr>
        <w:spacing w:before="0" w:after="0" w:line="240" w:lineRule="auto"/>
      </w:pPr>
      <w:r>
        <w:t>people with disability (including mental health issues and neurodivergence) for which checking B</w:t>
      </w:r>
      <w:r w:rsidRPr="00C42445">
        <w:t>GLs creates a hig</w:t>
      </w:r>
      <w:r>
        <w:t>h burden on the individual and/or carer.</w:t>
      </w:r>
    </w:p>
    <w:p w14:paraId="2840CCBA" w14:textId="78DA09F4" w:rsidR="005E0555" w:rsidRDefault="005E0555" w:rsidP="005E0555">
      <w:r>
        <w:t xml:space="preserve">For example, MSAC noted that finger prick testing does not constitute culturally respectful care in many First Nations communities due to the shame and stigma surrounding this testing method. Additionally, First Nations people typically have worse diabetes outcomes, and therefore may derive more benefit from CGM. MSAC noted that CGM systems </w:t>
      </w:r>
      <w:r w:rsidR="002257DA">
        <w:t xml:space="preserve">may be </w:t>
      </w:r>
      <w:r>
        <w:t xml:space="preserve">especially useful for First Nations community </w:t>
      </w:r>
      <w:proofErr w:type="gramStart"/>
      <w:r>
        <w:t>members, and</w:t>
      </w:r>
      <w:proofErr w:type="gramEnd"/>
      <w:r>
        <w:t xml:space="preserve"> considered that funding access to the technology will be beneficial in closing the gap. MSAC also noted that based on consultation inputs, CGM may also have increased utility in the case of </w:t>
      </w:r>
      <w:r w:rsidR="00422111">
        <w:t xml:space="preserve">people living with </w:t>
      </w:r>
      <w:r w:rsidR="004F00B1">
        <w:t>conditions</w:t>
      </w:r>
      <w:r>
        <w:t xml:space="preserve"> such as depression, attention-deficit/hyperactivity disorder (ADHD) and neuropathy, and that these people may not have been captured in the clinical trials. MSA</w:t>
      </w:r>
      <w:r w:rsidRPr="005634BE">
        <w:t xml:space="preserve">C </w:t>
      </w:r>
      <w:r>
        <w:t xml:space="preserve">also </w:t>
      </w:r>
      <w:r w:rsidRPr="005634BE">
        <w:t>noted anec</w:t>
      </w:r>
      <w:r>
        <w:t>dotal evidence that CGM systems may be useful on a temporary basis for people on long-acting insulin in periods of illness or when hypoglycaemic events are suspected.</w:t>
      </w:r>
    </w:p>
    <w:p w14:paraId="495B35BC" w14:textId="0A1D389A" w:rsidR="00216917" w:rsidRDefault="00216917" w:rsidP="008D16D6">
      <w:pPr>
        <w:spacing w:before="0" w:after="0" w:line="240" w:lineRule="auto"/>
      </w:pPr>
      <w:r w:rsidRPr="00216917">
        <w:t xml:space="preserve">MSAC considered the following groups </w:t>
      </w:r>
      <w:r w:rsidR="00004DFF">
        <w:t xml:space="preserve">with T2D </w:t>
      </w:r>
      <w:r w:rsidRPr="00216917">
        <w:t xml:space="preserve">may benefit from short-term </w:t>
      </w:r>
      <w:r w:rsidR="00F7295D">
        <w:t xml:space="preserve">or intermittent </w:t>
      </w:r>
      <w:r w:rsidRPr="00216917">
        <w:t>CGM</w:t>
      </w:r>
      <w:r w:rsidR="00F7295D">
        <w:t>, although as for the more targeted subpopulations, MSAC noted that evidence of intermittent vs continuous use should be presented in a resubmission</w:t>
      </w:r>
      <w:r w:rsidRPr="00216917">
        <w:t>:</w:t>
      </w:r>
    </w:p>
    <w:p w14:paraId="165071E6" w14:textId="77777777" w:rsidR="005F3568" w:rsidRDefault="005F3568" w:rsidP="005F3568">
      <w:pPr>
        <w:pStyle w:val="ListParagraph"/>
        <w:numPr>
          <w:ilvl w:val="0"/>
          <w:numId w:val="32"/>
        </w:numPr>
        <w:spacing w:before="0" w:after="0" w:line="240" w:lineRule="auto"/>
      </w:pPr>
      <w:r>
        <w:t>people with intercurrent illness that affects blood glucose management and requires additional short-term monitoring of blood glucose levels</w:t>
      </w:r>
    </w:p>
    <w:p w14:paraId="42EAE8ED" w14:textId="77777777" w:rsidR="00216917" w:rsidRDefault="00216917" w:rsidP="00216917">
      <w:pPr>
        <w:pStyle w:val="ListParagraph"/>
        <w:numPr>
          <w:ilvl w:val="0"/>
          <w:numId w:val="32"/>
        </w:numPr>
        <w:spacing w:before="0" w:after="0" w:line="240" w:lineRule="auto"/>
      </w:pPr>
      <w:r>
        <w:rPr>
          <w:lang w:val="en-US"/>
        </w:rPr>
        <w:t>people who are pregnant and have type 2 diabetes or gestational diabetes, as high glucose levels during pregnancy can lead to abnormal development and later health problems for the child</w:t>
      </w:r>
    </w:p>
    <w:p w14:paraId="48F6B765" w14:textId="77777777" w:rsidR="00216917" w:rsidRDefault="00216917" w:rsidP="00216917">
      <w:pPr>
        <w:pStyle w:val="ListParagraph"/>
        <w:numPr>
          <w:ilvl w:val="0"/>
          <w:numId w:val="32"/>
        </w:numPr>
        <w:spacing w:before="0" w:after="0" w:line="240" w:lineRule="auto"/>
      </w:pPr>
      <w:r>
        <w:t>people who are starting insulin therapy and require frequent BGL measurements</w:t>
      </w:r>
    </w:p>
    <w:p w14:paraId="3BE67BBA" w14:textId="77777777" w:rsidR="00216917" w:rsidRDefault="00216917" w:rsidP="00216917">
      <w:pPr>
        <w:pStyle w:val="ListParagraph"/>
        <w:numPr>
          <w:ilvl w:val="0"/>
          <w:numId w:val="32"/>
        </w:numPr>
        <w:spacing w:before="0" w:after="0" w:line="240" w:lineRule="auto"/>
      </w:pPr>
      <w:r>
        <w:t>situations in which nocturnal hypoglycaemic events are suspected.</w:t>
      </w:r>
    </w:p>
    <w:p w14:paraId="33AE9DD7" w14:textId="417B4F1C" w:rsidR="00944037" w:rsidRDefault="00944037" w:rsidP="0008363E">
      <w:r w:rsidRPr="00944037">
        <w:t xml:space="preserve">MSAC advised that, if the applicant maintains a claim of clinical superiority, a resubmission </w:t>
      </w:r>
      <w:proofErr w:type="gramStart"/>
      <w:r w:rsidRPr="00944037">
        <w:t>would</w:t>
      </w:r>
      <w:proofErr w:type="gramEnd"/>
      <w:r w:rsidRPr="00944037">
        <w:t xml:space="preserve"> need to demonstrate superior effectiveness based on the MCID threshold of 0.5%</w:t>
      </w:r>
      <w:r>
        <w:t xml:space="preserve"> (unless an alternative threshold could be justified as per the </w:t>
      </w:r>
      <w:r w:rsidR="004024B4">
        <w:t xml:space="preserve">section of the </w:t>
      </w:r>
      <w:r>
        <w:t>MSAC Guidelines previously cited)</w:t>
      </w:r>
      <w:r w:rsidR="00324829">
        <w:t>.</w:t>
      </w:r>
    </w:p>
    <w:p w14:paraId="73739A87" w14:textId="0868B32E" w:rsidR="0008363E" w:rsidRDefault="0008363E" w:rsidP="0008363E">
      <w:r w:rsidRPr="00413032">
        <w:t xml:space="preserve">MSAC further considered that </w:t>
      </w:r>
      <w:r>
        <w:t xml:space="preserve">the </w:t>
      </w:r>
      <w:r w:rsidRPr="00FE68EF">
        <w:t>educational</w:t>
      </w:r>
      <w:r>
        <w:t xml:space="preserve"> benefits of CGM in inducing behavioural changes may </w:t>
      </w:r>
      <w:r w:rsidRPr="00FE68EF">
        <w:t>taper off over time</w:t>
      </w:r>
      <w:r>
        <w:t>. MSAC therefore queried whether evidence is available regarding the effectiveness of using a CGM for a limited period (e.g. 2 months in a calendar year)</w:t>
      </w:r>
      <w:r w:rsidR="004F5300">
        <w:t>, which may be considered as a potential option</w:t>
      </w:r>
      <w:r w:rsidR="006361BA">
        <w:t xml:space="preserve"> in a resubmission</w:t>
      </w:r>
      <w:r>
        <w:t xml:space="preserve">. </w:t>
      </w:r>
    </w:p>
    <w:p w14:paraId="5BD4CA42" w14:textId="658C8230" w:rsidR="003057FF" w:rsidRPr="004161A5" w:rsidRDefault="0008363E" w:rsidP="004161A5">
      <w:pPr>
        <w:spacing w:after="240"/>
        <w:rPr>
          <w:iCs/>
        </w:rPr>
      </w:pPr>
      <w:r w:rsidRPr="5E5FDC39">
        <w:rPr>
          <w:rFonts w:eastAsia="Franklin Gothic Book" w:cs="Franklin Gothic Book"/>
          <w:color w:val="000000" w:themeColor="text1"/>
        </w:rPr>
        <w:t>MSAC advised that a</w:t>
      </w:r>
      <w:r w:rsidRPr="57CA58AE">
        <w:rPr>
          <w:rFonts w:eastAsia="Franklin Gothic Book" w:cs="Franklin Gothic Book"/>
          <w:color w:val="000000" w:themeColor="text1"/>
        </w:rPr>
        <w:t xml:space="preserve"> resubmission should</w:t>
      </w:r>
      <w:r w:rsidRPr="71266032">
        <w:rPr>
          <w:rFonts w:eastAsia="Franklin Gothic Book" w:cs="Franklin Gothic Book"/>
          <w:color w:val="000000" w:themeColor="text1"/>
        </w:rPr>
        <w:t xml:space="preserve"> present a </w:t>
      </w:r>
      <w:r w:rsidRPr="03E0033B">
        <w:rPr>
          <w:rFonts w:eastAsia="Franklin Gothic Book" w:cs="Franklin Gothic Book"/>
          <w:color w:val="000000" w:themeColor="text1"/>
        </w:rPr>
        <w:t>revised</w:t>
      </w:r>
      <w:r>
        <w:rPr>
          <w:rFonts w:eastAsia="Franklin Gothic Book" w:cs="Franklin Gothic Book"/>
          <w:color w:val="000000" w:themeColor="text1"/>
        </w:rPr>
        <w:t xml:space="preserve"> economic evaluation</w:t>
      </w:r>
      <w:r w:rsidRPr="71266032">
        <w:rPr>
          <w:rFonts w:eastAsia="Franklin Gothic Book" w:cs="Franklin Gothic Book"/>
          <w:color w:val="000000" w:themeColor="text1"/>
        </w:rPr>
        <w:t xml:space="preserve"> </w:t>
      </w:r>
      <w:r>
        <w:rPr>
          <w:rFonts w:eastAsia="Franklin Gothic Book" w:cs="Franklin Gothic Book"/>
          <w:color w:val="000000" w:themeColor="text1"/>
        </w:rPr>
        <w:t>focussed on the populations with a higher clinical need and</w:t>
      </w:r>
      <w:r w:rsidRPr="71266032">
        <w:rPr>
          <w:rFonts w:eastAsia="Franklin Gothic Book" w:cs="Franklin Gothic Book"/>
          <w:color w:val="000000" w:themeColor="text1"/>
        </w:rPr>
        <w:t xml:space="preserve"> </w:t>
      </w:r>
      <w:r w:rsidRPr="0406BC8E">
        <w:rPr>
          <w:rFonts w:eastAsia="Franklin Gothic Book" w:cs="Franklin Gothic Book"/>
          <w:color w:val="000000" w:themeColor="text1"/>
        </w:rPr>
        <w:t>address</w:t>
      </w:r>
      <w:r>
        <w:rPr>
          <w:rFonts w:eastAsia="Franklin Gothic Book" w:cs="Franklin Gothic Book"/>
          <w:color w:val="000000" w:themeColor="text1"/>
        </w:rPr>
        <w:t xml:space="preserve">es </w:t>
      </w:r>
      <w:r w:rsidRPr="0406BC8E">
        <w:rPr>
          <w:rFonts w:eastAsia="Franklin Gothic Book" w:cs="Franklin Gothic Book"/>
          <w:color w:val="000000" w:themeColor="text1"/>
        </w:rPr>
        <w:t xml:space="preserve">the </w:t>
      </w:r>
      <w:r w:rsidRPr="468C7724">
        <w:rPr>
          <w:rFonts w:eastAsia="Franklin Gothic Book" w:cs="Franklin Gothic Book"/>
          <w:color w:val="000000" w:themeColor="text1"/>
        </w:rPr>
        <w:t>issues</w:t>
      </w:r>
      <w:r w:rsidRPr="7F10D6C7">
        <w:rPr>
          <w:rFonts w:eastAsia="Franklin Gothic Book" w:cs="Franklin Gothic Book"/>
          <w:color w:val="000000" w:themeColor="text1"/>
        </w:rPr>
        <w:t xml:space="preserve"> in the </w:t>
      </w:r>
      <w:r w:rsidRPr="03E0033B">
        <w:rPr>
          <w:rFonts w:eastAsia="Franklin Gothic Book" w:cs="Franklin Gothic Book"/>
          <w:color w:val="000000" w:themeColor="text1"/>
        </w:rPr>
        <w:t>model</w:t>
      </w:r>
      <w:r>
        <w:t xml:space="preserve">. </w:t>
      </w:r>
      <w:r>
        <w:rPr>
          <w:rFonts w:eastAsia="Franklin Gothic Book" w:cs="Franklin Gothic Book"/>
          <w:color w:val="000000" w:themeColor="text1"/>
        </w:rPr>
        <w:t xml:space="preserve">MSAC also considered revised estimates of utilisation would be required to more accurately estimate the size of the subpopulations. </w:t>
      </w:r>
      <w:r>
        <w:t>MSAC advised that the resubmission would need to be considered by</w:t>
      </w:r>
      <w:r w:rsidRPr="0033506D">
        <w:t xml:space="preserve"> ESC</w:t>
      </w:r>
      <w:r>
        <w:t xml:space="preserve"> in addition to MSAC.</w:t>
      </w:r>
    </w:p>
    <w:p w14:paraId="3965FE0F" w14:textId="7F711AAA" w:rsidR="003A0813" w:rsidRDefault="004161A5" w:rsidP="00CB7DB7">
      <w:pPr>
        <w:spacing w:after="240"/>
        <w:rPr>
          <w:iCs/>
        </w:rPr>
      </w:pPr>
      <w:r w:rsidRPr="004161A5">
        <w:rPr>
          <w:iCs/>
        </w:rPr>
        <w:t xml:space="preserve">MSAC </w:t>
      </w:r>
      <w:r w:rsidR="0005426C">
        <w:rPr>
          <w:iCs/>
        </w:rPr>
        <w:t>also deferred</w:t>
      </w:r>
      <w:r w:rsidRPr="004161A5">
        <w:rPr>
          <w:iCs/>
        </w:rPr>
        <w:t xml:space="preserve"> </w:t>
      </w:r>
      <w:r w:rsidR="006C7AC5">
        <w:rPr>
          <w:iCs/>
        </w:rPr>
        <w:t xml:space="preserve">its advice on public </w:t>
      </w:r>
      <w:r w:rsidRPr="004161A5">
        <w:rPr>
          <w:iCs/>
        </w:rPr>
        <w:t>funding for PICO sets 2 and 3. While acknowledging the uncertainties in the data for these populations, MSAC noted that the populations are small and have a high clinical need, and that robust data are unlikely to be generated to strengthen the evidence base. MSAC noted that access to CGM for people with the conditions defined in PICO set 3 is already funded for those under 21 years of age, while access to CGM for PICO set 2 will only be for months rather than years</w:t>
      </w:r>
      <w:r w:rsidR="008A5601">
        <w:rPr>
          <w:iCs/>
        </w:rPr>
        <w:t>.</w:t>
      </w:r>
      <w:r w:rsidR="0005426C">
        <w:rPr>
          <w:iCs/>
        </w:rPr>
        <w:t xml:space="preserve"> </w:t>
      </w:r>
    </w:p>
    <w:p w14:paraId="213CE5C0" w14:textId="1FE595AB" w:rsidR="00C16447" w:rsidRPr="00DC1FC1" w:rsidRDefault="00C16447" w:rsidP="003B1627">
      <w:pPr>
        <w:pStyle w:val="TableFooter"/>
        <w:keepNext/>
        <w:keepLines/>
      </w:pPr>
      <w:r>
        <w:rPr>
          <w:rFonts w:ascii="Franklin Gothic Book" w:hAnsi="Franklin Gothic Book"/>
          <w:sz w:val="22"/>
          <w:szCs w:val="22"/>
        </w:rPr>
        <w:t xml:space="preserve">MSAC advised that if CGM for </w:t>
      </w:r>
      <w:r w:rsidR="002A2353">
        <w:rPr>
          <w:rFonts w:ascii="Franklin Gothic Book" w:hAnsi="Franklin Gothic Book"/>
          <w:sz w:val="22"/>
          <w:szCs w:val="22"/>
        </w:rPr>
        <w:t xml:space="preserve">any of </w:t>
      </w:r>
      <w:r>
        <w:rPr>
          <w:rFonts w:ascii="Franklin Gothic Book" w:hAnsi="Franklin Gothic Book"/>
          <w:sz w:val="22"/>
          <w:szCs w:val="22"/>
        </w:rPr>
        <w:t xml:space="preserve">the identified populations is supported in future, co-payment arrangements for these populations should align with existing co-payments for people with type 1 diabetes, to ensure equity of access. MSAC considered that, based on the evidence presented, different CGM systems with similar features were likely to be equivalent and did not yield differences in magnitude or type of benefit. MSAC therefore considered it appropriate to fund different brands of CGM systems with comparable functionality in a device agnostic </w:t>
      </w:r>
      <w:proofErr w:type="gramStart"/>
      <w:r>
        <w:rPr>
          <w:rFonts w:ascii="Franklin Gothic Book" w:hAnsi="Franklin Gothic Book"/>
          <w:sz w:val="22"/>
          <w:szCs w:val="22"/>
        </w:rPr>
        <w:t>manner, but</w:t>
      </w:r>
      <w:proofErr w:type="gramEnd"/>
      <w:r>
        <w:rPr>
          <w:rFonts w:ascii="Franklin Gothic Book" w:hAnsi="Franklin Gothic Book"/>
          <w:sz w:val="22"/>
          <w:szCs w:val="22"/>
        </w:rPr>
        <w:t xml:space="preserve"> noted that further consideration should be given as to whether devices with specific features should be considered equivalent.</w:t>
      </w:r>
    </w:p>
    <w:p w14:paraId="6710B69D" w14:textId="711600D2" w:rsidR="00772829" w:rsidRPr="00CE28E3" w:rsidRDefault="00772829" w:rsidP="003027B3">
      <w:pPr>
        <w:pStyle w:val="Heading2"/>
        <w:numPr>
          <w:ilvl w:val="0"/>
          <w:numId w:val="27"/>
        </w:numPr>
        <w:ind w:hanging="720"/>
      </w:pPr>
      <w:bookmarkStart w:id="5" w:name="_Toc69491416"/>
      <w:bookmarkEnd w:id="2"/>
      <w:r w:rsidRPr="00CE28E3">
        <w:t>Background</w:t>
      </w:r>
      <w:bookmarkEnd w:id="5"/>
    </w:p>
    <w:p w14:paraId="4CADA4C8" w14:textId="30D19AE7" w:rsidR="001C4F4D" w:rsidRDefault="00F7548D" w:rsidP="001C4F4D">
      <w:pPr>
        <w:pStyle w:val="Instructionaltext"/>
        <w:rPr>
          <w:color w:val="auto"/>
        </w:rPr>
      </w:pPr>
      <w:bookmarkStart w:id="6" w:name="_Hlk69734557"/>
      <w:bookmarkStart w:id="7" w:name="_Hlk68275617"/>
      <w:r>
        <w:rPr>
          <w:color w:val="auto"/>
        </w:rPr>
        <w:t>T</w:t>
      </w:r>
      <w:r w:rsidRPr="00F7548D">
        <w:rPr>
          <w:color w:val="auto"/>
        </w:rPr>
        <w:t xml:space="preserve">he Medical Services Advisory Committee </w:t>
      </w:r>
      <w:r>
        <w:rPr>
          <w:color w:val="auto"/>
        </w:rPr>
        <w:t>(</w:t>
      </w:r>
      <w:r w:rsidR="001C4F4D" w:rsidRPr="00064067">
        <w:rPr>
          <w:color w:val="auto"/>
        </w:rPr>
        <w:t>MSAC</w:t>
      </w:r>
      <w:r>
        <w:rPr>
          <w:color w:val="auto"/>
        </w:rPr>
        <w:t>)</w:t>
      </w:r>
      <w:r w:rsidR="001C4F4D" w:rsidRPr="00064067">
        <w:rPr>
          <w:color w:val="auto"/>
        </w:rPr>
        <w:t xml:space="preserve"> has not previously considered </w:t>
      </w:r>
      <w:r w:rsidR="001C4F4D">
        <w:rPr>
          <w:color w:val="auto"/>
        </w:rPr>
        <w:t>CGM</w:t>
      </w:r>
      <w:r w:rsidR="001C4F4D" w:rsidRPr="00064067">
        <w:rPr>
          <w:color w:val="auto"/>
        </w:rPr>
        <w:t xml:space="preserve"> </w:t>
      </w:r>
      <w:r w:rsidR="001C4F4D">
        <w:rPr>
          <w:color w:val="auto"/>
        </w:rPr>
        <w:t xml:space="preserve">systems </w:t>
      </w:r>
      <w:r w:rsidR="001C4F4D" w:rsidRPr="00064067">
        <w:rPr>
          <w:color w:val="auto"/>
        </w:rPr>
        <w:t xml:space="preserve">for </w:t>
      </w:r>
      <w:r w:rsidR="001C4F4D" w:rsidRPr="001C4F4D">
        <w:rPr>
          <w:color w:val="auto"/>
        </w:rPr>
        <w:t>people with T2D</w:t>
      </w:r>
      <w:r w:rsidR="00815126">
        <w:rPr>
          <w:color w:val="auto"/>
        </w:rPr>
        <w:t xml:space="preserve"> requiring insulin</w:t>
      </w:r>
      <w:r w:rsidR="001C4F4D" w:rsidRPr="001C4F4D">
        <w:rPr>
          <w:color w:val="auto"/>
        </w:rPr>
        <w:t xml:space="preserve">, pregnant women with GDM, or people aged ≥21 years with </w:t>
      </w:r>
      <w:r w:rsidR="00244172" w:rsidRPr="00244172">
        <w:rPr>
          <w:color w:val="auto"/>
        </w:rPr>
        <w:t xml:space="preserve">conditions </w:t>
      </w:r>
      <w:proofErr w:type="gramStart"/>
      <w:r w:rsidR="00244172" w:rsidRPr="00244172">
        <w:rPr>
          <w:color w:val="auto"/>
        </w:rPr>
        <w:t>similar to</w:t>
      </w:r>
      <w:proofErr w:type="gramEnd"/>
      <w:r w:rsidR="00244172" w:rsidRPr="00244172">
        <w:rPr>
          <w:color w:val="auto"/>
        </w:rPr>
        <w:t xml:space="preserve"> type 1 diabetes which require insulin</w:t>
      </w:r>
      <w:r w:rsidR="00244172" w:rsidRPr="00244172" w:rsidDel="00244172">
        <w:rPr>
          <w:color w:val="auto"/>
        </w:rPr>
        <w:t xml:space="preserve"> </w:t>
      </w:r>
      <w:r w:rsidR="00E97731" w:rsidRPr="001C4F4D">
        <w:rPr>
          <w:color w:val="auto"/>
        </w:rPr>
        <w:t xml:space="preserve">(e.g. </w:t>
      </w:r>
      <w:r w:rsidR="00165E36" w:rsidRPr="00A54EDF">
        <w:rPr>
          <w:color w:val="auto"/>
        </w:rPr>
        <w:t>T3cD</w:t>
      </w:r>
      <w:r w:rsidR="00E97731" w:rsidRPr="00A54EDF">
        <w:rPr>
          <w:color w:val="auto"/>
        </w:rPr>
        <w:t>)</w:t>
      </w:r>
      <w:r w:rsidR="001C4F4D" w:rsidRPr="00A54EDF">
        <w:rPr>
          <w:color w:val="auto"/>
        </w:rPr>
        <w:t>.</w:t>
      </w:r>
      <w:r w:rsidR="001C4F4D" w:rsidRPr="001C4F4D">
        <w:rPr>
          <w:color w:val="auto"/>
        </w:rPr>
        <w:t xml:space="preserve"> In </w:t>
      </w:r>
      <w:r w:rsidR="001C4F4D">
        <w:rPr>
          <w:color w:val="auto"/>
        </w:rPr>
        <w:t xml:space="preserve">addition to the application discussed in this commentary, an MSAC application for the </w:t>
      </w:r>
      <w:r w:rsidR="001C4F4D" w:rsidRPr="001C4F4D">
        <w:rPr>
          <w:color w:val="auto"/>
        </w:rPr>
        <w:t xml:space="preserve">Dexcom ONE+ </w:t>
      </w:r>
      <w:r w:rsidR="001C4F4D">
        <w:rPr>
          <w:color w:val="auto"/>
        </w:rPr>
        <w:t>CGM</w:t>
      </w:r>
      <w:r w:rsidR="001C4F4D" w:rsidRPr="001C4F4D">
        <w:rPr>
          <w:color w:val="auto"/>
        </w:rPr>
        <w:t xml:space="preserve"> system for people with </w:t>
      </w:r>
      <w:r w:rsidR="00563317" w:rsidRPr="00A54EDF">
        <w:rPr>
          <w:color w:val="auto"/>
        </w:rPr>
        <w:t>T2D</w:t>
      </w:r>
      <w:r w:rsidR="001C4F4D">
        <w:rPr>
          <w:color w:val="auto"/>
        </w:rPr>
        <w:t xml:space="preserve"> </w:t>
      </w:r>
      <w:r w:rsidR="00815126">
        <w:rPr>
          <w:color w:val="auto"/>
        </w:rPr>
        <w:t xml:space="preserve">requiring insulin </w:t>
      </w:r>
      <w:r w:rsidR="001C4F4D">
        <w:rPr>
          <w:color w:val="auto"/>
        </w:rPr>
        <w:t>is currently under consideration (MSAC Application 1785).</w:t>
      </w:r>
    </w:p>
    <w:p w14:paraId="7D73489E" w14:textId="0456BC5B" w:rsidR="001C4F4D" w:rsidRPr="001C4F4D" w:rsidRDefault="001C4F4D" w:rsidP="001C4F4D">
      <w:pPr>
        <w:pStyle w:val="Instructionaltext"/>
        <w:rPr>
          <w:color w:val="auto"/>
        </w:rPr>
      </w:pPr>
      <w:r>
        <w:rPr>
          <w:color w:val="auto"/>
        </w:rPr>
        <w:t xml:space="preserve">In 2021, MSAC conducted a review of CGM products for people with T1D provided through the CGM Initiative by the NDSS (MSAC Review 1663). </w:t>
      </w:r>
      <w:r w:rsidRPr="00E62123">
        <w:rPr>
          <w:color w:val="auto"/>
        </w:rPr>
        <w:t>After considering the available evidence</w:t>
      </w:r>
      <w:r>
        <w:rPr>
          <w:color w:val="auto"/>
        </w:rPr>
        <w:t>, MSAC deferred providing advice on the clinical</w:t>
      </w:r>
      <w:r w:rsidR="00FA7DE4" w:rsidRPr="00A54EDF">
        <w:rPr>
          <w:color w:val="auto"/>
        </w:rPr>
        <w:t>-</w:t>
      </w:r>
      <w:r>
        <w:rPr>
          <w:color w:val="auto"/>
        </w:rPr>
        <w:t xml:space="preserve"> and cost</w:t>
      </w:r>
      <w:r w:rsidR="00FA7DE4" w:rsidRPr="00A54EDF">
        <w:rPr>
          <w:color w:val="auto"/>
        </w:rPr>
        <w:t>-</w:t>
      </w:r>
      <w:r>
        <w:rPr>
          <w:color w:val="auto"/>
        </w:rPr>
        <w:t>effectiveness of subsidised CGM products</w:t>
      </w:r>
      <w:r w:rsidR="00FA7DE4" w:rsidRPr="00A54EDF">
        <w:rPr>
          <w:color w:val="auto"/>
        </w:rPr>
        <w:t xml:space="preserve">, </w:t>
      </w:r>
      <w:r w:rsidRPr="00A54EDF">
        <w:rPr>
          <w:color w:val="auto"/>
        </w:rPr>
        <w:t>conclud</w:t>
      </w:r>
      <w:r w:rsidR="00FA7DE4" w:rsidRPr="00A54EDF">
        <w:rPr>
          <w:color w:val="auto"/>
        </w:rPr>
        <w:t>ing</w:t>
      </w:r>
      <w:r>
        <w:rPr>
          <w:color w:val="auto"/>
        </w:rPr>
        <w:t xml:space="preserve"> that further work was required to better establish the patient population, clinical</w:t>
      </w:r>
      <w:r w:rsidR="003205C1" w:rsidRPr="00A54EDF">
        <w:rPr>
          <w:color w:val="auto"/>
        </w:rPr>
        <w:t>-</w:t>
      </w:r>
      <w:r>
        <w:rPr>
          <w:color w:val="auto"/>
        </w:rPr>
        <w:t xml:space="preserve"> and cost</w:t>
      </w:r>
      <w:r w:rsidR="003205C1" w:rsidRPr="00A54EDF">
        <w:rPr>
          <w:color w:val="auto"/>
        </w:rPr>
        <w:t>-</w:t>
      </w:r>
      <w:r>
        <w:rPr>
          <w:color w:val="auto"/>
        </w:rPr>
        <w:t>effectiveness of CGM devices in T1D.</w:t>
      </w:r>
    </w:p>
    <w:p w14:paraId="6F52500A" w14:textId="3E9057ED" w:rsidR="00772829" w:rsidRPr="00CE28E3" w:rsidRDefault="00772829" w:rsidP="003027B3">
      <w:pPr>
        <w:pStyle w:val="Heading2"/>
        <w:numPr>
          <w:ilvl w:val="0"/>
          <w:numId w:val="27"/>
        </w:numPr>
        <w:ind w:hanging="720"/>
      </w:pPr>
      <w:bookmarkStart w:id="8" w:name="_Toc69491417"/>
      <w:bookmarkEnd w:id="6"/>
      <w:bookmarkEnd w:id="7"/>
      <w:r w:rsidRPr="00CE28E3">
        <w:t>Prerequisites to implementation of any funding advice</w:t>
      </w:r>
      <w:bookmarkEnd w:id="8"/>
    </w:p>
    <w:p w14:paraId="03481BA1" w14:textId="7DE734A0" w:rsidR="001C4F4D" w:rsidRDefault="001C4F4D" w:rsidP="001C4F4D">
      <w:pPr>
        <w:pStyle w:val="Instructionaltext"/>
        <w:rPr>
          <w:color w:val="auto"/>
        </w:rPr>
      </w:pPr>
      <w:r>
        <w:rPr>
          <w:color w:val="auto"/>
        </w:rPr>
        <w:t>The FSL</w:t>
      </w:r>
      <w:r w:rsidRPr="005B6781">
        <w:rPr>
          <w:color w:val="auto"/>
        </w:rPr>
        <w:t>2</w:t>
      </w:r>
      <w:r>
        <w:rPr>
          <w:color w:val="auto"/>
        </w:rPr>
        <w:t xml:space="preserve"> </w:t>
      </w:r>
      <w:r w:rsidR="005B6781">
        <w:rPr>
          <w:color w:val="auto"/>
        </w:rPr>
        <w:t xml:space="preserve">is listed as a medical device on the Australian Register of Therapeutic Goods (ARTG) under </w:t>
      </w:r>
      <w:r>
        <w:rPr>
          <w:color w:val="auto"/>
        </w:rPr>
        <w:t xml:space="preserve">a single </w:t>
      </w:r>
      <w:r w:rsidR="005B6781">
        <w:rPr>
          <w:color w:val="auto"/>
        </w:rPr>
        <w:t>item for an i</w:t>
      </w:r>
      <w:r w:rsidR="005B6781" w:rsidRPr="005B6781">
        <w:rPr>
          <w:color w:val="auto"/>
        </w:rPr>
        <w:t>nvasive interstitial-fluid glucose monitoring system</w:t>
      </w:r>
      <w:r w:rsidR="005B6781">
        <w:rPr>
          <w:color w:val="auto"/>
        </w:rPr>
        <w:t xml:space="preserve">. </w:t>
      </w:r>
      <w:r>
        <w:rPr>
          <w:color w:val="auto"/>
        </w:rPr>
        <w:t xml:space="preserve">Table 1 provides details of the Therapeutic Goods Administration status from the ARTG for </w:t>
      </w:r>
      <w:r w:rsidR="005B6781">
        <w:rPr>
          <w:color w:val="auto"/>
        </w:rPr>
        <w:t>the i</w:t>
      </w:r>
      <w:r w:rsidR="005B6781" w:rsidRPr="005B6781">
        <w:rPr>
          <w:color w:val="auto"/>
        </w:rPr>
        <w:t>nvasive interstitial-fluid glucose monitoring system</w:t>
      </w:r>
      <w:r w:rsidRPr="00754656">
        <w:rPr>
          <w:color w:val="auto"/>
        </w:rPr>
        <w:t>.</w:t>
      </w:r>
      <w:r>
        <w:rPr>
          <w:color w:val="auto"/>
        </w:rPr>
        <w:t xml:space="preserve"> No prerequisites for </w:t>
      </w:r>
      <w:r w:rsidR="005B6781">
        <w:rPr>
          <w:color w:val="auto"/>
        </w:rPr>
        <w:t>FSL2</w:t>
      </w:r>
      <w:r>
        <w:rPr>
          <w:color w:val="auto"/>
        </w:rPr>
        <w:t xml:space="preserve"> were stated by the applicant.</w:t>
      </w:r>
      <w:r w:rsidR="00CB7DB7">
        <w:rPr>
          <w:color w:val="auto"/>
        </w:rPr>
        <w:t xml:space="preserve"> </w:t>
      </w:r>
      <w:r w:rsidR="00493919">
        <w:rPr>
          <w:color w:val="auto"/>
        </w:rPr>
        <w:t>As noted, t</w:t>
      </w:r>
      <w:r w:rsidR="00CB7DB7">
        <w:rPr>
          <w:color w:val="auto"/>
        </w:rPr>
        <w:t>he applicant expanded the PICO to include the FSL2 Plus</w:t>
      </w:r>
      <w:r w:rsidR="009D0052">
        <w:rPr>
          <w:rStyle w:val="CommentReference"/>
          <w:rFonts w:ascii="Calibri" w:eastAsia="Times New Roman" w:hAnsi="Calibri" w:cs="Times New Roman"/>
          <w:color w:val="000000"/>
          <w:lang w:eastAsia="en-AU"/>
        </w:rPr>
        <w:t>.</w:t>
      </w:r>
      <w:r w:rsidR="00CB7DB7" w:rsidRPr="00AB0824">
        <w:rPr>
          <w:color w:val="auto"/>
        </w:rPr>
        <w:t xml:space="preserve"> </w:t>
      </w:r>
      <w:r w:rsidR="00232639">
        <w:rPr>
          <w:color w:val="auto"/>
        </w:rPr>
        <w:t>As of 1 April 2025, t</w:t>
      </w:r>
      <w:r w:rsidR="00EE7AFE">
        <w:rPr>
          <w:color w:val="auto"/>
        </w:rPr>
        <w:t xml:space="preserve">he </w:t>
      </w:r>
      <w:r w:rsidR="00AB0824" w:rsidRPr="00AB0824">
        <w:rPr>
          <w:rFonts w:eastAsia="Calibri"/>
          <w:color w:val="auto"/>
        </w:rPr>
        <w:t xml:space="preserve">FSL2 Plus </w:t>
      </w:r>
      <w:r w:rsidR="00232639">
        <w:rPr>
          <w:rFonts w:eastAsia="Calibri"/>
          <w:color w:val="auto"/>
        </w:rPr>
        <w:t xml:space="preserve">is </w:t>
      </w:r>
      <w:r w:rsidR="003E3F2A">
        <w:rPr>
          <w:rFonts w:eastAsia="Calibri"/>
          <w:color w:val="auto"/>
        </w:rPr>
        <w:t xml:space="preserve">subsidised through the </w:t>
      </w:r>
      <w:r w:rsidR="00CB7DB7" w:rsidRPr="00AB0824">
        <w:rPr>
          <w:rFonts w:eastAsia="Calibri"/>
          <w:color w:val="auto"/>
        </w:rPr>
        <w:t xml:space="preserve">NDSS </w:t>
      </w:r>
      <w:r w:rsidR="00970075">
        <w:rPr>
          <w:rFonts w:eastAsia="Calibri"/>
          <w:color w:val="auto"/>
        </w:rPr>
        <w:t xml:space="preserve">for </w:t>
      </w:r>
      <w:r w:rsidR="003E3F2A">
        <w:rPr>
          <w:rFonts w:eastAsia="Calibri"/>
          <w:color w:val="auto"/>
        </w:rPr>
        <w:t xml:space="preserve">all people with </w:t>
      </w:r>
      <w:r w:rsidR="00970075">
        <w:rPr>
          <w:rFonts w:eastAsia="Calibri"/>
          <w:color w:val="auto"/>
        </w:rPr>
        <w:t>T1D</w:t>
      </w:r>
      <w:r w:rsidR="003E3F2A">
        <w:rPr>
          <w:rFonts w:eastAsia="Calibri"/>
          <w:color w:val="auto"/>
        </w:rPr>
        <w:t xml:space="preserve"> and </w:t>
      </w:r>
      <w:r w:rsidR="0066518E">
        <w:rPr>
          <w:rFonts w:eastAsia="Calibri"/>
          <w:color w:val="auto"/>
        </w:rPr>
        <w:t xml:space="preserve">for </w:t>
      </w:r>
      <w:r w:rsidR="003E3F2A">
        <w:rPr>
          <w:rFonts w:eastAsia="Calibri"/>
          <w:color w:val="auto"/>
        </w:rPr>
        <w:t xml:space="preserve">some people under the age of 21 with rare conditions </w:t>
      </w:r>
      <w:proofErr w:type="gramStart"/>
      <w:r w:rsidR="003E3F2A">
        <w:rPr>
          <w:rFonts w:eastAsia="Calibri"/>
          <w:color w:val="auto"/>
        </w:rPr>
        <w:t>similar to</w:t>
      </w:r>
      <w:proofErr w:type="gramEnd"/>
      <w:r w:rsidR="003E3F2A">
        <w:rPr>
          <w:rFonts w:eastAsia="Calibri"/>
          <w:color w:val="auto"/>
        </w:rPr>
        <w:t xml:space="preserve"> T1D</w:t>
      </w:r>
      <w:r w:rsidR="001733F2" w:rsidRPr="00A54EDF">
        <w:rPr>
          <w:rFonts w:eastAsia="Calibri"/>
          <w:color w:val="auto"/>
        </w:rPr>
        <w:t>.</w:t>
      </w:r>
      <w:r w:rsidR="00AB0824" w:rsidRPr="00AB0824">
        <w:rPr>
          <w:rFonts w:eastAsia="Calibri"/>
          <w:color w:val="auto"/>
        </w:rPr>
        <w:t xml:space="preserve"> </w:t>
      </w:r>
      <w:r w:rsidR="001733F2">
        <w:rPr>
          <w:rFonts w:eastAsia="Calibri"/>
          <w:color w:val="auto"/>
        </w:rPr>
        <w:t>T</w:t>
      </w:r>
      <w:r w:rsidR="00493919">
        <w:rPr>
          <w:rFonts w:eastAsia="Calibri"/>
          <w:color w:val="auto"/>
        </w:rPr>
        <w:t>he assessment group</w:t>
      </w:r>
      <w:r w:rsidR="00AB0824" w:rsidRPr="00AB0824">
        <w:rPr>
          <w:rFonts w:eastAsia="Calibri"/>
          <w:color w:val="auto"/>
        </w:rPr>
        <w:t xml:space="preserve"> assumed that </w:t>
      </w:r>
      <w:r w:rsidR="001733F2" w:rsidRPr="001733F2">
        <w:rPr>
          <w:rFonts w:eastAsia="Calibri"/>
          <w:color w:val="auto"/>
        </w:rPr>
        <w:t>FSL2 Plus</w:t>
      </w:r>
      <w:r w:rsidR="00AB0824" w:rsidRPr="00AB0824">
        <w:rPr>
          <w:rFonts w:eastAsia="Calibri"/>
          <w:color w:val="auto"/>
        </w:rPr>
        <w:t xml:space="preserve"> </w:t>
      </w:r>
      <w:r w:rsidR="00AB0824">
        <w:rPr>
          <w:rFonts w:eastAsia="Calibri"/>
          <w:color w:val="auto"/>
        </w:rPr>
        <w:t>will be</w:t>
      </w:r>
      <w:r w:rsidR="00AB0824" w:rsidRPr="00AB0824">
        <w:rPr>
          <w:rFonts w:eastAsia="Calibri"/>
          <w:color w:val="auto"/>
        </w:rPr>
        <w:t xml:space="preserve"> covered by the same ARTG item</w:t>
      </w:r>
      <w:r w:rsidR="00CB7DB7" w:rsidRPr="00AB0824">
        <w:rPr>
          <w:rFonts w:eastAsia="Calibri"/>
          <w:color w:val="auto"/>
        </w:rPr>
        <w:t>.</w:t>
      </w:r>
      <w:r w:rsidR="00D31E04">
        <w:rPr>
          <w:rFonts w:eastAsia="Calibri"/>
          <w:color w:val="auto"/>
        </w:rPr>
        <w:t xml:space="preserve"> FSL2 and FSL2 Plus will henceforth be referred to as ‘FSL </w:t>
      </w:r>
      <w:proofErr w:type="gramStart"/>
      <w:r w:rsidR="00D31E04">
        <w:rPr>
          <w:rFonts w:eastAsia="Calibri"/>
          <w:color w:val="auto"/>
        </w:rPr>
        <w:t>products’</w:t>
      </w:r>
      <w:proofErr w:type="gramEnd"/>
      <w:r w:rsidR="00D31E04">
        <w:rPr>
          <w:rFonts w:eastAsia="Calibri"/>
          <w:color w:val="auto"/>
        </w:rPr>
        <w:t xml:space="preserve">. </w:t>
      </w:r>
    </w:p>
    <w:p w14:paraId="0058B15B" w14:textId="2665FA18" w:rsidR="001C4F4D" w:rsidRDefault="001C4F4D" w:rsidP="00453A15">
      <w:pPr>
        <w:pStyle w:val="Caption"/>
        <w:keepLines/>
      </w:pPr>
      <w:bookmarkStart w:id="9" w:name="_Ref186708997"/>
      <w:r>
        <w:t xml:space="preserve">Table </w:t>
      </w:r>
      <w:r w:rsidR="00315A60">
        <w:fldChar w:fldCharType="begin"/>
      </w:r>
      <w:r w:rsidR="00315A60">
        <w:instrText xml:space="preserve"> SEQ Table \* ARABIC </w:instrText>
      </w:r>
      <w:r w:rsidR="00315A60">
        <w:fldChar w:fldCharType="separate"/>
      </w:r>
      <w:r w:rsidR="00315A60">
        <w:rPr>
          <w:noProof/>
        </w:rPr>
        <w:t>1</w:t>
      </w:r>
      <w:r w:rsidR="00315A60">
        <w:rPr>
          <w:noProof/>
        </w:rPr>
        <w:fldChar w:fldCharType="end"/>
      </w:r>
      <w:bookmarkEnd w:id="9"/>
      <w:r>
        <w:tab/>
      </w:r>
      <w:r w:rsidR="00A26DEB">
        <w:t>FreeStyle Libre 2</w:t>
      </w:r>
      <w:r w:rsidRPr="007920EB">
        <w:t xml:space="preserve"> listed on the ARTG</w:t>
      </w:r>
    </w:p>
    <w:tbl>
      <w:tblPr>
        <w:tblStyle w:val="TableGrid"/>
        <w:tblW w:w="5000" w:type="pct"/>
        <w:tblLook w:val="04A0" w:firstRow="1" w:lastRow="0" w:firstColumn="1" w:lastColumn="0" w:noHBand="0" w:noVBand="1"/>
        <w:tblCaption w:val="Regulatory information for leadless pacemakers in Australia"/>
        <w:tblDescription w:val="A summary of the regulatory information for all leadless pacemakers included on the ARTG. The Micra VR and an associated consumable are the only devices included on the ARTG. A functional description of these devices and the intended purpose is shown. "/>
      </w:tblPr>
      <w:tblGrid>
        <w:gridCol w:w="1960"/>
        <w:gridCol w:w="2824"/>
        <w:gridCol w:w="4232"/>
      </w:tblGrid>
      <w:tr w:rsidR="001C4F4D" w:rsidRPr="00D66A69" w14:paraId="4385BCE9" w14:textId="77777777" w:rsidTr="004A2A66">
        <w:trPr>
          <w:tblHeader/>
        </w:trPr>
        <w:tc>
          <w:tcPr>
            <w:tcW w:w="1087" w:type="pct"/>
          </w:tcPr>
          <w:p w14:paraId="65989692" w14:textId="77777777" w:rsidR="001C4F4D" w:rsidRPr="00D66A69" w:rsidRDefault="001C4F4D" w:rsidP="00453A15">
            <w:pPr>
              <w:pStyle w:val="TableHeading"/>
              <w:keepLines/>
            </w:pPr>
            <w:r w:rsidRPr="00D66A69">
              <w:t xml:space="preserve">Product name </w:t>
            </w:r>
            <w:r>
              <w:t>(s</w:t>
            </w:r>
            <w:r w:rsidRPr="00D66A69">
              <w:t>ponsor</w:t>
            </w:r>
            <w:r>
              <w:t>)</w:t>
            </w:r>
          </w:p>
        </w:tc>
        <w:tc>
          <w:tcPr>
            <w:tcW w:w="1566" w:type="pct"/>
          </w:tcPr>
          <w:p w14:paraId="29D55DD0" w14:textId="77777777" w:rsidR="001C4F4D" w:rsidRPr="00D66A69" w:rsidRDefault="001C4F4D" w:rsidP="00453A15">
            <w:pPr>
              <w:pStyle w:val="TableHeading"/>
              <w:keepLines/>
            </w:pPr>
            <w:r w:rsidRPr="00D66A69">
              <w:t>ARTG summary</w:t>
            </w:r>
          </w:p>
        </w:tc>
        <w:tc>
          <w:tcPr>
            <w:tcW w:w="2347" w:type="pct"/>
          </w:tcPr>
          <w:p w14:paraId="797CCB07" w14:textId="77777777" w:rsidR="001C4F4D" w:rsidRPr="00D66A69" w:rsidRDefault="001C4F4D" w:rsidP="00453A15">
            <w:pPr>
              <w:pStyle w:val="TableHeading"/>
              <w:keepLines/>
            </w:pPr>
            <w:r w:rsidRPr="00D66A69">
              <w:t>Intended purpose</w:t>
            </w:r>
          </w:p>
        </w:tc>
      </w:tr>
      <w:tr w:rsidR="001C4F4D" w:rsidRPr="00AA71D6" w14:paraId="6DCBAA3C" w14:textId="77777777" w:rsidTr="004A2A66">
        <w:tc>
          <w:tcPr>
            <w:tcW w:w="1087" w:type="pct"/>
          </w:tcPr>
          <w:p w14:paraId="7CAD09BD" w14:textId="74BA8E58" w:rsidR="001C4F4D" w:rsidRPr="00AA71D6" w:rsidRDefault="005B6781" w:rsidP="00453A15">
            <w:pPr>
              <w:pStyle w:val="Tabletext0"/>
              <w:keepNext/>
              <w:keepLines/>
              <w:jc w:val="left"/>
              <w:rPr>
                <w:highlight w:val="yellow"/>
              </w:rPr>
            </w:pPr>
            <w:r w:rsidRPr="005B6781">
              <w:t xml:space="preserve">Invasive interstitial-fluid glucose monitoring system </w:t>
            </w:r>
            <w:r w:rsidR="001C4F4D" w:rsidRPr="006C234C">
              <w:t>(</w:t>
            </w:r>
            <w:r w:rsidRPr="005B6781">
              <w:t>Abbott Australasia Pty Ltd T/A Abbott Diabetes Care</w:t>
            </w:r>
            <w:r>
              <w:t>)</w:t>
            </w:r>
          </w:p>
        </w:tc>
        <w:tc>
          <w:tcPr>
            <w:tcW w:w="1566" w:type="pct"/>
          </w:tcPr>
          <w:p w14:paraId="155B825C" w14:textId="2F85B09F" w:rsidR="001C4F4D" w:rsidRPr="005102BE" w:rsidRDefault="001C4F4D" w:rsidP="00453A15">
            <w:pPr>
              <w:pStyle w:val="TableText"/>
              <w:keepNext/>
              <w:keepLines/>
              <w:shd w:val="clear" w:color="auto" w:fill="FFFFFF" w:themeFill="background1"/>
              <w:rPr>
                <w:lang w:eastAsia="ja-JP"/>
              </w:rPr>
            </w:pPr>
            <w:r w:rsidRPr="005102BE">
              <w:rPr>
                <w:b/>
                <w:lang w:eastAsia="ja-JP"/>
              </w:rPr>
              <w:t xml:space="preserve">ARTG ID: </w:t>
            </w:r>
            <w:r w:rsidR="005B6781" w:rsidRPr="005B6781">
              <w:rPr>
                <w:lang w:eastAsia="ja-JP"/>
              </w:rPr>
              <w:t>233514</w:t>
            </w:r>
          </w:p>
          <w:p w14:paraId="72A4D012" w14:textId="29D7ED92" w:rsidR="001C4F4D" w:rsidRPr="005102BE" w:rsidRDefault="001C4F4D" w:rsidP="00453A15">
            <w:pPr>
              <w:pStyle w:val="TableText"/>
              <w:keepNext/>
              <w:keepLines/>
              <w:shd w:val="clear" w:color="auto" w:fill="FFFFFF" w:themeFill="background1"/>
              <w:rPr>
                <w:lang w:eastAsia="ja-JP"/>
              </w:rPr>
            </w:pPr>
            <w:r w:rsidRPr="005102BE">
              <w:rPr>
                <w:b/>
                <w:lang w:eastAsia="ja-JP"/>
              </w:rPr>
              <w:t xml:space="preserve">Start date: </w:t>
            </w:r>
            <w:r w:rsidR="005B6781" w:rsidRPr="005102BE">
              <w:rPr>
                <w:lang w:eastAsia="ja-JP"/>
              </w:rPr>
              <w:t>07</w:t>
            </w:r>
            <w:r w:rsidRPr="005102BE">
              <w:rPr>
                <w:lang w:eastAsia="ja-JP"/>
              </w:rPr>
              <w:t>/</w:t>
            </w:r>
            <w:r w:rsidR="005B6781" w:rsidRPr="005102BE">
              <w:rPr>
                <w:lang w:eastAsia="ja-JP"/>
              </w:rPr>
              <w:t>02</w:t>
            </w:r>
            <w:r w:rsidRPr="005102BE">
              <w:rPr>
                <w:lang w:eastAsia="ja-JP"/>
              </w:rPr>
              <w:t>/20</w:t>
            </w:r>
            <w:r w:rsidR="005B6781" w:rsidRPr="005102BE">
              <w:rPr>
                <w:lang w:eastAsia="ja-JP"/>
              </w:rPr>
              <w:t>15</w:t>
            </w:r>
          </w:p>
          <w:p w14:paraId="37CF3BC6" w14:textId="77777777" w:rsidR="001C4F4D" w:rsidRPr="005102BE" w:rsidRDefault="001C4F4D" w:rsidP="00453A15">
            <w:pPr>
              <w:pStyle w:val="TableText"/>
              <w:keepNext/>
              <w:keepLines/>
              <w:shd w:val="clear" w:color="auto" w:fill="FFFFFF" w:themeFill="background1"/>
              <w:rPr>
                <w:lang w:eastAsia="ja-JP"/>
              </w:rPr>
            </w:pPr>
            <w:r w:rsidRPr="005102BE">
              <w:rPr>
                <w:b/>
                <w:lang w:eastAsia="ja-JP"/>
              </w:rPr>
              <w:t xml:space="preserve">Category: </w:t>
            </w:r>
            <w:r w:rsidRPr="005102BE">
              <w:rPr>
                <w:lang w:eastAsia="ja-JP"/>
              </w:rPr>
              <w:t>Medical Device Included Class IIb</w:t>
            </w:r>
          </w:p>
          <w:p w14:paraId="2434F0E0" w14:textId="63877ABA" w:rsidR="001C4F4D" w:rsidRPr="00AA71D6" w:rsidRDefault="001C4F4D" w:rsidP="00453A15">
            <w:pPr>
              <w:pStyle w:val="Tabletext0"/>
              <w:keepNext/>
              <w:keepLines/>
              <w:shd w:val="clear" w:color="auto" w:fill="FFFFFF" w:themeFill="background1"/>
              <w:jc w:val="left"/>
              <w:rPr>
                <w:highlight w:val="yellow"/>
              </w:rPr>
            </w:pPr>
            <w:r w:rsidRPr="005102BE">
              <w:rPr>
                <w:b/>
                <w:lang w:eastAsia="ja-JP"/>
              </w:rPr>
              <w:t xml:space="preserve">GMDN: </w:t>
            </w:r>
            <w:r w:rsidR="005B6781" w:rsidRPr="005B6781">
              <w:rPr>
                <w:lang w:eastAsia="ja-JP"/>
              </w:rPr>
              <w:t>44611 Invasive interstitial-fluid glucose monitoring system</w:t>
            </w:r>
          </w:p>
        </w:tc>
        <w:tc>
          <w:tcPr>
            <w:tcW w:w="2347" w:type="pct"/>
            <w:shd w:val="clear" w:color="auto" w:fill="FFFFFF" w:themeFill="background1"/>
          </w:tcPr>
          <w:p w14:paraId="1E0981F7" w14:textId="26A8B0E7" w:rsidR="001C4F4D" w:rsidRPr="00AA71D6" w:rsidRDefault="005B6781" w:rsidP="00453A15">
            <w:pPr>
              <w:pStyle w:val="Tabletext0"/>
              <w:keepNext/>
              <w:keepLines/>
              <w:contextualSpacing/>
              <w:jc w:val="left"/>
              <w:rPr>
                <w:highlight w:val="yellow"/>
              </w:rPr>
            </w:pPr>
            <w:r w:rsidRPr="005B6781">
              <w:rPr>
                <w:rFonts w:eastAsiaTheme="minorHAnsi" w:cstheme="minorBidi"/>
                <w:szCs w:val="22"/>
                <w:lang w:eastAsia="ja-JP"/>
              </w:rPr>
              <w:t xml:space="preserve">Glucose monitoring </w:t>
            </w:r>
            <w:r w:rsidR="00AD76EA" w:rsidRPr="00A54EDF">
              <w:rPr>
                <w:rFonts w:eastAsiaTheme="minorHAnsi" w:cstheme="minorBidi"/>
                <w:szCs w:val="22"/>
                <w:lang w:eastAsia="ja-JP"/>
              </w:rPr>
              <w:t>s</w:t>
            </w:r>
            <w:r w:rsidRPr="00A54EDF">
              <w:rPr>
                <w:rFonts w:eastAsiaTheme="minorHAnsi" w:cstheme="minorBidi"/>
                <w:szCs w:val="22"/>
                <w:lang w:eastAsia="ja-JP"/>
              </w:rPr>
              <w:t>ystem</w:t>
            </w:r>
            <w:r w:rsidRPr="005B6781">
              <w:rPr>
                <w:rFonts w:eastAsiaTheme="minorHAnsi" w:cstheme="minorBidi"/>
                <w:szCs w:val="22"/>
                <w:lang w:eastAsia="ja-JP"/>
              </w:rPr>
              <w:t xml:space="preserve"> to assist in the determination of interstitial-fluid glucose levels in human specimens.</w:t>
            </w:r>
          </w:p>
        </w:tc>
      </w:tr>
    </w:tbl>
    <w:p w14:paraId="394EA0E8" w14:textId="77777777" w:rsidR="001C4F4D" w:rsidRPr="005102BE" w:rsidRDefault="001C4F4D" w:rsidP="00453A15">
      <w:pPr>
        <w:pStyle w:val="Tablenotes"/>
        <w:keepNext/>
        <w:keepLines/>
        <w:spacing w:before="40" w:after="40"/>
        <w:rPr>
          <w:lang w:eastAsia="ja-JP"/>
        </w:rPr>
      </w:pPr>
      <w:r w:rsidRPr="005102BE">
        <w:rPr>
          <w:b/>
          <w:u w:val="single"/>
          <w:lang w:eastAsia="ja-JP"/>
        </w:rPr>
        <w:t>Abbreviations</w:t>
      </w:r>
    </w:p>
    <w:p w14:paraId="187FA758" w14:textId="5E8AF64D" w:rsidR="001C4F4D" w:rsidRPr="005102BE" w:rsidRDefault="001C4F4D" w:rsidP="00453A15">
      <w:pPr>
        <w:pStyle w:val="Tablenotes"/>
        <w:keepNext/>
        <w:keepLines/>
        <w:spacing w:after="0"/>
        <w:rPr>
          <w:lang w:eastAsia="ja-JP"/>
        </w:rPr>
      </w:pPr>
      <w:r w:rsidRPr="005102BE">
        <w:rPr>
          <w:b/>
        </w:rPr>
        <w:t>ARTG</w:t>
      </w:r>
      <w:r w:rsidRPr="005102BE">
        <w:rPr>
          <w:lang w:eastAsia="ja-JP"/>
        </w:rPr>
        <w:t xml:space="preserve"> = Australian Register of Therapeutic Goods</w:t>
      </w:r>
      <w:r w:rsidR="00FB59C2">
        <w:rPr>
          <w:lang w:eastAsia="ja-JP"/>
        </w:rPr>
        <w:t xml:space="preserve">, </w:t>
      </w:r>
      <w:r w:rsidR="00FB59C2" w:rsidRPr="00900C6F">
        <w:rPr>
          <w:b/>
          <w:lang w:val="en-GB"/>
        </w:rPr>
        <w:t>GMDN</w:t>
      </w:r>
      <w:r w:rsidR="00FB59C2">
        <w:rPr>
          <w:bCs/>
          <w:lang w:val="en-GB"/>
        </w:rPr>
        <w:t xml:space="preserve"> = </w:t>
      </w:r>
      <w:r w:rsidR="00FB59C2" w:rsidRPr="00A965BD">
        <w:rPr>
          <w:bCs/>
          <w:lang w:val="en-GB"/>
        </w:rPr>
        <w:t>Global Medical Device Nomenclature</w:t>
      </w:r>
      <w:r w:rsidR="005B6781" w:rsidRPr="005102BE">
        <w:rPr>
          <w:lang w:eastAsia="ja-JP"/>
        </w:rPr>
        <w:t>.</w:t>
      </w:r>
    </w:p>
    <w:p w14:paraId="7443A43F" w14:textId="77777777" w:rsidR="001C4F4D" w:rsidRPr="005102BE" w:rsidRDefault="001C4F4D" w:rsidP="00453A15">
      <w:pPr>
        <w:pStyle w:val="Tablenotes"/>
        <w:keepNext/>
        <w:keepLines/>
        <w:spacing w:before="40" w:after="40"/>
        <w:rPr>
          <w:lang w:eastAsia="ja-JP"/>
        </w:rPr>
      </w:pPr>
      <w:r w:rsidRPr="005102BE">
        <w:rPr>
          <w:b/>
          <w:u w:val="single"/>
        </w:rPr>
        <w:t>Source</w:t>
      </w:r>
    </w:p>
    <w:p w14:paraId="6200F773" w14:textId="7EC5E895" w:rsidR="001C4F4D" w:rsidRPr="005102BE" w:rsidRDefault="001C4F4D" w:rsidP="001C4F4D">
      <w:pPr>
        <w:pStyle w:val="Tablenotes"/>
        <w:rPr>
          <w:lang w:eastAsia="ja-JP"/>
        </w:rPr>
      </w:pPr>
      <w:r w:rsidRPr="005102BE">
        <w:rPr>
          <w:lang w:eastAsia="ja-JP"/>
        </w:rPr>
        <w:t xml:space="preserve">ARTG Public Summary documents. Verified by assessment group on </w:t>
      </w:r>
      <w:r w:rsidR="005B6781" w:rsidRPr="005102BE">
        <w:rPr>
          <w:lang w:eastAsia="ja-JP"/>
        </w:rPr>
        <w:t>10</w:t>
      </w:r>
      <w:r w:rsidRPr="005102BE">
        <w:rPr>
          <w:lang w:eastAsia="ja-JP"/>
        </w:rPr>
        <w:t xml:space="preserve"> </w:t>
      </w:r>
      <w:r w:rsidR="005B6781" w:rsidRPr="005102BE">
        <w:rPr>
          <w:lang w:eastAsia="ja-JP"/>
        </w:rPr>
        <w:t>March</w:t>
      </w:r>
      <w:r w:rsidRPr="005102BE">
        <w:rPr>
          <w:lang w:eastAsia="ja-JP"/>
        </w:rPr>
        <w:t xml:space="preserve"> 2025.</w:t>
      </w:r>
    </w:p>
    <w:p w14:paraId="44C3B242" w14:textId="2B88A1AA" w:rsidR="00772829" w:rsidRPr="00CE28E3" w:rsidRDefault="00772829" w:rsidP="003027B3">
      <w:pPr>
        <w:pStyle w:val="Heading2"/>
        <w:numPr>
          <w:ilvl w:val="0"/>
          <w:numId w:val="27"/>
        </w:numPr>
        <w:ind w:hanging="720"/>
      </w:pPr>
      <w:bookmarkStart w:id="10" w:name="_Toc69491418"/>
      <w:r w:rsidRPr="00CE28E3">
        <w:t>Proposal for public funding</w:t>
      </w:r>
      <w:bookmarkEnd w:id="10"/>
    </w:p>
    <w:p w14:paraId="3BD85C94" w14:textId="28229695" w:rsidR="005B6781" w:rsidRDefault="005B6781" w:rsidP="00310C3F">
      <w:pPr>
        <w:pStyle w:val="Instructionaltext"/>
        <w:rPr>
          <w:color w:val="auto"/>
        </w:rPr>
      </w:pPr>
      <w:r>
        <w:rPr>
          <w:color w:val="auto"/>
        </w:rPr>
        <w:t xml:space="preserve">The </w:t>
      </w:r>
      <w:r w:rsidR="00FB59C2" w:rsidRPr="00FB59C2">
        <w:rPr>
          <w:color w:val="auto"/>
        </w:rPr>
        <w:t xml:space="preserve">applicant-developed assessment report </w:t>
      </w:r>
      <w:r w:rsidR="00FB59C2">
        <w:rPr>
          <w:color w:val="auto"/>
        </w:rPr>
        <w:t>(</w:t>
      </w:r>
      <w:r>
        <w:rPr>
          <w:color w:val="auto"/>
        </w:rPr>
        <w:t>ADAR</w:t>
      </w:r>
      <w:r w:rsidR="00FB59C2">
        <w:rPr>
          <w:color w:val="auto"/>
        </w:rPr>
        <w:t>)</w:t>
      </w:r>
      <w:r>
        <w:rPr>
          <w:color w:val="auto"/>
        </w:rPr>
        <w:t xml:space="preserve"> for FSL2 </w:t>
      </w:r>
      <w:r w:rsidR="00437E6E">
        <w:rPr>
          <w:color w:val="auto"/>
        </w:rPr>
        <w:t xml:space="preserve">products </w:t>
      </w:r>
      <w:r w:rsidR="00493919">
        <w:rPr>
          <w:color w:val="auto"/>
        </w:rPr>
        <w:t xml:space="preserve">proposed </w:t>
      </w:r>
      <w:r>
        <w:rPr>
          <w:color w:val="auto"/>
        </w:rPr>
        <w:t xml:space="preserve">that public funding should be provided for </w:t>
      </w:r>
      <w:r w:rsidR="002B5065" w:rsidRPr="00A54EDF">
        <w:rPr>
          <w:color w:val="auto"/>
        </w:rPr>
        <w:t>3</w:t>
      </w:r>
      <w:r>
        <w:rPr>
          <w:color w:val="auto"/>
        </w:rPr>
        <w:t xml:space="preserve"> populations: </w:t>
      </w:r>
      <w:r w:rsidR="00C92FCD" w:rsidRPr="001C4F4D">
        <w:rPr>
          <w:color w:val="auto"/>
        </w:rPr>
        <w:t>people with T2D</w:t>
      </w:r>
      <w:r w:rsidR="00C92FCD">
        <w:rPr>
          <w:color w:val="auto"/>
        </w:rPr>
        <w:t xml:space="preserve"> </w:t>
      </w:r>
      <w:r w:rsidR="00815126">
        <w:rPr>
          <w:color w:val="auto"/>
        </w:rPr>
        <w:t xml:space="preserve">requiring insulin </w:t>
      </w:r>
      <w:r w:rsidR="00C92FCD">
        <w:rPr>
          <w:color w:val="auto"/>
        </w:rPr>
        <w:t>(PICO Set 1)</w:t>
      </w:r>
      <w:r w:rsidR="00C92FCD" w:rsidRPr="001C4F4D">
        <w:rPr>
          <w:color w:val="auto"/>
        </w:rPr>
        <w:t>, pregnant women with GDM</w:t>
      </w:r>
      <w:r w:rsidR="00C92FCD">
        <w:rPr>
          <w:color w:val="auto"/>
        </w:rPr>
        <w:t xml:space="preserve"> (PICO Set 2)</w:t>
      </w:r>
      <w:r w:rsidR="00C92FCD" w:rsidRPr="001C4F4D">
        <w:rPr>
          <w:color w:val="auto"/>
        </w:rPr>
        <w:t>,</w:t>
      </w:r>
      <w:r w:rsidR="00C92FCD">
        <w:rPr>
          <w:color w:val="auto"/>
        </w:rPr>
        <w:t xml:space="preserve"> and</w:t>
      </w:r>
      <w:r w:rsidR="00C92FCD" w:rsidRPr="001C4F4D">
        <w:rPr>
          <w:color w:val="auto"/>
        </w:rPr>
        <w:t xml:space="preserve"> people aged ≥21 years with </w:t>
      </w:r>
      <w:r w:rsidR="007A3D8D">
        <w:rPr>
          <w:color w:val="auto"/>
        </w:rPr>
        <w:t xml:space="preserve">other </w:t>
      </w:r>
      <w:r w:rsidR="00241DA9" w:rsidRPr="00241DA9">
        <w:rPr>
          <w:color w:val="auto"/>
        </w:rPr>
        <w:t>conditions similar to type 1 diabetes which require insulin</w:t>
      </w:r>
      <w:r w:rsidR="00241DA9" w:rsidRPr="00241DA9" w:rsidDel="00241DA9">
        <w:rPr>
          <w:color w:val="auto"/>
        </w:rPr>
        <w:t xml:space="preserve"> </w:t>
      </w:r>
      <w:r w:rsidR="000C0242" w:rsidRPr="00A54EDF">
        <w:rPr>
          <w:color w:val="auto"/>
        </w:rPr>
        <w:t>(e.g. T3cD)</w:t>
      </w:r>
      <w:r w:rsidR="00E97731" w:rsidRPr="001C4F4D">
        <w:rPr>
          <w:color w:val="auto"/>
        </w:rPr>
        <w:t xml:space="preserve"> </w:t>
      </w:r>
      <w:r w:rsidR="00C92FCD">
        <w:rPr>
          <w:color w:val="auto"/>
        </w:rPr>
        <w:t>(PICO Set 3).</w:t>
      </w:r>
    </w:p>
    <w:p w14:paraId="205D5303" w14:textId="6528AD15" w:rsidR="00C92FCD" w:rsidRDefault="00C92FCD" w:rsidP="00C92FCD">
      <w:r>
        <w:t xml:space="preserve">The applicant </w:t>
      </w:r>
      <w:r w:rsidR="00493919">
        <w:t xml:space="preserve">proposed </w:t>
      </w:r>
      <w:r>
        <w:t xml:space="preserve">that the technology is publicly funded through the NDSS (i.e. no </w:t>
      </w:r>
      <w:r w:rsidR="00FB59C2" w:rsidRPr="00FB59C2">
        <w:t>Medicare Benefits Schedule</w:t>
      </w:r>
      <w:r>
        <w:t xml:space="preserve"> listing required). </w:t>
      </w:r>
      <w:r w:rsidRPr="00793C0D">
        <w:t>The proposed population</w:t>
      </w:r>
      <w:r w:rsidR="00EE7AFE">
        <w:t>s</w:t>
      </w:r>
      <w:r w:rsidRPr="00793C0D">
        <w:t xml:space="preserve"> for </w:t>
      </w:r>
      <w:r>
        <w:t xml:space="preserve">NDSS </w:t>
      </w:r>
      <w:r w:rsidRPr="00793C0D">
        <w:t xml:space="preserve">funding of </w:t>
      </w:r>
      <w:r>
        <w:t>FSL2</w:t>
      </w:r>
      <w:r w:rsidRPr="00793C0D">
        <w:t xml:space="preserve"> </w:t>
      </w:r>
      <w:r w:rsidR="00437E6E">
        <w:t xml:space="preserve">products </w:t>
      </w:r>
      <w:r w:rsidR="00EE7AFE">
        <w:t>are</w:t>
      </w:r>
      <w:r w:rsidR="00EE7AFE" w:rsidRPr="00793C0D">
        <w:t xml:space="preserve"> </w:t>
      </w:r>
      <w:r w:rsidRPr="00793C0D">
        <w:t>narrower than the</w:t>
      </w:r>
      <w:r>
        <w:t xml:space="preserve"> indication in the ARTG listing</w:t>
      </w:r>
      <w:r w:rsidRPr="006C234C">
        <w:rPr>
          <w:lang w:eastAsia="ja-JP"/>
        </w:rPr>
        <w:t xml:space="preserve">. </w:t>
      </w:r>
      <w:r>
        <w:t xml:space="preserve">Currently, subsidised CGM products are only available through the NDSS for people with </w:t>
      </w:r>
      <w:r w:rsidR="003437DC" w:rsidRPr="00A54EDF">
        <w:t>T1D</w:t>
      </w:r>
      <w:r>
        <w:t xml:space="preserve"> and </w:t>
      </w:r>
      <w:r w:rsidRPr="00F21964">
        <w:t>some people &lt;21</w:t>
      </w:r>
      <w:r>
        <w:t xml:space="preserve"> years</w:t>
      </w:r>
      <w:r w:rsidRPr="00F21964">
        <w:t xml:space="preserve"> with </w:t>
      </w:r>
      <w:r w:rsidR="001733F2">
        <w:t xml:space="preserve">other </w:t>
      </w:r>
      <w:r w:rsidRPr="00F21964">
        <w:t xml:space="preserve">rare conditions </w:t>
      </w:r>
      <w:proofErr w:type="gramStart"/>
      <w:r w:rsidRPr="00F21964">
        <w:t>similar to</w:t>
      </w:r>
      <w:proofErr w:type="gramEnd"/>
      <w:r w:rsidRPr="00F21964">
        <w:t xml:space="preserve"> T1D.</w:t>
      </w:r>
      <w:r>
        <w:t xml:space="preserve"> The FSL2 </w:t>
      </w:r>
      <w:r w:rsidR="00F352B0">
        <w:t xml:space="preserve">sensor </w:t>
      </w:r>
      <w:r>
        <w:t xml:space="preserve">is </w:t>
      </w:r>
      <w:r w:rsidRPr="00F352B0">
        <w:t xml:space="preserve">currently available through the NDSS for </w:t>
      </w:r>
      <w:r w:rsidR="00F352B0">
        <w:t>these populations</w:t>
      </w:r>
      <w:r w:rsidR="00F352B0" w:rsidRPr="00F352B0">
        <w:t xml:space="preserve">. At the time of writing, the FSL2 </w:t>
      </w:r>
      <w:r w:rsidR="0089105E">
        <w:t>(</w:t>
      </w:r>
      <w:r w:rsidR="00F352B0" w:rsidRPr="00F352B0">
        <w:t xml:space="preserve">available </w:t>
      </w:r>
      <w:r w:rsidR="003437DC" w:rsidRPr="00A54EDF">
        <w:t>via</w:t>
      </w:r>
      <w:r w:rsidR="00F352B0" w:rsidRPr="00A54EDF">
        <w:t xml:space="preserve"> the NDSS</w:t>
      </w:r>
      <w:r w:rsidR="0089105E">
        <w:t>)</w:t>
      </w:r>
      <w:r w:rsidR="00F352B0" w:rsidRPr="00A54EDF">
        <w:t xml:space="preserve"> </w:t>
      </w:r>
      <w:r w:rsidR="003437DC" w:rsidRPr="00A54EDF">
        <w:t>has no</w:t>
      </w:r>
      <w:r w:rsidR="00F352B0" w:rsidRPr="00F352B0">
        <w:t xml:space="preserve"> connectivity to </w:t>
      </w:r>
      <w:r w:rsidR="00187DEE">
        <w:t xml:space="preserve">insulin </w:t>
      </w:r>
      <w:r w:rsidR="00F352B0" w:rsidRPr="00F352B0">
        <w:t xml:space="preserve">pumps. However, </w:t>
      </w:r>
      <w:r w:rsidR="002223CA">
        <w:t xml:space="preserve">the </w:t>
      </w:r>
      <w:r w:rsidR="00F352B0" w:rsidRPr="00F352B0">
        <w:rPr>
          <w:rFonts w:eastAsia="Calibri"/>
        </w:rPr>
        <w:t>FSL2 Plus (</w:t>
      </w:r>
      <w:r w:rsidR="003437DC" w:rsidRPr="00A54EDF">
        <w:rPr>
          <w:rFonts w:eastAsia="Calibri"/>
        </w:rPr>
        <w:t>pump</w:t>
      </w:r>
      <w:r w:rsidR="00F352B0" w:rsidRPr="00F352B0">
        <w:rPr>
          <w:rFonts w:eastAsia="Calibri"/>
        </w:rPr>
        <w:t xml:space="preserve"> connectivity </w:t>
      </w:r>
      <w:r w:rsidR="003437DC" w:rsidRPr="00A54EDF">
        <w:rPr>
          <w:rFonts w:eastAsia="Calibri"/>
        </w:rPr>
        <w:t>provided</w:t>
      </w:r>
      <w:r w:rsidR="00F352B0" w:rsidRPr="00F352B0">
        <w:rPr>
          <w:rFonts w:eastAsia="Calibri"/>
        </w:rPr>
        <w:t xml:space="preserve">) </w:t>
      </w:r>
      <w:r w:rsidR="0089105E">
        <w:rPr>
          <w:rFonts w:eastAsia="Calibri"/>
        </w:rPr>
        <w:t xml:space="preserve">is </w:t>
      </w:r>
      <w:r w:rsidR="00EC779C" w:rsidRPr="00EC779C">
        <w:rPr>
          <w:rFonts w:eastAsia="Calibri"/>
        </w:rPr>
        <w:t xml:space="preserve">subsidised through the NDSS for all people with T1D and some people under the age of 21 with rare conditions </w:t>
      </w:r>
      <w:proofErr w:type="gramStart"/>
      <w:r w:rsidR="00EC779C" w:rsidRPr="00EC779C">
        <w:rPr>
          <w:rFonts w:eastAsia="Calibri"/>
        </w:rPr>
        <w:t>similar to</w:t>
      </w:r>
      <w:proofErr w:type="gramEnd"/>
      <w:r w:rsidR="00EC779C" w:rsidRPr="00EC779C">
        <w:rPr>
          <w:rFonts w:eastAsia="Calibri"/>
        </w:rPr>
        <w:t xml:space="preserve"> T1D</w:t>
      </w:r>
      <w:r w:rsidR="002223CA" w:rsidRPr="00A54EDF">
        <w:rPr>
          <w:rFonts w:eastAsia="Calibri"/>
        </w:rPr>
        <w:t>.</w:t>
      </w:r>
    </w:p>
    <w:p w14:paraId="37466877" w14:textId="7366ACD6" w:rsidR="00C92FCD" w:rsidRPr="00C8400B" w:rsidRDefault="00C92FCD" w:rsidP="00A0721B">
      <w:r w:rsidRPr="005102BE">
        <w:t xml:space="preserve">Expanding subsidised access to </w:t>
      </w:r>
      <w:r w:rsidR="00646A21" w:rsidRPr="005102BE">
        <w:t xml:space="preserve">real-time </w:t>
      </w:r>
      <w:r w:rsidR="00C768CD" w:rsidRPr="005102BE">
        <w:t>CGM</w:t>
      </w:r>
      <w:r w:rsidR="00646A21" w:rsidRPr="005102BE">
        <w:t xml:space="preserve"> (</w:t>
      </w:r>
      <w:r w:rsidRPr="005102BE">
        <w:t>RT-CGM</w:t>
      </w:r>
      <w:r w:rsidR="00646A21" w:rsidRPr="005102BE">
        <w:t>)</w:t>
      </w:r>
      <w:r w:rsidRPr="005102BE">
        <w:t xml:space="preserve"> technology aligns with recent </w:t>
      </w:r>
      <w:r w:rsidRPr="00C8400B">
        <w:t xml:space="preserve">recommendations from the </w:t>
      </w:r>
      <w:r w:rsidR="0089105E" w:rsidRPr="00C8400B">
        <w:t xml:space="preserve">2024 </w:t>
      </w:r>
      <w:r w:rsidRPr="00C8400B">
        <w:t>Parliamentary Inquiry into Diabetes in Australia</w:t>
      </w:r>
      <w:r w:rsidR="0038767B" w:rsidRPr="00C8400B">
        <w:t>,</w:t>
      </w:r>
      <w:r w:rsidR="00055849" w:rsidRPr="00C8400B">
        <w:rPr>
          <w:rStyle w:val="FootnoteReference"/>
        </w:rPr>
        <w:footnoteReference w:id="8"/>
      </w:r>
      <w:r w:rsidRPr="00C8400B">
        <w:t xml:space="preserve"> which advocates equitable access to advanced diabetes technologies for all individuals</w:t>
      </w:r>
      <w:r w:rsidR="00815126">
        <w:t xml:space="preserve"> requiring insulin</w:t>
      </w:r>
      <w:r w:rsidRPr="00C8400B">
        <w:t xml:space="preserve">: </w:t>
      </w:r>
      <w:r w:rsidR="00C70CF3" w:rsidRPr="00C8400B">
        <w:rPr>
          <w:i/>
        </w:rPr>
        <w:t>‘</w:t>
      </w:r>
      <w:r w:rsidRPr="00C8400B">
        <w:rPr>
          <w:i/>
        </w:rPr>
        <w:t>The Committee recommends that subsidised access to Continuous Glucose Monitors (CGMs) be further expanded. In the first instance, all access limitations in relation to patients with Type 1 diabetes should be removed. Furthermore, individuals with insulin-dependent Type 3c diabetes and patients with gestational diabetes should be made eligible for subsidised CGMs and for those with Type 2 diabetes requiring regular insulin. The Committee recommends prioritising the removal of age limitations on access to subsidised access for Type 1 diabetes patients</w:t>
      </w:r>
      <w:r w:rsidR="00C70CF3" w:rsidRPr="00C8400B">
        <w:rPr>
          <w:i/>
        </w:rPr>
        <w:t>’</w:t>
      </w:r>
      <w:r w:rsidRPr="00C8400B">
        <w:t xml:space="preserve"> (Recommendation 15, Diabetes Inquiry).</w:t>
      </w:r>
    </w:p>
    <w:p w14:paraId="25ABC6E2" w14:textId="54B70902" w:rsidR="00F66B8B" w:rsidRPr="00F66B8B" w:rsidRDefault="00F66B8B" w:rsidP="00F66B8B">
      <w:pPr>
        <w:pStyle w:val="Instructionaltext"/>
        <w:rPr>
          <w:color w:val="auto"/>
        </w:rPr>
      </w:pPr>
      <w:r w:rsidRPr="00F66B8B">
        <w:rPr>
          <w:color w:val="auto"/>
        </w:rPr>
        <w:t>FSL CGM products are sensor-based, factory-calibrated monitoring system</w:t>
      </w:r>
      <w:r w:rsidR="00A96B69">
        <w:rPr>
          <w:color w:val="auto"/>
        </w:rPr>
        <w:t>s</w:t>
      </w:r>
      <w:r w:rsidRPr="00F66B8B">
        <w:rPr>
          <w:color w:val="auto"/>
        </w:rPr>
        <w:t xml:space="preserve"> with two key components: a disposable 14-day (FSL2) or 15-day (FSL2 Plus) sensor and a reader (either a smartphone </w:t>
      </w:r>
      <w:r w:rsidR="001733F2">
        <w:rPr>
          <w:color w:val="auto"/>
        </w:rPr>
        <w:t>application</w:t>
      </w:r>
      <w:r w:rsidR="001733F2" w:rsidRPr="00F66B8B">
        <w:rPr>
          <w:color w:val="auto"/>
        </w:rPr>
        <w:t xml:space="preserve"> </w:t>
      </w:r>
      <w:r w:rsidRPr="00F66B8B">
        <w:rPr>
          <w:color w:val="auto"/>
        </w:rPr>
        <w:t xml:space="preserve">or a physical reader). </w:t>
      </w:r>
      <w:r w:rsidR="002223CA">
        <w:rPr>
          <w:color w:val="auto"/>
        </w:rPr>
        <w:t>The products are</w:t>
      </w:r>
      <w:r w:rsidRPr="00F66B8B">
        <w:rPr>
          <w:color w:val="auto"/>
        </w:rPr>
        <w:t xml:space="preserve"> designed to continuously measure glucose levels in the interstitial fluid and </w:t>
      </w:r>
      <w:r w:rsidRPr="00A54EDF">
        <w:rPr>
          <w:color w:val="auto"/>
        </w:rPr>
        <w:t>provide</w:t>
      </w:r>
      <w:r w:rsidRPr="00F66B8B">
        <w:rPr>
          <w:color w:val="auto"/>
        </w:rPr>
        <w:t xml:space="preserve"> glucose trends, variability and patterns across a 24-hour period.</w:t>
      </w:r>
    </w:p>
    <w:p w14:paraId="6B19D2A8" w14:textId="5E0503BE" w:rsidR="00F66B8B" w:rsidRPr="00F66B8B" w:rsidRDefault="00F66B8B" w:rsidP="00F66B8B">
      <w:pPr>
        <w:pStyle w:val="Instructionaltext"/>
        <w:rPr>
          <w:color w:val="auto"/>
        </w:rPr>
      </w:pPr>
      <w:r w:rsidRPr="00F66B8B">
        <w:rPr>
          <w:color w:val="auto"/>
        </w:rPr>
        <w:t>Key features of FSL</w:t>
      </w:r>
      <w:r w:rsidR="002223CA">
        <w:rPr>
          <w:color w:val="auto"/>
        </w:rPr>
        <w:t xml:space="preserve">2 and FSL2 Plus </w:t>
      </w:r>
      <w:r w:rsidRPr="00F66B8B">
        <w:rPr>
          <w:color w:val="auto"/>
        </w:rPr>
        <w:t xml:space="preserve">include: </w:t>
      </w:r>
    </w:p>
    <w:p w14:paraId="58B357B0" w14:textId="245F1169" w:rsidR="00F66B8B" w:rsidRPr="00F66B8B" w:rsidRDefault="00FC71C0" w:rsidP="003027B3">
      <w:pPr>
        <w:pStyle w:val="Instructionaltext"/>
        <w:numPr>
          <w:ilvl w:val="0"/>
          <w:numId w:val="13"/>
        </w:numPr>
        <w:rPr>
          <w:color w:val="auto"/>
        </w:rPr>
      </w:pPr>
      <w:r>
        <w:rPr>
          <w:color w:val="auto"/>
        </w:rPr>
        <w:t>A</w:t>
      </w:r>
      <w:r w:rsidR="00F66B8B" w:rsidRPr="00F66B8B">
        <w:rPr>
          <w:color w:val="auto"/>
        </w:rPr>
        <w:t xml:space="preserve"> discrete sensor inserted into the subcutaneous tissue </w:t>
      </w:r>
      <w:r w:rsidR="00F66B8B" w:rsidRPr="00A54EDF">
        <w:rPr>
          <w:color w:val="auto"/>
        </w:rPr>
        <w:t>at the back of the upper arm</w:t>
      </w:r>
      <w:r w:rsidR="00895F96" w:rsidRPr="00A54EDF">
        <w:rPr>
          <w:color w:val="auto"/>
        </w:rPr>
        <w:t xml:space="preserve"> </w:t>
      </w:r>
      <w:r w:rsidR="00F66B8B" w:rsidRPr="00A54EDF">
        <w:rPr>
          <w:color w:val="auto"/>
        </w:rPr>
        <w:t>provid</w:t>
      </w:r>
      <w:r w:rsidR="00895F96" w:rsidRPr="00A54EDF">
        <w:rPr>
          <w:color w:val="auto"/>
        </w:rPr>
        <w:t>ing</w:t>
      </w:r>
      <w:r w:rsidR="00F66B8B" w:rsidRPr="00F66B8B">
        <w:rPr>
          <w:color w:val="auto"/>
        </w:rPr>
        <w:t xml:space="preserve"> 1,440 minute-by-minute glucose readings every day</w:t>
      </w:r>
      <w:r>
        <w:rPr>
          <w:color w:val="auto"/>
        </w:rPr>
        <w:t>.</w:t>
      </w:r>
    </w:p>
    <w:p w14:paraId="41C212C1" w14:textId="1E4282F4" w:rsidR="00F66B8B" w:rsidRPr="00EE7AFE" w:rsidRDefault="00FC71C0" w:rsidP="003027B3">
      <w:pPr>
        <w:pStyle w:val="Instructionaltext"/>
        <w:numPr>
          <w:ilvl w:val="0"/>
          <w:numId w:val="13"/>
        </w:numPr>
        <w:rPr>
          <w:color w:val="auto"/>
        </w:rPr>
      </w:pPr>
      <w:r>
        <w:rPr>
          <w:color w:val="auto"/>
        </w:rPr>
        <w:t>A</w:t>
      </w:r>
      <w:r w:rsidR="00A26DEB" w:rsidRPr="00A54EDF">
        <w:rPr>
          <w:color w:val="auto"/>
        </w:rPr>
        <w:t>n</w:t>
      </w:r>
      <w:r w:rsidR="00F66B8B" w:rsidRPr="00EE7AFE">
        <w:rPr>
          <w:color w:val="auto"/>
        </w:rPr>
        <w:t xml:space="preserve"> inbuilt transmitter that trans</w:t>
      </w:r>
      <w:r w:rsidR="00D029D4">
        <w:rPr>
          <w:color w:val="auto"/>
        </w:rPr>
        <w:t>m</w:t>
      </w:r>
      <w:r w:rsidR="00F66B8B" w:rsidRPr="00EE7AFE">
        <w:rPr>
          <w:color w:val="auto"/>
        </w:rPr>
        <w:t xml:space="preserve">its glucose data continuously to the </w:t>
      </w:r>
      <w:r w:rsidR="0014280D">
        <w:rPr>
          <w:color w:val="auto"/>
        </w:rPr>
        <w:t>a</w:t>
      </w:r>
      <w:r w:rsidR="0014280D" w:rsidRPr="00EE7AFE">
        <w:rPr>
          <w:color w:val="auto"/>
        </w:rPr>
        <w:t>pp</w:t>
      </w:r>
      <w:r w:rsidR="001733F2">
        <w:rPr>
          <w:color w:val="auto"/>
        </w:rPr>
        <w:t>lication</w:t>
      </w:r>
      <w:r w:rsidR="0014280D" w:rsidRPr="00EE7AFE">
        <w:rPr>
          <w:color w:val="auto"/>
        </w:rPr>
        <w:t xml:space="preserve"> </w:t>
      </w:r>
      <w:r w:rsidR="00F66B8B" w:rsidRPr="00EE7AFE">
        <w:rPr>
          <w:color w:val="auto"/>
        </w:rPr>
        <w:t xml:space="preserve">or </w:t>
      </w:r>
      <w:r w:rsidR="00F66B8B" w:rsidRPr="00A54EDF">
        <w:rPr>
          <w:color w:val="auto"/>
        </w:rPr>
        <w:t>scanned</w:t>
      </w:r>
      <w:r w:rsidR="00F66B8B" w:rsidRPr="00EE7AFE">
        <w:rPr>
          <w:color w:val="auto"/>
        </w:rPr>
        <w:t xml:space="preserve"> by the </w:t>
      </w:r>
      <w:r w:rsidR="0014280D">
        <w:rPr>
          <w:color w:val="auto"/>
        </w:rPr>
        <w:t>r</w:t>
      </w:r>
      <w:r w:rsidR="00F66B8B" w:rsidRPr="00EE7AFE">
        <w:rPr>
          <w:color w:val="auto"/>
        </w:rPr>
        <w:t>eader over 14 or 15 days</w:t>
      </w:r>
      <w:r w:rsidR="00A90A61" w:rsidRPr="00A54EDF">
        <w:rPr>
          <w:color w:val="auto"/>
        </w:rPr>
        <w:t xml:space="preserve"> (t</w:t>
      </w:r>
      <w:r w:rsidR="001733F2" w:rsidRPr="00A54EDF">
        <w:rPr>
          <w:color w:val="auto"/>
        </w:rPr>
        <w:t>he</w:t>
      </w:r>
      <w:r w:rsidR="001733F2">
        <w:rPr>
          <w:color w:val="auto"/>
        </w:rPr>
        <w:t xml:space="preserve"> applicant stated that a</w:t>
      </w:r>
      <w:r w:rsidR="00F66B8B" w:rsidRPr="00EE7AFE">
        <w:rPr>
          <w:color w:val="auto"/>
        </w:rPr>
        <w:t xml:space="preserve"> 1-second scan of the sensor yields an 8-hour glucose profile and the overall glucose trend</w:t>
      </w:r>
      <w:r w:rsidR="00A90A61" w:rsidRPr="00A54EDF">
        <w:rPr>
          <w:color w:val="auto"/>
        </w:rPr>
        <w:t>)</w:t>
      </w:r>
      <w:r>
        <w:rPr>
          <w:color w:val="auto"/>
        </w:rPr>
        <w:t>.</w:t>
      </w:r>
    </w:p>
    <w:p w14:paraId="4D565E57" w14:textId="5AD86E88" w:rsidR="00F66B8B" w:rsidRPr="00F66B8B" w:rsidRDefault="00FC71C0" w:rsidP="003027B3">
      <w:pPr>
        <w:pStyle w:val="Instructionaltext"/>
        <w:numPr>
          <w:ilvl w:val="0"/>
          <w:numId w:val="13"/>
        </w:numPr>
        <w:rPr>
          <w:color w:val="auto"/>
        </w:rPr>
      </w:pPr>
      <w:r>
        <w:rPr>
          <w:color w:val="auto"/>
        </w:rPr>
        <w:t>A</w:t>
      </w:r>
      <w:r w:rsidR="00F66B8B" w:rsidRPr="00A54EDF">
        <w:rPr>
          <w:color w:val="auto"/>
        </w:rPr>
        <w:t>dditional</w:t>
      </w:r>
      <w:r w:rsidR="00F66B8B" w:rsidRPr="00F66B8B">
        <w:rPr>
          <w:color w:val="auto"/>
        </w:rPr>
        <w:t xml:space="preserve"> alarms that can warn of </w:t>
      </w:r>
      <w:r w:rsidR="0014280D">
        <w:rPr>
          <w:color w:val="auto"/>
        </w:rPr>
        <w:t>upcoming</w:t>
      </w:r>
      <w:r w:rsidR="0014280D" w:rsidRPr="00F66B8B">
        <w:rPr>
          <w:color w:val="auto"/>
        </w:rPr>
        <w:t xml:space="preserve"> </w:t>
      </w:r>
      <w:r w:rsidR="00F66B8B" w:rsidRPr="00F66B8B">
        <w:rPr>
          <w:color w:val="auto"/>
        </w:rPr>
        <w:t>episodes of high or low glucose levels</w:t>
      </w:r>
      <w:r>
        <w:rPr>
          <w:color w:val="auto"/>
        </w:rPr>
        <w:t>.</w:t>
      </w:r>
    </w:p>
    <w:p w14:paraId="677BE275" w14:textId="53EAD0D9" w:rsidR="00F66B8B" w:rsidRPr="002223CA" w:rsidRDefault="00FC71C0" w:rsidP="003027B3">
      <w:pPr>
        <w:pStyle w:val="Instructionaltext"/>
        <w:numPr>
          <w:ilvl w:val="0"/>
          <w:numId w:val="13"/>
        </w:numPr>
        <w:rPr>
          <w:color w:val="auto"/>
        </w:rPr>
      </w:pPr>
      <w:r>
        <w:rPr>
          <w:color w:val="auto"/>
        </w:rPr>
        <w:t>T</w:t>
      </w:r>
      <w:r w:rsidR="002223CA" w:rsidRPr="00A54EDF">
        <w:rPr>
          <w:color w:val="auto"/>
        </w:rPr>
        <w:t>wo</w:t>
      </w:r>
      <w:r w:rsidR="002223CA" w:rsidRPr="002223CA">
        <w:rPr>
          <w:color w:val="auto"/>
        </w:rPr>
        <w:t xml:space="preserve"> </w:t>
      </w:r>
      <w:r w:rsidR="00F66B8B" w:rsidRPr="002223CA">
        <w:rPr>
          <w:color w:val="auto"/>
        </w:rPr>
        <w:t xml:space="preserve">mobile medical </w:t>
      </w:r>
      <w:r w:rsidR="001733F2">
        <w:rPr>
          <w:color w:val="auto"/>
        </w:rPr>
        <w:t>a</w:t>
      </w:r>
      <w:r w:rsidR="001733F2" w:rsidRPr="002223CA">
        <w:rPr>
          <w:color w:val="auto"/>
        </w:rPr>
        <w:t>pp</w:t>
      </w:r>
      <w:r w:rsidR="001733F2">
        <w:rPr>
          <w:color w:val="auto"/>
        </w:rPr>
        <w:t>lications</w:t>
      </w:r>
      <w:r w:rsidR="002223CA" w:rsidRPr="002223CA">
        <w:rPr>
          <w:color w:val="auto"/>
        </w:rPr>
        <w:t>:</w:t>
      </w:r>
      <w:r w:rsidR="00F66B8B" w:rsidRPr="002223CA">
        <w:rPr>
          <w:color w:val="auto"/>
        </w:rPr>
        <w:t xml:space="preserve"> FreeStyle LibreLink to read glucose levels and LibreLinkUp to enable authorised caregivers to remotely receive alarms and glucose data</w:t>
      </w:r>
      <w:r w:rsidR="00276428">
        <w:rPr>
          <w:color w:val="auto"/>
        </w:rPr>
        <w:t>.</w:t>
      </w:r>
      <w:r w:rsidR="001F291F" w:rsidRPr="00A54EDF">
        <w:rPr>
          <w:color w:val="auto"/>
        </w:rPr>
        <w:t xml:space="preserve"> </w:t>
      </w:r>
      <w:r w:rsidR="00276428">
        <w:rPr>
          <w:color w:val="auto"/>
        </w:rPr>
        <w:t>A</w:t>
      </w:r>
      <w:r w:rsidR="00F66B8B" w:rsidRPr="002223CA">
        <w:rPr>
          <w:color w:val="auto"/>
        </w:rPr>
        <w:t>pp</w:t>
      </w:r>
      <w:r w:rsidR="001733F2">
        <w:rPr>
          <w:color w:val="auto"/>
        </w:rPr>
        <w:t>lication</w:t>
      </w:r>
      <w:r w:rsidR="00F66B8B" w:rsidRPr="002223CA">
        <w:rPr>
          <w:color w:val="auto"/>
        </w:rPr>
        <w:t xml:space="preserve"> data </w:t>
      </w:r>
      <w:r w:rsidR="0014280D">
        <w:rPr>
          <w:color w:val="auto"/>
        </w:rPr>
        <w:t>are</w:t>
      </w:r>
      <w:r w:rsidR="0014280D" w:rsidRPr="002223CA">
        <w:rPr>
          <w:color w:val="auto"/>
        </w:rPr>
        <w:t xml:space="preserve"> </w:t>
      </w:r>
      <w:r w:rsidR="00F66B8B" w:rsidRPr="002223CA">
        <w:rPr>
          <w:color w:val="auto"/>
        </w:rPr>
        <w:t xml:space="preserve">automatically uploaded to LibreView, </w:t>
      </w:r>
      <w:r w:rsidR="0014280D" w:rsidRPr="00A54EDF">
        <w:rPr>
          <w:color w:val="auto"/>
        </w:rPr>
        <w:t>allow</w:t>
      </w:r>
      <w:r w:rsidR="00A402E1" w:rsidRPr="00A54EDF">
        <w:rPr>
          <w:color w:val="auto"/>
        </w:rPr>
        <w:t>ing</w:t>
      </w:r>
      <w:r w:rsidR="0014280D" w:rsidRPr="002223CA">
        <w:rPr>
          <w:color w:val="auto"/>
        </w:rPr>
        <w:t xml:space="preserve"> </w:t>
      </w:r>
      <w:r w:rsidR="001733F2">
        <w:rPr>
          <w:color w:val="auto"/>
        </w:rPr>
        <w:t>users</w:t>
      </w:r>
      <w:r w:rsidR="001733F2" w:rsidRPr="002223CA">
        <w:rPr>
          <w:color w:val="auto"/>
        </w:rPr>
        <w:t xml:space="preserve"> </w:t>
      </w:r>
      <w:r w:rsidR="00F66B8B" w:rsidRPr="002223CA">
        <w:rPr>
          <w:color w:val="auto"/>
        </w:rPr>
        <w:t xml:space="preserve">and </w:t>
      </w:r>
      <w:r w:rsidR="001733F2">
        <w:rPr>
          <w:color w:val="auto"/>
        </w:rPr>
        <w:t>healthcare professionals</w:t>
      </w:r>
      <w:r w:rsidR="001733F2" w:rsidRPr="002223CA">
        <w:rPr>
          <w:color w:val="auto"/>
        </w:rPr>
        <w:t xml:space="preserve"> </w:t>
      </w:r>
      <w:r w:rsidR="00F66B8B" w:rsidRPr="002223CA">
        <w:rPr>
          <w:color w:val="auto"/>
        </w:rPr>
        <w:t xml:space="preserve">to see the full glycaemic picture, including the </w:t>
      </w:r>
      <w:r w:rsidR="00FC7194" w:rsidRPr="00A54EDF">
        <w:rPr>
          <w:color w:val="auto"/>
        </w:rPr>
        <w:t>ambulatory glucose profile</w:t>
      </w:r>
      <w:r w:rsidR="00F66B8B" w:rsidRPr="00A54EDF">
        <w:rPr>
          <w:color w:val="auto"/>
        </w:rPr>
        <w:t xml:space="preserve"> </w:t>
      </w:r>
      <w:r w:rsidR="0014280D" w:rsidRPr="00A54EDF">
        <w:rPr>
          <w:color w:val="auto"/>
        </w:rPr>
        <w:t>show</w:t>
      </w:r>
      <w:r w:rsidR="008F75EB" w:rsidRPr="00A54EDF">
        <w:rPr>
          <w:color w:val="auto"/>
        </w:rPr>
        <w:t>ing</w:t>
      </w:r>
      <w:r w:rsidR="0014280D">
        <w:rPr>
          <w:color w:val="auto"/>
        </w:rPr>
        <w:t xml:space="preserve"> a</w:t>
      </w:r>
      <w:r w:rsidR="00F66B8B" w:rsidRPr="002223CA">
        <w:rPr>
          <w:color w:val="auto"/>
        </w:rPr>
        <w:t xml:space="preserve"> person’s hypo- and hyperglycaemic trends. </w:t>
      </w:r>
      <w:r w:rsidR="00276428">
        <w:rPr>
          <w:color w:val="auto"/>
        </w:rPr>
        <w:t xml:space="preserve">These applications allow patients to access their data. </w:t>
      </w:r>
    </w:p>
    <w:p w14:paraId="519DC34C" w14:textId="41566A3D" w:rsidR="00F66B8B" w:rsidRPr="00F66B8B" w:rsidRDefault="003724F0" w:rsidP="00F66B8B">
      <w:pPr>
        <w:pStyle w:val="Instructionaltext"/>
        <w:rPr>
          <w:color w:val="auto"/>
        </w:rPr>
      </w:pPr>
      <w:r w:rsidRPr="003873BD">
        <w:rPr>
          <w:color w:val="auto"/>
        </w:rPr>
        <w:t xml:space="preserve">The FSL2 system has some limitations regarding use. </w:t>
      </w:r>
      <w:r>
        <w:rPr>
          <w:color w:val="auto"/>
        </w:rPr>
        <w:t>Currently, i</w:t>
      </w:r>
      <w:r w:rsidRPr="003873BD">
        <w:rPr>
          <w:color w:val="auto"/>
        </w:rPr>
        <w:t xml:space="preserve">t is </w:t>
      </w:r>
      <w:r w:rsidRPr="00A54EDF">
        <w:rPr>
          <w:color w:val="auto"/>
        </w:rPr>
        <w:t xml:space="preserve">incompatible with </w:t>
      </w:r>
      <w:r w:rsidRPr="003873BD">
        <w:rPr>
          <w:color w:val="auto"/>
        </w:rPr>
        <w:t>automated insulin dosing systems, including closed</w:t>
      </w:r>
      <w:r>
        <w:rPr>
          <w:color w:val="auto"/>
        </w:rPr>
        <w:t>-</w:t>
      </w:r>
      <w:r w:rsidRPr="003873BD">
        <w:rPr>
          <w:color w:val="auto"/>
        </w:rPr>
        <w:t>loop and insulin</w:t>
      </w:r>
      <w:r>
        <w:rPr>
          <w:color w:val="auto"/>
        </w:rPr>
        <w:t>-</w:t>
      </w:r>
      <w:r w:rsidRPr="003873BD">
        <w:rPr>
          <w:color w:val="auto"/>
        </w:rPr>
        <w:t>suspend systems.</w:t>
      </w:r>
      <w:r>
        <w:rPr>
          <w:color w:val="auto"/>
        </w:rPr>
        <w:t xml:space="preserve"> </w:t>
      </w:r>
      <w:r w:rsidRPr="00A54EDF">
        <w:rPr>
          <w:color w:val="auto"/>
        </w:rPr>
        <w:t>When</w:t>
      </w:r>
      <w:r>
        <w:rPr>
          <w:color w:val="auto"/>
        </w:rPr>
        <w:t xml:space="preserve"> launched</w:t>
      </w:r>
      <w:r w:rsidRPr="00A54EDF">
        <w:rPr>
          <w:color w:val="auto"/>
        </w:rPr>
        <w:t xml:space="preserve"> (estimated date end of March 2025),</w:t>
      </w:r>
      <w:r>
        <w:rPr>
          <w:color w:val="auto"/>
        </w:rPr>
        <w:t xml:space="preserve"> the FSL2 Plus can be used </w:t>
      </w:r>
      <w:r w:rsidRPr="00AB0824">
        <w:rPr>
          <w:color w:val="auto"/>
        </w:rPr>
        <w:t xml:space="preserve">with the </w:t>
      </w:r>
      <w:r w:rsidRPr="00470C32">
        <w:rPr>
          <w:rFonts w:eastAsia="Calibri"/>
          <w:color w:val="auto"/>
        </w:rPr>
        <w:t>Omnipod 5 insulin pump.</w:t>
      </w:r>
      <w:r w:rsidRPr="00AB0824">
        <w:rPr>
          <w:color w:val="auto"/>
        </w:rPr>
        <w:t xml:space="preserve"> The </w:t>
      </w:r>
      <w:r w:rsidR="003873BD" w:rsidRPr="00AB0824">
        <w:rPr>
          <w:color w:val="auto"/>
        </w:rPr>
        <w:t xml:space="preserve">sensor </w:t>
      </w:r>
      <w:r w:rsidR="003873BD" w:rsidRPr="003873BD">
        <w:rPr>
          <w:color w:val="auto"/>
        </w:rPr>
        <w:t xml:space="preserve">must be removed </w:t>
      </w:r>
      <w:r w:rsidR="0014280D">
        <w:rPr>
          <w:color w:val="auto"/>
        </w:rPr>
        <w:t>before</w:t>
      </w:r>
      <w:r w:rsidR="003873BD" w:rsidRPr="003873BD">
        <w:rPr>
          <w:color w:val="auto"/>
        </w:rPr>
        <w:t xml:space="preserve"> </w:t>
      </w:r>
      <w:r w:rsidR="00970075">
        <w:rPr>
          <w:color w:val="auto"/>
        </w:rPr>
        <w:t>m</w:t>
      </w:r>
      <w:r w:rsidR="00970075" w:rsidRPr="003873BD">
        <w:rPr>
          <w:color w:val="auto"/>
        </w:rPr>
        <w:t xml:space="preserve">agnetic </w:t>
      </w:r>
      <w:r w:rsidR="00970075">
        <w:rPr>
          <w:color w:val="auto"/>
        </w:rPr>
        <w:t>r</w:t>
      </w:r>
      <w:r w:rsidR="00970075" w:rsidRPr="003873BD">
        <w:rPr>
          <w:color w:val="auto"/>
        </w:rPr>
        <w:t xml:space="preserve">esonance </w:t>
      </w:r>
      <w:r w:rsidR="00970075">
        <w:rPr>
          <w:color w:val="auto"/>
        </w:rPr>
        <w:t>i</w:t>
      </w:r>
      <w:r w:rsidR="003873BD" w:rsidRPr="003873BD">
        <w:rPr>
          <w:color w:val="auto"/>
        </w:rPr>
        <w:t xml:space="preserve">maging, </w:t>
      </w:r>
      <w:r w:rsidR="0014280D" w:rsidRPr="0014280D">
        <w:rPr>
          <w:color w:val="auto"/>
        </w:rPr>
        <w:t>computed tomography</w:t>
      </w:r>
      <w:r w:rsidR="0014280D">
        <w:rPr>
          <w:color w:val="auto"/>
        </w:rPr>
        <w:t xml:space="preserve"> and</w:t>
      </w:r>
      <w:r w:rsidR="003873BD" w:rsidRPr="003873BD">
        <w:rPr>
          <w:color w:val="auto"/>
        </w:rPr>
        <w:t xml:space="preserve"> some airport body scanning systems. It is necessary to apply a new sensor and allow it to proceed through the 1-hour warm-up period before CGM readings are available for use. Taking ascorbic acid (vitamin C) supplements above therapeutic recommended dosages </w:t>
      </w:r>
      <w:r w:rsidR="00437E6E">
        <w:rPr>
          <w:color w:val="auto"/>
        </w:rPr>
        <w:t>(&gt;500</w:t>
      </w:r>
      <w:r w:rsidR="00DD02AD">
        <w:rPr>
          <w:color w:val="auto"/>
        </w:rPr>
        <w:t> </w:t>
      </w:r>
      <w:r w:rsidR="00437E6E">
        <w:rPr>
          <w:color w:val="auto"/>
        </w:rPr>
        <w:t>mg per day for FSL2 and 1000</w:t>
      </w:r>
      <w:r w:rsidR="00DD02AD">
        <w:rPr>
          <w:color w:val="auto"/>
        </w:rPr>
        <w:t> </w:t>
      </w:r>
      <w:r w:rsidR="00437E6E">
        <w:rPr>
          <w:color w:val="auto"/>
        </w:rPr>
        <w:t xml:space="preserve">mg per day for FSL2 Plus) </w:t>
      </w:r>
      <w:r w:rsidR="003873BD" w:rsidRPr="003873BD">
        <w:rPr>
          <w:color w:val="auto"/>
        </w:rPr>
        <w:t>while wearing the FSL2 sensor may falsely raise sensor glucose readings</w:t>
      </w:r>
      <w:r w:rsidR="00A63EEC" w:rsidRPr="00A54EDF">
        <w:rPr>
          <w:color w:val="auto"/>
        </w:rPr>
        <w:t xml:space="preserve">. </w:t>
      </w:r>
      <w:r w:rsidR="00E528BD">
        <w:rPr>
          <w:color w:val="auto"/>
        </w:rPr>
        <w:t>Furthermore, t</w:t>
      </w:r>
      <w:r w:rsidR="00F66B8B" w:rsidRPr="00F66B8B">
        <w:rPr>
          <w:color w:val="auto"/>
        </w:rPr>
        <w:t xml:space="preserve">he LibreView website is only compatible with certain </w:t>
      </w:r>
      <w:r w:rsidR="00EE1EE2">
        <w:rPr>
          <w:color w:val="auto"/>
        </w:rPr>
        <w:t xml:space="preserve">computer operating </w:t>
      </w:r>
      <w:r w:rsidR="00F66B8B" w:rsidRPr="00F66B8B">
        <w:rPr>
          <w:color w:val="auto"/>
        </w:rPr>
        <w:t xml:space="preserve">systems and </w:t>
      </w:r>
      <w:r w:rsidR="00747351">
        <w:rPr>
          <w:color w:val="auto"/>
        </w:rPr>
        <w:t xml:space="preserve">internet </w:t>
      </w:r>
      <w:r w:rsidR="00F66B8B" w:rsidRPr="00F66B8B">
        <w:rPr>
          <w:color w:val="auto"/>
        </w:rPr>
        <w:t>browsers</w:t>
      </w:r>
      <w:r w:rsidR="00E528BD">
        <w:rPr>
          <w:color w:val="auto"/>
        </w:rPr>
        <w:t>,</w:t>
      </w:r>
      <w:r w:rsidR="00F66B8B">
        <w:rPr>
          <w:color w:val="auto"/>
        </w:rPr>
        <w:t xml:space="preserve"> and</w:t>
      </w:r>
      <w:r w:rsidR="00F66B8B" w:rsidRPr="00F66B8B">
        <w:rPr>
          <w:color w:val="auto"/>
        </w:rPr>
        <w:t xml:space="preserve"> LibreLinkUp is only compatible with certain mobile devices and operating systems. </w:t>
      </w:r>
    </w:p>
    <w:p w14:paraId="087A82E5" w14:textId="15501BCF" w:rsidR="00F66B8B" w:rsidRPr="00F66B8B" w:rsidRDefault="00E528BD" w:rsidP="00F66B8B">
      <w:pPr>
        <w:pStyle w:val="Instructionaltext"/>
        <w:rPr>
          <w:color w:val="auto"/>
        </w:rPr>
      </w:pPr>
      <w:r>
        <w:rPr>
          <w:color w:val="auto"/>
        </w:rPr>
        <w:t xml:space="preserve">The </w:t>
      </w:r>
      <w:r w:rsidR="00D76230">
        <w:rPr>
          <w:color w:val="auto"/>
        </w:rPr>
        <w:t xml:space="preserve">ADAR </w:t>
      </w:r>
      <w:r>
        <w:rPr>
          <w:color w:val="auto"/>
        </w:rPr>
        <w:t>reported that</w:t>
      </w:r>
      <w:r w:rsidR="0089105E">
        <w:rPr>
          <w:color w:val="auto"/>
        </w:rPr>
        <w:t>,</w:t>
      </w:r>
      <w:r>
        <w:rPr>
          <w:color w:val="auto"/>
        </w:rPr>
        <w:t xml:space="preserve"> </w:t>
      </w:r>
      <w:r w:rsidR="0079541F">
        <w:rPr>
          <w:color w:val="auto"/>
        </w:rPr>
        <w:t xml:space="preserve">compared </w:t>
      </w:r>
      <w:r w:rsidR="0089105E">
        <w:rPr>
          <w:color w:val="auto"/>
        </w:rPr>
        <w:t>with</w:t>
      </w:r>
      <w:r w:rsidR="0079541F">
        <w:rPr>
          <w:color w:val="auto"/>
        </w:rPr>
        <w:t xml:space="preserve"> the FSL2, the</w:t>
      </w:r>
      <w:r>
        <w:rPr>
          <w:color w:val="auto"/>
        </w:rPr>
        <w:t xml:space="preserve"> </w:t>
      </w:r>
      <w:r w:rsidR="00F66B8B" w:rsidRPr="00F66B8B">
        <w:rPr>
          <w:color w:val="auto"/>
        </w:rPr>
        <w:t xml:space="preserve">FSL2 Plus has an extended wear duration from 14 to 15 days, an accuracy improvement from 9.2% to 8.2% </w:t>
      </w:r>
      <w:r w:rsidR="00D029D4">
        <w:rPr>
          <w:color w:val="auto"/>
        </w:rPr>
        <w:t>mean absolute relative difference</w:t>
      </w:r>
      <w:r w:rsidR="0089105E">
        <w:rPr>
          <w:rStyle w:val="FootnoteReference"/>
          <w:color w:val="auto"/>
        </w:rPr>
        <w:footnoteReference w:id="9"/>
      </w:r>
      <w:r w:rsidR="000C2F21">
        <w:rPr>
          <w:color w:val="auto"/>
        </w:rPr>
        <w:t>,</w:t>
      </w:r>
      <w:r w:rsidR="00F66B8B" w:rsidRPr="00F66B8B">
        <w:rPr>
          <w:color w:val="auto"/>
        </w:rPr>
        <w:t xml:space="preserve"> partnership with both</w:t>
      </w:r>
      <w:r>
        <w:rPr>
          <w:color w:val="auto"/>
        </w:rPr>
        <w:t xml:space="preserve"> the</w:t>
      </w:r>
      <w:r w:rsidR="00F66B8B" w:rsidRPr="00F66B8B">
        <w:rPr>
          <w:color w:val="auto"/>
        </w:rPr>
        <w:t xml:space="preserve"> Omnipod 5 </w:t>
      </w:r>
      <w:r w:rsidR="001733F2">
        <w:rPr>
          <w:color w:val="auto"/>
        </w:rPr>
        <w:t>s</w:t>
      </w:r>
      <w:r w:rsidR="001733F2" w:rsidRPr="00F66B8B">
        <w:rPr>
          <w:color w:val="auto"/>
        </w:rPr>
        <w:t xml:space="preserve">ystem </w:t>
      </w:r>
      <w:r w:rsidR="00F66B8B" w:rsidRPr="00F66B8B">
        <w:rPr>
          <w:color w:val="auto"/>
        </w:rPr>
        <w:t>and NovoPen 6</w:t>
      </w:r>
      <w:r w:rsidR="00E12A78">
        <w:rPr>
          <w:rStyle w:val="FootnoteReference"/>
          <w:color w:val="auto"/>
        </w:rPr>
        <w:footnoteReference w:id="10"/>
      </w:r>
      <w:r w:rsidR="00944AC7">
        <w:rPr>
          <w:color w:val="auto"/>
        </w:rPr>
        <w:t>,</w:t>
      </w:r>
      <w:r w:rsidR="00F66B8B" w:rsidRPr="00F66B8B">
        <w:rPr>
          <w:color w:val="auto"/>
        </w:rPr>
        <w:t xml:space="preserve"> and expanded </w:t>
      </w:r>
      <w:r>
        <w:rPr>
          <w:color w:val="auto"/>
        </w:rPr>
        <w:t xml:space="preserve">use </w:t>
      </w:r>
      <w:r w:rsidR="00F66B8B" w:rsidRPr="00F66B8B">
        <w:rPr>
          <w:color w:val="auto"/>
        </w:rPr>
        <w:t>from 4 years</w:t>
      </w:r>
      <w:r>
        <w:rPr>
          <w:color w:val="auto"/>
        </w:rPr>
        <w:t xml:space="preserve"> of age</w:t>
      </w:r>
      <w:r w:rsidR="00F66B8B" w:rsidRPr="00F66B8B">
        <w:rPr>
          <w:color w:val="auto"/>
        </w:rPr>
        <w:t xml:space="preserve"> to 2 years</w:t>
      </w:r>
      <w:r>
        <w:rPr>
          <w:color w:val="auto"/>
        </w:rPr>
        <w:t xml:space="preserve"> of age</w:t>
      </w:r>
      <w:r w:rsidR="00F66B8B" w:rsidRPr="00F66B8B">
        <w:rPr>
          <w:color w:val="auto"/>
        </w:rPr>
        <w:t>.</w:t>
      </w:r>
    </w:p>
    <w:p w14:paraId="7EA23E6B" w14:textId="58117EA8" w:rsidR="00F352B0" w:rsidRDefault="003B6657" w:rsidP="00310C3F">
      <w:pPr>
        <w:pStyle w:val="Instructionaltext"/>
        <w:rPr>
          <w:color w:val="auto"/>
        </w:rPr>
      </w:pPr>
      <w:r w:rsidRPr="003B6657">
        <w:rPr>
          <w:color w:val="auto"/>
        </w:rPr>
        <w:t xml:space="preserve">The </w:t>
      </w:r>
      <w:r w:rsidR="00D76230">
        <w:rPr>
          <w:color w:val="auto"/>
        </w:rPr>
        <w:t>ADAR</w:t>
      </w:r>
      <w:r w:rsidR="00D76230" w:rsidRPr="003B6657">
        <w:rPr>
          <w:color w:val="auto"/>
        </w:rPr>
        <w:t xml:space="preserve"> </w:t>
      </w:r>
      <w:r w:rsidR="0014280D" w:rsidRPr="003B6657">
        <w:rPr>
          <w:color w:val="auto"/>
        </w:rPr>
        <w:t>note</w:t>
      </w:r>
      <w:r w:rsidR="0014280D">
        <w:rPr>
          <w:color w:val="auto"/>
        </w:rPr>
        <w:t>d</w:t>
      </w:r>
      <w:r w:rsidR="0014280D" w:rsidRPr="003B6657">
        <w:rPr>
          <w:color w:val="auto"/>
        </w:rPr>
        <w:t xml:space="preserve"> </w:t>
      </w:r>
      <w:r w:rsidRPr="003B6657">
        <w:rPr>
          <w:color w:val="auto"/>
        </w:rPr>
        <w:t>that patients in the existing and proposed treatment pathways will be managed in very similar ways</w:t>
      </w:r>
      <w:r>
        <w:rPr>
          <w:color w:val="auto"/>
        </w:rPr>
        <w:t xml:space="preserve">, with FSL2 replacing </w:t>
      </w:r>
      <w:r w:rsidR="00777F76" w:rsidRPr="00A54EDF">
        <w:rPr>
          <w:color w:val="auto"/>
        </w:rPr>
        <w:t>self-monitoring of blood glucose (</w:t>
      </w:r>
      <w:r>
        <w:rPr>
          <w:color w:val="auto"/>
        </w:rPr>
        <w:t>SMBG</w:t>
      </w:r>
      <w:r w:rsidR="00777F76" w:rsidRPr="00A54EDF">
        <w:rPr>
          <w:color w:val="auto"/>
        </w:rPr>
        <w:t>)</w:t>
      </w:r>
      <w:r>
        <w:rPr>
          <w:color w:val="auto"/>
        </w:rPr>
        <w:t xml:space="preserve"> in the </w:t>
      </w:r>
      <w:r w:rsidR="003873BD">
        <w:rPr>
          <w:color w:val="auto"/>
        </w:rPr>
        <w:t xml:space="preserve">proposed </w:t>
      </w:r>
      <w:r>
        <w:rPr>
          <w:color w:val="auto"/>
        </w:rPr>
        <w:t>clinical management algorithm</w:t>
      </w:r>
      <w:r w:rsidR="003873BD">
        <w:rPr>
          <w:color w:val="auto"/>
        </w:rPr>
        <w:t xml:space="preserve">. </w:t>
      </w:r>
      <w:r w:rsidR="003873BD" w:rsidRPr="003873BD">
        <w:rPr>
          <w:color w:val="auto"/>
        </w:rPr>
        <w:t xml:space="preserve">The NDSS currently allows </w:t>
      </w:r>
      <w:r w:rsidR="00DA3A39">
        <w:rPr>
          <w:color w:val="auto"/>
        </w:rPr>
        <w:t>prescription</w:t>
      </w:r>
      <w:r w:rsidR="003873BD" w:rsidRPr="003873BD">
        <w:rPr>
          <w:color w:val="auto"/>
        </w:rPr>
        <w:t xml:space="preserve"> of FSL2 in T1D</w:t>
      </w:r>
      <w:r w:rsidR="00F05FC3" w:rsidRPr="00A54EDF">
        <w:rPr>
          <w:color w:val="auto"/>
        </w:rPr>
        <w:t xml:space="preserve"> by</w:t>
      </w:r>
      <w:r w:rsidR="003873BD" w:rsidRPr="003873BD">
        <w:rPr>
          <w:color w:val="auto"/>
        </w:rPr>
        <w:t xml:space="preserve"> certified diabetes educators, nurse practitioner</w:t>
      </w:r>
      <w:r w:rsidR="0014280D">
        <w:rPr>
          <w:color w:val="auto"/>
        </w:rPr>
        <w:t>s</w:t>
      </w:r>
      <w:r w:rsidR="003873BD" w:rsidRPr="003873BD">
        <w:rPr>
          <w:color w:val="auto"/>
        </w:rPr>
        <w:t>, physician</w:t>
      </w:r>
      <w:r w:rsidR="0014280D">
        <w:rPr>
          <w:color w:val="auto"/>
        </w:rPr>
        <w:t>s</w:t>
      </w:r>
      <w:r w:rsidR="003873BD" w:rsidRPr="003873BD">
        <w:rPr>
          <w:color w:val="auto"/>
        </w:rPr>
        <w:t xml:space="preserve"> and paediatrician</w:t>
      </w:r>
      <w:r w:rsidR="0014280D">
        <w:rPr>
          <w:color w:val="auto"/>
        </w:rPr>
        <w:t>s</w:t>
      </w:r>
      <w:r w:rsidR="003873BD" w:rsidRPr="003873BD">
        <w:rPr>
          <w:color w:val="auto"/>
        </w:rPr>
        <w:t xml:space="preserve">, but not </w:t>
      </w:r>
      <w:r w:rsidR="00F05FC3" w:rsidRPr="00A54EDF">
        <w:rPr>
          <w:color w:val="auto"/>
        </w:rPr>
        <w:t xml:space="preserve">by </w:t>
      </w:r>
      <w:r w:rsidR="003873BD" w:rsidRPr="003873BD">
        <w:rPr>
          <w:color w:val="auto"/>
        </w:rPr>
        <w:t xml:space="preserve">general practitioners or practice nurses. The FSL2 system is intended </w:t>
      </w:r>
      <w:r w:rsidR="00F05FC3" w:rsidRPr="00A54EDF">
        <w:rPr>
          <w:color w:val="auto"/>
        </w:rPr>
        <w:t>for</w:t>
      </w:r>
      <w:r w:rsidR="003873BD" w:rsidRPr="00A54EDF">
        <w:rPr>
          <w:color w:val="auto"/>
        </w:rPr>
        <w:t xml:space="preserve"> use</w:t>
      </w:r>
      <w:r w:rsidR="003873BD" w:rsidRPr="003873BD">
        <w:rPr>
          <w:color w:val="auto"/>
        </w:rPr>
        <w:t xml:space="preserve"> at home or in a residential aged care facility (i.e. </w:t>
      </w:r>
      <w:r w:rsidR="00FB59C2">
        <w:rPr>
          <w:color w:val="auto"/>
        </w:rPr>
        <w:t xml:space="preserve">a </w:t>
      </w:r>
      <w:r w:rsidR="00755347" w:rsidRPr="00A54EDF">
        <w:rPr>
          <w:color w:val="auto"/>
        </w:rPr>
        <w:t>non-</w:t>
      </w:r>
      <w:r w:rsidR="003873BD" w:rsidRPr="003873BD">
        <w:rPr>
          <w:color w:val="auto"/>
        </w:rPr>
        <w:t>clinical setting</w:t>
      </w:r>
      <w:r w:rsidR="003873BD" w:rsidRPr="00A54EDF">
        <w:rPr>
          <w:color w:val="auto"/>
        </w:rPr>
        <w:t>)</w:t>
      </w:r>
      <w:r w:rsidR="0014280D">
        <w:rPr>
          <w:color w:val="auto"/>
        </w:rPr>
        <w:t xml:space="preserve"> </w:t>
      </w:r>
      <w:r w:rsidR="003873BD" w:rsidRPr="003873BD">
        <w:rPr>
          <w:color w:val="auto"/>
        </w:rPr>
        <w:t xml:space="preserve">with assistance from a carer or parent if </w:t>
      </w:r>
      <w:r w:rsidR="00DF397F" w:rsidRPr="00A54EDF">
        <w:rPr>
          <w:color w:val="auto"/>
        </w:rPr>
        <w:t>necessary</w:t>
      </w:r>
      <w:r w:rsidR="003873BD" w:rsidRPr="003873BD">
        <w:rPr>
          <w:color w:val="auto"/>
        </w:rPr>
        <w:t>.</w:t>
      </w:r>
    </w:p>
    <w:p w14:paraId="382BDA5A" w14:textId="397C75E8" w:rsidR="003873BD" w:rsidRPr="003873BD" w:rsidRDefault="003873BD" w:rsidP="003873BD">
      <w:pPr>
        <w:pStyle w:val="Instructionaltext"/>
        <w:rPr>
          <w:color w:val="auto"/>
        </w:rPr>
      </w:pPr>
      <w:r w:rsidRPr="003873BD">
        <w:rPr>
          <w:color w:val="auto"/>
        </w:rPr>
        <w:t>Currently</w:t>
      </w:r>
      <w:r w:rsidR="00DF397F" w:rsidRPr="00A54EDF">
        <w:rPr>
          <w:color w:val="auto"/>
        </w:rPr>
        <w:t>,</w:t>
      </w:r>
      <w:r w:rsidRPr="003873BD">
        <w:rPr>
          <w:color w:val="auto"/>
        </w:rPr>
        <w:t xml:space="preserve"> FSL products are self-funded for </w:t>
      </w:r>
      <w:r w:rsidR="00DC418D">
        <w:rPr>
          <w:color w:val="auto"/>
        </w:rPr>
        <w:t xml:space="preserve">populations in </w:t>
      </w:r>
      <w:r w:rsidRPr="003873BD">
        <w:rPr>
          <w:color w:val="auto"/>
        </w:rPr>
        <w:t>PICO Set 1, 2 and 3</w:t>
      </w:r>
      <w:r w:rsidR="004101B0" w:rsidRPr="00A54EDF">
        <w:rPr>
          <w:color w:val="auto"/>
        </w:rPr>
        <w:t>. F</w:t>
      </w:r>
      <w:r w:rsidRPr="00A54EDF">
        <w:rPr>
          <w:color w:val="auto"/>
        </w:rPr>
        <w:t xml:space="preserve">or </w:t>
      </w:r>
      <w:r w:rsidRPr="003873BD">
        <w:rPr>
          <w:color w:val="auto"/>
        </w:rPr>
        <w:t>T1D</w:t>
      </w:r>
      <w:r>
        <w:rPr>
          <w:color w:val="auto"/>
        </w:rPr>
        <w:t>,</w:t>
      </w:r>
      <w:r w:rsidRPr="003873BD">
        <w:rPr>
          <w:color w:val="auto"/>
        </w:rPr>
        <w:t xml:space="preserve"> FSL</w:t>
      </w:r>
      <w:r w:rsidR="00E528BD">
        <w:rPr>
          <w:color w:val="auto"/>
        </w:rPr>
        <w:t>2</w:t>
      </w:r>
      <w:r w:rsidRPr="003873BD">
        <w:rPr>
          <w:color w:val="auto"/>
        </w:rPr>
        <w:t xml:space="preserve"> </w:t>
      </w:r>
      <w:r w:rsidR="00E528BD">
        <w:rPr>
          <w:color w:val="auto"/>
        </w:rPr>
        <w:t>is</w:t>
      </w:r>
      <w:r w:rsidRPr="003873BD">
        <w:rPr>
          <w:color w:val="auto"/>
        </w:rPr>
        <w:t xml:space="preserve"> subsidised </w:t>
      </w:r>
      <w:r w:rsidR="00DC418D">
        <w:rPr>
          <w:color w:val="auto"/>
        </w:rPr>
        <w:t>through</w:t>
      </w:r>
      <w:r w:rsidR="00DC418D" w:rsidRPr="003873BD">
        <w:rPr>
          <w:color w:val="auto"/>
        </w:rPr>
        <w:t xml:space="preserve"> </w:t>
      </w:r>
      <w:r w:rsidRPr="003873BD">
        <w:rPr>
          <w:color w:val="auto"/>
        </w:rPr>
        <w:t>the NDSS</w:t>
      </w:r>
      <w:r w:rsidR="00433F43">
        <w:rPr>
          <w:color w:val="auto"/>
        </w:rPr>
        <w:t>;</w:t>
      </w:r>
      <w:r w:rsidRPr="003873BD">
        <w:rPr>
          <w:color w:val="auto"/>
        </w:rPr>
        <w:t xml:space="preserve"> </w:t>
      </w:r>
      <w:r w:rsidR="00433F43">
        <w:rPr>
          <w:color w:val="auto"/>
        </w:rPr>
        <w:t>i</w:t>
      </w:r>
      <w:r w:rsidRPr="003873BD">
        <w:rPr>
          <w:color w:val="auto"/>
        </w:rPr>
        <w:t xml:space="preserve">t is fully subsidised for people </w:t>
      </w:r>
      <w:r w:rsidR="00E114E8">
        <w:rPr>
          <w:color w:val="auto"/>
        </w:rPr>
        <w:t xml:space="preserve">with T1D </w:t>
      </w:r>
      <w:r w:rsidR="00C70CF3">
        <w:rPr>
          <w:color w:val="auto"/>
        </w:rPr>
        <w:t xml:space="preserve">aged &gt;21 years </w:t>
      </w:r>
      <w:r w:rsidRPr="003873BD">
        <w:rPr>
          <w:color w:val="auto"/>
        </w:rPr>
        <w:t xml:space="preserve">with a </w:t>
      </w:r>
      <w:r w:rsidRPr="00A54EDF">
        <w:rPr>
          <w:color w:val="auto"/>
        </w:rPr>
        <w:t>concession</w:t>
      </w:r>
      <w:r w:rsidRPr="003873BD">
        <w:rPr>
          <w:color w:val="auto"/>
        </w:rPr>
        <w:t xml:space="preserve"> card and </w:t>
      </w:r>
      <w:r w:rsidR="00C70CF3">
        <w:rPr>
          <w:color w:val="auto"/>
        </w:rPr>
        <w:t xml:space="preserve">for people </w:t>
      </w:r>
      <w:r w:rsidRPr="003873BD">
        <w:rPr>
          <w:color w:val="auto"/>
        </w:rPr>
        <w:t>age</w:t>
      </w:r>
      <w:r w:rsidR="00DC418D">
        <w:rPr>
          <w:color w:val="auto"/>
        </w:rPr>
        <w:t>d</w:t>
      </w:r>
      <w:r w:rsidRPr="003873BD">
        <w:rPr>
          <w:color w:val="auto"/>
        </w:rPr>
        <w:t xml:space="preserve"> &lt;21 years</w:t>
      </w:r>
      <w:r w:rsidR="00C70CF3">
        <w:rPr>
          <w:color w:val="auto"/>
        </w:rPr>
        <w:t xml:space="preserve">. It </w:t>
      </w:r>
      <w:r w:rsidR="00B0631B">
        <w:rPr>
          <w:color w:val="auto"/>
        </w:rPr>
        <w:t xml:space="preserve">is </w:t>
      </w:r>
      <w:r w:rsidRPr="003873BD">
        <w:rPr>
          <w:color w:val="auto"/>
        </w:rPr>
        <w:t xml:space="preserve">partly subsidised </w:t>
      </w:r>
      <w:r w:rsidR="00E114E8">
        <w:rPr>
          <w:color w:val="auto"/>
        </w:rPr>
        <w:t xml:space="preserve">for people with T1D aged &gt;21 years </w:t>
      </w:r>
      <w:r w:rsidR="008E149D" w:rsidRPr="00A54EDF">
        <w:rPr>
          <w:color w:val="auto"/>
        </w:rPr>
        <w:t>without a concession</w:t>
      </w:r>
      <w:r w:rsidR="008E149D" w:rsidRPr="003873BD">
        <w:rPr>
          <w:color w:val="auto"/>
        </w:rPr>
        <w:t xml:space="preserve"> card </w:t>
      </w:r>
      <w:r w:rsidRPr="003873BD">
        <w:rPr>
          <w:color w:val="auto"/>
        </w:rPr>
        <w:t xml:space="preserve">(copayment of </w:t>
      </w:r>
      <w:r w:rsidR="00226443">
        <w:rPr>
          <w:color w:val="auto"/>
        </w:rPr>
        <w:t>$</w:t>
      </w:r>
      <w:r w:rsidRPr="003873BD">
        <w:rPr>
          <w:color w:val="auto"/>
        </w:rPr>
        <w:t>16.20 per FSL2 sensor as of 1 January 2025)</w:t>
      </w:r>
      <w:r w:rsidR="008E149D">
        <w:rPr>
          <w:color w:val="auto"/>
        </w:rPr>
        <w:t>.</w:t>
      </w:r>
    </w:p>
    <w:p w14:paraId="7CA303C4" w14:textId="0504ED3E" w:rsidR="003873BD" w:rsidRPr="003873BD" w:rsidRDefault="009D7EEB" w:rsidP="003873BD">
      <w:pPr>
        <w:pStyle w:val="Instructionaltext"/>
        <w:rPr>
          <w:color w:val="auto"/>
        </w:rPr>
      </w:pPr>
      <w:r>
        <w:rPr>
          <w:color w:val="auto"/>
        </w:rPr>
        <w:t xml:space="preserve">The </w:t>
      </w:r>
      <w:r w:rsidR="00C1363C">
        <w:rPr>
          <w:color w:val="auto"/>
        </w:rPr>
        <w:t xml:space="preserve">population eligible to access </w:t>
      </w:r>
      <w:r w:rsidR="00B33EE2">
        <w:rPr>
          <w:color w:val="auto"/>
        </w:rPr>
        <w:t>FSL products</w:t>
      </w:r>
      <w:r w:rsidR="00C1363C">
        <w:rPr>
          <w:color w:val="auto"/>
        </w:rPr>
        <w:t xml:space="preserve"> </w:t>
      </w:r>
      <w:r w:rsidR="002B4543">
        <w:rPr>
          <w:color w:val="auto"/>
        </w:rPr>
        <w:t>proposed in the ADAR</w:t>
      </w:r>
      <w:r>
        <w:rPr>
          <w:color w:val="auto"/>
        </w:rPr>
        <w:t xml:space="preserve"> is</w:t>
      </w:r>
      <w:r w:rsidR="008B705C" w:rsidRPr="00A54EDF">
        <w:rPr>
          <w:color w:val="auto"/>
        </w:rPr>
        <w:t>:</w:t>
      </w:r>
      <w:r w:rsidR="003873BD" w:rsidRPr="003873BD">
        <w:rPr>
          <w:color w:val="auto"/>
        </w:rPr>
        <w:t xml:space="preserve"> </w:t>
      </w:r>
      <w:r w:rsidR="002B4543">
        <w:rPr>
          <w:color w:val="auto"/>
        </w:rPr>
        <w:t>“</w:t>
      </w:r>
      <w:r w:rsidR="003873BD" w:rsidRPr="003873BD">
        <w:rPr>
          <w:color w:val="auto"/>
        </w:rPr>
        <w:t xml:space="preserve">people with T2D requiring insulin or women with GDM or people with other types of diabetes including </w:t>
      </w:r>
      <w:r w:rsidR="008B705C" w:rsidRPr="00A54EDF">
        <w:rPr>
          <w:color w:val="auto"/>
        </w:rPr>
        <w:t>T3cD</w:t>
      </w:r>
      <w:r w:rsidR="00A07B34" w:rsidRPr="003873BD">
        <w:rPr>
          <w:color w:val="auto"/>
        </w:rPr>
        <w:t xml:space="preserve"> o</w:t>
      </w:r>
      <w:r w:rsidR="00A07B34">
        <w:rPr>
          <w:color w:val="auto"/>
        </w:rPr>
        <w:t>r</w:t>
      </w:r>
      <w:r w:rsidR="00A07B34" w:rsidRPr="003873BD">
        <w:rPr>
          <w:color w:val="auto"/>
        </w:rPr>
        <w:t xml:space="preserve"> </w:t>
      </w:r>
      <w:r w:rsidR="003873BD" w:rsidRPr="003873BD">
        <w:rPr>
          <w:color w:val="auto"/>
        </w:rPr>
        <w:t>conditions similar to T1D that are over the age of 21</w:t>
      </w:r>
      <w:r w:rsidR="002B4543">
        <w:rPr>
          <w:color w:val="auto"/>
        </w:rPr>
        <w:t>”</w:t>
      </w:r>
      <w:r w:rsidR="003873BD" w:rsidRPr="003873BD">
        <w:rPr>
          <w:color w:val="auto"/>
        </w:rPr>
        <w:t>.</w:t>
      </w:r>
    </w:p>
    <w:p w14:paraId="68FE3ECA" w14:textId="0A62A592" w:rsidR="003C73ED" w:rsidRDefault="003C73ED" w:rsidP="003873BD">
      <w:pPr>
        <w:pStyle w:val="Instructionaltext"/>
        <w:rPr>
          <w:color w:val="auto"/>
        </w:rPr>
      </w:pPr>
      <w:r w:rsidRPr="003C73ED">
        <w:rPr>
          <w:color w:val="auto"/>
        </w:rPr>
        <w:t xml:space="preserve">The </w:t>
      </w:r>
      <w:r w:rsidR="00886731">
        <w:rPr>
          <w:color w:val="auto"/>
        </w:rPr>
        <w:t>ADAR</w:t>
      </w:r>
      <w:r w:rsidR="00886731" w:rsidRPr="003C73ED">
        <w:rPr>
          <w:color w:val="auto"/>
        </w:rPr>
        <w:t xml:space="preserve"> </w:t>
      </w:r>
      <w:r w:rsidRPr="003C73ED">
        <w:rPr>
          <w:color w:val="auto"/>
        </w:rPr>
        <w:t>estimated that an average of 26.07 FSL</w:t>
      </w:r>
      <w:r>
        <w:rPr>
          <w:color w:val="auto"/>
        </w:rPr>
        <w:t>2</w:t>
      </w:r>
      <w:r w:rsidRPr="003C73ED">
        <w:rPr>
          <w:color w:val="auto"/>
        </w:rPr>
        <w:t xml:space="preserve"> sensors and 24.35 FSL2 Plus sensors would be required per year if 100% of the population </w:t>
      </w:r>
      <w:r w:rsidR="004A09BF">
        <w:rPr>
          <w:color w:val="auto"/>
        </w:rPr>
        <w:t>was</w:t>
      </w:r>
      <w:r w:rsidRPr="003C73ED">
        <w:rPr>
          <w:color w:val="auto"/>
        </w:rPr>
        <w:t xml:space="preserve"> fully </w:t>
      </w:r>
      <w:r>
        <w:rPr>
          <w:color w:val="auto"/>
        </w:rPr>
        <w:t>adherent/</w:t>
      </w:r>
      <w:r w:rsidRPr="003C73ED">
        <w:rPr>
          <w:color w:val="auto"/>
        </w:rPr>
        <w:t>compliant. Th</w:t>
      </w:r>
      <w:r w:rsidR="00D76230">
        <w:rPr>
          <w:color w:val="auto"/>
        </w:rPr>
        <w:t xml:space="preserve">is was </w:t>
      </w:r>
      <w:r>
        <w:rPr>
          <w:color w:val="auto"/>
        </w:rPr>
        <w:t>rounded down to assume</w:t>
      </w:r>
      <w:r w:rsidRPr="003C73ED">
        <w:rPr>
          <w:color w:val="auto"/>
        </w:rPr>
        <w:t xml:space="preserve"> 24 sensors per year</w:t>
      </w:r>
      <w:r>
        <w:rPr>
          <w:color w:val="auto"/>
        </w:rPr>
        <w:t xml:space="preserve"> (2 per month)</w:t>
      </w:r>
      <w:r w:rsidRPr="003C73ED">
        <w:rPr>
          <w:color w:val="auto"/>
        </w:rPr>
        <w:t xml:space="preserve">. This indirectly assumed adherence/compliance </w:t>
      </w:r>
      <w:r w:rsidR="00732274">
        <w:rPr>
          <w:color w:val="auto"/>
        </w:rPr>
        <w:t>of</w:t>
      </w:r>
      <w:r w:rsidRPr="003C73ED">
        <w:rPr>
          <w:color w:val="auto"/>
        </w:rPr>
        <w:t xml:space="preserve"> 92% for FSL and 99% for FSL 2</w:t>
      </w:r>
      <w:r>
        <w:rPr>
          <w:color w:val="auto"/>
        </w:rPr>
        <w:t xml:space="preserve"> Plus. </w:t>
      </w:r>
      <w:r w:rsidRPr="003C73ED">
        <w:rPr>
          <w:color w:val="auto"/>
        </w:rPr>
        <w:t xml:space="preserve">The applicant used anecdotal evidence and comparisons to self-reported medication studies to state that 100% </w:t>
      </w:r>
      <w:r>
        <w:rPr>
          <w:color w:val="auto"/>
        </w:rPr>
        <w:t>adherence/</w:t>
      </w:r>
      <w:r w:rsidRPr="003C73ED">
        <w:rPr>
          <w:color w:val="auto"/>
        </w:rPr>
        <w:t>compliance was unrealistic,</w:t>
      </w:r>
      <w:r>
        <w:rPr>
          <w:color w:val="auto"/>
        </w:rPr>
        <w:t xml:space="preserve"> and the overall cost estimate was conservative. </w:t>
      </w:r>
    </w:p>
    <w:p w14:paraId="6E4FC2A9" w14:textId="1C205A11" w:rsidR="004A60FE" w:rsidRPr="004A60FE" w:rsidRDefault="004A60FE" w:rsidP="003873BD">
      <w:pPr>
        <w:pStyle w:val="Instructionaltext"/>
        <w:rPr>
          <w:color w:val="auto"/>
        </w:rPr>
      </w:pPr>
      <w:r w:rsidRPr="00116BF5">
        <w:rPr>
          <w:color w:val="auto"/>
        </w:rPr>
        <w:t>The annual cost for FSL</w:t>
      </w:r>
      <w:r w:rsidR="008E1C01">
        <w:rPr>
          <w:color w:val="auto"/>
        </w:rPr>
        <w:t xml:space="preserve"> (both FSL2 and FSL2</w:t>
      </w:r>
      <w:r w:rsidR="003C73ED">
        <w:rPr>
          <w:color w:val="auto"/>
        </w:rPr>
        <w:t xml:space="preserve"> Plus</w:t>
      </w:r>
      <w:r w:rsidR="008E1C01">
        <w:rPr>
          <w:color w:val="auto"/>
        </w:rPr>
        <w:t>)</w:t>
      </w:r>
      <w:r w:rsidRPr="00116BF5">
        <w:rPr>
          <w:color w:val="auto"/>
        </w:rPr>
        <w:t xml:space="preserve"> was calculated based on a monthly sensor cost of </w:t>
      </w:r>
      <w:r w:rsidR="00226443">
        <w:rPr>
          <w:color w:val="auto"/>
        </w:rPr>
        <w:t>$</w:t>
      </w:r>
      <w:r w:rsidR="00A84DDF">
        <w:rPr>
          <w:b/>
          <w:bCs/>
          <w:color w:val="auto"/>
        </w:rPr>
        <w:t>R</w:t>
      </w:r>
      <w:r w:rsidR="003E1ED0">
        <w:rPr>
          <w:b/>
          <w:bCs/>
          <w:color w:val="auto"/>
        </w:rPr>
        <w:t>EDACTED</w:t>
      </w:r>
      <w:r w:rsidRPr="00116BF5">
        <w:rPr>
          <w:color w:val="auto"/>
        </w:rPr>
        <w:t xml:space="preserve"> (per </w:t>
      </w:r>
      <w:r w:rsidR="003C73ED" w:rsidRPr="00DD6D54">
        <w:rPr>
          <w:color w:val="auto"/>
        </w:rPr>
        <w:t>2</w:t>
      </w:r>
      <w:r w:rsidR="003C73ED" w:rsidRPr="00116BF5">
        <w:rPr>
          <w:color w:val="auto"/>
        </w:rPr>
        <w:t xml:space="preserve"> </w:t>
      </w:r>
      <w:r w:rsidRPr="00116BF5">
        <w:rPr>
          <w:color w:val="auto"/>
        </w:rPr>
        <w:t>sensors</w:t>
      </w:r>
      <w:r w:rsidR="00732274">
        <w:rPr>
          <w:color w:val="auto"/>
        </w:rPr>
        <w:t>,</w:t>
      </w:r>
      <w:r w:rsidRPr="00116BF5">
        <w:rPr>
          <w:color w:val="auto"/>
        </w:rPr>
        <w:t xml:space="preserve"> based on </w:t>
      </w:r>
      <w:r w:rsidR="00226443">
        <w:rPr>
          <w:color w:val="auto"/>
        </w:rPr>
        <w:t>$</w:t>
      </w:r>
      <w:r w:rsidR="00A84DDF" w:rsidRPr="00F14B56">
        <w:rPr>
          <w:b/>
          <w:bCs/>
          <w:iCs/>
          <w:color w:val="000000" w:themeColor="text1"/>
        </w:rPr>
        <w:t>R</w:t>
      </w:r>
      <w:r w:rsidR="003E1ED0">
        <w:rPr>
          <w:b/>
          <w:bCs/>
          <w:iCs/>
          <w:color w:val="000000" w:themeColor="text1"/>
        </w:rPr>
        <w:t>EDACTED</w:t>
      </w:r>
      <w:r w:rsidRPr="00116BF5">
        <w:rPr>
          <w:color w:val="auto"/>
        </w:rPr>
        <w:t xml:space="preserve"> per sensor plus </w:t>
      </w:r>
      <w:r w:rsidR="005E35D3" w:rsidRPr="00116BF5">
        <w:rPr>
          <w:color w:val="auto"/>
        </w:rPr>
        <w:t xml:space="preserve">standard </w:t>
      </w:r>
      <w:r w:rsidR="005E35D3">
        <w:rPr>
          <w:color w:val="auto"/>
        </w:rPr>
        <w:t>$</w:t>
      </w:r>
      <w:r w:rsidR="00A84DDF" w:rsidRPr="00F14B56">
        <w:rPr>
          <w:b/>
          <w:bCs/>
          <w:color w:val="auto"/>
        </w:rPr>
        <w:t>R</w:t>
      </w:r>
      <w:r w:rsidR="003E1ED0">
        <w:rPr>
          <w:b/>
          <w:bCs/>
          <w:color w:val="auto"/>
        </w:rPr>
        <w:t>EDACTED</w:t>
      </w:r>
      <w:r w:rsidR="005E35D3" w:rsidRPr="00116BF5">
        <w:rPr>
          <w:color w:val="auto"/>
        </w:rPr>
        <w:t xml:space="preserve"> for </w:t>
      </w:r>
      <w:r w:rsidRPr="00116BF5">
        <w:rPr>
          <w:color w:val="auto"/>
        </w:rPr>
        <w:t>NDSS distribution) and 24 sensors per year</w:t>
      </w:r>
      <w:r w:rsidR="003C73ED" w:rsidRPr="003C73ED">
        <w:rPr>
          <w:color w:val="auto"/>
        </w:rPr>
        <w:t>. With the evidence available, 2 sensors per month appears to be an appropriate estimate.</w:t>
      </w:r>
    </w:p>
    <w:p w14:paraId="24F6402C" w14:textId="11E25FF6" w:rsidR="003873BD" w:rsidRDefault="00CC5A71" w:rsidP="003873BD">
      <w:pPr>
        <w:pStyle w:val="Instructionaltext"/>
        <w:rPr>
          <w:color w:val="auto"/>
        </w:rPr>
      </w:pPr>
      <w:r>
        <w:rPr>
          <w:color w:val="auto"/>
        </w:rPr>
        <w:t xml:space="preserve">The </w:t>
      </w:r>
      <w:r w:rsidR="00886731">
        <w:rPr>
          <w:color w:val="auto"/>
        </w:rPr>
        <w:t xml:space="preserve">ADAR </w:t>
      </w:r>
      <w:r>
        <w:rPr>
          <w:color w:val="auto"/>
        </w:rPr>
        <w:t>noted</w:t>
      </w:r>
      <w:r w:rsidR="003873BD" w:rsidRPr="003873BD">
        <w:rPr>
          <w:color w:val="auto"/>
        </w:rPr>
        <w:t xml:space="preserve"> that </w:t>
      </w:r>
      <w:r w:rsidR="00687494" w:rsidRPr="00A54EDF">
        <w:rPr>
          <w:color w:val="auto"/>
        </w:rPr>
        <w:t>‘</w:t>
      </w:r>
      <w:r w:rsidR="003873BD" w:rsidRPr="003873BD">
        <w:rPr>
          <w:color w:val="auto"/>
        </w:rPr>
        <w:t>this MSAC application does not constitute any form of price offer to the Commonwealth Government by Abbott</w:t>
      </w:r>
      <w:r w:rsidR="003873BD" w:rsidRPr="00A54EDF">
        <w:rPr>
          <w:color w:val="auto"/>
        </w:rPr>
        <w:t>.</w:t>
      </w:r>
      <w:r w:rsidR="00687494" w:rsidRPr="00A54EDF">
        <w:rPr>
          <w:color w:val="auto"/>
        </w:rPr>
        <w:t>’</w:t>
      </w:r>
    </w:p>
    <w:p w14:paraId="34E0B08F" w14:textId="4E44B482" w:rsidR="00772829" w:rsidRPr="00CE28E3" w:rsidRDefault="00772829" w:rsidP="003027B3">
      <w:pPr>
        <w:pStyle w:val="Heading2"/>
        <w:numPr>
          <w:ilvl w:val="0"/>
          <w:numId w:val="27"/>
        </w:numPr>
        <w:ind w:hanging="720"/>
      </w:pPr>
      <w:bookmarkStart w:id="11" w:name="_Toc69491419"/>
      <w:r w:rsidRPr="00CE28E3">
        <w:t>Population</w:t>
      </w:r>
      <w:bookmarkEnd w:id="11"/>
      <w:r w:rsidRPr="00CE28E3">
        <w:t xml:space="preserve"> </w:t>
      </w:r>
    </w:p>
    <w:p w14:paraId="3F9ADE11" w14:textId="260A25A5" w:rsidR="00FE3E45" w:rsidRDefault="00FE3E45" w:rsidP="00FE3E45">
      <w:r>
        <w:t xml:space="preserve">Three PICO sets were defined for </w:t>
      </w:r>
      <w:r w:rsidR="00D12E63">
        <w:t>the FSL products: one for people with T2D requiring insulin</w:t>
      </w:r>
      <w:r w:rsidR="009B6C1C">
        <w:t xml:space="preserve"> (PICO Set 1</w:t>
      </w:r>
      <w:r w:rsidR="00350C45">
        <w:t xml:space="preserve">; </w:t>
      </w:r>
      <w:r w:rsidR="00350C45">
        <w:fldChar w:fldCharType="begin"/>
      </w:r>
      <w:r w:rsidR="00350C45">
        <w:instrText xml:space="preserve"> REF _Ref192495799 \h </w:instrText>
      </w:r>
      <w:r w:rsidR="00350C45">
        <w:fldChar w:fldCharType="separate"/>
      </w:r>
      <w:r w:rsidR="00315A60">
        <w:t>Table </w:t>
      </w:r>
      <w:r w:rsidR="00315A60">
        <w:rPr>
          <w:noProof/>
        </w:rPr>
        <w:t>2</w:t>
      </w:r>
      <w:r w:rsidR="00350C45">
        <w:fldChar w:fldCharType="end"/>
      </w:r>
      <w:r w:rsidR="009B6C1C">
        <w:t>), one for people with diabetes mellitus (PICO Set 2</w:t>
      </w:r>
      <w:r w:rsidR="00350C45">
        <w:t xml:space="preserve">; </w:t>
      </w:r>
      <w:r w:rsidR="00350C45">
        <w:fldChar w:fldCharType="begin"/>
      </w:r>
      <w:r w:rsidR="00350C45">
        <w:instrText xml:space="preserve"> REF _Ref192495813 \h </w:instrText>
      </w:r>
      <w:r w:rsidR="00350C45">
        <w:fldChar w:fldCharType="separate"/>
      </w:r>
      <w:r w:rsidR="00315A60">
        <w:t>Table </w:t>
      </w:r>
      <w:r w:rsidR="00315A60">
        <w:rPr>
          <w:noProof/>
        </w:rPr>
        <w:t>3</w:t>
      </w:r>
      <w:r w:rsidR="00350C45">
        <w:fldChar w:fldCharType="end"/>
      </w:r>
      <w:r w:rsidR="009B6C1C">
        <w:t xml:space="preserve">), and one for people with other </w:t>
      </w:r>
      <w:r w:rsidR="00CE51EF">
        <w:t xml:space="preserve">conditions similar to </w:t>
      </w:r>
      <w:r w:rsidR="009B6C1C">
        <w:t>type</w:t>
      </w:r>
      <w:r w:rsidR="00CE51EF">
        <w:t xml:space="preserve"> 1</w:t>
      </w:r>
      <w:r w:rsidR="009B6C1C">
        <w:t xml:space="preserve"> diabetes</w:t>
      </w:r>
      <w:r w:rsidR="00CE51EF">
        <w:t xml:space="preserve"> requiring insulin</w:t>
      </w:r>
      <w:r w:rsidR="00B16182" w:rsidRPr="00A54EDF">
        <w:t>,</w:t>
      </w:r>
      <w:r w:rsidR="009B6C1C">
        <w:t xml:space="preserve"> including T3cD (PICO Set 3</w:t>
      </w:r>
      <w:r w:rsidR="00350C45">
        <w:t xml:space="preserve">; </w:t>
      </w:r>
      <w:r w:rsidR="00350C45">
        <w:fldChar w:fldCharType="begin"/>
      </w:r>
      <w:r w:rsidR="00350C45">
        <w:instrText xml:space="preserve"> REF _Ref192495825 \h </w:instrText>
      </w:r>
      <w:r w:rsidR="00350C45">
        <w:fldChar w:fldCharType="separate"/>
      </w:r>
      <w:r w:rsidR="00315A60">
        <w:t>Table </w:t>
      </w:r>
      <w:r w:rsidR="00315A60">
        <w:rPr>
          <w:noProof/>
        </w:rPr>
        <w:t>4</w:t>
      </w:r>
      <w:r w:rsidR="00350C45">
        <w:fldChar w:fldCharType="end"/>
      </w:r>
      <w:r w:rsidR="009B6C1C">
        <w:t>).</w:t>
      </w:r>
      <w:r w:rsidR="00F935AE">
        <w:t xml:space="preserve"> PICO Set 1 (T2D) also includes a dedicated subpopulation for people requiring intensive insulin therapy (I</w:t>
      </w:r>
      <w:r w:rsidR="00D029D4">
        <w:t>I</w:t>
      </w:r>
      <w:r w:rsidR="00F935AE">
        <w:t xml:space="preserve">T), defined as requiring </w:t>
      </w:r>
      <w:r w:rsidR="00DE1724" w:rsidRPr="00A54EDF">
        <w:t>‘</w:t>
      </w:r>
      <w:r w:rsidR="00F935AE">
        <w:t xml:space="preserve">multiple daily insulin injections or continuous subcutaneous insulin infusion who are recommended to carry out frequent monitoring </w:t>
      </w:r>
      <w:r w:rsidR="00F935AE" w:rsidRPr="00A54EDF">
        <w:t>o</w:t>
      </w:r>
      <w:r w:rsidR="00DE1724" w:rsidRPr="00A54EDF">
        <w:t>f</w:t>
      </w:r>
      <w:r w:rsidR="00F935AE">
        <w:t xml:space="preserve"> their blood glucose</w:t>
      </w:r>
      <w:r w:rsidR="00DE1724" w:rsidRPr="00A54EDF">
        <w:t>.’</w:t>
      </w:r>
    </w:p>
    <w:p w14:paraId="6B579F87" w14:textId="1C6C0C26" w:rsidR="00D1002D" w:rsidRDefault="00D1002D" w:rsidP="00D1002D">
      <w:r>
        <w:t>The PICO</w:t>
      </w:r>
      <w:r w:rsidR="005A4A98">
        <w:t xml:space="preserve"> sets</w:t>
      </w:r>
      <w:r>
        <w:t xml:space="preserve"> </w:t>
      </w:r>
      <w:r w:rsidR="005A4A98">
        <w:t xml:space="preserve">presented in the ADAR were </w:t>
      </w:r>
      <w:r>
        <w:t>relatively closely aligned with</w:t>
      </w:r>
      <w:r w:rsidR="005A4A98">
        <w:t xml:space="preserve"> those in</w:t>
      </w:r>
      <w:r>
        <w:t xml:space="preserve"> the </w:t>
      </w:r>
      <w:r w:rsidR="00E31A53">
        <w:t>r</w:t>
      </w:r>
      <w:r>
        <w:t>atified PICO</w:t>
      </w:r>
      <w:r w:rsidR="005A4A98">
        <w:t xml:space="preserve"> confirmation</w:t>
      </w:r>
      <w:r w:rsidR="0068313D">
        <w:t>.</w:t>
      </w:r>
      <w:r w:rsidR="00055849" w:rsidRPr="00055849">
        <w:rPr>
          <w:rStyle w:val="FootnoteReference"/>
        </w:rPr>
        <w:t xml:space="preserve"> </w:t>
      </w:r>
      <w:r w:rsidR="00055849">
        <w:rPr>
          <w:rStyle w:val="FootnoteReference"/>
        </w:rPr>
        <w:footnoteReference w:id="11"/>
      </w:r>
      <w:r>
        <w:t xml:space="preserve"> However, several outcomes were not included where data were unavailable. Outcomes listed in the </w:t>
      </w:r>
      <w:r w:rsidR="00E31A53">
        <w:t>r</w:t>
      </w:r>
      <w:r>
        <w:t xml:space="preserve">atified PICO that were not included in this ADAR include psychological health, monitoring (CGM or SMBG) failure rate, self-efficacy and any outcomes related to change in management. </w:t>
      </w:r>
      <w:r w:rsidR="00A07B34">
        <w:t>As noted previously, t</w:t>
      </w:r>
      <w:r>
        <w:t xml:space="preserve">he applicant also added the newer FSL2 Plus version of the CGM system to the PICO, </w:t>
      </w:r>
      <w:r w:rsidR="00C67BA7" w:rsidRPr="00A54EDF">
        <w:t>which</w:t>
      </w:r>
      <w:r>
        <w:t xml:space="preserve"> was not included in the </w:t>
      </w:r>
      <w:r w:rsidR="00E31A53">
        <w:t>r</w:t>
      </w:r>
      <w:r>
        <w:t xml:space="preserve">atified PICO. </w:t>
      </w:r>
    </w:p>
    <w:p w14:paraId="15E29427" w14:textId="555B357F" w:rsidR="001947DB" w:rsidRDefault="00F14085" w:rsidP="001947DB">
      <w:r>
        <w:t>In</w:t>
      </w:r>
      <w:r w:rsidR="009B6C1C">
        <w:t xml:space="preserve"> </w:t>
      </w:r>
      <w:r>
        <w:t xml:space="preserve">all </w:t>
      </w:r>
      <w:r w:rsidR="00C67BA7" w:rsidRPr="00A54EDF">
        <w:t>3</w:t>
      </w:r>
      <w:r>
        <w:t xml:space="preserve"> </w:t>
      </w:r>
      <w:r w:rsidR="009B6C1C">
        <w:t xml:space="preserve">PICO </w:t>
      </w:r>
      <w:r>
        <w:t>sets</w:t>
      </w:r>
      <w:r w:rsidR="009B6C1C">
        <w:t>,</w:t>
      </w:r>
      <w:r>
        <w:t xml:space="preserve"> FSL </w:t>
      </w:r>
      <w:r w:rsidR="002C6E17">
        <w:t xml:space="preserve">CGM </w:t>
      </w:r>
      <w:r>
        <w:t xml:space="preserve">products are intended to displace (replace) SMBG in the monitoring of glucose levels. </w:t>
      </w:r>
      <w:r w:rsidR="00C24536">
        <w:t xml:space="preserve">However, people using FSL may still need to perform SMBG in certain scenarios (e.g. where their diabetes symptoms do not match the FSL readings). This level of detail is acknowledged in the clinical management guidelines for PICO Set 2 (GDM) and Set 3 (other </w:t>
      </w:r>
      <w:r w:rsidR="00CE51EF">
        <w:t xml:space="preserve">conditions </w:t>
      </w:r>
      <w:proofErr w:type="gramStart"/>
      <w:r w:rsidR="007A3D8D">
        <w:t>similar to</w:t>
      </w:r>
      <w:proofErr w:type="gramEnd"/>
      <w:r w:rsidR="007A3D8D">
        <w:t xml:space="preserve"> </w:t>
      </w:r>
      <w:r w:rsidR="00CE51EF">
        <w:t>T1D</w:t>
      </w:r>
      <w:r w:rsidR="007A3D8D">
        <w:t xml:space="preserve"> requiring insulin</w:t>
      </w:r>
      <w:r w:rsidR="00C24536" w:rsidRPr="00A54EDF">
        <w:t>)</w:t>
      </w:r>
      <w:r w:rsidR="00C24536">
        <w:t xml:space="preserve"> but is absent from PICO Set 1 (T2D requiring insulin). </w:t>
      </w:r>
      <w:r w:rsidR="001947DB">
        <w:br w:type="page"/>
      </w:r>
    </w:p>
    <w:p w14:paraId="6D30BE8A" w14:textId="01DDEA3F" w:rsidR="00D12E63" w:rsidRPr="003A0813" w:rsidRDefault="00D12E63" w:rsidP="00D12E63">
      <w:pPr>
        <w:pStyle w:val="KMC16-Caption"/>
        <w:rPr>
          <w:rFonts w:ascii="Arial Narrow" w:hAnsi="Arial Narrow"/>
        </w:rPr>
      </w:pPr>
      <w:bookmarkStart w:id="12" w:name="_Ref192495799"/>
      <w:r w:rsidRPr="003A0813">
        <w:rPr>
          <w:rFonts w:ascii="Arial Narrow" w:hAnsi="Arial Narrow"/>
        </w:rPr>
        <w:t>Table </w:t>
      </w:r>
      <w:r w:rsidR="00315A60" w:rsidRPr="003A0813">
        <w:rPr>
          <w:rFonts w:ascii="Arial Narrow" w:hAnsi="Arial Narrow"/>
        </w:rPr>
        <w:fldChar w:fldCharType="begin"/>
      </w:r>
      <w:r w:rsidR="00315A60" w:rsidRPr="003A0813">
        <w:rPr>
          <w:rFonts w:ascii="Arial Narrow" w:hAnsi="Arial Narrow"/>
        </w:rPr>
        <w:instrText xml:space="preserve"> SEQ Table \* ARABIC </w:instrText>
      </w:r>
      <w:r w:rsidR="00315A60" w:rsidRPr="003A0813">
        <w:rPr>
          <w:rFonts w:ascii="Arial Narrow" w:hAnsi="Arial Narrow"/>
        </w:rPr>
        <w:fldChar w:fldCharType="separate"/>
      </w:r>
      <w:r w:rsidR="00315A60" w:rsidRPr="003A0813">
        <w:rPr>
          <w:rFonts w:ascii="Arial Narrow" w:hAnsi="Arial Narrow"/>
          <w:noProof/>
        </w:rPr>
        <w:t>2</w:t>
      </w:r>
      <w:r w:rsidR="00315A60" w:rsidRPr="003A0813">
        <w:rPr>
          <w:rFonts w:ascii="Arial Narrow" w:hAnsi="Arial Narrow"/>
          <w:noProof/>
        </w:rPr>
        <w:fldChar w:fldCharType="end"/>
      </w:r>
      <w:bookmarkEnd w:id="12"/>
      <w:r w:rsidR="003A0813">
        <w:rPr>
          <w:rFonts w:ascii="Arial Narrow" w:hAnsi="Arial Narrow"/>
          <w:noProof/>
        </w:rPr>
        <w:tab/>
      </w:r>
      <w:r w:rsidRPr="003A0813">
        <w:rPr>
          <w:rFonts w:ascii="Arial Narrow" w:hAnsi="Arial Narrow" w:cs="Arial"/>
        </w:rPr>
        <w:tab/>
      </w:r>
      <w:r w:rsidRPr="003A0813">
        <w:rPr>
          <w:rFonts w:ascii="Arial Narrow" w:hAnsi="Arial Narrow"/>
        </w:rPr>
        <w:t>PICO Set 1 criteria for assessing FSL products for improving glycaemic outcomes in people with T2D requiring insulin</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5"/>
        <w:gridCol w:w="7536"/>
      </w:tblGrid>
      <w:tr w:rsidR="00D12E63" w:rsidRPr="0001290C" w14:paraId="54BF1876" w14:textId="77777777" w:rsidTr="00F8485C">
        <w:tc>
          <w:tcPr>
            <w:tcW w:w="1183" w:type="dxa"/>
          </w:tcPr>
          <w:p w14:paraId="09CD3BFA" w14:textId="77777777" w:rsidR="00D12E63" w:rsidRPr="004A478D" w:rsidRDefault="00D12E63" w:rsidP="004A2A66">
            <w:pPr>
              <w:pStyle w:val="KMC16-Tablecontent"/>
              <w:rPr>
                <w:b/>
                <w:lang w:val="en-AU"/>
              </w:rPr>
            </w:pPr>
            <w:r w:rsidRPr="004A478D">
              <w:rPr>
                <w:b/>
                <w:lang w:val="en-AU"/>
              </w:rPr>
              <w:t>Population</w:t>
            </w:r>
          </w:p>
        </w:tc>
        <w:tc>
          <w:tcPr>
            <w:tcW w:w="7748" w:type="dxa"/>
          </w:tcPr>
          <w:p w14:paraId="218298B3" w14:textId="77777777" w:rsidR="00D12E63" w:rsidRPr="004A478D" w:rsidRDefault="00D12E63" w:rsidP="004A2A66">
            <w:pPr>
              <w:pStyle w:val="KMC16-Tablecontent"/>
              <w:rPr>
                <w:lang w:val="en-AU"/>
              </w:rPr>
            </w:pPr>
            <w:r w:rsidRPr="004A478D">
              <w:rPr>
                <w:lang w:val="en-AU"/>
              </w:rPr>
              <w:t xml:space="preserve">People with T2D requiring insulin. </w:t>
            </w:r>
            <w:r w:rsidRPr="005C28E5">
              <w:rPr>
                <w:color w:val="388600"/>
                <w:lang w:val="en-AU"/>
              </w:rPr>
              <w:t>(our requested population)</w:t>
            </w:r>
          </w:p>
          <w:p w14:paraId="2A28CB51" w14:textId="77777777" w:rsidR="00D12E63" w:rsidRPr="004A478D" w:rsidRDefault="00D12E63" w:rsidP="004A2A66">
            <w:pPr>
              <w:pStyle w:val="KMC16-Tablecontent"/>
              <w:rPr>
                <w:lang w:val="en-AU"/>
              </w:rPr>
            </w:pPr>
          </w:p>
          <w:p w14:paraId="7A0CB66B" w14:textId="63147DD2" w:rsidR="00D12E63" w:rsidRPr="004A478D" w:rsidRDefault="00D12E63" w:rsidP="004A2A66">
            <w:pPr>
              <w:pStyle w:val="KMC16-Tablecontent"/>
              <w:rPr>
                <w:lang w:val="en-AU"/>
              </w:rPr>
            </w:pPr>
            <w:r w:rsidRPr="004A478D">
              <w:rPr>
                <w:lang w:val="en-AU"/>
              </w:rPr>
              <w:t xml:space="preserve">Subpopulation: those requiring intensive insulin therapy (i.e. require multiple daily insulin injections or continuous subcutaneous insulin infusion who are recommended to carry out frequent monitoring of their blood glucose).  </w:t>
            </w:r>
          </w:p>
        </w:tc>
      </w:tr>
      <w:tr w:rsidR="00D12E63" w:rsidRPr="0001290C" w14:paraId="09D119C8" w14:textId="77777777" w:rsidTr="00F8485C">
        <w:tc>
          <w:tcPr>
            <w:tcW w:w="1183" w:type="dxa"/>
          </w:tcPr>
          <w:p w14:paraId="421A4ECB" w14:textId="77777777" w:rsidR="00D12E63" w:rsidRPr="004A478D" w:rsidRDefault="00D12E63" w:rsidP="004A2A66">
            <w:pPr>
              <w:pStyle w:val="KMC16-Tablecontent"/>
              <w:rPr>
                <w:b/>
                <w:lang w:val="en-AU"/>
              </w:rPr>
            </w:pPr>
            <w:r w:rsidRPr="004A478D">
              <w:rPr>
                <w:b/>
                <w:lang w:val="en-AU"/>
              </w:rPr>
              <w:t>Prior tests</w:t>
            </w:r>
          </w:p>
        </w:tc>
        <w:tc>
          <w:tcPr>
            <w:tcW w:w="7748" w:type="dxa"/>
          </w:tcPr>
          <w:p w14:paraId="064D991E" w14:textId="77777777" w:rsidR="00D12E63" w:rsidRPr="004A478D" w:rsidRDefault="00D12E63" w:rsidP="004A2A66">
            <w:pPr>
              <w:pStyle w:val="KMC16-Tablecontent"/>
              <w:rPr>
                <w:lang w:val="en-AU"/>
              </w:rPr>
            </w:pPr>
            <w:r w:rsidRPr="004A478D">
              <w:rPr>
                <w:lang w:val="en-AU"/>
              </w:rPr>
              <w:t xml:space="preserve">Diagnostic tests for T2D if </w:t>
            </w:r>
          </w:p>
          <w:p w14:paraId="69F7BF6E" w14:textId="526C2E00" w:rsidR="00D12E63" w:rsidRPr="004A478D" w:rsidRDefault="00D12E63" w:rsidP="003027B3">
            <w:pPr>
              <w:pStyle w:val="KMC16-Tablecontent"/>
              <w:numPr>
                <w:ilvl w:val="0"/>
                <w:numId w:val="20"/>
              </w:numPr>
              <w:rPr>
                <w:lang w:val="en-AU"/>
              </w:rPr>
            </w:pPr>
            <w:r w:rsidRPr="004A478D">
              <w:rPr>
                <w:lang w:val="en-AU"/>
              </w:rPr>
              <w:t xml:space="preserve">asymptomatic and at high risk (Australian </w:t>
            </w:r>
            <w:r w:rsidR="00A5553E" w:rsidRPr="00A54EDF">
              <w:rPr>
                <w:lang w:val="en-AU"/>
              </w:rPr>
              <w:t>T2D</w:t>
            </w:r>
            <w:r w:rsidRPr="004A478D">
              <w:rPr>
                <w:lang w:val="en-AU"/>
              </w:rPr>
              <w:t xml:space="preserve"> risk assessment tool [AUSDRISK] score ≥12 or in specific high-risk categories):</w:t>
            </w:r>
          </w:p>
          <w:p w14:paraId="6077CD41" w14:textId="74B211A2" w:rsidR="00D12E63" w:rsidRPr="004A478D" w:rsidRDefault="00D12E63" w:rsidP="003027B3">
            <w:pPr>
              <w:pStyle w:val="KMC16-Tablecontent"/>
              <w:numPr>
                <w:ilvl w:val="0"/>
                <w:numId w:val="22"/>
              </w:numPr>
              <w:rPr>
                <w:lang w:val="en-AU"/>
              </w:rPr>
            </w:pPr>
            <w:r w:rsidRPr="004A478D">
              <w:rPr>
                <w:lang w:val="en-AU"/>
              </w:rPr>
              <w:t xml:space="preserve">HbA1c ≥6.5% (48 mmol/mol) on </w:t>
            </w:r>
            <w:r w:rsidR="0050364E" w:rsidRPr="00A54EDF">
              <w:rPr>
                <w:lang w:val="en-AU"/>
              </w:rPr>
              <w:t>2</w:t>
            </w:r>
            <w:r w:rsidRPr="004A478D">
              <w:rPr>
                <w:lang w:val="en-AU"/>
              </w:rPr>
              <w:t xml:space="preserve"> separate occasions, or</w:t>
            </w:r>
          </w:p>
          <w:p w14:paraId="6F0A1ED6" w14:textId="3FD5C732" w:rsidR="00D12E63" w:rsidRPr="004A478D" w:rsidRDefault="00D12E63" w:rsidP="003027B3">
            <w:pPr>
              <w:pStyle w:val="KMC16-Tablecontent"/>
              <w:numPr>
                <w:ilvl w:val="0"/>
                <w:numId w:val="22"/>
              </w:numPr>
              <w:rPr>
                <w:lang w:val="en-AU"/>
              </w:rPr>
            </w:pPr>
            <w:r w:rsidRPr="004A478D">
              <w:rPr>
                <w:lang w:val="en-AU"/>
              </w:rPr>
              <w:t xml:space="preserve">fasting blood glucose ≥7.0 mmol/L, or </w:t>
            </w:r>
          </w:p>
          <w:p w14:paraId="724DEAFB" w14:textId="65359DEC" w:rsidR="00D12E63" w:rsidRPr="004A478D" w:rsidRDefault="00D12E63" w:rsidP="003027B3">
            <w:pPr>
              <w:pStyle w:val="KMC16-Tablecontent"/>
              <w:numPr>
                <w:ilvl w:val="0"/>
                <w:numId w:val="22"/>
              </w:numPr>
              <w:rPr>
                <w:lang w:val="en-AU"/>
              </w:rPr>
            </w:pPr>
            <w:r w:rsidRPr="004A478D">
              <w:rPr>
                <w:lang w:val="en-AU"/>
              </w:rPr>
              <w:t xml:space="preserve">random blood glucose ≥11.1 mmol/L confirmed by a second abnormal </w:t>
            </w:r>
            <w:r w:rsidR="00D029D4">
              <w:rPr>
                <w:lang w:val="en-AU"/>
              </w:rPr>
              <w:t>fasting blood glucose</w:t>
            </w:r>
            <w:r w:rsidR="00D029D4" w:rsidRPr="004A478D">
              <w:rPr>
                <w:lang w:val="en-AU"/>
              </w:rPr>
              <w:t xml:space="preserve"> </w:t>
            </w:r>
            <w:r w:rsidRPr="004A478D">
              <w:rPr>
                <w:lang w:val="en-AU"/>
              </w:rPr>
              <w:t>on a separate day, or</w:t>
            </w:r>
          </w:p>
          <w:p w14:paraId="323C871C" w14:textId="781ACF5D" w:rsidR="00D12E63" w:rsidRPr="004A478D" w:rsidRDefault="00D12E63" w:rsidP="003027B3">
            <w:pPr>
              <w:pStyle w:val="KMC16-Tablecontent"/>
              <w:numPr>
                <w:ilvl w:val="0"/>
                <w:numId w:val="22"/>
              </w:numPr>
              <w:rPr>
                <w:lang w:val="en-AU"/>
              </w:rPr>
            </w:pPr>
            <w:r w:rsidRPr="004A478D">
              <w:rPr>
                <w:lang w:val="en-AU"/>
              </w:rPr>
              <w:t xml:space="preserve">oral glucose tolerance testing before (fasting) and </w:t>
            </w:r>
            <w:r w:rsidR="003078B5" w:rsidRPr="00A54EDF">
              <w:rPr>
                <w:lang w:val="en-AU"/>
              </w:rPr>
              <w:t>2</w:t>
            </w:r>
            <w:r w:rsidRPr="004A478D">
              <w:rPr>
                <w:lang w:val="en-AU"/>
              </w:rPr>
              <w:t xml:space="preserve"> hours after an oral 75 g glucose load is taken. Diabetes </w:t>
            </w:r>
            <w:r w:rsidR="00FC6558" w:rsidRPr="00A54EDF">
              <w:rPr>
                <w:lang w:val="en-AU"/>
              </w:rPr>
              <w:t>diagnosed</w:t>
            </w:r>
            <w:r w:rsidRPr="004A478D">
              <w:rPr>
                <w:lang w:val="en-AU"/>
              </w:rPr>
              <w:t xml:space="preserve"> as </w:t>
            </w:r>
            <w:r w:rsidR="00E75144">
              <w:rPr>
                <w:lang w:val="en-AU"/>
              </w:rPr>
              <w:t>fasting blood glucose</w:t>
            </w:r>
            <w:r w:rsidRPr="004A478D">
              <w:rPr>
                <w:lang w:val="en-AU"/>
              </w:rPr>
              <w:t xml:space="preserve"> ≥7.0 mmol/L or </w:t>
            </w:r>
            <w:r w:rsidR="003078B5" w:rsidRPr="00A54EDF">
              <w:rPr>
                <w:lang w:val="en-AU"/>
              </w:rPr>
              <w:t>2</w:t>
            </w:r>
            <w:r w:rsidRPr="004A478D">
              <w:rPr>
                <w:lang w:val="en-AU"/>
              </w:rPr>
              <w:t>-hour post-challenge blood glucose ≥11.1 mmol/L, or</w:t>
            </w:r>
          </w:p>
          <w:p w14:paraId="5718149D" w14:textId="31C14064" w:rsidR="00D12E63" w:rsidRPr="004A478D" w:rsidRDefault="00D12E63" w:rsidP="003027B3">
            <w:pPr>
              <w:pStyle w:val="KMC16-Tablecontent"/>
              <w:numPr>
                <w:ilvl w:val="0"/>
                <w:numId w:val="20"/>
              </w:numPr>
              <w:rPr>
                <w:lang w:val="en-AU"/>
              </w:rPr>
            </w:pPr>
            <w:r w:rsidRPr="004A478D">
              <w:rPr>
                <w:lang w:val="en-AU"/>
              </w:rPr>
              <w:t>if symptoms of hyperglycaemia present and</w:t>
            </w:r>
          </w:p>
          <w:p w14:paraId="51DBA3E6" w14:textId="675AE896" w:rsidR="00D12E63" w:rsidRPr="004A478D" w:rsidRDefault="00D12E63" w:rsidP="003027B3">
            <w:pPr>
              <w:pStyle w:val="KMC16-Tablecontent"/>
              <w:numPr>
                <w:ilvl w:val="0"/>
                <w:numId w:val="21"/>
              </w:numPr>
              <w:rPr>
                <w:lang w:val="en-AU"/>
              </w:rPr>
            </w:pPr>
            <w:r w:rsidRPr="004A478D">
              <w:rPr>
                <w:lang w:val="en-AU"/>
              </w:rPr>
              <w:t>patient presenting with hyperglycaemic crisis, or</w:t>
            </w:r>
          </w:p>
          <w:p w14:paraId="722B98BA" w14:textId="5A55E8CF" w:rsidR="00D12E63" w:rsidRPr="004A478D" w:rsidRDefault="00D12E63" w:rsidP="003027B3">
            <w:pPr>
              <w:pStyle w:val="KMC16-Tablecontent"/>
              <w:numPr>
                <w:ilvl w:val="0"/>
                <w:numId w:val="21"/>
              </w:numPr>
              <w:rPr>
                <w:lang w:val="en-AU"/>
              </w:rPr>
            </w:pPr>
            <w:r w:rsidRPr="004A478D">
              <w:rPr>
                <w:lang w:val="en-AU"/>
              </w:rPr>
              <w:t xml:space="preserve">single elevated </w:t>
            </w:r>
            <w:r w:rsidR="00E75144">
              <w:rPr>
                <w:lang w:val="en-AU"/>
              </w:rPr>
              <w:t>fasting blood glucose</w:t>
            </w:r>
            <w:r w:rsidRPr="004A478D">
              <w:rPr>
                <w:lang w:val="en-AU"/>
              </w:rPr>
              <w:t xml:space="preserve"> ≥7.0 mmol/L, or</w:t>
            </w:r>
          </w:p>
          <w:p w14:paraId="0D8F002C" w14:textId="2F83AD14" w:rsidR="00D12E63" w:rsidRPr="004A478D" w:rsidRDefault="00D12E63" w:rsidP="003027B3">
            <w:pPr>
              <w:pStyle w:val="KMC16-Tablecontent"/>
              <w:numPr>
                <w:ilvl w:val="0"/>
                <w:numId w:val="21"/>
              </w:numPr>
              <w:rPr>
                <w:lang w:val="en-AU"/>
              </w:rPr>
            </w:pPr>
            <w:r w:rsidRPr="004A478D">
              <w:rPr>
                <w:lang w:val="en-AU"/>
              </w:rPr>
              <w:t>single HbA1c ≥6.5% (48 mmol/mol), or</w:t>
            </w:r>
          </w:p>
          <w:p w14:paraId="42066157" w14:textId="40EAF54A" w:rsidR="00D12E63" w:rsidRPr="004A478D" w:rsidRDefault="00D12E63" w:rsidP="003027B3">
            <w:pPr>
              <w:pStyle w:val="KMC16-Tablecontent"/>
              <w:numPr>
                <w:ilvl w:val="0"/>
                <w:numId w:val="21"/>
              </w:numPr>
              <w:rPr>
                <w:lang w:val="en-AU"/>
              </w:rPr>
            </w:pPr>
            <w:r w:rsidRPr="004A478D">
              <w:rPr>
                <w:lang w:val="en-AU"/>
              </w:rPr>
              <w:t>random blood glucose ≥11.1 mmol/L.</w:t>
            </w:r>
          </w:p>
        </w:tc>
      </w:tr>
      <w:tr w:rsidR="00D12E63" w:rsidRPr="0001290C" w14:paraId="590A0BC7" w14:textId="77777777" w:rsidTr="00F8485C">
        <w:tc>
          <w:tcPr>
            <w:tcW w:w="1183" w:type="dxa"/>
          </w:tcPr>
          <w:p w14:paraId="35D6B299" w14:textId="77777777" w:rsidR="00D12E63" w:rsidRPr="004A478D" w:rsidRDefault="00D12E63" w:rsidP="004A2A66">
            <w:pPr>
              <w:pStyle w:val="KMC16-Tablecontent"/>
              <w:rPr>
                <w:b/>
                <w:lang w:val="en-AU"/>
              </w:rPr>
            </w:pPr>
            <w:r w:rsidRPr="004A478D">
              <w:rPr>
                <w:b/>
                <w:lang w:val="en-AU"/>
              </w:rPr>
              <w:t>Intervention</w:t>
            </w:r>
          </w:p>
        </w:tc>
        <w:tc>
          <w:tcPr>
            <w:tcW w:w="7748" w:type="dxa"/>
          </w:tcPr>
          <w:p w14:paraId="088E601E" w14:textId="77777777" w:rsidR="00D12E63" w:rsidRPr="004A478D" w:rsidRDefault="00D12E63" w:rsidP="004A2A66">
            <w:pPr>
              <w:pStyle w:val="KMC16-Tablecontent"/>
              <w:rPr>
                <w:lang w:val="en-AU"/>
              </w:rPr>
            </w:pPr>
            <w:r w:rsidRPr="004A478D">
              <w:rPr>
                <w:lang w:val="en-AU"/>
              </w:rPr>
              <w:t xml:space="preserve">FreeStyle Libre 2 or </w:t>
            </w:r>
            <w:r w:rsidRPr="005C28E5">
              <w:rPr>
                <w:color w:val="388600"/>
                <w:lang w:val="en-AU"/>
              </w:rPr>
              <w:t xml:space="preserve">2 Plus </w:t>
            </w:r>
            <w:r w:rsidRPr="004A478D">
              <w:rPr>
                <w:lang w:val="en-AU"/>
              </w:rPr>
              <w:t>Continuous Glucose Monitoring (FSL products)</w:t>
            </w:r>
          </w:p>
        </w:tc>
      </w:tr>
      <w:tr w:rsidR="00D12E63" w:rsidRPr="0001290C" w14:paraId="749F05B4" w14:textId="77777777" w:rsidTr="00F8485C">
        <w:tc>
          <w:tcPr>
            <w:tcW w:w="1183" w:type="dxa"/>
          </w:tcPr>
          <w:p w14:paraId="7172C9ED" w14:textId="77777777" w:rsidR="00D12E63" w:rsidRPr="004A478D" w:rsidRDefault="00D12E63" w:rsidP="004A2A66">
            <w:pPr>
              <w:pStyle w:val="KMC16-Tablecontent"/>
              <w:rPr>
                <w:b/>
                <w:lang w:val="en-AU"/>
              </w:rPr>
            </w:pPr>
            <w:r w:rsidRPr="004A478D">
              <w:rPr>
                <w:b/>
                <w:lang w:val="en-AU"/>
              </w:rPr>
              <w:t>Comparator</w:t>
            </w:r>
          </w:p>
        </w:tc>
        <w:tc>
          <w:tcPr>
            <w:tcW w:w="7748" w:type="dxa"/>
          </w:tcPr>
          <w:p w14:paraId="5BB973DE" w14:textId="25DD883F" w:rsidR="00D12E63" w:rsidRPr="004A478D" w:rsidRDefault="00D12E63" w:rsidP="004A2A66">
            <w:pPr>
              <w:pStyle w:val="KMC16-Tablecontent"/>
              <w:rPr>
                <w:lang w:val="en-AU"/>
              </w:rPr>
            </w:pPr>
            <w:r w:rsidRPr="004A478D">
              <w:rPr>
                <w:lang w:val="en-AU"/>
              </w:rPr>
              <w:t>SMBG with blood glucose test strips</w:t>
            </w:r>
          </w:p>
        </w:tc>
      </w:tr>
      <w:tr w:rsidR="00D12E63" w:rsidRPr="0001290C" w14:paraId="4CC7163B" w14:textId="77777777" w:rsidTr="00F8485C">
        <w:tc>
          <w:tcPr>
            <w:tcW w:w="1183" w:type="dxa"/>
          </w:tcPr>
          <w:p w14:paraId="13AAC67A" w14:textId="77777777" w:rsidR="00D12E63" w:rsidRPr="004A478D" w:rsidRDefault="00D12E63" w:rsidP="004A2A66">
            <w:pPr>
              <w:pStyle w:val="KMC16-Tablecontent"/>
              <w:rPr>
                <w:b/>
                <w:lang w:val="en-AU"/>
              </w:rPr>
            </w:pPr>
            <w:r w:rsidRPr="004A478D">
              <w:rPr>
                <w:b/>
                <w:lang w:val="en-AU"/>
              </w:rPr>
              <w:t>Reference standard</w:t>
            </w:r>
          </w:p>
        </w:tc>
        <w:tc>
          <w:tcPr>
            <w:tcW w:w="7748" w:type="dxa"/>
          </w:tcPr>
          <w:p w14:paraId="198CE202" w14:textId="51C90FD7" w:rsidR="00D12E63" w:rsidRPr="004A478D" w:rsidRDefault="00D12E63" w:rsidP="004A2A66">
            <w:pPr>
              <w:pStyle w:val="KMC16-Tablecontent"/>
              <w:rPr>
                <w:lang w:val="en-AU"/>
              </w:rPr>
            </w:pPr>
            <w:r w:rsidRPr="004A478D">
              <w:rPr>
                <w:lang w:val="en-AU"/>
              </w:rPr>
              <w:t>Laboratory</w:t>
            </w:r>
            <w:r w:rsidR="00CE1D9B" w:rsidRPr="00A54EDF">
              <w:rPr>
                <w:lang w:val="en-AU"/>
              </w:rPr>
              <w:t>-</w:t>
            </w:r>
            <w:r w:rsidRPr="004A478D">
              <w:rPr>
                <w:lang w:val="en-AU"/>
              </w:rPr>
              <w:t>conducted plasma venous blood glucose test</w:t>
            </w:r>
          </w:p>
        </w:tc>
      </w:tr>
      <w:tr w:rsidR="00D12E63" w:rsidRPr="0001290C" w14:paraId="57ADE882" w14:textId="77777777" w:rsidTr="00F8485C">
        <w:tc>
          <w:tcPr>
            <w:tcW w:w="1183" w:type="dxa"/>
          </w:tcPr>
          <w:p w14:paraId="0CACB56C" w14:textId="77777777" w:rsidR="00D12E63" w:rsidRPr="004A478D" w:rsidRDefault="00D12E63" w:rsidP="004A2A66">
            <w:pPr>
              <w:pStyle w:val="KMC16-Tablecontent"/>
              <w:rPr>
                <w:b/>
                <w:lang w:val="en-AU"/>
              </w:rPr>
            </w:pPr>
            <w:r w:rsidRPr="004A478D">
              <w:rPr>
                <w:b/>
                <w:lang w:val="en-AU"/>
              </w:rPr>
              <w:t>Outcomes</w:t>
            </w:r>
          </w:p>
        </w:tc>
        <w:tc>
          <w:tcPr>
            <w:tcW w:w="7748" w:type="dxa"/>
          </w:tcPr>
          <w:p w14:paraId="58B8977F" w14:textId="2D7DFEAC" w:rsidR="00D12E63" w:rsidRPr="004A478D" w:rsidRDefault="00D12E63" w:rsidP="004A2A66">
            <w:pPr>
              <w:pStyle w:val="KMC16-Tablecontent"/>
              <w:rPr>
                <w:b/>
                <w:u w:val="single"/>
                <w:lang w:val="en-AU"/>
              </w:rPr>
            </w:pPr>
            <w:r w:rsidRPr="004A478D">
              <w:rPr>
                <w:b/>
                <w:u w:val="single"/>
                <w:lang w:val="en-AU"/>
              </w:rPr>
              <w:t>Patient</w:t>
            </w:r>
            <w:r w:rsidR="00663414" w:rsidRPr="00A54EDF">
              <w:rPr>
                <w:b/>
                <w:u w:val="single"/>
                <w:lang w:val="en-AU"/>
              </w:rPr>
              <w:t>-</w:t>
            </w:r>
            <w:r w:rsidRPr="004A478D">
              <w:rPr>
                <w:b/>
                <w:u w:val="single"/>
                <w:lang w:val="en-AU"/>
              </w:rPr>
              <w:t xml:space="preserve">relevant outcomes </w:t>
            </w:r>
          </w:p>
          <w:p w14:paraId="3C98C3DF" w14:textId="77777777" w:rsidR="00D12E63" w:rsidRPr="004A478D" w:rsidRDefault="00D12E63" w:rsidP="004A2A66">
            <w:pPr>
              <w:pStyle w:val="KMC16-Tablecontent"/>
              <w:rPr>
                <w:i/>
                <w:lang w:val="en-AU"/>
              </w:rPr>
            </w:pPr>
            <w:r w:rsidRPr="004A478D">
              <w:rPr>
                <w:i/>
                <w:lang w:val="en-AU"/>
              </w:rPr>
              <w:t>Direct evidence for safety and effectiveness:</w:t>
            </w:r>
          </w:p>
          <w:p w14:paraId="4B9F0898" w14:textId="77777777" w:rsidR="00D12E63" w:rsidRPr="004A478D" w:rsidRDefault="00D12E63" w:rsidP="004A2A66">
            <w:pPr>
              <w:pStyle w:val="KMC16-Tablecontent"/>
              <w:rPr>
                <w:b/>
                <w:lang w:val="en-AU"/>
              </w:rPr>
            </w:pPr>
            <w:r w:rsidRPr="004A478D">
              <w:rPr>
                <w:b/>
                <w:lang w:val="en-AU"/>
              </w:rPr>
              <w:t xml:space="preserve">Safety: </w:t>
            </w:r>
          </w:p>
          <w:p w14:paraId="2F198D1B" w14:textId="08A61981" w:rsidR="00D12E63" w:rsidRPr="004A478D" w:rsidRDefault="00D12E63" w:rsidP="003027B3">
            <w:pPr>
              <w:pStyle w:val="KMC16-Tablecontent"/>
              <w:numPr>
                <w:ilvl w:val="1"/>
                <w:numId w:val="19"/>
              </w:numPr>
              <w:rPr>
                <w:lang w:val="en-AU"/>
              </w:rPr>
            </w:pPr>
            <w:r w:rsidRPr="004A478D">
              <w:rPr>
                <w:lang w:val="en-AU"/>
              </w:rPr>
              <w:t>Local AEs associated with glucose testing</w:t>
            </w:r>
          </w:p>
          <w:p w14:paraId="02470F24" w14:textId="77777777" w:rsidR="00D12E63" w:rsidRPr="004A478D" w:rsidRDefault="00D12E63" w:rsidP="004A2A66">
            <w:pPr>
              <w:pStyle w:val="KMC16-Tablecontent"/>
              <w:rPr>
                <w:b/>
                <w:lang w:val="en-AU"/>
              </w:rPr>
            </w:pPr>
            <w:r w:rsidRPr="004A478D">
              <w:rPr>
                <w:b/>
                <w:lang w:val="en-AU"/>
              </w:rPr>
              <w:t>Effectiveness:</w:t>
            </w:r>
          </w:p>
          <w:p w14:paraId="7B1C92BE" w14:textId="77777777" w:rsidR="00D12E63" w:rsidRPr="005C28E5" w:rsidRDefault="00D12E63" w:rsidP="003027B3">
            <w:pPr>
              <w:pStyle w:val="KMC16-Tablecontent"/>
              <w:numPr>
                <w:ilvl w:val="0"/>
                <w:numId w:val="10"/>
              </w:numPr>
              <w:ind w:left="720"/>
              <w:rPr>
                <w:color w:val="388600"/>
                <w:lang w:val="en-AU"/>
              </w:rPr>
            </w:pPr>
            <w:r w:rsidRPr="004A478D">
              <w:rPr>
                <w:lang w:val="en-AU"/>
              </w:rPr>
              <w:t xml:space="preserve">T2D complications (e.g. cardiovascular and microvascular complications including kidney disease, neuropathy/nerve damage, retinopathy/eye disease, amputations/foot ulcers) </w:t>
            </w:r>
            <w:r w:rsidRPr="005C28E5">
              <w:rPr>
                <w:color w:val="388600"/>
                <w:lang w:val="en-AU"/>
              </w:rPr>
              <w:t>(modelling)</w:t>
            </w:r>
          </w:p>
          <w:p w14:paraId="12368BD9" w14:textId="77777777" w:rsidR="00D12E63" w:rsidRPr="005C28E5" w:rsidRDefault="00D12E63" w:rsidP="003027B3">
            <w:pPr>
              <w:pStyle w:val="KMC16-Tablecontent"/>
              <w:numPr>
                <w:ilvl w:val="0"/>
                <w:numId w:val="10"/>
              </w:numPr>
              <w:ind w:left="720"/>
              <w:rPr>
                <w:color w:val="388600"/>
                <w:lang w:val="en-AU"/>
              </w:rPr>
            </w:pPr>
            <w:r w:rsidRPr="004A478D">
              <w:rPr>
                <w:lang w:val="en-AU"/>
              </w:rPr>
              <w:t xml:space="preserve">Mortality </w:t>
            </w:r>
            <w:r w:rsidRPr="005C28E5">
              <w:rPr>
                <w:color w:val="388600"/>
                <w:lang w:val="en-AU"/>
              </w:rPr>
              <w:t>(modelling)</w:t>
            </w:r>
          </w:p>
          <w:p w14:paraId="519FC1F2" w14:textId="559AC198" w:rsidR="00D12E63" w:rsidRPr="003D24EF" w:rsidRDefault="0031687C" w:rsidP="003027B3">
            <w:pPr>
              <w:pStyle w:val="KMC16-Tablecontent"/>
              <w:numPr>
                <w:ilvl w:val="0"/>
                <w:numId w:val="10"/>
              </w:numPr>
              <w:ind w:left="720"/>
              <w:rPr>
                <w:lang w:val="en-AU"/>
              </w:rPr>
            </w:pPr>
            <w:r w:rsidRPr="00A54EDF">
              <w:rPr>
                <w:lang w:val="en-AU"/>
              </w:rPr>
              <w:t>QoL</w:t>
            </w:r>
          </w:p>
          <w:p w14:paraId="78E05101" w14:textId="77777777" w:rsidR="00D12E63" w:rsidRPr="004A478D" w:rsidRDefault="00D12E63" w:rsidP="003027B3">
            <w:pPr>
              <w:pStyle w:val="KMC16-Tablecontent"/>
              <w:numPr>
                <w:ilvl w:val="0"/>
                <w:numId w:val="10"/>
              </w:numPr>
              <w:ind w:left="720"/>
              <w:rPr>
                <w:strike/>
                <w:lang w:val="en-AU"/>
              </w:rPr>
            </w:pPr>
            <w:r w:rsidRPr="004A478D">
              <w:rPr>
                <w:strike/>
                <w:lang w:val="en-AU"/>
              </w:rPr>
              <w:t>Psychological health</w:t>
            </w:r>
          </w:p>
          <w:p w14:paraId="50908960" w14:textId="77777777" w:rsidR="00D12E63" w:rsidRPr="004A478D" w:rsidRDefault="00D12E63" w:rsidP="003027B3">
            <w:pPr>
              <w:pStyle w:val="KMC16-Tablecontent"/>
              <w:numPr>
                <w:ilvl w:val="0"/>
                <w:numId w:val="10"/>
              </w:numPr>
              <w:ind w:left="720"/>
              <w:rPr>
                <w:lang w:val="en-AU"/>
              </w:rPr>
            </w:pPr>
            <w:r w:rsidRPr="004A478D">
              <w:rPr>
                <w:lang w:val="en-AU"/>
              </w:rPr>
              <w:t>Hypoglycaemic or hyperglycaemic events resulting in emergency room visit/hospitalisation</w:t>
            </w:r>
          </w:p>
          <w:p w14:paraId="53F30503" w14:textId="77777777" w:rsidR="00D12E63" w:rsidRPr="004A478D" w:rsidRDefault="00D12E63" w:rsidP="004A2A66">
            <w:pPr>
              <w:pStyle w:val="KMC16-Tablecontent"/>
              <w:rPr>
                <w:b/>
                <w:lang w:val="en-AU"/>
              </w:rPr>
            </w:pPr>
            <w:r w:rsidRPr="004A478D">
              <w:rPr>
                <w:b/>
                <w:lang w:val="en-AU"/>
              </w:rPr>
              <w:t>Intermediate/surrogate outcomes:</w:t>
            </w:r>
          </w:p>
          <w:p w14:paraId="2D141577" w14:textId="77777777" w:rsidR="00D12E63" w:rsidRPr="004A478D" w:rsidRDefault="00D12E63" w:rsidP="003027B3">
            <w:pPr>
              <w:pStyle w:val="KMC16-Tablecontent"/>
              <w:numPr>
                <w:ilvl w:val="0"/>
                <w:numId w:val="10"/>
              </w:numPr>
              <w:ind w:left="720"/>
              <w:rPr>
                <w:lang w:val="en-AU"/>
              </w:rPr>
            </w:pPr>
            <w:r w:rsidRPr="004A478D">
              <w:rPr>
                <w:lang w:val="en-AU"/>
              </w:rPr>
              <w:t>Glycaemic control</w:t>
            </w:r>
          </w:p>
          <w:p w14:paraId="768833BE" w14:textId="5C7DE687" w:rsidR="00D12E63" w:rsidRPr="004A478D" w:rsidRDefault="00D12E63" w:rsidP="003027B3">
            <w:pPr>
              <w:pStyle w:val="KMC16-Tablecontent"/>
              <w:numPr>
                <w:ilvl w:val="1"/>
                <w:numId w:val="10"/>
              </w:numPr>
              <w:ind w:left="1440"/>
              <w:rPr>
                <w:lang w:val="en-AU"/>
              </w:rPr>
            </w:pPr>
            <w:r w:rsidRPr="00A54EDF">
              <w:rPr>
                <w:lang w:val="en-AU"/>
              </w:rPr>
              <w:t>HbA1c</w:t>
            </w:r>
          </w:p>
          <w:p w14:paraId="62360518" w14:textId="3638B9A8" w:rsidR="00D12E63" w:rsidRPr="004A478D" w:rsidRDefault="00D12E63" w:rsidP="003027B3">
            <w:pPr>
              <w:pStyle w:val="KMC16-Tablecontent"/>
              <w:numPr>
                <w:ilvl w:val="1"/>
                <w:numId w:val="10"/>
              </w:numPr>
              <w:ind w:left="1440"/>
              <w:rPr>
                <w:lang w:val="en-AU"/>
              </w:rPr>
            </w:pPr>
            <w:r w:rsidRPr="00A54EDF">
              <w:rPr>
                <w:lang w:val="en-AU"/>
              </w:rPr>
              <w:t>TIR, TBR</w:t>
            </w:r>
            <w:r w:rsidR="00C23989" w:rsidRPr="00A54EDF">
              <w:rPr>
                <w:lang w:val="en-AU"/>
              </w:rPr>
              <w:t>,</w:t>
            </w:r>
            <w:r w:rsidRPr="00A54EDF">
              <w:rPr>
                <w:lang w:val="en-AU"/>
              </w:rPr>
              <w:t xml:space="preserve"> TAR</w:t>
            </w:r>
          </w:p>
          <w:p w14:paraId="4D6E5A56" w14:textId="77777777" w:rsidR="00D12E63" w:rsidRPr="004A478D" w:rsidRDefault="00D12E63" w:rsidP="003027B3">
            <w:pPr>
              <w:pStyle w:val="KMC16-Tablecontent"/>
              <w:numPr>
                <w:ilvl w:val="1"/>
                <w:numId w:val="10"/>
              </w:numPr>
              <w:ind w:left="1440"/>
              <w:rPr>
                <w:lang w:val="en-AU"/>
              </w:rPr>
            </w:pPr>
            <w:r w:rsidRPr="004A478D">
              <w:rPr>
                <w:lang w:val="en-AU"/>
              </w:rPr>
              <w:t>number of hypoglycaemic/hyperglycaemic excursions</w:t>
            </w:r>
          </w:p>
          <w:p w14:paraId="1D8C6F4F" w14:textId="77777777" w:rsidR="00D12E63" w:rsidRPr="004A478D" w:rsidRDefault="00D12E63" w:rsidP="003027B3">
            <w:pPr>
              <w:pStyle w:val="KMC16-Tablecontent"/>
              <w:numPr>
                <w:ilvl w:val="1"/>
                <w:numId w:val="10"/>
              </w:numPr>
              <w:ind w:left="1440"/>
              <w:rPr>
                <w:lang w:val="en-AU"/>
              </w:rPr>
            </w:pPr>
            <w:r w:rsidRPr="004A478D">
              <w:rPr>
                <w:lang w:val="en-AU"/>
              </w:rPr>
              <w:t>glycaemic variability</w:t>
            </w:r>
          </w:p>
          <w:p w14:paraId="2F96E9EA" w14:textId="5B5F6EED" w:rsidR="00D12E63" w:rsidRPr="003D24EF" w:rsidRDefault="00D12E63" w:rsidP="003027B3">
            <w:pPr>
              <w:pStyle w:val="KMC16-Tablecontent"/>
              <w:numPr>
                <w:ilvl w:val="0"/>
                <w:numId w:val="10"/>
              </w:numPr>
              <w:ind w:left="720"/>
              <w:rPr>
                <w:lang w:val="en-AU"/>
              </w:rPr>
            </w:pPr>
            <w:r w:rsidRPr="003D24EF">
              <w:rPr>
                <w:lang w:val="en-AU"/>
              </w:rPr>
              <w:t>Change in body weight/body mass index</w:t>
            </w:r>
          </w:p>
          <w:p w14:paraId="4B988309" w14:textId="0CF9F61D" w:rsidR="00D12E63" w:rsidRPr="005C28E5" w:rsidRDefault="00D12E63" w:rsidP="003027B3">
            <w:pPr>
              <w:pStyle w:val="KMC16-Tablecontent"/>
              <w:numPr>
                <w:ilvl w:val="0"/>
                <w:numId w:val="10"/>
              </w:numPr>
              <w:ind w:left="720"/>
              <w:rPr>
                <w:color w:val="388600"/>
                <w:lang w:val="en-AU"/>
              </w:rPr>
            </w:pPr>
            <w:bookmarkStart w:id="13" w:name="_Hlk185368834"/>
            <w:r w:rsidRPr="005C28E5">
              <w:rPr>
                <w:color w:val="388600"/>
                <w:lang w:val="en-AU"/>
              </w:rPr>
              <w:t xml:space="preserve">Health-related </w:t>
            </w:r>
            <w:r w:rsidR="00E15464" w:rsidRPr="005C28E5">
              <w:rPr>
                <w:color w:val="388600"/>
                <w:lang w:val="en-AU"/>
              </w:rPr>
              <w:t>QoL</w:t>
            </w:r>
            <w:r w:rsidRPr="005C28E5">
              <w:rPr>
                <w:color w:val="388600"/>
                <w:lang w:val="en-AU"/>
              </w:rPr>
              <w:t xml:space="preserve"> (modelling)</w:t>
            </w:r>
          </w:p>
          <w:p w14:paraId="34E7BF9F" w14:textId="77777777" w:rsidR="00D12E63" w:rsidRPr="005C28E5" w:rsidRDefault="00D12E63" w:rsidP="003027B3">
            <w:pPr>
              <w:pStyle w:val="KMC16-Tablecontent"/>
              <w:numPr>
                <w:ilvl w:val="0"/>
                <w:numId w:val="10"/>
              </w:numPr>
              <w:ind w:left="720"/>
              <w:rPr>
                <w:color w:val="388600"/>
                <w:lang w:val="en-AU"/>
              </w:rPr>
            </w:pPr>
            <w:r w:rsidRPr="005C28E5">
              <w:rPr>
                <w:color w:val="388600"/>
                <w:lang w:val="en-AU"/>
              </w:rPr>
              <w:t>Patient satisfaction</w:t>
            </w:r>
          </w:p>
          <w:p w14:paraId="39AEF7F3" w14:textId="77777777" w:rsidR="00D12E63" w:rsidRPr="005C28E5" w:rsidRDefault="00D12E63" w:rsidP="003027B3">
            <w:pPr>
              <w:pStyle w:val="KMC16-Tablecontent"/>
              <w:numPr>
                <w:ilvl w:val="0"/>
                <w:numId w:val="10"/>
              </w:numPr>
              <w:ind w:left="720"/>
              <w:rPr>
                <w:color w:val="388600"/>
                <w:lang w:val="en-AU"/>
              </w:rPr>
            </w:pPr>
            <w:r w:rsidRPr="005C28E5">
              <w:rPr>
                <w:color w:val="388600"/>
                <w:lang w:val="en-AU"/>
              </w:rPr>
              <w:t>Reducing risk of diabetic complications (modelling)</w:t>
            </w:r>
          </w:p>
          <w:p w14:paraId="086B002B" w14:textId="77777777" w:rsidR="00D12E63" w:rsidRPr="004A478D" w:rsidRDefault="00D12E63" w:rsidP="004A2A66">
            <w:pPr>
              <w:pStyle w:val="KMC16-Tablecontent"/>
              <w:rPr>
                <w:i/>
                <w:color w:val="auto"/>
                <w:lang w:val="en-AU"/>
              </w:rPr>
            </w:pPr>
            <w:r w:rsidRPr="004A478D">
              <w:rPr>
                <w:i/>
                <w:color w:val="auto"/>
                <w:lang w:val="en-AU"/>
              </w:rPr>
              <w:t>Additional outcomes using linked evidence approach:</w:t>
            </w:r>
          </w:p>
          <w:bookmarkEnd w:id="13"/>
          <w:p w14:paraId="0BF231C3" w14:textId="77777777" w:rsidR="00D12E63" w:rsidRPr="004A478D" w:rsidRDefault="00D12E63" w:rsidP="004A2A66">
            <w:pPr>
              <w:pStyle w:val="KMC16-Tablecontent"/>
              <w:rPr>
                <w:b/>
                <w:color w:val="auto"/>
                <w:lang w:val="en-AU"/>
              </w:rPr>
            </w:pPr>
            <w:r w:rsidRPr="004A478D">
              <w:rPr>
                <w:b/>
                <w:color w:val="auto"/>
                <w:lang w:val="en-AU"/>
              </w:rPr>
              <w:t xml:space="preserve">Analytical validity: </w:t>
            </w:r>
          </w:p>
          <w:p w14:paraId="656BCBE5" w14:textId="77777777" w:rsidR="00D12E63" w:rsidRPr="004A478D" w:rsidRDefault="00D12E63" w:rsidP="003027B3">
            <w:pPr>
              <w:pStyle w:val="KMC16-Tablecontent"/>
              <w:numPr>
                <w:ilvl w:val="0"/>
                <w:numId w:val="10"/>
              </w:numPr>
              <w:ind w:left="720"/>
              <w:rPr>
                <w:lang w:val="en-AU"/>
              </w:rPr>
            </w:pPr>
            <w:r w:rsidRPr="004A478D">
              <w:rPr>
                <w:lang w:val="en-AU"/>
              </w:rPr>
              <w:t>Accuracy, concordance</w:t>
            </w:r>
          </w:p>
          <w:p w14:paraId="737A0A06" w14:textId="77777777" w:rsidR="00D12E63" w:rsidRPr="004A478D" w:rsidRDefault="00D12E63" w:rsidP="003027B3">
            <w:pPr>
              <w:pStyle w:val="KMC16-Tablecontent"/>
              <w:numPr>
                <w:ilvl w:val="0"/>
                <w:numId w:val="10"/>
              </w:numPr>
              <w:ind w:left="720"/>
              <w:rPr>
                <w:strike/>
                <w:lang w:val="en-AU"/>
              </w:rPr>
            </w:pPr>
            <w:r w:rsidRPr="004A478D">
              <w:rPr>
                <w:strike/>
                <w:lang w:val="en-AU"/>
              </w:rPr>
              <w:t>Monitoring (CGM or SMBG) failure rate</w:t>
            </w:r>
          </w:p>
          <w:p w14:paraId="2BDF6F5C" w14:textId="77777777" w:rsidR="00D12E63" w:rsidRPr="004A478D" w:rsidRDefault="00D12E63" w:rsidP="004A2A66">
            <w:pPr>
              <w:pStyle w:val="KMC16-Tablecontent"/>
              <w:rPr>
                <w:b/>
                <w:lang w:val="en-AU"/>
              </w:rPr>
            </w:pPr>
            <w:r w:rsidRPr="004A478D">
              <w:rPr>
                <w:b/>
                <w:lang w:val="en-AU"/>
              </w:rPr>
              <w:t>Change in management:</w:t>
            </w:r>
          </w:p>
          <w:p w14:paraId="35BFD48B" w14:textId="77777777" w:rsidR="00D12E63" w:rsidRPr="004A478D" w:rsidRDefault="00D12E63" w:rsidP="003027B3">
            <w:pPr>
              <w:pStyle w:val="KMC16-Tablecontent"/>
              <w:numPr>
                <w:ilvl w:val="0"/>
                <w:numId w:val="10"/>
              </w:numPr>
              <w:ind w:left="720"/>
              <w:rPr>
                <w:strike/>
                <w:lang w:val="en-AU"/>
              </w:rPr>
            </w:pPr>
            <w:r w:rsidRPr="004A478D">
              <w:rPr>
                <w:strike/>
                <w:lang w:val="en-AU"/>
              </w:rPr>
              <w:t>Uptake or alteration of lifestyle interventions (e.g. diet and exercise) and treatment (e.g. glucose-lowering therapy)</w:t>
            </w:r>
          </w:p>
          <w:p w14:paraId="1B49B436" w14:textId="77777777" w:rsidR="00D12E63" w:rsidRPr="004A478D" w:rsidRDefault="00D12E63" w:rsidP="003027B3">
            <w:pPr>
              <w:pStyle w:val="KMC16-Tablecontent"/>
              <w:numPr>
                <w:ilvl w:val="0"/>
                <w:numId w:val="10"/>
              </w:numPr>
              <w:ind w:left="720"/>
              <w:rPr>
                <w:strike/>
                <w:lang w:val="en-AU"/>
              </w:rPr>
            </w:pPr>
            <w:r w:rsidRPr="004A478D">
              <w:rPr>
                <w:strike/>
                <w:lang w:val="en-AU"/>
              </w:rPr>
              <w:t>Adherence to CGM or SMBG</w:t>
            </w:r>
          </w:p>
          <w:p w14:paraId="75933BAE" w14:textId="77777777" w:rsidR="00D12E63" w:rsidRPr="004A478D" w:rsidRDefault="00D12E63" w:rsidP="003027B3">
            <w:pPr>
              <w:pStyle w:val="KMC16-Tablecontent"/>
              <w:numPr>
                <w:ilvl w:val="0"/>
                <w:numId w:val="10"/>
              </w:numPr>
              <w:ind w:left="720"/>
              <w:rPr>
                <w:strike/>
                <w:lang w:val="en-AU"/>
              </w:rPr>
            </w:pPr>
            <w:r w:rsidRPr="004A478D">
              <w:rPr>
                <w:strike/>
                <w:lang w:val="en-AU"/>
              </w:rPr>
              <w:t>Adherence to treatments</w:t>
            </w:r>
          </w:p>
          <w:p w14:paraId="2C6567AA" w14:textId="77777777" w:rsidR="00D12E63" w:rsidRPr="004A478D" w:rsidRDefault="00D12E63" w:rsidP="004A2A66">
            <w:pPr>
              <w:pStyle w:val="KMC16-Tablecontent"/>
              <w:rPr>
                <w:b/>
                <w:u w:val="single"/>
                <w:lang w:val="en-AU"/>
              </w:rPr>
            </w:pPr>
            <w:r w:rsidRPr="004A478D">
              <w:rPr>
                <w:b/>
                <w:u w:val="single"/>
                <w:lang w:val="en-AU"/>
              </w:rPr>
              <w:t>Other relevant considerations</w:t>
            </w:r>
          </w:p>
          <w:p w14:paraId="4946BC80" w14:textId="13EE0A85" w:rsidR="00D12E63" w:rsidRPr="004A478D" w:rsidRDefault="00D12E63" w:rsidP="003027B3">
            <w:pPr>
              <w:pStyle w:val="KMC16-Tablecontent"/>
              <w:numPr>
                <w:ilvl w:val="0"/>
                <w:numId w:val="10"/>
              </w:numPr>
              <w:ind w:left="720"/>
              <w:rPr>
                <w:lang w:val="en-AU"/>
              </w:rPr>
            </w:pPr>
            <w:r w:rsidRPr="004A478D">
              <w:rPr>
                <w:lang w:val="en-AU"/>
              </w:rPr>
              <w:t xml:space="preserve">Acceptability, wearability and usability of CGM </w:t>
            </w:r>
            <w:r w:rsidRPr="00A54EDF">
              <w:rPr>
                <w:lang w:val="en-AU"/>
              </w:rPr>
              <w:t>vs</w:t>
            </w:r>
            <w:r w:rsidRPr="004A478D">
              <w:rPr>
                <w:lang w:val="en-AU"/>
              </w:rPr>
              <w:t xml:space="preserve"> SMBG</w:t>
            </w:r>
          </w:p>
          <w:p w14:paraId="39BA48E0" w14:textId="77777777" w:rsidR="00D12E63" w:rsidRPr="004A478D" w:rsidRDefault="00D12E63" w:rsidP="003027B3">
            <w:pPr>
              <w:pStyle w:val="KMC16-Tablecontent"/>
              <w:numPr>
                <w:ilvl w:val="0"/>
                <w:numId w:val="10"/>
              </w:numPr>
              <w:ind w:left="720"/>
              <w:rPr>
                <w:lang w:val="en-AU"/>
              </w:rPr>
            </w:pPr>
            <w:r w:rsidRPr="004A478D">
              <w:rPr>
                <w:lang w:val="en-AU"/>
              </w:rPr>
              <w:t>Ability to share blood glucose data with physician, relative or carer</w:t>
            </w:r>
          </w:p>
          <w:p w14:paraId="3A8A9311" w14:textId="77777777" w:rsidR="00D12E63" w:rsidRPr="004A478D" w:rsidRDefault="00D12E63" w:rsidP="003027B3">
            <w:pPr>
              <w:pStyle w:val="KMC16-Tablecontent"/>
              <w:numPr>
                <w:ilvl w:val="0"/>
                <w:numId w:val="10"/>
              </w:numPr>
              <w:ind w:left="720"/>
              <w:rPr>
                <w:lang w:val="en-AU"/>
              </w:rPr>
            </w:pPr>
            <w:r w:rsidRPr="004A478D">
              <w:rPr>
                <w:lang w:val="en-AU"/>
              </w:rPr>
              <w:t>Patient/carer satisfaction</w:t>
            </w:r>
          </w:p>
          <w:p w14:paraId="7138B6E9" w14:textId="77777777" w:rsidR="00D12E63" w:rsidRPr="004A478D" w:rsidRDefault="00D12E63" w:rsidP="003027B3">
            <w:pPr>
              <w:pStyle w:val="KMC16-Tablecontent"/>
              <w:numPr>
                <w:ilvl w:val="0"/>
                <w:numId w:val="10"/>
              </w:numPr>
              <w:ind w:left="720"/>
              <w:rPr>
                <w:strike/>
                <w:lang w:val="en-AU"/>
              </w:rPr>
            </w:pPr>
            <w:r w:rsidRPr="004A478D">
              <w:rPr>
                <w:strike/>
                <w:lang w:val="en-AU"/>
              </w:rPr>
              <w:t>Self-efficacy (person's belief in their ability to effectively manage their T2D and achieve their clinical goals)</w:t>
            </w:r>
          </w:p>
          <w:p w14:paraId="27CDEA47" w14:textId="77777777" w:rsidR="00D12E63" w:rsidRPr="004A478D" w:rsidRDefault="00D12E63" w:rsidP="003027B3">
            <w:pPr>
              <w:pStyle w:val="KMC16-Tablecontent"/>
              <w:numPr>
                <w:ilvl w:val="0"/>
                <w:numId w:val="10"/>
              </w:numPr>
              <w:ind w:left="720"/>
              <w:rPr>
                <w:lang w:val="en-AU"/>
              </w:rPr>
            </w:pPr>
            <w:r w:rsidRPr="004A478D">
              <w:rPr>
                <w:lang w:val="en-AU"/>
              </w:rPr>
              <w:t>Work/school absenteeism and daily functioning</w:t>
            </w:r>
          </w:p>
          <w:p w14:paraId="21A17359" w14:textId="77777777" w:rsidR="00D12E63" w:rsidRPr="004A478D" w:rsidRDefault="00D12E63" w:rsidP="004A2A66">
            <w:pPr>
              <w:pStyle w:val="KMC16-Tablecontent"/>
              <w:rPr>
                <w:b/>
                <w:u w:val="single"/>
                <w:lang w:val="en-AU"/>
              </w:rPr>
            </w:pPr>
            <w:r w:rsidRPr="004A478D">
              <w:rPr>
                <w:b/>
                <w:u w:val="single"/>
                <w:lang w:val="en-AU"/>
              </w:rPr>
              <w:t>Healthcare system outcomes</w:t>
            </w:r>
          </w:p>
          <w:p w14:paraId="49D2D0BC" w14:textId="77777777" w:rsidR="00D12E63" w:rsidRPr="004A478D" w:rsidRDefault="00D12E63" w:rsidP="004A2A66">
            <w:pPr>
              <w:pStyle w:val="KMC16-Tablecontent"/>
              <w:rPr>
                <w:lang w:val="en-AU"/>
              </w:rPr>
            </w:pPr>
            <w:r w:rsidRPr="004A478D">
              <w:rPr>
                <w:lang w:val="en-AU"/>
              </w:rPr>
              <w:t xml:space="preserve">Cost, cost-effectiveness </w:t>
            </w:r>
          </w:p>
          <w:p w14:paraId="379E8700" w14:textId="2E163AE1" w:rsidR="00D12E63" w:rsidRPr="004A478D" w:rsidRDefault="00D12E63" w:rsidP="004A2A66">
            <w:pPr>
              <w:pStyle w:val="KMC16-Tablecontent"/>
              <w:rPr>
                <w:b/>
                <w:u w:val="single"/>
                <w:lang w:val="en-AU"/>
              </w:rPr>
            </w:pPr>
            <w:r w:rsidRPr="004A478D">
              <w:rPr>
                <w:lang w:val="en-AU"/>
              </w:rPr>
              <w:t>Financial implications (financial impact, overall healthcare costs etc.)</w:t>
            </w:r>
          </w:p>
        </w:tc>
      </w:tr>
      <w:tr w:rsidR="00D12E63" w:rsidRPr="0001290C" w14:paraId="3A2B05BC" w14:textId="77777777" w:rsidTr="00F8485C">
        <w:trPr>
          <w:trHeight w:val="802"/>
        </w:trPr>
        <w:tc>
          <w:tcPr>
            <w:tcW w:w="1183" w:type="dxa"/>
          </w:tcPr>
          <w:p w14:paraId="45BDB771" w14:textId="77777777" w:rsidR="00D12E63" w:rsidRPr="004A478D" w:rsidRDefault="00D12E63" w:rsidP="004A2A66">
            <w:pPr>
              <w:pStyle w:val="KMC16-Tablecontent"/>
              <w:rPr>
                <w:b/>
                <w:lang w:val="en-AU"/>
              </w:rPr>
            </w:pPr>
            <w:r w:rsidRPr="004A478D">
              <w:rPr>
                <w:b/>
                <w:lang w:val="en-AU"/>
              </w:rPr>
              <w:t>Assessment questions</w:t>
            </w:r>
          </w:p>
        </w:tc>
        <w:tc>
          <w:tcPr>
            <w:tcW w:w="7748" w:type="dxa"/>
          </w:tcPr>
          <w:p w14:paraId="1A333954" w14:textId="77777777" w:rsidR="00D12E63" w:rsidRPr="004A478D" w:rsidRDefault="00D12E63" w:rsidP="004A2A66">
            <w:pPr>
              <w:pStyle w:val="KMC16-Tablecontent"/>
              <w:rPr>
                <w:color w:val="000000" w:themeColor="text1"/>
                <w:lang w:val="en-AU"/>
              </w:rPr>
            </w:pPr>
            <w:r w:rsidRPr="004A478D">
              <w:rPr>
                <w:color w:val="000000" w:themeColor="text1"/>
                <w:lang w:val="en-AU"/>
              </w:rPr>
              <w:t xml:space="preserve">What is the safety, effectiveness and cost-effectiveness of FreeStyle Libre 2 or </w:t>
            </w:r>
            <w:r w:rsidRPr="005C28E5">
              <w:rPr>
                <w:color w:val="388600"/>
                <w:lang w:val="en-AU"/>
              </w:rPr>
              <w:t xml:space="preserve">2 Plus </w:t>
            </w:r>
            <w:r w:rsidRPr="004A478D">
              <w:rPr>
                <w:color w:val="000000" w:themeColor="text1"/>
                <w:lang w:val="en-AU"/>
              </w:rPr>
              <w:t>CGM versus SMBG in people with T2D requiring insulin therapy?</w:t>
            </w:r>
          </w:p>
        </w:tc>
      </w:tr>
    </w:tbl>
    <w:p w14:paraId="54E775F8" w14:textId="77777777" w:rsidR="00E75144" w:rsidRPr="00E75144" w:rsidRDefault="00D12E63" w:rsidP="00D12E63">
      <w:pPr>
        <w:pStyle w:val="KMC16-TFNotes"/>
        <w:rPr>
          <w:rFonts w:ascii="Arial Narrow" w:hAnsi="Arial Narrow"/>
          <w:u w:val="single"/>
        </w:rPr>
      </w:pPr>
      <w:r w:rsidRPr="00E75144">
        <w:rPr>
          <w:rFonts w:ascii="Arial Narrow" w:hAnsi="Arial Narrow"/>
          <w:b/>
          <w:bCs/>
          <w:u w:val="single"/>
        </w:rPr>
        <w:t>Abbreviations</w:t>
      </w:r>
    </w:p>
    <w:p w14:paraId="1F87DC4F" w14:textId="1E878224" w:rsidR="00D12E63" w:rsidRPr="00E75144" w:rsidRDefault="00E75144" w:rsidP="00D12E63">
      <w:pPr>
        <w:pStyle w:val="KMC16-TFNotes"/>
        <w:rPr>
          <w:rFonts w:ascii="Arial Narrow" w:hAnsi="Arial Narrow"/>
        </w:rPr>
      </w:pPr>
      <w:r w:rsidRPr="00E75144">
        <w:rPr>
          <w:rFonts w:ascii="Arial Narrow" w:hAnsi="Arial Narrow"/>
          <w:b/>
          <w:bCs/>
        </w:rPr>
        <w:t>AE</w:t>
      </w:r>
      <w:r>
        <w:rPr>
          <w:rFonts w:ascii="Arial Narrow" w:hAnsi="Arial Narrow"/>
        </w:rPr>
        <w:t xml:space="preserve"> = adverse events, </w:t>
      </w:r>
      <w:r w:rsidR="00D12E63" w:rsidRPr="00E75144">
        <w:rPr>
          <w:rFonts w:ascii="Arial Narrow" w:hAnsi="Arial Narrow"/>
          <w:b/>
          <w:bCs/>
        </w:rPr>
        <w:t>FSL</w:t>
      </w:r>
      <w:r>
        <w:rPr>
          <w:rFonts w:ascii="Arial Narrow" w:hAnsi="Arial Narrow"/>
        </w:rPr>
        <w:t xml:space="preserve"> =</w:t>
      </w:r>
      <w:r w:rsidR="00D12E63" w:rsidRPr="00E75144">
        <w:rPr>
          <w:rFonts w:ascii="Arial Narrow" w:hAnsi="Arial Narrow"/>
        </w:rPr>
        <w:t xml:space="preserve"> FreeStyle Libre Continuous Glucose Monitoring; </w:t>
      </w:r>
      <w:r w:rsidR="00D12E63" w:rsidRPr="00E75144">
        <w:rPr>
          <w:rFonts w:ascii="Arial Narrow" w:hAnsi="Arial Narrow"/>
          <w:b/>
          <w:bCs/>
        </w:rPr>
        <w:t>HbA1c</w:t>
      </w:r>
      <w:r>
        <w:rPr>
          <w:rFonts w:ascii="Arial Narrow" w:hAnsi="Arial Narrow"/>
        </w:rPr>
        <w:t xml:space="preserve"> =</w:t>
      </w:r>
      <w:r w:rsidR="00D12E63" w:rsidRPr="00E75144">
        <w:rPr>
          <w:rFonts w:ascii="Arial Narrow" w:hAnsi="Arial Narrow"/>
        </w:rPr>
        <w:t xml:space="preserve"> glycated haemoglobin; </w:t>
      </w:r>
      <w:r w:rsidR="00D12E63" w:rsidRPr="00E75144">
        <w:rPr>
          <w:rFonts w:ascii="Arial Narrow" w:hAnsi="Arial Narrow"/>
          <w:b/>
          <w:bCs/>
        </w:rPr>
        <w:t>QoL</w:t>
      </w:r>
      <w:r>
        <w:rPr>
          <w:rFonts w:ascii="Arial Narrow" w:hAnsi="Arial Narrow"/>
        </w:rPr>
        <w:t xml:space="preserve"> =</w:t>
      </w:r>
      <w:r w:rsidR="00D12E63" w:rsidRPr="00E75144">
        <w:rPr>
          <w:rFonts w:ascii="Arial Narrow" w:hAnsi="Arial Narrow"/>
        </w:rPr>
        <w:t xml:space="preserve"> quality of life; </w:t>
      </w:r>
      <w:r w:rsidR="00D12E63" w:rsidRPr="00E75144">
        <w:rPr>
          <w:rFonts w:ascii="Arial Narrow" w:hAnsi="Arial Narrow"/>
          <w:b/>
          <w:bCs/>
        </w:rPr>
        <w:t>SMBG</w:t>
      </w:r>
      <w:r>
        <w:rPr>
          <w:rFonts w:ascii="Arial Narrow" w:hAnsi="Arial Narrow"/>
        </w:rPr>
        <w:t xml:space="preserve"> =</w:t>
      </w:r>
      <w:r w:rsidR="00D12E63" w:rsidRPr="00E75144">
        <w:rPr>
          <w:rFonts w:ascii="Arial Narrow" w:hAnsi="Arial Narrow"/>
        </w:rPr>
        <w:t xml:space="preserve"> self-monitoring of blood glucose; </w:t>
      </w:r>
      <w:r w:rsidR="00D12E63" w:rsidRPr="00E75144">
        <w:rPr>
          <w:rFonts w:ascii="Arial Narrow" w:hAnsi="Arial Narrow"/>
          <w:b/>
          <w:bCs/>
        </w:rPr>
        <w:t>T2D</w:t>
      </w:r>
      <w:r>
        <w:rPr>
          <w:rFonts w:ascii="Arial Narrow" w:hAnsi="Arial Narrow"/>
        </w:rPr>
        <w:t xml:space="preserve"> =</w:t>
      </w:r>
      <w:r w:rsidR="00D12E63" w:rsidRPr="00E75144">
        <w:rPr>
          <w:rFonts w:ascii="Arial Narrow" w:hAnsi="Arial Narrow"/>
        </w:rPr>
        <w:t xml:space="preserve"> type 2 diabetes</w:t>
      </w:r>
      <w:r>
        <w:rPr>
          <w:rFonts w:ascii="Arial Narrow" w:hAnsi="Arial Narrow"/>
        </w:rPr>
        <w:t xml:space="preserve">; </w:t>
      </w:r>
      <w:r w:rsidRPr="00E75144">
        <w:rPr>
          <w:rFonts w:ascii="Arial Narrow" w:hAnsi="Arial Narrow"/>
          <w:b/>
          <w:bCs/>
        </w:rPr>
        <w:t>TIR</w:t>
      </w:r>
      <w:r>
        <w:rPr>
          <w:rFonts w:ascii="Arial Narrow" w:hAnsi="Arial Narrow"/>
          <w:b/>
          <w:bCs/>
        </w:rPr>
        <w:t xml:space="preserve"> </w:t>
      </w:r>
      <w:r w:rsidRPr="00E75144">
        <w:rPr>
          <w:rFonts w:ascii="Arial Narrow" w:hAnsi="Arial Narrow"/>
        </w:rPr>
        <w:t>=</w:t>
      </w:r>
      <w:r>
        <w:rPr>
          <w:rFonts w:ascii="Arial Narrow" w:hAnsi="Arial Narrow"/>
        </w:rPr>
        <w:t xml:space="preserve"> time in range; </w:t>
      </w:r>
      <w:r>
        <w:rPr>
          <w:rFonts w:ascii="Arial Narrow" w:hAnsi="Arial Narrow"/>
          <w:b/>
          <w:bCs/>
        </w:rPr>
        <w:t>TBR</w:t>
      </w:r>
      <w:r>
        <w:rPr>
          <w:rFonts w:ascii="Arial Narrow" w:hAnsi="Arial Narrow"/>
        </w:rPr>
        <w:t xml:space="preserve"> = time below range, </w:t>
      </w:r>
      <w:r>
        <w:rPr>
          <w:rFonts w:ascii="Arial Narrow" w:hAnsi="Arial Narrow"/>
          <w:b/>
          <w:bCs/>
        </w:rPr>
        <w:t>TAR</w:t>
      </w:r>
      <w:r>
        <w:rPr>
          <w:rFonts w:ascii="Arial Narrow" w:hAnsi="Arial Narrow"/>
        </w:rPr>
        <w:t xml:space="preserve"> = time above range. </w:t>
      </w:r>
    </w:p>
    <w:p w14:paraId="058D8D80" w14:textId="77777777" w:rsidR="00E75144" w:rsidRPr="00E75144" w:rsidRDefault="00D12E63" w:rsidP="00D12E63">
      <w:pPr>
        <w:pStyle w:val="KMC16-TFNotes"/>
        <w:rPr>
          <w:rFonts w:ascii="Arial Narrow" w:hAnsi="Arial Narrow"/>
          <w:b/>
          <w:bCs/>
          <w:u w:val="single"/>
        </w:rPr>
      </w:pPr>
      <w:r w:rsidRPr="00E75144">
        <w:rPr>
          <w:rFonts w:ascii="Arial Narrow" w:hAnsi="Arial Narrow"/>
          <w:b/>
          <w:bCs/>
          <w:u w:val="single"/>
        </w:rPr>
        <w:t>Notes</w:t>
      </w:r>
    </w:p>
    <w:p w14:paraId="59FDA68B" w14:textId="4962A37C" w:rsidR="00E75144" w:rsidRPr="001947DB" w:rsidRDefault="00D12E63" w:rsidP="00D12E63">
      <w:pPr>
        <w:pStyle w:val="KMC16-TFNotes"/>
        <w:rPr>
          <w:rFonts w:ascii="Arial Narrow" w:hAnsi="Arial Narrow"/>
        </w:rPr>
      </w:pPr>
      <w:r w:rsidRPr="00E75144">
        <w:rPr>
          <w:rFonts w:ascii="Arial Narrow" w:hAnsi="Arial Narrow"/>
        </w:rPr>
        <w:t xml:space="preserve">Not all outcomes in the PICO confirmation were </w:t>
      </w:r>
      <w:r w:rsidR="00A07B34" w:rsidRPr="00E75144">
        <w:rPr>
          <w:rFonts w:ascii="Arial Narrow" w:hAnsi="Arial Narrow"/>
        </w:rPr>
        <w:t xml:space="preserve">supported by </w:t>
      </w:r>
      <w:r w:rsidRPr="00E75144">
        <w:rPr>
          <w:rFonts w:ascii="Arial Narrow" w:hAnsi="Arial Narrow"/>
        </w:rPr>
        <w:t xml:space="preserve">evidence in the literature. </w:t>
      </w:r>
      <w:r w:rsidR="00732EA9" w:rsidRPr="00A54EDF">
        <w:rPr>
          <w:rFonts w:ascii="Arial Narrow" w:hAnsi="Arial Narrow"/>
        </w:rPr>
        <w:t>O</w:t>
      </w:r>
      <w:r w:rsidRPr="00A54EDF">
        <w:rPr>
          <w:rFonts w:ascii="Arial Narrow" w:hAnsi="Arial Narrow"/>
        </w:rPr>
        <w:t xml:space="preserve">utcomes </w:t>
      </w:r>
      <w:r w:rsidR="00D164D8" w:rsidRPr="00A54EDF">
        <w:rPr>
          <w:rFonts w:ascii="Arial Narrow" w:hAnsi="Arial Narrow"/>
        </w:rPr>
        <w:t>un</w:t>
      </w:r>
      <w:r w:rsidRPr="00A54EDF">
        <w:rPr>
          <w:rFonts w:ascii="Arial Narrow" w:hAnsi="Arial Narrow"/>
        </w:rPr>
        <w:t>available</w:t>
      </w:r>
      <w:r w:rsidRPr="00E75144">
        <w:rPr>
          <w:rFonts w:ascii="Arial Narrow" w:hAnsi="Arial Narrow"/>
        </w:rPr>
        <w:t xml:space="preserve"> have a </w:t>
      </w:r>
      <w:r w:rsidRPr="00E75144">
        <w:rPr>
          <w:rFonts w:ascii="Arial Narrow" w:hAnsi="Arial Narrow"/>
          <w:strike/>
        </w:rPr>
        <w:t>strikethrough</w:t>
      </w:r>
      <w:r w:rsidRPr="00E75144">
        <w:rPr>
          <w:rFonts w:ascii="Arial Narrow" w:hAnsi="Arial Narrow"/>
        </w:rPr>
        <w:t xml:space="preserve"> line. </w:t>
      </w:r>
      <w:r w:rsidR="00D164D8" w:rsidRPr="00A54EDF">
        <w:rPr>
          <w:rFonts w:ascii="Arial Narrow" w:hAnsi="Arial Narrow"/>
        </w:rPr>
        <w:t>O</w:t>
      </w:r>
      <w:r w:rsidRPr="00A54EDF">
        <w:rPr>
          <w:rFonts w:ascii="Arial Narrow" w:hAnsi="Arial Narrow"/>
        </w:rPr>
        <w:t xml:space="preserve">utcomes </w:t>
      </w:r>
      <w:r w:rsidRPr="00E75144">
        <w:rPr>
          <w:rFonts w:ascii="Arial Narrow" w:hAnsi="Arial Narrow"/>
        </w:rPr>
        <w:t xml:space="preserve">found in modelling or added for the ADAR are coloured </w:t>
      </w:r>
      <w:r w:rsidRPr="005C28E5">
        <w:rPr>
          <w:rFonts w:ascii="Arial Narrow" w:hAnsi="Arial Narrow"/>
          <w:color w:val="388600"/>
        </w:rPr>
        <w:t>green</w:t>
      </w:r>
      <w:r w:rsidRPr="00E75144">
        <w:rPr>
          <w:rFonts w:ascii="Arial Narrow" w:hAnsi="Arial Narrow"/>
        </w:rPr>
        <w:t>.</w:t>
      </w:r>
    </w:p>
    <w:p w14:paraId="46688C8E" w14:textId="7734E4D2" w:rsidR="00D12E63" w:rsidRPr="003A0813" w:rsidRDefault="00D12E63" w:rsidP="00D12E63">
      <w:pPr>
        <w:pStyle w:val="KMC16-Caption"/>
        <w:rPr>
          <w:rFonts w:ascii="Arial Narrow" w:hAnsi="Arial Narrow"/>
        </w:rPr>
      </w:pPr>
      <w:bookmarkStart w:id="14" w:name="_Ref192495813"/>
      <w:r w:rsidRPr="003A0813">
        <w:rPr>
          <w:rFonts w:ascii="Arial Narrow" w:hAnsi="Arial Narrow"/>
        </w:rPr>
        <w:t>Table </w:t>
      </w:r>
      <w:r w:rsidR="00315A60" w:rsidRPr="003A0813">
        <w:rPr>
          <w:rFonts w:ascii="Arial Narrow" w:hAnsi="Arial Narrow"/>
        </w:rPr>
        <w:fldChar w:fldCharType="begin"/>
      </w:r>
      <w:r w:rsidR="00315A60" w:rsidRPr="003A0813">
        <w:rPr>
          <w:rFonts w:ascii="Arial Narrow" w:hAnsi="Arial Narrow"/>
        </w:rPr>
        <w:instrText xml:space="preserve"> SEQ Table \* ARABIC </w:instrText>
      </w:r>
      <w:r w:rsidR="00315A60" w:rsidRPr="003A0813">
        <w:rPr>
          <w:rFonts w:ascii="Arial Narrow" w:hAnsi="Arial Narrow"/>
        </w:rPr>
        <w:fldChar w:fldCharType="separate"/>
      </w:r>
      <w:r w:rsidR="00315A60" w:rsidRPr="003A0813">
        <w:rPr>
          <w:rFonts w:ascii="Arial Narrow" w:hAnsi="Arial Narrow"/>
          <w:noProof/>
        </w:rPr>
        <w:t>3</w:t>
      </w:r>
      <w:r w:rsidR="00315A60" w:rsidRPr="003A0813">
        <w:rPr>
          <w:rFonts w:ascii="Arial Narrow" w:hAnsi="Arial Narrow"/>
          <w:noProof/>
        </w:rPr>
        <w:fldChar w:fldCharType="end"/>
      </w:r>
      <w:bookmarkEnd w:id="14"/>
      <w:r w:rsidRPr="003A0813">
        <w:rPr>
          <w:rFonts w:ascii="Arial Narrow" w:hAnsi="Arial Narrow" w:cs="Arial"/>
        </w:rPr>
        <w:tab/>
      </w:r>
      <w:r w:rsidR="003A0813">
        <w:rPr>
          <w:rFonts w:ascii="Arial Narrow" w:hAnsi="Arial Narrow" w:cs="Arial"/>
        </w:rPr>
        <w:tab/>
      </w:r>
      <w:r w:rsidRPr="003A0813">
        <w:rPr>
          <w:rFonts w:ascii="Arial Narrow" w:hAnsi="Arial Narrow"/>
        </w:rPr>
        <w:t xml:space="preserve">PICO Set 2 criteria for assessing FSL products for improving glycaemic outcomes in people with </w:t>
      </w:r>
      <w:r w:rsidR="009B6C1C" w:rsidRPr="003A0813">
        <w:rPr>
          <w:rFonts w:ascii="Arial Narrow" w:hAnsi="Arial Narrow"/>
        </w:rPr>
        <w:t>GDM</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2"/>
        <w:gridCol w:w="7212"/>
      </w:tblGrid>
      <w:tr w:rsidR="00D12E63" w:rsidRPr="002D0C52" w14:paraId="0368514B" w14:textId="77777777" w:rsidTr="00F8485C">
        <w:tc>
          <w:tcPr>
            <w:tcW w:w="2002" w:type="dxa"/>
          </w:tcPr>
          <w:p w14:paraId="47BBA1BB" w14:textId="77777777" w:rsidR="00D12E63" w:rsidRPr="004A478D" w:rsidRDefault="00D12E63" w:rsidP="004A2A66">
            <w:pPr>
              <w:pStyle w:val="KMC16-Tablecontent"/>
              <w:rPr>
                <w:lang w:val="en-AU"/>
              </w:rPr>
            </w:pPr>
            <w:r w:rsidRPr="004A478D">
              <w:rPr>
                <w:lang w:val="en-AU"/>
              </w:rPr>
              <w:t>Population</w:t>
            </w:r>
          </w:p>
        </w:tc>
        <w:tc>
          <w:tcPr>
            <w:tcW w:w="7212" w:type="dxa"/>
          </w:tcPr>
          <w:p w14:paraId="04386ADD" w14:textId="2663399F" w:rsidR="00D12E63" w:rsidRPr="004A478D" w:rsidRDefault="00D12E63" w:rsidP="004A2A66">
            <w:pPr>
              <w:pStyle w:val="KMC16-Tablecontent"/>
              <w:rPr>
                <w:lang w:val="en-AU"/>
              </w:rPr>
            </w:pPr>
            <w:r w:rsidRPr="004A478D">
              <w:rPr>
                <w:lang w:val="en-AU"/>
              </w:rPr>
              <w:t>Pregnant women with GDM</w:t>
            </w:r>
          </w:p>
        </w:tc>
      </w:tr>
      <w:tr w:rsidR="00D12E63" w:rsidRPr="002D0C52" w14:paraId="5D19459D" w14:textId="77777777" w:rsidTr="00F8485C">
        <w:tc>
          <w:tcPr>
            <w:tcW w:w="2002" w:type="dxa"/>
          </w:tcPr>
          <w:p w14:paraId="540355C7" w14:textId="77777777" w:rsidR="00D12E63" w:rsidRPr="004A478D" w:rsidRDefault="00D12E63" w:rsidP="004A2A66">
            <w:pPr>
              <w:pStyle w:val="KMC16-Tablecontent"/>
              <w:rPr>
                <w:lang w:val="en-AU"/>
              </w:rPr>
            </w:pPr>
            <w:r w:rsidRPr="004A478D">
              <w:rPr>
                <w:lang w:val="en-AU"/>
              </w:rPr>
              <w:t>Prior Tests</w:t>
            </w:r>
          </w:p>
        </w:tc>
        <w:tc>
          <w:tcPr>
            <w:tcW w:w="7212" w:type="dxa"/>
          </w:tcPr>
          <w:p w14:paraId="1EFEA197" w14:textId="3808F8DA" w:rsidR="00D12E63" w:rsidRPr="004A478D" w:rsidRDefault="00D12E63" w:rsidP="004A2A66">
            <w:pPr>
              <w:pStyle w:val="KMC16-Tablecontent"/>
              <w:rPr>
                <w:lang w:val="en-AU"/>
              </w:rPr>
            </w:pPr>
            <w:r w:rsidRPr="004A478D">
              <w:rPr>
                <w:lang w:val="en-AU"/>
              </w:rPr>
              <w:t xml:space="preserve">Glycaemic assessment of pregnant mother </w:t>
            </w:r>
            <w:r w:rsidR="00732EA9" w:rsidRPr="00A54EDF">
              <w:rPr>
                <w:lang w:val="en-AU"/>
              </w:rPr>
              <w:t>at</w:t>
            </w:r>
            <w:r w:rsidRPr="004A478D">
              <w:rPr>
                <w:lang w:val="en-AU"/>
              </w:rPr>
              <w:t xml:space="preserve"> 24</w:t>
            </w:r>
            <w:r w:rsidR="00732EA9" w:rsidRPr="00A54EDF">
              <w:rPr>
                <w:lang w:val="en-AU"/>
              </w:rPr>
              <w:t>–</w:t>
            </w:r>
            <w:r w:rsidRPr="004A478D">
              <w:rPr>
                <w:lang w:val="en-AU"/>
              </w:rPr>
              <w:t>28 weeks gestation</w:t>
            </w:r>
          </w:p>
          <w:p w14:paraId="2989DFB8" w14:textId="4B3F916C" w:rsidR="00D12E63" w:rsidRPr="004A478D" w:rsidRDefault="00D12E63" w:rsidP="004A2A66">
            <w:pPr>
              <w:pStyle w:val="KMC16-Tablecontent"/>
              <w:rPr>
                <w:lang w:val="en-AU"/>
              </w:rPr>
            </w:pPr>
            <w:r w:rsidRPr="004A478D">
              <w:rPr>
                <w:lang w:val="en-AU"/>
              </w:rPr>
              <w:t>Royal Australian College of General Practitioners criteria:</w:t>
            </w:r>
          </w:p>
          <w:p w14:paraId="295862B9" w14:textId="77777777" w:rsidR="00D12E63" w:rsidRPr="004A478D" w:rsidRDefault="00D12E63" w:rsidP="003027B3">
            <w:pPr>
              <w:pStyle w:val="KMC16-Tablecontent"/>
              <w:numPr>
                <w:ilvl w:val="0"/>
                <w:numId w:val="11"/>
              </w:numPr>
              <w:rPr>
                <w:lang w:val="en-AU"/>
              </w:rPr>
            </w:pPr>
            <w:r w:rsidRPr="004A478D">
              <w:rPr>
                <w:lang w:val="en-AU"/>
              </w:rPr>
              <w:t>fasting plasma glucose ≥5.5 mmol/L, or</w:t>
            </w:r>
          </w:p>
          <w:p w14:paraId="3ED0149F" w14:textId="5C50C559" w:rsidR="00D12E63" w:rsidRPr="004A478D" w:rsidRDefault="00732EA9" w:rsidP="003027B3">
            <w:pPr>
              <w:pStyle w:val="KMC16-Tablecontent"/>
              <w:numPr>
                <w:ilvl w:val="0"/>
                <w:numId w:val="11"/>
              </w:numPr>
              <w:rPr>
                <w:lang w:val="en-AU"/>
              </w:rPr>
            </w:pPr>
            <w:r w:rsidRPr="00A54EDF">
              <w:rPr>
                <w:lang w:val="en-AU"/>
              </w:rPr>
              <w:t>2</w:t>
            </w:r>
            <w:r w:rsidR="00D12E63" w:rsidRPr="004A478D">
              <w:rPr>
                <w:lang w:val="en-AU"/>
              </w:rPr>
              <w:t>-hour plasma glucose ≥8.0 mmol/L (75 g OGTT</w:t>
            </w:r>
            <w:r w:rsidR="00D12E63" w:rsidRPr="00A54EDF">
              <w:rPr>
                <w:lang w:val="en-AU"/>
              </w:rPr>
              <w:t>)</w:t>
            </w:r>
          </w:p>
          <w:p w14:paraId="4FB3E131" w14:textId="151010C3" w:rsidR="00D12E63" w:rsidRPr="004A478D" w:rsidRDefault="00D12E63" w:rsidP="005102BE">
            <w:pPr>
              <w:pStyle w:val="KMC16-Tablecontent"/>
              <w:rPr>
                <w:lang w:val="en-AU"/>
              </w:rPr>
            </w:pPr>
            <w:r w:rsidRPr="004A478D">
              <w:rPr>
                <w:lang w:val="en-AU"/>
              </w:rPr>
              <w:t>Australian Diabetes in Pregnancy Society criteria:</w:t>
            </w:r>
          </w:p>
          <w:p w14:paraId="42D2EEF1" w14:textId="77777777" w:rsidR="00D12E63" w:rsidRPr="004A478D" w:rsidRDefault="00D12E63" w:rsidP="003027B3">
            <w:pPr>
              <w:pStyle w:val="KMC16-Tablecontent"/>
              <w:numPr>
                <w:ilvl w:val="0"/>
                <w:numId w:val="11"/>
              </w:numPr>
              <w:rPr>
                <w:lang w:val="en-AU"/>
              </w:rPr>
            </w:pPr>
            <w:r w:rsidRPr="004A478D">
              <w:rPr>
                <w:lang w:val="en-AU"/>
              </w:rPr>
              <w:t>fasting plasma glucose 5.1–6.9 mmol/L, or</w:t>
            </w:r>
          </w:p>
          <w:p w14:paraId="31255ABC" w14:textId="09D53C91" w:rsidR="00D12E63" w:rsidRPr="004A478D" w:rsidRDefault="00F546FF" w:rsidP="003027B3">
            <w:pPr>
              <w:pStyle w:val="KMC16-Tablecontent"/>
              <w:numPr>
                <w:ilvl w:val="0"/>
                <w:numId w:val="11"/>
              </w:numPr>
              <w:rPr>
                <w:lang w:val="en-AU"/>
              </w:rPr>
            </w:pPr>
            <w:r w:rsidRPr="00A54EDF">
              <w:rPr>
                <w:lang w:val="en-AU"/>
              </w:rPr>
              <w:t>1</w:t>
            </w:r>
            <w:r w:rsidR="00D12E63" w:rsidRPr="004A478D">
              <w:rPr>
                <w:lang w:val="en-AU"/>
              </w:rPr>
              <w:t>-hour plasma glucose (75 g OGTT) ≥10.0 mmol/L, or</w:t>
            </w:r>
          </w:p>
          <w:p w14:paraId="0116A735" w14:textId="7E5E47CA" w:rsidR="00D12E63" w:rsidRPr="004A478D" w:rsidRDefault="00F546FF" w:rsidP="003027B3">
            <w:pPr>
              <w:pStyle w:val="KMC16-Tablecontent"/>
              <w:numPr>
                <w:ilvl w:val="0"/>
                <w:numId w:val="11"/>
              </w:numPr>
              <w:rPr>
                <w:lang w:val="en-AU"/>
              </w:rPr>
            </w:pPr>
            <w:r w:rsidRPr="00A54EDF">
              <w:rPr>
                <w:lang w:val="en-AU"/>
              </w:rPr>
              <w:t>2</w:t>
            </w:r>
            <w:r w:rsidR="00D12E63" w:rsidRPr="004A478D">
              <w:rPr>
                <w:lang w:val="en-AU"/>
              </w:rPr>
              <w:t>-hour plasma glucose (75 g OGTT) 8.5–11.0 mmol/L</w:t>
            </w:r>
          </w:p>
        </w:tc>
      </w:tr>
      <w:tr w:rsidR="00D12E63" w:rsidRPr="002D0C52" w14:paraId="2D906318" w14:textId="77777777" w:rsidTr="00F8485C">
        <w:tc>
          <w:tcPr>
            <w:tcW w:w="2002" w:type="dxa"/>
          </w:tcPr>
          <w:p w14:paraId="2D907C11" w14:textId="77777777" w:rsidR="00D12E63" w:rsidRPr="004A478D" w:rsidRDefault="00D12E63" w:rsidP="004A2A66">
            <w:pPr>
              <w:pStyle w:val="KMC16-Tablecontent"/>
              <w:rPr>
                <w:lang w:val="en-AU"/>
              </w:rPr>
            </w:pPr>
            <w:r w:rsidRPr="004A478D">
              <w:rPr>
                <w:lang w:val="en-AU"/>
              </w:rPr>
              <w:t>Intervention</w:t>
            </w:r>
          </w:p>
        </w:tc>
        <w:tc>
          <w:tcPr>
            <w:tcW w:w="7212" w:type="dxa"/>
          </w:tcPr>
          <w:p w14:paraId="1AF469ED" w14:textId="129C819F" w:rsidR="00D12E63" w:rsidRPr="004A478D" w:rsidRDefault="00D12E63" w:rsidP="004A2A66">
            <w:pPr>
              <w:pStyle w:val="KMC16-Tablecontent"/>
              <w:rPr>
                <w:lang w:val="en-AU"/>
              </w:rPr>
            </w:pPr>
            <w:r w:rsidRPr="004A478D">
              <w:rPr>
                <w:lang w:val="en-AU"/>
              </w:rPr>
              <w:t xml:space="preserve">FreeStyle Libre 2 or </w:t>
            </w:r>
            <w:r w:rsidRPr="005C28E5">
              <w:rPr>
                <w:color w:val="388600"/>
                <w:lang w:val="en-AU"/>
              </w:rPr>
              <w:t xml:space="preserve">FreeStyle Libre 2 Plus </w:t>
            </w:r>
            <w:r w:rsidRPr="004A478D">
              <w:rPr>
                <w:lang w:val="en-AU"/>
              </w:rPr>
              <w:t>CGM system</w:t>
            </w:r>
          </w:p>
        </w:tc>
      </w:tr>
      <w:tr w:rsidR="00D12E63" w:rsidRPr="002D0C52" w14:paraId="526A241C" w14:textId="77777777" w:rsidTr="00F8485C">
        <w:tc>
          <w:tcPr>
            <w:tcW w:w="2002" w:type="dxa"/>
          </w:tcPr>
          <w:p w14:paraId="173659D3" w14:textId="77777777" w:rsidR="00D12E63" w:rsidRPr="004A478D" w:rsidRDefault="00D12E63" w:rsidP="004A2A66">
            <w:pPr>
              <w:pStyle w:val="KMC16-Tablecontent"/>
              <w:rPr>
                <w:lang w:val="en-AU"/>
              </w:rPr>
            </w:pPr>
            <w:r w:rsidRPr="004A478D">
              <w:rPr>
                <w:lang w:val="en-AU"/>
              </w:rPr>
              <w:t>Comparator</w:t>
            </w:r>
          </w:p>
        </w:tc>
        <w:tc>
          <w:tcPr>
            <w:tcW w:w="7212" w:type="dxa"/>
          </w:tcPr>
          <w:p w14:paraId="1B20BFC8" w14:textId="0CF416CC" w:rsidR="00D12E63" w:rsidRPr="004A478D" w:rsidRDefault="00D12E63" w:rsidP="004A2A66">
            <w:pPr>
              <w:pStyle w:val="KMC16-Tablecontent"/>
              <w:rPr>
                <w:lang w:val="en-AU"/>
              </w:rPr>
            </w:pPr>
            <w:r w:rsidRPr="004A478D">
              <w:rPr>
                <w:color w:val="auto"/>
                <w:lang w:val="en-AU"/>
              </w:rPr>
              <w:t>SMBG using a finger</w:t>
            </w:r>
            <w:r w:rsidR="00155451" w:rsidRPr="00A54EDF">
              <w:rPr>
                <w:color w:val="auto"/>
                <w:lang w:val="en-AU"/>
              </w:rPr>
              <w:t>-</w:t>
            </w:r>
            <w:r w:rsidRPr="004A478D">
              <w:rPr>
                <w:color w:val="auto"/>
                <w:lang w:val="en-AU"/>
              </w:rPr>
              <w:t>prick capillary blood sample, glucose test strips and glucose meter</w:t>
            </w:r>
          </w:p>
        </w:tc>
      </w:tr>
      <w:tr w:rsidR="00D12E63" w:rsidRPr="002D0C52" w14:paraId="7A8FD009" w14:textId="77777777" w:rsidTr="00F8485C">
        <w:tc>
          <w:tcPr>
            <w:tcW w:w="2002" w:type="dxa"/>
          </w:tcPr>
          <w:p w14:paraId="4CF838D0" w14:textId="77777777" w:rsidR="00D12E63" w:rsidRPr="004A478D" w:rsidRDefault="00D12E63" w:rsidP="004A2A66">
            <w:pPr>
              <w:pStyle w:val="KMC16-Tablecontent"/>
              <w:rPr>
                <w:lang w:val="en-AU"/>
              </w:rPr>
            </w:pPr>
            <w:r w:rsidRPr="004A478D">
              <w:rPr>
                <w:lang w:val="en-AU"/>
              </w:rPr>
              <w:t>Reference standard</w:t>
            </w:r>
          </w:p>
        </w:tc>
        <w:tc>
          <w:tcPr>
            <w:tcW w:w="7212" w:type="dxa"/>
          </w:tcPr>
          <w:p w14:paraId="69A859F4" w14:textId="2DD79BDE" w:rsidR="00D12E63" w:rsidRPr="004A478D" w:rsidRDefault="00D12E63" w:rsidP="004A2A66">
            <w:pPr>
              <w:pStyle w:val="KMC16-Tablecontent"/>
              <w:rPr>
                <w:color w:val="auto"/>
                <w:lang w:val="en-AU"/>
              </w:rPr>
            </w:pPr>
            <w:r w:rsidRPr="004A478D">
              <w:rPr>
                <w:color w:val="auto"/>
                <w:lang w:val="en-AU"/>
              </w:rPr>
              <w:t>Laboratory</w:t>
            </w:r>
            <w:r w:rsidR="00155451" w:rsidRPr="00A54EDF">
              <w:rPr>
                <w:color w:val="auto"/>
                <w:lang w:val="en-AU"/>
              </w:rPr>
              <w:t>-</w:t>
            </w:r>
            <w:r w:rsidRPr="004A478D">
              <w:rPr>
                <w:color w:val="auto"/>
                <w:lang w:val="en-AU"/>
              </w:rPr>
              <w:t>conducted plasma venous blood glucose test</w:t>
            </w:r>
          </w:p>
        </w:tc>
      </w:tr>
      <w:tr w:rsidR="00D12E63" w:rsidRPr="002D0C52" w14:paraId="18BF5CFC" w14:textId="77777777" w:rsidTr="00F8485C">
        <w:tc>
          <w:tcPr>
            <w:tcW w:w="2002" w:type="dxa"/>
          </w:tcPr>
          <w:p w14:paraId="7A2CE6C5" w14:textId="77777777" w:rsidR="00D12E63" w:rsidRPr="004A478D" w:rsidRDefault="00D12E63" w:rsidP="004A2A66">
            <w:pPr>
              <w:pStyle w:val="KMC16-Tablecontent"/>
              <w:rPr>
                <w:lang w:val="en-AU"/>
              </w:rPr>
            </w:pPr>
            <w:r w:rsidRPr="004A478D">
              <w:rPr>
                <w:lang w:val="en-AU"/>
              </w:rPr>
              <w:t>Outcomes</w:t>
            </w:r>
          </w:p>
        </w:tc>
        <w:tc>
          <w:tcPr>
            <w:tcW w:w="7212" w:type="dxa"/>
          </w:tcPr>
          <w:p w14:paraId="279E1D5D" w14:textId="2134E6CE" w:rsidR="00D12E63" w:rsidRPr="00A54EDF" w:rsidRDefault="00D12E63" w:rsidP="004A2A66">
            <w:pPr>
              <w:pStyle w:val="KMC16-Tablecontent"/>
              <w:rPr>
                <w:b/>
                <w:u w:val="single"/>
                <w:lang w:val="en-AU"/>
              </w:rPr>
            </w:pPr>
            <w:r w:rsidRPr="00A54EDF">
              <w:rPr>
                <w:b/>
                <w:u w:val="single"/>
                <w:lang w:val="en-AU"/>
              </w:rPr>
              <w:t>Patient</w:t>
            </w:r>
            <w:r w:rsidR="00155451" w:rsidRPr="00A54EDF">
              <w:rPr>
                <w:b/>
                <w:u w:val="single"/>
                <w:lang w:val="en-AU"/>
              </w:rPr>
              <w:t>-</w:t>
            </w:r>
            <w:r w:rsidRPr="00A54EDF">
              <w:rPr>
                <w:b/>
                <w:u w:val="single"/>
                <w:lang w:val="en-AU"/>
              </w:rPr>
              <w:t xml:space="preserve">relevant outcomes </w:t>
            </w:r>
          </w:p>
          <w:p w14:paraId="77D92DC2" w14:textId="77777777" w:rsidR="00D12E63" w:rsidRPr="004A478D" w:rsidRDefault="00D12E63" w:rsidP="004A2A66">
            <w:pPr>
              <w:pStyle w:val="KMC16-Tablecontent"/>
              <w:rPr>
                <w:i/>
                <w:lang w:val="en-AU"/>
              </w:rPr>
            </w:pPr>
            <w:r w:rsidRPr="004A478D">
              <w:rPr>
                <w:i/>
                <w:lang w:val="en-AU"/>
              </w:rPr>
              <w:t>Direct evidence for safety and effectiveness:</w:t>
            </w:r>
          </w:p>
          <w:p w14:paraId="61BD556C" w14:textId="77777777" w:rsidR="00D12E63" w:rsidRPr="004A478D" w:rsidRDefault="00D12E63" w:rsidP="004A2A66">
            <w:pPr>
              <w:pStyle w:val="KMC16-Tablecontent"/>
              <w:tabs>
                <w:tab w:val="center" w:pos="3150"/>
              </w:tabs>
              <w:rPr>
                <w:b/>
                <w:lang w:val="en-AU"/>
              </w:rPr>
            </w:pPr>
            <w:r w:rsidRPr="004A478D">
              <w:rPr>
                <w:b/>
                <w:lang w:val="en-AU"/>
              </w:rPr>
              <w:t>Safety:</w:t>
            </w:r>
          </w:p>
          <w:p w14:paraId="37830A71" w14:textId="377E7161" w:rsidR="00D12E63" w:rsidRPr="004A478D" w:rsidRDefault="00D12E63" w:rsidP="003027B3">
            <w:pPr>
              <w:pStyle w:val="KMC16-Tablecontent"/>
              <w:numPr>
                <w:ilvl w:val="0"/>
                <w:numId w:val="11"/>
              </w:numPr>
              <w:rPr>
                <w:lang w:val="en-AU"/>
              </w:rPr>
            </w:pPr>
            <w:r w:rsidRPr="004A478D">
              <w:rPr>
                <w:lang w:val="en-AU"/>
              </w:rPr>
              <w:t>Local AEs associated with glucose testing</w:t>
            </w:r>
          </w:p>
          <w:p w14:paraId="393474B5" w14:textId="77777777" w:rsidR="00D12E63" w:rsidRPr="004A478D" w:rsidRDefault="00D12E63" w:rsidP="004A2A66">
            <w:pPr>
              <w:pStyle w:val="KMC16-Tablecontent"/>
              <w:rPr>
                <w:b/>
                <w:lang w:val="en-AU"/>
              </w:rPr>
            </w:pPr>
            <w:r w:rsidRPr="004A478D">
              <w:rPr>
                <w:b/>
                <w:lang w:val="en-AU"/>
              </w:rPr>
              <w:t xml:space="preserve">Effectiveness for mother: </w:t>
            </w:r>
          </w:p>
          <w:p w14:paraId="2C6E0D8F" w14:textId="77777777" w:rsidR="00D12E63" w:rsidRPr="004A478D" w:rsidRDefault="00D12E63" w:rsidP="004A2A66">
            <w:pPr>
              <w:pStyle w:val="KMC16-Tablecontent"/>
              <w:rPr>
                <w:lang w:val="en-AU"/>
              </w:rPr>
            </w:pPr>
            <w:r w:rsidRPr="004A478D">
              <w:rPr>
                <w:lang w:val="en-AU"/>
              </w:rPr>
              <w:t>GDM complications due to diabetes and during birth</w:t>
            </w:r>
          </w:p>
          <w:p w14:paraId="150AFD92" w14:textId="77777777" w:rsidR="00D12E63" w:rsidRPr="004A478D" w:rsidRDefault="00D12E63" w:rsidP="003027B3">
            <w:pPr>
              <w:pStyle w:val="KMC16-Tablecontent"/>
              <w:numPr>
                <w:ilvl w:val="0"/>
                <w:numId w:val="11"/>
              </w:numPr>
              <w:rPr>
                <w:strike/>
                <w:lang w:val="en-AU"/>
              </w:rPr>
            </w:pPr>
            <w:r w:rsidRPr="004A478D">
              <w:rPr>
                <w:strike/>
                <w:lang w:val="en-AU"/>
              </w:rPr>
              <w:t>GDM complications (e.g. cardiovascular complications, hypertension etc)</w:t>
            </w:r>
          </w:p>
          <w:p w14:paraId="61AE7C9D" w14:textId="77777777" w:rsidR="00D12E63" w:rsidRPr="004A478D" w:rsidRDefault="00D12E63" w:rsidP="003027B3">
            <w:pPr>
              <w:pStyle w:val="KMC16-Tablecontent"/>
              <w:numPr>
                <w:ilvl w:val="0"/>
                <w:numId w:val="11"/>
              </w:numPr>
              <w:rPr>
                <w:strike/>
                <w:lang w:val="en-AU"/>
              </w:rPr>
            </w:pPr>
            <w:r w:rsidRPr="004A478D">
              <w:rPr>
                <w:strike/>
                <w:lang w:val="en-AU"/>
              </w:rPr>
              <w:t xml:space="preserve">Mortality </w:t>
            </w:r>
          </w:p>
          <w:p w14:paraId="7DEF842C" w14:textId="77777777" w:rsidR="00D12E63" w:rsidRPr="004A478D" w:rsidRDefault="00D12E63" w:rsidP="003027B3">
            <w:pPr>
              <w:pStyle w:val="KMC16-Tablecontent"/>
              <w:numPr>
                <w:ilvl w:val="0"/>
                <w:numId w:val="11"/>
              </w:numPr>
              <w:rPr>
                <w:strike/>
                <w:lang w:val="en-AU"/>
              </w:rPr>
            </w:pPr>
            <w:r w:rsidRPr="004A478D">
              <w:rPr>
                <w:strike/>
                <w:lang w:val="en-AU"/>
              </w:rPr>
              <w:t>Complications during birth</w:t>
            </w:r>
          </w:p>
          <w:p w14:paraId="68AE96D3" w14:textId="77777777" w:rsidR="00D12E63" w:rsidRPr="004A478D" w:rsidRDefault="00D12E63" w:rsidP="003027B3">
            <w:pPr>
              <w:pStyle w:val="KMC16-Tablecontent"/>
              <w:numPr>
                <w:ilvl w:val="0"/>
                <w:numId w:val="11"/>
              </w:numPr>
              <w:rPr>
                <w:strike/>
                <w:lang w:val="en-AU"/>
              </w:rPr>
            </w:pPr>
            <w:r w:rsidRPr="004A478D">
              <w:rPr>
                <w:strike/>
                <w:lang w:val="en-AU"/>
              </w:rPr>
              <w:t xml:space="preserve">T2D post-partum and related complications </w:t>
            </w:r>
          </w:p>
          <w:p w14:paraId="0CDD0CD3" w14:textId="77777777" w:rsidR="00D12E63" w:rsidRPr="004A478D" w:rsidRDefault="00D12E63" w:rsidP="003027B3">
            <w:pPr>
              <w:pStyle w:val="KMC16-Tablecontent"/>
              <w:numPr>
                <w:ilvl w:val="0"/>
                <w:numId w:val="11"/>
              </w:numPr>
              <w:rPr>
                <w:lang w:val="en-AU"/>
              </w:rPr>
            </w:pPr>
            <w:r w:rsidRPr="004A478D">
              <w:rPr>
                <w:strike/>
                <w:lang w:val="en-AU"/>
              </w:rPr>
              <w:t>Quality of life</w:t>
            </w:r>
          </w:p>
          <w:p w14:paraId="1741AAE9" w14:textId="77777777" w:rsidR="00D12E63" w:rsidRPr="004A478D" w:rsidRDefault="00D12E63" w:rsidP="003027B3">
            <w:pPr>
              <w:pStyle w:val="KMC16-Tablecontent"/>
              <w:numPr>
                <w:ilvl w:val="0"/>
                <w:numId w:val="11"/>
              </w:numPr>
              <w:rPr>
                <w:lang w:val="en-AU"/>
              </w:rPr>
            </w:pPr>
            <w:r w:rsidRPr="004A478D">
              <w:rPr>
                <w:strike/>
                <w:lang w:val="en-AU"/>
              </w:rPr>
              <w:t>Psychological health</w:t>
            </w:r>
          </w:p>
          <w:p w14:paraId="4D465F38" w14:textId="77777777" w:rsidR="00D12E63" w:rsidRPr="004A478D" w:rsidRDefault="00D12E63" w:rsidP="004A2A66">
            <w:pPr>
              <w:pStyle w:val="KMC16-Tablecontent"/>
              <w:rPr>
                <w:b/>
                <w:lang w:val="en-AU"/>
              </w:rPr>
            </w:pPr>
            <w:r w:rsidRPr="004A478D">
              <w:rPr>
                <w:b/>
                <w:lang w:val="en-AU"/>
              </w:rPr>
              <w:t>Intermediate/surrogate outcomes</w:t>
            </w:r>
          </w:p>
          <w:p w14:paraId="1FBFD87D" w14:textId="77777777" w:rsidR="00D12E63" w:rsidRPr="004A478D" w:rsidRDefault="00D12E63" w:rsidP="003027B3">
            <w:pPr>
              <w:pStyle w:val="KMC16-Tablecontent"/>
              <w:numPr>
                <w:ilvl w:val="0"/>
                <w:numId w:val="11"/>
              </w:numPr>
              <w:rPr>
                <w:lang w:val="en-AU"/>
              </w:rPr>
            </w:pPr>
            <w:r w:rsidRPr="004A478D">
              <w:rPr>
                <w:lang w:val="en-AU"/>
              </w:rPr>
              <w:t>Glycaemic control</w:t>
            </w:r>
          </w:p>
          <w:p w14:paraId="1DE0F187" w14:textId="5F66AA5E" w:rsidR="00D12E63" w:rsidRPr="004A478D" w:rsidRDefault="00D12E63" w:rsidP="003027B3">
            <w:pPr>
              <w:pStyle w:val="KMC16-Tablecontent"/>
              <w:numPr>
                <w:ilvl w:val="1"/>
                <w:numId w:val="11"/>
              </w:numPr>
              <w:rPr>
                <w:lang w:val="en-AU"/>
              </w:rPr>
            </w:pPr>
            <w:r w:rsidRPr="00A54EDF">
              <w:rPr>
                <w:lang w:val="en-AU"/>
              </w:rPr>
              <w:t>HbA1c</w:t>
            </w:r>
          </w:p>
          <w:p w14:paraId="599E91C5" w14:textId="00A2CC11" w:rsidR="00D12E63" w:rsidRPr="004A478D" w:rsidRDefault="00D12E63" w:rsidP="003027B3">
            <w:pPr>
              <w:pStyle w:val="KMC16-Tablecontent"/>
              <w:numPr>
                <w:ilvl w:val="1"/>
                <w:numId w:val="11"/>
              </w:numPr>
              <w:rPr>
                <w:lang w:val="en-AU"/>
              </w:rPr>
            </w:pPr>
            <w:bookmarkStart w:id="15" w:name="_Hlk187153039"/>
            <w:r w:rsidRPr="004A478D">
              <w:rPr>
                <w:lang w:val="en-AU"/>
              </w:rPr>
              <w:t>mean fasting glucose concentration during first 4 weeks of glucose monitoring (CGM or SMBG)</w:t>
            </w:r>
          </w:p>
          <w:p w14:paraId="334B2894" w14:textId="77777777" w:rsidR="00D12E63" w:rsidRPr="004A478D" w:rsidRDefault="00D12E63" w:rsidP="003027B3">
            <w:pPr>
              <w:pStyle w:val="KMC16-Tablecontent"/>
              <w:numPr>
                <w:ilvl w:val="1"/>
                <w:numId w:val="11"/>
              </w:numPr>
              <w:rPr>
                <w:strike/>
                <w:lang w:val="en-AU"/>
              </w:rPr>
            </w:pPr>
            <w:r w:rsidRPr="004A478D">
              <w:rPr>
                <w:strike/>
                <w:lang w:val="en-AU"/>
              </w:rPr>
              <w:t>post prandial mean glycaemia</w:t>
            </w:r>
          </w:p>
          <w:bookmarkEnd w:id="15"/>
          <w:p w14:paraId="656092D3" w14:textId="47543D90" w:rsidR="00D12E63" w:rsidRPr="004A478D" w:rsidRDefault="00D12E63" w:rsidP="003027B3">
            <w:pPr>
              <w:pStyle w:val="KMC16-Tablecontent"/>
              <w:numPr>
                <w:ilvl w:val="1"/>
                <w:numId w:val="11"/>
              </w:numPr>
              <w:rPr>
                <w:lang w:val="en-AU"/>
              </w:rPr>
            </w:pPr>
            <w:r w:rsidRPr="00A54EDF">
              <w:rPr>
                <w:lang w:val="en-AU"/>
              </w:rPr>
              <w:t>TIR</w:t>
            </w:r>
            <w:r w:rsidR="002415A6" w:rsidRPr="00A54EDF">
              <w:rPr>
                <w:lang w:val="en-AU"/>
              </w:rPr>
              <w:t xml:space="preserve">, </w:t>
            </w:r>
            <w:r w:rsidRPr="00A54EDF">
              <w:rPr>
                <w:lang w:val="en-AU"/>
              </w:rPr>
              <w:t>TBR</w:t>
            </w:r>
            <w:r w:rsidR="002415A6" w:rsidRPr="00A54EDF">
              <w:rPr>
                <w:lang w:val="en-AU"/>
              </w:rPr>
              <w:t xml:space="preserve">, </w:t>
            </w:r>
            <w:r w:rsidRPr="00A54EDF">
              <w:rPr>
                <w:lang w:val="en-AU"/>
              </w:rPr>
              <w:t>TAR</w:t>
            </w:r>
          </w:p>
          <w:p w14:paraId="44ED996B" w14:textId="77777777" w:rsidR="00D12E63" w:rsidRPr="004A478D" w:rsidRDefault="00D12E63" w:rsidP="003027B3">
            <w:pPr>
              <w:pStyle w:val="KMC16-Tablecontent"/>
              <w:numPr>
                <w:ilvl w:val="1"/>
                <w:numId w:val="11"/>
              </w:numPr>
              <w:rPr>
                <w:lang w:val="en-AU"/>
              </w:rPr>
            </w:pPr>
            <w:r w:rsidRPr="004A478D">
              <w:rPr>
                <w:lang w:val="en-AU"/>
              </w:rPr>
              <w:t>number of hypoglycaemic/hyperglycaemic excursions</w:t>
            </w:r>
          </w:p>
          <w:p w14:paraId="6A2385DF" w14:textId="77777777" w:rsidR="00D12E63" w:rsidRPr="004A478D" w:rsidRDefault="00D12E63" w:rsidP="003027B3">
            <w:pPr>
              <w:pStyle w:val="KMC16-Tablecontent"/>
              <w:numPr>
                <w:ilvl w:val="1"/>
                <w:numId w:val="11"/>
              </w:numPr>
              <w:rPr>
                <w:strike/>
                <w:lang w:val="en-AU"/>
              </w:rPr>
            </w:pPr>
            <w:r w:rsidRPr="004A478D">
              <w:rPr>
                <w:strike/>
                <w:lang w:val="en-AU"/>
              </w:rPr>
              <w:t>glycaemic variability</w:t>
            </w:r>
          </w:p>
          <w:p w14:paraId="6FD39A58" w14:textId="66DA4A54" w:rsidR="00D12E63" w:rsidRPr="004A478D" w:rsidRDefault="00D12E63" w:rsidP="003027B3">
            <w:pPr>
              <w:pStyle w:val="KMC16-Tablecontent"/>
              <w:numPr>
                <w:ilvl w:val="0"/>
                <w:numId w:val="11"/>
              </w:numPr>
              <w:rPr>
                <w:lang w:val="en-AU"/>
              </w:rPr>
            </w:pPr>
            <w:r w:rsidRPr="004A478D">
              <w:rPr>
                <w:lang w:val="en-AU"/>
              </w:rPr>
              <w:t>Change in body weight/body mass index</w:t>
            </w:r>
          </w:p>
          <w:p w14:paraId="23D5161C" w14:textId="77777777" w:rsidR="00D12E63" w:rsidRPr="004A478D" w:rsidRDefault="00D12E63" w:rsidP="004A2A66">
            <w:pPr>
              <w:pStyle w:val="KMC16-Tablecontent"/>
              <w:rPr>
                <w:b/>
                <w:lang w:val="en-AU"/>
              </w:rPr>
            </w:pPr>
            <w:r w:rsidRPr="004A478D">
              <w:rPr>
                <w:b/>
                <w:lang w:val="en-AU"/>
              </w:rPr>
              <w:t xml:space="preserve">Effectiveness for child: </w:t>
            </w:r>
          </w:p>
          <w:p w14:paraId="40BDF8A1" w14:textId="6EDADF4A" w:rsidR="00D12E63" w:rsidRPr="004A478D" w:rsidRDefault="00D12E63" w:rsidP="003027B3">
            <w:pPr>
              <w:pStyle w:val="KMC16-Tablecontent"/>
              <w:numPr>
                <w:ilvl w:val="0"/>
                <w:numId w:val="11"/>
              </w:numPr>
              <w:rPr>
                <w:lang w:val="en-AU"/>
              </w:rPr>
            </w:pPr>
            <w:r w:rsidRPr="004A478D">
              <w:rPr>
                <w:lang w:val="en-AU"/>
              </w:rPr>
              <w:t>Neonatal complications (neonatal hypoglycaemia</w:t>
            </w:r>
            <w:r w:rsidR="002415A6" w:rsidRPr="00A54EDF">
              <w:rPr>
                <w:lang w:val="en-AU"/>
              </w:rPr>
              <w:t>,</w:t>
            </w:r>
            <w:r w:rsidRPr="004A478D">
              <w:rPr>
                <w:lang w:val="en-AU"/>
              </w:rPr>
              <w:t xml:space="preserve"> large for gestational age</w:t>
            </w:r>
            <w:r w:rsidR="002415A6" w:rsidRPr="00A54EDF">
              <w:rPr>
                <w:lang w:val="en-AU"/>
              </w:rPr>
              <w:t>,</w:t>
            </w:r>
            <w:r w:rsidRPr="004A478D">
              <w:rPr>
                <w:lang w:val="en-AU"/>
              </w:rPr>
              <w:t xml:space="preserve"> gestational age at birth</w:t>
            </w:r>
            <w:r w:rsidR="002415A6" w:rsidRPr="00A54EDF">
              <w:rPr>
                <w:lang w:val="en-AU"/>
              </w:rPr>
              <w:t>,</w:t>
            </w:r>
            <w:r w:rsidRPr="004A478D">
              <w:rPr>
                <w:lang w:val="en-AU"/>
              </w:rPr>
              <w:t xml:space="preserve"> respiratory complications</w:t>
            </w:r>
            <w:r w:rsidR="002415A6" w:rsidRPr="00A54EDF">
              <w:rPr>
                <w:lang w:val="en-AU"/>
              </w:rPr>
              <w:t>,</w:t>
            </w:r>
            <w:r w:rsidRPr="004A478D">
              <w:rPr>
                <w:lang w:val="en-AU"/>
              </w:rPr>
              <w:t xml:space="preserve"> high birth weight)</w:t>
            </w:r>
          </w:p>
          <w:p w14:paraId="52F804C4" w14:textId="77777777" w:rsidR="00D12E63" w:rsidRPr="004A478D" w:rsidRDefault="00D12E63" w:rsidP="003027B3">
            <w:pPr>
              <w:pStyle w:val="KMC16-Tablecontent"/>
              <w:numPr>
                <w:ilvl w:val="0"/>
                <w:numId w:val="11"/>
              </w:numPr>
              <w:rPr>
                <w:strike/>
                <w:lang w:val="en-AU"/>
              </w:rPr>
            </w:pPr>
            <w:r w:rsidRPr="004A478D">
              <w:rPr>
                <w:strike/>
                <w:lang w:val="en-AU"/>
              </w:rPr>
              <w:t>Complications during birth</w:t>
            </w:r>
          </w:p>
          <w:p w14:paraId="0FDBA999" w14:textId="7ECAA4A0" w:rsidR="00D12E63" w:rsidRPr="004A478D" w:rsidRDefault="00D12E63" w:rsidP="003027B3">
            <w:pPr>
              <w:pStyle w:val="KMC16-Tablecontent"/>
              <w:numPr>
                <w:ilvl w:val="0"/>
                <w:numId w:val="11"/>
              </w:numPr>
              <w:rPr>
                <w:lang w:val="en-AU"/>
              </w:rPr>
            </w:pPr>
            <w:r w:rsidRPr="004A478D">
              <w:rPr>
                <w:lang w:val="en-AU"/>
              </w:rPr>
              <w:t xml:space="preserve">Admission to neonatal intensive care unit </w:t>
            </w:r>
          </w:p>
          <w:p w14:paraId="7906169D" w14:textId="77777777" w:rsidR="00D12E63" w:rsidRPr="004A478D" w:rsidRDefault="00D12E63" w:rsidP="003027B3">
            <w:pPr>
              <w:pStyle w:val="KMC16-Tablecontent"/>
              <w:numPr>
                <w:ilvl w:val="0"/>
                <w:numId w:val="11"/>
              </w:numPr>
              <w:rPr>
                <w:strike/>
                <w:lang w:val="en-AU"/>
              </w:rPr>
            </w:pPr>
            <w:r w:rsidRPr="004A478D">
              <w:rPr>
                <w:strike/>
                <w:lang w:val="en-AU"/>
              </w:rPr>
              <w:t>Long-term outcomes for child (e.g. obesity, diagnosis of T2D, heart disease)</w:t>
            </w:r>
          </w:p>
          <w:p w14:paraId="799E8289" w14:textId="77777777" w:rsidR="00D12E63" w:rsidRPr="004A478D" w:rsidRDefault="00D12E63" w:rsidP="004A2A66">
            <w:pPr>
              <w:pStyle w:val="KMC16-Tablecontent"/>
              <w:rPr>
                <w:i/>
                <w:lang w:val="en-AU"/>
              </w:rPr>
            </w:pPr>
            <w:r w:rsidRPr="004A478D">
              <w:rPr>
                <w:i/>
                <w:lang w:val="en-AU"/>
              </w:rPr>
              <w:t>Additional outcomes using linked evidence approach:</w:t>
            </w:r>
          </w:p>
          <w:p w14:paraId="5102CB90" w14:textId="77777777" w:rsidR="00D12E63" w:rsidRPr="004A478D" w:rsidRDefault="00D12E63" w:rsidP="004A2A66">
            <w:pPr>
              <w:pStyle w:val="KMC16-Tablecontent"/>
              <w:rPr>
                <w:b/>
                <w:lang w:val="en-AU"/>
              </w:rPr>
            </w:pPr>
            <w:r w:rsidRPr="004A478D">
              <w:rPr>
                <w:b/>
                <w:lang w:val="en-AU"/>
              </w:rPr>
              <w:t xml:space="preserve">Analytical validity: </w:t>
            </w:r>
          </w:p>
          <w:p w14:paraId="73482EA6" w14:textId="77777777" w:rsidR="00D12E63" w:rsidRPr="004A478D" w:rsidRDefault="00D12E63" w:rsidP="003027B3">
            <w:pPr>
              <w:pStyle w:val="KMC16-Tablecontent"/>
              <w:numPr>
                <w:ilvl w:val="0"/>
                <w:numId w:val="11"/>
              </w:numPr>
              <w:rPr>
                <w:lang w:val="en-AU"/>
              </w:rPr>
            </w:pPr>
            <w:r w:rsidRPr="004A478D">
              <w:rPr>
                <w:lang w:val="en-AU"/>
              </w:rPr>
              <w:t>Accuracy, concordance</w:t>
            </w:r>
          </w:p>
          <w:p w14:paraId="33328041" w14:textId="77777777" w:rsidR="00D12E63" w:rsidRPr="004A478D" w:rsidRDefault="00D12E63" w:rsidP="003027B3">
            <w:pPr>
              <w:pStyle w:val="KMC16-Tablecontent"/>
              <w:numPr>
                <w:ilvl w:val="0"/>
                <w:numId w:val="11"/>
              </w:numPr>
              <w:rPr>
                <w:strike/>
                <w:lang w:val="en-AU"/>
              </w:rPr>
            </w:pPr>
            <w:r w:rsidRPr="004A478D">
              <w:rPr>
                <w:strike/>
                <w:lang w:val="en-AU"/>
              </w:rPr>
              <w:t>Monitoring (CGM or SMBG) failure rate</w:t>
            </w:r>
          </w:p>
          <w:p w14:paraId="336F1176" w14:textId="77777777" w:rsidR="00D12E63" w:rsidRPr="004A478D" w:rsidRDefault="00D12E63" w:rsidP="004A2A66">
            <w:pPr>
              <w:pStyle w:val="KMC16-Tablecontent"/>
              <w:rPr>
                <w:b/>
                <w:lang w:val="en-AU"/>
              </w:rPr>
            </w:pPr>
            <w:r w:rsidRPr="004A478D">
              <w:rPr>
                <w:b/>
                <w:lang w:val="en-AU"/>
              </w:rPr>
              <w:t>Change in management:</w:t>
            </w:r>
          </w:p>
          <w:p w14:paraId="46FD9929" w14:textId="77777777" w:rsidR="00D12E63" w:rsidRPr="004A478D" w:rsidRDefault="00D12E63" w:rsidP="003027B3">
            <w:pPr>
              <w:pStyle w:val="KMC16-Tablecontent"/>
              <w:numPr>
                <w:ilvl w:val="0"/>
                <w:numId w:val="11"/>
              </w:numPr>
              <w:rPr>
                <w:lang w:val="en-AU"/>
              </w:rPr>
            </w:pPr>
            <w:r w:rsidRPr="004A478D">
              <w:rPr>
                <w:lang w:val="en-AU"/>
              </w:rPr>
              <w:t>Uptake or alteration of lifestyle interventions (e.g. diet and exercise) and treatment (e.g. glucose-lowering therapy)</w:t>
            </w:r>
          </w:p>
          <w:p w14:paraId="09E983B4" w14:textId="77777777" w:rsidR="00D12E63" w:rsidRPr="004A478D" w:rsidRDefault="00D12E63" w:rsidP="003027B3">
            <w:pPr>
              <w:pStyle w:val="KMC16-Tablecontent"/>
              <w:numPr>
                <w:ilvl w:val="0"/>
                <w:numId w:val="11"/>
              </w:numPr>
              <w:rPr>
                <w:lang w:val="en-AU"/>
              </w:rPr>
            </w:pPr>
            <w:r w:rsidRPr="004A478D">
              <w:rPr>
                <w:lang w:val="en-AU"/>
              </w:rPr>
              <w:t>Adherence to CGM or SMBG</w:t>
            </w:r>
          </w:p>
          <w:p w14:paraId="5E6E40A5" w14:textId="77777777" w:rsidR="00D12E63" w:rsidRPr="004A478D" w:rsidRDefault="00D12E63" w:rsidP="003027B3">
            <w:pPr>
              <w:pStyle w:val="KMC16-Tablecontent"/>
              <w:numPr>
                <w:ilvl w:val="0"/>
                <w:numId w:val="11"/>
              </w:numPr>
              <w:rPr>
                <w:lang w:val="en-AU"/>
              </w:rPr>
            </w:pPr>
            <w:r w:rsidRPr="004A478D">
              <w:rPr>
                <w:lang w:val="en-AU"/>
              </w:rPr>
              <w:t>Adherence to treatments</w:t>
            </w:r>
          </w:p>
          <w:p w14:paraId="46B2D2E2" w14:textId="77777777" w:rsidR="00D12E63" w:rsidRPr="004A478D" w:rsidRDefault="00D12E63" w:rsidP="004A2A66">
            <w:pPr>
              <w:pStyle w:val="KMC16-Tablecontent"/>
              <w:rPr>
                <w:b/>
                <w:u w:val="single"/>
                <w:lang w:val="en-AU"/>
              </w:rPr>
            </w:pPr>
            <w:r w:rsidRPr="004A478D">
              <w:rPr>
                <w:b/>
                <w:u w:val="single"/>
                <w:lang w:val="en-AU"/>
              </w:rPr>
              <w:t>Other relevant considerations</w:t>
            </w:r>
          </w:p>
          <w:p w14:paraId="5550F2E1" w14:textId="49D55377" w:rsidR="00D12E63" w:rsidRPr="004A478D" w:rsidRDefault="00D12E63" w:rsidP="003027B3">
            <w:pPr>
              <w:pStyle w:val="KMC16-Tablecontent"/>
              <w:numPr>
                <w:ilvl w:val="0"/>
                <w:numId w:val="11"/>
              </w:numPr>
              <w:rPr>
                <w:lang w:val="en-AU"/>
              </w:rPr>
            </w:pPr>
            <w:r w:rsidRPr="004A478D">
              <w:rPr>
                <w:lang w:val="en-AU"/>
              </w:rPr>
              <w:t xml:space="preserve">Acceptability, wearability and usability of CGM </w:t>
            </w:r>
            <w:r w:rsidRPr="00A54EDF">
              <w:rPr>
                <w:lang w:val="en-AU"/>
              </w:rPr>
              <w:t>vs</w:t>
            </w:r>
            <w:r w:rsidRPr="004A478D">
              <w:rPr>
                <w:lang w:val="en-AU"/>
              </w:rPr>
              <w:t xml:space="preserve"> SMBG</w:t>
            </w:r>
          </w:p>
          <w:p w14:paraId="1D828638" w14:textId="77777777" w:rsidR="00D12E63" w:rsidRPr="004A478D" w:rsidRDefault="00D12E63" w:rsidP="003027B3">
            <w:pPr>
              <w:pStyle w:val="KMC16-Tablecontent"/>
              <w:numPr>
                <w:ilvl w:val="0"/>
                <w:numId w:val="11"/>
              </w:numPr>
              <w:rPr>
                <w:lang w:val="en-AU"/>
              </w:rPr>
            </w:pPr>
            <w:r w:rsidRPr="004A478D">
              <w:rPr>
                <w:lang w:val="en-AU"/>
              </w:rPr>
              <w:t>Ability to share blood glucose data with physician, relative or carer</w:t>
            </w:r>
          </w:p>
          <w:p w14:paraId="3363DC13" w14:textId="77777777" w:rsidR="00D12E63" w:rsidRPr="004A478D" w:rsidRDefault="00D12E63" w:rsidP="003027B3">
            <w:pPr>
              <w:pStyle w:val="KMC16-Tablecontent"/>
              <w:numPr>
                <w:ilvl w:val="0"/>
                <w:numId w:val="11"/>
              </w:numPr>
              <w:rPr>
                <w:lang w:val="en-AU"/>
              </w:rPr>
            </w:pPr>
            <w:r w:rsidRPr="004A478D">
              <w:rPr>
                <w:lang w:val="en-AU"/>
              </w:rPr>
              <w:t>Patient/carer satisfaction</w:t>
            </w:r>
          </w:p>
          <w:p w14:paraId="18FE948E" w14:textId="77777777" w:rsidR="00D12E63" w:rsidRPr="004A478D" w:rsidRDefault="00D12E63" w:rsidP="003027B3">
            <w:pPr>
              <w:pStyle w:val="KMC16-Tablecontent"/>
              <w:numPr>
                <w:ilvl w:val="0"/>
                <w:numId w:val="11"/>
              </w:numPr>
              <w:rPr>
                <w:strike/>
                <w:lang w:val="en-AU"/>
              </w:rPr>
            </w:pPr>
            <w:r w:rsidRPr="004A478D">
              <w:rPr>
                <w:strike/>
                <w:lang w:val="en-AU"/>
              </w:rPr>
              <w:t>Self-efficacy (person's belief in their ability to effectively manage their GDM and achieve their clinical goals)</w:t>
            </w:r>
          </w:p>
          <w:p w14:paraId="7995C248" w14:textId="77777777" w:rsidR="00D12E63" w:rsidRPr="004A478D" w:rsidRDefault="00D12E63" w:rsidP="003027B3">
            <w:pPr>
              <w:pStyle w:val="KMC16-Tablecontent"/>
              <w:numPr>
                <w:ilvl w:val="0"/>
                <w:numId w:val="11"/>
              </w:numPr>
              <w:rPr>
                <w:strike/>
                <w:lang w:val="en-AU"/>
              </w:rPr>
            </w:pPr>
            <w:r w:rsidRPr="004A478D">
              <w:rPr>
                <w:strike/>
                <w:lang w:val="en-AU"/>
              </w:rPr>
              <w:t>Work/school absenteeism and daily functioning</w:t>
            </w:r>
          </w:p>
          <w:p w14:paraId="014B34ED" w14:textId="77777777" w:rsidR="00D12E63" w:rsidRPr="004A478D" w:rsidRDefault="00D12E63" w:rsidP="004A2A66">
            <w:pPr>
              <w:pStyle w:val="KMC16-Tablecontent"/>
              <w:rPr>
                <w:b/>
                <w:u w:val="single"/>
                <w:lang w:val="en-AU"/>
              </w:rPr>
            </w:pPr>
            <w:r w:rsidRPr="004A478D">
              <w:rPr>
                <w:b/>
                <w:u w:val="single"/>
                <w:lang w:val="en-AU"/>
              </w:rPr>
              <w:t>Healthcare system outcomes</w:t>
            </w:r>
          </w:p>
          <w:p w14:paraId="3D3A29CF" w14:textId="77777777" w:rsidR="00D12E63" w:rsidRPr="004A478D" w:rsidRDefault="00D12E63" w:rsidP="003027B3">
            <w:pPr>
              <w:pStyle w:val="KMC16-Tablecontent"/>
              <w:numPr>
                <w:ilvl w:val="0"/>
                <w:numId w:val="11"/>
              </w:numPr>
              <w:rPr>
                <w:lang w:val="en-AU"/>
              </w:rPr>
            </w:pPr>
            <w:r w:rsidRPr="004A478D">
              <w:rPr>
                <w:lang w:val="en-AU"/>
              </w:rPr>
              <w:t xml:space="preserve">Cost, cost-effectiveness </w:t>
            </w:r>
          </w:p>
          <w:p w14:paraId="7B62CF80" w14:textId="17EFE236" w:rsidR="00D12E63" w:rsidRPr="004A478D" w:rsidRDefault="00D12E63" w:rsidP="003027B3">
            <w:pPr>
              <w:pStyle w:val="KMC16-Tablecontent"/>
              <w:numPr>
                <w:ilvl w:val="0"/>
                <w:numId w:val="11"/>
              </w:numPr>
              <w:rPr>
                <w:b/>
                <w:lang w:val="en-AU"/>
              </w:rPr>
            </w:pPr>
            <w:r w:rsidRPr="004A478D">
              <w:rPr>
                <w:lang w:val="en-AU"/>
              </w:rPr>
              <w:t>Financial implications (financial impact, overall healthcare costs including cost of ongoing surveillance of mother and child post-partum for complications of GDM and development of T2D).</w:t>
            </w:r>
          </w:p>
        </w:tc>
      </w:tr>
      <w:tr w:rsidR="00D12E63" w:rsidRPr="002D0C52" w14:paraId="7DD30757" w14:textId="77777777" w:rsidTr="00F8485C">
        <w:tc>
          <w:tcPr>
            <w:tcW w:w="2002" w:type="dxa"/>
          </w:tcPr>
          <w:p w14:paraId="005EF037" w14:textId="77777777" w:rsidR="00D12E63" w:rsidRPr="004A478D" w:rsidRDefault="00D12E63" w:rsidP="004A2A66">
            <w:pPr>
              <w:pStyle w:val="KMC16-Tablecontent"/>
              <w:rPr>
                <w:lang w:val="en-AU"/>
              </w:rPr>
            </w:pPr>
            <w:r w:rsidRPr="004A478D">
              <w:rPr>
                <w:lang w:val="en-AU"/>
              </w:rPr>
              <w:t>Assessment questions</w:t>
            </w:r>
          </w:p>
        </w:tc>
        <w:tc>
          <w:tcPr>
            <w:tcW w:w="7212" w:type="dxa"/>
          </w:tcPr>
          <w:p w14:paraId="55321817" w14:textId="77777777" w:rsidR="00D12E63" w:rsidRPr="004A478D" w:rsidRDefault="00D12E63" w:rsidP="004A2A66">
            <w:pPr>
              <w:pStyle w:val="KMC16-Tablecontent"/>
              <w:rPr>
                <w:b/>
                <w:lang w:val="en-AU"/>
              </w:rPr>
            </w:pPr>
            <w:r w:rsidRPr="004A478D">
              <w:rPr>
                <w:lang w:val="en-AU"/>
              </w:rPr>
              <w:t xml:space="preserve">What is the safety, effectiveness and cost-effectiveness of FreeStyle Libre 2 or </w:t>
            </w:r>
            <w:r w:rsidRPr="005C28E5">
              <w:rPr>
                <w:color w:val="388600"/>
                <w:lang w:val="en-AU"/>
              </w:rPr>
              <w:t>FreeStyle Libre 2 Plus</w:t>
            </w:r>
            <w:r w:rsidRPr="004A478D">
              <w:rPr>
                <w:lang w:val="en-AU"/>
              </w:rPr>
              <w:t xml:space="preserve"> CGM versus SMBG in pregnant women with GDM?</w:t>
            </w:r>
          </w:p>
        </w:tc>
      </w:tr>
    </w:tbl>
    <w:p w14:paraId="2DFB166F" w14:textId="77777777" w:rsidR="00E75144" w:rsidRPr="00E75144" w:rsidRDefault="00E75144" w:rsidP="00E75144">
      <w:pPr>
        <w:pStyle w:val="KMC16-TFNotes"/>
        <w:rPr>
          <w:rFonts w:ascii="Arial Narrow" w:hAnsi="Arial Narrow"/>
          <w:u w:val="single"/>
        </w:rPr>
      </w:pPr>
      <w:r w:rsidRPr="00E75144">
        <w:rPr>
          <w:rFonts w:ascii="Arial Narrow" w:hAnsi="Arial Narrow"/>
          <w:b/>
          <w:bCs/>
          <w:u w:val="single"/>
        </w:rPr>
        <w:t>Abbreviations</w:t>
      </w:r>
    </w:p>
    <w:p w14:paraId="14987EBD" w14:textId="45AF2B02" w:rsidR="00E75144" w:rsidRPr="00E75144" w:rsidRDefault="00E75144" w:rsidP="00E75144">
      <w:pPr>
        <w:pStyle w:val="KMC16-TFNotes"/>
        <w:rPr>
          <w:rFonts w:ascii="Arial Narrow" w:hAnsi="Arial Narrow"/>
        </w:rPr>
      </w:pPr>
      <w:r w:rsidRPr="00E75144">
        <w:rPr>
          <w:rFonts w:ascii="Arial Narrow" w:hAnsi="Arial Narrow"/>
          <w:b/>
          <w:bCs/>
        </w:rPr>
        <w:t>AE</w:t>
      </w:r>
      <w:r>
        <w:rPr>
          <w:rFonts w:ascii="Arial Narrow" w:hAnsi="Arial Narrow"/>
        </w:rPr>
        <w:t xml:space="preserve"> = adverse events, </w:t>
      </w:r>
      <w:r w:rsidRPr="00E75144">
        <w:rPr>
          <w:rFonts w:ascii="Arial Narrow" w:hAnsi="Arial Narrow"/>
          <w:b/>
          <w:bCs/>
        </w:rPr>
        <w:t>FSL</w:t>
      </w:r>
      <w:r>
        <w:rPr>
          <w:rFonts w:ascii="Arial Narrow" w:hAnsi="Arial Narrow"/>
        </w:rPr>
        <w:t xml:space="preserve"> =</w:t>
      </w:r>
      <w:r w:rsidRPr="00E75144">
        <w:rPr>
          <w:rFonts w:ascii="Arial Narrow" w:hAnsi="Arial Narrow"/>
        </w:rPr>
        <w:t xml:space="preserve"> FreeStyle Libre Continuous Glucose Monitoring; </w:t>
      </w:r>
      <w:r w:rsidR="00703F55" w:rsidRPr="00703F55">
        <w:rPr>
          <w:rFonts w:ascii="Arial Narrow" w:hAnsi="Arial Narrow"/>
          <w:b/>
          <w:bCs/>
        </w:rPr>
        <w:t>GDM</w:t>
      </w:r>
      <w:r w:rsidR="00703F55">
        <w:rPr>
          <w:rFonts w:ascii="Arial Narrow" w:hAnsi="Arial Narrow"/>
        </w:rPr>
        <w:t xml:space="preserve"> = gestational diabetes, </w:t>
      </w:r>
      <w:r w:rsidRPr="00E75144">
        <w:rPr>
          <w:rFonts w:ascii="Arial Narrow" w:hAnsi="Arial Narrow"/>
          <w:b/>
          <w:bCs/>
        </w:rPr>
        <w:t>HbA1c</w:t>
      </w:r>
      <w:r>
        <w:rPr>
          <w:rFonts w:ascii="Arial Narrow" w:hAnsi="Arial Narrow"/>
        </w:rPr>
        <w:t xml:space="preserve"> =</w:t>
      </w:r>
      <w:r w:rsidRPr="00E75144">
        <w:rPr>
          <w:rFonts w:ascii="Arial Narrow" w:hAnsi="Arial Narrow"/>
        </w:rPr>
        <w:t xml:space="preserve"> glycated haemoglobin; </w:t>
      </w:r>
      <w:r w:rsidR="00D029D4" w:rsidRPr="005102BE">
        <w:rPr>
          <w:rFonts w:ascii="Arial Narrow" w:hAnsi="Arial Narrow"/>
          <w:b/>
          <w:bCs/>
        </w:rPr>
        <w:t>OGTT</w:t>
      </w:r>
      <w:r w:rsidR="00D029D4">
        <w:rPr>
          <w:rFonts w:ascii="Arial Narrow" w:hAnsi="Arial Narrow"/>
        </w:rPr>
        <w:t xml:space="preserve"> = oral glucose tolerance test, </w:t>
      </w:r>
      <w:r w:rsidRPr="00E75144">
        <w:rPr>
          <w:rFonts w:ascii="Arial Narrow" w:hAnsi="Arial Narrow"/>
          <w:b/>
          <w:bCs/>
        </w:rPr>
        <w:t>QoL</w:t>
      </w:r>
      <w:r>
        <w:rPr>
          <w:rFonts w:ascii="Arial Narrow" w:hAnsi="Arial Narrow"/>
        </w:rPr>
        <w:t xml:space="preserve"> =</w:t>
      </w:r>
      <w:r w:rsidRPr="00E75144">
        <w:rPr>
          <w:rFonts w:ascii="Arial Narrow" w:hAnsi="Arial Narrow"/>
        </w:rPr>
        <w:t xml:space="preserve"> quality of life; </w:t>
      </w:r>
      <w:r w:rsidRPr="00E75144">
        <w:rPr>
          <w:rFonts w:ascii="Arial Narrow" w:hAnsi="Arial Narrow"/>
          <w:b/>
          <w:bCs/>
        </w:rPr>
        <w:t>SMBG</w:t>
      </w:r>
      <w:r>
        <w:rPr>
          <w:rFonts w:ascii="Arial Narrow" w:hAnsi="Arial Narrow"/>
        </w:rPr>
        <w:t xml:space="preserve"> =</w:t>
      </w:r>
      <w:r w:rsidRPr="00E75144">
        <w:rPr>
          <w:rFonts w:ascii="Arial Narrow" w:hAnsi="Arial Narrow"/>
        </w:rPr>
        <w:t xml:space="preserve"> self-monitoring of blood glucose; </w:t>
      </w:r>
      <w:r w:rsidRPr="00E75144">
        <w:rPr>
          <w:rFonts w:ascii="Arial Narrow" w:hAnsi="Arial Narrow"/>
          <w:b/>
          <w:bCs/>
        </w:rPr>
        <w:t>T2D</w:t>
      </w:r>
      <w:r>
        <w:rPr>
          <w:rFonts w:ascii="Arial Narrow" w:hAnsi="Arial Narrow"/>
        </w:rPr>
        <w:t xml:space="preserve"> =</w:t>
      </w:r>
      <w:r w:rsidRPr="00E75144">
        <w:rPr>
          <w:rFonts w:ascii="Arial Narrow" w:hAnsi="Arial Narrow"/>
        </w:rPr>
        <w:t xml:space="preserve"> type 2 diabetes</w:t>
      </w:r>
      <w:r>
        <w:rPr>
          <w:rFonts w:ascii="Arial Narrow" w:hAnsi="Arial Narrow"/>
        </w:rPr>
        <w:t xml:space="preserve">; </w:t>
      </w:r>
      <w:r w:rsidRPr="00E75144">
        <w:rPr>
          <w:rFonts w:ascii="Arial Narrow" w:hAnsi="Arial Narrow"/>
          <w:b/>
          <w:bCs/>
        </w:rPr>
        <w:t>TIR</w:t>
      </w:r>
      <w:r>
        <w:rPr>
          <w:rFonts w:ascii="Arial Narrow" w:hAnsi="Arial Narrow"/>
          <w:b/>
          <w:bCs/>
        </w:rPr>
        <w:t xml:space="preserve"> </w:t>
      </w:r>
      <w:r w:rsidRPr="00E75144">
        <w:rPr>
          <w:rFonts w:ascii="Arial Narrow" w:hAnsi="Arial Narrow"/>
        </w:rPr>
        <w:t>=</w:t>
      </w:r>
      <w:r>
        <w:rPr>
          <w:rFonts w:ascii="Arial Narrow" w:hAnsi="Arial Narrow"/>
        </w:rPr>
        <w:t xml:space="preserve"> time in range; </w:t>
      </w:r>
      <w:r>
        <w:rPr>
          <w:rFonts w:ascii="Arial Narrow" w:hAnsi="Arial Narrow"/>
          <w:b/>
          <w:bCs/>
        </w:rPr>
        <w:t>TBR</w:t>
      </w:r>
      <w:r>
        <w:rPr>
          <w:rFonts w:ascii="Arial Narrow" w:hAnsi="Arial Narrow"/>
        </w:rPr>
        <w:t xml:space="preserve"> = time below range, </w:t>
      </w:r>
      <w:r>
        <w:rPr>
          <w:rFonts w:ascii="Arial Narrow" w:hAnsi="Arial Narrow"/>
          <w:b/>
          <w:bCs/>
        </w:rPr>
        <w:t>TAR</w:t>
      </w:r>
      <w:r>
        <w:rPr>
          <w:rFonts w:ascii="Arial Narrow" w:hAnsi="Arial Narrow"/>
        </w:rPr>
        <w:t xml:space="preserve"> = time above range. </w:t>
      </w:r>
    </w:p>
    <w:p w14:paraId="3942C70B" w14:textId="77777777" w:rsidR="00E75144" w:rsidRPr="00E75144" w:rsidRDefault="00E75144" w:rsidP="00E75144">
      <w:pPr>
        <w:pStyle w:val="KMC16-TFNotes"/>
        <w:rPr>
          <w:rFonts w:ascii="Arial Narrow" w:hAnsi="Arial Narrow"/>
          <w:b/>
          <w:bCs/>
          <w:u w:val="single"/>
        </w:rPr>
      </w:pPr>
      <w:r w:rsidRPr="00E75144">
        <w:rPr>
          <w:rFonts w:ascii="Arial Narrow" w:hAnsi="Arial Narrow"/>
          <w:b/>
          <w:bCs/>
          <w:u w:val="single"/>
        </w:rPr>
        <w:t>Notes</w:t>
      </w:r>
    </w:p>
    <w:p w14:paraId="1AAB5909" w14:textId="1AD037D0" w:rsidR="001947DB" w:rsidRDefault="00E75144" w:rsidP="001947DB">
      <w:pPr>
        <w:pStyle w:val="KMC16-TFNotes"/>
        <w:rPr>
          <w:rFonts w:ascii="Arial Narrow" w:hAnsi="Arial Narrow"/>
        </w:rPr>
      </w:pPr>
      <w:r w:rsidRPr="00E75144">
        <w:rPr>
          <w:rFonts w:ascii="Arial Narrow" w:hAnsi="Arial Narrow"/>
        </w:rPr>
        <w:t xml:space="preserve">Not all outcomes in the PICO confirmation were supported by evidence in the literature. </w:t>
      </w:r>
      <w:r w:rsidR="0097087B" w:rsidRPr="00A54EDF">
        <w:rPr>
          <w:rFonts w:ascii="Arial Narrow" w:hAnsi="Arial Narrow"/>
        </w:rPr>
        <w:t>Outcomes unavailable</w:t>
      </w:r>
      <w:r w:rsidR="0097087B" w:rsidRPr="00E75144">
        <w:rPr>
          <w:rFonts w:ascii="Arial Narrow" w:hAnsi="Arial Narrow"/>
        </w:rPr>
        <w:t xml:space="preserve"> have a </w:t>
      </w:r>
      <w:r w:rsidR="0097087B" w:rsidRPr="00E75144">
        <w:rPr>
          <w:rFonts w:ascii="Arial Narrow" w:hAnsi="Arial Narrow"/>
          <w:strike/>
        </w:rPr>
        <w:t>strikethrough</w:t>
      </w:r>
      <w:r w:rsidR="0097087B" w:rsidRPr="00E75144">
        <w:rPr>
          <w:rFonts w:ascii="Arial Narrow" w:hAnsi="Arial Narrow"/>
        </w:rPr>
        <w:t xml:space="preserve"> line. </w:t>
      </w:r>
      <w:r w:rsidR="0097087B" w:rsidRPr="00A54EDF">
        <w:rPr>
          <w:rFonts w:ascii="Arial Narrow" w:hAnsi="Arial Narrow"/>
        </w:rPr>
        <w:t xml:space="preserve">Outcomes </w:t>
      </w:r>
      <w:r w:rsidR="0097087B" w:rsidRPr="00E75144">
        <w:rPr>
          <w:rFonts w:ascii="Arial Narrow" w:hAnsi="Arial Narrow"/>
        </w:rPr>
        <w:t xml:space="preserve">found in modelling or added for the ADAR are coloured </w:t>
      </w:r>
      <w:r w:rsidR="0097087B" w:rsidRPr="005C28E5">
        <w:rPr>
          <w:rFonts w:ascii="Arial Narrow" w:hAnsi="Arial Narrow"/>
          <w:color w:val="388600"/>
        </w:rPr>
        <w:t>green</w:t>
      </w:r>
      <w:r w:rsidR="0097087B" w:rsidRPr="00E75144">
        <w:rPr>
          <w:rFonts w:ascii="Arial Narrow" w:hAnsi="Arial Narrow"/>
        </w:rPr>
        <w:t>.</w:t>
      </w:r>
      <w:r w:rsidR="001947DB">
        <w:rPr>
          <w:rFonts w:ascii="Arial Narrow" w:hAnsi="Arial Narrow"/>
        </w:rPr>
        <w:br w:type="page"/>
      </w:r>
    </w:p>
    <w:p w14:paraId="2533183C" w14:textId="2CF370E1" w:rsidR="00D12E63" w:rsidRPr="003A0813" w:rsidRDefault="00D12E63" w:rsidP="00D12E63">
      <w:pPr>
        <w:pStyle w:val="KMC16-Caption"/>
        <w:rPr>
          <w:rFonts w:ascii="Arial Narrow" w:hAnsi="Arial Narrow"/>
        </w:rPr>
      </w:pPr>
      <w:bookmarkStart w:id="16" w:name="_Ref192495825"/>
      <w:r w:rsidRPr="003A0813">
        <w:rPr>
          <w:rFonts w:ascii="Arial Narrow" w:hAnsi="Arial Narrow"/>
        </w:rPr>
        <w:t>Table </w:t>
      </w:r>
      <w:r w:rsidR="00315A60" w:rsidRPr="003A0813">
        <w:rPr>
          <w:rFonts w:ascii="Arial Narrow" w:hAnsi="Arial Narrow"/>
        </w:rPr>
        <w:fldChar w:fldCharType="begin"/>
      </w:r>
      <w:r w:rsidR="00315A60" w:rsidRPr="003A0813">
        <w:rPr>
          <w:rFonts w:ascii="Arial Narrow" w:hAnsi="Arial Narrow"/>
        </w:rPr>
        <w:instrText xml:space="preserve"> SEQ Table \* ARABIC </w:instrText>
      </w:r>
      <w:r w:rsidR="00315A60" w:rsidRPr="003A0813">
        <w:rPr>
          <w:rFonts w:ascii="Arial Narrow" w:hAnsi="Arial Narrow"/>
        </w:rPr>
        <w:fldChar w:fldCharType="separate"/>
      </w:r>
      <w:r w:rsidR="00315A60" w:rsidRPr="003A0813">
        <w:rPr>
          <w:rFonts w:ascii="Arial Narrow" w:hAnsi="Arial Narrow"/>
          <w:noProof/>
        </w:rPr>
        <w:t>4</w:t>
      </w:r>
      <w:r w:rsidR="00315A60" w:rsidRPr="003A0813">
        <w:rPr>
          <w:rFonts w:ascii="Arial Narrow" w:hAnsi="Arial Narrow"/>
          <w:noProof/>
        </w:rPr>
        <w:fldChar w:fldCharType="end"/>
      </w:r>
      <w:bookmarkEnd w:id="16"/>
      <w:r w:rsidRPr="003A0813">
        <w:rPr>
          <w:rFonts w:ascii="Arial Narrow" w:hAnsi="Arial Narrow" w:cs="Arial"/>
        </w:rPr>
        <w:tab/>
      </w:r>
      <w:r w:rsidR="003A0813">
        <w:rPr>
          <w:rFonts w:ascii="Arial Narrow" w:hAnsi="Arial Narrow" w:cs="Arial"/>
        </w:rPr>
        <w:tab/>
      </w:r>
      <w:r w:rsidRPr="003A0813">
        <w:rPr>
          <w:rFonts w:ascii="Arial Narrow" w:hAnsi="Arial Narrow"/>
        </w:rPr>
        <w:t xml:space="preserve">PICO Set 3 criteria for assessing FSL products for improving glycaemic outcomes in people with other </w:t>
      </w:r>
      <w:r w:rsidR="00CE51EF" w:rsidRPr="003A0813">
        <w:rPr>
          <w:rFonts w:ascii="Arial Narrow" w:hAnsi="Arial Narrow"/>
        </w:rPr>
        <w:t xml:space="preserve">conditions </w:t>
      </w:r>
      <w:proofErr w:type="gramStart"/>
      <w:r w:rsidR="00CE51EF" w:rsidRPr="003A0813">
        <w:rPr>
          <w:rFonts w:ascii="Arial Narrow" w:hAnsi="Arial Narrow"/>
        </w:rPr>
        <w:t>similar to</w:t>
      </w:r>
      <w:proofErr w:type="gramEnd"/>
      <w:r w:rsidR="00CE51EF" w:rsidRPr="003A0813">
        <w:rPr>
          <w:rFonts w:ascii="Arial Narrow" w:hAnsi="Arial Narrow"/>
        </w:rPr>
        <w:t xml:space="preserve"> T1D requiring insulin</w:t>
      </w:r>
      <w:r w:rsidRPr="003A0813">
        <w:rPr>
          <w:rFonts w:ascii="Arial Narrow" w:hAnsi="Arial Narrow"/>
        </w:rPr>
        <w:t xml:space="preserve"> including T3cD</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2"/>
        <w:gridCol w:w="7212"/>
      </w:tblGrid>
      <w:tr w:rsidR="00D12E63" w:rsidRPr="005E4286" w14:paraId="2D880F25" w14:textId="77777777" w:rsidTr="00F8485C">
        <w:tc>
          <w:tcPr>
            <w:tcW w:w="2002" w:type="dxa"/>
          </w:tcPr>
          <w:p w14:paraId="33E49629" w14:textId="77777777" w:rsidR="00D12E63" w:rsidRPr="004A478D" w:rsidRDefault="00D12E63" w:rsidP="001947DB">
            <w:pPr>
              <w:pStyle w:val="KMC16-Tablecontent"/>
              <w:spacing w:before="0" w:after="0"/>
              <w:rPr>
                <w:lang w:val="en-AU"/>
              </w:rPr>
            </w:pPr>
            <w:r w:rsidRPr="004A478D">
              <w:rPr>
                <w:lang w:val="en-AU"/>
              </w:rPr>
              <w:t>Population</w:t>
            </w:r>
          </w:p>
        </w:tc>
        <w:tc>
          <w:tcPr>
            <w:tcW w:w="7212" w:type="dxa"/>
          </w:tcPr>
          <w:p w14:paraId="636179BC" w14:textId="0CBF8F85" w:rsidR="00D12E63" w:rsidRPr="004A478D" w:rsidRDefault="00D12E63" w:rsidP="001947DB">
            <w:pPr>
              <w:pStyle w:val="KMC16-Tablecontent"/>
              <w:spacing w:before="0" w:after="0"/>
              <w:rPr>
                <w:lang w:val="en-AU"/>
              </w:rPr>
            </w:pPr>
            <w:r w:rsidRPr="004A478D">
              <w:rPr>
                <w:lang w:val="en-AU"/>
              </w:rPr>
              <w:t xml:space="preserve">People aged ≥21 years with other </w:t>
            </w:r>
            <w:r w:rsidR="00CE51EF">
              <w:rPr>
                <w:lang w:val="en-AU"/>
              </w:rPr>
              <w:t>conditions</w:t>
            </w:r>
            <w:r w:rsidRPr="004A478D">
              <w:rPr>
                <w:lang w:val="en-AU"/>
              </w:rPr>
              <w:t xml:space="preserve"> </w:t>
            </w:r>
            <w:proofErr w:type="gramStart"/>
            <w:r w:rsidRPr="004A478D">
              <w:rPr>
                <w:lang w:val="en-AU"/>
              </w:rPr>
              <w:t>similar to</w:t>
            </w:r>
            <w:proofErr w:type="gramEnd"/>
            <w:r w:rsidRPr="004A478D">
              <w:rPr>
                <w:lang w:val="en-AU"/>
              </w:rPr>
              <w:t xml:space="preserve"> T1D requiring insulin</w:t>
            </w:r>
            <w:r w:rsidR="00CE51EF" w:rsidRPr="004A478D">
              <w:rPr>
                <w:lang w:val="en-AU"/>
              </w:rPr>
              <w:t xml:space="preserve"> (e.g. </w:t>
            </w:r>
            <w:r w:rsidR="00CE51EF" w:rsidRPr="00A54EDF">
              <w:rPr>
                <w:lang w:val="en-AU"/>
              </w:rPr>
              <w:t>T3cD</w:t>
            </w:r>
            <w:r w:rsidR="00CE51EF" w:rsidRPr="004A478D">
              <w:rPr>
                <w:lang w:val="en-AU"/>
              </w:rPr>
              <w:t>)</w:t>
            </w:r>
          </w:p>
        </w:tc>
      </w:tr>
      <w:tr w:rsidR="00D12E63" w:rsidRPr="005E4286" w14:paraId="2A040ACC" w14:textId="77777777" w:rsidTr="00F8485C">
        <w:tc>
          <w:tcPr>
            <w:tcW w:w="2002" w:type="dxa"/>
          </w:tcPr>
          <w:p w14:paraId="57B9BCDB" w14:textId="77777777" w:rsidR="00D12E63" w:rsidRPr="004A478D" w:rsidRDefault="00D12E63" w:rsidP="001947DB">
            <w:pPr>
              <w:pStyle w:val="KMC16-Tablecontent"/>
              <w:spacing w:before="0" w:after="0"/>
              <w:rPr>
                <w:lang w:val="en-AU"/>
              </w:rPr>
            </w:pPr>
            <w:r w:rsidRPr="004A478D">
              <w:rPr>
                <w:lang w:val="en-AU"/>
              </w:rPr>
              <w:t>Prior Tests</w:t>
            </w:r>
          </w:p>
        </w:tc>
        <w:tc>
          <w:tcPr>
            <w:tcW w:w="7212" w:type="dxa"/>
          </w:tcPr>
          <w:p w14:paraId="0B8F032A" w14:textId="6B27714C" w:rsidR="00D12E63" w:rsidRPr="004A478D" w:rsidRDefault="00D12E63" w:rsidP="001947DB">
            <w:pPr>
              <w:pStyle w:val="KMC16-Tablecontent"/>
              <w:spacing w:before="0" w:after="0"/>
              <w:rPr>
                <w:lang w:val="en-AU"/>
              </w:rPr>
            </w:pPr>
            <w:r w:rsidRPr="004A478D">
              <w:rPr>
                <w:lang w:val="en-AU"/>
              </w:rPr>
              <w:t xml:space="preserve">For </w:t>
            </w:r>
            <w:r w:rsidR="00B00504" w:rsidRPr="00A54EDF">
              <w:rPr>
                <w:lang w:val="en-AU"/>
              </w:rPr>
              <w:t>T3cD</w:t>
            </w:r>
            <w:r w:rsidRPr="00A54EDF">
              <w:rPr>
                <w:lang w:val="en-AU"/>
              </w:rPr>
              <w:t xml:space="preserve">: </w:t>
            </w:r>
            <w:r w:rsidR="00B00504" w:rsidRPr="00A54EDF">
              <w:rPr>
                <w:lang w:val="en-AU"/>
              </w:rPr>
              <w:t>f</w:t>
            </w:r>
            <w:r w:rsidRPr="00A54EDF">
              <w:rPr>
                <w:lang w:val="en-AU"/>
              </w:rPr>
              <w:t>asting</w:t>
            </w:r>
            <w:r w:rsidRPr="004A478D">
              <w:rPr>
                <w:lang w:val="en-AU"/>
              </w:rPr>
              <w:t xml:space="preserve"> blood glucose, HbA1c test, imaging of pancreas, blood tests for pancreas function, blood test to </w:t>
            </w:r>
            <w:r w:rsidR="00B00504" w:rsidRPr="00A54EDF">
              <w:rPr>
                <w:lang w:val="en-AU"/>
              </w:rPr>
              <w:t>exclude</w:t>
            </w:r>
            <w:r w:rsidRPr="00A54EDF">
              <w:rPr>
                <w:lang w:val="en-AU"/>
              </w:rPr>
              <w:t xml:space="preserve"> </w:t>
            </w:r>
            <w:r w:rsidR="00B00504" w:rsidRPr="00A54EDF">
              <w:rPr>
                <w:lang w:val="en-AU"/>
              </w:rPr>
              <w:t>T1D</w:t>
            </w:r>
            <w:r w:rsidRPr="004A478D">
              <w:rPr>
                <w:lang w:val="en-AU"/>
              </w:rPr>
              <w:t>.</w:t>
            </w:r>
          </w:p>
          <w:p w14:paraId="0879216D" w14:textId="0EF18158" w:rsidR="00D12E63" w:rsidRPr="004A478D" w:rsidRDefault="00D12E63" w:rsidP="001947DB">
            <w:pPr>
              <w:pStyle w:val="KMC16-Tablecontent"/>
              <w:spacing w:before="0" w:after="0"/>
              <w:rPr>
                <w:lang w:val="en-AU"/>
              </w:rPr>
            </w:pPr>
            <w:r w:rsidRPr="004A478D">
              <w:rPr>
                <w:lang w:val="en-AU"/>
              </w:rPr>
              <w:t xml:space="preserve">Other rare </w:t>
            </w:r>
            <w:r w:rsidR="00CE51EF">
              <w:rPr>
                <w:lang w:val="en-AU"/>
              </w:rPr>
              <w:t>condition</w:t>
            </w:r>
            <w:r w:rsidR="007A3D8D">
              <w:rPr>
                <w:lang w:val="en-AU"/>
              </w:rPr>
              <w:t>s</w:t>
            </w:r>
            <w:r w:rsidR="00CE51EF">
              <w:rPr>
                <w:lang w:val="en-AU"/>
              </w:rPr>
              <w:t xml:space="preserve"> </w:t>
            </w:r>
            <w:proofErr w:type="gramStart"/>
            <w:r w:rsidRPr="004A478D">
              <w:rPr>
                <w:lang w:val="en-AU"/>
              </w:rPr>
              <w:t>similar to</w:t>
            </w:r>
            <w:proofErr w:type="gramEnd"/>
            <w:r w:rsidRPr="004A478D">
              <w:rPr>
                <w:lang w:val="en-AU"/>
              </w:rPr>
              <w:t xml:space="preserve"> T1D</w:t>
            </w:r>
            <w:r w:rsidR="007A3D8D">
              <w:rPr>
                <w:lang w:val="en-AU"/>
              </w:rPr>
              <w:t xml:space="preserve"> requiring insulin</w:t>
            </w:r>
            <w:r w:rsidRPr="004A478D">
              <w:rPr>
                <w:lang w:val="en-AU"/>
              </w:rPr>
              <w:t xml:space="preserve">: </w:t>
            </w:r>
            <w:r w:rsidR="00B00504" w:rsidRPr="00A54EDF">
              <w:rPr>
                <w:lang w:val="en-AU"/>
              </w:rPr>
              <w:t>t</w:t>
            </w:r>
            <w:r w:rsidRPr="00A54EDF">
              <w:rPr>
                <w:lang w:val="en-AU"/>
              </w:rPr>
              <w:t>esting</w:t>
            </w:r>
            <w:r w:rsidRPr="004A478D">
              <w:rPr>
                <w:lang w:val="en-AU"/>
              </w:rPr>
              <w:t xml:space="preserve"> as recommended by the American Diabetes Association guidelines (American Diabetes Association 2024a).</w:t>
            </w:r>
          </w:p>
        </w:tc>
      </w:tr>
      <w:tr w:rsidR="00D12E63" w:rsidRPr="005E4286" w14:paraId="0270EEC0" w14:textId="77777777" w:rsidTr="00F8485C">
        <w:tc>
          <w:tcPr>
            <w:tcW w:w="2002" w:type="dxa"/>
          </w:tcPr>
          <w:p w14:paraId="781EF06C" w14:textId="77777777" w:rsidR="00D12E63" w:rsidRPr="004A478D" w:rsidRDefault="00D12E63" w:rsidP="001947DB">
            <w:pPr>
              <w:pStyle w:val="KMC16-Tablecontent"/>
              <w:spacing w:before="0" w:after="0"/>
              <w:rPr>
                <w:lang w:val="en-AU"/>
              </w:rPr>
            </w:pPr>
            <w:r w:rsidRPr="004A478D">
              <w:rPr>
                <w:lang w:val="en-AU"/>
              </w:rPr>
              <w:t>Intervention</w:t>
            </w:r>
          </w:p>
        </w:tc>
        <w:tc>
          <w:tcPr>
            <w:tcW w:w="7212" w:type="dxa"/>
          </w:tcPr>
          <w:p w14:paraId="55FA67E7" w14:textId="77777777" w:rsidR="00D12E63" w:rsidRPr="004A478D" w:rsidRDefault="00D12E63" w:rsidP="001947DB">
            <w:pPr>
              <w:pStyle w:val="KMC16-Tablecontent"/>
              <w:spacing w:before="0" w:after="0"/>
              <w:rPr>
                <w:lang w:val="en-AU"/>
              </w:rPr>
            </w:pPr>
            <w:r w:rsidRPr="004A478D">
              <w:rPr>
                <w:lang w:val="en-AU"/>
              </w:rPr>
              <w:t xml:space="preserve">FreeStyle Libre 2 </w:t>
            </w:r>
            <w:r w:rsidRPr="005C28E5">
              <w:rPr>
                <w:color w:val="388600"/>
                <w:lang w:val="en-AU"/>
              </w:rPr>
              <w:t xml:space="preserve">or FreeStyle Libre 2 Plus </w:t>
            </w:r>
            <w:r w:rsidRPr="004A478D">
              <w:rPr>
                <w:lang w:val="en-AU"/>
              </w:rPr>
              <w:t>Continuous Glucose Monitoring (FSL products)</w:t>
            </w:r>
          </w:p>
        </w:tc>
      </w:tr>
      <w:tr w:rsidR="00D12E63" w:rsidRPr="005E4286" w14:paraId="212170D6" w14:textId="77777777" w:rsidTr="00F8485C">
        <w:tc>
          <w:tcPr>
            <w:tcW w:w="2002" w:type="dxa"/>
          </w:tcPr>
          <w:p w14:paraId="4183E975" w14:textId="77777777" w:rsidR="00D12E63" w:rsidRPr="004A478D" w:rsidRDefault="00D12E63" w:rsidP="001947DB">
            <w:pPr>
              <w:pStyle w:val="KMC16-Tablecontent"/>
              <w:spacing w:before="0" w:after="0"/>
              <w:rPr>
                <w:lang w:val="en-AU"/>
              </w:rPr>
            </w:pPr>
            <w:r w:rsidRPr="004A478D">
              <w:rPr>
                <w:lang w:val="en-AU"/>
              </w:rPr>
              <w:t>Comparator</w:t>
            </w:r>
          </w:p>
        </w:tc>
        <w:tc>
          <w:tcPr>
            <w:tcW w:w="7212" w:type="dxa"/>
          </w:tcPr>
          <w:p w14:paraId="7C9FFFB3" w14:textId="0DFA3809" w:rsidR="00D12E63" w:rsidRPr="004A478D" w:rsidRDefault="00D12E63" w:rsidP="001947DB">
            <w:pPr>
              <w:pStyle w:val="KMC16-Tablecontent"/>
              <w:spacing w:before="0" w:after="0"/>
              <w:rPr>
                <w:lang w:val="en-AU"/>
              </w:rPr>
            </w:pPr>
            <w:r w:rsidRPr="004A478D">
              <w:rPr>
                <w:lang w:val="en-AU"/>
              </w:rPr>
              <w:t>SMBG using a finger</w:t>
            </w:r>
            <w:r w:rsidR="00663414" w:rsidRPr="00A54EDF">
              <w:rPr>
                <w:lang w:val="en-AU"/>
              </w:rPr>
              <w:t>-</w:t>
            </w:r>
            <w:r w:rsidRPr="004A478D">
              <w:rPr>
                <w:lang w:val="en-AU"/>
              </w:rPr>
              <w:t>prick capillary blood sample, glucose test strips and glucose meter</w:t>
            </w:r>
          </w:p>
        </w:tc>
      </w:tr>
      <w:tr w:rsidR="00D12E63" w:rsidRPr="005E4286" w14:paraId="57A37E0B" w14:textId="77777777" w:rsidTr="00F8485C">
        <w:tc>
          <w:tcPr>
            <w:tcW w:w="2002" w:type="dxa"/>
          </w:tcPr>
          <w:p w14:paraId="1AF2907F" w14:textId="77777777" w:rsidR="00D12E63" w:rsidRPr="004A478D" w:rsidRDefault="00D12E63" w:rsidP="001947DB">
            <w:pPr>
              <w:pStyle w:val="KMC16-Tablecontent"/>
              <w:spacing w:before="0" w:after="0"/>
              <w:rPr>
                <w:lang w:val="en-AU"/>
              </w:rPr>
            </w:pPr>
            <w:r w:rsidRPr="004A478D">
              <w:rPr>
                <w:lang w:val="en-AU"/>
              </w:rPr>
              <w:t>Reference Standard</w:t>
            </w:r>
          </w:p>
        </w:tc>
        <w:tc>
          <w:tcPr>
            <w:tcW w:w="7212" w:type="dxa"/>
          </w:tcPr>
          <w:p w14:paraId="669E07F0" w14:textId="02A01C24" w:rsidR="00D12E63" w:rsidRPr="004A478D" w:rsidRDefault="00D12E63" w:rsidP="001947DB">
            <w:pPr>
              <w:pStyle w:val="KMC16-Tablecontent"/>
              <w:spacing w:before="0" w:after="0"/>
              <w:rPr>
                <w:lang w:val="en-AU"/>
              </w:rPr>
            </w:pPr>
            <w:r w:rsidRPr="004A478D">
              <w:rPr>
                <w:lang w:val="en-AU"/>
              </w:rPr>
              <w:t>Laboratory</w:t>
            </w:r>
            <w:r w:rsidR="00663414" w:rsidRPr="00A54EDF">
              <w:rPr>
                <w:lang w:val="en-AU"/>
              </w:rPr>
              <w:t>-</w:t>
            </w:r>
            <w:r w:rsidRPr="004A478D">
              <w:rPr>
                <w:lang w:val="en-AU"/>
              </w:rPr>
              <w:t>conducted plasma venous blood glucose test</w:t>
            </w:r>
          </w:p>
        </w:tc>
      </w:tr>
      <w:tr w:rsidR="00D12E63" w:rsidRPr="005E4286" w14:paraId="48DEBE36" w14:textId="77777777" w:rsidTr="00F8485C">
        <w:tc>
          <w:tcPr>
            <w:tcW w:w="2002" w:type="dxa"/>
          </w:tcPr>
          <w:p w14:paraId="36274F80" w14:textId="77777777" w:rsidR="00D12E63" w:rsidRPr="004A478D" w:rsidRDefault="00D12E63" w:rsidP="001947DB">
            <w:pPr>
              <w:pStyle w:val="KMC16-Tablecontent"/>
              <w:spacing w:before="0" w:after="0"/>
              <w:rPr>
                <w:lang w:val="en-AU"/>
              </w:rPr>
            </w:pPr>
            <w:r w:rsidRPr="004A478D">
              <w:rPr>
                <w:lang w:val="en-AU"/>
              </w:rPr>
              <w:t>Outcomes</w:t>
            </w:r>
          </w:p>
        </w:tc>
        <w:tc>
          <w:tcPr>
            <w:tcW w:w="7212" w:type="dxa"/>
          </w:tcPr>
          <w:p w14:paraId="1D21C3BC" w14:textId="46370953" w:rsidR="00D12E63" w:rsidRPr="004A478D" w:rsidRDefault="00D12E63" w:rsidP="001947DB">
            <w:pPr>
              <w:pStyle w:val="KMC16-Tablecontent"/>
              <w:tabs>
                <w:tab w:val="center" w:pos="3150"/>
              </w:tabs>
              <w:spacing w:before="0" w:after="0"/>
              <w:rPr>
                <w:b/>
                <w:u w:val="single"/>
                <w:lang w:val="en-AU"/>
              </w:rPr>
            </w:pPr>
            <w:r w:rsidRPr="004A478D">
              <w:rPr>
                <w:b/>
                <w:u w:val="single"/>
                <w:lang w:val="en-AU"/>
              </w:rPr>
              <w:t>Patient</w:t>
            </w:r>
            <w:r w:rsidR="00663414" w:rsidRPr="00A54EDF">
              <w:rPr>
                <w:b/>
                <w:u w:val="single"/>
                <w:lang w:val="en-AU"/>
              </w:rPr>
              <w:t>-</w:t>
            </w:r>
            <w:r w:rsidRPr="004A478D">
              <w:rPr>
                <w:b/>
                <w:u w:val="single"/>
                <w:lang w:val="en-AU"/>
              </w:rPr>
              <w:t xml:space="preserve">relevant outcomes </w:t>
            </w:r>
          </w:p>
          <w:p w14:paraId="335EBBCB" w14:textId="77777777" w:rsidR="00D12E63" w:rsidRPr="004A478D" w:rsidRDefault="00D12E63" w:rsidP="001947DB">
            <w:pPr>
              <w:pStyle w:val="KMC16-Tablecontent"/>
              <w:tabs>
                <w:tab w:val="center" w:pos="3150"/>
              </w:tabs>
              <w:spacing w:before="0" w:after="0"/>
              <w:rPr>
                <w:i/>
                <w:lang w:val="en-AU"/>
              </w:rPr>
            </w:pPr>
            <w:r w:rsidRPr="004A478D">
              <w:rPr>
                <w:i/>
                <w:lang w:val="en-AU"/>
              </w:rPr>
              <w:t>Direct evidence for safety and effectiveness:</w:t>
            </w:r>
          </w:p>
          <w:p w14:paraId="545732F0" w14:textId="77777777" w:rsidR="00D12E63" w:rsidRPr="004A478D" w:rsidRDefault="00D12E63" w:rsidP="001947DB">
            <w:pPr>
              <w:pStyle w:val="KMC16-Tablecontent"/>
              <w:tabs>
                <w:tab w:val="center" w:pos="3150"/>
              </w:tabs>
              <w:spacing w:before="0" w:after="0"/>
              <w:rPr>
                <w:b/>
                <w:lang w:val="en-AU"/>
              </w:rPr>
            </w:pPr>
            <w:r w:rsidRPr="004A478D">
              <w:rPr>
                <w:b/>
                <w:lang w:val="en-AU"/>
              </w:rPr>
              <w:t xml:space="preserve">Safety: </w:t>
            </w:r>
          </w:p>
          <w:p w14:paraId="3049F303" w14:textId="00D1FFA7" w:rsidR="00D12E63" w:rsidRPr="004A478D" w:rsidRDefault="00D12E63" w:rsidP="001947DB">
            <w:pPr>
              <w:pStyle w:val="KMC16-Tablecontent"/>
              <w:numPr>
                <w:ilvl w:val="0"/>
                <w:numId w:val="12"/>
              </w:numPr>
              <w:tabs>
                <w:tab w:val="center" w:pos="3150"/>
              </w:tabs>
              <w:spacing w:before="0" w:after="0"/>
              <w:rPr>
                <w:strike/>
                <w:lang w:val="en-AU"/>
              </w:rPr>
            </w:pPr>
            <w:r w:rsidRPr="004A478D">
              <w:rPr>
                <w:strike/>
                <w:lang w:val="en-AU"/>
              </w:rPr>
              <w:t>AEs associated with glucose testing</w:t>
            </w:r>
          </w:p>
          <w:p w14:paraId="1FFC7B0E" w14:textId="77777777" w:rsidR="00D12E63" w:rsidRPr="004A478D" w:rsidRDefault="00D12E63" w:rsidP="001947DB">
            <w:pPr>
              <w:pStyle w:val="KMC16-Tablecontent"/>
              <w:tabs>
                <w:tab w:val="center" w:pos="3150"/>
              </w:tabs>
              <w:spacing w:before="0" w:after="0"/>
              <w:rPr>
                <w:b/>
                <w:lang w:val="en-AU"/>
              </w:rPr>
            </w:pPr>
            <w:r w:rsidRPr="004A478D">
              <w:rPr>
                <w:b/>
                <w:lang w:val="en-AU"/>
              </w:rPr>
              <w:t>Effectiveness:</w:t>
            </w:r>
          </w:p>
          <w:p w14:paraId="34098E12" w14:textId="77777777" w:rsidR="00D12E63" w:rsidRPr="004A478D" w:rsidRDefault="00D12E63" w:rsidP="001947DB">
            <w:pPr>
              <w:pStyle w:val="KMC16-Tablecontent"/>
              <w:numPr>
                <w:ilvl w:val="0"/>
                <w:numId w:val="12"/>
              </w:numPr>
              <w:tabs>
                <w:tab w:val="center" w:pos="3150"/>
              </w:tabs>
              <w:spacing w:before="0" w:after="0"/>
              <w:rPr>
                <w:strike/>
                <w:lang w:val="en-AU"/>
              </w:rPr>
            </w:pPr>
            <w:r w:rsidRPr="004A478D">
              <w:rPr>
                <w:strike/>
                <w:lang w:val="en-AU"/>
              </w:rPr>
              <w:t>Diabetes-related complications (e.g. cardiovascular and microvascular complications including kidney disease, neuropathy/nerve damage, retinopathy/eye disease, amputations/foot ulcers)</w:t>
            </w:r>
          </w:p>
          <w:p w14:paraId="6D9C150A" w14:textId="77777777" w:rsidR="00D12E63" w:rsidRPr="004A478D" w:rsidRDefault="00D12E63" w:rsidP="001947DB">
            <w:pPr>
              <w:pStyle w:val="KMC16-Tablecontent"/>
              <w:numPr>
                <w:ilvl w:val="0"/>
                <w:numId w:val="12"/>
              </w:numPr>
              <w:tabs>
                <w:tab w:val="center" w:pos="3150"/>
              </w:tabs>
              <w:spacing w:before="0" w:after="0"/>
              <w:rPr>
                <w:strike/>
                <w:lang w:val="en-AU"/>
              </w:rPr>
            </w:pPr>
            <w:r w:rsidRPr="004A478D">
              <w:rPr>
                <w:strike/>
                <w:lang w:val="en-AU"/>
              </w:rPr>
              <w:t>Mortality</w:t>
            </w:r>
          </w:p>
          <w:p w14:paraId="17E00BEF" w14:textId="77777777" w:rsidR="00D12E63" w:rsidRPr="004A478D" w:rsidRDefault="00D12E63" w:rsidP="001947DB">
            <w:pPr>
              <w:pStyle w:val="KMC16-Tablecontent"/>
              <w:numPr>
                <w:ilvl w:val="0"/>
                <w:numId w:val="12"/>
              </w:numPr>
              <w:tabs>
                <w:tab w:val="center" w:pos="3150"/>
              </w:tabs>
              <w:spacing w:before="0" w:after="0"/>
              <w:rPr>
                <w:strike/>
                <w:lang w:val="en-AU"/>
              </w:rPr>
            </w:pPr>
            <w:r w:rsidRPr="004A478D">
              <w:rPr>
                <w:strike/>
                <w:lang w:val="en-AU"/>
              </w:rPr>
              <w:t>Quality of life</w:t>
            </w:r>
          </w:p>
          <w:p w14:paraId="09368780" w14:textId="77777777" w:rsidR="00D12E63" w:rsidRPr="004A478D" w:rsidRDefault="00D12E63" w:rsidP="001947DB">
            <w:pPr>
              <w:pStyle w:val="KMC16-Tablecontent"/>
              <w:numPr>
                <w:ilvl w:val="0"/>
                <w:numId w:val="12"/>
              </w:numPr>
              <w:tabs>
                <w:tab w:val="center" w:pos="3150"/>
              </w:tabs>
              <w:spacing w:before="0" w:after="0"/>
              <w:rPr>
                <w:strike/>
                <w:lang w:val="en-AU"/>
              </w:rPr>
            </w:pPr>
            <w:r w:rsidRPr="004A478D">
              <w:rPr>
                <w:strike/>
                <w:lang w:val="en-AU"/>
              </w:rPr>
              <w:t>Psychological health</w:t>
            </w:r>
          </w:p>
          <w:p w14:paraId="0BF8EB68" w14:textId="77777777" w:rsidR="00D12E63" w:rsidRPr="004A478D" w:rsidRDefault="00D12E63" w:rsidP="001947DB">
            <w:pPr>
              <w:pStyle w:val="KMC16-Tablecontent"/>
              <w:numPr>
                <w:ilvl w:val="0"/>
                <w:numId w:val="12"/>
              </w:numPr>
              <w:tabs>
                <w:tab w:val="center" w:pos="3150"/>
              </w:tabs>
              <w:spacing w:before="0" w:after="0"/>
              <w:rPr>
                <w:strike/>
                <w:lang w:val="en-AU"/>
              </w:rPr>
            </w:pPr>
            <w:r w:rsidRPr="004A478D">
              <w:rPr>
                <w:strike/>
                <w:lang w:val="en-AU"/>
              </w:rPr>
              <w:t>Hypoglycaemic or hyperglycaemic events resulting in emergency room visit/hospitalisation</w:t>
            </w:r>
          </w:p>
          <w:p w14:paraId="676BA735" w14:textId="77777777" w:rsidR="00D12E63" w:rsidRPr="004A478D" w:rsidRDefault="00D12E63" w:rsidP="001947DB">
            <w:pPr>
              <w:pStyle w:val="KMC16-Tablecontent"/>
              <w:tabs>
                <w:tab w:val="center" w:pos="3150"/>
              </w:tabs>
              <w:spacing w:before="0" w:after="0"/>
              <w:rPr>
                <w:b/>
                <w:lang w:val="en-AU"/>
              </w:rPr>
            </w:pPr>
            <w:r w:rsidRPr="004A478D">
              <w:rPr>
                <w:b/>
                <w:lang w:val="en-AU"/>
              </w:rPr>
              <w:t>Intermediate/surrogate outcomes:</w:t>
            </w:r>
          </w:p>
          <w:p w14:paraId="27FA7F76" w14:textId="77777777" w:rsidR="00D12E63" w:rsidRPr="004A478D" w:rsidRDefault="00D12E63" w:rsidP="001947DB">
            <w:pPr>
              <w:pStyle w:val="KMC16-Tablecontent"/>
              <w:numPr>
                <w:ilvl w:val="0"/>
                <w:numId w:val="12"/>
              </w:numPr>
              <w:tabs>
                <w:tab w:val="center" w:pos="3150"/>
              </w:tabs>
              <w:spacing w:before="0" w:after="0"/>
              <w:rPr>
                <w:lang w:val="en-AU"/>
              </w:rPr>
            </w:pPr>
            <w:r w:rsidRPr="004A478D">
              <w:rPr>
                <w:lang w:val="en-AU"/>
              </w:rPr>
              <w:t>Glycaemic control</w:t>
            </w:r>
          </w:p>
          <w:p w14:paraId="4FF89839" w14:textId="25BD6A3E" w:rsidR="00D12E63" w:rsidRPr="004A478D" w:rsidRDefault="00D12E63" w:rsidP="001947DB">
            <w:pPr>
              <w:pStyle w:val="KMC16-Tablecontent"/>
              <w:numPr>
                <w:ilvl w:val="1"/>
                <w:numId w:val="12"/>
              </w:numPr>
              <w:tabs>
                <w:tab w:val="center" w:pos="3150"/>
              </w:tabs>
              <w:spacing w:before="0" w:after="0"/>
              <w:rPr>
                <w:lang w:val="en-AU"/>
              </w:rPr>
            </w:pPr>
            <w:r w:rsidRPr="00A54EDF">
              <w:rPr>
                <w:lang w:val="en-AU"/>
              </w:rPr>
              <w:t>HbA1c</w:t>
            </w:r>
          </w:p>
          <w:p w14:paraId="0EF4B20E" w14:textId="203EDC8B" w:rsidR="00D12E63" w:rsidRPr="004A478D" w:rsidRDefault="00D12E63" w:rsidP="001947DB">
            <w:pPr>
              <w:pStyle w:val="KMC16-Tablecontent"/>
              <w:numPr>
                <w:ilvl w:val="1"/>
                <w:numId w:val="12"/>
              </w:numPr>
              <w:tabs>
                <w:tab w:val="center" w:pos="3150"/>
              </w:tabs>
              <w:spacing w:before="0" w:after="0"/>
              <w:rPr>
                <w:lang w:val="en-AU"/>
              </w:rPr>
            </w:pPr>
            <w:r w:rsidRPr="00A54EDF">
              <w:rPr>
                <w:lang w:val="en-AU"/>
              </w:rPr>
              <w:t>TIR, TBR</w:t>
            </w:r>
            <w:r w:rsidR="00D15E3D" w:rsidRPr="00A54EDF">
              <w:rPr>
                <w:lang w:val="en-AU"/>
              </w:rPr>
              <w:t xml:space="preserve">, </w:t>
            </w:r>
            <w:r w:rsidRPr="00A54EDF">
              <w:rPr>
                <w:lang w:val="en-AU"/>
              </w:rPr>
              <w:t>TAR</w:t>
            </w:r>
          </w:p>
          <w:p w14:paraId="5C5F736A" w14:textId="77777777" w:rsidR="00D12E63" w:rsidRPr="004A478D" w:rsidRDefault="00D12E63" w:rsidP="001947DB">
            <w:pPr>
              <w:pStyle w:val="KMC16-Tablecontent"/>
              <w:numPr>
                <w:ilvl w:val="1"/>
                <w:numId w:val="12"/>
              </w:numPr>
              <w:tabs>
                <w:tab w:val="center" w:pos="3150"/>
              </w:tabs>
              <w:spacing w:before="0" w:after="0"/>
              <w:rPr>
                <w:strike/>
                <w:lang w:val="en-AU"/>
              </w:rPr>
            </w:pPr>
            <w:r w:rsidRPr="004A478D">
              <w:rPr>
                <w:strike/>
                <w:lang w:val="en-AU"/>
              </w:rPr>
              <w:t>number of hypoglycaemic/hyperglycaemic excursions</w:t>
            </w:r>
          </w:p>
          <w:p w14:paraId="54DB896A" w14:textId="77777777" w:rsidR="00D12E63" w:rsidRPr="004A478D" w:rsidRDefault="00D12E63" w:rsidP="001947DB">
            <w:pPr>
              <w:pStyle w:val="KMC16-Tablecontent"/>
              <w:numPr>
                <w:ilvl w:val="1"/>
                <w:numId w:val="12"/>
              </w:numPr>
              <w:tabs>
                <w:tab w:val="center" w:pos="3150"/>
              </w:tabs>
              <w:spacing w:before="0" w:after="0"/>
              <w:rPr>
                <w:lang w:val="en-AU"/>
              </w:rPr>
            </w:pPr>
            <w:r w:rsidRPr="004A478D">
              <w:rPr>
                <w:lang w:val="en-AU"/>
              </w:rPr>
              <w:t>glycaemic variability</w:t>
            </w:r>
          </w:p>
          <w:p w14:paraId="05339488" w14:textId="77777777" w:rsidR="00D12E63" w:rsidRPr="004A478D" w:rsidRDefault="00D12E63" w:rsidP="001947DB">
            <w:pPr>
              <w:pStyle w:val="KMC16-Tablecontent"/>
              <w:numPr>
                <w:ilvl w:val="0"/>
                <w:numId w:val="12"/>
              </w:numPr>
              <w:tabs>
                <w:tab w:val="center" w:pos="3150"/>
              </w:tabs>
              <w:spacing w:before="0" w:after="0"/>
              <w:rPr>
                <w:strike/>
                <w:lang w:val="en-AU"/>
              </w:rPr>
            </w:pPr>
            <w:r w:rsidRPr="004A478D">
              <w:rPr>
                <w:strike/>
                <w:lang w:val="en-AU"/>
              </w:rPr>
              <w:t>Change in body weight/ body mass index (BMI)</w:t>
            </w:r>
          </w:p>
          <w:p w14:paraId="26D5E3E6" w14:textId="77777777" w:rsidR="00D12E63" w:rsidRPr="004A478D" w:rsidRDefault="00D12E63" w:rsidP="001947DB">
            <w:pPr>
              <w:pStyle w:val="KMC16-Tablecontent"/>
              <w:tabs>
                <w:tab w:val="center" w:pos="3150"/>
              </w:tabs>
              <w:spacing w:before="0" w:after="0"/>
              <w:rPr>
                <w:i/>
                <w:lang w:val="en-AU"/>
              </w:rPr>
            </w:pPr>
            <w:r w:rsidRPr="004A478D">
              <w:rPr>
                <w:i/>
                <w:lang w:val="en-AU"/>
              </w:rPr>
              <w:t>Additional outcomes using linked evidence approach:</w:t>
            </w:r>
          </w:p>
          <w:p w14:paraId="7694B4C2" w14:textId="77777777" w:rsidR="00D12E63" w:rsidRPr="004A478D" w:rsidRDefault="00D12E63" w:rsidP="001947DB">
            <w:pPr>
              <w:pStyle w:val="KMC16-Tablecontent"/>
              <w:tabs>
                <w:tab w:val="center" w:pos="3150"/>
              </w:tabs>
              <w:spacing w:before="0" w:after="0"/>
              <w:rPr>
                <w:b/>
                <w:lang w:val="en-AU"/>
              </w:rPr>
            </w:pPr>
            <w:r w:rsidRPr="004A478D">
              <w:rPr>
                <w:b/>
                <w:lang w:val="en-AU"/>
              </w:rPr>
              <w:t xml:space="preserve">Analytical validity: </w:t>
            </w:r>
          </w:p>
          <w:p w14:paraId="41E77E3F" w14:textId="77777777" w:rsidR="00D12E63" w:rsidRPr="004A478D" w:rsidRDefault="00D12E63" w:rsidP="001947DB">
            <w:pPr>
              <w:pStyle w:val="KMC16-Tablecontent"/>
              <w:numPr>
                <w:ilvl w:val="0"/>
                <w:numId w:val="12"/>
              </w:numPr>
              <w:tabs>
                <w:tab w:val="center" w:pos="3150"/>
              </w:tabs>
              <w:spacing w:before="0" w:after="0"/>
              <w:rPr>
                <w:lang w:val="en-AU"/>
              </w:rPr>
            </w:pPr>
            <w:r w:rsidRPr="004A478D">
              <w:rPr>
                <w:lang w:val="en-AU"/>
              </w:rPr>
              <w:t>Accuracy, concordance</w:t>
            </w:r>
          </w:p>
          <w:p w14:paraId="68E315D2" w14:textId="77777777" w:rsidR="00D12E63" w:rsidRPr="004A478D" w:rsidRDefault="00D12E63" w:rsidP="001947DB">
            <w:pPr>
              <w:pStyle w:val="KMC16-Tablecontent"/>
              <w:numPr>
                <w:ilvl w:val="0"/>
                <w:numId w:val="12"/>
              </w:numPr>
              <w:tabs>
                <w:tab w:val="center" w:pos="3150"/>
              </w:tabs>
              <w:spacing w:before="0" w:after="0"/>
              <w:rPr>
                <w:strike/>
                <w:lang w:val="en-AU"/>
              </w:rPr>
            </w:pPr>
            <w:r w:rsidRPr="004A478D">
              <w:rPr>
                <w:strike/>
                <w:lang w:val="en-AU"/>
              </w:rPr>
              <w:t>Monitoring (CGM or SMBG) failure rate</w:t>
            </w:r>
          </w:p>
          <w:p w14:paraId="6AC8F872" w14:textId="77777777" w:rsidR="00D12E63" w:rsidRPr="004A478D" w:rsidRDefault="00D12E63" w:rsidP="001947DB">
            <w:pPr>
              <w:pStyle w:val="KMC16-Tablecontent"/>
              <w:tabs>
                <w:tab w:val="center" w:pos="3150"/>
              </w:tabs>
              <w:spacing w:before="0" w:after="0"/>
              <w:rPr>
                <w:b/>
                <w:lang w:val="en-AU"/>
              </w:rPr>
            </w:pPr>
            <w:r w:rsidRPr="004A478D">
              <w:rPr>
                <w:b/>
                <w:lang w:val="en-AU"/>
              </w:rPr>
              <w:t>Change in management:</w:t>
            </w:r>
          </w:p>
          <w:p w14:paraId="3AF0217B" w14:textId="77777777" w:rsidR="00D12E63" w:rsidRPr="004A478D" w:rsidRDefault="00D12E63" w:rsidP="001947DB">
            <w:pPr>
              <w:pStyle w:val="KMC16-Tablecontent"/>
              <w:numPr>
                <w:ilvl w:val="0"/>
                <w:numId w:val="12"/>
              </w:numPr>
              <w:tabs>
                <w:tab w:val="center" w:pos="3150"/>
              </w:tabs>
              <w:spacing w:before="0" w:after="0"/>
              <w:rPr>
                <w:lang w:val="en-AU"/>
              </w:rPr>
            </w:pPr>
            <w:r w:rsidRPr="004A478D">
              <w:rPr>
                <w:lang w:val="en-AU"/>
              </w:rPr>
              <w:t xml:space="preserve">Adherence to CGM or SMBG </w:t>
            </w:r>
          </w:p>
          <w:p w14:paraId="29412D19" w14:textId="77777777" w:rsidR="00D12E63" w:rsidRPr="004A478D" w:rsidRDefault="00D12E63" w:rsidP="001947DB">
            <w:pPr>
              <w:pStyle w:val="KMC16-Tablecontent"/>
              <w:numPr>
                <w:ilvl w:val="0"/>
                <w:numId w:val="12"/>
              </w:numPr>
              <w:tabs>
                <w:tab w:val="center" w:pos="3150"/>
              </w:tabs>
              <w:spacing w:before="0" w:after="0"/>
              <w:rPr>
                <w:lang w:val="en-AU"/>
              </w:rPr>
            </w:pPr>
            <w:r w:rsidRPr="004A478D">
              <w:rPr>
                <w:lang w:val="en-AU"/>
              </w:rPr>
              <w:t xml:space="preserve">Adherence to treatments </w:t>
            </w:r>
          </w:p>
          <w:p w14:paraId="446BE183" w14:textId="77777777" w:rsidR="00D12E63" w:rsidRPr="004A478D" w:rsidRDefault="00D12E63" w:rsidP="001947DB">
            <w:pPr>
              <w:pStyle w:val="KMC16-Tablecontent"/>
              <w:numPr>
                <w:ilvl w:val="0"/>
                <w:numId w:val="12"/>
              </w:numPr>
              <w:tabs>
                <w:tab w:val="center" w:pos="3150"/>
              </w:tabs>
              <w:spacing w:before="0" w:after="0"/>
              <w:rPr>
                <w:lang w:val="en-AU"/>
              </w:rPr>
            </w:pPr>
            <w:r w:rsidRPr="004A478D">
              <w:rPr>
                <w:lang w:val="en-AU"/>
              </w:rPr>
              <w:t>Uptake or alteration of lifestyle intervention or treatment (e.g. glucose-lowering therapy)</w:t>
            </w:r>
          </w:p>
          <w:p w14:paraId="79B738BA" w14:textId="77777777" w:rsidR="00D12E63" w:rsidRPr="004A478D" w:rsidRDefault="00D12E63" w:rsidP="001947DB">
            <w:pPr>
              <w:pStyle w:val="KMC16-Tablecontent"/>
              <w:tabs>
                <w:tab w:val="center" w:pos="3150"/>
              </w:tabs>
              <w:spacing w:before="0" w:after="0"/>
              <w:rPr>
                <w:b/>
                <w:u w:val="single"/>
                <w:lang w:val="en-AU"/>
              </w:rPr>
            </w:pPr>
            <w:r w:rsidRPr="004A478D">
              <w:rPr>
                <w:b/>
                <w:u w:val="single"/>
                <w:lang w:val="en-AU"/>
              </w:rPr>
              <w:t>Other relevant considerations</w:t>
            </w:r>
          </w:p>
          <w:p w14:paraId="0508251F" w14:textId="77777777" w:rsidR="00D12E63" w:rsidRPr="004A478D" w:rsidRDefault="00D12E63" w:rsidP="001947DB">
            <w:pPr>
              <w:pStyle w:val="KMC16-Tablecontent"/>
              <w:numPr>
                <w:ilvl w:val="0"/>
                <w:numId w:val="12"/>
              </w:numPr>
              <w:tabs>
                <w:tab w:val="center" w:pos="3150"/>
              </w:tabs>
              <w:spacing w:before="0" w:after="0"/>
              <w:rPr>
                <w:strike/>
                <w:lang w:val="en-AU"/>
              </w:rPr>
            </w:pPr>
            <w:r w:rsidRPr="004A478D">
              <w:rPr>
                <w:strike/>
                <w:lang w:val="en-AU"/>
              </w:rPr>
              <w:t>Acceptability, wearability and usability of CGM versus SMBG</w:t>
            </w:r>
          </w:p>
          <w:p w14:paraId="2484B8F5" w14:textId="77777777" w:rsidR="00D12E63" w:rsidRPr="004A478D" w:rsidRDefault="00D12E63" w:rsidP="001947DB">
            <w:pPr>
              <w:pStyle w:val="KMC16-Tablecontent"/>
              <w:numPr>
                <w:ilvl w:val="0"/>
                <w:numId w:val="12"/>
              </w:numPr>
              <w:tabs>
                <w:tab w:val="center" w:pos="3150"/>
              </w:tabs>
              <w:spacing w:before="0" w:after="0"/>
              <w:rPr>
                <w:strike/>
                <w:lang w:val="en-AU"/>
              </w:rPr>
            </w:pPr>
            <w:r w:rsidRPr="004A478D">
              <w:rPr>
                <w:strike/>
                <w:lang w:val="en-AU"/>
              </w:rPr>
              <w:t>Ability to share blood glucose data with physician, relative or carer</w:t>
            </w:r>
          </w:p>
          <w:p w14:paraId="12B8464E" w14:textId="77777777" w:rsidR="00D12E63" w:rsidRPr="004A478D" w:rsidRDefault="00D12E63" w:rsidP="001947DB">
            <w:pPr>
              <w:pStyle w:val="KMC16-Tablecontent"/>
              <w:numPr>
                <w:ilvl w:val="0"/>
                <w:numId w:val="12"/>
              </w:numPr>
              <w:tabs>
                <w:tab w:val="center" w:pos="3150"/>
              </w:tabs>
              <w:spacing w:before="0" w:after="0"/>
              <w:rPr>
                <w:strike/>
                <w:lang w:val="en-AU"/>
              </w:rPr>
            </w:pPr>
            <w:r w:rsidRPr="004A478D">
              <w:rPr>
                <w:strike/>
                <w:lang w:val="en-AU"/>
              </w:rPr>
              <w:t>Patient/carer satisfaction</w:t>
            </w:r>
          </w:p>
          <w:p w14:paraId="426DD3C3" w14:textId="77777777" w:rsidR="00D12E63" w:rsidRPr="004A478D" w:rsidRDefault="00D12E63" w:rsidP="001947DB">
            <w:pPr>
              <w:pStyle w:val="KMC16-Tablecontent"/>
              <w:numPr>
                <w:ilvl w:val="0"/>
                <w:numId w:val="12"/>
              </w:numPr>
              <w:tabs>
                <w:tab w:val="center" w:pos="3150"/>
              </w:tabs>
              <w:spacing w:before="0" w:after="0"/>
              <w:rPr>
                <w:strike/>
                <w:lang w:val="en-AU"/>
              </w:rPr>
            </w:pPr>
            <w:r w:rsidRPr="004A478D">
              <w:rPr>
                <w:strike/>
                <w:lang w:val="en-AU"/>
              </w:rPr>
              <w:t>Self-efficacy (person's belief in their ability to effectively manage their diabetes and achieve their clinical goals)</w:t>
            </w:r>
          </w:p>
          <w:p w14:paraId="0A61A6E0" w14:textId="77777777" w:rsidR="00D12E63" w:rsidRPr="004A478D" w:rsidRDefault="00D12E63" w:rsidP="001947DB">
            <w:pPr>
              <w:pStyle w:val="KMC16-Tablecontent"/>
              <w:numPr>
                <w:ilvl w:val="0"/>
                <w:numId w:val="12"/>
              </w:numPr>
              <w:tabs>
                <w:tab w:val="center" w:pos="3150"/>
              </w:tabs>
              <w:spacing w:before="0" w:after="0"/>
              <w:rPr>
                <w:strike/>
                <w:lang w:val="en-AU"/>
              </w:rPr>
            </w:pPr>
            <w:r w:rsidRPr="004A478D">
              <w:rPr>
                <w:strike/>
                <w:lang w:val="en-AU"/>
              </w:rPr>
              <w:t>Work/school absenteeism and daily functioning</w:t>
            </w:r>
          </w:p>
          <w:p w14:paraId="5F4B9A58" w14:textId="77777777" w:rsidR="00D12E63" w:rsidRPr="004A478D" w:rsidRDefault="00D12E63" w:rsidP="001947DB">
            <w:pPr>
              <w:pStyle w:val="KMC16-Tablecontent"/>
              <w:tabs>
                <w:tab w:val="center" w:pos="3150"/>
              </w:tabs>
              <w:spacing w:before="0" w:after="0"/>
              <w:rPr>
                <w:b/>
                <w:u w:val="single"/>
                <w:lang w:val="en-AU"/>
              </w:rPr>
            </w:pPr>
            <w:r w:rsidRPr="004A478D">
              <w:rPr>
                <w:b/>
                <w:u w:val="single"/>
                <w:lang w:val="en-AU"/>
              </w:rPr>
              <w:t>Healthcare system outcomes</w:t>
            </w:r>
          </w:p>
          <w:p w14:paraId="726CF9EF" w14:textId="77777777" w:rsidR="00D12E63" w:rsidRPr="004A478D" w:rsidRDefault="00D12E63" w:rsidP="001947DB">
            <w:pPr>
              <w:pStyle w:val="KMC16-Tablecontent"/>
              <w:numPr>
                <w:ilvl w:val="0"/>
                <w:numId w:val="12"/>
              </w:numPr>
              <w:tabs>
                <w:tab w:val="center" w:pos="3150"/>
              </w:tabs>
              <w:spacing w:before="0" w:after="0"/>
              <w:rPr>
                <w:strike/>
                <w:lang w:val="en-AU"/>
              </w:rPr>
            </w:pPr>
            <w:r w:rsidRPr="004A478D">
              <w:rPr>
                <w:strike/>
                <w:lang w:val="en-AU"/>
              </w:rPr>
              <w:t xml:space="preserve">Cost, cost-effectiveness </w:t>
            </w:r>
          </w:p>
          <w:p w14:paraId="59BD291A" w14:textId="39344475" w:rsidR="00D12E63" w:rsidRPr="004A478D" w:rsidRDefault="00D12E63" w:rsidP="001947DB">
            <w:pPr>
              <w:pStyle w:val="KMC16-Tablecontent"/>
              <w:numPr>
                <w:ilvl w:val="0"/>
                <w:numId w:val="12"/>
              </w:numPr>
              <w:tabs>
                <w:tab w:val="center" w:pos="3150"/>
              </w:tabs>
              <w:spacing w:before="0" w:after="0"/>
              <w:rPr>
                <w:b/>
                <w:lang w:val="en-AU"/>
              </w:rPr>
            </w:pPr>
            <w:r w:rsidRPr="004A478D">
              <w:rPr>
                <w:lang w:val="en-AU"/>
              </w:rPr>
              <w:t>Financial implications (financial impact, overall healthcare costs etc.)</w:t>
            </w:r>
          </w:p>
        </w:tc>
      </w:tr>
      <w:tr w:rsidR="00D12E63" w:rsidRPr="005E4286" w14:paraId="7C2EDF2E" w14:textId="77777777" w:rsidTr="00F8485C">
        <w:tc>
          <w:tcPr>
            <w:tcW w:w="2002" w:type="dxa"/>
          </w:tcPr>
          <w:p w14:paraId="2433E972" w14:textId="77777777" w:rsidR="00D12E63" w:rsidRPr="004A478D" w:rsidRDefault="00D12E63" w:rsidP="001947DB">
            <w:pPr>
              <w:pStyle w:val="KMC16-Tablecontent"/>
              <w:spacing w:before="0" w:after="0"/>
              <w:rPr>
                <w:lang w:val="en-AU"/>
              </w:rPr>
            </w:pPr>
            <w:r w:rsidRPr="004A478D">
              <w:rPr>
                <w:lang w:val="en-AU"/>
              </w:rPr>
              <w:t>Assessment questions</w:t>
            </w:r>
          </w:p>
        </w:tc>
        <w:tc>
          <w:tcPr>
            <w:tcW w:w="7212" w:type="dxa"/>
          </w:tcPr>
          <w:p w14:paraId="768F8D5B" w14:textId="004E4EA8" w:rsidR="00D12E63" w:rsidRPr="004A478D" w:rsidRDefault="00D12E63" w:rsidP="001947DB">
            <w:pPr>
              <w:pStyle w:val="KMC16-Tablecontent"/>
              <w:tabs>
                <w:tab w:val="center" w:pos="3150"/>
              </w:tabs>
              <w:spacing w:before="0" w:after="0"/>
              <w:rPr>
                <w:lang w:val="en-AU"/>
              </w:rPr>
            </w:pPr>
            <w:r w:rsidRPr="004A478D">
              <w:rPr>
                <w:lang w:val="en-AU"/>
              </w:rPr>
              <w:t xml:space="preserve">What is the safety, effectiveness </w:t>
            </w:r>
            <w:r w:rsidRPr="004A478D">
              <w:rPr>
                <w:strike/>
                <w:lang w:val="en-AU"/>
              </w:rPr>
              <w:t>and cost-effectiveness</w:t>
            </w:r>
            <w:r w:rsidRPr="004A478D">
              <w:rPr>
                <w:lang w:val="en-AU"/>
              </w:rPr>
              <w:t xml:space="preserve"> of FreeStyle Libre 2 or </w:t>
            </w:r>
            <w:r w:rsidRPr="005C28E5">
              <w:rPr>
                <w:color w:val="388600"/>
                <w:lang w:val="en-AU"/>
              </w:rPr>
              <w:t>FreeStyle Libre 2 Plus</w:t>
            </w:r>
            <w:r w:rsidRPr="004A478D">
              <w:rPr>
                <w:lang w:val="en-AU"/>
              </w:rPr>
              <w:t xml:space="preserve"> CGM versus SMBG in people with other </w:t>
            </w:r>
            <w:r w:rsidR="007A3D8D">
              <w:rPr>
                <w:lang w:val="en-AU"/>
              </w:rPr>
              <w:t xml:space="preserve">conditions </w:t>
            </w:r>
            <w:proofErr w:type="gramStart"/>
            <w:r w:rsidRPr="004A478D">
              <w:rPr>
                <w:lang w:val="en-AU"/>
              </w:rPr>
              <w:t>similar to</w:t>
            </w:r>
            <w:proofErr w:type="gramEnd"/>
            <w:r w:rsidRPr="004A478D">
              <w:rPr>
                <w:lang w:val="en-AU"/>
              </w:rPr>
              <w:t xml:space="preserve"> T1D requiring insulin (e.g. type 3c diabetes)?</w:t>
            </w:r>
          </w:p>
        </w:tc>
      </w:tr>
    </w:tbl>
    <w:p w14:paraId="640B321F" w14:textId="77777777" w:rsidR="00703F55" w:rsidRPr="00E75144" w:rsidRDefault="00703F55" w:rsidP="00703F55">
      <w:pPr>
        <w:pStyle w:val="KMC16-TFNotes"/>
        <w:rPr>
          <w:rFonts w:ascii="Arial Narrow" w:hAnsi="Arial Narrow"/>
          <w:u w:val="single"/>
        </w:rPr>
      </w:pPr>
      <w:bookmarkStart w:id="17" w:name="_Toc69491420"/>
      <w:r w:rsidRPr="00E75144">
        <w:rPr>
          <w:rFonts w:ascii="Arial Narrow" w:hAnsi="Arial Narrow"/>
          <w:b/>
          <w:bCs/>
          <w:u w:val="single"/>
        </w:rPr>
        <w:t>Abbreviations</w:t>
      </w:r>
    </w:p>
    <w:p w14:paraId="1C8EB444" w14:textId="13655A9F" w:rsidR="00703F55" w:rsidRPr="00E75144" w:rsidRDefault="00703F55" w:rsidP="00703F55">
      <w:pPr>
        <w:pStyle w:val="KMC16-TFNotes"/>
        <w:rPr>
          <w:rFonts w:ascii="Arial Narrow" w:hAnsi="Arial Narrow"/>
        </w:rPr>
      </w:pPr>
      <w:r w:rsidRPr="00E75144">
        <w:rPr>
          <w:rFonts w:ascii="Arial Narrow" w:hAnsi="Arial Narrow"/>
          <w:b/>
          <w:bCs/>
        </w:rPr>
        <w:t>AE</w:t>
      </w:r>
      <w:r>
        <w:rPr>
          <w:rFonts w:ascii="Arial Narrow" w:hAnsi="Arial Narrow"/>
        </w:rPr>
        <w:t xml:space="preserve"> = adverse events, </w:t>
      </w:r>
      <w:r w:rsidR="0097087B">
        <w:rPr>
          <w:rFonts w:ascii="Arial Narrow" w:hAnsi="Arial Narrow"/>
          <w:b/>
          <w:bCs/>
        </w:rPr>
        <w:t xml:space="preserve">CGM </w:t>
      </w:r>
      <w:r w:rsidR="0097087B">
        <w:rPr>
          <w:rFonts w:ascii="Arial Narrow" w:hAnsi="Arial Narrow"/>
        </w:rPr>
        <w:t xml:space="preserve">= continuous glucose monitoring, </w:t>
      </w:r>
      <w:r w:rsidRPr="00E75144">
        <w:rPr>
          <w:rFonts w:ascii="Arial Narrow" w:hAnsi="Arial Narrow"/>
          <w:b/>
          <w:bCs/>
        </w:rPr>
        <w:t>FSL</w:t>
      </w:r>
      <w:r>
        <w:rPr>
          <w:rFonts w:ascii="Arial Narrow" w:hAnsi="Arial Narrow"/>
        </w:rPr>
        <w:t xml:space="preserve"> =</w:t>
      </w:r>
      <w:r w:rsidRPr="00E75144">
        <w:rPr>
          <w:rFonts w:ascii="Arial Narrow" w:hAnsi="Arial Narrow"/>
        </w:rPr>
        <w:t xml:space="preserve"> FreeStyle Libre Continuous Glucose Monitoring; </w:t>
      </w:r>
      <w:r w:rsidRPr="00E75144">
        <w:rPr>
          <w:rFonts w:ascii="Arial Narrow" w:hAnsi="Arial Narrow"/>
          <w:b/>
          <w:bCs/>
        </w:rPr>
        <w:t>HbA1c</w:t>
      </w:r>
      <w:r>
        <w:rPr>
          <w:rFonts w:ascii="Arial Narrow" w:hAnsi="Arial Narrow"/>
        </w:rPr>
        <w:t xml:space="preserve"> =</w:t>
      </w:r>
      <w:r w:rsidRPr="00E75144">
        <w:rPr>
          <w:rFonts w:ascii="Arial Narrow" w:hAnsi="Arial Narrow"/>
        </w:rPr>
        <w:t xml:space="preserve"> glycated haemoglobin; </w:t>
      </w:r>
      <w:r w:rsidRPr="00E75144">
        <w:rPr>
          <w:rFonts w:ascii="Arial Narrow" w:hAnsi="Arial Narrow"/>
          <w:b/>
          <w:bCs/>
        </w:rPr>
        <w:t>QoL</w:t>
      </w:r>
      <w:r>
        <w:rPr>
          <w:rFonts w:ascii="Arial Narrow" w:hAnsi="Arial Narrow"/>
        </w:rPr>
        <w:t xml:space="preserve"> =</w:t>
      </w:r>
      <w:r w:rsidRPr="00E75144">
        <w:rPr>
          <w:rFonts w:ascii="Arial Narrow" w:hAnsi="Arial Narrow"/>
        </w:rPr>
        <w:t xml:space="preserve"> quality of life; </w:t>
      </w:r>
      <w:r w:rsidRPr="00E75144">
        <w:rPr>
          <w:rFonts w:ascii="Arial Narrow" w:hAnsi="Arial Narrow"/>
          <w:b/>
          <w:bCs/>
        </w:rPr>
        <w:t>SMBG</w:t>
      </w:r>
      <w:r>
        <w:rPr>
          <w:rFonts w:ascii="Arial Narrow" w:hAnsi="Arial Narrow"/>
        </w:rPr>
        <w:t xml:space="preserve"> =</w:t>
      </w:r>
      <w:r w:rsidRPr="00E75144">
        <w:rPr>
          <w:rFonts w:ascii="Arial Narrow" w:hAnsi="Arial Narrow"/>
        </w:rPr>
        <w:t xml:space="preserve"> self-monitoring of blood glucose; </w:t>
      </w:r>
      <w:r w:rsidR="0097087B">
        <w:rPr>
          <w:rFonts w:ascii="Arial Narrow" w:hAnsi="Arial Narrow"/>
          <w:b/>
          <w:bCs/>
        </w:rPr>
        <w:t xml:space="preserve">T1D </w:t>
      </w:r>
      <w:r w:rsidR="0097087B">
        <w:rPr>
          <w:rFonts w:ascii="Arial Narrow" w:hAnsi="Arial Narrow"/>
        </w:rPr>
        <w:t xml:space="preserve">= type 1 diabetes, </w:t>
      </w:r>
      <w:r w:rsidRPr="00E75144">
        <w:rPr>
          <w:rFonts w:ascii="Arial Narrow" w:hAnsi="Arial Narrow"/>
          <w:b/>
          <w:bCs/>
        </w:rPr>
        <w:t>T2D</w:t>
      </w:r>
      <w:r>
        <w:rPr>
          <w:rFonts w:ascii="Arial Narrow" w:hAnsi="Arial Narrow"/>
        </w:rPr>
        <w:t xml:space="preserve"> =</w:t>
      </w:r>
      <w:r w:rsidRPr="00E75144">
        <w:rPr>
          <w:rFonts w:ascii="Arial Narrow" w:hAnsi="Arial Narrow"/>
        </w:rPr>
        <w:t xml:space="preserve"> type 2 diabetes</w:t>
      </w:r>
      <w:r>
        <w:rPr>
          <w:rFonts w:ascii="Arial Narrow" w:hAnsi="Arial Narrow"/>
        </w:rPr>
        <w:t xml:space="preserve">; </w:t>
      </w:r>
      <w:r w:rsidR="0097087B" w:rsidRPr="005102BE">
        <w:rPr>
          <w:rFonts w:ascii="Arial Narrow" w:hAnsi="Arial Narrow"/>
          <w:b/>
          <w:bCs/>
        </w:rPr>
        <w:t>T3cD</w:t>
      </w:r>
      <w:r w:rsidR="0097087B">
        <w:rPr>
          <w:rFonts w:ascii="Arial Narrow" w:hAnsi="Arial Narrow"/>
        </w:rPr>
        <w:t xml:space="preserve"> = type 3c diabetes, </w:t>
      </w:r>
      <w:r w:rsidRPr="00E75144">
        <w:rPr>
          <w:rFonts w:ascii="Arial Narrow" w:hAnsi="Arial Narrow"/>
          <w:b/>
          <w:bCs/>
        </w:rPr>
        <w:t>TIR</w:t>
      </w:r>
      <w:r>
        <w:rPr>
          <w:rFonts w:ascii="Arial Narrow" w:hAnsi="Arial Narrow"/>
          <w:b/>
          <w:bCs/>
        </w:rPr>
        <w:t xml:space="preserve"> </w:t>
      </w:r>
      <w:r w:rsidRPr="00E75144">
        <w:rPr>
          <w:rFonts w:ascii="Arial Narrow" w:hAnsi="Arial Narrow"/>
        </w:rPr>
        <w:t>=</w:t>
      </w:r>
      <w:r>
        <w:rPr>
          <w:rFonts w:ascii="Arial Narrow" w:hAnsi="Arial Narrow"/>
        </w:rPr>
        <w:t xml:space="preserve"> time in range; </w:t>
      </w:r>
      <w:r>
        <w:rPr>
          <w:rFonts w:ascii="Arial Narrow" w:hAnsi="Arial Narrow"/>
          <w:b/>
          <w:bCs/>
        </w:rPr>
        <w:t>TBR</w:t>
      </w:r>
      <w:r>
        <w:rPr>
          <w:rFonts w:ascii="Arial Narrow" w:hAnsi="Arial Narrow"/>
        </w:rPr>
        <w:t xml:space="preserve"> = time below range, </w:t>
      </w:r>
      <w:r>
        <w:rPr>
          <w:rFonts w:ascii="Arial Narrow" w:hAnsi="Arial Narrow"/>
          <w:b/>
          <w:bCs/>
        </w:rPr>
        <w:t>TAR</w:t>
      </w:r>
      <w:r>
        <w:rPr>
          <w:rFonts w:ascii="Arial Narrow" w:hAnsi="Arial Narrow"/>
        </w:rPr>
        <w:t xml:space="preserve"> = time above range. </w:t>
      </w:r>
    </w:p>
    <w:p w14:paraId="29A668D9" w14:textId="77777777" w:rsidR="00703F55" w:rsidRPr="00E75144" w:rsidRDefault="00703F55" w:rsidP="00703F55">
      <w:pPr>
        <w:pStyle w:val="KMC16-TFNotes"/>
        <w:rPr>
          <w:rFonts w:ascii="Arial Narrow" w:hAnsi="Arial Narrow"/>
          <w:b/>
          <w:bCs/>
          <w:u w:val="single"/>
        </w:rPr>
      </w:pPr>
      <w:r w:rsidRPr="00E75144">
        <w:rPr>
          <w:rFonts w:ascii="Arial Narrow" w:hAnsi="Arial Narrow"/>
          <w:b/>
          <w:bCs/>
          <w:u w:val="single"/>
        </w:rPr>
        <w:t>Notes</w:t>
      </w:r>
    </w:p>
    <w:p w14:paraId="701125FE" w14:textId="096C7394" w:rsidR="00703F55" w:rsidRPr="00E75144" w:rsidRDefault="00703F55" w:rsidP="00703F55">
      <w:pPr>
        <w:pStyle w:val="KMC16-TFNotes"/>
        <w:rPr>
          <w:rFonts w:ascii="Arial Narrow" w:hAnsi="Arial Narrow"/>
        </w:rPr>
      </w:pPr>
      <w:r w:rsidRPr="00E75144">
        <w:rPr>
          <w:rFonts w:ascii="Arial Narrow" w:hAnsi="Arial Narrow"/>
        </w:rPr>
        <w:t xml:space="preserve">Not all outcomes in the PICO confirmation were supported by evidence in the literature. </w:t>
      </w:r>
      <w:r w:rsidR="0097087B" w:rsidRPr="00A54EDF">
        <w:rPr>
          <w:rFonts w:ascii="Arial Narrow" w:hAnsi="Arial Narrow"/>
        </w:rPr>
        <w:t>Outcomes unavailable</w:t>
      </w:r>
      <w:r w:rsidR="0097087B" w:rsidRPr="00E75144">
        <w:rPr>
          <w:rFonts w:ascii="Arial Narrow" w:hAnsi="Arial Narrow"/>
        </w:rPr>
        <w:t xml:space="preserve"> have a </w:t>
      </w:r>
      <w:r w:rsidR="0097087B" w:rsidRPr="00E75144">
        <w:rPr>
          <w:rFonts w:ascii="Arial Narrow" w:hAnsi="Arial Narrow"/>
          <w:strike/>
        </w:rPr>
        <w:t>strikethrough</w:t>
      </w:r>
      <w:r w:rsidR="0097087B" w:rsidRPr="00E75144">
        <w:rPr>
          <w:rFonts w:ascii="Arial Narrow" w:hAnsi="Arial Narrow"/>
        </w:rPr>
        <w:t xml:space="preserve"> line. </w:t>
      </w:r>
      <w:r w:rsidR="0097087B" w:rsidRPr="00A54EDF">
        <w:rPr>
          <w:rFonts w:ascii="Arial Narrow" w:hAnsi="Arial Narrow"/>
        </w:rPr>
        <w:t xml:space="preserve">Outcomes </w:t>
      </w:r>
      <w:r w:rsidR="0097087B" w:rsidRPr="00E75144">
        <w:rPr>
          <w:rFonts w:ascii="Arial Narrow" w:hAnsi="Arial Narrow"/>
        </w:rPr>
        <w:t xml:space="preserve">found in modelling or added for the ADAR are coloured </w:t>
      </w:r>
      <w:r w:rsidR="0097087B" w:rsidRPr="005C28E5">
        <w:rPr>
          <w:rFonts w:ascii="Arial Narrow" w:hAnsi="Arial Narrow"/>
          <w:color w:val="388600"/>
        </w:rPr>
        <w:t>green</w:t>
      </w:r>
      <w:r w:rsidR="0097087B" w:rsidRPr="00E75144">
        <w:rPr>
          <w:rFonts w:ascii="Arial Narrow" w:hAnsi="Arial Narrow"/>
        </w:rPr>
        <w:t>.</w:t>
      </w:r>
    </w:p>
    <w:p w14:paraId="66BDFCC1" w14:textId="6F60177C" w:rsidR="00772829" w:rsidRPr="00CE28E3" w:rsidRDefault="00772829" w:rsidP="003027B3">
      <w:pPr>
        <w:pStyle w:val="Heading2"/>
        <w:numPr>
          <w:ilvl w:val="0"/>
          <w:numId w:val="27"/>
        </w:numPr>
        <w:ind w:hanging="720"/>
      </w:pPr>
      <w:bookmarkStart w:id="18" w:name="_Ref196394596"/>
      <w:r w:rsidRPr="00CE28E3">
        <w:t>Comparator</w:t>
      </w:r>
      <w:bookmarkEnd w:id="17"/>
      <w:bookmarkEnd w:id="18"/>
    </w:p>
    <w:p w14:paraId="610FA3A6" w14:textId="0C0182FF" w:rsidR="00F935AE" w:rsidRDefault="009107A8" w:rsidP="009107A8">
      <w:r>
        <w:t>The phrasing of the nominated comparator in each PICO varie</w:t>
      </w:r>
      <w:r w:rsidR="00A07B34">
        <w:t>d</w:t>
      </w:r>
      <w:r>
        <w:t xml:space="preserve"> slightly. The comparator listed in ADAR PICO </w:t>
      </w:r>
      <w:r w:rsidR="001E0D31">
        <w:t xml:space="preserve">Set 1 </w:t>
      </w:r>
      <w:r w:rsidR="00A07B34">
        <w:t xml:space="preserve">was </w:t>
      </w:r>
      <w:r>
        <w:t xml:space="preserve">phrased as </w:t>
      </w:r>
      <w:r w:rsidR="00DE2E86" w:rsidRPr="00A54EDF">
        <w:t>‘</w:t>
      </w:r>
      <w:r>
        <w:t xml:space="preserve">SMBG with glucose monitoring test </w:t>
      </w:r>
      <w:r w:rsidRPr="00A54EDF">
        <w:t>strips</w:t>
      </w:r>
      <w:r w:rsidR="00DE2E86" w:rsidRPr="00A54EDF">
        <w:t>’</w:t>
      </w:r>
      <w:r w:rsidRPr="00A54EDF">
        <w:t>,</w:t>
      </w:r>
      <w:r>
        <w:t xml:space="preserve"> whereas the comparator listed in the </w:t>
      </w:r>
      <w:r w:rsidR="00E31A53">
        <w:t>r</w:t>
      </w:r>
      <w:r>
        <w:t xml:space="preserve">atified </w:t>
      </w:r>
      <w:r w:rsidR="00A07B34">
        <w:t xml:space="preserve">PICO </w:t>
      </w:r>
      <w:r>
        <w:t xml:space="preserve">Set 1 </w:t>
      </w:r>
      <w:r w:rsidR="00A07B34">
        <w:t>was</w:t>
      </w:r>
      <w:r>
        <w:t xml:space="preserve"> phrased as </w:t>
      </w:r>
      <w:r w:rsidR="00DE2E86" w:rsidRPr="00A54EDF">
        <w:t>‘</w:t>
      </w:r>
      <w:r>
        <w:t xml:space="preserve">SMBG test using a finger prick blood </w:t>
      </w:r>
      <w:r w:rsidRPr="00A54EDF">
        <w:t>sample</w:t>
      </w:r>
      <w:r w:rsidR="00DE2E86" w:rsidRPr="00A54EDF">
        <w:t>’</w:t>
      </w:r>
      <w:r w:rsidRPr="00A54EDF">
        <w:t>.</w:t>
      </w:r>
      <w:r>
        <w:t xml:space="preserve"> The comparator listed for PICO Set 2 and Set 3 is more detailed: </w:t>
      </w:r>
      <w:r w:rsidR="00DE2E86" w:rsidRPr="00A54EDF">
        <w:t>‘</w:t>
      </w:r>
      <w:r>
        <w:t>SMBG using a finger prick capillary blood sample, glucose test strips and a glucose meter</w:t>
      </w:r>
      <w:r w:rsidRPr="00A54EDF">
        <w:t>.</w:t>
      </w:r>
      <w:r w:rsidR="000571BF" w:rsidRPr="00A54EDF">
        <w:t>’</w:t>
      </w:r>
      <w:r>
        <w:t xml:space="preserve"> It is unclear why the comparator wording </w:t>
      </w:r>
      <w:r w:rsidR="00A07B34">
        <w:t xml:space="preserve">varied </w:t>
      </w:r>
      <w:r>
        <w:t xml:space="preserve">between PICO sets; however, it is likely that this is due to an error during the drafting process and not due to actual differences in comparators. </w:t>
      </w:r>
      <w:r w:rsidR="00521028">
        <w:t>Generally, SMBG is a suitable comparator for all PICOs because it is the standard of care for blood glucose testing across the proposed populations and no other CGM systems are currently subsidised through the NDSS</w:t>
      </w:r>
      <w:r w:rsidR="00A07B34">
        <w:t xml:space="preserve"> for these populations</w:t>
      </w:r>
      <w:r w:rsidR="00A52E79">
        <w:t xml:space="preserve"> (although Dexcom ONE+ is currently being assessed through ADAR 1785)</w:t>
      </w:r>
      <w:r w:rsidR="00521028">
        <w:t xml:space="preserve">. </w:t>
      </w:r>
    </w:p>
    <w:p w14:paraId="4E860D79" w14:textId="6D7E485A" w:rsidR="00B477E9" w:rsidRDefault="00B477E9" w:rsidP="00F935AE">
      <w:r>
        <w:t>A</w:t>
      </w:r>
      <w:r w:rsidR="00A07B34">
        <w:t xml:space="preserve">ustralian </w:t>
      </w:r>
      <w:r>
        <w:t>D</w:t>
      </w:r>
      <w:r w:rsidR="00A07B34">
        <w:t xml:space="preserve">iabetes Clinical </w:t>
      </w:r>
      <w:r>
        <w:t>Q</w:t>
      </w:r>
      <w:r w:rsidR="00A07B34">
        <w:t xml:space="preserve">uality </w:t>
      </w:r>
      <w:r>
        <w:t>R</w:t>
      </w:r>
      <w:r w:rsidR="00A07B34">
        <w:t>egistry</w:t>
      </w:r>
      <w:r>
        <w:t xml:space="preserve"> data from 2023</w:t>
      </w:r>
      <w:r w:rsidR="00671F6E">
        <w:t xml:space="preserve"> </w:t>
      </w:r>
      <w:r>
        <w:t>indicate</w:t>
      </w:r>
      <w:r w:rsidR="00C71E92">
        <w:t>d</w:t>
      </w:r>
      <w:r>
        <w:t xml:space="preserve"> that 84.1% of people with T2D perform regular blood glucose monitoring, with 78.7% of these using finger prick</w:t>
      </w:r>
      <w:r w:rsidR="003C509D">
        <w:t xml:space="preserve"> blood samples</w:t>
      </w:r>
      <w:r w:rsidR="0068313D">
        <w:t>.</w:t>
      </w:r>
      <w:r w:rsidR="00671F6E">
        <w:rPr>
          <w:rStyle w:val="FootnoteReference"/>
        </w:rPr>
        <w:footnoteReference w:id="12"/>
      </w:r>
      <w:r>
        <w:t xml:space="preserve"> </w:t>
      </w:r>
      <w:r w:rsidR="00B57A69">
        <w:t xml:space="preserve">The frequency of SMBG is individualised. However, </w:t>
      </w:r>
      <w:r w:rsidR="00276428">
        <w:t xml:space="preserve">the </w:t>
      </w:r>
      <w:r w:rsidR="00D76230">
        <w:t xml:space="preserve">ADAR </w:t>
      </w:r>
      <w:r w:rsidR="00276428">
        <w:t xml:space="preserve">noted that </w:t>
      </w:r>
      <w:r w:rsidR="00B57A69">
        <w:t>once a patient is prescribed insulin (regardless of diabetes</w:t>
      </w:r>
      <w:r w:rsidR="00DB31C5" w:rsidRPr="00A54EDF">
        <w:t xml:space="preserve"> </w:t>
      </w:r>
      <w:r w:rsidR="00B57A69" w:rsidRPr="00A54EDF">
        <w:t>type</w:t>
      </w:r>
      <w:r w:rsidR="00B57A69">
        <w:t xml:space="preserve">), they are advised to check blood glucose levels using SMBG at least before breakfast, before lunch/dinner, </w:t>
      </w:r>
      <w:r w:rsidR="00DB31C5" w:rsidRPr="00A54EDF">
        <w:t>2</w:t>
      </w:r>
      <w:r w:rsidR="00B57A69">
        <w:t xml:space="preserve"> hours after a meal, before bed and before driving/exercising: a minimum of 4 times per day</w:t>
      </w:r>
      <w:r w:rsidR="0068313D">
        <w:t>.</w:t>
      </w:r>
      <w:r w:rsidR="00055849">
        <w:rPr>
          <w:rStyle w:val="FootnoteReference"/>
        </w:rPr>
        <w:footnoteReference w:id="13"/>
      </w:r>
      <w:r w:rsidR="00B57A69">
        <w:t xml:space="preserve"> </w:t>
      </w:r>
      <w:r w:rsidR="00EC779C">
        <w:t xml:space="preserve">The </w:t>
      </w:r>
      <w:r w:rsidR="00753DC0">
        <w:t xml:space="preserve">ADAR </w:t>
      </w:r>
      <w:r w:rsidR="00EC779C">
        <w:t>stated that a</w:t>
      </w:r>
      <w:r w:rsidR="00B57A69">
        <w:t xml:space="preserve"> recent survey of Australia’s leading diabetes health professionals </w:t>
      </w:r>
      <w:r w:rsidR="00EC779C">
        <w:t xml:space="preserve">reported </w:t>
      </w:r>
      <w:r w:rsidR="00B57A69">
        <w:t>that Australian patients currently use SMBG testing on average 2.2 times per day and up to 10 times per day</w:t>
      </w:r>
      <w:r w:rsidR="006B4AE7">
        <w:t xml:space="preserve"> (</w:t>
      </w:r>
      <w:r w:rsidR="00753DC0">
        <w:t xml:space="preserve">although no </w:t>
      </w:r>
      <w:r w:rsidR="006B4AE7">
        <w:t xml:space="preserve">reference </w:t>
      </w:r>
      <w:r w:rsidR="00753DC0">
        <w:t xml:space="preserve">for this was </w:t>
      </w:r>
      <w:r w:rsidR="006B4AE7">
        <w:t>provided)</w:t>
      </w:r>
      <w:r w:rsidR="00B57A69">
        <w:t xml:space="preserve">. </w:t>
      </w:r>
      <w:r w:rsidR="006B4AE7">
        <w:t>The 2025 American Diabetes Association guidelines</w:t>
      </w:r>
      <w:r w:rsidR="006B4AE7">
        <w:rPr>
          <w:rStyle w:val="FootnoteReference"/>
        </w:rPr>
        <w:footnoteReference w:id="14"/>
      </w:r>
      <w:r w:rsidR="006B4AE7">
        <w:t xml:space="preserve"> state that ‘many individuals’ on IIT require SMBG testing 6 to 10 times per day. </w:t>
      </w:r>
    </w:p>
    <w:p w14:paraId="4D765FB6" w14:textId="1E1E4A57" w:rsidR="00524445" w:rsidRDefault="00470C32" w:rsidP="00F935AE">
      <w:r>
        <w:t>The assessment group noted that t</w:t>
      </w:r>
      <w:r w:rsidR="00524445" w:rsidRPr="00524445">
        <w:t>he number of subsidised glucose test strips that a person with T2D can purchase from the NDSS in a 180-day period is 900 strips</w:t>
      </w:r>
      <w:r w:rsidR="00DB31C5" w:rsidRPr="00A54EDF">
        <w:t>. T</w:t>
      </w:r>
      <w:r w:rsidR="00524445" w:rsidRPr="00A54EDF">
        <w:t xml:space="preserve">his </w:t>
      </w:r>
      <w:r w:rsidR="00524445" w:rsidRPr="00524445">
        <w:t xml:space="preserve">would be sufficient to carry out SMBG </w:t>
      </w:r>
      <w:r w:rsidR="00054735" w:rsidRPr="00A54EDF">
        <w:t>only 5</w:t>
      </w:r>
      <w:r w:rsidR="00524445" w:rsidRPr="00524445">
        <w:t xml:space="preserve"> times per day</w:t>
      </w:r>
      <w:r w:rsidR="00524445">
        <w:t xml:space="preserve">. </w:t>
      </w:r>
      <w:r w:rsidR="00524445" w:rsidRPr="00524445">
        <w:t xml:space="preserve">Typically, additional strips purchased during that period would not be subsidised. However, registrants can access more product if their limit has been reached and unique circumstances are present. </w:t>
      </w:r>
      <w:r w:rsidR="00D76230">
        <w:t>T</w:t>
      </w:r>
      <w:r>
        <w:t xml:space="preserve">his information </w:t>
      </w:r>
      <w:r w:rsidR="00D76230">
        <w:t xml:space="preserve">was not included </w:t>
      </w:r>
      <w:r>
        <w:t>in the ADAR.</w:t>
      </w:r>
    </w:p>
    <w:p w14:paraId="23ABCAA5" w14:textId="11C3083B" w:rsidR="003A0813" w:rsidRPr="00D155C0" w:rsidRDefault="003A0813" w:rsidP="001947DB">
      <w:pPr>
        <w:pStyle w:val="Heading2"/>
        <w:numPr>
          <w:ilvl w:val="0"/>
          <w:numId w:val="27"/>
        </w:numPr>
        <w:ind w:hanging="720"/>
      </w:pPr>
      <w:bookmarkStart w:id="19" w:name="_Toc69491421"/>
      <w:bookmarkStart w:id="20" w:name="_Hlk193982804"/>
      <w:r w:rsidRPr="003A793E">
        <w:t>Summary of public consultation input</w:t>
      </w:r>
      <w:bookmarkEnd w:id="19"/>
    </w:p>
    <w:bookmarkEnd w:id="20"/>
    <w:p w14:paraId="49B8776D" w14:textId="77777777" w:rsidR="003027B3" w:rsidRPr="003027B3" w:rsidRDefault="003027B3" w:rsidP="001947DB">
      <w:pPr>
        <w:keepNext/>
        <w:keepLines/>
        <w:tabs>
          <w:tab w:val="left" w:pos="3686"/>
        </w:tabs>
        <w:spacing w:line="256" w:lineRule="auto"/>
        <w:rPr>
          <w:rFonts w:eastAsia="Franklin Gothic Book" w:cs="Franklin Gothic Book"/>
        </w:rPr>
      </w:pPr>
      <w:r w:rsidRPr="003027B3">
        <w:rPr>
          <w:rFonts w:eastAsia="Franklin Gothic Book" w:cs="Franklin Gothic Book"/>
        </w:rPr>
        <w:t>Consultation input was welcomed from:</w:t>
      </w:r>
    </w:p>
    <w:tbl>
      <w:tblPr>
        <w:tblW w:w="9020" w:type="dxa"/>
        <w:tblLook w:val="04A0" w:firstRow="1" w:lastRow="0" w:firstColumn="1" w:lastColumn="0" w:noHBand="0" w:noVBand="1"/>
      </w:tblPr>
      <w:tblGrid>
        <w:gridCol w:w="7800"/>
        <w:gridCol w:w="1220"/>
      </w:tblGrid>
      <w:tr w:rsidR="003027B3" w:rsidRPr="003027B3" w14:paraId="4FE9DB59" w14:textId="77777777" w:rsidTr="003027B3">
        <w:trPr>
          <w:trHeight w:val="680"/>
        </w:trPr>
        <w:tc>
          <w:tcPr>
            <w:tcW w:w="7800" w:type="dxa"/>
            <w:tcBorders>
              <w:top w:val="single" w:sz="4" w:space="0" w:color="000000"/>
              <w:left w:val="single" w:sz="4" w:space="0" w:color="000000"/>
              <w:bottom w:val="single" w:sz="8" w:space="0" w:color="auto"/>
              <w:right w:val="single" w:sz="8" w:space="0" w:color="auto"/>
            </w:tcBorders>
            <w:shd w:val="clear" w:color="auto" w:fill="D1D1D1"/>
            <w:vAlign w:val="center"/>
            <w:hideMark/>
          </w:tcPr>
          <w:p w14:paraId="0E406781" w14:textId="77777777" w:rsidR="003027B3" w:rsidRPr="003027B3" w:rsidRDefault="003027B3" w:rsidP="001947DB">
            <w:pPr>
              <w:keepNext/>
              <w:keepLines/>
              <w:spacing w:before="0" w:after="0" w:line="240" w:lineRule="auto"/>
              <w:rPr>
                <w:rFonts w:ascii="Arial Narrow" w:eastAsia="Franklin Gothic Book" w:hAnsi="Arial Narrow" w:cs="Franklin Gothic Book"/>
                <w:b/>
                <w:bCs/>
                <w:color w:val="000000"/>
                <w:sz w:val="20"/>
                <w:szCs w:val="20"/>
                <w:lang w:eastAsia="en-AU"/>
              </w:rPr>
            </w:pPr>
            <w:r w:rsidRPr="003027B3">
              <w:rPr>
                <w:rFonts w:ascii="Arial Narrow" w:eastAsia="Franklin Gothic Book" w:hAnsi="Arial Narrow" w:cs="Franklin Gothic Book"/>
                <w:b/>
                <w:bCs/>
                <w:color w:val="000000"/>
                <w:sz w:val="20"/>
                <w:szCs w:val="20"/>
                <w:lang w:eastAsia="en-AU"/>
              </w:rPr>
              <w:t>1786 – FreeStyle Libre 2 continuous glucose monitoring system for people with insulin dependent type 2 diabetes, gestational diabetes and type 3c diabetes (Abbott Australasia Pty Ltd)</w:t>
            </w:r>
          </w:p>
        </w:tc>
        <w:tc>
          <w:tcPr>
            <w:tcW w:w="1220" w:type="dxa"/>
            <w:tcBorders>
              <w:top w:val="single" w:sz="4" w:space="0" w:color="000000"/>
              <w:left w:val="nil"/>
              <w:bottom w:val="single" w:sz="8" w:space="0" w:color="auto"/>
              <w:right w:val="single" w:sz="4" w:space="0" w:color="000000"/>
            </w:tcBorders>
            <w:shd w:val="clear" w:color="auto" w:fill="D1D1D1"/>
            <w:vAlign w:val="center"/>
            <w:hideMark/>
          </w:tcPr>
          <w:p w14:paraId="57CF89E4" w14:textId="77777777" w:rsidR="003027B3" w:rsidRPr="003027B3" w:rsidRDefault="003027B3" w:rsidP="001947DB">
            <w:pPr>
              <w:keepNext/>
              <w:keepLines/>
              <w:spacing w:before="0" w:after="0" w:line="240" w:lineRule="auto"/>
              <w:jc w:val="center"/>
              <w:rPr>
                <w:rFonts w:ascii="Arial Narrow" w:eastAsia="Franklin Gothic Book" w:hAnsi="Arial Narrow" w:cs="Franklin Gothic Book"/>
                <w:b/>
                <w:bCs/>
                <w:color w:val="000000"/>
                <w:sz w:val="20"/>
                <w:szCs w:val="20"/>
                <w:lang w:eastAsia="en-AU"/>
              </w:rPr>
            </w:pPr>
            <w:r w:rsidRPr="003027B3">
              <w:rPr>
                <w:rFonts w:ascii="Arial Narrow" w:eastAsia="Franklin Gothic Book" w:hAnsi="Arial Narrow" w:cs="Franklin Gothic Book"/>
                <w:b/>
                <w:bCs/>
                <w:color w:val="000000"/>
                <w:sz w:val="20"/>
                <w:szCs w:val="20"/>
                <w:lang w:eastAsia="en-AU"/>
              </w:rPr>
              <w:t>No. of Inputs Received</w:t>
            </w:r>
            <w:r w:rsidRPr="003027B3">
              <w:rPr>
                <w:rFonts w:ascii="Arial Narrow" w:eastAsia="Franklin Gothic Book" w:hAnsi="Arial Narrow" w:cs="Franklin Gothic Book"/>
                <w:color w:val="000000"/>
                <w:sz w:val="20"/>
                <w:szCs w:val="20"/>
                <w:lang w:eastAsia="en-AU"/>
              </w:rPr>
              <w:t> </w:t>
            </w:r>
          </w:p>
        </w:tc>
      </w:tr>
      <w:tr w:rsidR="003027B3" w:rsidRPr="003027B3" w14:paraId="24C5C156" w14:textId="77777777" w:rsidTr="003027B3">
        <w:trPr>
          <w:trHeight w:val="241"/>
        </w:trPr>
        <w:tc>
          <w:tcPr>
            <w:tcW w:w="9020" w:type="dxa"/>
            <w:gridSpan w:val="2"/>
            <w:tcBorders>
              <w:top w:val="single" w:sz="8" w:space="0" w:color="auto"/>
              <w:left w:val="single" w:sz="4" w:space="0" w:color="000000"/>
              <w:bottom w:val="single" w:sz="8" w:space="0" w:color="auto"/>
              <w:right w:val="single" w:sz="4" w:space="0" w:color="000000"/>
            </w:tcBorders>
            <w:shd w:val="clear" w:color="auto" w:fill="E8E8E8"/>
            <w:vAlign w:val="center"/>
            <w:hideMark/>
          </w:tcPr>
          <w:p w14:paraId="5990D845" w14:textId="5737022B" w:rsidR="003027B3" w:rsidRPr="003027B3" w:rsidRDefault="003027B3" w:rsidP="001947DB">
            <w:pPr>
              <w:keepNext/>
              <w:keepLines/>
              <w:spacing w:before="0" w:after="0" w:line="240" w:lineRule="auto"/>
              <w:rPr>
                <w:rFonts w:ascii="Arial Narrow" w:eastAsia="Franklin Gothic Book" w:hAnsi="Arial Narrow" w:cs="Franklin Gothic Book"/>
                <w:b/>
                <w:bCs/>
                <w:color w:val="000000"/>
                <w:sz w:val="20"/>
                <w:szCs w:val="20"/>
                <w:lang w:eastAsia="en-AU"/>
              </w:rPr>
            </w:pPr>
            <w:r w:rsidRPr="003027B3">
              <w:rPr>
                <w:rFonts w:ascii="Arial Narrow" w:eastAsia="Franklin Gothic Book" w:hAnsi="Arial Narrow" w:cs="Franklin Gothic Book"/>
                <w:b/>
                <w:bCs/>
                <w:color w:val="000000"/>
                <w:sz w:val="20"/>
                <w:szCs w:val="20"/>
                <w:lang w:eastAsia="en-AU"/>
              </w:rPr>
              <w:t>Organisations (23)</w:t>
            </w:r>
            <w:r w:rsidRPr="003027B3">
              <w:rPr>
                <w:rFonts w:ascii="Arial Narrow" w:eastAsia="Franklin Gothic Book" w:hAnsi="Arial Narrow" w:cs="Franklin Gothic Book"/>
                <w:color w:val="000000"/>
                <w:sz w:val="20"/>
                <w:szCs w:val="20"/>
                <w:lang w:eastAsia="en-AU"/>
              </w:rPr>
              <w:t> </w:t>
            </w:r>
          </w:p>
        </w:tc>
      </w:tr>
      <w:tr w:rsidR="003027B3" w:rsidRPr="003027B3" w14:paraId="4464EA3C" w14:textId="77777777" w:rsidTr="003027B3">
        <w:trPr>
          <w:trHeight w:val="556"/>
        </w:trPr>
        <w:tc>
          <w:tcPr>
            <w:tcW w:w="7800" w:type="dxa"/>
            <w:tcBorders>
              <w:top w:val="nil"/>
              <w:left w:val="single" w:sz="4" w:space="0" w:color="000000"/>
              <w:bottom w:val="single" w:sz="8" w:space="0" w:color="auto"/>
              <w:right w:val="single" w:sz="8" w:space="0" w:color="auto"/>
            </w:tcBorders>
            <w:vAlign w:val="center"/>
            <w:hideMark/>
          </w:tcPr>
          <w:p w14:paraId="5196B3CB" w14:textId="77777777" w:rsidR="003027B3" w:rsidRPr="003027B3" w:rsidRDefault="003027B3" w:rsidP="001947DB">
            <w:pPr>
              <w:keepNext/>
              <w:keepLines/>
              <w:spacing w:before="0" w:after="0" w:line="240" w:lineRule="auto"/>
              <w:rPr>
                <w:rFonts w:ascii="Arial Narrow" w:eastAsia="Franklin Gothic Book" w:hAnsi="Arial Narrow" w:cs="Franklin Gothic Book"/>
                <w:sz w:val="20"/>
                <w:szCs w:val="20"/>
                <w:lang w:eastAsia="en-AU"/>
              </w:rPr>
            </w:pPr>
            <w:r w:rsidRPr="003027B3">
              <w:rPr>
                <w:rFonts w:ascii="Arial Narrow" w:eastAsia="Franklin Gothic Book" w:hAnsi="Arial Narrow" w:cs="Franklin Gothic Book"/>
                <w:sz w:val="20"/>
                <w:szCs w:val="20"/>
                <w:lang w:eastAsia="en-AU"/>
              </w:rPr>
              <w:t>I am providing input on behalf of a consumer group or organisation. Consumer organisations are not-for-profit organisations representing the interests of healthcare consumers, their families, and carers. </w:t>
            </w:r>
          </w:p>
        </w:tc>
        <w:tc>
          <w:tcPr>
            <w:tcW w:w="1220" w:type="dxa"/>
            <w:tcBorders>
              <w:top w:val="nil"/>
              <w:left w:val="nil"/>
              <w:bottom w:val="single" w:sz="8" w:space="0" w:color="auto"/>
              <w:right w:val="single" w:sz="4" w:space="0" w:color="000000"/>
            </w:tcBorders>
            <w:vAlign w:val="center"/>
            <w:hideMark/>
          </w:tcPr>
          <w:p w14:paraId="1D7C4B64" w14:textId="77777777" w:rsidR="003027B3" w:rsidRPr="003027B3" w:rsidRDefault="003027B3" w:rsidP="001947DB">
            <w:pPr>
              <w:keepNext/>
              <w:keepLines/>
              <w:spacing w:before="0" w:after="0" w:line="240" w:lineRule="auto"/>
              <w:jc w:val="center"/>
              <w:rPr>
                <w:rFonts w:ascii="Arial Narrow" w:eastAsia="Franklin Gothic Book" w:hAnsi="Arial Narrow" w:cs="Franklin Gothic Book"/>
                <w:sz w:val="20"/>
                <w:szCs w:val="20"/>
                <w:lang w:eastAsia="en-AU"/>
              </w:rPr>
            </w:pPr>
            <w:r w:rsidRPr="003027B3">
              <w:rPr>
                <w:rFonts w:ascii="Arial Narrow" w:eastAsia="Franklin Gothic Book" w:hAnsi="Arial Narrow" w:cs="Franklin Gothic Book"/>
                <w:sz w:val="20"/>
                <w:szCs w:val="20"/>
                <w:lang w:eastAsia="en-AU"/>
              </w:rPr>
              <w:t>9</w:t>
            </w:r>
          </w:p>
        </w:tc>
      </w:tr>
      <w:tr w:rsidR="003027B3" w:rsidRPr="003027B3" w14:paraId="3951B941" w14:textId="77777777" w:rsidTr="00D8651B">
        <w:trPr>
          <w:trHeight w:val="760"/>
        </w:trPr>
        <w:tc>
          <w:tcPr>
            <w:tcW w:w="7800" w:type="dxa"/>
            <w:tcBorders>
              <w:top w:val="nil"/>
              <w:left w:val="single" w:sz="4" w:space="0" w:color="000000"/>
              <w:bottom w:val="single" w:sz="8" w:space="0" w:color="auto"/>
              <w:right w:val="single" w:sz="8" w:space="0" w:color="auto"/>
            </w:tcBorders>
            <w:vAlign w:val="center"/>
            <w:hideMark/>
          </w:tcPr>
          <w:p w14:paraId="6E7ACE65" w14:textId="77777777" w:rsidR="003027B3" w:rsidRPr="003027B3" w:rsidRDefault="003027B3" w:rsidP="001947DB">
            <w:pPr>
              <w:keepNext/>
              <w:keepLines/>
              <w:spacing w:before="0" w:after="0" w:line="240" w:lineRule="auto"/>
              <w:rPr>
                <w:rFonts w:ascii="Arial Narrow" w:eastAsia="Franklin Gothic Book" w:hAnsi="Arial Narrow" w:cs="Franklin Gothic Book"/>
                <w:sz w:val="20"/>
                <w:szCs w:val="20"/>
                <w:lang w:eastAsia="en-AU"/>
              </w:rPr>
            </w:pPr>
            <w:r w:rsidRPr="003027B3">
              <w:rPr>
                <w:rFonts w:ascii="Arial Narrow" w:eastAsia="Franklin Gothic Book" w:hAnsi="Arial Narrow" w:cs="Franklin Gothic Book"/>
                <w:sz w:val="20"/>
                <w:szCs w:val="20"/>
                <w:lang w:eastAsia="en-AU"/>
              </w:rPr>
              <w:t>I am providing input on behalf of a medical, health, or other (non-consumer) organisation. For example, input on behalf of a group of clinicians, research organisation, professional college, or from an organisation that produces a similar service or technology. </w:t>
            </w:r>
          </w:p>
        </w:tc>
        <w:tc>
          <w:tcPr>
            <w:tcW w:w="1220" w:type="dxa"/>
            <w:tcBorders>
              <w:top w:val="nil"/>
              <w:left w:val="nil"/>
              <w:bottom w:val="single" w:sz="8" w:space="0" w:color="auto"/>
              <w:right w:val="single" w:sz="4" w:space="0" w:color="000000"/>
            </w:tcBorders>
            <w:vAlign w:val="center"/>
            <w:hideMark/>
          </w:tcPr>
          <w:p w14:paraId="784CE748" w14:textId="77777777" w:rsidR="003027B3" w:rsidRPr="003027B3" w:rsidRDefault="003027B3" w:rsidP="001947DB">
            <w:pPr>
              <w:keepNext/>
              <w:keepLines/>
              <w:spacing w:before="0" w:after="0" w:line="240" w:lineRule="auto"/>
              <w:jc w:val="center"/>
              <w:rPr>
                <w:rFonts w:ascii="Arial Narrow" w:eastAsia="Franklin Gothic Book" w:hAnsi="Arial Narrow" w:cs="Franklin Gothic Book"/>
                <w:sz w:val="20"/>
                <w:szCs w:val="20"/>
                <w:lang w:eastAsia="en-AU"/>
              </w:rPr>
            </w:pPr>
            <w:r w:rsidRPr="003027B3">
              <w:rPr>
                <w:rFonts w:ascii="Arial Narrow" w:eastAsia="Franklin Gothic Book" w:hAnsi="Arial Narrow" w:cs="Franklin Gothic Book"/>
                <w:sz w:val="20"/>
                <w:szCs w:val="20"/>
                <w:lang w:eastAsia="en-AU"/>
              </w:rPr>
              <w:t>14</w:t>
            </w:r>
          </w:p>
        </w:tc>
      </w:tr>
      <w:tr w:rsidR="003027B3" w:rsidRPr="003027B3" w14:paraId="2BD5404B" w14:textId="77777777">
        <w:trPr>
          <w:trHeight w:val="300"/>
        </w:trPr>
        <w:tc>
          <w:tcPr>
            <w:tcW w:w="9020" w:type="dxa"/>
            <w:gridSpan w:val="2"/>
            <w:tcBorders>
              <w:top w:val="single" w:sz="8" w:space="0" w:color="auto"/>
              <w:left w:val="single" w:sz="4" w:space="0" w:color="000000"/>
              <w:bottom w:val="single" w:sz="8" w:space="0" w:color="auto"/>
              <w:right w:val="single" w:sz="4" w:space="0" w:color="000000"/>
            </w:tcBorders>
            <w:shd w:val="clear" w:color="auto" w:fill="E8E8E8"/>
            <w:vAlign w:val="center"/>
            <w:hideMark/>
          </w:tcPr>
          <w:p w14:paraId="0F3CD572" w14:textId="77777777" w:rsidR="003027B3" w:rsidRPr="003027B3" w:rsidRDefault="003027B3" w:rsidP="001947DB">
            <w:pPr>
              <w:keepNext/>
              <w:keepLines/>
              <w:spacing w:before="0" w:after="0" w:line="240" w:lineRule="auto"/>
              <w:rPr>
                <w:rFonts w:ascii="Arial Narrow" w:eastAsia="Franklin Gothic Book" w:hAnsi="Arial Narrow" w:cs="Franklin Gothic Book"/>
                <w:b/>
                <w:bCs/>
                <w:color w:val="000000"/>
                <w:sz w:val="20"/>
                <w:szCs w:val="20"/>
                <w:lang w:eastAsia="en-AU"/>
              </w:rPr>
            </w:pPr>
            <w:r w:rsidRPr="003027B3">
              <w:rPr>
                <w:rFonts w:ascii="Arial Narrow" w:eastAsia="Franklin Gothic Book" w:hAnsi="Arial Narrow" w:cs="Franklin Gothic Book"/>
                <w:b/>
                <w:bCs/>
                <w:color w:val="000000"/>
                <w:sz w:val="20"/>
                <w:szCs w:val="20"/>
                <w:lang w:eastAsia="en-AU"/>
              </w:rPr>
              <w:t>Health Professionals (66)</w:t>
            </w:r>
            <w:r w:rsidRPr="003027B3">
              <w:rPr>
                <w:rFonts w:ascii="Arial Narrow" w:eastAsia="Franklin Gothic Book" w:hAnsi="Arial Narrow" w:cs="Franklin Gothic Book"/>
                <w:color w:val="000000"/>
                <w:sz w:val="20"/>
                <w:szCs w:val="20"/>
                <w:lang w:eastAsia="en-AU"/>
              </w:rPr>
              <w:t> </w:t>
            </w:r>
          </w:p>
        </w:tc>
      </w:tr>
      <w:tr w:rsidR="003027B3" w:rsidRPr="003027B3" w14:paraId="4B1ED9AE" w14:textId="77777777" w:rsidTr="00D8651B">
        <w:trPr>
          <w:trHeight w:val="300"/>
        </w:trPr>
        <w:tc>
          <w:tcPr>
            <w:tcW w:w="7800" w:type="dxa"/>
            <w:tcBorders>
              <w:top w:val="nil"/>
              <w:left w:val="single" w:sz="4" w:space="0" w:color="000000"/>
              <w:bottom w:val="single" w:sz="8" w:space="0" w:color="auto"/>
              <w:right w:val="single" w:sz="8" w:space="0" w:color="auto"/>
            </w:tcBorders>
            <w:vAlign w:val="center"/>
            <w:hideMark/>
          </w:tcPr>
          <w:p w14:paraId="2F105AD5" w14:textId="77777777" w:rsidR="003027B3" w:rsidRPr="003027B3" w:rsidRDefault="003027B3" w:rsidP="001947DB">
            <w:pPr>
              <w:keepNext/>
              <w:keepLines/>
              <w:spacing w:before="0" w:after="0" w:line="240" w:lineRule="auto"/>
              <w:rPr>
                <w:rFonts w:ascii="Arial Narrow" w:eastAsia="Franklin Gothic Book" w:hAnsi="Arial Narrow" w:cs="Franklin Gothic Book"/>
                <w:sz w:val="20"/>
                <w:szCs w:val="20"/>
                <w:lang w:eastAsia="en-AU"/>
              </w:rPr>
            </w:pPr>
            <w:r w:rsidRPr="003027B3">
              <w:rPr>
                <w:rFonts w:ascii="Arial Narrow" w:eastAsia="Franklin Gothic Book" w:hAnsi="Arial Narrow" w:cs="Franklin Gothic Book"/>
                <w:sz w:val="20"/>
                <w:szCs w:val="20"/>
                <w:lang w:eastAsia="en-AU"/>
              </w:rPr>
              <w:t>I am a health professional or health academic working in the area. </w:t>
            </w:r>
          </w:p>
        </w:tc>
        <w:tc>
          <w:tcPr>
            <w:tcW w:w="1220" w:type="dxa"/>
            <w:tcBorders>
              <w:top w:val="nil"/>
              <w:left w:val="nil"/>
              <w:bottom w:val="single" w:sz="8" w:space="0" w:color="auto"/>
              <w:right w:val="single" w:sz="4" w:space="0" w:color="000000"/>
            </w:tcBorders>
            <w:vAlign w:val="center"/>
            <w:hideMark/>
          </w:tcPr>
          <w:p w14:paraId="21797233" w14:textId="77777777" w:rsidR="003027B3" w:rsidRPr="003027B3" w:rsidRDefault="003027B3" w:rsidP="001947DB">
            <w:pPr>
              <w:keepNext/>
              <w:keepLines/>
              <w:spacing w:before="0" w:after="0" w:line="240" w:lineRule="auto"/>
              <w:jc w:val="center"/>
              <w:rPr>
                <w:rFonts w:ascii="Arial Narrow" w:eastAsia="Franklin Gothic Book" w:hAnsi="Arial Narrow" w:cs="Franklin Gothic Book"/>
                <w:sz w:val="20"/>
                <w:szCs w:val="20"/>
                <w:lang w:eastAsia="en-AU"/>
              </w:rPr>
            </w:pPr>
            <w:r w:rsidRPr="003027B3">
              <w:rPr>
                <w:rFonts w:ascii="Arial Narrow" w:eastAsia="Franklin Gothic Book" w:hAnsi="Arial Narrow" w:cs="Franklin Gothic Book"/>
                <w:sz w:val="20"/>
                <w:szCs w:val="20"/>
                <w:lang w:eastAsia="en-AU"/>
              </w:rPr>
              <w:t>66</w:t>
            </w:r>
          </w:p>
        </w:tc>
      </w:tr>
      <w:tr w:rsidR="003027B3" w:rsidRPr="003027B3" w14:paraId="68DF521B" w14:textId="77777777">
        <w:trPr>
          <w:trHeight w:val="300"/>
        </w:trPr>
        <w:tc>
          <w:tcPr>
            <w:tcW w:w="9020" w:type="dxa"/>
            <w:gridSpan w:val="2"/>
            <w:tcBorders>
              <w:top w:val="single" w:sz="8" w:space="0" w:color="auto"/>
              <w:left w:val="single" w:sz="4" w:space="0" w:color="000000"/>
              <w:bottom w:val="single" w:sz="8" w:space="0" w:color="auto"/>
              <w:right w:val="single" w:sz="4" w:space="0" w:color="000000"/>
            </w:tcBorders>
            <w:shd w:val="clear" w:color="auto" w:fill="E8E8E8"/>
            <w:vAlign w:val="center"/>
            <w:hideMark/>
          </w:tcPr>
          <w:p w14:paraId="7991C92A" w14:textId="77777777" w:rsidR="003027B3" w:rsidRPr="003027B3" w:rsidRDefault="003027B3" w:rsidP="001947DB">
            <w:pPr>
              <w:keepNext/>
              <w:keepLines/>
              <w:spacing w:before="0" w:after="0" w:line="240" w:lineRule="auto"/>
              <w:rPr>
                <w:rFonts w:ascii="Arial Narrow" w:eastAsia="Franklin Gothic Book" w:hAnsi="Arial Narrow" w:cs="Franklin Gothic Book"/>
                <w:b/>
                <w:bCs/>
                <w:color w:val="000000"/>
                <w:sz w:val="20"/>
                <w:szCs w:val="20"/>
                <w:lang w:eastAsia="en-AU"/>
              </w:rPr>
            </w:pPr>
            <w:r w:rsidRPr="003027B3">
              <w:rPr>
                <w:rFonts w:ascii="Arial Narrow" w:eastAsia="Franklin Gothic Book" w:hAnsi="Arial Narrow" w:cs="Franklin Gothic Book"/>
                <w:b/>
                <w:bCs/>
                <w:color w:val="000000"/>
                <w:sz w:val="20"/>
                <w:szCs w:val="20"/>
                <w:lang w:eastAsia="en-AU"/>
              </w:rPr>
              <w:t>Consumers (2,181)</w:t>
            </w:r>
            <w:r w:rsidRPr="003027B3">
              <w:rPr>
                <w:rFonts w:ascii="Arial Narrow" w:eastAsia="Franklin Gothic Book" w:hAnsi="Arial Narrow" w:cs="Franklin Gothic Book"/>
                <w:color w:val="000000"/>
                <w:sz w:val="20"/>
                <w:szCs w:val="20"/>
                <w:lang w:eastAsia="en-AU"/>
              </w:rPr>
              <w:t> </w:t>
            </w:r>
          </w:p>
        </w:tc>
      </w:tr>
      <w:tr w:rsidR="003027B3" w:rsidRPr="003027B3" w14:paraId="697D4C41" w14:textId="77777777" w:rsidTr="00D8651B">
        <w:trPr>
          <w:trHeight w:val="300"/>
        </w:trPr>
        <w:tc>
          <w:tcPr>
            <w:tcW w:w="7800" w:type="dxa"/>
            <w:tcBorders>
              <w:top w:val="nil"/>
              <w:left w:val="single" w:sz="4" w:space="0" w:color="000000"/>
              <w:bottom w:val="single" w:sz="8" w:space="0" w:color="auto"/>
              <w:right w:val="single" w:sz="8" w:space="0" w:color="auto"/>
            </w:tcBorders>
            <w:vAlign w:val="center"/>
            <w:hideMark/>
          </w:tcPr>
          <w:p w14:paraId="5A5DCDC4" w14:textId="77777777" w:rsidR="003027B3" w:rsidRPr="003027B3" w:rsidRDefault="003027B3" w:rsidP="001947DB">
            <w:pPr>
              <w:keepNext/>
              <w:keepLines/>
              <w:spacing w:before="0" w:after="0" w:line="240" w:lineRule="auto"/>
              <w:rPr>
                <w:rFonts w:ascii="Arial Narrow" w:eastAsia="Franklin Gothic Book" w:hAnsi="Arial Narrow" w:cs="Franklin Gothic Book"/>
                <w:sz w:val="20"/>
                <w:szCs w:val="20"/>
                <w:lang w:eastAsia="en-AU"/>
              </w:rPr>
            </w:pPr>
            <w:r w:rsidRPr="003027B3">
              <w:rPr>
                <w:rFonts w:ascii="Arial Narrow" w:eastAsia="Franklin Gothic Book" w:hAnsi="Arial Narrow" w:cs="Franklin Gothic Book"/>
                <w:sz w:val="20"/>
                <w:szCs w:val="20"/>
                <w:lang w:eastAsia="en-AU"/>
              </w:rPr>
              <w:t>I have the health condition that this health service or technology is for. </w:t>
            </w:r>
          </w:p>
        </w:tc>
        <w:tc>
          <w:tcPr>
            <w:tcW w:w="1220" w:type="dxa"/>
            <w:tcBorders>
              <w:top w:val="nil"/>
              <w:left w:val="nil"/>
              <w:bottom w:val="single" w:sz="8" w:space="0" w:color="auto"/>
              <w:right w:val="single" w:sz="4" w:space="0" w:color="000000"/>
            </w:tcBorders>
            <w:vAlign w:val="center"/>
            <w:hideMark/>
          </w:tcPr>
          <w:p w14:paraId="5BABD0FC" w14:textId="77777777" w:rsidR="003027B3" w:rsidRPr="003027B3" w:rsidRDefault="003027B3" w:rsidP="001947DB">
            <w:pPr>
              <w:keepNext/>
              <w:keepLines/>
              <w:spacing w:before="0" w:after="0" w:line="240" w:lineRule="auto"/>
              <w:jc w:val="center"/>
              <w:rPr>
                <w:rFonts w:ascii="Arial Narrow" w:eastAsia="Franklin Gothic Book" w:hAnsi="Arial Narrow" w:cs="Franklin Gothic Book"/>
                <w:sz w:val="20"/>
                <w:szCs w:val="20"/>
                <w:lang w:eastAsia="en-AU"/>
              </w:rPr>
            </w:pPr>
            <w:r w:rsidRPr="003027B3">
              <w:rPr>
                <w:rFonts w:ascii="Arial Narrow" w:eastAsia="Franklin Gothic Book" w:hAnsi="Arial Narrow" w:cs="Franklin Gothic Book"/>
                <w:sz w:val="20"/>
                <w:szCs w:val="20"/>
                <w:lang w:eastAsia="en-AU"/>
              </w:rPr>
              <w:t>677</w:t>
            </w:r>
          </w:p>
        </w:tc>
      </w:tr>
      <w:tr w:rsidR="003027B3" w:rsidRPr="003027B3" w14:paraId="0C7E8A14" w14:textId="77777777" w:rsidTr="00D8651B">
        <w:trPr>
          <w:trHeight w:val="510"/>
        </w:trPr>
        <w:tc>
          <w:tcPr>
            <w:tcW w:w="7800" w:type="dxa"/>
            <w:tcBorders>
              <w:top w:val="nil"/>
              <w:left w:val="single" w:sz="4" w:space="0" w:color="000000"/>
              <w:bottom w:val="single" w:sz="8" w:space="0" w:color="auto"/>
              <w:right w:val="single" w:sz="8" w:space="0" w:color="auto"/>
            </w:tcBorders>
            <w:vAlign w:val="center"/>
            <w:hideMark/>
          </w:tcPr>
          <w:p w14:paraId="06E34B5C" w14:textId="77777777" w:rsidR="003027B3" w:rsidRPr="003027B3" w:rsidRDefault="003027B3" w:rsidP="001947DB">
            <w:pPr>
              <w:keepNext/>
              <w:keepLines/>
              <w:spacing w:before="0" w:after="0" w:line="240" w:lineRule="auto"/>
              <w:rPr>
                <w:rFonts w:ascii="Arial Narrow" w:eastAsia="Franklin Gothic Book" w:hAnsi="Arial Narrow" w:cs="Franklin Gothic Book"/>
                <w:sz w:val="20"/>
                <w:szCs w:val="20"/>
                <w:lang w:eastAsia="en-AU"/>
              </w:rPr>
            </w:pPr>
            <w:r w:rsidRPr="003027B3">
              <w:rPr>
                <w:rFonts w:ascii="Arial Narrow" w:eastAsia="Franklin Gothic Book" w:hAnsi="Arial Narrow" w:cs="Franklin Gothic Book"/>
                <w:sz w:val="20"/>
                <w:szCs w:val="20"/>
                <w:lang w:eastAsia="en-AU"/>
              </w:rPr>
              <w:t>I have the health condition that this health service or technology is for and have experience with the proposed health service or technology. </w:t>
            </w:r>
          </w:p>
        </w:tc>
        <w:tc>
          <w:tcPr>
            <w:tcW w:w="1220" w:type="dxa"/>
            <w:tcBorders>
              <w:top w:val="nil"/>
              <w:left w:val="nil"/>
              <w:bottom w:val="single" w:sz="8" w:space="0" w:color="auto"/>
              <w:right w:val="single" w:sz="4" w:space="0" w:color="000000"/>
            </w:tcBorders>
            <w:vAlign w:val="center"/>
            <w:hideMark/>
          </w:tcPr>
          <w:p w14:paraId="58CEB18E" w14:textId="77777777" w:rsidR="003027B3" w:rsidRPr="003027B3" w:rsidRDefault="003027B3" w:rsidP="001947DB">
            <w:pPr>
              <w:keepNext/>
              <w:keepLines/>
              <w:spacing w:before="0" w:after="0" w:line="240" w:lineRule="auto"/>
              <w:jc w:val="center"/>
              <w:rPr>
                <w:rFonts w:ascii="Arial Narrow" w:eastAsia="Franklin Gothic Book" w:hAnsi="Arial Narrow" w:cs="Franklin Gothic Book"/>
                <w:sz w:val="20"/>
                <w:szCs w:val="20"/>
                <w:lang w:eastAsia="en-AU"/>
              </w:rPr>
            </w:pPr>
            <w:r w:rsidRPr="003027B3">
              <w:rPr>
                <w:rFonts w:ascii="Arial Narrow" w:eastAsia="Franklin Gothic Book" w:hAnsi="Arial Narrow" w:cs="Franklin Gothic Book"/>
                <w:sz w:val="20"/>
                <w:szCs w:val="20"/>
                <w:lang w:eastAsia="en-AU"/>
              </w:rPr>
              <w:t>1370</w:t>
            </w:r>
          </w:p>
        </w:tc>
      </w:tr>
      <w:tr w:rsidR="003027B3" w:rsidRPr="003027B3" w14:paraId="3BC126B3" w14:textId="77777777" w:rsidTr="003027B3">
        <w:trPr>
          <w:trHeight w:val="233"/>
        </w:trPr>
        <w:tc>
          <w:tcPr>
            <w:tcW w:w="7800" w:type="dxa"/>
            <w:tcBorders>
              <w:top w:val="nil"/>
              <w:left w:val="single" w:sz="4" w:space="0" w:color="000000"/>
              <w:bottom w:val="single" w:sz="8" w:space="0" w:color="auto"/>
              <w:right w:val="single" w:sz="8" w:space="0" w:color="auto"/>
            </w:tcBorders>
            <w:vAlign w:val="center"/>
            <w:hideMark/>
          </w:tcPr>
          <w:p w14:paraId="6D83CD8C" w14:textId="77777777" w:rsidR="003027B3" w:rsidRPr="003027B3" w:rsidRDefault="003027B3" w:rsidP="001947DB">
            <w:pPr>
              <w:keepNext/>
              <w:keepLines/>
              <w:spacing w:before="0" w:after="0" w:line="240" w:lineRule="auto"/>
              <w:rPr>
                <w:rFonts w:ascii="Arial Narrow" w:eastAsia="Franklin Gothic Book" w:hAnsi="Arial Narrow" w:cs="Franklin Gothic Book"/>
                <w:sz w:val="20"/>
                <w:szCs w:val="20"/>
                <w:lang w:eastAsia="en-AU"/>
              </w:rPr>
            </w:pPr>
            <w:r w:rsidRPr="003027B3">
              <w:rPr>
                <w:rFonts w:ascii="Arial Narrow" w:eastAsia="Franklin Gothic Book" w:hAnsi="Arial Narrow" w:cs="Franklin Gothic Book"/>
                <w:sz w:val="20"/>
                <w:szCs w:val="20"/>
                <w:lang w:eastAsia="en-AU"/>
              </w:rPr>
              <w:t>I am a parent, partner or another person caring for someone from the above two groups. </w:t>
            </w:r>
          </w:p>
        </w:tc>
        <w:tc>
          <w:tcPr>
            <w:tcW w:w="1220" w:type="dxa"/>
            <w:tcBorders>
              <w:top w:val="nil"/>
              <w:left w:val="nil"/>
              <w:bottom w:val="single" w:sz="8" w:space="0" w:color="auto"/>
              <w:right w:val="single" w:sz="4" w:space="0" w:color="000000"/>
            </w:tcBorders>
            <w:vAlign w:val="center"/>
            <w:hideMark/>
          </w:tcPr>
          <w:p w14:paraId="74715B1C" w14:textId="77777777" w:rsidR="003027B3" w:rsidRPr="003027B3" w:rsidRDefault="003027B3" w:rsidP="001947DB">
            <w:pPr>
              <w:keepNext/>
              <w:keepLines/>
              <w:spacing w:before="0" w:after="0" w:line="240" w:lineRule="auto"/>
              <w:jc w:val="center"/>
              <w:rPr>
                <w:rFonts w:ascii="Arial Narrow" w:eastAsia="Franklin Gothic Book" w:hAnsi="Arial Narrow" w:cs="Franklin Gothic Book"/>
                <w:sz w:val="20"/>
                <w:szCs w:val="20"/>
                <w:lang w:eastAsia="en-AU"/>
              </w:rPr>
            </w:pPr>
            <w:r w:rsidRPr="003027B3">
              <w:rPr>
                <w:rFonts w:ascii="Arial Narrow" w:eastAsia="Franklin Gothic Book" w:hAnsi="Arial Narrow" w:cs="Franklin Gothic Book"/>
                <w:sz w:val="20"/>
                <w:szCs w:val="20"/>
                <w:lang w:eastAsia="en-AU"/>
              </w:rPr>
              <w:t>98</w:t>
            </w:r>
          </w:p>
        </w:tc>
      </w:tr>
      <w:tr w:rsidR="003027B3" w:rsidRPr="003027B3" w14:paraId="364D6455" w14:textId="77777777" w:rsidTr="00D8651B">
        <w:trPr>
          <w:trHeight w:val="300"/>
        </w:trPr>
        <w:tc>
          <w:tcPr>
            <w:tcW w:w="7800" w:type="dxa"/>
            <w:tcBorders>
              <w:top w:val="nil"/>
              <w:left w:val="single" w:sz="4" w:space="0" w:color="000000"/>
              <w:bottom w:val="single" w:sz="8" w:space="0" w:color="auto"/>
              <w:right w:val="single" w:sz="8" w:space="0" w:color="auto"/>
            </w:tcBorders>
            <w:vAlign w:val="center"/>
            <w:hideMark/>
          </w:tcPr>
          <w:p w14:paraId="7BF67FA9" w14:textId="77777777" w:rsidR="003027B3" w:rsidRPr="003027B3" w:rsidRDefault="003027B3" w:rsidP="001947DB">
            <w:pPr>
              <w:keepNext/>
              <w:keepLines/>
              <w:spacing w:before="0" w:after="0" w:line="240" w:lineRule="auto"/>
              <w:rPr>
                <w:rFonts w:ascii="Arial Narrow" w:eastAsia="Franklin Gothic Book" w:hAnsi="Arial Narrow" w:cs="Franklin Gothic Book"/>
                <w:sz w:val="20"/>
                <w:szCs w:val="20"/>
                <w:lang w:eastAsia="en-AU"/>
              </w:rPr>
            </w:pPr>
            <w:r w:rsidRPr="003027B3">
              <w:rPr>
                <w:rFonts w:ascii="Arial Narrow" w:eastAsia="Franklin Gothic Book" w:hAnsi="Arial Narrow" w:cs="Franklin Gothic Book"/>
                <w:sz w:val="20"/>
                <w:szCs w:val="20"/>
                <w:lang w:eastAsia="en-AU"/>
              </w:rPr>
              <w:t>I am an interested individual who does not fall into any of the above categories. </w:t>
            </w:r>
          </w:p>
        </w:tc>
        <w:tc>
          <w:tcPr>
            <w:tcW w:w="1220" w:type="dxa"/>
            <w:tcBorders>
              <w:top w:val="nil"/>
              <w:left w:val="nil"/>
              <w:bottom w:val="single" w:sz="8" w:space="0" w:color="auto"/>
              <w:right w:val="single" w:sz="4" w:space="0" w:color="000000"/>
            </w:tcBorders>
            <w:vAlign w:val="center"/>
            <w:hideMark/>
          </w:tcPr>
          <w:p w14:paraId="3A8C600B" w14:textId="77777777" w:rsidR="003027B3" w:rsidRPr="003027B3" w:rsidRDefault="003027B3" w:rsidP="001947DB">
            <w:pPr>
              <w:keepNext/>
              <w:keepLines/>
              <w:spacing w:before="0" w:after="0" w:line="240" w:lineRule="auto"/>
              <w:jc w:val="center"/>
              <w:rPr>
                <w:rFonts w:ascii="Arial Narrow" w:eastAsia="Franklin Gothic Book" w:hAnsi="Arial Narrow" w:cs="Franklin Gothic Book"/>
                <w:sz w:val="20"/>
                <w:szCs w:val="20"/>
                <w:lang w:eastAsia="en-AU"/>
              </w:rPr>
            </w:pPr>
            <w:r w:rsidRPr="003027B3">
              <w:rPr>
                <w:rFonts w:ascii="Arial Narrow" w:eastAsia="Franklin Gothic Book" w:hAnsi="Arial Narrow" w:cs="Franklin Gothic Book"/>
                <w:sz w:val="20"/>
                <w:szCs w:val="20"/>
                <w:lang w:eastAsia="en-AU"/>
              </w:rPr>
              <w:t>36</w:t>
            </w:r>
          </w:p>
        </w:tc>
      </w:tr>
      <w:tr w:rsidR="003027B3" w:rsidRPr="003027B3" w14:paraId="23D416F3" w14:textId="77777777" w:rsidTr="00D8651B">
        <w:trPr>
          <w:trHeight w:val="290"/>
        </w:trPr>
        <w:tc>
          <w:tcPr>
            <w:tcW w:w="7800" w:type="dxa"/>
            <w:tcBorders>
              <w:top w:val="nil"/>
              <w:left w:val="single" w:sz="4" w:space="0" w:color="000000"/>
              <w:bottom w:val="single" w:sz="4" w:space="0" w:color="000000"/>
              <w:right w:val="single" w:sz="8" w:space="0" w:color="auto"/>
            </w:tcBorders>
            <w:vAlign w:val="center"/>
            <w:hideMark/>
          </w:tcPr>
          <w:p w14:paraId="520EDEA7" w14:textId="77777777" w:rsidR="003027B3" w:rsidRPr="003027B3" w:rsidRDefault="003027B3" w:rsidP="001947DB">
            <w:pPr>
              <w:keepNext/>
              <w:keepLines/>
              <w:spacing w:before="0" w:after="0" w:line="240" w:lineRule="auto"/>
              <w:rPr>
                <w:rFonts w:ascii="Arial Narrow" w:eastAsia="Franklin Gothic Book" w:hAnsi="Arial Narrow" w:cs="Franklin Gothic Book"/>
                <w:b/>
                <w:bCs/>
                <w:sz w:val="20"/>
                <w:szCs w:val="20"/>
                <w:lang w:eastAsia="en-AU"/>
              </w:rPr>
            </w:pPr>
            <w:r w:rsidRPr="003027B3">
              <w:rPr>
                <w:rFonts w:ascii="Arial Narrow" w:eastAsia="Franklin Gothic Book" w:hAnsi="Arial Narrow" w:cs="Franklin Gothic Book"/>
                <w:b/>
                <w:bCs/>
                <w:sz w:val="20"/>
                <w:szCs w:val="20"/>
                <w:lang w:eastAsia="en-AU"/>
              </w:rPr>
              <w:t>Grand Total</w:t>
            </w:r>
            <w:r w:rsidRPr="003027B3">
              <w:rPr>
                <w:rFonts w:ascii="Arial Narrow" w:eastAsia="Franklin Gothic Book" w:hAnsi="Arial Narrow" w:cs="Franklin Gothic Book"/>
                <w:sz w:val="20"/>
                <w:szCs w:val="20"/>
                <w:lang w:eastAsia="en-AU"/>
              </w:rPr>
              <w:t> </w:t>
            </w:r>
          </w:p>
        </w:tc>
        <w:tc>
          <w:tcPr>
            <w:tcW w:w="1220" w:type="dxa"/>
            <w:tcBorders>
              <w:top w:val="nil"/>
              <w:left w:val="nil"/>
              <w:bottom w:val="single" w:sz="4" w:space="0" w:color="000000"/>
              <w:right w:val="single" w:sz="4" w:space="0" w:color="000000"/>
            </w:tcBorders>
            <w:vAlign w:val="center"/>
            <w:hideMark/>
          </w:tcPr>
          <w:p w14:paraId="1F809B57" w14:textId="77777777" w:rsidR="003027B3" w:rsidRPr="003027B3" w:rsidRDefault="003027B3" w:rsidP="001947DB">
            <w:pPr>
              <w:keepNext/>
              <w:keepLines/>
              <w:spacing w:before="0" w:after="0" w:line="240" w:lineRule="auto"/>
              <w:jc w:val="center"/>
              <w:rPr>
                <w:rFonts w:ascii="Arial Narrow" w:eastAsia="Franklin Gothic Book" w:hAnsi="Arial Narrow" w:cs="Franklin Gothic Book"/>
                <w:b/>
                <w:bCs/>
                <w:sz w:val="20"/>
                <w:szCs w:val="20"/>
                <w:lang w:eastAsia="en-AU"/>
              </w:rPr>
            </w:pPr>
            <w:r w:rsidRPr="003027B3">
              <w:rPr>
                <w:rFonts w:ascii="Arial Narrow" w:eastAsia="Franklin Gothic Book" w:hAnsi="Arial Narrow" w:cs="Franklin Gothic Book"/>
                <w:b/>
                <w:bCs/>
                <w:sz w:val="20"/>
                <w:szCs w:val="20"/>
                <w:lang w:eastAsia="en-AU"/>
              </w:rPr>
              <w:t>2270</w:t>
            </w:r>
          </w:p>
        </w:tc>
      </w:tr>
    </w:tbl>
    <w:p w14:paraId="66CA8482" w14:textId="77777777" w:rsidR="003027B3" w:rsidRPr="00844C01" w:rsidRDefault="003027B3" w:rsidP="001947DB">
      <w:pPr>
        <w:keepNext/>
        <w:keepLines/>
        <w:tabs>
          <w:tab w:val="left" w:pos="3686"/>
        </w:tabs>
        <w:spacing w:before="240" w:after="120" w:line="257" w:lineRule="auto"/>
        <w:rPr>
          <w:rFonts w:eastAsia="Franklin Gothic Book" w:cs="Franklin Gothic Book"/>
        </w:rPr>
      </w:pPr>
      <w:r w:rsidRPr="00844C01">
        <w:rPr>
          <w:rFonts w:eastAsia="Franklin Gothic Book" w:cs="Franklin Gothic Book"/>
        </w:rPr>
        <w:t>The organisations that submitted input were:</w:t>
      </w:r>
    </w:p>
    <w:p w14:paraId="024A4D6A" w14:textId="77777777" w:rsidR="003027B3" w:rsidRPr="00092B0E" w:rsidRDefault="003027B3" w:rsidP="001947DB">
      <w:pPr>
        <w:pStyle w:val="ListParagraph"/>
        <w:keepNext/>
        <w:keepLines/>
        <w:numPr>
          <w:ilvl w:val="0"/>
          <w:numId w:val="28"/>
        </w:numPr>
        <w:spacing w:before="0" w:after="0" w:line="240" w:lineRule="auto"/>
        <w:ind w:left="714" w:hanging="357"/>
        <w:contextualSpacing w:val="0"/>
      </w:pPr>
      <w:r w:rsidRPr="00092B0E">
        <w:t>Australia and New Zealand Society for Paediatric Endocrinology and Diabetes (</w:t>
      </w:r>
      <w:bookmarkStart w:id="21" w:name="_Hlk201238925"/>
      <w:r w:rsidRPr="00092B0E">
        <w:t>ANZPED</w:t>
      </w:r>
      <w:bookmarkEnd w:id="21"/>
      <w:r w:rsidRPr="00092B0E">
        <w:t>)</w:t>
      </w:r>
    </w:p>
    <w:p w14:paraId="77889B58" w14:textId="77777777" w:rsidR="003027B3" w:rsidRPr="00092B0E" w:rsidRDefault="003027B3" w:rsidP="001947DB">
      <w:pPr>
        <w:pStyle w:val="ListParagraph"/>
        <w:keepNext/>
        <w:keepLines/>
        <w:numPr>
          <w:ilvl w:val="0"/>
          <w:numId w:val="28"/>
        </w:numPr>
        <w:spacing w:before="0" w:after="0" w:line="240" w:lineRule="auto"/>
        <w:contextualSpacing w:val="0"/>
      </w:pPr>
      <w:r w:rsidRPr="00092B0E">
        <w:t>Australian Diabetes Society (2)</w:t>
      </w:r>
    </w:p>
    <w:p w14:paraId="4EBC75E2" w14:textId="77777777" w:rsidR="003027B3" w:rsidRPr="00092B0E" w:rsidRDefault="003027B3" w:rsidP="001947DB">
      <w:pPr>
        <w:pStyle w:val="ListParagraph"/>
        <w:keepNext/>
        <w:keepLines/>
        <w:numPr>
          <w:ilvl w:val="0"/>
          <w:numId w:val="28"/>
        </w:numPr>
        <w:spacing w:before="0" w:after="0" w:line="240" w:lineRule="auto"/>
        <w:ind w:left="714" w:hanging="357"/>
        <w:contextualSpacing w:val="0"/>
      </w:pPr>
      <w:r w:rsidRPr="00092B0E">
        <w:t>Medtronic Australasia (2)</w:t>
      </w:r>
    </w:p>
    <w:p w14:paraId="2F0333B2" w14:textId="77777777" w:rsidR="003027B3" w:rsidRPr="00092B0E" w:rsidRDefault="003027B3" w:rsidP="001947DB">
      <w:pPr>
        <w:pStyle w:val="ListParagraph"/>
        <w:keepNext/>
        <w:keepLines/>
        <w:numPr>
          <w:ilvl w:val="0"/>
          <w:numId w:val="28"/>
        </w:numPr>
        <w:spacing w:before="0" w:after="0" w:line="240" w:lineRule="auto"/>
        <w:ind w:left="714" w:hanging="357"/>
        <w:contextualSpacing w:val="0"/>
      </w:pPr>
      <w:r w:rsidRPr="00092B0E">
        <w:t xml:space="preserve">Primary Care Diabetes Society of Australia </w:t>
      </w:r>
    </w:p>
    <w:p w14:paraId="28E31047" w14:textId="77777777" w:rsidR="003027B3" w:rsidRPr="00092B0E" w:rsidRDefault="003027B3" w:rsidP="003027B3">
      <w:pPr>
        <w:pStyle w:val="ListParagraph"/>
        <w:numPr>
          <w:ilvl w:val="0"/>
          <w:numId w:val="28"/>
        </w:numPr>
        <w:spacing w:before="0" w:after="0" w:line="240" w:lineRule="auto"/>
        <w:ind w:left="714" w:hanging="357"/>
        <w:contextualSpacing w:val="0"/>
      </w:pPr>
      <w:r w:rsidRPr="00092B0E">
        <w:t xml:space="preserve">Pharmaceutical Society of Australia </w:t>
      </w:r>
    </w:p>
    <w:p w14:paraId="29F43AC0" w14:textId="77777777" w:rsidR="003027B3" w:rsidRPr="00092B0E" w:rsidRDefault="003027B3" w:rsidP="003027B3">
      <w:pPr>
        <w:pStyle w:val="ListParagraph"/>
        <w:numPr>
          <w:ilvl w:val="0"/>
          <w:numId w:val="28"/>
        </w:numPr>
        <w:spacing w:before="0" w:after="0" w:line="240" w:lineRule="auto"/>
        <w:ind w:left="714" w:hanging="357"/>
        <w:contextualSpacing w:val="0"/>
      </w:pPr>
      <w:r w:rsidRPr="00092B0E">
        <w:t>Royal Australian College of General Practice (RACGP)</w:t>
      </w:r>
    </w:p>
    <w:p w14:paraId="197EB21E" w14:textId="77777777" w:rsidR="003027B3" w:rsidRPr="00092B0E" w:rsidRDefault="003027B3" w:rsidP="003027B3">
      <w:pPr>
        <w:pStyle w:val="ListParagraph"/>
        <w:numPr>
          <w:ilvl w:val="0"/>
          <w:numId w:val="28"/>
        </w:numPr>
        <w:spacing w:before="0" w:after="0" w:line="240" w:lineRule="auto"/>
        <w:ind w:left="714" w:hanging="357"/>
        <w:contextualSpacing w:val="0"/>
      </w:pPr>
      <w:r w:rsidRPr="00092B0E">
        <w:t xml:space="preserve">NeuroEndocrine Cancer Australia </w:t>
      </w:r>
    </w:p>
    <w:p w14:paraId="2C83DEA0" w14:textId="77777777" w:rsidR="003027B3" w:rsidRPr="00092B0E" w:rsidRDefault="003027B3" w:rsidP="003027B3">
      <w:pPr>
        <w:pStyle w:val="ListParagraph"/>
        <w:numPr>
          <w:ilvl w:val="0"/>
          <w:numId w:val="28"/>
        </w:numPr>
        <w:spacing w:before="0" w:after="0" w:line="240" w:lineRule="auto"/>
        <w:ind w:left="714" w:hanging="357"/>
        <w:contextualSpacing w:val="0"/>
      </w:pPr>
      <w:r w:rsidRPr="00092B0E">
        <w:t>Rumbalara Aboriginal Cooperative (2)</w:t>
      </w:r>
    </w:p>
    <w:p w14:paraId="5A005CAA" w14:textId="77777777" w:rsidR="003027B3" w:rsidRPr="00092B0E" w:rsidRDefault="003027B3" w:rsidP="003027B3">
      <w:pPr>
        <w:pStyle w:val="ListParagraph"/>
        <w:numPr>
          <w:ilvl w:val="0"/>
          <w:numId w:val="28"/>
        </w:numPr>
        <w:spacing w:before="0" w:after="0" w:line="240" w:lineRule="auto"/>
        <w:ind w:left="714" w:hanging="357"/>
        <w:contextualSpacing w:val="0"/>
      </w:pPr>
      <w:r w:rsidRPr="00092B0E">
        <w:t>Western Sydney Diabetes (2)</w:t>
      </w:r>
    </w:p>
    <w:p w14:paraId="5AEFDCF8" w14:textId="77777777" w:rsidR="003027B3" w:rsidRPr="00092B0E" w:rsidRDefault="003027B3" w:rsidP="003027B3">
      <w:pPr>
        <w:pStyle w:val="ListParagraph"/>
        <w:numPr>
          <w:ilvl w:val="0"/>
          <w:numId w:val="28"/>
        </w:numPr>
        <w:spacing w:before="0" w:after="0" w:line="240" w:lineRule="auto"/>
        <w:ind w:left="714" w:hanging="357"/>
        <w:contextualSpacing w:val="0"/>
      </w:pPr>
      <w:r w:rsidRPr="00092B0E">
        <w:t xml:space="preserve">Pancare Foundation </w:t>
      </w:r>
    </w:p>
    <w:p w14:paraId="3EFCEF8F" w14:textId="77777777" w:rsidR="003027B3" w:rsidRPr="00092B0E" w:rsidRDefault="003027B3" w:rsidP="003027B3">
      <w:pPr>
        <w:pStyle w:val="ListParagraph"/>
        <w:numPr>
          <w:ilvl w:val="0"/>
          <w:numId w:val="28"/>
        </w:numPr>
        <w:spacing w:before="0" w:after="0" w:line="240" w:lineRule="auto"/>
        <w:ind w:left="714" w:hanging="357"/>
        <w:contextualSpacing w:val="0"/>
      </w:pPr>
      <w:r w:rsidRPr="00092B0E">
        <w:t>Mito Foundation</w:t>
      </w:r>
    </w:p>
    <w:p w14:paraId="087F1625" w14:textId="77777777" w:rsidR="003027B3" w:rsidRPr="00092B0E" w:rsidRDefault="003027B3" w:rsidP="003027B3">
      <w:pPr>
        <w:pStyle w:val="ListParagraph"/>
        <w:numPr>
          <w:ilvl w:val="0"/>
          <w:numId w:val="28"/>
        </w:numPr>
        <w:spacing w:before="0" w:after="0" w:line="240" w:lineRule="auto"/>
        <w:ind w:left="714" w:hanging="357"/>
        <w:contextualSpacing w:val="0"/>
      </w:pPr>
      <w:r w:rsidRPr="00092B0E">
        <w:t xml:space="preserve">Australian Centre for Accelerating Diabetes Innovations </w:t>
      </w:r>
    </w:p>
    <w:p w14:paraId="0E815114" w14:textId="77777777" w:rsidR="003027B3" w:rsidRPr="00092B0E" w:rsidRDefault="003027B3" w:rsidP="003027B3">
      <w:pPr>
        <w:pStyle w:val="ListParagraph"/>
        <w:numPr>
          <w:ilvl w:val="0"/>
          <w:numId w:val="28"/>
        </w:numPr>
        <w:spacing w:before="0" w:after="0" w:line="240" w:lineRule="auto"/>
        <w:ind w:left="714" w:hanging="357"/>
        <w:contextualSpacing w:val="0"/>
      </w:pPr>
      <w:r w:rsidRPr="00092B0E">
        <w:t xml:space="preserve">Diabetes Victoria </w:t>
      </w:r>
    </w:p>
    <w:p w14:paraId="12101242" w14:textId="77777777" w:rsidR="003027B3" w:rsidRPr="00092B0E" w:rsidRDefault="003027B3" w:rsidP="003027B3">
      <w:pPr>
        <w:pStyle w:val="ListParagraph"/>
        <w:numPr>
          <w:ilvl w:val="0"/>
          <w:numId w:val="28"/>
        </w:numPr>
        <w:spacing w:before="0" w:after="0" w:line="240" w:lineRule="auto"/>
        <w:ind w:left="714" w:hanging="357"/>
        <w:contextualSpacing w:val="0"/>
      </w:pPr>
      <w:r w:rsidRPr="00092B0E">
        <w:t xml:space="preserve">Roche Diagnostics Australia </w:t>
      </w:r>
    </w:p>
    <w:p w14:paraId="0D9924FA" w14:textId="77777777" w:rsidR="003027B3" w:rsidRPr="00092B0E" w:rsidRDefault="003027B3" w:rsidP="003027B3">
      <w:pPr>
        <w:pStyle w:val="ListParagraph"/>
        <w:numPr>
          <w:ilvl w:val="0"/>
          <w:numId w:val="28"/>
        </w:numPr>
        <w:spacing w:before="0" w:after="0" w:line="240" w:lineRule="auto"/>
        <w:ind w:left="714" w:hanging="357"/>
        <w:contextualSpacing w:val="0"/>
      </w:pPr>
      <w:r w:rsidRPr="00092B0E">
        <w:t xml:space="preserve">Diabetes Alliance </w:t>
      </w:r>
    </w:p>
    <w:p w14:paraId="472C4ABC" w14:textId="77777777" w:rsidR="003027B3" w:rsidRPr="00092B0E" w:rsidRDefault="003027B3" w:rsidP="003027B3">
      <w:pPr>
        <w:pStyle w:val="ListParagraph"/>
        <w:numPr>
          <w:ilvl w:val="0"/>
          <w:numId w:val="28"/>
        </w:numPr>
        <w:spacing w:before="0" w:after="0" w:line="240" w:lineRule="auto"/>
        <w:ind w:left="714" w:hanging="357"/>
        <w:contextualSpacing w:val="0"/>
      </w:pPr>
      <w:r w:rsidRPr="00092B0E">
        <w:t xml:space="preserve">Rare Cancers Australia </w:t>
      </w:r>
    </w:p>
    <w:p w14:paraId="093BE5D1" w14:textId="77777777" w:rsidR="003027B3" w:rsidRPr="00092B0E" w:rsidRDefault="003027B3" w:rsidP="003027B3">
      <w:pPr>
        <w:pStyle w:val="ListParagraph"/>
        <w:numPr>
          <w:ilvl w:val="0"/>
          <w:numId w:val="28"/>
        </w:numPr>
        <w:spacing w:before="0" w:after="0" w:line="240" w:lineRule="auto"/>
        <w:ind w:left="714" w:hanging="357"/>
        <w:contextualSpacing w:val="0"/>
      </w:pPr>
      <w:r w:rsidRPr="00092B0E">
        <w:t xml:space="preserve">Diabetes WA </w:t>
      </w:r>
    </w:p>
    <w:p w14:paraId="59EC3C65" w14:textId="77777777" w:rsidR="003027B3" w:rsidRPr="00092B0E" w:rsidRDefault="003027B3" w:rsidP="003027B3">
      <w:pPr>
        <w:pStyle w:val="ListParagraph"/>
        <w:numPr>
          <w:ilvl w:val="0"/>
          <w:numId w:val="28"/>
        </w:numPr>
        <w:spacing w:before="0" w:after="0" w:line="240" w:lineRule="auto"/>
        <w:ind w:left="714" w:hanging="357"/>
        <w:contextualSpacing w:val="0"/>
      </w:pPr>
      <w:r w:rsidRPr="00092B0E">
        <w:t xml:space="preserve">CF Together </w:t>
      </w:r>
    </w:p>
    <w:p w14:paraId="644F65FF" w14:textId="498E57AA" w:rsidR="003027B3" w:rsidRPr="003027B3" w:rsidRDefault="003027B3" w:rsidP="003027B3">
      <w:pPr>
        <w:pStyle w:val="ListParagraph"/>
        <w:numPr>
          <w:ilvl w:val="0"/>
          <w:numId w:val="28"/>
        </w:numPr>
        <w:spacing w:before="0" w:after="0" w:line="240" w:lineRule="auto"/>
        <w:ind w:left="714" w:hanging="357"/>
        <w:contextualSpacing w:val="0"/>
      </w:pPr>
      <w:r w:rsidRPr="00092B0E">
        <w:t xml:space="preserve">Spanish Speaking Diabetes and Heart Association of Australia </w:t>
      </w:r>
    </w:p>
    <w:p w14:paraId="5508D3D5" w14:textId="77777777" w:rsidR="003027B3" w:rsidRPr="003027B3" w:rsidRDefault="003027B3" w:rsidP="003027B3">
      <w:pPr>
        <w:rPr>
          <w:rFonts w:ascii="Franklin Gothic Medium" w:eastAsia="Franklin Gothic" w:hAnsi="Franklin Gothic Medium" w:cs="Franklin Gothic"/>
          <w:i/>
          <w:iCs/>
          <w:color w:val="FF0000"/>
          <w:sz w:val="24"/>
          <w:szCs w:val="24"/>
        </w:rPr>
      </w:pPr>
      <w:r w:rsidRPr="003027B3">
        <w:rPr>
          <w:rFonts w:ascii="Franklin Gothic Medium" w:eastAsia="Franklin Gothic" w:hAnsi="Franklin Gothic Medium" w:cs="Franklin Gothic"/>
          <w:i/>
          <w:iCs/>
          <w:sz w:val="24"/>
          <w:szCs w:val="24"/>
        </w:rPr>
        <w:t xml:space="preserve">Level of support for public funding </w:t>
      </w:r>
    </w:p>
    <w:p w14:paraId="4EB3774F" w14:textId="32319533" w:rsidR="003027B3" w:rsidRDefault="003027B3" w:rsidP="003027B3">
      <w:pPr>
        <w:tabs>
          <w:tab w:val="left" w:pos="3686"/>
        </w:tabs>
        <w:spacing w:line="257" w:lineRule="auto"/>
        <w:rPr>
          <w:rFonts w:eastAsia="Franklin Gothic Book" w:cs="Franklin Gothic Book"/>
        </w:rPr>
      </w:pPr>
      <w:r>
        <w:rPr>
          <w:rFonts w:eastAsia="Franklin Gothic Book" w:cs="Franklin Gothic Book"/>
        </w:rPr>
        <w:t>There was strong support for public funding, with &gt;96 per cent of consumers and &gt;90 per cent of health professionals answering ‘support’ to the question ‘</w:t>
      </w:r>
      <w:r w:rsidRPr="00092B0E">
        <w:rPr>
          <w:rFonts w:eastAsia="Franklin Gothic Book" w:cs="Franklin Gothic Book"/>
        </w:rPr>
        <w:t>Do you support public funding for the health service or technology, as it is proposed to be delivered</w:t>
      </w:r>
      <w:r>
        <w:rPr>
          <w:rFonts w:eastAsia="Franklin Gothic Book" w:cs="Franklin Gothic Book"/>
        </w:rPr>
        <w:t xml:space="preserve">.’ Of those who answered, ‘do not support’ or ‘unsure’, many indicated support for continuous glucose monitoring (CGM) elsewhere in their comments but raised concerns about the population or implementation (see below). </w:t>
      </w:r>
    </w:p>
    <w:p w14:paraId="55F4DEE0" w14:textId="77777777" w:rsidR="003027B3" w:rsidRDefault="003027B3" w:rsidP="003027B3">
      <w:pPr>
        <w:tabs>
          <w:tab w:val="left" w:pos="3686"/>
        </w:tabs>
        <w:spacing w:line="256" w:lineRule="auto"/>
        <w:rPr>
          <w:rFonts w:eastAsia="Franklin Gothic Book" w:cs="Franklin Gothic Book"/>
        </w:rPr>
      </w:pPr>
      <w:r w:rsidRPr="00092B0E">
        <w:rPr>
          <w:rFonts w:eastAsia="Franklin Gothic Book" w:cs="Franklin Gothic Book"/>
        </w:rPr>
        <w:t xml:space="preserve">Some </w:t>
      </w:r>
      <w:r>
        <w:rPr>
          <w:rFonts w:eastAsia="Franklin Gothic Book" w:cs="Franklin Gothic Book"/>
        </w:rPr>
        <w:t>consumers</w:t>
      </w:r>
      <w:r w:rsidRPr="00092B0E">
        <w:rPr>
          <w:rFonts w:eastAsia="Franklin Gothic Book" w:cs="Franklin Gothic Book"/>
        </w:rPr>
        <w:t xml:space="preserve"> who had experience with </w:t>
      </w:r>
      <w:r>
        <w:rPr>
          <w:rFonts w:eastAsia="Franklin Gothic Book" w:cs="Franklin Gothic Book"/>
        </w:rPr>
        <w:t xml:space="preserve">CGM </w:t>
      </w:r>
      <w:r w:rsidRPr="00092B0E">
        <w:rPr>
          <w:rFonts w:eastAsia="Franklin Gothic Book" w:cs="Franklin Gothic Book"/>
        </w:rPr>
        <w:t>described it as life changing</w:t>
      </w:r>
      <w:r>
        <w:rPr>
          <w:rFonts w:eastAsia="Franklin Gothic Book" w:cs="Franklin Gothic Book"/>
        </w:rPr>
        <w:t xml:space="preserve">. Health professionals described CGM as revolutionising diabetes care. </w:t>
      </w:r>
    </w:p>
    <w:p w14:paraId="468076B4" w14:textId="4CF5226F" w:rsidR="003027B3" w:rsidRDefault="003027B3" w:rsidP="003027B3">
      <w:pPr>
        <w:rPr>
          <w:rFonts w:eastAsia="Franklin Gothic Book" w:cs="Franklin Gothic Book"/>
        </w:rPr>
      </w:pPr>
      <w:bookmarkStart w:id="22" w:name="_Hlk201587974"/>
      <w:r w:rsidRPr="0064518B">
        <w:rPr>
          <w:rFonts w:eastAsia="Franklin Gothic Book" w:cs="Franklin Gothic Book"/>
        </w:rPr>
        <w:t>Medtronic Australasia</w:t>
      </w:r>
      <w:r>
        <w:rPr>
          <w:rFonts w:eastAsia="Franklin Gothic Book" w:cs="Franklin Gothic Book"/>
        </w:rPr>
        <w:t xml:space="preserve"> </w:t>
      </w:r>
      <w:r w:rsidRPr="0064518B">
        <w:rPr>
          <w:rFonts w:eastAsia="Franklin Gothic Book" w:cs="Franklin Gothic Book"/>
        </w:rPr>
        <w:t xml:space="preserve">were of the view that MSAC should take a device-agnostic approach to evaluating CGMs, with specific devices considered through the NDSS. They asserted that if MSAC establishes the precedent of evaluation by device type for CGM, this will result in multiple brand-specific assessments for the same therapy, increasing MSAC costs and workload. </w:t>
      </w:r>
      <w:r>
        <w:rPr>
          <w:rFonts w:eastAsia="Franklin Gothic Book" w:cs="Franklin Gothic Book"/>
        </w:rPr>
        <w:t xml:space="preserve">Roche Diagnostics Australia also urged MSAC to </w:t>
      </w:r>
      <w:r w:rsidRPr="007F0C05">
        <w:rPr>
          <w:rFonts w:eastAsia="Franklin Gothic Book" w:cs="Franklin Gothic Book"/>
        </w:rPr>
        <w:t>clarify as part of its advice to the Minister whether MSAC assessment of other CGM will be required</w:t>
      </w:r>
      <w:r>
        <w:rPr>
          <w:rFonts w:eastAsia="Franklin Gothic Book" w:cs="Franklin Gothic Book"/>
        </w:rPr>
        <w:t xml:space="preserve"> </w:t>
      </w:r>
      <w:r w:rsidRPr="007F0C05">
        <w:rPr>
          <w:rFonts w:eastAsia="Franklin Gothic Book" w:cs="Franklin Gothic Book"/>
        </w:rPr>
        <w:t xml:space="preserve">to enable inclusion on the NDSS and if so, under what circumstances. </w:t>
      </w:r>
      <w:bookmarkEnd w:id="22"/>
    </w:p>
    <w:p w14:paraId="4956B307" w14:textId="77777777" w:rsidR="003027B3" w:rsidRPr="003027B3" w:rsidRDefault="003027B3" w:rsidP="003027B3">
      <w:pPr>
        <w:rPr>
          <w:rFonts w:ascii="Franklin Gothic Medium" w:eastAsia="Franklin Gothic" w:hAnsi="Franklin Gothic Medium" w:cs="Franklin Gothic"/>
          <w:i/>
          <w:iCs/>
          <w:sz w:val="24"/>
          <w:szCs w:val="24"/>
        </w:rPr>
      </w:pPr>
      <w:r w:rsidRPr="003027B3">
        <w:rPr>
          <w:rFonts w:ascii="Franklin Gothic Medium" w:eastAsia="Franklin Gothic" w:hAnsi="Franklin Gothic Medium" w:cs="Franklin Gothic"/>
          <w:i/>
          <w:iCs/>
          <w:sz w:val="24"/>
          <w:szCs w:val="24"/>
        </w:rPr>
        <w:t xml:space="preserve">Comments on PICO </w:t>
      </w:r>
    </w:p>
    <w:p w14:paraId="1E1EF301" w14:textId="77777777" w:rsidR="003027B3" w:rsidRDefault="003027B3" w:rsidP="003027B3">
      <w:pPr>
        <w:numPr>
          <w:ilvl w:val="0"/>
          <w:numId w:val="29"/>
        </w:numPr>
        <w:spacing w:before="0"/>
        <w:ind w:left="357" w:hanging="357"/>
        <w:rPr>
          <w:rFonts w:eastAsia="Franklin Gothic Book" w:cs="Franklin Gothic Book"/>
        </w:rPr>
      </w:pPr>
      <w:r>
        <w:rPr>
          <w:rFonts w:eastAsia="Franklin Gothic Book" w:cs="Franklin Gothic Book"/>
        </w:rPr>
        <w:t xml:space="preserve">Respondents agreed with the comparator and outcomes but raised concerns regarding the proposed population. </w:t>
      </w:r>
    </w:p>
    <w:p w14:paraId="245D3093" w14:textId="77777777" w:rsidR="003027B3" w:rsidRPr="00092B0E" w:rsidRDefault="003027B3" w:rsidP="003027B3">
      <w:pPr>
        <w:numPr>
          <w:ilvl w:val="0"/>
          <w:numId w:val="29"/>
        </w:numPr>
        <w:spacing w:before="0"/>
        <w:ind w:left="357" w:hanging="357"/>
        <w:rPr>
          <w:rFonts w:eastAsia="Franklin Gothic Book" w:cs="Franklin Gothic Book"/>
        </w:rPr>
      </w:pPr>
      <w:r>
        <w:rPr>
          <w:rFonts w:eastAsia="Franklin Gothic Book" w:cs="Franklin Gothic Book"/>
        </w:rPr>
        <w:t>Numerous respondents</w:t>
      </w:r>
      <w:r w:rsidRPr="00092B0E">
        <w:rPr>
          <w:rFonts w:eastAsia="Franklin Gothic Book" w:cs="Franklin Gothic Book"/>
        </w:rPr>
        <w:t xml:space="preserve"> indicated they would like to see the proposed populations expanded to </w:t>
      </w:r>
      <w:r>
        <w:rPr>
          <w:rFonts w:eastAsia="Franklin Gothic Book" w:cs="Franklin Gothic Book"/>
        </w:rPr>
        <w:t xml:space="preserve">other groups. This included all diabetics on insulin, regardless of the type of diabetes, and groups with </w:t>
      </w:r>
      <w:r w:rsidRPr="00092B0E">
        <w:rPr>
          <w:rFonts w:eastAsia="Franklin Gothic Book" w:cs="Franklin Gothic Book"/>
        </w:rPr>
        <w:t>non-insulin dependent diabetes who are at high risk of poor health outcomes. Suggestions included:</w:t>
      </w:r>
    </w:p>
    <w:p w14:paraId="261D4E9F" w14:textId="77777777" w:rsidR="003027B3" w:rsidRPr="00092B0E" w:rsidRDefault="003027B3" w:rsidP="003027B3">
      <w:pPr>
        <w:numPr>
          <w:ilvl w:val="1"/>
          <w:numId w:val="29"/>
        </w:numPr>
        <w:spacing w:before="0"/>
        <w:ind w:left="709"/>
        <w:rPr>
          <w:rFonts w:eastAsia="Franklin Gothic Book" w:cs="Franklin Gothic Book"/>
        </w:rPr>
      </w:pPr>
      <w:r w:rsidRPr="00092B0E">
        <w:rPr>
          <w:rFonts w:eastAsia="Franklin Gothic Book" w:cs="Franklin Gothic Book"/>
        </w:rPr>
        <w:t xml:space="preserve">first nations peoples. </w:t>
      </w:r>
      <w:r>
        <w:rPr>
          <w:rFonts w:eastAsia="Franklin Gothic Book" w:cs="Franklin Gothic Book"/>
        </w:rPr>
        <w:t>For example, t</w:t>
      </w:r>
      <w:r w:rsidRPr="00092B0E">
        <w:rPr>
          <w:rFonts w:eastAsia="Franklin Gothic Book" w:cs="Franklin Gothic Book"/>
        </w:rPr>
        <w:t>he Rumbalara Aboriginal Cooperative - Health and Wellbeing Clinic reported improvements in diabetes management during a community trial of CGM. It noted that Aboriginal and Torres Strait Islander communities are at a disproportionate risk of developing cardiovascular and renal diseases if diabetes management is not optimised. In their view, subsidised access to CGM is without a doubt the key to preventing cardiovascular and renal diseases.</w:t>
      </w:r>
      <w:r>
        <w:rPr>
          <w:rFonts w:eastAsia="Franklin Gothic Book" w:cs="Franklin Gothic Book"/>
        </w:rPr>
        <w:t xml:space="preserve"> </w:t>
      </w:r>
    </w:p>
    <w:p w14:paraId="4D5DEDB9" w14:textId="77777777" w:rsidR="003027B3" w:rsidRPr="00092B0E" w:rsidRDefault="003027B3" w:rsidP="003027B3">
      <w:pPr>
        <w:numPr>
          <w:ilvl w:val="1"/>
          <w:numId w:val="29"/>
        </w:numPr>
        <w:spacing w:before="0"/>
        <w:ind w:left="709"/>
        <w:rPr>
          <w:rFonts w:eastAsia="Franklin Gothic Book" w:cs="Franklin Gothic Book"/>
        </w:rPr>
      </w:pPr>
      <w:r w:rsidRPr="00092B0E">
        <w:rPr>
          <w:rFonts w:eastAsia="Franklin Gothic Book" w:cs="Franklin Gothic Book"/>
        </w:rPr>
        <w:t xml:space="preserve">people with disabilities, including intellectual disability, dementia, vision impairment and dexterity issues which may make finger prick monitoring difficult </w:t>
      </w:r>
    </w:p>
    <w:p w14:paraId="2775A262" w14:textId="77777777" w:rsidR="003027B3" w:rsidRPr="00092B0E" w:rsidRDefault="003027B3" w:rsidP="003027B3">
      <w:pPr>
        <w:numPr>
          <w:ilvl w:val="1"/>
          <w:numId w:val="29"/>
        </w:numPr>
        <w:spacing w:before="0"/>
        <w:ind w:left="709"/>
        <w:rPr>
          <w:rFonts w:eastAsia="Franklin Gothic Book" w:cs="Franklin Gothic Book"/>
        </w:rPr>
      </w:pPr>
      <w:r w:rsidRPr="00092B0E">
        <w:rPr>
          <w:rFonts w:eastAsia="Franklin Gothic Book" w:cs="Franklin Gothic Book"/>
        </w:rPr>
        <w:t xml:space="preserve">T2DM on medications that increase risk of hypoglycaemia </w:t>
      </w:r>
    </w:p>
    <w:p w14:paraId="66E34AB6" w14:textId="77777777" w:rsidR="003027B3" w:rsidRPr="00092B0E" w:rsidRDefault="003027B3" w:rsidP="003027B3">
      <w:pPr>
        <w:numPr>
          <w:ilvl w:val="1"/>
          <w:numId w:val="29"/>
        </w:numPr>
        <w:spacing w:before="0"/>
        <w:ind w:left="709"/>
        <w:rPr>
          <w:rFonts w:eastAsia="Franklin Gothic Book" w:cs="Franklin Gothic Book"/>
        </w:rPr>
      </w:pPr>
      <w:r w:rsidRPr="00092B0E">
        <w:rPr>
          <w:rFonts w:eastAsia="Franklin Gothic Book" w:cs="Franklin Gothic Book"/>
        </w:rPr>
        <w:t xml:space="preserve">older Australians with diabetes living in residential aged care facilities or alone (who are at increased risk of hospitalisation) </w:t>
      </w:r>
    </w:p>
    <w:p w14:paraId="38B62267" w14:textId="33359DDE" w:rsidR="003027B3" w:rsidRDefault="003027B3" w:rsidP="003027B3">
      <w:pPr>
        <w:numPr>
          <w:ilvl w:val="1"/>
          <w:numId w:val="29"/>
        </w:numPr>
        <w:spacing w:before="0"/>
        <w:ind w:left="709"/>
        <w:rPr>
          <w:rFonts w:eastAsia="Franklin Gothic Book" w:cs="Franklin Gothic Book"/>
        </w:rPr>
      </w:pPr>
      <w:r w:rsidRPr="00092B0E">
        <w:rPr>
          <w:rFonts w:eastAsia="Franklin Gothic Book" w:cs="Franklin Gothic Book"/>
        </w:rPr>
        <w:t>people undergoing cancer treatment who have comorbid diabetes and are at high risk of morbidity and mortality. NeuroEndocrine Cancer Australia (NECA) was highly supportive of subsidised access to CGM for individuals with insulin-dependent type 3c diabetes but emphasised that there are individuals within the neuroendocrine cancer population who are not insulin dependent but would greatly benefit from access to CGM.</w:t>
      </w:r>
      <w:r>
        <w:rPr>
          <w:rFonts w:eastAsia="Franklin Gothic Book" w:cs="Franklin Gothic Book"/>
        </w:rPr>
        <w:t xml:space="preserve"> CF Together also advocated for subsidised access to CGM for people with cystic fibrosis and diabetes, regardless of insulin status. </w:t>
      </w:r>
    </w:p>
    <w:p w14:paraId="3E528DAE" w14:textId="2D05DFC2" w:rsidR="003027B3" w:rsidRDefault="003027B3" w:rsidP="003027B3">
      <w:pPr>
        <w:numPr>
          <w:ilvl w:val="1"/>
          <w:numId w:val="29"/>
        </w:numPr>
        <w:spacing w:before="0"/>
        <w:ind w:left="709"/>
        <w:rPr>
          <w:rFonts w:eastAsia="Franklin Gothic Book" w:cs="Franklin Gothic Book"/>
        </w:rPr>
      </w:pPr>
      <w:r>
        <w:rPr>
          <w:rFonts w:eastAsia="Franklin Gothic Book" w:cs="Franklin Gothic Book"/>
        </w:rPr>
        <w:t xml:space="preserve">adolescents. </w:t>
      </w:r>
      <w:r w:rsidRPr="00092B0E">
        <w:rPr>
          <w:rFonts w:eastAsia="Franklin Gothic Book" w:cs="Franklin Gothic Book"/>
        </w:rPr>
        <w:t xml:space="preserve">ANZPED </w:t>
      </w:r>
      <w:r>
        <w:rPr>
          <w:rFonts w:eastAsia="Franklin Gothic Book" w:cs="Franklin Gothic Book"/>
        </w:rPr>
        <w:t>notes that y</w:t>
      </w:r>
      <w:r w:rsidRPr="00092B0E">
        <w:rPr>
          <w:rFonts w:eastAsia="Franklin Gothic Book" w:cs="Franklin Gothic Book"/>
        </w:rPr>
        <w:t xml:space="preserve">outh-onset type 2 diabetes particularly affects marginalised and socioeconomically vulnerable </w:t>
      </w:r>
      <w:r>
        <w:rPr>
          <w:rFonts w:eastAsia="Franklin Gothic Book" w:cs="Franklin Gothic Book"/>
        </w:rPr>
        <w:t xml:space="preserve">youth. It has been </w:t>
      </w:r>
      <w:r w:rsidRPr="00092B0E">
        <w:rPr>
          <w:rFonts w:eastAsia="Franklin Gothic Book" w:cs="Franklin Gothic Book"/>
        </w:rPr>
        <w:t>described as a “severe aggressive phenotype</w:t>
      </w:r>
      <w:r>
        <w:rPr>
          <w:rFonts w:eastAsia="Franklin Gothic Book" w:cs="Franklin Gothic Book"/>
        </w:rPr>
        <w:t>” with</w:t>
      </w:r>
      <w:r w:rsidRPr="00092B0E">
        <w:rPr>
          <w:rFonts w:eastAsia="Franklin Gothic Book" w:cs="Franklin Gothic Book"/>
        </w:rPr>
        <w:t xml:space="preserve"> more rapid development of complications and reduced treatment response</w:t>
      </w:r>
      <w:r>
        <w:rPr>
          <w:rFonts w:eastAsia="Franklin Gothic Book" w:cs="Franklin Gothic Book"/>
        </w:rPr>
        <w:t xml:space="preserve">. They argue that use of CGM in this population would help to </w:t>
      </w:r>
      <w:r w:rsidRPr="00092B0E">
        <w:rPr>
          <w:rFonts w:eastAsia="Franklin Gothic Book" w:cs="Franklin Gothic Book"/>
        </w:rPr>
        <w:t>optimise blood glucose levels</w:t>
      </w:r>
      <w:r>
        <w:rPr>
          <w:rFonts w:eastAsia="Franklin Gothic Book" w:cs="Franklin Gothic Book"/>
        </w:rPr>
        <w:t xml:space="preserve">, </w:t>
      </w:r>
      <w:proofErr w:type="gramStart"/>
      <w:r w:rsidRPr="00092B0E">
        <w:rPr>
          <w:rFonts w:eastAsia="Franklin Gothic Book" w:cs="Franklin Gothic Book"/>
        </w:rPr>
        <w:t>so as to</w:t>
      </w:r>
      <w:proofErr w:type="gramEnd"/>
      <w:r w:rsidRPr="00092B0E">
        <w:rPr>
          <w:rFonts w:eastAsia="Franklin Gothic Book" w:cs="Franklin Gothic Book"/>
        </w:rPr>
        <w:t xml:space="preserve"> improve their diabetes outcomes and reduce their very high risk of long-term diabetes complications.</w:t>
      </w:r>
      <w:r>
        <w:rPr>
          <w:rFonts w:eastAsia="Franklin Gothic Book" w:cs="Franklin Gothic Book"/>
        </w:rPr>
        <w:t xml:space="preserve"> It would also reduce health system costs in managing complications. </w:t>
      </w:r>
    </w:p>
    <w:p w14:paraId="001211E6" w14:textId="77777777" w:rsidR="003027B3" w:rsidRDefault="003027B3" w:rsidP="003027B3">
      <w:pPr>
        <w:numPr>
          <w:ilvl w:val="1"/>
          <w:numId w:val="29"/>
        </w:numPr>
        <w:spacing w:before="0"/>
        <w:ind w:left="709"/>
        <w:rPr>
          <w:rFonts w:eastAsia="Franklin Gothic Book" w:cs="Franklin Gothic Book"/>
        </w:rPr>
      </w:pPr>
      <w:r w:rsidRPr="00092B0E">
        <w:rPr>
          <w:rFonts w:eastAsia="Franklin Gothic Book" w:cs="Franklin Gothic Book"/>
        </w:rPr>
        <w:t xml:space="preserve">other </w:t>
      </w:r>
      <w:proofErr w:type="gramStart"/>
      <w:r w:rsidRPr="00092B0E">
        <w:rPr>
          <w:rFonts w:eastAsia="Franklin Gothic Book" w:cs="Franklin Gothic Book"/>
        </w:rPr>
        <w:t>high risk</w:t>
      </w:r>
      <w:proofErr w:type="gramEnd"/>
      <w:r w:rsidRPr="00092B0E">
        <w:rPr>
          <w:rFonts w:eastAsia="Franklin Gothic Book" w:cs="Franklin Gothic Book"/>
        </w:rPr>
        <w:t xml:space="preserve"> populations,</w:t>
      </w:r>
      <w:r>
        <w:rPr>
          <w:rFonts w:eastAsia="Franklin Gothic Book" w:cs="Franklin Gothic Book"/>
        </w:rPr>
        <w:t xml:space="preserve"> </w:t>
      </w:r>
      <w:r w:rsidRPr="00092B0E">
        <w:rPr>
          <w:rFonts w:eastAsia="Franklin Gothic Book" w:cs="Franklin Gothic Book"/>
        </w:rPr>
        <w:t xml:space="preserve">such as homeless people and those living in rural/remote areas who may have limited access to health care services. </w:t>
      </w:r>
    </w:p>
    <w:p w14:paraId="5045552F" w14:textId="77777777" w:rsidR="003027B3" w:rsidRPr="00844C01" w:rsidRDefault="003027B3" w:rsidP="003027B3">
      <w:pPr>
        <w:numPr>
          <w:ilvl w:val="0"/>
          <w:numId w:val="29"/>
        </w:numPr>
        <w:spacing w:before="0"/>
        <w:rPr>
          <w:rFonts w:eastAsia="Franklin Gothic Book" w:cs="Franklin Gothic Book"/>
        </w:rPr>
      </w:pPr>
      <w:r>
        <w:rPr>
          <w:rFonts w:eastAsia="Franklin Gothic Book" w:cs="Franklin Gothic Book"/>
        </w:rPr>
        <w:t>Western Sydney Diabetes r</w:t>
      </w:r>
      <w:r w:rsidRPr="007F0C05">
        <w:rPr>
          <w:rFonts w:eastAsia="Franklin Gothic Book" w:cs="Franklin Gothic Book"/>
        </w:rPr>
        <w:t>ecommend</w:t>
      </w:r>
      <w:r>
        <w:rPr>
          <w:rFonts w:eastAsia="Franklin Gothic Book" w:cs="Franklin Gothic Book"/>
        </w:rPr>
        <w:t>ed</w:t>
      </w:r>
      <w:r w:rsidRPr="007F0C05">
        <w:rPr>
          <w:rFonts w:eastAsia="Franklin Gothic Book" w:cs="Franklin Gothic Book"/>
        </w:rPr>
        <w:t xml:space="preserve"> an intermittent use model—for example, providing up to 25% annual</w:t>
      </w:r>
      <w:r>
        <w:rPr>
          <w:rFonts w:eastAsia="Franklin Gothic Book" w:cs="Franklin Gothic Book"/>
        </w:rPr>
        <w:t xml:space="preserve"> </w:t>
      </w:r>
      <w:r w:rsidRPr="007F0C05">
        <w:rPr>
          <w:rFonts w:eastAsia="Franklin Gothic Book" w:cs="Franklin Gothic Book"/>
        </w:rPr>
        <w:t>coverage (equivalent to one sensor every quarter) for patients not on insulin but at high risk or with suboptimal glycaemic control</w:t>
      </w:r>
      <w:r>
        <w:rPr>
          <w:rFonts w:eastAsia="Franklin Gothic Book" w:cs="Franklin Gothic Book"/>
        </w:rPr>
        <w:t xml:space="preserve">. </w:t>
      </w:r>
    </w:p>
    <w:p w14:paraId="0EE1C17F" w14:textId="77777777" w:rsidR="003027B3" w:rsidRPr="003027B3" w:rsidRDefault="003027B3" w:rsidP="003027B3">
      <w:pPr>
        <w:rPr>
          <w:rFonts w:ascii="Franklin Gothic Medium" w:eastAsia="Franklin Gothic" w:hAnsi="Franklin Gothic Medium" w:cs="Franklin Gothic"/>
          <w:i/>
          <w:iCs/>
          <w:sz w:val="24"/>
          <w:szCs w:val="24"/>
        </w:rPr>
      </w:pPr>
      <w:r w:rsidRPr="003027B3">
        <w:rPr>
          <w:rFonts w:ascii="Franklin Gothic Medium" w:eastAsia="Franklin Gothic" w:hAnsi="Franklin Gothic Medium" w:cs="Franklin Gothic"/>
          <w:i/>
          <w:iCs/>
          <w:sz w:val="24"/>
          <w:szCs w:val="24"/>
        </w:rPr>
        <w:t xml:space="preserve">Perceived Advantages </w:t>
      </w:r>
    </w:p>
    <w:p w14:paraId="05C8E8F3" w14:textId="77777777" w:rsidR="003027B3" w:rsidRPr="00092B0E" w:rsidRDefault="003027B3" w:rsidP="003027B3">
      <w:pPr>
        <w:pStyle w:val="NormalWeb"/>
        <w:numPr>
          <w:ilvl w:val="0"/>
          <w:numId w:val="30"/>
        </w:numPr>
        <w:shd w:val="clear" w:color="auto" w:fill="FFFFFF"/>
        <w:spacing w:before="75" w:beforeAutospacing="0" w:after="160" w:afterAutospacing="0"/>
        <w:ind w:left="284" w:right="74" w:hanging="284"/>
        <w:rPr>
          <w:rFonts w:ascii="Franklin Gothic Book" w:eastAsia="Franklin Gothic Book" w:hAnsi="Franklin Gothic Book" w:cs="Franklin Gothic Book"/>
          <w:sz w:val="22"/>
          <w:szCs w:val="22"/>
          <w:lang w:eastAsia="en-US"/>
        </w:rPr>
      </w:pPr>
      <w:r w:rsidRPr="00092B0E">
        <w:rPr>
          <w:rFonts w:ascii="Franklin Gothic Book" w:eastAsia="Franklin Gothic Book" w:hAnsi="Franklin Gothic Book" w:cs="Franklin Gothic Book"/>
          <w:sz w:val="22"/>
          <w:szCs w:val="22"/>
          <w:lang w:eastAsia="en-US"/>
        </w:rPr>
        <w:t xml:space="preserve">Consumers outlined a range of benefits of CGM, including: </w:t>
      </w:r>
    </w:p>
    <w:p w14:paraId="079D7485" w14:textId="77777777" w:rsidR="003027B3" w:rsidRPr="00092B0E" w:rsidRDefault="003027B3" w:rsidP="003027B3">
      <w:pPr>
        <w:pStyle w:val="NormalWeb"/>
        <w:numPr>
          <w:ilvl w:val="0"/>
          <w:numId w:val="31"/>
        </w:numPr>
        <w:shd w:val="clear" w:color="auto" w:fill="FFFFFF"/>
        <w:spacing w:before="75" w:beforeAutospacing="0" w:after="160" w:afterAutospacing="0"/>
        <w:ind w:left="709" w:right="75"/>
        <w:rPr>
          <w:rFonts w:ascii="Franklin Gothic Book" w:eastAsia="Franklin Gothic Book" w:hAnsi="Franklin Gothic Book" w:cs="Franklin Gothic Book"/>
          <w:sz w:val="22"/>
          <w:szCs w:val="22"/>
          <w:lang w:eastAsia="en-US"/>
        </w:rPr>
      </w:pPr>
      <w:r w:rsidRPr="00092B0E">
        <w:rPr>
          <w:rFonts w:ascii="Franklin Gothic Book" w:eastAsia="Franklin Gothic Book" w:hAnsi="Franklin Gothic Book" w:cs="Franklin Gothic Book"/>
          <w:sz w:val="22"/>
          <w:szCs w:val="22"/>
          <w:lang w:eastAsia="en-US"/>
        </w:rPr>
        <w:t xml:space="preserve">Real-time data, providing enhanced awareness of the impact of different foods and exercise on blood glucose levels. Respondents indicated that this allowed them to better manage their diabetes. They reported improved HbA1C results. </w:t>
      </w:r>
    </w:p>
    <w:p w14:paraId="3E8BB54F" w14:textId="77777777" w:rsidR="003027B3" w:rsidRPr="00092B0E" w:rsidRDefault="003027B3" w:rsidP="003027B3">
      <w:pPr>
        <w:pStyle w:val="NormalWeb"/>
        <w:numPr>
          <w:ilvl w:val="0"/>
          <w:numId w:val="31"/>
        </w:numPr>
        <w:shd w:val="clear" w:color="auto" w:fill="FFFFFF"/>
        <w:spacing w:before="75" w:beforeAutospacing="0" w:after="160" w:afterAutospacing="0"/>
        <w:ind w:left="709" w:right="75"/>
        <w:rPr>
          <w:rFonts w:ascii="Franklin Gothic Book" w:eastAsia="Franklin Gothic Book" w:hAnsi="Franklin Gothic Book" w:cs="Franklin Gothic Book"/>
          <w:sz w:val="22"/>
          <w:szCs w:val="22"/>
          <w:lang w:eastAsia="en-US"/>
        </w:rPr>
      </w:pPr>
      <w:r w:rsidRPr="00092B0E">
        <w:rPr>
          <w:rFonts w:ascii="Franklin Gothic Book" w:eastAsia="Franklin Gothic Book" w:hAnsi="Franklin Gothic Book" w:cs="Franklin Gothic Book"/>
          <w:sz w:val="22"/>
          <w:szCs w:val="22"/>
          <w:lang w:eastAsia="en-US"/>
        </w:rPr>
        <w:t xml:space="preserve">Reduced finger pricking, which was described as painful/uncomfortable. Some respondents reported scarring from multiple finger pricks, which interfered with some activities. </w:t>
      </w:r>
    </w:p>
    <w:p w14:paraId="10B76ADF" w14:textId="77777777" w:rsidR="003027B3" w:rsidRPr="00092B0E" w:rsidRDefault="003027B3" w:rsidP="003027B3">
      <w:pPr>
        <w:pStyle w:val="NormalWeb"/>
        <w:numPr>
          <w:ilvl w:val="0"/>
          <w:numId w:val="31"/>
        </w:numPr>
        <w:shd w:val="clear" w:color="auto" w:fill="FFFFFF"/>
        <w:spacing w:before="75" w:beforeAutospacing="0" w:after="160" w:afterAutospacing="0"/>
        <w:ind w:left="709" w:right="75"/>
        <w:rPr>
          <w:rFonts w:ascii="Franklin Gothic Book" w:eastAsia="Franklin Gothic Book" w:hAnsi="Franklin Gothic Book" w:cs="Franklin Gothic Book"/>
          <w:sz w:val="22"/>
          <w:szCs w:val="22"/>
          <w:lang w:eastAsia="en-US"/>
        </w:rPr>
      </w:pPr>
      <w:r w:rsidRPr="00092B0E">
        <w:rPr>
          <w:rFonts w:ascii="Franklin Gothic Book" w:eastAsia="Franklin Gothic Book" w:hAnsi="Franklin Gothic Book" w:cs="Franklin Gothic Book"/>
          <w:sz w:val="22"/>
          <w:szCs w:val="22"/>
          <w:lang w:eastAsia="en-US"/>
        </w:rPr>
        <w:t>Improved quality of life. Respondents indicated that CGM helped them make informed dietary choices and manage their condition more effectively, leading to fewer health issues and hospital visits.</w:t>
      </w:r>
    </w:p>
    <w:p w14:paraId="678BB850" w14:textId="77777777" w:rsidR="003027B3" w:rsidRPr="00092B0E" w:rsidRDefault="003027B3" w:rsidP="003027B3">
      <w:pPr>
        <w:pStyle w:val="NormalWeb"/>
        <w:numPr>
          <w:ilvl w:val="0"/>
          <w:numId w:val="31"/>
        </w:numPr>
        <w:shd w:val="clear" w:color="auto" w:fill="FFFFFF"/>
        <w:spacing w:before="75" w:beforeAutospacing="0" w:after="160" w:afterAutospacing="0"/>
        <w:ind w:left="709" w:right="75"/>
        <w:rPr>
          <w:rFonts w:ascii="Franklin Gothic Book" w:eastAsia="Franklin Gothic Book" w:hAnsi="Franklin Gothic Book" w:cs="Franklin Gothic Book"/>
          <w:sz w:val="22"/>
          <w:szCs w:val="22"/>
          <w:lang w:eastAsia="en-US"/>
        </w:rPr>
      </w:pPr>
      <w:r w:rsidRPr="00092B0E">
        <w:rPr>
          <w:rFonts w:ascii="Franklin Gothic Book" w:eastAsia="Franklin Gothic Book" w:hAnsi="Franklin Gothic Book" w:cs="Franklin Gothic Book"/>
          <w:sz w:val="22"/>
          <w:szCs w:val="22"/>
          <w:lang w:eastAsia="en-US"/>
        </w:rPr>
        <w:t>Data sharing with healthcare providers, including remotely, resulting in better management</w:t>
      </w:r>
      <w:r>
        <w:rPr>
          <w:rFonts w:ascii="Franklin Gothic Book" w:eastAsia="Franklin Gothic Book" w:hAnsi="Franklin Gothic Book" w:cs="Franklin Gothic Book"/>
          <w:sz w:val="22"/>
          <w:szCs w:val="22"/>
          <w:lang w:eastAsia="en-US"/>
        </w:rPr>
        <w:t xml:space="preserve"> and with family members, providing peace of mind</w:t>
      </w:r>
      <w:r w:rsidRPr="00092B0E">
        <w:rPr>
          <w:rFonts w:ascii="Franklin Gothic Book" w:eastAsia="Franklin Gothic Book" w:hAnsi="Franklin Gothic Book" w:cs="Franklin Gothic Book"/>
          <w:sz w:val="22"/>
          <w:szCs w:val="22"/>
          <w:lang w:eastAsia="en-US"/>
        </w:rPr>
        <w:t xml:space="preserve">. </w:t>
      </w:r>
    </w:p>
    <w:p w14:paraId="762AC3F4" w14:textId="77777777" w:rsidR="003027B3" w:rsidRPr="00092B0E" w:rsidRDefault="003027B3" w:rsidP="003027B3">
      <w:pPr>
        <w:pStyle w:val="NormalWeb"/>
        <w:numPr>
          <w:ilvl w:val="0"/>
          <w:numId w:val="31"/>
        </w:numPr>
        <w:shd w:val="clear" w:color="auto" w:fill="FFFFFF"/>
        <w:spacing w:before="75" w:beforeAutospacing="0" w:after="160" w:afterAutospacing="0"/>
        <w:ind w:left="709" w:right="74"/>
        <w:rPr>
          <w:rFonts w:ascii="Franklin Gothic Book" w:eastAsia="Franklin Gothic Book" w:hAnsi="Franklin Gothic Book" w:cs="Franklin Gothic Book"/>
          <w:sz w:val="22"/>
          <w:szCs w:val="22"/>
          <w:lang w:eastAsia="en-US"/>
        </w:rPr>
      </w:pPr>
      <w:r w:rsidRPr="00092B0E">
        <w:rPr>
          <w:rFonts w:ascii="Franklin Gothic Book" w:eastAsia="Franklin Gothic Book" w:hAnsi="Franklin Gothic Book" w:cs="Franklin Gothic Book"/>
          <w:sz w:val="22"/>
          <w:szCs w:val="22"/>
          <w:lang w:eastAsia="en-US"/>
        </w:rPr>
        <w:t xml:space="preserve">Increased confidence in their ability to monitor glucose levels and reduced anxiety related to potential hypoglycaemic episodes. </w:t>
      </w:r>
    </w:p>
    <w:p w14:paraId="61AC613F" w14:textId="77777777" w:rsidR="003027B3" w:rsidRPr="00092B0E" w:rsidRDefault="003027B3" w:rsidP="003027B3">
      <w:pPr>
        <w:pStyle w:val="NormalWeb"/>
        <w:numPr>
          <w:ilvl w:val="0"/>
          <w:numId w:val="30"/>
        </w:numPr>
        <w:shd w:val="clear" w:color="auto" w:fill="FFFFFF"/>
        <w:spacing w:before="75" w:beforeAutospacing="0" w:after="160" w:afterAutospacing="0"/>
        <w:ind w:left="284" w:right="74" w:hanging="284"/>
        <w:rPr>
          <w:rFonts w:ascii="Franklin Gothic Book" w:eastAsia="Franklin Gothic Book" w:hAnsi="Franklin Gothic Book" w:cs="Franklin Gothic Book"/>
          <w:sz w:val="22"/>
          <w:szCs w:val="22"/>
          <w:lang w:eastAsia="en-US"/>
        </w:rPr>
      </w:pPr>
      <w:r>
        <w:rPr>
          <w:rFonts w:ascii="Franklin Gothic Book" w:eastAsia="Franklin Gothic Book" w:hAnsi="Franklin Gothic Book" w:cs="Franklin Gothic Book"/>
          <w:sz w:val="22"/>
          <w:szCs w:val="22"/>
          <w:lang w:eastAsia="en-US"/>
        </w:rPr>
        <w:t xml:space="preserve">Health care professionals </w:t>
      </w:r>
      <w:r w:rsidRPr="00092B0E">
        <w:rPr>
          <w:rFonts w:ascii="Franklin Gothic Book" w:eastAsia="Franklin Gothic Book" w:hAnsi="Franklin Gothic Book" w:cs="Franklin Gothic Book"/>
          <w:sz w:val="22"/>
          <w:szCs w:val="22"/>
          <w:lang w:eastAsia="en-US"/>
        </w:rPr>
        <w:t>emphasised the potential for improved patient outcomes through more accurate diagnostics and personalized treatment plans, efficiency gains in healthcare delivery, cost savings by minimizing unnecessary tests and procedures, and the importance of staying ahead in medical advancements to provide the best care possible.</w:t>
      </w:r>
      <w:r>
        <w:rPr>
          <w:rFonts w:ascii="Franklin Gothic Book" w:eastAsia="Franklin Gothic Book" w:hAnsi="Franklin Gothic Book" w:cs="Franklin Gothic Book"/>
          <w:sz w:val="22"/>
          <w:szCs w:val="22"/>
          <w:lang w:eastAsia="en-US"/>
        </w:rPr>
        <w:t xml:space="preserve"> All had experience with CGM and reported positive results for patients using CGM, including lower HbA1C results and more ‘time in range’. </w:t>
      </w:r>
    </w:p>
    <w:p w14:paraId="2D1BA699" w14:textId="77777777" w:rsidR="003027B3" w:rsidRPr="003027B3" w:rsidRDefault="003027B3" w:rsidP="003027B3">
      <w:pPr>
        <w:rPr>
          <w:rFonts w:ascii="Franklin Gothic Medium" w:eastAsia="Franklin Gothic" w:hAnsi="Franklin Gothic Medium" w:cs="Franklin Gothic"/>
          <w:i/>
          <w:iCs/>
          <w:sz w:val="24"/>
          <w:szCs w:val="24"/>
        </w:rPr>
      </w:pPr>
      <w:r w:rsidRPr="003027B3">
        <w:rPr>
          <w:rFonts w:ascii="Franklin Gothic Medium" w:eastAsia="Franklin Gothic" w:hAnsi="Franklin Gothic Medium" w:cs="Franklin Gothic"/>
          <w:i/>
          <w:iCs/>
          <w:sz w:val="24"/>
          <w:szCs w:val="24"/>
        </w:rPr>
        <w:t>Perceived Disadvantages</w:t>
      </w:r>
    </w:p>
    <w:p w14:paraId="18D306F6" w14:textId="77777777" w:rsidR="003027B3" w:rsidRPr="00092B0E" w:rsidRDefault="003027B3" w:rsidP="003027B3">
      <w:pPr>
        <w:pStyle w:val="NormalWeb"/>
        <w:numPr>
          <w:ilvl w:val="0"/>
          <w:numId w:val="30"/>
        </w:numPr>
        <w:shd w:val="clear" w:color="auto" w:fill="FFFFFF"/>
        <w:spacing w:before="75" w:beforeAutospacing="0" w:after="160" w:afterAutospacing="0"/>
        <w:ind w:left="284" w:right="74" w:hanging="284"/>
        <w:rPr>
          <w:rFonts w:ascii="Franklin Gothic Book" w:eastAsia="Franklin Gothic Book" w:hAnsi="Franklin Gothic Book" w:cs="Franklin Gothic Book"/>
          <w:sz w:val="22"/>
          <w:szCs w:val="22"/>
          <w:lang w:eastAsia="en-US"/>
        </w:rPr>
      </w:pPr>
      <w:r w:rsidRPr="00092B0E">
        <w:rPr>
          <w:rFonts w:ascii="Franklin Gothic Book" w:eastAsia="Franklin Gothic Book" w:hAnsi="Franklin Gothic Book" w:cs="Franklin Gothic Book"/>
          <w:sz w:val="22"/>
          <w:szCs w:val="22"/>
          <w:lang w:eastAsia="en-US"/>
        </w:rPr>
        <w:t xml:space="preserve">Despite the numerous perceived benefits, many consumers said they stopped using CGM as they could not afford the monthly cost. Some felt the cost was unreasonably high. </w:t>
      </w:r>
    </w:p>
    <w:p w14:paraId="72BEDADD" w14:textId="77777777" w:rsidR="003027B3" w:rsidRPr="00092B0E" w:rsidRDefault="003027B3" w:rsidP="003027B3">
      <w:pPr>
        <w:pStyle w:val="NormalWeb"/>
        <w:numPr>
          <w:ilvl w:val="0"/>
          <w:numId w:val="30"/>
        </w:numPr>
        <w:shd w:val="clear" w:color="auto" w:fill="FFFFFF"/>
        <w:spacing w:before="75" w:beforeAutospacing="0" w:after="160" w:afterAutospacing="0"/>
        <w:ind w:left="284" w:right="74" w:hanging="284"/>
        <w:rPr>
          <w:rFonts w:ascii="Franklin Gothic Book" w:eastAsia="Franklin Gothic Book" w:hAnsi="Franklin Gothic Book" w:cs="Franklin Gothic Book"/>
        </w:rPr>
      </w:pPr>
      <w:r w:rsidRPr="00092B0E">
        <w:rPr>
          <w:rFonts w:ascii="Franklin Gothic Book" w:eastAsia="Franklin Gothic Book" w:hAnsi="Franklin Gothic Book" w:cs="Franklin Gothic Book"/>
          <w:sz w:val="22"/>
          <w:szCs w:val="22"/>
          <w:lang w:eastAsia="en-US"/>
        </w:rPr>
        <w:t xml:space="preserve">In addition to cost, other disadvantages mentioned by </w:t>
      </w:r>
      <w:r>
        <w:rPr>
          <w:rFonts w:ascii="Franklin Gothic Book" w:eastAsia="Franklin Gothic Book" w:hAnsi="Franklin Gothic Book" w:cs="Franklin Gothic Book"/>
          <w:sz w:val="22"/>
          <w:szCs w:val="22"/>
          <w:lang w:eastAsia="en-US"/>
        </w:rPr>
        <w:t xml:space="preserve">some </w:t>
      </w:r>
      <w:r w:rsidRPr="00092B0E">
        <w:rPr>
          <w:rFonts w:ascii="Franklin Gothic Book" w:eastAsia="Franklin Gothic Book" w:hAnsi="Franklin Gothic Book" w:cs="Franklin Gothic Book"/>
          <w:sz w:val="22"/>
          <w:szCs w:val="22"/>
          <w:lang w:eastAsia="en-US"/>
        </w:rPr>
        <w:t>respondents included</w:t>
      </w:r>
      <w:r>
        <w:rPr>
          <w:rFonts w:ascii="Franklin Gothic Book" w:eastAsia="Franklin Gothic Book" w:hAnsi="Franklin Gothic Book" w:cs="Franklin Gothic Book"/>
          <w:sz w:val="22"/>
          <w:szCs w:val="22"/>
          <w:lang w:eastAsia="en-US"/>
        </w:rPr>
        <w:t>:</w:t>
      </w:r>
    </w:p>
    <w:p w14:paraId="1EDF45C6" w14:textId="77777777" w:rsidR="003027B3" w:rsidRPr="00092B0E" w:rsidRDefault="003027B3" w:rsidP="003027B3">
      <w:pPr>
        <w:pStyle w:val="NormalWeb"/>
        <w:numPr>
          <w:ilvl w:val="0"/>
          <w:numId w:val="31"/>
        </w:numPr>
        <w:shd w:val="clear" w:color="auto" w:fill="FFFFFF"/>
        <w:spacing w:before="75" w:beforeAutospacing="0" w:after="160" w:afterAutospacing="0"/>
        <w:ind w:left="709" w:right="74"/>
        <w:rPr>
          <w:rFonts w:ascii="Franklin Gothic Book" w:eastAsia="Franklin Gothic Book" w:hAnsi="Franklin Gothic Book" w:cs="Franklin Gothic Book"/>
        </w:rPr>
      </w:pPr>
      <w:r>
        <w:rPr>
          <w:rFonts w:ascii="Franklin Gothic Book" w:eastAsia="Franklin Gothic Book" w:hAnsi="Franklin Gothic Book" w:cs="Franklin Gothic Book"/>
          <w:sz w:val="22"/>
          <w:szCs w:val="22"/>
          <w:lang w:eastAsia="en-US"/>
        </w:rPr>
        <w:t>C</w:t>
      </w:r>
      <w:r w:rsidRPr="00092B0E">
        <w:rPr>
          <w:rFonts w:ascii="Franklin Gothic Book" w:eastAsia="Franklin Gothic Book" w:hAnsi="Franklin Gothic Book" w:cs="Franklin Gothic Book"/>
          <w:sz w:val="22"/>
          <w:szCs w:val="22"/>
          <w:lang w:eastAsia="en-US"/>
        </w:rPr>
        <w:t xml:space="preserve">oncerns about sensor accuracy and reliability </w:t>
      </w:r>
    </w:p>
    <w:p w14:paraId="76848F93" w14:textId="77777777" w:rsidR="003027B3" w:rsidRPr="00092B0E" w:rsidRDefault="003027B3" w:rsidP="003027B3">
      <w:pPr>
        <w:pStyle w:val="NormalWeb"/>
        <w:numPr>
          <w:ilvl w:val="0"/>
          <w:numId w:val="31"/>
        </w:numPr>
        <w:shd w:val="clear" w:color="auto" w:fill="FFFFFF"/>
        <w:spacing w:before="75" w:beforeAutospacing="0" w:after="160" w:afterAutospacing="0"/>
        <w:ind w:left="709" w:right="74"/>
        <w:rPr>
          <w:rFonts w:ascii="Franklin Gothic Book" w:eastAsia="Franklin Gothic Book" w:hAnsi="Franklin Gothic Book" w:cs="Franklin Gothic Book"/>
        </w:rPr>
      </w:pPr>
      <w:r>
        <w:rPr>
          <w:rFonts w:ascii="Franklin Gothic Book" w:eastAsia="Franklin Gothic Book" w:hAnsi="Franklin Gothic Book" w:cs="Franklin Gothic Book"/>
          <w:sz w:val="22"/>
          <w:szCs w:val="22"/>
          <w:lang w:eastAsia="en-US"/>
        </w:rPr>
        <w:t>S</w:t>
      </w:r>
      <w:r w:rsidRPr="00092B0E">
        <w:rPr>
          <w:rFonts w:ascii="Franklin Gothic Book" w:eastAsia="Franklin Gothic Book" w:hAnsi="Franklin Gothic Book" w:cs="Franklin Gothic Book"/>
          <w:sz w:val="22"/>
          <w:szCs w:val="22"/>
          <w:lang w:eastAsia="en-US"/>
        </w:rPr>
        <w:t>kin irritation caused by the sensor</w:t>
      </w:r>
      <w:r>
        <w:rPr>
          <w:rFonts w:ascii="Franklin Gothic Book" w:eastAsia="Franklin Gothic Book" w:hAnsi="Franklin Gothic Book" w:cs="Franklin Gothic Book"/>
          <w:sz w:val="22"/>
          <w:szCs w:val="22"/>
          <w:lang w:eastAsia="en-US"/>
        </w:rPr>
        <w:t xml:space="preserve"> adhesive</w:t>
      </w:r>
    </w:p>
    <w:p w14:paraId="5684E1A7" w14:textId="77777777" w:rsidR="003027B3" w:rsidRPr="00092B0E" w:rsidRDefault="003027B3" w:rsidP="003027B3">
      <w:pPr>
        <w:pStyle w:val="NormalWeb"/>
        <w:numPr>
          <w:ilvl w:val="0"/>
          <w:numId w:val="31"/>
        </w:numPr>
        <w:shd w:val="clear" w:color="auto" w:fill="FFFFFF"/>
        <w:spacing w:before="75" w:beforeAutospacing="0" w:after="160" w:afterAutospacing="0"/>
        <w:ind w:left="709" w:right="74"/>
        <w:rPr>
          <w:rFonts w:ascii="Franklin Gothic Book" w:eastAsia="Franklin Gothic Book" w:hAnsi="Franklin Gothic Book" w:cs="Franklin Gothic Book"/>
        </w:rPr>
      </w:pPr>
      <w:r>
        <w:rPr>
          <w:rFonts w:ascii="Franklin Gothic Book" w:eastAsia="Franklin Gothic Book" w:hAnsi="Franklin Gothic Book" w:cs="Franklin Gothic Book"/>
          <w:sz w:val="22"/>
          <w:szCs w:val="22"/>
          <w:lang w:eastAsia="en-US"/>
        </w:rPr>
        <w:t>A</w:t>
      </w:r>
      <w:r w:rsidRPr="00092B0E">
        <w:rPr>
          <w:rFonts w:ascii="Franklin Gothic Book" w:eastAsia="Franklin Gothic Book" w:hAnsi="Franklin Gothic Book" w:cs="Franklin Gothic Book"/>
          <w:sz w:val="22"/>
          <w:szCs w:val="22"/>
          <w:lang w:eastAsia="en-US"/>
        </w:rPr>
        <w:t>ccessibility, particularly for some demographic groups. For example, people in rural or remote areas with poor internet connections, and those who are not tech-savvy</w:t>
      </w:r>
      <w:r>
        <w:rPr>
          <w:rFonts w:ascii="Franklin Gothic Book" w:eastAsia="Franklin Gothic Book" w:hAnsi="Franklin Gothic Book" w:cs="Franklin Gothic Book"/>
          <w:sz w:val="22"/>
          <w:szCs w:val="22"/>
          <w:lang w:eastAsia="en-US"/>
        </w:rPr>
        <w:t>, cannot afford a smart phone,</w:t>
      </w:r>
      <w:r w:rsidRPr="00092B0E">
        <w:rPr>
          <w:rFonts w:ascii="Franklin Gothic Book" w:eastAsia="Franklin Gothic Book" w:hAnsi="Franklin Gothic Book" w:cs="Franklin Gothic Book"/>
          <w:sz w:val="22"/>
          <w:szCs w:val="22"/>
          <w:lang w:eastAsia="en-US"/>
        </w:rPr>
        <w:t xml:space="preserve"> or have limited access to healthcare services. </w:t>
      </w:r>
    </w:p>
    <w:p w14:paraId="42D1A932" w14:textId="77777777" w:rsidR="003027B3" w:rsidRPr="00092B0E" w:rsidRDefault="003027B3" w:rsidP="003027B3">
      <w:pPr>
        <w:pStyle w:val="NormalWeb"/>
        <w:numPr>
          <w:ilvl w:val="0"/>
          <w:numId w:val="31"/>
        </w:numPr>
        <w:shd w:val="clear" w:color="auto" w:fill="FFFFFF"/>
        <w:spacing w:before="75" w:beforeAutospacing="0" w:after="160" w:afterAutospacing="0"/>
        <w:ind w:left="709" w:right="74"/>
        <w:rPr>
          <w:rFonts w:ascii="Franklin Gothic Book" w:eastAsia="Franklin Gothic Book" w:hAnsi="Franklin Gothic Book" w:cs="Franklin Gothic Book"/>
        </w:rPr>
      </w:pPr>
      <w:r>
        <w:rPr>
          <w:rFonts w:ascii="Franklin Gothic Book" w:eastAsia="Franklin Gothic Book" w:hAnsi="Franklin Gothic Book" w:cs="Franklin Gothic Book"/>
          <w:sz w:val="22"/>
          <w:szCs w:val="22"/>
          <w:lang w:eastAsia="en-US"/>
        </w:rPr>
        <w:t>Burnout from constant monitoring</w:t>
      </w:r>
    </w:p>
    <w:p w14:paraId="0054C1BA" w14:textId="77777777" w:rsidR="003027B3" w:rsidRDefault="003027B3" w:rsidP="003027B3">
      <w:pPr>
        <w:pStyle w:val="NormalWeb"/>
        <w:numPr>
          <w:ilvl w:val="0"/>
          <w:numId w:val="31"/>
        </w:numPr>
        <w:shd w:val="clear" w:color="auto" w:fill="FFFFFF"/>
        <w:spacing w:before="75" w:beforeAutospacing="0" w:after="160" w:afterAutospacing="0"/>
        <w:ind w:left="709" w:right="74"/>
        <w:rPr>
          <w:rFonts w:ascii="Franklin Gothic Book" w:eastAsia="Franklin Gothic Book" w:hAnsi="Franklin Gothic Book" w:cs="Franklin Gothic Book"/>
        </w:rPr>
      </w:pPr>
      <w:r>
        <w:rPr>
          <w:rFonts w:ascii="Franklin Gothic Book" w:eastAsia="Franklin Gothic Book" w:hAnsi="Franklin Gothic Book" w:cs="Franklin Gothic Book"/>
          <w:sz w:val="22"/>
          <w:szCs w:val="22"/>
          <w:lang w:eastAsia="en-US"/>
        </w:rPr>
        <w:t>Not suitable for wearers without appropriate technology (e.g., phone receivers)</w:t>
      </w:r>
    </w:p>
    <w:p w14:paraId="4E98B8E3" w14:textId="77777777" w:rsidR="003027B3" w:rsidRPr="004F0822" w:rsidRDefault="003027B3" w:rsidP="003027B3">
      <w:pPr>
        <w:pStyle w:val="NormalWeb"/>
        <w:numPr>
          <w:ilvl w:val="0"/>
          <w:numId w:val="31"/>
        </w:numPr>
        <w:shd w:val="clear" w:color="auto" w:fill="FFFFFF"/>
        <w:spacing w:before="75" w:beforeAutospacing="0" w:after="160" w:afterAutospacing="0"/>
        <w:ind w:left="709" w:right="74"/>
        <w:rPr>
          <w:rFonts w:ascii="Franklin Gothic Book" w:eastAsia="Franklin Gothic Book" w:hAnsi="Franklin Gothic Book" w:cs="Franklin Gothic Book"/>
        </w:rPr>
      </w:pPr>
      <w:r>
        <w:rPr>
          <w:rFonts w:ascii="Franklin Gothic Book" w:eastAsia="Franklin Gothic Book" w:hAnsi="Franklin Gothic Book" w:cs="Franklin Gothic Book"/>
          <w:sz w:val="22"/>
          <w:szCs w:val="22"/>
          <w:lang w:eastAsia="en-US"/>
        </w:rPr>
        <w:t>T</w:t>
      </w:r>
      <w:r w:rsidRPr="00092B0E">
        <w:rPr>
          <w:rFonts w:ascii="Franklin Gothic Book" w:eastAsia="Franklin Gothic Book" w:hAnsi="Franklin Gothic Book" w:cs="Franklin Gothic Book"/>
          <w:sz w:val="22"/>
          <w:szCs w:val="22"/>
          <w:lang w:eastAsia="en-US"/>
        </w:rPr>
        <w:t>raining requirements for wearers.</w:t>
      </w:r>
    </w:p>
    <w:p w14:paraId="53F9BEC5" w14:textId="77777777" w:rsidR="003027B3" w:rsidRPr="003027B3" w:rsidRDefault="003027B3" w:rsidP="003027B3">
      <w:pPr>
        <w:rPr>
          <w:rFonts w:ascii="Franklin Gothic Medium" w:eastAsia="Franklin Gothic" w:hAnsi="Franklin Gothic Medium" w:cs="Franklin Gothic"/>
          <w:i/>
          <w:iCs/>
          <w:sz w:val="24"/>
          <w:szCs w:val="24"/>
        </w:rPr>
      </w:pPr>
      <w:r w:rsidRPr="003027B3">
        <w:rPr>
          <w:rFonts w:ascii="Franklin Gothic Medium" w:eastAsia="Franklin Gothic" w:hAnsi="Franklin Gothic Medium" w:cs="Franklin Gothic"/>
          <w:i/>
          <w:iCs/>
          <w:sz w:val="24"/>
          <w:szCs w:val="24"/>
        </w:rPr>
        <w:t xml:space="preserve">Support for Implementation and Issues </w:t>
      </w:r>
    </w:p>
    <w:p w14:paraId="2F187FC8" w14:textId="77777777" w:rsidR="003027B3" w:rsidRPr="00092B0E" w:rsidRDefault="003027B3" w:rsidP="003027B3">
      <w:pPr>
        <w:pStyle w:val="NormalWeb"/>
        <w:numPr>
          <w:ilvl w:val="0"/>
          <w:numId w:val="30"/>
        </w:numPr>
        <w:shd w:val="clear" w:color="auto" w:fill="FFFFFF"/>
        <w:spacing w:before="75" w:beforeAutospacing="0" w:after="160" w:afterAutospacing="0"/>
        <w:ind w:left="284" w:right="74" w:hanging="284"/>
        <w:rPr>
          <w:rFonts w:ascii="Franklin Gothic Book" w:eastAsia="Franklin Gothic Book" w:hAnsi="Franklin Gothic Book" w:cs="Franklin Gothic Book"/>
          <w:sz w:val="22"/>
          <w:szCs w:val="22"/>
          <w:lang w:eastAsia="en-US"/>
        </w:rPr>
      </w:pPr>
      <w:r w:rsidRPr="00092B0E">
        <w:rPr>
          <w:rFonts w:ascii="Franklin Gothic Book" w:eastAsia="Franklin Gothic Book" w:hAnsi="Franklin Gothic Book" w:cs="Franklin Gothic Book"/>
          <w:sz w:val="22"/>
          <w:szCs w:val="22"/>
          <w:lang w:eastAsia="en-US"/>
        </w:rPr>
        <w:t xml:space="preserve">Most health care professionals indicated they would like to see the measure implemented in their practice/area. </w:t>
      </w:r>
    </w:p>
    <w:p w14:paraId="59EAEAEE" w14:textId="77777777" w:rsidR="003027B3" w:rsidRPr="00092B0E" w:rsidRDefault="003027B3" w:rsidP="003027B3">
      <w:pPr>
        <w:pStyle w:val="NormalWeb"/>
        <w:numPr>
          <w:ilvl w:val="0"/>
          <w:numId w:val="30"/>
        </w:numPr>
        <w:shd w:val="clear" w:color="auto" w:fill="FFFFFF"/>
        <w:spacing w:before="75" w:beforeAutospacing="0" w:after="160" w:afterAutospacing="0"/>
        <w:ind w:left="284" w:right="74" w:hanging="284"/>
        <w:rPr>
          <w:rFonts w:ascii="Franklin Gothic Book" w:eastAsia="Franklin Gothic Book" w:hAnsi="Franklin Gothic Book" w:cs="Franklin Gothic Book"/>
          <w:sz w:val="22"/>
          <w:szCs w:val="22"/>
          <w:lang w:eastAsia="en-US"/>
        </w:rPr>
      </w:pPr>
      <w:r w:rsidRPr="00092B0E">
        <w:rPr>
          <w:rFonts w:ascii="Franklin Gothic Book" w:eastAsia="Franklin Gothic Book" w:hAnsi="Franklin Gothic Book" w:cs="Franklin Gothic Book"/>
          <w:sz w:val="22"/>
          <w:szCs w:val="22"/>
          <w:lang w:eastAsia="en-US"/>
        </w:rPr>
        <w:t xml:space="preserve">Many respondents highlighted the need for support from diabetes educators and dietitians when using CGM devices. Respondents noted that these professionals are essential for understanding how to interpret glucose data and make informed lifestyle choices. </w:t>
      </w:r>
      <w:bookmarkStart w:id="23" w:name="_Hlk201589465"/>
      <w:r w:rsidRPr="00092B0E">
        <w:rPr>
          <w:rFonts w:ascii="Franklin Gothic Book" w:eastAsia="Franklin Gothic Book" w:hAnsi="Franklin Gothic Book" w:cs="Franklin Gothic Book"/>
          <w:sz w:val="22"/>
          <w:szCs w:val="22"/>
          <w:lang w:eastAsia="en-US"/>
        </w:rPr>
        <w:t xml:space="preserve">Several health practitioners </w:t>
      </w:r>
      <w:r>
        <w:rPr>
          <w:rFonts w:ascii="Franklin Gothic Book" w:eastAsia="Franklin Gothic Book" w:hAnsi="Franklin Gothic Book" w:cs="Franklin Gothic Book"/>
          <w:sz w:val="22"/>
          <w:szCs w:val="22"/>
          <w:lang w:eastAsia="en-US"/>
        </w:rPr>
        <w:t xml:space="preserve">and organisations (e.g., the Diabetes Alliance, Diabetes WA) </w:t>
      </w:r>
      <w:r w:rsidRPr="00092B0E">
        <w:rPr>
          <w:rFonts w:ascii="Franklin Gothic Book" w:eastAsia="Franklin Gothic Book" w:hAnsi="Franklin Gothic Book" w:cs="Franklin Gothic Book"/>
          <w:sz w:val="22"/>
          <w:szCs w:val="22"/>
          <w:lang w:eastAsia="en-US"/>
        </w:rPr>
        <w:t xml:space="preserve">noted the need to increase the number of visits to diabetes educators that attract a rebate per year, </w:t>
      </w:r>
      <w:bookmarkEnd w:id="23"/>
      <w:r w:rsidRPr="00092B0E">
        <w:rPr>
          <w:rFonts w:ascii="Franklin Gothic Book" w:eastAsia="Franklin Gothic Book" w:hAnsi="Franklin Gothic Book" w:cs="Franklin Gothic Book"/>
          <w:sz w:val="22"/>
          <w:szCs w:val="22"/>
          <w:lang w:eastAsia="en-US"/>
        </w:rPr>
        <w:t xml:space="preserve">noting that the five visits funded under a chronic diseases plan are inadequate, especially if the patient also needs to access other services, such as podiatry.   </w:t>
      </w:r>
    </w:p>
    <w:p w14:paraId="24438D0C" w14:textId="77777777" w:rsidR="003027B3" w:rsidRPr="00092B0E" w:rsidRDefault="003027B3" w:rsidP="003027B3">
      <w:pPr>
        <w:pStyle w:val="NormalWeb"/>
        <w:numPr>
          <w:ilvl w:val="0"/>
          <w:numId w:val="30"/>
        </w:numPr>
        <w:shd w:val="clear" w:color="auto" w:fill="FFFFFF"/>
        <w:spacing w:before="75" w:beforeAutospacing="0" w:after="160" w:afterAutospacing="0"/>
        <w:ind w:left="284" w:right="74" w:hanging="284"/>
        <w:rPr>
          <w:rFonts w:ascii="Franklin Gothic Book" w:eastAsia="Franklin Gothic Book" w:hAnsi="Franklin Gothic Book" w:cs="Franklin Gothic Book"/>
          <w:sz w:val="22"/>
          <w:szCs w:val="22"/>
          <w:lang w:eastAsia="en-US"/>
        </w:rPr>
      </w:pPr>
      <w:r w:rsidRPr="00092B0E">
        <w:rPr>
          <w:rFonts w:ascii="Franklin Gothic Book" w:eastAsia="Franklin Gothic Book" w:hAnsi="Franklin Gothic Book" w:cs="Franklin Gothic Book"/>
          <w:sz w:val="22"/>
          <w:szCs w:val="22"/>
          <w:lang w:eastAsia="en-US"/>
        </w:rPr>
        <w:t xml:space="preserve">Access to GPs and endocrinologists for diabetes management was also seen as important. Respondents indicated that CGM devices should be integrated with professional guidance to maximise benefits and improve overall health outcomes. </w:t>
      </w:r>
    </w:p>
    <w:p w14:paraId="4E86BE01" w14:textId="77777777" w:rsidR="003027B3" w:rsidRDefault="003027B3" w:rsidP="003027B3">
      <w:pPr>
        <w:pStyle w:val="NormalWeb"/>
        <w:numPr>
          <w:ilvl w:val="0"/>
          <w:numId w:val="30"/>
        </w:numPr>
        <w:shd w:val="clear" w:color="auto" w:fill="FFFFFF"/>
        <w:spacing w:before="75" w:beforeAutospacing="0" w:after="160" w:afterAutospacing="0"/>
        <w:ind w:left="284" w:right="74" w:hanging="284"/>
        <w:rPr>
          <w:rFonts w:ascii="Franklin Gothic Book" w:eastAsia="Franklin Gothic Book" w:hAnsi="Franklin Gothic Book" w:cs="Franklin Gothic Book"/>
          <w:sz w:val="22"/>
          <w:szCs w:val="22"/>
          <w:lang w:eastAsia="en-US"/>
        </w:rPr>
      </w:pPr>
      <w:r w:rsidRPr="00092B0E">
        <w:rPr>
          <w:rFonts w:ascii="Franklin Gothic Book" w:eastAsia="Franklin Gothic Book" w:hAnsi="Franklin Gothic Book" w:cs="Franklin Gothic Book"/>
          <w:sz w:val="22"/>
          <w:szCs w:val="22"/>
          <w:lang w:eastAsia="en-US"/>
        </w:rPr>
        <w:t>One respondent noted that their public clinics were ‘slammed’ when CGM was subsidised for T1DM. Staff were overwhelmed with the demand and had to work overtime to cope. They recommended that if the technology is extended to other</w:t>
      </w:r>
      <w:r>
        <w:rPr>
          <w:rFonts w:ascii="Franklin Gothic Book" w:eastAsia="Franklin Gothic Book" w:hAnsi="Franklin Gothic Book" w:cs="Franklin Gothic Book"/>
          <w:sz w:val="22"/>
          <w:szCs w:val="22"/>
          <w:lang w:eastAsia="en-US"/>
        </w:rPr>
        <w:t xml:space="preserve"> populations, it be rolled out in stages and consideration should be given to the number of health professionals required for successful implementation. Others, such as Diabetes Victoria, also noted the importance of ensuring that workforce issues are considered as part of implementation. </w:t>
      </w:r>
    </w:p>
    <w:p w14:paraId="2234127E" w14:textId="77777777" w:rsidR="003027B3" w:rsidRDefault="003027B3" w:rsidP="003027B3">
      <w:pPr>
        <w:pStyle w:val="NormalWeb"/>
        <w:numPr>
          <w:ilvl w:val="0"/>
          <w:numId w:val="30"/>
        </w:numPr>
        <w:shd w:val="clear" w:color="auto" w:fill="FFFFFF"/>
        <w:spacing w:before="75" w:beforeAutospacing="0" w:after="160" w:afterAutospacing="0"/>
        <w:ind w:left="284" w:right="74" w:hanging="284"/>
        <w:rPr>
          <w:rFonts w:ascii="Franklin Gothic Book" w:eastAsia="Franklin Gothic Book" w:hAnsi="Franklin Gothic Book" w:cs="Franklin Gothic Book"/>
          <w:sz w:val="22"/>
          <w:szCs w:val="22"/>
          <w:lang w:eastAsia="en-US"/>
        </w:rPr>
      </w:pPr>
      <w:bookmarkStart w:id="24" w:name="_Hlk201588704"/>
      <w:r w:rsidRPr="00092B0E">
        <w:rPr>
          <w:rFonts w:ascii="Franklin Gothic Book" w:eastAsia="Franklin Gothic Book" w:hAnsi="Franklin Gothic Book" w:cs="Franklin Gothic Book"/>
          <w:sz w:val="22"/>
          <w:szCs w:val="22"/>
          <w:lang w:eastAsia="en-US"/>
        </w:rPr>
        <w:t>The Primary Care Diabetes Society of Australia, noted that access to subsidised CGM requires certification by an endocrinologist/physician and diabetes educators, which is problematic for people living in low socio-economic areas; living in rural and remote Australia; or with significant mental, cognitive, and/or physical disabilities. They recommended that certification be broadened to include GPs, practice nurses, Aboriginal health workers, dietitians, and pharmacists</w:t>
      </w:r>
      <w:r>
        <w:rPr>
          <w:rFonts w:ascii="Franklin Gothic Book" w:eastAsia="Franklin Gothic Book" w:hAnsi="Franklin Gothic Book" w:cs="Franklin Gothic Book"/>
          <w:sz w:val="22"/>
          <w:szCs w:val="22"/>
          <w:lang w:eastAsia="en-US"/>
        </w:rPr>
        <w:t>.</w:t>
      </w:r>
    </w:p>
    <w:bookmarkEnd w:id="24"/>
    <w:p w14:paraId="73B77F4B" w14:textId="4C2C41B3" w:rsidR="003A0813" w:rsidRPr="003027B3" w:rsidRDefault="003027B3" w:rsidP="003027B3">
      <w:pPr>
        <w:pStyle w:val="NormalWeb"/>
        <w:numPr>
          <w:ilvl w:val="0"/>
          <w:numId w:val="30"/>
        </w:numPr>
        <w:shd w:val="clear" w:color="auto" w:fill="FFFFFF"/>
        <w:spacing w:before="75" w:beforeAutospacing="0" w:after="160" w:afterAutospacing="0"/>
        <w:ind w:left="284" w:right="74" w:hanging="284"/>
        <w:rPr>
          <w:rFonts w:ascii="Franklin Gothic Book" w:eastAsia="Franklin Gothic Book" w:hAnsi="Franklin Gothic Book" w:cs="Franklin Gothic Book"/>
          <w:sz w:val="22"/>
          <w:szCs w:val="22"/>
          <w:lang w:eastAsia="en-US"/>
        </w:rPr>
      </w:pPr>
      <w:r>
        <w:rPr>
          <w:rFonts w:ascii="Franklin Gothic Book" w:eastAsia="Franklin Gothic Book" w:hAnsi="Franklin Gothic Book" w:cs="Franklin Gothic Book"/>
          <w:sz w:val="22"/>
          <w:szCs w:val="22"/>
          <w:lang w:eastAsia="en-US"/>
        </w:rPr>
        <w:t xml:space="preserve">Other respondents also considered the current limited certification requirements as a barrier to access, with a number arguing that GPs should be able to prescribe CGM. The RACGP argued that GPs are a central part of the care team for diabetes, and often the most accessible, and that, as such, GPs should be allowed to provide access to CGM without endocrinologist approval. Removing patients from the GP setting they argue, could impact healthcare economics, patient satisfaction and accessibility, particularly in </w:t>
      </w:r>
      <w:r w:rsidRPr="00FB51C7">
        <w:rPr>
          <w:rFonts w:ascii="Franklin Gothic Book" w:eastAsia="Franklin Gothic Book" w:hAnsi="Franklin Gothic Book" w:cs="Franklin Gothic Book"/>
          <w:sz w:val="22"/>
          <w:szCs w:val="22"/>
          <w:lang w:eastAsia="en-US"/>
        </w:rPr>
        <w:t xml:space="preserve">regional and rural areas with more limited access to </w:t>
      </w:r>
      <w:r>
        <w:rPr>
          <w:rFonts w:ascii="Franklin Gothic Book" w:eastAsia="Franklin Gothic Book" w:hAnsi="Franklin Gothic Book" w:cs="Franklin Gothic Book"/>
          <w:sz w:val="22"/>
          <w:szCs w:val="22"/>
          <w:lang w:eastAsia="en-US"/>
        </w:rPr>
        <w:t xml:space="preserve">endocrinologists and CDEs. </w:t>
      </w:r>
    </w:p>
    <w:p w14:paraId="062705D9" w14:textId="3FCAA657" w:rsidR="00D73106" w:rsidRDefault="00D73106" w:rsidP="003027B3">
      <w:pPr>
        <w:pStyle w:val="Heading2"/>
        <w:numPr>
          <w:ilvl w:val="0"/>
          <w:numId w:val="27"/>
        </w:numPr>
        <w:ind w:hanging="720"/>
      </w:pPr>
      <w:bookmarkStart w:id="25" w:name="_Toc69491425"/>
      <w:r w:rsidRPr="00CE28E3">
        <w:t>Characteristics of the evidence base</w:t>
      </w:r>
    </w:p>
    <w:p w14:paraId="1985D871" w14:textId="07AD2A7C" w:rsidR="00D912A9" w:rsidRDefault="00D625A2" w:rsidP="00F000E9">
      <w:pPr>
        <w:pStyle w:val="Instructionaltext-bullet"/>
        <w:numPr>
          <w:ilvl w:val="0"/>
          <w:numId w:val="0"/>
        </w:numPr>
        <w:rPr>
          <w:rFonts w:eastAsia="Calibri" w:cs="Times New Roman"/>
          <w:color w:val="auto"/>
        </w:rPr>
      </w:pPr>
      <w:bookmarkStart w:id="26" w:name="_Hlk196473094"/>
      <w:r>
        <w:rPr>
          <w:rFonts w:eastAsia="Calibri" w:cs="Times New Roman"/>
          <w:color w:val="auto"/>
        </w:rPr>
        <w:t xml:space="preserve">The evidence base provided by the ADAR comprised studies demonstrating the </w:t>
      </w:r>
      <w:r w:rsidR="00DF3EFE">
        <w:rPr>
          <w:rFonts w:eastAsia="Calibri" w:cs="Times New Roman"/>
          <w:color w:val="auto"/>
        </w:rPr>
        <w:t xml:space="preserve">direct </w:t>
      </w:r>
      <w:r w:rsidR="007A3D8D">
        <w:rPr>
          <w:rFonts w:eastAsia="Calibri" w:cs="Times New Roman"/>
          <w:color w:val="auto"/>
        </w:rPr>
        <w:t>effects</w:t>
      </w:r>
      <w:r>
        <w:rPr>
          <w:rFonts w:eastAsia="Calibri" w:cs="Times New Roman"/>
          <w:color w:val="auto"/>
        </w:rPr>
        <w:t xml:space="preserve"> of FSL usage on HBA1c and other glycaemic outcomes</w:t>
      </w:r>
      <w:r w:rsidR="00721FAF">
        <w:rPr>
          <w:rFonts w:eastAsia="Calibri" w:cs="Times New Roman"/>
          <w:color w:val="auto"/>
        </w:rPr>
        <w:t xml:space="preserve">. </w:t>
      </w:r>
      <w:r w:rsidR="007A3D8D">
        <w:rPr>
          <w:rFonts w:eastAsia="Calibri" w:cs="Times New Roman"/>
          <w:color w:val="auto"/>
        </w:rPr>
        <w:t>T</w:t>
      </w:r>
      <w:r w:rsidR="00721FAF">
        <w:rPr>
          <w:rFonts w:eastAsia="Calibri" w:cs="Times New Roman"/>
          <w:color w:val="auto"/>
        </w:rPr>
        <w:t xml:space="preserve">his differs from </w:t>
      </w:r>
      <w:r w:rsidR="008B4B13">
        <w:rPr>
          <w:rFonts w:eastAsia="Calibri" w:cs="Times New Roman"/>
          <w:color w:val="auto"/>
        </w:rPr>
        <w:t xml:space="preserve">the </w:t>
      </w:r>
      <w:proofErr w:type="gramStart"/>
      <w:r w:rsidR="00F000E9">
        <w:rPr>
          <w:rFonts w:eastAsia="Calibri" w:cs="Times New Roman"/>
          <w:color w:val="auto"/>
        </w:rPr>
        <w:t>linked</w:t>
      </w:r>
      <w:r w:rsidR="00622705">
        <w:rPr>
          <w:rFonts w:eastAsia="Calibri" w:cs="Times New Roman"/>
          <w:color w:val="auto"/>
        </w:rPr>
        <w:t>-</w:t>
      </w:r>
      <w:r w:rsidR="00F000E9">
        <w:rPr>
          <w:rFonts w:eastAsia="Calibri" w:cs="Times New Roman"/>
          <w:color w:val="auto"/>
        </w:rPr>
        <w:t>evidence</w:t>
      </w:r>
      <w:proofErr w:type="gramEnd"/>
      <w:r w:rsidR="00F000E9">
        <w:rPr>
          <w:rFonts w:eastAsia="Calibri" w:cs="Times New Roman"/>
          <w:color w:val="auto"/>
        </w:rPr>
        <w:t xml:space="preserve"> approach</w:t>
      </w:r>
      <w:r w:rsidR="008B4B13">
        <w:rPr>
          <w:rFonts w:eastAsia="Calibri" w:cs="Times New Roman"/>
          <w:color w:val="auto"/>
        </w:rPr>
        <w:t xml:space="preserve"> originally proposed in the PICO,</w:t>
      </w:r>
      <w:r w:rsidR="00DF3EFE">
        <w:rPr>
          <w:rFonts w:eastAsia="Calibri" w:cs="Times New Roman"/>
          <w:color w:val="auto"/>
        </w:rPr>
        <w:t xml:space="preserve"> which would have required additional evidence</w:t>
      </w:r>
      <w:r w:rsidR="008B4B13">
        <w:rPr>
          <w:rFonts w:eastAsia="Calibri" w:cs="Times New Roman"/>
          <w:color w:val="auto"/>
        </w:rPr>
        <w:t>,</w:t>
      </w:r>
      <w:r w:rsidR="00DF3EFE">
        <w:rPr>
          <w:rFonts w:eastAsia="Calibri" w:cs="Times New Roman"/>
          <w:color w:val="auto"/>
        </w:rPr>
        <w:t xml:space="preserve"> </w:t>
      </w:r>
      <w:r w:rsidR="00B70EBC">
        <w:rPr>
          <w:rFonts w:eastAsia="Calibri" w:cs="Times New Roman"/>
          <w:color w:val="auto"/>
        </w:rPr>
        <w:t xml:space="preserve">e.g. on change in </w:t>
      </w:r>
      <w:r w:rsidR="00E675A3">
        <w:rPr>
          <w:rFonts w:eastAsia="Calibri" w:cs="Times New Roman"/>
          <w:color w:val="auto"/>
        </w:rPr>
        <w:t xml:space="preserve">patient </w:t>
      </w:r>
      <w:r w:rsidR="00B70EBC">
        <w:rPr>
          <w:rFonts w:eastAsia="Calibri" w:cs="Times New Roman"/>
          <w:color w:val="auto"/>
        </w:rPr>
        <w:t xml:space="preserve">management. </w:t>
      </w:r>
    </w:p>
    <w:p w14:paraId="0A4A8B27" w14:textId="13CA69C0" w:rsidR="00C55BD7" w:rsidRDefault="00A27F9B" w:rsidP="00791334">
      <w:pPr>
        <w:pStyle w:val="Instructionaltext-bullet"/>
        <w:numPr>
          <w:ilvl w:val="0"/>
          <w:numId w:val="0"/>
        </w:numPr>
        <w:spacing w:before="240"/>
        <w:rPr>
          <w:rFonts w:eastAsia="Calibri" w:cs="Times New Roman"/>
          <w:color w:val="auto"/>
        </w:rPr>
      </w:pPr>
      <w:r>
        <w:rPr>
          <w:rFonts w:eastAsia="Calibri" w:cs="Times New Roman"/>
          <w:color w:val="auto"/>
        </w:rPr>
        <w:t>However</w:t>
      </w:r>
      <w:r w:rsidR="00447C51">
        <w:rPr>
          <w:rFonts w:eastAsia="Calibri" w:cs="Times New Roman"/>
          <w:color w:val="auto"/>
        </w:rPr>
        <w:t>,</w:t>
      </w:r>
      <w:r>
        <w:rPr>
          <w:rFonts w:eastAsia="Calibri" w:cs="Times New Roman"/>
          <w:color w:val="auto"/>
        </w:rPr>
        <w:t xml:space="preserve"> i</w:t>
      </w:r>
      <w:r w:rsidR="00C55BD7">
        <w:rPr>
          <w:rFonts w:eastAsia="Calibri" w:cs="Times New Roman"/>
          <w:color w:val="auto"/>
        </w:rPr>
        <w:t>n the ratified PICO, PA</w:t>
      </w:r>
      <w:r w:rsidR="00C55BD7" w:rsidRPr="00C55BD7">
        <w:rPr>
          <w:rFonts w:eastAsia="Calibri" w:cs="Times New Roman"/>
          <w:color w:val="auto"/>
        </w:rPr>
        <w:t xml:space="preserve">SC considered that </w:t>
      </w:r>
      <w:r w:rsidR="009F44BC">
        <w:rPr>
          <w:rFonts w:eastAsia="Calibri" w:cs="Times New Roman"/>
          <w:color w:val="auto"/>
        </w:rPr>
        <w:t>if</w:t>
      </w:r>
      <w:r w:rsidR="00C55BD7" w:rsidRPr="00C55BD7">
        <w:rPr>
          <w:rFonts w:eastAsia="Calibri" w:cs="Times New Roman"/>
          <w:color w:val="auto"/>
        </w:rPr>
        <w:t xml:space="preserve"> adequate direct from test to intermediate health outcome evidence </w:t>
      </w:r>
      <w:r w:rsidR="009F44BC">
        <w:rPr>
          <w:rFonts w:eastAsia="Calibri" w:cs="Times New Roman"/>
          <w:color w:val="auto"/>
        </w:rPr>
        <w:t>was</w:t>
      </w:r>
      <w:r w:rsidR="00C55BD7" w:rsidRPr="00C55BD7">
        <w:rPr>
          <w:rFonts w:eastAsia="Calibri" w:cs="Times New Roman"/>
          <w:color w:val="auto"/>
        </w:rPr>
        <w:t xml:space="preserve"> available to support the assessment </w:t>
      </w:r>
      <w:r w:rsidR="0042149A">
        <w:rPr>
          <w:rFonts w:eastAsia="Calibri" w:cs="Times New Roman"/>
          <w:color w:val="auto"/>
        </w:rPr>
        <w:t>(</w:t>
      </w:r>
      <w:r w:rsidR="00C55BD7" w:rsidRPr="00C55BD7">
        <w:rPr>
          <w:rFonts w:eastAsia="Calibri" w:cs="Times New Roman"/>
          <w:color w:val="auto"/>
        </w:rPr>
        <w:t>where the intermediate health outcome was HbA1c levels</w:t>
      </w:r>
      <w:r w:rsidR="0042149A">
        <w:rPr>
          <w:rFonts w:eastAsia="Calibri" w:cs="Times New Roman"/>
          <w:color w:val="auto"/>
        </w:rPr>
        <w:t>)</w:t>
      </w:r>
      <w:r w:rsidR="00C55BD7" w:rsidRPr="00C55BD7">
        <w:rPr>
          <w:rFonts w:eastAsia="Calibri" w:cs="Times New Roman"/>
          <w:color w:val="auto"/>
        </w:rPr>
        <w:t xml:space="preserve"> a full linked evidence approach may not be necessary</w:t>
      </w:r>
      <w:r w:rsidR="00664A51">
        <w:rPr>
          <w:rFonts w:eastAsia="Calibri" w:cs="Times New Roman"/>
          <w:color w:val="auto"/>
        </w:rPr>
        <w:t xml:space="preserve">. However, PASC </w:t>
      </w:r>
      <w:r w:rsidR="003662B2">
        <w:rPr>
          <w:rFonts w:eastAsia="Calibri" w:cs="Times New Roman"/>
          <w:color w:val="auto"/>
        </w:rPr>
        <w:t>further advised that this</w:t>
      </w:r>
      <w:r w:rsidR="00C636F5">
        <w:rPr>
          <w:rFonts w:eastAsia="Calibri" w:cs="Times New Roman"/>
          <w:color w:val="auto"/>
        </w:rPr>
        <w:t xml:space="preserve"> would require</w:t>
      </w:r>
      <w:r w:rsidR="00C55BD7" w:rsidRPr="00C55BD7">
        <w:rPr>
          <w:rFonts w:eastAsia="Calibri" w:cs="Times New Roman"/>
          <w:color w:val="auto"/>
        </w:rPr>
        <w:t xml:space="preserve"> sufficient evidence linking HbA1c levels</w:t>
      </w:r>
      <w:r w:rsidR="00992FF3">
        <w:rPr>
          <w:rFonts w:eastAsia="Calibri" w:cs="Times New Roman"/>
          <w:color w:val="auto"/>
        </w:rPr>
        <w:t xml:space="preserve"> (i.e. glycaemic outcomes) </w:t>
      </w:r>
      <w:r w:rsidR="00C55BD7" w:rsidRPr="00C55BD7">
        <w:rPr>
          <w:rFonts w:eastAsia="Calibri" w:cs="Times New Roman"/>
          <w:color w:val="auto"/>
        </w:rPr>
        <w:t>to more direct and long-term health outcomes</w:t>
      </w:r>
      <w:r w:rsidR="00992FF3">
        <w:rPr>
          <w:rFonts w:eastAsia="Calibri" w:cs="Times New Roman"/>
          <w:color w:val="auto"/>
        </w:rPr>
        <w:t xml:space="preserve">. </w:t>
      </w:r>
      <w:r w:rsidR="007C6312">
        <w:rPr>
          <w:rFonts w:eastAsia="Calibri" w:cs="Times New Roman"/>
          <w:color w:val="auto"/>
        </w:rPr>
        <w:t>A</w:t>
      </w:r>
      <w:r w:rsidR="00992FF3">
        <w:rPr>
          <w:rFonts w:eastAsia="Calibri" w:cs="Times New Roman"/>
          <w:color w:val="auto"/>
        </w:rPr>
        <w:t>lthough evidence linking glyc</w:t>
      </w:r>
      <w:r w:rsidR="00374D56">
        <w:rPr>
          <w:rFonts w:eastAsia="Calibri" w:cs="Times New Roman"/>
          <w:color w:val="auto"/>
        </w:rPr>
        <w:t>a</w:t>
      </w:r>
      <w:r w:rsidR="00992FF3">
        <w:rPr>
          <w:rFonts w:eastAsia="Calibri" w:cs="Times New Roman"/>
          <w:color w:val="auto"/>
        </w:rPr>
        <w:t xml:space="preserve">emic outcomes to more direct health </w:t>
      </w:r>
      <w:r w:rsidR="00992FF3" w:rsidRPr="006A12B2">
        <w:rPr>
          <w:rFonts w:eastAsia="Calibri" w:cs="Times New Roman"/>
          <w:color w:val="auto"/>
        </w:rPr>
        <w:t xml:space="preserve">outcomes is not discussed in the clinical section of the ADAR, the economics section of the ADAR </w:t>
      </w:r>
      <w:r w:rsidR="007154F0" w:rsidRPr="006A12B2">
        <w:rPr>
          <w:rFonts w:eastAsia="Calibri" w:cs="Times New Roman"/>
          <w:color w:val="auto"/>
        </w:rPr>
        <w:t xml:space="preserve">contains a </w:t>
      </w:r>
      <w:r w:rsidR="00203FBE" w:rsidRPr="006A12B2">
        <w:rPr>
          <w:rFonts w:eastAsia="Calibri" w:cs="Times New Roman"/>
          <w:color w:val="auto"/>
        </w:rPr>
        <w:t xml:space="preserve">brief </w:t>
      </w:r>
      <w:r w:rsidR="007154F0" w:rsidRPr="006A12B2">
        <w:rPr>
          <w:rFonts w:eastAsia="Calibri" w:cs="Times New Roman"/>
          <w:color w:val="auto"/>
        </w:rPr>
        <w:t>discussion of</w:t>
      </w:r>
      <w:r w:rsidR="00777156" w:rsidRPr="006A12B2">
        <w:rPr>
          <w:rFonts w:eastAsia="Calibri" w:cs="Times New Roman"/>
          <w:color w:val="auto"/>
        </w:rPr>
        <w:t xml:space="preserve"> </w:t>
      </w:r>
      <w:r w:rsidR="00777156" w:rsidRPr="000F5E75">
        <w:rPr>
          <w:color w:val="auto"/>
        </w:rPr>
        <w:t>RECODe risk equations</w:t>
      </w:r>
      <w:r w:rsidR="004E4BDF" w:rsidRPr="000F5E75">
        <w:rPr>
          <w:color w:val="auto"/>
        </w:rPr>
        <w:t xml:space="preserve"> </w:t>
      </w:r>
      <w:r w:rsidR="007154F0" w:rsidRPr="000F5E75">
        <w:rPr>
          <w:color w:val="auto"/>
        </w:rPr>
        <w:t>on complications of T2D</w:t>
      </w:r>
      <w:r w:rsidR="00121242" w:rsidRPr="000F5E75">
        <w:rPr>
          <w:color w:val="auto"/>
        </w:rPr>
        <w:t xml:space="preserve"> </w:t>
      </w:r>
      <w:r w:rsidR="008B49F3" w:rsidRPr="000F5E75">
        <w:rPr>
          <w:color w:val="auto"/>
        </w:rPr>
        <w:t>(used in the economic model</w:t>
      </w:r>
      <w:r w:rsidR="00121242" w:rsidRPr="000F5E75">
        <w:rPr>
          <w:color w:val="auto"/>
        </w:rPr>
        <w:t xml:space="preserve"> to </w:t>
      </w:r>
      <w:r w:rsidR="00037590" w:rsidRPr="000F5E75">
        <w:rPr>
          <w:color w:val="auto"/>
        </w:rPr>
        <w:t xml:space="preserve">correlate HbA1C levels to </w:t>
      </w:r>
      <w:r w:rsidR="00DB2F02" w:rsidRPr="000F5E75">
        <w:rPr>
          <w:color w:val="auto"/>
        </w:rPr>
        <w:t>risk</w:t>
      </w:r>
      <w:r w:rsidR="00037590" w:rsidRPr="000F5E75">
        <w:rPr>
          <w:color w:val="auto"/>
        </w:rPr>
        <w:t xml:space="preserve"> of T2D complications</w:t>
      </w:r>
      <w:r w:rsidR="00121242" w:rsidRPr="000F5E75">
        <w:rPr>
          <w:color w:val="auto"/>
        </w:rPr>
        <w:t xml:space="preserve"> </w:t>
      </w:r>
      <w:r w:rsidR="008B49F3" w:rsidRPr="000F5E75">
        <w:rPr>
          <w:color w:val="auto"/>
        </w:rPr>
        <w:t>and validated from clinical studies)</w:t>
      </w:r>
      <w:r w:rsidR="00CE5796" w:rsidRPr="000F5E75">
        <w:rPr>
          <w:color w:val="auto"/>
        </w:rPr>
        <w:t>, including</w:t>
      </w:r>
      <w:r w:rsidR="00722773" w:rsidRPr="000F5E75">
        <w:rPr>
          <w:color w:val="auto"/>
        </w:rPr>
        <w:t xml:space="preserve"> some</w:t>
      </w:r>
      <w:r w:rsidR="00CE5796" w:rsidRPr="000F5E75">
        <w:rPr>
          <w:color w:val="auto"/>
        </w:rPr>
        <w:t xml:space="preserve"> discussion of why it </w:t>
      </w:r>
      <w:r w:rsidR="00FA164C">
        <w:rPr>
          <w:color w:val="auto"/>
        </w:rPr>
        <w:t>was</w:t>
      </w:r>
      <w:r w:rsidR="00CE5796">
        <w:rPr>
          <w:color w:val="auto"/>
        </w:rPr>
        <w:t xml:space="preserve"> </w:t>
      </w:r>
      <w:r w:rsidR="00CE5796" w:rsidRPr="000F5E75">
        <w:rPr>
          <w:color w:val="auto"/>
        </w:rPr>
        <w:t xml:space="preserve">appropriate to apply to the Australian population. </w:t>
      </w:r>
    </w:p>
    <w:p w14:paraId="385EE58E" w14:textId="6C4FB987" w:rsidR="009805A0" w:rsidRPr="009805A0" w:rsidRDefault="009805A0" w:rsidP="009805A0">
      <w:r>
        <w:t>It should be noted that the intervention reported in all studies</w:t>
      </w:r>
      <w:r w:rsidRPr="009805A0">
        <w:t xml:space="preserve"> is FSL</w:t>
      </w:r>
      <w:r w:rsidR="00614312">
        <w:t xml:space="preserve">, </w:t>
      </w:r>
      <w:r w:rsidR="00437E6E">
        <w:t xml:space="preserve">not FSL2 or FSL2 Plus </w:t>
      </w:r>
      <w:r w:rsidR="00614312">
        <w:t>(</w:t>
      </w:r>
      <w:r w:rsidR="00437E6E">
        <w:t xml:space="preserve">the </w:t>
      </w:r>
      <w:r w:rsidR="00614312">
        <w:t xml:space="preserve">proposed </w:t>
      </w:r>
      <w:r w:rsidR="00437E6E">
        <w:t>interventions</w:t>
      </w:r>
      <w:r w:rsidR="00614312">
        <w:t>)</w:t>
      </w:r>
      <w:r>
        <w:t xml:space="preserve">. No </w:t>
      </w:r>
      <w:r w:rsidRPr="009805A0">
        <w:t xml:space="preserve">concordance studies between FSL/FSL2/FSL2 </w:t>
      </w:r>
      <w:r w:rsidR="00614312">
        <w:t>were</w:t>
      </w:r>
      <w:r>
        <w:t xml:space="preserve"> reported in th</w:t>
      </w:r>
      <w:r w:rsidR="00614312">
        <w:t>e</w:t>
      </w:r>
      <w:r>
        <w:t xml:space="preserve"> ADAR.</w:t>
      </w:r>
    </w:p>
    <w:bookmarkEnd w:id="26"/>
    <w:p w14:paraId="4E8B4753" w14:textId="70D25B63" w:rsidR="00D73106" w:rsidRDefault="005C5CBA" w:rsidP="005C5CBA">
      <w:pPr>
        <w:pStyle w:val="KMC16-Caption"/>
      </w:pPr>
      <w:r>
        <w:t>Table </w:t>
      </w:r>
      <w:r w:rsidR="00315A60">
        <w:fldChar w:fldCharType="begin"/>
      </w:r>
      <w:r w:rsidR="00315A60">
        <w:instrText xml:space="preserve"> SEQ Table \* ARABIC </w:instrText>
      </w:r>
      <w:r w:rsidR="00315A60">
        <w:fldChar w:fldCharType="separate"/>
      </w:r>
      <w:r w:rsidR="00315A60">
        <w:rPr>
          <w:noProof/>
        </w:rPr>
        <w:t>5</w:t>
      </w:r>
      <w:r w:rsidR="00315A60">
        <w:rPr>
          <w:noProof/>
        </w:rPr>
        <w:fldChar w:fldCharType="end"/>
      </w:r>
      <w:r w:rsidRPr="00CE28E3">
        <w:rPr>
          <w:rFonts w:cs="Arial"/>
        </w:rPr>
        <w:tab/>
      </w:r>
      <w:r w:rsidR="00054735" w:rsidRPr="00A54EDF">
        <w:t>I</w:t>
      </w:r>
      <w:r w:rsidRPr="00A54EDF">
        <w:t>ncluded</w:t>
      </w:r>
      <w:r>
        <w:t xml:space="preserve"> studies for PICO Set 1 (T2D)</w:t>
      </w:r>
    </w:p>
    <w:tbl>
      <w:tblPr>
        <w:tblW w:w="9773" w:type="dxa"/>
        <w:tblLayout w:type="fixed"/>
        <w:tblLook w:val="06A0" w:firstRow="1" w:lastRow="0" w:firstColumn="1" w:lastColumn="0" w:noHBand="1" w:noVBand="1"/>
      </w:tblPr>
      <w:tblGrid>
        <w:gridCol w:w="2119"/>
        <w:gridCol w:w="1502"/>
        <w:gridCol w:w="1502"/>
        <w:gridCol w:w="1503"/>
        <w:gridCol w:w="1730"/>
        <w:gridCol w:w="1417"/>
      </w:tblGrid>
      <w:tr w:rsidR="00D73106" w14:paraId="36D0847F" w14:textId="77777777" w:rsidTr="004A2A66">
        <w:trPr>
          <w:trHeight w:val="315"/>
          <w:tblHeader/>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vAlign w:val="bottom"/>
          </w:tcPr>
          <w:p w14:paraId="503C1C7C" w14:textId="77777777" w:rsidR="00D73106" w:rsidRPr="004A478D" w:rsidRDefault="00D73106" w:rsidP="004A2A66">
            <w:pPr>
              <w:pStyle w:val="KMC16-TableHeading"/>
              <w:jc w:val="left"/>
              <w:rPr>
                <w:rFonts w:eastAsia="Calibri"/>
              </w:rPr>
            </w:pPr>
            <w:r w:rsidRPr="00C26048">
              <w:rPr>
                <w:rFonts w:eastAsia="Calibri"/>
              </w:rPr>
              <w:t xml:space="preserve">Study </w:t>
            </w:r>
            <w:r>
              <w:rPr>
                <w:rFonts w:eastAsia="Calibri"/>
              </w:rPr>
              <w:t>ID</w:t>
            </w:r>
            <w:r w:rsidRPr="00C26048">
              <w:rPr>
                <w:rFonts w:eastAsia="Calibri"/>
              </w:rPr>
              <w:t xml:space="preserve"> </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2D1D9904" w14:textId="77777777" w:rsidR="00D73106" w:rsidRDefault="00D73106" w:rsidP="004A2A66">
            <w:pPr>
              <w:pStyle w:val="KMC16-TableHeading"/>
              <w:rPr>
                <w:rFonts w:eastAsia="Calibri"/>
              </w:rPr>
            </w:pPr>
            <w:r>
              <w:rPr>
                <w:rFonts w:eastAsia="Calibri"/>
              </w:rPr>
              <w:t>Ajjan 2023</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bottom"/>
          </w:tcPr>
          <w:p w14:paraId="6383EB5E" w14:textId="77777777" w:rsidR="00D73106" w:rsidRPr="00C26048" w:rsidRDefault="00D73106" w:rsidP="004A2A66">
            <w:pPr>
              <w:pStyle w:val="KMC16-TableHeading"/>
              <w:rPr>
                <w:rFonts w:eastAsia="Calibri"/>
              </w:rPr>
            </w:pPr>
            <w:r w:rsidRPr="00C26048">
              <w:rPr>
                <w:rFonts w:eastAsia="Calibri"/>
              </w:rPr>
              <w:t xml:space="preserve">Bosi 2022 </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vAlign w:val="bottom"/>
          </w:tcPr>
          <w:p w14:paraId="56E968D6" w14:textId="77777777" w:rsidR="00D73106" w:rsidRPr="00C26048" w:rsidRDefault="00D73106" w:rsidP="004A2A66">
            <w:pPr>
              <w:pStyle w:val="KMC16-TableHeading"/>
              <w:rPr>
                <w:rFonts w:eastAsia="Calibri"/>
              </w:rPr>
            </w:pPr>
            <w:r w:rsidRPr="00C26048">
              <w:rPr>
                <w:rFonts w:eastAsia="Calibri"/>
              </w:rPr>
              <w:t xml:space="preserve">Haak 2017 </w:t>
            </w: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5367C4F7" w14:textId="77777777" w:rsidR="00D73106" w:rsidRPr="00C26048" w:rsidRDefault="00D73106" w:rsidP="004A2A66">
            <w:pPr>
              <w:pStyle w:val="KMC16-TableHeading"/>
              <w:rPr>
                <w:rFonts w:eastAsia="Calibri"/>
              </w:rPr>
            </w:pPr>
            <w:r>
              <w:rPr>
                <w:rFonts w:eastAsia="Calibri"/>
              </w:rPr>
              <w:t>Nathanson 2025</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vAlign w:val="bottom"/>
          </w:tcPr>
          <w:p w14:paraId="4EFC0ECC" w14:textId="77777777" w:rsidR="00D73106" w:rsidRPr="00C26048" w:rsidRDefault="00D73106" w:rsidP="004A2A66">
            <w:pPr>
              <w:pStyle w:val="KMC16-TableHeading"/>
              <w:rPr>
                <w:rFonts w:eastAsia="Calibri"/>
              </w:rPr>
            </w:pPr>
            <w:r w:rsidRPr="00C26048">
              <w:rPr>
                <w:rFonts w:eastAsia="Calibri"/>
              </w:rPr>
              <w:t xml:space="preserve">Yaron 2019 </w:t>
            </w:r>
          </w:p>
        </w:tc>
      </w:tr>
      <w:tr w:rsidR="00D73106" w14:paraId="715EEE04" w14:textId="77777777" w:rsidTr="004A2A66">
        <w:trPr>
          <w:trHeight w:val="31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77D48D" w14:textId="1D19F45C" w:rsidR="00D73106" w:rsidRPr="004A478D" w:rsidRDefault="00D73106" w:rsidP="004A2A66">
            <w:pPr>
              <w:pStyle w:val="KMC16-TableHeading"/>
              <w:jc w:val="left"/>
              <w:rPr>
                <w:rFonts w:eastAsia="Calibri"/>
              </w:rPr>
            </w:pPr>
            <w:r w:rsidRPr="004A478D">
              <w:rPr>
                <w:rFonts w:eastAsia="Calibri"/>
              </w:rPr>
              <w:t>N</w:t>
            </w:r>
            <w:r w:rsidR="0097087B">
              <w:rPr>
                <w:rFonts w:eastAsia="Calibri"/>
              </w:rPr>
              <w:t>umber of study participants</w:t>
            </w:r>
            <w:r w:rsidRPr="004A478D">
              <w:rPr>
                <w:rFonts w:eastAsia="Calibri"/>
              </w:rPr>
              <w:t xml:space="preserve"> </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20BF3" w14:textId="77777777" w:rsidR="00D73106" w:rsidRPr="004A478D" w:rsidRDefault="00D73106" w:rsidP="004A2A66">
            <w:pPr>
              <w:pStyle w:val="KMC16-TableHeading"/>
              <w:jc w:val="left"/>
              <w:rPr>
                <w:rFonts w:ascii="Calibri" w:eastAsia="Calibri" w:hAnsi="Calibri" w:cs="Calibri"/>
                <w:color w:val="000000" w:themeColor="text1"/>
                <w:sz w:val="19"/>
                <w:szCs w:val="19"/>
              </w:rPr>
            </w:pPr>
            <w:r w:rsidRPr="004A478D">
              <w:rPr>
                <w:rFonts w:eastAsia="Calibri"/>
                <w:b w:val="0"/>
              </w:rPr>
              <w:t>36 (FSL)</w:t>
            </w:r>
            <w:r w:rsidRPr="004A478D">
              <w:rPr>
                <w:rFonts w:ascii="Calibri" w:eastAsia="Calibri" w:hAnsi="Calibri" w:cs="Calibri"/>
                <w:b w:val="0"/>
                <w:color w:val="000000" w:themeColor="text1"/>
                <w:sz w:val="19"/>
                <w:szCs w:val="19"/>
              </w:rPr>
              <w:t xml:space="preserve"> </w:t>
            </w:r>
          </w:p>
          <w:p w14:paraId="3D314451" w14:textId="77777777" w:rsidR="00D73106" w:rsidRPr="004A478D" w:rsidRDefault="00D73106" w:rsidP="004A2A66">
            <w:pPr>
              <w:pStyle w:val="KMC16-TableHeading"/>
              <w:jc w:val="left"/>
              <w:rPr>
                <w:rFonts w:eastAsia="Calibri"/>
                <w:b w:val="0"/>
              </w:rPr>
            </w:pPr>
            <w:r>
              <w:rPr>
                <w:rFonts w:eastAsia="Calibri"/>
                <w:b w:val="0"/>
                <w:bCs/>
              </w:rPr>
              <w:t>34</w:t>
            </w:r>
            <w:r w:rsidRPr="00C26048">
              <w:rPr>
                <w:rFonts w:eastAsia="Calibri"/>
                <w:b w:val="0"/>
                <w:bCs/>
              </w:rPr>
              <w:t xml:space="preserve"> (</w:t>
            </w:r>
            <w:r>
              <w:rPr>
                <w:rFonts w:eastAsia="Calibri"/>
                <w:b w:val="0"/>
                <w:bCs/>
              </w:rPr>
              <w:t>SMBG</w:t>
            </w:r>
            <w:r w:rsidRPr="00C26048">
              <w:rPr>
                <w:rFonts w:eastAsia="Calibri"/>
                <w:b w:val="0"/>
                <w:bCs/>
              </w:rPr>
              <w:t>)</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6A581" w14:textId="77777777" w:rsidR="00D73106" w:rsidRPr="004A478D" w:rsidRDefault="00D73106" w:rsidP="004A2A66">
            <w:pPr>
              <w:pStyle w:val="KMC16-TableHeading"/>
              <w:jc w:val="left"/>
              <w:rPr>
                <w:rFonts w:ascii="Calibri" w:eastAsia="Calibri" w:hAnsi="Calibri" w:cs="Calibri"/>
                <w:color w:val="000000" w:themeColor="text1"/>
                <w:sz w:val="19"/>
                <w:szCs w:val="19"/>
              </w:rPr>
            </w:pPr>
            <w:r w:rsidRPr="004A478D">
              <w:rPr>
                <w:rFonts w:eastAsia="Calibri"/>
                <w:b w:val="0"/>
              </w:rPr>
              <w:t>109 (FSL)</w:t>
            </w:r>
            <w:r w:rsidRPr="004A478D">
              <w:rPr>
                <w:rFonts w:ascii="Calibri" w:eastAsia="Calibri" w:hAnsi="Calibri" w:cs="Calibri"/>
                <w:b w:val="0"/>
                <w:color w:val="000000" w:themeColor="text1"/>
                <w:sz w:val="19"/>
                <w:szCs w:val="19"/>
              </w:rPr>
              <w:t xml:space="preserve"> </w:t>
            </w:r>
          </w:p>
          <w:p w14:paraId="4DD803AE" w14:textId="77777777" w:rsidR="00D73106" w:rsidRPr="004A478D" w:rsidRDefault="00D73106" w:rsidP="004A2A66">
            <w:pPr>
              <w:pStyle w:val="KMC16-TableHeading"/>
              <w:jc w:val="left"/>
              <w:rPr>
                <w:rFonts w:eastAsia="Calibri"/>
                <w:b w:val="0"/>
              </w:rPr>
            </w:pPr>
            <w:r w:rsidRPr="00C26048">
              <w:rPr>
                <w:rFonts w:eastAsia="Calibri"/>
                <w:b w:val="0"/>
                <w:bCs/>
              </w:rPr>
              <w:t>213 (</w:t>
            </w:r>
            <w:r>
              <w:rPr>
                <w:rFonts w:eastAsia="Calibri"/>
                <w:b w:val="0"/>
                <w:bCs/>
              </w:rPr>
              <w:t>SMBG</w:t>
            </w:r>
            <w:r w:rsidRPr="00C26048">
              <w:rPr>
                <w:rFonts w:eastAsia="Calibri"/>
                <w:b w:val="0"/>
                <w:bCs/>
              </w:rPr>
              <w:t xml:space="preserve">) </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11FE6D" w14:textId="1B94CEF8" w:rsidR="00D73106" w:rsidRPr="004A478D" w:rsidRDefault="00D73106" w:rsidP="004A2A66">
            <w:pPr>
              <w:pStyle w:val="KMC16-TableHeading"/>
              <w:jc w:val="left"/>
              <w:rPr>
                <w:rFonts w:ascii="Calibri" w:eastAsia="Calibri" w:hAnsi="Calibri" w:cs="Calibri"/>
                <w:color w:val="000000" w:themeColor="text1"/>
                <w:sz w:val="19"/>
                <w:szCs w:val="19"/>
              </w:rPr>
            </w:pPr>
            <w:r w:rsidRPr="004A478D">
              <w:rPr>
                <w:rFonts w:eastAsia="Calibri"/>
                <w:b w:val="0"/>
              </w:rPr>
              <w:t>149</w:t>
            </w:r>
            <w:r w:rsidR="00055CA4" w:rsidRPr="00A54EDF">
              <w:rPr>
                <w:rFonts w:eastAsia="Calibri"/>
                <w:b w:val="0"/>
              </w:rPr>
              <w:t xml:space="preserve"> </w:t>
            </w:r>
            <w:r w:rsidRPr="004A478D">
              <w:rPr>
                <w:rFonts w:eastAsia="Calibri"/>
                <w:b w:val="0"/>
              </w:rPr>
              <w:t>(FSL)</w:t>
            </w:r>
            <w:r w:rsidRPr="004A478D">
              <w:rPr>
                <w:rFonts w:ascii="Calibri" w:eastAsia="Calibri" w:hAnsi="Calibri" w:cs="Calibri"/>
                <w:b w:val="0"/>
                <w:color w:val="000000" w:themeColor="text1"/>
                <w:sz w:val="19"/>
                <w:szCs w:val="19"/>
              </w:rPr>
              <w:t xml:space="preserve"> </w:t>
            </w:r>
          </w:p>
          <w:p w14:paraId="145AA219" w14:textId="77777777" w:rsidR="00D73106" w:rsidRPr="004A478D" w:rsidRDefault="00D73106" w:rsidP="004A2A66">
            <w:pPr>
              <w:pStyle w:val="KMC16-TableHeading"/>
              <w:jc w:val="left"/>
              <w:rPr>
                <w:rFonts w:eastAsia="Calibri"/>
                <w:b w:val="0"/>
              </w:rPr>
            </w:pPr>
            <w:r w:rsidRPr="00C26048">
              <w:rPr>
                <w:rFonts w:eastAsia="Calibri"/>
                <w:b w:val="0"/>
                <w:bCs/>
              </w:rPr>
              <w:t>75 (</w:t>
            </w:r>
            <w:r>
              <w:rPr>
                <w:rFonts w:eastAsia="Calibri"/>
                <w:b w:val="0"/>
                <w:bCs/>
              </w:rPr>
              <w:t>SMBG</w:t>
            </w:r>
            <w:r w:rsidRPr="00C26048">
              <w:rPr>
                <w:rFonts w:eastAsia="Calibri"/>
                <w:b w:val="0"/>
                <w:bCs/>
              </w:rPr>
              <w:t xml:space="preserve">) </w:t>
            </w: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094E5A" w14:textId="77777777" w:rsidR="00D73106" w:rsidRPr="004A478D" w:rsidRDefault="00D73106" w:rsidP="004A2A66">
            <w:pPr>
              <w:pStyle w:val="KMC16-TableHeading"/>
              <w:jc w:val="left"/>
              <w:rPr>
                <w:rFonts w:eastAsia="Calibri"/>
                <w:b w:val="0"/>
              </w:rPr>
            </w:pPr>
            <w:r w:rsidRPr="004A478D">
              <w:rPr>
                <w:rFonts w:eastAsia="Calibri"/>
                <w:b w:val="0"/>
              </w:rPr>
              <w:t>Insulin users:</w:t>
            </w:r>
          </w:p>
          <w:p w14:paraId="240FD885" w14:textId="77777777" w:rsidR="00D73106" w:rsidRPr="004A478D" w:rsidRDefault="00D73106" w:rsidP="004A2A66">
            <w:pPr>
              <w:pStyle w:val="KMC16-TableHeading"/>
              <w:jc w:val="left"/>
              <w:rPr>
                <w:rFonts w:eastAsia="Calibri"/>
                <w:b w:val="0"/>
              </w:rPr>
            </w:pPr>
            <w:r w:rsidRPr="004A478D">
              <w:rPr>
                <w:rFonts w:eastAsia="Calibri"/>
                <w:b w:val="0"/>
              </w:rPr>
              <w:t>2,876 (MDI)</w:t>
            </w:r>
          </w:p>
          <w:p w14:paraId="0EF229AE" w14:textId="73D6A0FF" w:rsidR="00D73106" w:rsidRPr="004A478D" w:rsidRDefault="00D73106" w:rsidP="004A2A66">
            <w:pPr>
              <w:pStyle w:val="KMC16-TableHeading"/>
              <w:jc w:val="left"/>
              <w:rPr>
                <w:rFonts w:eastAsia="Calibri"/>
                <w:b w:val="0"/>
              </w:rPr>
            </w:pPr>
            <w:r w:rsidRPr="004A478D">
              <w:rPr>
                <w:rFonts w:eastAsia="Calibri"/>
                <w:b w:val="0"/>
              </w:rPr>
              <w:t>2,292 (</w:t>
            </w:r>
            <w:r w:rsidR="006F1C2C" w:rsidRPr="00A54EDF">
              <w:rPr>
                <w:rFonts w:eastAsia="Calibri"/>
                <w:b w:val="0"/>
              </w:rPr>
              <w:t>b</w:t>
            </w:r>
            <w:r w:rsidRPr="00A54EDF">
              <w:rPr>
                <w:rFonts w:eastAsia="Calibri"/>
                <w:b w:val="0"/>
              </w:rPr>
              <w:t>asal</w:t>
            </w:r>
            <w:r w:rsidRPr="004A478D">
              <w:rPr>
                <w:rFonts w:eastAsia="Calibri"/>
                <w:b w:val="0"/>
              </w:rPr>
              <w:t>)</w:t>
            </w:r>
          </w:p>
          <w:p w14:paraId="7B35B6FF" w14:textId="5B4A82FD" w:rsidR="00D73106" w:rsidRPr="004A478D" w:rsidRDefault="006F1C2C" w:rsidP="004A2A66">
            <w:pPr>
              <w:pStyle w:val="KMC16-TableHeading"/>
              <w:jc w:val="left"/>
              <w:rPr>
                <w:rFonts w:eastAsia="Calibri"/>
                <w:b w:val="0"/>
              </w:rPr>
            </w:pPr>
            <w:r w:rsidRPr="00A54EDF">
              <w:rPr>
                <w:rFonts w:eastAsia="Calibri"/>
                <w:b w:val="0"/>
              </w:rPr>
              <w:t>c</w:t>
            </w:r>
            <w:r w:rsidR="00D73106" w:rsidRPr="00A54EDF">
              <w:rPr>
                <w:rFonts w:eastAsia="Calibri"/>
                <w:b w:val="0"/>
              </w:rPr>
              <w:t>ontrols:</w:t>
            </w:r>
          </w:p>
          <w:p w14:paraId="56BA5D15" w14:textId="77777777" w:rsidR="00D73106" w:rsidRPr="004A478D" w:rsidRDefault="00D73106" w:rsidP="004A2A66">
            <w:pPr>
              <w:pStyle w:val="KMC16-TableHeading"/>
              <w:jc w:val="left"/>
              <w:rPr>
                <w:rFonts w:eastAsia="Calibri"/>
                <w:b w:val="0"/>
              </w:rPr>
            </w:pPr>
            <w:r w:rsidRPr="004A478D">
              <w:rPr>
                <w:rFonts w:eastAsia="Calibri"/>
                <w:b w:val="0"/>
              </w:rPr>
              <w:t>33,584 (MDI matched)</w:t>
            </w:r>
          </w:p>
          <w:p w14:paraId="4691BFA0" w14:textId="37CC2976" w:rsidR="00D73106" w:rsidRPr="004A478D" w:rsidRDefault="00D73106" w:rsidP="004A2A66">
            <w:pPr>
              <w:pStyle w:val="KMC16-TableHeading"/>
              <w:jc w:val="left"/>
              <w:rPr>
                <w:rFonts w:eastAsia="Calibri"/>
                <w:b w:val="0"/>
              </w:rPr>
            </w:pPr>
            <w:r w:rsidRPr="004A478D">
              <w:rPr>
                <w:rFonts w:eastAsia="Calibri"/>
                <w:b w:val="0"/>
              </w:rPr>
              <w:t>43,424 (</w:t>
            </w:r>
            <w:r w:rsidR="006F1C2C" w:rsidRPr="00A54EDF">
              <w:rPr>
                <w:rFonts w:eastAsia="Calibri"/>
                <w:b w:val="0"/>
              </w:rPr>
              <w:t>b</w:t>
            </w:r>
            <w:r w:rsidRPr="00A54EDF">
              <w:rPr>
                <w:rFonts w:eastAsia="Calibri"/>
                <w:b w:val="0"/>
              </w:rPr>
              <w:t>asal</w:t>
            </w:r>
            <w:r w:rsidRPr="004A478D">
              <w:rPr>
                <w:rFonts w:eastAsia="Calibri"/>
                <w:b w:val="0"/>
              </w:rPr>
              <w:t xml:space="preserve"> matched)</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714486" w14:textId="77777777" w:rsidR="00D73106" w:rsidRPr="004A478D" w:rsidRDefault="00D73106" w:rsidP="004A2A66">
            <w:pPr>
              <w:pStyle w:val="KMC16-TableHeading"/>
              <w:jc w:val="left"/>
              <w:rPr>
                <w:rFonts w:ascii="Calibri" w:eastAsia="Calibri" w:hAnsi="Calibri" w:cs="Calibri"/>
                <w:color w:val="000000" w:themeColor="text1"/>
                <w:sz w:val="19"/>
                <w:szCs w:val="19"/>
              </w:rPr>
            </w:pPr>
            <w:r w:rsidRPr="004A478D">
              <w:rPr>
                <w:rFonts w:eastAsia="Calibri"/>
                <w:b w:val="0"/>
              </w:rPr>
              <w:t>53 (FSL)</w:t>
            </w:r>
            <w:r w:rsidRPr="004A478D">
              <w:rPr>
                <w:rFonts w:ascii="Calibri" w:eastAsia="Calibri" w:hAnsi="Calibri" w:cs="Calibri"/>
                <w:b w:val="0"/>
                <w:color w:val="000000" w:themeColor="text1"/>
                <w:sz w:val="19"/>
                <w:szCs w:val="19"/>
              </w:rPr>
              <w:t xml:space="preserve"> </w:t>
            </w:r>
          </w:p>
          <w:p w14:paraId="745EBBFE" w14:textId="77777777" w:rsidR="00D73106" w:rsidRPr="004A478D" w:rsidRDefault="00D73106" w:rsidP="004A2A66">
            <w:pPr>
              <w:pStyle w:val="KMC16-TableHeading"/>
              <w:jc w:val="left"/>
              <w:rPr>
                <w:rFonts w:eastAsia="Calibri"/>
                <w:b w:val="0"/>
              </w:rPr>
            </w:pPr>
            <w:r w:rsidRPr="00C26048">
              <w:rPr>
                <w:rFonts w:eastAsia="Calibri"/>
                <w:b w:val="0"/>
                <w:bCs/>
              </w:rPr>
              <w:t>48 (</w:t>
            </w:r>
            <w:r>
              <w:rPr>
                <w:rFonts w:eastAsia="Calibri"/>
                <w:b w:val="0"/>
                <w:bCs/>
              </w:rPr>
              <w:t>SMBG</w:t>
            </w:r>
            <w:r w:rsidRPr="00C26048">
              <w:rPr>
                <w:rFonts w:eastAsia="Calibri"/>
                <w:b w:val="0"/>
                <w:bCs/>
              </w:rPr>
              <w:t xml:space="preserve">) </w:t>
            </w:r>
          </w:p>
        </w:tc>
      </w:tr>
      <w:tr w:rsidR="00D73106" w14:paraId="2BDD288C" w14:textId="77777777" w:rsidTr="004A2A66">
        <w:trPr>
          <w:trHeight w:val="31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DDFB46" w14:textId="2AF91735" w:rsidR="00D73106" w:rsidRPr="004A478D" w:rsidRDefault="00D73106" w:rsidP="004A2A66">
            <w:pPr>
              <w:pStyle w:val="KMC16-TableHeading"/>
              <w:jc w:val="left"/>
              <w:rPr>
                <w:rFonts w:eastAsia="Calibri"/>
              </w:rPr>
            </w:pPr>
            <w:r w:rsidRPr="004A478D">
              <w:rPr>
                <w:rFonts w:eastAsia="Calibri"/>
              </w:rPr>
              <w:t>Study design</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FD94F5" w14:textId="1B02E6DB" w:rsidR="00D73106" w:rsidRPr="00323EB9" w:rsidRDefault="00D73106" w:rsidP="004A2A66">
            <w:pPr>
              <w:pStyle w:val="KMC16-TableHeading"/>
              <w:jc w:val="left"/>
              <w:rPr>
                <w:rFonts w:eastAsia="Calibri"/>
                <w:b w:val="0"/>
              </w:rPr>
            </w:pPr>
            <w:r w:rsidRPr="00323EB9">
              <w:rPr>
                <w:rFonts w:eastAsia="Calibri"/>
                <w:b w:val="0"/>
              </w:rPr>
              <w:t>Open-label RCT</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483D63" w14:textId="1641D1A5" w:rsidR="00D73106" w:rsidRPr="00323EB9" w:rsidRDefault="00D73106" w:rsidP="004A2A66">
            <w:pPr>
              <w:pStyle w:val="KMC16-TableHeading"/>
              <w:jc w:val="left"/>
              <w:rPr>
                <w:rFonts w:eastAsia="Calibri"/>
                <w:b w:val="0"/>
              </w:rPr>
            </w:pPr>
            <w:r w:rsidRPr="00323EB9">
              <w:rPr>
                <w:rFonts w:eastAsia="Calibri"/>
                <w:b w:val="0"/>
              </w:rPr>
              <w:t xml:space="preserve">Prospective </w:t>
            </w:r>
            <w:r w:rsidR="006F1C2C" w:rsidRPr="00A54EDF">
              <w:rPr>
                <w:rFonts w:eastAsia="Calibri"/>
                <w:b w:val="0"/>
              </w:rPr>
              <w:t>o</w:t>
            </w:r>
            <w:r w:rsidRPr="00A54EDF">
              <w:rPr>
                <w:rFonts w:eastAsia="Calibri"/>
                <w:b w:val="0"/>
              </w:rPr>
              <w:t xml:space="preserve">bservational </w:t>
            </w:r>
            <w:r w:rsidR="006F1C2C" w:rsidRPr="00A54EDF">
              <w:rPr>
                <w:rFonts w:eastAsia="Calibri"/>
                <w:b w:val="0"/>
              </w:rPr>
              <w:t>c</w:t>
            </w:r>
            <w:r w:rsidRPr="00A54EDF">
              <w:rPr>
                <w:rFonts w:eastAsia="Calibri"/>
                <w:b w:val="0"/>
              </w:rPr>
              <w:t>ohort</w:t>
            </w:r>
            <w:r w:rsidRPr="00323EB9">
              <w:rPr>
                <w:rFonts w:eastAsia="Calibri"/>
                <w:b w:val="0"/>
              </w:rPr>
              <w:t xml:space="preserve"> study </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67FC9E" w14:textId="76145279" w:rsidR="00D73106" w:rsidRPr="00323EB9" w:rsidRDefault="00D73106" w:rsidP="004A2A66">
            <w:pPr>
              <w:pStyle w:val="KMC16-TableHeading"/>
              <w:jc w:val="left"/>
              <w:rPr>
                <w:rFonts w:eastAsia="Calibri"/>
                <w:b w:val="0"/>
              </w:rPr>
            </w:pPr>
            <w:r w:rsidRPr="00323EB9">
              <w:rPr>
                <w:rFonts w:eastAsia="Calibri"/>
                <w:b w:val="0"/>
              </w:rPr>
              <w:t>Open-label RCT</w:t>
            </w:r>
            <w:r w:rsidRPr="00323EB9">
              <w:rPr>
                <w:rFonts w:eastAsia="Calibri"/>
                <w:b w:val="0"/>
              </w:rPr>
              <w:br/>
            </w: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532AB0" w14:textId="04ACDA41" w:rsidR="00D73106" w:rsidRPr="00323EB9" w:rsidRDefault="00D73106" w:rsidP="004A2A66">
            <w:pPr>
              <w:pStyle w:val="KMC16-TableHeading"/>
              <w:jc w:val="left"/>
              <w:rPr>
                <w:rFonts w:eastAsia="Calibri"/>
                <w:b w:val="0"/>
              </w:rPr>
            </w:pPr>
            <w:r w:rsidRPr="00323EB9">
              <w:rPr>
                <w:rFonts w:eastAsia="Calibri"/>
                <w:b w:val="0"/>
              </w:rPr>
              <w:t>Retrospective cohort with matched controls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99945A" w14:textId="37CE6233" w:rsidR="00D73106" w:rsidRPr="00323EB9" w:rsidRDefault="00D73106" w:rsidP="004A2A66">
            <w:pPr>
              <w:pStyle w:val="KMC16-TableHeading"/>
              <w:jc w:val="left"/>
              <w:rPr>
                <w:rFonts w:eastAsia="Calibri"/>
                <w:b w:val="0"/>
              </w:rPr>
            </w:pPr>
            <w:r w:rsidRPr="00323EB9">
              <w:rPr>
                <w:rFonts w:eastAsia="Calibri"/>
                <w:b w:val="0"/>
              </w:rPr>
              <w:t>Open-label RCT</w:t>
            </w:r>
          </w:p>
        </w:tc>
      </w:tr>
      <w:tr w:rsidR="005C5CBA" w14:paraId="7EB8BEEB" w14:textId="77777777" w:rsidTr="004A2A66">
        <w:trPr>
          <w:trHeight w:val="31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636951" w14:textId="0C2E109E" w:rsidR="005C5CBA" w:rsidRPr="004A478D" w:rsidRDefault="005C5CBA" w:rsidP="004A2A66">
            <w:pPr>
              <w:pStyle w:val="KMC16-TableHeading"/>
              <w:jc w:val="left"/>
              <w:rPr>
                <w:rFonts w:eastAsia="Calibri"/>
              </w:rPr>
            </w:pPr>
            <w:r w:rsidRPr="00253281">
              <w:rPr>
                <w:rFonts w:eastAsia="Calibri"/>
              </w:rPr>
              <w:t>Risk of bias</w:t>
            </w:r>
            <w:r w:rsidRPr="008F5C04">
              <w:rPr>
                <w:rFonts w:eastAsia="Calibri"/>
              </w:rPr>
              <w:t xml:space="preserve"> </w:t>
            </w:r>
            <w:r>
              <w:rPr>
                <w:rFonts w:eastAsia="Calibri"/>
              </w:rPr>
              <w:t>(ROBINS-1) derived by applicant</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CC0711" w14:textId="449EABDD" w:rsidR="005C5CBA" w:rsidRPr="00323EB9" w:rsidRDefault="005C5CBA" w:rsidP="004A2A66">
            <w:pPr>
              <w:pStyle w:val="KMC16-TableHeading"/>
              <w:jc w:val="left"/>
              <w:rPr>
                <w:rFonts w:eastAsia="Calibri"/>
                <w:b w:val="0"/>
              </w:rPr>
            </w:pPr>
            <w:r w:rsidRPr="00323EB9">
              <w:rPr>
                <w:rFonts w:eastAsia="Calibri"/>
                <w:b w:val="0"/>
              </w:rPr>
              <w:t>Low risk of bias</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7EB52" w14:textId="3851C728" w:rsidR="005C5CBA" w:rsidRPr="00323EB9" w:rsidRDefault="005C5CBA" w:rsidP="004A2A66">
            <w:pPr>
              <w:pStyle w:val="KMC16-TableHeading"/>
              <w:jc w:val="left"/>
              <w:rPr>
                <w:rFonts w:eastAsia="Calibri"/>
                <w:b w:val="0"/>
              </w:rPr>
            </w:pPr>
            <w:r w:rsidRPr="00323EB9">
              <w:rPr>
                <w:rFonts w:eastAsia="Calibri"/>
                <w:b w:val="0"/>
              </w:rPr>
              <w:t>Low risk of bias</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4B81F4" w14:textId="1546C51A" w:rsidR="005C5CBA" w:rsidRPr="00323EB9" w:rsidRDefault="005C5CBA" w:rsidP="004A2A66">
            <w:pPr>
              <w:pStyle w:val="KMC16-TableHeading"/>
              <w:jc w:val="left"/>
              <w:rPr>
                <w:rFonts w:eastAsia="Calibri"/>
                <w:b w:val="0"/>
              </w:rPr>
            </w:pPr>
            <w:r w:rsidRPr="00323EB9">
              <w:rPr>
                <w:rFonts w:eastAsia="Calibri"/>
                <w:b w:val="0"/>
              </w:rPr>
              <w:t>Low risk of bias</w:t>
            </w: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C54D52" w14:textId="3A0A9EAF" w:rsidR="005C5CBA" w:rsidRPr="00323EB9" w:rsidRDefault="005C5CBA" w:rsidP="004A2A66">
            <w:pPr>
              <w:pStyle w:val="KMC16-TableHeading"/>
              <w:jc w:val="left"/>
              <w:rPr>
                <w:rFonts w:eastAsia="Calibri"/>
                <w:b w:val="0"/>
              </w:rPr>
            </w:pPr>
            <w:r w:rsidRPr="00323EB9">
              <w:rPr>
                <w:rFonts w:eastAsia="Calibri"/>
                <w:b w:val="0"/>
              </w:rPr>
              <w:t>Low risk of bias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344144" w14:textId="0AB8ED6F" w:rsidR="005C5CBA" w:rsidRPr="00323EB9" w:rsidRDefault="005C5CBA" w:rsidP="004A2A66">
            <w:pPr>
              <w:pStyle w:val="KMC16-TableHeading"/>
              <w:jc w:val="left"/>
              <w:rPr>
                <w:rFonts w:eastAsia="Calibri"/>
                <w:b w:val="0"/>
              </w:rPr>
            </w:pPr>
            <w:r w:rsidRPr="00323EB9">
              <w:rPr>
                <w:rFonts w:eastAsia="Calibri"/>
                <w:b w:val="0"/>
              </w:rPr>
              <w:t>Low risk of bias</w:t>
            </w:r>
          </w:p>
        </w:tc>
      </w:tr>
      <w:tr w:rsidR="00D73106" w14:paraId="2E607293" w14:textId="77777777" w:rsidTr="004A2A66">
        <w:trPr>
          <w:trHeight w:val="31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E695368" w14:textId="1E602B51" w:rsidR="00D73106" w:rsidRPr="004A478D" w:rsidRDefault="00D73106" w:rsidP="004A2A66">
            <w:pPr>
              <w:pStyle w:val="KMC16-TableHeading"/>
              <w:jc w:val="left"/>
              <w:rPr>
                <w:rFonts w:eastAsia="Calibri"/>
              </w:rPr>
            </w:pPr>
            <w:r>
              <w:rPr>
                <w:rFonts w:eastAsia="Calibri"/>
              </w:rPr>
              <w:t xml:space="preserve">Risk of bias </w:t>
            </w:r>
            <w:r w:rsidR="00CA4961">
              <w:rPr>
                <w:rFonts w:eastAsia="Calibri"/>
              </w:rPr>
              <w:t xml:space="preserve">(Cochrane ROB2 for RCTs, ROBINS-I for cohort studies) </w:t>
            </w:r>
            <w:r>
              <w:rPr>
                <w:rFonts w:eastAsia="Calibri"/>
              </w:rPr>
              <w:t>derived by assessment group</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B1A0BD" w14:textId="77777777" w:rsidR="00D73106" w:rsidRPr="005E3BA8" w:rsidRDefault="00D73106" w:rsidP="004A2A66">
            <w:pPr>
              <w:pStyle w:val="KMC16-TableHeading"/>
              <w:jc w:val="left"/>
              <w:rPr>
                <w:rFonts w:eastAsia="Calibri"/>
                <w:b w:val="0"/>
                <w:highlight w:val="yellow"/>
              </w:rPr>
            </w:pPr>
            <w:r w:rsidRPr="00323EB9">
              <w:rPr>
                <w:rFonts w:eastAsia="Calibri"/>
                <w:b w:val="0"/>
              </w:rPr>
              <w:t>Low risk of bias</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7031F9" w14:textId="77777777" w:rsidR="00D73106" w:rsidRPr="005E3BA8" w:rsidRDefault="00D73106" w:rsidP="004A2A66">
            <w:pPr>
              <w:pStyle w:val="KMC16-TableHeading"/>
              <w:jc w:val="left"/>
              <w:rPr>
                <w:rFonts w:eastAsia="Calibri"/>
                <w:b w:val="0"/>
                <w:highlight w:val="yellow"/>
              </w:rPr>
            </w:pPr>
            <w:r w:rsidRPr="00323EB9">
              <w:rPr>
                <w:rFonts w:eastAsia="Calibri"/>
                <w:b w:val="0"/>
              </w:rPr>
              <w:t>Moderate risk of bias</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3A09F4" w14:textId="77777777" w:rsidR="00D73106" w:rsidRPr="005E3BA8" w:rsidRDefault="00D73106" w:rsidP="004A2A66">
            <w:pPr>
              <w:pStyle w:val="KMC16-TableHeading"/>
              <w:jc w:val="left"/>
              <w:rPr>
                <w:rFonts w:eastAsia="Calibri"/>
                <w:b w:val="0"/>
                <w:highlight w:val="yellow"/>
              </w:rPr>
            </w:pPr>
            <w:r w:rsidRPr="00323EB9">
              <w:rPr>
                <w:rFonts w:eastAsia="Calibri"/>
                <w:b w:val="0"/>
              </w:rPr>
              <w:t>Low risk of bias</w:t>
            </w: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CB015" w14:textId="77777777" w:rsidR="00D73106" w:rsidRPr="005E3BA8" w:rsidRDefault="00D73106" w:rsidP="004A2A66">
            <w:pPr>
              <w:pStyle w:val="KMC16-TableHeading"/>
              <w:jc w:val="left"/>
              <w:rPr>
                <w:rFonts w:eastAsia="Calibri"/>
                <w:b w:val="0"/>
                <w:highlight w:val="yellow"/>
              </w:rPr>
            </w:pPr>
            <w:r w:rsidRPr="00323EB9">
              <w:rPr>
                <w:rFonts w:eastAsia="Calibri"/>
                <w:b w:val="0"/>
              </w:rPr>
              <w:t>Low risk of bias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1BD253" w14:textId="77777777" w:rsidR="00D73106" w:rsidRPr="005E3BA8" w:rsidRDefault="00D73106" w:rsidP="004A2A66">
            <w:pPr>
              <w:pStyle w:val="KMC16-TableHeading"/>
              <w:jc w:val="left"/>
              <w:rPr>
                <w:rFonts w:eastAsia="Calibri"/>
                <w:b w:val="0"/>
                <w:highlight w:val="yellow"/>
              </w:rPr>
            </w:pPr>
            <w:r w:rsidRPr="00323EB9">
              <w:rPr>
                <w:rFonts w:eastAsia="Calibri"/>
                <w:b w:val="0"/>
              </w:rPr>
              <w:t>Moderate risk of bias</w:t>
            </w:r>
          </w:p>
        </w:tc>
      </w:tr>
      <w:tr w:rsidR="00D73106" w14:paraId="5D386F89" w14:textId="77777777" w:rsidTr="004A2A66">
        <w:trPr>
          <w:trHeight w:val="31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1842A0" w14:textId="77777777" w:rsidR="00D73106" w:rsidRPr="004A478D" w:rsidRDefault="00D73106" w:rsidP="004A2A66">
            <w:pPr>
              <w:pStyle w:val="KMC16-TableHeading"/>
              <w:jc w:val="left"/>
              <w:rPr>
                <w:rFonts w:eastAsia="Calibri"/>
              </w:rPr>
            </w:pPr>
            <w:r w:rsidRPr="004A478D">
              <w:rPr>
                <w:rFonts w:eastAsia="Calibri"/>
              </w:rPr>
              <w:t xml:space="preserve">Population </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C0CA11" w14:textId="77777777" w:rsidR="00D73106" w:rsidRPr="004A478D" w:rsidRDefault="00D73106" w:rsidP="004A2A66">
            <w:pPr>
              <w:pStyle w:val="KMC16-TableHeading"/>
              <w:jc w:val="left"/>
              <w:rPr>
                <w:rFonts w:eastAsia="Calibri"/>
                <w:b w:val="0"/>
              </w:rPr>
            </w:pPr>
            <w:r w:rsidRPr="004A478D">
              <w:rPr>
                <w:rFonts w:eastAsia="Calibri"/>
                <w:b w:val="0"/>
              </w:rPr>
              <w:t>Adult UK T2D patients with recent onset MI. Includes an insulin-using subpopulation.</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14D520" w14:textId="77777777" w:rsidR="00D73106" w:rsidRPr="004A478D" w:rsidRDefault="00D73106" w:rsidP="004A2A66">
            <w:pPr>
              <w:pStyle w:val="KMC16-TableHeading"/>
              <w:jc w:val="left"/>
              <w:rPr>
                <w:rFonts w:eastAsia="Calibri"/>
                <w:b w:val="0"/>
              </w:rPr>
            </w:pPr>
            <w:r w:rsidRPr="004A478D">
              <w:rPr>
                <w:rFonts w:eastAsia="Calibri"/>
                <w:b w:val="0"/>
              </w:rPr>
              <w:t xml:space="preserve">Adult Italian T2D patients using basal-bolus insulin </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411C7F" w14:textId="77777777" w:rsidR="00D73106" w:rsidRPr="004A478D" w:rsidRDefault="00D73106" w:rsidP="004A2A66">
            <w:pPr>
              <w:pStyle w:val="KMC16-TableHeading"/>
              <w:jc w:val="left"/>
              <w:rPr>
                <w:rFonts w:eastAsia="Calibri"/>
                <w:b w:val="0"/>
              </w:rPr>
            </w:pPr>
            <w:r w:rsidRPr="004A478D">
              <w:rPr>
                <w:rFonts w:eastAsia="Calibri"/>
                <w:b w:val="0"/>
              </w:rPr>
              <w:t>Adult European T2D patients using insulin (bolus, basal-bolus, CSII)</w:t>
            </w: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EEEEE2" w14:textId="77777777" w:rsidR="00D73106" w:rsidRPr="004A478D" w:rsidRDefault="00D73106" w:rsidP="004A2A66">
            <w:pPr>
              <w:pStyle w:val="KMC16-TableHeading"/>
              <w:jc w:val="left"/>
              <w:rPr>
                <w:rFonts w:eastAsia="Calibri"/>
                <w:b w:val="0"/>
              </w:rPr>
            </w:pPr>
            <w:r w:rsidRPr="004A478D">
              <w:rPr>
                <w:rFonts w:eastAsia="Calibri"/>
                <w:b w:val="0"/>
              </w:rPr>
              <w:t>Adult Swedish patients using insulin (basal or MDI)</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4F172B" w14:textId="77777777" w:rsidR="00D73106" w:rsidRPr="004A478D" w:rsidRDefault="00D73106" w:rsidP="004A2A66">
            <w:pPr>
              <w:pStyle w:val="KMC16-TableHeading"/>
              <w:jc w:val="left"/>
              <w:rPr>
                <w:rFonts w:eastAsia="Calibri"/>
                <w:b w:val="0"/>
              </w:rPr>
            </w:pPr>
            <w:r w:rsidRPr="004A478D">
              <w:rPr>
                <w:rFonts w:eastAsia="Calibri"/>
                <w:b w:val="0"/>
              </w:rPr>
              <w:t xml:space="preserve">Adult Israeli T2D patients using insulin (aged 30 to 80 years). </w:t>
            </w:r>
          </w:p>
        </w:tc>
      </w:tr>
      <w:tr w:rsidR="00D73106" w14:paraId="30121E74" w14:textId="77777777" w:rsidTr="004A2A66">
        <w:trPr>
          <w:trHeight w:val="31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1BCD55" w14:textId="77777777" w:rsidR="00D73106" w:rsidRPr="004A478D" w:rsidRDefault="00D73106" w:rsidP="004A2A66">
            <w:pPr>
              <w:pStyle w:val="KMC16-TableHeading"/>
              <w:jc w:val="left"/>
              <w:rPr>
                <w:rFonts w:eastAsia="Calibri"/>
              </w:rPr>
            </w:pPr>
            <w:r w:rsidRPr="004A478D">
              <w:rPr>
                <w:rFonts w:eastAsia="Calibri"/>
              </w:rPr>
              <w:t xml:space="preserve">Intervention </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12BAB" w14:textId="77777777" w:rsidR="00D73106" w:rsidRPr="004A478D" w:rsidRDefault="00D73106" w:rsidP="004A2A66">
            <w:pPr>
              <w:pStyle w:val="KMC16-TableHeading"/>
              <w:jc w:val="left"/>
              <w:rPr>
                <w:rFonts w:eastAsia="Calibri"/>
                <w:b w:val="0"/>
              </w:rPr>
            </w:pPr>
            <w:r w:rsidRPr="004A478D">
              <w:rPr>
                <w:rFonts w:eastAsia="Calibri"/>
                <w:b w:val="0"/>
              </w:rPr>
              <w:t>FSL</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150747" w14:textId="77777777" w:rsidR="00D73106" w:rsidRPr="004A478D" w:rsidRDefault="00D73106" w:rsidP="004A2A66">
            <w:pPr>
              <w:pStyle w:val="KMC16-TableHeading"/>
              <w:jc w:val="left"/>
              <w:rPr>
                <w:rFonts w:eastAsia="Calibri"/>
                <w:b w:val="0"/>
              </w:rPr>
            </w:pPr>
            <w:r w:rsidRPr="004A478D">
              <w:rPr>
                <w:rFonts w:eastAsia="Calibri"/>
                <w:b w:val="0"/>
              </w:rPr>
              <w:t xml:space="preserve">FSL </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C50590" w14:textId="77777777" w:rsidR="00D73106" w:rsidRPr="004A478D" w:rsidRDefault="00D73106" w:rsidP="004A2A66">
            <w:pPr>
              <w:pStyle w:val="KMC16-TableHeading"/>
              <w:jc w:val="left"/>
              <w:rPr>
                <w:rFonts w:eastAsia="Calibri"/>
                <w:b w:val="0"/>
              </w:rPr>
            </w:pPr>
            <w:r w:rsidRPr="004A478D">
              <w:rPr>
                <w:rFonts w:eastAsia="Calibri"/>
                <w:b w:val="0"/>
              </w:rPr>
              <w:t>FSL</w:t>
            </w: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7325D4" w14:textId="77777777" w:rsidR="00D73106" w:rsidRPr="004A478D" w:rsidRDefault="00D73106" w:rsidP="004A2A66">
            <w:pPr>
              <w:pStyle w:val="KMC16-TableHeading"/>
              <w:jc w:val="left"/>
              <w:rPr>
                <w:rFonts w:eastAsia="Calibri"/>
                <w:b w:val="0"/>
              </w:rPr>
            </w:pPr>
            <w:r w:rsidRPr="004A478D">
              <w:rPr>
                <w:rFonts w:eastAsia="Calibri"/>
                <w:b w:val="0"/>
              </w:rPr>
              <w:t>FSL</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7EF88D" w14:textId="77777777" w:rsidR="00D73106" w:rsidRPr="004A478D" w:rsidRDefault="00D73106" w:rsidP="004A2A66">
            <w:pPr>
              <w:pStyle w:val="KMC16-TableHeading"/>
              <w:jc w:val="left"/>
              <w:rPr>
                <w:rFonts w:eastAsia="Calibri"/>
                <w:b w:val="0"/>
              </w:rPr>
            </w:pPr>
            <w:r w:rsidRPr="004A478D">
              <w:rPr>
                <w:rFonts w:eastAsia="Calibri"/>
                <w:b w:val="0"/>
              </w:rPr>
              <w:t>FSL</w:t>
            </w:r>
          </w:p>
        </w:tc>
      </w:tr>
      <w:tr w:rsidR="00D73106" w14:paraId="08A219C6" w14:textId="77777777" w:rsidTr="004A2A66">
        <w:trPr>
          <w:trHeight w:val="58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270AD4" w14:textId="77777777" w:rsidR="00D73106" w:rsidRPr="004A478D" w:rsidRDefault="00D73106" w:rsidP="004A2A66">
            <w:pPr>
              <w:pStyle w:val="KMC16-TableHeading"/>
              <w:jc w:val="left"/>
              <w:rPr>
                <w:rFonts w:eastAsia="Calibri"/>
              </w:rPr>
            </w:pPr>
            <w:r w:rsidRPr="004A478D">
              <w:rPr>
                <w:rFonts w:eastAsia="Calibri"/>
              </w:rPr>
              <w:t xml:space="preserve">Comparator </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D733D1" w14:textId="77777777" w:rsidR="00D73106" w:rsidRPr="004A478D" w:rsidRDefault="00D73106" w:rsidP="004A2A66">
            <w:pPr>
              <w:pStyle w:val="KMC16-TableHeading"/>
              <w:jc w:val="left"/>
              <w:rPr>
                <w:rFonts w:eastAsia="Calibri"/>
                <w:b w:val="0"/>
              </w:rPr>
            </w:pPr>
            <w:r w:rsidRPr="004A478D">
              <w:rPr>
                <w:rFonts w:eastAsia="Calibri"/>
                <w:b w:val="0"/>
              </w:rPr>
              <w:t>SMBG</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EBB9BC" w14:textId="77777777" w:rsidR="00D73106" w:rsidRPr="004A478D" w:rsidRDefault="00D73106" w:rsidP="004A2A66">
            <w:pPr>
              <w:pStyle w:val="KMC16-TableHeading"/>
              <w:jc w:val="left"/>
              <w:rPr>
                <w:rFonts w:eastAsia="Calibri"/>
                <w:b w:val="0"/>
              </w:rPr>
            </w:pPr>
            <w:r w:rsidRPr="004A478D">
              <w:rPr>
                <w:rFonts w:eastAsia="Calibri"/>
                <w:b w:val="0"/>
              </w:rPr>
              <w:t>SMBG</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412ED8" w14:textId="77777777" w:rsidR="00D73106" w:rsidRPr="004A478D" w:rsidRDefault="00D73106" w:rsidP="004A2A66">
            <w:pPr>
              <w:pStyle w:val="KMC16-TableHeading"/>
              <w:jc w:val="left"/>
              <w:rPr>
                <w:rFonts w:eastAsia="Calibri"/>
                <w:b w:val="0"/>
              </w:rPr>
            </w:pPr>
            <w:r w:rsidRPr="004A478D">
              <w:rPr>
                <w:rFonts w:eastAsia="Calibri"/>
                <w:b w:val="0"/>
              </w:rPr>
              <w:t>SMBG</w:t>
            </w: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AF1499" w14:textId="77777777" w:rsidR="00D73106" w:rsidRPr="004A478D" w:rsidRDefault="00D73106" w:rsidP="004A2A66">
            <w:pPr>
              <w:pStyle w:val="KMC16-TableHeading"/>
              <w:jc w:val="left"/>
              <w:rPr>
                <w:rFonts w:eastAsia="Calibri"/>
                <w:b w:val="0"/>
              </w:rPr>
            </w:pPr>
            <w:r w:rsidRPr="004A478D">
              <w:rPr>
                <w:rFonts w:eastAsia="Calibri"/>
                <w:b w:val="0"/>
              </w:rPr>
              <w:t>SMBG</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B5FC6F" w14:textId="77777777" w:rsidR="00D73106" w:rsidRPr="004A478D" w:rsidRDefault="00D73106" w:rsidP="004A2A66">
            <w:pPr>
              <w:pStyle w:val="KMC16-TableHeading"/>
              <w:jc w:val="left"/>
              <w:rPr>
                <w:rFonts w:eastAsia="Calibri"/>
                <w:b w:val="0"/>
              </w:rPr>
            </w:pPr>
            <w:r w:rsidRPr="004A478D">
              <w:rPr>
                <w:rFonts w:eastAsia="Calibri"/>
                <w:b w:val="0"/>
              </w:rPr>
              <w:t>SMBG</w:t>
            </w:r>
          </w:p>
        </w:tc>
      </w:tr>
      <w:tr w:rsidR="00D73106" w14:paraId="46266BA7" w14:textId="77777777" w:rsidTr="00C71E92">
        <w:trPr>
          <w:trHeight w:val="31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4DC3868A" w14:textId="4BAAF31D" w:rsidR="00D73106" w:rsidRPr="004A478D" w:rsidRDefault="00D73106" w:rsidP="004A2A66">
            <w:pPr>
              <w:pStyle w:val="KMC16-TableHeading"/>
              <w:jc w:val="left"/>
              <w:rPr>
                <w:rFonts w:eastAsia="Calibri"/>
              </w:rPr>
            </w:pPr>
            <w:r w:rsidRPr="004A478D">
              <w:rPr>
                <w:rFonts w:eastAsia="Calibri"/>
              </w:rPr>
              <w:t>Key outcome(s)</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10D2C28" w14:textId="77777777" w:rsidR="00D73106" w:rsidRPr="004A478D" w:rsidRDefault="00D73106" w:rsidP="004A2A66">
            <w:pPr>
              <w:pStyle w:val="KMC16-TableHeading"/>
              <w:jc w:val="left"/>
              <w:rPr>
                <w:rFonts w:eastAsia="Calibri"/>
              </w:rPr>
            </w:pP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163D412" w14:textId="77777777" w:rsidR="00D73106" w:rsidRPr="004A478D" w:rsidRDefault="00D73106" w:rsidP="004A2A66">
            <w:pPr>
              <w:pStyle w:val="KMC16-TableHeading"/>
              <w:jc w:val="left"/>
              <w:rPr>
                <w:rFonts w:eastAsia="Calibri"/>
              </w:rPr>
            </w:pP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7DCB92B3" w14:textId="77777777" w:rsidR="00D73106" w:rsidRPr="004A478D" w:rsidRDefault="00D73106" w:rsidP="004A2A66">
            <w:pPr>
              <w:pStyle w:val="KMC16-TableHeading"/>
              <w:jc w:val="left"/>
              <w:rPr>
                <w:rFonts w:eastAsia="Calibri"/>
              </w:rPr>
            </w:pP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5C7C6E8" w14:textId="77777777" w:rsidR="00D73106" w:rsidRPr="004A478D" w:rsidRDefault="00D73106" w:rsidP="004A2A66">
            <w:pPr>
              <w:pStyle w:val="KMC16-TableHeading"/>
              <w:jc w:val="left"/>
              <w:rPr>
                <w:rFonts w:eastAsia="Calibri"/>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5C2658B8" w14:textId="77777777" w:rsidR="00D73106" w:rsidRPr="004A478D" w:rsidRDefault="00D73106" w:rsidP="004A2A66">
            <w:pPr>
              <w:pStyle w:val="KMC16-TableHeading"/>
              <w:jc w:val="left"/>
              <w:rPr>
                <w:rFonts w:eastAsia="Calibri"/>
              </w:rPr>
            </w:pPr>
          </w:p>
        </w:tc>
      </w:tr>
      <w:tr w:rsidR="00D73106" w14:paraId="175A429D" w14:textId="77777777" w:rsidTr="004A2A66">
        <w:trPr>
          <w:trHeight w:val="31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FCB338" w14:textId="77777777" w:rsidR="00D73106" w:rsidRPr="004A478D" w:rsidRDefault="00D73106" w:rsidP="004A2A66">
            <w:pPr>
              <w:pStyle w:val="KMC16-TableHeading"/>
              <w:ind w:left="164"/>
              <w:jc w:val="left"/>
              <w:rPr>
                <w:rFonts w:eastAsia="Calibri"/>
                <w:b w:val="0"/>
              </w:rPr>
            </w:pPr>
            <w:r w:rsidRPr="004A478D">
              <w:rPr>
                <w:rFonts w:eastAsia="Calibri"/>
                <w:b w:val="0"/>
              </w:rPr>
              <w:t>HbA1c mean change from baseline, %</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74451B" w14:textId="77777777" w:rsidR="00D73106" w:rsidRPr="004A478D" w:rsidRDefault="00D73106" w:rsidP="00C71E92">
            <w:pPr>
              <w:pStyle w:val="KMC16-TableHeading"/>
              <w:rPr>
                <w:rFonts w:eastAsia="Calibri"/>
                <w:b w:val="0"/>
              </w:rPr>
            </w:pPr>
            <w:r w:rsidRPr="004A478D">
              <w:rPr>
                <w:rFonts w:eastAsia="Calibri"/>
                <w:b w:val="0"/>
              </w:rPr>
              <w:t>-</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8C0DE1" w14:textId="77777777" w:rsidR="00D73106" w:rsidRPr="004A478D" w:rsidRDefault="00D73106" w:rsidP="00C71E92">
            <w:pPr>
              <w:pStyle w:val="KMC16-TableHeading"/>
              <w:rPr>
                <w:rFonts w:eastAsia="Calibri"/>
              </w:rPr>
            </w:pPr>
            <w:r w:rsidRPr="004A478D">
              <w:rPr>
                <w:rFonts w:ascii="Symbol" w:eastAsia="Symbol" w:hAnsi="Symbol" w:cs="Symbol"/>
              </w:rPr>
              <w:t></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FD27E3" w14:textId="77777777" w:rsidR="00D73106" w:rsidRPr="004A478D" w:rsidRDefault="00D73106" w:rsidP="00C71E92">
            <w:pPr>
              <w:pStyle w:val="KMC16-TableHeading"/>
              <w:rPr>
                <w:rFonts w:eastAsia="Calibri"/>
                <w:b w:val="0"/>
              </w:rPr>
            </w:pPr>
            <w:r w:rsidRPr="004A478D">
              <w:rPr>
                <w:rFonts w:ascii="Symbol" w:eastAsia="Symbol" w:hAnsi="Symbol" w:cs="Symbol"/>
              </w:rPr>
              <w:t></w:t>
            </w: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EFFD51" w14:textId="77777777" w:rsidR="00D73106" w:rsidRPr="004A478D" w:rsidRDefault="00D73106" w:rsidP="00C71E92">
            <w:pPr>
              <w:pStyle w:val="KMC16-TableHeading"/>
              <w:rPr>
                <w:rFonts w:eastAsia="Calibri"/>
                <w:b w:val="0"/>
              </w:rPr>
            </w:pPr>
            <w:r w:rsidRPr="004A478D">
              <w:rPr>
                <w:rFonts w:ascii="Symbol" w:eastAsia="Symbol" w:hAnsi="Symbol" w:cs="Symbol"/>
              </w:rPr>
              <w: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D5DBB3" w14:textId="77777777" w:rsidR="00D73106" w:rsidRPr="004A478D" w:rsidRDefault="00D73106" w:rsidP="00C71E92">
            <w:pPr>
              <w:pStyle w:val="KMC16-TableHeading"/>
              <w:rPr>
                <w:rFonts w:eastAsia="Calibri"/>
                <w:b w:val="0"/>
              </w:rPr>
            </w:pPr>
            <w:r w:rsidRPr="004A478D">
              <w:rPr>
                <w:rFonts w:ascii="Symbol" w:eastAsia="Symbol" w:hAnsi="Symbol" w:cs="Symbol"/>
              </w:rPr>
              <w:t></w:t>
            </w:r>
          </w:p>
        </w:tc>
      </w:tr>
      <w:tr w:rsidR="00D73106" w14:paraId="03F43B12" w14:textId="77777777" w:rsidTr="004A2A66">
        <w:trPr>
          <w:trHeight w:val="31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BA39AD" w14:textId="77777777" w:rsidR="00D73106" w:rsidRPr="004A478D" w:rsidRDefault="00D73106" w:rsidP="004A2A66">
            <w:pPr>
              <w:pStyle w:val="KMC16-TableHeading"/>
              <w:ind w:left="164"/>
              <w:jc w:val="left"/>
              <w:rPr>
                <w:rFonts w:ascii="Calibri" w:eastAsia="Calibri" w:hAnsi="Calibri" w:cs="Calibri"/>
                <w:color w:val="000000" w:themeColor="text1"/>
                <w:sz w:val="19"/>
                <w:szCs w:val="19"/>
              </w:rPr>
            </w:pPr>
            <w:r>
              <w:rPr>
                <w:rFonts w:eastAsia="Calibri"/>
                <w:b w:val="0"/>
                <w:bCs/>
              </w:rPr>
              <w:t>Hypoglycaemic t</w:t>
            </w:r>
            <w:r w:rsidRPr="00C26048">
              <w:rPr>
                <w:rFonts w:eastAsia="Calibri"/>
                <w:b w:val="0"/>
                <w:bCs/>
              </w:rPr>
              <w:t>ime</w:t>
            </w:r>
            <w:r>
              <w:rPr>
                <w:rFonts w:eastAsia="Calibri"/>
                <w:b w:val="0"/>
                <w:bCs/>
              </w:rPr>
              <w:t xml:space="preserve"> / events</w:t>
            </w:r>
            <w:r w:rsidRPr="00C26048">
              <w:rPr>
                <w:rFonts w:eastAsia="Calibri"/>
                <w:b w:val="0"/>
                <w:bCs/>
              </w:rPr>
              <w:t xml:space="preserve"> </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43AE57" w14:textId="77777777" w:rsidR="00D73106" w:rsidRPr="004A478D" w:rsidRDefault="00D73106" w:rsidP="00C71E92">
            <w:pPr>
              <w:pStyle w:val="KMC16-TableHeading"/>
              <w:rPr>
                <w:rFonts w:eastAsia="Calibri"/>
                <w:b w:val="0"/>
              </w:rPr>
            </w:pPr>
            <w:r w:rsidRPr="004A478D">
              <w:rPr>
                <w:rFonts w:ascii="Symbol" w:eastAsia="Symbol" w:hAnsi="Symbol" w:cs="Symbol"/>
              </w:rPr>
              <w:t></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840943" w14:textId="77777777" w:rsidR="00D73106" w:rsidRPr="004A478D" w:rsidRDefault="00D73106" w:rsidP="00C71E92">
            <w:pPr>
              <w:pStyle w:val="KMC16-TableHeading"/>
              <w:rPr>
                <w:rFonts w:eastAsia="Calibri"/>
                <w:b w:val="0"/>
              </w:rPr>
            </w:pPr>
            <w:r w:rsidRPr="004A478D">
              <w:rPr>
                <w:rFonts w:eastAsia="Calibri"/>
                <w:b w:val="0"/>
              </w:rPr>
              <w:t>-</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641806" w14:textId="77777777" w:rsidR="00D73106" w:rsidRPr="004A478D" w:rsidRDefault="00D73106" w:rsidP="00C71E92">
            <w:pPr>
              <w:pStyle w:val="KMC16-TableHeading"/>
              <w:rPr>
                <w:rFonts w:eastAsia="Calibri"/>
                <w:b w:val="0"/>
              </w:rPr>
            </w:pPr>
            <w:r w:rsidRPr="004A478D">
              <w:rPr>
                <w:rFonts w:ascii="Symbol" w:eastAsia="Symbol" w:hAnsi="Symbol" w:cs="Symbol"/>
              </w:rPr>
              <w:t></w:t>
            </w: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FA5900" w14:textId="77777777" w:rsidR="00D73106" w:rsidRPr="004A478D" w:rsidRDefault="00D73106" w:rsidP="00C71E92">
            <w:pPr>
              <w:pStyle w:val="KMC16-TableHeading"/>
              <w:rPr>
                <w:rFonts w:eastAsia="Calibri"/>
                <w:b w:val="0"/>
              </w:rPr>
            </w:pPr>
            <w:r w:rsidRPr="004A478D">
              <w:rPr>
                <w:rFonts w:ascii="Symbol" w:eastAsia="Symbol" w:hAnsi="Symbol" w:cs="Symbol"/>
              </w:rPr>
              <w: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351F08" w14:textId="77777777" w:rsidR="00D73106" w:rsidRPr="004A478D" w:rsidRDefault="00D73106" w:rsidP="00C71E92">
            <w:pPr>
              <w:pStyle w:val="KMC16-TableHeading"/>
              <w:rPr>
                <w:rFonts w:eastAsia="Calibri"/>
                <w:b w:val="0"/>
              </w:rPr>
            </w:pPr>
            <w:r w:rsidRPr="004A478D">
              <w:rPr>
                <w:rFonts w:ascii="Symbol" w:eastAsia="Symbol" w:hAnsi="Symbol" w:cs="Symbol"/>
              </w:rPr>
              <w:t></w:t>
            </w:r>
          </w:p>
        </w:tc>
      </w:tr>
      <w:tr w:rsidR="00D73106" w14:paraId="1B303A4D" w14:textId="77777777" w:rsidTr="004A2A66">
        <w:trPr>
          <w:trHeight w:val="31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8AC7C1" w14:textId="77777777" w:rsidR="00D73106" w:rsidRPr="004A478D" w:rsidRDefault="00D73106" w:rsidP="004A2A66">
            <w:pPr>
              <w:pStyle w:val="KMC16-TableHeading"/>
              <w:ind w:left="164"/>
              <w:jc w:val="left"/>
              <w:rPr>
                <w:rFonts w:eastAsia="Calibri"/>
                <w:b w:val="0"/>
              </w:rPr>
            </w:pPr>
            <w:r w:rsidRPr="004A478D">
              <w:rPr>
                <w:rFonts w:eastAsia="Calibri"/>
                <w:b w:val="0"/>
              </w:rPr>
              <w:t xml:space="preserve">Hyperglycaemic </w:t>
            </w:r>
            <w:r>
              <w:rPr>
                <w:rFonts w:eastAsia="Calibri"/>
                <w:b w:val="0"/>
                <w:bCs/>
              </w:rPr>
              <w:t>t</w:t>
            </w:r>
            <w:r w:rsidRPr="00C26048">
              <w:rPr>
                <w:rFonts w:eastAsia="Calibri"/>
                <w:b w:val="0"/>
                <w:bCs/>
              </w:rPr>
              <w:t>ime</w:t>
            </w:r>
            <w:r>
              <w:rPr>
                <w:rFonts w:eastAsia="Calibri"/>
                <w:b w:val="0"/>
                <w:bCs/>
              </w:rPr>
              <w:t xml:space="preserve"> / events</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E0304" w14:textId="77777777" w:rsidR="00D73106" w:rsidRPr="004A478D" w:rsidRDefault="00D73106" w:rsidP="00C71E92">
            <w:pPr>
              <w:pStyle w:val="KMC16-TableHeading"/>
              <w:rPr>
                <w:rFonts w:eastAsia="Calibri"/>
                <w:b w:val="0"/>
              </w:rPr>
            </w:pPr>
            <w:r w:rsidRPr="004A478D">
              <w:rPr>
                <w:rFonts w:ascii="Symbol" w:eastAsia="Symbol" w:hAnsi="Symbol" w:cs="Symbol"/>
              </w:rPr>
              <w:t></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668A5D" w14:textId="77777777" w:rsidR="00D73106" w:rsidRPr="004A478D" w:rsidRDefault="00D73106" w:rsidP="00C71E92">
            <w:pPr>
              <w:pStyle w:val="KMC16-TableHeading"/>
              <w:rPr>
                <w:rFonts w:eastAsia="Calibri"/>
                <w:b w:val="0"/>
              </w:rPr>
            </w:pPr>
            <w:r w:rsidRPr="004A478D">
              <w:rPr>
                <w:rFonts w:eastAsia="Calibri"/>
                <w:b w:val="0"/>
              </w:rPr>
              <w:t>-</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D710CA" w14:textId="77777777" w:rsidR="00D73106" w:rsidRPr="004A478D" w:rsidRDefault="00D73106" w:rsidP="00C71E92">
            <w:pPr>
              <w:pStyle w:val="KMC16-TableHeading"/>
              <w:rPr>
                <w:rFonts w:eastAsia="Calibri"/>
                <w:b w:val="0"/>
              </w:rPr>
            </w:pPr>
            <w:r w:rsidRPr="004A478D">
              <w:rPr>
                <w:rFonts w:ascii="Symbol" w:eastAsia="Symbol" w:hAnsi="Symbol" w:cs="Symbol"/>
              </w:rPr>
              <w:t></w:t>
            </w: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ABEAA7" w14:textId="77777777" w:rsidR="00D73106" w:rsidRPr="004A478D" w:rsidRDefault="00D73106" w:rsidP="00C71E92">
            <w:pPr>
              <w:pStyle w:val="KMC16-TableHeading"/>
              <w:rPr>
                <w:rFonts w:eastAsia="Calibri"/>
                <w:b w:val="0"/>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55D744" w14:textId="77777777" w:rsidR="00D73106" w:rsidRPr="004A478D" w:rsidRDefault="00D73106" w:rsidP="00C71E92">
            <w:pPr>
              <w:pStyle w:val="KMC16-TableHeading"/>
              <w:rPr>
                <w:rFonts w:eastAsia="Calibri"/>
                <w:b w:val="0"/>
              </w:rPr>
            </w:pPr>
          </w:p>
        </w:tc>
      </w:tr>
      <w:tr w:rsidR="00D73106" w14:paraId="3461BACE" w14:textId="77777777" w:rsidTr="004A2A66">
        <w:trPr>
          <w:trHeight w:val="31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4395359" w14:textId="77777777" w:rsidR="00D73106" w:rsidRPr="004A478D" w:rsidRDefault="00D73106" w:rsidP="004A2A66">
            <w:pPr>
              <w:pStyle w:val="KMC16-TableHeading"/>
              <w:ind w:left="164"/>
              <w:jc w:val="left"/>
              <w:rPr>
                <w:rFonts w:eastAsia="Calibri"/>
                <w:b w:val="0"/>
              </w:rPr>
            </w:pPr>
            <w:r w:rsidRPr="004A478D">
              <w:rPr>
                <w:rFonts w:eastAsia="Calibri"/>
                <w:b w:val="0"/>
              </w:rPr>
              <w:t>Glycaemic variability</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3F39B9" w14:textId="77777777" w:rsidR="00D73106" w:rsidRPr="004A478D" w:rsidRDefault="00D73106" w:rsidP="00C71E92">
            <w:pPr>
              <w:pStyle w:val="KMC16-TableHeading"/>
              <w:rPr>
                <w:rFonts w:eastAsia="Calibri"/>
                <w:b w:val="0"/>
              </w:rPr>
            </w:pPr>
            <w:r w:rsidRPr="004A478D">
              <w:rPr>
                <w:rFonts w:eastAsia="Calibri"/>
                <w:b w:val="0"/>
              </w:rPr>
              <w:t>-</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96577C" w14:textId="77777777" w:rsidR="00D73106" w:rsidRPr="004A478D" w:rsidRDefault="00D73106" w:rsidP="00C71E92">
            <w:pPr>
              <w:pStyle w:val="KMC16-TableHeading"/>
              <w:rPr>
                <w:rFonts w:eastAsia="Calibri"/>
                <w:b w:val="0"/>
              </w:rPr>
            </w:pPr>
            <w:r w:rsidRPr="004A478D">
              <w:rPr>
                <w:rFonts w:eastAsia="Calibri"/>
                <w:b w:val="0"/>
              </w:rPr>
              <w:t>-</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A6EB63" w14:textId="77777777" w:rsidR="00D73106" w:rsidRPr="004A478D" w:rsidRDefault="00D73106" w:rsidP="00C71E92">
            <w:pPr>
              <w:pStyle w:val="KMC16-TableHeading"/>
              <w:rPr>
                <w:rFonts w:eastAsia="Calibri"/>
                <w:b w:val="0"/>
              </w:rPr>
            </w:pPr>
            <w:r w:rsidRPr="004A478D">
              <w:rPr>
                <w:rFonts w:ascii="Symbol" w:eastAsia="Symbol" w:hAnsi="Symbol" w:cs="Symbol"/>
              </w:rPr>
              <w:t></w:t>
            </w: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A12FC7" w14:textId="77777777" w:rsidR="00D73106" w:rsidRPr="004A478D" w:rsidRDefault="00D73106" w:rsidP="00C71E92">
            <w:pPr>
              <w:pStyle w:val="KMC16-TableHeading"/>
              <w:rPr>
                <w:rFonts w:eastAsia="Calibri"/>
                <w:b w:val="0"/>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B2A49B" w14:textId="77777777" w:rsidR="00D73106" w:rsidRPr="004A478D" w:rsidRDefault="00D73106" w:rsidP="00C71E92">
            <w:pPr>
              <w:pStyle w:val="KMC16-TableHeading"/>
              <w:rPr>
                <w:rFonts w:eastAsia="Calibri"/>
                <w:b w:val="0"/>
              </w:rPr>
            </w:pPr>
          </w:p>
        </w:tc>
      </w:tr>
      <w:tr w:rsidR="00D73106" w14:paraId="7415E486" w14:textId="77777777" w:rsidTr="004A2A66">
        <w:trPr>
          <w:trHeight w:val="31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4484B47" w14:textId="77777777" w:rsidR="00D73106" w:rsidRPr="004A478D" w:rsidRDefault="00D73106" w:rsidP="004A2A66">
            <w:pPr>
              <w:pStyle w:val="KMC16-TableHeading"/>
              <w:ind w:left="164"/>
              <w:jc w:val="left"/>
              <w:rPr>
                <w:rFonts w:eastAsia="Calibri"/>
                <w:b w:val="0"/>
              </w:rPr>
            </w:pPr>
            <w:r w:rsidRPr="004A478D">
              <w:rPr>
                <w:rFonts w:eastAsia="Calibri"/>
                <w:b w:val="0"/>
              </w:rPr>
              <w:t>Treatment satisfaction (DTSQ)</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7C9F7D" w14:textId="77777777" w:rsidR="00D73106" w:rsidRPr="004A478D" w:rsidRDefault="00D73106" w:rsidP="00C71E92">
            <w:pPr>
              <w:pStyle w:val="KMC16-TableHeading"/>
              <w:rPr>
                <w:rFonts w:eastAsia="Calibri"/>
                <w:b w:val="0"/>
              </w:rPr>
            </w:pPr>
            <w:r w:rsidRPr="004A478D">
              <w:rPr>
                <w:rFonts w:eastAsia="Calibri"/>
                <w:b w:val="0"/>
              </w:rPr>
              <w:t>-</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FF36D5" w14:textId="77777777" w:rsidR="00D73106" w:rsidRPr="004A478D" w:rsidRDefault="00D73106" w:rsidP="00C71E92">
            <w:pPr>
              <w:pStyle w:val="KMC16-TableHeading"/>
              <w:rPr>
                <w:rFonts w:eastAsia="Calibri"/>
                <w:b w:val="0"/>
              </w:rPr>
            </w:pPr>
            <w:r w:rsidRPr="004A478D">
              <w:rPr>
                <w:rFonts w:eastAsia="Calibri"/>
                <w:b w:val="0"/>
              </w:rPr>
              <w:t>-</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75A9A" w14:textId="77777777" w:rsidR="00D73106" w:rsidRPr="004A478D" w:rsidRDefault="00D73106" w:rsidP="00C71E92">
            <w:pPr>
              <w:pStyle w:val="KMC16-TableHeading"/>
              <w:rPr>
                <w:rFonts w:eastAsia="Calibri"/>
                <w:b w:val="0"/>
              </w:rPr>
            </w:pPr>
            <w:r w:rsidRPr="004A478D">
              <w:rPr>
                <w:rFonts w:ascii="Symbol" w:eastAsia="Symbol" w:hAnsi="Symbol" w:cs="Symbol"/>
              </w:rPr>
              <w:t></w:t>
            </w: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8B9BE3" w14:textId="77777777" w:rsidR="00D73106" w:rsidRPr="004A478D" w:rsidRDefault="00D73106" w:rsidP="00C71E92">
            <w:pPr>
              <w:pStyle w:val="KMC16-TableHeading"/>
              <w:rPr>
                <w:rFonts w:eastAsia="Calibri"/>
                <w:b w:val="0"/>
              </w:rPr>
            </w:pPr>
            <w:r w:rsidRPr="004A478D">
              <w:rPr>
                <w:rFonts w:eastAsia="Calibri"/>
                <w:b w:val="0"/>
              </w:rPr>
              <w: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E83A6A" w14:textId="77777777" w:rsidR="00D73106" w:rsidRPr="004A478D" w:rsidRDefault="00D73106" w:rsidP="00C71E92">
            <w:pPr>
              <w:pStyle w:val="KMC16-TableHeading"/>
              <w:rPr>
                <w:rFonts w:eastAsia="Calibri"/>
                <w:b w:val="0"/>
              </w:rPr>
            </w:pPr>
            <w:r w:rsidRPr="004A478D">
              <w:rPr>
                <w:rFonts w:ascii="Symbol" w:eastAsia="Symbol" w:hAnsi="Symbol" w:cs="Symbol"/>
              </w:rPr>
              <w:t></w:t>
            </w:r>
          </w:p>
        </w:tc>
      </w:tr>
      <w:tr w:rsidR="00D73106" w14:paraId="15828615" w14:textId="77777777" w:rsidTr="004A2A66">
        <w:trPr>
          <w:trHeight w:val="31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ECD7CD" w14:textId="77777777" w:rsidR="00D73106" w:rsidRPr="004A478D" w:rsidRDefault="00D73106" w:rsidP="004A2A66">
            <w:pPr>
              <w:pStyle w:val="KMC16-TableHeading"/>
              <w:ind w:left="164"/>
              <w:jc w:val="left"/>
              <w:rPr>
                <w:rFonts w:eastAsia="Calibri"/>
                <w:b w:val="0"/>
              </w:rPr>
            </w:pPr>
            <w:r w:rsidRPr="004A478D">
              <w:rPr>
                <w:rFonts w:eastAsia="Calibri"/>
                <w:b w:val="0"/>
              </w:rPr>
              <w:t>Insulin dose/frequency</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1F9556" w14:textId="77777777" w:rsidR="00D73106" w:rsidRPr="004A478D" w:rsidRDefault="00D73106" w:rsidP="00C71E92">
            <w:pPr>
              <w:pStyle w:val="KMC16-TableHeading"/>
              <w:rPr>
                <w:rFonts w:eastAsia="Calibri"/>
                <w:b w:val="0"/>
              </w:rPr>
            </w:pPr>
            <w:r w:rsidRPr="004A478D">
              <w:rPr>
                <w:rFonts w:ascii="Symbol" w:eastAsia="Symbol" w:hAnsi="Symbol" w:cs="Symbol"/>
              </w:rPr>
              <w:t></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B0D11F" w14:textId="77777777" w:rsidR="00D73106" w:rsidRPr="004A478D" w:rsidRDefault="00D73106" w:rsidP="00C71E92">
            <w:pPr>
              <w:pStyle w:val="KMC16-TableHeading"/>
              <w:rPr>
                <w:rFonts w:eastAsia="Calibri"/>
                <w:b w:val="0"/>
              </w:rPr>
            </w:pPr>
            <w:r w:rsidRPr="004A478D">
              <w:rPr>
                <w:rFonts w:ascii="Symbol" w:eastAsia="Symbol" w:hAnsi="Symbol" w:cs="Symbol"/>
              </w:rPr>
              <w:t></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5353AD" w14:textId="77777777" w:rsidR="00D73106" w:rsidRPr="004A478D" w:rsidRDefault="00D73106" w:rsidP="00C71E92">
            <w:pPr>
              <w:pStyle w:val="KMC16-TableHeading"/>
              <w:rPr>
                <w:rFonts w:eastAsia="Calibri"/>
                <w:b w:val="0"/>
              </w:rPr>
            </w:pPr>
            <w:r w:rsidRPr="004A478D">
              <w:rPr>
                <w:rFonts w:ascii="Symbol" w:eastAsia="Symbol" w:hAnsi="Symbol" w:cs="Symbol"/>
              </w:rPr>
              <w:t></w:t>
            </w: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BDDD46" w14:textId="77777777" w:rsidR="00D73106" w:rsidRPr="004A478D" w:rsidRDefault="00D73106" w:rsidP="00C71E92">
            <w:pPr>
              <w:pStyle w:val="KMC16-TableHeading"/>
              <w:rPr>
                <w:rFonts w:eastAsia="Calibri"/>
                <w:b w:val="0"/>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DEC6EE" w14:textId="77777777" w:rsidR="00D73106" w:rsidRPr="004A478D" w:rsidRDefault="00D73106" w:rsidP="00C71E92">
            <w:pPr>
              <w:pStyle w:val="KMC16-TableHeading"/>
              <w:rPr>
                <w:rFonts w:eastAsia="Calibri"/>
                <w:b w:val="0"/>
              </w:rPr>
            </w:pPr>
            <w:r w:rsidRPr="004A478D">
              <w:rPr>
                <w:rFonts w:ascii="Symbol" w:eastAsia="Symbol" w:hAnsi="Symbol" w:cs="Symbol"/>
              </w:rPr>
              <w:t></w:t>
            </w:r>
          </w:p>
        </w:tc>
      </w:tr>
      <w:tr w:rsidR="00D73106" w14:paraId="3DA86494" w14:textId="77777777" w:rsidTr="004A2A66">
        <w:trPr>
          <w:trHeight w:val="31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5EA394" w14:textId="77777777" w:rsidR="00D73106" w:rsidRPr="004A478D" w:rsidRDefault="00D73106" w:rsidP="004A2A66">
            <w:pPr>
              <w:pStyle w:val="KMC16-TableHeading"/>
              <w:ind w:left="164"/>
              <w:jc w:val="left"/>
              <w:rPr>
                <w:rFonts w:eastAsia="Calibri"/>
                <w:b w:val="0"/>
              </w:rPr>
            </w:pPr>
            <w:r w:rsidRPr="004A478D">
              <w:rPr>
                <w:rFonts w:eastAsia="Calibri"/>
                <w:b w:val="0"/>
              </w:rPr>
              <w:t>Oral antidiabetic use</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B63757" w14:textId="77777777" w:rsidR="00D73106" w:rsidRPr="004A478D" w:rsidRDefault="00D73106" w:rsidP="00C71E92">
            <w:pPr>
              <w:pStyle w:val="KMC16-TableHeading"/>
              <w:rPr>
                <w:rFonts w:eastAsia="Calibri"/>
              </w:rPr>
            </w:pPr>
            <w:r w:rsidRPr="004A478D">
              <w:rPr>
                <w:rFonts w:ascii="Symbol" w:eastAsia="Symbol" w:hAnsi="Symbol" w:cs="Symbol"/>
              </w:rPr>
              <w:t></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75BE86" w14:textId="77777777" w:rsidR="00D73106" w:rsidRPr="004A478D" w:rsidRDefault="00D73106" w:rsidP="00C71E92">
            <w:pPr>
              <w:pStyle w:val="KMC16-TableHeading"/>
              <w:rPr>
                <w:rFonts w:eastAsia="Calibri"/>
              </w:rPr>
            </w:pPr>
            <w:r w:rsidRPr="004A478D">
              <w:rPr>
                <w:rFonts w:eastAsia="Calibri"/>
              </w:rPr>
              <w:t>-</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1B042E" w14:textId="77777777" w:rsidR="00D73106" w:rsidRPr="004A478D" w:rsidRDefault="00D73106" w:rsidP="00C71E92">
            <w:pPr>
              <w:pStyle w:val="KMC16-TableHeading"/>
              <w:rPr>
                <w:rFonts w:eastAsia="Calibri"/>
              </w:rPr>
            </w:pP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7C28F7" w14:textId="77777777" w:rsidR="00D73106" w:rsidRPr="004A478D" w:rsidRDefault="00D73106" w:rsidP="00C71E92">
            <w:pPr>
              <w:pStyle w:val="KMC16-TableHeading"/>
              <w:rPr>
                <w:rFonts w:eastAsia="Calibri"/>
                <w:b w:val="0"/>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3C2D73" w14:textId="77777777" w:rsidR="00D73106" w:rsidRPr="004A478D" w:rsidRDefault="00D73106" w:rsidP="00C71E92">
            <w:pPr>
              <w:pStyle w:val="KMC16-TableHeading"/>
              <w:rPr>
                <w:rFonts w:eastAsia="Calibri"/>
              </w:rPr>
            </w:pPr>
            <w:r w:rsidRPr="004A478D">
              <w:rPr>
                <w:rFonts w:eastAsia="Calibri"/>
              </w:rPr>
              <w:t>-</w:t>
            </w:r>
          </w:p>
        </w:tc>
      </w:tr>
      <w:tr w:rsidR="00D73106" w14:paraId="419ECD70" w14:textId="77777777" w:rsidTr="004A2A66">
        <w:trPr>
          <w:trHeight w:val="31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2751DE" w14:textId="77777777" w:rsidR="00D73106" w:rsidRPr="004A478D" w:rsidRDefault="00D73106" w:rsidP="004A2A66">
            <w:pPr>
              <w:pStyle w:val="KMC16-TableHeading"/>
              <w:ind w:left="164"/>
              <w:jc w:val="left"/>
              <w:rPr>
                <w:rFonts w:eastAsia="Calibri"/>
                <w:b w:val="0"/>
              </w:rPr>
            </w:pPr>
            <w:r w:rsidRPr="004A478D">
              <w:rPr>
                <w:rFonts w:eastAsia="Calibri"/>
                <w:b w:val="0"/>
              </w:rPr>
              <w:t>SMBG use</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7C6BCA" w14:textId="77777777" w:rsidR="00D73106" w:rsidRPr="004A478D" w:rsidRDefault="00D73106" w:rsidP="00C71E92">
            <w:pPr>
              <w:pStyle w:val="KMC16-TableHeading"/>
              <w:rPr>
                <w:rFonts w:eastAsia="Calibri"/>
                <w:b w:val="0"/>
              </w:rPr>
            </w:pPr>
            <w:r w:rsidRPr="004A478D">
              <w:rPr>
                <w:rFonts w:eastAsia="Calibri"/>
                <w:b w:val="0"/>
              </w:rPr>
              <w:t>-</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4022C9" w14:textId="77777777" w:rsidR="00D73106" w:rsidRPr="004A478D" w:rsidRDefault="00D73106" w:rsidP="00C71E92">
            <w:pPr>
              <w:pStyle w:val="KMC16-TableHeading"/>
              <w:rPr>
                <w:rFonts w:eastAsia="Calibri"/>
                <w:b w:val="0"/>
              </w:rPr>
            </w:pPr>
            <w:r w:rsidRPr="004A478D">
              <w:rPr>
                <w:rFonts w:eastAsia="Calibri"/>
                <w:b w:val="0"/>
              </w:rPr>
              <w:t>-</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8371BB" w14:textId="77777777" w:rsidR="00D73106" w:rsidRPr="004A478D" w:rsidRDefault="00D73106" w:rsidP="00C71E92">
            <w:pPr>
              <w:pStyle w:val="KMC16-TableHeading"/>
              <w:rPr>
                <w:rFonts w:eastAsia="Calibri"/>
                <w:b w:val="0"/>
              </w:rPr>
            </w:pPr>
            <w:r w:rsidRPr="004A478D">
              <w:rPr>
                <w:rFonts w:ascii="Symbol" w:eastAsia="Symbol" w:hAnsi="Symbol" w:cs="Symbol"/>
              </w:rPr>
              <w:t></w:t>
            </w: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AEDE51" w14:textId="77777777" w:rsidR="00D73106" w:rsidRPr="004A478D" w:rsidRDefault="00D73106" w:rsidP="00C71E92">
            <w:pPr>
              <w:pStyle w:val="KMC16-TableHeading"/>
              <w:rPr>
                <w:rFonts w:eastAsia="Calibri"/>
                <w:b w:val="0"/>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93728F" w14:textId="77777777" w:rsidR="00D73106" w:rsidRPr="004A478D" w:rsidRDefault="00D73106" w:rsidP="00C71E92">
            <w:pPr>
              <w:pStyle w:val="KMC16-TableHeading"/>
              <w:rPr>
                <w:rFonts w:eastAsia="Calibri"/>
                <w:b w:val="0"/>
              </w:rPr>
            </w:pPr>
            <w:r w:rsidRPr="004A478D">
              <w:rPr>
                <w:rFonts w:eastAsia="Calibri"/>
                <w:b w:val="0"/>
              </w:rPr>
              <w:t>-</w:t>
            </w:r>
          </w:p>
        </w:tc>
      </w:tr>
      <w:tr w:rsidR="00D73106" w14:paraId="256A599A" w14:textId="77777777" w:rsidTr="004A2A66">
        <w:trPr>
          <w:trHeight w:val="31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3C1456" w14:textId="77777777" w:rsidR="00D73106" w:rsidRPr="004A478D" w:rsidRDefault="00D73106" w:rsidP="004A2A66">
            <w:pPr>
              <w:pStyle w:val="KMC16-TableHeading"/>
              <w:ind w:left="164"/>
              <w:jc w:val="left"/>
              <w:rPr>
                <w:rFonts w:eastAsia="Calibri"/>
                <w:b w:val="0"/>
              </w:rPr>
            </w:pPr>
            <w:r w:rsidRPr="004A478D">
              <w:rPr>
                <w:rFonts w:eastAsia="Calibri"/>
                <w:b w:val="0"/>
              </w:rPr>
              <w:t>Hospital admissions</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4E822" w14:textId="77777777" w:rsidR="00D73106" w:rsidRPr="004A478D" w:rsidRDefault="00D73106" w:rsidP="00C71E92">
            <w:pPr>
              <w:pStyle w:val="KMC16-TableHeading"/>
              <w:rPr>
                <w:rFonts w:eastAsia="Calibri"/>
                <w:b w:val="0"/>
              </w:rPr>
            </w:pPr>
            <w:r w:rsidRPr="004A478D">
              <w:rPr>
                <w:rFonts w:eastAsia="Calibri"/>
                <w:b w:val="0"/>
              </w:rPr>
              <w:t>-</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AA1F5D" w14:textId="77777777" w:rsidR="00D73106" w:rsidRPr="004A478D" w:rsidRDefault="00D73106" w:rsidP="00C71E92">
            <w:pPr>
              <w:pStyle w:val="KMC16-TableHeading"/>
              <w:rPr>
                <w:rFonts w:eastAsia="Calibri"/>
                <w:b w:val="0"/>
              </w:rPr>
            </w:pPr>
            <w:r w:rsidRPr="004A478D">
              <w:rPr>
                <w:rFonts w:ascii="Symbol" w:eastAsia="Symbol" w:hAnsi="Symbol" w:cs="Symbol"/>
              </w:rPr>
              <w:t></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8229C6" w14:textId="77777777" w:rsidR="00D73106" w:rsidRPr="004A478D" w:rsidRDefault="00D73106" w:rsidP="00C71E92">
            <w:pPr>
              <w:pStyle w:val="KMC16-TableHeading"/>
              <w:rPr>
                <w:rFonts w:eastAsia="Calibri"/>
              </w:rPr>
            </w:pPr>
            <w:r w:rsidRPr="004A478D">
              <w:rPr>
                <w:rFonts w:eastAsia="Calibri"/>
              </w:rPr>
              <w:t>-</w:t>
            </w: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9557E" w14:textId="77777777" w:rsidR="00D73106" w:rsidRPr="004A478D" w:rsidRDefault="00D73106" w:rsidP="00C71E92">
            <w:pPr>
              <w:pStyle w:val="KMC16-TableHeading"/>
              <w:rPr>
                <w:rFonts w:eastAsia="Calibri"/>
                <w:b w:val="0"/>
              </w:rPr>
            </w:pPr>
            <w:r w:rsidRPr="004A478D">
              <w:rPr>
                <w:rFonts w:ascii="Symbol" w:eastAsia="Symbol" w:hAnsi="Symbol" w:cs="Symbol"/>
              </w:rPr>
              <w: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A17DF8" w14:textId="77777777" w:rsidR="00D73106" w:rsidRPr="004A478D" w:rsidRDefault="00D73106" w:rsidP="00C71E92">
            <w:pPr>
              <w:pStyle w:val="KMC16-TableHeading"/>
              <w:rPr>
                <w:rFonts w:eastAsia="Calibri"/>
                <w:b w:val="0"/>
              </w:rPr>
            </w:pPr>
            <w:r w:rsidRPr="004A478D">
              <w:rPr>
                <w:rFonts w:eastAsia="Calibri"/>
                <w:b w:val="0"/>
              </w:rPr>
              <w:t>-</w:t>
            </w:r>
          </w:p>
        </w:tc>
      </w:tr>
      <w:tr w:rsidR="00D73106" w14:paraId="629D6F38" w14:textId="77777777" w:rsidTr="004A2A66">
        <w:trPr>
          <w:trHeight w:val="31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FC3FDC" w14:textId="77777777" w:rsidR="00D73106" w:rsidRPr="004A478D" w:rsidRDefault="00D73106" w:rsidP="004A2A66">
            <w:pPr>
              <w:pStyle w:val="KMC16-TableHeading"/>
              <w:ind w:left="164"/>
              <w:jc w:val="left"/>
              <w:rPr>
                <w:rFonts w:eastAsia="Calibri"/>
                <w:b w:val="0"/>
              </w:rPr>
            </w:pPr>
            <w:r w:rsidRPr="004A478D">
              <w:rPr>
                <w:rFonts w:eastAsia="Calibri"/>
                <w:b w:val="0"/>
              </w:rPr>
              <w:t>Adverse events</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2ACFBD" w14:textId="77777777" w:rsidR="00D73106" w:rsidRPr="004A478D" w:rsidRDefault="00D73106" w:rsidP="00C71E92">
            <w:pPr>
              <w:pStyle w:val="KMC16-TableHeading"/>
              <w:rPr>
                <w:rFonts w:eastAsia="Calibri"/>
                <w:b w:val="0"/>
              </w:rPr>
            </w:pPr>
            <w:r w:rsidRPr="004A478D">
              <w:rPr>
                <w:rFonts w:ascii="Symbol" w:eastAsia="Symbol" w:hAnsi="Symbol" w:cs="Symbol"/>
              </w:rPr>
              <w:t></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704007" w14:textId="77777777" w:rsidR="00D73106" w:rsidRPr="004A478D" w:rsidRDefault="00D73106" w:rsidP="00C71E92">
            <w:pPr>
              <w:pStyle w:val="KMC16-TableHeading"/>
              <w:rPr>
                <w:rFonts w:eastAsia="Calibri"/>
                <w:b w:val="0"/>
              </w:rPr>
            </w:pPr>
            <w:r w:rsidRPr="004A478D">
              <w:rPr>
                <w:rFonts w:ascii="Symbol" w:eastAsia="Symbol" w:hAnsi="Symbol" w:cs="Symbol"/>
              </w:rPr>
              <w:t></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55397D" w14:textId="77777777" w:rsidR="00D73106" w:rsidRPr="004A478D" w:rsidRDefault="00D73106" w:rsidP="00C71E92">
            <w:pPr>
              <w:pStyle w:val="KMC16-TableHeading"/>
              <w:rPr>
                <w:rFonts w:eastAsia="Calibri"/>
              </w:rPr>
            </w:pPr>
            <w:r w:rsidRPr="004A478D">
              <w:rPr>
                <w:rFonts w:ascii="Symbol" w:eastAsia="Symbol" w:hAnsi="Symbol" w:cs="Symbol"/>
              </w:rPr>
              <w:t></w:t>
            </w: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8B4E4B" w14:textId="77777777" w:rsidR="00D73106" w:rsidRPr="004A478D" w:rsidRDefault="00D73106" w:rsidP="00C71E92">
            <w:pPr>
              <w:pStyle w:val="KMC16-TableHeading"/>
              <w:rPr>
                <w:rFonts w:eastAsia="Calibri"/>
                <w:b w:val="0"/>
              </w:rPr>
            </w:pPr>
            <w:r w:rsidRPr="004A478D">
              <w:rPr>
                <w:rFonts w:eastAsia="Calibri"/>
                <w:b w:val="0"/>
              </w:rPr>
              <w: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4783F0" w14:textId="77777777" w:rsidR="00D73106" w:rsidRPr="004A478D" w:rsidRDefault="00D73106" w:rsidP="00C71E92">
            <w:pPr>
              <w:pStyle w:val="KMC16-TableHeading"/>
              <w:rPr>
                <w:rFonts w:eastAsia="Calibri"/>
                <w:b w:val="0"/>
              </w:rPr>
            </w:pPr>
            <w:r w:rsidRPr="004A478D">
              <w:rPr>
                <w:rFonts w:eastAsia="Calibri"/>
                <w:b w:val="0"/>
              </w:rPr>
              <w:t>-</w:t>
            </w:r>
          </w:p>
        </w:tc>
      </w:tr>
      <w:tr w:rsidR="00D73106" w14:paraId="4C54B799" w14:textId="77777777" w:rsidTr="004A2A66">
        <w:trPr>
          <w:trHeight w:val="315"/>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C099CD" w14:textId="77777777" w:rsidR="00D73106" w:rsidRPr="004A478D" w:rsidRDefault="00D73106" w:rsidP="004A2A66">
            <w:pPr>
              <w:pStyle w:val="KMC16-TableHeading"/>
              <w:jc w:val="left"/>
              <w:rPr>
                <w:rFonts w:eastAsia="Calibri"/>
              </w:rPr>
            </w:pPr>
            <w:r w:rsidRPr="004A478D">
              <w:rPr>
                <w:rFonts w:eastAsia="Calibri"/>
              </w:rPr>
              <w:t>Longest endpoint/follow-up timepoint</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D91AE0" w14:textId="77777777" w:rsidR="00D73106" w:rsidRPr="004A478D" w:rsidRDefault="00D73106" w:rsidP="004A2A66">
            <w:pPr>
              <w:pStyle w:val="KMC16-TableHeading"/>
              <w:jc w:val="left"/>
              <w:rPr>
                <w:rFonts w:eastAsia="Calibri"/>
                <w:b w:val="0"/>
              </w:rPr>
            </w:pPr>
            <w:r w:rsidRPr="004A478D">
              <w:rPr>
                <w:rFonts w:eastAsia="Calibri"/>
                <w:b w:val="0"/>
              </w:rPr>
              <w:t>3 months</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E8CF35" w14:textId="6ABD5394" w:rsidR="00D73106" w:rsidRPr="004A478D" w:rsidRDefault="00D73106" w:rsidP="004A2A66">
            <w:pPr>
              <w:pStyle w:val="KMC16-TableHeading"/>
              <w:jc w:val="left"/>
              <w:rPr>
                <w:rFonts w:eastAsia="Calibri"/>
                <w:b w:val="0"/>
              </w:rPr>
            </w:pPr>
            <w:r w:rsidRPr="004A478D">
              <w:rPr>
                <w:rFonts w:eastAsia="Calibri"/>
                <w:b w:val="0"/>
              </w:rPr>
              <w:t>3</w:t>
            </w:r>
            <w:r w:rsidR="005C5CBA">
              <w:rPr>
                <w:rFonts w:eastAsia="Calibri"/>
                <w:b w:val="0"/>
              </w:rPr>
              <w:t xml:space="preserve"> to </w:t>
            </w:r>
            <w:r w:rsidRPr="004A478D">
              <w:rPr>
                <w:rFonts w:eastAsia="Calibri"/>
                <w:b w:val="0"/>
              </w:rPr>
              <w:t>6 months</w:t>
            </w:r>
          </w:p>
        </w:tc>
        <w:tc>
          <w:tcPr>
            <w:tcW w:w="1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61D0D7" w14:textId="77777777" w:rsidR="00D73106" w:rsidRPr="004A478D" w:rsidRDefault="00D73106" w:rsidP="004A2A66">
            <w:pPr>
              <w:pStyle w:val="KMC16-TableHeading"/>
              <w:jc w:val="left"/>
              <w:rPr>
                <w:rFonts w:eastAsia="Calibri"/>
                <w:b w:val="0"/>
              </w:rPr>
            </w:pPr>
            <w:r w:rsidRPr="004A478D">
              <w:rPr>
                <w:rFonts w:eastAsia="Calibri"/>
                <w:b w:val="0"/>
              </w:rPr>
              <w:t>6 months</w:t>
            </w:r>
          </w:p>
        </w:tc>
        <w:tc>
          <w:tcPr>
            <w:tcW w:w="1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957E80" w14:textId="77777777" w:rsidR="00D73106" w:rsidRPr="004A478D" w:rsidRDefault="00D73106" w:rsidP="004A2A66">
            <w:pPr>
              <w:pStyle w:val="KMC16-TableHeading"/>
              <w:jc w:val="left"/>
              <w:rPr>
                <w:rFonts w:eastAsia="Calibri"/>
                <w:b w:val="0"/>
              </w:rPr>
            </w:pPr>
            <w:r w:rsidRPr="004A478D">
              <w:rPr>
                <w:rFonts w:eastAsia="Calibri"/>
                <w:b w:val="0"/>
              </w:rPr>
              <w:t>24 months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22EFC1" w14:textId="77777777" w:rsidR="00D73106" w:rsidRPr="004A478D" w:rsidRDefault="00D73106" w:rsidP="004A2A66">
            <w:pPr>
              <w:pStyle w:val="KMC16-TableHeading"/>
              <w:jc w:val="left"/>
              <w:rPr>
                <w:rFonts w:eastAsia="Calibri"/>
                <w:b w:val="0"/>
              </w:rPr>
            </w:pPr>
            <w:r w:rsidRPr="004A478D">
              <w:rPr>
                <w:rFonts w:eastAsia="Calibri"/>
                <w:b w:val="0"/>
              </w:rPr>
              <w:t>10 weeks</w:t>
            </w:r>
          </w:p>
        </w:tc>
      </w:tr>
    </w:tbl>
    <w:p w14:paraId="6FF3A38F" w14:textId="2C00A5B7" w:rsidR="00703F55" w:rsidRPr="00E75144" w:rsidRDefault="00703F55" w:rsidP="00703F55">
      <w:pPr>
        <w:pStyle w:val="KMC16-TFNotes"/>
        <w:rPr>
          <w:rFonts w:ascii="Arial Narrow" w:hAnsi="Arial Narrow"/>
          <w:u w:val="single"/>
        </w:rPr>
      </w:pPr>
      <w:r w:rsidRPr="00E75144">
        <w:rPr>
          <w:rFonts w:ascii="Arial Narrow" w:hAnsi="Arial Narrow"/>
          <w:b/>
          <w:bCs/>
          <w:u w:val="single"/>
        </w:rPr>
        <w:t>Abbreviations</w:t>
      </w:r>
    </w:p>
    <w:p w14:paraId="6914456A" w14:textId="29D73012" w:rsidR="00D73106" w:rsidRPr="00703F55" w:rsidRDefault="00703F55" w:rsidP="00703F55">
      <w:pPr>
        <w:pStyle w:val="KMC16-TFNotes"/>
        <w:rPr>
          <w:rFonts w:ascii="Arial Narrow" w:hAnsi="Arial Narrow"/>
        </w:rPr>
      </w:pPr>
      <w:r w:rsidRPr="00E75144">
        <w:rPr>
          <w:rFonts w:ascii="Arial Narrow" w:hAnsi="Arial Narrow"/>
          <w:b/>
          <w:bCs/>
        </w:rPr>
        <w:t>FSL</w:t>
      </w:r>
      <w:r>
        <w:rPr>
          <w:rFonts w:ascii="Arial Narrow" w:hAnsi="Arial Narrow"/>
        </w:rPr>
        <w:t xml:space="preserve"> =</w:t>
      </w:r>
      <w:r w:rsidRPr="00E75144">
        <w:rPr>
          <w:rFonts w:ascii="Arial Narrow" w:hAnsi="Arial Narrow"/>
        </w:rPr>
        <w:t xml:space="preserve"> FreeStyle Libre Continuous Glucose Monitoring; </w:t>
      </w:r>
      <w:r w:rsidRPr="00703F55">
        <w:rPr>
          <w:rFonts w:ascii="Arial Narrow" w:hAnsi="Arial Narrow"/>
          <w:b/>
          <w:bCs/>
        </w:rPr>
        <w:t>CSII</w:t>
      </w:r>
      <w:r>
        <w:rPr>
          <w:rFonts w:ascii="Arial Narrow" w:hAnsi="Arial Narrow"/>
        </w:rPr>
        <w:t xml:space="preserve"> = continuous subcutaneous insulin infusion, </w:t>
      </w:r>
      <w:r w:rsidR="0097087B">
        <w:rPr>
          <w:rFonts w:ascii="Arial Narrow" w:hAnsi="Arial Narrow"/>
          <w:b/>
          <w:bCs/>
        </w:rPr>
        <w:t xml:space="preserve">DTSQ </w:t>
      </w:r>
      <w:r w:rsidR="0097087B">
        <w:rPr>
          <w:rFonts w:ascii="Arial Narrow" w:hAnsi="Arial Narrow"/>
        </w:rPr>
        <w:t xml:space="preserve">= Diabetes Treatment Satisfaction Questionnaire, </w:t>
      </w:r>
      <w:r w:rsidRPr="00E75144">
        <w:rPr>
          <w:rFonts w:ascii="Arial Narrow" w:hAnsi="Arial Narrow"/>
          <w:b/>
          <w:bCs/>
        </w:rPr>
        <w:t>HbA1c</w:t>
      </w:r>
      <w:r>
        <w:rPr>
          <w:rFonts w:ascii="Arial Narrow" w:hAnsi="Arial Narrow"/>
        </w:rPr>
        <w:t xml:space="preserve"> =</w:t>
      </w:r>
      <w:r w:rsidRPr="00E75144">
        <w:rPr>
          <w:rFonts w:ascii="Arial Narrow" w:hAnsi="Arial Narrow"/>
        </w:rPr>
        <w:t xml:space="preserve"> glycated haemoglobin; </w:t>
      </w:r>
      <w:r w:rsidRPr="00703F55">
        <w:rPr>
          <w:rFonts w:ascii="Arial Narrow" w:hAnsi="Arial Narrow"/>
          <w:b/>
          <w:bCs/>
        </w:rPr>
        <w:t>MDI</w:t>
      </w:r>
      <w:r>
        <w:rPr>
          <w:rFonts w:ascii="Arial Narrow" w:hAnsi="Arial Narrow"/>
        </w:rPr>
        <w:t xml:space="preserve"> = multiple daily injections,</w:t>
      </w:r>
      <w:r w:rsidRPr="00321E85">
        <w:rPr>
          <w:rFonts w:ascii="Arial Narrow" w:hAnsi="Arial Narrow"/>
          <w:b/>
          <w:bCs/>
        </w:rPr>
        <w:t xml:space="preserve"> </w:t>
      </w:r>
      <w:r w:rsidR="00321E85" w:rsidRPr="00321E85">
        <w:rPr>
          <w:rFonts w:ascii="Arial Narrow" w:hAnsi="Arial Narrow"/>
          <w:b/>
          <w:bCs/>
        </w:rPr>
        <w:t>MI</w:t>
      </w:r>
      <w:r w:rsidR="00321E85">
        <w:rPr>
          <w:rFonts w:ascii="Arial Narrow" w:hAnsi="Arial Narrow"/>
        </w:rPr>
        <w:t xml:space="preserve"> = Myocardial Infarction, </w:t>
      </w:r>
      <w:r w:rsidRPr="00E75144">
        <w:rPr>
          <w:rFonts w:ascii="Arial Narrow" w:hAnsi="Arial Narrow"/>
          <w:b/>
          <w:bCs/>
        </w:rPr>
        <w:t>SMBG</w:t>
      </w:r>
      <w:r>
        <w:rPr>
          <w:rFonts w:ascii="Arial Narrow" w:hAnsi="Arial Narrow"/>
        </w:rPr>
        <w:t xml:space="preserve"> =</w:t>
      </w:r>
      <w:r w:rsidRPr="00E75144">
        <w:rPr>
          <w:rFonts w:ascii="Arial Narrow" w:hAnsi="Arial Narrow"/>
        </w:rPr>
        <w:t xml:space="preserve"> self-monitoring of blood glucose; </w:t>
      </w:r>
      <w:r w:rsidRPr="00E75144">
        <w:rPr>
          <w:rFonts w:ascii="Arial Narrow" w:hAnsi="Arial Narrow"/>
          <w:b/>
          <w:bCs/>
        </w:rPr>
        <w:t>T2D</w:t>
      </w:r>
      <w:r>
        <w:rPr>
          <w:rFonts w:ascii="Arial Narrow" w:hAnsi="Arial Narrow"/>
        </w:rPr>
        <w:t xml:space="preserve"> =</w:t>
      </w:r>
      <w:r w:rsidRPr="00E75144">
        <w:rPr>
          <w:rFonts w:ascii="Arial Narrow" w:hAnsi="Arial Narrow"/>
        </w:rPr>
        <w:t xml:space="preserve"> type 2 diabetes</w:t>
      </w:r>
      <w:r>
        <w:rPr>
          <w:rFonts w:ascii="Arial Narrow" w:hAnsi="Arial Narrow"/>
        </w:rPr>
        <w:t>;</w:t>
      </w:r>
      <w:r>
        <w:rPr>
          <w:rFonts w:ascii="Arial Narrow" w:hAnsi="Arial Narrow"/>
          <w:b/>
          <w:bCs/>
        </w:rPr>
        <w:t xml:space="preserve"> RCT</w:t>
      </w:r>
      <w:r w:rsidRPr="00703F55">
        <w:rPr>
          <w:rFonts w:ascii="Arial Narrow" w:hAnsi="Arial Narrow"/>
        </w:rPr>
        <w:t>= randomised controlled trial.</w:t>
      </w:r>
      <w:r>
        <w:rPr>
          <w:rFonts w:ascii="Arial Narrow" w:hAnsi="Arial Narrow"/>
        </w:rPr>
        <w:t xml:space="preserve"> </w:t>
      </w:r>
    </w:p>
    <w:p w14:paraId="315AFB4C" w14:textId="77777777" w:rsidR="00D73106" w:rsidRPr="00C71E92" w:rsidRDefault="00D73106" w:rsidP="005C5CBA">
      <w:pPr>
        <w:rPr>
          <w:b/>
          <w:bCs/>
        </w:rPr>
      </w:pPr>
      <w:bookmarkStart w:id="27" w:name="_Hlk68276176"/>
      <w:r w:rsidRPr="00C71E92">
        <w:rPr>
          <w:b/>
          <w:bCs/>
        </w:rPr>
        <w:t>Methodological considerations</w:t>
      </w:r>
    </w:p>
    <w:p w14:paraId="0A676FD3" w14:textId="3246D162" w:rsidR="00D73106" w:rsidRPr="005C5CBA" w:rsidRDefault="00D73106" w:rsidP="005C5CBA">
      <w:r w:rsidRPr="005C5CBA">
        <w:t xml:space="preserve">Details of the search process for all </w:t>
      </w:r>
      <w:r w:rsidR="00124FDA" w:rsidRPr="00A54EDF">
        <w:t>3</w:t>
      </w:r>
      <w:r w:rsidRPr="005C5CBA">
        <w:t xml:space="preserve"> PICOS </w:t>
      </w:r>
      <w:r w:rsidR="00C71E92">
        <w:t>were</w:t>
      </w:r>
      <w:r w:rsidR="00C71E92" w:rsidRPr="005C5CBA">
        <w:t xml:space="preserve"> </w:t>
      </w:r>
      <w:r w:rsidRPr="005C5CBA">
        <w:t xml:space="preserve">not clearly reported and do not reflect what would be regarded as </w:t>
      </w:r>
      <w:r w:rsidR="008C4F4F" w:rsidRPr="00A54EDF">
        <w:t xml:space="preserve">a </w:t>
      </w:r>
      <w:r w:rsidRPr="005C5CBA">
        <w:t xml:space="preserve">reasonable quality search. </w:t>
      </w:r>
      <w:r w:rsidR="005C5CBA">
        <w:t xml:space="preserve">During the commentary process, the assessment group noted several reasons for this, including </w:t>
      </w:r>
      <w:r w:rsidR="00F52A3B">
        <w:t xml:space="preserve">a limited selection of search resources, </w:t>
      </w:r>
      <w:r w:rsidRPr="005C5CBA">
        <w:t xml:space="preserve">inadequate reporting of search methods, search terms not including subject headings, use of inappropriate search terms for study design limitations, </w:t>
      </w:r>
      <w:r w:rsidR="005C5CBA">
        <w:t xml:space="preserve">and </w:t>
      </w:r>
      <w:r w:rsidR="00F52A3B">
        <w:t xml:space="preserve">no rationale for the </w:t>
      </w:r>
      <w:r w:rsidRPr="005C5CBA">
        <w:t xml:space="preserve">language restriction. </w:t>
      </w:r>
    </w:p>
    <w:p w14:paraId="3D39A3A1" w14:textId="0486433A" w:rsidR="00D73106" w:rsidRPr="005C5CBA" w:rsidRDefault="007606BC" w:rsidP="005C5CBA">
      <w:r>
        <w:t xml:space="preserve">The reporting of the systematic review methods was also inadequate. </w:t>
      </w:r>
      <w:r w:rsidR="00D73106" w:rsidRPr="005C5CBA">
        <w:t xml:space="preserve">A list of studies excluded at full text (along with reason for exclusion) </w:t>
      </w:r>
      <w:r>
        <w:t xml:space="preserve">was </w:t>
      </w:r>
      <w:r w:rsidR="00D73106" w:rsidRPr="005C5CBA">
        <w:t>not provided in Appendix C</w:t>
      </w:r>
      <w:r w:rsidR="00127597">
        <w:t xml:space="preserve"> of the ADAR</w:t>
      </w:r>
      <w:r w:rsidR="00D73106" w:rsidRPr="00A54EDF">
        <w:t>.</w:t>
      </w:r>
      <w:r w:rsidR="00D73106" w:rsidRPr="005C5CBA">
        <w:t xml:space="preserve"> </w:t>
      </w:r>
      <w:r>
        <w:t>Furthermore, i</w:t>
      </w:r>
      <w:r w:rsidR="00D73106" w:rsidRPr="005C5CBA">
        <w:t xml:space="preserve">t was unclear how data extraction was undertaken and by whom. Best practice for systematic reviews requires </w:t>
      </w:r>
      <w:r w:rsidR="007C1F87" w:rsidRPr="00A54EDF">
        <w:t xml:space="preserve">that </w:t>
      </w:r>
      <w:r w:rsidR="00D73106" w:rsidRPr="005C5CBA">
        <w:t xml:space="preserve">data extraction forms and procedures be established a priori, regardless of the reviewers’ expectations of what the final evidence base will include. </w:t>
      </w:r>
    </w:p>
    <w:p w14:paraId="2D09C6C4" w14:textId="3C60F4F4" w:rsidR="007606BC" w:rsidRDefault="007606BC" w:rsidP="005C5CBA">
      <w:r>
        <w:t xml:space="preserve">Although comparative evidence from </w:t>
      </w:r>
      <w:r w:rsidR="001C7B21" w:rsidRPr="00A54EDF">
        <w:t>3</w:t>
      </w:r>
      <w:r>
        <w:t xml:space="preserve"> trials and </w:t>
      </w:r>
      <w:r w:rsidR="001C7B21" w:rsidRPr="00A54EDF">
        <w:t>2</w:t>
      </w:r>
      <w:r>
        <w:t xml:space="preserve"> cohort studies was available for PICO Set 1, the applicant’s review included </w:t>
      </w:r>
      <w:proofErr w:type="gramStart"/>
      <w:r>
        <w:t>a</w:t>
      </w:r>
      <w:r w:rsidR="00D73106" w:rsidRPr="005C5CBA">
        <w:t xml:space="preserve"> large number of</w:t>
      </w:r>
      <w:proofErr w:type="gramEnd"/>
      <w:r w:rsidR="00D73106" w:rsidRPr="005C5CBA">
        <w:t xml:space="preserve"> single</w:t>
      </w:r>
      <w:r>
        <w:t>-</w:t>
      </w:r>
      <w:r w:rsidR="00D73106" w:rsidRPr="005C5CBA">
        <w:t>arm studies. Several of the single</w:t>
      </w:r>
      <w:r w:rsidR="001C7B21" w:rsidRPr="00A54EDF">
        <w:t>-</w:t>
      </w:r>
      <w:r w:rsidR="00D73106" w:rsidRPr="005C5CBA">
        <w:t xml:space="preserve">arm studies </w:t>
      </w:r>
      <w:r w:rsidR="00CA6FA3" w:rsidRPr="00A54EDF">
        <w:t>we</w:t>
      </w:r>
      <w:r w:rsidR="00D73106" w:rsidRPr="00A54EDF">
        <w:t>re</w:t>
      </w:r>
      <w:r w:rsidR="00D73106" w:rsidRPr="005C5CBA">
        <w:t xml:space="preserve"> published as abstracts or letters to the editor</w:t>
      </w:r>
      <w:r w:rsidR="001C7B21" w:rsidRPr="00A54EDF">
        <w:t>,</w:t>
      </w:r>
      <w:r w:rsidR="00D73106" w:rsidRPr="005C5CBA">
        <w:t xml:space="preserve"> with no details about their methods. These types of publications do not undergo the same scrutiny as published full</w:t>
      </w:r>
      <w:r>
        <w:t>-</w:t>
      </w:r>
      <w:r w:rsidR="00D73106" w:rsidRPr="005C5CBA">
        <w:t xml:space="preserve">text papers and are at a higher risk of bias. </w:t>
      </w:r>
      <w:r>
        <w:t xml:space="preserve">Given the availability of higher-quality comparative data, the assessment group considered the inclusion of single-arm evidence inappropriate for this ADAR. </w:t>
      </w:r>
    </w:p>
    <w:p w14:paraId="321F4AF9" w14:textId="7DF5CDBC" w:rsidR="00D73106" w:rsidRPr="00F52A3B" w:rsidRDefault="00D73106" w:rsidP="005C5CBA">
      <w:pPr>
        <w:rPr>
          <w:b/>
          <w:bCs/>
        </w:rPr>
      </w:pPr>
      <w:r w:rsidRPr="00F52A3B">
        <w:rPr>
          <w:b/>
          <w:bCs/>
        </w:rPr>
        <w:t>Risk of bias</w:t>
      </w:r>
      <w:r w:rsidR="006E68E8">
        <w:rPr>
          <w:b/>
          <w:bCs/>
        </w:rPr>
        <w:t xml:space="preserve"> – </w:t>
      </w:r>
      <w:r w:rsidR="000E346C" w:rsidRPr="000E346C">
        <w:rPr>
          <w:b/>
          <w:bCs/>
        </w:rPr>
        <w:t>randomised controlled trials</w:t>
      </w:r>
      <w:r w:rsidR="006E68E8">
        <w:rPr>
          <w:b/>
          <w:bCs/>
        </w:rPr>
        <w:t xml:space="preserve"> </w:t>
      </w:r>
    </w:p>
    <w:p w14:paraId="011E76C9" w14:textId="640488D8" w:rsidR="006E68E8" w:rsidRDefault="00D73106" w:rsidP="005C5CBA">
      <w:r w:rsidRPr="005C5CBA">
        <w:t xml:space="preserve">The risk of bias assessment for </w:t>
      </w:r>
      <w:r w:rsidR="000E346C" w:rsidRPr="000E346C">
        <w:t xml:space="preserve">randomised controlled trials </w:t>
      </w:r>
      <w:r w:rsidR="000E346C">
        <w:t>(</w:t>
      </w:r>
      <w:r w:rsidR="006E68E8">
        <w:t>RCTs</w:t>
      </w:r>
      <w:r w:rsidR="000E346C">
        <w:t>)</w:t>
      </w:r>
      <w:r w:rsidR="006E68E8">
        <w:t xml:space="preserve"> was incorrectly </w:t>
      </w:r>
      <w:r w:rsidRPr="005C5CBA">
        <w:t xml:space="preserve">carried out using the Risk of Bias </w:t>
      </w:r>
      <w:r w:rsidR="006E68E8">
        <w:t>i</w:t>
      </w:r>
      <w:r w:rsidRPr="005C5CBA">
        <w:t>n Non-randomised Studies of Interventions (ROBINS-I) tool</w:t>
      </w:r>
      <w:r w:rsidR="006E68E8">
        <w:t>,</w:t>
      </w:r>
      <w:r w:rsidRPr="005C5CBA">
        <w:t xml:space="preserve"> which is designed for the assessment of non-randomised studies. </w:t>
      </w:r>
      <w:r w:rsidR="006E68E8">
        <w:t xml:space="preserve">During the commentary process, the </w:t>
      </w:r>
      <w:bookmarkStart w:id="28" w:name="_Hlk193310922"/>
      <w:r w:rsidRPr="005C5CBA">
        <w:t xml:space="preserve">assessment group </w:t>
      </w:r>
      <w:bookmarkEnd w:id="28"/>
      <w:r w:rsidR="006E68E8">
        <w:t xml:space="preserve">re-conducted the </w:t>
      </w:r>
      <w:r w:rsidRPr="005C5CBA">
        <w:t>risk</w:t>
      </w:r>
      <w:r w:rsidR="000E346C">
        <w:t>-</w:t>
      </w:r>
      <w:r w:rsidRPr="005C5CBA">
        <w:t>of</w:t>
      </w:r>
      <w:r w:rsidR="000E346C">
        <w:t>-</w:t>
      </w:r>
      <w:r w:rsidRPr="005C5CBA">
        <w:t>bias assessment</w:t>
      </w:r>
      <w:r w:rsidR="006E68E8">
        <w:t xml:space="preserve">s for the RCTs </w:t>
      </w:r>
      <w:r w:rsidRPr="005C5CBA">
        <w:t xml:space="preserve">using the </w:t>
      </w:r>
      <w:r w:rsidR="006E68E8">
        <w:t xml:space="preserve">correct </w:t>
      </w:r>
      <w:r w:rsidRPr="005C5CBA">
        <w:t>Cochrane ROB2 tool</w:t>
      </w:r>
      <w:r w:rsidR="006E68E8">
        <w:t>. For PICO Set 1, the assessment group identified</w:t>
      </w:r>
      <w:r w:rsidRPr="005C5CBA">
        <w:t xml:space="preserve"> </w:t>
      </w:r>
      <w:r w:rsidR="005457C6" w:rsidRPr="00A54EDF">
        <w:t>2</w:t>
      </w:r>
      <w:r w:rsidR="006E68E8">
        <w:t xml:space="preserve"> trials as having a </w:t>
      </w:r>
      <w:r w:rsidRPr="005C5CBA">
        <w:t xml:space="preserve">low risk of bias and </w:t>
      </w:r>
      <w:r w:rsidR="005457C6" w:rsidRPr="00A54EDF">
        <w:t>1</w:t>
      </w:r>
      <w:r w:rsidRPr="005C5CBA">
        <w:t xml:space="preserve"> trial </w:t>
      </w:r>
      <w:r w:rsidR="006E68E8">
        <w:t xml:space="preserve">as having a </w:t>
      </w:r>
      <w:r w:rsidRPr="005C5CBA">
        <w:t>moderate risk of bias</w:t>
      </w:r>
      <w:r w:rsidR="00396D85">
        <w:t xml:space="preserve"> (the </w:t>
      </w:r>
      <w:r w:rsidR="00954612">
        <w:t xml:space="preserve">ADAR </w:t>
      </w:r>
      <w:r w:rsidR="00396D85">
        <w:t xml:space="preserve">assessed all </w:t>
      </w:r>
      <w:r w:rsidR="005457C6" w:rsidRPr="00A54EDF">
        <w:t>3</w:t>
      </w:r>
      <w:r w:rsidR="00396D85">
        <w:t xml:space="preserve"> as having </w:t>
      </w:r>
      <w:r w:rsidR="00872F1F" w:rsidRPr="00A54EDF">
        <w:t xml:space="preserve">a </w:t>
      </w:r>
      <w:r w:rsidR="00396D85">
        <w:t>low risk of bias)</w:t>
      </w:r>
      <w:r w:rsidRPr="005C5CBA">
        <w:t xml:space="preserve">. </w:t>
      </w:r>
      <w:r w:rsidR="006E68E8">
        <w:t xml:space="preserve">For PICO Set 2, the assessment group identified </w:t>
      </w:r>
      <w:r w:rsidR="00872F1F" w:rsidRPr="00A54EDF">
        <w:t>1</w:t>
      </w:r>
      <w:r w:rsidR="006E68E8">
        <w:t xml:space="preserve"> trial as having a moderate risk of bias and </w:t>
      </w:r>
      <w:r w:rsidR="00872F1F" w:rsidRPr="00A54EDF">
        <w:t>1</w:t>
      </w:r>
      <w:r w:rsidR="006E68E8">
        <w:t xml:space="preserve"> trial as having serious risk of bias (the </w:t>
      </w:r>
      <w:r w:rsidR="00954612">
        <w:t xml:space="preserve">ADAR </w:t>
      </w:r>
      <w:r w:rsidR="006E68E8">
        <w:t xml:space="preserve">assessed </w:t>
      </w:r>
      <w:r w:rsidR="000E346C">
        <w:t>both</w:t>
      </w:r>
      <w:r w:rsidR="006E68E8">
        <w:t xml:space="preserve"> as having a low risk of bias). </w:t>
      </w:r>
    </w:p>
    <w:p w14:paraId="48A15FD0" w14:textId="7103B829" w:rsidR="006E68E8" w:rsidRPr="00F52A3B" w:rsidRDefault="006E68E8" w:rsidP="005C5CBA">
      <w:pPr>
        <w:rPr>
          <w:b/>
          <w:bCs/>
        </w:rPr>
      </w:pPr>
      <w:r>
        <w:rPr>
          <w:b/>
          <w:bCs/>
        </w:rPr>
        <w:t xml:space="preserve">Risk of bias – </w:t>
      </w:r>
      <w:r w:rsidR="00872F1F" w:rsidRPr="00A54EDF">
        <w:rPr>
          <w:b/>
          <w:bCs/>
        </w:rPr>
        <w:t>c</w:t>
      </w:r>
      <w:r w:rsidRPr="00A54EDF">
        <w:rPr>
          <w:b/>
          <w:bCs/>
        </w:rPr>
        <w:t>ohort</w:t>
      </w:r>
      <w:r>
        <w:rPr>
          <w:b/>
          <w:bCs/>
        </w:rPr>
        <w:t xml:space="preserve"> studies</w:t>
      </w:r>
    </w:p>
    <w:p w14:paraId="0ED033C3" w14:textId="2E882A07" w:rsidR="00123038" w:rsidRDefault="00123038" w:rsidP="00123038">
      <w:r>
        <w:t xml:space="preserve">To conduct </w:t>
      </w:r>
      <w:r w:rsidR="006E68E8">
        <w:t>risk</w:t>
      </w:r>
      <w:r w:rsidR="000E346C">
        <w:t>-</w:t>
      </w:r>
      <w:r w:rsidR="006E68E8">
        <w:t>of</w:t>
      </w:r>
      <w:r w:rsidR="000E346C">
        <w:t>-</w:t>
      </w:r>
      <w:r w:rsidR="006E68E8">
        <w:t>bias assessments for</w:t>
      </w:r>
      <w:r w:rsidR="006E68E8" w:rsidRPr="00A54EDF">
        <w:t xml:space="preserve"> </w:t>
      </w:r>
      <w:r w:rsidR="00872F1F" w:rsidRPr="00A54EDF">
        <w:t>the</w:t>
      </w:r>
      <w:r w:rsidR="006E68E8">
        <w:t xml:space="preserve"> cohort studies, </w:t>
      </w:r>
      <w:r>
        <w:t xml:space="preserve">the </w:t>
      </w:r>
      <w:r w:rsidR="00954612">
        <w:t xml:space="preserve">ADAR </w:t>
      </w:r>
      <w:r>
        <w:t xml:space="preserve">correctly used the ROBINS-I tool. However, the </w:t>
      </w:r>
      <w:r w:rsidR="006E68E8">
        <w:t xml:space="preserve">individual </w:t>
      </w:r>
      <w:r>
        <w:t xml:space="preserve">and overall </w:t>
      </w:r>
      <w:r w:rsidR="006E68E8">
        <w:t xml:space="preserve">judgements </w:t>
      </w:r>
      <w:r>
        <w:t xml:space="preserve">on the ROBINS-I tool were applied incorrectly. For PICO Set 1, one cohort study </w:t>
      </w:r>
      <w:r w:rsidR="00D73106" w:rsidRPr="005C5CBA">
        <w:t xml:space="preserve">(Bosi 2022) </w:t>
      </w:r>
      <w:r>
        <w:t xml:space="preserve">was </w:t>
      </w:r>
      <w:r w:rsidR="00D73106" w:rsidRPr="005C5CBA">
        <w:t xml:space="preserve">described by the </w:t>
      </w:r>
      <w:r w:rsidR="00954612">
        <w:t>ADAR</w:t>
      </w:r>
      <w:r w:rsidR="00954612" w:rsidRPr="005C5CBA">
        <w:t xml:space="preserve"> </w:t>
      </w:r>
      <w:r w:rsidR="00D73106" w:rsidRPr="005C5CBA">
        <w:t xml:space="preserve">as prospective, while the other (Nathanson 2025) </w:t>
      </w:r>
      <w:r>
        <w:t xml:space="preserve">was </w:t>
      </w:r>
      <w:r w:rsidR="00D73106" w:rsidRPr="005C5CBA">
        <w:t>described as retrospective. Both studies used existing registry or hospital data</w:t>
      </w:r>
      <w:r>
        <w:t xml:space="preserve"> and, therefore, should have been reported as </w:t>
      </w:r>
      <w:r w:rsidR="00D73106" w:rsidRPr="005C5CBA">
        <w:t xml:space="preserve">retrospective. </w:t>
      </w:r>
      <w:r>
        <w:t>During the commentary process, the assessment group re-conducted the ROBINS-I risk of bias assessment, with one cohort study identified as having a low risk of bias and the other as having a moderate risk of bias</w:t>
      </w:r>
      <w:r w:rsidR="00396D85">
        <w:t xml:space="preserve"> (the </w:t>
      </w:r>
      <w:r w:rsidR="00954612">
        <w:t xml:space="preserve">ADAR </w:t>
      </w:r>
      <w:r w:rsidR="00396D85">
        <w:t xml:space="preserve">had assessed </w:t>
      </w:r>
      <w:proofErr w:type="gramStart"/>
      <w:r w:rsidR="00396D85">
        <w:t>both of these</w:t>
      </w:r>
      <w:proofErr w:type="gramEnd"/>
      <w:r w:rsidR="00396D85">
        <w:t xml:space="preserve"> as having a low risk of bias)</w:t>
      </w:r>
      <w:r>
        <w:t>. The assessment group did not re-assess cohort studies for PICO Set 2.</w:t>
      </w:r>
    </w:p>
    <w:p w14:paraId="484E7F23" w14:textId="06DE3CA1" w:rsidR="006E68E8" w:rsidRPr="00C77835" w:rsidRDefault="006E68E8" w:rsidP="006E68E8">
      <w:pPr>
        <w:rPr>
          <w:b/>
          <w:bCs/>
        </w:rPr>
      </w:pPr>
      <w:r>
        <w:rPr>
          <w:b/>
          <w:bCs/>
        </w:rPr>
        <w:t xml:space="preserve">Risk of bias – </w:t>
      </w:r>
      <w:r w:rsidR="00872F1F" w:rsidRPr="00A54EDF">
        <w:rPr>
          <w:b/>
          <w:bCs/>
        </w:rPr>
        <w:t>c</w:t>
      </w:r>
      <w:r w:rsidRPr="00A54EDF">
        <w:rPr>
          <w:b/>
          <w:bCs/>
        </w:rPr>
        <w:t>ase</w:t>
      </w:r>
      <w:r>
        <w:rPr>
          <w:b/>
          <w:bCs/>
        </w:rPr>
        <w:t>-series studies</w:t>
      </w:r>
    </w:p>
    <w:p w14:paraId="566ED680" w14:textId="7C347B4E" w:rsidR="00D73106" w:rsidRDefault="00123038" w:rsidP="00123038">
      <w:r>
        <w:t>To conduct risk</w:t>
      </w:r>
      <w:r w:rsidR="000E346C">
        <w:t>-</w:t>
      </w:r>
      <w:r>
        <w:t>of</w:t>
      </w:r>
      <w:r w:rsidR="000E346C">
        <w:t>-</w:t>
      </w:r>
      <w:r>
        <w:t xml:space="preserve">bias assessments for </w:t>
      </w:r>
      <w:r w:rsidR="00872F1F" w:rsidRPr="00A54EDF">
        <w:t xml:space="preserve">the </w:t>
      </w:r>
      <w:r>
        <w:t xml:space="preserve">case-series studies, the </w:t>
      </w:r>
      <w:r w:rsidR="00954612">
        <w:t xml:space="preserve">ADAR </w:t>
      </w:r>
      <w:r>
        <w:t xml:space="preserve">correctly used the ROBINS-I tool. However, the individual and overall judgements on the ROBINS-I tool were applied incorrectly. During the commentary process, the assessment group re-conducted the ROBINS-I risk of bias assessment for </w:t>
      </w:r>
      <w:r w:rsidR="00872F1F" w:rsidRPr="00A54EDF">
        <w:t>3</w:t>
      </w:r>
      <w:r>
        <w:t xml:space="preserve"> randomly selected case-series studies</w:t>
      </w:r>
      <w:r w:rsidR="004B57FB">
        <w:t xml:space="preserve"> for PICO Set 1</w:t>
      </w:r>
      <w:r>
        <w:t xml:space="preserve">. </w:t>
      </w:r>
      <w:r w:rsidR="00D73106" w:rsidRPr="005C5CBA">
        <w:t xml:space="preserve">None of the </w:t>
      </w:r>
      <w:r>
        <w:t>risk</w:t>
      </w:r>
      <w:r w:rsidR="000E346C">
        <w:t>-</w:t>
      </w:r>
      <w:r>
        <w:t>of</w:t>
      </w:r>
      <w:r w:rsidR="000E346C">
        <w:t>-</w:t>
      </w:r>
      <w:r>
        <w:t>bias assessments conducted by the assessment group matched the conclusions made in the ADAR</w:t>
      </w:r>
      <w:r w:rsidR="00D73106" w:rsidRPr="005C5CBA">
        <w:t>. In all cases</w:t>
      </w:r>
      <w:r>
        <w:t>,</w:t>
      </w:r>
      <w:r w:rsidR="00D73106" w:rsidRPr="005C5CBA">
        <w:t xml:space="preserve"> the </w:t>
      </w:r>
      <w:r w:rsidR="00954612">
        <w:t>ADAR</w:t>
      </w:r>
      <w:r w:rsidR="00954612" w:rsidRPr="005C5CBA">
        <w:t xml:space="preserve"> </w:t>
      </w:r>
      <w:r w:rsidR="00D73106" w:rsidRPr="005C5CBA">
        <w:t>under-estimated the risk of bias</w:t>
      </w:r>
      <w:r>
        <w:t>.</w:t>
      </w:r>
      <w:r w:rsidR="00D73106" w:rsidRPr="005C5CBA">
        <w:t xml:space="preserve"> </w:t>
      </w:r>
      <w:r>
        <w:t>I</w:t>
      </w:r>
      <w:r w:rsidR="00D73106" w:rsidRPr="005C5CBA">
        <w:t xml:space="preserve">n </w:t>
      </w:r>
      <w:r w:rsidR="00BD5A73" w:rsidRPr="00A54EDF">
        <w:t>2</w:t>
      </w:r>
      <w:r w:rsidR="00D73106" w:rsidRPr="005C5CBA">
        <w:t xml:space="preserve"> cases</w:t>
      </w:r>
      <w:r>
        <w:t>,</w:t>
      </w:r>
      <w:r w:rsidR="00D73106" w:rsidRPr="005C5CBA">
        <w:t xml:space="preserve"> it was unclear</w:t>
      </w:r>
      <w:r w:rsidR="00345D64">
        <w:t xml:space="preserve"> if</w:t>
      </w:r>
      <w:r w:rsidR="00D73106" w:rsidRPr="005C5CBA">
        <w:t xml:space="preserve"> any decisions were reached because the studies were reported as abstracts only</w:t>
      </w:r>
      <w:r w:rsidR="00BD5A73" w:rsidRPr="00A54EDF">
        <w:t>,</w:t>
      </w:r>
      <w:r w:rsidR="00D73106" w:rsidRPr="005C5CBA">
        <w:t xml:space="preserve"> with no information about the study methods. The assessment group did not continue to re-assess cohort studies for PICO </w:t>
      </w:r>
      <w:r>
        <w:t>Set</w:t>
      </w:r>
      <w:r w:rsidRPr="005C5CBA">
        <w:t xml:space="preserve"> </w:t>
      </w:r>
      <w:r w:rsidR="00D73106" w:rsidRPr="005C5CBA">
        <w:t xml:space="preserve">2 or PICO </w:t>
      </w:r>
      <w:r>
        <w:t xml:space="preserve">Set </w:t>
      </w:r>
      <w:r w:rsidR="00D73106" w:rsidRPr="005C5CBA">
        <w:t>3.</w:t>
      </w:r>
    </w:p>
    <w:p w14:paraId="5E73B1B4" w14:textId="2CB5DEE8" w:rsidR="003F0DF2" w:rsidRPr="004B57FB" w:rsidRDefault="003F0DF2" w:rsidP="00123038">
      <w:pPr>
        <w:rPr>
          <w:b/>
          <w:bCs/>
        </w:rPr>
      </w:pPr>
      <w:r>
        <w:rPr>
          <w:b/>
          <w:bCs/>
        </w:rPr>
        <w:t>GRADE</w:t>
      </w:r>
    </w:p>
    <w:p w14:paraId="7527D53F" w14:textId="3B88A05A" w:rsidR="00D73106" w:rsidRPr="005C5CBA" w:rsidRDefault="000E346C" w:rsidP="005C5CBA">
      <w:r w:rsidRPr="000E346C">
        <w:t xml:space="preserve">Grading of Recommendations Assessment, Development and Evaluations </w:t>
      </w:r>
      <w:r>
        <w:t>(</w:t>
      </w:r>
      <w:r w:rsidR="00D73106" w:rsidRPr="005C5CBA">
        <w:t>GRADE</w:t>
      </w:r>
      <w:r>
        <w:t>)</w:t>
      </w:r>
      <w:r w:rsidR="00D73106" w:rsidRPr="005C5CBA">
        <w:t xml:space="preserve"> is a tool</w:t>
      </w:r>
      <w:r w:rsidR="00123038">
        <w:t xml:space="preserve"> used</w:t>
      </w:r>
      <w:r w:rsidR="00D73106" w:rsidRPr="005C5CBA">
        <w:t xml:space="preserve"> to summarise different aspects of bias and show the overall effect of a body of evidence. The GRADE assessments were incorrectly applied</w:t>
      </w:r>
      <w:r w:rsidR="003F0DF2">
        <w:t xml:space="preserve">, causing an overestimation of </w:t>
      </w:r>
      <w:r w:rsidR="00D73106" w:rsidRPr="005C5CBA">
        <w:t>evidence</w:t>
      </w:r>
      <w:r w:rsidR="003F0DF2">
        <w:t xml:space="preserve"> quality</w:t>
      </w:r>
      <w:r w:rsidR="00D73106" w:rsidRPr="005C5CBA">
        <w:t xml:space="preserve">, </w:t>
      </w:r>
      <w:r w:rsidR="003F0DF2">
        <w:t xml:space="preserve">overestimation of </w:t>
      </w:r>
      <w:r w:rsidR="00D73106" w:rsidRPr="005C5CBA">
        <w:t xml:space="preserve">the </w:t>
      </w:r>
      <w:r w:rsidR="003F0DF2">
        <w:t xml:space="preserve">treatment-effect </w:t>
      </w:r>
      <w:r w:rsidR="00D73106" w:rsidRPr="005C5CBA">
        <w:t>magnitude</w:t>
      </w:r>
      <w:r w:rsidR="003F0DF2">
        <w:t>,</w:t>
      </w:r>
      <w:r w:rsidR="00D73106" w:rsidRPr="005C5CBA">
        <w:t xml:space="preserve"> and underestimat</w:t>
      </w:r>
      <w:r w:rsidR="003F0DF2">
        <w:t>ion of</w:t>
      </w:r>
      <w:r w:rsidR="00D73106" w:rsidRPr="005C5CBA">
        <w:t xml:space="preserve"> the uncertainty.</w:t>
      </w:r>
      <w:r w:rsidR="004B57FB">
        <w:t xml:space="preserve"> Specifically, t</w:t>
      </w:r>
      <w:r w:rsidR="004B57FB" w:rsidRPr="004B57FB">
        <w:t xml:space="preserve">he </w:t>
      </w:r>
      <w:r w:rsidR="00954612">
        <w:t>ADAR</w:t>
      </w:r>
      <w:r w:rsidR="00954612" w:rsidRPr="004B57FB">
        <w:t xml:space="preserve"> </w:t>
      </w:r>
      <w:r w:rsidR="004B57FB" w:rsidRPr="004B57FB">
        <w:t>applied the inconsistency, indirectness and publication bias incorrectly, and imprecision was not addressed.</w:t>
      </w:r>
    </w:p>
    <w:p w14:paraId="68D90091" w14:textId="38EB846B" w:rsidR="005C5CBA" w:rsidRPr="00CE28E3" w:rsidRDefault="005C5CBA" w:rsidP="003027B3">
      <w:pPr>
        <w:pStyle w:val="Heading2"/>
        <w:numPr>
          <w:ilvl w:val="0"/>
          <w:numId w:val="27"/>
        </w:numPr>
        <w:ind w:hanging="720"/>
      </w:pPr>
      <w:bookmarkStart w:id="29" w:name="_Toc69491423"/>
      <w:bookmarkEnd w:id="27"/>
      <w:r>
        <w:t>Comparative safety</w:t>
      </w:r>
    </w:p>
    <w:bookmarkEnd w:id="29"/>
    <w:p w14:paraId="1622D281" w14:textId="31644E95" w:rsidR="00D73106" w:rsidRPr="004B57FB" w:rsidRDefault="00D73106" w:rsidP="00791334">
      <w:pPr>
        <w:keepNext/>
        <w:keepLines/>
        <w:rPr>
          <w:b/>
          <w:bCs/>
        </w:rPr>
      </w:pPr>
      <w:r w:rsidRPr="004B57FB">
        <w:rPr>
          <w:b/>
          <w:bCs/>
        </w:rPr>
        <w:t xml:space="preserve">PICO </w:t>
      </w:r>
      <w:r w:rsidR="008C18B6">
        <w:rPr>
          <w:b/>
          <w:bCs/>
        </w:rPr>
        <w:t>Set</w:t>
      </w:r>
      <w:r w:rsidRPr="004B57FB">
        <w:rPr>
          <w:b/>
          <w:bCs/>
        </w:rPr>
        <w:t xml:space="preserve"> 1</w:t>
      </w:r>
    </w:p>
    <w:p w14:paraId="50F24B85" w14:textId="65562C97" w:rsidR="00D73106" w:rsidRDefault="00D73106" w:rsidP="00791334">
      <w:pPr>
        <w:keepNext/>
        <w:keepLines/>
      </w:pPr>
      <w:r w:rsidRPr="005C5CBA">
        <w:t>Five studies reported adverse events</w:t>
      </w:r>
      <w:r w:rsidR="004C4BC9">
        <w:t xml:space="preserve"> (AEs)</w:t>
      </w:r>
      <w:r w:rsidR="00317CB9" w:rsidRPr="00A54EDF">
        <w:t>. T</w:t>
      </w:r>
      <w:r w:rsidRPr="00A54EDF">
        <w:t xml:space="preserve">he </w:t>
      </w:r>
      <w:r w:rsidRPr="005C5CBA">
        <w:t xml:space="preserve">consistency of reporting was very low. From the evidence presented, some </w:t>
      </w:r>
      <w:r w:rsidR="004C4BC9">
        <w:t>AEs</w:t>
      </w:r>
      <w:r w:rsidRPr="005C5CBA">
        <w:t xml:space="preserve"> </w:t>
      </w:r>
      <w:r w:rsidR="009E2647" w:rsidRPr="00A54EDF">
        <w:t>are</w:t>
      </w:r>
      <w:r w:rsidRPr="00A54EDF">
        <w:t xml:space="preserve"> </w:t>
      </w:r>
      <w:r w:rsidRPr="005C5CBA">
        <w:t>associated with FLS</w:t>
      </w:r>
      <w:r w:rsidR="009E2647" w:rsidRPr="00A54EDF">
        <w:t>,</w:t>
      </w:r>
      <w:r w:rsidRPr="005C5CBA">
        <w:t xml:space="preserve"> including sensor insertion/site reactions </w:t>
      </w:r>
      <w:r w:rsidR="00672FD9">
        <w:t xml:space="preserve">such as insertion site </w:t>
      </w:r>
      <w:r w:rsidRPr="005C5CBA">
        <w:t xml:space="preserve">bruising, oedema and pain. It is unclear whether this is significantly different from the </w:t>
      </w:r>
      <w:r w:rsidR="004C4BC9">
        <w:t>AEs</w:t>
      </w:r>
      <w:r w:rsidRPr="005C5CBA">
        <w:t xml:space="preserve"> associated with SMBG because only one trial compared AEs and event rates were low (4% FSL vs 0% SMBG).</w:t>
      </w:r>
    </w:p>
    <w:p w14:paraId="23488484" w14:textId="49D0BF9F" w:rsidR="003F0DF2" w:rsidRPr="005C5CBA" w:rsidRDefault="003F0DF2" w:rsidP="005C5CBA">
      <w:r w:rsidRPr="005C5CBA">
        <w:t xml:space="preserve">In PICO </w:t>
      </w:r>
      <w:r>
        <w:t>Set</w:t>
      </w:r>
      <w:r w:rsidRPr="005C5CBA">
        <w:t xml:space="preserve"> 1, the claim for non-inferior safety is </w:t>
      </w:r>
      <w:r w:rsidR="00400633" w:rsidRPr="00A54EDF">
        <w:t>un</w:t>
      </w:r>
      <w:r w:rsidRPr="00A54EDF">
        <w:t>clear</w:t>
      </w:r>
      <w:r w:rsidRPr="005C5CBA">
        <w:t xml:space="preserve"> due to a lack of data. There are very few studies reporting </w:t>
      </w:r>
      <w:r>
        <w:t xml:space="preserve">AE </w:t>
      </w:r>
      <w:r w:rsidRPr="005C5CBA">
        <w:t>data and</w:t>
      </w:r>
      <w:r>
        <w:t>,</w:t>
      </w:r>
      <w:r w:rsidRPr="005C5CBA">
        <w:t xml:space="preserve"> for those that do, the </w:t>
      </w:r>
      <w:r w:rsidRPr="00A54EDF">
        <w:t>number</w:t>
      </w:r>
      <w:r w:rsidRPr="005C5CBA">
        <w:t xml:space="preserve"> of patients </w:t>
      </w:r>
      <w:r>
        <w:t xml:space="preserve">experiencing these events </w:t>
      </w:r>
      <w:r w:rsidR="00C76A21" w:rsidRPr="00A54EDF">
        <w:t>is</w:t>
      </w:r>
      <w:r w:rsidRPr="005C5CBA">
        <w:t xml:space="preserve"> very small.</w:t>
      </w:r>
    </w:p>
    <w:p w14:paraId="7A48110B" w14:textId="2E43B194" w:rsidR="00D73106" w:rsidRPr="004B57FB" w:rsidRDefault="00D73106" w:rsidP="005C5CBA">
      <w:pPr>
        <w:rPr>
          <w:b/>
          <w:bCs/>
        </w:rPr>
      </w:pPr>
      <w:r w:rsidRPr="004B57FB">
        <w:rPr>
          <w:b/>
          <w:bCs/>
        </w:rPr>
        <w:t xml:space="preserve">PICO </w:t>
      </w:r>
      <w:r w:rsidR="003F0DF2">
        <w:rPr>
          <w:b/>
          <w:bCs/>
        </w:rPr>
        <w:t xml:space="preserve">Set </w:t>
      </w:r>
      <w:r w:rsidRPr="004B57FB">
        <w:rPr>
          <w:b/>
          <w:bCs/>
        </w:rPr>
        <w:t>2</w:t>
      </w:r>
    </w:p>
    <w:p w14:paraId="7325F86E" w14:textId="122B03CB" w:rsidR="003F0DF2" w:rsidRPr="005C5CBA" w:rsidRDefault="00D73106" w:rsidP="005C5CBA">
      <w:r w:rsidRPr="005C5CBA">
        <w:t xml:space="preserve">One case series study reported </w:t>
      </w:r>
      <w:r w:rsidR="003F0DF2">
        <w:t>AE</w:t>
      </w:r>
      <w:r w:rsidRPr="005C5CBA">
        <w:t xml:space="preserve"> data. There were no severe or unanticipated AEs. Local, mild AEs were reported in 8 FSL patients (</w:t>
      </w:r>
      <w:r w:rsidR="00772584" w:rsidRPr="00A54EDF">
        <w:t xml:space="preserve">33%) </w:t>
      </w:r>
      <w:r w:rsidRPr="00A54EDF">
        <w:t>(</w:t>
      </w:r>
      <w:r w:rsidRPr="005C5CBA">
        <w:t>n=7 pruritus, n=2 erythema, n=1 pain), none of which resulted in withdrawal.</w:t>
      </w:r>
      <w:r w:rsidR="003F0DF2">
        <w:t xml:space="preserve"> As only o</w:t>
      </w:r>
      <w:r w:rsidR="003F0DF2" w:rsidRPr="005C5CBA">
        <w:t>ne case</w:t>
      </w:r>
      <w:r w:rsidR="003F0DF2">
        <w:t>-</w:t>
      </w:r>
      <w:r w:rsidR="003F0DF2" w:rsidRPr="005C5CBA">
        <w:t>series study reported safety data for the GDM population</w:t>
      </w:r>
      <w:r w:rsidR="003F0DF2">
        <w:t>, the claim of non-inferior safety is not met for PICO Set 2.</w:t>
      </w:r>
    </w:p>
    <w:p w14:paraId="00D14D00" w14:textId="2EF1A4CE" w:rsidR="00D73106" w:rsidRPr="004B57FB" w:rsidRDefault="00D73106" w:rsidP="005C5CBA">
      <w:pPr>
        <w:rPr>
          <w:b/>
          <w:bCs/>
        </w:rPr>
      </w:pPr>
      <w:r w:rsidRPr="004B57FB">
        <w:rPr>
          <w:b/>
          <w:bCs/>
        </w:rPr>
        <w:t xml:space="preserve">PICO </w:t>
      </w:r>
      <w:r w:rsidR="003F0DF2">
        <w:rPr>
          <w:b/>
          <w:bCs/>
        </w:rPr>
        <w:t>Set</w:t>
      </w:r>
      <w:r w:rsidR="003F0DF2" w:rsidRPr="004B57FB">
        <w:rPr>
          <w:b/>
          <w:bCs/>
        </w:rPr>
        <w:t xml:space="preserve"> </w:t>
      </w:r>
      <w:r w:rsidRPr="004B57FB">
        <w:rPr>
          <w:b/>
          <w:bCs/>
        </w:rPr>
        <w:t>3</w:t>
      </w:r>
    </w:p>
    <w:p w14:paraId="7883B9E3" w14:textId="090029E6" w:rsidR="00D73106" w:rsidRPr="005C5CBA" w:rsidRDefault="003F0DF2" w:rsidP="005C5CBA">
      <w:r>
        <w:t>N</w:t>
      </w:r>
      <w:r w:rsidR="00D73106" w:rsidRPr="005C5CBA">
        <w:t xml:space="preserve">o safety outcomes </w:t>
      </w:r>
      <w:r>
        <w:t xml:space="preserve">were </w:t>
      </w:r>
      <w:r w:rsidR="00D73106" w:rsidRPr="005C5CBA">
        <w:t>reported.</w:t>
      </w:r>
      <w:r>
        <w:t xml:space="preserve"> Therefore, t</w:t>
      </w:r>
      <w:r w:rsidRPr="005C5CBA">
        <w:t xml:space="preserve">he claim for non-inferior safety </w:t>
      </w:r>
      <w:r>
        <w:t xml:space="preserve">in this PICO </w:t>
      </w:r>
      <w:r w:rsidRPr="005C5CBA">
        <w:t xml:space="preserve">is not met. </w:t>
      </w:r>
    </w:p>
    <w:p w14:paraId="2E0104AA" w14:textId="0F573745" w:rsidR="005C5CBA" w:rsidRPr="00CE28E3" w:rsidRDefault="005C5CBA" w:rsidP="003027B3">
      <w:pPr>
        <w:pStyle w:val="Heading2"/>
        <w:numPr>
          <w:ilvl w:val="0"/>
          <w:numId w:val="27"/>
        </w:numPr>
        <w:ind w:hanging="720"/>
      </w:pPr>
      <w:bookmarkStart w:id="30" w:name="_Toc69491424"/>
      <w:r>
        <w:t>Comparative effectiveness</w:t>
      </w:r>
    </w:p>
    <w:bookmarkEnd w:id="30"/>
    <w:p w14:paraId="7E783C83" w14:textId="1DC8A094" w:rsidR="00D73106" w:rsidRPr="006A78F4" w:rsidRDefault="00D73106" w:rsidP="005C5CBA">
      <w:pPr>
        <w:rPr>
          <w:b/>
          <w:bCs/>
        </w:rPr>
      </w:pPr>
      <w:r w:rsidRPr="006A78F4">
        <w:rPr>
          <w:b/>
          <w:bCs/>
        </w:rPr>
        <w:t xml:space="preserve">PICO </w:t>
      </w:r>
      <w:r w:rsidR="005C5CBA">
        <w:rPr>
          <w:b/>
          <w:bCs/>
        </w:rPr>
        <w:t>Set</w:t>
      </w:r>
      <w:r w:rsidR="005C5CBA" w:rsidRPr="006A78F4">
        <w:rPr>
          <w:b/>
          <w:bCs/>
        </w:rPr>
        <w:t xml:space="preserve"> </w:t>
      </w:r>
      <w:r w:rsidRPr="006A78F4">
        <w:rPr>
          <w:b/>
          <w:bCs/>
        </w:rPr>
        <w:t>1</w:t>
      </w:r>
    </w:p>
    <w:p w14:paraId="65B675CF" w14:textId="0E253AA7" w:rsidR="00D73106" w:rsidRPr="006A78F4" w:rsidRDefault="00D73106" w:rsidP="005C5CBA">
      <w:pPr>
        <w:rPr>
          <w:u w:val="single"/>
        </w:rPr>
      </w:pPr>
      <w:r w:rsidRPr="006A78F4">
        <w:rPr>
          <w:u w:val="single"/>
        </w:rPr>
        <w:t>Change in HbA1c from baseline</w:t>
      </w:r>
    </w:p>
    <w:p w14:paraId="617122A7" w14:textId="54157320" w:rsidR="00077D72" w:rsidRPr="002D16D6" w:rsidRDefault="00127597" w:rsidP="005C5CBA">
      <w:pPr>
        <w:rPr>
          <w:color w:val="000000" w:themeColor="text1"/>
        </w:rPr>
      </w:pPr>
      <w:r>
        <w:t>The difference in mean</w:t>
      </w:r>
      <w:r w:rsidR="00187183">
        <w:t xml:space="preserve"> change in HbA1c from baseline is the primary outcome needed to demonstrate glycaemia-lowering efficacy for new diabetes treatments. In the ADAR, the main results for this outcome were based on a meta-analysis </w:t>
      </w:r>
      <w:r w:rsidR="00F64604">
        <w:t xml:space="preserve">conducted by the applicant, which </w:t>
      </w:r>
      <w:r w:rsidR="00187183">
        <w:t>reports the mean difference in HbA1c for studies comparing FSL to SMBG</w:t>
      </w:r>
      <w:r w:rsidR="00F64604">
        <w:t xml:space="preserve"> (</w:t>
      </w:r>
      <w:r w:rsidR="00F64604">
        <w:fldChar w:fldCharType="begin"/>
      </w:r>
      <w:r w:rsidR="00F64604">
        <w:instrText xml:space="preserve"> REF _Ref193809539 \h </w:instrText>
      </w:r>
      <w:r w:rsidR="00F64604">
        <w:fldChar w:fldCharType="separate"/>
      </w:r>
      <w:r w:rsidR="00315A60" w:rsidRPr="00F64604">
        <w:t xml:space="preserve">Figure </w:t>
      </w:r>
      <w:r w:rsidR="00315A60">
        <w:rPr>
          <w:noProof/>
        </w:rPr>
        <w:t>1</w:t>
      </w:r>
      <w:r w:rsidR="00F64604">
        <w:fldChar w:fldCharType="end"/>
      </w:r>
      <w:r w:rsidR="00F64604">
        <w:t>)</w:t>
      </w:r>
      <w:r w:rsidR="00187183">
        <w:t xml:space="preserve">. </w:t>
      </w:r>
      <w:r w:rsidR="00077D72">
        <w:t xml:space="preserve">Although the meta-analysis included data for comparative studies, the weight given to </w:t>
      </w:r>
      <w:r>
        <w:t xml:space="preserve">the </w:t>
      </w:r>
      <w:r w:rsidR="00077D72">
        <w:t>cohort studies (Bosi 2022</w:t>
      </w:r>
      <w:r w:rsidR="00426ED0" w:rsidRPr="00A54EDF">
        <w:t>,</w:t>
      </w:r>
      <w:r w:rsidR="00077D72">
        <w:t xml:space="preserve"> Nathanson 2025) totalled more than 70%. </w:t>
      </w:r>
      <w:r w:rsidR="00D73106" w:rsidRPr="005C5CBA">
        <w:t xml:space="preserve">The </w:t>
      </w:r>
      <w:r w:rsidR="00954612">
        <w:t>ADAR</w:t>
      </w:r>
      <w:r w:rsidR="00954612" w:rsidRPr="005C5CBA">
        <w:t xml:space="preserve"> </w:t>
      </w:r>
      <w:r w:rsidR="00D73106" w:rsidRPr="005C5CBA">
        <w:t xml:space="preserve">claimed that the meta-analysis </w:t>
      </w:r>
      <w:r w:rsidR="00F64604">
        <w:t xml:space="preserve">results </w:t>
      </w:r>
      <w:r w:rsidR="00D73106" w:rsidRPr="005C5CBA">
        <w:t xml:space="preserve">met the proposed </w:t>
      </w:r>
      <w:r w:rsidR="009E425F" w:rsidRPr="00A54EDF">
        <w:rPr>
          <w:rFonts w:eastAsia="Calibri" w:cs="Times New Roman"/>
        </w:rPr>
        <w:t>minimum clinically meaningful difference</w:t>
      </w:r>
      <w:r w:rsidR="009E425F" w:rsidRPr="00A54EDF">
        <w:t xml:space="preserve"> (</w:t>
      </w:r>
      <w:r w:rsidR="00D73106" w:rsidRPr="005C5CBA">
        <w:t>MCID</w:t>
      </w:r>
      <w:r w:rsidR="009E425F" w:rsidRPr="00A54EDF">
        <w:t>)</w:t>
      </w:r>
      <w:r w:rsidR="00D73106" w:rsidRPr="005C5CBA">
        <w:t xml:space="preserve"> of 0.3% </w:t>
      </w:r>
      <w:r w:rsidR="00F64604">
        <w:t>to</w:t>
      </w:r>
      <w:r w:rsidR="00D73106" w:rsidRPr="005C5CBA">
        <w:t xml:space="preserve"> 0.5%. </w:t>
      </w:r>
      <w:r w:rsidR="00F64604">
        <w:t xml:space="preserve">However, the meta-analysis identified </w:t>
      </w:r>
      <w:r w:rsidR="00F64604" w:rsidRPr="00A54EDF">
        <w:t>a</w:t>
      </w:r>
      <w:r w:rsidR="00BB0C3B" w:rsidRPr="00A54EDF">
        <w:t>n</w:t>
      </w:r>
      <w:r w:rsidR="00F64604">
        <w:t xml:space="preserve"> HbA1c reduction of 0.29</w:t>
      </w:r>
      <w:r w:rsidR="00F64604" w:rsidRPr="00A54EDF">
        <w:t>%</w:t>
      </w:r>
      <w:r w:rsidR="00BB0C3B" w:rsidRPr="00A54EDF">
        <w:t>—</w:t>
      </w:r>
      <w:r w:rsidR="00F64604">
        <w:t xml:space="preserve">falling below the 0.3% threshold proposed by </w:t>
      </w:r>
      <w:r w:rsidR="00BB0C3B" w:rsidRPr="00A54EDF">
        <w:t xml:space="preserve">the </w:t>
      </w:r>
      <w:r w:rsidR="00F64604">
        <w:t xml:space="preserve">applicant. </w:t>
      </w:r>
      <w:r w:rsidR="00077D72">
        <w:t xml:space="preserve">Moreover, the </w:t>
      </w:r>
      <w:r w:rsidR="00077D72" w:rsidRPr="002D16D6">
        <w:rPr>
          <w:color w:val="000000" w:themeColor="text1"/>
        </w:rPr>
        <w:t>applicant did not justify using a 0.3% change in HbA1c as the MCID, when 0.5% is the internationally accepted threshold</w:t>
      </w:r>
      <w:r w:rsidR="009414D8" w:rsidRPr="002D16D6">
        <w:rPr>
          <w:color w:val="000000" w:themeColor="text1"/>
        </w:rPr>
        <w:t xml:space="preserve"> (International Diabetes Federation</w:t>
      </w:r>
      <w:r w:rsidR="001B549A" w:rsidRPr="002D16D6">
        <w:rPr>
          <w:color w:val="000000" w:themeColor="text1"/>
        </w:rPr>
        <w:t>,</w:t>
      </w:r>
      <w:r w:rsidR="009414D8" w:rsidRPr="002D16D6">
        <w:rPr>
          <w:color w:val="000000" w:themeColor="text1"/>
          <w:vertAlign w:val="superscript"/>
        </w:rPr>
        <w:footnoteReference w:id="15"/>
      </w:r>
      <w:r w:rsidR="009414D8" w:rsidRPr="002D16D6">
        <w:rPr>
          <w:color w:val="000000" w:themeColor="text1"/>
        </w:rPr>
        <w:t xml:space="preserve"> National Institute for Health and Care Excellence (NICE) guidelines for diabetes management in adults</w:t>
      </w:r>
      <w:r w:rsidR="009414D8" w:rsidRPr="002D16D6">
        <w:rPr>
          <w:color w:val="000000" w:themeColor="text1"/>
          <w:vertAlign w:val="superscript"/>
        </w:rPr>
        <w:footnoteReference w:id="16"/>
      </w:r>
      <w:r w:rsidR="009414D8" w:rsidRPr="002D16D6">
        <w:rPr>
          <w:color w:val="000000" w:themeColor="text1"/>
        </w:rPr>
        <w:t xml:space="preserve"> and in children and young people</w:t>
      </w:r>
      <w:r w:rsidR="001B549A" w:rsidRPr="002D16D6">
        <w:rPr>
          <w:color w:val="000000" w:themeColor="text1"/>
        </w:rPr>
        <w:t>,</w:t>
      </w:r>
      <w:r w:rsidR="009414D8" w:rsidRPr="002D16D6">
        <w:rPr>
          <w:color w:val="000000" w:themeColor="text1"/>
          <w:vertAlign w:val="superscript"/>
        </w:rPr>
        <w:footnoteReference w:id="17"/>
      </w:r>
      <w:r w:rsidR="009414D8" w:rsidRPr="002D16D6">
        <w:rPr>
          <w:color w:val="000000" w:themeColor="text1"/>
        </w:rPr>
        <w:t xml:space="preserve"> the Australian Diabetes Society,</w:t>
      </w:r>
      <w:r w:rsidR="009414D8" w:rsidRPr="002D16D6">
        <w:rPr>
          <w:color w:val="000000" w:themeColor="text1"/>
          <w:vertAlign w:val="superscript"/>
        </w:rPr>
        <w:footnoteReference w:id="18"/>
      </w:r>
      <w:r w:rsidR="009414D8" w:rsidRPr="002D16D6">
        <w:rPr>
          <w:color w:val="000000" w:themeColor="text1"/>
        </w:rPr>
        <w:t xml:space="preserve"> and the Royal Australasian College of General Practitioners</w:t>
      </w:r>
      <w:r w:rsidR="009414D8" w:rsidRPr="002D16D6">
        <w:rPr>
          <w:color w:val="000000" w:themeColor="text1"/>
          <w:vertAlign w:val="superscript"/>
        </w:rPr>
        <w:footnoteReference w:id="19"/>
      </w:r>
      <w:r w:rsidR="009414D8" w:rsidRPr="002D16D6">
        <w:rPr>
          <w:color w:val="000000" w:themeColor="text1"/>
        </w:rPr>
        <w:t>)</w:t>
      </w:r>
      <w:r w:rsidR="00077D72" w:rsidRPr="002D16D6">
        <w:rPr>
          <w:color w:val="000000" w:themeColor="text1"/>
        </w:rPr>
        <w:t>. Excluding the cohort studies in a sensitivity analysis result</w:t>
      </w:r>
      <w:r w:rsidR="0092576A">
        <w:rPr>
          <w:color w:val="000000" w:themeColor="text1"/>
        </w:rPr>
        <w:t>s</w:t>
      </w:r>
      <w:r w:rsidR="00077D72" w:rsidRPr="002D16D6">
        <w:rPr>
          <w:color w:val="000000" w:themeColor="text1"/>
        </w:rPr>
        <w:t xml:space="preserve"> in a smaller HbA1c reduction, further challenging the applicant’s claim </w:t>
      </w:r>
      <w:r w:rsidR="00261DA7" w:rsidRPr="002D16D6">
        <w:rPr>
          <w:color w:val="000000" w:themeColor="text1"/>
        </w:rPr>
        <w:t xml:space="preserve">that </w:t>
      </w:r>
      <w:r w:rsidR="00077D72" w:rsidRPr="002D16D6">
        <w:rPr>
          <w:color w:val="000000" w:themeColor="text1"/>
        </w:rPr>
        <w:t xml:space="preserve">FSL products meet the </w:t>
      </w:r>
      <w:r w:rsidR="00E675A3">
        <w:rPr>
          <w:color w:val="000000" w:themeColor="text1"/>
        </w:rPr>
        <w:t xml:space="preserve">accepted </w:t>
      </w:r>
      <w:r w:rsidR="00077D72" w:rsidRPr="002D16D6">
        <w:rPr>
          <w:color w:val="000000" w:themeColor="text1"/>
        </w:rPr>
        <w:t xml:space="preserve">MCID for this outcome. </w:t>
      </w:r>
    </w:p>
    <w:p w14:paraId="4AFAC610" w14:textId="0BDD663A" w:rsidR="00AE76FD" w:rsidRDefault="00AE76FD" w:rsidP="00AE76FD">
      <w:pPr>
        <w:pStyle w:val="Caption"/>
      </w:pPr>
      <w:bookmarkStart w:id="31" w:name="_Ref193809539"/>
      <w:r w:rsidRPr="00F64604">
        <w:t xml:space="preserve">Figure </w:t>
      </w:r>
      <w:r w:rsidR="00315A60">
        <w:fldChar w:fldCharType="begin"/>
      </w:r>
      <w:r w:rsidR="00315A60">
        <w:instrText xml:space="preserve"> SEQ Figure \* ARABIC </w:instrText>
      </w:r>
      <w:r w:rsidR="00315A60">
        <w:fldChar w:fldCharType="separate"/>
      </w:r>
      <w:r w:rsidR="00315A60">
        <w:rPr>
          <w:noProof/>
        </w:rPr>
        <w:t>1</w:t>
      </w:r>
      <w:r w:rsidR="00315A60">
        <w:rPr>
          <w:noProof/>
        </w:rPr>
        <w:fldChar w:fldCharType="end"/>
      </w:r>
      <w:bookmarkEnd w:id="31"/>
      <w:r w:rsidRPr="00F64604">
        <w:t xml:space="preserve">. </w:t>
      </w:r>
      <w:r w:rsidR="00F64604" w:rsidRPr="00F64604">
        <w:t xml:space="preserve">Meta-analysis of incremental change from </w:t>
      </w:r>
      <w:r w:rsidR="00F64604" w:rsidRPr="00A54EDF">
        <w:t>baseline</w:t>
      </w:r>
      <w:r w:rsidR="00F64604" w:rsidRPr="00F64604">
        <w:t xml:space="preserve"> in HbA1c (%) for FSL vs SMBG in the comparative studies</w:t>
      </w:r>
    </w:p>
    <w:p w14:paraId="5A08A24D" w14:textId="77777777" w:rsidR="00D73106" w:rsidRPr="005C5CBA" w:rsidRDefault="00D73106" w:rsidP="005C5CBA">
      <w:r w:rsidRPr="005C5CBA">
        <w:rPr>
          <w:noProof/>
        </w:rPr>
        <w:drawing>
          <wp:inline distT="0" distB="0" distL="0" distR="0" wp14:anchorId="66621136" wp14:editId="0693CBB4">
            <wp:extent cx="5342857" cy="1914286"/>
            <wp:effectExtent l="0" t="0" r="0" b="0"/>
            <wp:docPr id="2127976209" name="Picture 2127976209" descr="Figure 1. Meta-analysis of incremental change from baseline in HbA1c (%) for FSL vs SMBG in the comparativ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76209" name="Picture 1" descr="Figure 1. Meta-analysis of incremental change from baseline in HbA1c (%) for FSL vs SMBG in the comparative studies"/>
                    <pic:cNvPicPr/>
                  </pic:nvPicPr>
                  <pic:blipFill>
                    <a:blip r:embed="rId14"/>
                    <a:stretch>
                      <a:fillRect/>
                    </a:stretch>
                  </pic:blipFill>
                  <pic:spPr>
                    <a:xfrm>
                      <a:off x="0" y="0"/>
                      <a:ext cx="5342857" cy="1914286"/>
                    </a:xfrm>
                    <a:prstGeom prst="rect">
                      <a:avLst/>
                    </a:prstGeom>
                  </pic:spPr>
                </pic:pic>
              </a:graphicData>
            </a:graphic>
          </wp:inline>
        </w:drawing>
      </w:r>
    </w:p>
    <w:p w14:paraId="418E055B" w14:textId="77777777" w:rsidR="0097087B" w:rsidRPr="00E75144" w:rsidRDefault="0097087B" w:rsidP="0097087B">
      <w:pPr>
        <w:pStyle w:val="KMC16-TFNotes"/>
        <w:rPr>
          <w:rFonts w:ascii="Arial Narrow" w:hAnsi="Arial Narrow"/>
          <w:u w:val="single"/>
        </w:rPr>
      </w:pPr>
      <w:r w:rsidRPr="00E75144">
        <w:rPr>
          <w:rFonts w:ascii="Arial Narrow" w:hAnsi="Arial Narrow"/>
          <w:b/>
          <w:bCs/>
          <w:u w:val="single"/>
        </w:rPr>
        <w:t>Abbreviations</w:t>
      </w:r>
    </w:p>
    <w:p w14:paraId="4161AC12" w14:textId="1E7FF786" w:rsidR="0097087B" w:rsidRPr="005102BE" w:rsidRDefault="008620E5" w:rsidP="005102BE">
      <w:pPr>
        <w:pStyle w:val="KMC16-TFNotes"/>
        <w:rPr>
          <w:rFonts w:ascii="Arial Narrow" w:hAnsi="Arial Narrow"/>
        </w:rPr>
      </w:pPr>
      <w:r>
        <w:rPr>
          <w:rFonts w:ascii="Arial Narrow" w:hAnsi="Arial Narrow"/>
          <w:b/>
          <w:bCs/>
        </w:rPr>
        <w:t xml:space="preserve">BIO </w:t>
      </w:r>
      <w:r w:rsidRPr="008620E5">
        <w:rPr>
          <w:rFonts w:ascii="Arial Narrow" w:hAnsi="Arial Narrow"/>
        </w:rPr>
        <w:t xml:space="preserve">= </w:t>
      </w:r>
      <w:r>
        <w:rPr>
          <w:rFonts w:ascii="Arial Narrow" w:hAnsi="Arial Narrow"/>
          <w:b/>
          <w:bCs/>
        </w:rPr>
        <w:t xml:space="preserve">Basal insulin only, </w:t>
      </w:r>
      <w:r w:rsidR="0097087B" w:rsidRPr="00E75144">
        <w:rPr>
          <w:rFonts w:ascii="Arial Narrow" w:hAnsi="Arial Narrow"/>
          <w:b/>
          <w:bCs/>
        </w:rPr>
        <w:t>FSL</w:t>
      </w:r>
      <w:r w:rsidR="0097087B">
        <w:rPr>
          <w:rFonts w:ascii="Arial Narrow" w:hAnsi="Arial Narrow"/>
        </w:rPr>
        <w:t xml:space="preserve"> =</w:t>
      </w:r>
      <w:r w:rsidR="0097087B" w:rsidRPr="00E75144">
        <w:rPr>
          <w:rFonts w:ascii="Arial Narrow" w:hAnsi="Arial Narrow"/>
        </w:rPr>
        <w:t xml:space="preserve"> FreeStyle Libre Continuous Glucose Monitoring; </w:t>
      </w:r>
      <w:r w:rsidR="0097087B">
        <w:rPr>
          <w:rFonts w:ascii="Arial Narrow" w:hAnsi="Arial Narrow"/>
          <w:b/>
          <w:bCs/>
        </w:rPr>
        <w:t>CI</w:t>
      </w:r>
      <w:r w:rsidR="0097087B">
        <w:rPr>
          <w:rFonts w:ascii="Arial Narrow" w:hAnsi="Arial Narrow"/>
        </w:rPr>
        <w:t xml:space="preserve"> = confidence interval, </w:t>
      </w:r>
      <w:r w:rsidRPr="008620E5">
        <w:rPr>
          <w:rFonts w:ascii="Arial Narrow" w:hAnsi="Arial Narrow"/>
          <w:b/>
          <w:bCs/>
        </w:rPr>
        <w:t>IIT</w:t>
      </w:r>
      <w:r>
        <w:rPr>
          <w:rFonts w:ascii="Arial Narrow" w:hAnsi="Arial Narrow"/>
        </w:rPr>
        <w:t xml:space="preserve"> = Intensive insulin therapy (includes all non-basal regimens)</w:t>
      </w:r>
      <w:r w:rsidR="004C4BC9">
        <w:rPr>
          <w:rFonts w:ascii="Arial Narrow" w:hAnsi="Arial Narrow"/>
        </w:rPr>
        <w:t>,</w:t>
      </w:r>
      <w:r>
        <w:rPr>
          <w:rFonts w:ascii="Arial Narrow" w:hAnsi="Arial Narrow"/>
        </w:rPr>
        <w:t xml:space="preserve"> </w:t>
      </w:r>
      <w:r w:rsidR="0097087B" w:rsidRPr="00E75144">
        <w:rPr>
          <w:rFonts w:ascii="Arial Narrow" w:hAnsi="Arial Narrow"/>
          <w:b/>
          <w:bCs/>
        </w:rPr>
        <w:t>SMBG</w:t>
      </w:r>
      <w:r w:rsidR="0097087B">
        <w:rPr>
          <w:rFonts w:ascii="Arial Narrow" w:hAnsi="Arial Narrow"/>
        </w:rPr>
        <w:t xml:space="preserve"> =</w:t>
      </w:r>
      <w:r w:rsidR="0097087B" w:rsidRPr="00E75144">
        <w:rPr>
          <w:rFonts w:ascii="Arial Narrow" w:hAnsi="Arial Narrow"/>
        </w:rPr>
        <w:t xml:space="preserve"> self-monitoring of blood glucose</w:t>
      </w:r>
      <w:r w:rsidR="0097087B">
        <w:rPr>
          <w:rFonts w:ascii="Arial Narrow" w:hAnsi="Arial Narrow"/>
        </w:rPr>
        <w:t xml:space="preserve">. </w:t>
      </w:r>
    </w:p>
    <w:p w14:paraId="1847520C" w14:textId="5C8EB7E8" w:rsidR="00D73106" w:rsidRPr="005C5CBA" w:rsidRDefault="00077D72" w:rsidP="005C5CBA">
      <w:r>
        <w:t xml:space="preserve">During the commentary process, the assessment group </w:t>
      </w:r>
      <w:r w:rsidR="00D73106" w:rsidRPr="00A54EDF">
        <w:t>suggest</w:t>
      </w:r>
      <w:r w:rsidR="00D26C6B" w:rsidRPr="00A54EDF">
        <w:t>ed</w:t>
      </w:r>
      <w:r w:rsidR="00D73106" w:rsidRPr="005C5CBA">
        <w:t xml:space="preserve"> that </w:t>
      </w:r>
      <w:r w:rsidR="0097087B">
        <w:t xml:space="preserve">statements surrounding </w:t>
      </w:r>
      <w:r w:rsidR="00D73106" w:rsidRPr="005C5CBA">
        <w:t xml:space="preserve">the main evidence </w:t>
      </w:r>
      <w:r w:rsidR="0097087B">
        <w:t>should be re-written as follow</w:t>
      </w:r>
      <w:r w:rsidR="004F3E9C">
        <w:t>s</w:t>
      </w:r>
      <w:r w:rsidR="00D73106" w:rsidRPr="005C5CBA">
        <w:t>:</w:t>
      </w:r>
    </w:p>
    <w:p w14:paraId="03234352" w14:textId="44F857C2" w:rsidR="00D73106" w:rsidRPr="005C5CBA" w:rsidRDefault="0097087B" w:rsidP="003027B3">
      <w:pPr>
        <w:pStyle w:val="ListParagraph"/>
        <w:numPr>
          <w:ilvl w:val="0"/>
          <w:numId w:val="17"/>
        </w:numPr>
      </w:pPr>
      <w:r>
        <w:t>‘</w:t>
      </w:r>
      <w:r w:rsidR="00D73106" w:rsidRPr="005C5CBA">
        <w:t>Two RCTs reported change in HbA1c</w:t>
      </w:r>
      <w:r w:rsidR="00077D72">
        <w:t>.</w:t>
      </w:r>
      <w:r w:rsidR="00D73106" w:rsidRPr="005C5CBA">
        <w:t xml:space="preserve"> </w:t>
      </w:r>
      <w:r w:rsidR="00077D72">
        <w:t>O</w:t>
      </w:r>
      <w:r w:rsidR="00D73106" w:rsidRPr="005C5CBA">
        <w:t>ne showed no significant difference between FSL and SBGM (0.03% (SE 0.11) p=0.82)</w:t>
      </w:r>
      <w:r w:rsidR="00077D72">
        <w:t>.</w:t>
      </w:r>
      <w:r w:rsidR="00D73106" w:rsidRPr="005C5CBA">
        <w:t xml:space="preserve"> </w:t>
      </w:r>
      <w:r w:rsidR="00077D72">
        <w:t>A</w:t>
      </w:r>
      <w:r w:rsidR="00D73106" w:rsidRPr="005C5CBA">
        <w:t>lthough the second trial showed a statistically significant difference, it fell short of a clinically meaningful change at the 0.5% threshold (0.49% (SE 0.16) p&lt;0.0001).</w:t>
      </w:r>
      <w:r>
        <w:t>’</w:t>
      </w:r>
    </w:p>
    <w:p w14:paraId="7ADA53AA" w14:textId="166F3FFA" w:rsidR="00D73106" w:rsidRPr="005C5CBA" w:rsidRDefault="0097087B" w:rsidP="003027B3">
      <w:pPr>
        <w:pStyle w:val="ListParagraph"/>
        <w:numPr>
          <w:ilvl w:val="0"/>
          <w:numId w:val="17"/>
        </w:numPr>
      </w:pPr>
      <w:r>
        <w:t>‘</w:t>
      </w:r>
      <w:r w:rsidR="00D73106" w:rsidRPr="005C5CBA">
        <w:t>Two cohort studies reported change in HbA1c</w:t>
      </w:r>
      <w:r w:rsidR="00BF2D45" w:rsidRPr="00A54EDF">
        <w:t>. B</w:t>
      </w:r>
      <w:r w:rsidR="00D73106" w:rsidRPr="00A54EDF">
        <w:t>oth</w:t>
      </w:r>
      <w:r w:rsidR="00D73106" w:rsidRPr="005C5CBA">
        <w:t xml:space="preserve"> reported statistically significant differences but did not show clinically meaningful change at a 0.5% threshold.</w:t>
      </w:r>
      <w:r>
        <w:t>’</w:t>
      </w:r>
    </w:p>
    <w:p w14:paraId="24C8876A" w14:textId="10D4F19E" w:rsidR="00D73106" w:rsidRPr="005C5CBA" w:rsidRDefault="00077D72" w:rsidP="006D7D21">
      <w:r>
        <w:t>The applicant also conducted a meta-analysis on each arm of the comparative studies</w:t>
      </w:r>
      <w:r w:rsidR="006D7D21">
        <w:t xml:space="preserve">, creating a </w:t>
      </w:r>
      <w:r w:rsidR="00D73106" w:rsidRPr="005C5CBA">
        <w:t xml:space="preserve">pooled analysis of the FSL arms only </w:t>
      </w:r>
      <w:r w:rsidR="00D73106" w:rsidRPr="00A54EDF">
        <w:t>(</w:t>
      </w:r>
      <w:r w:rsidR="00592BBB">
        <w:t>−</w:t>
      </w:r>
      <w:r w:rsidR="00D73106" w:rsidRPr="005C5CBA">
        <w:t xml:space="preserve">0.50% change in HbA1c) and of the SMBG arms only </w:t>
      </w:r>
      <w:r w:rsidR="00D73106" w:rsidRPr="00A54EDF">
        <w:t>(</w:t>
      </w:r>
      <w:r w:rsidR="00592BBB">
        <w:t>−</w:t>
      </w:r>
      <w:r w:rsidR="00D73106" w:rsidRPr="005C5CBA">
        <w:t xml:space="preserve">0.20% change in HbA1c). This </w:t>
      </w:r>
      <w:r w:rsidR="006D7D21">
        <w:t>was</w:t>
      </w:r>
      <w:r w:rsidR="006D7D21" w:rsidRPr="005C5CBA">
        <w:t xml:space="preserve"> </w:t>
      </w:r>
      <w:r w:rsidR="003474AF" w:rsidRPr="00A54EDF">
        <w:t>in</w:t>
      </w:r>
      <w:r w:rsidR="00D73106" w:rsidRPr="00A54EDF">
        <w:t>appropriate</w:t>
      </w:r>
      <w:r w:rsidR="00D73106" w:rsidRPr="005C5CBA">
        <w:t xml:space="preserve"> because the values </w:t>
      </w:r>
      <w:r w:rsidR="00871417">
        <w:t>we</w:t>
      </w:r>
      <w:r w:rsidR="00D73106" w:rsidRPr="005C5CBA">
        <w:t xml:space="preserve">re taken from comparative studies with the intention that they are paired. The data for </w:t>
      </w:r>
      <w:r w:rsidR="006D7D21">
        <w:t xml:space="preserve">HbA1c </w:t>
      </w:r>
      <w:r w:rsidR="00D73106" w:rsidRPr="005C5CBA">
        <w:t xml:space="preserve">change from baseline </w:t>
      </w:r>
      <w:r w:rsidR="009C1421">
        <w:t>was</w:t>
      </w:r>
      <w:r w:rsidR="00D73106" w:rsidRPr="005C5CBA">
        <w:t xml:space="preserve"> then used in the </w:t>
      </w:r>
      <w:r w:rsidR="006D7D21">
        <w:t xml:space="preserve">SMBG-arm of the </w:t>
      </w:r>
      <w:r w:rsidR="00D73106" w:rsidRPr="005C5CBA">
        <w:t>economic model. There was significant heterogeneity (I</w:t>
      </w:r>
      <w:r w:rsidR="00D73106" w:rsidRPr="00A54EDF">
        <w:rPr>
          <w:vertAlign w:val="superscript"/>
        </w:rPr>
        <w:t>2</w:t>
      </w:r>
      <w:r w:rsidR="00D73106" w:rsidRPr="005C5CBA">
        <w:t>=87%) that was not addressed.</w:t>
      </w:r>
    </w:p>
    <w:p w14:paraId="5B64D779" w14:textId="11259FA1" w:rsidR="00D73106" w:rsidRPr="005C5CBA" w:rsidRDefault="00D73106" w:rsidP="006D7D21">
      <w:r w:rsidRPr="005C5CBA">
        <w:t xml:space="preserve">The </w:t>
      </w:r>
      <w:r w:rsidR="00954612">
        <w:t>ADAR</w:t>
      </w:r>
      <w:r w:rsidR="00954612" w:rsidRPr="005C5CBA">
        <w:t xml:space="preserve"> </w:t>
      </w:r>
      <w:r w:rsidR="006D7D21">
        <w:t xml:space="preserve">also </w:t>
      </w:r>
      <w:r w:rsidRPr="005C5CBA">
        <w:t>combine</w:t>
      </w:r>
      <w:r w:rsidR="006D7D21">
        <w:t>d</w:t>
      </w:r>
      <w:r w:rsidRPr="005C5CBA">
        <w:t xml:space="preserve"> data from </w:t>
      </w:r>
      <w:r w:rsidR="006D7D21">
        <w:t xml:space="preserve">the FSL arms of the comparative studies with </w:t>
      </w:r>
      <w:r w:rsidRPr="005C5CBA">
        <w:t>an additional 15 single</w:t>
      </w:r>
      <w:r w:rsidR="00AE76FD">
        <w:t>-</w:t>
      </w:r>
      <w:r w:rsidRPr="005C5CBA">
        <w:t xml:space="preserve">arm studies (19 </w:t>
      </w:r>
      <w:r w:rsidR="006D7D21">
        <w:t>studies</w:t>
      </w:r>
      <w:r w:rsidR="006D7D21" w:rsidRPr="005C5CBA">
        <w:t xml:space="preserve"> </w:t>
      </w:r>
      <w:r w:rsidRPr="005C5CBA">
        <w:t>total)</w:t>
      </w:r>
      <w:r w:rsidR="006D7D21">
        <w:t>.</w:t>
      </w:r>
      <w:r w:rsidRPr="005C5CBA">
        <w:t xml:space="preserve"> </w:t>
      </w:r>
      <w:r w:rsidR="006D7D21">
        <w:t>This process substantially increased the change in HbA1c from baseline from 0.29% to 0.73%. S</w:t>
      </w:r>
      <w:r w:rsidRPr="005C5CBA">
        <w:t>ignificant heterogeneity (I</w:t>
      </w:r>
      <w:r w:rsidRPr="00A54EDF">
        <w:rPr>
          <w:vertAlign w:val="superscript"/>
        </w:rPr>
        <w:t>2</w:t>
      </w:r>
      <w:r w:rsidRPr="005C5CBA">
        <w:t>=95%) was not addressed</w:t>
      </w:r>
      <w:r w:rsidR="006D7D21">
        <w:t>, and this was subsequently used in the economic model</w:t>
      </w:r>
      <w:r w:rsidRPr="005C5CBA">
        <w:t>.</w:t>
      </w:r>
      <w:r w:rsidR="006D7D21">
        <w:t xml:space="preserve"> </w:t>
      </w:r>
      <w:r w:rsidRPr="005C5CBA">
        <w:t xml:space="preserve">The change in HbA1c data that was used for the model was </w:t>
      </w:r>
      <w:r w:rsidR="006530EB" w:rsidRPr="00A54EDF">
        <w:t>in</w:t>
      </w:r>
      <w:r w:rsidRPr="00A54EDF">
        <w:t>appropriately</w:t>
      </w:r>
      <w:r w:rsidRPr="005C5CBA">
        <w:t xml:space="preserve"> derived from the available studies, and the inclusion of lower</w:t>
      </w:r>
      <w:r w:rsidR="006D7D21">
        <w:t>-</w:t>
      </w:r>
      <w:r w:rsidRPr="005C5CBA">
        <w:t>quality evidence has inflated the change from baseline for FSL by a notable margin.</w:t>
      </w:r>
    </w:p>
    <w:p w14:paraId="46AB2196" w14:textId="77777777" w:rsidR="00D73106" w:rsidRPr="006A78F4" w:rsidRDefault="00D73106" w:rsidP="005C5CBA">
      <w:pPr>
        <w:rPr>
          <w:u w:val="single"/>
        </w:rPr>
      </w:pPr>
      <w:r w:rsidRPr="006A78F4">
        <w:rPr>
          <w:u w:val="single"/>
        </w:rPr>
        <w:t>Other glycaemic outcomes</w:t>
      </w:r>
    </w:p>
    <w:p w14:paraId="2E344F29" w14:textId="4A16915F" w:rsidR="00D73106" w:rsidRPr="005C5CBA" w:rsidRDefault="00D73106" w:rsidP="005C5CBA">
      <w:r w:rsidRPr="005C5CBA">
        <w:t>Time in hypoglycaemia was measured at &lt;3.</w:t>
      </w:r>
      <w:r w:rsidRPr="00A54EDF">
        <w:t>9</w:t>
      </w:r>
      <w:r w:rsidR="008961ED" w:rsidRPr="00A54EDF">
        <w:t> </w:t>
      </w:r>
      <w:r w:rsidRPr="00A54EDF">
        <w:t>mmol</w:t>
      </w:r>
      <w:r w:rsidR="006D7D21">
        <w:t>,</w:t>
      </w:r>
      <w:r w:rsidRPr="005C5CBA">
        <w:t xml:space="preserve"> &lt;3.</w:t>
      </w:r>
      <w:r w:rsidRPr="00A54EDF">
        <w:t>1</w:t>
      </w:r>
      <w:r w:rsidR="008961ED" w:rsidRPr="00A54EDF">
        <w:t> </w:t>
      </w:r>
      <w:r w:rsidRPr="00A54EDF">
        <w:t>mmol</w:t>
      </w:r>
      <w:r w:rsidR="006D7D21">
        <w:t xml:space="preserve"> and</w:t>
      </w:r>
      <w:r w:rsidRPr="005C5CBA">
        <w:t xml:space="preserve"> </w:t>
      </w:r>
      <w:r w:rsidR="008620E5">
        <w:t>&lt;</w:t>
      </w:r>
      <w:r w:rsidRPr="005C5CBA">
        <w:t>2.</w:t>
      </w:r>
      <w:r w:rsidRPr="00A54EDF">
        <w:t>5</w:t>
      </w:r>
      <w:r w:rsidR="008961ED" w:rsidRPr="00A54EDF">
        <w:t> </w:t>
      </w:r>
      <w:r w:rsidRPr="00A54EDF">
        <w:t>mmol</w:t>
      </w:r>
      <w:r w:rsidR="006D7D21">
        <w:t xml:space="preserve"> concentrations</w:t>
      </w:r>
      <w:r w:rsidRPr="005C5CBA">
        <w:t>,</w:t>
      </w:r>
      <w:r w:rsidR="006D7D21">
        <w:t xml:space="preserve"> as well as</w:t>
      </w:r>
      <w:r w:rsidRPr="005C5CBA">
        <w:t xml:space="preserve"> </w:t>
      </w:r>
      <w:r w:rsidR="006D7D21">
        <w:t xml:space="preserve">at night- </w:t>
      </w:r>
      <w:r w:rsidRPr="005C5CBA">
        <w:t>and daytime</w:t>
      </w:r>
      <w:r w:rsidR="006D7D21">
        <w:t>.</w:t>
      </w:r>
      <w:r w:rsidRPr="005C5CBA">
        <w:t xml:space="preserve"> </w:t>
      </w:r>
      <w:r w:rsidR="006D7D21">
        <w:t xml:space="preserve">At each of these measurements, time in hypoglycaemia was </w:t>
      </w:r>
      <w:r w:rsidRPr="005C5CBA">
        <w:t>found to be</w:t>
      </w:r>
      <w:r w:rsidR="003676A6">
        <w:t xml:space="preserve"> </w:t>
      </w:r>
      <w:r w:rsidR="00AB2CFA">
        <w:t>statistically</w:t>
      </w:r>
      <w:r w:rsidRPr="005C5CBA">
        <w:t xml:space="preserve"> significantly reduced in the FSL group compared with the SMBG group</w:t>
      </w:r>
      <w:r w:rsidR="00AE76FD">
        <w:t>.</w:t>
      </w:r>
      <w:r w:rsidRPr="005C5CBA">
        <w:t xml:space="preserve"> </w:t>
      </w:r>
      <w:r w:rsidR="00AE76FD">
        <w:t>H</w:t>
      </w:r>
      <w:r w:rsidRPr="005C5CBA">
        <w:t>owever</w:t>
      </w:r>
      <w:r w:rsidR="00AE76FD">
        <w:t>,</w:t>
      </w:r>
      <w:r w:rsidRPr="005C5CBA">
        <w:t xml:space="preserve"> this was the equivalent of </w:t>
      </w:r>
      <w:r w:rsidRPr="00A54EDF">
        <w:t>13</w:t>
      </w:r>
      <w:r w:rsidR="008961ED" w:rsidRPr="00A54EDF">
        <w:t>–</w:t>
      </w:r>
      <w:r w:rsidRPr="005C5CBA">
        <w:t>28 minutes per day</w:t>
      </w:r>
      <w:r w:rsidR="008961ED" w:rsidRPr="00A54EDF">
        <w:t>,</w:t>
      </w:r>
      <w:r w:rsidR="00AB5EDF">
        <w:t xml:space="preserve"> </w:t>
      </w:r>
      <w:r w:rsidR="006B1FE5">
        <w:t xml:space="preserve">which the Commentary considered may not be </w:t>
      </w:r>
      <w:r w:rsidRPr="005C5CBA">
        <w:t xml:space="preserve">clinically significant. There were no </w:t>
      </w:r>
      <w:r w:rsidR="000039AB">
        <w:t xml:space="preserve">statistically significant </w:t>
      </w:r>
      <w:r w:rsidRPr="005C5CBA">
        <w:t xml:space="preserve">differences in time in range </w:t>
      </w:r>
      <w:r w:rsidR="007C6BF3" w:rsidRPr="0093565C">
        <w:t xml:space="preserve">(TIR) </w:t>
      </w:r>
      <w:r w:rsidRPr="005C5CBA">
        <w:t>or time in hyperglycaemia.</w:t>
      </w:r>
    </w:p>
    <w:p w14:paraId="27CD9F4E" w14:textId="5A1CE74A" w:rsidR="00D73106" w:rsidRPr="005C5CBA" w:rsidRDefault="00D73106" w:rsidP="005C5CBA">
      <w:r w:rsidRPr="005C5CBA">
        <w:t xml:space="preserve">Glucose variability was reported by one trial. </w:t>
      </w:r>
      <w:r w:rsidR="002E2033" w:rsidRPr="00A54EDF">
        <w:t>Thirteen</w:t>
      </w:r>
      <w:r w:rsidRPr="005C5CBA">
        <w:t xml:space="preserve"> measures were used to measure glucose variability and</w:t>
      </w:r>
      <w:r w:rsidR="00AB5EDF">
        <w:t>,</w:t>
      </w:r>
      <w:r w:rsidRPr="005C5CBA">
        <w:t xml:space="preserve"> of these, 5 reported significant differences in favour of FSL. The remaining 8 measures showed no </w:t>
      </w:r>
      <w:r w:rsidR="000039AB">
        <w:t xml:space="preserve">statistically significant </w:t>
      </w:r>
      <w:r w:rsidRPr="005C5CBA">
        <w:t>differences between groups.</w:t>
      </w:r>
    </w:p>
    <w:p w14:paraId="16652AC9" w14:textId="77777777" w:rsidR="00D73106" w:rsidRPr="006A78F4" w:rsidRDefault="00D73106" w:rsidP="005C5CBA">
      <w:pPr>
        <w:rPr>
          <w:u w:val="single"/>
        </w:rPr>
      </w:pPr>
      <w:r w:rsidRPr="006A78F4">
        <w:rPr>
          <w:u w:val="single"/>
        </w:rPr>
        <w:t>Treatment satisfaction</w:t>
      </w:r>
    </w:p>
    <w:p w14:paraId="38B61869" w14:textId="70280624" w:rsidR="00D73106" w:rsidRPr="002A51AA" w:rsidRDefault="00D73106" w:rsidP="005C5CBA">
      <w:r w:rsidRPr="00FB55CE">
        <w:t>Two trials reported treatment satisfaction</w:t>
      </w:r>
      <w:r w:rsidR="00EF4BB9" w:rsidRPr="00FB55CE">
        <w:t xml:space="preserve"> (Haak 2017 and Yaron 2019)</w:t>
      </w:r>
      <w:r w:rsidRPr="00FB55CE">
        <w:t xml:space="preserve">. </w:t>
      </w:r>
      <w:r w:rsidR="00EF4BB9" w:rsidRPr="00FB55CE">
        <w:t>Ha</w:t>
      </w:r>
      <w:r w:rsidR="000C111B" w:rsidRPr="00FB55CE">
        <w:t>a</w:t>
      </w:r>
      <w:r w:rsidR="00EF4BB9" w:rsidRPr="00FB55CE">
        <w:t>k 2017</w:t>
      </w:r>
      <w:r w:rsidRPr="00FB55CE">
        <w:t xml:space="preserve"> reported</w:t>
      </w:r>
      <w:r w:rsidRPr="002A51AA">
        <w:t xml:space="preserve"> that the </w:t>
      </w:r>
      <w:r w:rsidR="00E75144" w:rsidRPr="002A51AA">
        <w:t>Diabetes Treatment Satisfaction Questionnaire (</w:t>
      </w:r>
      <w:r w:rsidRPr="002A51AA">
        <w:t>DTSQ</w:t>
      </w:r>
      <w:r w:rsidR="00E75144" w:rsidRPr="002A51AA">
        <w:t>)</w:t>
      </w:r>
      <w:r w:rsidRPr="002A51AA">
        <w:t xml:space="preserve"> total score showed</w:t>
      </w:r>
      <w:r w:rsidRPr="005C5CBA">
        <w:t xml:space="preserve"> significant improvement in the FSL group compared with the SMBG group</w:t>
      </w:r>
      <w:r w:rsidR="00AB5EDF">
        <w:t>.</w:t>
      </w:r>
      <w:r w:rsidRPr="005C5CBA">
        <w:t xml:space="preserve"> </w:t>
      </w:r>
      <w:r w:rsidR="00AB5EDF">
        <w:t>H</w:t>
      </w:r>
      <w:r w:rsidRPr="005C5CBA">
        <w:t>owever</w:t>
      </w:r>
      <w:r w:rsidR="00AB5EDF">
        <w:t>,</w:t>
      </w:r>
      <w:r w:rsidRPr="005C5CBA">
        <w:t xml:space="preserve"> there were no significant differences in how patients scored the perceived frequency o</w:t>
      </w:r>
      <w:r w:rsidR="00AB5EDF">
        <w:t>f</w:t>
      </w:r>
      <w:r w:rsidRPr="005C5CBA">
        <w:t xml:space="preserve"> hyperglycaemia (p=0.61) or perceived frequency of hypoglycaemia (p=0.23). The same trial reported outcomes for the </w:t>
      </w:r>
      <w:r w:rsidR="00AB5EDF">
        <w:t>Diabetes Quality of Life Instrument,</w:t>
      </w:r>
      <w:r w:rsidRPr="005C5CBA">
        <w:t xml:space="preserve"> which reports a score </w:t>
      </w:r>
      <w:r w:rsidR="00AB5EDF">
        <w:t xml:space="preserve">comprised of </w:t>
      </w:r>
      <w:r w:rsidR="00287415" w:rsidRPr="00A54EDF">
        <w:t>4</w:t>
      </w:r>
      <w:r w:rsidRPr="005C5CBA">
        <w:t xml:space="preserve"> subcomponents. The results for the total score show</w:t>
      </w:r>
      <w:r w:rsidR="00875D6A">
        <w:t>ed</w:t>
      </w:r>
      <w:r w:rsidRPr="005C5CBA">
        <w:t xml:space="preserve"> no differences between FSL and S</w:t>
      </w:r>
      <w:r w:rsidR="0097087B">
        <w:t>MB</w:t>
      </w:r>
      <w:r w:rsidRPr="005C5CBA">
        <w:t xml:space="preserve">G (p=0.39). Three of the </w:t>
      </w:r>
      <w:r w:rsidR="00EE6790" w:rsidRPr="00A54EDF">
        <w:t>4</w:t>
      </w:r>
      <w:r w:rsidRPr="005C5CBA">
        <w:t xml:space="preserve"> subcomponents (social worry</w:t>
      </w:r>
      <w:r w:rsidR="00AB5EDF">
        <w:t>,</w:t>
      </w:r>
      <w:r w:rsidRPr="005C5CBA">
        <w:t xml:space="preserve"> p=0.31; diabetes worry</w:t>
      </w:r>
      <w:r w:rsidR="00AB5EDF">
        <w:t>,</w:t>
      </w:r>
      <w:r w:rsidRPr="005C5CBA">
        <w:t xml:space="preserve"> p=0.32; impact of treatment</w:t>
      </w:r>
      <w:r w:rsidR="00AB5EDF">
        <w:t>,</w:t>
      </w:r>
      <w:r w:rsidRPr="005C5CBA">
        <w:t xml:space="preserve"> p=0.68) show</w:t>
      </w:r>
      <w:r w:rsidR="00875D6A">
        <w:t>ed</w:t>
      </w:r>
      <w:r w:rsidRPr="005C5CBA">
        <w:t xml:space="preserve"> no differences between groups</w:t>
      </w:r>
      <w:r w:rsidR="00AB5EDF">
        <w:t>.</w:t>
      </w:r>
      <w:r w:rsidRPr="005C5CBA">
        <w:t xml:space="preserve"> </w:t>
      </w:r>
      <w:r w:rsidR="00AB5EDF">
        <w:t>O</w:t>
      </w:r>
      <w:r w:rsidRPr="005C5CBA">
        <w:t>ne subcomponent (satisfaction with treatment) showed a significant improvement in the FSL group (p=0.026)</w:t>
      </w:r>
      <w:r w:rsidR="00AB5EDF">
        <w:t xml:space="preserve">. </w:t>
      </w:r>
      <w:r w:rsidR="00AB5EDF" w:rsidRPr="000C111B">
        <w:t xml:space="preserve">This </w:t>
      </w:r>
      <w:r w:rsidRPr="000C111B">
        <w:t xml:space="preserve">trial </w:t>
      </w:r>
      <w:r w:rsidR="00AB5EDF" w:rsidRPr="002A51AA">
        <w:t xml:space="preserve">also </w:t>
      </w:r>
      <w:r w:rsidRPr="002A51AA">
        <w:t xml:space="preserve">reported results </w:t>
      </w:r>
      <w:r w:rsidR="00EB56A6" w:rsidRPr="002A51AA">
        <w:t>for</w:t>
      </w:r>
      <w:r w:rsidRPr="002A51AA">
        <w:t xml:space="preserve"> the Diabetes Distress Scale</w:t>
      </w:r>
      <w:r w:rsidR="00AB5EDF" w:rsidRPr="002A51AA">
        <w:t>,</w:t>
      </w:r>
      <w:r w:rsidRPr="002A51AA">
        <w:t xml:space="preserve"> which were omitted </w:t>
      </w:r>
      <w:r w:rsidR="00954612">
        <w:t>in</w:t>
      </w:r>
      <w:r w:rsidR="00954612" w:rsidRPr="002A51AA">
        <w:t xml:space="preserve"> </w:t>
      </w:r>
      <w:r w:rsidRPr="002A51AA">
        <w:t xml:space="preserve">the </w:t>
      </w:r>
      <w:r w:rsidR="00954612">
        <w:t>ADAR</w:t>
      </w:r>
      <w:r w:rsidRPr="002A51AA">
        <w:t xml:space="preserve">. There were no significant differences between groups for total score or any of the </w:t>
      </w:r>
      <w:r w:rsidR="00B92152" w:rsidRPr="002A51AA">
        <w:t>4</w:t>
      </w:r>
      <w:r w:rsidRPr="002A51AA">
        <w:t xml:space="preserve"> subscores (emotional burden, physician distress, regimen distress</w:t>
      </w:r>
      <w:r w:rsidR="00B92152" w:rsidRPr="002A51AA">
        <w:t>,</w:t>
      </w:r>
      <w:r w:rsidRPr="002A51AA">
        <w:t xml:space="preserve"> interpersonal distress).</w:t>
      </w:r>
    </w:p>
    <w:p w14:paraId="3CD34524" w14:textId="4BFD0216" w:rsidR="00D73106" w:rsidRPr="005C5CBA" w:rsidRDefault="00D73106" w:rsidP="005C5CBA">
      <w:r w:rsidRPr="000C111B">
        <w:t>The second trial</w:t>
      </w:r>
      <w:r w:rsidR="00EF4BB9" w:rsidRPr="000C111B">
        <w:t xml:space="preserve"> (Yaron 2019)</w:t>
      </w:r>
      <w:r w:rsidRPr="000C111B">
        <w:t xml:space="preserve"> </w:t>
      </w:r>
      <w:r w:rsidRPr="002A51AA">
        <w:t>reported no significant differences between</w:t>
      </w:r>
      <w:r w:rsidRPr="005C5CBA">
        <w:t xml:space="preserve"> groups using the DTSQ.</w:t>
      </w:r>
    </w:p>
    <w:p w14:paraId="10105D7B" w14:textId="77777777" w:rsidR="00D73106" w:rsidRPr="006A78F4" w:rsidRDefault="00D73106" w:rsidP="005C5CBA">
      <w:pPr>
        <w:rPr>
          <w:u w:val="single"/>
        </w:rPr>
      </w:pPr>
      <w:r w:rsidRPr="006A78F4">
        <w:rPr>
          <w:u w:val="single"/>
        </w:rPr>
        <w:t>Change in management</w:t>
      </w:r>
    </w:p>
    <w:p w14:paraId="2CC1A999" w14:textId="6B2A400A" w:rsidR="00D73106" w:rsidRPr="005C5CBA" w:rsidRDefault="00D73106" w:rsidP="005C5CBA">
      <w:r w:rsidRPr="005C5CBA">
        <w:t xml:space="preserve">No change in insulin or any other oral diabetic medication was reported in one RCT </w:t>
      </w:r>
      <w:r w:rsidR="00EF4BB9">
        <w:t>(</w:t>
      </w:r>
      <w:r w:rsidR="003603C2">
        <w:t>Haak 2017</w:t>
      </w:r>
      <w:r w:rsidR="00EF4BB9">
        <w:t xml:space="preserve">) </w:t>
      </w:r>
      <w:r w:rsidRPr="005C5CBA">
        <w:t>and one cohort study</w:t>
      </w:r>
      <w:r w:rsidR="00EF4BB9">
        <w:t xml:space="preserve"> (</w:t>
      </w:r>
      <w:r w:rsidR="003603C2">
        <w:t>Bosi 2022</w:t>
      </w:r>
      <w:r w:rsidR="00EF4BB9">
        <w:t>)</w:t>
      </w:r>
      <w:r w:rsidRPr="005C5CBA">
        <w:t>.</w:t>
      </w:r>
      <w:r w:rsidR="00AB5EDF">
        <w:t xml:space="preserve"> </w:t>
      </w:r>
      <w:r w:rsidRPr="005C5CBA">
        <w:t xml:space="preserve">The </w:t>
      </w:r>
      <w:r w:rsidR="00954612">
        <w:t>ADAR</w:t>
      </w:r>
      <w:r w:rsidR="00954612" w:rsidRPr="005C5CBA">
        <w:t xml:space="preserve"> </w:t>
      </w:r>
      <w:r w:rsidRPr="005C5CBA">
        <w:t xml:space="preserve">omitted data on the frequency of </w:t>
      </w:r>
      <w:r w:rsidR="00415E72" w:rsidRPr="00A54EDF">
        <w:t>SMBG</w:t>
      </w:r>
      <w:r w:rsidRPr="005C5CBA">
        <w:t xml:space="preserve"> </w:t>
      </w:r>
      <w:r w:rsidR="00C9753F">
        <w:t xml:space="preserve">use </w:t>
      </w:r>
      <w:r w:rsidRPr="005C5CBA">
        <w:t xml:space="preserve">reported in </w:t>
      </w:r>
      <w:r w:rsidR="00415E72" w:rsidRPr="00A54EDF">
        <w:t>2</w:t>
      </w:r>
      <w:r w:rsidRPr="005C5CBA">
        <w:t xml:space="preserve"> trials.</w:t>
      </w:r>
    </w:p>
    <w:p w14:paraId="78656057" w14:textId="77777777" w:rsidR="00D73106" w:rsidRPr="00875D6A" w:rsidRDefault="00D73106" w:rsidP="005C5CBA">
      <w:pPr>
        <w:rPr>
          <w:u w:val="single"/>
        </w:rPr>
      </w:pPr>
      <w:r w:rsidRPr="00875D6A">
        <w:rPr>
          <w:u w:val="single"/>
        </w:rPr>
        <w:t>Hospitalisation</w:t>
      </w:r>
    </w:p>
    <w:p w14:paraId="642DD3A1" w14:textId="2D2F2B2E" w:rsidR="00D73106" w:rsidRPr="005C5CBA" w:rsidRDefault="00D73106" w:rsidP="005C5CBA">
      <w:r w:rsidRPr="000C111B">
        <w:t xml:space="preserve">Two cohort studies </w:t>
      </w:r>
      <w:r w:rsidRPr="002A51AA">
        <w:t xml:space="preserve">reported this outcome. </w:t>
      </w:r>
      <w:r w:rsidRPr="000C111B">
        <w:t>One study</w:t>
      </w:r>
      <w:r w:rsidR="00EF4BB9" w:rsidRPr="002A51AA">
        <w:t xml:space="preserve"> (Bosi 2022)</w:t>
      </w:r>
      <w:r w:rsidRPr="002A51AA">
        <w:t xml:space="preserve"> reported that the number</w:t>
      </w:r>
      <w:r w:rsidR="005704D7" w:rsidRPr="002A51AA">
        <w:t>s</w:t>
      </w:r>
      <w:r w:rsidRPr="002A51AA">
        <w:t xml:space="preserve"> of emergency department visits, hospital admissions and paramedic callouts were low in each group, with no emergency department visits or hospital admissions for hypoglycaemia</w:t>
      </w:r>
      <w:r w:rsidR="00673FF6">
        <w:t xml:space="preserve"> reported for either group</w:t>
      </w:r>
      <w:r w:rsidRPr="002A51AA">
        <w:t xml:space="preserve">. </w:t>
      </w:r>
      <w:r w:rsidRPr="000C111B">
        <w:t>A second study</w:t>
      </w:r>
      <w:r w:rsidR="00EF4BB9">
        <w:t xml:space="preserve"> (Nathanson 2025)</w:t>
      </w:r>
      <w:r w:rsidRPr="005C5CBA">
        <w:t xml:space="preserve"> reported that among intensive insulin users, the risk of admissions for severe hypoglycaemia, stroke, non-fatal </w:t>
      </w:r>
      <w:r w:rsidR="00AB5EDF">
        <w:t>myocardial infarction</w:t>
      </w:r>
      <w:r w:rsidRPr="005C5CBA">
        <w:t xml:space="preserve"> or hospitalisation for any reason was</w:t>
      </w:r>
      <w:r w:rsidR="003676A6">
        <w:t xml:space="preserve"> statistically</w:t>
      </w:r>
      <w:r w:rsidRPr="005C5CBA">
        <w:t xml:space="preserve"> significantly </w:t>
      </w:r>
      <w:r w:rsidR="00AB5EDF">
        <w:t xml:space="preserve">lower </w:t>
      </w:r>
      <w:r w:rsidRPr="005C5CBA">
        <w:t xml:space="preserve">in the FSL group. Among basal insulin users, the risk of heart failure or hospitalisation for any reason was </w:t>
      </w:r>
      <w:r w:rsidR="003676A6">
        <w:t xml:space="preserve">statistically </w:t>
      </w:r>
      <w:r w:rsidRPr="005C5CBA">
        <w:t xml:space="preserve">significantly </w:t>
      </w:r>
      <w:r w:rsidR="00AB5EDF">
        <w:t>lower</w:t>
      </w:r>
      <w:r w:rsidR="00AB5EDF" w:rsidRPr="005C5CBA">
        <w:t xml:space="preserve"> </w:t>
      </w:r>
      <w:r w:rsidRPr="005C5CBA">
        <w:t>among FSL patients.</w:t>
      </w:r>
    </w:p>
    <w:p w14:paraId="4D1CA23A" w14:textId="77777777" w:rsidR="00D73106" w:rsidRPr="00875D6A" w:rsidRDefault="00D73106" w:rsidP="005C5CBA">
      <w:pPr>
        <w:rPr>
          <w:u w:val="single"/>
        </w:rPr>
      </w:pPr>
      <w:r w:rsidRPr="00875D6A">
        <w:rPr>
          <w:u w:val="single"/>
        </w:rPr>
        <w:t>Clinical claim</w:t>
      </w:r>
    </w:p>
    <w:p w14:paraId="767842BA" w14:textId="11F30CFD" w:rsidR="00AB5EDF" w:rsidRDefault="00AB5EDF" w:rsidP="00AB5EDF">
      <w:r>
        <w:t>The applicant claim</w:t>
      </w:r>
      <w:r w:rsidR="00875D6A">
        <w:t>ed</w:t>
      </w:r>
      <w:r>
        <w:t xml:space="preserve"> that FSL products have superior effectiveness compared with SMBG, as measured by a 0.3</w:t>
      </w:r>
      <w:r w:rsidR="00264396" w:rsidRPr="00A54EDF">
        <w:t>–</w:t>
      </w:r>
      <w:r>
        <w:t xml:space="preserve">0.5% reduction in change in HbA1c. However, this </w:t>
      </w:r>
      <w:r w:rsidR="00D73106" w:rsidRPr="005C5CBA">
        <w:t>effectiveness claim is not supported based on the evidence presented</w:t>
      </w:r>
      <w:r>
        <w:t>: the reduction in HbA1c is only 0.29%.</w:t>
      </w:r>
    </w:p>
    <w:p w14:paraId="5E8863A2" w14:textId="3445F99D" w:rsidR="00D73106" w:rsidRPr="005C5CBA" w:rsidRDefault="00AB5EDF" w:rsidP="00AB5EDF">
      <w:r>
        <w:t xml:space="preserve">If MSAC does not accept a 0.3% change in HbA1c as the MCID, then neither a claim of superiority </w:t>
      </w:r>
      <w:r w:rsidR="00D73106" w:rsidRPr="005C5CBA">
        <w:t xml:space="preserve">(change in HbA1c of 0.5%) </w:t>
      </w:r>
      <w:r w:rsidR="009244D7">
        <w:t>or</w:t>
      </w:r>
      <w:r w:rsidR="00D73106" w:rsidRPr="005C5CBA">
        <w:t xml:space="preserve"> non-inferiority (change in HbA1c of 0.3%)</w:t>
      </w:r>
      <w:r w:rsidR="009244D7">
        <w:t xml:space="preserve"> has met internationally accepted MCID thresholds. </w:t>
      </w:r>
    </w:p>
    <w:p w14:paraId="31633284" w14:textId="68D58AFC" w:rsidR="00D73106" w:rsidRPr="00875D6A" w:rsidRDefault="00D73106" w:rsidP="005C5CBA">
      <w:pPr>
        <w:rPr>
          <w:b/>
          <w:bCs/>
        </w:rPr>
      </w:pPr>
      <w:r w:rsidRPr="00875D6A">
        <w:rPr>
          <w:b/>
          <w:bCs/>
        </w:rPr>
        <w:t xml:space="preserve">PICO </w:t>
      </w:r>
      <w:r w:rsidR="005C5CBA">
        <w:rPr>
          <w:b/>
          <w:bCs/>
        </w:rPr>
        <w:t>Set</w:t>
      </w:r>
      <w:r w:rsidR="005C5CBA" w:rsidRPr="00875D6A">
        <w:rPr>
          <w:b/>
          <w:bCs/>
        </w:rPr>
        <w:t xml:space="preserve"> </w:t>
      </w:r>
      <w:r w:rsidRPr="00875D6A">
        <w:rPr>
          <w:b/>
          <w:bCs/>
        </w:rPr>
        <w:t>2</w:t>
      </w:r>
    </w:p>
    <w:p w14:paraId="4A95E8E0" w14:textId="44B7BFCA" w:rsidR="00E63419" w:rsidRPr="000F5E75" w:rsidRDefault="00E63419" w:rsidP="005C5CBA">
      <w:r w:rsidRPr="000F5E75">
        <w:t xml:space="preserve">The populations reported in the </w:t>
      </w:r>
      <w:r w:rsidR="00622705" w:rsidRPr="000F5E75">
        <w:t>studies</w:t>
      </w:r>
      <w:r w:rsidRPr="000F5E75">
        <w:t xml:space="preserve"> for PICO </w:t>
      </w:r>
      <w:r w:rsidR="00055849" w:rsidRPr="000F5E75">
        <w:t>S</w:t>
      </w:r>
      <w:r w:rsidRPr="000F5E75">
        <w:t>et 2 appeared to be consistent with the PICO 2 population.</w:t>
      </w:r>
    </w:p>
    <w:p w14:paraId="4595C4AD" w14:textId="49332817" w:rsidR="00D73106" w:rsidRPr="00875D6A" w:rsidRDefault="00D73106" w:rsidP="005C5CBA">
      <w:pPr>
        <w:rPr>
          <w:u w:val="single"/>
        </w:rPr>
      </w:pPr>
      <w:r w:rsidRPr="00875D6A">
        <w:rPr>
          <w:u w:val="single"/>
        </w:rPr>
        <w:t xml:space="preserve">Effectiveness for </w:t>
      </w:r>
      <w:r w:rsidR="005102BE">
        <w:rPr>
          <w:u w:val="single"/>
        </w:rPr>
        <w:t>person</w:t>
      </w:r>
      <w:r w:rsidR="00345DE0">
        <w:rPr>
          <w:u w:val="single"/>
        </w:rPr>
        <w:t xml:space="preserve"> with GDM</w:t>
      </w:r>
    </w:p>
    <w:p w14:paraId="1DA6E8B5" w14:textId="579B6605" w:rsidR="00D73106" w:rsidRPr="005C5CBA" w:rsidRDefault="00D73106" w:rsidP="005C5CBA">
      <w:r w:rsidRPr="000C111B">
        <w:t xml:space="preserve">One </w:t>
      </w:r>
      <w:r w:rsidR="00BB42A5">
        <w:t>RCT</w:t>
      </w:r>
      <w:r w:rsidRPr="005C5CBA">
        <w:t xml:space="preserve"> </w:t>
      </w:r>
      <w:r w:rsidR="003603C2">
        <w:t xml:space="preserve">(Majewska 2023) </w:t>
      </w:r>
      <w:r w:rsidRPr="005C5CBA">
        <w:t xml:space="preserve">reported that there were no differences between FSL and SMBG in mean fasting glycaemia during the first month of the study (p=0.437). </w:t>
      </w:r>
      <w:r w:rsidR="009674EE" w:rsidRPr="00A54EDF">
        <w:t>M</w:t>
      </w:r>
      <w:r w:rsidRPr="005C5CBA">
        <w:t xml:space="preserve">ean postprandial glycaemia during the first month was reported to be significantly lower in the SMBG group (p=0.011). </w:t>
      </w:r>
      <w:r w:rsidR="000C7651" w:rsidRPr="00A54EDF">
        <w:t>TIR</w:t>
      </w:r>
      <w:r w:rsidR="00E5169F" w:rsidRPr="00A54EDF">
        <w:t xml:space="preserve"> </w:t>
      </w:r>
      <w:r w:rsidRPr="005C5CBA">
        <w:t xml:space="preserve">data </w:t>
      </w:r>
      <w:r w:rsidR="003A4A46">
        <w:t>were</w:t>
      </w:r>
      <w:r w:rsidR="003A4A46" w:rsidRPr="005C5CBA">
        <w:t xml:space="preserve"> </w:t>
      </w:r>
      <w:r w:rsidRPr="005C5CBA">
        <w:t xml:space="preserve">collected only in the FSL group, so no comparative data </w:t>
      </w:r>
      <w:r w:rsidR="003A4A46">
        <w:t>were</w:t>
      </w:r>
      <w:r w:rsidR="003A4A46" w:rsidRPr="005C5CBA">
        <w:t xml:space="preserve"> </w:t>
      </w:r>
      <w:r w:rsidRPr="005C5CBA">
        <w:t>available for this outcome.</w:t>
      </w:r>
    </w:p>
    <w:p w14:paraId="273A22A6" w14:textId="0E08DBBA" w:rsidR="00D73106" w:rsidRPr="005C5CBA" w:rsidRDefault="00D73106" w:rsidP="009244D7">
      <w:r w:rsidRPr="000C111B">
        <w:t xml:space="preserve">A second </w:t>
      </w:r>
      <w:r w:rsidR="00BB42A5">
        <w:t>RCT</w:t>
      </w:r>
      <w:r w:rsidRPr="005C5CBA">
        <w:t xml:space="preserve"> </w:t>
      </w:r>
      <w:r w:rsidR="003603C2">
        <w:t xml:space="preserve">(Zhang 2021) </w:t>
      </w:r>
      <w:r w:rsidRPr="005C5CBA">
        <w:t>reported that the incidence of hypoglycaemic events (blood glucose &lt;3.9 mmol/L) was significantly lower with FSL (5.45% vs 21.82% in control SMBG group, p=0.012). The same trial reported that use of FSL was associated with significantly greater improvements in the management of GDM compared with SMBG</w:t>
      </w:r>
      <w:r w:rsidR="007D1BE8" w:rsidRPr="00A54EDF">
        <w:t>,</w:t>
      </w:r>
      <w:r w:rsidRPr="00A54EDF">
        <w:t xml:space="preserve"> with </w:t>
      </w:r>
      <w:r w:rsidR="0098562D" w:rsidRPr="00A54EDF">
        <w:t>reported</w:t>
      </w:r>
      <w:r w:rsidRPr="005C5CBA">
        <w:t xml:space="preserve"> improvements in the regularity of </w:t>
      </w:r>
      <w:r w:rsidR="00875D6A">
        <w:t>blood glucose</w:t>
      </w:r>
      <w:r w:rsidR="00875D6A" w:rsidRPr="005C5CBA">
        <w:t xml:space="preserve"> </w:t>
      </w:r>
      <w:r w:rsidRPr="005C5CBA">
        <w:t xml:space="preserve">monitoring, diet control, weight monitoring, appropriate exercise, regular obstetric checks and adherence with monitoring (all p&lt;0.05 for FSL vs SMBG). Adherence to </w:t>
      </w:r>
      <w:r w:rsidR="009244D7">
        <w:t>blood glucose</w:t>
      </w:r>
      <w:r w:rsidR="009244D7" w:rsidRPr="005C5CBA">
        <w:t xml:space="preserve"> </w:t>
      </w:r>
      <w:r w:rsidRPr="005C5CBA">
        <w:t xml:space="preserve">monitoring was higher in the FSL group </w:t>
      </w:r>
      <w:r w:rsidR="009244D7">
        <w:t>compared with SMBG (</w:t>
      </w:r>
      <w:r w:rsidRPr="005C5CBA">
        <w:t>95% vs 75%</w:t>
      </w:r>
      <w:r w:rsidR="009244D7">
        <w:t xml:space="preserve">, </w:t>
      </w:r>
      <w:r w:rsidRPr="005C5CBA">
        <w:t xml:space="preserve">p=0.004) after the first </w:t>
      </w:r>
      <w:r w:rsidR="0098562D" w:rsidRPr="00A54EDF">
        <w:t xml:space="preserve">2 </w:t>
      </w:r>
      <w:r w:rsidRPr="005C5CBA">
        <w:t xml:space="preserve">weeks. </w:t>
      </w:r>
      <w:r w:rsidR="009244D7">
        <w:t xml:space="preserve">However, these </w:t>
      </w:r>
      <w:r w:rsidRPr="005C5CBA">
        <w:t>results should be interpreted cautiously</w:t>
      </w:r>
      <w:r w:rsidR="009244D7">
        <w:t xml:space="preserve"> because the assessment group identified this trial as having </w:t>
      </w:r>
      <w:r w:rsidRPr="005C5CBA">
        <w:t>a serious risk of bias and outcomes were reported over a 2</w:t>
      </w:r>
      <w:r w:rsidR="009244D7">
        <w:t>-</w:t>
      </w:r>
      <w:r w:rsidRPr="005C5CBA">
        <w:t>week study period</w:t>
      </w:r>
      <w:r w:rsidR="001470B6">
        <w:t xml:space="preserve"> only</w:t>
      </w:r>
      <w:r w:rsidRPr="005C5CBA">
        <w:t>.</w:t>
      </w:r>
    </w:p>
    <w:p w14:paraId="7C500B4C" w14:textId="5BA85F1F" w:rsidR="00D73106" w:rsidRPr="00875D6A" w:rsidRDefault="00D73106" w:rsidP="005C5CBA">
      <w:pPr>
        <w:rPr>
          <w:u w:val="single"/>
        </w:rPr>
      </w:pPr>
      <w:r w:rsidRPr="00875D6A">
        <w:rPr>
          <w:u w:val="single"/>
        </w:rPr>
        <w:t>Effectiveness for baby</w:t>
      </w:r>
      <w:r w:rsidR="00345DE0">
        <w:rPr>
          <w:u w:val="single"/>
        </w:rPr>
        <w:t xml:space="preserve"> of </w:t>
      </w:r>
      <w:r w:rsidR="005102BE">
        <w:rPr>
          <w:u w:val="single"/>
        </w:rPr>
        <w:t>person</w:t>
      </w:r>
      <w:r w:rsidR="00345DE0">
        <w:rPr>
          <w:u w:val="single"/>
        </w:rPr>
        <w:t xml:space="preserve"> with GDM</w:t>
      </w:r>
    </w:p>
    <w:p w14:paraId="24CC9066" w14:textId="780342FD" w:rsidR="00D73106" w:rsidRPr="005C5CBA" w:rsidRDefault="00D73106" w:rsidP="005C5CBA">
      <w:r w:rsidRPr="000C111B">
        <w:t xml:space="preserve">One </w:t>
      </w:r>
      <w:r w:rsidR="00BB42A5">
        <w:t>RCT</w:t>
      </w:r>
      <w:r w:rsidRPr="005C5CBA">
        <w:t xml:space="preserve"> </w:t>
      </w:r>
      <w:r w:rsidR="003603C2">
        <w:t xml:space="preserve">(Majewska 2023) </w:t>
      </w:r>
      <w:r w:rsidRPr="005C5CBA">
        <w:t>reported that the incidence of macrosomia</w:t>
      </w:r>
      <w:r w:rsidR="00D43738">
        <w:rPr>
          <w:rStyle w:val="FootnoteReference"/>
        </w:rPr>
        <w:footnoteReference w:id="20"/>
      </w:r>
      <w:r w:rsidRPr="005C5CBA">
        <w:t xml:space="preserve"> was significantly lower in FSL patients compared </w:t>
      </w:r>
      <w:r w:rsidR="009244D7">
        <w:t>with</w:t>
      </w:r>
      <w:r w:rsidR="009244D7" w:rsidRPr="005C5CBA">
        <w:t xml:space="preserve"> </w:t>
      </w:r>
      <w:r w:rsidRPr="005C5CBA">
        <w:t xml:space="preserve">SMBG patients. </w:t>
      </w:r>
      <w:r w:rsidR="007E40BE">
        <w:t>No</w:t>
      </w:r>
      <w:r w:rsidRPr="005C5CBA">
        <w:t xml:space="preserve"> significant differences in birthweight, large for gestational age,</w:t>
      </w:r>
      <w:r w:rsidR="008243F5">
        <w:rPr>
          <w:rStyle w:val="FootnoteReference"/>
        </w:rPr>
        <w:footnoteReference w:id="21"/>
      </w:r>
      <w:r w:rsidRPr="005C5CBA">
        <w:t xml:space="preserve"> small for gestational age or neonatal hypoglycaemia</w:t>
      </w:r>
      <w:r w:rsidR="007E40BE">
        <w:t xml:space="preserve"> were reported</w:t>
      </w:r>
      <w:r w:rsidRPr="005C5CBA">
        <w:t>.</w:t>
      </w:r>
      <w:r w:rsidR="009244D7">
        <w:t xml:space="preserve"> </w:t>
      </w:r>
      <w:r w:rsidRPr="000C111B">
        <w:t>One cohort study</w:t>
      </w:r>
      <w:r w:rsidRPr="005C5CBA">
        <w:t xml:space="preserve"> </w:t>
      </w:r>
      <w:r w:rsidR="003603C2">
        <w:t xml:space="preserve">(Bastobbe 2023) </w:t>
      </w:r>
      <w:r w:rsidRPr="005C5CBA">
        <w:t xml:space="preserve">reported </w:t>
      </w:r>
      <w:r w:rsidR="00CE7F92" w:rsidRPr="00A54EDF">
        <w:t>several</w:t>
      </w:r>
      <w:r w:rsidRPr="005C5CBA">
        <w:t xml:space="preserve"> perinatal outcomes and noted no significant benefits for FSL patients</w:t>
      </w:r>
      <w:r w:rsidR="00CE7F92" w:rsidRPr="00A54EDF">
        <w:t>. M</w:t>
      </w:r>
      <w:r w:rsidRPr="005C5CBA">
        <w:t>ean HbA1c was significantly lower in</w:t>
      </w:r>
      <w:r w:rsidR="003676A6">
        <w:t xml:space="preserve"> mothers assigned to</w:t>
      </w:r>
      <w:r w:rsidRPr="005C5CBA">
        <w:t xml:space="preserve"> SMBG compared </w:t>
      </w:r>
      <w:r w:rsidR="00622705">
        <w:t>with</w:t>
      </w:r>
      <w:r w:rsidR="00622705" w:rsidRPr="005C5CBA">
        <w:t xml:space="preserve"> </w:t>
      </w:r>
      <w:r w:rsidRPr="005C5CBA">
        <w:t>FSL at delivery.</w:t>
      </w:r>
      <w:r w:rsidR="009244D7">
        <w:t xml:space="preserve"> </w:t>
      </w:r>
      <w:r w:rsidRPr="000C111B">
        <w:t>A second cohort study</w:t>
      </w:r>
      <w:r w:rsidRPr="002A51AA">
        <w:t xml:space="preserve"> </w:t>
      </w:r>
      <w:r w:rsidR="003603C2" w:rsidRPr="002A51AA">
        <w:t xml:space="preserve">(Won 2025) </w:t>
      </w:r>
      <w:r w:rsidRPr="002A51AA">
        <w:t>reported no significant differences in perinatal outcomes</w:t>
      </w:r>
      <w:r w:rsidRPr="005C5CBA">
        <w:t xml:space="preserve"> between FSL and SMBG.</w:t>
      </w:r>
    </w:p>
    <w:p w14:paraId="56CC5E83" w14:textId="77777777" w:rsidR="00D73106" w:rsidRPr="00875D6A" w:rsidRDefault="00D73106" w:rsidP="005C5CBA">
      <w:pPr>
        <w:rPr>
          <w:u w:val="single"/>
        </w:rPr>
      </w:pPr>
      <w:r w:rsidRPr="00875D6A">
        <w:rPr>
          <w:u w:val="single"/>
        </w:rPr>
        <w:t>Treatment satisfaction</w:t>
      </w:r>
    </w:p>
    <w:p w14:paraId="74385169" w14:textId="273120AB" w:rsidR="00D73106" w:rsidRPr="005C5CBA" w:rsidRDefault="00D73106" w:rsidP="00A17694">
      <w:r w:rsidRPr="000C111B">
        <w:t>Two cohort studies</w:t>
      </w:r>
      <w:r w:rsidRPr="005C5CBA">
        <w:t xml:space="preserve"> reported treatment satisfaction. </w:t>
      </w:r>
      <w:r w:rsidRPr="000C111B">
        <w:t>One study</w:t>
      </w:r>
      <w:r w:rsidR="0007275D">
        <w:t xml:space="preserve"> of 25 patients</w:t>
      </w:r>
      <w:r w:rsidR="003603C2" w:rsidRPr="002A51AA">
        <w:t xml:space="preserve"> (</w:t>
      </w:r>
      <w:r w:rsidR="0007275D">
        <w:t>Won 2025</w:t>
      </w:r>
      <w:r w:rsidR="003603C2" w:rsidRPr="002A51AA">
        <w:t>)</w:t>
      </w:r>
      <w:r w:rsidRPr="002A51AA">
        <w:t xml:space="preserve"> </w:t>
      </w:r>
      <w:r w:rsidR="009244D7" w:rsidRPr="002A51AA">
        <w:t>(</w:t>
      </w:r>
      <w:r w:rsidRPr="002A51AA">
        <w:t>report</w:t>
      </w:r>
      <w:r w:rsidR="009244D7" w:rsidRPr="002A51AA">
        <w:t>ing</w:t>
      </w:r>
      <w:r w:rsidRPr="002A51AA">
        <w:t xml:space="preserve"> DTSQ total score</w:t>
      </w:r>
      <w:r w:rsidR="009244D7" w:rsidRPr="002A51AA">
        <w:t>)</w:t>
      </w:r>
      <w:r w:rsidRPr="002A51AA">
        <w:t xml:space="preserve"> showed significant improvement in the FSL group compared </w:t>
      </w:r>
      <w:r w:rsidR="009244D7" w:rsidRPr="002A51AA">
        <w:t xml:space="preserve">with </w:t>
      </w:r>
      <w:r w:rsidRPr="002A51AA">
        <w:t>the SMBG group</w:t>
      </w:r>
      <w:r w:rsidR="009A198D" w:rsidRPr="002A51AA">
        <w:t>; h</w:t>
      </w:r>
      <w:r w:rsidRPr="002A51AA">
        <w:t>owever</w:t>
      </w:r>
      <w:r w:rsidR="009244D7" w:rsidRPr="002A51AA">
        <w:t>,</w:t>
      </w:r>
      <w:r w:rsidRPr="002A51AA">
        <w:t xml:space="preserve"> there were no significant differences in how patients scored the perceived frequency o</w:t>
      </w:r>
      <w:r w:rsidR="00B40AA2" w:rsidRPr="002A51AA">
        <w:t>f</w:t>
      </w:r>
      <w:r w:rsidRPr="002A51AA">
        <w:t xml:space="preserve"> hyperglycaemia (p=0.170) or hypoglycaemia (p=0.09). There </w:t>
      </w:r>
      <w:r w:rsidR="0007275D">
        <w:t>was no comparative analysis of DTSQ change</w:t>
      </w:r>
      <w:r w:rsidRPr="002A51AA">
        <w:t xml:space="preserve"> in the </w:t>
      </w:r>
      <w:r w:rsidRPr="000C111B">
        <w:t>second cohort study</w:t>
      </w:r>
      <w:r w:rsidR="0007275D">
        <w:t xml:space="preserve"> or 18 patients</w:t>
      </w:r>
      <w:r w:rsidR="003603C2">
        <w:t xml:space="preserve"> (</w:t>
      </w:r>
      <w:r w:rsidR="003603C2" w:rsidRPr="000C111B">
        <w:t>Bastobbe 2023</w:t>
      </w:r>
      <w:r w:rsidR="003603C2">
        <w:rPr>
          <w:color w:val="806000" w:themeColor="accent4" w:themeShade="80"/>
        </w:rPr>
        <w:t>)</w:t>
      </w:r>
      <w:r w:rsidRPr="005C5CBA">
        <w:t>.</w:t>
      </w:r>
      <w:r w:rsidR="0007275D">
        <w:t xml:space="preserve"> A third study of 24 patients reported data for useability and</w:t>
      </w:r>
      <w:r w:rsidR="00622705">
        <w:t xml:space="preserve"> </w:t>
      </w:r>
      <w:r w:rsidRPr="005C5CBA">
        <w:t>reported that patients strongly agreed that applying the FSL sensor was less painful than SMBG (83%).</w:t>
      </w:r>
    </w:p>
    <w:p w14:paraId="7BB64A3B" w14:textId="77777777" w:rsidR="00D73106" w:rsidRPr="00875D6A" w:rsidRDefault="00D73106" w:rsidP="005C5CBA">
      <w:pPr>
        <w:rPr>
          <w:u w:val="single"/>
        </w:rPr>
      </w:pPr>
      <w:r w:rsidRPr="00875D6A">
        <w:rPr>
          <w:u w:val="single"/>
        </w:rPr>
        <w:t>Clinical claim</w:t>
      </w:r>
    </w:p>
    <w:p w14:paraId="1B4AB238" w14:textId="46A3BF4A" w:rsidR="00D73106" w:rsidRPr="005C5CBA" w:rsidRDefault="00D73106" w:rsidP="005C5CBA">
      <w:r w:rsidRPr="005C5CBA">
        <w:t xml:space="preserve">There </w:t>
      </w:r>
      <w:r w:rsidR="00875D6A">
        <w:t>are</w:t>
      </w:r>
      <w:r w:rsidR="00875D6A" w:rsidRPr="005C5CBA">
        <w:t xml:space="preserve"> </w:t>
      </w:r>
      <w:r w:rsidR="00CA598A" w:rsidRPr="00A54EDF">
        <w:t>insufficient</w:t>
      </w:r>
      <w:r w:rsidRPr="005C5CBA">
        <w:t xml:space="preserve"> data available to support the clinical claim of superior effectiveness</w:t>
      </w:r>
      <w:r w:rsidR="00A17694">
        <w:t xml:space="preserve"> in this population</w:t>
      </w:r>
      <w:r w:rsidRPr="005C5CBA">
        <w:t xml:space="preserve">. </w:t>
      </w:r>
    </w:p>
    <w:p w14:paraId="78EFB1AD" w14:textId="3A59EEA4" w:rsidR="00D73106" w:rsidRPr="00875D6A" w:rsidRDefault="00D73106" w:rsidP="00791334">
      <w:pPr>
        <w:keepNext/>
        <w:keepLines/>
        <w:rPr>
          <w:b/>
          <w:bCs/>
        </w:rPr>
      </w:pPr>
      <w:r w:rsidRPr="00875D6A">
        <w:rPr>
          <w:b/>
          <w:bCs/>
        </w:rPr>
        <w:t xml:space="preserve">PICO </w:t>
      </w:r>
      <w:r w:rsidR="005C5CBA">
        <w:rPr>
          <w:b/>
          <w:bCs/>
        </w:rPr>
        <w:t>Set</w:t>
      </w:r>
      <w:r w:rsidR="005C5CBA" w:rsidRPr="00875D6A">
        <w:rPr>
          <w:b/>
          <w:bCs/>
        </w:rPr>
        <w:t xml:space="preserve"> </w:t>
      </w:r>
      <w:r w:rsidRPr="00875D6A">
        <w:rPr>
          <w:b/>
          <w:bCs/>
        </w:rPr>
        <w:t>3</w:t>
      </w:r>
    </w:p>
    <w:p w14:paraId="1E802FB6" w14:textId="77777777" w:rsidR="00D73106" w:rsidRPr="00875D6A" w:rsidRDefault="00D73106" w:rsidP="00791334">
      <w:pPr>
        <w:keepNext/>
        <w:keepLines/>
        <w:rPr>
          <w:u w:val="single"/>
        </w:rPr>
      </w:pPr>
      <w:r w:rsidRPr="00875D6A">
        <w:rPr>
          <w:u w:val="single"/>
        </w:rPr>
        <w:t>Change in HbA1c</w:t>
      </w:r>
    </w:p>
    <w:p w14:paraId="3F907B94" w14:textId="544A6D21" w:rsidR="0007275D" w:rsidRDefault="00D73106" w:rsidP="00791334">
      <w:pPr>
        <w:keepNext/>
        <w:keepLines/>
      </w:pPr>
      <w:r w:rsidRPr="000C111B">
        <w:t>Three single</w:t>
      </w:r>
      <w:r w:rsidR="00A17694" w:rsidRPr="000C111B">
        <w:t>-</w:t>
      </w:r>
      <w:r w:rsidRPr="000C111B">
        <w:t>arm studies</w:t>
      </w:r>
      <w:r w:rsidRPr="005C5CBA">
        <w:t xml:space="preserve"> reported </w:t>
      </w:r>
      <w:r w:rsidR="00BD6B41">
        <w:t xml:space="preserve">mean </w:t>
      </w:r>
      <w:r w:rsidRPr="005C5CBA">
        <w:t>change from baseline in HbA1c</w:t>
      </w:r>
      <w:r w:rsidR="000D4289">
        <w:t>:</w:t>
      </w:r>
    </w:p>
    <w:p w14:paraId="3D2A0276" w14:textId="16489B94" w:rsidR="0007275D" w:rsidRDefault="0007275D" w:rsidP="003027B3">
      <w:pPr>
        <w:pStyle w:val="ListParagraph"/>
        <w:keepNext/>
        <w:keepLines/>
        <w:numPr>
          <w:ilvl w:val="0"/>
          <w:numId w:val="23"/>
        </w:numPr>
      </w:pPr>
      <w:r>
        <w:t>One prospective case</w:t>
      </w:r>
      <w:r w:rsidR="00315A60">
        <w:t>-</w:t>
      </w:r>
      <w:r>
        <w:t>series study of 30 cystic fibrosis-related diabetes patients</w:t>
      </w:r>
      <w:r w:rsidR="00D73106" w:rsidRPr="005C5CBA">
        <w:t xml:space="preserve"> </w:t>
      </w:r>
      <w:r w:rsidR="00A14180">
        <w:t xml:space="preserve">reported a mean change from baseline in HbA1c of </w:t>
      </w:r>
      <w:r w:rsidR="001D685C">
        <w:t>−</w:t>
      </w:r>
      <w:r w:rsidR="00A14180">
        <w:t>0.6% (p=0.006)</w:t>
      </w:r>
      <w:r w:rsidR="00622705">
        <w:t>.</w:t>
      </w:r>
    </w:p>
    <w:p w14:paraId="0C90067A" w14:textId="41B99ABB" w:rsidR="0007275D" w:rsidRDefault="0007275D" w:rsidP="003027B3">
      <w:pPr>
        <w:pStyle w:val="ListParagraph"/>
        <w:keepNext/>
        <w:keepLines/>
        <w:numPr>
          <w:ilvl w:val="0"/>
          <w:numId w:val="23"/>
        </w:numPr>
      </w:pPr>
      <w:r>
        <w:t>One retrospective case</w:t>
      </w:r>
      <w:r w:rsidR="00315A60">
        <w:t>-</w:t>
      </w:r>
      <w:r>
        <w:t xml:space="preserve">series study of </w:t>
      </w:r>
      <w:r w:rsidDel="00906BC7">
        <w:t>78</w:t>
      </w:r>
      <w:r w:rsidR="00264647">
        <w:t xml:space="preserve"> </w:t>
      </w:r>
      <w:r w:rsidR="261B0208">
        <w:t>cystic fibrosis-related diabetes</w:t>
      </w:r>
      <w:r>
        <w:t xml:space="preserve"> patients</w:t>
      </w:r>
      <w:r w:rsidR="00A14180">
        <w:t xml:space="preserve"> reported a median change in HbA1c from 58.5</w:t>
      </w:r>
      <w:r w:rsidR="00B56BB5">
        <w:t> </w:t>
      </w:r>
      <w:r w:rsidR="00A14180">
        <w:t>mmol to 55 mmol</w:t>
      </w:r>
      <w:r w:rsidR="00B56BB5">
        <w:t>,</w:t>
      </w:r>
      <w:r w:rsidR="00A14180">
        <w:t xml:space="preserve"> which was found to be statistically significant (p=0.014). </w:t>
      </w:r>
    </w:p>
    <w:p w14:paraId="76D51436" w14:textId="2C416D60" w:rsidR="0007275D" w:rsidRDefault="0007275D" w:rsidP="003027B3">
      <w:pPr>
        <w:pStyle w:val="ListParagraph"/>
        <w:numPr>
          <w:ilvl w:val="0"/>
          <w:numId w:val="23"/>
        </w:numPr>
      </w:pPr>
      <w:r>
        <w:t>One prospective case</w:t>
      </w:r>
      <w:r w:rsidR="00315A60">
        <w:t>-</w:t>
      </w:r>
      <w:r>
        <w:t xml:space="preserve">series study of 12 </w:t>
      </w:r>
      <w:r w:rsidR="00BA615D">
        <w:t>cystic fibrosis-related</w:t>
      </w:r>
      <w:r>
        <w:t xml:space="preserve"> patients </w:t>
      </w:r>
      <w:r w:rsidR="00A14180">
        <w:t xml:space="preserve">reported a median change in HbA1c of </w:t>
      </w:r>
      <w:r w:rsidR="00B56BB5">
        <w:t>−</w:t>
      </w:r>
      <w:r w:rsidR="00A14180">
        <w:t>0.6 (calculated by the applicant, not the study author)</w:t>
      </w:r>
      <w:r w:rsidR="00B56BB5">
        <w:t>,</w:t>
      </w:r>
      <w:r w:rsidR="00A14180">
        <w:t xml:space="preserve"> which was not statistically significant (p=0.05)</w:t>
      </w:r>
      <w:r w:rsidR="00622705">
        <w:t>.</w:t>
      </w:r>
    </w:p>
    <w:p w14:paraId="121E850B" w14:textId="77777777" w:rsidR="00D73106" w:rsidRPr="00875D6A" w:rsidRDefault="00D73106" w:rsidP="005C5CBA">
      <w:pPr>
        <w:rPr>
          <w:u w:val="single"/>
        </w:rPr>
      </w:pPr>
      <w:r w:rsidRPr="00875D6A">
        <w:rPr>
          <w:u w:val="single"/>
        </w:rPr>
        <w:t>Glycaemic variability</w:t>
      </w:r>
    </w:p>
    <w:p w14:paraId="37E2B3C4" w14:textId="268506D3" w:rsidR="00D73106" w:rsidRPr="005C5CBA" w:rsidRDefault="00D73106" w:rsidP="005C5CBA">
      <w:r w:rsidRPr="000C111B">
        <w:t>One single</w:t>
      </w:r>
      <w:r w:rsidR="00A17694" w:rsidRPr="000C111B">
        <w:t>-</w:t>
      </w:r>
      <w:r w:rsidRPr="000C111B">
        <w:t>arm study</w:t>
      </w:r>
      <w:r w:rsidR="003603C2">
        <w:t xml:space="preserve"> (Lee 2022)</w:t>
      </w:r>
      <w:r w:rsidRPr="005C5CBA">
        <w:t xml:space="preserve"> reported that </w:t>
      </w:r>
      <w:r w:rsidR="0007275D">
        <w:t xml:space="preserve">21 </w:t>
      </w:r>
      <w:r w:rsidRPr="005C5CBA">
        <w:t xml:space="preserve">patients with T3cD </w:t>
      </w:r>
      <w:r w:rsidR="0007275D">
        <w:t xml:space="preserve">using insulin </w:t>
      </w:r>
      <w:r w:rsidRPr="005C5CBA">
        <w:t>were not at increased risk of glycaemic variability compared to patients with T1D or T2D</w:t>
      </w:r>
      <w:r w:rsidR="0007275D">
        <w:t xml:space="preserve"> when using FSL</w:t>
      </w:r>
      <w:r w:rsidRPr="005C5CBA">
        <w:t xml:space="preserve">. </w:t>
      </w:r>
    </w:p>
    <w:p w14:paraId="0F172599" w14:textId="77777777" w:rsidR="00D73106" w:rsidRPr="00875D6A" w:rsidRDefault="00D73106" w:rsidP="005C5CBA">
      <w:pPr>
        <w:rPr>
          <w:u w:val="single"/>
        </w:rPr>
      </w:pPr>
      <w:r w:rsidRPr="00875D6A">
        <w:rPr>
          <w:u w:val="single"/>
        </w:rPr>
        <w:t>Time in range</w:t>
      </w:r>
    </w:p>
    <w:p w14:paraId="060A0553" w14:textId="3A4D1112" w:rsidR="00D73106" w:rsidRPr="005C5CBA" w:rsidRDefault="00D73106" w:rsidP="005C5CBA">
      <w:r w:rsidRPr="000C111B">
        <w:t xml:space="preserve">One </w:t>
      </w:r>
      <w:r w:rsidR="0007275D">
        <w:t>retrospective case</w:t>
      </w:r>
      <w:r w:rsidR="00910845">
        <w:t>-</w:t>
      </w:r>
      <w:r w:rsidR="0007275D">
        <w:t xml:space="preserve">series </w:t>
      </w:r>
      <w:r w:rsidRPr="000C111B">
        <w:t>study</w:t>
      </w:r>
      <w:r w:rsidR="0007275D">
        <w:t xml:space="preserve"> in 78 cystic fibrosis-related diabetes patients</w:t>
      </w:r>
      <w:r w:rsidR="003603C2">
        <w:t xml:space="preserve"> (Shimmin 2020)</w:t>
      </w:r>
      <w:r w:rsidRPr="005C5CBA">
        <w:t xml:space="preserve"> reported no difference in TIR between baseline and follow up</w:t>
      </w:r>
      <w:r w:rsidR="0007275D">
        <w:t xml:space="preserve"> when FSL was used</w:t>
      </w:r>
      <w:r w:rsidRPr="005C5CBA">
        <w:t>.</w:t>
      </w:r>
    </w:p>
    <w:p w14:paraId="497AF11B" w14:textId="77777777" w:rsidR="00D73106" w:rsidRPr="00875D6A" w:rsidRDefault="00D73106" w:rsidP="005C5CBA">
      <w:pPr>
        <w:rPr>
          <w:u w:val="single"/>
        </w:rPr>
      </w:pPr>
      <w:r w:rsidRPr="00875D6A">
        <w:rPr>
          <w:u w:val="single"/>
        </w:rPr>
        <w:t>Clinical claim</w:t>
      </w:r>
    </w:p>
    <w:p w14:paraId="0C807C3E" w14:textId="12EE5287" w:rsidR="00D73106" w:rsidRPr="005C5CBA" w:rsidRDefault="00D73106" w:rsidP="005C5CBA">
      <w:r w:rsidRPr="005C5CBA">
        <w:t xml:space="preserve">There </w:t>
      </w:r>
      <w:r w:rsidR="00875D6A">
        <w:t>are</w:t>
      </w:r>
      <w:r w:rsidR="00875D6A" w:rsidRPr="005C5CBA">
        <w:t xml:space="preserve"> </w:t>
      </w:r>
      <w:r w:rsidR="002C364C" w:rsidRPr="00A54EDF">
        <w:t>insufficient</w:t>
      </w:r>
      <w:r w:rsidRPr="005C5CBA">
        <w:t xml:space="preserve"> data available to support the clinical claim of superior effectiveness</w:t>
      </w:r>
      <w:r w:rsidR="00A17694">
        <w:t xml:space="preserve"> in this population</w:t>
      </w:r>
      <w:r w:rsidRPr="005C5CBA">
        <w:t xml:space="preserve">. </w:t>
      </w:r>
    </w:p>
    <w:p w14:paraId="0D09C9E4" w14:textId="5EBF3564" w:rsidR="00772829" w:rsidRPr="00CE28E3" w:rsidRDefault="00772829" w:rsidP="003027B3">
      <w:pPr>
        <w:pStyle w:val="Heading2"/>
        <w:numPr>
          <w:ilvl w:val="0"/>
          <w:numId w:val="27"/>
        </w:numPr>
        <w:ind w:hanging="720"/>
      </w:pPr>
      <w:r w:rsidRPr="00CE28E3">
        <w:t>Economic evaluation</w:t>
      </w:r>
      <w:bookmarkEnd w:id="25"/>
    </w:p>
    <w:p w14:paraId="390C7BCA" w14:textId="3994C0D6" w:rsidR="000C6AF3" w:rsidRDefault="000C6AF3" w:rsidP="000C6AF3">
      <w:pPr>
        <w:pStyle w:val="Heading3"/>
      </w:pPr>
      <w:bookmarkStart w:id="32" w:name="_Ref69725820"/>
      <w:r>
        <w:t>C</w:t>
      </w:r>
      <w:r w:rsidRPr="00987D42">
        <w:t>ost-effectiveness analysis</w:t>
      </w:r>
      <w:r w:rsidRPr="00155198">
        <w:t xml:space="preserve"> </w:t>
      </w:r>
      <w:r w:rsidR="005B0BD3" w:rsidRPr="00A54EDF">
        <w:t>for</w:t>
      </w:r>
      <w:r>
        <w:t xml:space="preserve"> people with T2D </w:t>
      </w:r>
      <w:r w:rsidRPr="00885987">
        <w:t>treated with insulin</w:t>
      </w:r>
      <w:r>
        <w:t xml:space="preserve"> (PICO </w:t>
      </w:r>
      <w:r w:rsidR="00055849">
        <w:t>S</w:t>
      </w:r>
      <w:r>
        <w:t>et 1)</w:t>
      </w:r>
    </w:p>
    <w:p w14:paraId="2EF5C5AE" w14:textId="23965884" w:rsidR="000C6AF3" w:rsidRDefault="000C6AF3" w:rsidP="000C6AF3">
      <w:pPr>
        <w:pStyle w:val="Instructionaltext"/>
      </w:pPr>
      <w:r w:rsidRPr="00C77835">
        <w:rPr>
          <w:color w:val="auto"/>
        </w:rPr>
        <w:t>The cost-effectiveness analysis (CEA)</w:t>
      </w:r>
      <w:r>
        <w:rPr>
          <w:color w:val="auto"/>
        </w:rPr>
        <w:t xml:space="preserve"> compared the </w:t>
      </w:r>
      <w:r w:rsidR="00EC779C" w:rsidRPr="00EC779C">
        <w:rPr>
          <w:color w:val="auto"/>
        </w:rPr>
        <w:t>FSL2</w:t>
      </w:r>
      <w:r w:rsidR="008C18B6">
        <w:rPr>
          <w:color w:val="auto"/>
        </w:rPr>
        <w:t xml:space="preserve"> </w:t>
      </w:r>
      <w:r w:rsidRPr="00547BB5">
        <w:rPr>
          <w:color w:val="auto"/>
        </w:rPr>
        <w:t xml:space="preserve">or </w:t>
      </w:r>
      <w:r w:rsidR="00EC779C" w:rsidRPr="00EC779C">
        <w:rPr>
          <w:color w:val="auto"/>
        </w:rPr>
        <w:t>FSL2</w:t>
      </w:r>
      <w:r w:rsidR="00EC779C">
        <w:rPr>
          <w:color w:val="auto"/>
        </w:rPr>
        <w:t xml:space="preserve"> </w:t>
      </w:r>
      <w:r w:rsidRPr="00547BB5">
        <w:rPr>
          <w:color w:val="auto"/>
        </w:rPr>
        <w:t>Plus</w:t>
      </w:r>
      <w:r>
        <w:rPr>
          <w:color w:val="auto"/>
        </w:rPr>
        <w:t xml:space="preserve"> </w:t>
      </w:r>
      <w:r w:rsidRPr="00547BB5">
        <w:rPr>
          <w:color w:val="auto"/>
        </w:rPr>
        <w:t>CGM system</w:t>
      </w:r>
      <w:r>
        <w:rPr>
          <w:color w:val="auto"/>
        </w:rPr>
        <w:t xml:space="preserve"> with SMBG, leveraging the </w:t>
      </w:r>
      <w:r w:rsidRPr="00405F48">
        <w:rPr>
          <w:color w:val="auto"/>
        </w:rPr>
        <w:t xml:space="preserve">clinical </w:t>
      </w:r>
      <w:r>
        <w:rPr>
          <w:color w:val="auto"/>
        </w:rPr>
        <w:t xml:space="preserve">claim of </w:t>
      </w:r>
      <w:r w:rsidRPr="00547BB5">
        <w:rPr>
          <w:color w:val="auto"/>
        </w:rPr>
        <w:t xml:space="preserve">superior </w:t>
      </w:r>
      <w:r>
        <w:rPr>
          <w:color w:val="auto"/>
        </w:rPr>
        <w:t>efficacy (</w:t>
      </w:r>
      <w:r w:rsidRPr="00547BB5">
        <w:rPr>
          <w:color w:val="auto"/>
        </w:rPr>
        <w:t>glycaemic control</w:t>
      </w:r>
      <w:r>
        <w:rPr>
          <w:color w:val="auto"/>
        </w:rPr>
        <w:t xml:space="preserve">) and </w:t>
      </w:r>
      <w:r w:rsidRPr="00547BB5">
        <w:rPr>
          <w:color w:val="auto"/>
        </w:rPr>
        <w:t>non-inferior</w:t>
      </w:r>
      <w:r>
        <w:rPr>
          <w:color w:val="auto"/>
        </w:rPr>
        <w:t xml:space="preserve"> safety in people with T2D </w:t>
      </w:r>
      <w:r w:rsidRPr="00885987">
        <w:rPr>
          <w:color w:val="auto"/>
        </w:rPr>
        <w:t>treated with insulin</w:t>
      </w:r>
      <w:r>
        <w:t xml:space="preserve">. </w:t>
      </w:r>
    </w:p>
    <w:p w14:paraId="106F73BE" w14:textId="66316008" w:rsidR="00FF1257" w:rsidRDefault="000C6AF3" w:rsidP="000C6AF3">
      <w:pPr>
        <w:pStyle w:val="Instructionaltext"/>
        <w:rPr>
          <w:color w:val="auto"/>
        </w:rPr>
      </w:pPr>
      <w:r>
        <w:rPr>
          <w:color w:val="auto"/>
        </w:rPr>
        <w:t xml:space="preserve">To conduct the CEA, the applicant used the </w:t>
      </w:r>
      <w:r w:rsidRPr="002929D0">
        <w:rPr>
          <w:color w:val="auto"/>
        </w:rPr>
        <w:t>Determination of Diabetes Utilities, Costs and Effects</w:t>
      </w:r>
      <w:r>
        <w:rPr>
          <w:color w:val="auto"/>
        </w:rPr>
        <w:t xml:space="preserve"> (DEDUCE) microsimulation model</w:t>
      </w:r>
      <w:r w:rsidR="00D60C2C">
        <w:rPr>
          <w:color w:val="auto"/>
        </w:rPr>
        <w:t>,</w:t>
      </w:r>
      <w:r w:rsidR="00F3247A">
        <w:rPr>
          <w:rStyle w:val="FootnoteReference"/>
          <w:color w:val="auto"/>
        </w:rPr>
        <w:footnoteReference w:id="22"/>
      </w:r>
      <w:r>
        <w:rPr>
          <w:color w:val="auto"/>
        </w:rPr>
        <w:t xml:space="preserve"> developed in Microsoft Excel. </w:t>
      </w:r>
      <w:bookmarkStart w:id="33" w:name="_Hlk192065439"/>
      <w:r w:rsidR="00667F88">
        <w:rPr>
          <w:color w:val="auto"/>
        </w:rPr>
        <w:t xml:space="preserve">The model structure is presented in </w:t>
      </w:r>
      <w:r w:rsidR="00667F88" w:rsidRPr="007940F2">
        <w:rPr>
          <w:color w:val="auto"/>
        </w:rPr>
        <w:fldChar w:fldCharType="begin"/>
      </w:r>
      <w:r w:rsidR="00667F88" w:rsidRPr="007940F2">
        <w:rPr>
          <w:color w:val="auto"/>
        </w:rPr>
        <w:instrText xml:space="preserve"> REF _Ref196372589 \h </w:instrText>
      </w:r>
      <w:r w:rsidR="007940F2" w:rsidRPr="000276B9">
        <w:rPr>
          <w:color w:val="auto"/>
        </w:rPr>
        <w:instrText xml:space="preserve"> \* MERGEFORMAT </w:instrText>
      </w:r>
      <w:r w:rsidR="00667F88" w:rsidRPr="007940F2">
        <w:rPr>
          <w:color w:val="auto"/>
        </w:rPr>
      </w:r>
      <w:r w:rsidR="00667F88" w:rsidRPr="007940F2">
        <w:rPr>
          <w:color w:val="auto"/>
        </w:rPr>
        <w:fldChar w:fldCharType="separate"/>
      </w:r>
      <w:r w:rsidR="00315A60" w:rsidRPr="005B79EF">
        <w:rPr>
          <w:color w:val="auto"/>
        </w:rPr>
        <w:t xml:space="preserve">Figure </w:t>
      </w:r>
      <w:r w:rsidR="00315A60" w:rsidRPr="005B79EF">
        <w:rPr>
          <w:noProof/>
          <w:color w:val="auto"/>
        </w:rPr>
        <w:t>2</w:t>
      </w:r>
      <w:r w:rsidR="00667F88" w:rsidRPr="007940F2">
        <w:rPr>
          <w:color w:val="auto"/>
        </w:rPr>
        <w:fldChar w:fldCharType="end"/>
      </w:r>
      <w:r w:rsidR="005C6F30">
        <w:rPr>
          <w:color w:val="auto"/>
        </w:rPr>
        <w:t>, obtained from the ADAR</w:t>
      </w:r>
      <w:r w:rsidR="00667F88">
        <w:rPr>
          <w:color w:val="auto"/>
        </w:rPr>
        <w:t>. The model use</w:t>
      </w:r>
      <w:r w:rsidR="00FF1257">
        <w:rPr>
          <w:color w:val="auto"/>
        </w:rPr>
        <w:t>d</w:t>
      </w:r>
      <w:r w:rsidR="00667F88">
        <w:rPr>
          <w:color w:val="auto"/>
        </w:rPr>
        <w:t xml:space="preserve"> Monte Carlo simulation methods to simulate </w:t>
      </w:r>
      <w:r w:rsidR="00F3247A">
        <w:rPr>
          <w:color w:val="auto"/>
        </w:rPr>
        <w:t>50</w:t>
      </w:r>
      <w:r w:rsidR="00667F88">
        <w:rPr>
          <w:color w:val="auto"/>
        </w:rPr>
        <w:t>,000</w:t>
      </w:r>
      <w:r w:rsidR="00FF1257">
        <w:rPr>
          <w:color w:val="auto"/>
        </w:rPr>
        <w:t xml:space="preserve"> unique</w:t>
      </w:r>
      <w:r w:rsidR="00667F88">
        <w:rPr>
          <w:color w:val="auto"/>
        </w:rPr>
        <w:t xml:space="preserve"> adults </w:t>
      </w:r>
      <w:r w:rsidR="00667F88" w:rsidRPr="00667F88">
        <w:rPr>
          <w:color w:val="auto"/>
        </w:rPr>
        <w:t xml:space="preserve">living with </w:t>
      </w:r>
      <w:r w:rsidR="00667F88">
        <w:rPr>
          <w:color w:val="auto"/>
        </w:rPr>
        <w:t xml:space="preserve">T2D and </w:t>
      </w:r>
      <w:r w:rsidR="00FC3088">
        <w:rPr>
          <w:color w:val="auto"/>
        </w:rPr>
        <w:t xml:space="preserve">being </w:t>
      </w:r>
      <w:r w:rsidR="00667F88" w:rsidRPr="00667F88">
        <w:rPr>
          <w:color w:val="auto"/>
        </w:rPr>
        <w:t>treated with insulin</w:t>
      </w:r>
      <w:r w:rsidR="00667F88">
        <w:rPr>
          <w:color w:val="auto"/>
        </w:rPr>
        <w:t>.</w:t>
      </w:r>
      <w:r w:rsidR="00FF1257">
        <w:rPr>
          <w:color w:val="auto"/>
        </w:rPr>
        <w:t xml:space="preserve"> The properties of a microsimulation model allowed for </w:t>
      </w:r>
      <w:proofErr w:type="gramStart"/>
      <w:r w:rsidR="00FF1257">
        <w:rPr>
          <w:color w:val="auto"/>
        </w:rPr>
        <w:t>each individual</w:t>
      </w:r>
      <w:proofErr w:type="gramEnd"/>
      <w:r w:rsidR="00FF1257">
        <w:rPr>
          <w:color w:val="auto"/>
        </w:rPr>
        <w:t xml:space="preserve"> to experience a unique journey through the model</w:t>
      </w:r>
      <w:r w:rsidR="007940F2">
        <w:rPr>
          <w:color w:val="auto"/>
        </w:rPr>
        <w:t>. This means that</w:t>
      </w:r>
      <w:r w:rsidR="00FF1257">
        <w:rPr>
          <w:color w:val="auto"/>
        </w:rPr>
        <w:t xml:space="preserve"> the heterogeneity of T2D was appropriately captured and quantified. </w:t>
      </w:r>
    </w:p>
    <w:p w14:paraId="1B63BEDE" w14:textId="29DB4236" w:rsidR="00300870" w:rsidRDefault="00FF1257" w:rsidP="00300870">
      <w:pPr>
        <w:pStyle w:val="Instructionaltext"/>
        <w:rPr>
          <w:color w:val="auto"/>
        </w:rPr>
      </w:pPr>
      <w:bookmarkStart w:id="34" w:name="_Hlk196462137"/>
      <w:r>
        <w:rPr>
          <w:color w:val="auto"/>
        </w:rPr>
        <w:t xml:space="preserve">Upon model entry, an individual </w:t>
      </w:r>
      <w:r w:rsidR="007347FE">
        <w:rPr>
          <w:color w:val="auto"/>
        </w:rPr>
        <w:t>wa</w:t>
      </w:r>
      <w:r>
        <w:rPr>
          <w:color w:val="auto"/>
        </w:rPr>
        <w:t xml:space="preserve">s assigned to either the FSL CGM arm or the SMBG arm. </w:t>
      </w:r>
      <w:r w:rsidR="00F3247A">
        <w:rPr>
          <w:color w:val="auto"/>
        </w:rPr>
        <w:t xml:space="preserve">It was assumed that, depending on the arm, </w:t>
      </w:r>
      <w:proofErr w:type="gramStart"/>
      <w:r w:rsidR="00F3247A">
        <w:rPr>
          <w:color w:val="auto"/>
        </w:rPr>
        <w:t>each individual</w:t>
      </w:r>
      <w:proofErr w:type="gramEnd"/>
      <w:r w:rsidR="00F3247A">
        <w:rPr>
          <w:color w:val="auto"/>
        </w:rPr>
        <w:t xml:space="preserve"> experienced an immediate, one-time reduction in HbA1c</w:t>
      </w:r>
      <w:bookmarkEnd w:id="34"/>
      <w:r w:rsidR="00F3247A">
        <w:rPr>
          <w:color w:val="auto"/>
        </w:rPr>
        <w:t>. In each model cycle</w:t>
      </w:r>
      <w:r w:rsidR="007347FE">
        <w:rPr>
          <w:color w:val="auto"/>
        </w:rPr>
        <w:t xml:space="preserve"> (length of 1 year)</w:t>
      </w:r>
      <w:r w:rsidR="00F3247A">
        <w:rPr>
          <w:color w:val="auto"/>
        </w:rPr>
        <w:t>, an individual’s</w:t>
      </w:r>
      <w:r w:rsidR="009B508E">
        <w:rPr>
          <w:color w:val="auto"/>
        </w:rPr>
        <w:t xml:space="preserve"> clinical</w:t>
      </w:r>
      <w:r w:rsidR="00F3247A">
        <w:rPr>
          <w:color w:val="auto"/>
        </w:rPr>
        <w:t xml:space="preserve"> characteristics</w:t>
      </w:r>
      <w:r w:rsidR="009B508E">
        <w:rPr>
          <w:color w:val="auto"/>
        </w:rPr>
        <w:t xml:space="preserve"> and complication history data</w:t>
      </w:r>
      <w:r w:rsidR="00F3247A">
        <w:rPr>
          <w:color w:val="auto"/>
        </w:rPr>
        <w:t xml:space="preserve"> were fed into the published </w:t>
      </w:r>
      <w:r w:rsidR="00A267CC">
        <w:rPr>
          <w:color w:val="000000" w:themeColor="text1"/>
        </w:rPr>
        <w:t>Risk Equations for Complications of Type 2 Diabetes (</w:t>
      </w:r>
      <w:r w:rsidR="00226CCE">
        <w:rPr>
          <w:color w:val="auto"/>
        </w:rPr>
        <w:t>RECODe</w:t>
      </w:r>
      <w:r w:rsidR="00291338">
        <w:rPr>
          <w:color w:val="auto"/>
        </w:rPr>
        <w:t>),</w:t>
      </w:r>
      <w:r w:rsidR="00401382">
        <w:rPr>
          <w:color w:val="auto"/>
        </w:rPr>
        <w:t xml:space="preserve"> which </w:t>
      </w:r>
      <w:r w:rsidR="0014794B">
        <w:rPr>
          <w:color w:val="auto"/>
        </w:rPr>
        <w:t>were developed and</w:t>
      </w:r>
      <w:r w:rsidR="00401382">
        <w:rPr>
          <w:color w:val="auto"/>
        </w:rPr>
        <w:t xml:space="preserve"> validated</w:t>
      </w:r>
      <w:r w:rsidR="0014794B">
        <w:rPr>
          <w:color w:val="auto"/>
        </w:rPr>
        <w:t xml:space="preserve"> using</w:t>
      </w:r>
      <w:r w:rsidR="003C68C9">
        <w:rPr>
          <w:color w:val="auto"/>
        </w:rPr>
        <w:t xml:space="preserve"> data from the Action to Control Cardiovascular Risk in Diabetes study (ACCORD)</w:t>
      </w:r>
      <w:r w:rsidR="00E419A6">
        <w:rPr>
          <w:color w:val="auto"/>
        </w:rPr>
        <w:t>,</w:t>
      </w:r>
      <w:r w:rsidR="00C77057">
        <w:rPr>
          <w:color w:val="auto"/>
        </w:rPr>
        <w:t xml:space="preserve"> </w:t>
      </w:r>
      <w:r w:rsidR="00D53BD6">
        <w:rPr>
          <w:color w:val="auto"/>
        </w:rPr>
        <w:t xml:space="preserve">and validated for microvascular </w:t>
      </w:r>
      <w:r w:rsidR="00965B72">
        <w:rPr>
          <w:color w:val="auto"/>
        </w:rPr>
        <w:t xml:space="preserve">events and </w:t>
      </w:r>
      <w:r w:rsidR="00D53BD6">
        <w:rPr>
          <w:color w:val="auto"/>
        </w:rPr>
        <w:t xml:space="preserve">cardiovascular events using </w:t>
      </w:r>
      <w:r w:rsidR="00842B0E">
        <w:rPr>
          <w:color w:val="auto"/>
        </w:rPr>
        <w:t>data from the</w:t>
      </w:r>
      <w:r w:rsidR="00D53BD6">
        <w:rPr>
          <w:color w:val="auto"/>
        </w:rPr>
        <w:t xml:space="preserve"> Diabetes Prevention Program Outcomes Study (</w:t>
      </w:r>
      <w:r w:rsidR="00842B0E">
        <w:rPr>
          <w:color w:val="auto"/>
        </w:rPr>
        <w:t>DPPOS) and Action for Health in Diabetes (Look AHEAD), respectively.</w:t>
      </w:r>
      <w:r w:rsidR="009B508E">
        <w:rPr>
          <w:rStyle w:val="FootnoteReference"/>
          <w:color w:val="auto"/>
        </w:rPr>
        <w:footnoteReference w:id="23"/>
      </w:r>
      <w:r w:rsidR="00226CCE">
        <w:rPr>
          <w:color w:val="auto"/>
        </w:rPr>
        <w:t xml:space="preserve"> The risk equations</w:t>
      </w:r>
      <w:r w:rsidR="00F3247A">
        <w:rPr>
          <w:color w:val="auto"/>
        </w:rPr>
        <w:t xml:space="preserve"> estimate the per-cycle</w:t>
      </w:r>
      <w:r w:rsidR="009B508E">
        <w:rPr>
          <w:color w:val="auto"/>
        </w:rPr>
        <w:t xml:space="preserve"> (annual)</w:t>
      </w:r>
      <w:r w:rsidR="00F3247A">
        <w:rPr>
          <w:color w:val="auto"/>
        </w:rPr>
        <w:t xml:space="preserve"> probability of a diabetes-related complication (micro- or macrovascular) or death occurring. </w:t>
      </w:r>
      <w:r w:rsidR="009B508E">
        <w:rPr>
          <w:color w:val="auto"/>
        </w:rPr>
        <w:t>HBA1c is a covariable in the RECODe risk equations, th</w:t>
      </w:r>
      <w:r w:rsidR="0039461F">
        <w:rPr>
          <w:color w:val="auto"/>
        </w:rPr>
        <w:t>us it</w:t>
      </w:r>
      <w:r w:rsidR="009B508E">
        <w:rPr>
          <w:color w:val="auto"/>
        </w:rPr>
        <w:t xml:space="preserve"> impacts the</w:t>
      </w:r>
      <w:r w:rsidR="005C6F30">
        <w:rPr>
          <w:color w:val="auto"/>
        </w:rPr>
        <w:t>se probabilities (i.e. lowering HbA1c will reduce the probability of a complication).</w:t>
      </w:r>
      <w:r w:rsidR="004121AB">
        <w:rPr>
          <w:color w:val="auto"/>
        </w:rPr>
        <w:t xml:space="preserve"> </w:t>
      </w:r>
      <w:r w:rsidR="00300870">
        <w:rPr>
          <w:color w:val="auto"/>
        </w:rPr>
        <w:t>However</w:t>
      </w:r>
      <w:r w:rsidR="00A942DA">
        <w:rPr>
          <w:color w:val="auto"/>
        </w:rPr>
        <w:t>,</w:t>
      </w:r>
      <w:r w:rsidR="00300870">
        <w:rPr>
          <w:color w:val="auto"/>
        </w:rPr>
        <w:t xml:space="preserve"> the model assumes </w:t>
      </w:r>
      <w:r w:rsidR="00300870" w:rsidRPr="00833CBC">
        <w:rPr>
          <w:color w:val="auto"/>
        </w:rPr>
        <w:t>that an individual can only experience costs and complications associated with T2D after</w:t>
      </w:r>
      <w:r w:rsidR="00300870">
        <w:rPr>
          <w:color w:val="auto"/>
        </w:rPr>
        <w:t xml:space="preserve"> </w:t>
      </w:r>
      <w:r w:rsidR="00300870" w:rsidRPr="00833CBC">
        <w:rPr>
          <w:color w:val="auto"/>
        </w:rPr>
        <w:t>1 year of treatment</w:t>
      </w:r>
      <w:r w:rsidR="00E819FC">
        <w:rPr>
          <w:color w:val="auto"/>
        </w:rPr>
        <w:t>,</w:t>
      </w:r>
      <w:r w:rsidR="00300870">
        <w:rPr>
          <w:color w:val="auto"/>
        </w:rPr>
        <w:t xml:space="preserve"> which is not reflective of clinical practice.</w:t>
      </w:r>
    </w:p>
    <w:p w14:paraId="3FF917EB" w14:textId="496EBFA7" w:rsidR="00585D0E" w:rsidRDefault="005C6F30" w:rsidP="005C6F30">
      <w:pPr>
        <w:pStyle w:val="Instructionaltext"/>
        <w:rPr>
          <w:color w:val="auto"/>
        </w:rPr>
      </w:pPr>
      <w:r>
        <w:rPr>
          <w:color w:val="auto"/>
        </w:rPr>
        <w:t xml:space="preserve">Acute diabetic events (ADE) are not a covariable or an outcome in the RECODe equations. Therefore, it was assumed ADEs </w:t>
      </w:r>
      <w:bookmarkStart w:id="35" w:name="_Hlk196375829"/>
      <w:r>
        <w:rPr>
          <w:color w:val="auto"/>
        </w:rPr>
        <w:t xml:space="preserve">were independent from complications. </w:t>
      </w:r>
      <w:bookmarkEnd w:id="35"/>
      <w:r>
        <w:rPr>
          <w:color w:val="auto"/>
        </w:rPr>
        <w:t xml:space="preserve">The per-cycle probability of an ADE was informed by </w:t>
      </w:r>
      <w:r w:rsidR="00585D0E">
        <w:rPr>
          <w:color w:val="auto"/>
        </w:rPr>
        <w:t>results</w:t>
      </w:r>
      <w:r>
        <w:rPr>
          <w:color w:val="auto"/>
        </w:rPr>
        <w:t xml:space="preserve"> from the RELIEF study</w:t>
      </w:r>
      <w:r w:rsidR="00A942DA">
        <w:rPr>
          <w:color w:val="auto"/>
        </w:rPr>
        <w:t>,</w:t>
      </w:r>
      <w:r w:rsidR="00457D3E">
        <w:rPr>
          <w:color w:val="auto"/>
        </w:rPr>
        <w:t xml:space="preserve"> which </w:t>
      </w:r>
      <w:r w:rsidR="00B47F0C">
        <w:rPr>
          <w:color w:val="auto"/>
        </w:rPr>
        <w:t>assessed the rates of hospitalisation for acut</w:t>
      </w:r>
      <w:r w:rsidR="00466668">
        <w:rPr>
          <w:color w:val="auto"/>
        </w:rPr>
        <w:t>e</w:t>
      </w:r>
      <w:r w:rsidR="00B47F0C">
        <w:rPr>
          <w:color w:val="auto"/>
        </w:rPr>
        <w:t xml:space="preserve"> diabetes complications in France</w:t>
      </w:r>
      <w:r w:rsidR="00466668">
        <w:rPr>
          <w:color w:val="auto"/>
        </w:rPr>
        <w:t xml:space="preserve"> </w:t>
      </w:r>
      <w:r w:rsidR="00BD6B41">
        <w:rPr>
          <w:color w:val="auto"/>
        </w:rPr>
        <w:t xml:space="preserve">for a year </w:t>
      </w:r>
      <w:r w:rsidR="00466668">
        <w:rPr>
          <w:color w:val="auto"/>
        </w:rPr>
        <w:t>before and af</w:t>
      </w:r>
      <w:r w:rsidR="00CF17C2">
        <w:rPr>
          <w:color w:val="auto"/>
        </w:rPr>
        <w:t>t</w:t>
      </w:r>
      <w:r w:rsidR="00466668">
        <w:rPr>
          <w:color w:val="auto"/>
        </w:rPr>
        <w:t xml:space="preserve">er </w:t>
      </w:r>
      <w:r w:rsidR="00DA4C5F">
        <w:rPr>
          <w:color w:val="auto"/>
        </w:rPr>
        <w:t xml:space="preserve">use of the </w:t>
      </w:r>
      <w:r w:rsidR="00CF17C2">
        <w:rPr>
          <w:color w:val="auto"/>
        </w:rPr>
        <w:t>FSL</w:t>
      </w:r>
      <w:r w:rsidR="00DA4C5F">
        <w:rPr>
          <w:color w:val="auto"/>
        </w:rPr>
        <w:t xml:space="preserve"> began</w:t>
      </w:r>
      <w:r>
        <w:rPr>
          <w:color w:val="auto"/>
        </w:rPr>
        <w:t>.</w:t>
      </w:r>
      <w:r w:rsidR="00585D0E">
        <w:rPr>
          <w:color w:val="auto"/>
        </w:rPr>
        <w:t xml:space="preserve"> </w:t>
      </w:r>
    </w:p>
    <w:p w14:paraId="6AC95DEC" w14:textId="49984D48" w:rsidR="006F11B6" w:rsidRDefault="00585D0E" w:rsidP="009B508E">
      <w:pPr>
        <w:pStyle w:val="Instructionaltext"/>
        <w:rPr>
          <w:color w:val="auto"/>
        </w:rPr>
      </w:pPr>
      <w:r>
        <w:rPr>
          <w:color w:val="auto"/>
        </w:rPr>
        <w:t xml:space="preserve">Monte Carlo methods were employed to determine whether a complication or death occurred in each cycle. Each complication experienced by the individual incurred a cost and impacted health-related quality of life (HRQoL). </w:t>
      </w:r>
      <w:r w:rsidR="009B508E">
        <w:rPr>
          <w:color w:val="auto"/>
        </w:rPr>
        <w:t xml:space="preserve">The lifeline costs and benefits of ADEs, diabetes-related complications, treatment and monitoring were captured over the lifetime of the simulated population. A first-order analysis was conducted </w:t>
      </w:r>
      <w:r w:rsidR="00BD6B41">
        <w:rPr>
          <w:color w:val="auto"/>
        </w:rPr>
        <w:t>for</w:t>
      </w:r>
      <w:r w:rsidR="009B508E">
        <w:rPr>
          <w:color w:val="auto"/>
        </w:rPr>
        <w:t xml:space="preserve"> the base case.</w:t>
      </w:r>
      <w:r w:rsidR="009B508E" w:rsidRPr="00885987">
        <w:rPr>
          <w:color w:val="auto"/>
        </w:rPr>
        <w:t xml:space="preserve"> An Australian healthcare system perspective was taken</w:t>
      </w:r>
      <w:r w:rsidR="009B508E">
        <w:rPr>
          <w:color w:val="auto"/>
        </w:rPr>
        <w:t xml:space="preserve">. </w:t>
      </w:r>
      <w:r w:rsidR="009B508E">
        <w:rPr>
          <w:color w:val="auto"/>
        </w:rPr>
        <w:fldChar w:fldCharType="begin"/>
      </w:r>
      <w:r w:rsidR="009B508E">
        <w:rPr>
          <w:color w:val="auto"/>
        </w:rPr>
        <w:instrText xml:space="preserve"> REF _Ref193893121 \h  \* MERGEFORMAT </w:instrText>
      </w:r>
      <w:r w:rsidR="009B508E">
        <w:rPr>
          <w:color w:val="auto"/>
        </w:rPr>
      </w:r>
      <w:r w:rsidR="009B508E">
        <w:rPr>
          <w:color w:val="auto"/>
        </w:rPr>
        <w:fldChar w:fldCharType="separate"/>
      </w:r>
      <w:r w:rsidR="00315A60" w:rsidRPr="005B79EF">
        <w:rPr>
          <w:color w:val="auto"/>
        </w:rPr>
        <w:t>Table 6</w:t>
      </w:r>
      <w:r w:rsidR="009B508E">
        <w:rPr>
          <w:color w:val="auto"/>
        </w:rPr>
        <w:fldChar w:fldCharType="end"/>
      </w:r>
      <w:r w:rsidR="009B508E">
        <w:rPr>
          <w:color w:val="auto"/>
        </w:rPr>
        <w:t xml:space="preserve"> </w:t>
      </w:r>
      <w:r w:rsidR="009B508E" w:rsidRPr="00885987">
        <w:rPr>
          <w:color w:val="auto"/>
        </w:rPr>
        <w:t>provides a summary of the economic evaluation and an overview of the model parameters.</w:t>
      </w:r>
    </w:p>
    <w:p w14:paraId="3FAF0022" w14:textId="649B77DD" w:rsidR="00667F88" w:rsidRDefault="00667F88" w:rsidP="00667F88">
      <w:pPr>
        <w:pStyle w:val="Caption"/>
      </w:pPr>
      <w:bookmarkStart w:id="36" w:name="_Ref196372589"/>
      <w:r>
        <w:t xml:space="preserve">Figure </w:t>
      </w:r>
      <w:r w:rsidR="00315A60">
        <w:fldChar w:fldCharType="begin"/>
      </w:r>
      <w:r w:rsidR="00315A60">
        <w:instrText xml:space="preserve"> SEQ Figure \* ARABIC </w:instrText>
      </w:r>
      <w:r w:rsidR="00315A60">
        <w:fldChar w:fldCharType="separate"/>
      </w:r>
      <w:r w:rsidR="00315A60">
        <w:rPr>
          <w:noProof/>
        </w:rPr>
        <w:t>2</w:t>
      </w:r>
      <w:r w:rsidR="00315A60">
        <w:rPr>
          <w:noProof/>
        </w:rPr>
        <w:fldChar w:fldCharType="end"/>
      </w:r>
      <w:bookmarkEnd w:id="36"/>
      <w:r>
        <w:tab/>
        <w:t>DEDUCE model schematic</w:t>
      </w:r>
    </w:p>
    <w:p w14:paraId="6362A14A" w14:textId="566443D3" w:rsidR="00667F88" w:rsidRPr="00667F88" w:rsidRDefault="00667F88" w:rsidP="005B79EF">
      <w:r w:rsidRPr="004A478D">
        <w:rPr>
          <w:noProof/>
        </w:rPr>
        <w:drawing>
          <wp:inline distT="0" distB="0" distL="0" distR="0" wp14:anchorId="5F8AE020" wp14:editId="5664652A">
            <wp:extent cx="5731510" cy="3395967"/>
            <wp:effectExtent l="19050" t="19050" r="21590" b="14605"/>
            <wp:docPr id="1431164120" name="Picture 1431164120" descr="Figure 2 DEDUCE model sche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164120" name="Picture 1" descr="Figure 2 DEDUCE model schematic"/>
                    <pic:cNvPicPr/>
                  </pic:nvPicPr>
                  <pic:blipFill>
                    <a:blip r:embed="rId15"/>
                    <a:stretch>
                      <a:fillRect/>
                    </a:stretch>
                  </pic:blipFill>
                  <pic:spPr>
                    <a:xfrm>
                      <a:off x="0" y="0"/>
                      <a:ext cx="5731510" cy="3395967"/>
                    </a:xfrm>
                    <a:prstGeom prst="rect">
                      <a:avLst/>
                    </a:prstGeom>
                    <a:ln>
                      <a:solidFill>
                        <a:schemeClr val="tx1"/>
                      </a:solidFill>
                    </a:ln>
                  </pic:spPr>
                </pic:pic>
              </a:graphicData>
            </a:graphic>
          </wp:inline>
        </w:drawing>
      </w:r>
    </w:p>
    <w:p w14:paraId="07DCA01A" w14:textId="7253811B" w:rsidR="0028363D" w:rsidRPr="003027B3" w:rsidRDefault="0028363D" w:rsidP="005B79EF">
      <w:pPr>
        <w:rPr>
          <w:rFonts w:ascii="Arial Narrow" w:hAnsi="Arial Narrow"/>
          <w:sz w:val="18"/>
          <w:szCs w:val="18"/>
        </w:rPr>
      </w:pPr>
      <w:r w:rsidRPr="003027B3">
        <w:rPr>
          <w:rFonts w:ascii="Arial Narrow" w:hAnsi="Arial Narrow"/>
          <w:b/>
          <w:bCs/>
          <w:sz w:val="18"/>
          <w:szCs w:val="18"/>
        </w:rPr>
        <w:t>A</w:t>
      </w:r>
      <w:r w:rsidR="00642EBF" w:rsidRPr="003027B3">
        <w:rPr>
          <w:rFonts w:ascii="Arial Narrow" w:hAnsi="Arial Narrow"/>
          <w:b/>
          <w:bCs/>
          <w:sz w:val="18"/>
          <w:szCs w:val="18"/>
        </w:rPr>
        <w:t>bbreviations</w:t>
      </w:r>
      <w:r w:rsidRPr="003027B3">
        <w:rPr>
          <w:rFonts w:ascii="Arial Narrow" w:hAnsi="Arial Narrow"/>
          <w:sz w:val="18"/>
          <w:szCs w:val="18"/>
        </w:rPr>
        <w:t xml:space="preserve">: </w:t>
      </w:r>
      <w:r w:rsidR="00642EBF" w:rsidRPr="003027B3">
        <w:rPr>
          <w:rFonts w:ascii="Arial Narrow" w:hAnsi="Arial Narrow"/>
          <w:sz w:val="18"/>
          <w:szCs w:val="18"/>
        </w:rPr>
        <w:br/>
      </w:r>
      <w:r w:rsidRPr="003027B3">
        <w:rPr>
          <w:rFonts w:ascii="Arial Narrow" w:hAnsi="Arial Narrow"/>
          <w:sz w:val="18"/>
          <w:szCs w:val="18"/>
        </w:rPr>
        <w:t xml:space="preserve">DEDUCE= Determination of Diabetes Utilities, Costs and Effects model; </w:t>
      </w:r>
      <w:r w:rsidR="00910EC1" w:rsidRPr="003027B3">
        <w:rPr>
          <w:rFonts w:ascii="Arial Narrow" w:hAnsi="Arial Narrow"/>
          <w:sz w:val="18"/>
          <w:szCs w:val="18"/>
        </w:rPr>
        <w:t xml:space="preserve">DKA= </w:t>
      </w:r>
      <w:r w:rsidR="007C2A46" w:rsidRPr="003027B3">
        <w:rPr>
          <w:rFonts w:ascii="Arial Narrow" w:hAnsi="Arial Narrow"/>
          <w:sz w:val="18"/>
          <w:szCs w:val="18"/>
        </w:rPr>
        <w:t>d</w:t>
      </w:r>
      <w:r w:rsidR="00910EC1" w:rsidRPr="003027B3">
        <w:rPr>
          <w:rFonts w:ascii="Arial Narrow" w:hAnsi="Arial Narrow"/>
          <w:sz w:val="18"/>
          <w:szCs w:val="18"/>
        </w:rPr>
        <w:t xml:space="preserve">iabetic </w:t>
      </w:r>
      <w:r w:rsidR="007C2A46" w:rsidRPr="003027B3">
        <w:rPr>
          <w:rFonts w:ascii="Arial Narrow" w:hAnsi="Arial Narrow"/>
          <w:sz w:val="18"/>
          <w:szCs w:val="18"/>
        </w:rPr>
        <w:t>k</w:t>
      </w:r>
      <w:r w:rsidR="00910EC1" w:rsidRPr="003027B3">
        <w:rPr>
          <w:rFonts w:ascii="Arial Narrow" w:hAnsi="Arial Narrow"/>
          <w:sz w:val="18"/>
          <w:szCs w:val="18"/>
        </w:rPr>
        <w:t>etoacidosis;</w:t>
      </w:r>
      <w:r w:rsidR="006F11B6" w:rsidRPr="003027B3">
        <w:rPr>
          <w:rFonts w:ascii="Arial Narrow" w:hAnsi="Arial Narrow"/>
          <w:sz w:val="18"/>
          <w:szCs w:val="18"/>
        </w:rPr>
        <w:t xml:space="preserve"> </w:t>
      </w:r>
      <w:r w:rsidR="00910EC1" w:rsidRPr="003027B3">
        <w:rPr>
          <w:rFonts w:ascii="Arial Narrow" w:hAnsi="Arial Narrow"/>
          <w:sz w:val="18"/>
          <w:szCs w:val="18"/>
        </w:rPr>
        <w:t>HbA1c= glycated h</w:t>
      </w:r>
      <w:r w:rsidR="00741B40" w:rsidRPr="003027B3">
        <w:rPr>
          <w:rFonts w:ascii="Arial Narrow" w:hAnsi="Arial Narrow"/>
          <w:sz w:val="18"/>
          <w:szCs w:val="18"/>
        </w:rPr>
        <w:t>a</w:t>
      </w:r>
      <w:r w:rsidR="00910EC1" w:rsidRPr="003027B3">
        <w:rPr>
          <w:rFonts w:ascii="Arial Narrow" w:hAnsi="Arial Narrow"/>
          <w:sz w:val="18"/>
          <w:szCs w:val="18"/>
        </w:rPr>
        <w:t xml:space="preserve">emoglobin; LDL= </w:t>
      </w:r>
      <w:r w:rsidR="007C2A46" w:rsidRPr="003027B3">
        <w:rPr>
          <w:rFonts w:ascii="Arial Narrow" w:hAnsi="Arial Narrow"/>
          <w:sz w:val="18"/>
          <w:szCs w:val="18"/>
        </w:rPr>
        <w:t>l</w:t>
      </w:r>
      <w:r w:rsidR="00910EC1" w:rsidRPr="003027B3">
        <w:rPr>
          <w:rFonts w:ascii="Arial Narrow" w:hAnsi="Arial Narrow"/>
          <w:sz w:val="18"/>
          <w:szCs w:val="18"/>
        </w:rPr>
        <w:t xml:space="preserve">ow-density </w:t>
      </w:r>
      <w:r w:rsidR="007C2A46" w:rsidRPr="003027B3">
        <w:rPr>
          <w:rFonts w:ascii="Arial Narrow" w:hAnsi="Arial Narrow"/>
          <w:sz w:val="18"/>
          <w:szCs w:val="18"/>
        </w:rPr>
        <w:t>l</w:t>
      </w:r>
      <w:r w:rsidR="00910EC1" w:rsidRPr="003027B3">
        <w:rPr>
          <w:rFonts w:ascii="Arial Narrow" w:hAnsi="Arial Narrow"/>
          <w:sz w:val="18"/>
          <w:szCs w:val="18"/>
        </w:rPr>
        <w:t>ipoprotein;</w:t>
      </w:r>
      <w:r w:rsidRPr="003027B3">
        <w:rPr>
          <w:rFonts w:ascii="Arial Narrow" w:hAnsi="Arial Narrow"/>
          <w:sz w:val="18"/>
          <w:szCs w:val="18"/>
        </w:rPr>
        <w:t xml:space="preserve"> </w:t>
      </w:r>
      <w:r w:rsidR="00BE47F4" w:rsidRPr="003027B3">
        <w:rPr>
          <w:rFonts w:ascii="Arial Narrow" w:hAnsi="Arial Narrow"/>
          <w:sz w:val="18"/>
          <w:szCs w:val="18"/>
        </w:rPr>
        <w:t xml:space="preserve">RECoDe= </w:t>
      </w:r>
      <w:r w:rsidRPr="003027B3">
        <w:rPr>
          <w:rFonts w:ascii="Arial Narrow" w:hAnsi="Arial Narrow"/>
          <w:sz w:val="18"/>
          <w:szCs w:val="18"/>
        </w:rPr>
        <w:t>Risk Equations for Complications Of type 2 Diabetes</w:t>
      </w:r>
      <w:r w:rsidR="00BE47F4" w:rsidRPr="003027B3">
        <w:rPr>
          <w:rFonts w:ascii="Arial Narrow" w:hAnsi="Arial Narrow"/>
          <w:sz w:val="18"/>
          <w:szCs w:val="18"/>
        </w:rPr>
        <w:t xml:space="preserve">; </w:t>
      </w:r>
      <w:r w:rsidR="00F54835" w:rsidRPr="003027B3">
        <w:rPr>
          <w:rFonts w:ascii="Arial Narrow" w:hAnsi="Arial Narrow"/>
          <w:sz w:val="18"/>
          <w:szCs w:val="18"/>
        </w:rPr>
        <w:t>SHE=</w:t>
      </w:r>
      <w:r w:rsidR="008806C2" w:rsidRPr="003027B3">
        <w:rPr>
          <w:rFonts w:ascii="Arial Narrow" w:hAnsi="Arial Narrow"/>
          <w:sz w:val="18"/>
          <w:szCs w:val="18"/>
        </w:rPr>
        <w:t xml:space="preserve"> </w:t>
      </w:r>
      <w:r w:rsidR="00295B30" w:rsidRPr="003027B3">
        <w:rPr>
          <w:rFonts w:ascii="Arial Narrow" w:hAnsi="Arial Narrow"/>
          <w:sz w:val="18"/>
          <w:szCs w:val="18"/>
        </w:rPr>
        <w:t>s</w:t>
      </w:r>
      <w:r w:rsidR="008806C2" w:rsidRPr="003027B3">
        <w:rPr>
          <w:rFonts w:ascii="Arial Narrow" w:hAnsi="Arial Narrow"/>
          <w:sz w:val="18"/>
          <w:szCs w:val="18"/>
        </w:rPr>
        <w:t xml:space="preserve">evere </w:t>
      </w:r>
      <w:r w:rsidR="00295B30" w:rsidRPr="003027B3">
        <w:rPr>
          <w:rFonts w:ascii="Arial Narrow" w:hAnsi="Arial Narrow"/>
          <w:sz w:val="18"/>
          <w:szCs w:val="18"/>
        </w:rPr>
        <w:t>h</w:t>
      </w:r>
      <w:r w:rsidR="008806C2" w:rsidRPr="003027B3">
        <w:rPr>
          <w:rFonts w:ascii="Arial Narrow" w:hAnsi="Arial Narrow"/>
          <w:sz w:val="18"/>
          <w:szCs w:val="18"/>
        </w:rPr>
        <w:t>ypoglyc</w:t>
      </w:r>
      <w:r w:rsidR="00295B30" w:rsidRPr="003027B3">
        <w:rPr>
          <w:rFonts w:ascii="Arial Narrow" w:hAnsi="Arial Narrow"/>
          <w:sz w:val="18"/>
          <w:szCs w:val="18"/>
        </w:rPr>
        <w:t>a</w:t>
      </w:r>
      <w:r w:rsidR="008806C2" w:rsidRPr="003027B3">
        <w:rPr>
          <w:rFonts w:ascii="Arial Narrow" w:hAnsi="Arial Narrow"/>
          <w:sz w:val="18"/>
          <w:szCs w:val="18"/>
        </w:rPr>
        <w:t>emic</w:t>
      </w:r>
      <w:r w:rsidR="00295B30" w:rsidRPr="003027B3">
        <w:rPr>
          <w:rFonts w:ascii="Arial Narrow" w:hAnsi="Arial Narrow"/>
          <w:sz w:val="18"/>
          <w:szCs w:val="18"/>
        </w:rPr>
        <w:t xml:space="preserve"> e</w:t>
      </w:r>
      <w:r w:rsidR="008806C2" w:rsidRPr="003027B3">
        <w:rPr>
          <w:rFonts w:ascii="Arial Narrow" w:hAnsi="Arial Narrow"/>
          <w:sz w:val="18"/>
          <w:szCs w:val="18"/>
        </w:rPr>
        <w:t xml:space="preserve">vent; </w:t>
      </w:r>
      <w:r w:rsidR="00FA79E0" w:rsidRPr="003027B3">
        <w:rPr>
          <w:rFonts w:ascii="Arial Narrow" w:hAnsi="Arial Narrow"/>
          <w:sz w:val="18"/>
          <w:szCs w:val="18"/>
        </w:rPr>
        <w:t xml:space="preserve">T2DM = </w:t>
      </w:r>
      <w:r w:rsidR="00C5344E" w:rsidRPr="003027B3">
        <w:rPr>
          <w:rFonts w:ascii="Arial Narrow" w:hAnsi="Arial Narrow"/>
          <w:sz w:val="18"/>
          <w:szCs w:val="18"/>
        </w:rPr>
        <w:t>t</w:t>
      </w:r>
      <w:r w:rsidR="00FA79E0" w:rsidRPr="003027B3">
        <w:rPr>
          <w:rFonts w:ascii="Arial Narrow" w:hAnsi="Arial Narrow"/>
          <w:sz w:val="18"/>
          <w:szCs w:val="18"/>
        </w:rPr>
        <w:t xml:space="preserve">ype 2 </w:t>
      </w:r>
      <w:r w:rsidR="00C5344E" w:rsidRPr="003027B3">
        <w:rPr>
          <w:rFonts w:ascii="Arial Narrow" w:hAnsi="Arial Narrow"/>
          <w:sz w:val="18"/>
          <w:szCs w:val="18"/>
        </w:rPr>
        <w:t>d</w:t>
      </w:r>
      <w:r w:rsidR="00FA79E0" w:rsidRPr="003027B3">
        <w:rPr>
          <w:rFonts w:ascii="Arial Narrow" w:hAnsi="Arial Narrow"/>
          <w:sz w:val="18"/>
          <w:szCs w:val="18"/>
        </w:rPr>
        <w:t xml:space="preserve">iabetes </w:t>
      </w:r>
      <w:r w:rsidR="00C5344E" w:rsidRPr="003027B3">
        <w:rPr>
          <w:rFonts w:ascii="Arial Narrow" w:hAnsi="Arial Narrow"/>
          <w:sz w:val="18"/>
          <w:szCs w:val="18"/>
        </w:rPr>
        <w:t>m</w:t>
      </w:r>
      <w:r w:rsidR="00910EC1" w:rsidRPr="003027B3">
        <w:rPr>
          <w:rFonts w:ascii="Arial Narrow" w:hAnsi="Arial Narrow"/>
          <w:sz w:val="18"/>
          <w:szCs w:val="18"/>
        </w:rPr>
        <w:t>ellitus</w:t>
      </w:r>
    </w:p>
    <w:p w14:paraId="0C3F6518" w14:textId="2582ADD8" w:rsidR="000C6AF3" w:rsidRDefault="000C6AF3" w:rsidP="001947DB">
      <w:pPr>
        <w:pStyle w:val="Caption"/>
        <w:keepLines/>
        <w:tabs>
          <w:tab w:val="left" w:pos="1134"/>
        </w:tabs>
        <w:ind w:left="1134" w:hanging="1134"/>
      </w:pPr>
      <w:bookmarkStart w:id="37" w:name="_Ref193893121"/>
      <w:bookmarkEnd w:id="33"/>
      <w:r w:rsidRPr="00CE28E3">
        <w:t>Table</w:t>
      </w:r>
      <w:r>
        <w:t> </w:t>
      </w:r>
      <w:r w:rsidRPr="00CE28E3">
        <w:rPr>
          <w:noProof/>
        </w:rPr>
        <w:fldChar w:fldCharType="begin"/>
      </w:r>
      <w:r w:rsidRPr="00CE28E3">
        <w:rPr>
          <w:noProof/>
        </w:rPr>
        <w:instrText xml:space="preserve"> SEQ Table \* ARABIC </w:instrText>
      </w:r>
      <w:r w:rsidRPr="00CE28E3">
        <w:rPr>
          <w:noProof/>
        </w:rPr>
        <w:fldChar w:fldCharType="separate"/>
      </w:r>
      <w:r w:rsidR="00315A60">
        <w:rPr>
          <w:noProof/>
        </w:rPr>
        <w:t>6</w:t>
      </w:r>
      <w:r w:rsidRPr="00CE28E3">
        <w:rPr>
          <w:noProof/>
        </w:rPr>
        <w:fldChar w:fldCharType="end"/>
      </w:r>
      <w:bookmarkEnd w:id="37"/>
      <w:r w:rsidRPr="00CE28E3">
        <w:tab/>
        <w:t xml:space="preserve">Summary of the economic evaluation </w:t>
      </w:r>
    </w:p>
    <w:tbl>
      <w:tblPr>
        <w:tblStyle w:val="TableGrid"/>
        <w:tblW w:w="5000" w:type="pct"/>
        <w:tblLook w:val="04A0" w:firstRow="1" w:lastRow="0" w:firstColumn="1" w:lastColumn="0" w:noHBand="0" w:noVBand="1"/>
      </w:tblPr>
      <w:tblGrid>
        <w:gridCol w:w="3024"/>
        <w:gridCol w:w="5992"/>
      </w:tblGrid>
      <w:tr w:rsidR="000C6AF3" w:rsidRPr="000C0AFA" w14:paraId="4091F084" w14:textId="77777777" w:rsidTr="004A3188">
        <w:trPr>
          <w:trHeight w:val="341"/>
        </w:trPr>
        <w:tc>
          <w:tcPr>
            <w:tcW w:w="16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161398" w14:textId="77777777" w:rsidR="000C6AF3" w:rsidRPr="000C0AFA" w:rsidRDefault="000C6AF3" w:rsidP="001947DB">
            <w:pPr>
              <w:pStyle w:val="KMC16-TableHeading"/>
              <w:keepNext/>
              <w:keepLines/>
              <w:jc w:val="left"/>
            </w:pPr>
            <w:bookmarkStart w:id="38" w:name="_Hlk131577990"/>
          </w:p>
        </w:tc>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FAB22B" w14:textId="77777777" w:rsidR="000C6AF3" w:rsidRPr="000C0AFA" w:rsidRDefault="000C6AF3" w:rsidP="001947DB">
            <w:pPr>
              <w:pStyle w:val="KMC16-TableHeading"/>
              <w:keepNext/>
              <w:keepLines/>
              <w:jc w:val="left"/>
            </w:pPr>
            <w:r w:rsidRPr="000C0AFA">
              <w:t>Scope of Decision Problem</w:t>
            </w:r>
          </w:p>
        </w:tc>
      </w:tr>
      <w:tr w:rsidR="000C6AF3" w:rsidRPr="000C0AFA" w14:paraId="1F608986" w14:textId="77777777" w:rsidTr="004A3188">
        <w:trPr>
          <w:trHeight w:val="288"/>
        </w:trPr>
        <w:tc>
          <w:tcPr>
            <w:tcW w:w="1677" w:type="pct"/>
            <w:tcBorders>
              <w:top w:val="single" w:sz="4" w:space="0" w:color="auto"/>
              <w:left w:val="single" w:sz="4" w:space="0" w:color="auto"/>
              <w:bottom w:val="single" w:sz="4" w:space="0" w:color="auto"/>
              <w:right w:val="single" w:sz="4" w:space="0" w:color="auto"/>
            </w:tcBorders>
            <w:hideMark/>
          </w:tcPr>
          <w:p w14:paraId="39C4CA13" w14:textId="18A65DB5" w:rsidR="000C6AF3" w:rsidRPr="004A478D" w:rsidRDefault="000C6AF3" w:rsidP="001947DB">
            <w:pPr>
              <w:pStyle w:val="KMC16-Tablecontent"/>
              <w:keepNext/>
              <w:keepLines/>
              <w:rPr>
                <w:lang w:val="en-AU"/>
              </w:rPr>
            </w:pPr>
            <w:r w:rsidRPr="004A478D">
              <w:rPr>
                <w:lang w:val="en-AU"/>
              </w:rPr>
              <w:t xml:space="preserve">Economic </w:t>
            </w:r>
            <w:r w:rsidR="0077058C" w:rsidRPr="00A54EDF">
              <w:rPr>
                <w:lang w:val="en-AU"/>
              </w:rPr>
              <w:t>a</w:t>
            </w:r>
            <w:r w:rsidRPr="004A478D">
              <w:rPr>
                <w:lang w:val="en-AU"/>
              </w:rPr>
              <w:t>nalysis</w:t>
            </w:r>
          </w:p>
        </w:tc>
        <w:tc>
          <w:tcPr>
            <w:tcW w:w="3323" w:type="pct"/>
            <w:tcBorders>
              <w:top w:val="single" w:sz="4" w:space="0" w:color="auto"/>
              <w:left w:val="single" w:sz="4" w:space="0" w:color="auto"/>
              <w:bottom w:val="single" w:sz="4" w:space="0" w:color="auto"/>
              <w:right w:val="single" w:sz="4" w:space="0" w:color="auto"/>
            </w:tcBorders>
            <w:vAlign w:val="center"/>
          </w:tcPr>
          <w:p w14:paraId="4D8917BD" w14:textId="77777777" w:rsidR="000C6AF3" w:rsidRPr="004A478D" w:rsidRDefault="000C6AF3" w:rsidP="001947DB">
            <w:pPr>
              <w:pStyle w:val="KMC16-Tablecontent"/>
              <w:keepNext/>
              <w:keepLines/>
              <w:rPr>
                <w:lang w:val="en-AU"/>
              </w:rPr>
            </w:pPr>
            <w:r w:rsidRPr="004A478D">
              <w:rPr>
                <w:lang w:val="en-AU"/>
              </w:rPr>
              <w:t>CEA</w:t>
            </w:r>
          </w:p>
        </w:tc>
      </w:tr>
      <w:tr w:rsidR="000C6AF3" w:rsidRPr="000C0AFA" w14:paraId="64785693" w14:textId="77777777" w:rsidTr="004A3188">
        <w:trPr>
          <w:trHeight w:val="288"/>
        </w:trPr>
        <w:tc>
          <w:tcPr>
            <w:tcW w:w="1677" w:type="pct"/>
            <w:tcBorders>
              <w:top w:val="single" w:sz="4" w:space="0" w:color="auto"/>
              <w:left w:val="single" w:sz="4" w:space="0" w:color="auto"/>
              <w:bottom w:val="single" w:sz="4" w:space="0" w:color="auto"/>
              <w:right w:val="single" w:sz="4" w:space="0" w:color="auto"/>
            </w:tcBorders>
            <w:hideMark/>
          </w:tcPr>
          <w:p w14:paraId="5588A7AE" w14:textId="77777777" w:rsidR="000C6AF3" w:rsidRPr="004A478D" w:rsidRDefault="000C6AF3" w:rsidP="001947DB">
            <w:pPr>
              <w:pStyle w:val="KMC16-Tablecontent"/>
              <w:keepNext/>
              <w:keepLines/>
              <w:rPr>
                <w:lang w:val="en-AU"/>
              </w:rPr>
            </w:pPr>
            <w:r w:rsidRPr="004A478D">
              <w:rPr>
                <w:lang w:val="en-AU"/>
              </w:rPr>
              <w:t>Population</w:t>
            </w:r>
          </w:p>
        </w:tc>
        <w:tc>
          <w:tcPr>
            <w:tcW w:w="3323" w:type="pct"/>
            <w:tcBorders>
              <w:top w:val="single" w:sz="4" w:space="0" w:color="auto"/>
              <w:left w:val="single" w:sz="4" w:space="0" w:color="auto"/>
              <w:bottom w:val="single" w:sz="4" w:space="0" w:color="auto"/>
              <w:right w:val="single" w:sz="4" w:space="0" w:color="auto"/>
            </w:tcBorders>
            <w:vAlign w:val="center"/>
          </w:tcPr>
          <w:p w14:paraId="76959B6B" w14:textId="47236DB6" w:rsidR="000C6AF3" w:rsidRPr="004A478D" w:rsidRDefault="00BD6B41" w:rsidP="001947DB">
            <w:pPr>
              <w:pStyle w:val="KMC16-Tablecontent"/>
              <w:keepNext/>
              <w:keepLines/>
              <w:rPr>
                <w:lang w:val="en-AU"/>
              </w:rPr>
            </w:pPr>
            <w:r>
              <w:rPr>
                <w:lang w:val="en-AU"/>
              </w:rPr>
              <w:t xml:space="preserve">Patients with </w:t>
            </w:r>
            <w:r w:rsidR="000C6AF3" w:rsidRPr="004A478D">
              <w:rPr>
                <w:lang w:val="en-AU"/>
              </w:rPr>
              <w:t xml:space="preserve">T2D </w:t>
            </w:r>
            <w:r>
              <w:rPr>
                <w:lang w:val="en-AU"/>
              </w:rPr>
              <w:t xml:space="preserve">requiring </w:t>
            </w:r>
            <w:r w:rsidR="000C6AF3" w:rsidRPr="004A478D">
              <w:rPr>
                <w:lang w:val="en-AU"/>
              </w:rPr>
              <w:t xml:space="preserve">insulin </w:t>
            </w:r>
          </w:p>
        </w:tc>
      </w:tr>
      <w:tr w:rsidR="000C6AF3" w:rsidRPr="000C0AFA" w14:paraId="794EF1F4" w14:textId="77777777" w:rsidTr="004A3188">
        <w:trPr>
          <w:trHeight w:val="288"/>
        </w:trPr>
        <w:tc>
          <w:tcPr>
            <w:tcW w:w="1677" w:type="pct"/>
            <w:tcBorders>
              <w:top w:val="single" w:sz="4" w:space="0" w:color="auto"/>
              <w:left w:val="single" w:sz="4" w:space="0" w:color="auto"/>
              <w:bottom w:val="single" w:sz="4" w:space="0" w:color="auto"/>
              <w:right w:val="single" w:sz="4" w:space="0" w:color="auto"/>
            </w:tcBorders>
            <w:hideMark/>
          </w:tcPr>
          <w:p w14:paraId="779E253C" w14:textId="77777777" w:rsidR="000C6AF3" w:rsidRPr="004A478D" w:rsidRDefault="000C6AF3" w:rsidP="001947DB">
            <w:pPr>
              <w:pStyle w:val="KMC16-Tablecontent"/>
              <w:keepNext/>
              <w:keepLines/>
              <w:rPr>
                <w:lang w:val="en-AU"/>
              </w:rPr>
            </w:pPr>
            <w:r w:rsidRPr="004A478D">
              <w:rPr>
                <w:lang w:val="en-AU"/>
              </w:rPr>
              <w:t>Intervention</w:t>
            </w:r>
          </w:p>
        </w:tc>
        <w:tc>
          <w:tcPr>
            <w:tcW w:w="3323" w:type="pct"/>
            <w:tcBorders>
              <w:top w:val="single" w:sz="4" w:space="0" w:color="auto"/>
              <w:left w:val="single" w:sz="4" w:space="0" w:color="auto"/>
              <w:bottom w:val="single" w:sz="4" w:space="0" w:color="auto"/>
              <w:right w:val="single" w:sz="4" w:space="0" w:color="auto"/>
            </w:tcBorders>
            <w:vAlign w:val="center"/>
          </w:tcPr>
          <w:p w14:paraId="090754DA" w14:textId="605FB512" w:rsidR="000C6AF3" w:rsidRPr="004A478D" w:rsidRDefault="000C6AF3" w:rsidP="001947DB">
            <w:pPr>
              <w:pStyle w:val="KMC16-Tablecontent"/>
              <w:keepNext/>
              <w:keepLines/>
              <w:rPr>
                <w:lang w:val="en-AU"/>
              </w:rPr>
            </w:pPr>
            <w:r w:rsidRPr="004A478D">
              <w:rPr>
                <w:lang w:val="en-AU"/>
              </w:rPr>
              <w:t xml:space="preserve">FSL </w:t>
            </w:r>
            <w:r>
              <w:rPr>
                <w:lang w:val="en-AU"/>
              </w:rPr>
              <w:t xml:space="preserve">CGM </w:t>
            </w:r>
            <w:r w:rsidR="001B77DA" w:rsidRPr="00A54EDF">
              <w:rPr>
                <w:lang w:val="en-AU"/>
              </w:rPr>
              <w:t>p</w:t>
            </w:r>
            <w:r>
              <w:rPr>
                <w:lang w:val="en-AU"/>
              </w:rPr>
              <w:t>roducts</w:t>
            </w:r>
          </w:p>
        </w:tc>
      </w:tr>
      <w:tr w:rsidR="000C6AF3" w:rsidRPr="000C0AFA" w14:paraId="5A67B210" w14:textId="77777777" w:rsidTr="004A3188">
        <w:trPr>
          <w:trHeight w:val="288"/>
        </w:trPr>
        <w:tc>
          <w:tcPr>
            <w:tcW w:w="1677" w:type="pct"/>
            <w:tcBorders>
              <w:top w:val="single" w:sz="4" w:space="0" w:color="auto"/>
              <w:left w:val="single" w:sz="4" w:space="0" w:color="auto"/>
              <w:bottom w:val="single" w:sz="4" w:space="0" w:color="auto"/>
              <w:right w:val="single" w:sz="4" w:space="0" w:color="auto"/>
            </w:tcBorders>
            <w:hideMark/>
          </w:tcPr>
          <w:p w14:paraId="64A517C6" w14:textId="77777777" w:rsidR="000C6AF3" w:rsidRPr="004A478D" w:rsidRDefault="000C6AF3" w:rsidP="001947DB">
            <w:pPr>
              <w:pStyle w:val="KMC16-Tablecontent"/>
              <w:keepNext/>
              <w:keepLines/>
              <w:rPr>
                <w:lang w:val="en-AU"/>
              </w:rPr>
            </w:pPr>
            <w:r w:rsidRPr="004A478D">
              <w:rPr>
                <w:lang w:val="en-AU"/>
              </w:rPr>
              <w:t>Comparator</w:t>
            </w:r>
          </w:p>
        </w:tc>
        <w:tc>
          <w:tcPr>
            <w:tcW w:w="3323" w:type="pct"/>
            <w:tcBorders>
              <w:top w:val="single" w:sz="4" w:space="0" w:color="auto"/>
              <w:left w:val="single" w:sz="4" w:space="0" w:color="auto"/>
              <w:bottom w:val="single" w:sz="4" w:space="0" w:color="auto"/>
              <w:right w:val="single" w:sz="4" w:space="0" w:color="auto"/>
            </w:tcBorders>
            <w:vAlign w:val="center"/>
          </w:tcPr>
          <w:p w14:paraId="2C8DE3C4" w14:textId="77777777" w:rsidR="000C6AF3" w:rsidRPr="004A478D" w:rsidRDefault="000C6AF3" w:rsidP="001947DB">
            <w:pPr>
              <w:pStyle w:val="KMC16-Tablecontent"/>
              <w:keepNext/>
              <w:keepLines/>
              <w:rPr>
                <w:lang w:val="en-AU"/>
              </w:rPr>
            </w:pPr>
            <w:r w:rsidRPr="004A478D">
              <w:rPr>
                <w:lang w:val="en-AU"/>
              </w:rPr>
              <w:t>SMBG</w:t>
            </w:r>
          </w:p>
        </w:tc>
      </w:tr>
      <w:tr w:rsidR="000C6AF3" w:rsidRPr="000C0AFA" w14:paraId="73E36D7D" w14:textId="77777777" w:rsidTr="004A3188">
        <w:trPr>
          <w:trHeight w:val="288"/>
        </w:trPr>
        <w:tc>
          <w:tcPr>
            <w:tcW w:w="1677" w:type="pct"/>
            <w:tcBorders>
              <w:top w:val="single" w:sz="4" w:space="0" w:color="auto"/>
              <w:left w:val="single" w:sz="4" w:space="0" w:color="auto"/>
              <w:bottom w:val="single" w:sz="4" w:space="0" w:color="auto"/>
              <w:right w:val="single" w:sz="4" w:space="0" w:color="auto"/>
            </w:tcBorders>
            <w:hideMark/>
          </w:tcPr>
          <w:p w14:paraId="5727042D" w14:textId="77777777" w:rsidR="000C6AF3" w:rsidRPr="004A478D" w:rsidRDefault="000C6AF3" w:rsidP="001947DB">
            <w:pPr>
              <w:pStyle w:val="KMC16-Tablecontent"/>
              <w:keepNext/>
              <w:keepLines/>
              <w:rPr>
                <w:lang w:val="en-AU"/>
              </w:rPr>
            </w:pPr>
            <w:r w:rsidRPr="004A478D">
              <w:rPr>
                <w:lang w:val="en-AU"/>
              </w:rPr>
              <w:t>Outcomes</w:t>
            </w:r>
          </w:p>
        </w:tc>
        <w:tc>
          <w:tcPr>
            <w:tcW w:w="3323" w:type="pct"/>
            <w:tcBorders>
              <w:top w:val="single" w:sz="4" w:space="0" w:color="auto"/>
              <w:left w:val="single" w:sz="4" w:space="0" w:color="auto"/>
              <w:bottom w:val="single" w:sz="4" w:space="0" w:color="auto"/>
              <w:right w:val="single" w:sz="4" w:space="0" w:color="auto"/>
            </w:tcBorders>
            <w:vAlign w:val="center"/>
          </w:tcPr>
          <w:p w14:paraId="0ED80F90" w14:textId="21F81916" w:rsidR="000C6AF3" w:rsidRPr="004A478D" w:rsidRDefault="000C6AF3" w:rsidP="001947DB">
            <w:pPr>
              <w:pStyle w:val="KMC16-Tablecontent"/>
              <w:keepNext/>
              <w:keepLines/>
              <w:rPr>
                <w:lang w:val="en-AU"/>
              </w:rPr>
            </w:pPr>
            <w:r w:rsidRPr="004A478D">
              <w:rPr>
                <w:lang w:val="en-AU"/>
              </w:rPr>
              <w:t xml:space="preserve">Hypoglycaemia </w:t>
            </w:r>
            <w:r w:rsidR="009A1D53" w:rsidRPr="00A54EDF">
              <w:rPr>
                <w:lang w:val="en-AU"/>
              </w:rPr>
              <w:t>e</w:t>
            </w:r>
            <w:r w:rsidRPr="00A54EDF">
              <w:rPr>
                <w:lang w:val="en-AU"/>
              </w:rPr>
              <w:t xml:space="preserve">vents </w:t>
            </w:r>
            <w:r w:rsidR="009A1D53" w:rsidRPr="00A54EDF">
              <w:rPr>
                <w:lang w:val="en-AU"/>
              </w:rPr>
              <w:t>a</w:t>
            </w:r>
            <w:r w:rsidRPr="004A478D">
              <w:rPr>
                <w:lang w:val="en-AU"/>
              </w:rPr>
              <w:t>voided</w:t>
            </w:r>
          </w:p>
          <w:p w14:paraId="11D9B94B" w14:textId="77777777" w:rsidR="000C6AF3" w:rsidRPr="004A478D" w:rsidRDefault="000C6AF3" w:rsidP="001947DB">
            <w:pPr>
              <w:pStyle w:val="KMC16-Tablecontent"/>
              <w:keepNext/>
              <w:keepLines/>
              <w:rPr>
                <w:lang w:val="en-AU"/>
              </w:rPr>
            </w:pPr>
            <w:r w:rsidRPr="004A478D">
              <w:rPr>
                <w:lang w:val="en-AU"/>
              </w:rPr>
              <w:t>LYG</w:t>
            </w:r>
          </w:p>
          <w:p w14:paraId="68A62BA4" w14:textId="77777777" w:rsidR="000C6AF3" w:rsidRPr="004A478D" w:rsidRDefault="000C6AF3" w:rsidP="001947DB">
            <w:pPr>
              <w:pStyle w:val="KMC16-Tablecontent"/>
              <w:keepNext/>
              <w:keepLines/>
              <w:rPr>
                <w:lang w:val="en-AU"/>
              </w:rPr>
            </w:pPr>
            <w:r w:rsidRPr="004A478D">
              <w:rPr>
                <w:lang w:val="en-AU"/>
              </w:rPr>
              <w:t>QALYs</w:t>
            </w:r>
          </w:p>
          <w:p w14:paraId="49E511A9" w14:textId="77777777" w:rsidR="000C6AF3" w:rsidRPr="004A478D" w:rsidRDefault="000C6AF3" w:rsidP="001947DB">
            <w:pPr>
              <w:pStyle w:val="KMC16-Tablecontent"/>
              <w:keepNext/>
              <w:keepLines/>
              <w:rPr>
                <w:lang w:val="en-AU"/>
              </w:rPr>
            </w:pPr>
            <w:r w:rsidRPr="004A478D">
              <w:rPr>
                <w:lang w:val="en-AU"/>
              </w:rPr>
              <w:t>ICER</w:t>
            </w:r>
          </w:p>
        </w:tc>
      </w:tr>
      <w:tr w:rsidR="000C6AF3" w:rsidRPr="000C0AFA" w14:paraId="4E1E739A" w14:textId="77777777" w:rsidTr="004A3188">
        <w:trPr>
          <w:trHeight w:val="288"/>
        </w:trPr>
        <w:tc>
          <w:tcPr>
            <w:tcW w:w="1677" w:type="pct"/>
            <w:tcBorders>
              <w:top w:val="single" w:sz="4" w:space="0" w:color="auto"/>
              <w:left w:val="single" w:sz="4" w:space="0" w:color="auto"/>
              <w:bottom w:val="single" w:sz="4" w:space="0" w:color="auto"/>
              <w:right w:val="single" w:sz="4" w:space="0" w:color="auto"/>
            </w:tcBorders>
            <w:hideMark/>
          </w:tcPr>
          <w:p w14:paraId="76EC403B" w14:textId="77777777" w:rsidR="000C6AF3" w:rsidRPr="004A478D" w:rsidRDefault="000C6AF3" w:rsidP="001947DB">
            <w:pPr>
              <w:pStyle w:val="KMC16-Tablecontent"/>
              <w:keepNext/>
              <w:keepLines/>
              <w:rPr>
                <w:lang w:val="en-AU"/>
              </w:rPr>
            </w:pPr>
            <w:r w:rsidRPr="004A478D">
              <w:rPr>
                <w:lang w:val="en-AU"/>
              </w:rPr>
              <w:t>Costs</w:t>
            </w:r>
          </w:p>
        </w:tc>
        <w:tc>
          <w:tcPr>
            <w:tcW w:w="3323" w:type="pct"/>
            <w:tcBorders>
              <w:top w:val="single" w:sz="4" w:space="0" w:color="auto"/>
              <w:left w:val="single" w:sz="4" w:space="0" w:color="auto"/>
              <w:bottom w:val="single" w:sz="4" w:space="0" w:color="auto"/>
              <w:right w:val="single" w:sz="4" w:space="0" w:color="auto"/>
            </w:tcBorders>
            <w:vAlign w:val="center"/>
          </w:tcPr>
          <w:p w14:paraId="6068FFF5" w14:textId="77777777" w:rsidR="000C6AF3" w:rsidRPr="004A478D" w:rsidRDefault="000C6AF3" w:rsidP="001947DB">
            <w:pPr>
              <w:pStyle w:val="KMC16-Tablecontent"/>
              <w:keepNext/>
              <w:keepLines/>
              <w:rPr>
                <w:lang w:val="en-AU"/>
              </w:rPr>
            </w:pPr>
            <w:r w:rsidRPr="004A478D">
              <w:rPr>
                <w:lang w:val="en-AU"/>
              </w:rPr>
              <w:t>Glucose monitoring costs</w:t>
            </w:r>
          </w:p>
          <w:p w14:paraId="373042D4" w14:textId="77777777" w:rsidR="000C6AF3" w:rsidRPr="004A478D" w:rsidRDefault="000C6AF3" w:rsidP="001947DB">
            <w:pPr>
              <w:pStyle w:val="KMC16-Tablecontent"/>
              <w:keepNext/>
              <w:keepLines/>
              <w:rPr>
                <w:lang w:val="en-AU"/>
              </w:rPr>
            </w:pPr>
            <w:r w:rsidRPr="004A478D">
              <w:rPr>
                <w:lang w:val="en-AU"/>
              </w:rPr>
              <w:t>Diabetes-related complications costs</w:t>
            </w:r>
          </w:p>
          <w:p w14:paraId="51809D46" w14:textId="77777777" w:rsidR="000C6AF3" w:rsidRPr="004A478D" w:rsidRDefault="000C6AF3" w:rsidP="001947DB">
            <w:pPr>
              <w:pStyle w:val="KMC16-Tablecontent"/>
              <w:keepNext/>
              <w:keepLines/>
              <w:rPr>
                <w:lang w:val="en-AU"/>
              </w:rPr>
            </w:pPr>
            <w:r w:rsidRPr="004A478D">
              <w:rPr>
                <w:lang w:val="en-AU"/>
              </w:rPr>
              <w:t>ADE costs</w:t>
            </w:r>
          </w:p>
        </w:tc>
      </w:tr>
      <w:tr w:rsidR="000C6AF3" w:rsidRPr="000C0AFA" w14:paraId="7FC2D942" w14:textId="77777777" w:rsidTr="004A3188">
        <w:trPr>
          <w:trHeight w:val="288"/>
        </w:trPr>
        <w:tc>
          <w:tcPr>
            <w:tcW w:w="1677" w:type="pct"/>
            <w:tcBorders>
              <w:top w:val="single" w:sz="4" w:space="0" w:color="auto"/>
              <w:left w:val="single" w:sz="4" w:space="0" w:color="auto"/>
              <w:bottom w:val="single" w:sz="4" w:space="0" w:color="auto"/>
              <w:right w:val="single" w:sz="4" w:space="0" w:color="auto"/>
            </w:tcBorders>
            <w:vAlign w:val="center"/>
            <w:hideMark/>
          </w:tcPr>
          <w:p w14:paraId="0145A760" w14:textId="77777777" w:rsidR="000C6AF3" w:rsidRPr="004A478D" w:rsidRDefault="000C6AF3" w:rsidP="001947DB">
            <w:pPr>
              <w:pStyle w:val="KMC16-Tablecontent"/>
              <w:keepNext/>
              <w:keepLines/>
              <w:rPr>
                <w:lang w:val="en-AU"/>
              </w:rPr>
            </w:pPr>
            <w:r w:rsidRPr="004A478D">
              <w:rPr>
                <w:lang w:val="en-AU"/>
              </w:rPr>
              <w:t>Perspective</w:t>
            </w:r>
          </w:p>
        </w:tc>
        <w:tc>
          <w:tcPr>
            <w:tcW w:w="3323" w:type="pct"/>
            <w:tcBorders>
              <w:top w:val="single" w:sz="4" w:space="0" w:color="auto"/>
              <w:left w:val="single" w:sz="4" w:space="0" w:color="auto"/>
              <w:bottom w:val="single" w:sz="4" w:space="0" w:color="auto"/>
              <w:right w:val="single" w:sz="4" w:space="0" w:color="auto"/>
            </w:tcBorders>
            <w:vAlign w:val="center"/>
          </w:tcPr>
          <w:p w14:paraId="6832CBD7" w14:textId="77777777" w:rsidR="000C6AF3" w:rsidRPr="004A478D" w:rsidRDefault="000C6AF3" w:rsidP="001947DB">
            <w:pPr>
              <w:pStyle w:val="KMC16-Tablecontent"/>
              <w:keepNext/>
              <w:keepLines/>
              <w:rPr>
                <w:lang w:val="en-AU"/>
              </w:rPr>
            </w:pPr>
            <w:r w:rsidRPr="004A478D">
              <w:rPr>
                <w:lang w:val="en-AU"/>
              </w:rPr>
              <w:t>Australian publicly funded healthcare system</w:t>
            </w:r>
          </w:p>
        </w:tc>
      </w:tr>
      <w:tr w:rsidR="000C6AF3" w:rsidRPr="000C0AFA" w14:paraId="6DE02FEB" w14:textId="77777777" w:rsidTr="004A3188">
        <w:trPr>
          <w:trHeight w:val="288"/>
        </w:trPr>
        <w:tc>
          <w:tcPr>
            <w:tcW w:w="1677" w:type="pct"/>
            <w:tcBorders>
              <w:top w:val="single" w:sz="4" w:space="0" w:color="auto"/>
              <w:left w:val="single" w:sz="4" w:space="0" w:color="auto"/>
              <w:bottom w:val="single" w:sz="4" w:space="0" w:color="auto"/>
              <w:right w:val="single" w:sz="4" w:space="0" w:color="auto"/>
            </w:tcBorders>
            <w:vAlign w:val="center"/>
            <w:hideMark/>
          </w:tcPr>
          <w:p w14:paraId="7115C2B1" w14:textId="3581DCC4" w:rsidR="000C6AF3" w:rsidRPr="004A478D" w:rsidRDefault="000C6AF3" w:rsidP="001947DB">
            <w:pPr>
              <w:pStyle w:val="KMC16-Tablecontent"/>
              <w:keepNext/>
              <w:keepLines/>
              <w:rPr>
                <w:lang w:val="en-AU"/>
              </w:rPr>
            </w:pPr>
            <w:r w:rsidRPr="004A478D">
              <w:rPr>
                <w:lang w:val="en-AU"/>
              </w:rPr>
              <w:t xml:space="preserve">Primary </w:t>
            </w:r>
            <w:r w:rsidR="0077058C" w:rsidRPr="00A54EDF">
              <w:rPr>
                <w:lang w:val="en-AU"/>
              </w:rPr>
              <w:t>t</w:t>
            </w:r>
            <w:r w:rsidRPr="00A54EDF">
              <w:rPr>
                <w:lang w:val="en-AU"/>
              </w:rPr>
              <w:t xml:space="preserve">arget </w:t>
            </w:r>
            <w:r w:rsidR="0077058C" w:rsidRPr="00A54EDF">
              <w:rPr>
                <w:lang w:val="en-AU"/>
              </w:rPr>
              <w:t>a</w:t>
            </w:r>
            <w:r w:rsidRPr="004A478D">
              <w:rPr>
                <w:lang w:val="en-AU"/>
              </w:rPr>
              <w:t>udience</w:t>
            </w:r>
          </w:p>
        </w:tc>
        <w:tc>
          <w:tcPr>
            <w:tcW w:w="3323" w:type="pct"/>
            <w:tcBorders>
              <w:top w:val="single" w:sz="4" w:space="0" w:color="auto"/>
              <w:left w:val="single" w:sz="4" w:space="0" w:color="auto"/>
              <w:bottom w:val="single" w:sz="4" w:space="0" w:color="auto"/>
              <w:right w:val="single" w:sz="4" w:space="0" w:color="auto"/>
            </w:tcBorders>
            <w:vAlign w:val="center"/>
          </w:tcPr>
          <w:p w14:paraId="6ADAFB1B" w14:textId="77777777" w:rsidR="000C6AF3" w:rsidRPr="004A478D" w:rsidRDefault="000C6AF3" w:rsidP="001947DB">
            <w:pPr>
              <w:pStyle w:val="KMC16-Tablecontent"/>
              <w:keepNext/>
              <w:keepLines/>
              <w:rPr>
                <w:lang w:val="en-AU"/>
              </w:rPr>
            </w:pPr>
            <w:r w:rsidRPr="004A478D">
              <w:rPr>
                <w:lang w:val="en-AU"/>
              </w:rPr>
              <w:t>Australian public payers</w:t>
            </w:r>
          </w:p>
        </w:tc>
      </w:tr>
      <w:tr w:rsidR="000C6AF3" w:rsidRPr="000C0AFA" w14:paraId="774CA668" w14:textId="77777777" w:rsidTr="004A3188">
        <w:trPr>
          <w:trHeight w:val="288"/>
        </w:trPr>
        <w:tc>
          <w:tcPr>
            <w:tcW w:w="1677" w:type="pct"/>
            <w:tcBorders>
              <w:top w:val="single" w:sz="4" w:space="0" w:color="auto"/>
              <w:left w:val="single" w:sz="4" w:space="0" w:color="auto"/>
              <w:bottom w:val="single" w:sz="4" w:space="0" w:color="auto"/>
              <w:right w:val="single" w:sz="4" w:space="0" w:color="auto"/>
            </w:tcBorders>
            <w:vAlign w:val="center"/>
          </w:tcPr>
          <w:p w14:paraId="4C9B46FA" w14:textId="77777777" w:rsidR="000C6AF3" w:rsidRPr="004A478D" w:rsidRDefault="000C6AF3" w:rsidP="001947DB">
            <w:pPr>
              <w:pStyle w:val="KMC16-Tablecontent"/>
              <w:keepNext/>
              <w:keepLines/>
              <w:rPr>
                <w:lang w:val="en-AU"/>
              </w:rPr>
            </w:pPr>
            <w:r w:rsidRPr="004A478D">
              <w:rPr>
                <w:lang w:val="en-AU"/>
              </w:rPr>
              <w:t>Time horizon</w:t>
            </w:r>
          </w:p>
        </w:tc>
        <w:tc>
          <w:tcPr>
            <w:tcW w:w="3323" w:type="pct"/>
            <w:tcBorders>
              <w:top w:val="single" w:sz="4" w:space="0" w:color="auto"/>
              <w:left w:val="single" w:sz="4" w:space="0" w:color="auto"/>
              <w:bottom w:val="single" w:sz="4" w:space="0" w:color="auto"/>
              <w:right w:val="single" w:sz="4" w:space="0" w:color="auto"/>
            </w:tcBorders>
            <w:vAlign w:val="center"/>
          </w:tcPr>
          <w:p w14:paraId="7BFEC15A" w14:textId="77777777" w:rsidR="000C6AF3" w:rsidRPr="004A478D" w:rsidRDefault="000C6AF3" w:rsidP="001947DB">
            <w:pPr>
              <w:pStyle w:val="KMC16-Tablecontent"/>
              <w:keepNext/>
              <w:keepLines/>
              <w:rPr>
                <w:lang w:val="en-AU"/>
              </w:rPr>
            </w:pPr>
            <w:r w:rsidRPr="004A478D">
              <w:rPr>
                <w:lang w:val="en-AU"/>
              </w:rPr>
              <w:t>Lifetime (modelled as 50 years)</w:t>
            </w:r>
          </w:p>
        </w:tc>
      </w:tr>
      <w:tr w:rsidR="000C6AF3" w:rsidRPr="000C0AFA" w14:paraId="26D1F29C" w14:textId="77777777" w:rsidTr="004A3188">
        <w:trPr>
          <w:trHeight w:val="288"/>
        </w:trPr>
        <w:tc>
          <w:tcPr>
            <w:tcW w:w="1677" w:type="pct"/>
            <w:tcBorders>
              <w:top w:val="single" w:sz="4" w:space="0" w:color="auto"/>
              <w:left w:val="single" w:sz="4" w:space="0" w:color="auto"/>
              <w:bottom w:val="single" w:sz="4" w:space="0" w:color="auto"/>
              <w:right w:val="single" w:sz="4" w:space="0" w:color="auto"/>
            </w:tcBorders>
            <w:vAlign w:val="center"/>
          </w:tcPr>
          <w:p w14:paraId="5298E8C7" w14:textId="77777777" w:rsidR="000C6AF3" w:rsidRPr="004A478D" w:rsidRDefault="000C6AF3" w:rsidP="001947DB">
            <w:pPr>
              <w:pStyle w:val="KMC16-Tablecontent"/>
              <w:keepNext/>
              <w:keepLines/>
              <w:rPr>
                <w:lang w:val="en-AU"/>
              </w:rPr>
            </w:pPr>
            <w:r w:rsidRPr="004A478D">
              <w:rPr>
                <w:lang w:val="en-AU"/>
              </w:rPr>
              <w:t>Computational method</w:t>
            </w:r>
          </w:p>
        </w:tc>
        <w:tc>
          <w:tcPr>
            <w:tcW w:w="3323" w:type="pct"/>
            <w:tcBorders>
              <w:top w:val="single" w:sz="4" w:space="0" w:color="auto"/>
              <w:left w:val="single" w:sz="4" w:space="0" w:color="auto"/>
              <w:bottom w:val="single" w:sz="4" w:space="0" w:color="auto"/>
              <w:right w:val="single" w:sz="4" w:space="0" w:color="auto"/>
            </w:tcBorders>
            <w:vAlign w:val="center"/>
          </w:tcPr>
          <w:p w14:paraId="4F270404" w14:textId="77777777" w:rsidR="000C6AF3" w:rsidRPr="004A478D" w:rsidRDefault="000C6AF3" w:rsidP="001947DB">
            <w:pPr>
              <w:pStyle w:val="KMC16-Tablecontent"/>
              <w:keepNext/>
              <w:keepLines/>
              <w:rPr>
                <w:lang w:val="en-AU"/>
              </w:rPr>
            </w:pPr>
            <w:r w:rsidRPr="004A478D">
              <w:rPr>
                <w:lang w:val="en-AU"/>
              </w:rPr>
              <w:t>Patient-level microsimulation</w:t>
            </w:r>
          </w:p>
        </w:tc>
      </w:tr>
      <w:tr w:rsidR="000C6AF3" w:rsidRPr="000C0AFA" w14:paraId="2DCDA6AF" w14:textId="77777777" w:rsidTr="004A3188">
        <w:trPr>
          <w:trHeight w:val="288"/>
        </w:trPr>
        <w:tc>
          <w:tcPr>
            <w:tcW w:w="1677" w:type="pct"/>
            <w:tcBorders>
              <w:top w:val="single" w:sz="4" w:space="0" w:color="auto"/>
              <w:left w:val="single" w:sz="4" w:space="0" w:color="auto"/>
              <w:bottom w:val="single" w:sz="4" w:space="0" w:color="auto"/>
              <w:right w:val="single" w:sz="4" w:space="0" w:color="auto"/>
            </w:tcBorders>
          </w:tcPr>
          <w:p w14:paraId="5F550663" w14:textId="77777777" w:rsidR="000C6AF3" w:rsidRPr="004A478D" w:rsidRDefault="000C6AF3" w:rsidP="001947DB">
            <w:pPr>
              <w:pStyle w:val="KMC16-Tablecontent"/>
              <w:keepNext/>
              <w:keepLines/>
              <w:rPr>
                <w:lang w:val="en-AU"/>
              </w:rPr>
            </w:pPr>
            <w:r w:rsidRPr="004A478D">
              <w:rPr>
                <w:lang w:val="en-AU"/>
              </w:rPr>
              <w:t>Generation of the base case</w:t>
            </w:r>
          </w:p>
        </w:tc>
        <w:tc>
          <w:tcPr>
            <w:tcW w:w="3323" w:type="pct"/>
            <w:tcBorders>
              <w:top w:val="single" w:sz="4" w:space="0" w:color="auto"/>
              <w:left w:val="single" w:sz="4" w:space="0" w:color="auto"/>
              <w:bottom w:val="single" w:sz="4" w:space="0" w:color="auto"/>
              <w:right w:val="single" w:sz="4" w:space="0" w:color="auto"/>
            </w:tcBorders>
            <w:vAlign w:val="center"/>
          </w:tcPr>
          <w:p w14:paraId="5BE2FB40" w14:textId="3BD07316" w:rsidR="000C6AF3" w:rsidRPr="004A478D" w:rsidRDefault="000C6AF3" w:rsidP="001947DB">
            <w:pPr>
              <w:pStyle w:val="KMC16-Tablecontent"/>
              <w:keepNext/>
              <w:keepLines/>
              <w:rPr>
                <w:lang w:val="en-AU"/>
              </w:rPr>
            </w:pPr>
            <w:r w:rsidRPr="004A478D">
              <w:rPr>
                <w:lang w:val="en-AU"/>
              </w:rPr>
              <w:t xml:space="preserve">Modelled approach </w:t>
            </w:r>
            <w:r w:rsidR="0077058C" w:rsidRPr="00A54EDF">
              <w:rPr>
                <w:lang w:val="en-AU"/>
              </w:rPr>
              <w:t>that</w:t>
            </w:r>
            <w:r w:rsidRPr="004A478D">
              <w:rPr>
                <w:lang w:val="en-AU"/>
              </w:rPr>
              <w:t xml:space="preserve"> assigns costs and utilities based on the spectrum of complications and ADEs that a simulated person experiences. In each model cycle that a simulated person remains alive, the incidence and history of diabetes complication events are updated (thereby providing a model memory). Any appropriate decrement in health utility is applied together with any costs associated with treatment and complications (including acute and subsequent costs).</w:t>
            </w:r>
          </w:p>
        </w:tc>
      </w:tr>
      <w:tr w:rsidR="000C6AF3" w:rsidRPr="000C0AFA" w14:paraId="0973E5E5" w14:textId="77777777" w:rsidTr="004A3188">
        <w:trPr>
          <w:trHeight w:val="288"/>
        </w:trPr>
        <w:tc>
          <w:tcPr>
            <w:tcW w:w="1677" w:type="pct"/>
            <w:tcBorders>
              <w:top w:val="single" w:sz="4" w:space="0" w:color="auto"/>
              <w:left w:val="single" w:sz="4" w:space="0" w:color="auto"/>
              <w:bottom w:val="single" w:sz="4" w:space="0" w:color="auto"/>
              <w:right w:val="single" w:sz="4" w:space="0" w:color="auto"/>
            </w:tcBorders>
          </w:tcPr>
          <w:p w14:paraId="458058A6" w14:textId="77777777" w:rsidR="000C6AF3" w:rsidRPr="004A478D" w:rsidRDefault="000C6AF3" w:rsidP="001947DB">
            <w:pPr>
              <w:pStyle w:val="KMC16-Tablecontent"/>
              <w:keepNext/>
              <w:keepLines/>
              <w:rPr>
                <w:lang w:val="en-AU"/>
              </w:rPr>
            </w:pPr>
            <w:r w:rsidRPr="004A478D">
              <w:rPr>
                <w:lang w:val="en-AU"/>
              </w:rPr>
              <w:t>Health states</w:t>
            </w:r>
          </w:p>
        </w:tc>
        <w:tc>
          <w:tcPr>
            <w:tcW w:w="3323" w:type="pct"/>
            <w:tcBorders>
              <w:top w:val="single" w:sz="4" w:space="0" w:color="auto"/>
              <w:left w:val="single" w:sz="4" w:space="0" w:color="auto"/>
              <w:bottom w:val="single" w:sz="4" w:space="0" w:color="auto"/>
              <w:right w:val="single" w:sz="4" w:space="0" w:color="auto"/>
            </w:tcBorders>
          </w:tcPr>
          <w:p w14:paraId="67D5A04F" w14:textId="48FDA187" w:rsidR="000C6AF3" w:rsidRPr="004A478D" w:rsidRDefault="000C6AF3" w:rsidP="001947DB">
            <w:pPr>
              <w:pStyle w:val="KMC16-Tablecontent"/>
              <w:keepNext/>
              <w:keepLines/>
              <w:rPr>
                <w:lang w:val="en-AU"/>
              </w:rPr>
            </w:pPr>
            <w:r w:rsidRPr="004A478D">
              <w:rPr>
                <w:color w:val="auto"/>
                <w:lang w:val="en-AU"/>
              </w:rPr>
              <w:t xml:space="preserve">Alive, </w:t>
            </w:r>
            <w:r w:rsidR="00A340C0" w:rsidRPr="00A54EDF">
              <w:rPr>
                <w:color w:val="auto"/>
                <w:lang w:val="en-AU"/>
              </w:rPr>
              <w:t>d</w:t>
            </w:r>
            <w:r w:rsidRPr="00A54EDF">
              <w:rPr>
                <w:color w:val="auto"/>
                <w:lang w:val="en-AU"/>
              </w:rPr>
              <w:t xml:space="preserve">ead, </w:t>
            </w:r>
            <w:r w:rsidR="00A340C0" w:rsidRPr="00A54EDF">
              <w:rPr>
                <w:color w:val="auto"/>
                <w:lang w:val="en-AU"/>
              </w:rPr>
              <w:t>v</w:t>
            </w:r>
            <w:r w:rsidRPr="004A478D">
              <w:rPr>
                <w:color w:val="auto"/>
                <w:lang w:val="en-AU"/>
              </w:rPr>
              <w:t>arious complications.</w:t>
            </w:r>
          </w:p>
        </w:tc>
      </w:tr>
      <w:tr w:rsidR="000C6AF3" w:rsidRPr="000C0AFA" w14:paraId="060F6816" w14:textId="77777777" w:rsidTr="004A3188">
        <w:trPr>
          <w:trHeight w:val="288"/>
        </w:trPr>
        <w:tc>
          <w:tcPr>
            <w:tcW w:w="1677" w:type="pct"/>
            <w:tcBorders>
              <w:top w:val="single" w:sz="4" w:space="0" w:color="auto"/>
              <w:left w:val="single" w:sz="4" w:space="0" w:color="auto"/>
              <w:bottom w:val="single" w:sz="4" w:space="0" w:color="auto"/>
              <w:right w:val="single" w:sz="4" w:space="0" w:color="auto"/>
            </w:tcBorders>
          </w:tcPr>
          <w:p w14:paraId="3E474AF2" w14:textId="77777777" w:rsidR="000C6AF3" w:rsidRPr="004A478D" w:rsidRDefault="000C6AF3" w:rsidP="001947DB">
            <w:pPr>
              <w:pStyle w:val="KMC16-Tablecontent"/>
              <w:keepNext/>
              <w:keepLines/>
              <w:rPr>
                <w:lang w:val="en-AU"/>
              </w:rPr>
            </w:pPr>
            <w:r w:rsidRPr="004A478D">
              <w:rPr>
                <w:lang w:val="en-AU"/>
              </w:rPr>
              <w:t>Cycle length</w:t>
            </w:r>
          </w:p>
        </w:tc>
        <w:tc>
          <w:tcPr>
            <w:tcW w:w="3323" w:type="pct"/>
            <w:tcBorders>
              <w:top w:val="single" w:sz="4" w:space="0" w:color="auto"/>
              <w:left w:val="single" w:sz="4" w:space="0" w:color="auto"/>
              <w:bottom w:val="single" w:sz="4" w:space="0" w:color="auto"/>
              <w:right w:val="single" w:sz="4" w:space="0" w:color="auto"/>
            </w:tcBorders>
          </w:tcPr>
          <w:p w14:paraId="50130E10" w14:textId="77777777" w:rsidR="000C6AF3" w:rsidRPr="004A478D" w:rsidRDefault="000C6AF3" w:rsidP="001947DB">
            <w:pPr>
              <w:pStyle w:val="KMC16-Tablecontent"/>
              <w:keepNext/>
              <w:keepLines/>
              <w:rPr>
                <w:lang w:val="en-AU"/>
              </w:rPr>
            </w:pPr>
            <w:r w:rsidRPr="004A478D">
              <w:rPr>
                <w:lang w:val="en-AU"/>
              </w:rPr>
              <w:t>1 year</w:t>
            </w:r>
            <w:r>
              <w:rPr>
                <w:lang w:val="en-AU"/>
              </w:rPr>
              <w:t xml:space="preserve"> with </w:t>
            </w:r>
            <w:r w:rsidRPr="005102BE">
              <w:rPr>
                <w:lang w:val="en-AU"/>
              </w:rPr>
              <w:t>half-cycle correction</w:t>
            </w:r>
          </w:p>
        </w:tc>
      </w:tr>
      <w:tr w:rsidR="000C6AF3" w:rsidRPr="000C0AFA" w14:paraId="075E71BF" w14:textId="77777777" w:rsidTr="004A3188">
        <w:trPr>
          <w:trHeight w:val="288"/>
        </w:trPr>
        <w:tc>
          <w:tcPr>
            <w:tcW w:w="1677" w:type="pct"/>
            <w:tcBorders>
              <w:top w:val="single" w:sz="4" w:space="0" w:color="auto"/>
              <w:left w:val="single" w:sz="4" w:space="0" w:color="auto"/>
              <w:bottom w:val="single" w:sz="4" w:space="0" w:color="auto"/>
              <w:right w:val="single" w:sz="4" w:space="0" w:color="auto"/>
            </w:tcBorders>
          </w:tcPr>
          <w:p w14:paraId="1818D987" w14:textId="77777777" w:rsidR="000C6AF3" w:rsidRPr="004A478D" w:rsidRDefault="000C6AF3" w:rsidP="001947DB">
            <w:pPr>
              <w:pStyle w:val="KMC16-Tablecontent"/>
              <w:keepNext/>
              <w:keepLines/>
              <w:rPr>
                <w:lang w:val="en-AU"/>
              </w:rPr>
            </w:pPr>
            <w:r w:rsidRPr="004A478D">
              <w:rPr>
                <w:lang w:val="en-AU"/>
              </w:rPr>
              <w:t>Transition probabilities</w:t>
            </w:r>
          </w:p>
        </w:tc>
        <w:tc>
          <w:tcPr>
            <w:tcW w:w="3323" w:type="pct"/>
            <w:tcBorders>
              <w:top w:val="single" w:sz="4" w:space="0" w:color="auto"/>
              <w:left w:val="single" w:sz="4" w:space="0" w:color="auto"/>
              <w:bottom w:val="single" w:sz="4" w:space="0" w:color="auto"/>
              <w:right w:val="single" w:sz="4" w:space="0" w:color="auto"/>
            </w:tcBorders>
          </w:tcPr>
          <w:p w14:paraId="0C5DD91A" w14:textId="1ED5E3A5" w:rsidR="000C6AF3" w:rsidRPr="004A478D" w:rsidRDefault="000C6AF3" w:rsidP="001947DB">
            <w:pPr>
              <w:pStyle w:val="KMC16-Tablecontent"/>
              <w:keepNext/>
              <w:keepLines/>
              <w:rPr>
                <w:lang w:val="en-AU"/>
              </w:rPr>
            </w:pPr>
            <w:r w:rsidRPr="004A478D">
              <w:rPr>
                <w:lang w:val="en-AU"/>
              </w:rPr>
              <w:t>The complications within DEDUCE for T2D are based on the RECODe risk engine regardless of maintenance therapy. Both macrovascular (i.e. myocardial infarction, stroke, congestive heart failure) and microvascular (renal failure, blindness) complications are included</w:t>
            </w:r>
            <w:r w:rsidR="00FA661A">
              <w:rPr>
                <w:lang w:val="en-AU"/>
              </w:rPr>
              <w:t>. Note that a</w:t>
            </w:r>
            <w:r w:rsidR="00FA661A" w:rsidRPr="00FA661A">
              <w:rPr>
                <w:lang w:val="en-AU"/>
              </w:rPr>
              <w:t xml:space="preserve">mputation, which is a consequence of a chronic condition associated with T2D, has not been included in the </w:t>
            </w:r>
            <w:r w:rsidR="00FA661A">
              <w:rPr>
                <w:lang w:val="en-AU"/>
              </w:rPr>
              <w:t>model</w:t>
            </w:r>
            <w:r w:rsidR="00FA661A" w:rsidRPr="00FA661A">
              <w:rPr>
                <w:lang w:val="en-AU"/>
              </w:rPr>
              <w:t>, despite having one of the largest utility decrements reported</w:t>
            </w:r>
            <w:r w:rsidRPr="004A478D">
              <w:rPr>
                <w:lang w:val="en-AU"/>
              </w:rPr>
              <w:t>. Multiple covariates act as predictor variables for complications</w:t>
            </w:r>
            <w:r w:rsidR="00D84386" w:rsidRPr="00A54EDF">
              <w:rPr>
                <w:lang w:val="en-AU"/>
              </w:rPr>
              <w:t>;</w:t>
            </w:r>
            <w:r w:rsidRPr="004A478D">
              <w:rPr>
                <w:lang w:val="en-AU"/>
              </w:rPr>
              <w:t xml:space="preserve"> HbA1c levels are covariates across all complications.</w:t>
            </w:r>
            <w:r w:rsidR="00FA661A">
              <w:rPr>
                <w:lang w:val="en-AU"/>
              </w:rPr>
              <w:t xml:space="preserve"> </w:t>
            </w:r>
          </w:p>
        </w:tc>
      </w:tr>
      <w:tr w:rsidR="000C6AF3" w:rsidRPr="000C0AFA" w14:paraId="129DBB8E" w14:textId="77777777" w:rsidTr="004A3188">
        <w:trPr>
          <w:trHeight w:val="288"/>
        </w:trPr>
        <w:tc>
          <w:tcPr>
            <w:tcW w:w="1677" w:type="pct"/>
            <w:tcBorders>
              <w:top w:val="single" w:sz="4" w:space="0" w:color="auto"/>
              <w:left w:val="single" w:sz="4" w:space="0" w:color="auto"/>
              <w:bottom w:val="single" w:sz="4" w:space="0" w:color="auto"/>
              <w:right w:val="single" w:sz="4" w:space="0" w:color="auto"/>
            </w:tcBorders>
          </w:tcPr>
          <w:p w14:paraId="4D3E61CF" w14:textId="77777777" w:rsidR="000C6AF3" w:rsidRPr="004A478D" w:rsidRDefault="000C6AF3" w:rsidP="001947DB">
            <w:pPr>
              <w:pStyle w:val="KMC16-Tablecontent"/>
              <w:keepNext/>
              <w:keepLines/>
              <w:rPr>
                <w:lang w:val="en-AU"/>
              </w:rPr>
            </w:pPr>
            <w:r w:rsidRPr="004A478D">
              <w:rPr>
                <w:lang w:val="en-AU"/>
              </w:rPr>
              <w:t>Discount rate</w:t>
            </w:r>
          </w:p>
        </w:tc>
        <w:tc>
          <w:tcPr>
            <w:tcW w:w="3323" w:type="pct"/>
            <w:tcBorders>
              <w:top w:val="single" w:sz="4" w:space="0" w:color="auto"/>
              <w:left w:val="single" w:sz="4" w:space="0" w:color="auto"/>
              <w:bottom w:val="single" w:sz="4" w:space="0" w:color="auto"/>
              <w:right w:val="single" w:sz="4" w:space="0" w:color="auto"/>
            </w:tcBorders>
          </w:tcPr>
          <w:p w14:paraId="6D3B2F98" w14:textId="77777777" w:rsidR="000C6AF3" w:rsidRPr="004A478D" w:rsidRDefault="000C6AF3" w:rsidP="001947DB">
            <w:pPr>
              <w:pStyle w:val="KMC16-Tablecontent"/>
              <w:keepNext/>
              <w:keepLines/>
              <w:rPr>
                <w:lang w:val="en-AU"/>
              </w:rPr>
            </w:pPr>
            <w:r w:rsidRPr="004A478D">
              <w:rPr>
                <w:lang w:val="en-AU"/>
              </w:rPr>
              <w:t>5% for both costs and outcomes</w:t>
            </w:r>
          </w:p>
        </w:tc>
      </w:tr>
      <w:tr w:rsidR="000C6AF3" w:rsidRPr="000C0AFA" w14:paraId="3C603610" w14:textId="77777777" w:rsidTr="004A3188">
        <w:trPr>
          <w:trHeight w:val="288"/>
        </w:trPr>
        <w:tc>
          <w:tcPr>
            <w:tcW w:w="1677" w:type="pct"/>
            <w:tcBorders>
              <w:top w:val="single" w:sz="4" w:space="0" w:color="auto"/>
              <w:left w:val="single" w:sz="4" w:space="0" w:color="auto"/>
              <w:bottom w:val="single" w:sz="4" w:space="0" w:color="auto"/>
              <w:right w:val="single" w:sz="4" w:space="0" w:color="auto"/>
            </w:tcBorders>
          </w:tcPr>
          <w:p w14:paraId="4830E843" w14:textId="77777777" w:rsidR="000C6AF3" w:rsidRPr="004A478D" w:rsidRDefault="000C6AF3" w:rsidP="001947DB">
            <w:pPr>
              <w:pStyle w:val="KMC16-Tablecontent"/>
              <w:keepNext/>
              <w:keepLines/>
              <w:rPr>
                <w:lang w:val="en-AU"/>
              </w:rPr>
            </w:pPr>
            <w:r w:rsidRPr="004A478D">
              <w:rPr>
                <w:lang w:val="en-AU"/>
              </w:rPr>
              <w:t>Software</w:t>
            </w:r>
          </w:p>
        </w:tc>
        <w:tc>
          <w:tcPr>
            <w:tcW w:w="3323" w:type="pct"/>
            <w:tcBorders>
              <w:top w:val="single" w:sz="4" w:space="0" w:color="auto"/>
              <w:left w:val="single" w:sz="4" w:space="0" w:color="auto"/>
              <w:bottom w:val="single" w:sz="4" w:space="0" w:color="auto"/>
              <w:right w:val="single" w:sz="4" w:space="0" w:color="auto"/>
            </w:tcBorders>
          </w:tcPr>
          <w:p w14:paraId="174B3C97" w14:textId="77777777" w:rsidR="000C6AF3" w:rsidRPr="004A478D" w:rsidRDefault="000C6AF3" w:rsidP="001947DB">
            <w:pPr>
              <w:pStyle w:val="KMC16-Tablecontent"/>
              <w:keepNext/>
              <w:keepLines/>
              <w:rPr>
                <w:lang w:val="en-AU"/>
              </w:rPr>
            </w:pPr>
            <w:r w:rsidRPr="004A478D">
              <w:rPr>
                <w:lang w:val="en-AU"/>
              </w:rPr>
              <w:t>Excel</w:t>
            </w:r>
          </w:p>
        </w:tc>
      </w:tr>
    </w:tbl>
    <w:bookmarkEnd w:id="38"/>
    <w:p w14:paraId="5BF9702C" w14:textId="77777777" w:rsidR="00703F55" w:rsidRPr="003027B3" w:rsidRDefault="00703F55" w:rsidP="001947DB">
      <w:pPr>
        <w:pStyle w:val="KMC16-TFNotes"/>
        <w:keepNext/>
        <w:keepLines/>
        <w:rPr>
          <w:rFonts w:ascii="Arial Narrow" w:hAnsi="Arial Narrow"/>
          <w:sz w:val="18"/>
          <w:szCs w:val="18"/>
          <w:u w:val="single"/>
        </w:rPr>
      </w:pPr>
      <w:r w:rsidRPr="003027B3">
        <w:rPr>
          <w:rFonts w:ascii="Arial Narrow" w:hAnsi="Arial Narrow"/>
          <w:b/>
          <w:bCs/>
          <w:sz w:val="18"/>
          <w:szCs w:val="18"/>
          <w:u w:val="single"/>
        </w:rPr>
        <w:t>Abbreviations</w:t>
      </w:r>
    </w:p>
    <w:p w14:paraId="534FA6E1" w14:textId="7CBDA435" w:rsidR="00703F55" w:rsidRPr="003027B3" w:rsidRDefault="00703F55" w:rsidP="001947DB">
      <w:pPr>
        <w:pStyle w:val="KMC16-TFNotes"/>
        <w:keepNext/>
        <w:keepLines/>
        <w:rPr>
          <w:rFonts w:ascii="Arial Narrow" w:hAnsi="Arial Narrow"/>
          <w:sz w:val="18"/>
          <w:szCs w:val="18"/>
        </w:rPr>
      </w:pPr>
      <w:r w:rsidRPr="003027B3">
        <w:rPr>
          <w:rFonts w:ascii="Arial Narrow" w:hAnsi="Arial Narrow"/>
          <w:b/>
          <w:bCs/>
          <w:sz w:val="18"/>
          <w:szCs w:val="18"/>
        </w:rPr>
        <w:t>ADE</w:t>
      </w:r>
      <w:r w:rsidRPr="003027B3">
        <w:rPr>
          <w:rFonts w:ascii="Arial Narrow" w:hAnsi="Arial Narrow"/>
          <w:sz w:val="18"/>
          <w:szCs w:val="18"/>
        </w:rPr>
        <w:t xml:space="preserve"> = acute diabetic event, </w:t>
      </w:r>
      <w:r w:rsidRPr="003027B3">
        <w:rPr>
          <w:rFonts w:ascii="Arial Narrow" w:hAnsi="Arial Narrow"/>
          <w:b/>
          <w:bCs/>
          <w:sz w:val="18"/>
          <w:szCs w:val="18"/>
        </w:rPr>
        <w:t>CEA</w:t>
      </w:r>
      <w:r w:rsidRPr="003027B3">
        <w:rPr>
          <w:rFonts w:ascii="Arial Narrow" w:hAnsi="Arial Narrow"/>
          <w:sz w:val="18"/>
          <w:szCs w:val="18"/>
        </w:rPr>
        <w:t xml:space="preserve"> = cost-effectiveness analysis, </w:t>
      </w:r>
      <w:r w:rsidRPr="003027B3">
        <w:rPr>
          <w:rFonts w:ascii="Arial Narrow" w:hAnsi="Arial Narrow"/>
          <w:b/>
          <w:bCs/>
          <w:sz w:val="18"/>
          <w:szCs w:val="18"/>
        </w:rPr>
        <w:t>CGM</w:t>
      </w:r>
      <w:r w:rsidRPr="003027B3">
        <w:rPr>
          <w:rFonts w:ascii="Arial Narrow" w:hAnsi="Arial Narrow"/>
          <w:sz w:val="18"/>
          <w:szCs w:val="18"/>
        </w:rPr>
        <w:t xml:space="preserve"> = continuous glucose monitoring, </w:t>
      </w:r>
      <w:r w:rsidRPr="003027B3">
        <w:rPr>
          <w:rFonts w:ascii="Arial Narrow" w:hAnsi="Arial Narrow"/>
          <w:b/>
          <w:bCs/>
          <w:sz w:val="18"/>
          <w:szCs w:val="18"/>
        </w:rPr>
        <w:t>FSL</w:t>
      </w:r>
      <w:r w:rsidRPr="003027B3">
        <w:rPr>
          <w:rFonts w:ascii="Arial Narrow" w:hAnsi="Arial Narrow"/>
          <w:sz w:val="18"/>
          <w:szCs w:val="18"/>
        </w:rPr>
        <w:t xml:space="preserve"> = Freestyle Libre, </w:t>
      </w:r>
      <w:r w:rsidRPr="003027B3">
        <w:rPr>
          <w:rFonts w:ascii="Arial Narrow" w:hAnsi="Arial Narrow"/>
          <w:b/>
          <w:bCs/>
          <w:sz w:val="18"/>
          <w:szCs w:val="18"/>
        </w:rPr>
        <w:t>HbA1c</w:t>
      </w:r>
      <w:r w:rsidRPr="003027B3">
        <w:rPr>
          <w:rFonts w:ascii="Arial Narrow" w:hAnsi="Arial Narrow"/>
          <w:sz w:val="18"/>
          <w:szCs w:val="18"/>
        </w:rPr>
        <w:t xml:space="preserve"> = glycated haemoglobin, </w:t>
      </w:r>
      <w:r w:rsidRPr="003027B3">
        <w:rPr>
          <w:rFonts w:ascii="Arial Narrow" w:hAnsi="Arial Narrow"/>
          <w:b/>
          <w:bCs/>
          <w:sz w:val="18"/>
          <w:szCs w:val="18"/>
        </w:rPr>
        <w:t>ICER</w:t>
      </w:r>
      <w:r w:rsidRPr="003027B3">
        <w:rPr>
          <w:rFonts w:ascii="Arial Narrow" w:hAnsi="Arial Narrow"/>
          <w:sz w:val="18"/>
          <w:szCs w:val="18"/>
        </w:rPr>
        <w:t xml:space="preserve"> = incremental cost-effectiveness ratio, </w:t>
      </w:r>
      <w:r w:rsidRPr="003027B3">
        <w:rPr>
          <w:rFonts w:ascii="Arial Narrow" w:hAnsi="Arial Narrow"/>
          <w:b/>
          <w:bCs/>
          <w:sz w:val="18"/>
          <w:szCs w:val="18"/>
        </w:rPr>
        <w:t>LYG</w:t>
      </w:r>
      <w:r w:rsidRPr="003027B3">
        <w:rPr>
          <w:rFonts w:ascii="Arial Narrow" w:hAnsi="Arial Narrow"/>
          <w:sz w:val="18"/>
          <w:szCs w:val="18"/>
        </w:rPr>
        <w:t xml:space="preserve"> = life years gained, </w:t>
      </w:r>
      <w:r w:rsidRPr="003027B3">
        <w:rPr>
          <w:rFonts w:ascii="Arial Narrow" w:hAnsi="Arial Narrow"/>
          <w:b/>
          <w:bCs/>
          <w:sz w:val="18"/>
          <w:szCs w:val="18"/>
        </w:rPr>
        <w:t>QALYs</w:t>
      </w:r>
      <w:r w:rsidRPr="003027B3">
        <w:rPr>
          <w:rFonts w:ascii="Arial Narrow" w:hAnsi="Arial Narrow"/>
          <w:sz w:val="18"/>
          <w:szCs w:val="18"/>
        </w:rPr>
        <w:t xml:space="preserve"> = quality-adjusted life years, </w:t>
      </w:r>
      <w:r w:rsidRPr="003027B3">
        <w:rPr>
          <w:rFonts w:ascii="Arial Narrow" w:hAnsi="Arial Narrow"/>
          <w:b/>
          <w:bCs/>
          <w:sz w:val="18"/>
          <w:szCs w:val="18"/>
        </w:rPr>
        <w:t>SMBG</w:t>
      </w:r>
      <w:r w:rsidRPr="003027B3">
        <w:rPr>
          <w:rFonts w:ascii="Arial Narrow" w:hAnsi="Arial Narrow"/>
          <w:sz w:val="18"/>
          <w:szCs w:val="18"/>
        </w:rPr>
        <w:t xml:space="preserve"> = self-monitoring of blood glucose, </w:t>
      </w:r>
      <w:r w:rsidRPr="003027B3">
        <w:rPr>
          <w:rFonts w:ascii="Arial Narrow" w:hAnsi="Arial Narrow"/>
          <w:b/>
          <w:bCs/>
          <w:sz w:val="18"/>
          <w:szCs w:val="18"/>
        </w:rPr>
        <w:t>T2D</w:t>
      </w:r>
      <w:r w:rsidRPr="003027B3">
        <w:rPr>
          <w:rFonts w:ascii="Arial Narrow" w:hAnsi="Arial Narrow"/>
          <w:sz w:val="18"/>
          <w:szCs w:val="18"/>
        </w:rPr>
        <w:t xml:space="preserve"> = type 2 diabetes. </w:t>
      </w:r>
    </w:p>
    <w:p w14:paraId="39ABEBE2" w14:textId="04A15771" w:rsidR="004A60FE" w:rsidRPr="00116BF5" w:rsidRDefault="004A60FE" w:rsidP="000C6AF3">
      <w:pPr>
        <w:rPr>
          <w:b/>
          <w:bCs/>
        </w:rPr>
      </w:pPr>
      <w:r w:rsidRPr="00116BF5">
        <w:rPr>
          <w:rFonts w:eastAsiaTheme="majorEastAsia" w:cstheme="majorBidi"/>
          <w:b/>
          <w:bCs/>
          <w:sz w:val="24"/>
          <w:szCs w:val="24"/>
        </w:rPr>
        <w:t>Population</w:t>
      </w:r>
    </w:p>
    <w:p w14:paraId="563F5927" w14:textId="5E2EDF7C" w:rsidR="004A60FE" w:rsidRPr="00532F49" w:rsidRDefault="000C6AF3" w:rsidP="0000700F">
      <w:r>
        <w:t xml:space="preserve">PICO Set 1 outlines the population as those </w:t>
      </w:r>
      <w:r w:rsidRPr="00532F49">
        <w:t>with T2D requiring insulin</w:t>
      </w:r>
      <w:r>
        <w:t xml:space="preserve">. </w:t>
      </w:r>
      <w:bookmarkStart w:id="39" w:name="_Hlk196377038"/>
      <w:bookmarkStart w:id="40" w:name="_Hlk192513227"/>
      <w:r w:rsidR="0000700F" w:rsidRPr="004A478D">
        <w:t>FSL</w:t>
      </w:r>
      <w:r w:rsidR="0000700F" w:rsidDel="00226CCE">
        <w:t xml:space="preserve"> </w:t>
      </w:r>
      <w:r w:rsidR="0000700F">
        <w:t xml:space="preserve">CGM products are indicated for children (with adult supervision) and adults. Specifically, </w:t>
      </w:r>
      <w:r w:rsidRPr="004A478D">
        <w:t>FSL</w:t>
      </w:r>
      <w:r w:rsidR="00226CCE">
        <w:t>2</w:t>
      </w:r>
      <w:r w:rsidR="0000700F">
        <w:t xml:space="preserve"> is</w:t>
      </w:r>
      <w:r w:rsidR="00226CCE">
        <w:t xml:space="preserve"> </w:t>
      </w:r>
      <w:r w:rsidR="0000700F">
        <w:t xml:space="preserve">indicated for </w:t>
      </w:r>
      <w:r w:rsidR="0000700F" w:rsidRPr="00226CCE">
        <w:t>children</w:t>
      </w:r>
      <w:r w:rsidR="0000700F">
        <w:t xml:space="preserve"> aged 4 to 17 years</w:t>
      </w:r>
      <w:r w:rsidR="00CF5B31">
        <w:t>,</w:t>
      </w:r>
      <w:r w:rsidR="0000700F">
        <w:t xml:space="preserve"> </w:t>
      </w:r>
      <w:r w:rsidR="00226CCE">
        <w:t xml:space="preserve">and FSL2 Plus </w:t>
      </w:r>
      <w:r w:rsidR="0000700F">
        <w:t xml:space="preserve">is indicated for </w:t>
      </w:r>
      <w:r w:rsidR="0000700F" w:rsidRPr="00226CCE">
        <w:t>children</w:t>
      </w:r>
      <w:r w:rsidR="0000700F">
        <w:t xml:space="preserve"> aged 2 to 13 years</w:t>
      </w:r>
      <w:bookmarkEnd w:id="39"/>
      <w:r w:rsidR="0000700F">
        <w:t xml:space="preserve">. </w:t>
      </w:r>
      <w:bookmarkEnd w:id="40"/>
      <w:r>
        <w:t xml:space="preserve">The PICO outlines </w:t>
      </w:r>
      <w:r w:rsidR="00164AA7" w:rsidRPr="00A54EDF">
        <w:t xml:space="preserve">2 </w:t>
      </w:r>
      <w:r>
        <w:t>sub-populations of interest: people receiving basal insulin or premixed insulin only</w:t>
      </w:r>
      <w:r w:rsidR="00AF03E9" w:rsidRPr="00A54EDF">
        <w:t>;</w:t>
      </w:r>
      <w:r w:rsidR="0017466E">
        <w:t xml:space="preserve"> and</w:t>
      </w:r>
      <w:r>
        <w:t xml:space="preserve"> people </w:t>
      </w:r>
      <w:r w:rsidR="00DA29CF">
        <w:t xml:space="preserve">requiring IIT </w:t>
      </w:r>
      <w:r w:rsidR="00AF03E9" w:rsidRPr="00A54EDF">
        <w:t>(</w:t>
      </w:r>
      <w:r w:rsidR="00DA29CF">
        <w:t xml:space="preserve">i.e. those who require multiple daily insulin injections or continuous subcutaneous insulin infusion who are recommended to </w:t>
      </w:r>
      <w:r w:rsidR="008E6D93" w:rsidRPr="00A54EDF">
        <w:t>perform</w:t>
      </w:r>
      <w:r w:rsidR="00DA29CF">
        <w:t xml:space="preserve"> frequent monitoring of their blood glucose</w:t>
      </w:r>
      <w:r w:rsidR="008E6D93" w:rsidRPr="00A54EDF">
        <w:t>)</w:t>
      </w:r>
      <w:r w:rsidRPr="00A54EDF">
        <w:t>.</w:t>
      </w:r>
      <w:r>
        <w:t xml:space="preserve"> </w:t>
      </w:r>
      <w:r w:rsidRPr="00532F49">
        <w:t xml:space="preserve">It is unlikely that </w:t>
      </w:r>
      <w:r w:rsidR="00635962">
        <w:t>children</w:t>
      </w:r>
      <w:r w:rsidR="00345DE0">
        <w:t xml:space="preserve"> </w:t>
      </w:r>
      <w:r w:rsidRPr="00532F49">
        <w:t>are captured in the model</w:t>
      </w:r>
      <w:r w:rsidR="007940F2">
        <w:t xml:space="preserve"> </w:t>
      </w:r>
      <w:r w:rsidR="00635962">
        <w:t>because</w:t>
      </w:r>
      <w:r w:rsidRPr="00532F49">
        <w:t xml:space="preserve"> </w:t>
      </w:r>
      <w:r w:rsidR="00635962">
        <w:t>t</w:t>
      </w:r>
      <w:r w:rsidRPr="00532F49">
        <w:t xml:space="preserve">he average age in the model is 64.5 </w:t>
      </w:r>
      <w:r w:rsidR="008B6E6B" w:rsidRPr="00A54EDF">
        <w:t xml:space="preserve">years </w:t>
      </w:r>
      <w:r w:rsidRPr="00532F49">
        <w:t>(SD:13.1)</w:t>
      </w:r>
      <w:r w:rsidR="007940F2">
        <w:t>,</w:t>
      </w:r>
      <w:r w:rsidR="00635962">
        <w:t xml:space="preserve"> and t</w:t>
      </w:r>
      <w:r w:rsidRPr="00532F49">
        <w:t xml:space="preserve">he </w:t>
      </w:r>
      <w:r w:rsidR="00954612">
        <w:t>ADAR</w:t>
      </w:r>
      <w:r w:rsidR="00954612" w:rsidRPr="00532F49">
        <w:t xml:space="preserve"> </w:t>
      </w:r>
      <w:r w:rsidRPr="00532F49">
        <w:t>did not present any clinical or economic evidence for children or adolescents</w:t>
      </w:r>
      <w:r w:rsidR="002C3C2C" w:rsidRPr="002C3C2C">
        <w:t>.</w:t>
      </w:r>
    </w:p>
    <w:p w14:paraId="4724E01A" w14:textId="047A2E7A" w:rsidR="000C6AF3" w:rsidRPr="006536A3" w:rsidRDefault="004A60FE" w:rsidP="006536A3">
      <w:pPr>
        <w:rPr>
          <w:b/>
          <w:bCs/>
        </w:rPr>
      </w:pPr>
      <w:r>
        <w:rPr>
          <w:b/>
          <w:bCs/>
        </w:rPr>
        <w:t>Baseline characteristics</w:t>
      </w:r>
    </w:p>
    <w:p w14:paraId="37C1F32F" w14:textId="01D3C620" w:rsidR="007A1306" w:rsidRDefault="000C6AF3" w:rsidP="000C6AF3">
      <w:r>
        <w:t xml:space="preserve">The </w:t>
      </w:r>
      <w:r w:rsidRPr="00217E1D">
        <w:t>ANDA</w:t>
      </w:r>
      <w:r>
        <w:t xml:space="preserve"> dataset was a key source of baseline characteristics. </w:t>
      </w:r>
      <w:r w:rsidRPr="00217E1D">
        <w:t>ANDA</w:t>
      </w:r>
      <w:r>
        <w:t xml:space="preserve"> </w:t>
      </w:r>
      <w:r w:rsidRPr="00A54EDF">
        <w:t>report</w:t>
      </w:r>
      <w:r w:rsidR="00FA58D1" w:rsidRPr="00A54EDF">
        <w:t>s</w:t>
      </w:r>
      <w:r>
        <w:t xml:space="preserve"> age and mean HbA1c by </w:t>
      </w:r>
      <w:r w:rsidR="007A1306">
        <w:t xml:space="preserve">diabetes type and </w:t>
      </w:r>
      <w:r>
        <w:t xml:space="preserve">insulin use. Where data </w:t>
      </w:r>
      <w:r w:rsidR="00333710">
        <w:t>were</w:t>
      </w:r>
      <w:r>
        <w:t xml:space="preserve"> </w:t>
      </w:r>
      <w:r w:rsidR="00FA58D1" w:rsidRPr="00A54EDF">
        <w:t>un</w:t>
      </w:r>
      <w:r>
        <w:t xml:space="preserve">available for insulin users, the </w:t>
      </w:r>
      <w:r w:rsidR="00954612">
        <w:t xml:space="preserve">ADAR </w:t>
      </w:r>
      <w:r>
        <w:t>assumed baseline characteristics would align with th</w:t>
      </w:r>
      <w:r w:rsidR="00333710">
        <w:t>ose of the</w:t>
      </w:r>
      <w:r>
        <w:t xml:space="preserve"> </w:t>
      </w:r>
      <w:r w:rsidR="00333710">
        <w:t>‘</w:t>
      </w:r>
      <w:r w:rsidRPr="004A478D">
        <w:t xml:space="preserve">all </w:t>
      </w:r>
      <w:r w:rsidR="007A1306">
        <w:t>diabetes</w:t>
      </w:r>
      <w:r w:rsidR="00333710">
        <w:t>’</w:t>
      </w:r>
      <w:r w:rsidRPr="004A478D">
        <w:t xml:space="preserve"> </w:t>
      </w:r>
      <w:r>
        <w:t>population</w:t>
      </w:r>
      <w:r w:rsidR="007A1306">
        <w:t xml:space="preserve">, consisting of 30.6% people with T1D and </w:t>
      </w:r>
      <w:r w:rsidR="006044C6">
        <w:t>&lt;</w:t>
      </w:r>
      <w:r w:rsidR="007A1306">
        <w:t>70% people using insulin</w:t>
      </w:r>
      <w:r>
        <w:t xml:space="preserve">. </w:t>
      </w:r>
      <w:bookmarkStart w:id="41" w:name="_Hlk192514178"/>
      <w:r>
        <w:t>The u</w:t>
      </w:r>
      <w:r w:rsidRPr="00217E1D">
        <w:t>rine albumin:creatinine ratio</w:t>
      </w:r>
      <w:r>
        <w:t xml:space="preserve"> was sourced from </w:t>
      </w:r>
      <w:r w:rsidR="00FA58D1" w:rsidRPr="00A54EDF">
        <w:t>a US</w:t>
      </w:r>
      <w:r w:rsidR="007A1306">
        <w:t>, T2D</w:t>
      </w:r>
      <w:r w:rsidR="0031406A">
        <w:t xml:space="preserve"> </w:t>
      </w:r>
      <w:r>
        <w:t xml:space="preserve">population reported in the ACCORD study </w:t>
      </w:r>
      <w:r w:rsidR="002C3C2C">
        <w:t>(</w:t>
      </w:r>
      <w:r w:rsidRPr="004A478D">
        <w:t>Basu 2017</w:t>
      </w:r>
      <w:r w:rsidR="002C3C2C">
        <w:t>)</w:t>
      </w:r>
      <w:r w:rsidR="006044C6">
        <w:t>, in which</w:t>
      </w:r>
      <w:r w:rsidR="007A1306">
        <w:t xml:space="preserve"> 35% of the population </w:t>
      </w:r>
      <w:r w:rsidR="00302E1D">
        <w:t xml:space="preserve">was </w:t>
      </w:r>
      <w:r w:rsidR="007A1306">
        <w:t xml:space="preserve">insulin users. </w:t>
      </w:r>
      <w:bookmarkStart w:id="42" w:name="_Hlk192514199"/>
      <w:bookmarkEnd w:id="41"/>
    </w:p>
    <w:p w14:paraId="5A0C348A" w14:textId="441148B7" w:rsidR="00E96000" w:rsidRDefault="007A1306" w:rsidP="00496C22">
      <w:r w:rsidRPr="007A1306">
        <w:t xml:space="preserve">The </w:t>
      </w:r>
      <w:r w:rsidR="00CF5B31">
        <w:t>‘</w:t>
      </w:r>
      <w:r w:rsidRPr="007A1306">
        <w:t>all diabetes</w:t>
      </w:r>
      <w:r w:rsidR="00CF5B31">
        <w:t>’</w:t>
      </w:r>
      <w:r w:rsidRPr="007A1306">
        <w:t xml:space="preserve"> population in A</w:t>
      </w:r>
      <w:r w:rsidR="00705E25">
        <w:t>N</w:t>
      </w:r>
      <w:r w:rsidRPr="007A1306">
        <w:t xml:space="preserve">DA and the data in ACCORD do not align with the population in PICO </w:t>
      </w:r>
      <w:r w:rsidR="00055849">
        <w:t>Se</w:t>
      </w:r>
      <w:r w:rsidRPr="007A1306">
        <w:t xml:space="preserve">t 1. </w:t>
      </w:r>
      <w:r w:rsidR="000C6AF3">
        <w:t xml:space="preserve">The applicant </w:t>
      </w:r>
      <w:r w:rsidRPr="007A1306">
        <w:t xml:space="preserve">did not seek clinical opinion to determine whether these populations were comparable with each other and the population in PICO </w:t>
      </w:r>
      <w:r w:rsidR="00055849">
        <w:t>S</w:t>
      </w:r>
      <w:r w:rsidRPr="007A1306">
        <w:t xml:space="preserve">et 1, nor did the </w:t>
      </w:r>
      <w:r w:rsidR="00302E1D">
        <w:t>ADAR</w:t>
      </w:r>
      <w:r w:rsidR="00302E1D" w:rsidRPr="007A1306">
        <w:t xml:space="preserve"> </w:t>
      </w:r>
      <w:r w:rsidRPr="007A1306">
        <w:t xml:space="preserve">discuss the impact of using data from </w:t>
      </w:r>
      <w:r w:rsidR="00492512">
        <w:t>3</w:t>
      </w:r>
      <w:r w:rsidRPr="007A1306">
        <w:t xml:space="preserve"> different populations to simulate the population</w:t>
      </w:r>
      <w:r>
        <w:t>.</w:t>
      </w:r>
      <w:r w:rsidR="000C6AF3">
        <w:t xml:space="preserve"> </w:t>
      </w:r>
      <w:bookmarkEnd w:id="42"/>
      <w:r>
        <w:t xml:space="preserve">The population of interest, as per PICO </w:t>
      </w:r>
      <w:r w:rsidR="00055849">
        <w:t>S</w:t>
      </w:r>
      <w:r>
        <w:t xml:space="preserve">et 1, </w:t>
      </w:r>
      <w:r w:rsidR="00492512">
        <w:t>is</w:t>
      </w:r>
      <w:r>
        <w:t xml:space="preserve"> people with T2D</w:t>
      </w:r>
      <w:r w:rsidRPr="00532F49">
        <w:t xml:space="preserve"> requiring insulin</w:t>
      </w:r>
      <w:r>
        <w:t xml:space="preserve">. </w:t>
      </w:r>
      <w:bookmarkStart w:id="43" w:name="_Hlk196388494"/>
      <w:r>
        <w:t xml:space="preserve">Only </w:t>
      </w:r>
      <w:r w:rsidR="00492512">
        <w:t>2</w:t>
      </w:r>
      <w:r>
        <w:t xml:space="preserve"> of the 15 baseline characteristics are representative of this population (age and HbA1c level). </w:t>
      </w:r>
      <w:r w:rsidRPr="007A1306">
        <w:t xml:space="preserve">Given the differences in the </w:t>
      </w:r>
      <w:r w:rsidR="00496C22">
        <w:t xml:space="preserve">3 </w:t>
      </w:r>
      <w:r w:rsidRPr="007A1306">
        <w:t>populations</w:t>
      </w:r>
      <w:r w:rsidR="00496C22">
        <w:t xml:space="preserve"> informing Table 3-2 in the ADAR</w:t>
      </w:r>
      <w:r w:rsidRPr="007A1306">
        <w:t xml:space="preserve">, </w:t>
      </w:r>
      <w:r w:rsidR="00496C22" w:rsidRPr="00496C22">
        <w:t xml:space="preserve">there is uncertainty as to whether the simulated population is </w:t>
      </w:r>
      <w:r w:rsidRPr="007A1306">
        <w:t xml:space="preserve">clinically representative of the population of PICO </w:t>
      </w:r>
      <w:r w:rsidR="00055849">
        <w:t>S</w:t>
      </w:r>
      <w:r w:rsidRPr="007A1306">
        <w:t xml:space="preserve">et 1. </w:t>
      </w:r>
    </w:p>
    <w:p w14:paraId="6CB61AA3" w14:textId="409AD920" w:rsidR="000C6AF3" w:rsidRDefault="004153EE" w:rsidP="00496C22">
      <w:r>
        <w:t>The commentary considered that u</w:t>
      </w:r>
      <w:r w:rsidR="00496C22">
        <w:t xml:space="preserve">se of data representative of the population in PICO </w:t>
      </w:r>
      <w:r w:rsidR="00055849">
        <w:t>S</w:t>
      </w:r>
      <w:r w:rsidR="00496C22">
        <w:t>et 1 would be more appropriate</w:t>
      </w:r>
      <w:bookmarkEnd w:id="43"/>
      <w:r w:rsidR="002B2303">
        <w:t>. I</w:t>
      </w:r>
      <w:r w:rsidR="00E96000">
        <w:t>t is</w:t>
      </w:r>
      <w:r w:rsidR="002B2303">
        <w:t xml:space="preserve"> important to note that </w:t>
      </w:r>
      <w:r w:rsidR="00E96000">
        <w:t xml:space="preserve">use of a population representative of PICO </w:t>
      </w:r>
      <w:r w:rsidR="00055849">
        <w:t>S</w:t>
      </w:r>
      <w:r w:rsidR="00E96000">
        <w:t>et 1 will</w:t>
      </w:r>
      <w:r w:rsidR="002B2303">
        <w:t xml:space="preserve"> not</w:t>
      </w:r>
      <w:r w:rsidR="00E96000">
        <w:t xml:space="preserve"> adequately reduce uncertainty in the model estimates, given</w:t>
      </w:r>
      <w:r w:rsidR="002B2303">
        <w:t xml:space="preserve"> that there are other assumptions and inputs that are more critical areas on uncertainty. </w:t>
      </w:r>
    </w:p>
    <w:p w14:paraId="35555CF8" w14:textId="5F716291" w:rsidR="000C6AF3" w:rsidRDefault="000C6AF3" w:rsidP="000C6AF3">
      <w:r>
        <w:t>Baseline characteristics were used to simulate a unique individual using Monte</w:t>
      </w:r>
      <w:r w:rsidR="00345DE0">
        <w:t xml:space="preserve"> </w:t>
      </w:r>
      <w:r>
        <w:t xml:space="preserve">Carlo methods. In addition, the </w:t>
      </w:r>
      <w:r w:rsidR="00954612">
        <w:t xml:space="preserve">ADAR </w:t>
      </w:r>
      <w:r>
        <w:t xml:space="preserve">used a </w:t>
      </w:r>
      <w:r w:rsidRPr="00431073">
        <w:t>correlation matrix for baseline characteristics</w:t>
      </w:r>
      <w:r>
        <w:t xml:space="preserve"> to ensure all individuals </w:t>
      </w:r>
      <w:r w:rsidRPr="00C02057">
        <w:t>had a plausible set of risk factors</w:t>
      </w:r>
      <w:r>
        <w:t xml:space="preserve">. Matrices were from UK-based reports, published by the </w:t>
      </w:r>
      <w:bookmarkStart w:id="44" w:name="_Hlk192515205"/>
      <w:r w:rsidRPr="00431073">
        <w:t xml:space="preserve">National Institute for Health and Care Excellence </w:t>
      </w:r>
      <w:r>
        <w:t xml:space="preserve">(NICE). </w:t>
      </w:r>
      <w:bookmarkEnd w:id="44"/>
      <w:r>
        <w:t xml:space="preserve">The </w:t>
      </w:r>
      <w:r w:rsidR="00954612">
        <w:t xml:space="preserve">ADAR </w:t>
      </w:r>
      <w:r>
        <w:t>did</w:t>
      </w:r>
      <w:r w:rsidR="000F7785">
        <w:t xml:space="preserve"> </w:t>
      </w:r>
      <w:r>
        <w:t>n</w:t>
      </w:r>
      <w:r w:rsidR="000F7785">
        <w:t>o</w:t>
      </w:r>
      <w:r>
        <w:t xml:space="preserve">t discuss the applicability of these matrices </w:t>
      </w:r>
      <w:r w:rsidR="004B02C7" w:rsidRPr="00A54EDF">
        <w:t>to</w:t>
      </w:r>
      <w:r>
        <w:t xml:space="preserve"> an Australian population</w:t>
      </w:r>
      <w:r w:rsidR="007A1306">
        <w:t>. However, the use of correlation matrices adds clinical plausibility to the population generated</w:t>
      </w:r>
      <w:r>
        <w:t xml:space="preserve">. Baseline characteristics were assumed to be sustained throughout the individual’s lifetime. The </w:t>
      </w:r>
      <w:r w:rsidR="00954612">
        <w:t xml:space="preserve">ADAR </w:t>
      </w:r>
      <w:r>
        <w:t>assumed age changed once every 10 years.</w:t>
      </w:r>
    </w:p>
    <w:p w14:paraId="75EA2409" w14:textId="7136BAD0" w:rsidR="004A60FE" w:rsidRPr="006536A3" w:rsidRDefault="004A60FE" w:rsidP="000C6AF3">
      <w:pPr>
        <w:rPr>
          <w:b/>
          <w:bCs/>
        </w:rPr>
      </w:pPr>
      <w:r>
        <w:rPr>
          <w:b/>
          <w:bCs/>
        </w:rPr>
        <w:t>RECODe risk equations</w:t>
      </w:r>
    </w:p>
    <w:p w14:paraId="72460F6A" w14:textId="3317BB07" w:rsidR="000C6AF3" w:rsidRDefault="000C6AF3" w:rsidP="000C6AF3">
      <w:r>
        <w:t xml:space="preserve">The </w:t>
      </w:r>
      <w:r w:rsidRPr="00C77835">
        <w:t xml:space="preserve">RECODe </w:t>
      </w:r>
      <w:r>
        <w:t>risk equations (2017) were built using data from the ACCORD study (n=9635; 2001–09; median follow-up = 4.7 years)</w:t>
      </w:r>
      <w:r w:rsidR="000F7785">
        <w:t xml:space="preserve">, which recruited patients from </w:t>
      </w:r>
      <w:r>
        <w:t>77 clinical sites in the United States and Canada. The</w:t>
      </w:r>
      <w:r w:rsidR="000F7785">
        <w:t xml:space="preserve"> risk equations</w:t>
      </w:r>
      <w:r>
        <w:t xml:space="preserve"> were validated using two large diabetes studies</w:t>
      </w:r>
      <w:r w:rsidR="000F7785">
        <w:t>:</w:t>
      </w:r>
      <w:r>
        <w:t xml:space="preserve"> the Diabetes Prevention Program Outcomes Study (DPPOS, n=1018; 1996–2001) and Action for Health in Diabetes (Look AHEAD, n=4760; 2001–12</w:t>
      </w:r>
      <w:r w:rsidR="000F7785">
        <w:t>, used to validate cardiovascular events only</w:t>
      </w:r>
      <w:r>
        <w:t>).</w:t>
      </w:r>
    </w:p>
    <w:p w14:paraId="6C45C17F" w14:textId="09D24B26" w:rsidR="00E87817" w:rsidRDefault="00A056AE" w:rsidP="00E87817">
      <w:r>
        <w:t xml:space="preserve">There </w:t>
      </w:r>
      <w:proofErr w:type="gramStart"/>
      <w:r w:rsidR="00A93141">
        <w:t>are</w:t>
      </w:r>
      <w:proofErr w:type="gramEnd"/>
      <w:r>
        <w:t xml:space="preserve"> numerous risk equations developed to model diabetes across a variety of settings. </w:t>
      </w:r>
      <w:r w:rsidR="00E87817">
        <w:t xml:space="preserve">The </w:t>
      </w:r>
      <w:r w:rsidR="00954612">
        <w:t xml:space="preserve">ADAR </w:t>
      </w:r>
      <w:r w:rsidR="00E87817">
        <w:t xml:space="preserve">claimed that RECODe risk equations were appropriate </w:t>
      </w:r>
      <w:r w:rsidR="0094484A">
        <w:t>(</w:t>
      </w:r>
      <w:r w:rsidR="00E87817">
        <w:t>compared with the others</w:t>
      </w:r>
      <w:r w:rsidR="0094484A">
        <w:t>)</w:t>
      </w:r>
      <w:r w:rsidR="00E87817">
        <w:t xml:space="preserve"> because they were </w:t>
      </w:r>
      <w:r w:rsidR="0094484A">
        <w:t>‘</w:t>
      </w:r>
      <w:r w:rsidR="00E87817">
        <w:t>more recent</w:t>
      </w:r>
      <w:r w:rsidR="0094484A">
        <w:t>’</w:t>
      </w:r>
      <w:r w:rsidR="00E87817">
        <w:t>. Details on commonly used risk equations (</w:t>
      </w:r>
      <w:r w:rsidR="00E76287" w:rsidRPr="00FA661A">
        <w:t xml:space="preserve">United Kingdom Prospective Diabetes </w:t>
      </w:r>
      <w:r w:rsidR="00E76287">
        <w:t>[</w:t>
      </w:r>
      <w:r w:rsidR="00E87817">
        <w:t>UKPDA</w:t>
      </w:r>
      <w:r w:rsidR="00E76287">
        <w:t>]</w:t>
      </w:r>
      <w:r w:rsidR="00E87817">
        <w:t xml:space="preserve"> and </w:t>
      </w:r>
      <w:r w:rsidR="00E76287" w:rsidRPr="00FA661A">
        <w:t xml:space="preserve">Building, Relating, Assessing and Validating Outcomes </w:t>
      </w:r>
      <w:r w:rsidR="00E76287">
        <w:t>[</w:t>
      </w:r>
      <w:r w:rsidR="00E87817">
        <w:t>BRAVO</w:t>
      </w:r>
      <w:r w:rsidR="00E76287">
        <w:t>]</w:t>
      </w:r>
      <w:r w:rsidR="00E87817">
        <w:t>) are presented below</w:t>
      </w:r>
      <w:r w:rsidR="007940F2">
        <w:t>:</w:t>
      </w:r>
    </w:p>
    <w:p w14:paraId="4CAAA956" w14:textId="45D612E3" w:rsidR="00E87817" w:rsidRPr="007940F2" w:rsidRDefault="00E87817" w:rsidP="001E1F47">
      <w:pPr>
        <w:pStyle w:val="Bullet"/>
        <w:rPr>
          <w:rFonts w:ascii="Franklin Gothic Book" w:hAnsi="Franklin Gothic Book"/>
        </w:rPr>
      </w:pPr>
      <w:r w:rsidRPr="007940F2">
        <w:rPr>
          <w:rFonts w:ascii="Franklin Gothic Book" w:hAnsi="Franklin Gothic Book"/>
        </w:rPr>
        <w:t>UKPDS-82 (2013</w:t>
      </w:r>
      <w:r w:rsidR="007940F2">
        <w:rPr>
          <w:rFonts w:ascii="Franklin Gothic Book" w:hAnsi="Franklin Gothic Book"/>
        </w:rPr>
        <w:t xml:space="preserve">) </w:t>
      </w:r>
      <w:r w:rsidR="0094484A">
        <w:rPr>
          <w:rFonts w:ascii="Franklin Gothic Book" w:hAnsi="Franklin Gothic Book"/>
        </w:rPr>
        <w:t>was</w:t>
      </w:r>
      <w:r w:rsidRPr="007940F2">
        <w:rPr>
          <w:rFonts w:ascii="Franklin Gothic Book" w:hAnsi="Franklin Gothic Book"/>
        </w:rPr>
        <w:t xml:space="preserve"> built using data from the UKPDS trial (n=5,102; 1977–</w:t>
      </w:r>
      <w:r w:rsidR="00404FC1">
        <w:rPr>
          <w:rFonts w:ascii="Franklin Gothic Book" w:hAnsi="Franklin Gothic Book"/>
        </w:rPr>
        <w:t>19</w:t>
      </w:r>
      <w:r w:rsidRPr="007940F2">
        <w:rPr>
          <w:rFonts w:ascii="Franklin Gothic Book" w:hAnsi="Franklin Gothic Book"/>
        </w:rPr>
        <w:t>97) and the 10-year post</w:t>
      </w:r>
      <w:r w:rsidR="00404FC1">
        <w:rPr>
          <w:rFonts w:ascii="Franklin Gothic Book" w:hAnsi="Franklin Gothic Book"/>
        </w:rPr>
        <w:t>-</w:t>
      </w:r>
      <w:r w:rsidRPr="007940F2">
        <w:rPr>
          <w:rFonts w:ascii="Franklin Gothic Book" w:hAnsi="Franklin Gothic Book"/>
        </w:rPr>
        <w:t>trial follow</w:t>
      </w:r>
      <w:r w:rsidR="007940F2">
        <w:rPr>
          <w:rFonts w:ascii="Franklin Gothic Book" w:hAnsi="Franklin Gothic Book"/>
        </w:rPr>
        <w:t>-</w:t>
      </w:r>
      <w:r w:rsidRPr="007940F2">
        <w:rPr>
          <w:rFonts w:ascii="Franklin Gothic Book" w:hAnsi="Franklin Gothic Book"/>
        </w:rPr>
        <w:t>up o</w:t>
      </w:r>
      <w:r w:rsidR="00BA0DD3">
        <w:rPr>
          <w:rFonts w:ascii="Franklin Gothic Book" w:hAnsi="Franklin Gothic Book"/>
        </w:rPr>
        <w:t>f</w:t>
      </w:r>
      <w:r w:rsidRPr="007940F2">
        <w:rPr>
          <w:rFonts w:ascii="Franklin Gothic Book" w:hAnsi="Franklin Gothic Book"/>
        </w:rPr>
        <w:t xml:space="preserve"> 4,031 survivors. Median follow-up was 17.6 years </w:t>
      </w:r>
      <w:r w:rsidR="00BA0DD3">
        <w:rPr>
          <w:rFonts w:ascii="Franklin Gothic Book" w:hAnsi="Franklin Gothic Book"/>
        </w:rPr>
        <w:t>leading to</w:t>
      </w:r>
      <w:r w:rsidRPr="007940F2">
        <w:rPr>
          <w:rFonts w:ascii="Franklin Gothic Book" w:hAnsi="Franklin Gothic Book"/>
        </w:rPr>
        <w:t xml:space="preserve"> 89,760 person-years of data.</w:t>
      </w:r>
      <w:r w:rsidR="007940F2" w:rsidRPr="007940F2">
        <w:rPr>
          <w:rFonts w:ascii="Franklin Gothic Book" w:hAnsi="Franklin Gothic Book"/>
        </w:rPr>
        <w:t xml:space="preserve"> </w:t>
      </w:r>
      <w:r w:rsidRPr="007940F2">
        <w:rPr>
          <w:rFonts w:ascii="Franklin Gothic Book" w:hAnsi="Franklin Gothic Book"/>
        </w:rPr>
        <w:t xml:space="preserve">UKPDS risk equations have recently been updated to UKPDS-90 (2021) with 24 years follow-up and up to 65,252 person-years of data. </w:t>
      </w:r>
    </w:p>
    <w:p w14:paraId="6C781644" w14:textId="09DFF470" w:rsidR="00E87817" w:rsidRPr="00E87817" w:rsidRDefault="00E87817" w:rsidP="005B79EF">
      <w:pPr>
        <w:pStyle w:val="Bullet"/>
      </w:pPr>
      <w:r w:rsidRPr="00A0619D">
        <w:rPr>
          <w:rFonts w:ascii="Franklin Gothic Book" w:hAnsi="Franklin Gothic Book"/>
        </w:rPr>
        <w:t>BRAVO (2018) risk equations</w:t>
      </w:r>
      <w:r w:rsidR="007940F2">
        <w:rPr>
          <w:rFonts w:ascii="Franklin Gothic Book" w:hAnsi="Franklin Gothic Book"/>
        </w:rPr>
        <w:t xml:space="preserve"> were</w:t>
      </w:r>
      <w:r w:rsidRPr="00A0619D">
        <w:rPr>
          <w:rFonts w:ascii="Franklin Gothic Book" w:hAnsi="Franklin Gothic Book"/>
        </w:rPr>
        <w:t xml:space="preserve"> also built using the ACCORD trial</w:t>
      </w:r>
      <w:r w:rsidR="00BA0DD3">
        <w:rPr>
          <w:rFonts w:ascii="Franklin Gothic Book" w:hAnsi="Franklin Gothic Book"/>
        </w:rPr>
        <w:t>,</w:t>
      </w:r>
      <w:r w:rsidRPr="00A0619D">
        <w:rPr>
          <w:rFonts w:ascii="Franklin Gothic Book" w:hAnsi="Franklin Gothic Book"/>
        </w:rPr>
        <w:t xml:space="preserve"> with median follow-up of 3.7 years and 39,043 person-years of data. These include severe hypoglyc</w:t>
      </w:r>
      <w:r w:rsidR="00315A60">
        <w:rPr>
          <w:rFonts w:ascii="Franklin Gothic Book" w:hAnsi="Franklin Gothic Book"/>
        </w:rPr>
        <w:t>a</w:t>
      </w:r>
      <w:r w:rsidRPr="00A0619D">
        <w:rPr>
          <w:rFonts w:ascii="Franklin Gothic Book" w:hAnsi="Franklin Gothic Book"/>
        </w:rPr>
        <w:t xml:space="preserve">emia as a covariable. </w:t>
      </w:r>
    </w:p>
    <w:p w14:paraId="331FD374" w14:textId="7C8D073C" w:rsidR="00E87817" w:rsidRDefault="00E87817" w:rsidP="00E87817">
      <w:r>
        <w:t xml:space="preserve">Despite a 2017 publication date, the RECODe risk equations used data from 2001 to 2009. Therefore, the follow-up period in the 2 trials intersect. </w:t>
      </w:r>
      <w:r w:rsidR="00D65B6A">
        <w:t>The commentary considered that m</w:t>
      </w:r>
      <w:r>
        <w:t xml:space="preserve">ore evidence </w:t>
      </w:r>
      <w:r w:rsidR="00CA2A5F">
        <w:t>wa</w:t>
      </w:r>
      <w:r>
        <w:t xml:space="preserve">s needed to substantiate the </w:t>
      </w:r>
      <w:r w:rsidR="00B84EC9">
        <w:t xml:space="preserve">ADAR’s </w:t>
      </w:r>
      <w:r>
        <w:t xml:space="preserve">claim that RECODe reflects more recent treatment practices. Other risk equations have been published since RECODe, including BRAVO and an updated version of UKPDS-OM2 (UKPDS-90). These were not discussed </w:t>
      </w:r>
      <w:r w:rsidR="00D142C0">
        <w:t xml:space="preserve">in </w:t>
      </w:r>
      <w:r>
        <w:t xml:space="preserve">the </w:t>
      </w:r>
      <w:r w:rsidR="00D142C0">
        <w:t>ADAR</w:t>
      </w:r>
      <w:r>
        <w:t xml:space="preserve">. </w:t>
      </w:r>
    </w:p>
    <w:p w14:paraId="2B41E055" w14:textId="69029DF4" w:rsidR="00A93141" w:rsidRDefault="00E87817" w:rsidP="00A056AE">
      <w:r>
        <w:t xml:space="preserve">The </w:t>
      </w:r>
      <w:r w:rsidR="00DF7852">
        <w:t xml:space="preserve">commentary noted that the </w:t>
      </w:r>
      <w:r w:rsidR="00954612">
        <w:t xml:space="preserve">ADAR </w:t>
      </w:r>
      <w:r>
        <w:t xml:space="preserve">did not discuss other differences between the 2 risk equations, such as why RECODe was more appropriate for the Australian population, and whether RECODe had been validated against this population. Indeed, Davis et al. (2009) found that UKPDS-OM2 </w:t>
      </w:r>
      <w:r w:rsidR="006A3950">
        <w:t>was</w:t>
      </w:r>
      <w:r>
        <w:t xml:space="preserve"> unsuitable for predicting risk in Australians with T2D, so developed an Australian-specific set of risk equations. Therefore, additional uncertainty exists as to whether the model predictions are appropriate for an Australian population.</w:t>
      </w:r>
    </w:p>
    <w:p w14:paraId="7B94833E" w14:textId="5C2AD3AE" w:rsidR="00DF7852" w:rsidRDefault="00DF7852" w:rsidP="00A056AE">
      <w:r>
        <w:t xml:space="preserve">The pre-MSAC response outlined that </w:t>
      </w:r>
      <w:r w:rsidR="008C791B">
        <w:t>t</w:t>
      </w:r>
      <w:r w:rsidRPr="00DF7852">
        <w:t>he RECODe equations were sufficiently validated to capture incremental effects across interventions as part of the external validation in the DEDUCE model that simulated two large trials, EMPA-REG and CANVAS (Szafranski K et al. 2024</w:t>
      </w:r>
      <w:proofErr w:type="gramStart"/>
      <w:r w:rsidRPr="00DF7852">
        <w:t>) .</w:t>
      </w:r>
      <w:proofErr w:type="gramEnd"/>
      <w:r w:rsidRPr="00DF7852">
        <w:t xml:space="preserve"> Assessment of model accuracy in each respective trial included predicting the complication incidence rates and hazard ratios between the intervention and control arms attributed to the reduction in HbA1c. </w:t>
      </w:r>
    </w:p>
    <w:p w14:paraId="7936683D" w14:textId="37932BCF" w:rsidR="008A7ACF" w:rsidRDefault="008A7ACF" w:rsidP="000C6AF3">
      <w:r>
        <w:t xml:space="preserve">The following clinical characteristics were fed into the </w:t>
      </w:r>
      <w:r w:rsidR="00E87817">
        <w:t>RECODe</w:t>
      </w:r>
      <w:r>
        <w:t xml:space="preserve"> risk equations in each model cycle: </w:t>
      </w:r>
      <w:r w:rsidR="007940F2">
        <w:t>a</w:t>
      </w:r>
      <w:r w:rsidR="00635962">
        <w:t xml:space="preserve">ge, sex, race (i.e. Black, Hispanic or White), SBP, history of </w:t>
      </w:r>
      <w:r w:rsidR="006A4D4F">
        <w:t>cardiovascular disease (</w:t>
      </w:r>
      <w:r w:rsidR="00635962">
        <w:t>CVD</w:t>
      </w:r>
      <w:r w:rsidR="006A4D4F">
        <w:t>)</w:t>
      </w:r>
      <w:r w:rsidR="00635962">
        <w:t>, treatment type (blood pressure medication</w:t>
      </w:r>
      <w:r w:rsidR="00C41C1F">
        <w:t>,</w:t>
      </w:r>
      <w:r w:rsidR="00635962">
        <w:t xml:space="preserve"> statins</w:t>
      </w:r>
      <w:r w:rsidR="00C41C1F">
        <w:t>,</w:t>
      </w:r>
      <w:r w:rsidR="00635962">
        <w:t xml:space="preserve"> OADs, anti-coagulants), HbA1c, total cholesterol, </w:t>
      </w:r>
      <w:r w:rsidR="00635962" w:rsidRPr="00635962">
        <w:t xml:space="preserve">high-density </w:t>
      </w:r>
      <w:r w:rsidR="00635962" w:rsidRPr="00635962" w:rsidDel="00954612">
        <w:t>lipoprotein</w:t>
      </w:r>
      <w:r w:rsidR="00635962" w:rsidDel="00954612">
        <w:t xml:space="preserve"> </w:t>
      </w:r>
      <w:r w:rsidR="00635962">
        <w:t xml:space="preserve">(HDL) cholesterol, serum </w:t>
      </w:r>
      <w:r w:rsidRPr="008A7ACF">
        <w:t>creatinine</w:t>
      </w:r>
      <w:r>
        <w:t xml:space="preserve"> </w:t>
      </w:r>
      <w:r w:rsidR="00635962">
        <w:t xml:space="preserve">and </w:t>
      </w:r>
      <w:r w:rsidRPr="008A7ACF">
        <w:t>albumin</w:t>
      </w:r>
      <w:r w:rsidR="00AE599F">
        <w:t>:</w:t>
      </w:r>
      <w:r w:rsidRPr="008A7ACF">
        <w:t>creatinine</w:t>
      </w:r>
      <w:r>
        <w:t xml:space="preserve"> ratio.</w:t>
      </w:r>
    </w:p>
    <w:p w14:paraId="221E037E" w14:textId="0A5D7338" w:rsidR="001F2E94" w:rsidRDefault="001F2E94" w:rsidP="000C6AF3">
      <w:r>
        <w:t xml:space="preserve">The applicant assumed that the coefficient in the RECODe equations for those who were </w:t>
      </w:r>
      <w:r w:rsidRPr="001F2E94">
        <w:t>Aboriginal/Torres Strait Islander</w:t>
      </w:r>
      <w:r>
        <w:t xml:space="preserve"> (9.7%) </w:t>
      </w:r>
      <w:r w:rsidR="003B5EA2">
        <w:t>was</w:t>
      </w:r>
      <w:r>
        <w:t xml:space="preserve"> equivalent to the coefficient of the </w:t>
      </w:r>
      <w:r w:rsidR="003B5EA2">
        <w:t>B</w:t>
      </w:r>
      <w:r>
        <w:t xml:space="preserve">lack population. </w:t>
      </w:r>
      <w:bookmarkStart w:id="45" w:name="_Hlk196469309"/>
      <w:r>
        <w:t xml:space="preserve">Given that racial differences in T2D </w:t>
      </w:r>
      <w:r w:rsidR="00131FA3">
        <w:t>are</w:t>
      </w:r>
      <w:r>
        <w:t xml:space="preserve"> driven by social </w:t>
      </w:r>
      <w:r w:rsidRPr="001F2E94">
        <w:t>disparities</w:t>
      </w:r>
      <w:r w:rsidR="00131FA3">
        <w:t xml:space="preserve"> (</w:t>
      </w:r>
      <w:r w:rsidR="003B5EA2">
        <w:t>e.g.</w:t>
      </w:r>
      <w:r w:rsidR="00131FA3">
        <w:t xml:space="preserve"> </w:t>
      </w:r>
      <w:r w:rsidR="00131FA3" w:rsidRPr="00131FA3">
        <w:t>level of remoteness and socioeconomic disadvantage</w:t>
      </w:r>
      <w:r w:rsidR="00131FA3">
        <w:t>), this assumption seems appropriate</w:t>
      </w:r>
      <w:bookmarkEnd w:id="45"/>
      <w:r w:rsidR="00131FA3">
        <w:t>.</w:t>
      </w:r>
    </w:p>
    <w:p w14:paraId="1E5609D1" w14:textId="5D5D6AC0" w:rsidR="008A7ACF" w:rsidRDefault="008A7ACF" w:rsidP="008A7ACF">
      <w:r>
        <w:t>It was assumed that th</w:t>
      </w:r>
      <w:r w:rsidR="001D3FDC">
        <w:t>es</w:t>
      </w:r>
      <w:r>
        <w:t>e clinical characteristics</w:t>
      </w:r>
      <w:r w:rsidR="001D3FDC">
        <w:t xml:space="preserve"> (</w:t>
      </w:r>
      <w:r>
        <w:t>listed above</w:t>
      </w:r>
      <w:r w:rsidR="001D3FDC">
        <w:t>)</w:t>
      </w:r>
      <w:r>
        <w:t xml:space="preserve"> did not change from baseline. Age and HbA1c were the exceptions. It was assumed that age increased in 10-year increments</w:t>
      </w:r>
      <w:r w:rsidR="00A93E18">
        <w:t>. For example,</w:t>
      </w:r>
      <w:r>
        <w:t xml:space="preserve"> a person may enter the model aged 50</w:t>
      </w:r>
      <w:r w:rsidR="00A93E18">
        <w:t>, t</w:t>
      </w:r>
      <w:r>
        <w:t>he age would remain 50 in cycles 1 to 10, then increase to 60 in cycles 11 to 20 and so on. Each person experienced an immediate, treatment-related HbA1c reduction</w:t>
      </w:r>
      <w:r w:rsidR="00E96000">
        <w:t xml:space="preserve"> in the first cycle</w:t>
      </w:r>
      <w:r>
        <w:t xml:space="preserve">, as described in </w:t>
      </w:r>
      <w:r>
        <w:fldChar w:fldCharType="begin"/>
      </w:r>
      <w:r>
        <w:instrText xml:space="preserve"> REF _Ref196372589 \h </w:instrText>
      </w:r>
      <w:r>
        <w:fldChar w:fldCharType="separate"/>
      </w:r>
      <w:r w:rsidR="00315A60">
        <w:t xml:space="preserve">Figure </w:t>
      </w:r>
      <w:r w:rsidR="00315A60">
        <w:rPr>
          <w:noProof/>
        </w:rPr>
        <w:t>2</w:t>
      </w:r>
      <w:r>
        <w:fldChar w:fldCharType="end"/>
      </w:r>
      <w:r>
        <w:t>.</w:t>
      </w:r>
    </w:p>
    <w:p w14:paraId="201C452A" w14:textId="04F6D185" w:rsidR="008A7ACF" w:rsidRDefault="000C6AF3" w:rsidP="000C6AF3">
      <w:bookmarkStart w:id="46" w:name="_Hlk192605274"/>
      <w:r>
        <w:t>The RECODe risk equations</w:t>
      </w:r>
      <w:r w:rsidR="008A7ACF">
        <w:t xml:space="preserve"> used the above data to</w:t>
      </w:r>
      <w:r>
        <w:t xml:space="preserve"> output a 10-year risk score of</w:t>
      </w:r>
      <w:r w:rsidR="009F2CE3">
        <w:t xml:space="preserve"> the following diabetes-related complications:</w:t>
      </w:r>
      <w:r>
        <w:t xml:space="preserve"> r</w:t>
      </w:r>
      <w:r w:rsidRPr="00B965FC">
        <w:t xml:space="preserve">enal </w:t>
      </w:r>
      <w:r>
        <w:t>f</w:t>
      </w:r>
      <w:r w:rsidRPr="00B965FC">
        <w:t>ailure</w:t>
      </w:r>
      <w:r>
        <w:t>, b</w:t>
      </w:r>
      <w:r w:rsidRPr="00B965FC">
        <w:t>lindnes</w:t>
      </w:r>
      <w:r>
        <w:t>s, myocardial infarction, s</w:t>
      </w:r>
      <w:r w:rsidRPr="00B965FC">
        <w:t>troke</w:t>
      </w:r>
      <w:r>
        <w:t xml:space="preserve">, </w:t>
      </w:r>
      <w:r w:rsidR="000F7785">
        <w:t>congestive heart failure</w:t>
      </w:r>
      <w:r>
        <w:t xml:space="preserve">, </w:t>
      </w:r>
      <w:r w:rsidRPr="000B6951">
        <w:t>atherosclerotic cardiovascular disease</w:t>
      </w:r>
      <w:r>
        <w:t xml:space="preserve">, cardiovascular death and all-cause mortality. The </w:t>
      </w:r>
      <w:r w:rsidR="00954612">
        <w:t xml:space="preserve">ADAR </w:t>
      </w:r>
      <w:r>
        <w:t>converted th</w:t>
      </w:r>
      <w:r w:rsidR="009F2CE3">
        <w:t>e resultant 1-year risk score</w:t>
      </w:r>
      <w:r>
        <w:t xml:space="preserve"> into a </w:t>
      </w:r>
      <w:r w:rsidR="009F2CE3">
        <w:t>per-cycle (annual)</w:t>
      </w:r>
      <w:r>
        <w:t xml:space="preserve"> probability of </w:t>
      </w:r>
      <w:r w:rsidR="009F2CE3">
        <w:t>each</w:t>
      </w:r>
      <w:r>
        <w:t xml:space="preserve"> complication</w:t>
      </w:r>
      <w:r w:rsidR="009F2CE3">
        <w:t>. It was assumed that the</w:t>
      </w:r>
      <w:r>
        <w:t xml:space="preserve"> probability was uniformly distributed across the </w:t>
      </w:r>
      <w:proofErr w:type="gramStart"/>
      <w:r>
        <w:t>10</w:t>
      </w:r>
      <w:r w:rsidR="00791334">
        <w:t> </w:t>
      </w:r>
      <w:r>
        <w:t xml:space="preserve"> years</w:t>
      </w:r>
      <w:proofErr w:type="gramEnd"/>
      <w:r w:rsidR="009F2CE3">
        <w:t xml:space="preserve"> (referring to the example above, it was assumed renal failure was equally likely at age 60 as at age 69).</w:t>
      </w:r>
    </w:p>
    <w:p w14:paraId="7396422E" w14:textId="2DAD275A" w:rsidR="009F2CE3" w:rsidRDefault="000C6AF3" w:rsidP="00F42FCA">
      <w:r>
        <w:t xml:space="preserve">Monte Carlo methods </w:t>
      </w:r>
      <w:r w:rsidR="002C3C2C">
        <w:t xml:space="preserve">were </w:t>
      </w:r>
      <w:r>
        <w:t xml:space="preserve">used to determine whether a </w:t>
      </w:r>
      <w:r w:rsidRPr="004A478D">
        <w:t xml:space="preserve">person experienced </w:t>
      </w:r>
      <w:r w:rsidR="009F2CE3">
        <w:t>each</w:t>
      </w:r>
      <w:r w:rsidRPr="004A478D">
        <w:t xml:space="preserve"> </w:t>
      </w:r>
      <w:r>
        <w:t>complication</w:t>
      </w:r>
      <w:r w:rsidRPr="004A478D">
        <w:t xml:space="preserve"> in </w:t>
      </w:r>
      <w:r>
        <w:t xml:space="preserve">each cycle. </w:t>
      </w:r>
      <w:r w:rsidR="009F2CE3">
        <w:t>To align with clinical practice, chronic complications (</w:t>
      </w:r>
      <w:r w:rsidR="00925F22">
        <w:t>e.g.</w:t>
      </w:r>
      <w:r w:rsidR="009F2CE3">
        <w:t xml:space="preserve"> blindness) could only occur once in an individual’s lifetime. A person could experience several of the same type of acute complications in a lifetime (</w:t>
      </w:r>
      <w:r w:rsidR="00760FDD">
        <w:t>e.g.</w:t>
      </w:r>
      <w:r w:rsidR="009F2CE3">
        <w:t xml:space="preserve"> stroke)</w:t>
      </w:r>
      <w:r w:rsidR="00E76287">
        <w:t>;</w:t>
      </w:r>
      <w:r w:rsidR="009F2CE3">
        <w:t xml:space="preserve"> however, only one of the same </w:t>
      </w:r>
      <w:proofErr w:type="gramStart"/>
      <w:r w:rsidR="009F2CE3">
        <w:t>type</w:t>
      </w:r>
      <w:proofErr w:type="gramEnd"/>
      <w:r w:rsidR="009F2CE3">
        <w:t xml:space="preserve"> of complication could occur in each 1-year cycle. Several different complications could occur in each 1-year cycle (</w:t>
      </w:r>
      <w:r w:rsidR="009A5EF7">
        <w:t>e.g.</w:t>
      </w:r>
      <w:r w:rsidR="009F2CE3">
        <w:t xml:space="preserve"> blindness, renal failure and stroke).</w:t>
      </w:r>
    </w:p>
    <w:p w14:paraId="0FECE735" w14:textId="60B918EB" w:rsidR="00F42FCA" w:rsidRDefault="001A72FF" w:rsidP="00F42FCA">
      <w:r>
        <w:t xml:space="preserve">History </w:t>
      </w:r>
      <w:r w:rsidRPr="001A72FF">
        <w:t>of CVD</w:t>
      </w:r>
      <w:r>
        <w:t xml:space="preserve"> is a covariable of the RECODe risk equations.</w:t>
      </w:r>
      <w:r w:rsidRPr="001A72FF">
        <w:t xml:space="preserve"> </w:t>
      </w:r>
      <w:r w:rsidR="009F2CE3">
        <w:fldChar w:fldCharType="begin"/>
      </w:r>
      <w:r w:rsidR="009F2CE3">
        <w:instrText xml:space="preserve"> REF _Ref196372589 \h </w:instrText>
      </w:r>
      <w:r w:rsidR="009F2CE3">
        <w:fldChar w:fldCharType="separate"/>
      </w:r>
      <w:r w:rsidR="00315A60">
        <w:t xml:space="preserve">Figure </w:t>
      </w:r>
      <w:r w:rsidR="00315A60">
        <w:rPr>
          <w:noProof/>
        </w:rPr>
        <w:t>2</w:t>
      </w:r>
      <w:r w:rsidR="009F2CE3">
        <w:fldChar w:fldCharType="end"/>
      </w:r>
      <w:r w:rsidR="009F2CE3">
        <w:t xml:space="preserve"> </w:t>
      </w:r>
      <w:r>
        <w:t>shows</w:t>
      </w:r>
      <w:r w:rsidR="009F2CE3">
        <w:t xml:space="preserve"> that, following a CVD event</w:t>
      </w:r>
      <w:r>
        <w:t xml:space="preserve"> in the model time horizon, the individual’s clinical history should update, impacting the resultant risk score estimates from the RECODe risk equations. However, this is not what occurred in the model. It was assumed that a CVD event (</w:t>
      </w:r>
      <w:r w:rsidR="009A5EF7">
        <w:t>e.g.</w:t>
      </w:r>
      <w:r>
        <w:t xml:space="preserve"> a </w:t>
      </w:r>
      <w:r w:rsidRPr="001A72FF">
        <w:t>myocardial infarction or stroke)</w:t>
      </w:r>
      <w:r>
        <w:t xml:space="preserve"> occurring within the model time horizon had no impact on an individual’s future risk of complications or death. </w:t>
      </w:r>
      <w:r w:rsidR="00E364F5">
        <w:t>The commentary considered that t</w:t>
      </w:r>
      <w:r>
        <w:t>his a</w:t>
      </w:r>
      <w:bookmarkStart w:id="47" w:name="_Hlk192605390"/>
      <w:r w:rsidR="00F42FCA" w:rsidRPr="005102BE">
        <w:t xml:space="preserve">ssumption </w:t>
      </w:r>
      <w:r w:rsidR="00E364F5">
        <w:t>wa</w:t>
      </w:r>
      <w:r w:rsidR="00F42FCA" w:rsidRPr="005102BE">
        <w:t xml:space="preserve">s clinically unrealistic. </w:t>
      </w:r>
      <w:r w:rsidR="00722827" w:rsidRPr="00722827">
        <w:t>Th</w:t>
      </w:r>
      <w:r w:rsidR="00722827">
        <w:t xml:space="preserve">e pre-MSAC response noted that the </w:t>
      </w:r>
      <w:r w:rsidR="00722827" w:rsidRPr="00722827">
        <w:t>model did not simulate the potentiating effects of future CVD events among individuals with prior CVD events due to limited published evidence to capture this effect in the analysis</w:t>
      </w:r>
      <w:r w:rsidR="00722827">
        <w:t xml:space="preserve">, </w:t>
      </w:r>
      <w:r w:rsidR="00801B67">
        <w:t xml:space="preserve">capturing this effect </w:t>
      </w:r>
      <w:r w:rsidR="00722827" w:rsidRPr="00722827">
        <w:t>would improve ICERs in favour of FSL</w:t>
      </w:r>
      <w:r w:rsidR="00801B67">
        <w:t xml:space="preserve">. </w:t>
      </w:r>
    </w:p>
    <w:p w14:paraId="1BD4459D" w14:textId="3C71CE22" w:rsidR="00FA661A" w:rsidRDefault="00E76287" w:rsidP="00F42FCA">
      <w:r>
        <w:t>A</w:t>
      </w:r>
      <w:r w:rsidR="00FA661A" w:rsidRPr="00FA661A">
        <w:t>mputation, which is associated with T2D, has not been included in the model, despite having one of the largest utility decrements reported.</w:t>
      </w:r>
      <w:r w:rsidR="00FA661A">
        <w:t xml:space="preserve"> </w:t>
      </w:r>
      <w:r w:rsidR="00FA661A" w:rsidRPr="00FA661A">
        <w:t>This is a common complication in other diabetes models. The UKPDS-OM2 and BRAVO risk equations both include this</w:t>
      </w:r>
      <w:r w:rsidR="00FA661A">
        <w:t>.</w:t>
      </w:r>
    </w:p>
    <w:p w14:paraId="4774991D" w14:textId="7490EB77" w:rsidR="004A60FE" w:rsidRPr="005102BE" w:rsidRDefault="004A60FE" w:rsidP="00F42FCA">
      <w:pPr>
        <w:rPr>
          <w:b/>
        </w:rPr>
      </w:pPr>
      <w:r w:rsidRPr="005102BE">
        <w:rPr>
          <w:b/>
        </w:rPr>
        <w:t>Treatment effect</w:t>
      </w:r>
    </w:p>
    <w:p w14:paraId="680401E7" w14:textId="6F6635FF" w:rsidR="004A60FE" w:rsidRPr="005102BE" w:rsidRDefault="004A60FE" w:rsidP="00F42FCA">
      <w:pPr>
        <w:rPr>
          <w:u w:val="single"/>
        </w:rPr>
      </w:pPr>
      <w:r w:rsidRPr="005102BE">
        <w:rPr>
          <w:u w:val="single"/>
        </w:rPr>
        <w:t>Reduction in HbA1c</w:t>
      </w:r>
    </w:p>
    <w:bookmarkEnd w:id="46"/>
    <w:bookmarkEnd w:id="47"/>
    <w:p w14:paraId="16F0DC66" w14:textId="57C2EF43" w:rsidR="000C6AF3" w:rsidRDefault="00FB1F09" w:rsidP="00FB1F09">
      <w:r>
        <w:t>T</w:t>
      </w:r>
      <w:r w:rsidR="00F42FCA">
        <w:t xml:space="preserve">he </w:t>
      </w:r>
      <w:r>
        <w:t>change</w:t>
      </w:r>
      <w:r w:rsidR="00F42FCA">
        <w:t xml:space="preserve"> from baseline HbA1c with </w:t>
      </w:r>
      <w:r w:rsidR="00F42FCA" w:rsidRPr="00431073">
        <w:t>FSL</w:t>
      </w:r>
      <w:r w:rsidR="00F42FCA">
        <w:t xml:space="preserve"> (reported as </w:t>
      </w:r>
      <w:r w:rsidR="00592BBB">
        <w:t>−</w:t>
      </w:r>
      <w:r w:rsidR="00F42FCA">
        <w:t>0.73%)</w:t>
      </w:r>
      <w:r>
        <w:t xml:space="preserve"> was informed by a meta-analysis of </w:t>
      </w:r>
      <w:r w:rsidR="000C6AF3" w:rsidRPr="00431073">
        <w:t xml:space="preserve">comparative </w:t>
      </w:r>
      <w:r w:rsidR="000C6AF3">
        <w:t xml:space="preserve">and </w:t>
      </w:r>
      <w:r w:rsidR="007C2B26">
        <w:t>single-arm evidence</w:t>
      </w:r>
      <w:r w:rsidR="00F42FCA">
        <w:t xml:space="preserve">. </w:t>
      </w:r>
      <w:r>
        <w:t xml:space="preserve">The </w:t>
      </w:r>
      <w:r w:rsidR="00C938A9">
        <w:t>commentary</w:t>
      </w:r>
      <w:r>
        <w:t xml:space="preserve"> noted that this approach was inappropriate given the availability of comparative evidence. Moreover, </w:t>
      </w:r>
      <w:r w:rsidR="00F42FCA">
        <w:t xml:space="preserve">the </w:t>
      </w:r>
      <w:r>
        <w:t>change</w:t>
      </w:r>
      <w:r w:rsidR="00F42FCA">
        <w:t xml:space="preserve"> from baseline HbA1c with </w:t>
      </w:r>
      <w:r w:rsidR="00F42FCA" w:rsidRPr="00431073">
        <w:t>SMBG</w:t>
      </w:r>
      <w:r w:rsidR="00F42FCA">
        <w:t xml:space="preserve"> (reported as </w:t>
      </w:r>
      <w:r w:rsidR="00592BBB">
        <w:t>−</w:t>
      </w:r>
      <w:r w:rsidR="00F42FCA">
        <w:t>0.20%)</w:t>
      </w:r>
      <w:r>
        <w:t xml:space="preserve"> was informed from </w:t>
      </w:r>
      <w:r w:rsidR="000C6AF3" w:rsidRPr="00431073">
        <w:t xml:space="preserve">comparative </w:t>
      </w:r>
      <w:r>
        <w:t xml:space="preserve">data </w:t>
      </w:r>
      <w:r w:rsidR="00F42FCA">
        <w:t xml:space="preserve">only. </w:t>
      </w:r>
      <w:r w:rsidR="000C6AF3">
        <w:t xml:space="preserve">The </w:t>
      </w:r>
      <w:r w:rsidR="00954612">
        <w:t xml:space="preserve">ADAR </w:t>
      </w:r>
      <w:r w:rsidR="000C6AF3">
        <w:t xml:space="preserve">did not discuss whether the two were comparable. </w:t>
      </w:r>
    </w:p>
    <w:p w14:paraId="3144023B" w14:textId="262BBEBC" w:rsidR="000C6AF3" w:rsidRDefault="00AE7DCE" w:rsidP="000C6AF3">
      <w:r>
        <w:t xml:space="preserve">NICE developed an economic model for continuous glucose monitoring in adults with </w:t>
      </w:r>
      <w:r w:rsidR="003B3954" w:rsidRPr="00A54EDF">
        <w:t>T2D</w:t>
      </w:r>
      <w:r>
        <w:t xml:space="preserve"> (NG28</w:t>
      </w:r>
      <w:r w:rsidRPr="00A54EDF">
        <w:t>)</w:t>
      </w:r>
      <w:r>
        <w:rPr>
          <w:rStyle w:val="FootnoteReference"/>
        </w:rPr>
        <w:footnoteReference w:id="24"/>
      </w:r>
      <w:r w:rsidR="00055849">
        <w:t>.</w:t>
      </w:r>
      <w:r>
        <w:t xml:space="preserve"> Th</w:t>
      </w:r>
      <w:r w:rsidR="00A063A0">
        <w:t xml:space="preserve">e NG28 model assumed a </w:t>
      </w:r>
      <w:r w:rsidR="000C6AF3">
        <w:t>one-off decrease in HbA1c</w:t>
      </w:r>
      <w:r w:rsidR="00A063A0">
        <w:t xml:space="preserve"> for CGMs and SMBG. The </w:t>
      </w:r>
      <w:r w:rsidR="00954612">
        <w:t xml:space="preserve">ADAR’s </w:t>
      </w:r>
      <w:r w:rsidR="00A063A0">
        <w:t>approach</w:t>
      </w:r>
      <w:r w:rsidR="000C6AF3">
        <w:t xml:space="preserve"> aligns with an existing approach in </w:t>
      </w:r>
      <w:r w:rsidR="002C3C2C">
        <w:t xml:space="preserve">NICE </w:t>
      </w:r>
      <w:r w:rsidR="004835C7" w:rsidRPr="00A54EDF">
        <w:t>g</w:t>
      </w:r>
      <w:r w:rsidR="000C6AF3" w:rsidRPr="00A54EDF">
        <w:t>uidance</w:t>
      </w:r>
      <w:r w:rsidR="004835C7" w:rsidRPr="00A54EDF">
        <w:t>; h</w:t>
      </w:r>
      <w:r w:rsidR="000C6AF3">
        <w:t xml:space="preserve">owever, there was no significant, clinical evidence </w:t>
      </w:r>
      <w:r w:rsidR="000C6AF3" w:rsidRPr="00D705C4">
        <w:t xml:space="preserve">to justify the use of </w:t>
      </w:r>
      <w:r w:rsidR="00592BBB">
        <w:t>−</w:t>
      </w:r>
      <w:r w:rsidR="000C6AF3" w:rsidRPr="00D705C4">
        <w:t xml:space="preserve">0.20%. The </w:t>
      </w:r>
      <w:r w:rsidR="00954612">
        <w:t>ADAR</w:t>
      </w:r>
      <w:r w:rsidR="00954612" w:rsidRPr="00D705C4">
        <w:t xml:space="preserve"> </w:t>
      </w:r>
      <w:r w:rsidR="000C6AF3" w:rsidRPr="00D705C4">
        <w:t>did not justify this approach</w:t>
      </w:r>
      <w:r w:rsidR="00954612">
        <w:t xml:space="preserve">, nor </w:t>
      </w:r>
      <w:r w:rsidR="000C6AF3">
        <w:t xml:space="preserve">did </w:t>
      </w:r>
      <w:r w:rsidR="00954612">
        <w:t xml:space="preserve">it </w:t>
      </w:r>
      <w:r w:rsidR="000C6AF3">
        <w:t xml:space="preserve">explore a scenario with the absolute difference in HbA1c of FSL and SMBG </w:t>
      </w:r>
      <w:r w:rsidR="000C6AF3" w:rsidRPr="00A54EDF">
        <w:t>(</w:t>
      </w:r>
      <w:r w:rsidR="00592BBB">
        <w:t>−</w:t>
      </w:r>
      <w:r w:rsidR="000C6AF3">
        <w:t>0.29%)</w:t>
      </w:r>
      <w:r w:rsidR="00A063A0">
        <w:t>.</w:t>
      </w:r>
      <w:r w:rsidR="000C6AF3">
        <w:t xml:space="preserve"> </w:t>
      </w:r>
    </w:p>
    <w:p w14:paraId="19166EB9" w14:textId="2656D946" w:rsidR="000C6AF3" w:rsidRDefault="000C6AF3" w:rsidP="000C6AF3">
      <w:r>
        <w:t xml:space="preserve">It was assumed that there was an </w:t>
      </w:r>
      <w:r w:rsidRPr="00431073">
        <w:t>immediate one-time absolute reductio</w:t>
      </w:r>
      <w:r>
        <w:t>n in HbA1c for both arms</w:t>
      </w:r>
      <w:r w:rsidRPr="00431073">
        <w:t xml:space="preserve"> </w:t>
      </w:r>
      <w:r>
        <w:t>(</w:t>
      </w:r>
      <w:r w:rsidRPr="00431073">
        <w:t>FSL</w:t>
      </w:r>
      <w:r>
        <w:t xml:space="preserve"> and </w:t>
      </w:r>
      <w:r w:rsidRPr="00431073">
        <w:t>SMBG</w:t>
      </w:r>
      <w:r>
        <w:t>).</w:t>
      </w:r>
      <w:r w:rsidR="00A063A0">
        <w:t xml:space="preserve"> This aligns with</w:t>
      </w:r>
      <w:r w:rsidR="002F3D55">
        <w:t xml:space="preserve"> the one-off decrease assumed in the</w:t>
      </w:r>
      <w:r w:rsidR="00A063A0">
        <w:t xml:space="preserve"> NG28</w:t>
      </w:r>
      <w:r w:rsidR="002F3D55">
        <w:t xml:space="preserve"> model</w:t>
      </w:r>
      <w:r w:rsidR="00A063A0">
        <w:t>.</w:t>
      </w:r>
      <w:r>
        <w:t xml:space="preserve"> After the initial reduction, </w:t>
      </w:r>
      <w:bookmarkStart w:id="48" w:name="_Hlk192515683"/>
      <w:r>
        <w:t xml:space="preserve">HBA1c was assumed to remain constant </w:t>
      </w:r>
      <w:r w:rsidR="00C27AEA">
        <w:t xml:space="preserve">in each arm </w:t>
      </w:r>
      <w:r>
        <w:t>for the remainder of the time horizon</w:t>
      </w:r>
      <w:bookmarkEnd w:id="48"/>
      <w:r>
        <w:t xml:space="preserve">. Other baseline characteristics were assumed to be constant over the individual’s lifetime and did not change when HbA1c was reduced. </w:t>
      </w:r>
      <w:r w:rsidR="00AF3EFF">
        <w:t>T</w:t>
      </w:r>
      <w:r>
        <w:t>he assumption that baseline characteristics are sustained over the remainder of the time horizon</w:t>
      </w:r>
      <w:r w:rsidR="00AF3EFF">
        <w:t xml:space="preserve"> is a critical area of uncertainty in diabetes modelling</w:t>
      </w:r>
      <w:r w:rsidR="00A063A0">
        <w:t>, highlighted in a review by Daly et al. (2022</w:t>
      </w:r>
      <w:r w:rsidR="00A063A0" w:rsidRPr="00A54EDF">
        <w:t>)</w:t>
      </w:r>
      <w:r w:rsidR="00A063A0">
        <w:rPr>
          <w:rStyle w:val="FootnoteReference"/>
        </w:rPr>
        <w:footnoteReference w:id="25"/>
      </w:r>
      <w:r w:rsidR="00055849">
        <w:t>.</w:t>
      </w:r>
      <w:r>
        <w:t xml:space="preserve"> However, other diabetes models </w:t>
      </w:r>
      <w:r w:rsidR="00A063A0">
        <w:t xml:space="preserve">often </w:t>
      </w:r>
      <w:r>
        <w:t xml:space="preserve">explore the impact of the change in other baseline variables correlated with HbA1c </w:t>
      </w:r>
      <w:r w:rsidR="00A036EA" w:rsidRPr="00A54EDF">
        <w:t xml:space="preserve">(e.g. </w:t>
      </w:r>
      <w:r w:rsidR="000E5BB6">
        <w:t>SBP</w:t>
      </w:r>
      <w:r w:rsidR="00A036EA" w:rsidRPr="00A54EDF">
        <w:t>)</w:t>
      </w:r>
      <w:r w:rsidR="00B45926" w:rsidRPr="00A54EDF">
        <w:t xml:space="preserve"> </w:t>
      </w:r>
      <w:r>
        <w:t xml:space="preserve">to fully capture the impact of the intervention. </w:t>
      </w:r>
    </w:p>
    <w:p w14:paraId="0CA26828" w14:textId="1028CE78" w:rsidR="000C6AF3" w:rsidRDefault="000C6AF3" w:rsidP="000C6AF3">
      <w:bookmarkStart w:id="49" w:name="_Hlk193349918"/>
      <w:r>
        <w:t xml:space="preserve">The </w:t>
      </w:r>
      <w:r w:rsidR="00954612">
        <w:t xml:space="preserve">ADAR </w:t>
      </w:r>
      <w:r>
        <w:t>did not discuss whether the initial, one</w:t>
      </w:r>
      <w:r w:rsidR="00AF3EFF">
        <w:t>-</w:t>
      </w:r>
      <w:r>
        <w:t xml:space="preserve">time change in HbA1c was associated with any of the other continuous variables in the RECODe equations. Research suggests that HbA1c is significantly associated </w:t>
      </w:r>
      <w:r w:rsidR="00B45926" w:rsidRPr="00A54EDF">
        <w:t>with</w:t>
      </w:r>
      <w:r>
        <w:t xml:space="preserve"> changes in </w:t>
      </w:r>
      <w:r w:rsidR="003D57FF" w:rsidRPr="00A54EDF">
        <w:t>SBP</w:t>
      </w:r>
      <w:r w:rsidR="00AF3EFF" w:rsidRPr="00A54EDF">
        <w:rPr>
          <w:rStyle w:val="FootnoteReference"/>
        </w:rPr>
        <w:footnoteReference w:id="26"/>
      </w:r>
      <w:r w:rsidR="00055849">
        <w:t>.</w:t>
      </w:r>
      <w:r>
        <w:t xml:space="preserve"> </w:t>
      </w:r>
      <w:r w:rsidR="00AF3EFF">
        <w:t>H</w:t>
      </w:r>
      <w:r>
        <w:t xml:space="preserve">owever, the </w:t>
      </w:r>
      <w:r w:rsidR="00954612">
        <w:t xml:space="preserve">ADAR </w:t>
      </w:r>
      <w:r>
        <w:t>assumed th</w:t>
      </w:r>
      <w:r w:rsidR="00AF3EFF">
        <w:t>at</w:t>
      </w:r>
      <w:r>
        <w:t xml:space="preserve"> SBP </w:t>
      </w:r>
      <w:r w:rsidRPr="005102BE">
        <w:rPr>
          <w:i/>
        </w:rPr>
        <w:t>did not</w:t>
      </w:r>
      <w:r>
        <w:t xml:space="preserve"> change</w:t>
      </w:r>
      <w:r w:rsidR="00AF3EFF">
        <w:t xml:space="preserve"> while modelling the reduction in HbA1c</w:t>
      </w:r>
      <w:r>
        <w:t xml:space="preserve">. </w:t>
      </w:r>
      <w:r w:rsidR="00954612">
        <w:t>This assumption was</w:t>
      </w:r>
      <w:r>
        <w:t xml:space="preserve"> not justif</w:t>
      </w:r>
      <w:r w:rsidR="00954612">
        <w:t>ied, and the ADAR did not</w:t>
      </w:r>
      <w:r w:rsidR="00AF3EFF">
        <w:t xml:space="preserve"> </w:t>
      </w:r>
      <w:r>
        <w:t>explore whether HbA1c change was correlated with any of the other covariables in the RECODe equations. T</w:t>
      </w:r>
      <w:r w:rsidR="00CB2B4F">
        <w:t>he commentary considered that t</w:t>
      </w:r>
      <w:r>
        <w:t>his was a strong assumption that does not reflect clinical practice and, therefore, is a critical cause of uncertainty.</w:t>
      </w:r>
    </w:p>
    <w:bookmarkEnd w:id="49"/>
    <w:p w14:paraId="0836FA0E" w14:textId="27DB4D50" w:rsidR="00AF3EFF" w:rsidRDefault="000C6AF3" w:rsidP="00AF3EFF">
      <w:r>
        <w:t xml:space="preserve">The </w:t>
      </w:r>
      <w:r w:rsidR="00954612">
        <w:t xml:space="preserve">ADAR </w:t>
      </w:r>
      <w:r>
        <w:t>did not provide any evidence to support the claim that the treatment effect was constant over time.</w:t>
      </w:r>
      <w:bookmarkStart w:id="50" w:name="_Hlk192579421"/>
    </w:p>
    <w:bookmarkEnd w:id="50"/>
    <w:p w14:paraId="7B5890E5" w14:textId="495A82C8" w:rsidR="004A60FE" w:rsidRPr="006536A3" w:rsidRDefault="004A60FE" w:rsidP="00791334">
      <w:pPr>
        <w:keepNext/>
        <w:keepLines/>
        <w:rPr>
          <w:u w:val="single"/>
        </w:rPr>
      </w:pPr>
      <w:r w:rsidRPr="006536A3">
        <w:rPr>
          <w:u w:val="single"/>
        </w:rPr>
        <w:t>Base case scenario: Comparative clinical trial and RWE meta-analysis</w:t>
      </w:r>
    </w:p>
    <w:p w14:paraId="3FD8B282" w14:textId="5100A633" w:rsidR="000C6AF3" w:rsidRDefault="007C2B26" w:rsidP="004A3188">
      <w:r>
        <w:t>In the base case scenario, t</w:t>
      </w:r>
      <w:r w:rsidR="000C6AF3">
        <w:t xml:space="preserve">he </w:t>
      </w:r>
      <w:r w:rsidR="000C6AF3" w:rsidRPr="001271FC">
        <w:t xml:space="preserve">immediate one-time absolute </w:t>
      </w:r>
      <w:r w:rsidR="000C6AF3">
        <w:t>change</w:t>
      </w:r>
      <w:r w:rsidR="000C6AF3" w:rsidRPr="001271FC">
        <w:t xml:space="preserve"> in</w:t>
      </w:r>
      <w:r w:rsidR="000C6AF3">
        <w:t xml:space="preserve"> baseline</w:t>
      </w:r>
      <w:r w:rsidR="000C6AF3" w:rsidRPr="001271FC">
        <w:t xml:space="preserve"> HbA1c</w:t>
      </w:r>
      <w:r w:rsidR="000C6AF3">
        <w:t xml:space="preserve"> for </w:t>
      </w:r>
      <w:r w:rsidR="000C6AF3" w:rsidRPr="00431073">
        <w:t>FSL</w:t>
      </w:r>
      <w:r w:rsidR="000C6AF3">
        <w:t xml:space="preserve"> was </w:t>
      </w:r>
      <w:r>
        <w:t xml:space="preserve">inputted as </w:t>
      </w:r>
      <w:r w:rsidRPr="006C1064">
        <w:t xml:space="preserve">0.73% (95% CI </w:t>
      </w:r>
      <w:r w:rsidR="00592BBB">
        <w:t>−</w:t>
      </w:r>
      <w:r w:rsidRPr="006C1064">
        <w:t xml:space="preserve">0.88%, </w:t>
      </w:r>
      <w:r w:rsidR="00592BBB">
        <w:t>−</w:t>
      </w:r>
      <w:r w:rsidRPr="006C1064">
        <w:t>0.59%)</w:t>
      </w:r>
      <w:r>
        <w:t xml:space="preserve">. However, this was </w:t>
      </w:r>
      <w:r w:rsidR="000C6AF3">
        <w:t xml:space="preserve">informed by a meta-analysis </w:t>
      </w:r>
      <w:r>
        <w:t xml:space="preserve">combining </w:t>
      </w:r>
      <w:r w:rsidR="000C6AF3" w:rsidRPr="006C1064">
        <w:t xml:space="preserve">comparative </w:t>
      </w:r>
      <w:r>
        <w:t>and single-arm data</w:t>
      </w:r>
      <w:r w:rsidR="000C6AF3">
        <w:t xml:space="preserve">. </w:t>
      </w:r>
      <w:r>
        <w:t>The assessment group noted that this approach was inappropriate</w:t>
      </w:r>
      <w:r w:rsidR="009215F7" w:rsidRPr="00A54EDF">
        <w:t>,</w:t>
      </w:r>
      <w:r>
        <w:t xml:space="preserve"> given </w:t>
      </w:r>
      <w:r w:rsidRPr="00A54EDF">
        <w:t>th</w:t>
      </w:r>
      <w:r w:rsidR="00356025" w:rsidRPr="00A54EDF">
        <w:t>e</w:t>
      </w:r>
      <w:r>
        <w:t xml:space="preserve"> availability of substantial comparative data</w:t>
      </w:r>
      <w:r w:rsidR="00FB1F09">
        <w:t>. T</w:t>
      </w:r>
      <w:r>
        <w:t xml:space="preserve">he base case should have used </w:t>
      </w:r>
      <w:r w:rsidR="00FB1F09">
        <w:t xml:space="preserve">data from comparative evidence only, which was reported as </w:t>
      </w:r>
      <w:r w:rsidR="00592BBB">
        <w:t>−</w:t>
      </w:r>
      <w:r>
        <w:rPr>
          <w:rFonts w:eastAsiaTheme="minorEastAsia"/>
        </w:rPr>
        <w:t>0.29%</w:t>
      </w:r>
      <w:r w:rsidR="009802FD">
        <w:rPr>
          <w:rFonts w:eastAsiaTheme="minorEastAsia"/>
        </w:rPr>
        <w:t xml:space="preserve"> compared to SMBG</w:t>
      </w:r>
      <w:r w:rsidR="00FB1F09">
        <w:rPr>
          <w:rFonts w:eastAsiaTheme="minorEastAsia"/>
        </w:rPr>
        <w:t>.</w:t>
      </w:r>
      <w:r w:rsidR="000C6AF3">
        <w:t xml:space="preserve"> </w:t>
      </w:r>
    </w:p>
    <w:p w14:paraId="7744E92F" w14:textId="3E6C35DF" w:rsidR="000C6AF3" w:rsidRDefault="000C6AF3" w:rsidP="000C6AF3">
      <w:r>
        <w:t xml:space="preserve">The ADAR reported a change from baseline HbA1c of </w:t>
      </w:r>
      <w:r w:rsidR="00592BBB">
        <w:t>−</w:t>
      </w:r>
      <w:r>
        <w:t xml:space="preserve">0.2% </w:t>
      </w:r>
      <w:r w:rsidRPr="00A54EDF">
        <w:t>(</w:t>
      </w:r>
      <w:r w:rsidR="00592BBB">
        <w:t>−</w:t>
      </w:r>
      <w:r>
        <w:t xml:space="preserve">0.35, </w:t>
      </w:r>
      <w:r w:rsidR="00592BBB">
        <w:t>−</w:t>
      </w:r>
      <w:r>
        <w:t>0.05%) for SMBG</w:t>
      </w:r>
      <w:r w:rsidR="008A1ED5">
        <w:t xml:space="preserve">, occurring </w:t>
      </w:r>
      <w:r w:rsidR="00232AF1" w:rsidRPr="00A54EDF">
        <w:t xml:space="preserve">at </w:t>
      </w:r>
      <w:r w:rsidRPr="00A54EDF">
        <w:t>3</w:t>
      </w:r>
      <w:r w:rsidR="00232AF1" w:rsidRPr="00A54EDF">
        <w:t>–</w:t>
      </w:r>
      <w:r>
        <w:t xml:space="preserve">6 months. </w:t>
      </w:r>
    </w:p>
    <w:p w14:paraId="1E7B7EFF" w14:textId="0C438BD3" w:rsidR="004A60FE" w:rsidRPr="006536A3" w:rsidRDefault="004A60FE" w:rsidP="004A3188">
      <w:pPr>
        <w:keepNext/>
        <w:rPr>
          <w:u w:val="single"/>
        </w:rPr>
      </w:pPr>
      <w:r w:rsidRPr="006536A3">
        <w:rPr>
          <w:u w:val="single"/>
        </w:rPr>
        <w:t>Scenario 1: Comparative clinical trial meta-analysis</w:t>
      </w:r>
    </w:p>
    <w:p w14:paraId="11FF8E9D" w14:textId="04227821" w:rsidR="000C6AF3" w:rsidRDefault="000C6AF3" w:rsidP="000C6AF3">
      <w:r>
        <w:t xml:space="preserve">The </w:t>
      </w:r>
      <w:r w:rsidRPr="001271FC">
        <w:t xml:space="preserve">immediate one-time absolute </w:t>
      </w:r>
      <w:r>
        <w:t>change</w:t>
      </w:r>
      <w:r w:rsidRPr="001271FC">
        <w:t xml:space="preserve"> in HbA1c</w:t>
      </w:r>
      <w:r>
        <w:t xml:space="preserve"> for both the </w:t>
      </w:r>
      <w:r w:rsidRPr="00431073">
        <w:t>FSL</w:t>
      </w:r>
      <w:r>
        <w:t xml:space="preserve"> and </w:t>
      </w:r>
      <w:r w:rsidRPr="00431073">
        <w:t>SMBG</w:t>
      </w:r>
      <w:r>
        <w:t xml:space="preserve"> was informed by </w:t>
      </w:r>
      <w:bookmarkStart w:id="51" w:name="_Hlk192515474"/>
      <w:r w:rsidRPr="004A478D">
        <w:t xml:space="preserve">comparative </w:t>
      </w:r>
      <w:bookmarkEnd w:id="51"/>
      <w:r w:rsidR="00FB1F09">
        <w:t>evidence</w:t>
      </w:r>
      <w:r>
        <w:t xml:space="preserve">. The ADAR reported a change from baseline HbA1c of </w:t>
      </w:r>
      <w:r w:rsidR="00592BBB">
        <w:t>−</w:t>
      </w:r>
      <w:r>
        <w:t xml:space="preserve">0.50% (95% CI: </w:t>
      </w:r>
      <w:r w:rsidR="00592BBB">
        <w:t>−</w:t>
      </w:r>
      <w:r>
        <w:t xml:space="preserve">0.69%, </w:t>
      </w:r>
      <w:r w:rsidR="00592BBB">
        <w:t>−</w:t>
      </w:r>
      <w:r>
        <w:t>0.31%) for FSL</w:t>
      </w:r>
      <w:r w:rsidR="007C2B26">
        <w:t xml:space="preserve">. </w:t>
      </w:r>
      <w:r>
        <w:t xml:space="preserve">As per the base case scenario, the </w:t>
      </w:r>
      <w:r w:rsidR="00954612">
        <w:t xml:space="preserve">ADAR </w:t>
      </w:r>
      <w:r>
        <w:t xml:space="preserve">assumed a change of </w:t>
      </w:r>
      <w:r w:rsidR="00592BBB">
        <w:t>−</w:t>
      </w:r>
      <w:r>
        <w:t>0.2% (</w:t>
      </w:r>
      <w:r w:rsidR="00592BBB">
        <w:t>−</w:t>
      </w:r>
      <w:r>
        <w:t xml:space="preserve">0.35, </w:t>
      </w:r>
      <w:r w:rsidR="00592BBB">
        <w:t>−</w:t>
      </w:r>
      <w:r>
        <w:t xml:space="preserve">0.05%) for SMBG. </w:t>
      </w:r>
    </w:p>
    <w:p w14:paraId="5B1C5F59" w14:textId="5EE4523B" w:rsidR="004A60FE" w:rsidRPr="006536A3" w:rsidRDefault="004A60FE" w:rsidP="00116BF5">
      <w:pPr>
        <w:rPr>
          <w:u w:val="single"/>
        </w:rPr>
      </w:pPr>
      <w:r w:rsidRPr="006536A3">
        <w:rPr>
          <w:u w:val="single"/>
        </w:rPr>
        <w:t xml:space="preserve">Exploratory </w:t>
      </w:r>
      <w:r w:rsidR="00544704" w:rsidRPr="00544704">
        <w:rPr>
          <w:u w:val="single"/>
        </w:rPr>
        <w:t xml:space="preserve">second-order probabilistic sensitivity analysis </w:t>
      </w:r>
      <w:r w:rsidRPr="006536A3">
        <w:rPr>
          <w:u w:val="single"/>
        </w:rPr>
        <w:t xml:space="preserve">scenario: Comparative clinical trial and </w:t>
      </w:r>
      <w:r w:rsidR="00345DE0">
        <w:rPr>
          <w:u w:val="single"/>
        </w:rPr>
        <w:t xml:space="preserve">real-world evidence </w:t>
      </w:r>
      <w:r w:rsidRPr="006536A3">
        <w:rPr>
          <w:u w:val="single"/>
        </w:rPr>
        <w:t>meta-analysis (FSL only)</w:t>
      </w:r>
    </w:p>
    <w:p w14:paraId="1A39428B" w14:textId="56A0FF25" w:rsidR="000C6AF3" w:rsidRDefault="000C6AF3" w:rsidP="000C6AF3">
      <w:r>
        <w:t xml:space="preserve">The </w:t>
      </w:r>
      <w:r w:rsidRPr="001271FC">
        <w:t xml:space="preserve">immediate one-time absolute </w:t>
      </w:r>
      <w:r>
        <w:t>change</w:t>
      </w:r>
      <w:r w:rsidRPr="001271FC">
        <w:t xml:space="preserve"> in</w:t>
      </w:r>
      <w:r>
        <w:t xml:space="preserve"> baseline</w:t>
      </w:r>
      <w:r w:rsidRPr="001271FC">
        <w:t xml:space="preserve"> HbA1c</w:t>
      </w:r>
      <w:r>
        <w:t xml:space="preserve"> for </w:t>
      </w:r>
      <w:r w:rsidRPr="00431073">
        <w:t>FSL</w:t>
      </w:r>
      <w:r>
        <w:t xml:space="preserve"> was </w:t>
      </w:r>
      <w:r w:rsidR="008A1ED5">
        <w:t xml:space="preserve">reported as </w:t>
      </w:r>
      <w:r w:rsidR="00433F43">
        <w:t>−</w:t>
      </w:r>
      <w:r w:rsidR="008A1ED5" w:rsidRPr="006C1064">
        <w:t xml:space="preserve">0.73% (95% CI </w:t>
      </w:r>
      <w:r w:rsidR="00433F43">
        <w:t>−</w:t>
      </w:r>
      <w:r w:rsidR="008A1ED5" w:rsidRPr="006C1064">
        <w:t xml:space="preserve">0.88%, </w:t>
      </w:r>
      <w:r w:rsidR="00433F43">
        <w:t>−</w:t>
      </w:r>
      <w:r w:rsidR="008A1ED5" w:rsidRPr="006C1064">
        <w:t>0.59%)</w:t>
      </w:r>
      <w:r w:rsidR="008A1ED5">
        <w:t xml:space="preserve">, which was </w:t>
      </w:r>
      <w:r>
        <w:t xml:space="preserve">informed by </w:t>
      </w:r>
      <w:r w:rsidR="008A1ED5">
        <w:t xml:space="preserve">the </w:t>
      </w:r>
      <w:r>
        <w:t>meta-analysis o</w:t>
      </w:r>
      <w:r w:rsidR="008A1ED5">
        <w:t>f</w:t>
      </w:r>
      <w:r>
        <w:t xml:space="preserve"> </w:t>
      </w:r>
      <w:r w:rsidRPr="006C1064">
        <w:t xml:space="preserve">comparative </w:t>
      </w:r>
      <w:r w:rsidR="008A1ED5">
        <w:t>and single-arm evidence</w:t>
      </w:r>
      <w:r>
        <w:t xml:space="preserve">. </w:t>
      </w:r>
      <w:r w:rsidR="008A1ED5">
        <w:t xml:space="preserve">As discussed previously, </w:t>
      </w:r>
      <w:r w:rsidR="00A70FC1">
        <w:t xml:space="preserve">the commentary considered that </w:t>
      </w:r>
      <w:r w:rsidR="008A1ED5">
        <w:t xml:space="preserve">this approach </w:t>
      </w:r>
      <w:r w:rsidR="00CA1D49" w:rsidRPr="00A54EDF">
        <w:t>i</w:t>
      </w:r>
      <w:r w:rsidR="008A1ED5">
        <w:t xml:space="preserve">s inappropriate. </w:t>
      </w:r>
      <w:r>
        <w:t xml:space="preserve">The </w:t>
      </w:r>
      <w:r w:rsidR="00954612">
        <w:t xml:space="preserve">ADAR </w:t>
      </w:r>
      <w:r>
        <w:t xml:space="preserve">assumed no change in HbA1c for the </w:t>
      </w:r>
      <w:r w:rsidRPr="00431073">
        <w:t>SMBG</w:t>
      </w:r>
      <w:r>
        <w:t xml:space="preserve"> arm.</w:t>
      </w:r>
    </w:p>
    <w:p w14:paraId="3E78FE55" w14:textId="3E9626A7" w:rsidR="004A60FE" w:rsidRPr="006536A3" w:rsidRDefault="004A60FE" w:rsidP="00116BF5">
      <w:pPr>
        <w:rPr>
          <w:u w:val="single"/>
        </w:rPr>
      </w:pPr>
      <w:r w:rsidRPr="006536A3">
        <w:rPr>
          <w:u w:val="single"/>
        </w:rPr>
        <w:t>Additional scenario analyses</w:t>
      </w:r>
    </w:p>
    <w:p w14:paraId="0FC1E976" w14:textId="19EB000E" w:rsidR="000C6AF3" w:rsidRDefault="000C6AF3" w:rsidP="000C6AF3">
      <w:r>
        <w:t xml:space="preserve">The following scenarios were performed assuming a change of </w:t>
      </w:r>
      <w:r w:rsidR="00433F43">
        <w:t>−</w:t>
      </w:r>
      <w:r>
        <w:t xml:space="preserve">0.2% </w:t>
      </w:r>
      <w:r w:rsidRPr="00A54EDF">
        <w:t>(</w:t>
      </w:r>
      <w:r w:rsidR="00433F43">
        <w:t>−</w:t>
      </w:r>
      <w:r>
        <w:t xml:space="preserve">0.35, </w:t>
      </w:r>
      <w:r w:rsidR="00433F43">
        <w:t>−</w:t>
      </w:r>
      <w:r>
        <w:t>0.05%) for SMBG (as per the base case)</w:t>
      </w:r>
      <w:r w:rsidR="00916907">
        <w:t>:</w:t>
      </w:r>
    </w:p>
    <w:p w14:paraId="1D261701" w14:textId="41D4D3A3" w:rsidR="000C6AF3" w:rsidRDefault="000C6AF3" w:rsidP="003027B3">
      <w:pPr>
        <w:pStyle w:val="ListParagraph"/>
        <w:numPr>
          <w:ilvl w:val="0"/>
          <w:numId w:val="15"/>
        </w:numPr>
      </w:pPr>
      <w:r>
        <w:t xml:space="preserve">T2D patients using intensive insulin. FSL: </w:t>
      </w:r>
      <w:r w:rsidR="00433F43">
        <w:t>−</w:t>
      </w:r>
      <w:r>
        <w:t xml:space="preserve">0.66 </w:t>
      </w:r>
      <w:r w:rsidRPr="00A54EDF">
        <w:t>(</w:t>
      </w:r>
      <w:r w:rsidR="00433F43">
        <w:t>−</w:t>
      </w:r>
      <w:r>
        <w:t xml:space="preserve">0.81, </w:t>
      </w:r>
      <w:r w:rsidR="00433F43">
        <w:t>−</w:t>
      </w:r>
      <w:r>
        <w:t>0.51) (baseline mean HbA1c = 8.24%)</w:t>
      </w:r>
      <w:r w:rsidR="00916907">
        <w:t>.</w:t>
      </w:r>
      <w:r>
        <w:t xml:space="preserve"> </w:t>
      </w:r>
    </w:p>
    <w:p w14:paraId="594D519C" w14:textId="0DDF1F38" w:rsidR="000C6AF3" w:rsidRDefault="000C6AF3" w:rsidP="003027B3">
      <w:pPr>
        <w:pStyle w:val="ListParagraph"/>
        <w:numPr>
          <w:ilvl w:val="0"/>
          <w:numId w:val="15"/>
        </w:numPr>
      </w:pPr>
      <w:r>
        <w:t xml:space="preserve">All T2D insulin patients with HbA1c </w:t>
      </w:r>
      <w:r w:rsidR="00345DE0" w:rsidRPr="00345DE0">
        <w:t>≥</w:t>
      </w:r>
      <w:r>
        <w:t xml:space="preserve">8%. FSL: </w:t>
      </w:r>
      <w:r w:rsidR="00433F43">
        <w:t>−</w:t>
      </w:r>
      <w:r>
        <w:t xml:space="preserve">0.78 </w:t>
      </w:r>
      <w:r w:rsidRPr="00A54EDF">
        <w:t>(</w:t>
      </w:r>
      <w:r w:rsidR="00433F43">
        <w:t>−</w:t>
      </w:r>
      <w:r>
        <w:t xml:space="preserve">0.94, </w:t>
      </w:r>
      <w:r w:rsidR="00433F43">
        <w:t>−</w:t>
      </w:r>
      <w:r>
        <w:t>0.63) (baseline mean HbA1c = 9.38%)</w:t>
      </w:r>
      <w:r w:rsidR="00916907">
        <w:t>.</w:t>
      </w:r>
      <w:r>
        <w:t xml:space="preserve"> </w:t>
      </w:r>
    </w:p>
    <w:p w14:paraId="0640BC1F" w14:textId="4A6ADD52" w:rsidR="000C6AF3" w:rsidRDefault="000C6AF3" w:rsidP="003027B3">
      <w:pPr>
        <w:pStyle w:val="ListParagraph"/>
        <w:numPr>
          <w:ilvl w:val="0"/>
          <w:numId w:val="15"/>
        </w:numPr>
      </w:pPr>
      <w:r>
        <w:t xml:space="preserve">All T2D insulin patients with HbA1c </w:t>
      </w:r>
      <w:r w:rsidR="00345DE0" w:rsidRPr="00345DE0">
        <w:t>≥</w:t>
      </w:r>
      <w:r>
        <w:t xml:space="preserve">8.7%. FSL: </w:t>
      </w:r>
      <w:r w:rsidR="00433F43">
        <w:t>−</w:t>
      </w:r>
      <w:r>
        <w:t xml:space="preserve">0.93 </w:t>
      </w:r>
      <w:r w:rsidRPr="00A54EDF">
        <w:t>(</w:t>
      </w:r>
      <w:r w:rsidR="00433F43">
        <w:t>−</w:t>
      </w:r>
      <w:r>
        <w:t xml:space="preserve">1.12, </w:t>
      </w:r>
      <w:r w:rsidR="00433F43">
        <w:t>−</w:t>
      </w:r>
      <w:r>
        <w:t>0.75) (baseline mean HbA1c = 9.60%)</w:t>
      </w:r>
      <w:r w:rsidR="00916907">
        <w:t>.</w:t>
      </w:r>
      <w:r>
        <w:t xml:space="preserve"> </w:t>
      </w:r>
    </w:p>
    <w:p w14:paraId="70AFDF3E" w14:textId="2155A37F" w:rsidR="004A60FE" w:rsidRPr="006536A3" w:rsidRDefault="004A60FE" w:rsidP="00116BF5">
      <w:pPr>
        <w:rPr>
          <w:u w:val="single"/>
        </w:rPr>
      </w:pPr>
      <w:r w:rsidRPr="006536A3">
        <w:rPr>
          <w:u w:val="single"/>
        </w:rPr>
        <w:t>Reduction in acute diabetic events</w:t>
      </w:r>
    </w:p>
    <w:p w14:paraId="79A489A9" w14:textId="5B87E383" w:rsidR="000C6AF3" w:rsidRDefault="000C6AF3" w:rsidP="000C6AF3">
      <w:bookmarkStart w:id="52" w:name="_Hlk192585797"/>
      <w:r>
        <w:t xml:space="preserve">The </w:t>
      </w:r>
      <w:r w:rsidR="00954612">
        <w:t xml:space="preserve">ADAR </w:t>
      </w:r>
      <w:r>
        <w:t xml:space="preserve">used data from the 12-month RELIEF study to inform the rates of acute diabetic events (ADE) requiring hospitalisation in each arm. This study identified </w:t>
      </w:r>
      <w:r w:rsidRPr="00E03EB2">
        <w:t>40,846</w:t>
      </w:r>
      <w:r>
        <w:t xml:space="preserve"> people with T2D in the </w:t>
      </w:r>
      <w:r w:rsidRPr="00E03EB2">
        <w:t>French national claims database</w:t>
      </w:r>
      <w:r>
        <w:t xml:space="preserve"> who initiated FSL. People were either receiving </w:t>
      </w:r>
      <w:r w:rsidR="00A97456" w:rsidRPr="00A54EDF">
        <w:t>I</w:t>
      </w:r>
      <w:r w:rsidR="002A7FFC">
        <w:t>I</w:t>
      </w:r>
      <w:r w:rsidR="00A97456" w:rsidRPr="00A54EDF">
        <w:t>T</w:t>
      </w:r>
      <w:r>
        <w:t xml:space="preserve"> (88%) or s</w:t>
      </w:r>
      <w:r w:rsidRPr="00E03EB2">
        <w:t>ingle basal insulin injection</w:t>
      </w:r>
      <w:r>
        <w:t xml:space="preserve"> (7.5%) and non-insulin regimens (4.5%). </w:t>
      </w:r>
      <w:r w:rsidR="00916907">
        <w:t>The a</w:t>
      </w:r>
      <w:r w:rsidRPr="00E03EB2">
        <w:t xml:space="preserve">nnual </w:t>
      </w:r>
      <w:r w:rsidR="00585EE9" w:rsidRPr="00A54EDF">
        <w:t xml:space="preserve">proportion </w:t>
      </w:r>
      <w:r w:rsidRPr="00E03EB2">
        <w:t>of p</w:t>
      </w:r>
      <w:r>
        <w:t>eople experiencing hospitalisation for a diabetic ketoacidosis (DKA) event and</w:t>
      </w:r>
      <w:r w:rsidRPr="00E03EB2">
        <w:t xml:space="preserve"> severe hypoglycaemia</w:t>
      </w:r>
      <w:r>
        <w:t xml:space="preserve"> event</w:t>
      </w:r>
      <w:r w:rsidR="00916907">
        <w:t xml:space="preserve"> (SHE)</w:t>
      </w:r>
      <w:r>
        <w:t xml:space="preserve"> prior</w:t>
      </w:r>
      <w:r w:rsidR="00043B79" w:rsidRPr="00A54EDF">
        <w:t xml:space="preserve"> to</w:t>
      </w:r>
      <w:r>
        <w:t xml:space="preserve"> and post-FSL initiation </w:t>
      </w:r>
      <w:r w:rsidR="00916907">
        <w:t xml:space="preserve">was </w:t>
      </w:r>
      <w:r>
        <w:t xml:space="preserve">extracted for the analysis. The </w:t>
      </w:r>
      <w:r w:rsidR="008E7E8B">
        <w:t>study was not described</w:t>
      </w:r>
      <w:r>
        <w:t xml:space="preserve"> in the ADAR</w:t>
      </w:r>
      <w:r w:rsidR="008A1ED5">
        <w:t>,</w:t>
      </w:r>
      <w:r>
        <w:t xml:space="preserve"> </w:t>
      </w:r>
      <w:r w:rsidR="008E7E8B">
        <w:t xml:space="preserve">and </w:t>
      </w:r>
      <w:r>
        <w:t xml:space="preserve">the French and </w:t>
      </w:r>
      <w:r w:rsidR="00561101">
        <w:t>Australian</w:t>
      </w:r>
      <w:r w:rsidR="007E340D" w:rsidRPr="00A54EDF">
        <w:t xml:space="preserve"> </w:t>
      </w:r>
      <w:r>
        <w:t xml:space="preserve">healthcare systems and populations </w:t>
      </w:r>
      <w:r w:rsidR="008E7E8B">
        <w:t xml:space="preserve">were also not compared </w:t>
      </w:r>
      <w:r>
        <w:t>to justify use of these data</w:t>
      </w:r>
      <w:bookmarkEnd w:id="52"/>
      <w:r>
        <w:t xml:space="preserve">. </w:t>
      </w:r>
    </w:p>
    <w:p w14:paraId="384200EC" w14:textId="1B297D83" w:rsidR="000C6AF3" w:rsidRDefault="000C6AF3" w:rsidP="000C6AF3">
      <w:r>
        <w:t xml:space="preserve">The </w:t>
      </w:r>
      <w:r w:rsidR="008E7E8B">
        <w:t xml:space="preserve">ADAR </w:t>
      </w:r>
      <w:r>
        <w:t xml:space="preserve">highlighted that </w:t>
      </w:r>
      <w:r w:rsidRPr="00E236E7">
        <w:t>hyperosmolar hyperglyc</w:t>
      </w:r>
      <w:r w:rsidR="005C5CBA">
        <w:t>a</w:t>
      </w:r>
      <w:r w:rsidRPr="00E236E7">
        <w:t>emic state</w:t>
      </w:r>
      <w:r>
        <w:t xml:space="preserve"> (HHS)</w:t>
      </w:r>
      <w:r w:rsidRPr="00E236E7">
        <w:t xml:space="preserve"> </w:t>
      </w:r>
      <w:r>
        <w:t xml:space="preserve">events were more common in T2D than </w:t>
      </w:r>
      <w:r w:rsidR="00377EC6" w:rsidRPr="00A54EDF">
        <w:t xml:space="preserve">were </w:t>
      </w:r>
      <w:r>
        <w:t xml:space="preserve">DKA events. However, these events were not captured in the RELIEF study. </w:t>
      </w:r>
      <w:r w:rsidRPr="00A54EDF">
        <w:t>Th</w:t>
      </w:r>
      <w:r w:rsidR="00D243BB" w:rsidRPr="00A54EDF">
        <w:t>us</w:t>
      </w:r>
      <w:r>
        <w:t xml:space="preserve">, it was assumed </w:t>
      </w:r>
      <w:r w:rsidR="00D243BB" w:rsidRPr="00A54EDF">
        <w:t xml:space="preserve">that </w:t>
      </w:r>
      <w:r>
        <w:t xml:space="preserve">the rates of HHS in people with T2D were equivalent to the rates of DKA in T2D. The </w:t>
      </w:r>
      <w:r w:rsidR="008E7E8B">
        <w:t xml:space="preserve">ADAR </w:t>
      </w:r>
      <w:r>
        <w:t xml:space="preserve">did not provide any clinical evidence for this assumption. </w:t>
      </w:r>
    </w:p>
    <w:p w14:paraId="572A2032" w14:textId="7C29F606" w:rsidR="000C6AF3" w:rsidRDefault="000C6AF3" w:rsidP="000C6AF3">
      <w:r>
        <w:t>The number of non-</w:t>
      </w:r>
      <w:r w:rsidRPr="00E03EB2">
        <w:t>severe hypoglycaemia</w:t>
      </w:r>
      <w:r>
        <w:t xml:space="preserve"> events (NSHE) was informed by a meta-analysis</w:t>
      </w:r>
      <w:r w:rsidR="000F01C8" w:rsidRPr="00A54EDF">
        <w:t xml:space="preserve"> that</w:t>
      </w:r>
      <w:r>
        <w:t xml:space="preserve"> </w:t>
      </w:r>
      <w:r w:rsidR="00916907">
        <w:t xml:space="preserve">reported </w:t>
      </w:r>
      <w:r>
        <w:t xml:space="preserve">that 52% of people receiving insulin experienced an average of 23.31 mild or moderate </w:t>
      </w:r>
      <w:r w:rsidRPr="00E03EB2">
        <w:t>hypoglycaemia</w:t>
      </w:r>
      <w:r>
        <w:t xml:space="preserve"> events per year</w:t>
      </w:r>
      <w:r w:rsidR="000F01C8" w:rsidRPr="00A54EDF">
        <w:t xml:space="preserve"> (Edridge et al. 2015)</w:t>
      </w:r>
      <w:r w:rsidRPr="00A54EDF">
        <w:t>.</w:t>
      </w:r>
      <w:r>
        <w:t xml:space="preserve"> The </w:t>
      </w:r>
      <w:r w:rsidR="008E7E8B">
        <w:t xml:space="preserve">ADAR </w:t>
      </w:r>
      <w:r>
        <w:t>assumed people in the model in the SMBG arm experienced 23.31 SHE per year</w:t>
      </w:r>
      <w:r w:rsidR="00666082">
        <w:t>, and</w:t>
      </w:r>
      <w:r w:rsidR="000F01C8" w:rsidRPr="00A54EDF">
        <w:t xml:space="preserve"> </w:t>
      </w:r>
      <w:r>
        <w:t xml:space="preserve">relative risk </w:t>
      </w:r>
      <w:r w:rsidR="00666082">
        <w:t xml:space="preserve">was applied </w:t>
      </w:r>
      <w:r>
        <w:t>to this to derive the number of NSHE experienced by the FSL arm (16.50 events per year). The model</w:t>
      </w:r>
      <w:r w:rsidR="00666082">
        <w:t xml:space="preserve"> was not adjusted</w:t>
      </w:r>
      <w:r>
        <w:t xml:space="preserve"> to account for the 48% of people not experiencing NSHE. </w:t>
      </w:r>
      <w:r w:rsidR="002B2303">
        <w:t>NHSE events were not associated with a cost of HRQoL impact</w:t>
      </w:r>
      <w:r w:rsidR="00C72388">
        <w:t>;</w:t>
      </w:r>
      <w:r w:rsidR="002B2303">
        <w:t xml:space="preserve"> </w:t>
      </w:r>
      <w:proofErr w:type="gramStart"/>
      <w:r w:rsidR="002B2303">
        <w:t>therefore</w:t>
      </w:r>
      <w:proofErr w:type="gramEnd"/>
      <w:r w:rsidR="002B2303">
        <w:t xml:space="preserve"> the input is inconsequential to the overall cost and HRQoL results.</w:t>
      </w:r>
      <w:r w:rsidR="00F625CD">
        <w:t xml:space="preserve"> </w:t>
      </w:r>
    </w:p>
    <w:p w14:paraId="3ACD3FB8" w14:textId="7BBB2F2B" w:rsidR="004A60FE" w:rsidRPr="006536A3" w:rsidRDefault="004A60FE" w:rsidP="000C6AF3">
      <w:pPr>
        <w:rPr>
          <w:b/>
          <w:bCs/>
        </w:rPr>
      </w:pPr>
      <w:r>
        <w:rPr>
          <w:b/>
          <w:bCs/>
        </w:rPr>
        <w:t>HRQoL inputs</w:t>
      </w:r>
    </w:p>
    <w:p w14:paraId="60DDA867" w14:textId="77CF416A" w:rsidR="000C6AF3" w:rsidRDefault="000C6AF3" w:rsidP="000C6AF3">
      <w:r>
        <w:t>The baseline utility for all people entering the model was 0.</w:t>
      </w:r>
      <w:r w:rsidRPr="00AD44EB">
        <w:t>768</w:t>
      </w:r>
      <w:r>
        <w:t xml:space="preserve">, informed by a meta-analysis by </w:t>
      </w:r>
      <w:r w:rsidRPr="008417DA">
        <w:t>Niño-de-Guzmán</w:t>
      </w:r>
      <w:r>
        <w:t xml:space="preserve"> et al</w:t>
      </w:r>
      <w:r w:rsidR="00A063A0">
        <w:t>.</w:t>
      </w:r>
      <w:r>
        <w:t xml:space="preserve"> (2023). </w:t>
      </w:r>
      <w:r w:rsidR="008E5ECB">
        <w:t xml:space="preserve">The assessment group noted that this utility </w:t>
      </w:r>
      <w:r>
        <w:t xml:space="preserve">was the pooled EQ-5D value associated with </w:t>
      </w:r>
      <w:r w:rsidRPr="00B965FC">
        <w:t>T2D</w:t>
      </w:r>
      <w:r>
        <w:t xml:space="preserve"> with or without complications. </w:t>
      </w:r>
      <w:r w:rsidR="008E5ECB">
        <w:t xml:space="preserve">It </w:t>
      </w:r>
      <w:r>
        <w:t xml:space="preserve">reflects the T2D population as a whole and does not account for the treatment regimen </w:t>
      </w:r>
      <w:r w:rsidR="008A1ED5">
        <w:t xml:space="preserve">or </w:t>
      </w:r>
      <w:r>
        <w:t xml:space="preserve">age of the modelled population. The EQ-5D utilities </w:t>
      </w:r>
      <w:r w:rsidR="008E5ECB">
        <w:t xml:space="preserve">also </w:t>
      </w:r>
      <w:r>
        <w:t>used a UK tariff</w:t>
      </w:r>
      <w:r w:rsidR="008E5ECB">
        <w:t>; t</w:t>
      </w:r>
      <w:r>
        <w:t xml:space="preserve">he </w:t>
      </w:r>
      <w:r w:rsidR="00666082">
        <w:t xml:space="preserve">ADAR </w:t>
      </w:r>
      <w:r>
        <w:t xml:space="preserve">did not convert the utility inputs to align with an Australian </w:t>
      </w:r>
      <w:r w:rsidR="00BB603E">
        <w:t>t</w:t>
      </w:r>
      <w:r>
        <w:t>ariff. Age</w:t>
      </w:r>
      <w:r w:rsidR="00232F73" w:rsidRPr="00A54EDF">
        <w:t>-</w:t>
      </w:r>
      <w:r>
        <w:t xml:space="preserve"> and sex</w:t>
      </w:r>
      <w:r w:rsidR="00232F73" w:rsidRPr="00A54EDF">
        <w:t>-</w:t>
      </w:r>
      <w:r>
        <w:t xml:space="preserve">adjusted Australian EQ-5D population norms were not applied. </w:t>
      </w:r>
    </w:p>
    <w:p w14:paraId="309E15EA" w14:textId="2D87C549" w:rsidR="00705E25" w:rsidRDefault="00232F73" w:rsidP="000C6AF3">
      <w:r w:rsidRPr="00A54EDF">
        <w:t xml:space="preserve">The study by </w:t>
      </w:r>
      <w:r w:rsidR="000C6AF3" w:rsidRPr="008417DA">
        <w:t>Niño-de-Guzmán</w:t>
      </w:r>
      <w:r w:rsidR="000C6AF3">
        <w:t xml:space="preserve"> et al</w:t>
      </w:r>
      <w:r w:rsidR="00A063A0">
        <w:t>.</w:t>
      </w:r>
      <w:r w:rsidR="000C6AF3">
        <w:t xml:space="preserve"> (2023) </w:t>
      </w:r>
      <w:r w:rsidR="008E5ECB">
        <w:t xml:space="preserve">was </w:t>
      </w:r>
      <w:r w:rsidR="000C6AF3">
        <w:t xml:space="preserve">also </w:t>
      </w:r>
      <w:r w:rsidR="008E5ECB">
        <w:t xml:space="preserve">used to </w:t>
      </w:r>
      <w:r w:rsidR="000C6AF3">
        <w:t xml:space="preserve">inform the utility decrements for complications. For stroke, blindness and renal failure, the </w:t>
      </w:r>
      <w:r w:rsidR="00666082">
        <w:t xml:space="preserve">ADAR </w:t>
      </w:r>
      <w:r w:rsidR="000C6AF3">
        <w:t xml:space="preserve">assumed </w:t>
      </w:r>
      <w:r w:rsidR="008E5ECB">
        <w:t xml:space="preserve">that </w:t>
      </w:r>
      <w:r w:rsidR="000C6AF3">
        <w:t xml:space="preserve">the utility decrement </w:t>
      </w:r>
      <w:r w:rsidR="008E5ECB">
        <w:t xml:space="preserve">for subsequent years </w:t>
      </w:r>
      <w:r w:rsidR="000C6AF3">
        <w:t>would be equivalent to the first-year utility decrement</w:t>
      </w:r>
      <w:r w:rsidR="00666082">
        <w:t>, but no</w:t>
      </w:r>
      <w:r w:rsidR="000C6AF3">
        <w:t xml:space="preserve"> clinical reasoning</w:t>
      </w:r>
      <w:r w:rsidR="00666082">
        <w:t xml:space="preserve"> was provided</w:t>
      </w:r>
      <w:r w:rsidR="000C6AF3">
        <w:t xml:space="preserve"> for this assumption. </w:t>
      </w:r>
      <w:r w:rsidR="00705E25" w:rsidRPr="00705E25">
        <w:t xml:space="preserve">Long-term utility decrements were not applied to the chronic conditions of myocardial infarction and congestive heart failure. The </w:t>
      </w:r>
      <w:r w:rsidR="00666082">
        <w:t>ADAR did</w:t>
      </w:r>
      <w:r w:rsidR="00705E25" w:rsidRPr="00705E25">
        <w:t xml:space="preserve"> not provide justification for this decision, </w:t>
      </w:r>
      <w:r w:rsidR="00666082">
        <w:t xml:space="preserve">despite </w:t>
      </w:r>
      <w:proofErr w:type="gramStart"/>
      <w:r w:rsidR="00666082">
        <w:t>assuming that</w:t>
      </w:r>
      <w:proofErr w:type="gramEnd"/>
      <w:r w:rsidR="00705E25" w:rsidRPr="00705E25">
        <w:t xml:space="preserve"> these have an ongoing cost impact. This is not clinically appropriate. Incorporating these would increase the incremental QALYs in favour of FSL-CGM.</w:t>
      </w:r>
    </w:p>
    <w:p w14:paraId="66D82175" w14:textId="70806291" w:rsidR="008E5ECB" w:rsidRDefault="000C6AF3" w:rsidP="000C6AF3">
      <w:r>
        <w:t xml:space="preserve">The utility decrement </w:t>
      </w:r>
      <w:r w:rsidR="008E5ECB">
        <w:t xml:space="preserve">applied </w:t>
      </w:r>
      <w:r>
        <w:t xml:space="preserve">for frequent finger pricks </w:t>
      </w:r>
      <w:r w:rsidR="008E5ECB">
        <w:t xml:space="preserve">was </w:t>
      </w:r>
      <w:r>
        <w:t xml:space="preserve">0.03, based on a UK-based study by Matza </w:t>
      </w:r>
      <w:r w:rsidR="00A063A0">
        <w:t xml:space="preserve">et al. </w:t>
      </w:r>
      <w:r>
        <w:t>(2017)</w:t>
      </w:r>
      <w:r w:rsidRPr="005102BE">
        <w:t>.</w:t>
      </w:r>
      <w:r w:rsidRPr="00B749F6">
        <w:t xml:space="preserve"> </w:t>
      </w:r>
      <w:r w:rsidR="008E5ECB">
        <w:t>The assessment group noted that t</w:t>
      </w:r>
      <w:r w:rsidRPr="00B749F6">
        <w:t xml:space="preserve">he </w:t>
      </w:r>
      <w:r w:rsidR="00BB23A7" w:rsidRPr="00A54EDF">
        <w:t xml:space="preserve">value of </w:t>
      </w:r>
      <w:r w:rsidRPr="00B749F6">
        <w:t xml:space="preserve">0.03 is the difference between the derived utilities for </w:t>
      </w:r>
      <w:r>
        <w:t>sensor-</w:t>
      </w:r>
      <w:r w:rsidRPr="00B749F6">
        <w:t>based glucose</w:t>
      </w:r>
      <w:r>
        <w:t xml:space="preserve"> monitoring</w:t>
      </w:r>
      <w:r w:rsidRPr="00B749F6">
        <w:t xml:space="preserve"> and conventional glucose monitorin</w:t>
      </w:r>
      <w:r>
        <w:t xml:space="preserve">g. </w:t>
      </w:r>
      <w:r w:rsidR="008E5ECB">
        <w:t xml:space="preserve">The utility decrement for frequent finger pricks and </w:t>
      </w:r>
      <w:r w:rsidR="00D6484F">
        <w:t xml:space="preserve">a utility </w:t>
      </w:r>
      <w:r w:rsidR="008E5ECB">
        <w:t xml:space="preserve">related </w:t>
      </w:r>
      <w:r w:rsidR="000B684E" w:rsidRPr="00A54EDF">
        <w:t xml:space="preserve">to </w:t>
      </w:r>
      <w:r w:rsidR="008E5ECB">
        <w:t xml:space="preserve">a fear of hypoglycaemia are applied </w:t>
      </w:r>
      <w:r w:rsidR="000B684E" w:rsidRPr="00A54EDF">
        <w:t xml:space="preserve">only </w:t>
      </w:r>
      <w:r w:rsidR="008E5ECB">
        <w:t>in the first cycle of SMBG.</w:t>
      </w:r>
    </w:p>
    <w:p w14:paraId="7E2F931C" w14:textId="78AC94ED" w:rsidR="004A60FE" w:rsidRDefault="004A60FE" w:rsidP="000C6AF3">
      <w:pPr>
        <w:rPr>
          <w:b/>
          <w:bCs/>
        </w:rPr>
      </w:pPr>
      <w:r>
        <w:rPr>
          <w:b/>
          <w:bCs/>
        </w:rPr>
        <w:t>Cost inputs</w:t>
      </w:r>
    </w:p>
    <w:p w14:paraId="363CC19F" w14:textId="144D4D8C" w:rsidR="004A60FE" w:rsidRPr="006536A3" w:rsidRDefault="009802FD" w:rsidP="006536A3">
      <w:pPr>
        <w:ind w:left="720" w:hanging="720"/>
        <w:rPr>
          <w:u w:val="single"/>
        </w:rPr>
      </w:pPr>
      <w:r>
        <w:rPr>
          <w:u w:val="single"/>
        </w:rPr>
        <w:t>SMBG</w:t>
      </w:r>
      <w:r w:rsidR="004A60FE" w:rsidRPr="006536A3">
        <w:rPr>
          <w:u w:val="single"/>
        </w:rPr>
        <w:t xml:space="preserve"> costs</w:t>
      </w:r>
    </w:p>
    <w:p w14:paraId="69BA8A4E" w14:textId="57FAC762" w:rsidR="00E508C4" w:rsidRDefault="000C6AF3" w:rsidP="003C6A79">
      <w:bookmarkStart w:id="53" w:name="_Hlk192601972"/>
      <w:r>
        <w:t>The</w:t>
      </w:r>
      <w:r w:rsidR="00F674B6">
        <w:t xml:space="preserve"> ADAR assumed that the</w:t>
      </w:r>
      <w:r>
        <w:t xml:space="preserve"> cost of test strips </w:t>
      </w:r>
      <w:r w:rsidR="00FC2A68">
        <w:t>is $</w:t>
      </w:r>
      <w:r w:rsidR="005136E1" w:rsidRPr="00F14B56">
        <w:rPr>
          <w:b/>
          <w:bCs/>
        </w:rPr>
        <w:t>R</w:t>
      </w:r>
      <w:r w:rsidR="003E1ED0">
        <w:rPr>
          <w:b/>
          <w:bCs/>
        </w:rPr>
        <w:t>EDACTED</w:t>
      </w:r>
      <w:r w:rsidR="005136E1">
        <w:rPr>
          <w:b/>
          <w:bCs/>
        </w:rPr>
        <w:t xml:space="preserve"> </w:t>
      </w:r>
      <w:r w:rsidR="00FC2A68">
        <w:t xml:space="preserve">for </w:t>
      </w:r>
      <w:r w:rsidR="00FC2A68" w:rsidRPr="00B965FC">
        <w:t>100 strips</w:t>
      </w:r>
      <w:r w:rsidR="00FC2A68">
        <w:t xml:space="preserve">. </w:t>
      </w:r>
      <w:r>
        <w:t xml:space="preserve">This is the cost of </w:t>
      </w:r>
      <w:r w:rsidRPr="00B965FC">
        <w:t>FreeStyle Optium Blood Glucose Test Strips</w:t>
      </w:r>
      <w:r w:rsidR="008E5ECB">
        <w:t xml:space="preserve">, which the </w:t>
      </w:r>
      <w:r w:rsidR="00666082">
        <w:t xml:space="preserve">ADAR </w:t>
      </w:r>
      <w:r w:rsidR="00D6484F">
        <w:t xml:space="preserve">claimed </w:t>
      </w:r>
      <w:r w:rsidR="000B684E" w:rsidRPr="00A54EDF">
        <w:t>to be</w:t>
      </w:r>
      <w:r>
        <w:t xml:space="preserve"> the most dispensed brand.</w:t>
      </w:r>
      <w:r w:rsidR="003C6A79">
        <w:t xml:space="preserve"> </w:t>
      </w:r>
      <w:bookmarkStart w:id="54" w:name="_Hlk196393945"/>
      <w:r w:rsidR="003C6A79">
        <w:t xml:space="preserve">This cost </w:t>
      </w:r>
      <w:bookmarkStart w:id="55" w:name="_Hlk196394113"/>
      <w:r w:rsidR="003C6A79">
        <w:t>incorporate</w:t>
      </w:r>
      <w:r w:rsidR="00E508C4">
        <w:t>d</w:t>
      </w:r>
      <w:r w:rsidR="003C6A79">
        <w:t xml:space="preserve"> the payer contribution and the user</w:t>
      </w:r>
      <w:r>
        <w:t xml:space="preserve"> co-payment</w:t>
      </w:r>
      <w:r w:rsidR="003C6A79" w:rsidRPr="003C6A79">
        <w:t xml:space="preserve"> </w:t>
      </w:r>
      <w:r w:rsidR="003C6A79">
        <w:t>in accordance with MSAC guidelines (17.3)</w:t>
      </w:r>
      <w:bookmarkEnd w:id="55"/>
      <w:r w:rsidR="00E508C4">
        <w:t>. Therefore, this cost is appropriate</w:t>
      </w:r>
      <w:r>
        <w:t>.</w:t>
      </w:r>
      <w:bookmarkEnd w:id="54"/>
      <w:r>
        <w:t xml:space="preserve"> </w:t>
      </w:r>
    </w:p>
    <w:p w14:paraId="3F4B3B04" w14:textId="16AB0D49" w:rsidR="006C41FD" w:rsidRDefault="00436BE6" w:rsidP="00942CA6">
      <w:bookmarkStart w:id="56" w:name="_Hlk196400197"/>
      <w:r>
        <w:t>A</w:t>
      </w:r>
      <w:r w:rsidR="00E952C2">
        <w:t>n RCT</w:t>
      </w:r>
      <w:r>
        <w:t xml:space="preserve"> of 26 European </w:t>
      </w:r>
      <w:r w:rsidR="00315A60">
        <w:t xml:space="preserve">centres and </w:t>
      </w:r>
      <w:r>
        <w:t>75 intensive-insulin users on S</w:t>
      </w:r>
      <w:r w:rsidR="00EF4F96">
        <w:t>M</w:t>
      </w:r>
      <w:r>
        <w:t>BG</w:t>
      </w:r>
      <w:r w:rsidR="00315A60">
        <w:t xml:space="preserve"> was used to </w:t>
      </w:r>
      <w:r w:rsidR="00E508C4">
        <w:t>inform the average number of test strips used per person</w:t>
      </w:r>
      <w:r>
        <w:t xml:space="preserve"> in the SMBG arm</w:t>
      </w:r>
      <w:r w:rsidR="00E508C4">
        <w:t xml:space="preserve"> (3.8 strips per day)</w:t>
      </w:r>
      <w:r w:rsidR="00315A60">
        <w:t xml:space="preserve"> </w:t>
      </w:r>
      <w:r w:rsidR="005E22B9">
        <w:t>(</w:t>
      </w:r>
      <w:r w:rsidR="00315A60">
        <w:t xml:space="preserve">Haak et al. </w:t>
      </w:r>
      <w:r w:rsidR="005E22B9">
        <w:t>[</w:t>
      </w:r>
      <w:r w:rsidR="00315A60">
        <w:t>2017</w:t>
      </w:r>
      <w:r w:rsidR="005E22B9">
        <w:t>])</w:t>
      </w:r>
      <w:r>
        <w:t>.</w:t>
      </w:r>
      <w:r w:rsidR="00E508C4">
        <w:t xml:space="preserve"> This was assumed to be equivalent for non-intensive and intensive insulin users. This contradicts </w:t>
      </w:r>
      <w:r w:rsidR="00CE58D9">
        <w:t>the</w:t>
      </w:r>
      <w:r w:rsidR="00E508C4">
        <w:t xml:space="preserve"> recommendations presented in Section </w:t>
      </w:r>
      <w:r w:rsidR="00B84A17">
        <w:t>8</w:t>
      </w:r>
      <w:r>
        <w:t>.</w:t>
      </w:r>
      <w:r w:rsidR="00981F63">
        <w:t xml:space="preserve"> However,</w:t>
      </w:r>
      <w:r w:rsidR="00942CA6">
        <w:t xml:space="preserve"> while the UK has similar recommendations to Australia, recommendations</w:t>
      </w:r>
      <w:r w:rsidR="00981F63">
        <w:t xml:space="preserve"> in </w:t>
      </w:r>
      <w:r w:rsidR="00942CA6">
        <w:t>France (8 sites in Haak et al. [2017]) and Germany (10 sites in Haak et al. [2017]) state that intensive insulin users require at least 4 strips per day, compared with 2 strips per day recommended for non-intensive insulin users</w:t>
      </w:r>
      <w:r w:rsidR="00D44106">
        <w:t>.</w:t>
      </w:r>
      <w:r w:rsidR="00981F63">
        <w:rPr>
          <w:rStyle w:val="FootnoteReference"/>
        </w:rPr>
        <w:footnoteReference w:id="27"/>
      </w:r>
      <w:r w:rsidR="00942CA6" w:rsidRPr="005B79EF">
        <w:rPr>
          <w:vertAlign w:val="superscript"/>
        </w:rPr>
        <w:t>,</w:t>
      </w:r>
      <w:r w:rsidR="00981F63">
        <w:rPr>
          <w:rStyle w:val="FootnoteReference"/>
        </w:rPr>
        <w:footnoteReference w:id="28"/>
      </w:r>
      <w:r w:rsidR="00942CA6">
        <w:t xml:space="preserve"> Therefore, the number of strips required may be underestimated in both the SMBG and the FSL CGM arm. </w:t>
      </w:r>
    </w:p>
    <w:bookmarkEnd w:id="56"/>
    <w:p w14:paraId="3F3459FA" w14:textId="573DDBBC" w:rsidR="002A4AF9" w:rsidRDefault="006C41FD" w:rsidP="003C6A79">
      <w:r>
        <w:t>T</w:t>
      </w:r>
      <w:r w:rsidRPr="006C41FD">
        <w:t xml:space="preserve">he </w:t>
      </w:r>
      <w:r w:rsidR="00666082">
        <w:t>ADAR</w:t>
      </w:r>
      <w:r w:rsidR="00666082" w:rsidRPr="006C41FD">
        <w:t xml:space="preserve"> </w:t>
      </w:r>
      <w:r w:rsidRPr="006C41FD">
        <w:t xml:space="preserve">estimated that </w:t>
      </w:r>
      <w:r>
        <w:t xml:space="preserve">if each person used </w:t>
      </w:r>
      <w:r w:rsidRPr="006C41FD">
        <w:t>3.8 strips per day</w:t>
      </w:r>
      <w:r>
        <w:t xml:space="preserve">, </w:t>
      </w:r>
      <w:r w:rsidR="000C6AF3" w:rsidRPr="00B965FC">
        <w:t>1,387</w:t>
      </w:r>
      <w:r w:rsidR="000C6AF3">
        <w:t xml:space="preserve"> </w:t>
      </w:r>
      <w:r w:rsidR="00FB6B0A">
        <w:t>test strips</w:t>
      </w:r>
      <w:r>
        <w:t xml:space="preserve"> would be required per year. This would</w:t>
      </w:r>
      <w:r w:rsidR="00FB6B0A">
        <w:t xml:space="preserve"> generat</w:t>
      </w:r>
      <w:r>
        <w:t>e</w:t>
      </w:r>
      <w:r w:rsidR="00FB6B0A">
        <w:t xml:space="preserve"> an annual cost of </w:t>
      </w:r>
      <w:r w:rsidR="00226443">
        <w:t>$</w:t>
      </w:r>
      <w:r w:rsidR="005136E1" w:rsidRPr="00713151">
        <w:rPr>
          <w:b/>
          <w:bCs/>
        </w:rPr>
        <w:t>R</w:t>
      </w:r>
      <w:r w:rsidR="003E1ED0">
        <w:rPr>
          <w:b/>
          <w:bCs/>
        </w:rPr>
        <w:t>EDACTED</w:t>
      </w:r>
      <w:r w:rsidR="005136E1" w:rsidRPr="00F14B56">
        <w:t xml:space="preserve"> </w:t>
      </w:r>
      <w:r w:rsidR="000C6AF3" w:rsidRPr="005136E1">
        <w:t>per</w:t>
      </w:r>
      <w:r w:rsidR="000C6AF3">
        <w:t xml:space="preserve"> year. </w:t>
      </w:r>
    </w:p>
    <w:p w14:paraId="5B3C31A9" w14:textId="0336C10A" w:rsidR="005412A6" w:rsidRDefault="00D607B3" w:rsidP="005412A6">
      <w:bookmarkStart w:id="57" w:name="_Hlk196400059"/>
      <w:r>
        <w:t>T</w:t>
      </w:r>
      <w:r w:rsidR="005412A6">
        <w:t xml:space="preserve">he ADAR presented a one-way sensitivity analysis. The applicant did not explore the impact that the number of strips used per day had on the cost of FSL-CGM or SMBG. However, </w:t>
      </w:r>
      <w:r>
        <w:t>the analysis</w:t>
      </w:r>
      <w:r w:rsidR="005412A6">
        <w:t xml:space="preserve"> illustrate</w:t>
      </w:r>
      <w:r>
        <w:t>d</w:t>
      </w:r>
      <w:r w:rsidR="005412A6">
        <w:t xml:space="preserve"> that the model results were extremely sensitive to changes in SMBG costs. Increasing the number of strips would increase the cost for both arms</w:t>
      </w:r>
      <w:r w:rsidR="00DC22ED">
        <w:t xml:space="preserve"> </w:t>
      </w:r>
      <w:r w:rsidR="008253E3">
        <w:t xml:space="preserve">(albeit SMBG costs will still be higher in the </w:t>
      </w:r>
      <w:r w:rsidR="00192D0A">
        <w:t>intervention arm than the comparator arm)</w:t>
      </w:r>
      <w:r w:rsidR="005412A6">
        <w:t>; however, the results presented suggest that a change in the costs will not change the overall conclusion.</w:t>
      </w:r>
    </w:p>
    <w:p w14:paraId="158BF21D" w14:textId="79A47AD2" w:rsidR="005412A6" w:rsidRPr="004A3188" w:rsidRDefault="005412A6" w:rsidP="000C6AF3">
      <w:pPr>
        <w:rPr>
          <w:u w:val="single"/>
        </w:rPr>
      </w:pPr>
      <w:r w:rsidRPr="004A3188">
        <w:rPr>
          <w:u w:val="single"/>
        </w:rPr>
        <w:t>FSL costs</w:t>
      </w:r>
    </w:p>
    <w:p w14:paraId="5AB28188" w14:textId="7015DA41" w:rsidR="002A4AF9" w:rsidRDefault="002A4AF9" w:rsidP="000C6AF3">
      <w:r>
        <w:t xml:space="preserve">The </w:t>
      </w:r>
      <w:r w:rsidR="00666082">
        <w:t xml:space="preserve">ADAR </w:t>
      </w:r>
      <w:r>
        <w:t>estimated that an average of 26.07</w:t>
      </w:r>
      <w:r w:rsidR="009B4CA0">
        <w:t xml:space="preserve"> FSL</w:t>
      </w:r>
      <w:r>
        <w:t xml:space="preserve"> sensors</w:t>
      </w:r>
      <w:r w:rsidR="009B4CA0">
        <w:t xml:space="preserve"> and 24.35 FSL2 Plus sensors</w:t>
      </w:r>
      <w:r>
        <w:t xml:space="preserve"> would be required per year if 100% of the population </w:t>
      </w:r>
      <w:r w:rsidR="00A73BEE">
        <w:t>was</w:t>
      </w:r>
      <w:r>
        <w:t xml:space="preserve"> fully </w:t>
      </w:r>
      <w:r w:rsidR="003C73ED">
        <w:t>adherent/compliant</w:t>
      </w:r>
      <w:r>
        <w:t xml:space="preserve">. </w:t>
      </w:r>
      <w:r w:rsidR="00A27D5B">
        <w:t>The a</w:t>
      </w:r>
      <w:r w:rsidR="00A27D5B" w:rsidRPr="00B965FC">
        <w:t xml:space="preserve">nnual cost for FSL </w:t>
      </w:r>
      <w:r w:rsidR="00A27D5B">
        <w:t xml:space="preserve">was </w:t>
      </w:r>
      <w:r w:rsidR="00A27D5B" w:rsidRPr="00B965FC">
        <w:t xml:space="preserve">calculated based on a monthly sensor cost of </w:t>
      </w:r>
      <w:r w:rsidR="00A27D5B">
        <w:t>$</w:t>
      </w:r>
      <w:r w:rsidR="005136E1" w:rsidRPr="00713151">
        <w:rPr>
          <w:b/>
          <w:bCs/>
        </w:rPr>
        <w:t>R</w:t>
      </w:r>
      <w:r w:rsidR="003E1ED0">
        <w:rPr>
          <w:b/>
          <w:bCs/>
        </w:rPr>
        <w:t>EDACTED</w:t>
      </w:r>
      <w:r w:rsidR="00A27D5B" w:rsidRPr="00B965FC">
        <w:t xml:space="preserve"> (</w:t>
      </w:r>
      <w:r w:rsidR="00A27D5B" w:rsidRPr="00A54EDF">
        <w:t xml:space="preserve">for </w:t>
      </w:r>
      <w:r w:rsidR="00A27D5B">
        <w:t>2</w:t>
      </w:r>
      <w:r w:rsidR="00A27D5B" w:rsidRPr="00B965FC">
        <w:t xml:space="preserve"> sensors</w:t>
      </w:r>
      <w:r w:rsidR="00A27D5B" w:rsidRPr="00A54EDF">
        <w:t>,</w:t>
      </w:r>
      <w:r w:rsidR="00A27D5B" w:rsidRPr="00B965FC">
        <w:t xml:space="preserve"> based on </w:t>
      </w:r>
      <w:r w:rsidR="00A27D5B">
        <w:t>$</w:t>
      </w:r>
      <w:r w:rsidR="005136E1" w:rsidRPr="00713151">
        <w:rPr>
          <w:b/>
          <w:bCs/>
        </w:rPr>
        <w:t>R</w:t>
      </w:r>
      <w:r w:rsidR="003E1ED0">
        <w:rPr>
          <w:b/>
          <w:bCs/>
        </w:rPr>
        <w:t>EDACTED</w:t>
      </w:r>
      <w:r w:rsidR="00A27D5B" w:rsidRPr="00B965FC">
        <w:t xml:space="preserve"> per sensor plus the </w:t>
      </w:r>
      <w:r w:rsidR="00D80668" w:rsidRPr="00B965FC">
        <w:t xml:space="preserve">standard </w:t>
      </w:r>
      <w:r w:rsidR="00D80668">
        <w:t>$</w:t>
      </w:r>
      <w:r w:rsidR="005136E1" w:rsidRPr="00713151">
        <w:rPr>
          <w:b/>
          <w:bCs/>
        </w:rPr>
        <w:t>R</w:t>
      </w:r>
      <w:r w:rsidR="003E1ED0">
        <w:rPr>
          <w:b/>
          <w:bCs/>
        </w:rPr>
        <w:t>EDACTED</w:t>
      </w:r>
      <w:r w:rsidR="00D80668" w:rsidRPr="00B965FC">
        <w:t xml:space="preserve"> for NDSS distribution) and </w:t>
      </w:r>
      <w:r w:rsidR="00A27D5B" w:rsidRPr="00B965FC">
        <w:t>24 sensors per year</w:t>
      </w:r>
      <w:r w:rsidR="00B2750A">
        <w:t>.</w:t>
      </w:r>
      <w:r w:rsidR="00A27D5B">
        <w:t xml:space="preserve"> </w:t>
      </w:r>
      <w:r w:rsidR="009B4CA0">
        <w:t xml:space="preserve">This indirectly assumed </w:t>
      </w:r>
      <w:r w:rsidR="008E1C01" w:rsidRPr="004A478D">
        <w:t>adherence</w:t>
      </w:r>
      <w:r w:rsidR="008E1C01">
        <w:t>/</w:t>
      </w:r>
      <w:r w:rsidR="009B4CA0">
        <w:t xml:space="preserve">compliance </w:t>
      </w:r>
      <w:r w:rsidR="00736790">
        <w:t>of</w:t>
      </w:r>
      <w:r w:rsidR="009B4CA0">
        <w:t xml:space="preserve"> </w:t>
      </w:r>
      <w:r w:rsidR="009B4CA0" w:rsidRPr="004A478D">
        <w:t>92%</w:t>
      </w:r>
      <w:r w:rsidR="009B4CA0">
        <w:t xml:space="preserve"> for FSL and 99% for FSL 2 Plus. The applicant used anecdotal evidence and comparisons to self-reported medication studies to state that 100% </w:t>
      </w:r>
      <w:r w:rsidR="003C73ED">
        <w:t xml:space="preserve">adherence/compliance </w:t>
      </w:r>
      <w:r w:rsidR="009B4CA0">
        <w:t>was</w:t>
      </w:r>
      <w:r w:rsidR="009F5AB5">
        <w:t xml:space="preserve"> a conservatively high </w:t>
      </w:r>
      <w:proofErr w:type="gramStart"/>
      <w:r w:rsidR="009F5AB5">
        <w:t>estimate, and</w:t>
      </w:r>
      <w:proofErr w:type="gramEnd"/>
      <w:r w:rsidR="009F5AB5">
        <w:t xml:space="preserve"> was likely</w:t>
      </w:r>
      <w:r w:rsidR="009B4CA0">
        <w:t xml:space="preserve"> unrealistic. </w:t>
      </w:r>
      <w:r w:rsidR="00660095">
        <w:t xml:space="preserve">The </w:t>
      </w:r>
      <w:r w:rsidR="00666082">
        <w:t xml:space="preserve">ADAR </w:t>
      </w:r>
      <w:r w:rsidR="00660095">
        <w:t>did not discuss whether excess sensors</w:t>
      </w:r>
      <w:r w:rsidR="00666082">
        <w:t xml:space="preserve"> were expected</w:t>
      </w:r>
      <w:r w:rsidR="00660095">
        <w:t xml:space="preserve"> to be used because of failure or removal (</w:t>
      </w:r>
      <w:r w:rsidR="00736790">
        <w:t>e.g.</w:t>
      </w:r>
      <w:r w:rsidR="00660095">
        <w:t xml:space="preserve"> at airports</w:t>
      </w:r>
      <w:proofErr w:type="gramStart"/>
      <w:r w:rsidR="00666082">
        <w:t>), and</w:t>
      </w:r>
      <w:proofErr w:type="gramEnd"/>
      <w:r w:rsidR="00660095">
        <w:t xml:space="preserve"> did not explore any scenarios around the </w:t>
      </w:r>
      <w:r w:rsidR="003C73ED">
        <w:t xml:space="preserve">adherence/compliance </w:t>
      </w:r>
      <w:r w:rsidR="00660095">
        <w:t>or the number of sensors</w:t>
      </w:r>
      <w:r w:rsidR="00982894">
        <w:t>.</w:t>
      </w:r>
      <w:r w:rsidR="009F5AB5" w:rsidRPr="009F5AB5">
        <w:t xml:space="preserve"> </w:t>
      </w:r>
      <w:r w:rsidR="009F5AB5">
        <w:t>With the evidence available, 2 sensors per month appears to be an appropriate estimate</w:t>
      </w:r>
      <w:r w:rsidR="00660095">
        <w:t xml:space="preserve">. The one-way sensitivity analysis showed that changing the cost of FSL was the key driver of cost-effectiveness. Increasing the cost of FSL </w:t>
      </w:r>
      <w:r w:rsidR="00AF6E8E">
        <w:t xml:space="preserve">would </w:t>
      </w:r>
      <w:r w:rsidR="00660095">
        <w:t xml:space="preserve">increase the ICER. </w:t>
      </w:r>
      <w:bookmarkEnd w:id="57"/>
    </w:p>
    <w:p w14:paraId="6EFADF4E" w14:textId="68C9F9EA" w:rsidR="000C6AF3" w:rsidRDefault="000C6AF3" w:rsidP="000C6AF3">
      <w:r>
        <w:t xml:space="preserve">It </w:t>
      </w:r>
      <w:r w:rsidR="00FB6B0A">
        <w:t xml:space="preserve">was also </w:t>
      </w:r>
      <w:r>
        <w:t xml:space="preserve">anticipated that people in the </w:t>
      </w:r>
      <w:r w:rsidR="00FB6B0A">
        <w:t xml:space="preserve">FSL </w:t>
      </w:r>
      <w:r>
        <w:t xml:space="preserve">arm </w:t>
      </w:r>
      <w:r w:rsidR="00FB6B0A">
        <w:t xml:space="preserve">would </w:t>
      </w:r>
      <w:r>
        <w:t>require 109.5 blood glucose test strips per year (</w:t>
      </w:r>
      <w:r w:rsidRPr="004A478D">
        <w:t>0.3</w:t>
      </w:r>
      <w:r>
        <w:t xml:space="preserve"> per day)</w:t>
      </w:r>
      <w:r w:rsidR="00FB6B0A">
        <w:t xml:space="preserve">, costing </w:t>
      </w:r>
      <w:r>
        <w:t xml:space="preserve">an additional </w:t>
      </w:r>
      <w:r w:rsidR="00226443">
        <w:t>$</w:t>
      </w:r>
      <w:r w:rsidR="005136E1" w:rsidRPr="00713151">
        <w:rPr>
          <w:b/>
          <w:bCs/>
        </w:rPr>
        <w:t>R</w:t>
      </w:r>
      <w:r w:rsidR="003E1ED0">
        <w:rPr>
          <w:b/>
          <w:bCs/>
        </w:rPr>
        <w:t>EDACTED</w:t>
      </w:r>
      <w:r>
        <w:t xml:space="preserve"> per year. </w:t>
      </w:r>
      <w:r w:rsidR="00FB6B0A">
        <w:t>The t</w:t>
      </w:r>
      <w:r>
        <w:t xml:space="preserve">otal </w:t>
      </w:r>
      <w:r w:rsidR="00FB6B0A">
        <w:t xml:space="preserve">annual cost for </w:t>
      </w:r>
      <w:r>
        <w:t xml:space="preserve">FSL </w:t>
      </w:r>
      <w:r w:rsidR="00FB6B0A">
        <w:t xml:space="preserve">was reported as </w:t>
      </w:r>
      <w:r w:rsidR="00226443">
        <w:t>$</w:t>
      </w:r>
      <w:r w:rsidR="005136E1" w:rsidRPr="00713151">
        <w:rPr>
          <w:b/>
          <w:bCs/>
        </w:rPr>
        <w:t>R</w:t>
      </w:r>
      <w:r w:rsidR="003E1ED0">
        <w:rPr>
          <w:b/>
          <w:bCs/>
        </w:rPr>
        <w:t>EDACTED</w:t>
      </w:r>
      <w:r>
        <w:t>.</w:t>
      </w:r>
    </w:p>
    <w:p w14:paraId="7AFDBBE4" w14:textId="0E06640B" w:rsidR="004A60FE" w:rsidRDefault="004A60FE" w:rsidP="000C6AF3">
      <w:r>
        <w:rPr>
          <w:u w:val="single"/>
        </w:rPr>
        <w:t>Complication costs</w:t>
      </w:r>
    </w:p>
    <w:p w14:paraId="551546A3" w14:textId="18359199" w:rsidR="000C6AF3" w:rsidRDefault="000C6AF3" w:rsidP="000C6AF3">
      <w:r>
        <w:t>Complication costs were sourced from published literature (Dinh et al</w:t>
      </w:r>
      <w:r w:rsidR="00D6484F">
        <w:t>.</w:t>
      </w:r>
      <w:r>
        <w:t xml:space="preserve"> 2022). This study reported the costs </w:t>
      </w:r>
      <w:r w:rsidRPr="00E73A39">
        <w:t>of major complications in people</w:t>
      </w:r>
      <w:r>
        <w:t xml:space="preserve"> with and without diabetes in </w:t>
      </w:r>
      <w:r w:rsidRPr="00E73A39">
        <w:t>Tasmania</w:t>
      </w:r>
      <w:r>
        <w:t>. Costs were reported in the year 2020 and were inflated to 2024 costs using data provided by the Australian Bureau of Statistics</w:t>
      </w:r>
      <w:r w:rsidR="00933A9B">
        <w:rPr>
          <w:rStyle w:val="FootnoteReference"/>
        </w:rPr>
        <w:footnoteReference w:id="29"/>
      </w:r>
      <w:r>
        <w:t xml:space="preserve">. Costs for </w:t>
      </w:r>
      <w:r w:rsidR="00213AC9" w:rsidRPr="00A54EDF">
        <w:t xml:space="preserve">chronic complications </w:t>
      </w:r>
      <w:r w:rsidR="0047064B" w:rsidRPr="00A54EDF">
        <w:t xml:space="preserve">for </w:t>
      </w:r>
      <w:r>
        <w:t>the first and subsequent years were extracted.</w:t>
      </w:r>
    </w:p>
    <w:p w14:paraId="399B560A" w14:textId="77777777" w:rsidR="00FC76A5" w:rsidRDefault="00991370" w:rsidP="000C6AF3">
      <w:r>
        <w:t>As noted, i</w:t>
      </w:r>
      <w:r w:rsidR="00FB6B0A">
        <w:t xml:space="preserve">ndividuals in the model cannot experience more than two of the same complication within one cycle (e.g. </w:t>
      </w:r>
      <w:r w:rsidR="0047064B" w:rsidRPr="00A54EDF">
        <w:t>2</w:t>
      </w:r>
      <w:r w:rsidR="00FB6B0A">
        <w:t xml:space="preserve"> strokes). However, individuals in the model can experience different types of complications within one cycle (e.g. stroke and myocardial infarction).</w:t>
      </w:r>
      <w:r w:rsidR="00FC76A5">
        <w:t xml:space="preserve"> </w:t>
      </w:r>
    </w:p>
    <w:p w14:paraId="6FD751D7" w14:textId="5058E2C2" w:rsidR="00FC76A5" w:rsidRDefault="00FC76A5" w:rsidP="000C6AF3">
      <w:bookmarkStart w:id="58" w:name="_Hlk196397591"/>
      <w:r>
        <w:t xml:space="preserve">There </w:t>
      </w:r>
      <w:r w:rsidR="00AB2309">
        <w:t>wa</w:t>
      </w:r>
      <w:r>
        <w:t xml:space="preserve">s no evidence that suggests complication costs differ between </w:t>
      </w:r>
      <w:proofErr w:type="gramStart"/>
      <w:r>
        <w:t>arms</w:t>
      </w:r>
      <w:r w:rsidR="00EE325D">
        <w:t>,</w:t>
      </w:r>
      <w:proofErr w:type="gramEnd"/>
      <w:r>
        <w:t xml:space="preserve"> therefore the </w:t>
      </w:r>
      <w:r w:rsidR="00AB2309">
        <w:t xml:space="preserve">ADAR </w:t>
      </w:r>
      <w:r>
        <w:t xml:space="preserve">used the same costs for both arms. This approach </w:t>
      </w:r>
      <w:r w:rsidR="00AB2309">
        <w:t>wa</w:t>
      </w:r>
      <w:r>
        <w:t xml:space="preserve">s appropriate. </w:t>
      </w:r>
    </w:p>
    <w:p w14:paraId="05402066" w14:textId="4A5D93C3" w:rsidR="005C3380" w:rsidRDefault="005C3380" w:rsidP="000C6AF3">
      <w:r>
        <w:t>While t</w:t>
      </w:r>
      <w:r w:rsidRPr="005C3380">
        <w:t>he RECODe risk equations predict end-stage renal disease (i.e. stage 5 chronic kidney disease [CKD])</w:t>
      </w:r>
      <w:r>
        <w:t xml:space="preserve">, the cost assumed </w:t>
      </w:r>
      <w:r w:rsidR="00F40D4B">
        <w:t xml:space="preserve">for </w:t>
      </w:r>
      <w:r w:rsidR="00DF3790">
        <w:t xml:space="preserve">end-stage </w:t>
      </w:r>
      <w:r w:rsidR="00F40D4B">
        <w:t xml:space="preserve">renal disease </w:t>
      </w:r>
      <w:r w:rsidR="00F40D4B" w:rsidRPr="005C3380">
        <w:t xml:space="preserve">($29,582) </w:t>
      </w:r>
      <w:r w:rsidR="005039F4">
        <w:t>is</w:t>
      </w:r>
      <w:r w:rsidR="00F40D4B">
        <w:t xml:space="preserve"> </w:t>
      </w:r>
      <w:r w:rsidR="00F40D4B" w:rsidRPr="005C3380">
        <w:t xml:space="preserve">more reflective of CKD stage 4 (based upon estimates from Chen et al. 2024). </w:t>
      </w:r>
      <w:r w:rsidRPr="005C3380">
        <w:t xml:space="preserve">Chen et al. (2024) found that overall annual per-person cost for CKD stage 5 was $67,117. </w:t>
      </w:r>
      <w:r w:rsidR="00311C77">
        <w:t>However</w:t>
      </w:r>
      <w:r w:rsidR="001D4289">
        <w:t>, c</w:t>
      </w:r>
      <w:r w:rsidRPr="005C3380">
        <w:t xml:space="preserve">osts of renal disease were in the top 10 key drivers of cost-effectiveness. The </w:t>
      </w:r>
      <w:r w:rsidR="00EA5DC8">
        <w:t>ADAR</w:t>
      </w:r>
      <w:r w:rsidRPr="005C3380">
        <w:t xml:space="preserve"> did not discuss the validity of these costs.</w:t>
      </w:r>
    </w:p>
    <w:p w14:paraId="53D438DE" w14:textId="0D26ED8B" w:rsidR="000A0843" w:rsidRDefault="00EF0609" w:rsidP="000C6AF3">
      <w:r>
        <w:rPr>
          <w:color w:val="000000" w:themeColor="text1"/>
        </w:rPr>
        <w:t>The model assumed an annual event cost of severe hypoglycaemia of $2</w:t>
      </w:r>
      <w:r w:rsidRPr="00AD250E">
        <w:rPr>
          <w:color w:val="000000" w:themeColor="text1"/>
        </w:rPr>
        <w:t>9,532</w:t>
      </w:r>
      <w:r w:rsidR="003B4090">
        <w:rPr>
          <w:color w:val="000000" w:themeColor="text1"/>
        </w:rPr>
        <w:t xml:space="preserve"> and </w:t>
      </w:r>
      <w:r w:rsidR="009C6B09">
        <w:rPr>
          <w:color w:val="000000" w:themeColor="text1"/>
        </w:rPr>
        <w:t>DKA (HHS) of</w:t>
      </w:r>
      <w:r w:rsidR="00D13FBF">
        <w:rPr>
          <w:color w:val="000000" w:themeColor="text1"/>
        </w:rPr>
        <w:t xml:space="preserve"> $28</w:t>
      </w:r>
      <w:r w:rsidR="00C7601E">
        <w:rPr>
          <w:color w:val="000000" w:themeColor="text1"/>
        </w:rPr>
        <w:t xml:space="preserve">,403. </w:t>
      </w:r>
      <w:r w:rsidR="00895B4D">
        <w:rPr>
          <w:color w:val="000000" w:themeColor="text1"/>
        </w:rPr>
        <w:t>The commentary noted that t</w:t>
      </w:r>
      <w:r w:rsidR="00C7601E">
        <w:rPr>
          <w:color w:val="000000" w:themeColor="text1"/>
        </w:rPr>
        <w:t xml:space="preserve">his is significantly </w:t>
      </w:r>
      <w:r w:rsidR="00CA239B">
        <w:rPr>
          <w:color w:val="000000" w:themeColor="text1"/>
        </w:rPr>
        <w:t>larger t</w:t>
      </w:r>
      <w:r w:rsidR="00CA4797">
        <w:rPr>
          <w:color w:val="000000" w:themeColor="text1"/>
        </w:rPr>
        <w:t xml:space="preserve">han the median cost of </w:t>
      </w:r>
      <w:r w:rsidR="00C7601E">
        <w:rPr>
          <w:color w:val="000000" w:themeColor="text1"/>
        </w:rPr>
        <w:t xml:space="preserve">DKA and </w:t>
      </w:r>
      <w:r w:rsidR="00400F3A">
        <w:rPr>
          <w:color w:val="000000" w:themeColor="text1"/>
        </w:rPr>
        <w:t xml:space="preserve">hypoglycaemia estimated by </w:t>
      </w:r>
      <w:r w:rsidR="00400F3A" w:rsidRPr="00240083">
        <w:rPr>
          <w:color w:val="000000" w:themeColor="text1"/>
        </w:rPr>
        <w:t>Rasekaba et al</w:t>
      </w:r>
      <w:r w:rsidR="00400F3A">
        <w:rPr>
          <w:color w:val="000000" w:themeColor="text1"/>
        </w:rPr>
        <w:t>.</w:t>
      </w:r>
      <w:r w:rsidR="00400F3A" w:rsidRPr="00240083">
        <w:rPr>
          <w:color w:val="000000" w:themeColor="text1"/>
        </w:rPr>
        <w:t xml:space="preserve"> (2012)</w:t>
      </w:r>
      <w:r w:rsidR="00400F3A">
        <w:rPr>
          <w:color w:val="000000" w:themeColor="text1"/>
        </w:rPr>
        <w:t xml:space="preserve"> even after taking account of </w:t>
      </w:r>
      <w:r w:rsidR="00246BA3">
        <w:rPr>
          <w:color w:val="000000" w:themeColor="text1"/>
        </w:rPr>
        <w:t xml:space="preserve">the study being more than 10 years old. </w:t>
      </w:r>
      <w:r w:rsidR="000A0843" w:rsidRPr="00240083">
        <w:rPr>
          <w:color w:val="000000" w:themeColor="text1"/>
        </w:rPr>
        <w:t xml:space="preserve">The </w:t>
      </w:r>
      <w:r w:rsidR="00F76EF7">
        <w:rPr>
          <w:color w:val="000000" w:themeColor="text1"/>
        </w:rPr>
        <w:t>ADAR</w:t>
      </w:r>
      <w:r w:rsidR="000A0843" w:rsidRPr="00240083">
        <w:rPr>
          <w:color w:val="000000" w:themeColor="text1"/>
        </w:rPr>
        <w:t xml:space="preserve"> did not discuss whether this was plausible</w:t>
      </w:r>
      <w:r w:rsidR="00246BA3">
        <w:rPr>
          <w:color w:val="000000" w:themeColor="text1"/>
        </w:rPr>
        <w:t xml:space="preserve"> even though t</w:t>
      </w:r>
      <w:r w:rsidR="00246BA3" w:rsidRPr="001F0D8C">
        <w:rPr>
          <w:color w:val="000000" w:themeColor="text1"/>
        </w:rPr>
        <w:t>he incremental cost of HHS events had the largest impact on total costs compared with other complications</w:t>
      </w:r>
      <w:r w:rsidR="00246BA3">
        <w:rPr>
          <w:color w:val="000000" w:themeColor="text1"/>
        </w:rPr>
        <w:t xml:space="preserve"> (incremental costs of −$</w:t>
      </w:r>
      <w:r w:rsidR="009F5407" w:rsidRPr="00713151">
        <w:rPr>
          <w:b/>
          <w:bCs/>
        </w:rPr>
        <w:t>R</w:t>
      </w:r>
      <w:r w:rsidR="008A24FF">
        <w:rPr>
          <w:b/>
          <w:bCs/>
        </w:rPr>
        <w:t>EDACTED</w:t>
      </w:r>
      <w:r w:rsidR="00246BA3">
        <w:rPr>
          <w:color w:val="000000" w:themeColor="text1"/>
        </w:rPr>
        <w:t>)</w:t>
      </w:r>
      <w:r w:rsidR="001E1F47">
        <w:rPr>
          <w:color w:val="000000" w:themeColor="text1"/>
        </w:rPr>
        <w:t xml:space="preserve"> (see Table 9)</w:t>
      </w:r>
      <w:r w:rsidR="00246BA3">
        <w:rPr>
          <w:color w:val="000000" w:themeColor="text1"/>
        </w:rPr>
        <w:t xml:space="preserve">. </w:t>
      </w:r>
      <w:r w:rsidR="00895B4D">
        <w:rPr>
          <w:color w:val="000000" w:themeColor="text1"/>
        </w:rPr>
        <w:t xml:space="preserve">The pre-ESC response noted however that </w:t>
      </w:r>
      <w:r w:rsidR="00327B41" w:rsidRPr="00327B41">
        <w:rPr>
          <w:color w:val="000000" w:themeColor="text1"/>
        </w:rPr>
        <w:t>Rasekaba 2012 was based on just 357 subjects with diabetes, compared to Dinh 2022 which utilised actual hospital records on 45,378 Tasmanians</w:t>
      </w:r>
      <w:r w:rsidR="00327B41">
        <w:rPr>
          <w:color w:val="000000" w:themeColor="text1"/>
        </w:rPr>
        <w:t>.</w:t>
      </w:r>
    </w:p>
    <w:bookmarkEnd w:id="58"/>
    <w:p w14:paraId="45B2ABDF" w14:textId="699FD2E4" w:rsidR="004A60FE" w:rsidRDefault="004A60FE" w:rsidP="000C6AF3">
      <w:r>
        <w:rPr>
          <w:b/>
          <w:bCs/>
        </w:rPr>
        <w:t>Mortality</w:t>
      </w:r>
    </w:p>
    <w:p w14:paraId="66BC2A6C" w14:textId="732AFF1E" w:rsidR="000C6AF3" w:rsidRDefault="00746A07" w:rsidP="000C6AF3">
      <w:r>
        <w:t>Several mortality methods were included in the model</w:t>
      </w:r>
      <w:r w:rsidR="000C6AF3">
        <w:t>.</w:t>
      </w:r>
      <w:r w:rsidR="00FB6B0A">
        <w:t xml:space="preserve"> </w:t>
      </w:r>
      <w:r w:rsidR="000C6AF3">
        <w:t xml:space="preserve">The probability of all-cause mortality (ACM) was informed by estimates from risk equations </w:t>
      </w:r>
      <w:r w:rsidR="000C6AF3" w:rsidRPr="00A54EDF">
        <w:t>includ</w:t>
      </w:r>
      <w:r w:rsidR="00331348" w:rsidRPr="00A54EDF">
        <w:t>ing</w:t>
      </w:r>
      <w:r w:rsidR="000C6AF3">
        <w:t xml:space="preserve"> age and sex covariables. The applicant applied age- and sex-adjusted Australian life tables to the ACM probabilities. This approach ensured </w:t>
      </w:r>
      <w:r w:rsidR="000C6AF3" w:rsidRPr="00A54EDF">
        <w:t>th</w:t>
      </w:r>
      <w:r w:rsidR="00DD261C" w:rsidRPr="00A54EDF">
        <w:t>at</w:t>
      </w:r>
      <w:r w:rsidR="000C6AF3" w:rsidRPr="00A54EDF">
        <w:t xml:space="preserve"> </w:t>
      </w:r>
      <w:r w:rsidR="000C6AF3">
        <w:t xml:space="preserve">survival in the diabetic population </w:t>
      </w:r>
      <w:r w:rsidR="000C6AF3" w:rsidRPr="00A54EDF">
        <w:t>d</w:t>
      </w:r>
      <w:r w:rsidR="00DD261C" w:rsidRPr="00A54EDF">
        <w:t>id</w:t>
      </w:r>
      <w:r w:rsidR="000C6AF3">
        <w:t xml:space="preserve"> not exceed that of the general population. </w:t>
      </w:r>
    </w:p>
    <w:p w14:paraId="2F887FE0" w14:textId="083519C9" w:rsidR="000C6AF3" w:rsidRDefault="000C6AF3" w:rsidP="000C6AF3">
      <w:r>
        <w:t>Monte</w:t>
      </w:r>
      <w:r w:rsidR="00345DE0">
        <w:t xml:space="preserve"> </w:t>
      </w:r>
      <w:r>
        <w:t xml:space="preserve">Carlo methods are </w:t>
      </w:r>
      <w:r w:rsidR="0002007A" w:rsidRPr="00A54EDF">
        <w:t xml:space="preserve">applied </w:t>
      </w:r>
      <w:r>
        <w:t xml:space="preserve">to the probability of ACM and the probability of death </w:t>
      </w:r>
      <w:r w:rsidR="0002007A" w:rsidRPr="00A54EDF">
        <w:t xml:space="preserve">due </w:t>
      </w:r>
      <w:r>
        <w:t xml:space="preserve">of ADEs to determine whether a death event occurs. After a death, no other outcomes can be accrued. </w:t>
      </w:r>
      <w:r w:rsidR="00FB6B0A">
        <w:t xml:space="preserve">Cardiovascular </w:t>
      </w:r>
      <w:r w:rsidRPr="00F85931">
        <w:t xml:space="preserve">death and </w:t>
      </w:r>
      <w:r w:rsidR="00345DE0">
        <w:t>atherosclerotic cardiovascular disease (</w:t>
      </w:r>
      <w:r w:rsidRPr="00F85931">
        <w:t>ASCVD</w:t>
      </w:r>
      <w:r w:rsidR="00345DE0">
        <w:t>)</w:t>
      </w:r>
      <w:r w:rsidRPr="00F85931">
        <w:t xml:space="preserve"> are programmed into the model</w:t>
      </w:r>
      <w:r>
        <w:t xml:space="preserve"> (events occur based on Monte Carlo methods)</w:t>
      </w:r>
      <w:r w:rsidRPr="00F85931">
        <w:t xml:space="preserve"> and included in the results plots, </w:t>
      </w:r>
      <w:r w:rsidR="004B159C" w:rsidRPr="00A54EDF">
        <w:t xml:space="preserve">but </w:t>
      </w:r>
      <w:r w:rsidRPr="00F85931">
        <w:t>they have no impact on the overall cost, HRQoL or mortality outcomes.</w:t>
      </w:r>
    </w:p>
    <w:bookmarkEnd w:id="53"/>
    <w:p w14:paraId="712B8AEB" w14:textId="13DC7F51" w:rsidR="004A60FE" w:rsidRPr="00791334" w:rsidRDefault="004A60FE" w:rsidP="00791334">
      <w:pPr>
        <w:rPr>
          <w:b/>
          <w:bCs/>
        </w:rPr>
      </w:pPr>
      <w:r w:rsidRPr="00791334">
        <w:rPr>
          <w:b/>
          <w:bCs/>
        </w:rPr>
        <w:t>Results</w:t>
      </w:r>
    </w:p>
    <w:p w14:paraId="375E0A2E" w14:textId="43DFB8DD" w:rsidR="000C6AF3" w:rsidRDefault="000C6AF3" w:rsidP="00791334">
      <w:pPr>
        <w:pStyle w:val="Instructionaltext-afterfiguretable"/>
        <w:spacing w:before="0"/>
        <w:rPr>
          <w:color w:val="auto"/>
        </w:rPr>
      </w:pPr>
      <w:r>
        <w:rPr>
          <w:color w:val="auto"/>
        </w:rPr>
        <w:t xml:space="preserve">The first-order analysis </w:t>
      </w:r>
      <w:r w:rsidR="00592BBB">
        <w:rPr>
          <w:color w:val="auto"/>
        </w:rPr>
        <w:t>(</w:t>
      </w:r>
      <w:r w:rsidR="00E76287">
        <w:rPr>
          <w:color w:val="000000" w:themeColor="text1"/>
        </w:rPr>
        <w:t>Table 7</w:t>
      </w:r>
      <w:r w:rsidR="00592BBB">
        <w:rPr>
          <w:color w:val="auto"/>
        </w:rPr>
        <w:t xml:space="preserve">) </w:t>
      </w:r>
      <w:r>
        <w:rPr>
          <w:color w:val="auto"/>
        </w:rPr>
        <w:t>was run over the lifetime (max</w:t>
      </w:r>
      <w:r w:rsidR="00FB6B0A">
        <w:rPr>
          <w:color w:val="auto"/>
        </w:rPr>
        <w:t>imum</w:t>
      </w:r>
      <w:r>
        <w:rPr>
          <w:color w:val="auto"/>
        </w:rPr>
        <w:t xml:space="preserve"> 50 years) of 50,000 unique individuals. The </w:t>
      </w:r>
      <w:r w:rsidR="00802F44">
        <w:rPr>
          <w:color w:val="auto"/>
        </w:rPr>
        <w:t xml:space="preserve">ADAR </w:t>
      </w:r>
      <w:r>
        <w:rPr>
          <w:color w:val="auto"/>
        </w:rPr>
        <w:t xml:space="preserve">did not state whether the outcomes converged. Total </w:t>
      </w:r>
      <w:r w:rsidR="005412A6">
        <w:rPr>
          <w:color w:val="auto"/>
        </w:rPr>
        <w:t xml:space="preserve">and incremental </w:t>
      </w:r>
      <w:r>
        <w:rPr>
          <w:color w:val="auto"/>
        </w:rPr>
        <w:t>life year</w:t>
      </w:r>
      <w:r w:rsidR="008E6D41">
        <w:rPr>
          <w:color w:val="auto"/>
        </w:rPr>
        <w:t>s</w:t>
      </w:r>
      <w:r>
        <w:rPr>
          <w:color w:val="auto"/>
        </w:rPr>
        <w:t>, QALY</w:t>
      </w:r>
      <w:r w:rsidR="008E6D41">
        <w:rPr>
          <w:color w:val="auto"/>
        </w:rPr>
        <w:t>s</w:t>
      </w:r>
      <w:r>
        <w:rPr>
          <w:color w:val="auto"/>
        </w:rPr>
        <w:t xml:space="preserve"> and costs </w:t>
      </w:r>
      <w:r w:rsidR="00D25F88" w:rsidRPr="00A54EDF">
        <w:rPr>
          <w:color w:val="auto"/>
        </w:rPr>
        <w:t>we</w:t>
      </w:r>
      <w:r>
        <w:rPr>
          <w:color w:val="auto"/>
        </w:rPr>
        <w:t>re presented for both steps</w:t>
      </w:r>
      <w:r w:rsidR="005412A6">
        <w:rPr>
          <w:color w:val="auto"/>
        </w:rPr>
        <w:t xml:space="preserve"> 1 and 2</w:t>
      </w:r>
      <w:r>
        <w:rPr>
          <w:color w:val="auto"/>
        </w:rPr>
        <w:t>. The</w:t>
      </w:r>
      <w:bookmarkStart w:id="59" w:name="_Hlk201939991"/>
      <w:r>
        <w:rPr>
          <w:color w:val="auto"/>
        </w:rPr>
        <w:t xml:space="preserve"> second-order probabilistic sensitivity analysis</w:t>
      </w:r>
      <w:bookmarkEnd w:id="59"/>
      <w:r>
        <w:rPr>
          <w:color w:val="auto"/>
        </w:rPr>
        <w:t xml:space="preserve"> </w:t>
      </w:r>
      <w:r w:rsidR="00D25F88" w:rsidRPr="00A54EDF">
        <w:rPr>
          <w:color w:val="auto"/>
        </w:rPr>
        <w:t>wa</w:t>
      </w:r>
      <w:r>
        <w:rPr>
          <w:color w:val="auto"/>
        </w:rPr>
        <w:t>s presented as an additional step.</w:t>
      </w:r>
    </w:p>
    <w:p w14:paraId="422A4956" w14:textId="278740D0" w:rsidR="00592BBB" w:rsidRPr="00CE28E3" w:rsidRDefault="00592BBB" w:rsidP="00592BBB">
      <w:pPr>
        <w:pStyle w:val="Caption"/>
      </w:pPr>
      <w:r w:rsidRPr="00CE28E3">
        <w:t>Table</w:t>
      </w:r>
      <w:r>
        <w:t> </w:t>
      </w:r>
      <w:r w:rsidR="00315A60">
        <w:fldChar w:fldCharType="begin"/>
      </w:r>
      <w:r w:rsidR="00315A60">
        <w:instrText xml:space="preserve"> SEQ Table \* ARABIC </w:instrText>
      </w:r>
      <w:r w:rsidR="00315A60">
        <w:fldChar w:fldCharType="separate"/>
      </w:r>
      <w:r w:rsidR="00315A60">
        <w:rPr>
          <w:noProof/>
        </w:rPr>
        <w:t>7</w:t>
      </w:r>
      <w:r w:rsidR="00315A60">
        <w:rPr>
          <w:noProof/>
        </w:rPr>
        <w:fldChar w:fldCharType="end"/>
      </w:r>
      <w:r w:rsidRPr="00CE28E3">
        <w:tab/>
        <w:t xml:space="preserve">Results of </w:t>
      </w:r>
      <w:r>
        <w:t xml:space="preserve">first-order </w:t>
      </w:r>
      <w:r w:rsidRPr="00CE28E3">
        <w:t xml:space="preserve">economic </w:t>
      </w:r>
      <w:r>
        <w:t>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700"/>
        <w:gridCol w:w="2440"/>
        <w:gridCol w:w="2384"/>
        <w:gridCol w:w="2492"/>
      </w:tblGrid>
      <w:tr w:rsidR="00592BBB" w:rsidRPr="00CE28E3" w14:paraId="4452ADC2" w14:textId="77777777" w:rsidTr="00A0721B">
        <w:trPr>
          <w:cantSplit/>
          <w:tblHeader/>
        </w:trPr>
        <w:tc>
          <w:tcPr>
            <w:tcW w:w="943" w:type="pct"/>
            <w:shd w:val="clear" w:color="auto" w:fill="FFFFFF"/>
          </w:tcPr>
          <w:p w14:paraId="6B4C4CDE" w14:textId="77777777" w:rsidR="00592BBB" w:rsidRPr="005102BE" w:rsidRDefault="00592BBB" w:rsidP="00A0721B">
            <w:pPr>
              <w:pStyle w:val="In-tableHeading"/>
              <w:rPr>
                <w:lang w:val="en-AU"/>
              </w:rPr>
            </w:pPr>
            <w:r w:rsidRPr="005102BE">
              <w:rPr>
                <w:lang w:val="en-AU"/>
              </w:rPr>
              <w:t xml:space="preserve">Parameter </w:t>
            </w:r>
          </w:p>
        </w:tc>
        <w:tc>
          <w:tcPr>
            <w:tcW w:w="1353" w:type="pct"/>
            <w:shd w:val="clear" w:color="auto" w:fill="FFFFFF"/>
          </w:tcPr>
          <w:p w14:paraId="692DDEAD" w14:textId="77777777" w:rsidR="00592BBB" w:rsidRPr="005102BE" w:rsidRDefault="00592BBB" w:rsidP="00A0721B">
            <w:pPr>
              <w:pStyle w:val="In-tableHeading"/>
              <w:jc w:val="center"/>
              <w:rPr>
                <w:lang w:val="en-AU"/>
              </w:rPr>
            </w:pPr>
            <w:r w:rsidRPr="005102BE">
              <w:rPr>
                <w:lang w:val="en-AU"/>
              </w:rPr>
              <w:t>FSL</w:t>
            </w:r>
          </w:p>
        </w:tc>
        <w:tc>
          <w:tcPr>
            <w:tcW w:w="1322" w:type="pct"/>
            <w:shd w:val="clear" w:color="auto" w:fill="FFFFFF"/>
          </w:tcPr>
          <w:p w14:paraId="1FC480C5" w14:textId="77777777" w:rsidR="00592BBB" w:rsidRPr="005102BE" w:rsidRDefault="00592BBB" w:rsidP="00A0721B">
            <w:pPr>
              <w:pStyle w:val="In-tableHeading"/>
              <w:jc w:val="center"/>
              <w:rPr>
                <w:lang w:val="en-AU"/>
              </w:rPr>
            </w:pPr>
            <w:r w:rsidRPr="005102BE">
              <w:rPr>
                <w:lang w:val="en-AU"/>
              </w:rPr>
              <w:t>S</w:t>
            </w:r>
            <w:r>
              <w:rPr>
                <w:lang w:val="en-AU"/>
              </w:rPr>
              <w:t>M</w:t>
            </w:r>
            <w:r w:rsidRPr="005102BE">
              <w:rPr>
                <w:lang w:val="en-AU"/>
              </w:rPr>
              <w:t>BG</w:t>
            </w:r>
          </w:p>
        </w:tc>
        <w:tc>
          <w:tcPr>
            <w:tcW w:w="1382" w:type="pct"/>
            <w:shd w:val="clear" w:color="auto" w:fill="FFFFFF"/>
            <w:vAlign w:val="center"/>
          </w:tcPr>
          <w:p w14:paraId="508CCAF3" w14:textId="77777777" w:rsidR="00592BBB" w:rsidRPr="005102BE" w:rsidRDefault="00592BBB" w:rsidP="00A0721B">
            <w:pPr>
              <w:pStyle w:val="In-tableHeading"/>
              <w:jc w:val="center"/>
              <w:rPr>
                <w:lang w:val="en-AU"/>
              </w:rPr>
            </w:pPr>
            <w:r w:rsidRPr="005102BE">
              <w:rPr>
                <w:lang w:val="en-AU"/>
              </w:rPr>
              <w:t>Increment</w:t>
            </w:r>
          </w:p>
        </w:tc>
      </w:tr>
      <w:tr w:rsidR="00592BBB" w:rsidRPr="00CE28E3" w14:paraId="75CD5146" w14:textId="77777777" w:rsidTr="00A0721B">
        <w:trPr>
          <w:cantSplit/>
        </w:trPr>
        <w:tc>
          <w:tcPr>
            <w:tcW w:w="5000" w:type="pct"/>
            <w:gridSpan w:val="4"/>
          </w:tcPr>
          <w:p w14:paraId="32E0D161" w14:textId="77777777" w:rsidR="00592BBB" w:rsidRPr="004A478D" w:rsidRDefault="00592BBB" w:rsidP="00A0721B">
            <w:pPr>
              <w:pStyle w:val="TableText"/>
              <w:keepNext/>
            </w:pPr>
            <w:r w:rsidRPr="00C77835">
              <w:rPr>
                <w:b/>
                <w:bCs/>
              </w:rPr>
              <w:t>Step 1:</w:t>
            </w:r>
            <w:r>
              <w:t xml:space="preserve"> </w:t>
            </w:r>
            <w:r w:rsidRPr="00BC18F3">
              <w:rPr>
                <w:b/>
                <w:bCs/>
              </w:rPr>
              <w:t>Scenario</w:t>
            </w:r>
            <w:r w:rsidRPr="00C77835">
              <w:rPr>
                <w:b/>
                <w:bCs/>
              </w:rPr>
              <w:t xml:space="preserve"> </w:t>
            </w:r>
            <w:r>
              <w:rPr>
                <w:b/>
                <w:bCs/>
              </w:rPr>
              <w:t>(treatment effect informed by comparative trials only)</w:t>
            </w:r>
          </w:p>
        </w:tc>
      </w:tr>
      <w:tr w:rsidR="00592BBB" w:rsidRPr="00CE28E3" w14:paraId="41D8562C" w14:textId="77777777" w:rsidTr="00A0721B">
        <w:trPr>
          <w:cantSplit/>
        </w:trPr>
        <w:tc>
          <w:tcPr>
            <w:tcW w:w="943" w:type="pct"/>
          </w:tcPr>
          <w:p w14:paraId="60B3DEDE" w14:textId="77777777" w:rsidR="00592BBB" w:rsidRPr="00CE28E3" w:rsidRDefault="00592BBB" w:rsidP="00A0721B">
            <w:pPr>
              <w:pStyle w:val="TableText"/>
              <w:keepNext/>
            </w:pPr>
            <w:r w:rsidRPr="00CE28E3">
              <w:t>Cost</w:t>
            </w:r>
          </w:p>
        </w:tc>
        <w:tc>
          <w:tcPr>
            <w:tcW w:w="1353" w:type="pct"/>
          </w:tcPr>
          <w:p w14:paraId="6F79CEFA" w14:textId="0F9B9653" w:rsidR="00592BBB" w:rsidRPr="00F14B56" w:rsidRDefault="00592BBB" w:rsidP="00A0721B">
            <w:pPr>
              <w:pStyle w:val="TableText"/>
              <w:keepNext/>
              <w:jc w:val="center"/>
              <w:rPr>
                <w:highlight w:val="yellow"/>
              </w:rPr>
            </w:pPr>
            <w:r w:rsidRPr="00F4445F">
              <w:t>$</w:t>
            </w:r>
            <w:r w:rsidR="009F5407" w:rsidRPr="00713151">
              <w:rPr>
                <w:b/>
                <w:bCs/>
              </w:rPr>
              <w:t>R</w:t>
            </w:r>
            <w:r w:rsidR="009F5407">
              <w:rPr>
                <w:b/>
                <w:bCs/>
              </w:rPr>
              <w:t>edacted</w:t>
            </w:r>
          </w:p>
        </w:tc>
        <w:tc>
          <w:tcPr>
            <w:tcW w:w="1322" w:type="pct"/>
          </w:tcPr>
          <w:p w14:paraId="2F062EFA" w14:textId="1A87C861" w:rsidR="00592BBB" w:rsidRPr="00F14B56" w:rsidRDefault="009F5407" w:rsidP="00A0721B">
            <w:pPr>
              <w:pStyle w:val="TableText"/>
              <w:keepNext/>
              <w:jc w:val="center"/>
              <w:rPr>
                <w:highlight w:val="yellow"/>
              </w:rPr>
            </w:pPr>
            <w:r w:rsidRPr="00F4445F">
              <w:t>$</w:t>
            </w:r>
            <w:r w:rsidRPr="00713151">
              <w:rPr>
                <w:b/>
                <w:bCs/>
              </w:rPr>
              <w:t>R</w:t>
            </w:r>
            <w:r>
              <w:rPr>
                <w:b/>
                <w:bCs/>
              </w:rPr>
              <w:t>edacted</w:t>
            </w:r>
          </w:p>
        </w:tc>
        <w:tc>
          <w:tcPr>
            <w:tcW w:w="1382" w:type="pct"/>
          </w:tcPr>
          <w:p w14:paraId="1B4504DD" w14:textId="595C7D3B" w:rsidR="00592BBB" w:rsidRPr="00F14B56" w:rsidRDefault="009F5407" w:rsidP="00A0721B">
            <w:pPr>
              <w:pStyle w:val="TableText"/>
              <w:keepNext/>
              <w:jc w:val="center"/>
              <w:rPr>
                <w:highlight w:val="yellow"/>
              </w:rPr>
            </w:pPr>
            <w:r w:rsidRPr="00F4445F">
              <w:t>$</w:t>
            </w:r>
            <w:r w:rsidRPr="00713151">
              <w:rPr>
                <w:b/>
                <w:bCs/>
              </w:rPr>
              <w:t>R</w:t>
            </w:r>
            <w:r>
              <w:rPr>
                <w:b/>
                <w:bCs/>
              </w:rPr>
              <w:t>edacted</w:t>
            </w:r>
          </w:p>
        </w:tc>
      </w:tr>
      <w:tr w:rsidR="00592BBB" w:rsidRPr="00CE28E3" w14:paraId="02D4FB0C" w14:textId="77777777" w:rsidTr="00A0721B">
        <w:trPr>
          <w:cantSplit/>
        </w:trPr>
        <w:tc>
          <w:tcPr>
            <w:tcW w:w="943" w:type="pct"/>
          </w:tcPr>
          <w:p w14:paraId="236E9F31" w14:textId="77777777" w:rsidR="00592BBB" w:rsidRPr="00CE28E3" w:rsidRDefault="00592BBB" w:rsidP="00A0721B">
            <w:pPr>
              <w:pStyle w:val="TableText"/>
              <w:keepNext/>
            </w:pPr>
            <w:r w:rsidRPr="00A54EDF">
              <w:t>LY</w:t>
            </w:r>
          </w:p>
        </w:tc>
        <w:tc>
          <w:tcPr>
            <w:tcW w:w="1353" w:type="pct"/>
          </w:tcPr>
          <w:p w14:paraId="65DDE008" w14:textId="77777777" w:rsidR="00592BBB" w:rsidRPr="004A478D" w:rsidRDefault="00592BBB" w:rsidP="00A0721B">
            <w:pPr>
              <w:pStyle w:val="TableText"/>
              <w:keepNext/>
              <w:jc w:val="center"/>
            </w:pPr>
            <w:r w:rsidRPr="00FC5207">
              <w:t>10.92</w:t>
            </w:r>
          </w:p>
        </w:tc>
        <w:tc>
          <w:tcPr>
            <w:tcW w:w="1322" w:type="pct"/>
          </w:tcPr>
          <w:p w14:paraId="0BE88CD1" w14:textId="77777777" w:rsidR="00592BBB" w:rsidRPr="004A478D" w:rsidRDefault="00592BBB" w:rsidP="00A0721B">
            <w:pPr>
              <w:pStyle w:val="TableText"/>
              <w:keepNext/>
              <w:jc w:val="center"/>
            </w:pPr>
            <w:r w:rsidRPr="00FC5207">
              <w:t>10.78</w:t>
            </w:r>
          </w:p>
        </w:tc>
        <w:tc>
          <w:tcPr>
            <w:tcW w:w="1382" w:type="pct"/>
          </w:tcPr>
          <w:p w14:paraId="736EF5B4" w14:textId="77777777" w:rsidR="00592BBB" w:rsidRPr="004A478D" w:rsidRDefault="00592BBB" w:rsidP="00A0721B">
            <w:pPr>
              <w:pStyle w:val="TableText"/>
              <w:keepNext/>
              <w:jc w:val="center"/>
            </w:pPr>
            <w:r w:rsidRPr="00FC5207">
              <w:t>0.14</w:t>
            </w:r>
          </w:p>
        </w:tc>
      </w:tr>
      <w:tr w:rsidR="00592BBB" w:rsidRPr="00CE28E3" w14:paraId="4756F90A" w14:textId="77777777" w:rsidTr="00A0721B">
        <w:trPr>
          <w:cantSplit/>
        </w:trPr>
        <w:tc>
          <w:tcPr>
            <w:tcW w:w="943" w:type="pct"/>
          </w:tcPr>
          <w:p w14:paraId="3FAFAA31" w14:textId="77777777" w:rsidR="00592BBB" w:rsidRPr="00CE28E3" w:rsidRDefault="00592BBB" w:rsidP="00A0721B">
            <w:pPr>
              <w:pStyle w:val="TableText"/>
              <w:keepNext/>
            </w:pPr>
            <w:r w:rsidRPr="00CE28E3">
              <w:t>QALY</w:t>
            </w:r>
          </w:p>
        </w:tc>
        <w:tc>
          <w:tcPr>
            <w:tcW w:w="1353" w:type="pct"/>
          </w:tcPr>
          <w:p w14:paraId="5120E16F" w14:textId="77777777" w:rsidR="00592BBB" w:rsidRPr="004A478D" w:rsidRDefault="00592BBB" w:rsidP="00A0721B">
            <w:pPr>
              <w:pStyle w:val="TableText"/>
              <w:keepNext/>
              <w:jc w:val="center"/>
            </w:pPr>
            <w:r w:rsidRPr="00C3268C">
              <w:t>7.657</w:t>
            </w:r>
          </w:p>
        </w:tc>
        <w:tc>
          <w:tcPr>
            <w:tcW w:w="1322" w:type="pct"/>
          </w:tcPr>
          <w:p w14:paraId="757542AD" w14:textId="77777777" w:rsidR="00592BBB" w:rsidRPr="004A478D" w:rsidRDefault="00592BBB" w:rsidP="00A0721B">
            <w:pPr>
              <w:pStyle w:val="TableText"/>
              <w:keepNext/>
              <w:jc w:val="center"/>
            </w:pPr>
            <w:r w:rsidRPr="00C3268C">
              <w:t>7.362</w:t>
            </w:r>
          </w:p>
        </w:tc>
        <w:tc>
          <w:tcPr>
            <w:tcW w:w="1382" w:type="pct"/>
          </w:tcPr>
          <w:p w14:paraId="2E8BE182" w14:textId="77777777" w:rsidR="00592BBB" w:rsidRPr="004A478D" w:rsidRDefault="00592BBB" w:rsidP="00A0721B">
            <w:pPr>
              <w:pStyle w:val="TableText"/>
              <w:keepNext/>
              <w:jc w:val="center"/>
            </w:pPr>
            <w:r w:rsidRPr="00C3268C">
              <w:t>0.295</w:t>
            </w:r>
          </w:p>
        </w:tc>
      </w:tr>
      <w:tr w:rsidR="00592BBB" w:rsidRPr="00CE28E3" w14:paraId="23703A49" w14:textId="77777777" w:rsidTr="00A0721B">
        <w:trPr>
          <w:cantSplit/>
        </w:trPr>
        <w:tc>
          <w:tcPr>
            <w:tcW w:w="3618" w:type="pct"/>
            <w:gridSpan w:val="3"/>
          </w:tcPr>
          <w:p w14:paraId="6E9CD30A" w14:textId="77777777" w:rsidR="00592BBB" w:rsidRPr="00C77835" w:rsidRDefault="00592BBB" w:rsidP="00A0721B">
            <w:pPr>
              <w:pStyle w:val="TableText"/>
              <w:keepNext/>
              <w:rPr>
                <w:b/>
                <w:bCs/>
              </w:rPr>
            </w:pPr>
            <w:r w:rsidRPr="00C77835">
              <w:rPr>
                <w:b/>
                <w:bCs/>
              </w:rPr>
              <w:t xml:space="preserve">Incremental cost per </w:t>
            </w:r>
            <w:r w:rsidRPr="00A54EDF">
              <w:rPr>
                <w:b/>
                <w:bCs/>
              </w:rPr>
              <w:t>LY</w:t>
            </w:r>
            <w:r w:rsidRPr="00C77835">
              <w:rPr>
                <w:b/>
                <w:bCs/>
              </w:rPr>
              <w:t xml:space="preserve"> gained</w:t>
            </w:r>
          </w:p>
        </w:tc>
        <w:tc>
          <w:tcPr>
            <w:tcW w:w="1382" w:type="pct"/>
          </w:tcPr>
          <w:p w14:paraId="115921BE" w14:textId="64C6F6E1" w:rsidR="00592BBB" w:rsidRPr="00C77835" w:rsidRDefault="009F5407" w:rsidP="00A0721B">
            <w:pPr>
              <w:pStyle w:val="TableText"/>
              <w:keepNext/>
              <w:jc w:val="center"/>
              <w:rPr>
                <w:b/>
              </w:rPr>
            </w:pPr>
            <w:r w:rsidRPr="00F4445F">
              <w:t>$</w:t>
            </w:r>
            <w:r w:rsidRPr="00713151">
              <w:rPr>
                <w:b/>
                <w:bCs/>
              </w:rPr>
              <w:t>R</w:t>
            </w:r>
            <w:r>
              <w:rPr>
                <w:b/>
                <w:bCs/>
              </w:rPr>
              <w:t>edacted</w:t>
            </w:r>
            <w:r w:rsidR="0029442B">
              <w:rPr>
                <w:b/>
                <w:vertAlign w:val="superscript"/>
              </w:rPr>
              <w:t>1</w:t>
            </w:r>
            <w:r w:rsidR="00592BBB" w:rsidRPr="00C77835">
              <w:rPr>
                <w:b/>
              </w:rPr>
              <w:t xml:space="preserve"> per LY gained</w:t>
            </w:r>
          </w:p>
        </w:tc>
      </w:tr>
      <w:tr w:rsidR="00592BBB" w:rsidRPr="00CE28E3" w14:paraId="3F103885" w14:textId="77777777" w:rsidTr="00A0721B">
        <w:trPr>
          <w:cantSplit/>
        </w:trPr>
        <w:tc>
          <w:tcPr>
            <w:tcW w:w="3618" w:type="pct"/>
            <w:gridSpan w:val="3"/>
          </w:tcPr>
          <w:p w14:paraId="2378C834" w14:textId="77777777" w:rsidR="00592BBB" w:rsidRPr="00C77835" w:rsidRDefault="00592BBB" w:rsidP="00A0721B">
            <w:pPr>
              <w:pStyle w:val="TableText"/>
              <w:keepNext/>
              <w:rPr>
                <w:b/>
                <w:bCs/>
              </w:rPr>
            </w:pPr>
            <w:r w:rsidRPr="00C77835">
              <w:rPr>
                <w:b/>
                <w:bCs/>
              </w:rPr>
              <w:t>Incremental cost per QALY gained</w:t>
            </w:r>
          </w:p>
        </w:tc>
        <w:tc>
          <w:tcPr>
            <w:tcW w:w="1382" w:type="pct"/>
          </w:tcPr>
          <w:p w14:paraId="6BA549E1" w14:textId="340866ED" w:rsidR="00592BBB" w:rsidRPr="00C77835" w:rsidRDefault="009F5407" w:rsidP="00A0721B">
            <w:pPr>
              <w:pStyle w:val="TableText"/>
              <w:keepNext/>
              <w:jc w:val="center"/>
              <w:rPr>
                <w:b/>
                <w:bCs/>
              </w:rPr>
            </w:pPr>
            <w:r w:rsidRPr="00F4445F">
              <w:t>$</w:t>
            </w:r>
            <w:r w:rsidRPr="00713151">
              <w:rPr>
                <w:b/>
                <w:bCs/>
              </w:rPr>
              <w:t>R</w:t>
            </w:r>
            <w:r>
              <w:rPr>
                <w:b/>
                <w:bCs/>
              </w:rPr>
              <w:t>edacted</w:t>
            </w:r>
            <w:r w:rsidR="0029442B" w:rsidRPr="00B156D1">
              <w:rPr>
                <w:b/>
                <w:bCs/>
                <w:vertAlign w:val="superscript"/>
              </w:rPr>
              <w:t>2</w:t>
            </w:r>
            <w:r w:rsidR="00592BBB" w:rsidRPr="00C77835">
              <w:rPr>
                <w:b/>
                <w:bCs/>
              </w:rPr>
              <w:t xml:space="preserve"> per QALY gained</w:t>
            </w:r>
          </w:p>
        </w:tc>
      </w:tr>
      <w:tr w:rsidR="00592BBB" w:rsidRPr="00CE28E3" w14:paraId="1926EB8D" w14:textId="77777777" w:rsidTr="00A0721B">
        <w:trPr>
          <w:cantSplit/>
        </w:trPr>
        <w:tc>
          <w:tcPr>
            <w:tcW w:w="5000" w:type="pct"/>
            <w:gridSpan w:val="4"/>
          </w:tcPr>
          <w:p w14:paraId="6C5522DA" w14:textId="77777777" w:rsidR="00592BBB" w:rsidRPr="00C77835" w:rsidRDefault="00592BBB" w:rsidP="00A0721B">
            <w:pPr>
              <w:pStyle w:val="TableText"/>
              <w:keepNext/>
              <w:rPr>
                <w:b/>
                <w:bCs/>
              </w:rPr>
            </w:pPr>
            <w:r>
              <w:rPr>
                <w:b/>
                <w:bCs/>
              </w:rPr>
              <w:t>Step 2:</w:t>
            </w:r>
            <w:r w:rsidRPr="00B149E3">
              <w:rPr>
                <w:b/>
                <w:bCs/>
              </w:rPr>
              <w:t xml:space="preserve"> </w:t>
            </w:r>
            <w:r>
              <w:rPr>
                <w:b/>
                <w:bCs/>
              </w:rPr>
              <w:t>First-order base case analysis (treatment effect informed by comparative trials and real-world evidence)</w:t>
            </w:r>
          </w:p>
        </w:tc>
      </w:tr>
      <w:tr w:rsidR="00592BBB" w:rsidRPr="00CE28E3" w14:paraId="5B386073" w14:textId="77777777" w:rsidTr="00A0721B">
        <w:trPr>
          <w:cantSplit/>
        </w:trPr>
        <w:tc>
          <w:tcPr>
            <w:tcW w:w="943" w:type="pct"/>
          </w:tcPr>
          <w:p w14:paraId="0527387F" w14:textId="77777777" w:rsidR="00592BBB" w:rsidRPr="00CE28E3" w:rsidRDefault="00592BBB" w:rsidP="00A0721B">
            <w:pPr>
              <w:pStyle w:val="TableText"/>
              <w:keepNext/>
            </w:pPr>
            <w:r w:rsidRPr="00CE28E3">
              <w:t>Cost</w:t>
            </w:r>
          </w:p>
        </w:tc>
        <w:tc>
          <w:tcPr>
            <w:tcW w:w="1353" w:type="pct"/>
          </w:tcPr>
          <w:p w14:paraId="4CAF236C" w14:textId="76B90C81" w:rsidR="00592BBB" w:rsidRPr="00F14B56" w:rsidRDefault="009F5407" w:rsidP="00A0721B">
            <w:pPr>
              <w:pStyle w:val="TableText"/>
              <w:keepNext/>
              <w:jc w:val="center"/>
              <w:rPr>
                <w:highlight w:val="yellow"/>
              </w:rPr>
            </w:pPr>
            <w:r w:rsidRPr="00F4445F">
              <w:t>$</w:t>
            </w:r>
            <w:r w:rsidRPr="00713151">
              <w:rPr>
                <w:b/>
                <w:bCs/>
              </w:rPr>
              <w:t>R</w:t>
            </w:r>
            <w:r>
              <w:rPr>
                <w:b/>
                <w:bCs/>
              </w:rPr>
              <w:t>edacted</w:t>
            </w:r>
          </w:p>
        </w:tc>
        <w:tc>
          <w:tcPr>
            <w:tcW w:w="1322" w:type="pct"/>
          </w:tcPr>
          <w:p w14:paraId="75EEC46B" w14:textId="564219A7" w:rsidR="00592BBB" w:rsidRPr="00F14B56" w:rsidRDefault="009F5407" w:rsidP="00A0721B">
            <w:pPr>
              <w:pStyle w:val="TableText"/>
              <w:keepNext/>
              <w:jc w:val="center"/>
              <w:rPr>
                <w:highlight w:val="yellow"/>
              </w:rPr>
            </w:pPr>
            <w:r w:rsidRPr="00F4445F">
              <w:t>$</w:t>
            </w:r>
            <w:r w:rsidRPr="00713151">
              <w:rPr>
                <w:b/>
                <w:bCs/>
              </w:rPr>
              <w:t>R</w:t>
            </w:r>
            <w:r>
              <w:rPr>
                <w:b/>
                <w:bCs/>
              </w:rPr>
              <w:t>edacted</w:t>
            </w:r>
          </w:p>
        </w:tc>
        <w:tc>
          <w:tcPr>
            <w:tcW w:w="1382" w:type="pct"/>
          </w:tcPr>
          <w:p w14:paraId="63F22312" w14:textId="641BD622" w:rsidR="00592BBB" w:rsidRPr="00F14B56" w:rsidRDefault="00592BBB" w:rsidP="00A0721B">
            <w:pPr>
              <w:pStyle w:val="TableText"/>
              <w:keepNext/>
              <w:jc w:val="center"/>
              <w:rPr>
                <w:highlight w:val="yellow"/>
              </w:rPr>
            </w:pPr>
            <w:r w:rsidRPr="004A478D">
              <w:t xml:space="preserve"> </w:t>
            </w:r>
            <w:r w:rsidR="009F5407" w:rsidRPr="00F4445F">
              <w:t>$</w:t>
            </w:r>
            <w:r w:rsidR="009F5407" w:rsidRPr="00713151">
              <w:rPr>
                <w:b/>
                <w:bCs/>
              </w:rPr>
              <w:t>R</w:t>
            </w:r>
            <w:r w:rsidR="009F5407">
              <w:rPr>
                <w:b/>
                <w:bCs/>
              </w:rPr>
              <w:t>edacted</w:t>
            </w:r>
          </w:p>
        </w:tc>
      </w:tr>
      <w:tr w:rsidR="00592BBB" w:rsidRPr="00CE28E3" w14:paraId="49D8F981" w14:textId="77777777" w:rsidTr="00A0721B">
        <w:trPr>
          <w:cantSplit/>
        </w:trPr>
        <w:tc>
          <w:tcPr>
            <w:tcW w:w="943" w:type="pct"/>
          </w:tcPr>
          <w:p w14:paraId="1CD8FFBC" w14:textId="77777777" w:rsidR="00592BBB" w:rsidRPr="00CE28E3" w:rsidRDefault="00592BBB" w:rsidP="00A0721B">
            <w:pPr>
              <w:pStyle w:val="TableText"/>
              <w:keepNext/>
            </w:pPr>
            <w:r w:rsidRPr="00A54EDF">
              <w:t>LY</w:t>
            </w:r>
          </w:p>
        </w:tc>
        <w:tc>
          <w:tcPr>
            <w:tcW w:w="1353" w:type="pct"/>
          </w:tcPr>
          <w:p w14:paraId="4BD78E9C" w14:textId="77777777" w:rsidR="00592BBB" w:rsidRPr="00CE28E3" w:rsidRDefault="00592BBB" w:rsidP="00A0721B">
            <w:pPr>
              <w:pStyle w:val="TableText"/>
              <w:keepNext/>
              <w:jc w:val="center"/>
            </w:pPr>
            <w:r w:rsidRPr="004A478D">
              <w:t xml:space="preserve"> 11.000 </w:t>
            </w:r>
          </w:p>
        </w:tc>
        <w:tc>
          <w:tcPr>
            <w:tcW w:w="1322" w:type="pct"/>
          </w:tcPr>
          <w:p w14:paraId="2786E32B" w14:textId="77777777" w:rsidR="00592BBB" w:rsidRPr="00CE28E3" w:rsidRDefault="00592BBB" w:rsidP="00A0721B">
            <w:pPr>
              <w:pStyle w:val="TableText"/>
              <w:keepNext/>
              <w:jc w:val="center"/>
            </w:pPr>
            <w:r w:rsidRPr="004A478D">
              <w:t xml:space="preserve"> 10.779 </w:t>
            </w:r>
          </w:p>
        </w:tc>
        <w:tc>
          <w:tcPr>
            <w:tcW w:w="1382" w:type="pct"/>
          </w:tcPr>
          <w:p w14:paraId="7CC5C30E" w14:textId="77777777" w:rsidR="00592BBB" w:rsidRPr="00CE28E3" w:rsidRDefault="00592BBB" w:rsidP="00A0721B">
            <w:pPr>
              <w:pStyle w:val="TableText"/>
              <w:keepNext/>
              <w:jc w:val="center"/>
            </w:pPr>
            <w:r w:rsidRPr="004A478D">
              <w:t xml:space="preserve"> 0.221 </w:t>
            </w:r>
          </w:p>
        </w:tc>
      </w:tr>
      <w:tr w:rsidR="00592BBB" w:rsidRPr="00CE28E3" w14:paraId="7E5895BD" w14:textId="77777777" w:rsidTr="00A0721B">
        <w:trPr>
          <w:cantSplit/>
        </w:trPr>
        <w:tc>
          <w:tcPr>
            <w:tcW w:w="943" w:type="pct"/>
          </w:tcPr>
          <w:p w14:paraId="23E8A8CD" w14:textId="77777777" w:rsidR="00592BBB" w:rsidRPr="00CE28E3" w:rsidRDefault="00592BBB" w:rsidP="00A0721B">
            <w:pPr>
              <w:pStyle w:val="TableText"/>
              <w:keepNext/>
            </w:pPr>
            <w:r w:rsidRPr="00CE28E3">
              <w:t>QALY</w:t>
            </w:r>
          </w:p>
        </w:tc>
        <w:tc>
          <w:tcPr>
            <w:tcW w:w="1353" w:type="pct"/>
          </w:tcPr>
          <w:p w14:paraId="2FA07945" w14:textId="77777777" w:rsidR="00592BBB" w:rsidRPr="00CE28E3" w:rsidRDefault="00592BBB" w:rsidP="00A0721B">
            <w:pPr>
              <w:pStyle w:val="TableText"/>
              <w:keepNext/>
              <w:jc w:val="center"/>
            </w:pPr>
            <w:r w:rsidRPr="004A478D">
              <w:t xml:space="preserve"> 7.723 </w:t>
            </w:r>
          </w:p>
        </w:tc>
        <w:tc>
          <w:tcPr>
            <w:tcW w:w="1322" w:type="pct"/>
          </w:tcPr>
          <w:p w14:paraId="3A5919C5" w14:textId="77777777" w:rsidR="00592BBB" w:rsidRPr="00CE28E3" w:rsidRDefault="00592BBB" w:rsidP="00A0721B">
            <w:pPr>
              <w:pStyle w:val="TableText"/>
              <w:keepNext/>
              <w:jc w:val="center"/>
            </w:pPr>
            <w:r w:rsidRPr="004A478D">
              <w:t xml:space="preserve"> 7.362 </w:t>
            </w:r>
          </w:p>
        </w:tc>
        <w:tc>
          <w:tcPr>
            <w:tcW w:w="1382" w:type="pct"/>
          </w:tcPr>
          <w:p w14:paraId="073E5BE8" w14:textId="77777777" w:rsidR="00592BBB" w:rsidRPr="00CE28E3" w:rsidRDefault="00592BBB" w:rsidP="00A0721B">
            <w:pPr>
              <w:pStyle w:val="TableText"/>
              <w:keepNext/>
              <w:jc w:val="center"/>
            </w:pPr>
            <w:r w:rsidRPr="004A478D">
              <w:t xml:space="preserve"> 0.362 </w:t>
            </w:r>
          </w:p>
        </w:tc>
      </w:tr>
      <w:tr w:rsidR="00592BBB" w:rsidRPr="00CE28E3" w14:paraId="34B9D5AF" w14:textId="77777777" w:rsidTr="00A0721B">
        <w:trPr>
          <w:cantSplit/>
        </w:trPr>
        <w:tc>
          <w:tcPr>
            <w:tcW w:w="3618" w:type="pct"/>
            <w:gridSpan w:val="3"/>
            <w:vAlign w:val="center"/>
          </w:tcPr>
          <w:p w14:paraId="27757849" w14:textId="77777777" w:rsidR="00592BBB" w:rsidRPr="00C77835" w:rsidRDefault="00592BBB" w:rsidP="00A0721B">
            <w:pPr>
              <w:pStyle w:val="TableText"/>
              <w:keepNext/>
              <w:rPr>
                <w:b/>
                <w:bCs/>
              </w:rPr>
            </w:pPr>
            <w:r w:rsidRPr="00C77835">
              <w:rPr>
                <w:b/>
                <w:bCs/>
              </w:rPr>
              <w:t xml:space="preserve">Incremental cost per </w:t>
            </w:r>
            <w:r w:rsidRPr="00A54EDF">
              <w:rPr>
                <w:b/>
                <w:bCs/>
              </w:rPr>
              <w:t>LY</w:t>
            </w:r>
            <w:r w:rsidRPr="00C77835">
              <w:rPr>
                <w:b/>
                <w:bCs/>
              </w:rPr>
              <w:t xml:space="preserve"> gained</w:t>
            </w:r>
          </w:p>
        </w:tc>
        <w:tc>
          <w:tcPr>
            <w:tcW w:w="1382" w:type="pct"/>
          </w:tcPr>
          <w:p w14:paraId="60944F7A" w14:textId="6AF947CB" w:rsidR="00592BBB" w:rsidRPr="004A478D" w:rsidRDefault="009F5407" w:rsidP="00A0721B">
            <w:pPr>
              <w:pStyle w:val="TableText"/>
              <w:keepNext/>
              <w:jc w:val="center"/>
            </w:pPr>
            <w:r w:rsidRPr="00F4445F">
              <w:t>$</w:t>
            </w:r>
            <w:r w:rsidRPr="00713151">
              <w:rPr>
                <w:b/>
                <w:bCs/>
              </w:rPr>
              <w:t>R</w:t>
            </w:r>
            <w:r>
              <w:rPr>
                <w:b/>
                <w:bCs/>
              </w:rPr>
              <w:t>edacted</w:t>
            </w:r>
            <w:r w:rsidR="006306D5" w:rsidRPr="00B156D1">
              <w:rPr>
                <w:rFonts w:eastAsia="Calibri"/>
                <w:b/>
                <w:szCs w:val="20"/>
                <w:vertAlign w:val="superscript"/>
              </w:rPr>
              <w:t>3</w:t>
            </w:r>
            <w:r w:rsidR="00592BBB" w:rsidRPr="00B149E3">
              <w:rPr>
                <w:rFonts w:eastAsia="Calibri"/>
                <w:b/>
                <w:szCs w:val="20"/>
              </w:rPr>
              <w:t xml:space="preserve"> per LY gained</w:t>
            </w:r>
            <w:r w:rsidR="00592BBB" w:rsidRPr="00B149E3" w:rsidDel="00B149E3">
              <w:rPr>
                <w:rFonts w:eastAsia="Calibri"/>
                <w:b/>
                <w:szCs w:val="20"/>
              </w:rPr>
              <w:t xml:space="preserve"> </w:t>
            </w:r>
          </w:p>
        </w:tc>
      </w:tr>
      <w:tr w:rsidR="00592BBB" w:rsidRPr="00CE28E3" w14:paraId="40379ED2" w14:textId="77777777" w:rsidTr="00A0721B">
        <w:trPr>
          <w:cantSplit/>
        </w:trPr>
        <w:tc>
          <w:tcPr>
            <w:tcW w:w="3618" w:type="pct"/>
            <w:gridSpan w:val="3"/>
            <w:vAlign w:val="center"/>
          </w:tcPr>
          <w:p w14:paraId="584776A9" w14:textId="77777777" w:rsidR="00592BBB" w:rsidRPr="00C77835" w:rsidRDefault="00592BBB" w:rsidP="00A0721B">
            <w:pPr>
              <w:pStyle w:val="TableText"/>
              <w:keepNext/>
              <w:rPr>
                <w:b/>
                <w:bCs/>
              </w:rPr>
            </w:pPr>
            <w:r w:rsidRPr="00C77835">
              <w:rPr>
                <w:b/>
                <w:bCs/>
              </w:rPr>
              <w:t>Incremental cost per QALY gained</w:t>
            </w:r>
          </w:p>
        </w:tc>
        <w:tc>
          <w:tcPr>
            <w:tcW w:w="1382" w:type="pct"/>
          </w:tcPr>
          <w:p w14:paraId="48A0144D" w14:textId="4B5F48AE" w:rsidR="00592BBB" w:rsidRPr="004A478D" w:rsidRDefault="009F5407" w:rsidP="00A0721B">
            <w:pPr>
              <w:pStyle w:val="TableText"/>
              <w:keepNext/>
              <w:jc w:val="center"/>
            </w:pPr>
            <w:r w:rsidRPr="00F4445F">
              <w:t>$</w:t>
            </w:r>
            <w:r w:rsidRPr="00713151">
              <w:rPr>
                <w:b/>
                <w:bCs/>
              </w:rPr>
              <w:t>R</w:t>
            </w:r>
            <w:r>
              <w:rPr>
                <w:b/>
                <w:bCs/>
              </w:rPr>
              <w:t>edacted</w:t>
            </w:r>
            <w:r w:rsidR="006306D5" w:rsidRPr="00B156D1">
              <w:rPr>
                <w:rFonts w:eastAsia="Calibri"/>
                <w:b/>
                <w:szCs w:val="20"/>
                <w:vertAlign w:val="superscript"/>
              </w:rPr>
              <w:t>3</w:t>
            </w:r>
            <w:r w:rsidR="00592BBB">
              <w:rPr>
                <w:rFonts w:eastAsia="Calibri"/>
                <w:b/>
                <w:szCs w:val="20"/>
              </w:rPr>
              <w:t xml:space="preserve"> </w:t>
            </w:r>
            <w:r w:rsidR="00592BBB" w:rsidRPr="00B149E3">
              <w:rPr>
                <w:rFonts w:eastAsia="Calibri"/>
                <w:b/>
                <w:szCs w:val="20"/>
              </w:rPr>
              <w:t>per QALY gained</w:t>
            </w:r>
            <w:r w:rsidR="00592BBB" w:rsidRPr="00B149E3" w:rsidDel="00B149E3">
              <w:rPr>
                <w:rFonts w:eastAsia="Calibri"/>
                <w:b/>
                <w:szCs w:val="20"/>
              </w:rPr>
              <w:t xml:space="preserve"> </w:t>
            </w:r>
          </w:p>
        </w:tc>
      </w:tr>
    </w:tbl>
    <w:p w14:paraId="30D4B7C1" w14:textId="77777777" w:rsidR="00592BBB" w:rsidRPr="003027B3" w:rsidRDefault="00592BBB" w:rsidP="003027B3">
      <w:pPr>
        <w:pStyle w:val="KMC16-TFNotes"/>
        <w:jc w:val="left"/>
        <w:rPr>
          <w:rFonts w:ascii="Arial Narrow" w:hAnsi="Arial Narrow"/>
          <w:sz w:val="18"/>
          <w:szCs w:val="18"/>
          <w:u w:val="single"/>
        </w:rPr>
      </w:pPr>
      <w:r w:rsidRPr="003027B3">
        <w:rPr>
          <w:rFonts w:ascii="Arial Narrow" w:hAnsi="Arial Narrow"/>
          <w:b/>
          <w:bCs/>
          <w:sz w:val="18"/>
          <w:szCs w:val="18"/>
          <w:u w:val="single"/>
        </w:rPr>
        <w:t>Abbreviations</w:t>
      </w:r>
    </w:p>
    <w:p w14:paraId="6B9A3C4E" w14:textId="24D7F122" w:rsidR="00592BBB" w:rsidRPr="003027B3" w:rsidRDefault="00592BBB" w:rsidP="003027B3">
      <w:pPr>
        <w:pStyle w:val="KMC16-TFNotes"/>
        <w:jc w:val="left"/>
        <w:rPr>
          <w:rFonts w:ascii="Arial Narrow" w:hAnsi="Arial Narrow"/>
          <w:sz w:val="18"/>
          <w:szCs w:val="18"/>
        </w:rPr>
      </w:pPr>
      <w:r w:rsidRPr="003027B3">
        <w:rPr>
          <w:rFonts w:ascii="Arial Narrow" w:hAnsi="Arial Narrow"/>
          <w:b/>
          <w:bCs/>
          <w:sz w:val="18"/>
          <w:szCs w:val="18"/>
        </w:rPr>
        <w:t xml:space="preserve">FSL </w:t>
      </w:r>
      <w:r w:rsidRPr="003027B3">
        <w:rPr>
          <w:rFonts w:ascii="Arial Narrow" w:hAnsi="Arial Narrow"/>
          <w:sz w:val="18"/>
          <w:szCs w:val="18"/>
        </w:rPr>
        <w:t xml:space="preserve">= FreeStyle Libre continuous glucose monitoring products, </w:t>
      </w:r>
      <w:r w:rsidRPr="003027B3">
        <w:rPr>
          <w:rFonts w:ascii="Arial Narrow" w:hAnsi="Arial Narrow"/>
          <w:b/>
          <w:bCs/>
          <w:sz w:val="18"/>
          <w:szCs w:val="18"/>
        </w:rPr>
        <w:t xml:space="preserve">LY </w:t>
      </w:r>
      <w:r w:rsidRPr="003027B3">
        <w:rPr>
          <w:rFonts w:ascii="Arial Narrow" w:hAnsi="Arial Narrow"/>
          <w:sz w:val="18"/>
          <w:szCs w:val="18"/>
        </w:rPr>
        <w:t xml:space="preserve">= life year, </w:t>
      </w:r>
      <w:r w:rsidRPr="003027B3">
        <w:rPr>
          <w:rFonts w:ascii="Arial Narrow" w:hAnsi="Arial Narrow"/>
          <w:b/>
          <w:bCs/>
          <w:sz w:val="18"/>
          <w:szCs w:val="18"/>
        </w:rPr>
        <w:t xml:space="preserve">SMBG </w:t>
      </w:r>
      <w:r w:rsidRPr="003027B3">
        <w:rPr>
          <w:rFonts w:ascii="Arial Narrow" w:hAnsi="Arial Narrow"/>
          <w:sz w:val="18"/>
          <w:szCs w:val="18"/>
        </w:rPr>
        <w:t xml:space="preserve">= self-monitoring of blood glucose, </w:t>
      </w:r>
      <w:r w:rsidRPr="003027B3">
        <w:rPr>
          <w:rFonts w:ascii="Arial Narrow" w:hAnsi="Arial Narrow"/>
          <w:b/>
          <w:bCs/>
          <w:sz w:val="18"/>
          <w:szCs w:val="18"/>
        </w:rPr>
        <w:t>QALY</w:t>
      </w:r>
      <w:r w:rsidRPr="003027B3">
        <w:rPr>
          <w:rFonts w:ascii="Arial Narrow" w:hAnsi="Arial Narrow"/>
          <w:sz w:val="18"/>
          <w:szCs w:val="18"/>
        </w:rPr>
        <w:t>= quality-adjusted life year.</w:t>
      </w:r>
      <w:r w:rsidR="00C70CF3" w:rsidRPr="003027B3">
        <w:rPr>
          <w:rFonts w:ascii="Arial Narrow" w:hAnsi="Arial Narrow"/>
          <w:sz w:val="18"/>
          <w:szCs w:val="18"/>
        </w:rPr>
        <w:br/>
      </w:r>
      <w:r w:rsidR="00C70CF3" w:rsidRPr="003027B3">
        <w:rPr>
          <w:rFonts w:ascii="Arial Narrow" w:hAnsi="Arial Narrow"/>
          <w:b/>
          <w:bCs/>
          <w:sz w:val="18"/>
          <w:szCs w:val="18"/>
          <w:u w:val="single"/>
        </w:rPr>
        <w:t>Notes</w:t>
      </w:r>
      <w:r w:rsidR="00C70CF3" w:rsidRPr="003027B3">
        <w:rPr>
          <w:rFonts w:ascii="Arial Narrow" w:hAnsi="Arial Narrow"/>
          <w:b/>
          <w:bCs/>
          <w:sz w:val="18"/>
          <w:szCs w:val="18"/>
          <w:u w:val="single"/>
        </w:rPr>
        <w:br/>
      </w:r>
      <w:r w:rsidR="00C70CF3" w:rsidRPr="003027B3">
        <w:rPr>
          <w:rFonts w:ascii="Arial Narrow" w:hAnsi="Arial Narrow"/>
          <w:sz w:val="18"/>
          <w:szCs w:val="18"/>
        </w:rPr>
        <w:t xml:space="preserve">All currencies represent AUD. </w:t>
      </w:r>
    </w:p>
    <w:p w14:paraId="480CB240" w14:textId="6A4F051F" w:rsidR="006306D5" w:rsidRDefault="005C3712" w:rsidP="003027B3">
      <w:pPr>
        <w:pStyle w:val="KMC16-TFNotes"/>
        <w:jc w:val="left"/>
        <w:rPr>
          <w:rFonts w:ascii="Arial Narrow" w:hAnsi="Arial Narrow"/>
          <w:sz w:val="18"/>
          <w:szCs w:val="18"/>
        </w:rPr>
      </w:pPr>
      <w:r>
        <w:rPr>
          <w:rFonts w:ascii="Arial Narrow" w:hAnsi="Arial Narrow"/>
          <w:sz w:val="18"/>
          <w:szCs w:val="18"/>
        </w:rPr>
        <w:t>The r</w:t>
      </w:r>
      <w:r w:rsidR="006306D5">
        <w:rPr>
          <w:rFonts w:ascii="Arial Narrow" w:hAnsi="Arial Narrow"/>
          <w:sz w:val="18"/>
          <w:szCs w:val="18"/>
        </w:rPr>
        <w:t>edacted values</w:t>
      </w:r>
      <w:r>
        <w:rPr>
          <w:rFonts w:ascii="Arial Narrow" w:hAnsi="Arial Narrow"/>
          <w:sz w:val="18"/>
          <w:szCs w:val="18"/>
        </w:rPr>
        <w:t xml:space="preserve"> correspond to the following ranges:</w:t>
      </w:r>
    </w:p>
    <w:p w14:paraId="7B204648" w14:textId="05B3D545" w:rsidR="006306D5" w:rsidRDefault="006306D5" w:rsidP="003027B3">
      <w:pPr>
        <w:pStyle w:val="KMC16-TFNotes"/>
        <w:jc w:val="left"/>
        <w:rPr>
          <w:rFonts w:ascii="Arial Narrow" w:hAnsi="Arial Narrow"/>
          <w:sz w:val="18"/>
          <w:szCs w:val="18"/>
        </w:rPr>
      </w:pPr>
      <w:r>
        <w:rPr>
          <w:rFonts w:ascii="Arial Narrow" w:hAnsi="Arial Narrow"/>
          <w:sz w:val="18"/>
          <w:szCs w:val="18"/>
          <w:vertAlign w:val="superscript"/>
        </w:rPr>
        <w:t>1</w:t>
      </w:r>
      <w:r>
        <w:rPr>
          <w:rFonts w:ascii="Arial Narrow" w:hAnsi="Arial Narrow"/>
          <w:sz w:val="18"/>
          <w:szCs w:val="18"/>
        </w:rPr>
        <w:t xml:space="preserve"> </w:t>
      </w:r>
      <w:r w:rsidR="00B1305F">
        <w:rPr>
          <w:rFonts w:ascii="Arial Narrow" w:hAnsi="Arial Narrow"/>
          <w:sz w:val="18"/>
          <w:szCs w:val="18"/>
        </w:rPr>
        <w:t>$35,000 to &lt; $45,000</w:t>
      </w:r>
    </w:p>
    <w:p w14:paraId="6508BA5D" w14:textId="1C3BC0CF" w:rsidR="00B1305F" w:rsidRDefault="00B1305F" w:rsidP="003027B3">
      <w:pPr>
        <w:pStyle w:val="KMC16-TFNotes"/>
        <w:jc w:val="left"/>
        <w:rPr>
          <w:rFonts w:ascii="Arial Narrow" w:hAnsi="Arial Narrow"/>
          <w:sz w:val="18"/>
          <w:szCs w:val="18"/>
        </w:rPr>
      </w:pPr>
      <w:r>
        <w:rPr>
          <w:rFonts w:ascii="Arial Narrow" w:hAnsi="Arial Narrow"/>
          <w:sz w:val="18"/>
          <w:szCs w:val="18"/>
          <w:vertAlign w:val="superscript"/>
        </w:rPr>
        <w:t>2</w:t>
      </w:r>
      <w:r>
        <w:rPr>
          <w:rFonts w:ascii="Arial Narrow" w:hAnsi="Arial Narrow"/>
          <w:sz w:val="18"/>
          <w:szCs w:val="18"/>
        </w:rPr>
        <w:t xml:space="preserve"> $15,000 to &lt; $25,000</w:t>
      </w:r>
    </w:p>
    <w:p w14:paraId="035D8FB0" w14:textId="3549ADA5" w:rsidR="00B1305F" w:rsidRPr="00B1305F" w:rsidRDefault="00B1305F" w:rsidP="003027B3">
      <w:pPr>
        <w:pStyle w:val="KMC16-TFNotes"/>
        <w:jc w:val="left"/>
        <w:rPr>
          <w:rFonts w:ascii="Arial Narrow" w:hAnsi="Arial Narrow"/>
          <w:sz w:val="18"/>
          <w:szCs w:val="18"/>
        </w:rPr>
      </w:pPr>
      <w:r>
        <w:rPr>
          <w:rFonts w:ascii="Arial Narrow" w:hAnsi="Arial Narrow"/>
          <w:sz w:val="18"/>
          <w:szCs w:val="18"/>
          <w:vertAlign w:val="superscript"/>
        </w:rPr>
        <w:t>3</w:t>
      </w:r>
      <w:r>
        <w:rPr>
          <w:rFonts w:ascii="Arial Narrow" w:hAnsi="Arial Narrow"/>
          <w:sz w:val="18"/>
          <w:szCs w:val="18"/>
        </w:rPr>
        <w:t xml:space="preserve"> $</w:t>
      </w:r>
      <w:r w:rsidR="00970BF0">
        <w:rPr>
          <w:rFonts w:ascii="Arial Narrow" w:hAnsi="Arial Narrow"/>
          <w:sz w:val="18"/>
          <w:szCs w:val="18"/>
        </w:rPr>
        <w:t>5,000 to &lt; $ 15,000</w:t>
      </w:r>
    </w:p>
    <w:p w14:paraId="2DB956E3" w14:textId="4A482F5C" w:rsidR="000C6AF3" w:rsidRDefault="000C6AF3" w:rsidP="000C6AF3">
      <w:pPr>
        <w:pStyle w:val="Instructionaltext"/>
        <w:rPr>
          <w:color w:val="auto"/>
        </w:rPr>
      </w:pPr>
      <w:r>
        <w:rPr>
          <w:color w:val="auto"/>
        </w:rPr>
        <w:t>The first step used</w:t>
      </w:r>
      <w:r w:rsidR="00991370">
        <w:rPr>
          <w:color w:val="auto"/>
        </w:rPr>
        <w:t xml:space="preserve"> monitoring approach</w:t>
      </w:r>
      <w:r w:rsidR="002A51AA">
        <w:rPr>
          <w:color w:val="auto"/>
        </w:rPr>
        <w:t>-</w:t>
      </w:r>
      <w:r w:rsidR="00991370">
        <w:rPr>
          <w:color w:val="auto"/>
        </w:rPr>
        <w:t xml:space="preserve">specific </w:t>
      </w:r>
      <w:r>
        <w:rPr>
          <w:color w:val="auto"/>
        </w:rPr>
        <w:t xml:space="preserve">outcomes from the </w:t>
      </w:r>
      <w:r w:rsidR="005412A6">
        <w:rPr>
          <w:color w:val="auto"/>
        </w:rPr>
        <w:t xml:space="preserve">pooled single arms of the five comparative studies </w:t>
      </w:r>
      <w:r w:rsidRPr="00A54EDF">
        <w:rPr>
          <w:color w:val="auto"/>
        </w:rPr>
        <w:t>(</w:t>
      </w:r>
      <w:r w:rsidR="008D721E">
        <w:rPr>
          <w:color w:val="auto"/>
        </w:rPr>
        <w:t>−</w:t>
      </w:r>
      <w:r>
        <w:rPr>
          <w:color w:val="auto"/>
        </w:rPr>
        <w:t xml:space="preserve">0.5 and </w:t>
      </w:r>
      <w:r w:rsidR="008D721E">
        <w:rPr>
          <w:color w:val="auto"/>
        </w:rPr>
        <w:t>−</w:t>
      </w:r>
      <w:r>
        <w:rPr>
          <w:color w:val="auto"/>
        </w:rPr>
        <w:t xml:space="preserve">0.2 for FSL and SMBG, </w:t>
      </w:r>
      <w:r w:rsidR="009F31F1" w:rsidRPr="00A54EDF">
        <w:rPr>
          <w:color w:val="auto"/>
        </w:rPr>
        <w:t>res</w:t>
      </w:r>
      <w:r w:rsidR="009A6CCE" w:rsidRPr="00A54EDF">
        <w:rPr>
          <w:color w:val="auto"/>
        </w:rPr>
        <w:t>pectively</w:t>
      </w:r>
      <w:r>
        <w:rPr>
          <w:color w:val="auto"/>
        </w:rPr>
        <w:t xml:space="preserve">) to inform the initial HbA1c improvement. This resulted in an ICER of </w:t>
      </w:r>
      <w:r w:rsidR="00226443">
        <w:rPr>
          <w:color w:val="auto"/>
        </w:rPr>
        <w:t>$</w:t>
      </w:r>
      <w:r w:rsidR="002741EC">
        <w:rPr>
          <w:color w:val="auto"/>
        </w:rPr>
        <w:t>15,000 to &lt; $25,000</w:t>
      </w:r>
      <w:r w:rsidR="00EF2670">
        <w:rPr>
          <w:color w:val="auto"/>
        </w:rPr>
        <w:t xml:space="preserve"> </w:t>
      </w:r>
      <w:r>
        <w:rPr>
          <w:color w:val="auto"/>
        </w:rPr>
        <w:t>per QALY gained.</w:t>
      </w:r>
    </w:p>
    <w:p w14:paraId="3A470394" w14:textId="1E07155D" w:rsidR="000C6AF3" w:rsidRDefault="000C6AF3" w:rsidP="000C6AF3">
      <w:pPr>
        <w:pStyle w:val="Instructionaltext"/>
        <w:rPr>
          <w:color w:val="auto"/>
        </w:rPr>
      </w:pPr>
      <w:r>
        <w:rPr>
          <w:color w:val="auto"/>
        </w:rPr>
        <w:t xml:space="preserve">The second step used </w:t>
      </w:r>
      <w:r w:rsidR="00991370">
        <w:rPr>
          <w:color w:val="auto"/>
        </w:rPr>
        <w:t>monitoring approach</w:t>
      </w:r>
      <w:r w:rsidR="002A51AA">
        <w:rPr>
          <w:color w:val="auto"/>
        </w:rPr>
        <w:t>-</w:t>
      </w:r>
      <w:r w:rsidR="00991370">
        <w:rPr>
          <w:color w:val="auto"/>
        </w:rPr>
        <w:t xml:space="preserve">specific </w:t>
      </w:r>
      <w:r>
        <w:rPr>
          <w:color w:val="auto"/>
        </w:rPr>
        <w:t xml:space="preserve">outcomes from the </w:t>
      </w:r>
      <w:r w:rsidR="005412A6">
        <w:rPr>
          <w:color w:val="auto"/>
        </w:rPr>
        <w:t xml:space="preserve">pooled evidence from </w:t>
      </w:r>
      <w:r>
        <w:rPr>
          <w:color w:val="auto"/>
        </w:rPr>
        <w:t xml:space="preserve">comparative and </w:t>
      </w:r>
      <w:r w:rsidR="008E6D41">
        <w:rPr>
          <w:color w:val="auto"/>
        </w:rPr>
        <w:t xml:space="preserve">single-arm </w:t>
      </w:r>
      <w:r w:rsidR="005412A6">
        <w:rPr>
          <w:color w:val="auto"/>
        </w:rPr>
        <w:t>studies</w:t>
      </w:r>
      <w:r w:rsidR="008E6D41">
        <w:rPr>
          <w:color w:val="auto"/>
        </w:rPr>
        <w:t xml:space="preserve"> </w:t>
      </w:r>
      <w:r>
        <w:rPr>
          <w:color w:val="auto"/>
        </w:rPr>
        <w:t>(</w:t>
      </w:r>
      <w:r w:rsidR="008D721E">
        <w:rPr>
          <w:color w:val="auto"/>
        </w:rPr>
        <w:t>−</w:t>
      </w:r>
      <w:r>
        <w:rPr>
          <w:color w:val="auto"/>
        </w:rPr>
        <w:t xml:space="preserve">0.73 and </w:t>
      </w:r>
      <w:r w:rsidR="008D721E">
        <w:rPr>
          <w:color w:val="auto"/>
        </w:rPr>
        <w:t>−</w:t>
      </w:r>
      <w:r>
        <w:rPr>
          <w:color w:val="auto"/>
        </w:rPr>
        <w:t xml:space="preserve">0.2 for FSL and SMBG, </w:t>
      </w:r>
      <w:r w:rsidRPr="00A54EDF">
        <w:rPr>
          <w:color w:val="auto"/>
        </w:rPr>
        <w:t>respec</w:t>
      </w:r>
      <w:r w:rsidR="00867BD1" w:rsidRPr="00A54EDF">
        <w:rPr>
          <w:color w:val="auto"/>
        </w:rPr>
        <w:t>tive</w:t>
      </w:r>
      <w:r w:rsidRPr="00A54EDF">
        <w:rPr>
          <w:color w:val="auto"/>
        </w:rPr>
        <w:t>ly</w:t>
      </w:r>
      <w:r>
        <w:rPr>
          <w:color w:val="auto"/>
        </w:rPr>
        <w:t>) to inform the initial HbA1c improvement</w:t>
      </w:r>
      <w:r w:rsidR="00867BD1" w:rsidRPr="00A54EDF">
        <w:rPr>
          <w:color w:val="auto"/>
        </w:rPr>
        <w:t>,</w:t>
      </w:r>
      <w:r>
        <w:rPr>
          <w:color w:val="auto"/>
        </w:rPr>
        <w:t xml:space="preserve"> resulting in an ICER of </w:t>
      </w:r>
      <w:r w:rsidR="00226443">
        <w:rPr>
          <w:color w:val="auto"/>
        </w:rPr>
        <w:t>$</w:t>
      </w:r>
      <w:r w:rsidR="00A8632A">
        <w:rPr>
          <w:color w:val="auto"/>
        </w:rPr>
        <w:t>5,000 to &lt; $15,000</w:t>
      </w:r>
      <w:r w:rsidR="00EF2670">
        <w:rPr>
          <w:color w:val="auto"/>
        </w:rPr>
        <w:t xml:space="preserve"> </w:t>
      </w:r>
      <w:r>
        <w:rPr>
          <w:color w:val="auto"/>
        </w:rPr>
        <w:t>per QALY gained</w:t>
      </w:r>
      <w:r w:rsidR="00ED119E" w:rsidRPr="00A54EDF">
        <w:rPr>
          <w:color w:val="auto"/>
        </w:rPr>
        <w:t xml:space="preserve">, which </w:t>
      </w:r>
      <w:r>
        <w:rPr>
          <w:color w:val="auto"/>
        </w:rPr>
        <w:t xml:space="preserve">was </w:t>
      </w:r>
      <w:r w:rsidR="005412A6">
        <w:rPr>
          <w:color w:val="auto"/>
        </w:rPr>
        <w:t xml:space="preserve">presented as </w:t>
      </w:r>
      <w:r>
        <w:rPr>
          <w:color w:val="auto"/>
        </w:rPr>
        <w:t xml:space="preserve">the base case. </w:t>
      </w:r>
    </w:p>
    <w:p w14:paraId="516118AF" w14:textId="276DBCD2" w:rsidR="000C6AF3" w:rsidRPr="006E3064" w:rsidRDefault="000C6AF3" w:rsidP="000C6AF3">
      <w:pPr>
        <w:pStyle w:val="Instructionaltext"/>
        <w:rPr>
          <w:color w:val="auto"/>
        </w:rPr>
      </w:pPr>
      <w:r>
        <w:rPr>
          <w:color w:val="auto"/>
        </w:rPr>
        <w:t>The second-order probabilistic analysis was run over 1,000 lifetimes of 5,000 unique individuals</w:t>
      </w:r>
      <w:r w:rsidR="00770B9D" w:rsidRPr="00A54EDF">
        <w:rPr>
          <w:color w:val="auto"/>
        </w:rPr>
        <w:t xml:space="preserve"> (</w:t>
      </w:r>
      <w:r w:rsidR="00770B9D" w:rsidRPr="00A54EDF">
        <w:rPr>
          <w:color w:val="auto"/>
        </w:rPr>
        <w:fldChar w:fldCharType="begin"/>
      </w:r>
      <w:r w:rsidR="00770B9D" w:rsidRPr="00A54EDF">
        <w:rPr>
          <w:color w:val="auto"/>
        </w:rPr>
        <w:instrText xml:space="preserve"> REF _Ref192689076 \h  \* MERGEFORMAT </w:instrText>
      </w:r>
      <w:r w:rsidR="00770B9D" w:rsidRPr="00A54EDF">
        <w:rPr>
          <w:color w:val="auto"/>
        </w:rPr>
      </w:r>
      <w:r w:rsidR="00770B9D" w:rsidRPr="00A54EDF">
        <w:rPr>
          <w:color w:val="auto"/>
        </w:rPr>
        <w:fldChar w:fldCharType="separate"/>
      </w:r>
      <w:r w:rsidR="00315A60" w:rsidRPr="005B79EF">
        <w:rPr>
          <w:color w:val="auto"/>
        </w:rPr>
        <w:t>Table 8</w:t>
      </w:r>
      <w:r w:rsidR="00770B9D" w:rsidRPr="00A54EDF">
        <w:rPr>
          <w:color w:val="auto"/>
        </w:rPr>
        <w:fldChar w:fldCharType="end"/>
      </w:r>
      <w:r w:rsidR="00770B9D" w:rsidRPr="00A54EDF">
        <w:rPr>
          <w:color w:val="auto"/>
        </w:rPr>
        <w:t>.)</w:t>
      </w:r>
      <w:r>
        <w:rPr>
          <w:color w:val="auto"/>
        </w:rPr>
        <w:t xml:space="preserve"> The </w:t>
      </w:r>
      <w:r w:rsidR="00802F44">
        <w:rPr>
          <w:color w:val="auto"/>
        </w:rPr>
        <w:t xml:space="preserve">ADAR </w:t>
      </w:r>
      <w:r>
        <w:rPr>
          <w:color w:val="auto"/>
        </w:rPr>
        <w:t xml:space="preserve">did not discuss whether outcomes converged. The population was </w:t>
      </w:r>
      <w:r w:rsidRPr="006E3064">
        <w:rPr>
          <w:color w:val="auto"/>
        </w:rPr>
        <w:t>reduced because of computing time</w:t>
      </w:r>
      <w:r w:rsidR="008E6D41">
        <w:rPr>
          <w:color w:val="auto"/>
        </w:rPr>
        <w:t>;</w:t>
      </w:r>
      <w:r>
        <w:rPr>
          <w:color w:val="auto"/>
        </w:rPr>
        <w:t xml:space="preserve"> however, the impact on the overall ICER</w:t>
      </w:r>
      <w:r w:rsidR="008E6D41">
        <w:rPr>
          <w:color w:val="auto"/>
        </w:rPr>
        <w:t xml:space="preserve"> was not discussed</w:t>
      </w:r>
      <w:r w:rsidRPr="006E3064">
        <w:rPr>
          <w:color w:val="auto"/>
        </w:rPr>
        <w:t xml:space="preserve">. </w:t>
      </w:r>
      <w:r>
        <w:rPr>
          <w:color w:val="auto"/>
        </w:rPr>
        <w:t xml:space="preserve">The </w:t>
      </w:r>
      <w:r w:rsidR="00802F44">
        <w:rPr>
          <w:color w:val="auto"/>
        </w:rPr>
        <w:t xml:space="preserve">ADAR </w:t>
      </w:r>
      <w:r>
        <w:rPr>
          <w:color w:val="auto"/>
        </w:rPr>
        <w:t>did not elicit uncertainty estimates (</w:t>
      </w:r>
      <w:r w:rsidR="00345DE0">
        <w:rPr>
          <w:color w:val="auto"/>
        </w:rPr>
        <w:t>standard error [</w:t>
      </w:r>
      <w:r>
        <w:rPr>
          <w:color w:val="auto"/>
        </w:rPr>
        <w:t>SE</w:t>
      </w:r>
      <w:r w:rsidR="00345DE0">
        <w:rPr>
          <w:color w:val="auto"/>
        </w:rPr>
        <w:t>]</w:t>
      </w:r>
      <w:r>
        <w:rPr>
          <w:color w:val="auto"/>
        </w:rPr>
        <w:t xml:space="preserve"> and/or 95% confidence intervals) from</w:t>
      </w:r>
      <w:r w:rsidR="00D6484F">
        <w:rPr>
          <w:color w:val="auto"/>
        </w:rPr>
        <w:t xml:space="preserve"> the</w:t>
      </w:r>
      <w:r>
        <w:rPr>
          <w:color w:val="auto"/>
        </w:rPr>
        <w:t xml:space="preserve"> literature, despite data being available in some studies. Instead, standard errors were</w:t>
      </w:r>
      <w:r w:rsidR="00802F44">
        <w:rPr>
          <w:color w:val="auto"/>
        </w:rPr>
        <w:t xml:space="preserve"> assumed to be</w:t>
      </w:r>
      <w:r>
        <w:rPr>
          <w:color w:val="auto"/>
        </w:rPr>
        <w:t xml:space="preserve"> 10% of the mean. </w:t>
      </w:r>
    </w:p>
    <w:p w14:paraId="14FCDC33" w14:textId="28B74784" w:rsidR="000C6AF3" w:rsidRDefault="000C6AF3" w:rsidP="000C6AF3">
      <w:pPr>
        <w:pStyle w:val="Instructionaltext"/>
        <w:rPr>
          <w:color w:val="auto"/>
        </w:rPr>
      </w:pPr>
      <w:bookmarkStart w:id="60" w:name="_Hlk192689686"/>
      <w:r w:rsidRPr="00501B5E">
        <w:rPr>
          <w:color w:val="auto"/>
        </w:rPr>
        <w:t xml:space="preserve">The QALYs and </w:t>
      </w:r>
      <w:r w:rsidR="008E6D41">
        <w:rPr>
          <w:color w:val="auto"/>
        </w:rPr>
        <w:t>life years</w:t>
      </w:r>
      <w:r w:rsidR="008E6D41" w:rsidRPr="00501B5E">
        <w:rPr>
          <w:color w:val="auto"/>
        </w:rPr>
        <w:t xml:space="preserve"> </w:t>
      </w:r>
      <w:r w:rsidRPr="00501B5E">
        <w:rPr>
          <w:color w:val="auto"/>
        </w:rPr>
        <w:t>are lower, and the costs are higher, in the second-order probabilistic analysis compared with the first-order analysis</w:t>
      </w:r>
      <w:r>
        <w:rPr>
          <w:color w:val="auto"/>
        </w:rPr>
        <w:t xml:space="preserve">. This suggests that more events are predicted in the second-order analysis. The ICER was </w:t>
      </w:r>
      <w:r w:rsidR="00226443">
        <w:rPr>
          <w:color w:val="auto"/>
        </w:rPr>
        <w:t>$</w:t>
      </w:r>
      <w:r>
        <w:rPr>
          <w:color w:val="auto"/>
        </w:rPr>
        <w:t>15,</w:t>
      </w:r>
      <w:r w:rsidR="00465A92">
        <w:rPr>
          <w:color w:val="auto"/>
        </w:rPr>
        <w:t>000 to &lt; $25,000</w:t>
      </w:r>
      <w:r w:rsidR="00EF2670">
        <w:rPr>
          <w:color w:val="auto"/>
        </w:rPr>
        <w:t xml:space="preserve"> </w:t>
      </w:r>
      <w:r>
        <w:rPr>
          <w:color w:val="auto"/>
        </w:rPr>
        <w:t xml:space="preserve">per QALY gained, which is almost double that of the first-order analysis. </w:t>
      </w:r>
      <w:r w:rsidR="005B0E8D">
        <w:rPr>
          <w:color w:val="auto"/>
        </w:rPr>
        <w:t>The pre-MSAC response reported</w:t>
      </w:r>
      <w:r w:rsidR="00C9298A">
        <w:rPr>
          <w:color w:val="auto"/>
        </w:rPr>
        <w:t xml:space="preserve"> that a second order probabilistic analysis</w:t>
      </w:r>
      <w:r w:rsidR="005B0E8D">
        <w:rPr>
          <w:color w:val="auto"/>
        </w:rPr>
        <w:t xml:space="preserve"> </w:t>
      </w:r>
      <w:r w:rsidR="00C9298A" w:rsidRPr="00C9298A">
        <w:rPr>
          <w:color w:val="auto"/>
        </w:rPr>
        <w:t>using only comparative results</w:t>
      </w:r>
      <w:r w:rsidR="00C9298A">
        <w:rPr>
          <w:color w:val="auto"/>
        </w:rPr>
        <w:t xml:space="preserve"> </w:t>
      </w:r>
      <w:r w:rsidR="005209E9">
        <w:rPr>
          <w:color w:val="auto"/>
        </w:rPr>
        <w:t xml:space="preserve">produced an ICER of </w:t>
      </w:r>
      <w:r w:rsidR="00191909">
        <w:rPr>
          <w:color w:val="auto"/>
        </w:rPr>
        <w:t>$15,</w:t>
      </w:r>
      <w:r w:rsidR="00465A92">
        <w:rPr>
          <w:color w:val="auto"/>
        </w:rPr>
        <w:t>000 to &lt; $25,000</w:t>
      </w:r>
      <w:r w:rsidR="0091058F">
        <w:rPr>
          <w:color w:val="auto"/>
        </w:rPr>
        <w:t xml:space="preserve"> per </w:t>
      </w:r>
      <w:r w:rsidR="00191909">
        <w:rPr>
          <w:color w:val="auto"/>
        </w:rPr>
        <w:t>QA</w:t>
      </w:r>
      <w:r w:rsidR="004B4AE3">
        <w:rPr>
          <w:color w:val="auto"/>
        </w:rPr>
        <w:t>LY</w:t>
      </w:r>
      <w:r w:rsidR="0091058F">
        <w:rPr>
          <w:color w:val="auto"/>
        </w:rPr>
        <w:t xml:space="preserve"> gained</w:t>
      </w:r>
      <w:r w:rsidR="004B4AE3">
        <w:rPr>
          <w:color w:val="auto"/>
        </w:rPr>
        <w:t xml:space="preserve">. </w:t>
      </w:r>
    </w:p>
    <w:p w14:paraId="43985636" w14:textId="69C10560" w:rsidR="000C6AF3" w:rsidRDefault="001925B8" w:rsidP="000C6AF3">
      <w:pPr>
        <w:pStyle w:val="Instructionaltext"/>
        <w:rPr>
          <w:color w:val="auto"/>
        </w:rPr>
      </w:pPr>
      <w:r>
        <w:rPr>
          <w:color w:val="auto"/>
        </w:rPr>
        <w:t>The commentary considered that t</w:t>
      </w:r>
      <w:r w:rsidR="000C6AF3">
        <w:rPr>
          <w:color w:val="auto"/>
        </w:rPr>
        <w:t xml:space="preserve">he first-order outcomes are, therefore, a poor fit for the second-order outcomes. However, the drivers for this were not explained. The applicant made some atypical decisions when choosing which variables to </w:t>
      </w:r>
      <w:r w:rsidR="00714FAD" w:rsidRPr="00A54EDF">
        <w:rPr>
          <w:color w:val="auto"/>
        </w:rPr>
        <w:t xml:space="preserve">change </w:t>
      </w:r>
      <w:r w:rsidR="000C6AF3">
        <w:rPr>
          <w:color w:val="auto"/>
        </w:rPr>
        <w:t>in the second</w:t>
      </w:r>
      <w:r w:rsidR="008E6D41">
        <w:rPr>
          <w:color w:val="auto"/>
        </w:rPr>
        <w:t>-</w:t>
      </w:r>
      <w:r w:rsidR="000C6AF3">
        <w:rPr>
          <w:color w:val="auto"/>
        </w:rPr>
        <w:t>order analysis. Time horizon</w:t>
      </w:r>
      <w:r w:rsidR="00D6484F">
        <w:rPr>
          <w:color w:val="auto"/>
        </w:rPr>
        <w:t>,</w:t>
      </w:r>
      <w:r w:rsidR="000C6AF3">
        <w:rPr>
          <w:color w:val="auto"/>
        </w:rPr>
        <w:t xml:space="preserve"> discount rates and population size were varied. </w:t>
      </w:r>
      <w:r w:rsidR="004131FF">
        <w:rPr>
          <w:color w:val="auto"/>
        </w:rPr>
        <w:t>The commentary noted that t</w:t>
      </w:r>
      <w:r w:rsidR="000C6AF3">
        <w:rPr>
          <w:color w:val="auto"/>
        </w:rPr>
        <w:t xml:space="preserve">his is not usually </w:t>
      </w:r>
      <w:r w:rsidR="00D6484F">
        <w:rPr>
          <w:color w:val="auto"/>
        </w:rPr>
        <w:t>undertaken</w:t>
      </w:r>
      <w:r w:rsidR="00714FAD" w:rsidRPr="00A54EDF">
        <w:rPr>
          <w:color w:val="auto"/>
        </w:rPr>
        <w:t>,</w:t>
      </w:r>
      <w:r w:rsidR="00D6484F">
        <w:rPr>
          <w:color w:val="auto"/>
        </w:rPr>
        <w:t xml:space="preserve"> </w:t>
      </w:r>
      <w:r w:rsidR="000C6AF3">
        <w:rPr>
          <w:color w:val="auto"/>
        </w:rPr>
        <w:t xml:space="preserve">given that these are </w:t>
      </w:r>
      <w:r w:rsidR="00991370">
        <w:rPr>
          <w:color w:val="auto"/>
        </w:rPr>
        <w:t xml:space="preserve">parameters subject to </w:t>
      </w:r>
      <w:r w:rsidR="000C6AF3">
        <w:rPr>
          <w:color w:val="auto"/>
        </w:rPr>
        <w:t xml:space="preserve">uncertainty. </w:t>
      </w:r>
      <w:r w:rsidR="007847E2">
        <w:rPr>
          <w:color w:val="auto"/>
        </w:rPr>
        <w:t>The commentary considered that t</w:t>
      </w:r>
      <w:r w:rsidR="000C6AF3">
        <w:rPr>
          <w:color w:val="auto"/>
        </w:rPr>
        <w:t xml:space="preserve">he </w:t>
      </w:r>
      <w:r w:rsidR="00B9114E">
        <w:rPr>
          <w:color w:val="auto"/>
        </w:rPr>
        <w:t xml:space="preserve">ADAR </w:t>
      </w:r>
      <w:r w:rsidR="000C6AF3">
        <w:rPr>
          <w:color w:val="auto"/>
        </w:rPr>
        <w:t>did not present c</w:t>
      </w:r>
      <w:r w:rsidR="00991370">
        <w:rPr>
          <w:color w:val="auto"/>
        </w:rPr>
        <w:t>redible</w:t>
      </w:r>
      <w:r w:rsidR="000C6AF3">
        <w:rPr>
          <w:color w:val="auto"/>
        </w:rPr>
        <w:t xml:space="preserve"> intervals around the probabilistic outcomes to </w:t>
      </w:r>
      <w:r w:rsidR="00991370">
        <w:rPr>
          <w:color w:val="auto"/>
        </w:rPr>
        <w:t>quantify</w:t>
      </w:r>
      <w:r w:rsidR="000C6AF3">
        <w:rPr>
          <w:color w:val="auto"/>
        </w:rPr>
        <w:t xml:space="preserve"> uncertainty. It was stated that 100% of </w:t>
      </w:r>
      <w:r w:rsidR="00D6484F">
        <w:rPr>
          <w:color w:val="auto"/>
        </w:rPr>
        <w:t>second-</w:t>
      </w:r>
      <w:r w:rsidR="000C6AF3">
        <w:rPr>
          <w:color w:val="auto"/>
        </w:rPr>
        <w:t xml:space="preserve">order probabilistic iterations were cost-effective at a threshold of </w:t>
      </w:r>
      <w:r w:rsidR="00226443">
        <w:rPr>
          <w:color w:val="auto"/>
        </w:rPr>
        <w:t>$</w:t>
      </w:r>
      <w:r w:rsidR="000C6AF3">
        <w:rPr>
          <w:color w:val="auto"/>
        </w:rPr>
        <w:t>50,000 per QALY gained.</w:t>
      </w:r>
      <w:r w:rsidR="00FC76A5">
        <w:rPr>
          <w:color w:val="auto"/>
        </w:rPr>
        <w:t xml:space="preserve"> </w:t>
      </w:r>
      <w:bookmarkStart w:id="61" w:name="_Hlk196397688"/>
      <w:r w:rsidR="00FC76A5">
        <w:rPr>
          <w:color w:val="auto"/>
        </w:rPr>
        <w:t xml:space="preserve">It is important to note that </w:t>
      </w:r>
      <w:r w:rsidR="00B9114E">
        <w:rPr>
          <w:color w:val="auto"/>
        </w:rPr>
        <w:t>cost-effectiveness</w:t>
      </w:r>
      <w:r w:rsidR="00FC76A5">
        <w:rPr>
          <w:color w:val="auto"/>
        </w:rPr>
        <w:t xml:space="preserve"> threshold</w:t>
      </w:r>
      <w:r w:rsidR="00B9114E">
        <w:rPr>
          <w:color w:val="auto"/>
        </w:rPr>
        <w:t>s</w:t>
      </w:r>
      <w:r w:rsidR="00FC76A5">
        <w:rPr>
          <w:color w:val="auto"/>
        </w:rPr>
        <w:t xml:space="preserve"> </w:t>
      </w:r>
      <w:r w:rsidR="00B9114E">
        <w:rPr>
          <w:color w:val="auto"/>
        </w:rPr>
        <w:t xml:space="preserve">are </w:t>
      </w:r>
      <w:r w:rsidR="00FC76A5">
        <w:rPr>
          <w:color w:val="auto"/>
        </w:rPr>
        <w:t xml:space="preserve">not used by MSAC. </w:t>
      </w:r>
      <w:r w:rsidR="000C6AF3">
        <w:rPr>
          <w:color w:val="auto"/>
        </w:rPr>
        <w:t xml:space="preserve"> </w:t>
      </w:r>
      <w:bookmarkEnd w:id="61"/>
    </w:p>
    <w:p w14:paraId="46302C9C" w14:textId="0E4E370B" w:rsidR="000C6AF3" w:rsidRDefault="000C6AF3" w:rsidP="000C6AF3">
      <w:r w:rsidRPr="005A30B8">
        <w:t xml:space="preserve">There are uncertainties associated </w:t>
      </w:r>
      <w:r>
        <w:t xml:space="preserve">with the assumptions </w:t>
      </w:r>
      <w:r w:rsidR="008E6D41">
        <w:t xml:space="preserve">that </w:t>
      </w:r>
      <w:r>
        <w:t>inform the risk equations</w:t>
      </w:r>
      <w:r w:rsidR="00A643D1" w:rsidRPr="00A54EDF">
        <w:t>,</w:t>
      </w:r>
      <w:r>
        <w:t xml:space="preserve"> most notably, that baseline characteristics did not change over time. This was not explored in the sensitivity analysis. The </w:t>
      </w:r>
      <w:r w:rsidR="00802F44">
        <w:t xml:space="preserve">ADAR </w:t>
      </w:r>
      <w:r>
        <w:t xml:space="preserve">conducted a one-way sensitivity analysis, varying some uncertain inputs ±20% of the mean. </w:t>
      </w:r>
      <w:bookmarkStart w:id="62" w:name="_Hlk192758596"/>
      <w:r>
        <w:t xml:space="preserve">The </w:t>
      </w:r>
      <w:r w:rsidR="00802F44">
        <w:t xml:space="preserve">ADAR </w:t>
      </w:r>
      <w:r>
        <w:t>did not use published literature (</w:t>
      </w:r>
      <w:r w:rsidR="008E6D41">
        <w:t xml:space="preserve">e.g. </w:t>
      </w:r>
      <w:r>
        <w:t>95% confidence intervals) to explore upper and lower values</w:t>
      </w:r>
      <w:r w:rsidR="008E6D41">
        <w:t>,</w:t>
      </w:r>
      <w:r>
        <w:t xml:space="preserve"> despite </w:t>
      </w:r>
      <w:r w:rsidR="008E6D41">
        <w:t xml:space="preserve">this literature </w:t>
      </w:r>
      <w:r>
        <w:t xml:space="preserve">being available. </w:t>
      </w:r>
      <w:r w:rsidR="00802F44">
        <w:t>No reasoning for this was provided</w:t>
      </w:r>
      <w:r>
        <w:t>.</w:t>
      </w:r>
      <w:bookmarkEnd w:id="62"/>
      <w:r>
        <w:t xml:space="preserve"> As per the second-order analysis, the </w:t>
      </w:r>
      <w:r w:rsidR="00802F44">
        <w:t xml:space="preserve">ADAR </w:t>
      </w:r>
      <w:r>
        <w:t xml:space="preserve">reduced the population size to 5,000 individuals. </w:t>
      </w:r>
      <w:r w:rsidR="008E6D41">
        <w:t>It was not</w:t>
      </w:r>
      <w:r>
        <w:t xml:space="preserve"> discuss</w:t>
      </w:r>
      <w:r w:rsidR="008E6D41">
        <w:t>ed</w:t>
      </w:r>
      <w:r>
        <w:t xml:space="preserve"> whether outcomes converged with 5,000 individuals. The base case ICER increased </w:t>
      </w:r>
      <w:r w:rsidR="00544704">
        <w:t>from $</w:t>
      </w:r>
      <w:r w:rsidR="00465A92">
        <w:t>5,000 to &lt; $15,000</w:t>
      </w:r>
      <w:r w:rsidR="00544704">
        <w:t xml:space="preserve"> </w:t>
      </w:r>
      <w:r>
        <w:t xml:space="preserve">to </w:t>
      </w:r>
      <w:r w:rsidR="00226443">
        <w:t>$</w:t>
      </w:r>
      <w:r w:rsidR="00465A92">
        <w:t>5,000 to &lt; $15,000</w:t>
      </w:r>
      <w:r>
        <w:t xml:space="preserve"> in the one-way sensitivity analysis. The top 10 drivers</w:t>
      </w:r>
      <w:r w:rsidR="005A7D4C">
        <w:t xml:space="preserve"> of cost-effectiveness (as determined by the </w:t>
      </w:r>
      <w:r w:rsidR="00AF5B75" w:rsidRPr="00A54EDF">
        <w:t>one-way sensitivity analysis</w:t>
      </w:r>
      <w:r w:rsidR="005A7D4C">
        <w:t>)</w:t>
      </w:r>
      <w:r>
        <w:t xml:space="preserve"> </w:t>
      </w:r>
      <w:r w:rsidR="0014227E" w:rsidRPr="00A54EDF">
        <w:t xml:space="preserve">were </w:t>
      </w:r>
      <w:r w:rsidR="005A7D4C">
        <w:t>obtained from the ADAR</w:t>
      </w:r>
      <w:r w:rsidR="0014227E" w:rsidRPr="00A54EDF">
        <w:t xml:space="preserve"> (</w:t>
      </w:r>
      <w:r w:rsidR="0014227E" w:rsidRPr="00A54EDF">
        <w:fldChar w:fldCharType="begin"/>
      </w:r>
      <w:r w:rsidR="0014227E" w:rsidRPr="00A54EDF">
        <w:instrText xml:space="preserve"> REF _Ref192688311 \h </w:instrText>
      </w:r>
      <w:r w:rsidR="0014227E" w:rsidRPr="00A54EDF">
        <w:fldChar w:fldCharType="separate"/>
      </w:r>
      <w:r w:rsidR="00315A60">
        <w:t xml:space="preserve">Figure </w:t>
      </w:r>
      <w:r w:rsidR="00315A60">
        <w:rPr>
          <w:noProof/>
        </w:rPr>
        <w:t>3</w:t>
      </w:r>
      <w:r w:rsidR="0014227E" w:rsidRPr="00A54EDF">
        <w:fldChar w:fldCharType="end"/>
      </w:r>
      <w:r w:rsidR="0014227E" w:rsidRPr="00A54EDF">
        <w:t>).</w:t>
      </w:r>
    </w:p>
    <w:p w14:paraId="412C3217" w14:textId="44BA17E9" w:rsidR="000C6AF3" w:rsidRDefault="000C6AF3" w:rsidP="000C6AF3">
      <w:r>
        <w:t xml:space="preserve">Key first-order scenario analyses are summarised in </w:t>
      </w:r>
      <w:r w:rsidR="00A063A0">
        <w:fldChar w:fldCharType="begin"/>
      </w:r>
      <w:r w:rsidR="00A063A0">
        <w:instrText xml:space="preserve"> REF _Ref193959591 \h </w:instrText>
      </w:r>
      <w:r w:rsidR="00A063A0">
        <w:fldChar w:fldCharType="separate"/>
      </w:r>
      <w:r w:rsidR="00315A60" w:rsidRPr="00CE28E3">
        <w:t>Table</w:t>
      </w:r>
      <w:r w:rsidR="00315A60">
        <w:t> </w:t>
      </w:r>
      <w:r w:rsidR="00315A60">
        <w:rPr>
          <w:noProof/>
        </w:rPr>
        <w:t>10</w:t>
      </w:r>
      <w:r w:rsidR="00A063A0">
        <w:fldChar w:fldCharType="end"/>
      </w:r>
      <w:r w:rsidR="00116BF5">
        <w:t xml:space="preserve">. </w:t>
      </w:r>
      <w:r>
        <w:t xml:space="preserve">These explore uncertainties </w:t>
      </w:r>
      <w:r w:rsidR="008E6D41">
        <w:t xml:space="preserve">including </w:t>
      </w:r>
      <w:r>
        <w:t>time horizon, cost</w:t>
      </w:r>
      <w:r w:rsidR="00BD5CE1" w:rsidRPr="00A54EDF">
        <w:t xml:space="preserve"> </w:t>
      </w:r>
      <w:r>
        <w:t>categories reimbursed by the Australian healthcare system and</w:t>
      </w:r>
      <w:r w:rsidR="00BD5CE1" w:rsidRPr="00A54EDF">
        <w:t>—</w:t>
      </w:r>
      <w:r>
        <w:t>most notably</w:t>
      </w:r>
      <w:r w:rsidR="00F60B14" w:rsidRPr="00A54EDF">
        <w:t>—</w:t>
      </w:r>
      <w:r>
        <w:t xml:space="preserve">the absolute reduction in HbA1c from baseline. </w:t>
      </w:r>
    </w:p>
    <w:p w14:paraId="578A78E4" w14:textId="371556AE" w:rsidR="000C6AF3" w:rsidRDefault="000C6AF3" w:rsidP="000C6AF3">
      <w:r>
        <w:t xml:space="preserve">The mean baseline characteristics were not varied in the </w:t>
      </w:r>
      <w:r w:rsidR="00A063A0">
        <w:t>s</w:t>
      </w:r>
      <w:r w:rsidR="00A063A0" w:rsidRPr="00A063A0">
        <w:t xml:space="preserve">econd-order </w:t>
      </w:r>
      <w:r w:rsidR="00345DE0">
        <w:t>probabilistic sensitivity analysis (</w:t>
      </w:r>
      <w:r w:rsidR="00A063A0" w:rsidRPr="00A063A0">
        <w:t>PSA</w:t>
      </w:r>
      <w:r w:rsidR="00345DE0">
        <w:t>)</w:t>
      </w:r>
      <w:r w:rsidR="00A063A0" w:rsidRPr="00A063A0">
        <w:t xml:space="preserve">. </w:t>
      </w:r>
      <w:r w:rsidR="00897199">
        <w:t>The commentary noted that t</w:t>
      </w:r>
      <w:r w:rsidR="00A063A0" w:rsidRPr="00A063A0">
        <w:t xml:space="preserve">his is a common point of contention among economic modellers. Some argue that the uncertainty is already captured in the first-order PSA, as </w:t>
      </w:r>
      <w:r w:rsidR="00EE3887" w:rsidRPr="00A54EDF">
        <w:t xml:space="preserve">in </w:t>
      </w:r>
      <w:r w:rsidR="00A063A0" w:rsidRPr="00A063A0">
        <w:t>this analysis. However, the first-order PSA only captures uncertainty in the populations; the second-order PSA captures the uncertainty in the measures.</w:t>
      </w:r>
    </w:p>
    <w:p w14:paraId="3F59A20A" w14:textId="4D5B1B14" w:rsidR="000C6AF3" w:rsidRPr="00CE28E3" w:rsidRDefault="000C6AF3" w:rsidP="000C6AF3">
      <w:pPr>
        <w:pStyle w:val="Caption"/>
      </w:pPr>
      <w:bookmarkStart w:id="63" w:name="_Ref192689076"/>
      <w:bookmarkEnd w:id="60"/>
      <w:r w:rsidRPr="00CE28E3">
        <w:t>Table</w:t>
      </w:r>
      <w:r>
        <w:t> </w:t>
      </w:r>
      <w:r w:rsidR="00315A60">
        <w:fldChar w:fldCharType="begin"/>
      </w:r>
      <w:r w:rsidR="00315A60">
        <w:instrText xml:space="preserve"> SEQ Table \* ARABIC </w:instrText>
      </w:r>
      <w:r w:rsidR="00315A60">
        <w:fldChar w:fldCharType="separate"/>
      </w:r>
      <w:r w:rsidR="00315A60">
        <w:rPr>
          <w:noProof/>
        </w:rPr>
        <w:t>8</w:t>
      </w:r>
      <w:r w:rsidR="00315A60">
        <w:rPr>
          <w:noProof/>
        </w:rPr>
        <w:fldChar w:fldCharType="end"/>
      </w:r>
      <w:bookmarkEnd w:id="63"/>
      <w:r w:rsidRPr="00CE28E3">
        <w:tab/>
        <w:t xml:space="preserve">Results of </w:t>
      </w:r>
      <w:r>
        <w:t xml:space="preserve">second-order </w:t>
      </w:r>
      <w:r w:rsidR="00D6484F">
        <w:t>probabilistic</w:t>
      </w:r>
      <w:r>
        <w:t xml:space="preserve"> analysis</w:t>
      </w:r>
      <w:r w:rsidRPr="00CE28E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700"/>
        <w:gridCol w:w="2436"/>
        <w:gridCol w:w="2438"/>
        <w:gridCol w:w="2442"/>
      </w:tblGrid>
      <w:tr w:rsidR="005A7D4C" w:rsidRPr="00B149E3" w14:paraId="4C952296" w14:textId="77777777" w:rsidTr="005A7D4C">
        <w:trPr>
          <w:cantSplit/>
        </w:trPr>
        <w:tc>
          <w:tcPr>
            <w:tcW w:w="943" w:type="pct"/>
            <w:vAlign w:val="center"/>
          </w:tcPr>
          <w:p w14:paraId="13C5F127" w14:textId="47F6402C" w:rsidR="005A7D4C" w:rsidRPr="005A7D4C" w:rsidRDefault="005A7D4C" w:rsidP="005A7D4C">
            <w:pPr>
              <w:pStyle w:val="TableText"/>
              <w:keepNext/>
              <w:jc w:val="center"/>
              <w:rPr>
                <w:rFonts w:eastAsia="Calibri"/>
                <w:b/>
                <w:bCs/>
                <w:szCs w:val="20"/>
              </w:rPr>
            </w:pPr>
            <w:r w:rsidRPr="005A7D4C">
              <w:rPr>
                <w:b/>
                <w:bCs/>
              </w:rPr>
              <w:t>Parameter</w:t>
            </w:r>
          </w:p>
        </w:tc>
        <w:tc>
          <w:tcPr>
            <w:tcW w:w="1351" w:type="pct"/>
            <w:vAlign w:val="center"/>
          </w:tcPr>
          <w:p w14:paraId="2BC1277B" w14:textId="7E94AF68" w:rsidR="005A7D4C" w:rsidRPr="005A7D4C" w:rsidRDefault="005A7D4C" w:rsidP="005A7D4C">
            <w:pPr>
              <w:pStyle w:val="TableText"/>
              <w:keepNext/>
              <w:jc w:val="center"/>
              <w:rPr>
                <w:rFonts w:eastAsia="Calibri"/>
                <w:b/>
                <w:bCs/>
                <w:szCs w:val="20"/>
              </w:rPr>
            </w:pPr>
            <w:r w:rsidRPr="005A7D4C">
              <w:rPr>
                <w:b/>
                <w:bCs/>
              </w:rPr>
              <w:t>FSL</w:t>
            </w:r>
          </w:p>
        </w:tc>
        <w:tc>
          <w:tcPr>
            <w:tcW w:w="1352" w:type="pct"/>
            <w:vAlign w:val="center"/>
          </w:tcPr>
          <w:p w14:paraId="2C146A02" w14:textId="32340F4D" w:rsidR="005A7D4C" w:rsidRPr="005A7D4C" w:rsidRDefault="005A7D4C" w:rsidP="005A7D4C">
            <w:pPr>
              <w:pStyle w:val="TableText"/>
              <w:keepNext/>
              <w:jc w:val="center"/>
              <w:rPr>
                <w:rFonts w:eastAsia="Calibri"/>
                <w:b/>
                <w:bCs/>
                <w:szCs w:val="20"/>
              </w:rPr>
            </w:pPr>
            <w:r w:rsidRPr="005A7D4C">
              <w:rPr>
                <w:b/>
                <w:bCs/>
              </w:rPr>
              <w:t>S</w:t>
            </w:r>
            <w:r w:rsidR="00EF4F96">
              <w:rPr>
                <w:b/>
                <w:bCs/>
              </w:rPr>
              <w:t>M</w:t>
            </w:r>
            <w:r w:rsidRPr="005A7D4C">
              <w:rPr>
                <w:b/>
                <w:bCs/>
              </w:rPr>
              <w:t>BG</w:t>
            </w:r>
          </w:p>
        </w:tc>
        <w:tc>
          <w:tcPr>
            <w:tcW w:w="1353" w:type="pct"/>
            <w:vAlign w:val="center"/>
          </w:tcPr>
          <w:p w14:paraId="1BE8C9DF" w14:textId="6D1E8C38" w:rsidR="005A7D4C" w:rsidRPr="005A7D4C" w:rsidRDefault="005A7D4C" w:rsidP="005A7D4C">
            <w:pPr>
              <w:pStyle w:val="TableText"/>
              <w:keepNext/>
              <w:jc w:val="center"/>
              <w:rPr>
                <w:rFonts w:eastAsia="Calibri"/>
                <w:b/>
                <w:bCs/>
                <w:szCs w:val="20"/>
              </w:rPr>
            </w:pPr>
            <w:r w:rsidRPr="005A7D4C">
              <w:rPr>
                <w:b/>
                <w:bCs/>
              </w:rPr>
              <w:t>Increment</w:t>
            </w:r>
          </w:p>
        </w:tc>
      </w:tr>
      <w:tr w:rsidR="000C6AF3" w:rsidRPr="00B149E3" w14:paraId="5757A835" w14:textId="77777777" w:rsidTr="004A2A66">
        <w:trPr>
          <w:cantSplit/>
        </w:trPr>
        <w:tc>
          <w:tcPr>
            <w:tcW w:w="5000" w:type="pct"/>
            <w:gridSpan w:val="4"/>
            <w:vAlign w:val="center"/>
          </w:tcPr>
          <w:p w14:paraId="6CAA2B9A" w14:textId="49B7DA6E" w:rsidR="000C6AF3" w:rsidRPr="00B149E3" w:rsidRDefault="000C6AF3" w:rsidP="004A2A66">
            <w:pPr>
              <w:pStyle w:val="TableText"/>
              <w:keepNext/>
              <w:rPr>
                <w:rFonts w:eastAsia="Calibri"/>
                <w:b/>
                <w:szCs w:val="20"/>
              </w:rPr>
            </w:pPr>
            <w:r>
              <w:rPr>
                <w:rFonts w:eastAsia="Calibri"/>
                <w:b/>
                <w:szCs w:val="20"/>
              </w:rPr>
              <w:t>Second-</w:t>
            </w:r>
            <w:r w:rsidRPr="00BC18F3">
              <w:rPr>
                <w:rFonts w:eastAsia="Calibri"/>
                <w:b/>
                <w:szCs w:val="20"/>
              </w:rPr>
              <w:t xml:space="preserve">order </w:t>
            </w:r>
            <w:r>
              <w:rPr>
                <w:rFonts w:eastAsia="Calibri"/>
                <w:b/>
                <w:szCs w:val="20"/>
              </w:rPr>
              <w:t>probabilistic analysis</w:t>
            </w:r>
            <w:r w:rsidRPr="00BC18F3">
              <w:rPr>
                <w:rFonts w:eastAsia="Calibri"/>
                <w:b/>
                <w:szCs w:val="20"/>
              </w:rPr>
              <w:t xml:space="preserve"> (treatment effect informed by comparative trials and </w:t>
            </w:r>
            <w:r w:rsidR="00345DE0">
              <w:rPr>
                <w:rFonts w:eastAsia="Calibri"/>
                <w:b/>
                <w:szCs w:val="20"/>
              </w:rPr>
              <w:t>real-world evidence</w:t>
            </w:r>
            <w:r w:rsidRPr="00BC18F3">
              <w:rPr>
                <w:rFonts w:eastAsia="Calibri"/>
                <w:b/>
                <w:szCs w:val="20"/>
              </w:rPr>
              <w:t>)</w:t>
            </w:r>
          </w:p>
        </w:tc>
      </w:tr>
      <w:tr w:rsidR="000C6AF3" w:rsidRPr="00B149E3" w14:paraId="473F6636" w14:textId="77777777" w:rsidTr="004A2A66">
        <w:trPr>
          <w:cantSplit/>
        </w:trPr>
        <w:tc>
          <w:tcPr>
            <w:tcW w:w="943" w:type="pct"/>
          </w:tcPr>
          <w:p w14:paraId="58DCDD6F" w14:textId="2D438255" w:rsidR="000C6AF3" w:rsidRPr="00BC18F3" w:rsidRDefault="000C6AF3" w:rsidP="004A2A66">
            <w:pPr>
              <w:pStyle w:val="TableText"/>
              <w:keepNext/>
              <w:rPr>
                <w:b/>
                <w:bCs/>
              </w:rPr>
            </w:pPr>
            <w:r w:rsidRPr="00CE28E3">
              <w:t>Cost</w:t>
            </w:r>
          </w:p>
        </w:tc>
        <w:tc>
          <w:tcPr>
            <w:tcW w:w="1334" w:type="pct"/>
            <w:vAlign w:val="center"/>
          </w:tcPr>
          <w:p w14:paraId="2C27BF8C" w14:textId="7EE2020A" w:rsidR="000C6AF3" w:rsidRPr="007E39EF" w:rsidRDefault="00E60E3E" w:rsidP="004A2A66">
            <w:pPr>
              <w:pStyle w:val="TableText"/>
              <w:keepNext/>
              <w:jc w:val="center"/>
            </w:pPr>
            <w:r w:rsidRPr="00F4445F">
              <w:t>$</w:t>
            </w:r>
            <w:r w:rsidRPr="00713151">
              <w:rPr>
                <w:b/>
                <w:bCs/>
              </w:rPr>
              <w:t>R</w:t>
            </w:r>
            <w:r>
              <w:rPr>
                <w:b/>
                <w:bCs/>
              </w:rPr>
              <w:t>edacted</w:t>
            </w:r>
          </w:p>
        </w:tc>
        <w:tc>
          <w:tcPr>
            <w:tcW w:w="1341" w:type="pct"/>
            <w:vAlign w:val="center"/>
          </w:tcPr>
          <w:p w14:paraId="0BEC17A2" w14:textId="28E7D1D3" w:rsidR="000C6AF3" w:rsidRPr="007E39EF" w:rsidRDefault="00E60E3E" w:rsidP="004A2A66">
            <w:pPr>
              <w:pStyle w:val="TableText"/>
              <w:keepNext/>
              <w:jc w:val="center"/>
            </w:pPr>
            <w:r w:rsidRPr="00F4445F">
              <w:t>$</w:t>
            </w:r>
            <w:r w:rsidRPr="00713151">
              <w:rPr>
                <w:b/>
                <w:bCs/>
              </w:rPr>
              <w:t>R</w:t>
            </w:r>
            <w:r>
              <w:rPr>
                <w:b/>
                <w:bCs/>
              </w:rPr>
              <w:t>edacted</w:t>
            </w:r>
          </w:p>
        </w:tc>
        <w:tc>
          <w:tcPr>
            <w:tcW w:w="1382" w:type="pct"/>
          </w:tcPr>
          <w:p w14:paraId="7B53570C" w14:textId="5A6EC7CA" w:rsidR="000C6AF3" w:rsidRPr="00B149E3" w:rsidRDefault="00E60E3E" w:rsidP="004A2A66">
            <w:pPr>
              <w:pStyle w:val="TableText"/>
              <w:keepNext/>
              <w:jc w:val="center"/>
              <w:rPr>
                <w:rFonts w:eastAsia="Calibri"/>
                <w:b/>
                <w:szCs w:val="20"/>
              </w:rPr>
            </w:pPr>
            <w:r w:rsidRPr="00F4445F">
              <w:t>$</w:t>
            </w:r>
            <w:r w:rsidRPr="00713151">
              <w:rPr>
                <w:b/>
                <w:bCs/>
              </w:rPr>
              <w:t>R</w:t>
            </w:r>
            <w:r>
              <w:rPr>
                <w:b/>
                <w:bCs/>
              </w:rPr>
              <w:t>edacted</w:t>
            </w:r>
          </w:p>
        </w:tc>
      </w:tr>
      <w:tr w:rsidR="000C6AF3" w:rsidRPr="007E39EF" w14:paraId="466CB85F" w14:textId="77777777" w:rsidTr="004A2A66">
        <w:trPr>
          <w:cantSplit/>
        </w:trPr>
        <w:tc>
          <w:tcPr>
            <w:tcW w:w="943" w:type="pct"/>
          </w:tcPr>
          <w:p w14:paraId="66411363" w14:textId="11EBBE97" w:rsidR="000C6AF3" w:rsidRPr="00BC18F3" w:rsidRDefault="00B9459D" w:rsidP="004A2A66">
            <w:pPr>
              <w:pStyle w:val="TableText"/>
              <w:keepNext/>
              <w:rPr>
                <w:b/>
                <w:bCs/>
              </w:rPr>
            </w:pPr>
            <w:r w:rsidRPr="00A54EDF">
              <w:t>LY</w:t>
            </w:r>
          </w:p>
        </w:tc>
        <w:tc>
          <w:tcPr>
            <w:tcW w:w="1334" w:type="pct"/>
            <w:vAlign w:val="center"/>
          </w:tcPr>
          <w:p w14:paraId="69919AC6" w14:textId="77777777" w:rsidR="000C6AF3" w:rsidRPr="007E39EF" w:rsidRDefault="000C6AF3" w:rsidP="004A2A66">
            <w:pPr>
              <w:pStyle w:val="TableText"/>
              <w:keepNext/>
              <w:jc w:val="center"/>
            </w:pPr>
            <w:r w:rsidRPr="00BC18F3">
              <w:t>10.975</w:t>
            </w:r>
          </w:p>
        </w:tc>
        <w:tc>
          <w:tcPr>
            <w:tcW w:w="1341" w:type="pct"/>
            <w:vAlign w:val="center"/>
          </w:tcPr>
          <w:p w14:paraId="11EB87A8" w14:textId="77777777" w:rsidR="000C6AF3" w:rsidRPr="007E39EF" w:rsidRDefault="000C6AF3" w:rsidP="004A2A66">
            <w:pPr>
              <w:pStyle w:val="TableText"/>
              <w:keepNext/>
              <w:jc w:val="center"/>
            </w:pPr>
            <w:r w:rsidRPr="007E39EF">
              <w:t>10.772</w:t>
            </w:r>
          </w:p>
        </w:tc>
        <w:tc>
          <w:tcPr>
            <w:tcW w:w="1382" w:type="pct"/>
          </w:tcPr>
          <w:p w14:paraId="13BFF6D3" w14:textId="77777777" w:rsidR="000C6AF3" w:rsidRPr="007E39EF" w:rsidRDefault="000C6AF3" w:rsidP="004A2A66">
            <w:pPr>
              <w:pStyle w:val="TableText"/>
              <w:keepNext/>
              <w:jc w:val="center"/>
              <w:rPr>
                <w:rFonts w:eastAsia="Calibri"/>
                <w:bCs/>
                <w:szCs w:val="20"/>
              </w:rPr>
            </w:pPr>
            <w:r w:rsidRPr="007E39EF">
              <w:rPr>
                <w:rFonts w:eastAsia="Calibri"/>
                <w:bCs/>
                <w:szCs w:val="20"/>
              </w:rPr>
              <w:t>0.203</w:t>
            </w:r>
          </w:p>
        </w:tc>
      </w:tr>
      <w:tr w:rsidR="000C6AF3" w:rsidRPr="007E39EF" w14:paraId="14B1FF44" w14:textId="77777777" w:rsidTr="004A2A66">
        <w:trPr>
          <w:cantSplit/>
        </w:trPr>
        <w:tc>
          <w:tcPr>
            <w:tcW w:w="943" w:type="pct"/>
          </w:tcPr>
          <w:p w14:paraId="53E9E56F" w14:textId="1BFB53D1" w:rsidR="000C6AF3" w:rsidRPr="00BC18F3" w:rsidRDefault="000C6AF3" w:rsidP="004A2A66">
            <w:pPr>
              <w:pStyle w:val="TableText"/>
              <w:keepNext/>
              <w:rPr>
                <w:b/>
                <w:bCs/>
              </w:rPr>
            </w:pPr>
            <w:r w:rsidRPr="00CE28E3">
              <w:t>QALY</w:t>
            </w:r>
          </w:p>
        </w:tc>
        <w:tc>
          <w:tcPr>
            <w:tcW w:w="1334" w:type="pct"/>
            <w:vAlign w:val="center"/>
          </w:tcPr>
          <w:p w14:paraId="4F13B3C2" w14:textId="77777777" w:rsidR="000C6AF3" w:rsidRPr="007E39EF" w:rsidRDefault="000C6AF3" w:rsidP="004A2A66">
            <w:pPr>
              <w:pStyle w:val="TableText"/>
              <w:keepNext/>
              <w:jc w:val="center"/>
            </w:pPr>
            <w:r w:rsidRPr="00BC18F3">
              <w:t>7.690</w:t>
            </w:r>
          </w:p>
        </w:tc>
        <w:tc>
          <w:tcPr>
            <w:tcW w:w="1341" w:type="pct"/>
            <w:vAlign w:val="center"/>
          </w:tcPr>
          <w:p w14:paraId="41E3EA8D" w14:textId="77777777" w:rsidR="000C6AF3" w:rsidRPr="007E39EF" w:rsidRDefault="000C6AF3" w:rsidP="004A2A66">
            <w:pPr>
              <w:pStyle w:val="TableText"/>
              <w:keepNext/>
              <w:jc w:val="center"/>
            </w:pPr>
            <w:r w:rsidRPr="007E39EF">
              <w:t>7.349</w:t>
            </w:r>
          </w:p>
        </w:tc>
        <w:tc>
          <w:tcPr>
            <w:tcW w:w="1382" w:type="pct"/>
          </w:tcPr>
          <w:p w14:paraId="5FA9EB3A" w14:textId="77777777" w:rsidR="000C6AF3" w:rsidRPr="007E39EF" w:rsidRDefault="000C6AF3" w:rsidP="004A2A66">
            <w:pPr>
              <w:pStyle w:val="TableText"/>
              <w:keepNext/>
              <w:jc w:val="center"/>
              <w:rPr>
                <w:rFonts w:eastAsia="Calibri"/>
                <w:szCs w:val="20"/>
              </w:rPr>
            </w:pPr>
            <w:r w:rsidRPr="00BC18F3">
              <w:rPr>
                <w:rFonts w:eastAsia="Calibri"/>
                <w:szCs w:val="20"/>
              </w:rPr>
              <w:t>0.340</w:t>
            </w:r>
          </w:p>
        </w:tc>
      </w:tr>
      <w:tr w:rsidR="000C6AF3" w:rsidRPr="00BC18F3" w14:paraId="1F651EF1" w14:textId="77777777" w:rsidTr="004A2A66">
        <w:trPr>
          <w:cantSplit/>
        </w:trPr>
        <w:tc>
          <w:tcPr>
            <w:tcW w:w="3618" w:type="pct"/>
            <w:gridSpan w:val="3"/>
            <w:vAlign w:val="center"/>
          </w:tcPr>
          <w:p w14:paraId="0B9A9C76" w14:textId="13CB2BCE" w:rsidR="000C6AF3" w:rsidRPr="00BC18F3" w:rsidRDefault="000C6AF3" w:rsidP="004A2A66">
            <w:pPr>
              <w:pStyle w:val="TableText"/>
              <w:keepNext/>
              <w:rPr>
                <w:b/>
                <w:bCs/>
              </w:rPr>
            </w:pPr>
            <w:r w:rsidRPr="007E39EF">
              <w:rPr>
                <w:b/>
                <w:bCs/>
              </w:rPr>
              <w:t xml:space="preserve">Incremental cost per </w:t>
            </w:r>
            <w:r w:rsidR="00B9459D" w:rsidRPr="00A54EDF">
              <w:rPr>
                <w:b/>
                <w:bCs/>
              </w:rPr>
              <w:t>LY</w:t>
            </w:r>
            <w:r w:rsidRPr="007E39EF">
              <w:rPr>
                <w:b/>
                <w:bCs/>
              </w:rPr>
              <w:t xml:space="preserve"> gained</w:t>
            </w:r>
          </w:p>
        </w:tc>
        <w:tc>
          <w:tcPr>
            <w:tcW w:w="1382" w:type="pct"/>
          </w:tcPr>
          <w:p w14:paraId="45711CA7" w14:textId="73C0971C" w:rsidR="000C6AF3" w:rsidRPr="00BC18F3" w:rsidRDefault="00E60E3E" w:rsidP="004A2A66">
            <w:pPr>
              <w:pStyle w:val="TableText"/>
              <w:keepNext/>
              <w:jc w:val="center"/>
              <w:rPr>
                <w:rFonts w:eastAsia="Calibri"/>
                <w:b/>
                <w:bCs/>
                <w:szCs w:val="20"/>
              </w:rPr>
            </w:pPr>
            <w:r w:rsidRPr="00F4445F">
              <w:t>$</w:t>
            </w:r>
            <w:r w:rsidRPr="00713151">
              <w:rPr>
                <w:b/>
                <w:bCs/>
              </w:rPr>
              <w:t>R</w:t>
            </w:r>
            <w:r>
              <w:rPr>
                <w:b/>
                <w:bCs/>
              </w:rPr>
              <w:t>edacted</w:t>
            </w:r>
            <w:r w:rsidR="00EA4A81">
              <w:rPr>
                <w:rFonts w:eastAsia="Calibri"/>
                <w:b/>
                <w:bCs/>
                <w:szCs w:val="20"/>
                <w:vertAlign w:val="superscript"/>
              </w:rPr>
              <w:t>1</w:t>
            </w:r>
            <w:r w:rsidR="00112429">
              <w:rPr>
                <w:rFonts w:eastAsia="Calibri"/>
                <w:b/>
                <w:bCs/>
                <w:szCs w:val="20"/>
              </w:rPr>
              <w:t xml:space="preserve"> per LY gained</w:t>
            </w:r>
          </w:p>
        </w:tc>
      </w:tr>
      <w:tr w:rsidR="000C6AF3" w:rsidRPr="00B149E3" w14:paraId="77671C04" w14:textId="77777777" w:rsidTr="004A2A66">
        <w:trPr>
          <w:cantSplit/>
        </w:trPr>
        <w:tc>
          <w:tcPr>
            <w:tcW w:w="3618" w:type="pct"/>
            <w:gridSpan w:val="3"/>
            <w:vAlign w:val="center"/>
          </w:tcPr>
          <w:p w14:paraId="0560C917" w14:textId="77777777" w:rsidR="000C6AF3" w:rsidRPr="00BC18F3" w:rsidRDefault="000C6AF3" w:rsidP="004A2A66">
            <w:pPr>
              <w:pStyle w:val="TableText"/>
              <w:keepNext/>
              <w:rPr>
                <w:b/>
                <w:bCs/>
              </w:rPr>
            </w:pPr>
            <w:r w:rsidRPr="007E39EF">
              <w:rPr>
                <w:b/>
                <w:bCs/>
              </w:rPr>
              <w:t>Incremental cost per QALY gained</w:t>
            </w:r>
          </w:p>
        </w:tc>
        <w:tc>
          <w:tcPr>
            <w:tcW w:w="1382" w:type="pct"/>
          </w:tcPr>
          <w:p w14:paraId="6D0F1A0B" w14:textId="1B2F3BF8" w:rsidR="000C6AF3" w:rsidRPr="00B149E3" w:rsidRDefault="00E60E3E" w:rsidP="004A2A66">
            <w:pPr>
              <w:pStyle w:val="TableText"/>
              <w:keepNext/>
              <w:jc w:val="center"/>
              <w:rPr>
                <w:rFonts w:eastAsia="Calibri"/>
                <w:b/>
                <w:szCs w:val="20"/>
              </w:rPr>
            </w:pPr>
            <w:r w:rsidRPr="00F4445F">
              <w:t>$</w:t>
            </w:r>
            <w:r w:rsidRPr="00713151">
              <w:rPr>
                <w:b/>
                <w:bCs/>
              </w:rPr>
              <w:t>R</w:t>
            </w:r>
            <w:r>
              <w:rPr>
                <w:b/>
                <w:bCs/>
              </w:rPr>
              <w:t>edacted</w:t>
            </w:r>
            <w:r w:rsidR="00EA4A81">
              <w:rPr>
                <w:rFonts w:eastAsia="Calibri"/>
                <w:b/>
                <w:szCs w:val="20"/>
                <w:vertAlign w:val="superscript"/>
              </w:rPr>
              <w:t>2</w:t>
            </w:r>
            <w:r w:rsidR="000C6AF3">
              <w:rPr>
                <w:rFonts w:eastAsia="Calibri"/>
                <w:b/>
                <w:szCs w:val="20"/>
              </w:rPr>
              <w:t xml:space="preserve"> per QALY gained</w:t>
            </w:r>
          </w:p>
        </w:tc>
      </w:tr>
    </w:tbl>
    <w:p w14:paraId="6998330E" w14:textId="77777777" w:rsidR="00703F55" w:rsidRPr="003027B3" w:rsidRDefault="00703F55" w:rsidP="00703F55">
      <w:pPr>
        <w:pStyle w:val="KMC16-TFNotes"/>
        <w:rPr>
          <w:rFonts w:ascii="Arial Narrow" w:hAnsi="Arial Narrow"/>
          <w:sz w:val="18"/>
          <w:szCs w:val="18"/>
          <w:u w:val="single"/>
        </w:rPr>
      </w:pPr>
      <w:r w:rsidRPr="003027B3">
        <w:rPr>
          <w:rFonts w:ascii="Arial Narrow" w:hAnsi="Arial Narrow"/>
          <w:b/>
          <w:bCs/>
          <w:sz w:val="18"/>
          <w:szCs w:val="18"/>
          <w:u w:val="single"/>
        </w:rPr>
        <w:t>Abbreviations</w:t>
      </w:r>
    </w:p>
    <w:p w14:paraId="0EEBA17E" w14:textId="6F4EA201" w:rsidR="00703F55" w:rsidRPr="003027B3" w:rsidRDefault="00112429" w:rsidP="003027B3">
      <w:pPr>
        <w:pStyle w:val="KMC16-TFNotes"/>
        <w:jc w:val="left"/>
        <w:rPr>
          <w:rFonts w:ascii="Arial Narrow" w:hAnsi="Arial Narrow"/>
          <w:sz w:val="18"/>
          <w:szCs w:val="18"/>
        </w:rPr>
      </w:pPr>
      <w:r w:rsidRPr="003027B3">
        <w:rPr>
          <w:rFonts w:ascii="Arial Narrow" w:hAnsi="Arial Narrow"/>
          <w:b/>
          <w:bCs/>
          <w:sz w:val="18"/>
          <w:szCs w:val="18"/>
        </w:rPr>
        <w:t xml:space="preserve">FSL </w:t>
      </w:r>
      <w:r w:rsidRPr="003027B3">
        <w:rPr>
          <w:rFonts w:ascii="Arial Narrow" w:hAnsi="Arial Narrow"/>
          <w:sz w:val="18"/>
          <w:szCs w:val="18"/>
        </w:rPr>
        <w:t xml:space="preserve">= FreeStyle Libre continuous glucose monitoring products, </w:t>
      </w:r>
      <w:r w:rsidRPr="003027B3">
        <w:rPr>
          <w:rFonts w:ascii="Arial Narrow" w:hAnsi="Arial Narrow"/>
          <w:b/>
          <w:bCs/>
          <w:sz w:val="18"/>
          <w:szCs w:val="18"/>
        </w:rPr>
        <w:t xml:space="preserve">LY </w:t>
      </w:r>
      <w:r w:rsidRPr="003027B3">
        <w:rPr>
          <w:rFonts w:ascii="Arial Narrow" w:hAnsi="Arial Narrow"/>
          <w:sz w:val="18"/>
          <w:szCs w:val="18"/>
        </w:rPr>
        <w:t xml:space="preserve">= life year, </w:t>
      </w:r>
      <w:r w:rsidRPr="003027B3">
        <w:rPr>
          <w:rFonts w:ascii="Arial Narrow" w:hAnsi="Arial Narrow"/>
          <w:b/>
          <w:bCs/>
          <w:sz w:val="18"/>
          <w:szCs w:val="18"/>
        </w:rPr>
        <w:t xml:space="preserve">SMBG </w:t>
      </w:r>
      <w:r w:rsidRPr="003027B3">
        <w:rPr>
          <w:rFonts w:ascii="Arial Narrow" w:hAnsi="Arial Narrow"/>
          <w:sz w:val="18"/>
          <w:szCs w:val="18"/>
        </w:rPr>
        <w:t xml:space="preserve">= self-monitoring of blood glucose, </w:t>
      </w:r>
      <w:r w:rsidRPr="003027B3">
        <w:rPr>
          <w:rFonts w:ascii="Arial Narrow" w:hAnsi="Arial Narrow"/>
          <w:b/>
          <w:bCs/>
          <w:sz w:val="18"/>
          <w:szCs w:val="18"/>
        </w:rPr>
        <w:t>QALY</w:t>
      </w:r>
      <w:r w:rsidRPr="003027B3">
        <w:rPr>
          <w:rFonts w:ascii="Arial Narrow" w:hAnsi="Arial Narrow"/>
          <w:sz w:val="18"/>
          <w:szCs w:val="18"/>
        </w:rPr>
        <w:t>= quality-adjusted life year</w:t>
      </w:r>
      <w:r w:rsidR="00703F55" w:rsidRPr="003027B3">
        <w:rPr>
          <w:rFonts w:ascii="Arial Narrow" w:hAnsi="Arial Narrow"/>
          <w:sz w:val="18"/>
          <w:szCs w:val="18"/>
        </w:rPr>
        <w:t>.</w:t>
      </w:r>
      <w:r w:rsidR="00C70CF3" w:rsidRPr="003027B3">
        <w:rPr>
          <w:rFonts w:ascii="Arial Narrow" w:hAnsi="Arial Narrow"/>
          <w:sz w:val="18"/>
          <w:szCs w:val="18"/>
        </w:rPr>
        <w:br/>
      </w:r>
      <w:r w:rsidR="00C70CF3" w:rsidRPr="003027B3">
        <w:rPr>
          <w:rFonts w:ascii="Arial Narrow" w:hAnsi="Arial Narrow"/>
          <w:b/>
          <w:bCs/>
          <w:sz w:val="18"/>
          <w:szCs w:val="18"/>
          <w:u w:val="single"/>
        </w:rPr>
        <w:t>Notes</w:t>
      </w:r>
      <w:r w:rsidR="00C70CF3" w:rsidRPr="003027B3">
        <w:rPr>
          <w:rFonts w:ascii="Arial Narrow" w:hAnsi="Arial Narrow"/>
          <w:b/>
          <w:bCs/>
          <w:sz w:val="18"/>
          <w:szCs w:val="18"/>
          <w:u w:val="single"/>
        </w:rPr>
        <w:br/>
      </w:r>
      <w:r w:rsidR="00C70CF3" w:rsidRPr="003027B3">
        <w:rPr>
          <w:rFonts w:ascii="Arial Narrow" w:hAnsi="Arial Narrow"/>
          <w:sz w:val="18"/>
          <w:szCs w:val="18"/>
        </w:rPr>
        <w:t>All currencies represent AUD.</w:t>
      </w:r>
    </w:p>
    <w:p w14:paraId="6CC8F77D" w14:textId="77777777" w:rsidR="00DA71EB" w:rsidRDefault="00DA71EB" w:rsidP="00DA71EB">
      <w:pPr>
        <w:pStyle w:val="KMC16-TFNotes"/>
        <w:jc w:val="left"/>
        <w:rPr>
          <w:rFonts w:ascii="Arial Narrow" w:hAnsi="Arial Narrow"/>
          <w:sz w:val="18"/>
          <w:szCs w:val="18"/>
        </w:rPr>
      </w:pPr>
      <w:r>
        <w:rPr>
          <w:rFonts w:ascii="Arial Narrow" w:hAnsi="Arial Narrow"/>
          <w:sz w:val="18"/>
          <w:szCs w:val="18"/>
        </w:rPr>
        <w:t>The redacted values correspond to the following ranges:</w:t>
      </w:r>
    </w:p>
    <w:p w14:paraId="74CB5E7C" w14:textId="794E4E2F" w:rsidR="00DA71EB" w:rsidRDefault="00DA71EB" w:rsidP="00DA71EB">
      <w:pPr>
        <w:pStyle w:val="KMC16-TFNotes"/>
        <w:jc w:val="left"/>
        <w:rPr>
          <w:rFonts w:ascii="Arial Narrow" w:hAnsi="Arial Narrow"/>
          <w:sz w:val="18"/>
          <w:szCs w:val="18"/>
        </w:rPr>
      </w:pPr>
      <w:r>
        <w:rPr>
          <w:rFonts w:ascii="Arial Narrow" w:hAnsi="Arial Narrow"/>
          <w:sz w:val="18"/>
          <w:szCs w:val="18"/>
          <w:vertAlign w:val="superscript"/>
        </w:rPr>
        <w:t>1</w:t>
      </w:r>
      <w:r>
        <w:rPr>
          <w:rFonts w:ascii="Arial Narrow" w:hAnsi="Arial Narrow"/>
          <w:sz w:val="18"/>
          <w:szCs w:val="18"/>
        </w:rPr>
        <w:t xml:space="preserve"> $</w:t>
      </w:r>
      <w:r w:rsidR="00713C98">
        <w:rPr>
          <w:rFonts w:ascii="Arial Narrow" w:hAnsi="Arial Narrow"/>
          <w:sz w:val="18"/>
          <w:szCs w:val="18"/>
        </w:rPr>
        <w:t>2</w:t>
      </w:r>
      <w:r>
        <w:rPr>
          <w:rFonts w:ascii="Arial Narrow" w:hAnsi="Arial Narrow"/>
          <w:sz w:val="18"/>
          <w:szCs w:val="18"/>
        </w:rPr>
        <w:t>5,000 to &lt; $</w:t>
      </w:r>
      <w:r w:rsidR="00713C98">
        <w:rPr>
          <w:rFonts w:ascii="Arial Narrow" w:hAnsi="Arial Narrow"/>
          <w:sz w:val="18"/>
          <w:szCs w:val="18"/>
        </w:rPr>
        <w:t>3</w:t>
      </w:r>
      <w:r>
        <w:rPr>
          <w:rFonts w:ascii="Arial Narrow" w:hAnsi="Arial Narrow"/>
          <w:sz w:val="18"/>
          <w:szCs w:val="18"/>
        </w:rPr>
        <w:t>5,000</w:t>
      </w:r>
    </w:p>
    <w:p w14:paraId="55A34312" w14:textId="0ED519C2" w:rsidR="00453A15" w:rsidRDefault="00DA71EB" w:rsidP="00453A15">
      <w:pPr>
        <w:pStyle w:val="KMC16-TFNotes"/>
        <w:jc w:val="left"/>
        <w:rPr>
          <w:rFonts w:ascii="Arial Narrow" w:hAnsi="Arial Narrow"/>
          <w:sz w:val="18"/>
          <w:szCs w:val="18"/>
        </w:rPr>
      </w:pPr>
      <w:r>
        <w:rPr>
          <w:rFonts w:ascii="Arial Narrow" w:hAnsi="Arial Narrow"/>
          <w:sz w:val="18"/>
          <w:szCs w:val="18"/>
          <w:vertAlign w:val="superscript"/>
        </w:rPr>
        <w:t>2</w:t>
      </w:r>
      <w:r>
        <w:rPr>
          <w:rFonts w:ascii="Arial Narrow" w:hAnsi="Arial Narrow"/>
          <w:sz w:val="18"/>
          <w:szCs w:val="18"/>
        </w:rPr>
        <w:t xml:space="preserve"> $15,000 to &lt; $25,000</w:t>
      </w:r>
      <w:r w:rsidR="00453A15">
        <w:rPr>
          <w:rFonts w:ascii="Arial Narrow" w:hAnsi="Arial Narrow"/>
          <w:sz w:val="18"/>
          <w:szCs w:val="18"/>
        </w:rPr>
        <w:br w:type="page"/>
      </w:r>
    </w:p>
    <w:p w14:paraId="37BE0C28" w14:textId="7A573E0B" w:rsidR="000C6AF3" w:rsidRPr="00CE28E3" w:rsidRDefault="000C6AF3" w:rsidP="000C6AF3">
      <w:pPr>
        <w:pStyle w:val="Caption"/>
      </w:pPr>
      <w:r w:rsidRPr="00CE28E3">
        <w:t>Table</w:t>
      </w:r>
      <w:r>
        <w:t> </w:t>
      </w:r>
      <w:r w:rsidR="00315A60">
        <w:fldChar w:fldCharType="begin"/>
      </w:r>
      <w:r w:rsidR="00315A60">
        <w:instrText xml:space="preserve"> SEQ Table \* ARABIC </w:instrText>
      </w:r>
      <w:r w:rsidR="00315A60">
        <w:fldChar w:fldCharType="separate"/>
      </w:r>
      <w:r w:rsidR="00315A60">
        <w:rPr>
          <w:noProof/>
        </w:rPr>
        <w:t>9</w:t>
      </w:r>
      <w:r w:rsidR="00315A60">
        <w:rPr>
          <w:noProof/>
        </w:rPr>
        <w:fldChar w:fldCharType="end"/>
      </w:r>
      <w:r w:rsidRPr="00CE28E3">
        <w:tab/>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4"/>
        <w:gridCol w:w="3686"/>
        <w:gridCol w:w="3776"/>
      </w:tblGrid>
      <w:tr w:rsidR="000C6AF3" w:rsidRPr="00CE28E3" w14:paraId="6B9C7A48" w14:textId="77777777" w:rsidTr="006536A3">
        <w:trPr>
          <w:tblHeader/>
        </w:trPr>
        <w:tc>
          <w:tcPr>
            <w:tcW w:w="862" w:type="pct"/>
            <w:vAlign w:val="center"/>
          </w:tcPr>
          <w:p w14:paraId="10E53A98" w14:textId="77777777" w:rsidR="000C6AF3" w:rsidRPr="005102BE" w:rsidRDefault="000C6AF3" w:rsidP="004A2A66">
            <w:pPr>
              <w:pStyle w:val="In-tableHeading"/>
              <w:jc w:val="center"/>
              <w:rPr>
                <w:lang w:val="en-AU"/>
              </w:rPr>
            </w:pPr>
            <w:r w:rsidRPr="005102BE">
              <w:rPr>
                <w:lang w:val="en-AU"/>
              </w:rPr>
              <w:t>Description</w:t>
            </w:r>
          </w:p>
        </w:tc>
        <w:tc>
          <w:tcPr>
            <w:tcW w:w="2044" w:type="pct"/>
            <w:vAlign w:val="center"/>
          </w:tcPr>
          <w:p w14:paraId="45058773" w14:textId="77777777" w:rsidR="000C6AF3" w:rsidRPr="005102BE" w:rsidRDefault="000C6AF3" w:rsidP="004A2A66">
            <w:pPr>
              <w:pStyle w:val="In-tableHeading"/>
              <w:jc w:val="center"/>
              <w:rPr>
                <w:lang w:val="en-AU"/>
              </w:rPr>
            </w:pPr>
            <w:r w:rsidRPr="005102BE">
              <w:rPr>
                <w:lang w:val="en-AU"/>
              </w:rPr>
              <w:t>Method/Value</w:t>
            </w:r>
          </w:p>
        </w:tc>
        <w:tc>
          <w:tcPr>
            <w:tcW w:w="2094" w:type="pct"/>
            <w:vAlign w:val="center"/>
          </w:tcPr>
          <w:p w14:paraId="002A2365" w14:textId="77777777" w:rsidR="000C6AF3" w:rsidRPr="005102BE" w:rsidRDefault="000C6AF3" w:rsidP="004A2A66">
            <w:pPr>
              <w:pStyle w:val="In-tableHeading"/>
              <w:jc w:val="center"/>
              <w:rPr>
                <w:lang w:val="en-AU"/>
              </w:rPr>
            </w:pPr>
            <w:r w:rsidRPr="005102BE">
              <w:rPr>
                <w:lang w:val="en-AU"/>
              </w:rPr>
              <w:t>Impact</w:t>
            </w:r>
          </w:p>
        </w:tc>
      </w:tr>
      <w:tr w:rsidR="000C6AF3" w:rsidRPr="00CE28E3" w14:paraId="28B5D074" w14:textId="77777777" w:rsidTr="006536A3">
        <w:tc>
          <w:tcPr>
            <w:tcW w:w="862" w:type="pct"/>
            <w:vAlign w:val="center"/>
          </w:tcPr>
          <w:p w14:paraId="6D0C1CE2" w14:textId="5261CC54" w:rsidR="000C6AF3" w:rsidRPr="005102BE" w:rsidRDefault="000C6AF3" w:rsidP="004A2A66">
            <w:pPr>
              <w:pStyle w:val="TableText"/>
              <w:jc w:val="center"/>
            </w:pPr>
            <w:bookmarkStart w:id="64" w:name="_Hlk192752395"/>
            <w:r w:rsidRPr="004A478D">
              <w:t>One-</w:t>
            </w:r>
            <w:r w:rsidR="00703F55">
              <w:t>t</w:t>
            </w:r>
            <w:r w:rsidRPr="004A478D">
              <w:t xml:space="preserve">ime </w:t>
            </w:r>
            <w:r w:rsidR="00703F55">
              <w:t>a</w:t>
            </w:r>
            <w:r w:rsidRPr="004A478D">
              <w:t xml:space="preserve">bsolute HbA1c </w:t>
            </w:r>
            <w:r w:rsidR="00703F55">
              <w:t>r</w:t>
            </w:r>
            <w:r w:rsidRPr="004A478D">
              <w:t>eduction</w:t>
            </w:r>
            <w:r w:rsidRPr="00CE28E3" w:rsidDel="00D16FBF">
              <w:t xml:space="preserve"> </w:t>
            </w:r>
            <w:bookmarkEnd w:id="64"/>
          </w:p>
        </w:tc>
        <w:tc>
          <w:tcPr>
            <w:tcW w:w="2044" w:type="pct"/>
            <w:vAlign w:val="center"/>
          </w:tcPr>
          <w:p w14:paraId="04BCF494" w14:textId="4B572F3B" w:rsidR="000C6AF3" w:rsidRPr="005102BE" w:rsidRDefault="000C6AF3" w:rsidP="004A2A66">
            <w:pPr>
              <w:pStyle w:val="TableText"/>
              <w:rPr>
                <w:rFonts w:cs="Arial"/>
                <w:szCs w:val="20"/>
              </w:rPr>
            </w:pPr>
            <w:r w:rsidRPr="005102BE">
              <w:t>The one-time, absolute HbA1c reduction for FSL was explored in the one-way sensitivity analysis (</w:t>
            </w:r>
            <w:r>
              <w:fldChar w:fldCharType="begin"/>
            </w:r>
            <w:r>
              <w:instrText xml:space="preserve"> REF _Ref192688311 \h </w:instrText>
            </w:r>
            <w:r w:rsidR="00703F55">
              <w:instrText xml:space="preserve"> \* MERGEFORMAT </w:instrText>
            </w:r>
            <w:r>
              <w:fldChar w:fldCharType="separate"/>
            </w:r>
            <w:r w:rsidR="00315A60">
              <w:t xml:space="preserve">Figure </w:t>
            </w:r>
            <w:r w:rsidR="00315A60">
              <w:rPr>
                <w:noProof/>
              </w:rPr>
              <w:t>3</w:t>
            </w:r>
            <w:r>
              <w:fldChar w:fldCharType="end"/>
            </w:r>
            <w:r>
              <w:t xml:space="preserve">) and </w:t>
            </w:r>
            <w:r w:rsidRPr="005102BE">
              <w:rPr>
                <w:rFonts w:cs="Arial"/>
                <w:szCs w:val="20"/>
              </w:rPr>
              <w:t xml:space="preserve">varied ±20% </w:t>
            </w:r>
            <w:r w:rsidR="00112429">
              <w:rPr>
                <w:rFonts w:cs="Arial"/>
                <w:szCs w:val="20"/>
              </w:rPr>
              <w:t xml:space="preserve">of </w:t>
            </w:r>
            <w:r w:rsidRPr="005102BE">
              <w:rPr>
                <w:rFonts w:cs="Arial"/>
                <w:szCs w:val="20"/>
              </w:rPr>
              <w:t xml:space="preserve">the mean </w:t>
            </w:r>
            <w:r w:rsidRPr="005102BE">
              <w:rPr>
                <w:rFonts w:cs="Arial"/>
                <w:iCs/>
                <w:szCs w:val="20"/>
              </w:rPr>
              <w:t>(</w:t>
            </w:r>
            <w:r w:rsidR="00433F43">
              <w:rPr>
                <w:rFonts w:cs="Arial"/>
                <w:iCs/>
                <w:szCs w:val="20"/>
              </w:rPr>
              <w:t>−</w:t>
            </w:r>
            <w:r w:rsidRPr="005102BE">
              <w:rPr>
                <w:rFonts w:cs="Arial"/>
                <w:szCs w:val="20"/>
              </w:rPr>
              <w:t>0.73).</w:t>
            </w:r>
          </w:p>
          <w:p w14:paraId="5FFF8996" w14:textId="77777777" w:rsidR="000C6AF3" w:rsidRPr="005102BE" w:rsidRDefault="000C6AF3" w:rsidP="004A2A66">
            <w:pPr>
              <w:pStyle w:val="TableText"/>
            </w:pPr>
          </w:p>
          <w:p w14:paraId="694E25B1" w14:textId="6B7AC8A4" w:rsidR="000C6AF3" w:rsidRPr="005102BE" w:rsidRDefault="000C6AF3" w:rsidP="004A2A66">
            <w:pPr>
              <w:pStyle w:val="TableText"/>
            </w:pPr>
            <w:r w:rsidRPr="005102BE">
              <w:t xml:space="preserve">The one-time, absolute HbA1c reduction caused by FSL on the baseline HbA1c was explored using different sources </w:t>
            </w:r>
          </w:p>
          <w:p w14:paraId="7608EE36" w14:textId="7EE75D45" w:rsidR="000C6AF3" w:rsidRPr="005102BE" w:rsidRDefault="000C6AF3" w:rsidP="004A2A66">
            <w:pPr>
              <w:pStyle w:val="Bullet"/>
              <w:spacing w:before="0" w:after="0"/>
              <w:ind w:left="357" w:hanging="357"/>
            </w:pPr>
            <w:r w:rsidRPr="005102BE">
              <w:rPr>
                <w:rFonts w:ascii="Arial Narrow" w:hAnsi="Arial Narrow"/>
                <w:sz w:val="20"/>
              </w:rPr>
              <w:t>meta-analysis of comparative trials informed the FSL treatment effect (</w:t>
            </w:r>
            <w:r w:rsidR="00433F43">
              <w:rPr>
                <w:rFonts w:ascii="Arial Narrow" w:hAnsi="Arial Narrow"/>
                <w:sz w:val="20"/>
              </w:rPr>
              <w:t>−</w:t>
            </w:r>
            <w:r w:rsidRPr="005102BE">
              <w:rPr>
                <w:rFonts w:ascii="Arial Narrow" w:hAnsi="Arial Narrow"/>
                <w:sz w:val="20"/>
              </w:rPr>
              <w:t>0.5%) for T2D patients.</w:t>
            </w:r>
          </w:p>
          <w:p w14:paraId="4FA77192" w14:textId="5709F57E" w:rsidR="000C6AF3" w:rsidRPr="005102BE" w:rsidRDefault="000C6AF3" w:rsidP="004A2A66">
            <w:pPr>
              <w:pStyle w:val="Bullet"/>
              <w:spacing w:before="0" w:after="0"/>
              <w:ind w:left="357" w:hanging="357"/>
              <w:rPr>
                <w:rFonts w:ascii="Arial Narrow" w:hAnsi="Arial Narrow"/>
                <w:sz w:val="20"/>
              </w:rPr>
            </w:pPr>
            <w:r w:rsidRPr="005102BE">
              <w:rPr>
                <w:rFonts w:ascii="Arial Narrow" w:hAnsi="Arial Narrow"/>
                <w:sz w:val="20"/>
              </w:rPr>
              <w:t>T2D patients using intensive insulin informed the FSL treatment effect (</w:t>
            </w:r>
            <w:r w:rsidR="00433F43">
              <w:rPr>
                <w:rFonts w:ascii="Arial Narrow" w:hAnsi="Arial Narrow"/>
                <w:sz w:val="20"/>
              </w:rPr>
              <w:t>−</w:t>
            </w:r>
            <w:r w:rsidRPr="005102BE">
              <w:rPr>
                <w:rFonts w:ascii="Arial Narrow" w:hAnsi="Arial Narrow"/>
                <w:sz w:val="20"/>
              </w:rPr>
              <w:t xml:space="preserve">0.88%). </w:t>
            </w:r>
          </w:p>
          <w:p w14:paraId="65BCD3DD" w14:textId="056AC890" w:rsidR="000C6AF3" w:rsidRPr="005102BE" w:rsidRDefault="000C6AF3" w:rsidP="004A2A66">
            <w:pPr>
              <w:pStyle w:val="Bullet"/>
              <w:spacing w:before="0" w:after="0"/>
              <w:ind w:left="357" w:hanging="357"/>
              <w:rPr>
                <w:rFonts w:ascii="Arial Narrow" w:hAnsi="Arial Narrow"/>
                <w:sz w:val="20"/>
              </w:rPr>
            </w:pPr>
            <w:r w:rsidRPr="005102BE">
              <w:rPr>
                <w:rFonts w:ascii="Arial Narrow" w:hAnsi="Arial Narrow"/>
                <w:sz w:val="20"/>
              </w:rPr>
              <w:t xml:space="preserve">All T2D insulin patients with HbA1c </w:t>
            </w:r>
            <w:r w:rsidR="00112429">
              <w:rPr>
                <w:rFonts w:ascii="Arial Narrow" w:hAnsi="Arial Narrow"/>
                <w:sz w:val="20"/>
              </w:rPr>
              <w:t>≥</w:t>
            </w:r>
            <w:r w:rsidRPr="005102BE">
              <w:rPr>
                <w:rFonts w:ascii="Arial Narrow" w:hAnsi="Arial Narrow"/>
                <w:sz w:val="20"/>
              </w:rPr>
              <w:t>8% informed the FSL treatment effect (</w:t>
            </w:r>
            <w:r w:rsidR="00433F43">
              <w:rPr>
                <w:rFonts w:ascii="Arial Narrow" w:hAnsi="Arial Narrow"/>
                <w:sz w:val="20"/>
              </w:rPr>
              <w:t>−</w:t>
            </w:r>
            <w:r w:rsidRPr="005102BE">
              <w:rPr>
                <w:rFonts w:ascii="Arial Narrow" w:hAnsi="Arial Narrow"/>
                <w:sz w:val="20"/>
              </w:rPr>
              <w:t xml:space="preserve">0.78%). </w:t>
            </w:r>
          </w:p>
          <w:p w14:paraId="1818BFB9" w14:textId="36A9F673" w:rsidR="000C6AF3" w:rsidRPr="005102BE" w:rsidRDefault="000C6AF3" w:rsidP="004A2A66">
            <w:pPr>
              <w:pStyle w:val="Bullet"/>
              <w:spacing w:before="0" w:after="0"/>
              <w:ind w:left="357" w:hanging="357"/>
              <w:rPr>
                <w:rFonts w:ascii="Arial Narrow" w:hAnsi="Arial Narrow"/>
                <w:sz w:val="20"/>
              </w:rPr>
            </w:pPr>
            <w:r w:rsidRPr="005102BE">
              <w:rPr>
                <w:rFonts w:ascii="Arial Narrow" w:hAnsi="Arial Narrow"/>
                <w:sz w:val="20"/>
              </w:rPr>
              <w:t xml:space="preserve">All T2D insulin patients with HbA1c </w:t>
            </w:r>
            <w:r w:rsidR="00112429">
              <w:rPr>
                <w:rFonts w:ascii="Arial Narrow" w:hAnsi="Arial Narrow"/>
                <w:sz w:val="20"/>
              </w:rPr>
              <w:t>≥</w:t>
            </w:r>
            <w:r w:rsidRPr="005102BE">
              <w:rPr>
                <w:rFonts w:ascii="Arial Narrow" w:hAnsi="Arial Narrow"/>
                <w:sz w:val="20"/>
              </w:rPr>
              <w:t>8.7% informed the FSL treatment effect (</w:t>
            </w:r>
            <w:r w:rsidR="00433F43">
              <w:rPr>
                <w:rFonts w:ascii="Arial Narrow" w:hAnsi="Arial Narrow"/>
                <w:sz w:val="20"/>
              </w:rPr>
              <w:t>−</w:t>
            </w:r>
            <w:r w:rsidRPr="005102BE">
              <w:rPr>
                <w:rFonts w:ascii="Arial Narrow" w:hAnsi="Arial Narrow"/>
                <w:sz w:val="20"/>
              </w:rPr>
              <w:t xml:space="preserve">0.93%). </w:t>
            </w:r>
          </w:p>
          <w:p w14:paraId="087FC80B" w14:textId="540194D9" w:rsidR="000C6AF3" w:rsidRPr="005102BE" w:rsidRDefault="000C6AF3" w:rsidP="004A2A66">
            <w:pPr>
              <w:pStyle w:val="Bullet"/>
              <w:spacing w:before="0" w:after="0"/>
              <w:ind w:left="357" w:hanging="357"/>
            </w:pPr>
            <w:r w:rsidRPr="005102BE">
              <w:rPr>
                <w:rFonts w:ascii="Arial Narrow" w:hAnsi="Arial Narrow"/>
                <w:sz w:val="20"/>
              </w:rPr>
              <w:t xml:space="preserve">No additional benefit from SMBG </w:t>
            </w:r>
            <w:r w:rsidR="00D82626" w:rsidRPr="005102BE">
              <w:rPr>
                <w:rFonts w:ascii="Arial Narrow" w:hAnsi="Arial Narrow"/>
                <w:sz w:val="20"/>
              </w:rPr>
              <w:t>s</w:t>
            </w:r>
            <w:r w:rsidRPr="005102BE">
              <w:rPr>
                <w:rFonts w:ascii="Arial Narrow" w:hAnsi="Arial Narrow"/>
                <w:sz w:val="20"/>
              </w:rPr>
              <w:t xml:space="preserve">cenario </w:t>
            </w:r>
            <w:r w:rsidR="00D82626" w:rsidRPr="005102BE">
              <w:rPr>
                <w:rFonts w:ascii="Arial Narrow" w:hAnsi="Arial Narrow"/>
                <w:sz w:val="20"/>
              </w:rPr>
              <w:t>a</w:t>
            </w:r>
            <w:r w:rsidRPr="005102BE">
              <w:rPr>
                <w:rFonts w:ascii="Arial Narrow" w:hAnsi="Arial Narrow"/>
                <w:sz w:val="20"/>
              </w:rPr>
              <w:t xml:space="preserve">nalysis: </w:t>
            </w:r>
            <w:r w:rsidR="007C1A0D" w:rsidRPr="005102BE">
              <w:rPr>
                <w:rFonts w:ascii="Arial Narrow" w:hAnsi="Arial Narrow"/>
                <w:sz w:val="20"/>
              </w:rPr>
              <w:t>‘</w:t>
            </w:r>
            <w:r w:rsidR="0097087B">
              <w:rPr>
                <w:rFonts w:ascii="Arial Narrow" w:hAnsi="Arial Narrow"/>
                <w:sz w:val="20"/>
              </w:rPr>
              <w:t>‘</w:t>
            </w:r>
            <w:r w:rsidRPr="005102BE">
              <w:rPr>
                <w:rFonts w:ascii="Arial Narrow" w:hAnsi="Arial Narrow"/>
                <w:sz w:val="20"/>
              </w:rPr>
              <w:t>Funding FSL vs not</w:t>
            </w:r>
            <w:r w:rsidR="007C1A0D" w:rsidRPr="005102BE">
              <w:rPr>
                <w:rFonts w:ascii="Arial Narrow" w:hAnsi="Arial Narrow"/>
                <w:sz w:val="20"/>
              </w:rPr>
              <w:t>’</w:t>
            </w:r>
            <w:r w:rsidR="0097087B">
              <w:rPr>
                <w:rFonts w:ascii="Arial Narrow" w:hAnsi="Arial Narrow"/>
                <w:sz w:val="20"/>
              </w:rPr>
              <w:t>’</w:t>
            </w:r>
            <w:r w:rsidRPr="005102BE">
              <w:rPr>
                <w:rFonts w:ascii="Arial Narrow" w:hAnsi="Arial Narrow"/>
                <w:sz w:val="20"/>
              </w:rPr>
              <w:t xml:space="preserve"> A meta-analysis of all trials informed the FSL treatment effect (</w:t>
            </w:r>
            <w:r w:rsidR="00433F43">
              <w:rPr>
                <w:rFonts w:ascii="Arial Narrow" w:hAnsi="Arial Narrow"/>
                <w:sz w:val="20"/>
              </w:rPr>
              <w:t>−</w:t>
            </w:r>
            <w:r w:rsidRPr="005102BE">
              <w:rPr>
                <w:rFonts w:ascii="Arial Narrow" w:hAnsi="Arial Narrow"/>
                <w:sz w:val="20"/>
              </w:rPr>
              <w:t xml:space="preserve">0.73%). The SMBG treatment effect was assumed to be 0. </w:t>
            </w:r>
          </w:p>
        </w:tc>
        <w:tc>
          <w:tcPr>
            <w:tcW w:w="2094" w:type="pct"/>
            <w:vAlign w:val="center"/>
          </w:tcPr>
          <w:p w14:paraId="292A0B70" w14:textId="77777777" w:rsidR="000C6AF3" w:rsidRPr="005102BE" w:rsidRDefault="000C6AF3" w:rsidP="004A2A66">
            <w:pPr>
              <w:pStyle w:val="TableText"/>
              <w:spacing w:after="160"/>
            </w:pPr>
            <w:r w:rsidRPr="005102BE">
              <w:t>High value for FSL: Favours FSL</w:t>
            </w:r>
          </w:p>
          <w:p w14:paraId="4D059F6E" w14:textId="77777777" w:rsidR="000C6AF3" w:rsidRPr="005102BE" w:rsidRDefault="000C6AF3" w:rsidP="004A2A66">
            <w:pPr>
              <w:pStyle w:val="TableText"/>
              <w:spacing w:after="160"/>
            </w:pPr>
            <w:r w:rsidRPr="005102BE">
              <w:t>Low value for FSL: Favours SMBG</w:t>
            </w:r>
          </w:p>
          <w:p w14:paraId="0E8675EF" w14:textId="77777777" w:rsidR="000C6AF3" w:rsidRPr="00703F55" w:rsidRDefault="000C6AF3" w:rsidP="004A2A66">
            <w:pPr>
              <w:pStyle w:val="TableText"/>
              <w:spacing w:after="160"/>
              <w:rPr>
                <w:rFonts w:cs="Arial"/>
                <w:iCs/>
                <w:szCs w:val="20"/>
              </w:rPr>
            </w:pPr>
            <w:r w:rsidRPr="005102BE">
              <w:t xml:space="preserve">FLS was not cost saving for any of the scenarios presented above.  </w:t>
            </w:r>
          </w:p>
          <w:p w14:paraId="576715A2" w14:textId="5673BD90" w:rsidR="000C6AF3" w:rsidRPr="005102BE" w:rsidRDefault="000C6AF3" w:rsidP="004A2A66">
            <w:pPr>
              <w:pStyle w:val="TableText"/>
              <w:spacing w:after="160"/>
            </w:pPr>
            <w:r w:rsidRPr="005102BE">
              <w:t xml:space="preserve">The </w:t>
            </w:r>
            <w:r w:rsidR="005A5D9B">
              <w:t>ADAR</w:t>
            </w:r>
            <w:r w:rsidRPr="005102BE">
              <w:t xml:space="preserve"> did not provide any threshold analysis to present the treatment effect required to be cost-effective or cost-saving. </w:t>
            </w:r>
          </w:p>
        </w:tc>
      </w:tr>
      <w:tr w:rsidR="000C6AF3" w:rsidRPr="00CE28E3" w14:paraId="2C97B870" w14:textId="77777777" w:rsidTr="006536A3">
        <w:tc>
          <w:tcPr>
            <w:tcW w:w="862" w:type="pct"/>
            <w:vAlign w:val="center"/>
          </w:tcPr>
          <w:p w14:paraId="620ABB7E" w14:textId="77777777" w:rsidR="000C6AF3" w:rsidRPr="005102BE" w:rsidRDefault="000C6AF3" w:rsidP="004A2A66">
            <w:pPr>
              <w:pStyle w:val="TableText"/>
              <w:jc w:val="center"/>
            </w:pPr>
            <w:r w:rsidRPr="005102BE">
              <w:t>Treatment acquisition costs</w:t>
            </w:r>
          </w:p>
        </w:tc>
        <w:tc>
          <w:tcPr>
            <w:tcW w:w="2044" w:type="pct"/>
            <w:vAlign w:val="center"/>
          </w:tcPr>
          <w:p w14:paraId="50C7CA4E" w14:textId="7622CD88" w:rsidR="000C6AF3" w:rsidRPr="005102BE" w:rsidRDefault="003E0E7F" w:rsidP="004A2A66">
            <w:pPr>
              <w:pStyle w:val="TableText"/>
            </w:pPr>
            <w:r w:rsidRPr="005102BE">
              <w:t>C</w:t>
            </w:r>
            <w:r w:rsidR="000C6AF3" w:rsidRPr="005102BE">
              <w:t>osts of FSL and SMBG were explored in the one-way sensitivity analysis (</w:t>
            </w:r>
            <w:r w:rsidR="000C6AF3">
              <w:fldChar w:fldCharType="begin"/>
            </w:r>
            <w:r w:rsidR="000C6AF3">
              <w:instrText xml:space="preserve"> REF _Ref192688311 \h  \* MERGEFORMAT </w:instrText>
            </w:r>
            <w:r w:rsidR="000C6AF3">
              <w:fldChar w:fldCharType="separate"/>
            </w:r>
            <w:r w:rsidR="00315A60">
              <w:t xml:space="preserve">Figure </w:t>
            </w:r>
            <w:r w:rsidR="00315A60">
              <w:rPr>
                <w:noProof/>
              </w:rPr>
              <w:t>3</w:t>
            </w:r>
            <w:r w:rsidR="000C6AF3">
              <w:fldChar w:fldCharType="end"/>
            </w:r>
            <w:r w:rsidR="000C6AF3">
              <w:t xml:space="preserve">) and </w:t>
            </w:r>
            <w:r w:rsidR="000C6AF3" w:rsidRPr="005102BE">
              <w:rPr>
                <w:rFonts w:cs="Arial"/>
                <w:szCs w:val="20"/>
              </w:rPr>
              <w:t xml:space="preserve">varied ±20% </w:t>
            </w:r>
            <w:r w:rsidR="00112429">
              <w:rPr>
                <w:rFonts w:cs="Arial"/>
                <w:szCs w:val="20"/>
              </w:rPr>
              <w:t xml:space="preserve">of </w:t>
            </w:r>
            <w:r w:rsidR="000C6AF3" w:rsidRPr="005102BE">
              <w:rPr>
                <w:rFonts w:cs="Arial"/>
                <w:szCs w:val="20"/>
              </w:rPr>
              <w:t>the mean.</w:t>
            </w:r>
          </w:p>
        </w:tc>
        <w:tc>
          <w:tcPr>
            <w:tcW w:w="2094" w:type="pct"/>
            <w:vAlign w:val="center"/>
          </w:tcPr>
          <w:p w14:paraId="1BA90401" w14:textId="481DCC1F" w:rsidR="000C6AF3" w:rsidRPr="00703F55" w:rsidRDefault="000C6AF3" w:rsidP="004A2A66">
            <w:pPr>
              <w:pStyle w:val="TableText"/>
              <w:rPr>
                <w:iCs/>
              </w:rPr>
            </w:pPr>
            <w:r w:rsidRPr="00703F55">
              <w:rPr>
                <w:iCs/>
              </w:rPr>
              <w:fldChar w:fldCharType="begin"/>
            </w:r>
            <w:r w:rsidRPr="00703F55">
              <w:rPr>
                <w:iCs/>
              </w:rPr>
              <w:instrText xml:space="preserve"> REF _Ref192688311 \h  \* MERGEFORMAT </w:instrText>
            </w:r>
            <w:r w:rsidRPr="00703F55">
              <w:rPr>
                <w:iCs/>
              </w:rPr>
            </w:r>
            <w:r w:rsidRPr="00703F55">
              <w:rPr>
                <w:iCs/>
              </w:rPr>
              <w:fldChar w:fldCharType="separate"/>
            </w:r>
            <w:r w:rsidR="00315A60" w:rsidRPr="00315A60">
              <w:rPr>
                <w:iCs/>
              </w:rPr>
              <w:t xml:space="preserve">Figure </w:t>
            </w:r>
            <w:r w:rsidR="00315A60" w:rsidRPr="00315A60">
              <w:rPr>
                <w:iCs/>
                <w:noProof/>
              </w:rPr>
              <w:t>3</w:t>
            </w:r>
            <w:r w:rsidRPr="00703F55">
              <w:rPr>
                <w:iCs/>
              </w:rPr>
              <w:fldChar w:fldCharType="end"/>
            </w:r>
            <w:r w:rsidRPr="00703F55">
              <w:rPr>
                <w:iCs/>
              </w:rPr>
              <w:t xml:space="preserve"> shows that the treatment acquisition cost for FSL and SMBG were both </w:t>
            </w:r>
            <w:r w:rsidR="00765805" w:rsidRPr="00A54EDF">
              <w:rPr>
                <w:iCs/>
              </w:rPr>
              <w:t>among</w:t>
            </w:r>
            <w:r w:rsidRPr="00703F55">
              <w:rPr>
                <w:iCs/>
              </w:rPr>
              <w:t xml:space="preserve"> the top </w:t>
            </w:r>
            <w:r w:rsidR="00765805" w:rsidRPr="00A54EDF">
              <w:rPr>
                <w:iCs/>
              </w:rPr>
              <w:t xml:space="preserve">3 </w:t>
            </w:r>
            <w:r w:rsidRPr="00703F55">
              <w:rPr>
                <w:iCs/>
              </w:rPr>
              <w:t xml:space="preserve">drivers of cost-effectiveness. </w:t>
            </w:r>
          </w:p>
          <w:p w14:paraId="3E0B62E5" w14:textId="77777777" w:rsidR="000C6AF3" w:rsidRPr="005102BE" w:rsidRDefault="000C6AF3" w:rsidP="004A2A66">
            <w:pPr>
              <w:pStyle w:val="TableText"/>
            </w:pPr>
          </w:p>
          <w:p w14:paraId="55DDBE70" w14:textId="2F265080" w:rsidR="000C6AF3" w:rsidRPr="005102BE" w:rsidRDefault="000C6AF3" w:rsidP="004A2A66">
            <w:pPr>
              <w:pStyle w:val="TableText"/>
            </w:pPr>
            <w:r w:rsidRPr="005102BE">
              <w:t>A lower cost of FSL favoured FSL. Reducing the cost of FSL by 20% did not change the conclusion (i.e. cost-effective but not cost</w:t>
            </w:r>
            <w:r w:rsidR="008D721E">
              <w:rPr>
                <w:iCs/>
              </w:rPr>
              <w:t xml:space="preserve"> </w:t>
            </w:r>
            <w:r w:rsidRPr="005102BE">
              <w:t>saving)</w:t>
            </w:r>
          </w:p>
          <w:p w14:paraId="36DFA0F6" w14:textId="77777777" w:rsidR="000C6AF3" w:rsidRPr="005102BE" w:rsidRDefault="000C6AF3" w:rsidP="004A2A66">
            <w:pPr>
              <w:pStyle w:val="TableText"/>
            </w:pPr>
          </w:p>
          <w:p w14:paraId="3C2EC1C7" w14:textId="3A2CAAEA" w:rsidR="000C6AF3" w:rsidRPr="005102BE" w:rsidRDefault="000C6AF3" w:rsidP="004A2A66">
            <w:pPr>
              <w:pStyle w:val="TableText"/>
            </w:pPr>
            <w:r w:rsidRPr="005102BE">
              <w:t>A higher cost of FSL favoured SMBG</w:t>
            </w:r>
            <w:r w:rsidR="000E48E8" w:rsidRPr="005102BE">
              <w:rPr>
                <w:iCs/>
              </w:rPr>
              <w:t>.</w:t>
            </w:r>
            <w:r w:rsidRPr="005102BE">
              <w:rPr>
                <w:iCs/>
              </w:rPr>
              <w:t xml:space="preserve"> </w:t>
            </w:r>
            <w:r w:rsidR="000E48E8" w:rsidRPr="005102BE">
              <w:rPr>
                <w:iCs/>
              </w:rPr>
              <w:t>H</w:t>
            </w:r>
            <w:r w:rsidRPr="005102BE">
              <w:t xml:space="preserve">owever, FSL remained cost-effective at a threshold of </w:t>
            </w:r>
            <w:r w:rsidR="00226443">
              <w:t>$</w:t>
            </w:r>
            <w:r w:rsidRPr="005102BE">
              <w:t>50,000 per QALY gained when the annual cost was increased by 20%.</w:t>
            </w:r>
          </w:p>
          <w:p w14:paraId="68CCC2E9" w14:textId="77777777" w:rsidR="000C6AF3" w:rsidRPr="005102BE" w:rsidRDefault="000C6AF3" w:rsidP="004A2A66">
            <w:pPr>
              <w:pStyle w:val="TableText"/>
            </w:pPr>
          </w:p>
          <w:p w14:paraId="48A63DA5" w14:textId="7CED370B" w:rsidR="000C6AF3" w:rsidRPr="005102BE" w:rsidRDefault="000C6AF3" w:rsidP="004A2A66">
            <w:pPr>
              <w:pStyle w:val="TableText"/>
            </w:pPr>
            <w:r w:rsidRPr="005102BE">
              <w:t xml:space="preserve">Low cost of SMBG favours SMBG and high cost of SMBG favours FSL. </w:t>
            </w:r>
          </w:p>
        </w:tc>
      </w:tr>
      <w:tr w:rsidR="000C6AF3" w:rsidRPr="00CE28E3" w14:paraId="2495A96C" w14:textId="77777777" w:rsidTr="006536A3">
        <w:tc>
          <w:tcPr>
            <w:tcW w:w="862" w:type="pct"/>
            <w:vAlign w:val="center"/>
          </w:tcPr>
          <w:p w14:paraId="538B5DD4" w14:textId="77777777" w:rsidR="000C6AF3" w:rsidRPr="005102BE" w:rsidRDefault="000C6AF3" w:rsidP="004A2A66">
            <w:pPr>
              <w:pStyle w:val="TableText"/>
              <w:jc w:val="center"/>
            </w:pPr>
            <w:r w:rsidRPr="005102BE">
              <w:t>Utilities</w:t>
            </w:r>
          </w:p>
        </w:tc>
        <w:tc>
          <w:tcPr>
            <w:tcW w:w="2044" w:type="pct"/>
            <w:vAlign w:val="center"/>
          </w:tcPr>
          <w:p w14:paraId="249B7040" w14:textId="4038ECB0" w:rsidR="000C6AF3" w:rsidRPr="005102BE" w:rsidRDefault="000C6AF3" w:rsidP="004A2A66">
            <w:pPr>
              <w:pStyle w:val="TableText"/>
              <w:rPr>
                <w:rFonts w:cs="Arial"/>
                <w:szCs w:val="20"/>
              </w:rPr>
            </w:pPr>
            <w:r w:rsidRPr="005102BE">
              <w:t>The baseline utility was explored in the one-way sensitivity analysis (</w:t>
            </w:r>
            <w:r>
              <w:fldChar w:fldCharType="begin"/>
            </w:r>
            <w:r>
              <w:instrText xml:space="preserve"> REF _Ref192688311 \h  \* MERGEFORMAT </w:instrText>
            </w:r>
            <w:r>
              <w:fldChar w:fldCharType="separate"/>
            </w:r>
            <w:r w:rsidR="00315A60">
              <w:t xml:space="preserve">Figure </w:t>
            </w:r>
            <w:r w:rsidR="00315A60">
              <w:rPr>
                <w:noProof/>
              </w:rPr>
              <w:t>3</w:t>
            </w:r>
            <w:r>
              <w:fldChar w:fldCharType="end"/>
            </w:r>
            <w:r>
              <w:t xml:space="preserve">) and was </w:t>
            </w:r>
            <w:r w:rsidRPr="005102BE">
              <w:rPr>
                <w:rFonts w:cs="Arial"/>
                <w:szCs w:val="20"/>
              </w:rPr>
              <w:t xml:space="preserve">varied ±20% </w:t>
            </w:r>
            <w:r w:rsidR="00112429">
              <w:rPr>
                <w:rFonts w:cs="Arial"/>
                <w:szCs w:val="20"/>
              </w:rPr>
              <w:t xml:space="preserve">of </w:t>
            </w:r>
            <w:r w:rsidRPr="005102BE">
              <w:rPr>
                <w:rFonts w:cs="Arial"/>
                <w:szCs w:val="20"/>
              </w:rPr>
              <w:t>the mean.</w:t>
            </w:r>
          </w:p>
        </w:tc>
        <w:tc>
          <w:tcPr>
            <w:tcW w:w="2094" w:type="pct"/>
            <w:vAlign w:val="center"/>
          </w:tcPr>
          <w:p w14:paraId="7A2DFFBE" w14:textId="2AB69720" w:rsidR="000C6AF3" w:rsidRPr="00703F55" w:rsidRDefault="000C6AF3" w:rsidP="004A2A66">
            <w:pPr>
              <w:pStyle w:val="TableText"/>
              <w:rPr>
                <w:iCs/>
              </w:rPr>
            </w:pPr>
            <w:r w:rsidRPr="005102BE">
              <w:t xml:space="preserve">The baseline utility was </w:t>
            </w:r>
            <w:r w:rsidR="00112429">
              <w:t xml:space="preserve">among </w:t>
            </w:r>
            <w:r w:rsidRPr="005102BE">
              <w:t>the top 10 drivers of cost-effectiveness (</w:t>
            </w:r>
            <w:r w:rsidRPr="00703F55">
              <w:rPr>
                <w:iCs/>
              </w:rPr>
              <w:fldChar w:fldCharType="begin"/>
            </w:r>
            <w:r w:rsidRPr="00703F55">
              <w:rPr>
                <w:iCs/>
              </w:rPr>
              <w:instrText xml:space="preserve"> REF _Ref192688311 \h  \* MERGEFORMAT </w:instrText>
            </w:r>
            <w:r w:rsidRPr="00703F55">
              <w:rPr>
                <w:iCs/>
              </w:rPr>
            </w:r>
            <w:r w:rsidRPr="00703F55">
              <w:rPr>
                <w:iCs/>
              </w:rPr>
              <w:fldChar w:fldCharType="separate"/>
            </w:r>
            <w:r w:rsidR="00315A60" w:rsidRPr="00315A60">
              <w:rPr>
                <w:iCs/>
              </w:rPr>
              <w:t xml:space="preserve">Figure </w:t>
            </w:r>
            <w:r w:rsidR="00315A60" w:rsidRPr="00315A60">
              <w:rPr>
                <w:iCs/>
                <w:noProof/>
              </w:rPr>
              <w:t>3</w:t>
            </w:r>
            <w:r w:rsidRPr="00703F55">
              <w:rPr>
                <w:iCs/>
              </w:rPr>
              <w:fldChar w:fldCharType="end"/>
            </w:r>
            <w:r w:rsidRPr="00703F55">
              <w:rPr>
                <w:iCs/>
              </w:rPr>
              <w:t>)</w:t>
            </w:r>
          </w:p>
          <w:p w14:paraId="51B91A94" w14:textId="77777777" w:rsidR="000C6AF3" w:rsidRPr="005102BE" w:rsidRDefault="000C6AF3" w:rsidP="004A2A66">
            <w:pPr>
              <w:pStyle w:val="TableText"/>
            </w:pPr>
          </w:p>
          <w:p w14:paraId="453D71AA" w14:textId="5A2E5292" w:rsidR="000C6AF3" w:rsidRPr="005102BE" w:rsidRDefault="000C6AF3" w:rsidP="000C6AF3">
            <w:pPr>
              <w:pStyle w:val="Bullet"/>
              <w:ind w:left="360"/>
            </w:pPr>
            <w:r w:rsidRPr="005102BE">
              <w:rPr>
                <w:rFonts w:ascii="Arial Narrow" w:hAnsi="Arial Narrow"/>
                <w:sz w:val="20"/>
              </w:rPr>
              <w:t>High, favours FSL (i.e. more value if someone is living event</w:t>
            </w:r>
            <w:r w:rsidR="00FB4903">
              <w:rPr>
                <w:rFonts w:ascii="Arial Narrow" w:hAnsi="Arial Narrow"/>
                <w:iCs/>
                <w:sz w:val="20"/>
              </w:rPr>
              <w:t>-</w:t>
            </w:r>
            <w:r w:rsidRPr="005102BE">
              <w:rPr>
                <w:rFonts w:ascii="Arial Narrow" w:hAnsi="Arial Narrow"/>
                <w:sz w:val="20"/>
              </w:rPr>
              <w:t>free)</w:t>
            </w:r>
          </w:p>
          <w:p w14:paraId="613E4EB0" w14:textId="4E44D26B" w:rsidR="000C6AF3" w:rsidRPr="005102BE" w:rsidRDefault="000C6AF3" w:rsidP="000C6AF3">
            <w:pPr>
              <w:pStyle w:val="Bullet"/>
              <w:ind w:left="360"/>
            </w:pPr>
            <w:r w:rsidRPr="005102BE">
              <w:rPr>
                <w:rFonts w:ascii="Arial Narrow" w:hAnsi="Arial Narrow"/>
                <w:sz w:val="20"/>
              </w:rPr>
              <w:t>Low</w:t>
            </w:r>
            <w:r w:rsidR="00FB4903">
              <w:rPr>
                <w:rFonts w:ascii="Arial Narrow" w:hAnsi="Arial Narrow"/>
                <w:iCs/>
                <w:sz w:val="20"/>
              </w:rPr>
              <w:t>,</w:t>
            </w:r>
            <w:r w:rsidRPr="005102BE">
              <w:rPr>
                <w:rFonts w:ascii="Arial Narrow" w:hAnsi="Arial Narrow"/>
                <w:sz w:val="20"/>
              </w:rPr>
              <w:t xml:space="preserve"> favours SMBG (i.e. more value if someone is living event</w:t>
            </w:r>
            <w:r w:rsidR="00FB4903">
              <w:rPr>
                <w:rFonts w:ascii="Arial Narrow" w:hAnsi="Arial Narrow"/>
                <w:iCs/>
                <w:sz w:val="20"/>
              </w:rPr>
              <w:t>-</w:t>
            </w:r>
            <w:r w:rsidRPr="005102BE">
              <w:rPr>
                <w:rFonts w:ascii="Arial Narrow" w:hAnsi="Arial Narrow"/>
                <w:sz w:val="20"/>
              </w:rPr>
              <w:t>free)</w:t>
            </w:r>
          </w:p>
          <w:p w14:paraId="2E5D9E2A" w14:textId="77777777" w:rsidR="000C6AF3" w:rsidRPr="00703F55" w:rsidRDefault="000C6AF3" w:rsidP="004A2A66">
            <w:pPr>
              <w:pStyle w:val="TableText"/>
              <w:rPr>
                <w:iCs/>
              </w:rPr>
            </w:pPr>
          </w:p>
          <w:p w14:paraId="2DB8C621" w14:textId="3720D75E" w:rsidR="000C6AF3" w:rsidRPr="005E0516" w:rsidRDefault="000C6AF3" w:rsidP="005E0516">
            <w:pPr>
              <w:pStyle w:val="TableText"/>
              <w:rPr>
                <w:iCs/>
              </w:rPr>
            </w:pPr>
            <w:r w:rsidRPr="00703F55">
              <w:rPr>
                <w:iCs/>
              </w:rPr>
              <w:t xml:space="preserve">The company did not describe whether the high value of 0.922 was plausible in the population. The population </w:t>
            </w:r>
            <w:r w:rsidRPr="00A54EDF">
              <w:rPr>
                <w:iCs/>
              </w:rPr>
              <w:t>enter</w:t>
            </w:r>
            <w:r w:rsidR="003F654E">
              <w:rPr>
                <w:iCs/>
              </w:rPr>
              <w:t>s</w:t>
            </w:r>
            <w:r w:rsidRPr="00703F55">
              <w:rPr>
                <w:iCs/>
              </w:rPr>
              <w:t xml:space="preserve"> the model at age 65.</w:t>
            </w:r>
          </w:p>
        </w:tc>
      </w:tr>
      <w:tr w:rsidR="000C6AF3" w:rsidRPr="00CE28E3" w14:paraId="29F82BC0" w14:textId="77777777" w:rsidTr="006536A3">
        <w:tc>
          <w:tcPr>
            <w:tcW w:w="862" w:type="pct"/>
            <w:vAlign w:val="center"/>
          </w:tcPr>
          <w:p w14:paraId="1C914803" w14:textId="77777777" w:rsidR="000C6AF3" w:rsidRPr="005102BE" w:rsidRDefault="000C6AF3" w:rsidP="004A2A66">
            <w:pPr>
              <w:pStyle w:val="TableText"/>
              <w:jc w:val="center"/>
            </w:pPr>
            <w:r w:rsidRPr="005102BE">
              <w:t>Diabetes-related complication costs</w:t>
            </w:r>
          </w:p>
        </w:tc>
        <w:tc>
          <w:tcPr>
            <w:tcW w:w="2044" w:type="pct"/>
            <w:vAlign w:val="center"/>
          </w:tcPr>
          <w:p w14:paraId="0C846246" w14:textId="17EAF36B" w:rsidR="000C6AF3" w:rsidRPr="005102BE" w:rsidRDefault="003F654E" w:rsidP="004A2A66">
            <w:pPr>
              <w:pStyle w:val="TableText"/>
              <w:rPr>
                <w:rFonts w:cs="Arial"/>
                <w:szCs w:val="20"/>
              </w:rPr>
            </w:pPr>
            <w:r>
              <w:t>C</w:t>
            </w:r>
            <w:r w:rsidR="000C6AF3" w:rsidRPr="005102BE">
              <w:t>osts of diabetes-related complications were explored in the one-way sensitivity analysis (</w:t>
            </w:r>
            <w:r w:rsidR="000C6AF3">
              <w:fldChar w:fldCharType="begin"/>
            </w:r>
            <w:r w:rsidR="000C6AF3">
              <w:instrText xml:space="preserve"> REF _Ref192688311 \h  \* MERGEFORMAT </w:instrText>
            </w:r>
            <w:r w:rsidR="000C6AF3">
              <w:fldChar w:fldCharType="separate"/>
            </w:r>
            <w:r w:rsidR="00315A60">
              <w:t xml:space="preserve">Figure </w:t>
            </w:r>
            <w:r w:rsidR="00315A60">
              <w:rPr>
                <w:noProof/>
              </w:rPr>
              <w:t>3</w:t>
            </w:r>
            <w:r w:rsidR="000C6AF3">
              <w:fldChar w:fldCharType="end"/>
            </w:r>
            <w:r w:rsidR="000C6AF3">
              <w:t xml:space="preserve">) and was </w:t>
            </w:r>
            <w:r w:rsidR="000C6AF3" w:rsidRPr="005102BE">
              <w:rPr>
                <w:rFonts w:cs="Arial"/>
                <w:szCs w:val="20"/>
              </w:rPr>
              <w:t xml:space="preserve">varied ±20% </w:t>
            </w:r>
            <w:r w:rsidR="00112429">
              <w:rPr>
                <w:rFonts w:cs="Arial"/>
                <w:szCs w:val="20"/>
              </w:rPr>
              <w:t xml:space="preserve">of </w:t>
            </w:r>
            <w:r w:rsidR="000C6AF3" w:rsidRPr="005102BE">
              <w:rPr>
                <w:rFonts w:cs="Arial"/>
                <w:szCs w:val="20"/>
              </w:rPr>
              <w:t>the mean.</w:t>
            </w:r>
          </w:p>
          <w:p w14:paraId="4DBAE056" w14:textId="77777777" w:rsidR="000C6AF3" w:rsidRPr="005102BE" w:rsidRDefault="000C6AF3" w:rsidP="004A2A66">
            <w:pPr>
              <w:pStyle w:val="TableText"/>
              <w:rPr>
                <w:rFonts w:cs="Arial"/>
                <w:szCs w:val="20"/>
              </w:rPr>
            </w:pPr>
          </w:p>
          <w:p w14:paraId="153D12F8" w14:textId="77777777" w:rsidR="000C6AF3" w:rsidRPr="005102BE" w:rsidRDefault="000C6AF3" w:rsidP="004A2A66">
            <w:pPr>
              <w:pStyle w:val="TableText"/>
            </w:pPr>
            <w:r w:rsidRPr="005102BE">
              <w:rPr>
                <w:rFonts w:cs="Arial"/>
                <w:szCs w:val="20"/>
              </w:rPr>
              <w:t>The applicant also explored the outcomes when these costs were not included in the model in the scenario analysis.</w:t>
            </w:r>
          </w:p>
        </w:tc>
        <w:tc>
          <w:tcPr>
            <w:tcW w:w="2094" w:type="pct"/>
            <w:vAlign w:val="center"/>
          </w:tcPr>
          <w:p w14:paraId="630D71C2" w14:textId="2E733D3B" w:rsidR="000C6AF3" w:rsidRPr="005102BE" w:rsidRDefault="000C6AF3" w:rsidP="006536A3">
            <w:pPr>
              <w:pStyle w:val="TableText"/>
            </w:pPr>
            <w:r w:rsidRPr="005102BE">
              <w:t xml:space="preserve">Increasing the cost of chronic complications </w:t>
            </w:r>
            <w:r w:rsidR="000052F3" w:rsidRPr="00714D8F">
              <w:rPr>
                <w:iCs/>
              </w:rPr>
              <w:t>(renal failure, blindness, stroke</w:t>
            </w:r>
            <w:r w:rsidR="000052F3">
              <w:rPr>
                <w:iCs/>
              </w:rPr>
              <w:t xml:space="preserve">, </w:t>
            </w:r>
            <w:r w:rsidR="000052F3" w:rsidRPr="00714D8F">
              <w:rPr>
                <w:iCs/>
              </w:rPr>
              <w:t xml:space="preserve">MI) </w:t>
            </w:r>
            <w:r w:rsidRPr="005102BE">
              <w:t xml:space="preserve">by 20% favours FSL. </w:t>
            </w:r>
          </w:p>
          <w:p w14:paraId="15D20C20" w14:textId="77777777" w:rsidR="000C6AF3" w:rsidRPr="005102BE" w:rsidRDefault="000C6AF3" w:rsidP="006536A3">
            <w:pPr>
              <w:pStyle w:val="TableText"/>
            </w:pPr>
          </w:p>
          <w:p w14:paraId="3627E9A3" w14:textId="69C06A89" w:rsidR="000C6AF3" w:rsidRPr="005102BE" w:rsidRDefault="000C6AF3" w:rsidP="006536A3">
            <w:pPr>
              <w:pStyle w:val="TableText"/>
            </w:pPr>
            <w:r w:rsidRPr="005102BE">
              <w:t xml:space="preserve">This is because more value </w:t>
            </w:r>
            <w:r w:rsidR="00893371">
              <w:rPr>
                <w:iCs/>
              </w:rPr>
              <w:t xml:space="preserve">was </w:t>
            </w:r>
            <w:r w:rsidRPr="005102BE">
              <w:t xml:space="preserve">attributed to the reduction </w:t>
            </w:r>
            <w:r w:rsidR="00B84F56">
              <w:t xml:space="preserve">in </w:t>
            </w:r>
            <w:r w:rsidRPr="005102BE">
              <w:t>complications caused by FSL, particularly in chronic complications with long-term cost.</w:t>
            </w:r>
          </w:p>
          <w:p w14:paraId="343AED07" w14:textId="77777777" w:rsidR="000C6AF3" w:rsidRPr="005102BE" w:rsidRDefault="000C6AF3" w:rsidP="006536A3">
            <w:pPr>
              <w:pStyle w:val="TableText"/>
            </w:pPr>
          </w:p>
          <w:p w14:paraId="53A40513" w14:textId="29EF7AD2" w:rsidR="000C6AF3" w:rsidRPr="005102BE" w:rsidRDefault="000C6AF3" w:rsidP="006536A3">
            <w:pPr>
              <w:pStyle w:val="TableText"/>
            </w:pPr>
            <w:r w:rsidRPr="005102BE">
              <w:t xml:space="preserve">Decreasing the cost of chronic complications by 20% favours SMBG, as there was less value associated with avoiding complications. The applicant did not discuss whether the costs (based on a Tasmanian study) were representative of the costs observed in mainland Australia or whether the remoteness of Tasmania </w:t>
            </w:r>
            <w:r w:rsidRPr="005102BE">
              <w:rPr>
                <w:iCs/>
              </w:rPr>
              <w:t>impact</w:t>
            </w:r>
            <w:r w:rsidR="00CE6DA6">
              <w:rPr>
                <w:iCs/>
              </w:rPr>
              <w:t>s</w:t>
            </w:r>
            <w:r w:rsidRPr="005102BE">
              <w:t xml:space="preserve"> costs. </w:t>
            </w:r>
          </w:p>
          <w:p w14:paraId="56639A72" w14:textId="77777777" w:rsidR="000C6AF3" w:rsidRPr="005102BE" w:rsidRDefault="000C6AF3" w:rsidP="006536A3">
            <w:pPr>
              <w:pStyle w:val="TableText"/>
            </w:pPr>
          </w:p>
          <w:p w14:paraId="4628DA82" w14:textId="0E19E165" w:rsidR="000C6AF3" w:rsidRPr="00703F55" w:rsidRDefault="000C6AF3" w:rsidP="006536A3">
            <w:pPr>
              <w:pStyle w:val="TableText"/>
              <w:rPr>
                <w:iCs/>
              </w:rPr>
            </w:pPr>
            <w:r w:rsidRPr="005102BE">
              <w:t>These chronic costs were in the top</w:t>
            </w:r>
            <w:r w:rsidR="00DF67A2" w:rsidRPr="005102BE">
              <w:t xml:space="preserve"> </w:t>
            </w:r>
            <w:r w:rsidRPr="005102BE">
              <w:t>10 drivers of cost-effectiveness (</w:t>
            </w:r>
            <w:r w:rsidRPr="00703F55">
              <w:rPr>
                <w:iCs/>
              </w:rPr>
              <w:fldChar w:fldCharType="begin"/>
            </w:r>
            <w:r w:rsidRPr="00703F55">
              <w:rPr>
                <w:iCs/>
              </w:rPr>
              <w:instrText xml:space="preserve"> REF _Ref192688311 \h  \* MERGEFORMAT </w:instrText>
            </w:r>
            <w:r w:rsidRPr="00703F55">
              <w:rPr>
                <w:iCs/>
              </w:rPr>
            </w:r>
            <w:r w:rsidRPr="00703F55">
              <w:rPr>
                <w:iCs/>
              </w:rPr>
              <w:fldChar w:fldCharType="separate"/>
            </w:r>
            <w:r w:rsidR="00315A60" w:rsidRPr="00315A60">
              <w:rPr>
                <w:iCs/>
              </w:rPr>
              <w:t xml:space="preserve">Figure </w:t>
            </w:r>
            <w:r w:rsidR="00315A60" w:rsidRPr="00315A60">
              <w:rPr>
                <w:iCs/>
                <w:noProof/>
              </w:rPr>
              <w:t>3</w:t>
            </w:r>
            <w:r w:rsidRPr="00703F55">
              <w:rPr>
                <w:iCs/>
              </w:rPr>
              <w:fldChar w:fldCharType="end"/>
            </w:r>
            <w:r w:rsidRPr="00703F55">
              <w:rPr>
                <w:iCs/>
              </w:rPr>
              <w:t>)</w:t>
            </w:r>
          </w:p>
          <w:p w14:paraId="285397ED" w14:textId="10638841" w:rsidR="000C6AF3" w:rsidRPr="005102BE" w:rsidRDefault="000C6AF3" w:rsidP="006536A3">
            <w:pPr>
              <w:pStyle w:val="TableText"/>
            </w:pPr>
            <w:r w:rsidRPr="005102BE">
              <w:t xml:space="preserve">When all </w:t>
            </w:r>
            <w:r w:rsidR="005E0516" w:rsidRPr="005102BE">
              <w:t>diabetes</w:t>
            </w:r>
            <w:r w:rsidR="00CE6DA6">
              <w:rPr>
                <w:iCs/>
              </w:rPr>
              <w:t>-</w:t>
            </w:r>
            <w:r w:rsidR="005E0516" w:rsidRPr="005102BE">
              <w:t xml:space="preserve">related complication </w:t>
            </w:r>
            <w:r w:rsidRPr="005102BE">
              <w:t xml:space="preserve">costs were removed, the ICER increased to </w:t>
            </w:r>
            <w:r w:rsidR="00B84F56">
              <w:t>$</w:t>
            </w:r>
            <w:r w:rsidR="009A5BA0">
              <w:rPr>
                <w:sz w:val="18"/>
                <w:szCs w:val="18"/>
              </w:rPr>
              <w:t>$25,000 to &lt; $35,000</w:t>
            </w:r>
            <w:r w:rsidRPr="00801A1E">
              <w:t xml:space="preserve"> per</w:t>
            </w:r>
            <w:r w:rsidRPr="005102BE">
              <w:t xml:space="preserve"> QALY gained.</w:t>
            </w:r>
          </w:p>
        </w:tc>
      </w:tr>
      <w:tr w:rsidR="000C6AF3" w:rsidRPr="00CE28E3" w14:paraId="03F4E590" w14:textId="77777777" w:rsidTr="006536A3">
        <w:tc>
          <w:tcPr>
            <w:tcW w:w="862" w:type="pct"/>
            <w:vAlign w:val="center"/>
          </w:tcPr>
          <w:p w14:paraId="30B3379F" w14:textId="77777777" w:rsidR="000C6AF3" w:rsidRPr="005102BE" w:rsidDel="006E3064" w:rsidRDefault="000C6AF3" w:rsidP="004A2A66">
            <w:pPr>
              <w:pStyle w:val="TableText"/>
              <w:jc w:val="center"/>
            </w:pPr>
            <w:r w:rsidRPr="005102BE">
              <w:t>HHS events</w:t>
            </w:r>
          </w:p>
        </w:tc>
        <w:tc>
          <w:tcPr>
            <w:tcW w:w="2044" w:type="pct"/>
            <w:vAlign w:val="center"/>
          </w:tcPr>
          <w:p w14:paraId="6669A48D" w14:textId="081CFE6D" w:rsidR="000C6AF3" w:rsidRDefault="00D837F2" w:rsidP="004A2A66">
            <w:pPr>
              <w:pStyle w:val="TableText"/>
            </w:pPr>
            <w:r>
              <w:t>T</w:t>
            </w:r>
            <w:r w:rsidR="000C6AF3" w:rsidRPr="005102BE">
              <w:t>he A</w:t>
            </w:r>
            <w:r w:rsidR="00DF67A2" w:rsidRPr="005102BE">
              <w:t>D</w:t>
            </w:r>
            <w:r w:rsidR="000C6AF3" w:rsidRPr="005102BE">
              <w:t>AR</w:t>
            </w:r>
            <w:r w:rsidR="000C6AF3">
              <w:t xml:space="preserve"> </w:t>
            </w:r>
            <w:r w:rsidR="000C6AF3" w:rsidRPr="005102BE">
              <w:t xml:space="preserve">shows that </w:t>
            </w:r>
            <w:r w:rsidR="0006769A">
              <w:t>a</w:t>
            </w:r>
            <w:r w:rsidR="0006769A" w:rsidRPr="005102BE">
              <w:t xml:space="preserve"> </w:t>
            </w:r>
            <w:r w:rsidR="000C6AF3" w:rsidRPr="005102BE">
              <w:t xml:space="preserve">reduction in HHS events reduced overall costs by </w:t>
            </w:r>
            <w:r w:rsidR="00433F43">
              <w:t>−</w:t>
            </w:r>
            <w:r w:rsidR="00226443">
              <w:t>$</w:t>
            </w:r>
            <w:r w:rsidR="00BD47F6">
              <w:t>0 to &lt; $5,000</w:t>
            </w:r>
            <w:r w:rsidR="000C6AF3" w:rsidRPr="005102BE">
              <w:t xml:space="preserve">. This complication had the largest impact on costs overall. </w:t>
            </w:r>
          </w:p>
          <w:p w14:paraId="5DC4D188" w14:textId="77777777" w:rsidR="0006769A" w:rsidRPr="005102BE" w:rsidRDefault="0006769A" w:rsidP="004A2A66">
            <w:pPr>
              <w:pStyle w:val="TableText"/>
            </w:pPr>
          </w:p>
          <w:p w14:paraId="7DDAB499" w14:textId="77777777" w:rsidR="000C6AF3" w:rsidRPr="005102BE" w:rsidRDefault="000C6AF3" w:rsidP="004A2A66">
            <w:pPr>
              <w:pStyle w:val="TableText"/>
            </w:pPr>
            <w:r w:rsidRPr="005102BE">
              <w:t>Parameters associated with HHS events were varied in the</w:t>
            </w:r>
            <w:r>
              <w:t xml:space="preserve"> analysis</w:t>
            </w:r>
            <w:r w:rsidRPr="005102BE">
              <w:rPr>
                <w:rFonts w:cs="Arial"/>
                <w:szCs w:val="20"/>
              </w:rPr>
              <w:t>.</w:t>
            </w:r>
          </w:p>
        </w:tc>
        <w:tc>
          <w:tcPr>
            <w:tcW w:w="2094" w:type="pct"/>
            <w:vAlign w:val="center"/>
          </w:tcPr>
          <w:p w14:paraId="4A4F49B1" w14:textId="7CD853C9" w:rsidR="000C6AF3" w:rsidRPr="00703F55" w:rsidRDefault="000C6AF3" w:rsidP="006536A3">
            <w:pPr>
              <w:pStyle w:val="TableText"/>
              <w:rPr>
                <w:iCs/>
              </w:rPr>
            </w:pPr>
            <w:r w:rsidRPr="005102BE">
              <w:t>The one-way sensitivity analysis (</w:t>
            </w:r>
            <w:r w:rsidRPr="00703F55">
              <w:rPr>
                <w:iCs/>
              </w:rPr>
              <w:fldChar w:fldCharType="begin"/>
            </w:r>
            <w:r w:rsidRPr="00703F55">
              <w:rPr>
                <w:iCs/>
              </w:rPr>
              <w:instrText xml:space="preserve"> REF _Ref192688311 \h  \* MERGEFORMAT </w:instrText>
            </w:r>
            <w:r w:rsidRPr="00703F55">
              <w:rPr>
                <w:iCs/>
              </w:rPr>
            </w:r>
            <w:r w:rsidRPr="00703F55">
              <w:rPr>
                <w:iCs/>
              </w:rPr>
              <w:fldChar w:fldCharType="separate"/>
            </w:r>
            <w:r w:rsidR="00315A60" w:rsidRPr="00315A60">
              <w:rPr>
                <w:iCs/>
              </w:rPr>
              <w:t xml:space="preserve">Figure </w:t>
            </w:r>
            <w:r w:rsidR="00315A60" w:rsidRPr="00315A60">
              <w:rPr>
                <w:iCs/>
                <w:noProof/>
              </w:rPr>
              <w:t>3</w:t>
            </w:r>
            <w:r w:rsidRPr="00703F55">
              <w:rPr>
                <w:iCs/>
              </w:rPr>
              <w:fldChar w:fldCharType="end"/>
            </w:r>
            <w:r w:rsidRPr="00703F55">
              <w:rPr>
                <w:iCs/>
              </w:rPr>
              <w:t xml:space="preserve">) showed that the </w:t>
            </w:r>
            <w:r w:rsidR="00C70587">
              <w:rPr>
                <w:iCs/>
              </w:rPr>
              <w:t xml:space="preserve">‘DKA deaths’ input (i.e. </w:t>
            </w:r>
            <w:r w:rsidRPr="00703F55">
              <w:rPr>
                <w:iCs/>
              </w:rPr>
              <w:t xml:space="preserve">deaths </w:t>
            </w:r>
            <w:r w:rsidR="00C70587">
              <w:rPr>
                <w:iCs/>
              </w:rPr>
              <w:t xml:space="preserve">due to </w:t>
            </w:r>
            <w:r w:rsidRPr="00703F55">
              <w:rPr>
                <w:iCs/>
              </w:rPr>
              <w:t>HHS</w:t>
            </w:r>
            <w:r w:rsidR="00C70587">
              <w:rPr>
                <w:iCs/>
              </w:rPr>
              <w:t>)</w:t>
            </w:r>
            <w:r w:rsidRPr="00703F55">
              <w:rPr>
                <w:iCs/>
              </w:rPr>
              <w:t xml:space="preserve"> was in the </w:t>
            </w:r>
            <w:r w:rsidR="00F95B52" w:rsidRPr="00703F55">
              <w:rPr>
                <w:iCs/>
              </w:rPr>
              <w:t>top 10</w:t>
            </w:r>
            <w:r w:rsidRPr="00703F55">
              <w:rPr>
                <w:iCs/>
              </w:rPr>
              <w:t xml:space="preserve"> key drivers of cost-effectiveness.</w:t>
            </w:r>
          </w:p>
          <w:p w14:paraId="5ECAEBBB" w14:textId="77777777" w:rsidR="000C6AF3" w:rsidRPr="00703F55" w:rsidRDefault="000C6AF3" w:rsidP="006536A3">
            <w:pPr>
              <w:pStyle w:val="TableText"/>
              <w:rPr>
                <w:iCs/>
              </w:rPr>
            </w:pPr>
          </w:p>
          <w:p w14:paraId="29C25C5F" w14:textId="08180EDB" w:rsidR="000C6AF3" w:rsidRPr="00703F55" w:rsidRDefault="000C6AF3" w:rsidP="006536A3">
            <w:pPr>
              <w:pStyle w:val="TableText"/>
              <w:rPr>
                <w:iCs/>
              </w:rPr>
            </w:pPr>
            <w:r w:rsidRPr="00703F55">
              <w:rPr>
                <w:iCs/>
              </w:rPr>
              <w:t xml:space="preserve">A low probability of death favours FSL. A </w:t>
            </w:r>
            <w:r w:rsidR="00E33EA3">
              <w:rPr>
                <w:iCs/>
              </w:rPr>
              <w:t>h</w:t>
            </w:r>
            <w:r w:rsidRPr="00703F55">
              <w:rPr>
                <w:iCs/>
              </w:rPr>
              <w:t>igh probability of death favours SMBG. This is likely driven by the terminal care cost</w:t>
            </w:r>
            <w:r w:rsidR="00E33EA3">
              <w:rPr>
                <w:iCs/>
              </w:rPr>
              <w:t>,</w:t>
            </w:r>
            <w:r w:rsidRPr="00703F55">
              <w:rPr>
                <w:iCs/>
              </w:rPr>
              <w:t xml:space="preserve"> which increases the HHS cost (</w:t>
            </w:r>
            <w:r w:rsidR="00226443">
              <w:t>$</w:t>
            </w:r>
            <w:r w:rsidRPr="00703F55">
              <w:rPr>
                <w:iCs/>
              </w:rPr>
              <w:t xml:space="preserve">28,403) by </w:t>
            </w:r>
            <w:r w:rsidR="00226443">
              <w:t>$</w:t>
            </w:r>
            <w:r w:rsidRPr="00703F55">
              <w:rPr>
                <w:iCs/>
              </w:rPr>
              <w:t xml:space="preserve">6,858 for each death event. </w:t>
            </w:r>
          </w:p>
          <w:p w14:paraId="205E7085" w14:textId="77777777" w:rsidR="000C6AF3" w:rsidRPr="005102BE" w:rsidRDefault="000C6AF3" w:rsidP="006536A3">
            <w:pPr>
              <w:pStyle w:val="TableText"/>
            </w:pPr>
          </w:p>
          <w:p w14:paraId="620F6725" w14:textId="29BBADF9" w:rsidR="000C6AF3" w:rsidRPr="005102BE" w:rsidRDefault="000C6AF3" w:rsidP="006536A3">
            <w:pPr>
              <w:pStyle w:val="TableText"/>
            </w:pPr>
            <w:r w:rsidRPr="005102BE">
              <w:t>The probability of HHS events was informed by the probability of DKA events</w:t>
            </w:r>
            <w:r w:rsidR="00E33EA3">
              <w:rPr>
                <w:iCs/>
              </w:rPr>
              <w:t>. H</w:t>
            </w:r>
            <w:r w:rsidRPr="005102BE">
              <w:t xml:space="preserve">owever, the applicant claimed that HHS events are expected to be more common than DKA events. Therefore, the impact of this parameter may be underestimated.  </w:t>
            </w:r>
          </w:p>
        </w:tc>
      </w:tr>
    </w:tbl>
    <w:p w14:paraId="7ECE5834" w14:textId="77777777" w:rsidR="00703F55" w:rsidRPr="003027B3" w:rsidRDefault="00703F55" w:rsidP="00703F55">
      <w:pPr>
        <w:pStyle w:val="KMC16-TFNotes"/>
        <w:rPr>
          <w:rFonts w:ascii="Arial Narrow" w:hAnsi="Arial Narrow"/>
          <w:sz w:val="18"/>
          <w:szCs w:val="18"/>
          <w:u w:val="single"/>
        </w:rPr>
      </w:pPr>
      <w:r w:rsidRPr="003027B3">
        <w:rPr>
          <w:rFonts w:ascii="Arial Narrow" w:hAnsi="Arial Narrow"/>
          <w:b/>
          <w:bCs/>
          <w:sz w:val="18"/>
          <w:szCs w:val="18"/>
          <w:u w:val="single"/>
        </w:rPr>
        <w:t>Abbreviations</w:t>
      </w:r>
    </w:p>
    <w:p w14:paraId="4D1AC318" w14:textId="6DA93068" w:rsidR="00703F55" w:rsidRPr="003027B3" w:rsidRDefault="00703F55" w:rsidP="00703F55">
      <w:pPr>
        <w:pStyle w:val="KMC16-TFNotes"/>
        <w:rPr>
          <w:rFonts w:ascii="Arial Narrow" w:hAnsi="Arial Narrow"/>
          <w:sz w:val="18"/>
          <w:szCs w:val="18"/>
        </w:rPr>
      </w:pPr>
      <w:r w:rsidRPr="003027B3">
        <w:rPr>
          <w:rFonts w:ascii="Arial Narrow" w:hAnsi="Arial Narrow"/>
          <w:b/>
          <w:bCs/>
          <w:sz w:val="18"/>
          <w:szCs w:val="18"/>
        </w:rPr>
        <w:t>AE</w:t>
      </w:r>
      <w:r w:rsidRPr="003027B3">
        <w:rPr>
          <w:rFonts w:ascii="Arial Narrow" w:hAnsi="Arial Narrow"/>
          <w:sz w:val="18"/>
          <w:szCs w:val="18"/>
        </w:rPr>
        <w:t xml:space="preserve"> = adverse events, </w:t>
      </w:r>
      <w:r w:rsidRPr="003027B3">
        <w:rPr>
          <w:rFonts w:ascii="Arial Narrow" w:hAnsi="Arial Narrow"/>
          <w:b/>
          <w:bCs/>
          <w:sz w:val="18"/>
          <w:szCs w:val="18"/>
        </w:rPr>
        <w:t>DKA</w:t>
      </w:r>
      <w:r w:rsidRPr="003027B3">
        <w:rPr>
          <w:rFonts w:ascii="Arial Narrow" w:hAnsi="Arial Narrow"/>
          <w:sz w:val="18"/>
          <w:szCs w:val="18"/>
        </w:rPr>
        <w:t xml:space="preserve"> = diabetic ketoacidosis, </w:t>
      </w:r>
      <w:r w:rsidRPr="003027B3">
        <w:rPr>
          <w:rFonts w:ascii="Arial Narrow" w:hAnsi="Arial Narrow"/>
          <w:b/>
          <w:bCs/>
          <w:sz w:val="18"/>
          <w:szCs w:val="18"/>
        </w:rPr>
        <w:t>FSL</w:t>
      </w:r>
      <w:r w:rsidRPr="003027B3">
        <w:rPr>
          <w:rFonts w:ascii="Arial Narrow" w:hAnsi="Arial Narrow"/>
          <w:sz w:val="18"/>
          <w:szCs w:val="18"/>
        </w:rPr>
        <w:t xml:space="preserve"> = FreeStyle Libre Continuous Glucose Monitoring, </w:t>
      </w:r>
      <w:r w:rsidRPr="003027B3">
        <w:rPr>
          <w:rFonts w:ascii="Arial Narrow" w:hAnsi="Arial Narrow"/>
          <w:b/>
          <w:bCs/>
          <w:sz w:val="18"/>
          <w:szCs w:val="18"/>
        </w:rPr>
        <w:t>HHS</w:t>
      </w:r>
      <w:r w:rsidRPr="003027B3">
        <w:rPr>
          <w:rFonts w:ascii="Arial Narrow" w:hAnsi="Arial Narrow"/>
          <w:sz w:val="18"/>
          <w:szCs w:val="18"/>
        </w:rPr>
        <w:t xml:space="preserve"> = hyperosmolar hyperglycaemic state, </w:t>
      </w:r>
      <w:r w:rsidRPr="003027B3">
        <w:rPr>
          <w:rFonts w:ascii="Arial Narrow" w:hAnsi="Arial Narrow"/>
          <w:b/>
          <w:bCs/>
          <w:sz w:val="18"/>
          <w:szCs w:val="18"/>
        </w:rPr>
        <w:t>HbA1c</w:t>
      </w:r>
      <w:r w:rsidRPr="003027B3">
        <w:rPr>
          <w:rFonts w:ascii="Arial Narrow" w:hAnsi="Arial Narrow"/>
          <w:sz w:val="18"/>
          <w:szCs w:val="18"/>
        </w:rPr>
        <w:t xml:space="preserve"> = glycated haemoglobin, </w:t>
      </w:r>
      <w:r w:rsidR="00DF67A2" w:rsidRPr="003027B3">
        <w:rPr>
          <w:rFonts w:ascii="Arial Narrow" w:hAnsi="Arial Narrow"/>
          <w:b/>
          <w:bCs/>
          <w:sz w:val="18"/>
          <w:szCs w:val="18"/>
        </w:rPr>
        <w:t xml:space="preserve">MI </w:t>
      </w:r>
      <w:r w:rsidR="00DF67A2" w:rsidRPr="003027B3">
        <w:rPr>
          <w:rFonts w:ascii="Arial Narrow" w:hAnsi="Arial Narrow"/>
          <w:sz w:val="18"/>
          <w:szCs w:val="18"/>
        </w:rPr>
        <w:t xml:space="preserve">=myocardial infarction, </w:t>
      </w:r>
      <w:r w:rsidRPr="003027B3">
        <w:rPr>
          <w:rFonts w:ascii="Arial Narrow" w:hAnsi="Arial Narrow"/>
          <w:b/>
          <w:bCs/>
          <w:sz w:val="18"/>
          <w:szCs w:val="18"/>
        </w:rPr>
        <w:t>QoL</w:t>
      </w:r>
      <w:r w:rsidRPr="003027B3">
        <w:rPr>
          <w:rFonts w:ascii="Arial Narrow" w:hAnsi="Arial Narrow"/>
          <w:sz w:val="18"/>
          <w:szCs w:val="18"/>
        </w:rPr>
        <w:t xml:space="preserve"> = quality of life, </w:t>
      </w:r>
      <w:r w:rsidRPr="003027B3">
        <w:rPr>
          <w:rFonts w:ascii="Arial Narrow" w:hAnsi="Arial Narrow"/>
          <w:b/>
          <w:bCs/>
          <w:sz w:val="18"/>
          <w:szCs w:val="18"/>
        </w:rPr>
        <w:t>SMBG</w:t>
      </w:r>
      <w:r w:rsidRPr="003027B3">
        <w:rPr>
          <w:rFonts w:ascii="Arial Narrow" w:hAnsi="Arial Narrow"/>
          <w:sz w:val="18"/>
          <w:szCs w:val="18"/>
        </w:rPr>
        <w:t xml:space="preserve"> = self-monitoring of blood glucose, </w:t>
      </w:r>
      <w:r w:rsidRPr="003027B3">
        <w:rPr>
          <w:rFonts w:ascii="Arial Narrow" w:hAnsi="Arial Narrow"/>
          <w:b/>
          <w:bCs/>
          <w:sz w:val="18"/>
          <w:szCs w:val="18"/>
        </w:rPr>
        <w:t xml:space="preserve">QALY </w:t>
      </w:r>
      <w:r w:rsidRPr="003027B3">
        <w:rPr>
          <w:rFonts w:ascii="Arial Narrow" w:hAnsi="Arial Narrow"/>
          <w:sz w:val="18"/>
          <w:szCs w:val="18"/>
        </w:rPr>
        <w:t xml:space="preserve">= quality-adjusted life year, </w:t>
      </w:r>
      <w:r w:rsidRPr="003027B3">
        <w:rPr>
          <w:rFonts w:ascii="Arial Narrow" w:hAnsi="Arial Narrow"/>
          <w:b/>
          <w:bCs/>
          <w:sz w:val="18"/>
          <w:szCs w:val="18"/>
        </w:rPr>
        <w:t>T2D</w:t>
      </w:r>
      <w:r w:rsidRPr="003027B3">
        <w:rPr>
          <w:rFonts w:ascii="Arial Narrow" w:hAnsi="Arial Narrow"/>
          <w:sz w:val="18"/>
          <w:szCs w:val="18"/>
        </w:rPr>
        <w:t xml:space="preserve"> = type 2 diabetes.</w:t>
      </w:r>
    </w:p>
    <w:p w14:paraId="52A6B65A" w14:textId="69DBA0E1" w:rsidR="000C6AF3" w:rsidRDefault="000C6AF3" w:rsidP="000C6AF3">
      <w:pPr>
        <w:pStyle w:val="Caption"/>
      </w:pPr>
      <w:bookmarkStart w:id="65" w:name="_Ref192688311"/>
      <w:r>
        <w:t xml:space="preserve">Figure </w:t>
      </w:r>
      <w:r w:rsidR="00315A60">
        <w:fldChar w:fldCharType="begin"/>
      </w:r>
      <w:r w:rsidR="00315A60">
        <w:instrText xml:space="preserve"> SEQ Figure \* ARABIC </w:instrText>
      </w:r>
      <w:r w:rsidR="00315A60">
        <w:fldChar w:fldCharType="separate"/>
      </w:r>
      <w:r w:rsidR="00315A60">
        <w:rPr>
          <w:noProof/>
        </w:rPr>
        <w:t>3</w:t>
      </w:r>
      <w:r w:rsidR="00315A60">
        <w:rPr>
          <w:noProof/>
        </w:rPr>
        <w:fldChar w:fldCharType="end"/>
      </w:r>
      <w:bookmarkEnd w:id="65"/>
      <w:r>
        <w:t>. One-way sensitivity</w:t>
      </w:r>
      <w:r w:rsidRPr="00CE28E3">
        <w:t xml:space="preserve"> analyses</w:t>
      </w:r>
      <w:r>
        <w:t>, tornado diagram</w:t>
      </w:r>
      <w:r w:rsidR="005A7D4C">
        <w:t xml:space="preserve"> from the ADAR</w:t>
      </w:r>
    </w:p>
    <w:p w14:paraId="60AE8697" w14:textId="77777777" w:rsidR="000C6AF3" w:rsidRPr="007E39EF" w:rsidRDefault="000C6AF3" w:rsidP="000C6AF3">
      <w:r w:rsidRPr="00080F20">
        <w:rPr>
          <w:noProof/>
        </w:rPr>
        <w:drawing>
          <wp:inline distT="0" distB="0" distL="0" distR="0" wp14:anchorId="641FEE42" wp14:editId="00C058F5">
            <wp:extent cx="1309954" cy="647700"/>
            <wp:effectExtent l="0" t="0" r="5080" b="0"/>
            <wp:docPr id="1835742346" name="Picture 1835742346" descr="Shows that this figure has been red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42346" name="Picture 1835742346" descr="Shows that this figure has been redacte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3065" t="23234" r="19746" b="34566"/>
                    <a:stretch>
                      <a:fillRect/>
                    </a:stretch>
                  </pic:blipFill>
                  <pic:spPr bwMode="auto">
                    <a:xfrm>
                      <a:off x="0" y="0"/>
                      <a:ext cx="1334641" cy="659906"/>
                    </a:xfrm>
                    <a:prstGeom prst="rect">
                      <a:avLst/>
                    </a:prstGeom>
                    <a:noFill/>
                    <a:ln>
                      <a:noFill/>
                    </a:ln>
                    <a:extLst>
                      <a:ext uri="{53640926-AAD7-44D8-BBD7-CCE9431645EC}">
                        <a14:shadowObscured xmlns:a14="http://schemas.microsoft.com/office/drawing/2010/main"/>
                      </a:ext>
                    </a:extLst>
                  </pic:spPr>
                </pic:pic>
              </a:graphicData>
            </a:graphic>
          </wp:inline>
        </w:drawing>
      </w:r>
    </w:p>
    <w:p w14:paraId="38954DB5" w14:textId="77777777" w:rsidR="00DF67A2" w:rsidRPr="003027B3" w:rsidRDefault="00DF67A2" w:rsidP="00DF67A2">
      <w:pPr>
        <w:pStyle w:val="KMC16-TFNotes"/>
        <w:rPr>
          <w:rFonts w:ascii="Arial Narrow" w:hAnsi="Arial Narrow"/>
          <w:sz w:val="18"/>
          <w:szCs w:val="18"/>
          <w:u w:val="single"/>
        </w:rPr>
      </w:pPr>
      <w:r w:rsidRPr="003027B3">
        <w:rPr>
          <w:rFonts w:ascii="Arial Narrow" w:hAnsi="Arial Narrow"/>
          <w:b/>
          <w:bCs/>
          <w:sz w:val="18"/>
          <w:szCs w:val="18"/>
          <w:u w:val="single"/>
        </w:rPr>
        <w:t>Abbreviations</w:t>
      </w:r>
    </w:p>
    <w:p w14:paraId="52D2EB2D" w14:textId="64F6453F" w:rsidR="00DF67A2" w:rsidRPr="003027B3" w:rsidRDefault="00DF67A2" w:rsidP="00DF67A2">
      <w:pPr>
        <w:pStyle w:val="KMC16-TFNotes"/>
        <w:rPr>
          <w:rFonts w:ascii="Arial Narrow" w:hAnsi="Arial Narrow"/>
          <w:sz w:val="18"/>
          <w:szCs w:val="18"/>
        </w:rPr>
      </w:pPr>
      <w:r w:rsidRPr="003027B3">
        <w:rPr>
          <w:rFonts w:ascii="Arial Narrow" w:hAnsi="Arial Narrow"/>
          <w:b/>
          <w:bCs/>
          <w:sz w:val="18"/>
          <w:szCs w:val="18"/>
        </w:rPr>
        <w:t xml:space="preserve">DKA </w:t>
      </w:r>
      <w:r w:rsidRPr="003027B3">
        <w:rPr>
          <w:rFonts w:ascii="Arial Narrow" w:hAnsi="Arial Narrow"/>
          <w:sz w:val="18"/>
          <w:szCs w:val="18"/>
        </w:rPr>
        <w:t xml:space="preserve">= diabetic ketoacidosis, </w:t>
      </w:r>
      <w:r w:rsidRPr="003027B3">
        <w:rPr>
          <w:rFonts w:ascii="Arial Narrow" w:hAnsi="Arial Narrow"/>
          <w:b/>
          <w:bCs/>
          <w:sz w:val="18"/>
          <w:szCs w:val="18"/>
        </w:rPr>
        <w:t xml:space="preserve">ICER </w:t>
      </w:r>
      <w:r w:rsidRPr="003027B3">
        <w:rPr>
          <w:rFonts w:ascii="Arial Narrow" w:hAnsi="Arial Narrow"/>
          <w:sz w:val="18"/>
          <w:szCs w:val="18"/>
        </w:rPr>
        <w:t xml:space="preserve">= incremental cost-effectiveness ratio, </w:t>
      </w:r>
      <w:r w:rsidRPr="003027B3">
        <w:rPr>
          <w:rFonts w:ascii="Arial Narrow" w:hAnsi="Arial Narrow"/>
          <w:b/>
          <w:bCs/>
          <w:sz w:val="18"/>
          <w:szCs w:val="18"/>
        </w:rPr>
        <w:t>SMBG</w:t>
      </w:r>
      <w:r w:rsidRPr="003027B3">
        <w:rPr>
          <w:rFonts w:ascii="Arial Narrow" w:hAnsi="Arial Narrow"/>
          <w:sz w:val="18"/>
          <w:szCs w:val="18"/>
        </w:rPr>
        <w:t xml:space="preserve"> = self-monitoring of blood glucose. </w:t>
      </w:r>
    </w:p>
    <w:p w14:paraId="7A57E116" w14:textId="12D23078" w:rsidR="000C6AF3" w:rsidRPr="00CE28E3" w:rsidRDefault="000C6AF3" w:rsidP="000C6AF3">
      <w:pPr>
        <w:pStyle w:val="Caption"/>
      </w:pPr>
      <w:bookmarkStart w:id="66" w:name="_Ref193959591"/>
      <w:r w:rsidRPr="00CE28E3">
        <w:t>Table</w:t>
      </w:r>
      <w:r>
        <w:t> </w:t>
      </w:r>
      <w:r w:rsidR="00315A60">
        <w:fldChar w:fldCharType="begin"/>
      </w:r>
      <w:r w:rsidR="00315A60">
        <w:instrText xml:space="preserve"> SEQ Table \* ARABIC </w:instrText>
      </w:r>
      <w:r w:rsidR="00315A60">
        <w:fldChar w:fldCharType="separate"/>
      </w:r>
      <w:r w:rsidR="00315A60">
        <w:rPr>
          <w:noProof/>
        </w:rPr>
        <w:t>10</w:t>
      </w:r>
      <w:r w:rsidR="00315A60">
        <w:rPr>
          <w:noProof/>
        </w:rPr>
        <w:fldChar w:fldCharType="end"/>
      </w:r>
      <w:bookmarkEnd w:id="66"/>
      <w:r w:rsidRPr="00CE28E3">
        <w:tab/>
      </w:r>
      <w:r w:rsidR="00A063A0">
        <w:t>First-order</w:t>
      </w:r>
      <w:r>
        <w:t xml:space="preserve"> scenario</w:t>
      </w:r>
      <w:r w:rsidRPr="00CE28E3">
        <w:t xml:space="preserve">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9"/>
        <w:gridCol w:w="1659"/>
        <w:gridCol w:w="1659"/>
        <w:gridCol w:w="1659"/>
      </w:tblGrid>
      <w:tr w:rsidR="000C6AF3" w:rsidRPr="00CE28E3" w14:paraId="00C41E52" w14:textId="77777777" w:rsidTr="004A2A66">
        <w:trPr>
          <w:cantSplit/>
          <w:trHeight w:val="420"/>
          <w:tblHeader/>
        </w:trPr>
        <w:tc>
          <w:tcPr>
            <w:tcW w:w="2240" w:type="pct"/>
            <w:vAlign w:val="center"/>
          </w:tcPr>
          <w:p w14:paraId="18630B25" w14:textId="77777777" w:rsidR="000C6AF3" w:rsidRPr="005102BE" w:rsidRDefault="000C6AF3" w:rsidP="004A2A66">
            <w:pPr>
              <w:pStyle w:val="In-tableHeading"/>
              <w:rPr>
                <w:lang w:val="en-AU"/>
              </w:rPr>
            </w:pPr>
            <w:r w:rsidRPr="005102BE">
              <w:rPr>
                <w:lang w:val="en-AU"/>
              </w:rPr>
              <w:t>Analyses</w:t>
            </w:r>
          </w:p>
        </w:tc>
        <w:tc>
          <w:tcPr>
            <w:tcW w:w="920" w:type="pct"/>
            <w:vAlign w:val="center"/>
          </w:tcPr>
          <w:p w14:paraId="2AAF518D" w14:textId="77777777" w:rsidR="000C6AF3" w:rsidRPr="005102BE" w:rsidRDefault="000C6AF3" w:rsidP="004A2A66">
            <w:pPr>
              <w:pStyle w:val="In-tableHeading"/>
              <w:jc w:val="center"/>
              <w:rPr>
                <w:lang w:val="en-AU"/>
              </w:rPr>
            </w:pPr>
            <w:r w:rsidRPr="005102BE">
              <w:rPr>
                <w:lang w:val="en-AU"/>
              </w:rPr>
              <w:t>Incremental cost</w:t>
            </w:r>
          </w:p>
        </w:tc>
        <w:tc>
          <w:tcPr>
            <w:tcW w:w="920" w:type="pct"/>
            <w:vAlign w:val="center"/>
          </w:tcPr>
          <w:p w14:paraId="22D85029" w14:textId="77777777" w:rsidR="000C6AF3" w:rsidRPr="005102BE" w:rsidRDefault="000C6AF3" w:rsidP="004A2A66">
            <w:pPr>
              <w:pStyle w:val="In-tableHeading"/>
              <w:jc w:val="center"/>
              <w:rPr>
                <w:lang w:val="en-AU"/>
              </w:rPr>
            </w:pPr>
            <w:r w:rsidRPr="005102BE">
              <w:rPr>
                <w:lang w:val="en-AU"/>
              </w:rPr>
              <w:t>Incremental QALY</w:t>
            </w:r>
          </w:p>
        </w:tc>
        <w:tc>
          <w:tcPr>
            <w:tcW w:w="920" w:type="pct"/>
            <w:vAlign w:val="center"/>
          </w:tcPr>
          <w:p w14:paraId="5F8808BD" w14:textId="77777777" w:rsidR="000C6AF3" w:rsidRPr="005102BE" w:rsidRDefault="000C6AF3" w:rsidP="004A2A66">
            <w:pPr>
              <w:pStyle w:val="In-tableHeading"/>
              <w:jc w:val="center"/>
              <w:rPr>
                <w:lang w:val="en-AU"/>
              </w:rPr>
            </w:pPr>
            <w:r w:rsidRPr="005102BE">
              <w:rPr>
                <w:lang w:val="en-AU"/>
              </w:rPr>
              <w:t>ICER</w:t>
            </w:r>
          </w:p>
        </w:tc>
      </w:tr>
      <w:tr w:rsidR="000C6AF3" w:rsidRPr="00CE28E3" w14:paraId="63A3BF48" w14:textId="77777777" w:rsidTr="004A2A66">
        <w:trPr>
          <w:cantSplit/>
        </w:trPr>
        <w:tc>
          <w:tcPr>
            <w:tcW w:w="2240" w:type="pct"/>
          </w:tcPr>
          <w:p w14:paraId="7ECBD33A" w14:textId="77777777" w:rsidR="000C6AF3" w:rsidRPr="00CE28E3" w:rsidRDefault="000C6AF3" w:rsidP="004A2A66">
            <w:pPr>
              <w:pStyle w:val="TableText"/>
              <w:keepNext/>
              <w:rPr>
                <w:b/>
              </w:rPr>
            </w:pPr>
            <w:r w:rsidRPr="00CE28E3">
              <w:rPr>
                <w:b/>
              </w:rPr>
              <w:t>Base case</w:t>
            </w:r>
          </w:p>
        </w:tc>
        <w:tc>
          <w:tcPr>
            <w:tcW w:w="920" w:type="pct"/>
            <w:vAlign w:val="center"/>
          </w:tcPr>
          <w:p w14:paraId="6C73550D" w14:textId="195D5DC5" w:rsidR="000C6AF3" w:rsidRPr="00F14B56" w:rsidRDefault="000C3E52" w:rsidP="004A2A66">
            <w:pPr>
              <w:pStyle w:val="TableText"/>
              <w:keepNext/>
              <w:jc w:val="center"/>
              <w:rPr>
                <w:b/>
                <w:highlight w:val="yellow"/>
              </w:rPr>
            </w:pPr>
            <w:r w:rsidRPr="00F14B56">
              <w:rPr>
                <w:b/>
              </w:rPr>
              <w:t>$Redacted</w:t>
            </w:r>
          </w:p>
        </w:tc>
        <w:tc>
          <w:tcPr>
            <w:tcW w:w="920" w:type="pct"/>
            <w:vAlign w:val="center"/>
          </w:tcPr>
          <w:p w14:paraId="1F92B834" w14:textId="77777777" w:rsidR="000C6AF3" w:rsidRPr="00CE28E3" w:rsidRDefault="000C6AF3" w:rsidP="004A2A66">
            <w:pPr>
              <w:pStyle w:val="TableText"/>
              <w:keepNext/>
              <w:jc w:val="center"/>
              <w:rPr>
                <w:b/>
              </w:rPr>
            </w:pPr>
            <w:r w:rsidRPr="004A478D">
              <w:rPr>
                <w:b/>
              </w:rPr>
              <w:t>0.362</w:t>
            </w:r>
          </w:p>
        </w:tc>
        <w:tc>
          <w:tcPr>
            <w:tcW w:w="920" w:type="pct"/>
            <w:vAlign w:val="center"/>
          </w:tcPr>
          <w:p w14:paraId="5AB16CB2" w14:textId="36C28D64" w:rsidR="000C6AF3" w:rsidRPr="00F14B56" w:rsidRDefault="000C3E52" w:rsidP="004A2A66">
            <w:pPr>
              <w:pStyle w:val="TableText"/>
              <w:keepNext/>
              <w:jc w:val="center"/>
              <w:rPr>
                <w:b/>
                <w:highlight w:val="yellow"/>
                <w:vertAlign w:val="superscript"/>
              </w:rPr>
            </w:pPr>
            <w:r w:rsidRPr="00713151">
              <w:rPr>
                <w:b/>
              </w:rPr>
              <w:t>$Redacted</w:t>
            </w:r>
            <w:r w:rsidR="009617E5" w:rsidRPr="00F14B56">
              <w:rPr>
                <w:b/>
                <w:vertAlign w:val="superscript"/>
              </w:rPr>
              <w:t>1</w:t>
            </w:r>
          </w:p>
        </w:tc>
      </w:tr>
      <w:tr w:rsidR="000C3E52" w:rsidRPr="00CE28E3" w14:paraId="2A4E8575" w14:textId="77777777" w:rsidTr="00B156D1">
        <w:trPr>
          <w:cantSplit/>
        </w:trPr>
        <w:tc>
          <w:tcPr>
            <w:tcW w:w="2240" w:type="pct"/>
          </w:tcPr>
          <w:p w14:paraId="1BEE0619" w14:textId="5D8FC853" w:rsidR="000C3E52" w:rsidRPr="00C77835" w:rsidRDefault="000C3E52" w:rsidP="000C3E52">
            <w:pPr>
              <w:pStyle w:val="TableText"/>
              <w:keepNext/>
              <w:rPr>
                <w:bCs/>
              </w:rPr>
            </w:pPr>
            <w:r w:rsidRPr="003C6A79">
              <w:rPr>
                <w:bCs/>
              </w:rPr>
              <w:t xml:space="preserve">All FSL studies </w:t>
            </w:r>
            <w:r>
              <w:rPr>
                <w:bCs/>
              </w:rPr>
              <w:t xml:space="preserve">baseline </w:t>
            </w:r>
            <w:r w:rsidRPr="003C6A79">
              <w:rPr>
                <w:bCs/>
              </w:rPr>
              <w:t xml:space="preserve">HbA1c </w:t>
            </w:r>
            <w:r>
              <w:rPr>
                <w:bCs/>
              </w:rPr>
              <w:t>(</w:t>
            </w:r>
            <w:r w:rsidRPr="003C6A79">
              <w:rPr>
                <w:bCs/>
              </w:rPr>
              <w:t>8.16%</w:t>
            </w:r>
            <w:r>
              <w:rPr>
                <w:bCs/>
              </w:rPr>
              <w:t>)</w:t>
            </w:r>
          </w:p>
        </w:tc>
        <w:tc>
          <w:tcPr>
            <w:tcW w:w="920" w:type="pct"/>
          </w:tcPr>
          <w:p w14:paraId="156CB7DD" w14:textId="550FB864" w:rsidR="000C3E52" w:rsidRPr="00F14B56" w:rsidRDefault="000C3E52" w:rsidP="000C3E52">
            <w:pPr>
              <w:pStyle w:val="TableText"/>
              <w:keepNext/>
              <w:jc w:val="center"/>
              <w:rPr>
                <w:rFonts w:eastAsia="Calibri"/>
                <w:szCs w:val="20"/>
                <w:highlight w:val="yellow"/>
              </w:rPr>
            </w:pPr>
            <w:r w:rsidRPr="00301201">
              <w:rPr>
                <w:b/>
              </w:rPr>
              <w:t>$Redacted</w:t>
            </w:r>
          </w:p>
        </w:tc>
        <w:tc>
          <w:tcPr>
            <w:tcW w:w="920" w:type="pct"/>
            <w:vAlign w:val="center"/>
          </w:tcPr>
          <w:p w14:paraId="06D65768" w14:textId="77777777" w:rsidR="000C3E52" w:rsidRPr="00C77835" w:rsidRDefault="000C3E52" w:rsidP="000C3E52">
            <w:pPr>
              <w:pStyle w:val="TableText"/>
              <w:keepNext/>
              <w:jc w:val="center"/>
              <w:rPr>
                <w:rFonts w:eastAsia="Calibri"/>
                <w:bCs/>
                <w:szCs w:val="20"/>
              </w:rPr>
            </w:pPr>
            <w:r>
              <w:t>0.359</w:t>
            </w:r>
          </w:p>
        </w:tc>
        <w:tc>
          <w:tcPr>
            <w:tcW w:w="920" w:type="pct"/>
            <w:vAlign w:val="center"/>
          </w:tcPr>
          <w:p w14:paraId="67E3D425" w14:textId="3E75AB6A" w:rsidR="000C3E52" w:rsidRPr="00F14B56" w:rsidRDefault="000C3E52" w:rsidP="000C3E52">
            <w:pPr>
              <w:pStyle w:val="TableText"/>
              <w:keepNext/>
              <w:jc w:val="center"/>
              <w:rPr>
                <w:rFonts w:eastAsia="Calibri"/>
                <w:b/>
                <w:szCs w:val="20"/>
                <w:highlight w:val="yellow"/>
                <w:vertAlign w:val="superscript"/>
              </w:rPr>
            </w:pPr>
            <w:r w:rsidRPr="000C3E52">
              <w:rPr>
                <w:b/>
              </w:rPr>
              <w:t>$Redacted</w:t>
            </w:r>
            <w:r w:rsidRPr="00F14B56">
              <w:rPr>
                <w:vertAlign w:val="superscript"/>
              </w:rPr>
              <w:t>1</w:t>
            </w:r>
          </w:p>
        </w:tc>
      </w:tr>
      <w:tr w:rsidR="000C3E52" w:rsidRPr="00CE28E3" w14:paraId="4A66917B" w14:textId="77777777" w:rsidTr="00B156D1">
        <w:trPr>
          <w:cantSplit/>
        </w:trPr>
        <w:tc>
          <w:tcPr>
            <w:tcW w:w="2240" w:type="pct"/>
          </w:tcPr>
          <w:p w14:paraId="21629034" w14:textId="60EC6B27" w:rsidR="000C3E52" w:rsidRDefault="000C3E52" w:rsidP="000C3E52">
            <w:pPr>
              <w:pStyle w:val="TableText"/>
              <w:keepNext/>
              <w:rPr>
                <w:b/>
              </w:rPr>
            </w:pPr>
            <w:r w:rsidRPr="004A478D">
              <w:t>Exclude all diabetes</w:t>
            </w:r>
            <w:r>
              <w:t>-</w:t>
            </w:r>
            <w:r w:rsidRPr="004A478D">
              <w:t xml:space="preserve">related complication </w:t>
            </w:r>
            <w:r w:rsidRPr="00A54EDF">
              <w:t>cost</w:t>
            </w:r>
            <w:r>
              <w:t>s</w:t>
            </w:r>
          </w:p>
        </w:tc>
        <w:tc>
          <w:tcPr>
            <w:tcW w:w="920" w:type="pct"/>
          </w:tcPr>
          <w:p w14:paraId="5D42E54B" w14:textId="08594368" w:rsidR="000C3E52" w:rsidRPr="00F14B56" w:rsidRDefault="000C3E52" w:rsidP="000C3E52">
            <w:pPr>
              <w:pStyle w:val="TableText"/>
              <w:keepNext/>
              <w:jc w:val="center"/>
              <w:rPr>
                <w:rFonts w:eastAsia="Calibri"/>
                <w:b/>
                <w:szCs w:val="20"/>
                <w:highlight w:val="yellow"/>
              </w:rPr>
            </w:pPr>
            <w:r w:rsidRPr="00301201">
              <w:rPr>
                <w:b/>
              </w:rPr>
              <w:t>$Redacted</w:t>
            </w:r>
          </w:p>
        </w:tc>
        <w:tc>
          <w:tcPr>
            <w:tcW w:w="920" w:type="pct"/>
            <w:vAlign w:val="center"/>
          </w:tcPr>
          <w:p w14:paraId="6A63563F" w14:textId="77777777" w:rsidR="000C3E52" w:rsidRPr="00CE28E3" w:rsidRDefault="000C3E52" w:rsidP="000C3E52">
            <w:pPr>
              <w:pStyle w:val="TableText"/>
              <w:keepNext/>
              <w:jc w:val="center"/>
              <w:rPr>
                <w:rFonts w:eastAsia="Calibri"/>
                <w:b/>
                <w:szCs w:val="20"/>
              </w:rPr>
            </w:pPr>
            <w:r>
              <w:t>0.362</w:t>
            </w:r>
          </w:p>
        </w:tc>
        <w:tc>
          <w:tcPr>
            <w:tcW w:w="920" w:type="pct"/>
            <w:vAlign w:val="center"/>
          </w:tcPr>
          <w:p w14:paraId="7FF08D38" w14:textId="65391BE9" w:rsidR="000C3E52" w:rsidRPr="00F14B56" w:rsidRDefault="000C3E52" w:rsidP="000C3E52">
            <w:pPr>
              <w:pStyle w:val="TableText"/>
              <w:keepNext/>
              <w:jc w:val="center"/>
              <w:rPr>
                <w:rFonts w:eastAsia="Calibri"/>
                <w:b/>
                <w:szCs w:val="20"/>
                <w:highlight w:val="yellow"/>
                <w:vertAlign w:val="superscript"/>
              </w:rPr>
            </w:pPr>
            <w:r w:rsidRPr="00713151">
              <w:rPr>
                <w:b/>
              </w:rPr>
              <w:t>$Redacted</w:t>
            </w:r>
            <w:r w:rsidRPr="00F14B56">
              <w:rPr>
                <w:vertAlign w:val="superscript"/>
              </w:rPr>
              <w:t>2</w:t>
            </w:r>
          </w:p>
        </w:tc>
      </w:tr>
      <w:tr w:rsidR="000C3E52" w:rsidRPr="00CE28E3" w14:paraId="402B1A49" w14:textId="77777777" w:rsidTr="00B156D1">
        <w:trPr>
          <w:cantSplit/>
        </w:trPr>
        <w:tc>
          <w:tcPr>
            <w:tcW w:w="2240" w:type="pct"/>
          </w:tcPr>
          <w:p w14:paraId="5BE80A80" w14:textId="2DD0CA37" w:rsidR="000C3E52" w:rsidRDefault="000C3E52" w:rsidP="000C3E52">
            <w:pPr>
              <w:pStyle w:val="TableText"/>
              <w:keepNext/>
              <w:rPr>
                <w:b/>
              </w:rPr>
            </w:pPr>
            <w:r w:rsidRPr="004A478D">
              <w:t>Exclude HHS and SHE diabetes</w:t>
            </w:r>
            <w:r>
              <w:t>-</w:t>
            </w:r>
            <w:r w:rsidRPr="004A478D">
              <w:t>related complication costs only</w:t>
            </w:r>
          </w:p>
        </w:tc>
        <w:tc>
          <w:tcPr>
            <w:tcW w:w="920" w:type="pct"/>
          </w:tcPr>
          <w:p w14:paraId="6FE7C323" w14:textId="4D963959" w:rsidR="000C3E52" w:rsidRPr="00F14B56" w:rsidRDefault="000C3E52" w:rsidP="000C3E52">
            <w:pPr>
              <w:pStyle w:val="TableText"/>
              <w:keepNext/>
              <w:jc w:val="center"/>
              <w:rPr>
                <w:rFonts w:eastAsia="Calibri"/>
                <w:b/>
                <w:szCs w:val="20"/>
                <w:highlight w:val="yellow"/>
              </w:rPr>
            </w:pPr>
            <w:r w:rsidRPr="00301201">
              <w:rPr>
                <w:b/>
              </w:rPr>
              <w:t>$Redacted</w:t>
            </w:r>
          </w:p>
        </w:tc>
        <w:tc>
          <w:tcPr>
            <w:tcW w:w="920" w:type="pct"/>
            <w:vAlign w:val="center"/>
          </w:tcPr>
          <w:p w14:paraId="29361279" w14:textId="77777777" w:rsidR="000C3E52" w:rsidRPr="00CE28E3" w:rsidRDefault="000C3E52" w:rsidP="000C3E52">
            <w:pPr>
              <w:pStyle w:val="TableText"/>
              <w:keepNext/>
              <w:jc w:val="center"/>
              <w:rPr>
                <w:rFonts w:eastAsia="Calibri"/>
                <w:b/>
                <w:szCs w:val="20"/>
              </w:rPr>
            </w:pPr>
            <w:r>
              <w:t>0.362</w:t>
            </w:r>
          </w:p>
        </w:tc>
        <w:tc>
          <w:tcPr>
            <w:tcW w:w="920" w:type="pct"/>
            <w:vAlign w:val="center"/>
          </w:tcPr>
          <w:p w14:paraId="1A6F7012" w14:textId="46F27AC3" w:rsidR="000C3E52" w:rsidRPr="00F14B56" w:rsidRDefault="000C3E52" w:rsidP="000C3E52">
            <w:pPr>
              <w:pStyle w:val="TableText"/>
              <w:keepNext/>
              <w:jc w:val="center"/>
              <w:rPr>
                <w:rFonts w:eastAsia="Calibri"/>
                <w:b/>
                <w:szCs w:val="20"/>
                <w:highlight w:val="yellow"/>
                <w:vertAlign w:val="superscript"/>
              </w:rPr>
            </w:pPr>
            <w:r w:rsidRPr="00713151">
              <w:rPr>
                <w:b/>
              </w:rPr>
              <w:t>$Redacted</w:t>
            </w:r>
            <w:r w:rsidRPr="00F14B56">
              <w:rPr>
                <w:vertAlign w:val="superscript"/>
              </w:rPr>
              <w:t>3</w:t>
            </w:r>
          </w:p>
        </w:tc>
      </w:tr>
      <w:tr w:rsidR="000C3E52" w:rsidRPr="00CE28E3" w14:paraId="02E72C61" w14:textId="77777777" w:rsidTr="00B156D1">
        <w:trPr>
          <w:cantSplit/>
        </w:trPr>
        <w:tc>
          <w:tcPr>
            <w:tcW w:w="2240" w:type="pct"/>
          </w:tcPr>
          <w:p w14:paraId="509C41C1" w14:textId="7339F990" w:rsidR="000C3E52" w:rsidRDefault="000C3E52" w:rsidP="000C3E52">
            <w:pPr>
              <w:pStyle w:val="TableText"/>
              <w:keepNext/>
              <w:rPr>
                <w:b/>
              </w:rPr>
            </w:pPr>
            <w:r w:rsidRPr="004A478D">
              <w:t>Shorter horizon</w:t>
            </w:r>
            <w:r>
              <w:t xml:space="preserve"> (25 years)</w:t>
            </w:r>
          </w:p>
        </w:tc>
        <w:tc>
          <w:tcPr>
            <w:tcW w:w="920" w:type="pct"/>
          </w:tcPr>
          <w:p w14:paraId="15935DC9" w14:textId="1274BF55" w:rsidR="000C3E52" w:rsidRPr="00F14B56" w:rsidRDefault="000C3E52" w:rsidP="000C3E52">
            <w:pPr>
              <w:pStyle w:val="TableText"/>
              <w:keepNext/>
              <w:jc w:val="center"/>
              <w:rPr>
                <w:rFonts w:eastAsia="Calibri"/>
                <w:b/>
                <w:szCs w:val="20"/>
                <w:highlight w:val="yellow"/>
              </w:rPr>
            </w:pPr>
            <w:r w:rsidRPr="00301201">
              <w:rPr>
                <w:b/>
              </w:rPr>
              <w:t>$Redacted</w:t>
            </w:r>
          </w:p>
        </w:tc>
        <w:tc>
          <w:tcPr>
            <w:tcW w:w="920" w:type="pct"/>
            <w:vAlign w:val="center"/>
          </w:tcPr>
          <w:p w14:paraId="5181A53C" w14:textId="77777777" w:rsidR="000C3E52" w:rsidRPr="00CE28E3" w:rsidRDefault="000C3E52" w:rsidP="000C3E52">
            <w:pPr>
              <w:pStyle w:val="TableText"/>
              <w:keepNext/>
              <w:jc w:val="center"/>
              <w:rPr>
                <w:rFonts w:eastAsia="Calibri"/>
                <w:b/>
                <w:szCs w:val="20"/>
              </w:rPr>
            </w:pPr>
            <w:r>
              <w:t>0.327</w:t>
            </w:r>
          </w:p>
        </w:tc>
        <w:tc>
          <w:tcPr>
            <w:tcW w:w="920" w:type="pct"/>
            <w:vAlign w:val="center"/>
          </w:tcPr>
          <w:p w14:paraId="75ACD7FE" w14:textId="48029BF7" w:rsidR="000C3E52" w:rsidRPr="00F14B56" w:rsidRDefault="000C3E52" w:rsidP="000C3E52">
            <w:pPr>
              <w:pStyle w:val="TableText"/>
              <w:keepNext/>
              <w:jc w:val="center"/>
              <w:rPr>
                <w:rFonts w:eastAsia="Calibri"/>
                <w:b/>
                <w:szCs w:val="20"/>
                <w:highlight w:val="yellow"/>
                <w:vertAlign w:val="superscript"/>
              </w:rPr>
            </w:pPr>
            <w:r w:rsidRPr="00713151">
              <w:rPr>
                <w:b/>
              </w:rPr>
              <w:t>$Redact</w:t>
            </w:r>
            <w:r w:rsidRPr="000C3E52">
              <w:rPr>
                <w:b/>
              </w:rPr>
              <w:t>ed</w:t>
            </w:r>
            <w:r w:rsidRPr="00F14B56">
              <w:rPr>
                <w:vertAlign w:val="superscript"/>
              </w:rPr>
              <w:t>1</w:t>
            </w:r>
          </w:p>
        </w:tc>
      </w:tr>
      <w:tr w:rsidR="000C6AF3" w:rsidRPr="00CE28E3" w14:paraId="45C49839" w14:textId="77777777" w:rsidTr="004A2A66">
        <w:trPr>
          <w:cantSplit/>
        </w:trPr>
        <w:tc>
          <w:tcPr>
            <w:tcW w:w="5000" w:type="pct"/>
            <w:gridSpan w:val="4"/>
          </w:tcPr>
          <w:p w14:paraId="799E3783" w14:textId="6D397465" w:rsidR="000C6AF3" w:rsidRPr="00C77835" w:rsidRDefault="000C6AF3" w:rsidP="004A2A66">
            <w:pPr>
              <w:pStyle w:val="TableText"/>
              <w:keepNext/>
              <w:rPr>
                <w:b/>
                <w:bCs/>
              </w:rPr>
            </w:pPr>
            <w:r w:rsidRPr="00C77835">
              <w:rPr>
                <w:b/>
                <w:bCs/>
              </w:rPr>
              <w:t>One-</w:t>
            </w:r>
            <w:r w:rsidR="00B5272E">
              <w:rPr>
                <w:b/>
                <w:bCs/>
              </w:rPr>
              <w:t>t</w:t>
            </w:r>
            <w:r w:rsidRPr="00A54EDF">
              <w:rPr>
                <w:b/>
                <w:bCs/>
              </w:rPr>
              <w:t xml:space="preserve">ime </w:t>
            </w:r>
            <w:r w:rsidR="00B5272E">
              <w:rPr>
                <w:b/>
                <w:bCs/>
              </w:rPr>
              <w:t>a</w:t>
            </w:r>
            <w:r w:rsidRPr="00C77835">
              <w:rPr>
                <w:b/>
                <w:bCs/>
              </w:rPr>
              <w:t xml:space="preserve">bsolute HbA1c </w:t>
            </w:r>
            <w:r w:rsidR="00B5272E">
              <w:rPr>
                <w:b/>
                <w:bCs/>
              </w:rPr>
              <w:t>r</w:t>
            </w:r>
            <w:r w:rsidRPr="00C77835">
              <w:rPr>
                <w:b/>
                <w:bCs/>
              </w:rPr>
              <w:t>eduction</w:t>
            </w:r>
            <w:r w:rsidRPr="00C77835" w:rsidDel="00D16FBF">
              <w:rPr>
                <w:b/>
                <w:bCs/>
              </w:rPr>
              <w:t xml:space="preserve"> </w:t>
            </w:r>
            <w:r w:rsidR="00380B1B">
              <w:rPr>
                <w:b/>
                <w:bCs/>
              </w:rPr>
              <w:t xml:space="preserve">(refer to Table </w:t>
            </w:r>
            <w:r w:rsidR="006A198B">
              <w:rPr>
                <w:b/>
                <w:bCs/>
              </w:rPr>
              <w:t>9</w:t>
            </w:r>
            <w:r w:rsidR="003C6A79">
              <w:rPr>
                <w:b/>
                <w:bCs/>
              </w:rPr>
              <w:t>, key drivers of the model, row 1</w:t>
            </w:r>
            <w:r w:rsidR="006A198B">
              <w:rPr>
                <w:b/>
                <w:bCs/>
              </w:rPr>
              <w:t xml:space="preserve"> for the reduction assumed)</w:t>
            </w:r>
          </w:p>
        </w:tc>
      </w:tr>
      <w:tr w:rsidR="000C3E52" w:rsidRPr="00CE28E3" w14:paraId="2DA83D3E" w14:textId="77777777" w:rsidTr="00B156D1">
        <w:trPr>
          <w:cantSplit/>
        </w:trPr>
        <w:tc>
          <w:tcPr>
            <w:tcW w:w="2240" w:type="pct"/>
          </w:tcPr>
          <w:p w14:paraId="2210A863" w14:textId="77777777" w:rsidR="000C3E52" w:rsidRPr="00CE28E3" w:rsidRDefault="000C3E52" w:rsidP="000C3E52">
            <w:pPr>
              <w:pStyle w:val="TableText"/>
              <w:keepNext/>
            </w:pPr>
            <w:r w:rsidRPr="007612DF">
              <w:t>T2D patients using intensive insulin</w:t>
            </w:r>
          </w:p>
        </w:tc>
        <w:tc>
          <w:tcPr>
            <w:tcW w:w="920" w:type="pct"/>
          </w:tcPr>
          <w:p w14:paraId="7418A418" w14:textId="53F29D92" w:rsidR="000C3E52" w:rsidRPr="00F14B56" w:rsidRDefault="000C3E52" w:rsidP="000C3E52">
            <w:pPr>
              <w:pStyle w:val="TableText"/>
              <w:keepNext/>
              <w:jc w:val="center"/>
              <w:rPr>
                <w:highlight w:val="yellow"/>
              </w:rPr>
            </w:pPr>
            <w:r w:rsidRPr="00242982">
              <w:rPr>
                <w:b/>
              </w:rPr>
              <w:t>$Redacted</w:t>
            </w:r>
          </w:p>
        </w:tc>
        <w:tc>
          <w:tcPr>
            <w:tcW w:w="920" w:type="pct"/>
            <w:vAlign w:val="center"/>
          </w:tcPr>
          <w:p w14:paraId="705C2D85" w14:textId="77777777" w:rsidR="000C3E52" w:rsidRPr="00CE28E3" w:rsidRDefault="000C3E52" w:rsidP="000C3E52">
            <w:pPr>
              <w:pStyle w:val="TableText"/>
              <w:keepNext/>
              <w:jc w:val="center"/>
            </w:pPr>
            <w:r>
              <w:t>0.337</w:t>
            </w:r>
          </w:p>
        </w:tc>
        <w:tc>
          <w:tcPr>
            <w:tcW w:w="920" w:type="pct"/>
            <w:vAlign w:val="center"/>
          </w:tcPr>
          <w:p w14:paraId="1B4B2A73" w14:textId="52234B57" w:rsidR="000C3E52" w:rsidRPr="00F14B56" w:rsidRDefault="000C3E52" w:rsidP="000C3E52">
            <w:pPr>
              <w:pStyle w:val="TableText"/>
              <w:keepNext/>
              <w:jc w:val="center"/>
              <w:rPr>
                <w:highlight w:val="yellow"/>
                <w:vertAlign w:val="superscript"/>
              </w:rPr>
            </w:pPr>
            <w:r w:rsidRPr="00713151">
              <w:rPr>
                <w:b/>
              </w:rPr>
              <w:t>$R</w:t>
            </w:r>
            <w:r w:rsidRPr="000C3E52">
              <w:rPr>
                <w:b/>
              </w:rPr>
              <w:t>edacted</w:t>
            </w:r>
            <w:r w:rsidRPr="00F14B56">
              <w:rPr>
                <w:vertAlign w:val="superscript"/>
              </w:rPr>
              <w:t>1</w:t>
            </w:r>
          </w:p>
        </w:tc>
      </w:tr>
      <w:tr w:rsidR="000C3E52" w:rsidRPr="00CE28E3" w14:paraId="61551B36" w14:textId="77777777" w:rsidTr="00B156D1">
        <w:trPr>
          <w:cantSplit/>
          <w:trHeight w:val="283"/>
        </w:trPr>
        <w:tc>
          <w:tcPr>
            <w:tcW w:w="2240" w:type="pct"/>
          </w:tcPr>
          <w:p w14:paraId="2A424798" w14:textId="4D10A021" w:rsidR="000C3E52" w:rsidRPr="00CE28E3" w:rsidRDefault="000C3E52" w:rsidP="000C3E52">
            <w:pPr>
              <w:pStyle w:val="TableText"/>
              <w:keepNext/>
            </w:pPr>
            <w:r w:rsidRPr="007612DF">
              <w:t xml:space="preserve">All T2D insulin patients with HbA1c </w:t>
            </w:r>
            <w:r>
              <w:t>≥</w:t>
            </w:r>
            <w:r w:rsidRPr="007612DF">
              <w:t>8%</w:t>
            </w:r>
          </w:p>
        </w:tc>
        <w:tc>
          <w:tcPr>
            <w:tcW w:w="920" w:type="pct"/>
          </w:tcPr>
          <w:p w14:paraId="4BC1646A" w14:textId="0545A7D3" w:rsidR="000C3E52" w:rsidRPr="00F14B56" w:rsidRDefault="000C3E52" w:rsidP="000C3E52">
            <w:pPr>
              <w:pStyle w:val="TableText"/>
              <w:keepNext/>
              <w:jc w:val="center"/>
              <w:rPr>
                <w:highlight w:val="yellow"/>
              </w:rPr>
            </w:pPr>
            <w:r w:rsidRPr="00242982">
              <w:rPr>
                <w:b/>
              </w:rPr>
              <w:t>$Redacted</w:t>
            </w:r>
          </w:p>
        </w:tc>
        <w:tc>
          <w:tcPr>
            <w:tcW w:w="920" w:type="pct"/>
            <w:vAlign w:val="center"/>
          </w:tcPr>
          <w:p w14:paraId="55361A50" w14:textId="77777777" w:rsidR="000C3E52" w:rsidRPr="00CE28E3" w:rsidRDefault="000C3E52" w:rsidP="000C3E52">
            <w:pPr>
              <w:pStyle w:val="TableText"/>
              <w:keepNext/>
              <w:jc w:val="center"/>
            </w:pPr>
            <w:r>
              <w:t>0.374</w:t>
            </w:r>
          </w:p>
        </w:tc>
        <w:tc>
          <w:tcPr>
            <w:tcW w:w="920" w:type="pct"/>
            <w:vAlign w:val="center"/>
          </w:tcPr>
          <w:p w14:paraId="179C46CE" w14:textId="155FCE8A" w:rsidR="000C3E52" w:rsidRPr="00F14B56" w:rsidRDefault="000C3E52" w:rsidP="000C3E52">
            <w:pPr>
              <w:pStyle w:val="TableText"/>
              <w:keepNext/>
              <w:jc w:val="center"/>
              <w:rPr>
                <w:highlight w:val="yellow"/>
                <w:vertAlign w:val="superscript"/>
              </w:rPr>
            </w:pPr>
            <w:r w:rsidRPr="00713151">
              <w:rPr>
                <w:b/>
              </w:rPr>
              <w:t>$Redacted</w:t>
            </w:r>
            <w:r w:rsidRPr="00F14B56">
              <w:rPr>
                <w:vertAlign w:val="superscript"/>
              </w:rPr>
              <w:t>1</w:t>
            </w:r>
          </w:p>
        </w:tc>
      </w:tr>
      <w:tr w:rsidR="000C3E52" w:rsidRPr="00CE28E3" w14:paraId="7312B259" w14:textId="77777777" w:rsidTr="00B156D1">
        <w:trPr>
          <w:cantSplit/>
          <w:trHeight w:val="283"/>
        </w:trPr>
        <w:tc>
          <w:tcPr>
            <w:tcW w:w="2240" w:type="pct"/>
          </w:tcPr>
          <w:p w14:paraId="1901C04F" w14:textId="11DBEE74" w:rsidR="000C3E52" w:rsidRPr="00CE28E3" w:rsidRDefault="000C3E52" w:rsidP="000C3E52">
            <w:pPr>
              <w:pStyle w:val="TableText"/>
              <w:keepNext/>
            </w:pPr>
            <w:r w:rsidRPr="007612DF">
              <w:t xml:space="preserve">All T2D insulin patients with HbA1c </w:t>
            </w:r>
            <w:r>
              <w:t>≥</w:t>
            </w:r>
            <w:r w:rsidRPr="007612DF">
              <w:t>8.7%</w:t>
            </w:r>
          </w:p>
        </w:tc>
        <w:tc>
          <w:tcPr>
            <w:tcW w:w="920" w:type="pct"/>
          </w:tcPr>
          <w:p w14:paraId="733B5A6E" w14:textId="76B4F270" w:rsidR="000C3E52" w:rsidRPr="00F14B56" w:rsidRDefault="000C3E52" w:rsidP="000C3E52">
            <w:pPr>
              <w:pStyle w:val="TableText"/>
              <w:keepNext/>
              <w:jc w:val="center"/>
              <w:rPr>
                <w:rFonts w:eastAsia="Calibri"/>
                <w:szCs w:val="20"/>
                <w:highlight w:val="yellow"/>
              </w:rPr>
            </w:pPr>
            <w:r w:rsidRPr="00242982">
              <w:rPr>
                <w:b/>
              </w:rPr>
              <w:t>$Redacted</w:t>
            </w:r>
          </w:p>
        </w:tc>
        <w:tc>
          <w:tcPr>
            <w:tcW w:w="920" w:type="pct"/>
            <w:vAlign w:val="center"/>
          </w:tcPr>
          <w:p w14:paraId="470935F5" w14:textId="77777777" w:rsidR="000C3E52" w:rsidRPr="00CE28E3" w:rsidRDefault="000C3E52" w:rsidP="000C3E52">
            <w:pPr>
              <w:pStyle w:val="TableText"/>
              <w:keepNext/>
              <w:jc w:val="center"/>
              <w:rPr>
                <w:rFonts w:eastAsia="Calibri"/>
                <w:szCs w:val="20"/>
              </w:rPr>
            </w:pPr>
            <w:r>
              <w:t>0.422</w:t>
            </w:r>
          </w:p>
        </w:tc>
        <w:tc>
          <w:tcPr>
            <w:tcW w:w="920" w:type="pct"/>
            <w:vAlign w:val="center"/>
          </w:tcPr>
          <w:p w14:paraId="4767C58E" w14:textId="3370F137" w:rsidR="000C3E52" w:rsidRPr="00F14B56" w:rsidRDefault="000C3E52" w:rsidP="000C3E52">
            <w:pPr>
              <w:pStyle w:val="TableText"/>
              <w:keepNext/>
              <w:jc w:val="center"/>
              <w:rPr>
                <w:rFonts w:eastAsia="Calibri"/>
                <w:szCs w:val="20"/>
                <w:highlight w:val="yellow"/>
                <w:vertAlign w:val="superscript"/>
              </w:rPr>
            </w:pPr>
            <w:r w:rsidRPr="00713151">
              <w:rPr>
                <w:b/>
              </w:rPr>
              <w:t>$Redacted</w:t>
            </w:r>
            <w:r w:rsidRPr="00F14B56">
              <w:rPr>
                <w:vertAlign w:val="superscript"/>
              </w:rPr>
              <w:t>4</w:t>
            </w:r>
          </w:p>
        </w:tc>
      </w:tr>
      <w:tr w:rsidR="000C3E52" w:rsidRPr="00CE28E3" w14:paraId="4EAF3D36" w14:textId="77777777" w:rsidTr="00B156D1">
        <w:trPr>
          <w:cantSplit/>
          <w:trHeight w:val="283"/>
        </w:trPr>
        <w:tc>
          <w:tcPr>
            <w:tcW w:w="2240" w:type="pct"/>
          </w:tcPr>
          <w:p w14:paraId="2F50F166" w14:textId="1C4B05BA" w:rsidR="000C3E52" w:rsidRDefault="000C3E52" w:rsidP="000C3E52">
            <w:pPr>
              <w:pStyle w:val="TableText"/>
              <w:keepNext/>
            </w:pPr>
            <w:r w:rsidRPr="007612DF">
              <w:t xml:space="preserve">No additional benefit from SMBG </w:t>
            </w:r>
            <w:r>
              <w:t>s</w:t>
            </w:r>
            <w:r w:rsidRPr="00A54EDF">
              <w:t xml:space="preserve">cenario </w:t>
            </w:r>
            <w:r>
              <w:t>a</w:t>
            </w:r>
            <w:r w:rsidRPr="00A54EDF">
              <w:t xml:space="preserve">nalysis: </w:t>
            </w:r>
            <w:r>
              <w:t>‘‘</w:t>
            </w:r>
            <w:r w:rsidRPr="007612DF">
              <w:t xml:space="preserve">Funding FSL vs </w:t>
            </w:r>
            <w:r w:rsidRPr="00A54EDF">
              <w:t>not</w:t>
            </w:r>
            <w:r>
              <w:t>’’</w:t>
            </w:r>
          </w:p>
        </w:tc>
        <w:tc>
          <w:tcPr>
            <w:tcW w:w="920" w:type="pct"/>
          </w:tcPr>
          <w:p w14:paraId="4F49B3A4" w14:textId="2E72084E" w:rsidR="000C3E52" w:rsidRPr="00F14B56" w:rsidRDefault="000C3E52" w:rsidP="000C3E52">
            <w:pPr>
              <w:pStyle w:val="TableText"/>
              <w:keepNext/>
              <w:jc w:val="center"/>
              <w:rPr>
                <w:rFonts w:eastAsia="Calibri"/>
                <w:szCs w:val="20"/>
                <w:highlight w:val="yellow"/>
              </w:rPr>
            </w:pPr>
            <w:r w:rsidRPr="00242982">
              <w:rPr>
                <w:b/>
              </w:rPr>
              <w:t>$Redacted</w:t>
            </w:r>
          </w:p>
        </w:tc>
        <w:tc>
          <w:tcPr>
            <w:tcW w:w="920" w:type="pct"/>
            <w:vAlign w:val="center"/>
          </w:tcPr>
          <w:p w14:paraId="597D6F65" w14:textId="77777777" w:rsidR="000C3E52" w:rsidRPr="00CE28E3" w:rsidRDefault="000C3E52" w:rsidP="000C3E52">
            <w:pPr>
              <w:pStyle w:val="TableText"/>
              <w:keepNext/>
              <w:jc w:val="center"/>
              <w:rPr>
                <w:rFonts w:eastAsia="Calibri"/>
                <w:szCs w:val="20"/>
              </w:rPr>
            </w:pPr>
            <w:r w:rsidRPr="00E149F4">
              <w:rPr>
                <w:b/>
              </w:rPr>
              <w:t>0.289</w:t>
            </w:r>
          </w:p>
        </w:tc>
        <w:tc>
          <w:tcPr>
            <w:tcW w:w="920" w:type="pct"/>
            <w:vAlign w:val="center"/>
          </w:tcPr>
          <w:p w14:paraId="3C276735" w14:textId="31D9A4D4" w:rsidR="000C3E52" w:rsidRPr="00F14B56" w:rsidRDefault="000C3E52" w:rsidP="000C3E52">
            <w:pPr>
              <w:pStyle w:val="TableText"/>
              <w:keepNext/>
              <w:jc w:val="center"/>
              <w:rPr>
                <w:rFonts w:eastAsia="Calibri"/>
                <w:szCs w:val="20"/>
                <w:highlight w:val="yellow"/>
                <w:vertAlign w:val="superscript"/>
              </w:rPr>
            </w:pPr>
            <w:r w:rsidRPr="00713151">
              <w:rPr>
                <w:b/>
              </w:rPr>
              <w:t>$Redacte</w:t>
            </w:r>
            <w:r w:rsidRPr="000C3E52">
              <w:rPr>
                <w:b/>
              </w:rPr>
              <w:t>d</w:t>
            </w:r>
            <w:r w:rsidRPr="00F14B56">
              <w:rPr>
                <w:b/>
                <w:vertAlign w:val="superscript"/>
              </w:rPr>
              <w:t>4</w:t>
            </w:r>
          </w:p>
        </w:tc>
      </w:tr>
      <w:tr w:rsidR="000C6AF3" w:rsidRPr="00CE28E3" w14:paraId="385F0955" w14:textId="77777777" w:rsidTr="004A2A66">
        <w:trPr>
          <w:cantSplit/>
          <w:trHeight w:val="283"/>
        </w:trPr>
        <w:tc>
          <w:tcPr>
            <w:tcW w:w="5000" w:type="pct"/>
            <w:gridSpan w:val="4"/>
          </w:tcPr>
          <w:p w14:paraId="33CC1C1B" w14:textId="77777777" w:rsidR="000C6AF3" w:rsidRPr="00C77835" w:rsidRDefault="000C6AF3" w:rsidP="004A2A66">
            <w:pPr>
              <w:pStyle w:val="TableText"/>
              <w:keepNext/>
              <w:rPr>
                <w:rFonts w:eastAsia="Calibri"/>
                <w:b/>
                <w:bCs/>
                <w:szCs w:val="20"/>
              </w:rPr>
            </w:pPr>
            <w:r w:rsidRPr="00C77835">
              <w:rPr>
                <w:rFonts w:eastAsia="Calibri"/>
                <w:b/>
                <w:bCs/>
                <w:szCs w:val="20"/>
              </w:rPr>
              <w:t>Discounting</w:t>
            </w:r>
          </w:p>
        </w:tc>
      </w:tr>
      <w:tr w:rsidR="000C3E52" w:rsidRPr="00CE28E3" w14:paraId="00B15051" w14:textId="77777777" w:rsidTr="00B156D1">
        <w:trPr>
          <w:cantSplit/>
          <w:trHeight w:val="283"/>
        </w:trPr>
        <w:tc>
          <w:tcPr>
            <w:tcW w:w="2240" w:type="pct"/>
            <w:vAlign w:val="center"/>
          </w:tcPr>
          <w:p w14:paraId="30F5CD55" w14:textId="77777777" w:rsidR="000C3E52" w:rsidRPr="004A478D" w:rsidRDefault="000C3E52" w:rsidP="000C3E52">
            <w:pPr>
              <w:pStyle w:val="KMC16-Tablecontent"/>
              <w:rPr>
                <w:lang w:val="en-AU"/>
              </w:rPr>
            </w:pPr>
            <w:r w:rsidRPr="004A478D">
              <w:rPr>
                <w:lang w:val="en-AU"/>
              </w:rPr>
              <w:t>Cost discount: 0%</w:t>
            </w:r>
          </w:p>
          <w:p w14:paraId="60D30C58" w14:textId="77777777" w:rsidR="000C3E52" w:rsidRDefault="000C3E52" w:rsidP="000C3E52">
            <w:pPr>
              <w:pStyle w:val="TableText"/>
              <w:keepNext/>
            </w:pPr>
            <w:r w:rsidRPr="004A478D">
              <w:t>Utility discount: 0%</w:t>
            </w:r>
          </w:p>
        </w:tc>
        <w:tc>
          <w:tcPr>
            <w:tcW w:w="920" w:type="pct"/>
          </w:tcPr>
          <w:p w14:paraId="1B8D7D56" w14:textId="663B4CE4" w:rsidR="000C3E52" w:rsidRPr="00F14B56" w:rsidRDefault="000C3E52" w:rsidP="000C3E52">
            <w:pPr>
              <w:pStyle w:val="TableText"/>
              <w:keepNext/>
              <w:jc w:val="center"/>
              <w:rPr>
                <w:rFonts w:eastAsia="Calibri"/>
                <w:szCs w:val="20"/>
                <w:highlight w:val="yellow"/>
              </w:rPr>
            </w:pPr>
            <w:r w:rsidRPr="00624439">
              <w:rPr>
                <w:b/>
              </w:rPr>
              <w:t>$Redacted</w:t>
            </w:r>
          </w:p>
        </w:tc>
        <w:tc>
          <w:tcPr>
            <w:tcW w:w="920" w:type="pct"/>
            <w:vAlign w:val="center"/>
          </w:tcPr>
          <w:p w14:paraId="1E0E1F44" w14:textId="77777777" w:rsidR="000C3E52" w:rsidRPr="00CE28E3" w:rsidRDefault="000C3E52" w:rsidP="000C3E52">
            <w:pPr>
              <w:pStyle w:val="TableText"/>
              <w:keepNext/>
              <w:jc w:val="center"/>
              <w:rPr>
                <w:rFonts w:eastAsia="Calibri"/>
                <w:szCs w:val="20"/>
              </w:rPr>
            </w:pPr>
            <w:r>
              <w:t>0.712</w:t>
            </w:r>
          </w:p>
        </w:tc>
        <w:tc>
          <w:tcPr>
            <w:tcW w:w="920" w:type="pct"/>
            <w:vAlign w:val="center"/>
          </w:tcPr>
          <w:p w14:paraId="1ED23112" w14:textId="731F63F7" w:rsidR="000C3E52" w:rsidRPr="00F14B56" w:rsidRDefault="000C3E52" w:rsidP="000C3E52">
            <w:pPr>
              <w:pStyle w:val="TableText"/>
              <w:keepNext/>
              <w:jc w:val="center"/>
              <w:rPr>
                <w:rFonts w:eastAsia="Calibri"/>
                <w:szCs w:val="20"/>
                <w:highlight w:val="yellow"/>
                <w:vertAlign w:val="superscript"/>
              </w:rPr>
            </w:pPr>
            <w:r w:rsidRPr="00713151">
              <w:rPr>
                <w:b/>
              </w:rPr>
              <w:t>$Redact</w:t>
            </w:r>
            <w:r w:rsidRPr="000C3E52">
              <w:rPr>
                <w:b/>
              </w:rPr>
              <w:t>ed</w:t>
            </w:r>
            <w:r w:rsidRPr="00F14B56">
              <w:rPr>
                <w:vertAlign w:val="superscript"/>
              </w:rPr>
              <w:t>1</w:t>
            </w:r>
          </w:p>
        </w:tc>
      </w:tr>
      <w:tr w:rsidR="000C3E52" w:rsidRPr="00CE28E3" w14:paraId="55BF0C19" w14:textId="77777777" w:rsidTr="00B156D1">
        <w:trPr>
          <w:cantSplit/>
          <w:trHeight w:val="283"/>
        </w:trPr>
        <w:tc>
          <w:tcPr>
            <w:tcW w:w="2240" w:type="pct"/>
            <w:vAlign w:val="center"/>
          </w:tcPr>
          <w:p w14:paraId="2D62DF8F" w14:textId="77777777" w:rsidR="000C3E52" w:rsidRPr="004A478D" w:rsidRDefault="000C3E52" w:rsidP="000C3E52">
            <w:pPr>
              <w:pStyle w:val="KMC16-Tablecontent"/>
              <w:rPr>
                <w:lang w:val="en-AU"/>
              </w:rPr>
            </w:pPr>
            <w:r w:rsidRPr="004A478D">
              <w:rPr>
                <w:lang w:val="en-AU"/>
              </w:rPr>
              <w:t>Cost discount: 3.5%</w:t>
            </w:r>
          </w:p>
          <w:p w14:paraId="45274A44" w14:textId="77777777" w:rsidR="000C3E52" w:rsidRDefault="000C3E52" w:rsidP="000C3E52">
            <w:pPr>
              <w:pStyle w:val="TableText"/>
              <w:keepNext/>
            </w:pPr>
            <w:r w:rsidRPr="004A478D">
              <w:t>Utility discount: 3.5%</w:t>
            </w:r>
          </w:p>
        </w:tc>
        <w:tc>
          <w:tcPr>
            <w:tcW w:w="920" w:type="pct"/>
          </w:tcPr>
          <w:p w14:paraId="0F58E577" w14:textId="218011EA" w:rsidR="000C3E52" w:rsidRPr="00F14B56" w:rsidRDefault="000C3E52" w:rsidP="000C3E52">
            <w:pPr>
              <w:pStyle w:val="TableText"/>
              <w:keepNext/>
              <w:jc w:val="center"/>
              <w:rPr>
                <w:rFonts w:eastAsia="Calibri"/>
                <w:szCs w:val="20"/>
                <w:highlight w:val="yellow"/>
              </w:rPr>
            </w:pPr>
            <w:r w:rsidRPr="00624439">
              <w:rPr>
                <w:b/>
              </w:rPr>
              <w:t>$Redacted</w:t>
            </w:r>
          </w:p>
        </w:tc>
        <w:tc>
          <w:tcPr>
            <w:tcW w:w="920" w:type="pct"/>
            <w:vAlign w:val="center"/>
          </w:tcPr>
          <w:p w14:paraId="6067BE6D" w14:textId="77777777" w:rsidR="000C3E52" w:rsidRPr="00CE28E3" w:rsidRDefault="000C3E52" w:rsidP="000C3E52">
            <w:pPr>
              <w:pStyle w:val="TableText"/>
              <w:keepNext/>
              <w:jc w:val="center"/>
              <w:rPr>
                <w:rFonts w:eastAsia="Calibri"/>
                <w:szCs w:val="20"/>
              </w:rPr>
            </w:pPr>
            <w:r>
              <w:t>0.430</w:t>
            </w:r>
          </w:p>
        </w:tc>
        <w:tc>
          <w:tcPr>
            <w:tcW w:w="920" w:type="pct"/>
            <w:vAlign w:val="center"/>
          </w:tcPr>
          <w:p w14:paraId="07013E48" w14:textId="04EA7040" w:rsidR="000C3E52" w:rsidRPr="00F14B56" w:rsidRDefault="000C3E52" w:rsidP="000C3E52">
            <w:pPr>
              <w:pStyle w:val="TableText"/>
              <w:keepNext/>
              <w:jc w:val="center"/>
              <w:rPr>
                <w:rFonts w:eastAsia="Calibri"/>
                <w:szCs w:val="20"/>
                <w:highlight w:val="yellow"/>
                <w:vertAlign w:val="superscript"/>
              </w:rPr>
            </w:pPr>
            <w:r w:rsidRPr="00713151">
              <w:rPr>
                <w:b/>
              </w:rPr>
              <w:t>$Redacted</w:t>
            </w:r>
            <w:r w:rsidRPr="00F14B56">
              <w:rPr>
                <w:vertAlign w:val="superscript"/>
              </w:rPr>
              <w:t>1</w:t>
            </w:r>
          </w:p>
        </w:tc>
      </w:tr>
    </w:tbl>
    <w:p w14:paraId="4747CC36" w14:textId="77777777" w:rsidR="00DF67A2" w:rsidRPr="003027B3" w:rsidRDefault="00DF67A2" w:rsidP="00DF67A2">
      <w:pPr>
        <w:pStyle w:val="KMC16-TFNotes"/>
        <w:rPr>
          <w:rFonts w:ascii="Arial Narrow" w:hAnsi="Arial Narrow"/>
          <w:sz w:val="18"/>
          <w:szCs w:val="18"/>
          <w:u w:val="single"/>
        </w:rPr>
      </w:pPr>
      <w:r w:rsidRPr="003027B3">
        <w:rPr>
          <w:rFonts w:ascii="Arial Narrow" w:hAnsi="Arial Narrow"/>
          <w:b/>
          <w:bCs/>
          <w:sz w:val="18"/>
          <w:szCs w:val="18"/>
          <w:u w:val="single"/>
        </w:rPr>
        <w:t>Abbreviations</w:t>
      </w:r>
    </w:p>
    <w:p w14:paraId="28720A9C" w14:textId="4C04D6E4" w:rsidR="00DF67A2" w:rsidRPr="003027B3" w:rsidRDefault="00DF67A2" w:rsidP="00DF67A2">
      <w:pPr>
        <w:pStyle w:val="KMC16-TFNotes"/>
        <w:rPr>
          <w:rFonts w:ascii="Arial Narrow" w:hAnsi="Arial Narrow"/>
          <w:sz w:val="18"/>
          <w:szCs w:val="18"/>
        </w:rPr>
      </w:pPr>
      <w:r w:rsidRPr="003027B3">
        <w:rPr>
          <w:rFonts w:ascii="Arial Narrow" w:hAnsi="Arial Narrow"/>
          <w:b/>
          <w:bCs/>
          <w:sz w:val="18"/>
          <w:szCs w:val="18"/>
        </w:rPr>
        <w:t>FSL</w:t>
      </w:r>
      <w:r w:rsidRPr="003027B3">
        <w:rPr>
          <w:rFonts w:ascii="Arial Narrow" w:hAnsi="Arial Narrow"/>
          <w:sz w:val="18"/>
          <w:szCs w:val="18"/>
        </w:rPr>
        <w:t xml:space="preserve"> = FreeStyle Libre Continuous Glucose Monitoring, </w:t>
      </w:r>
      <w:r w:rsidRPr="003027B3">
        <w:rPr>
          <w:rFonts w:ascii="Arial Narrow" w:hAnsi="Arial Narrow"/>
          <w:b/>
          <w:bCs/>
          <w:sz w:val="18"/>
          <w:szCs w:val="18"/>
        </w:rPr>
        <w:t>HbA1c</w:t>
      </w:r>
      <w:r w:rsidRPr="003027B3">
        <w:rPr>
          <w:rFonts w:ascii="Arial Narrow" w:hAnsi="Arial Narrow"/>
          <w:sz w:val="18"/>
          <w:szCs w:val="18"/>
        </w:rPr>
        <w:t xml:space="preserve"> = glycated haemoglobin, </w:t>
      </w:r>
      <w:r w:rsidR="00112429" w:rsidRPr="003027B3">
        <w:rPr>
          <w:rFonts w:ascii="Arial Narrow" w:hAnsi="Arial Narrow"/>
          <w:b/>
          <w:bCs/>
          <w:sz w:val="18"/>
          <w:szCs w:val="18"/>
        </w:rPr>
        <w:t xml:space="preserve">HHS </w:t>
      </w:r>
      <w:r w:rsidR="00112429" w:rsidRPr="003027B3">
        <w:rPr>
          <w:rFonts w:ascii="Arial Narrow" w:hAnsi="Arial Narrow"/>
          <w:sz w:val="18"/>
          <w:szCs w:val="18"/>
        </w:rPr>
        <w:t xml:space="preserve">= hyperglycaemic hyperosmolar syndrome, </w:t>
      </w:r>
      <w:r w:rsidRPr="003027B3">
        <w:rPr>
          <w:rFonts w:ascii="Arial Narrow" w:hAnsi="Arial Narrow"/>
          <w:b/>
          <w:bCs/>
          <w:sz w:val="18"/>
          <w:szCs w:val="18"/>
        </w:rPr>
        <w:t xml:space="preserve">ICER </w:t>
      </w:r>
      <w:r w:rsidRPr="003027B3">
        <w:rPr>
          <w:rFonts w:ascii="Arial Narrow" w:hAnsi="Arial Narrow"/>
          <w:sz w:val="18"/>
          <w:szCs w:val="18"/>
        </w:rPr>
        <w:t xml:space="preserve">= incremental cost-effectiveness ratio, </w:t>
      </w:r>
      <w:r w:rsidR="00112429" w:rsidRPr="003027B3">
        <w:rPr>
          <w:rFonts w:ascii="Arial Narrow" w:hAnsi="Arial Narrow"/>
          <w:b/>
          <w:bCs/>
          <w:sz w:val="18"/>
          <w:szCs w:val="18"/>
        </w:rPr>
        <w:t xml:space="preserve">QALY </w:t>
      </w:r>
      <w:r w:rsidR="00112429" w:rsidRPr="003027B3">
        <w:rPr>
          <w:rFonts w:ascii="Arial Narrow" w:hAnsi="Arial Narrow"/>
          <w:sz w:val="18"/>
          <w:szCs w:val="18"/>
        </w:rPr>
        <w:t xml:space="preserve">= quality-adjusted life year, </w:t>
      </w:r>
      <w:r w:rsidRPr="003027B3">
        <w:rPr>
          <w:rFonts w:ascii="Arial Narrow" w:hAnsi="Arial Narrow"/>
          <w:b/>
          <w:bCs/>
          <w:sz w:val="18"/>
          <w:szCs w:val="18"/>
        </w:rPr>
        <w:t>QoL</w:t>
      </w:r>
      <w:r w:rsidRPr="003027B3">
        <w:rPr>
          <w:rFonts w:ascii="Arial Narrow" w:hAnsi="Arial Narrow"/>
          <w:sz w:val="18"/>
          <w:szCs w:val="18"/>
        </w:rPr>
        <w:t xml:space="preserve"> = quality of life, </w:t>
      </w:r>
      <w:r w:rsidR="00112429" w:rsidRPr="003027B3">
        <w:rPr>
          <w:rFonts w:ascii="Arial Narrow" w:hAnsi="Arial Narrow"/>
          <w:b/>
          <w:bCs/>
          <w:sz w:val="18"/>
          <w:szCs w:val="18"/>
        </w:rPr>
        <w:t xml:space="preserve">SHE </w:t>
      </w:r>
      <w:r w:rsidR="00112429" w:rsidRPr="003027B3">
        <w:rPr>
          <w:rFonts w:ascii="Arial Narrow" w:hAnsi="Arial Narrow"/>
          <w:sz w:val="18"/>
          <w:szCs w:val="18"/>
        </w:rPr>
        <w:t xml:space="preserve">= severe hypoglycaemic events, </w:t>
      </w:r>
      <w:r w:rsidRPr="003027B3">
        <w:rPr>
          <w:rFonts w:ascii="Arial Narrow" w:hAnsi="Arial Narrow"/>
          <w:b/>
          <w:bCs/>
          <w:sz w:val="18"/>
          <w:szCs w:val="18"/>
        </w:rPr>
        <w:t>T2D</w:t>
      </w:r>
      <w:r w:rsidRPr="003027B3">
        <w:rPr>
          <w:rFonts w:ascii="Arial Narrow" w:hAnsi="Arial Narrow"/>
          <w:sz w:val="18"/>
          <w:szCs w:val="18"/>
        </w:rPr>
        <w:t xml:space="preserve"> = type 2 diabetes. </w:t>
      </w:r>
    </w:p>
    <w:p w14:paraId="38958C34" w14:textId="170D5A25" w:rsidR="00DF67A2" w:rsidRPr="003027B3" w:rsidRDefault="00DF67A2" w:rsidP="00DF67A2">
      <w:pPr>
        <w:pStyle w:val="KMC16-TFNotes"/>
        <w:rPr>
          <w:rFonts w:ascii="Arial Narrow" w:hAnsi="Arial Narrow"/>
          <w:sz w:val="18"/>
          <w:szCs w:val="18"/>
        </w:rPr>
      </w:pPr>
      <w:r w:rsidRPr="003027B3">
        <w:rPr>
          <w:rFonts w:ascii="Arial Narrow" w:hAnsi="Arial Narrow"/>
          <w:b/>
          <w:bCs/>
          <w:sz w:val="18"/>
          <w:szCs w:val="18"/>
          <w:u w:val="single"/>
        </w:rPr>
        <w:t>Note</w:t>
      </w:r>
    </w:p>
    <w:p w14:paraId="053874A0" w14:textId="514B8F78" w:rsidR="00604737" w:rsidRDefault="00DF67A2" w:rsidP="00406866">
      <w:pPr>
        <w:pStyle w:val="KMC16-TFNotes"/>
        <w:jc w:val="left"/>
        <w:rPr>
          <w:rFonts w:ascii="Arial Narrow" w:hAnsi="Arial Narrow"/>
          <w:sz w:val="18"/>
          <w:szCs w:val="18"/>
        </w:rPr>
      </w:pPr>
      <w:r w:rsidRPr="003027B3">
        <w:rPr>
          <w:rFonts w:ascii="Arial Narrow" w:hAnsi="Arial Narrow"/>
          <w:sz w:val="18"/>
          <w:szCs w:val="18"/>
        </w:rPr>
        <w:t>All results involved 50,000 microsimulations.</w:t>
      </w:r>
      <w:r w:rsidR="00C70CF3" w:rsidRPr="003027B3">
        <w:rPr>
          <w:rFonts w:ascii="Arial Narrow" w:hAnsi="Arial Narrow"/>
          <w:b/>
          <w:bCs/>
          <w:sz w:val="18"/>
          <w:szCs w:val="18"/>
          <w:u w:val="single"/>
        </w:rPr>
        <w:br/>
      </w:r>
      <w:r w:rsidR="00C70CF3" w:rsidRPr="003027B3">
        <w:rPr>
          <w:rFonts w:ascii="Arial Narrow" w:hAnsi="Arial Narrow"/>
          <w:sz w:val="18"/>
          <w:szCs w:val="18"/>
        </w:rPr>
        <w:t>All currencies represent AUD.</w:t>
      </w:r>
    </w:p>
    <w:p w14:paraId="398D6CB4" w14:textId="77777777" w:rsidR="007353BC" w:rsidRDefault="007353BC" w:rsidP="007353BC">
      <w:pPr>
        <w:pStyle w:val="KMC16-TFNotes"/>
        <w:jc w:val="left"/>
        <w:rPr>
          <w:rFonts w:ascii="Arial Narrow" w:hAnsi="Arial Narrow"/>
          <w:sz w:val="18"/>
          <w:szCs w:val="18"/>
        </w:rPr>
      </w:pPr>
      <w:r>
        <w:rPr>
          <w:rFonts w:ascii="Arial Narrow" w:hAnsi="Arial Narrow"/>
          <w:sz w:val="18"/>
          <w:szCs w:val="18"/>
        </w:rPr>
        <w:t>The redacted values correspond to the following ranges:</w:t>
      </w:r>
    </w:p>
    <w:p w14:paraId="01901527" w14:textId="20406809" w:rsidR="007353BC" w:rsidRDefault="007353BC" w:rsidP="007353BC">
      <w:pPr>
        <w:pStyle w:val="KMC16-TFNotes"/>
        <w:jc w:val="left"/>
        <w:rPr>
          <w:rFonts w:ascii="Arial Narrow" w:hAnsi="Arial Narrow"/>
          <w:sz w:val="18"/>
          <w:szCs w:val="18"/>
        </w:rPr>
      </w:pPr>
      <w:r>
        <w:rPr>
          <w:rFonts w:ascii="Arial Narrow" w:hAnsi="Arial Narrow"/>
          <w:sz w:val="18"/>
          <w:szCs w:val="18"/>
          <w:vertAlign w:val="superscript"/>
        </w:rPr>
        <w:t>1</w:t>
      </w:r>
      <w:r>
        <w:rPr>
          <w:rFonts w:ascii="Arial Narrow" w:hAnsi="Arial Narrow"/>
          <w:sz w:val="18"/>
          <w:szCs w:val="18"/>
        </w:rPr>
        <w:t xml:space="preserve"> $5,000 to &lt; $15,000</w:t>
      </w:r>
    </w:p>
    <w:p w14:paraId="0F8831E4" w14:textId="7E8FCB0E" w:rsidR="007353BC" w:rsidRDefault="007353BC" w:rsidP="007353BC">
      <w:pPr>
        <w:pStyle w:val="KMC16-TFNotes"/>
        <w:jc w:val="left"/>
        <w:rPr>
          <w:rFonts w:ascii="Arial Narrow" w:hAnsi="Arial Narrow"/>
          <w:sz w:val="18"/>
          <w:szCs w:val="18"/>
        </w:rPr>
      </w:pPr>
      <w:r>
        <w:rPr>
          <w:rFonts w:ascii="Arial Narrow" w:hAnsi="Arial Narrow"/>
          <w:sz w:val="18"/>
          <w:szCs w:val="18"/>
          <w:vertAlign w:val="superscript"/>
        </w:rPr>
        <w:t>2</w:t>
      </w:r>
      <w:r>
        <w:rPr>
          <w:rFonts w:ascii="Arial Narrow" w:hAnsi="Arial Narrow"/>
          <w:sz w:val="18"/>
          <w:szCs w:val="18"/>
        </w:rPr>
        <w:t xml:space="preserve"> $25,000 to &lt; $35,000</w:t>
      </w:r>
    </w:p>
    <w:p w14:paraId="2E517D3A" w14:textId="1E45CB9B" w:rsidR="008022B6" w:rsidRDefault="008022B6" w:rsidP="007353BC">
      <w:pPr>
        <w:pStyle w:val="KMC16-TFNotes"/>
        <w:jc w:val="left"/>
        <w:rPr>
          <w:rFonts w:ascii="Arial Narrow" w:hAnsi="Arial Narrow"/>
          <w:sz w:val="18"/>
          <w:szCs w:val="18"/>
        </w:rPr>
      </w:pPr>
      <w:r>
        <w:rPr>
          <w:rFonts w:ascii="Arial Narrow" w:hAnsi="Arial Narrow"/>
          <w:sz w:val="18"/>
          <w:szCs w:val="18"/>
          <w:vertAlign w:val="superscript"/>
        </w:rPr>
        <w:t>3</w:t>
      </w:r>
      <w:r>
        <w:rPr>
          <w:rFonts w:ascii="Arial Narrow" w:hAnsi="Arial Narrow"/>
          <w:sz w:val="18"/>
          <w:szCs w:val="18"/>
        </w:rPr>
        <w:t xml:space="preserve"> $15,000 to &lt; $25,000</w:t>
      </w:r>
    </w:p>
    <w:p w14:paraId="2B956DC2" w14:textId="0554AE40" w:rsidR="007353BC" w:rsidRDefault="008022B6" w:rsidP="00406866">
      <w:pPr>
        <w:pStyle w:val="KMC16-TFNotes"/>
        <w:jc w:val="left"/>
        <w:rPr>
          <w:rFonts w:ascii="Arial Narrow" w:hAnsi="Arial Narrow"/>
          <w:sz w:val="18"/>
          <w:szCs w:val="18"/>
        </w:rPr>
      </w:pPr>
      <w:r>
        <w:rPr>
          <w:rFonts w:ascii="Arial Narrow" w:hAnsi="Arial Narrow"/>
          <w:sz w:val="18"/>
          <w:szCs w:val="18"/>
          <w:vertAlign w:val="superscript"/>
        </w:rPr>
        <w:t xml:space="preserve">4 </w:t>
      </w:r>
      <w:r>
        <w:rPr>
          <w:rFonts w:ascii="Arial Narrow" w:hAnsi="Arial Narrow"/>
          <w:sz w:val="18"/>
          <w:szCs w:val="18"/>
        </w:rPr>
        <w:t>$0 to &lt; $5,000</w:t>
      </w:r>
    </w:p>
    <w:p w14:paraId="3B6FBEB7" w14:textId="403B1AE9" w:rsidR="000C6AF3" w:rsidRDefault="000C6AF3" w:rsidP="000C6AF3">
      <w:pPr>
        <w:pStyle w:val="Heading3"/>
      </w:pPr>
      <w:r>
        <w:t xml:space="preserve">Cost-consequence analysis for </w:t>
      </w:r>
      <w:r w:rsidRPr="00155198">
        <w:t>gestational diabetes</w:t>
      </w:r>
      <w:r>
        <w:t xml:space="preserve"> (PICO </w:t>
      </w:r>
      <w:r w:rsidR="001C3A55">
        <w:t>S</w:t>
      </w:r>
      <w:r>
        <w:t>et 2)</w:t>
      </w:r>
    </w:p>
    <w:p w14:paraId="48F444AD" w14:textId="27A52802" w:rsidR="000C6AF3" w:rsidRDefault="000C6AF3" w:rsidP="000C6AF3">
      <w:r w:rsidRPr="00987D42">
        <w:t>The cost-</w:t>
      </w:r>
      <w:r>
        <w:t>consequence</w:t>
      </w:r>
      <w:r w:rsidRPr="00987D42">
        <w:t xml:space="preserve"> analysis (C</w:t>
      </w:r>
      <w:r>
        <w:t>C</w:t>
      </w:r>
      <w:r w:rsidRPr="00987D42">
        <w:t>A)</w:t>
      </w:r>
      <w:r>
        <w:t xml:space="preserve"> compared the </w:t>
      </w:r>
      <w:r w:rsidR="008E6D41">
        <w:t xml:space="preserve">FSL </w:t>
      </w:r>
      <w:r w:rsidRPr="00547BB5">
        <w:t>system</w:t>
      </w:r>
      <w:r>
        <w:t xml:space="preserve"> with SMBG</w:t>
      </w:r>
      <w:r w:rsidR="008E6D41">
        <w:t>,</w:t>
      </w:r>
      <w:r>
        <w:t xml:space="preserve"> leveraging the </w:t>
      </w:r>
      <w:r w:rsidRPr="00405F48">
        <w:t xml:space="preserve">clinical </w:t>
      </w:r>
      <w:r>
        <w:t xml:space="preserve">claim of </w:t>
      </w:r>
      <w:r w:rsidRPr="00547BB5">
        <w:t xml:space="preserve">superior </w:t>
      </w:r>
      <w:r>
        <w:t>efficacy (</w:t>
      </w:r>
      <w:r w:rsidRPr="00547BB5">
        <w:t>glycaemic control</w:t>
      </w:r>
      <w:r>
        <w:t xml:space="preserve">) and </w:t>
      </w:r>
      <w:r w:rsidRPr="00547BB5">
        <w:t>non-inferior</w:t>
      </w:r>
      <w:r>
        <w:t xml:space="preserve"> safety in </w:t>
      </w:r>
      <w:r w:rsidR="006D730C">
        <w:t xml:space="preserve">pregnant </w:t>
      </w:r>
      <w:r>
        <w:t xml:space="preserve">women with GDM. A summary of the GDM economic evaluation is presented in </w:t>
      </w:r>
      <w:r>
        <w:fldChar w:fldCharType="begin"/>
      </w:r>
      <w:r>
        <w:instrText xml:space="preserve"> REF _Ref192837817 \h </w:instrText>
      </w:r>
      <w:r>
        <w:fldChar w:fldCharType="separate"/>
      </w:r>
      <w:r w:rsidR="00315A60" w:rsidRPr="00CE28E3">
        <w:t>Table</w:t>
      </w:r>
      <w:r w:rsidR="00315A60">
        <w:t> </w:t>
      </w:r>
      <w:r w:rsidR="00315A60">
        <w:rPr>
          <w:noProof/>
        </w:rPr>
        <w:t>11</w:t>
      </w:r>
      <w:r>
        <w:fldChar w:fldCharType="end"/>
      </w:r>
      <w:r>
        <w:t>.</w:t>
      </w:r>
    </w:p>
    <w:p w14:paraId="5DFB84A7" w14:textId="4405C6F6" w:rsidR="000C6AF3" w:rsidRPr="00CE28E3" w:rsidRDefault="000C6AF3" w:rsidP="000C6AF3">
      <w:pPr>
        <w:pStyle w:val="Caption"/>
        <w:tabs>
          <w:tab w:val="left" w:pos="1134"/>
        </w:tabs>
        <w:ind w:left="1134" w:hanging="1134"/>
      </w:pPr>
      <w:bookmarkStart w:id="67" w:name="_Ref192837817"/>
      <w:r w:rsidRPr="00CE28E3">
        <w:t>Table</w:t>
      </w:r>
      <w:r>
        <w:t> </w:t>
      </w:r>
      <w:r w:rsidRPr="00CE28E3">
        <w:rPr>
          <w:noProof/>
        </w:rPr>
        <w:fldChar w:fldCharType="begin"/>
      </w:r>
      <w:r w:rsidRPr="00CE28E3">
        <w:rPr>
          <w:noProof/>
        </w:rPr>
        <w:instrText xml:space="preserve"> SEQ Table \* ARABIC </w:instrText>
      </w:r>
      <w:r w:rsidRPr="00CE28E3">
        <w:rPr>
          <w:noProof/>
        </w:rPr>
        <w:fldChar w:fldCharType="separate"/>
      </w:r>
      <w:r w:rsidR="00315A60">
        <w:rPr>
          <w:noProof/>
        </w:rPr>
        <w:t>11</w:t>
      </w:r>
      <w:r w:rsidRPr="00CE28E3">
        <w:rPr>
          <w:noProof/>
        </w:rPr>
        <w:fldChar w:fldCharType="end"/>
      </w:r>
      <w:bookmarkEnd w:id="67"/>
      <w:r w:rsidRPr="00CE28E3">
        <w:tab/>
        <w:t xml:space="preserve">Summary of the economic evaluation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the economic evaluation "/>
        <w:tblDescription w:val="This table describes the key constructs of the economic evaluation that is provided in the assessment report."/>
      </w:tblPr>
      <w:tblGrid>
        <w:gridCol w:w="2001"/>
        <w:gridCol w:w="5776"/>
        <w:gridCol w:w="1239"/>
      </w:tblGrid>
      <w:tr w:rsidR="000C6AF3" w:rsidRPr="00CE28E3" w14:paraId="28902C77" w14:textId="77777777" w:rsidTr="004A2A66">
        <w:trPr>
          <w:tblHeader/>
        </w:trPr>
        <w:tc>
          <w:tcPr>
            <w:tcW w:w="2003" w:type="dxa"/>
          </w:tcPr>
          <w:p w14:paraId="151CD269" w14:textId="77777777" w:rsidR="000C6AF3" w:rsidRPr="000449D1" w:rsidRDefault="000C6AF3" w:rsidP="004A2A66">
            <w:pPr>
              <w:pStyle w:val="TableHeading"/>
              <w:rPr>
                <w:szCs w:val="20"/>
              </w:rPr>
            </w:pPr>
            <w:r w:rsidRPr="000449D1">
              <w:rPr>
                <w:szCs w:val="20"/>
              </w:rPr>
              <w:t>Component</w:t>
            </w:r>
          </w:p>
        </w:tc>
        <w:tc>
          <w:tcPr>
            <w:tcW w:w="5789" w:type="dxa"/>
          </w:tcPr>
          <w:p w14:paraId="0DC0D486" w14:textId="77777777" w:rsidR="000C6AF3" w:rsidRPr="000449D1" w:rsidRDefault="000C6AF3" w:rsidP="004A2A66">
            <w:pPr>
              <w:pStyle w:val="TableHeading"/>
              <w:rPr>
                <w:szCs w:val="20"/>
              </w:rPr>
            </w:pPr>
            <w:r w:rsidRPr="000449D1">
              <w:rPr>
                <w:szCs w:val="20"/>
              </w:rPr>
              <w:t>Description</w:t>
            </w:r>
          </w:p>
        </w:tc>
        <w:tc>
          <w:tcPr>
            <w:tcW w:w="1224" w:type="dxa"/>
          </w:tcPr>
          <w:p w14:paraId="39A5CC02" w14:textId="77777777" w:rsidR="000C6AF3" w:rsidRPr="00CE28E3" w:rsidRDefault="000C6AF3" w:rsidP="004A2A66">
            <w:pPr>
              <w:pStyle w:val="TableHeading"/>
            </w:pPr>
            <w:r w:rsidRPr="00CE28E3">
              <w:t>MSAC Guidelines Reference</w:t>
            </w:r>
          </w:p>
        </w:tc>
      </w:tr>
      <w:tr w:rsidR="000C6AF3" w:rsidRPr="000449D1" w14:paraId="582AD039" w14:textId="77777777" w:rsidTr="004A2A66">
        <w:tc>
          <w:tcPr>
            <w:tcW w:w="2003" w:type="dxa"/>
          </w:tcPr>
          <w:p w14:paraId="3E068C80" w14:textId="77777777" w:rsidR="000C6AF3" w:rsidRPr="000449D1" w:rsidRDefault="000C6AF3" w:rsidP="004A2A66">
            <w:pPr>
              <w:pStyle w:val="TableText"/>
              <w:keepNext/>
              <w:rPr>
                <w:szCs w:val="20"/>
              </w:rPr>
            </w:pPr>
            <w:r w:rsidRPr="000449D1">
              <w:rPr>
                <w:szCs w:val="20"/>
              </w:rPr>
              <w:t>Perspective</w:t>
            </w:r>
          </w:p>
        </w:tc>
        <w:tc>
          <w:tcPr>
            <w:tcW w:w="5789" w:type="dxa"/>
            <w:vAlign w:val="center"/>
          </w:tcPr>
          <w:p w14:paraId="1C48D7FA" w14:textId="77777777" w:rsidR="000C6AF3" w:rsidRPr="000449D1" w:rsidRDefault="000C6AF3" w:rsidP="004A2A66">
            <w:pPr>
              <w:pStyle w:val="TableText"/>
              <w:keepNext/>
              <w:rPr>
                <w:szCs w:val="20"/>
              </w:rPr>
            </w:pPr>
            <w:r w:rsidRPr="004A478D">
              <w:t>Australian publicly funded healthcare system</w:t>
            </w:r>
          </w:p>
        </w:tc>
        <w:tc>
          <w:tcPr>
            <w:tcW w:w="1224" w:type="dxa"/>
          </w:tcPr>
          <w:p w14:paraId="3192649E" w14:textId="77777777" w:rsidR="000C6AF3" w:rsidRPr="00C77835" w:rsidRDefault="000C6AF3" w:rsidP="004A2A66">
            <w:pPr>
              <w:pStyle w:val="TableText"/>
              <w:keepNext/>
            </w:pPr>
            <w:r w:rsidRPr="00C77835">
              <w:t>TG 17.3</w:t>
            </w:r>
          </w:p>
        </w:tc>
      </w:tr>
      <w:tr w:rsidR="000C6AF3" w:rsidRPr="000449D1" w14:paraId="4950EAFF" w14:textId="77777777" w:rsidTr="004A2A66">
        <w:trPr>
          <w:tblHeader/>
        </w:trPr>
        <w:tc>
          <w:tcPr>
            <w:tcW w:w="2003" w:type="dxa"/>
          </w:tcPr>
          <w:p w14:paraId="7D82F7D7" w14:textId="77777777" w:rsidR="000C6AF3" w:rsidRPr="000449D1" w:rsidRDefault="000C6AF3" w:rsidP="004A2A66">
            <w:pPr>
              <w:pStyle w:val="TableText"/>
              <w:keepNext/>
              <w:rPr>
                <w:szCs w:val="20"/>
              </w:rPr>
            </w:pPr>
            <w:r w:rsidRPr="000449D1">
              <w:rPr>
                <w:szCs w:val="20"/>
              </w:rPr>
              <w:t>Population</w:t>
            </w:r>
          </w:p>
        </w:tc>
        <w:tc>
          <w:tcPr>
            <w:tcW w:w="5789" w:type="dxa"/>
          </w:tcPr>
          <w:p w14:paraId="246AEAD8" w14:textId="77777777" w:rsidR="000C6AF3" w:rsidRPr="000449D1" w:rsidRDefault="000C6AF3" w:rsidP="004A2A66">
            <w:pPr>
              <w:pStyle w:val="TableText"/>
              <w:keepNext/>
              <w:rPr>
                <w:szCs w:val="20"/>
              </w:rPr>
            </w:pPr>
            <w:r>
              <w:t>Women with GDM</w:t>
            </w:r>
          </w:p>
        </w:tc>
        <w:tc>
          <w:tcPr>
            <w:tcW w:w="1224" w:type="dxa"/>
          </w:tcPr>
          <w:p w14:paraId="34C01E23" w14:textId="77777777" w:rsidR="000C6AF3" w:rsidRPr="00C77835" w:rsidRDefault="000C6AF3" w:rsidP="004A2A66">
            <w:pPr>
              <w:pStyle w:val="TableText"/>
              <w:keepNext/>
            </w:pPr>
            <w:r w:rsidRPr="00C77835">
              <w:t>TG 19</w:t>
            </w:r>
          </w:p>
        </w:tc>
      </w:tr>
      <w:tr w:rsidR="000C6AF3" w:rsidRPr="000449D1" w14:paraId="38A3AF65" w14:textId="77777777" w:rsidTr="004A2A66">
        <w:tc>
          <w:tcPr>
            <w:tcW w:w="2003" w:type="dxa"/>
          </w:tcPr>
          <w:p w14:paraId="40542103" w14:textId="77777777" w:rsidR="000C6AF3" w:rsidRPr="000449D1" w:rsidRDefault="000C6AF3" w:rsidP="004A2A66">
            <w:pPr>
              <w:pStyle w:val="TableText"/>
              <w:keepNext/>
              <w:rPr>
                <w:szCs w:val="20"/>
              </w:rPr>
            </w:pPr>
            <w:r w:rsidRPr="000449D1">
              <w:rPr>
                <w:szCs w:val="20"/>
              </w:rPr>
              <w:t>Prior testing</w:t>
            </w:r>
          </w:p>
        </w:tc>
        <w:tc>
          <w:tcPr>
            <w:tcW w:w="5789" w:type="dxa"/>
          </w:tcPr>
          <w:p w14:paraId="76834AE6" w14:textId="64A41C5B" w:rsidR="000C6AF3" w:rsidRPr="000449D1" w:rsidRDefault="000C6AF3" w:rsidP="004A2A66">
            <w:pPr>
              <w:pStyle w:val="TableText"/>
              <w:keepNext/>
              <w:rPr>
                <w:szCs w:val="20"/>
              </w:rPr>
            </w:pPr>
            <w:r>
              <w:t>Diagnosis of GDM in weeks 24</w:t>
            </w:r>
            <w:r w:rsidR="00DF67A2">
              <w:t xml:space="preserve"> to </w:t>
            </w:r>
            <w:r>
              <w:t>28</w:t>
            </w:r>
          </w:p>
        </w:tc>
        <w:tc>
          <w:tcPr>
            <w:tcW w:w="1224" w:type="dxa"/>
          </w:tcPr>
          <w:p w14:paraId="25DD5F74" w14:textId="77777777" w:rsidR="000C6AF3" w:rsidRPr="00C77835" w:rsidRDefault="000C6AF3" w:rsidP="004A2A66">
            <w:pPr>
              <w:pStyle w:val="TableText"/>
              <w:keepNext/>
            </w:pPr>
            <w:r w:rsidRPr="00C77835">
              <w:t>TG 19</w:t>
            </w:r>
          </w:p>
        </w:tc>
      </w:tr>
      <w:tr w:rsidR="000C6AF3" w:rsidRPr="000449D1" w14:paraId="420E19CF" w14:textId="77777777" w:rsidTr="004A2A66">
        <w:tc>
          <w:tcPr>
            <w:tcW w:w="2003" w:type="dxa"/>
          </w:tcPr>
          <w:p w14:paraId="7A8C8FC1" w14:textId="77777777" w:rsidR="000C6AF3" w:rsidRPr="000449D1" w:rsidRDefault="000C6AF3" w:rsidP="004A2A66">
            <w:pPr>
              <w:pStyle w:val="TableText"/>
              <w:keepNext/>
              <w:rPr>
                <w:szCs w:val="20"/>
              </w:rPr>
            </w:pPr>
            <w:r w:rsidRPr="000449D1">
              <w:rPr>
                <w:szCs w:val="20"/>
              </w:rPr>
              <w:t>Comparator</w:t>
            </w:r>
          </w:p>
        </w:tc>
        <w:tc>
          <w:tcPr>
            <w:tcW w:w="5789" w:type="dxa"/>
          </w:tcPr>
          <w:p w14:paraId="7D73C5B0" w14:textId="77777777" w:rsidR="000C6AF3" w:rsidRPr="000449D1" w:rsidRDefault="000C6AF3" w:rsidP="004A2A66">
            <w:pPr>
              <w:pStyle w:val="TableText"/>
              <w:keepNext/>
              <w:rPr>
                <w:szCs w:val="20"/>
              </w:rPr>
            </w:pPr>
            <w:r w:rsidRPr="004A478D">
              <w:t>SMBG</w:t>
            </w:r>
          </w:p>
        </w:tc>
        <w:tc>
          <w:tcPr>
            <w:tcW w:w="1224" w:type="dxa"/>
          </w:tcPr>
          <w:p w14:paraId="5D73E467" w14:textId="77777777" w:rsidR="000C6AF3" w:rsidRPr="00C77835" w:rsidRDefault="000C6AF3" w:rsidP="004A2A66">
            <w:pPr>
              <w:pStyle w:val="TableText"/>
              <w:keepNext/>
            </w:pPr>
            <w:r w:rsidRPr="00C77835">
              <w:t>TG 17.2</w:t>
            </w:r>
          </w:p>
        </w:tc>
      </w:tr>
      <w:tr w:rsidR="000C6AF3" w:rsidRPr="000449D1" w14:paraId="03F90CC3" w14:textId="77777777" w:rsidTr="004A2A66">
        <w:tc>
          <w:tcPr>
            <w:tcW w:w="2003" w:type="dxa"/>
          </w:tcPr>
          <w:p w14:paraId="32010499" w14:textId="77777777" w:rsidR="000C6AF3" w:rsidRPr="000449D1" w:rsidRDefault="000C6AF3" w:rsidP="004A2A66">
            <w:pPr>
              <w:pStyle w:val="TableText"/>
              <w:keepNext/>
              <w:rPr>
                <w:szCs w:val="20"/>
              </w:rPr>
            </w:pPr>
            <w:r w:rsidRPr="000449D1">
              <w:rPr>
                <w:szCs w:val="20"/>
              </w:rPr>
              <w:t>Type(s) of analysis</w:t>
            </w:r>
          </w:p>
        </w:tc>
        <w:tc>
          <w:tcPr>
            <w:tcW w:w="5789" w:type="dxa"/>
          </w:tcPr>
          <w:p w14:paraId="6C1A38B9" w14:textId="77777777" w:rsidR="000C6AF3" w:rsidRPr="000449D1" w:rsidRDefault="000C6AF3" w:rsidP="004A2A66">
            <w:pPr>
              <w:pStyle w:val="TableText"/>
              <w:keepNext/>
              <w:rPr>
                <w:szCs w:val="20"/>
              </w:rPr>
            </w:pPr>
            <w:r>
              <w:rPr>
                <w:szCs w:val="20"/>
              </w:rPr>
              <w:t>Cost-consequence analysis</w:t>
            </w:r>
          </w:p>
        </w:tc>
        <w:tc>
          <w:tcPr>
            <w:tcW w:w="1224" w:type="dxa"/>
          </w:tcPr>
          <w:p w14:paraId="44FEF490" w14:textId="77777777" w:rsidR="000C6AF3" w:rsidRPr="00C77835" w:rsidRDefault="000C6AF3" w:rsidP="004A2A66">
            <w:pPr>
              <w:pStyle w:val="TableText"/>
              <w:keepNext/>
            </w:pPr>
            <w:r w:rsidRPr="00C77835">
              <w:t>TG 17.5</w:t>
            </w:r>
          </w:p>
        </w:tc>
      </w:tr>
      <w:tr w:rsidR="000C6AF3" w:rsidRPr="000449D1" w14:paraId="550595D8" w14:textId="77777777" w:rsidTr="004A2A66">
        <w:tc>
          <w:tcPr>
            <w:tcW w:w="2003" w:type="dxa"/>
          </w:tcPr>
          <w:p w14:paraId="046B3D28" w14:textId="77777777" w:rsidR="000C6AF3" w:rsidRPr="000449D1" w:rsidRDefault="000C6AF3" w:rsidP="004A2A66">
            <w:pPr>
              <w:pStyle w:val="TableText"/>
              <w:keepNext/>
              <w:rPr>
                <w:szCs w:val="20"/>
              </w:rPr>
            </w:pPr>
            <w:r w:rsidRPr="000449D1">
              <w:rPr>
                <w:szCs w:val="20"/>
              </w:rPr>
              <w:t>Outcomes</w:t>
            </w:r>
          </w:p>
        </w:tc>
        <w:tc>
          <w:tcPr>
            <w:tcW w:w="5789" w:type="dxa"/>
          </w:tcPr>
          <w:p w14:paraId="2115D05F" w14:textId="77777777" w:rsidR="000C6AF3" w:rsidRDefault="000C6AF3" w:rsidP="004A2A66">
            <w:pPr>
              <w:pStyle w:val="TableText"/>
              <w:keepNext/>
              <w:rPr>
                <w:szCs w:val="20"/>
              </w:rPr>
            </w:pPr>
            <w:r>
              <w:rPr>
                <w:szCs w:val="20"/>
              </w:rPr>
              <w:t>C</w:t>
            </w:r>
            <w:r w:rsidRPr="00B810B2">
              <w:rPr>
                <w:szCs w:val="20"/>
              </w:rPr>
              <w:t>ost of glucose monitoring</w:t>
            </w:r>
          </w:p>
          <w:p w14:paraId="5CE77FC3" w14:textId="77777777" w:rsidR="000C6AF3" w:rsidRPr="000449D1" w:rsidRDefault="000C6AF3" w:rsidP="004A2A66">
            <w:pPr>
              <w:pStyle w:val="TableText"/>
              <w:keepNext/>
              <w:rPr>
                <w:szCs w:val="20"/>
              </w:rPr>
            </w:pPr>
            <w:r w:rsidRPr="00B810B2">
              <w:rPr>
                <w:szCs w:val="20"/>
              </w:rPr>
              <w:t>Cost of foetal macrosomia</w:t>
            </w:r>
          </w:p>
        </w:tc>
        <w:tc>
          <w:tcPr>
            <w:tcW w:w="1224" w:type="dxa"/>
          </w:tcPr>
          <w:p w14:paraId="381D3EF9" w14:textId="77777777" w:rsidR="000C6AF3" w:rsidRPr="00C77835" w:rsidRDefault="000C6AF3" w:rsidP="004A2A66">
            <w:pPr>
              <w:pStyle w:val="TableText"/>
              <w:keepNext/>
            </w:pPr>
            <w:r w:rsidRPr="00C77835">
              <w:t>TG 21</w:t>
            </w:r>
          </w:p>
        </w:tc>
      </w:tr>
      <w:tr w:rsidR="000C6AF3" w:rsidRPr="000449D1" w14:paraId="7F9ED77C" w14:textId="77777777" w:rsidTr="004A2A66">
        <w:tc>
          <w:tcPr>
            <w:tcW w:w="2003" w:type="dxa"/>
          </w:tcPr>
          <w:p w14:paraId="525272EF" w14:textId="77777777" w:rsidR="000C6AF3" w:rsidRPr="000449D1" w:rsidRDefault="000C6AF3" w:rsidP="004A2A66">
            <w:pPr>
              <w:pStyle w:val="TableText"/>
              <w:keepNext/>
              <w:rPr>
                <w:szCs w:val="20"/>
              </w:rPr>
            </w:pPr>
            <w:r w:rsidRPr="000449D1">
              <w:rPr>
                <w:szCs w:val="20"/>
              </w:rPr>
              <w:t>Time horizon</w:t>
            </w:r>
          </w:p>
        </w:tc>
        <w:tc>
          <w:tcPr>
            <w:tcW w:w="5789" w:type="dxa"/>
          </w:tcPr>
          <w:p w14:paraId="40101124" w14:textId="1EBE71FD" w:rsidR="000C6AF3" w:rsidRPr="000449D1" w:rsidRDefault="000C6AF3" w:rsidP="004A2A66">
            <w:pPr>
              <w:pStyle w:val="TableText"/>
              <w:keepNext/>
              <w:rPr>
                <w:szCs w:val="20"/>
              </w:rPr>
            </w:pPr>
            <w:r>
              <w:rPr>
                <w:szCs w:val="20"/>
              </w:rPr>
              <w:t>12 weeks (</w:t>
            </w:r>
            <w:r w:rsidR="00DF67A2">
              <w:rPr>
                <w:szCs w:val="20"/>
              </w:rPr>
              <w:t>s</w:t>
            </w:r>
            <w:r>
              <w:rPr>
                <w:szCs w:val="20"/>
              </w:rPr>
              <w:t>cenario with 16 weeks)</w:t>
            </w:r>
          </w:p>
        </w:tc>
        <w:tc>
          <w:tcPr>
            <w:tcW w:w="1224" w:type="dxa"/>
          </w:tcPr>
          <w:p w14:paraId="436E7582" w14:textId="77777777" w:rsidR="000C6AF3" w:rsidRPr="00C77835" w:rsidRDefault="000C6AF3" w:rsidP="004A2A66">
            <w:pPr>
              <w:pStyle w:val="TableText"/>
              <w:keepNext/>
            </w:pPr>
            <w:r w:rsidRPr="00C77835">
              <w:t>TG 18.2</w:t>
            </w:r>
          </w:p>
        </w:tc>
      </w:tr>
      <w:tr w:rsidR="000C6AF3" w:rsidRPr="000449D1" w14:paraId="07F84F7B" w14:textId="77777777" w:rsidTr="004A2A66">
        <w:tc>
          <w:tcPr>
            <w:tcW w:w="2003" w:type="dxa"/>
          </w:tcPr>
          <w:p w14:paraId="0BBDB965" w14:textId="77777777" w:rsidR="000C6AF3" w:rsidRPr="000449D1" w:rsidRDefault="000C6AF3" w:rsidP="004A2A66">
            <w:pPr>
              <w:pStyle w:val="TableText"/>
              <w:keepNext/>
              <w:rPr>
                <w:szCs w:val="20"/>
              </w:rPr>
            </w:pPr>
            <w:r w:rsidRPr="000449D1">
              <w:rPr>
                <w:szCs w:val="20"/>
              </w:rPr>
              <w:t>Computational method</w:t>
            </w:r>
          </w:p>
        </w:tc>
        <w:tc>
          <w:tcPr>
            <w:tcW w:w="5789" w:type="dxa"/>
          </w:tcPr>
          <w:p w14:paraId="087E0939" w14:textId="2D728555" w:rsidR="000C6AF3" w:rsidRPr="000449D1" w:rsidRDefault="000C6AF3" w:rsidP="004A2A66">
            <w:pPr>
              <w:pStyle w:val="TableText"/>
              <w:keepNext/>
              <w:rPr>
                <w:szCs w:val="20"/>
              </w:rPr>
            </w:pPr>
            <w:r>
              <w:rPr>
                <w:szCs w:val="20"/>
              </w:rPr>
              <w:t>Simple cost</w:t>
            </w:r>
            <w:r w:rsidR="00D13DF9">
              <w:rPr>
                <w:szCs w:val="20"/>
              </w:rPr>
              <w:t xml:space="preserve"> </w:t>
            </w:r>
            <w:r>
              <w:rPr>
                <w:szCs w:val="20"/>
              </w:rPr>
              <w:t>calculator</w:t>
            </w:r>
          </w:p>
        </w:tc>
        <w:tc>
          <w:tcPr>
            <w:tcW w:w="1224" w:type="dxa"/>
          </w:tcPr>
          <w:p w14:paraId="663485A7" w14:textId="77777777" w:rsidR="000C6AF3" w:rsidRPr="00C77835" w:rsidRDefault="000C6AF3" w:rsidP="004A2A66">
            <w:pPr>
              <w:pStyle w:val="TableText"/>
              <w:keepNext/>
            </w:pPr>
            <w:r w:rsidRPr="00C77835">
              <w:t>TG 18.3</w:t>
            </w:r>
          </w:p>
        </w:tc>
      </w:tr>
      <w:tr w:rsidR="000C6AF3" w:rsidRPr="000449D1" w14:paraId="3C429BAB" w14:textId="77777777" w:rsidTr="004A2A66">
        <w:tc>
          <w:tcPr>
            <w:tcW w:w="2003" w:type="dxa"/>
          </w:tcPr>
          <w:p w14:paraId="5C0DE62B" w14:textId="77777777" w:rsidR="000C6AF3" w:rsidRPr="000449D1" w:rsidRDefault="000C6AF3" w:rsidP="004A2A66">
            <w:pPr>
              <w:pStyle w:val="TableText"/>
              <w:keepNext/>
              <w:rPr>
                <w:szCs w:val="20"/>
              </w:rPr>
            </w:pPr>
            <w:r w:rsidRPr="000449D1">
              <w:rPr>
                <w:szCs w:val="20"/>
              </w:rPr>
              <w:t>Generation of the base case</w:t>
            </w:r>
          </w:p>
        </w:tc>
        <w:tc>
          <w:tcPr>
            <w:tcW w:w="5789" w:type="dxa"/>
          </w:tcPr>
          <w:p w14:paraId="1C43DA36" w14:textId="77777777" w:rsidR="000C6AF3" w:rsidRDefault="000C6AF3" w:rsidP="004A2A66">
            <w:pPr>
              <w:pStyle w:val="TableText"/>
              <w:keepNext/>
              <w:rPr>
                <w:szCs w:val="20"/>
              </w:rPr>
            </w:pPr>
            <w:r>
              <w:rPr>
                <w:szCs w:val="20"/>
              </w:rPr>
              <w:t>Modelled</w:t>
            </w:r>
          </w:p>
          <w:p w14:paraId="7217143E" w14:textId="4388D856" w:rsidR="000C6AF3" w:rsidRDefault="000C6AF3" w:rsidP="003027B3">
            <w:pPr>
              <w:pStyle w:val="TableText"/>
              <w:keepNext/>
              <w:numPr>
                <w:ilvl w:val="0"/>
                <w:numId w:val="16"/>
              </w:numPr>
            </w:pPr>
            <w:r>
              <w:t>applicant estimated the total cost of glucose monitoring for FSL and SMBG by estimating resource use</w:t>
            </w:r>
          </w:p>
          <w:p w14:paraId="7A708B6D" w14:textId="7FC26D70" w:rsidR="000C6AF3" w:rsidRPr="000449D1" w:rsidRDefault="00D13DF9" w:rsidP="003027B3">
            <w:pPr>
              <w:pStyle w:val="TableText"/>
              <w:keepNext/>
              <w:numPr>
                <w:ilvl w:val="0"/>
                <w:numId w:val="16"/>
              </w:numPr>
            </w:pPr>
            <w:r>
              <w:t>i</w:t>
            </w:r>
            <w:r w:rsidR="000C6AF3">
              <w:t xml:space="preserve">ncidence (%) of </w:t>
            </w:r>
            <w:r w:rsidR="000C6AF3" w:rsidRPr="00B810B2">
              <w:rPr>
                <w:szCs w:val="20"/>
              </w:rPr>
              <w:t>foetal macrosomia</w:t>
            </w:r>
            <w:r w:rsidR="000C6AF3">
              <w:t xml:space="preserve"> obtained </w:t>
            </w:r>
            <w:r w:rsidR="000C6AF3">
              <w:rPr>
                <w:szCs w:val="20"/>
              </w:rPr>
              <w:t>from the RCT</w:t>
            </w:r>
            <w:r w:rsidR="002C5B26">
              <w:rPr>
                <w:szCs w:val="20"/>
              </w:rPr>
              <w:t xml:space="preserve"> </w:t>
            </w:r>
            <w:r w:rsidR="00544704" w:rsidRPr="00544704">
              <w:rPr>
                <w:szCs w:val="20"/>
              </w:rPr>
              <w:t>by Majewska et al. (2023)</w:t>
            </w:r>
            <w:r w:rsidR="00544704">
              <w:rPr>
                <w:szCs w:val="20"/>
              </w:rPr>
              <w:t xml:space="preserve"> </w:t>
            </w:r>
            <w:r w:rsidR="002C5B26">
              <w:rPr>
                <w:szCs w:val="20"/>
              </w:rPr>
              <w:t xml:space="preserve">and a </w:t>
            </w:r>
            <w:r w:rsidR="000C6AF3">
              <w:rPr>
                <w:szCs w:val="20"/>
              </w:rPr>
              <w:t>cost-estimate applied to this</w:t>
            </w:r>
          </w:p>
        </w:tc>
        <w:tc>
          <w:tcPr>
            <w:tcW w:w="1224" w:type="dxa"/>
          </w:tcPr>
          <w:p w14:paraId="4AA1CD02" w14:textId="77777777" w:rsidR="000C6AF3" w:rsidRPr="00C77835" w:rsidRDefault="000C6AF3" w:rsidP="004A2A66">
            <w:pPr>
              <w:pStyle w:val="TableText"/>
              <w:keepNext/>
            </w:pPr>
            <w:r w:rsidRPr="00C77835">
              <w:t>TG 17.6</w:t>
            </w:r>
          </w:p>
        </w:tc>
      </w:tr>
      <w:tr w:rsidR="000C6AF3" w:rsidRPr="000449D1" w14:paraId="1AE02BE4" w14:textId="77777777" w:rsidTr="004A2A66">
        <w:tc>
          <w:tcPr>
            <w:tcW w:w="2003" w:type="dxa"/>
          </w:tcPr>
          <w:p w14:paraId="625AD612" w14:textId="77777777" w:rsidR="000C6AF3" w:rsidRPr="000449D1" w:rsidRDefault="000C6AF3" w:rsidP="004A2A66">
            <w:pPr>
              <w:pStyle w:val="TableText"/>
              <w:keepNext/>
              <w:rPr>
                <w:szCs w:val="20"/>
              </w:rPr>
            </w:pPr>
            <w:r w:rsidRPr="000449D1">
              <w:rPr>
                <w:szCs w:val="20"/>
              </w:rPr>
              <w:t>Cycle length</w:t>
            </w:r>
          </w:p>
        </w:tc>
        <w:tc>
          <w:tcPr>
            <w:tcW w:w="5789" w:type="dxa"/>
          </w:tcPr>
          <w:p w14:paraId="51D36068" w14:textId="77777777" w:rsidR="000C6AF3" w:rsidRPr="000449D1" w:rsidRDefault="000C6AF3" w:rsidP="004A2A66">
            <w:pPr>
              <w:pStyle w:val="TableText"/>
              <w:keepNext/>
              <w:rPr>
                <w:szCs w:val="20"/>
              </w:rPr>
            </w:pPr>
            <w:r>
              <w:rPr>
                <w:szCs w:val="20"/>
              </w:rPr>
              <w:t>Time of treatment</w:t>
            </w:r>
          </w:p>
        </w:tc>
        <w:tc>
          <w:tcPr>
            <w:tcW w:w="1224" w:type="dxa"/>
          </w:tcPr>
          <w:p w14:paraId="352656E4" w14:textId="77777777" w:rsidR="000C6AF3" w:rsidRPr="00C77835" w:rsidRDefault="000C6AF3" w:rsidP="004A2A66">
            <w:pPr>
              <w:pStyle w:val="TableText"/>
              <w:keepNext/>
            </w:pPr>
            <w:r w:rsidRPr="00C77835">
              <w:t>TG 18.3</w:t>
            </w:r>
          </w:p>
        </w:tc>
      </w:tr>
      <w:tr w:rsidR="000C6AF3" w:rsidRPr="000449D1" w14:paraId="201DC922" w14:textId="77777777" w:rsidTr="004A2A66">
        <w:tc>
          <w:tcPr>
            <w:tcW w:w="2003" w:type="dxa"/>
          </w:tcPr>
          <w:p w14:paraId="2500931C" w14:textId="77777777" w:rsidR="000C6AF3" w:rsidRPr="000449D1" w:rsidRDefault="000C6AF3" w:rsidP="004A2A66">
            <w:pPr>
              <w:pStyle w:val="TableText"/>
              <w:keepNext/>
              <w:rPr>
                <w:szCs w:val="20"/>
              </w:rPr>
            </w:pPr>
            <w:r w:rsidRPr="000449D1">
              <w:rPr>
                <w:szCs w:val="20"/>
              </w:rPr>
              <w:t>Discount rate</w:t>
            </w:r>
          </w:p>
        </w:tc>
        <w:tc>
          <w:tcPr>
            <w:tcW w:w="5789" w:type="dxa"/>
          </w:tcPr>
          <w:p w14:paraId="22186560" w14:textId="77777777" w:rsidR="000C6AF3" w:rsidRPr="000449D1" w:rsidRDefault="000C6AF3" w:rsidP="004A2A66">
            <w:pPr>
              <w:pStyle w:val="TableText"/>
              <w:keepNext/>
              <w:rPr>
                <w:szCs w:val="20"/>
              </w:rPr>
            </w:pPr>
            <w:r>
              <w:rPr>
                <w:szCs w:val="20"/>
              </w:rPr>
              <w:t>0%</w:t>
            </w:r>
          </w:p>
        </w:tc>
        <w:tc>
          <w:tcPr>
            <w:tcW w:w="1224" w:type="dxa"/>
          </w:tcPr>
          <w:p w14:paraId="1CF5E34D" w14:textId="77777777" w:rsidR="000C6AF3" w:rsidRPr="00C77835" w:rsidRDefault="000C6AF3" w:rsidP="004A2A66">
            <w:pPr>
              <w:pStyle w:val="TableText"/>
              <w:keepNext/>
            </w:pPr>
            <w:r w:rsidRPr="00C77835">
              <w:t>TG 17.4</w:t>
            </w:r>
          </w:p>
        </w:tc>
      </w:tr>
      <w:tr w:rsidR="000C6AF3" w:rsidRPr="000449D1" w14:paraId="0177176E" w14:textId="77777777" w:rsidTr="004A2A66">
        <w:tc>
          <w:tcPr>
            <w:tcW w:w="2003" w:type="dxa"/>
          </w:tcPr>
          <w:p w14:paraId="31B9CDC2" w14:textId="77777777" w:rsidR="000C6AF3" w:rsidRPr="000449D1" w:rsidRDefault="000C6AF3" w:rsidP="004A2A66">
            <w:pPr>
              <w:pStyle w:val="TableText"/>
              <w:keepNext/>
              <w:rPr>
                <w:szCs w:val="20"/>
              </w:rPr>
            </w:pPr>
            <w:r w:rsidRPr="000449D1">
              <w:rPr>
                <w:szCs w:val="20"/>
              </w:rPr>
              <w:t>Software</w:t>
            </w:r>
          </w:p>
        </w:tc>
        <w:tc>
          <w:tcPr>
            <w:tcW w:w="5789" w:type="dxa"/>
          </w:tcPr>
          <w:p w14:paraId="40174BFD" w14:textId="77777777" w:rsidR="000C6AF3" w:rsidRPr="000449D1" w:rsidRDefault="000C6AF3" w:rsidP="004A2A66">
            <w:pPr>
              <w:pStyle w:val="TableText"/>
              <w:keepNext/>
              <w:rPr>
                <w:szCs w:val="20"/>
              </w:rPr>
            </w:pPr>
            <w:r>
              <w:rPr>
                <w:szCs w:val="20"/>
              </w:rPr>
              <w:t>Microsoft Excel</w:t>
            </w:r>
          </w:p>
        </w:tc>
        <w:tc>
          <w:tcPr>
            <w:tcW w:w="1224" w:type="dxa"/>
          </w:tcPr>
          <w:p w14:paraId="58CB11CF" w14:textId="77777777" w:rsidR="000C6AF3" w:rsidRPr="00C77835" w:rsidRDefault="000C6AF3" w:rsidP="004A2A66">
            <w:pPr>
              <w:pStyle w:val="TableText"/>
              <w:keepNext/>
            </w:pPr>
            <w:r w:rsidRPr="00C77835">
              <w:t>TG 18.3</w:t>
            </w:r>
          </w:p>
        </w:tc>
      </w:tr>
    </w:tbl>
    <w:p w14:paraId="77D50523" w14:textId="77777777" w:rsidR="00DF67A2" w:rsidRPr="003027B3" w:rsidRDefault="00DF67A2" w:rsidP="00DF67A2">
      <w:pPr>
        <w:pStyle w:val="KMC16-TFNotes"/>
        <w:rPr>
          <w:rFonts w:ascii="Arial Narrow" w:hAnsi="Arial Narrow"/>
          <w:sz w:val="18"/>
          <w:szCs w:val="18"/>
          <w:u w:val="single"/>
        </w:rPr>
      </w:pPr>
      <w:r w:rsidRPr="003027B3">
        <w:rPr>
          <w:rFonts w:ascii="Arial Narrow" w:hAnsi="Arial Narrow"/>
          <w:b/>
          <w:bCs/>
          <w:sz w:val="18"/>
          <w:szCs w:val="18"/>
          <w:u w:val="single"/>
        </w:rPr>
        <w:t>Abbreviations</w:t>
      </w:r>
    </w:p>
    <w:p w14:paraId="42331610" w14:textId="2D69264F" w:rsidR="00DF67A2" w:rsidRPr="003027B3" w:rsidRDefault="00DF67A2" w:rsidP="00DF67A2">
      <w:pPr>
        <w:pStyle w:val="KMC16-TFNotes"/>
        <w:rPr>
          <w:rFonts w:ascii="Arial Narrow" w:hAnsi="Arial Narrow"/>
          <w:sz w:val="18"/>
          <w:szCs w:val="18"/>
        </w:rPr>
      </w:pPr>
      <w:r w:rsidRPr="003027B3">
        <w:rPr>
          <w:rFonts w:ascii="Arial Narrow" w:hAnsi="Arial Narrow"/>
          <w:b/>
          <w:bCs/>
          <w:sz w:val="18"/>
          <w:szCs w:val="18"/>
        </w:rPr>
        <w:t>FSL</w:t>
      </w:r>
      <w:r w:rsidRPr="003027B3">
        <w:rPr>
          <w:rFonts w:ascii="Arial Narrow" w:hAnsi="Arial Narrow"/>
          <w:sz w:val="18"/>
          <w:szCs w:val="18"/>
        </w:rPr>
        <w:t xml:space="preserve"> = FreeStyle Libre Continuous Glucose Monitoring, </w:t>
      </w:r>
      <w:r w:rsidRPr="003027B3">
        <w:rPr>
          <w:rFonts w:ascii="Arial Narrow" w:hAnsi="Arial Narrow"/>
          <w:b/>
          <w:bCs/>
          <w:sz w:val="18"/>
          <w:szCs w:val="18"/>
        </w:rPr>
        <w:t xml:space="preserve">GDM </w:t>
      </w:r>
      <w:r w:rsidRPr="003027B3">
        <w:rPr>
          <w:rFonts w:ascii="Arial Narrow" w:hAnsi="Arial Narrow"/>
          <w:sz w:val="18"/>
          <w:szCs w:val="18"/>
        </w:rPr>
        <w:t xml:space="preserve">= gestational diabetes, </w:t>
      </w:r>
      <w:r w:rsidR="00112429" w:rsidRPr="003027B3">
        <w:rPr>
          <w:rFonts w:ascii="Arial Narrow" w:hAnsi="Arial Narrow"/>
          <w:b/>
          <w:bCs/>
          <w:sz w:val="18"/>
          <w:szCs w:val="18"/>
        </w:rPr>
        <w:t xml:space="preserve">RCT </w:t>
      </w:r>
      <w:r w:rsidR="00112429" w:rsidRPr="003027B3">
        <w:rPr>
          <w:rFonts w:ascii="Arial Narrow" w:hAnsi="Arial Narrow"/>
          <w:sz w:val="18"/>
          <w:szCs w:val="18"/>
        </w:rPr>
        <w:t xml:space="preserve">= randomised controlled trial, </w:t>
      </w:r>
      <w:r w:rsidRPr="003027B3">
        <w:rPr>
          <w:rFonts w:ascii="Arial Narrow" w:hAnsi="Arial Narrow"/>
          <w:b/>
          <w:bCs/>
          <w:sz w:val="18"/>
          <w:szCs w:val="18"/>
        </w:rPr>
        <w:t xml:space="preserve">SMBG </w:t>
      </w:r>
      <w:r w:rsidRPr="003027B3">
        <w:rPr>
          <w:rFonts w:ascii="Arial Narrow" w:hAnsi="Arial Narrow"/>
          <w:sz w:val="18"/>
          <w:szCs w:val="18"/>
        </w:rPr>
        <w:t>= self-monitoring of blood glucose.</w:t>
      </w:r>
    </w:p>
    <w:p w14:paraId="6DE5A6A3" w14:textId="710AC51F" w:rsidR="004A60FE" w:rsidRPr="006536A3" w:rsidRDefault="004A60FE" w:rsidP="006536A3">
      <w:pPr>
        <w:rPr>
          <w:b/>
          <w:bCs/>
        </w:rPr>
      </w:pPr>
      <w:r w:rsidRPr="006536A3">
        <w:rPr>
          <w:b/>
          <w:bCs/>
        </w:rPr>
        <w:t>Parameters</w:t>
      </w:r>
    </w:p>
    <w:p w14:paraId="555CC5C9" w14:textId="3BD4C878" w:rsidR="004A60FE" w:rsidRPr="006536A3" w:rsidRDefault="004A60FE" w:rsidP="006536A3">
      <w:pPr>
        <w:rPr>
          <w:u w:val="single"/>
        </w:rPr>
      </w:pPr>
      <w:r w:rsidRPr="00116BF5">
        <w:rPr>
          <w:u w:val="single"/>
        </w:rPr>
        <w:t>Glucose monitoring</w:t>
      </w:r>
    </w:p>
    <w:p w14:paraId="1FD4D52A" w14:textId="6D87BB9F" w:rsidR="000C6AF3" w:rsidRDefault="000C6AF3" w:rsidP="000C6AF3">
      <w:r>
        <w:t xml:space="preserve">For FSL, it was assumed that people would require </w:t>
      </w:r>
      <w:r w:rsidR="00744640">
        <w:t>2</w:t>
      </w:r>
      <w:r w:rsidR="00744640" w:rsidRPr="00A54EDF">
        <w:t xml:space="preserve"> </w:t>
      </w:r>
      <w:r>
        <w:t>sensors per month (assumed to be 4</w:t>
      </w:r>
      <w:r w:rsidR="00791334">
        <w:t> </w:t>
      </w:r>
      <w:r>
        <w:t xml:space="preserve">weeks). The per-month cost of </w:t>
      </w:r>
      <w:r w:rsidR="00226443">
        <w:t>$</w:t>
      </w:r>
      <w:r w:rsidR="000C3E52" w:rsidRPr="00F14B56">
        <w:rPr>
          <w:b/>
          <w:bCs/>
        </w:rPr>
        <w:t>R</w:t>
      </w:r>
      <w:r w:rsidR="008A24FF">
        <w:rPr>
          <w:b/>
          <w:bCs/>
        </w:rPr>
        <w:t>EDACTED</w:t>
      </w:r>
      <w:r>
        <w:t xml:space="preserve"> aligned with the CEA for people with T2D on insulin. </w:t>
      </w:r>
    </w:p>
    <w:p w14:paraId="25559F85" w14:textId="65241370" w:rsidR="005A7D4C" w:rsidRDefault="000C6AF3" w:rsidP="000C6AF3">
      <w:bookmarkStart w:id="68" w:name="_Hlk193961213"/>
      <w:r>
        <w:t xml:space="preserve">Cost for </w:t>
      </w:r>
      <w:bookmarkStart w:id="69" w:name="_Hlk192604128"/>
      <w:r>
        <w:t xml:space="preserve">SMBG </w:t>
      </w:r>
      <w:r w:rsidR="00903F38">
        <w:t>was</w:t>
      </w:r>
      <w:r w:rsidR="00903F38" w:rsidRPr="00A54EDF">
        <w:t xml:space="preserve"> </w:t>
      </w:r>
      <w:r w:rsidR="00226443">
        <w:t>$</w:t>
      </w:r>
      <w:r w:rsidR="000C3E52">
        <w:rPr>
          <w:b/>
          <w:bCs/>
        </w:rPr>
        <w:t>R</w:t>
      </w:r>
      <w:r w:rsidR="008A24FF">
        <w:rPr>
          <w:b/>
          <w:bCs/>
        </w:rPr>
        <w:t>EDACTED</w:t>
      </w:r>
      <w:bookmarkEnd w:id="69"/>
      <w:r w:rsidRPr="000C3E52">
        <w:t xml:space="preserve"> for</w:t>
      </w:r>
      <w:r>
        <w:t xml:space="preserve"> a pack of 100 strips, which aligned with the CEA for </w:t>
      </w:r>
      <w:r w:rsidR="008E6D41">
        <w:t xml:space="preserve">insulin-using </w:t>
      </w:r>
      <w:r>
        <w:t xml:space="preserve">people with T2D. </w:t>
      </w:r>
      <w:r w:rsidR="00094EA9" w:rsidRPr="00094EA9">
        <w:t xml:space="preserve">This cost incorporated the payer contribution and the user co-payment </w:t>
      </w:r>
      <w:r w:rsidR="00F4306B">
        <w:t>(i</w:t>
      </w:r>
      <w:r w:rsidR="004F45A7">
        <w:t>.</w:t>
      </w:r>
      <w:r w:rsidR="00F4306B">
        <w:t>e. took account of the full cost of the technology)</w:t>
      </w:r>
      <w:r w:rsidR="00094EA9" w:rsidRPr="00094EA9">
        <w:t xml:space="preserve"> in accordance with MSAC guidelines (17.3</w:t>
      </w:r>
      <w:proofErr w:type="gramStart"/>
      <w:r w:rsidR="00094EA9" w:rsidRPr="00094EA9">
        <w:t>)</w:t>
      </w:r>
      <w:r w:rsidR="004F5B9B">
        <w:t>, and</w:t>
      </w:r>
      <w:proofErr w:type="gramEnd"/>
      <w:r w:rsidR="004F5B9B">
        <w:t xml:space="preserve"> was</w:t>
      </w:r>
      <w:r w:rsidR="00094EA9" w:rsidRPr="00094EA9">
        <w:t xml:space="preserve"> </w:t>
      </w:r>
      <w:r w:rsidR="004F5B9B">
        <w:t>t</w:t>
      </w:r>
      <w:r w:rsidR="00094EA9" w:rsidRPr="00094EA9">
        <w:t>herefore appropriate</w:t>
      </w:r>
      <w:r w:rsidR="00094EA9">
        <w:t>.</w:t>
      </w:r>
      <w:r w:rsidR="00094EA9" w:rsidRPr="00094EA9" w:rsidDel="00094EA9">
        <w:t xml:space="preserve"> </w:t>
      </w:r>
    </w:p>
    <w:p w14:paraId="5BDAA3FE" w14:textId="6FD0B562" w:rsidR="000C6AF3" w:rsidRPr="007802D6" w:rsidRDefault="0030234E" w:rsidP="000C6AF3">
      <w:r>
        <w:t xml:space="preserve">The </w:t>
      </w:r>
      <w:r w:rsidR="00802F44">
        <w:t xml:space="preserve">ADAR </w:t>
      </w:r>
      <w:r>
        <w:t xml:space="preserve">estimated that people </w:t>
      </w:r>
      <w:r w:rsidR="0015027A">
        <w:t>with</w:t>
      </w:r>
      <w:r w:rsidRPr="00A54EDF">
        <w:t xml:space="preserve"> </w:t>
      </w:r>
      <w:r>
        <w:t xml:space="preserve">GDM would require </w:t>
      </w:r>
      <w:r w:rsidRPr="0030234E">
        <w:t>25.2</w:t>
      </w:r>
      <w:r>
        <w:t xml:space="preserve"> </w:t>
      </w:r>
      <w:r w:rsidR="0015027A">
        <w:t>strips</w:t>
      </w:r>
      <w:r w:rsidRPr="00A54EDF">
        <w:t xml:space="preserve"> </w:t>
      </w:r>
      <w:r w:rsidR="0015027A" w:rsidRPr="00A54EDF">
        <w:t xml:space="preserve">for FSL </w:t>
      </w:r>
      <w:r>
        <w:t xml:space="preserve">and </w:t>
      </w:r>
      <w:r w:rsidRPr="0030234E">
        <w:t>319.2</w:t>
      </w:r>
      <w:r>
        <w:t xml:space="preserve"> strips</w:t>
      </w:r>
      <w:r w:rsidR="0015027A">
        <w:t xml:space="preserve"> for </w:t>
      </w:r>
      <w:r w:rsidR="0015027A" w:rsidRPr="00A54EDF">
        <w:t>SMBG</w:t>
      </w:r>
      <w:r>
        <w:t xml:space="preserve">, </w:t>
      </w:r>
      <w:r w:rsidRPr="004A478D">
        <w:rPr>
          <w:rFonts w:cs="Calibri"/>
          <w:szCs w:val="20"/>
        </w:rPr>
        <w:t>per gestation</w:t>
      </w:r>
      <w:r w:rsidR="00094EA9">
        <w:rPr>
          <w:rFonts w:cs="Calibri"/>
          <w:szCs w:val="20"/>
        </w:rPr>
        <w:t xml:space="preserve"> period (12 weeks)</w:t>
      </w:r>
      <w:r>
        <w:t xml:space="preserve">. </w:t>
      </w:r>
      <w:bookmarkStart w:id="70" w:name="_Hlk193960999"/>
      <w:r>
        <w:t xml:space="preserve">The </w:t>
      </w:r>
      <w:r w:rsidR="00802F44">
        <w:t xml:space="preserve">ADAR </w:t>
      </w:r>
      <w:r w:rsidRPr="0030234E">
        <w:t>assumed</w:t>
      </w:r>
      <w:r>
        <w:t xml:space="preserve"> no wastage</w:t>
      </w:r>
      <w:r w:rsidR="008D7E92">
        <w:t>,</w:t>
      </w:r>
      <w:r>
        <w:t xml:space="preserve"> </w:t>
      </w:r>
      <w:r w:rsidR="008D7E92">
        <w:t>thus</w:t>
      </w:r>
      <w:r w:rsidRPr="0030234E">
        <w:t xml:space="preserve"> the payer paid for each SMBG strip, rather than a cost per pack. </w:t>
      </w:r>
      <w:r w:rsidR="00802F44">
        <w:t>T</w:t>
      </w:r>
      <w:r>
        <w:t>his assumption</w:t>
      </w:r>
      <w:r w:rsidR="00802F44">
        <w:t xml:space="preserve"> was not justified</w:t>
      </w:r>
      <w:r>
        <w:t>.</w:t>
      </w:r>
      <w:bookmarkEnd w:id="70"/>
      <w:r w:rsidR="00A965FB" w:rsidRPr="00A965FB">
        <w:t xml:space="preserve"> </w:t>
      </w:r>
      <w:r w:rsidR="00A965FB">
        <w:t xml:space="preserve">Given the co-payment associated with SMBG strips, it is likely that a patient would acquire a pack of 100 rather than the healthcare professional handing each patient 25.2 and 319.2 </w:t>
      </w:r>
      <w:r w:rsidR="0004476B">
        <w:t xml:space="preserve">strips </w:t>
      </w:r>
      <w:r w:rsidR="00A965FB">
        <w:t xml:space="preserve">at treatment initiation. </w:t>
      </w:r>
    </w:p>
    <w:bookmarkEnd w:id="68"/>
    <w:p w14:paraId="535A7933" w14:textId="4F1C7743" w:rsidR="00116BF5" w:rsidRPr="00116BF5" w:rsidRDefault="00116BF5" w:rsidP="000C6AF3">
      <w:pPr>
        <w:rPr>
          <w:u w:val="single"/>
        </w:rPr>
      </w:pPr>
      <w:r>
        <w:rPr>
          <w:u w:val="single"/>
        </w:rPr>
        <w:t>Foetal macrosomia</w:t>
      </w:r>
    </w:p>
    <w:p w14:paraId="343B6574" w14:textId="477A73FA" w:rsidR="000C6AF3" w:rsidRDefault="000C6AF3" w:rsidP="000C6AF3">
      <w:r w:rsidRPr="00E81FAC">
        <w:t>Independent Hospital Pricing Authority 2024</w:t>
      </w:r>
      <w:r w:rsidR="00102B79">
        <w:t>/</w:t>
      </w:r>
      <w:r w:rsidR="0004476B">
        <w:t>20</w:t>
      </w:r>
      <w:r w:rsidRPr="00A54EDF">
        <w:t>25</w:t>
      </w:r>
      <w:r>
        <w:t xml:space="preserve"> data </w:t>
      </w:r>
      <w:r w:rsidR="007207C5">
        <w:t xml:space="preserve">were </w:t>
      </w:r>
      <w:r>
        <w:t xml:space="preserve">used to estimate the cost of </w:t>
      </w:r>
      <w:bookmarkStart w:id="71" w:name="_Hlk192840719"/>
      <w:r>
        <w:t>f</w:t>
      </w:r>
      <w:r w:rsidRPr="00E81FAC">
        <w:t>oetal macrosomia</w:t>
      </w:r>
      <w:bookmarkEnd w:id="71"/>
      <w:r>
        <w:t>. Appropriate AR-DRG codes (</w:t>
      </w:r>
      <w:r w:rsidRPr="00E81FAC">
        <w:t>P68B and P68D</w:t>
      </w:r>
      <w:r>
        <w:t>) were used as surrogate AR-DRG codes for f</w:t>
      </w:r>
      <w:r w:rsidRPr="00E81FAC">
        <w:t>oetal macrosomia</w:t>
      </w:r>
      <w:r>
        <w:t xml:space="preserve">. The cost was estimated at </w:t>
      </w:r>
      <w:r w:rsidR="00226443">
        <w:t>$</w:t>
      </w:r>
      <w:r w:rsidRPr="007802D6">
        <w:t>5,128 per neonate</w:t>
      </w:r>
      <w:r>
        <w:t xml:space="preserve">. </w:t>
      </w:r>
    </w:p>
    <w:p w14:paraId="65AFEB2E" w14:textId="3DFBA703" w:rsidR="000C6AF3" w:rsidRDefault="000C6AF3" w:rsidP="000C6AF3">
      <w:bookmarkStart w:id="72" w:name="_Hlk192841130"/>
      <w:r>
        <w:t>Incidence of f</w:t>
      </w:r>
      <w:r w:rsidRPr="00E81FAC">
        <w:t>oetal macrosomia</w:t>
      </w:r>
      <w:r w:rsidRPr="004C3C93">
        <w:t xml:space="preserve"> </w:t>
      </w:r>
      <w:r>
        <w:t xml:space="preserve">was </w:t>
      </w:r>
      <w:r w:rsidRPr="004C3C93">
        <w:t>4.08</w:t>
      </w:r>
      <w:r>
        <w:t xml:space="preserve">% for the FSL arm and </w:t>
      </w:r>
      <w:r w:rsidRPr="004C3C93">
        <w:t>20.00%</w:t>
      </w:r>
      <w:r>
        <w:t xml:space="preserve"> for the SMBG arm</w:t>
      </w:r>
      <w:r w:rsidR="00102B79">
        <w:t xml:space="preserve">, </w:t>
      </w:r>
      <w:r>
        <w:t xml:space="preserve">informed by the </w:t>
      </w:r>
      <w:r w:rsidRPr="004C3C93">
        <w:t>RCT</w:t>
      </w:r>
      <w:r w:rsidR="00544704" w:rsidRPr="00362425">
        <w:t xml:space="preserve"> </w:t>
      </w:r>
      <w:r w:rsidR="00544704">
        <w:t>by Majewska et al. (2023)</w:t>
      </w:r>
      <w:r>
        <w:t xml:space="preserve">. The odds ratio was </w:t>
      </w:r>
      <w:r w:rsidRPr="00B71377">
        <w:t>5.62</w:t>
      </w:r>
      <w:r>
        <w:t xml:space="preserve"> (</w:t>
      </w:r>
      <w:r w:rsidRPr="00B71377">
        <w:t>95% CI 1.16</w:t>
      </w:r>
      <w:r w:rsidR="00EF4F96">
        <w:t xml:space="preserve"> to </w:t>
      </w:r>
      <w:r w:rsidRPr="00B71377">
        <w:t>27.22</w:t>
      </w:r>
      <w:r>
        <w:t xml:space="preserve">). </w:t>
      </w:r>
      <w:bookmarkStart w:id="73" w:name="_Hlk192840702"/>
      <w:r>
        <w:t>Th</w:t>
      </w:r>
      <w:r w:rsidR="00544704">
        <w:t>is</w:t>
      </w:r>
      <w:r w:rsidRPr="00B71377">
        <w:t xml:space="preserve"> RCT</w:t>
      </w:r>
      <w:r>
        <w:t xml:space="preserve"> had relatively small populations, with 49 </w:t>
      </w:r>
      <w:r w:rsidR="00102B79">
        <w:t xml:space="preserve">people participating </w:t>
      </w:r>
      <w:r>
        <w:t xml:space="preserve">in the FSL arm and 50 </w:t>
      </w:r>
      <w:r w:rsidR="00102B79">
        <w:t xml:space="preserve">people </w:t>
      </w:r>
      <w:r>
        <w:t xml:space="preserve">in the SMBG arm. The </w:t>
      </w:r>
      <w:r w:rsidR="00A3599B">
        <w:t xml:space="preserve">ADAR </w:t>
      </w:r>
      <w:r>
        <w:t xml:space="preserve">did not explore any scenarios around these. </w:t>
      </w:r>
    </w:p>
    <w:bookmarkEnd w:id="72"/>
    <w:bookmarkEnd w:id="73"/>
    <w:p w14:paraId="0773B98A" w14:textId="70324A19" w:rsidR="004A60FE" w:rsidRDefault="004A60FE" w:rsidP="000C6AF3">
      <w:r>
        <w:rPr>
          <w:b/>
          <w:bCs/>
        </w:rPr>
        <w:t>Results</w:t>
      </w:r>
    </w:p>
    <w:p w14:paraId="6E95FF92" w14:textId="24876868" w:rsidR="000C6AF3" w:rsidRDefault="000C6AF3" w:rsidP="000C6AF3">
      <w:r>
        <w:t>FSL was cost</w:t>
      </w:r>
      <w:r w:rsidR="005C4FA5">
        <w:t>-</w:t>
      </w:r>
      <w:r>
        <w:t xml:space="preserve">saving in women with GDM </w:t>
      </w:r>
      <w:r w:rsidR="00102B79">
        <w:t>(</w:t>
      </w:r>
      <w:r>
        <w:fldChar w:fldCharType="begin"/>
      </w:r>
      <w:r>
        <w:instrText xml:space="preserve"> REF _Ref192841192 \h </w:instrText>
      </w:r>
      <w:r>
        <w:fldChar w:fldCharType="separate"/>
      </w:r>
      <w:r w:rsidR="00315A60" w:rsidRPr="00CE28E3">
        <w:t>Table</w:t>
      </w:r>
      <w:r w:rsidR="00315A60">
        <w:t> </w:t>
      </w:r>
      <w:r w:rsidR="00315A60">
        <w:rPr>
          <w:noProof/>
        </w:rPr>
        <w:t>12</w:t>
      </w:r>
      <w:r>
        <w:fldChar w:fldCharType="end"/>
      </w:r>
      <w:r w:rsidR="00102B79">
        <w:t>)</w:t>
      </w:r>
      <w:r>
        <w:t xml:space="preserve">. The </w:t>
      </w:r>
      <w:r w:rsidR="00A3599B">
        <w:t xml:space="preserve">ADAR </w:t>
      </w:r>
      <w:r>
        <w:t xml:space="preserve">explored </w:t>
      </w:r>
      <w:r w:rsidR="005D5438">
        <w:t xml:space="preserve">2 </w:t>
      </w:r>
      <w:r>
        <w:t>different time horizons</w:t>
      </w:r>
      <w:r w:rsidR="00442F57">
        <w:t xml:space="preserve">, finding </w:t>
      </w:r>
      <w:r>
        <w:t>that FSL was cost</w:t>
      </w:r>
      <w:r w:rsidR="00442F57">
        <w:t>-</w:t>
      </w:r>
      <w:r>
        <w:t xml:space="preserve">saving for the plausible range of </w:t>
      </w:r>
      <w:r w:rsidRPr="00B71377">
        <w:t>FSL use</w:t>
      </w:r>
      <w:r>
        <w:t xml:space="preserve"> of </w:t>
      </w:r>
      <w:r w:rsidRPr="00B71377">
        <w:t>1</w:t>
      </w:r>
      <w:r w:rsidR="00094EA9">
        <w:t>2</w:t>
      </w:r>
      <w:r w:rsidR="00442F57">
        <w:t>–</w:t>
      </w:r>
      <w:r w:rsidRPr="00B71377">
        <w:t>1</w:t>
      </w:r>
      <w:r w:rsidR="00094EA9">
        <w:t>6</w:t>
      </w:r>
      <w:r w:rsidRPr="00B71377">
        <w:t xml:space="preserve"> weeks</w:t>
      </w:r>
      <w:r>
        <w:t xml:space="preserve">. </w:t>
      </w:r>
    </w:p>
    <w:p w14:paraId="0B7A6FA4" w14:textId="222D7F9A" w:rsidR="000C6AF3" w:rsidRPr="007802D6" w:rsidRDefault="000C6AF3" w:rsidP="000C6AF3">
      <w:r>
        <w:t>The applicant acknowledged the uncertainty around the f</w:t>
      </w:r>
      <w:r w:rsidRPr="00E81FAC">
        <w:t xml:space="preserve">oetal </w:t>
      </w:r>
      <w:proofErr w:type="gramStart"/>
      <w:r w:rsidRPr="00E81FAC">
        <w:t>macrosomia</w:t>
      </w:r>
      <w:r w:rsidR="00844CE6">
        <w:t>,</w:t>
      </w:r>
      <w:proofErr w:type="gramEnd"/>
      <w:r>
        <w:t xml:space="preserve"> therefore a break-even analysis was performed. The </w:t>
      </w:r>
      <w:r w:rsidR="00A3599B">
        <w:t xml:space="preserve">ADAR </w:t>
      </w:r>
      <w:r>
        <w:t>found that FSL was cost</w:t>
      </w:r>
      <w:r w:rsidR="00844CE6">
        <w:t>-</w:t>
      </w:r>
      <w:r>
        <w:t>saving for all costs of f</w:t>
      </w:r>
      <w:r w:rsidRPr="00E81FAC">
        <w:t>oetal macrosomia</w:t>
      </w:r>
      <w:r>
        <w:t xml:space="preserve"> </w:t>
      </w:r>
      <w:r w:rsidR="00844CE6">
        <w:t>&gt;</w:t>
      </w:r>
      <w:r w:rsidR="00226443">
        <w:t>$</w:t>
      </w:r>
      <w:r w:rsidR="000C3E52">
        <w:rPr>
          <w:b/>
          <w:bCs/>
        </w:rPr>
        <w:t>R</w:t>
      </w:r>
      <w:r w:rsidR="008A24FF">
        <w:rPr>
          <w:b/>
          <w:bCs/>
        </w:rPr>
        <w:t>EDACTED</w:t>
      </w:r>
      <w:r w:rsidR="000C3E52">
        <w:rPr>
          <w:b/>
          <w:bCs/>
        </w:rPr>
        <w:t xml:space="preserve"> </w:t>
      </w:r>
      <w:r>
        <w:t xml:space="preserve">per neonate. The </w:t>
      </w:r>
      <w:r w:rsidR="00A3599B">
        <w:t xml:space="preserve">ADAR </w:t>
      </w:r>
      <w:r>
        <w:t xml:space="preserve">did not explore other </w:t>
      </w:r>
      <w:r w:rsidRPr="00A54EDF">
        <w:t>uncertain</w:t>
      </w:r>
      <w:r w:rsidR="00232C07">
        <w:t>ty</w:t>
      </w:r>
      <w:r>
        <w:t xml:space="preserve"> parameters. </w:t>
      </w:r>
    </w:p>
    <w:p w14:paraId="731993C2" w14:textId="4851B718" w:rsidR="000C6AF3" w:rsidRPr="00CE28E3" w:rsidRDefault="000C6AF3" w:rsidP="000C6AF3">
      <w:pPr>
        <w:pStyle w:val="Caption"/>
      </w:pPr>
      <w:bookmarkStart w:id="74" w:name="_Ref192841192"/>
      <w:r w:rsidRPr="00CE28E3">
        <w:t>Table</w:t>
      </w:r>
      <w:r>
        <w:t> </w:t>
      </w:r>
      <w:r w:rsidRPr="00CE28E3">
        <w:rPr>
          <w:noProof/>
        </w:rPr>
        <w:fldChar w:fldCharType="begin"/>
      </w:r>
      <w:r w:rsidRPr="00CE28E3">
        <w:rPr>
          <w:noProof/>
        </w:rPr>
        <w:instrText xml:space="preserve"> SEQ Table \* ARABIC </w:instrText>
      </w:r>
      <w:r w:rsidRPr="00CE28E3">
        <w:rPr>
          <w:noProof/>
        </w:rPr>
        <w:fldChar w:fldCharType="separate"/>
      </w:r>
      <w:r w:rsidR="00315A60">
        <w:rPr>
          <w:noProof/>
        </w:rPr>
        <w:t>12</w:t>
      </w:r>
      <w:r w:rsidRPr="00CE28E3">
        <w:rPr>
          <w:noProof/>
        </w:rPr>
        <w:fldChar w:fldCharType="end"/>
      </w:r>
      <w:bookmarkEnd w:id="74"/>
      <w:r w:rsidRPr="00CE28E3">
        <w:t xml:space="preserve"> </w:t>
      </w:r>
      <w:r w:rsidRPr="00CE28E3">
        <w:tab/>
        <w:t xml:space="preserve">Results of </w:t>
      </w:r>
      <w:r>
        <w:t>cost-consequence analysis</w:t>
      </w:r>
      <w:r w:rsidRPr="00CE28E3">
        <w:t xml:space="preserve"> </w:t>
      </w:r>
    </w:p>
    <w:tbl>
      <w:tblPr>
        <w:tblStyle w:val="TableGrid1"/>
        <w:tblW w:w="5000" w:type="pct"/>
        <w:tblLayout w:type="fixed"/>
        <w:tblLook w:val="04A0" w:firstRow="1" w:lastRow="0" w:firstColumn="1" w:lastColumn="0" w:noHBand="0" w:noVBand="1"/>
        <w:tblCaption w:val="Results of the stepped economic analyses"/>
      </w:tblPr>
      <w:tblGrid>
        <w:gridCol w:w="3539"/>
        <w:gridCol w:w="1825"/>
        <w:gridCol w:w="1827"/>
        <w:gridCol w:w="1825"/>
      </w:tblGrid>
      <w:tr w:rsidR="000C6AF3" w:rsidRPr="00CE28E3" w14:paraId="41C0883B" w14:textId="77777777" w:rsidTr="004A2A66">
        <w:trPr>
          <w:cnfStyle w:val="100000000000" w:firstRow="1" w:lastRow="0" w:firstColumn="0" w:lastColumn="0" w:oddVBand="0" w:evenVBand="0" w:oddHBand="0" w:evenHBand="0" w:firstRowFirstColumn="0" w:firstRowLastColumn="0" w:lastRowFirstColumn="0" w:lastRowLastColumn="0"/>
          <w:cantSplit/>
          <w:trHeight w:val="300"/>
          <w:tblHeader/>
        </w:trPr>
        <w:tc>
          <w:tcPr>
            <w:tcW w:w="1963" w:type="pct"/>
            <w:noWrap/>
            <w:hideMark/>
          </w:tcPr>
          <w:p w14:paraId="3746679F" w14:textId="77777777" w:rsidR="000C6AF3" w:rsidRPr="00CE28E3" w:rsidRDefault="000C6AF3" w:rsidP="004A2A66">
            <w:pPr>
              <w:pStyle w:val="TableHeading"/>
            </w:pPr>
            <w:r w:rsidRPr="00A662DC">
              <w:t>Step</w:t>
            </w:r>
          </w:p>
        </w:tc>
        <w:tc>
          <w:tcPr>
            <w:tcW w:w="1012" w:type="pct"/>
            <w:noWrap/>
          </w:tcPr>
          <w:p w14:paraId="23021934" w14:textId="77777777" w:rsidR="000C6AF3" w:rsidRPr="00CE28E3" w:rsidRDefault="000C6AF3" w:rsidP="004A2A66">
            <w:pPr>
              <w:pStyle w:val="TableHeading"/>
              <w:jc w:val="center"/>
            </w:pPr>
            <w:r>
              <w:t>FSL</w:t>
            </w:r>
          </w:p>
        </w:tc>
        <w:tc>
          <w:tcPr>
            <w:tcW w:w="1013" w:type="pct"/>
            <w:noWrap/>
          </w:tcPr>
          <w:p w14:paraId="228D9C96" w14:textId="77777777" w:rsidR="000C6AF3" w:rsidRPr="00CE28E3" w:rsidRDefault="000C6AF3" w:rsidP="004A2A66">
            <w:pPr>
              <w:pStyle w:val="TableHeading"/>
              <w:jc w:val="center"/>
            </w:pPr>
            <w:r>
              <w:t>SMBG</w:t>
            </w:r>
          </w:p>
        </w:tc>
        <w:tc>
          <w:tcPr>
            <w:tcW w:w="1012" w:type="pct"/>
            <w:noWrap/>
            <w:hideMark/>
          </w:tcPr>
          <w:p w14:paraId="2DBCDEEA" w14:textId="77777777" w:rsidR="000C6AF3" w:rsidRPr="00CE28E3" w:rsidRDefault="000C6AF3" w:rsidP="004A2A66">
            <w:pPr>
              <w:pStyle w:val="TableHeading"/>
              <w:jc w:val="center"/>
            </w:pPr>
            <w:r w:rsidRPr="009E23EC">
              <w:t>Increment</w:t>
            </w:r>
          </w:p>
        </w:tc>
      </w:tr>
      <w:tr w:rsidR="000C6AF3" w:rsidRPr="00CE28E3" w14:paraId="663BEAD3" w14:textId="77777777" w:rsidTr="004A2A66">
        <w:trPr>
          <w:cantSplit/>
          <w:trHeight w:val="300"/>
        </w:trPr>
        <w:tc>
          <w:tcPr>
            <w:tcW w:w="5000" w:type="pct"/>
            <w:gridSpan w:val="4"/>
            <w:tcBorders>
              <w:bottom w:val="single" w:sz="4" w:space="0" w:color="auto"/>
            </w:tcBorders>
            <w:noWrap/>
            <w:hideMark/>
          </w:tcPr>
          <w:p w14:paraId="12371561" w14:textId="77777777" w:rsidR="000C6AF3" w:rsidRPr="00CE28E3" w:rsidRDefault="000C6AF3" w:rsidP="004A2A66">
            <w:pPr>
              <w:pStyle w:val="Tabletext0"/>
              <w:keepNext/>
            </w:pPr>
            <w:r>
              <w:t>Base case: Cost of GDM over a 12-week time horizon</w:t>
            </w:r>
          </w:p>
        </w:tc>
      </w:tr>
      <w:tr w:rsidR="000C6AF3" w:rsidRPr="00CE28E3" w14:paraId="20E4580D" w14:textId="77777777" w:rsidTr="004A2A66">
        <w:trPr>
          <w:cantSplit/>
          <w:trHeight w:val="300"/>
        </w:trPr>
        <w:tc>
          <w:tcPr>
            <w:tcW w:w="1963" w:type="pct"/>
            <w:tcBorders>
              <w:bottom w:val="nil"/>
            </w:tcBorders>
            <w:noWrap/>
          </w:tcPr>
          <w:p w14:paraId="23AC9086" w14:textId="67A3B649" w:rsidR="000C6AF3" w:rsidRPr="00CE28E3" w:rsidRDefault="000C6AF3" w:rsidP="004A2A66">
            <w:pPr>
              <w:pStyle w:val="Tabletext0"/>
              <w:keepNext/>
            </w:pPr>
            <w:r>
              <w:t>Cost of glucose monitoring</w:t>
            </w:r>
          </w:p>
        </w:tc>
        <w:tc>
          <w:tcPr>
            <w:tcW w:w="1012" w:type="pct"/>
            <w:tcBorders>
              <w:bottom w:val="nil"/>
            </w:tcBorders>
            <w:noWrap/>
          </w:tcPr>
          <w:p w14:paraId="2E311F6D" w14:textId="4ED120B5" w:rsidR="000C6AF3" w:rsidRPr="00F14B56" w:rsidRDefault="000C3E52" w:rsidP="004A2A66">
            <w:pPr>
              <w:pStyle w:val="Tabletext0"/>
              <w:keepNext/>
              <w:jc w:val="right"/>
              <w:rPr>
                <w:highlight w:val="yellow"/>
              </w:rPr>
            </w:pPr>
            <w:r w:rsidRPr="00713151">
              <w:rPr>
                <w:b/>
              </w:rPr>
              <w:t>$Redacted</w:t>
            </w:r>
          </w:p>
        </w:tc>
        <w:tc>
          <w:tcPr>
            <w:tcW w:w="1013" w:type="pct"/>
            <w:tcBorders>
              <w:bottom w:val="nil"/>
            </w:tcBorders>
            <w:noWrap/>
          </w:tcPr>
          <w:p w14:paraId="2D8F5BA9" w14:textId="0E84CF42" w:rsidR="000C6AF3" w:rsidRPr="00F14B56" w:rsidRDefault="000C3E52" w:rsidP="004A2A66">
            <w:pPr>
              <w:pStyle w:val="Tabletext0"/>
              <w:keepNext/>
              <w:jc w:val="right"/>
              <w:rPr>
                <w:highlight w:val="yellow"/>
              </w:rPr>
            </w:pPr>
            <w:r w:rsidRPr="00713151">
              <w:rPr>
                <w:b/>
              </w:rPr>
              <w:t>$Redacted</w:t>
            </w:r>
          </w:p>
        </w:tc>
        <w:tc>
          <w:tcPr>
            <w:tcW w:w="1012" w:type="pct"/>
            <w:tcBorders>
              <w:bottom w:val="nil"/>
            </w:tcBorders>
            <w:noWrap/>
          </w:tcPr>
          <w:p w14:paraId="6FBC2BAC" w14:textId="7D6290C2" w:rsidR="000C6AF3" w:rsidRPr="00F14B56" w:rsidRDefault="000C3E52" w:rsidP="004A2A66">
            <w:pPr>
              <w:pStyle w:val="Tabletext0"/>
              <w:keepNext/>
              <w:jc w:val="right"/>
              <w:rPr>
                <w:highlight w:val="yellow"/>
              </w:rPr>
            </w:pPr>
            <w:r w:rsidRPr="00713151">
              <w:rPr>
                <w:b/>
              </w:rPr>
              <w:t>$Redacted</w:t>
            </w:r>
          </w:p>
        </w:tc>
      </w:tr>
      <w:tr w:rsidR="000C6AF3" w:rsidRPr="00CE28E3" w14:paraId="67089F56" w14:textId="77777777" w:rsidTr="004A2A66">
        <w:trPr>
          <w:cantSplit/>
          <w:trHeight w:val="300"/>
        </w:trPr>
        <w:tc>
          <w:tcPr>
            <w:tcW w:w="1963" w:type="pct"/>
            <w:tcBorders>
              <w:top w:val="nil"/>
              <w:bottom w:val="single" w:sz="4" w:space="0" w:color="FFFFFF" w:themeColor="background1"/>
            </w:tcBorders>
            <w:noWrap/>
          </w:tcPr>
          <w:p w14:paraId="7312BA38" w14:textId="15709FA8" w:rsidR="000C6AF3" w:rsidRDefault="000C6AF3" w:rsidP="004A2A66">
            <w:pPr>
              <w:pStyle w:val="Tabletext0"/>
              <w:keepNext/>
            </w:pPr>
            <w:r>
              <w:t xml:space="preserve">Cost of </w:t>
            </w:r>
            <w:r w:rsidRPr="00B810B2">
              <w:t>foetal macrosomia</w:t>
            </w:r>
          </w:p>
        </w:tc>
        <w:tc>
          <w:tcPr>
            <w:tcW w:w="1012" w:type="pct"/>
            <w:tcBorders>
              <w:top w:val="nil"/>
              <w:bottom w:val="single" w:sz="4" w:space="0" w:color="FFFFFF" w:themeColor="background1"/>
            </w:tcBorders>
            <w:noWrap/>
          </w:tcPr>
          <w:p w14:paraId="307EEBD5" w14:textId="77777777" w:rsidR="000C6AF3" w:rsidRPr="00CE28E3" w:rsidRDefault="000C6AF3" w:rsidP="004A2A66">
            <w:pPr>
              <w:pStyle w:val="Tabletext0"/>
              <w:keepNext/>
              <w:jc w:val="right"/>
            </w:pPr>
            <w:r w:rsidRPr="00860DE1">
              <w:t>$209</w:t>
            </w:r>
          </w:p>
        </w:tc>
        <w:tc>
          <w:tcPr>
            <w:tcW w:w="1013" w:type="pct"/>
            <w:tcBorders>
              <w:top w:val="nil"/>
              <w:bottom w:val="single" w:sz="4" w:space="0" w:color="FFFFFF" w:themeColor="background1"/>
            </w:tcBorders>
            <w:noWrap/>
          </w:tcPr>
          <w:p w14:paraId="102A1D07" w14:textId="77777777" w:rsidR="000C6AF3" w:rsidRPr="00CE28E3" w:rsidRDefault="000C6AF3" w:rsidP="004A2A66">
            <w:pPr>
              <w:pStyle w:val="Tabletext0"/>
              <w:keepNext/>
              <w:jc w:val="right"/>
            </w:pPr>
            <w:r w:rsidRPr="00860DE1">
              <w:t>$1,026</w:t>
            </w:r>
          </w:p>
        </w:tc>
        <w:tc>
          <w:tcPr>
            <w:tcW w:w="1012" w:type="pct"/>
            <w:tcBorders>
              <w:top w:val="nil"/>
              <w:bottom w:val="single" w:sz="4" w:space="0" w:color="FFFFFF" w:themeColor="background1"/>
            </w:tcBorders>
            <w:noWrap/>
          </w:tcPr>
          <w:p w14:paraId="3AA8566E" w14:textId="57C26283" w:rsidR="000C6AF3" w:rsidRDefault="008D721E" w:rsidP="004A2A66">
            <w:pPr>
              <w:pStyle w:val="Tabletext0"/>
              <w:keepNext/>
              <w:jc w:val="right"/>
            </w:pPr>
            <w:r>
              <w:t>−</w:t>
            </w:r>
            <w:r w:rsidR="000C6AF3" w:rsidRPr="00242D8A">
              <w:t>$816</w:t>
            </w:r>
          </w:p>
        </w:tc>
      </w:tr>
      <w:tr w:rsidR="000C6AF3" w:rsidRPr="00CE28E3" w14:paraId="1CB19576" w14:textId="77777777" w:rsidTr="004A2A66">
        <w:trPr>
          <w:cantSplit/>
          <w:trHeight w:val="300"/>
        </w:trPr>
        <w:tc>
          <w:tcPr>
            <w:tcW w:w="1963" w:type="pct"/>
            <w:tcBorders>
              <w:top w:val="single" w:sz="4" w:space="0" w:color="FFFFFF" w:themeColor="background1"/>
            </w:tcBorders>
            <w:noWrap/>
          </w:tcPr>
          <w:p w14:paraId="50D59D3A" w14:textId="77777777" w:rsidR="000C6AF3" w:rsidRPr="00C77835" w:rsidRDefault="000C6AF3" w:rsidP="004A2A66">
            <w:pPr>
              <w:pStyle w:val="Tabletext0"/>
              <w:keepNext/>
              <w:rPr>
                <w:b/>
                <w:bCs/>
              </w:rPr>
            </w:pPr>
            <w:r w:rsidRPr="00C77835">
              <w:rPr>
                <w:b/>
                <w:bCs/>
              </w:rPr>
              <w:t>Total cost</w:t>
            </w:r>
          </w:p>
        </w:tc>
        <w:tc>
          <w:tcPr>
            <w:tcW w:w="1012" w:type="pct"/>
            <w:tcBorders>
              <w:top w:val="single" w:sz="4" w:space="0" w:color="FFFFFF" w:themeColor="background1"/>
            </w:tcBorders>
            <w:noWrap/>
          </w:tcPr>
          <w:p w14:paraId="2DFDA4FF" w14:textId="0977AB1F" w:rsidR="000C6AF3" w:rsidRPr="00F14B56" w:rsidRDefault="000C3E52" w:rsidP="004A2A66">
            <w:pPr>
              <w:pStyle w:val="Tabletext0"/>
              <w:keepNext/>
              <w:jc w:val="right"/>
              <w:rPr>
                <w:b/>
                <w:highlight w:val="yellow"/>
              </w:rPr>
            </w:pPr>
            <w:r w:rsidRPr="00713151">
              <w:rPr>
                <w:b/>
              </w:rPr>
              <w:t>$Redacted</w:t>
            </w:r>
          </w:p>
        </w:tc>
        <w:tc>
          <w:tcPr>
            <w:tcW w:w="1013" w:type="pct"/>
            <w:tcBorders>
              <w:top w:val="single" w:sz="4" w:space="0" w:color="FFFFFF" w:themeColor="background1"/>
            </w:tcBorders>
            <w:noWrap/>
          </w:tcPr>
          <w:p w14:paraId="76AF85D4" w14:textId="1039595B" w:rsidR="000C6AF3" w:rsidRPr="00F14B56" w:rsidRDefault="000C3E52" w:rsidP="004A2A66">
            <w:pPr>
              <w:pStyle w:val="Tabletext0"/>
              <w:keepNext/>
              <w:jc w:val="right"/>
              <w:rPr>
                <w:b/>
                <w:highlight w:val="yellow"/>
              </w:rPr>
            </w:pPr>
            <w:r w:rsidRPr="00713151">
              <w:rPr>
                <w:b/>
              </w:rPr>
              <w:t>$Redacted</w:t>
            </w:r>
          </w:p>
        </w:tc>
        <w:tc>
          <w:tcPr>
            <w:tcW w:w="1012" w:type="pct"/>
            <w:tcBorders>
              <w:top w:val="single" w:sz="4" w:space="0" w:color="FFFFFF" w:themeColor="background1"/>
            </w:tcBorders>
            <w:noWrap/>
          </w:tcPr>
          <w:p w14:paraId="46AE02E3" w14:textId="4BCE37D0" w:rsidR="000C6AF3" w:rsidRPr="00F14B56" w:rsidRDefault="000C3E52" w:rsidP="004A2A66">
            <w:pPr>
              <w:pStyle w:val="Tabletext0"/>
              <w:keepNext/>
              <w:jc w:val="right"/>
              <w:rPr>
                <w:b/>
                <w:highlight w:val="yellow"/>
              </w:rPr>
            </w:pPr>
            <w:r w:rsidRPr="00713151">
              <w:rPr>
                <w:b/>
              </w:rPr>
              <w:t>$Redacted</w:t>
            </w:r>
          </w:p>
        </w:tc>
      </w:tr>
      <w:tr w:rsidR="000C6AF3" w:rsidRPr="00CE28E3" w14:paraId="44750045" w14:textId="77777777" w:rsidTr="004A2A66">
        <w:trPr>
          <w:cantSplit/>
          <w:trHeight w:val="300"/>
        </w:trPr>
        <w:tc>
          <w:tcPr>
            <w:tcW w:w="5000" w:type="pct"/>
            <w:gridSpan w:val="4"/>
            <w:tcBorders>
              <w:bottom w:val="single" w:sz="4" w:space="0" w:color="auto"/>
            </w:tcBorders>
            <w:noWrap/>
            <w:hideMark/>
          </w:tcPr>
          <w:p w14:paraId="63BF7EEC" w14:textId="77777777" w:rsidR="000C6AF3" w:rsidRPr="00CE28E3" w:rsidRDefault="000C6AF3" w:rsidP="004A2A66">
            <w:pPr>
              <w:pStyle w:val="TableText"/>
              <w:keepNext/>
            </w:pPr>
            <w:r>
              <w:t>Scenario: Cost of GDM over a 16-week time horizon</w:t>
            </w:r>
          </w:p>
        </w:tc>
      </w:tr>
      <w:tr w:rsidR="000C6AF3" w:rsidRPr="00CE28E3" w14:paraId="032E12CE" w14:textId="77777777" w:rsidTr="004A2A66">
        <w:trPr>
          <w:cantSplit/>
          <w:trHeight w:val="300"/>
        </w:trPr>
        <w:tc>
          <w:tcPr>
            <w:tcW w:w="1963" w:type="pct"/>
            <w:tcBorders>
              <w:bottom w:val="nil"/>
            </w:tcBorders>
            <w:noWrap/>
          </w:tcPr>
          <w:p w14:paraId="57983D6B" w14:textId="0B857C30" w:rsidR="000C6AF3" w:rsidRPr="00CE28E3" w:rsidRDefault="000C6AF3" w:rsidP="004A2A66">
            <w:pPr>
              <w:pStyle w:val="Tabletext0"/>
              <w:keepNext/>
            </w:pPr>
            <w:r>
              <w:t>Cost of glucose monitoring</w:t>
            </w:r>
          </w:p>
        </w:tc>
        <w:tc>
          <w:tcPr>
            <w:tcW w:w="1012" w:type="pct"/>
            <w:tcBorders>
              <w:bottom w:val="nil"/>
            </w:tcBorders>
            <w:noWrap/>
          </w:tcPr>
          <w:p w14:paraId="0679105C" w14:textId="34BA0CFE" w:rsidR="000C6AF3" w:rsidRPr="00F14B56" w:rsidRDefault="000C3E52" w:rsidP="004A2A66">
            <w:pPr>
              <w:pStyle w:val="Tabletext0"/>
              <w:keepNext/>
              <w:jc w:val="right"/>
              <w:rPr>
                <w:highlight w:val="yellow"/>
              </w:rPr>
            </w:pPr>
            <w:r w:rsidRPr="00713151">
              <w:rPr>
                <w:b/>
              </w:rPr>
              <w:t>$Redacted</w:t>
            </w:r>
          </w:p>
        </w:tc>
        <w:tc>
          <w:tcPr>
            <w:tcW w:w="1013" w:type="pct"/>
            <w:tcBorders>
              <w:bottom w:val="nil"/>
            </w:tcBorders>
            <w:noWrap/>
          </w:tcPr>
          <w:p w14:paraId="6D754EC5" w14:textId="0D35A004" w:rsidR="000C6AF3" w:rsidRPr="00F14B56" w:rsidRDefault="000C3E52" w:rsidP="004A2A66">
            <w:pPr>
              <w:pStyle w:val="Tabletext0"/>
              <w:keepNext/>
              <w:jc w:val="right"/>
              <w:rPr>
                <w:highlight w:val="yellow"/>
              </w:rPr>
            </w:pPr>
            <w:r w:rsidRPr="00713151">
              <w:rPr>
                <w:b/>
              </w:rPr>
              <w:t>$Redacted</w:t>
            </w:r>
          </w:p>
        </w:tc>
        <w:tc>
          <w:tcPr>
            <w:tcW w:w="1012" w:type="pct"/>
            <w:tcBorders>
              <w:bottom w:val="nil"/>
            </w:tcBorders>
            <w:noWrap/>
          </w:tcPr>
          <w:p w14:paraId="485BC1FE" w14:textId="53F28851" w:rsidR="000C6AF3" w:rsidRPr="00F14B56" w:rsidRDefault="000C3E52" w:rsidP="004A2A66">
            <w:pPr>
              <w:pStyle w:val="Tabletext0"/>
              <w:keepNext/>
              <w:jc w:val="right"/>
              <w:rPr>
                <w:highlight w:val="yellow"/>
              </w:rPr>
            </w:pPr>
            <w:r w:rsidRPr="00713151">
              <w:rPr>
                <w:b/>
              </w:rPr>
              <w:t>$Redacted</w:t>
            </w:r>
          </w:p>
        </w:tc>
      </w:tr>
      <w:tr w:rsidR="000C6AF3" w:rsidRPr="00CE28E3" w14:paraId="2BA998B1" w14:textId="77777777" w:rsidTr="004A2A66">
        <w:trPr>
          <w:cantSplit/>
          <w:trHeight w:val="300"/>
        </w:trPr>
        <w:tc>
          <w:tcPr>
            <w:tcW w:w="1963" w:type="pct"/>
            <w:tcBorders>
              <w:top w:val="nil"/>
              <w:bottom w:val="single" w:sz="4" w:space="0" w:color="FFFFFF"/>
            </w:tcBorders>
            <w:noWrap/>
          </w:tcPr>
          <w:p w14:paraId="19942109" w14:textId="1AF9F124" w:rsidR="000C6AF3" w:rsidRDefault="000C6AF3" w:rsidP="004A2A66">
            <w:pPr>
              <w:pStyle w:val="Tabletext0"/>
              <w:keepNext/>
            </w:pPr>
            <w:r>
              <w:t xml:space="preserve">Cost of </w:t>
            </w:r>
            <w:r w:rsidRPr="00B810B2">
              <w:t>foetal macrosomia</w:t>
            </w:r>
          </w:p>
        </w:tc>
        <w:tc>
          <w:tcPr>
            <w:tcW w:w="1012" w:type="pct"/>
            <w:tcBorders>
              <w:top w:val="nil"/>
              <w:bottom w:val="single" w:sz="4" w:space="0" w:color="FFFFFF"/>
            </w:tcBorders>
            <w:noWrap/>
          </w:tcPr>
          <w:p w14:paraId="62C41296" w14:textId="77777777" w:rsidR="000C6AF3" w:rsidRDefault="000C6AF3" w:rsidP="004A2A66">
            <w:pPr>
              <w:pStyle w:val="Tabletext0"/>
              <w:keepNext/>
              <w:jc w:val="right"/>
            </w:pPr>
            <w:r w:rsidRPr="000D5F22">
              <w:t>$209</w:t>
            </w:r>
          </w:p>
        </w:tc>
        <w:tc>
          <w:tcPr>
            <w:tcW w:w="1013" w:type="pct"/>
            <w:tcBorders>
              <w:top w:val="nil"/>
              <w:bottom w:val="single" w:sz="4" w:space="0" w:color="FFFFFF"/>
            </w:tcBorders>
            <w:noWrap/>
          </w:tcPr>
          <w:p w14:paraId="1709FDCE" w14:textId="77777777" w:rsidR="000C6AF3" w:rsidRDefault="000C6AF3" w:rsidP="004A2A66">
            <w:pPr>
              <w:pStyle w:val="Tabletext0"/>
              <w:keepNext/>
              <w:jc w:val="right"/>
            </w:pPr>
            <w:r w:rsidRPr="000D5F22">
              <w:t>$1,026</w:t>
            </w:r>
          </w:p>
        </w:tc>
        <w:tc>
          <w:tcPr>
            <w:tcW w:w="1012" w:type="pct"/>
            <w:tcBorders>
              <w:top w:val="nil"/>
              <w:bottom w:val="single" w:sz="4" w:space="0" w:color="FFFFFF"/>
            </w:tcBorders>
            <w:noWrap/>
          </w:tcPr>
          <w:p w14:paraId="755A7E3B" w14:textId="01A4B24C" w:rsidR="000C6AF3" w:rsidRDefault="008D721E" w:rsidP="004A2A66">
            <w:pPr>
              <w:pStyle w:val="Tabletext0"/>
              <w:keepNext/>
              <w:jc w:val="right"/>
            </w:pPr>
            <w:r>
              <w:t>−</w:t>
            </w:r>
            <w:r w:rsidR="000C6AF3" w:rsidRPr="000D5F22">
              <w:t>$816</w:t>
            </w:r>
          </w:p>
        </w:tc>
      </w:tr>
      <w:tr w:rsidR="000C6AF3" w:rsidRPr="00CE28E3" w14:paraId="3D343074" w14:textId="77777777" w:rsidTr="004A2A66">
        <w:trPr>
          <w:cantSplit/>
          <w:trHeight w:val="300"/>
        </w:trPr>
        <w:tc>
          <w:tcPr>
            <w:tcW w:w="1963" w:type="pct"/>
            <w:tcBorders>
              <w:top w:val="single" w:sz="4" w:space="0" w:color="FFFFFF"/>
            </w:tcBorders>
            <w:noWrap/>
          </w:tcPr>
          <w:p w14:paraId="24539080" w14:textId="77777777" w:rsidR="000C6AF3" w:rsidRDefault="000C6AF3" w:rsidP="004A2A66">
            <w:pPr>
              <w:pStyle w:val="Tabletext0"/>
              <w:keepNext/>
            </w:pPr>
            <w:r w:rsidRPr="00987D42">
              <w:rPr>
                <w:b/>
                <w:bCs/>
              </w:rPr>
              <w:t>Total cost</w:t>
            </w:r>
          </w:p>
        </w:tc>
        <w:tc>
          <w:tcPr>
            <w:tcW w:w="1012" w:type="pct"/>
            <w:tcBorders>
              <w:top w:val="single" w:sz="4" w:space="0" w:color="FFFFFF"/>
            </w:tcBorders>
            <w:noWrap/>
          </w:tcPr>
          <w:p w14:paraId="34DB3BF1" w14:textId="2E0E20DB" w:rsidR="000C6AF3" w:rsidRPr="00F14B56" w:rsidRDefault="000C3E52" w:rsidP="004A2A66">
            <w:pPr>
              <w:pStyle w:val="Tabletext0"/>
              <w:keepNext/>
              <w:jc w:val="right"/>
              <w:rPr>
                <w:b/>
                <w:highlight w:val="yellow"/>
              </w:rPr>
            </w:pPr>
            <w:r w:rsidRPr="00713151">
              <w:rPr>
                <w:b/>
              </w:rPr>
              <w:t>$Redacted</w:t>
            </w:r>
          </w:p>
        </w:tc>
        <w:tc>
          <w:tcPr>
            <w:tcW w:w="1013" w:type="pct"/>
            <w:tcBorders>
              <w:top w:val="single" w:sz="4" w:space="0" w:color="FFFFFF"/>
            </w:tcBorders>
            <w:noWrap/>
          </w:tcPr>
          <w:p w14:paraId="5997644A" w14:textId="0E0D14AA" w:rsidR="000C6AF3" w:rsidRPr="00F14B56" w:rsidRDefault="000C3E52" w:rsidP="004A2A66">
            <w:pPr>
              <w:pStyle w:val="Tabletext0"/>
              <w:keepNext/>
              <w:jc w:val="right"/>
              <w:rPr>
                <w:b/>
                <w:highlight w:val="yellow"/>
              </w:rPr>
            </w:pPr>
            <w:r w:rsidRPr="00713151">
              <w:rPr>
                <w:b/>
              </w:rPr>
              <w:t>$Redacted</w:t>
            </w:r>
          </w:p>
        </w:tc>
        <w:tc>
          <w:tcPr>
            <w:tcW w:w="1012" w:type="pct"/>
            <w:tcBorders>
              <w:top w:val="single" w:sz="4" w:space="0" w:color="FFFFFF"/>
            </w:tcBorders>
            <w:noWrap/>
          </w:tcPr>
          <w:p w14:paraId="1FEF5FA0" w14:textId="10257FE1" w:rsidR="000C6AF3" w:rsidRPr="00F14B56" w:rsidRDefault="000C3E52" w:rsidP="004A2A66">
            <w:pPr>
              <w:pStyle w:val="Tabletext0"/>
              <w:keepNext/>
              <w:jc w:val="right"/>
              <w:rPr>
                <w:b/>
                <w:highlight w:val="yellow"/>
              </w:rPr>
            </w:pPr>
            <w:r w:rsidRPr="00713151">
              <w:rPr>
                <w:b/>
              </w:rPr>
              <w:t>$Redacted</w:t>
            </w:r>
          </w:p>
        </w:tc>
      </w:tr>
    </w:tbl>
    <w:p w14:paraId="739FDAD2" w14:textId="77777777" w:rsidR="00DF67A2" w:rsidRPr="003027B3" w:rsidRDefault="00DF67A2" w:rsidP="00DF67A2">
      <w:pPr>
        <w:pStyle w:val="KMC16-TFNotes"/>
        <w:rPr>
          <w:rFonts w:ascii="Arial Narrow" w:hAnsi="Arial Narrow"/>
          <w:sz w:val="18"/>
          <w:szCs w:val="18"/>
          <w:u w:val="single"/>
        </w:rPr>
      </w:pPr>
      <w:r w:rsidRPr="003027B3">
        <w:rPr>
          <w:rFonts w:ascii="Arial Narrow" w:hAnsi="Arial Narrow"/>
          <w:b/>
          <w:bCs/>
          <w:sz w:val="18"/>
          <w:szCs w:val="18"/>
          <w:u w:val="single"/>
        </w:rPr>
        <w:t>Abbreviations</w:t>
      </w:r>
    </w:p>
    <w:p w14:paraId="569AA492" w14:textId="3AA49EAA" w:rsidR="00DF67A2" w:rsidRPr="003027B3" w:rsidRDefault="00DF67A2" w:rsidP="00E435BB">
      <w:pPr>
        <w:pStyle w:val="KMC16-TFNotes"/>
        <w:jc w:val="left"/>
        <w:rPr>
          <w:rFonts w:ascii="Arial Narrow" w:hAnsi="Arial Narrow"/>
          <w:sz w:val="18"/>
          <w:szCs w:val="18"/>
        </w:rPr>
      </w:pPr>
      <w:r w:rsidRPr="003027B3">
        <w:rPr>
          <w:rFonts w:ascii="Arial Narrow" w:hAnsi="Arial Narrow"/>
          <w:b/>
          <w:bCs/>
          <w:sz w:val="18"/>
          <w:szCs w:val="18"/>
        </w:rPr>
        <w:t>FSL</w:t>
      </w:r>
      <w:r w:rsidRPr="003027B3">
        <w:rPr>
          <w:rFonts w:ascii="Arial Narrow" w:hAnsi="Arial Narrow"/>
          <w:sz w:val="18"/>
          <w:szCs w:val="18"/>
        </w:rPr>
        <w:t xml:space="preserve"> = FreeStyle Libre Continuous Glucose Monitoring, </w:t>
      </w:r>
      <w:r w:rsidRPr="003027B3">
        <w:rPr>
          <w:rFonts w:ascii="Arial Narrow" w:hAnsi="Arial Narrow"/>
          <w:b/>
          <w:bCs/>
          <w:sz w:val="18"/>
          <w:szCs w:val="18"/>
        </w:rPr>
        <w:t xml:space="preserve">GDM </w:t>
      </w:r>
      <w:r w:rsidRPr="003027B3">
        <w:rPr>
          <w:rFonts w:ascii="Arial Narrow" w:hAnsi="Arial Narrow"/>
          <w:sz w:val="18"/>
          <w:szCs w:val="18"/>
        </w:rPr>
        <w:t xml:space="preserve">= gestational diabetes, </w:t>
      </w:r>
      <w:r w:rsidRPr="003027B3">
        <w:rPr>
          <w:rFonts w:ascii="Arial Narrow" w:hAnsi="Arial Narrow"/>
          <w:b/>
          <w:bCs/>
          <w:sz w:val="18"/>
          <w:szCs w:val="18"/>
        </w:rPr>
        <w:t xml:space="preserve">SMBG </w:t>
      </w:r>
      <w:r w:rsidRPr="003027B3">
        <w:rPr>
          <w:rFonts w:ascii="Arial Narrow" w:hAnsi="Arial Narrow"/>
          <w:sz w:val="18"/>
          <w:szCs w:val="18"/>
        </w:rPr>
        <w:t>= self-monitoring of blood glucose.</w:t>
      </w:r>
      <w:r w:rsidR="00C70CF3" w:rsidRPr="003027B3">
        <w:rPr>
          <w:rFonts w:ascii="Arial Narrow" w:hAnsi="Arial Narrow"/>
          <w:sz w:val="18"/>
          <w:szCs w:val="18"/>
        </w:rPr>
        <w:br/>
      </w:r>
      <w:r w:rsidR="00C70CF3" w:rsidRPr="003027B3">
        <w:rPr>
          <w:rFonts w:ascii="Arial Narrow" w:hAnsi="Arial Narrow"/>
          <w:b/>
          <w:bCs/>
          <w:sz w:val="18"/>
          <w:szCs w:val="18"/>
          <w:u w:val="single"/>
        </w:rPr>
        <w:t>Notes</w:t>
      </w:r>
      <w:r w:rsidR="00C70CF3" w:rsidRPr="003027B3">
        <w:rPr>
          <w:rFonts w:ascii="Arial Narrow" w:hAnsi="Arial Narrow"/>
          <w:b/>
          <w:bCs/>
          <w:sz w:val="18"/>
          <w:szCs w:val="18"/>
          <w:u w:val="single"/>
        </w:rPr>
        <w:br/>
      </w:r>
      <w:r w:rsidR="00C70CF3" w:rsidRPr="003027B3">
        <w:rPr>
          <w:rFonts w:ascii="Arial Narrow" w:hAnsi="Arial Narrow"/>
          <w:sz w:val="18"/>
          <w:szCs w:val="18"/>
        </w:rPr>
        <w:t>All currencies represent AUD.</w:t>
      </w:r>
    </w:p>
    <w:p w14:paraId="134A9819" w14:textId="3DC150C4" w:rsidR="004A60FE" w:rsidRDefault="004A60FE" w:rsidP="000C6AF3">
      <w:r>
        <w:rPr>
          <w:b/>
          <w:bCs/>
        </w:rPr>
        <w:t>Conclusion</w:t>
      </w:r>
    </w:p>
    <w:p w14:paraId="54099401" w14:textId="3F8C55F8" w:rsidR="000C6AF3" w:rsidRPr="00155198" w:rsidRDefault="000C6AF3" w:rsidP="000C6AF3">
      <w:r>
        <w:t xml:space="preserve">Given the uncertainty around the inputs associated </w:t>
      </w:r>
      <w:r w:rsidR="00841E6E">
        <w:t>with</w:t>
      </w:r>
      <w:r w:rsidRPr="00A54EDF">
        <w:t xml:space="preserve"> </w:t>
      </w:r>
      <w:r w:rsidRPr="00B55603">
        <w:t>foetal macrosomia</w:t>
      </w:r>
      <w:r>
        <w:t xml:space="preserve"> (</w:t>
      </w:r>
      <w:r w:rsidR="007207C5">
        <w:t>e.g.</w:t>
      </w:r>
      <w:r>
        <w:t xml:space="preserve"> the odds ratio for the incidence was </w:t>
      </w:r>
      <w:r w:rsidRPr="00B71377">
        <w:t>5.62</w:t>
      </w:r>
      <w:r>
        <w:t xml:space="preserve"> (</w:t>
      </w:r>
      <w:r w:rsidRPr="00B71377">
        <w:t>95% CI 1.16</w:t>
      </w:r>
      <w:r w:rsidR="007207C5">
        <w:t xml:space="preserve"> to </w:t>
      </w:r>
      <w:r w:rsidRPr="00B71377">
        <w:t>27.22</w:t>
      </w:r>
      <w:r>
        <w:t xml:space="preserve">) and </w:t>
      </w:r>
      <w:r w:rsidR="00682D1F">
        <w:t xml:space="preserve">that </w:t>
      </w:r>
      <w:r>
        <w:t xml:space="preserve">the cost was an estimate, </w:t>
      </w:r>
      <w:r w:rsidR="005E0516">
        <w:t>the potential overall impact on decision uncertainty is very high.</w:t>
      </w:r>
    </w:p>
    <w:p w14:paraId="0E7FDE35" w14:textId="0157A578" w:rsidR="000C6AF3" w:rsidRDefault="000C6AF3" w:rsidP="000C6AF3">
      <w:pPr>
        <w:pStyle w:val="Heading3"/>
      </w:pPr>
      <w:r>
        <w:t xml:space="preserve">Other diabetes (PICO </w:t>
      </w:r>
      <w:r w:rsidR="007207C5">
        <w:t>S</w:t>
      </w:r>
      <w:r>
        <w:t>et 3)</w:t>
      </w:r>
    </w:p>
    <w:p w14:paraId="5A7C43AF" w14:textId="7F9E0763" w:rsidR="000C6AF3" w:rsidRPr="00C77835" w:rsidRDefault="000C6AF3" w:rsidP="000C6AF3">
      <w:r>
        <w:t xml:space="preserve">The </w:t>
      </w:r>
      <w:r w:rsidR="00A3599B">
        <w:t xml:space="preserve">ADAR </w:t>
      </w:r>
      <w:r>
        <w:t>did not present any clinical or economic evidence for FSL in</w:t>
      </w:r>
      <w:r w:rsidR="000C57BD">
        <w:t xml:space="preserve"> </w:t>
      </w:r>
      <w:r>
        <w:t>populations</w:t>
      </w:r>
      <w:r w:rsidR="000C57BD">
        <w:t xml:space="preserve"> with </w:t>
      </w:r>
      <w:r w:rsidR="000C57BD" w:rsidRPr="000C57BD">
        <w:t xml:space="preserve">conditions </w:t>
      </w:r>
      <w:proofErr w:type="gramStart"/>
      <w:r w:rsidR="000C57BD" w:rsidRPr="000C57BD">
        <w:t>similar to</w:t>
      </w:r>
      <w:proofErr w:type="gramEnd"/>
      <w:r w:rsidR="000C57BD" w:rsidRPr="000C57BD">
        <w:t xml:space="preserve"> type 1 diabetes which require insulin</w:t>
      </w:r>
      <w:r>
        <w:t xml:space="preserve">. </w:t>
      </w:r>
      <w:r w:rsidR="005E7A6C">
        <w:t>However, i</w:t>
      </w:r>
      <w:r w:rsidR="005E7A6C" w:rsidRPr="005E7A6C">
        <w:t>n the ratified PICO, PASC acknowledged that there would likely be insufficient information available to model the potential health outcomes specifically for patients in PICO Set 3</w:t>
      </w:r>
      <w:r w:rsidR="00791334">
        <w:t>.</w:t>
      </w:r>
    </w:p>
    <w:p w14:paraId="6C3D85C2" w14:textId="6ED9A849" w:rsidR="000C6AF3" w:rsidRPr="00CE28E3" w:rsidRDefault="000C6AF3" w:rsidP="003027B3">
      <w:pPr>
        <w:pStyle w:val="Heading2"/>
        <w:numPr>
          <w:ilvl w:val="0"/>
          <w:numId w:val="27"/>
        </w:numPr>
        <w:ind w:hanging="720"/>
      </w:pPr>
      <w:bookmarkStart w:id="75" w:name="_Ref193960373"/>
      <w:r w:rsidRPr="00CE28E3">
        <w:t>Financial/budgetary impacts</w:t>
      </w:r>
      <w:bookmarkEnd w:id="75"/>
    </w:p>
    <w:p w14:paraId="0F4166FB" w14:textId="3ED95E72" w:rsidR="000C6AF3" w:rsidRDefault="000C6AF3" w:rsidP="000C6AF3">
      <w:pPr>
        <w:rPr>
          <w:rStyle w:val="InstructionaltextChar"/>
          <w:color w:val="auto"/>
        </w:rPr>
      </w:pPr>
      <w:r>
        <w:rPr>
          <w:rStyle w:val="InstructionaltextChar"/>
          <w:color w:val="auto"/>
        </w:rPr>
        <w:t xml:space="preserve">The financial analysis took an </w:t>
      </w:r>
      <w:r w:rsidRPr="00A971B5">
        <w:rPr>
          <w:rStyle w:val="InstructionaltextChar"/>
          <w:color w:val="auto"/>
        </w:rPr>
        <w:t>epidemiological approach</w:t>
      </w:r>
      <w:r>
        <w:rPr>
          <w:rStyle w:val="InstructionaltextChar"/>
          <w:color w:val="auto"/>
        </w:rPr>
        <w:t xml:space="preserve"> to estimate the </w:t>
      </w:r>
      <w:r w:rsidR="009A5BB8" w:rsidRPr="00A54EDF">
        <w:t xml:space="preserve">anticipated </w:t>
      </w:r>
      <w:r>
        <w:rPr>
          <w:rStyle w:val="InstructionaltextChar"/>
          <w:color w:val="auto"/>
        </w:rPr>
        <w:t xml:space="preserve">6-year financial </w:t>
      </w:r>
      <w:r w:rsidRPr="00F238A9">
        <w:t>implications</w:t>
      </w:r>
      <w:r>
        <w:t xml:space="preserve"> of FSL</w:t>
      </w:r>
      <w:r w:rsidR="00E76287">
        <w:t>2</w:t>
      </w:r>
      <w:r>
        <w:t xml:space="preserve"> </w:t>
      </w:r>
      <w:r w:rsidR="006D29EA">
        <w:t xml:space="preserve">to </w:t>
      </w:r>
      <w:r>
        <w:t>the</w:t>
      </w:r>
      <w:r w:rsidRPr="00F238A9">
        <w:t xml:space="preserve"> </w:t>
      </w:r>
      <w:r w:rsidR="00794A39">
        <w:t>f</w:t>
      </w:r>
      <w:r w:rsidRPr="00F238A9">
        <w:t xml:space="preserve">ederal </w:t>
      </w:r>
      <w:r>
        <w:t>NDSS budget</w:t>
      </w:r>
      <w:r w:rsidR="006A1E68">
        <w:t xml:space="preserve"> </w:t>
      </w:r>
      <w:r>
        <w:rPr>
          <w:rStyle w:val="InstructionaltextChar"/>
          <w:color w:val="auto"/>
        </w:rPr>
        <w:t xml:space="preserve">in </w:t>
      </w:r>
      <w:r w:rsidR="00102B79">
        <w:rPr>
          <w:rStyle w:val="InstructionaltextChar"/>
          <w:color w:val="auto"/>
        </w:rPr>
        <w:t xml:space="preserve">the </w:t>
      </w:r>
      <w:r w:rsidR="009A5BB8">
        <w:rPr>
          <w:rStyle w:val="InstructionaltextChar"/>
          <w:color w:val="auto"/>
        </w:rPr>
        <w:t>3</w:t>
      </w:r>
      <w:r w:rsidR="009A5BB8" w:rsidRPr="00A54EDF">
        <w:rPr>
          <w:rStyle w:val="InstructionaltextChar"/>
          <w:color w:val="auto"/>
        </w:rPr>
        <w:t xml:space="preserve"> </w:t>
      </w:r>
      <w:r w:rsidR="00102B79">
        <w:rPr>
          <w:rStyle w:val="InstructionaltextChar"/>
          <w:color w:val="auto"/>
        </w:rPr>
        <w:t xml:space="preserve">PICO </w:t>
      </w:r>
      <w:r>
        <w:rPr>
          <w:rStyle w:val="InstructionaltextChar"/>
          <w:color w:val="auto"/>
        </w:rPr>
        <w:t>populations:</w:t>
      </w:r>
    </w:p>
    <w:p w14:paraId="5B185644" w14:textId="6D7FCABC" w:rsidR="000C6AF3" w:rsidRDefault="006D29EA" w:rsidP="003027B3">
      <w:pPr>
        <w:pStyle w:val="ListParagraph"/>
        <w:numPr>
          <w:ilvl w:val="0"/>
          <w:numId w:val="18"/>
        </w:numPr>
        <w:rPr>
          <w:rStyle w:val="InstructionaltextChar"/>
          <w:color w:val="auto"/>
        </w:rPr>
      </w:pPr>
      <w:r>
        <w:rPr>
          <w:rStyle w:val="InstructionaltextChar"/>
          <w:color w:val="auto"/>
        </w:rPr>
        <w:t>P</w:t>
      </w:r>
      <w:r w:rsidR="000C6AF3">
        <w:rPr>
          <w:rStyle w:val="InstructionaltextChar"/>
          <w:color w:val="auto"/>
        </w:rPr>
        <w:t>eople with T2D requiring insulin</w:t>
      </w:r>
      <w:r>
        <w:rPr>
          <w:rStyle w:val="InstructionaltextChar"/>
          <w:color w:val="auto"/>
        </w:rPr>
        <w:t>.</w:t>
      </w:r>
    </w:p>
    <w:p w14:paraId="4FB2598D" w14:textId="5A9172D9" w:rsidR="000C6AF3" w:rsidRDefault="006D29EA" w:rsidP="003027B3">
      <w:pPr>
        <w:pStyle w:val="ListParagraph"/>
        <w:numPr>
          <w:ilvl w:val="0"/>
          <w:numId w:val="18"/>
        </w:numPr>
        <w:rPr>
          <w:rStyle w:val="InstructionaltextChar"/>
          <w:color w:val="auto"/>
        </w:rPr>
      </w:pPr>
      <w:r>
        <w:rPr>
          <w:rStyle w:val="InstructionaltextChar"/>
          <w:color w:val="auto"/>
        </w:rPr>
        <w:t>P</w:t>
      </w:r>
      <w:r w:rsidR="000C6AF3">
        <w:rPr>
          <w:rStyle w:val="InstructionaltextChar"/>
          <w:color w:val="auto"/>
        </w:rPr>
        <w:t>eople with GDM</w:t>
      </w:r>
      <w:r>
        <w:rPr>
          <w:rStyle w:val="InstructionaltextChar"/>
          <w:color w:val="auto"/>
        </w:rPr>
        <w:t>.</w:t>
      </w:r>
    </w:p>
    <w:p w14:paraId="082250D1" w14:textId="4AC6AD44" w:rsidR="000C6AF3" w:rsidRDefault="006D29EA" w:rsidP="003027B3">
      <w:pPr>
        <w:pStyle w:val="ListParagraph"/>
        <w:numPr>
          <w:ilvl w:val="0"/>
          <w:numId w:val="18"/>
        </w:numPr>
        <w:rPr>
          <w:rStyle w:val="InstructionaltextChar"/>
          <w:color w:val="auto"/>
        </w:rPr>
      </w:pPr>
      <w:r>
        <w:rPr>
          <w:rStyle w:val="InstructionaltextChar"/>
          <w:color w:val="auto"/>
        </w:rPr>
        <w:t>P</w:t>
      </w:r>
      <w:r w:rsidR="000C6AF3">
        <w:rPr>
          <w:rStyle w:val="InstructionaltextChar"/>
          <w:color w:val="auto"/>
        </w:rPr>
        <w:t xml:space="preserve">eople with </w:t>
      </w:r>
      <w:r w:rsidR="002075B5" w:rsidRPr="002075B5">
        <w:rPr>
          <w:rStyle w:val="InstructionaltextChar"/>
          <w:color w:val="auto"/>
        </w:rPr>
        <w:t xml:space="preserve">conditions </w:t>
      </w:r>
      <w:proofErr w:type="gramStart"/>
      <w:r w:rsidR="002075B5" w:rsidRPr="002075B5">
        <w:rPr>
          <w:rStyle w:val="InstructionaltextChar"/>
          <w:color w:val="auto"/>
        </w:rPr>
        <w:t>similar to</w:t>
      </w:r>
      <w:proofErr w:type="gramEnd"/>
      <w:r w:rsidR="002075B5" w:rsidRPr="002075B5">
        <w:rPr>
          <w:rStyle w:val="InstructionaltextChar"/>
          <w:color w:val="auto"/>
        </w:rPr>
        <w:t xml:space="preserve"> type 1 diabetes which require insulin</w:t>
      </w:r>
      <w:r w:rsidR="000C6AF3">
        <w:rPr>
          <w:rStyle w:val="InstructionaltextChar"/>
          <w:color w:val="auto"/>
        </w:rPr>
        <w:t>.</w:t>
      </w:r>
    </w:p>
    <w:p w14:paraId="27830631" w14:textId="4F3983F7" w:rsidR="000C6AF3" w:rsidRDefault="000C6AF3" w:rsidP="000C6AF3">
      <w:pPr>
        <w:rPr>
          <w:rStyle w:val="InstructionaltextChar"/>
          <w:color w:val="auto"/>
        </w:rPr>
      </w:pPr>
      <w:bookmarkStart w:id="76" w:name="_Hlk192842284"/>
      <w:r>
        <w:rPr>
          <w:rStyle w:val="InstructionaltextChar"/>
          <w:color w:val="auto"/>
        </w:rPr>
        <w:t xml:space="preserve">The applicant </w:t>
      </w:r>
      <w:r w:rsidRPr="0019610C">
        <w:rPr>
          <w:rStyle w:val="InstructionaltextChar"/>
          <w:color w:val="auto"/>
        </w:rPr>
        <w:t>chose</w:t>
      </w:r>
      <w:r>
        <w:rPr>
          <w:rStyle w:val="InstructionaltextChar"/>
          <w:color w:val="auto"/>
        </w:rPr>
        <w:t xml:space="preserve"> not</w:t>
      </w:r>
      <w:r w:rsidRPr="0019610C">
        <w:rPr>
          <w:rStyle w:val="InstructionaltextChar"/>
          <w:color w:val="auto"/>
        </w:rPr>
        <w:t xml:space="preserve"> to </w:t>
      </w:r>
      <w:r>
        <w:rPr>
          <w:rStyle w:val="InstructionaltextChar"/>
          <w:color w:val="auto"/>
        </w:rPr>
        <w:t xml:space="preserve">include </w:t>
      </w:r>
      <w:r w:rsidRPr="0019610C">
        <w:rPr>
          <w:rStyle w:val="InstructionaltextChar"/>
          <w:color w:val="auto"/>
        </w:rPr>
        <w:t xml:space="preserve">potential additional savings </w:t>
      </w:r>
      <w:r>
        <w:rPr>
          <w:rStyle w:val="InstructionaltextChar"/>
          <w:color w:val="auto"/>
        </w:rPr>
        <w:t>associated with</w:t>
      </w:r>
      <w:r w:rsidRPr="0019610C">
        <w:rPr>
          <w:rStyle w:val="InstructionaltextChar"/>
          <w:color w:val="auto"/>
        </w:rPr>
        <w:t xml:space="preserve"> FSL</w:t>
      </w:r>
      <w:r>
        <w:rPr>
          <w:rStyle w:val="InstructionaltextChar"/>
          <w:color w:val="auto"/>
        </w:rPr>
        <w:t xml:space="preserve"> to other funding sources. Costs related to </w:t>
      </w:r>
      <w:r w:rsidRPr="0019610C">
        <w:rPr>
          <w:rStyle w:val="InstructionaltextChar"/>
          <w:color w:val="auto"/>
        </w:rPr>
        <w:t xml:space="preserve">reduction in </w:t>
      </w:r>
      <w:r>
        <w:rPr>
          <w:rStyle w:val="InstructionaltextChar"/>
          <w:color w:val="auto"/>
        </w:rPr>
        <w:t xml:space="preserve">event </w:t>
      </w:r>
      <w:r w:rsidRPr="0019610C">
        <w:rPr>
          <w:rStyle w:val="InstructionaltextChar"/>
          <w:color w:val="auto"/>
        </w:rPr>
        <w:t xml:space="preserve">costs are largely borne by </w:t>
      </w:r>
      <w:r w:rsidR="008A0345">
        <w:rPr>
          <w:rStyle w:val="InstructionaltextChar"/>
          <w:color w:val="auto"/>
        </w:rPr>
        <w:t>s</w:t>
      </w:r>
      <w:r w:rsidRPr="0019610C">
        <w:rPr>
          <w:rStyle w:val="InstructionaltextChar"/>
          <w:color w:val="auto"/>
        </w:rPr>
        <w:t>tate health budgets</w:t>
      </w:r>
      <w:r>
        <w:rPr>
          <w:rStyle w:val="InstructionaltextChar"/>
          <w:color w:val="auto"/>
        </w:rPr>
        <w:t xml:space="preserve">. </w:t>
      </w:r>
      <w:bookmarkStart w:id="77" w:name="_Hlk196400584"/>
      <w:r w:rsidR="006A1E68">
        <w:t>Cost and uptake data focused on FSL2 and did not consider FSL2 Plus. The applicant did not state whether FSL2 Plus would replace FSL2 or be used concurrently.</w:t>
      </w:r>
      <w:bookmarkEnd w:id="77"/>
    </w:p>
    <w:bookmarkEnd w:id="76"/>
    <w:p w14:paraId="68915C57" w14:textId="6C093332" w:rsidR="000C6AF3" w:rsidRDefault="000C6AF3" w:rsidP="000C6AF3">
      <w:pPr>
        <w:pStyle w:val="Instructionaltext"/>
        <w:spacing w:after="0"/>
        <w:rPr>
          <w:rStyle w:val="InstructionaltextChar"/>
          <w:color w:val="auto"/>
        </w:rPr>
      </w:pPr>
      <w:r>
        <w:rPr>
          <w:rStyle w:val="InstructionaltextChar"/>
          <w:color w:val="auto"/>
        </w:rPr>
        <w:t xml:space="preserve">Across all </w:t>
      </w:r>
      <w:r w:rsidR="00601A8E">
        <w:rPr>
          <w:rStyle w:val="InstructionaltextChar"/>
          <w:color w:val="auto"/>
        </w:rPr>
        <w:t>3</w:t>
      </w:r>
      <w:r w:rsidR="00601A8E" w:rsidRPr="00A54EDF">
        <w:rPr>
          <w:rStyle w:val="InstructionaltextChar"/>
          <w:color w:val="auto"/>
        </w:rPr>
        <w:t xml:space="preserve"> </w:t>
      </w:r>
      <w:r>
        <w:rPr>
          <w:rStyle w:val="InstructionaltextChar"/>
          <w:color w:val="auto"/>
        </w:rPr>
        <w:t>populations, it was estimated that:</w:t>
      </w:r>
    </w:p>
    <w:p w14:paraId="2B906DF1" w14:textId="28287D85" w:rsidR="000C6AF3" w:rsidRPr="00C77835" w:rsidRDefault="006D29EA" w:rsidP="000C6AF3">
      <w:pPr>
        <w:pStyle w:val="Instructionaltext-bullet"/>
        <w:rPr>
          <w:color w:val="000000" w:themeColor="text1"/>
        </w:rPr>
      </w:pPr>
      <w:r>
        <w:rPr>
          <w:color w:val="000000" w:themeColor="text1"/>
        </w:rPr>
        <w:t>S</w:t>
      </w:r>
      <w:r w:rsidR="000C6AF3" w:rsidRPr="00C77835">
        <w:rPr>
          <w:color w:val="000000" w:themeColor="text1"/>
        </w:rPr>
        <w:t>ensors were costed as per Section 1</w:t>
      </w:r>
      <w:r w:rsidR="00E9351C">
        <w:rPr>
          <w:color w:val="000000" w:themeColor="text1"/>
        </w:rPr>
        <w:t>3</w:t>
      </w:r>
      <w:r w:rsidR="000C6AF3" w:rsidRPr="00C77835">
        <w:rPr>
          <w:color w:val="000000" w:themeColor="text1"/>
        </w:rPr>
        <w:t xml:space="preserve"> (</w:t>
      </w:r>
      <w:r w:rsidR="00226443">
        <w:rPr>
          <w:color w:val="auto"/>
        </w:rPr>
        <w:t>$</w:t>
      </w:r>
      <w:r w:rsidR="000C3E52">
        <w:rPr>
          <w:b/>
          <w:bCs/>
          <w:color w:val="auto"/>
        </w:rPr>
        <w:t>R</w:t>
      </w:r>
      <w:r w:rsidR="008A24FF">
        <w:rPr>
          <w:b/>
          <w:bCs/>
          <w:color w:val="auto"/>
        </w:rPr>
        <w:t>EDACTED</w:t>
      </w:r>
      <w:r w:rsidR="000C3E52">
        <w:rPr>
          <w:b/>
          <w:bCs/>
          <w:color w:val="auto"/>
        </w:rPr>
        <w:t xml:space="preserve"> </w:t>
      </w:r>
      <w:r w:rsidR="000C6AF3" w:rsidRPr="00C77835">
        <w:rPr>
          <w:color w:val="000000" w:themeColor="text1"/>
        </w:rPr>
        <w:t xml:space="preserve">per FSL sensor plus </w:t>
      </w:r>
      <w:r w:rsidR="00226443">
        <w:rPr>
          <w:color w:val="auto"/>
        </w:rPr>
        <w:t>$</w:t>
      </w:r>
      <w:r w:rsidR="000C3E52">
        <w:rPr>
          <w:b/>
          <w:bCs/>
          <w:color w:val="auto"/>
        </w:rPr>
        <w:t>R</w:t>
      </w:r>
      <w:r w:rsidR="008A24FF">
        <w:rPr>
          <w:b/>
          <w:bCs/>
          <w:color w:val="auto"/>
        </w:rPr>
        <w:t>EDACTED</w:t>
      </w:r>
      <w:r w:rsidR="000C6AF3" w:rsidRPr="00C77835">
        <w:rPr>
          <w:color w:val="000000" w:themeColor="text1"/>
        </w:rPr>
        <w:t xml:space="preserve"> for distribution plus 0.3 SMBG test strips per day at </w:t>
      </w:r>
      <w:r w:rsidR="00226443">
        <w:rPr>
          <w:color w:val="auto"/>
        </w:rPr>
        <w:t>$</w:t>
      </w:r>
      <w:r w:rsidR="000C3E52">
        <w:rPr>
          <w:b/>
          <w:bCs/>
          <w:color w:val="auto"/>
        </w:rPr>
        <w:t>R</w:t>
      </w:r>
      <w:r w:rsidR="008A24FF">
        <w:rPr>
          <w:b/>
          <w:bCs/>
          <w:color w:val="auto"/>
        </w:rPr>
        <w:t>EDACTED</w:t>
      </w:r>
      <w:r w:rsidR="000C6AF3" w:rsidRPr="00C77835">
        <w:rPr>
          <w:color w:val="000000" w:themeColor="text1"/>
        </w:rPr>
        <w:t xml:space="preserve"> per 100 test strips)</w:t>
      </w:r>
      <w:r>
        <w:rPr>
          <w:color w:val="000000" w:themeColor="text1"/>
        </w:rPr>
        <w:t>.</w:t>
      </w:r>
    </w:p>
    <w:p w14:paraId="5ED68573" w14:textId="0587C77F" w:rsidR="000C6AF3" w:rsidRPr="00C77835" w:rsidRDefault="006D29EA" w:rsidP="000C6AF3">
      <w:pPr>
        <w:pStyle w:val="Instructionaltext-bullet"/>
        <w:rPr>
          <w:color w:val="000000" w:themeColor="text1"/>
        </w:rPr>
      </w:pPr>
      <w:r>
        <w:rPr>
          <w:color w:val="000000" w:themeColor="text1"/>
        </w:rPr>
        <w:t>P</w:t>
      </w:r>
      <w:r w:rsidR="000C6AF3" w:rsidRPr="00C77835">
        <w:rPr>
          <w:color w:val="000000" w:themeColor="text1"/>
        </w:rPr>
        <w:t>eople on SMBG would require 3.8 daily tests</w:t>
      </w:r>
      <w:r w:rsidR="00601A8E">
        <w:rPr>
          <w:color w:val="000000" w:themeColor="text1"/>
        </w:rPr>
        <w:t>,</w:t>
      </w:r>
      <w:r w:rsidR="000C6AF3" w:rsidRPr="00C77835">
        <w:rPr>
          <w:color w:val="000000" w:themeColor="text1"/>
        </w:rPr>
        <w:t xml:space="preserve"> with SMBG at </w:t>
      </w:r>
      <w:r w:rsidR="00226443">
        <w:rPr>
          <w:color w:val="auto"/>
        </w:rPr>
        <w:t>$</w:t>
      </w:r>
      <w:r w:rsidR="00982048">
        <w:rPr>
          <w:b/>
          <w:bCs/>
          <w:color w:val="auto"/>
        </w:rPr>
        <w:t>R</w:t>
      </w:r>
      <w:r w:rsidR="008A24FF">
        <w:rPr>
          <w:b/>
          <w:bCs/>
          <w:color w:val="auto"/>
        </w:rPr>
        <w:t>EDACTED</w:t>
      </w:r>
      <w:r w:rsidR="00982048" w:rsidRPr="003C077C" w:rsidDel="00982048">
        <w:rPr>
          <w:color w:val="000000" w:themeColor="text1"/>
        </w:rPr>
        <w:t xml:space="preserve"> </w:t>
      </w:r>
      <w:r w:rsidR="000C6AF3" w:rsidRPr="00C77835">
        <w:rPr>
          <w:color w:val="000000" w:themeColor="text1"/>
        </w:rPr>
        <w:t>per 100 test strips</w:t>
      </w:r>
      <w:r>
        <w:rPr>
          <w:color w:val="000000" w:themeColor="text1"/>
        </w:rPr>
        <w:t>.</w:t>
      </w:r>
    </w:p>
    <w:p w14:paraId="66CA70E1" w14:textId="29E8EC8A" w:rsidR="000C6AF3" w:rsidRPr="00C77835" w:rsidRDefault="006D29EA" w:rsidP="000C6AF3">
      <w:pPr>
        <w:pStyle w:val="Instructionaltext-bullet"/>
        <w:rPr>
          <w:color w:val="000000" w:themeColor="text1"/>
        </w:rPr>
      </w:pPr>
      <w:r>
        <w:rPr>
          <w:color w:val="000000" w:themeColor="text1"/>
        </w:rPr>
        <w:t>T</w:t>
      </w:r>
      <w:r w:rsidR="000C6AF3" w:rsidRPr="00C77835">
        <w:rPr>
          <w:color w:val="000000" w:themeColor="text1"/>
        </w:rPr>
        <w:t xml:space="preserve">he weighted average patient’s co-payment </w:t>
      </w:r>
      <w:r w:rsidR="00102B79">
        <w:rPr>
          <w:color w:val="000000" w:themeColor="text1"/>
        </w:rPr>
        <w:t xml:space="preserve">would be </w:t>
      </w:r>
      <w:r w:rsidR="00226443">
        <w:rPr>
          <w:color w:val="auto"/>
        </w:rPr>
        <w:t>$</w:t>
      </w:r>
      <w:r w:rsidR="00982048" w:rsidRPr="00982048">
        <w:rPr>
          <w:b/>
          <w:bCs/>
          <w:color w:val="auto"/>
        </w:rPr>
        <w:t>R</w:t>
      </w:r>
      <w:r w:rsidR="008A24FF">
        <w:rPr>
          <w:b/>
          <w:bCs/>
          <w:color w:val="auto"/>
        </w:rPr>
        <w:t>EDACTED</w:t>
      </w:r>
      <w:r w:rsidR="00982048" w:rsidRPr="003C077C" w:rsidDel="00982048">
        <w:rPr>
          <w:color w:val="000000" w:themeColor="text1"/>
        </w:rPr>
        <w:t xml:space="preserve"> </w:t>
      </w:r>
      <w:r w:rsidR="00102B79" w:rsidRPr="00982048">
        <w:rPr>
          <w:color w:val="000000" w:themeColor="text1"/>
        </w:rPr>
        <w:t>(</w:t>
      </w:r>
      <w:r w:rsidR="00102B79">
        <w:rPr>
          <w:color w:val="000000" w:themeColor="text1"/>
        </w:rPr>
        <w:t>as derived by the applicant</w:t>
      </w:r>
      <w:r w:rsidR="00102B79" w:rsidRPr="00A54EDF">
        <w:rPr>
          <w:color w:val="000000" w:themeColor="text1"/>
        </w:rPr>
        <w:t>)</w:t>
      </w:r>
      <w:r w:rsidR="00601A8E">
        <w:rPr>
          <w:color w:val="000000" w:themeColor="text1"/>
        </w:rPr>
        <w:t xml:space="preserve"> and t</w:t>
      </w:r>
      <w:r w:rsidR="000C6AF3" w:rsidRPr="00C77835">
        <w:rPr>
          <w:color w:val="000000" w:themeColor="text1"/>
        </w:rPr>
        <w:t xml:space="preserve">he remainder </w:t>
      </w:r>
      <w:bookmarkStart w:id="78" w:name="_Hlk192842643"/>
      <w:r w:rsidR="000C6AF3" w:rsidRPr="00C77835">
        <w:rPr>
          <w:color w:val="000000" w:themeColor="text1"/>
        </w:rPr>
        <w:t>(</w:t>
      </w:r>
      <w:r w:rsidR="00226443">
        <w:rPr>
          <w:color w:val="auto"/>
        </w:rPr>
        <w:t>$</w:t>
      </w:r>
      <w:r w:rsidR="00982048">
        <w:rPr>
          <w:b/>
          <w:bCs/>
          <w:color w:val="auto"/>
        </w:rPr>
        <w:t>R</w:t>
      </w:r>
      <w:r w:rsidR="008A24FF">
        <w:rPr>
          <w:b/>
          <w:bCs/>
          <w:color w:val="auto"/>
        </w:rPr>
        <w:t>EDACTED</w:t>
      </w:r>
      <w:bookmarkEnd w:id="78"/>
      <w:r w:rsidR="000C6AF3" w:rsidRPr="00C77835">
        <w:rPr>
          <w:color w:val="000000" w:themeColor="text1"/>
        </w:rPr>
        <w:t>) was assumed to be NDSS contributions</w:t>
      </w:r>
      <w:r>
        <w:rPr>
          <w:color w:val="000000" w:themeColor="text1"/>
        </w:rPr>
        <w:t>.</w:t>
      </w:r>
      <w:r w:rsidR="000C6AF3" w:rsidRPr="00C77835">
        <w:rPr>
          <w:color w:val="000000" w:themeColor="text1"/>
        </w:rPr>
        <w:t xml:space="preserve"> </w:t>
      </w:r>
    </w:p>
    <w:p w14:paraId="0E4C996F" w14:textId="1CF073C0" w:rsidR="007207C5" w:rsidRPr="00791334" w:rsidRDefault="006D29EA" w:rsidP="00791334">
      <w:pPr>
        <w:pStyle w:val="Instructionaltext-bullet"/>
        <w:spacing w:after="160"/>
        <w:ind w:left="714" w:hanging="357"/>
        <w:rPr>
          <w:color w:val="000000" w:themeColor="text1"/>
        </w:rPr>
      </w:pPr>
      <w:r>
        <w:rPr>
          <w:color w:val="000000" w:themeColor="text1"/>
        </w:rPr>
        <w:t>U</w:t>
      </w:r>
      <w:r w:rsidR="000C6AF3" w:rsidRPr="00C77835">
        <w:rPr>
          <w:color w:val="000000" w:themeColor="text1"/>
        </w:rPr>
        <w:t>sers would require an average of 24 sensors annually</w:t>
      </w:r>
      <w:r w:rsidR="00E71543">
        <w:rPr>
          <w:color w:val="000000" w:themeColor="text1"/>
        </w:rPr>
        <w:t xml:space="preserve"> (</w:t>
      </w:r>
      <w:r w:rsidR="000C6AF3" w:rsidRPr="00A54EDF">
        <w:rPr>
          <w:color w:val="000000" w:themeColor="text1"/>
        </w:rPr>
        <w:t>account</w:t>
      </w:r>
      <w:r w:rsidR="00E71543">
        <w:rPr>
          <w:color w:val="000000" w:themeColor="text1"/>
        </w:rPr>
        <w:t>ing</w:t>
      </w:r>
      <w:r w:rsidR="000C6AF3" w:rsidRPr="00C77835">
        <w:rPr>
          <w:color w:val="000000" w:themeColor="text1"/>
        </w:rPr>
        <w:t xml:space="preserve"> for additional sensors required because of lack of compliance</w:t>
      </w:r>
      <w:r w:rsidR="00E71543">
        <w:rPr>
          <w:color w:val="000000" w:themeColor="text1"/>
        </w:rPr>
        <w:t>)</w:t>
      </w:r>
      <w:r w:rsidR="000C6AF3" w:rsidRPr="00A54EDF">
        <w:rPr>
          <w:color w:val="000000" w:themeColor="text1"/>
        </w:rPr>
        <w:t>.</w:t>
      </w:r>
      <w:r w:rsidR="000C6AF3" w:rsidRPr="00C77835">
        <w:rPr>
          <w:color w:val="000000" w:themeColor="text1"/>
        </w:rPr>
        <w:t xml:space="preserve"> The applicant claimed that FSL 2+ can be worn for longer than FSL, therefore 24 is a conservative estimate. </w:t>
      </w:r>
    </w:p>
    <w:p w14:paraId="22126FF4" w14:textId="5F545982" w:rsidR="000C6AF3" w:rsidRPr="00C77835" w:rsidRDefault="00864EF8" w:rsidP="00791334">
      <w:pPr>
        <w:pStyle w:val="Instructionaltext-bullet"/>
        <w:numPr>
          <w:ilvl w:val="0"/>
          <w:numId w:val="0"/>
        </w:numPr>
        <w:spacing w:before="120"/>
        <w:rPr>
          <w:color w:val="000000" w:themeColor="text1"/>
        </w:rPr>
      </w:pPr>
      <w:r>
        <w:rPr>
          <w:color w:val="000000" w:themeColor="text1"/>
        </w:rPr>
        <w:t>T</w:t>
      </w:r>
      <w:r w:rsidR="000C6AF3">
        <w:rPr>
          <w:color w:val="000000" w:themeColor="text1"/>
        </w:rPr>
        <w:t xml:space="preserve">he </w:t>
      </w:r>
      <w:r w:rsidR="00A3599B">
        <w:rPr>
          <w:color w:val="000000" w:themeColor="text1"/>
        </w:rPr>
        <w:t xml:space="preserve">ADAR </w:t>
      </w:r>
      <w:r w:rsidR="000C6AF3">
        <w:rPr>
          <w:color w:val="000000" w:themeColor="text1"/>
        </w:rPr>
        <w:t xml:space="preserve">assumed </w:t>
      </w:r>
      <w:r w:rsidR="00102B79">
        <w:rPr>
          <w:color w:val="000000" w:themeColor="text1"/>
        </w:rPr>
        <w:t xml:space="preserve">that </w:t>
      </w:r>
      <w:r w:rsidR="000C6AF3">
        <w:rPr>
          <w:color w:val="000000" w:themeColor="text1"/>
        </w:rPr>
        <w:t xml:space="preserve">SMBG resource use would be equivalent across all </w:t>
      </w:r>
      <w:r>
        <w:rPr>
          <w:color w:val="000000" w:themeColor="text1"/>
        </w:rPr>
        <w:t>3</w:t>
      </w:r>
      <w:r w:rsidRPr="00A54EDF">
        <w:rPr>
          <w:color w:val="000000" w:themeColor="text1"/>
        </w:rPr>
        <w:t xml:space="preserve"> </w:t>
      </w:r>
      <w:proofErr w:type="gramStart"/>
      <w:r w:rsidR="000C6AF3">
        <w:rPr>
          <w:color w:val="000000" w:themeColor="text1"/>
        </w:rPr>
        <w:t>populations</w:t>
      </w:r>
      <w:r>
        <w:rPr>
          <w:color w:val="000000" w:themeColor="text1"/>
        </w:rPr>
        <w:t>, but</w:t>
      </w:r>
      <w:proofErr w:type="gramEnd"/>
      <w:r>
        <w:rPr>
          <w:color w:val="000000" w:themeColor="text1"/>
        </w:rPr>
        <w:t xml:space="preserve"> </w:t>
      </w:r>
      <w:r w:rsidR="000C6AF3" w:rsidRPr="00A54EDF">
        <w:rPr>
          <w:color w:val="000000" w:themeColor="text1"/>
        </w:rPr>
        <w:t>provide</w:t>
      </w:r>
      <w:r>
        <w:rPr>
          <w:color w:val="000000" w:themeColor="text1"/>
        </w:rPr>
        <w:t>d no</w:t>
      </w:r>
      <w:r w:rsidR="000C6AF3">
        <w:rPr>
          <w:color w:val="000000" w:themeColor="text1"/>
        </w:rPr>
        <w:t xml:space="preserve"> evidence to support this. </w:t>
      </w:r>
    </w:p>
    <w:p w14:paraId="56CD9A12" w14:textId="116850F9" w:rsidR="004A60FE" w:rsidRPr="004A60FE" w:rsidRDefault="004A60FE" w:rsidP="00102B79">
      <w:r>
        <w:rPr>
          <w:rStyle w:val="InstructionaltextChar"/>
          <w:b/>
          <w:bCs/>
          <w:color w:val="auto"/>
        </w:rPr>
        <w:t>PICO Set 1</w:t>
      </w:r>
    </w:p>
    <w:p w14:paraId="0A7F221A" w14:textId="7AFD1CB8" w:rsidR="00102B79" w:rsidRDefault="000C6AF3" w:rsidP="00102B79">
      <w:r>
        <w:t xml:space="preserve">The </w:t>
      </w:r>
      <w:r w:rsidR="00A27D5B">
        <w:t xml:space="preserve">ADAR </w:t>
      </w:r>
      <w:r>
        <w:t xml:space="preserve">compared population data of </w:t>
      </w:r>
      <w:r w:rsidR="00102B79">
        <w:t xml:space="preserve">insulin-using </w:t>
      </w:r>
      <w:r>
        <w:t>people with T2D from the NDSS (2024) (</w:t>
      </w:r>
      <w:r w:rsidRPr="00EE40F0">
        <w:t>315,432</w:t>
      </w:r>
      <w:r>
        <w:t xml:space="preserve"> </w:t>
      </w:r>
      <w:r w:rsidRPr="00EE40F0">
        <w:t>Australians with T2D required insulin therapy as of 30 June 2024</w:t>
      </w:r>
      <w:r>
        <w:t>) with Prospection data (2022) (</w:t>
      </w:r>
      <w:r w:rsidRPr="00EE40F0">
        <w:t>201,080</w:t>
      </w:r>
      <w:r>
        <w:t xml:space="preserve"> </w:t>
      </w:r>
      <w:r w:rsidRPr="00EE40F0">
        <w:t>people with T2D who had an insulin script dispensed over a 12-month period on the PBS in 2022</w:t>
      </w:r>
      <w:r>
        <w:t xml:space="preserve">). Given that the Prospection (2022) data </w:t>
      </w:r>
      <w:r w:rsidRPr="005321D8">
        <w:t>identif</w:t>
      </w:r>
      <w:r>
        <w:t>ied people</w:t>
      </w:r>
      <w:r w:rsidRPr="005321D8">
        <w:t xml:space="preserve"> who </w:t>
      </w:r>
      <w:r>
        <w:t>were</w:t>
      </w:r>
      <w:r w:rsidRPr="005321D8">
        <w:t xml:space="preserve"> dispensed insuli</w:t>
      </w:r>
      <w:r>
        <w:t xml:space="preserve">n, the </w:t>
      </w:r>
      <w:r w:rsidR="00A27D5B">
        <w:t xml:space="preserve">ADAR </w:t>
      </w:r>
      <w:r>
        <w:t xml:space="preserve">claimed it was likely </w:t>
      </w:r>
      <w:r w:rsidRPr="005321D8">
        <w:t>the most accurate data source</w:t>
      </w:r>
      <w:r w:rsidR="00684217">
        <w:t>; during the commentary process, the assessment group were unable to ascertain the validity of the Prospection (2022) data because it was not included in the applicant’s reference pack</w:t>
      </w:r>
      <w:r>
        <w:t xml:space="preserve">. Of </w:t>
      </w:r>
      <w:r w:rsidRPr="00A54EDF">
        <w:t>the</w:t>
      </w:r>
      <w:r w:rsidR="0003504A">
        <w:t>se</w:t>
      </w:r>
      <w:r>
        <w:t xml:space="preserve"> </w:t>
      </w:r>
      <w:r w:rsidRPr="00EE40F0">
        <w:t>201,080</w:t>
      </w:r>
      <w:r>
        <w:t xml:space="preserve"> </w:t>
      </w:r>
      <w:r w:rsidRPr="00EE40F0">
        <w:t>people</w:t>
      </w:r>
      <w:r>
        <w:t>, 32,380 were intensive</w:t>
      </w:r>
      <w:r w:rsidR="00E72C06">
        <w:t xml:space="preserve"> </w:t>
      </w:r>
      <w:r>
        <w:t>insulin users (presence of a pump</w:t>
      </w:r>
      <w:r w:rsidRPr="00A54EDF">
        <w:t>)</w:t>
      </w:r>
      <w:r w:rsidR="00E72C06">
        <w:t xml:space="preserve"> and t</w:t>
      </w:r>
      <w:r>
        <w:t xml:space="preserve">he </w:t>
      </w:r>
      <w:r w:rsidRPr="00A54EDF">
        <w:t>remain</w:t>
      </w:r>
      <w:r w:rsidR="00E72C06">
        <w:t>der</w:t>
      </w:r>
      <w:r w:rsidRPr="00A54EDF">
        <w:t xml:space="preserve"> </w:t>
      </w:r>
      <w:r w:rsidR="006E6ECA">
        <w:t>(</w:t>
      </w:r>
      <w:r>
        <w:t>168,070</w:t>
      </w:r>
      <w:r w:rsidR="006E6ECA">
        <w:t>)</w:t>
      </w:r>
      <w:r w:rsidRPr="00A54EDF">
        <w:t xml:space="preserve"> </w:t>
      </w:r>
      <w:r w:rsidR="00937965">
        <w:t>was</w:t>
      </w:r>
      <w:r>
        <w:t xml:space="preserve"> assumed to be non-intensive insulin users. The </w:t>
      </w:r>
      <w:r w:rsidR="00A27D5B">
        <w:t xml:space="preserve">ADAR </w:t>
      </w:r>
      <w:r>
        <w:t xml:space="preserve">used estimates from ANDA to validate the percentage of intensive insulin users. </w:t>
      </w:r>
      <w:r w:rsidR="00102B79">
        <w:t xml:space="preserve">Uptake was estimated using real-world data from FSL introduction in France and Sweden. Uptake is estimated to be higher in people using intensive insulin than those using non-intensive insulin.  </w:t>
      </w:r>
    </w:p>
    <w:p w14:paraId="22C39F3E" w14:textId="1D43775A" w:rsidR="000C6AF3" w:rsidRPr="00A965FB" w:rsidRDefault="000C6AF3" w:rsidP="000C6AF3">
      <w:r>
        <w:t xml:space="preserve">The </w:t>
      </w:r>
      <w:r w:rsidR="00A27D5B">
        <w:t xml:space="preserve">ADAR </w:t>
      </w:r>
      <w:r>
        <w:t xml:space="preserve">assumed population growth </w:t>
      </w:r>
      <w:r w:rsidR="00081EB0">
        <w:t>to be</w:t>
      </w:r>
      <w:r w:rsidR="00081EB0" w:rsidRPr="00A54EDF">
        <w:t xml:space="preserve"> </w:t>
      </w:r>
      <w:r>
        <w:t xml:space="preserve">1% per annum. No source was provided for this. The 2025 population (those entering the financial analysis) was </w:t>
      </w:r>
      <w:r w:rsidRPr="00A965FB">
        <w:t xml:space="preserve">sized </w:t>
      </w:r>
      <w:r w:rsidR="00937965">
        <w:t>at</w:t>
      </w:r>
      <w:r w:rsidRPr="00A54EDF">
        <w:t xml:space="preserve"> </w:t>
      </w:r>
      <w:r w:rsidRPr="00A965FB">
        <w:t>33,361</w:t>
      </w:r>
      <w:r w:rsidR="00A965FB" w:rsidRPr="00A965FB">
        <w:t xml:space="preserve"> for intensive</w:t>
      </w:r>
      <w:r w:rsidR="00937965">
        <w:t xml:space="preserve"> </w:t>
      </w:r>
      <w:r w:rsidR="00A965FB" w:rsidRPr="00A965FB">
        <w:t>insulin users</w:t>
      </w:r>
      <w:r w:rsidRPr="00A965FB">
        <w:t xml:space="preserve"> and 173,812</w:t>
      </w:r>
      <w:r w:rsidR="00A965FB" w:rsidRPr="00A965FB">
        <w:t xml:space="preserve"> for non-intensive</w:t>
      </w:r>
      <w:r w:rsidR="005F194B">
        <w:t xml:space="preserve"> </w:t>
      </w:r>
      <w:r w:rsidR="00A965FB" w:rsidRPr="00A965FB">
        <w:t>insulin users</w:t>
      </w:r>
      <w:r w:rsidRPr="00A965FB">
        <w:t xml:space="preserve">. </w:t>
      </w:r>
    </w:p>
    <w:p w14:paraId="13DD7372" w14:textId="09298C9F" w:rsidR="000C6AF3" w:rsidRDefault="005F194B" w:rsidP="000C6AF3">
      <w:r>
        <w:t>F</w:t>
      </w:r>
      <w:r w:rsidR="000C6AF3" w:rsidRPr="00CE28E3">
        <w:t xml:space="preserve">inancial implications to the </w:t>
      </w:r>
      <w:r w:rsidR="000C6AF3">
        <w:t>NDSS</w:t>
      </w:r>
      <w:r w:rsidR="000C6AF3" w:rsidRPr="00CE28E3">
        <w:t xml:space="preserve"> resulting from the proposed listing of </w:t>
      </w:r>
      <w:r w:rsidR="000C6AF3">
        <w:t xml:space="preserve">FSL </w:t>
      </w:r>
      <w:r>
        <w:t>for</w:t>
      </w:r>
      <w:r w:rsidR="000C6AF3">
        <w:t xml:space="preserve"> </w:t>
      </w:r>
      <w:r w:rsidR="000C6AF3" w:rsidRPr="0019610C">
        <w:t xml:space="preserve">intensive </w:t>
      </w:r>
      <w:r w:rsidR="000C6AF3">
        <w:t>and non-intensive insulin users</w:t>
      </w:r>
      <w:r w:rsidR="000C6AF3" w:rsidRPr="00CE28E3">
        <w:t xml:space="preserve"> are summarised</w:t>
      </w:r>
      <w:r w:rsidR="00273EB5">
        <w:t xml:space="preserve"> together in </w:t>
      </w:r>
      <w:r w:rsidR="00273EB5">
        <w:fldChar w:fldCharType="begin"/>
      </w:r>
      <w:r w:rsidR="00273EB5">
        <w:instrText xml:space="preserve"> REF _Ref196401906 \h </w:instrText>
      </w:r>
      <w:r w:rsidR="00273EB5">
        <w:fldChar w:fldCharType="separate"/>
      </w:r>
      <w:r w:rsidR="00315A60" w:rsidRPr="00CE28E3">
        <w:t>Table</w:t>
      </w:r>
      <w:r w:rsidR="00315A60">
        <w:t> </w:t>
      </w:r>
      <w:r w:rsidR="00315A60">
        <w:rPr>
          <w:noProof/>
        </w:rPr>
        <w:t>13</w:t>
      </w:r>
      <w:r w:rsidR="00273EB5">
        <w:fldChar w:fldCharType="end"/>
      </w:r>
      <w:r w:rsidR="00273EB5">
        <w:t>, and separately in</w:t>
      </w:r>
      <w:r w:rsidR="000C6AF3" w:rsidRPr="00CE28E3">
        <w:t xml:space="preserve"> </w:t>
      </w:r>
      <w:r w:rsidR="00A965FB">
        <w:fldChar w:fldCharType="begin"/>
      </w:r>
      <w:r w:rsidR="00A965FB">
        <w:instrText xml:space="preserve"> REF _Ref193961427 \h </w:instrText>
      </w:r>
      <w:r w:rsidR="00A965FB">
        <w:fldChar w:fldCharType="separate"/>
      </w:r>
      <w:r w:rsidR="00315A60" w:rsidRPr="00CE28E3">
        <w:t>Table</w:t>
      </w:r>
      <w:r w:rsidR="00315A60">
        <w:t> </w:t>
      </w:r>
      <w:r w:rsidR="00315A60">
        <w:rPr>
          <w:noProof/>
        </w:rPr>
        <w:t>14</w:t>
      </w:r>
      <w:r w:rsidR="00A965FB">
        <w:fldChar w:fldCharType="end"/>
      </w:r>
      <w:r w:rsidR="000C6AF3">
        <w:t xml:space="preserve"> and </w:t>
      </w:r>
      <w:r w:rsidR="000C6AF3">
        <w:fldChar w:fldCharType="begin"/>
      </w:r>
      <w:r w:rsidR="000C6AF3">
        <w:instrText xml:space="preserve"> REF _Ref192773548 \h </w:instrText>
      </w:r>
      <w:r w:rsidR="000C6AF3">
        <w:fldChar w:fldCharType="separate"/>
      </w:r>
      <w:r w:rsidR="00315A60" w:rsidRPr="00CE28E3">
        <w:t>Table</w:t>
      </w:r>
      <w:r w:rsidR="00315A60">
        <w:t> </w:t>
      </w:r>
      <w:r w:rsidR="00315A60">
        <w:rPr>
          <w:noProof/>
        </w:rPr>
        <w:t>15</w:t>
      </w:r>
      <w:r w:rsidR="000C6AF3">
        <w:fldChar w:fldCharType="end"/>
      </w:r>
      <w:r w:rsidR="000C6AF3">
        <w:t xml:space="preserve">, </w:t>
      </w:r>
      <w:r w:rsidR="00112429">
        <w:t>respectively</w:t>
      </w:r>
      <w:r w:rsidR="000C6AF3" w:rsidRPr="00CE28E3">
        <w:t>.</w:t>
      </w:r>
    </w:p>
    <w:p w14:paraId="1B14E222" w14:textId="1A045CDF" w:rsidR="00273EB5" w:rsidRDefault="00273EB5" w:rsidP="00791334">
      <w:pPr>
        <w:pStyle w:val="Caption"/>
        <w:keepLines/>
      </w:pPr>
      <w:bookmarkStart w:id="79" w:name="_Ref196401906"/>
      <w:r w:rsidRPr="00CE28E3">
        <w:t>Table</w:t>
      </w:r>
      <w:r>
        <w:t> </w:t>
      </w:r>
      <w:r w:rsidR="00315A60">
        <w:fldChar w:fldCharType="begin"/>
      </w:r>
      <w:r w:rsidR="00315A60">
        <w:instrText xml:space="preserve"> SEQ Table \* ARABIC </w:instrText>
      </w:r>
      <w:r w:rsidR="00315A60">
        <w:fldChar w:fldCharType="separate"/>
      </w:r>
      <w:r w:rsidR="00315A60">
        <w:rPr>
          <w:noProof/>
        </w:rPr>
        <w:t>13</w:t>
      </w:r>
      <w:r w:rsidR="00315A60">
        <w:rPr>
          <w:noProof/>
        </w:rPr>
        <w:fldChar w:fldCharType="end"/>
      </w:r>
      <w:bookmarkEnd w:id="79"/>
      <w:r w:rsidRPr="00CE28E3">
        <w:tab/>
        <w:t xml:space="preserve">Net financial implication of </w:t>
      </w:r>
      <w:r>
        <w:t xml:space="preserve">FSL </w:t>
      </w:r>
      <w:r w:rsidRPr="00CE28E3">
        <w:t xml:space="preserve">to </w:t>
      </w:r>
      <w:r>
        <w:t xml:space="preserve">NDSS (PICO </w:t>
      </w:r>
      <w:r w:rsidR="00055849">
        <w:t>S</w:t>
      </w:r>
      <w:r>
        <w:t>et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1026"/>
        <w:gridCol w:w="1027"/>
        <w:gridCol w:w="1027"/>
        <w:gridCol w:w="1065"/>
        <w:gridCol w:w="1027"/>
        <w:gridCol w:w="1027"/>
      </w:tblGrid>
      <w:tr w:rsidR="003C75B0" w:rsidRPr="004A478D" w14:paraId="07AE819D" w14:textId="77777777" w:rsidTr="00FE568D">
        <w:trPr>
          <w:trHeight w:val="255"/>
        </w:trPr>
        <w:tc>
          <w:tcPr>
            <w:tcW w:w="1810" w:type="pct"/>
            <w:vMerge w:val="restart"/>
            <w:noWrap/>
            <w:vAlign w:val="center"/>
          </w:tcPr>
          <w:p w14:paraId="432A7E89" w14:textId="77777777" w:rsidR="00273EB5" w:rsidRPr="004A478D" w:rsidRDefault="00273EB5" w:rsidP="00791334">
            <w:pPr>
              <w:pStyle w:val="KMC16-Tablecontent"/>
              <w:keepNext/>
              <w:keepLines/>
              <w:rPr>
                <w:b/>
                <w:lang w:val="en-AU"/>
              </w:rPr>
            </w:pPr>
            <w:r w:rsidRPr="004A478D">
              <w:rPr>
                <w:b/>
                <w:lang w:val="en-AU"/>
              </w:rPr>
              <w:t> </w:t>
            </w:r>
          </w:p>
        </w:tc>
        <w:tc>
          <w:tcPr>
            <w:tcW w:w="3190" w:type="pct"/>
            <w:gridSpan w:val="6"/>
            <w:noWrap/>
            <w:vAlign w:val="center"/>
          </w:tcPr>
          <w:p w14:paraId="50452523" w14:textId="5155D8FB" w:rsidR="00273EB5" w:rsidRPr="004A478D" w:rsidRDefault="00273EB5" w:rsidP="00791334">
            <w:pPr>
              <w:pStyle w:val="KMC16-Tablecontent"/>
              <w:keepNext/>
              <w:keepLines/>
              <w:jc w:val="center"/>
              <w:rPr>
                <w:b/>
                <w:lang w:val="en-AU"/>
              </w:rPr>
            </w:pPr>
            <w:r w:rsidRPr="00C77835">
              <w:rPr>
                <w:b/>
                <w:color w:val="auto"/>
                <w:lang w:val="en-AU"/>
              </w:rPr>
              <w:t>PICO Set 1</w:t>
            </w:r>
          </w:p>
        </w:tc>
      </w:tr>
      <w:tr w:rsidR="003C75B0" w:rsidRPr="004A478D" w14:paraId="40789B55" w14:textId="77777777" w:rsidTr="00FE568D">
        <w:trPr>
          <w:trHeight w:val="255"/>
        </w:trPr>
        <w:tc>
          <w:tcPr>
            <w:tcW w:w="1810" w:type="pct"/>
            <w:vMerge/>
            <w:noWrap/>
            <w:vAlign w:val="center"/>
            <w:hideMark/>
          </w:tcPr>
          <w:p w14:paraId="4CAF2BF7" w14:textId="77777777" w:rsidR="00273EB5" w:rsidRPr="004A478D" w:rsidRDefault="00273EB5" w:rsidP="00791334">
            <w:pPr>
              <w:pStyle w:val="KMC16-Tablecontent"/>
              <w:keepNext/>
              <w:keepLines/>
              <w:rPr>
                <w:b/>
                <w:color w:val="auto"/>
                <w:lang w:val="en-AU"/>
              </w:rPr>
            </w:pPr>
          </w:p>
        </w:tc>
        <w:tc>
          <w:tcPr>
            <w:tcW w:w="532" w:type="pct"/>
            <w:noWrap/>
            <w:vAlign w:val="center"/>
            <w:hideMark/>
          </w:tcPr>
          <w:p w14:paraId="77368AF4" w14:textId="77777777" w:rsidR="00273EB5" w:rsidRPr="004A478D" w:rsidRDefault="00273EB5" w:rsidP="00791334">
            <w:pPr>
              <w:pStyle w:val="KMC16-Tablecontent"/>
              <w:keepNext/>
              <w:keepLines/>
              <w:jc w:val="center"/>
              <w:rPr>
                <w:b/>
                <w:lang w:val="en-AU"/>
              </w:rPr>
            </w:pPr>
            <w:r w:rsidRPr="004A478D">
              <w:rPr>
                <w:b/>
                <w:lang w:val="en-AU"/>
              </w:rPr>
              <w:t>Year 1</w:t>
            </w:r>
          </w:p>
        </w:tc>
        <w:tc>
          <w:tcPr>
            <w:tcW w:w="532" w:type="pct"/>
            <w:noWrap/>
            <w:vAlign w:val="center"/>
            <w:hideMark/>
          </w:tcPr>
          <w:p w14:paraId="027DA5E2" w14:textId="77777777" w:rsidR="00273EB5" w:rsidRPr="004A478D" w:rsidRDefault="00273EB5" w:rsidP="00791334">
            <w:pPr>
              <w:pStyle w:val="KMC16-Tablecontent"/>
              <w:keepNext/>
              <w:keepLines/>
              <w:jc w:val="center"/>
              <w:rPr>
                <w:b/>
                <w:lang w:val="en-AU"/>
              </w:rPr>
            </w:pPr>
            <w:r w:rsidRPr="004A478D">
              <w:rPr>
                <w:b/>
                <w:lang w:val="en-AU"/>
              </w:rPr>
              <w:t>Year 2</w:t>
            </w:r>
          </w:p>
        </w:tc>
        <w:tc>
          <w:tcPr>
            <w:tcW w:w="532" w:type="pct"/>
            <w:noWrap/>
            <w:vAlign w:val="center"/>
            <w:hideMark/>
          </w:tcPr>
          <w:p w14:paraId="295190AA" w14:textId="77777777" w:rsidR="00273EB5" w:rsidRPr="004A478D" w:rsidRDefault="00273EB5" w:rsidP="00791334">
            <w:pPr>
              <w:pStyle w:val="KMC16-Tablecontent"/>
              <w:keepNext/>
              <w:keepLines/>
              <w:jc w:val="center"/>
              <w:rPr>
                <w:b/>
                <w:lang w:val="en-AU"/>
              </w:rPr>
            </w:pPr>
            <w:r w:rsidRPr="004A478D">
              <w:rPr>
                <w:b/>
                <w:lang w:val="en-AU"/>
              </w:rPr>
              <w:t>Year 3</w:t>
            </w:r>
          </w:p>
        </w:tc>
        <w:tc>
          <w:tcPr>
            <w:tcW w:w="532" w:type="pct"/>
            <w:noWrap/>
            <w:vAlign w:val="center"/>
            <w:hideMark/>
          </w:tcPr>
          <w:p w14:paraId="3927A121" w14:textId="77777777" w:rsidR="00273EB5" w:rsidRPr="004A478D" w:rsidRDefault="00273EB5" w:rsidP="00791334">
            <w:pPr>
              <w:pStyle w:val="KMC16-Tablecontent"/>
              <w:keepNext/>
              <w:keepLines/>
              <w:jc w:val="center"/>
              <w:rPr>
                <w:b/>
                <w:lang w:val="en-AU"/>
              </w:rPr>
            </w:pPr>
            <w:r w:rsidRPr="004A478D">
              <w:rPr>
                <w:b/>
                <w:lang w:val="en-AU"/>
              </w:rPr>
              <w:t>Year 4</w:t>
            </w:r>
          </w:p>
        </w:tc>
        <w:tc>
          <w:tcPr>
            <w:tcW w:w="532" w:type="pct"/>
            <w:noWrap/>
            <w:vAlign w:val="center"/>
            <w:hideMark/>
          </w:tcPr>
          <w:p w14:paraId="405D3186" w14:textId="77777777" w:rsidR="00273EB5" w:rsidRPr="004A478D" w:rsidRDefault="00273EB5" w:rsidP="00791334">
            <w:pPr>
              <w:pStyle w:val="KMC16-Tablecontent"/>
              <w:keepNext/>
              <w:keepLines/>
              <w:jc w:val="center"/>
              <w:rPr>
                <w:b/>
                <w:lang w:val="en-AU"/>
              </w:rPr>
            </w:pPr>
            <w:r w:rsidRPr="004A478D">
              <w:rPr>
                <w:b/>
                <w:lang w:val="en-AU"/>
              </w:rPr>
              <w:t>Year 5</w:t>
            </w:r>
          </w:p>
        </w:tc>
        <w:tc>
          <w:tcPr>
            <w:tcW w:w="531" w:type="pct"/>
            <w:noWrap/>
            <w:vAlign w:val="center"/>
            <w:hideMark/>
          </w:tcPr>
          <w:p w14:paraId="5241C6E8" w14:textId="77777777" w:rsidR="00273EB5" w:rsidRPr="004A478D" w:rsidRDefault="00273EB5" w:rsidP="00791334">
            <w:pPr>
              <w:pStyle w:val="KMC16-Tablecontent"/>
              <w:keepNext/>
              <w:keepLines/>
              <w:jc w:val="center"/>
              <w:rPr>
                <w:b/>
                <w:lang w:val="en-AU"/>
              </w:rPr>
            </w:pPr>
            <w:r w:rsidRPr="004A478D">
              <w:rPr>
                <w:b/>
                <w:lang w:val="en-AU"/>
              </w:rPr>
              <w:t>Year 6</w:t>
            </w:r>
          </w:p>
        </w:tc>
      </w:tr>
      <w:tr w:rsidR="003C75B0" w:rsidRPr="004A478D" w14:paraId="7B92254F" w14:textId="77777777" w:rsidTr="00FE568D">
        <w:trPr>
          <w:trHeight w:val="255"/>
        </w:trPr>
        <w:tc>
          <w:tcPr>
            <w:tcW w:w="1810" w:type="pct"/>
            <w:noWrap/>
            <w:vAlign w:val="center"/>
            <w:hideMark/>
          </w:tcPr>
          <w:p w14:paraId="6DEBD8AE" w14:textId="77777777" w:rsidR="00273EB5" w:rsidRPr="004A478D" w:rsidRDefault="00273EB5" w:rsidP="00791334">
            <w:pPr>
              <w:pStyle w:val="KMC16-Tablecontent"/>
              <w:keepNext/>
              <w:keepLines/>
              <w:rPr>
                <w:b/>
                <w:lang w:val="en-AU"/>
              </w:rPr>
            </w:pPr>
            <w:r w:rsidRPr="004A478D">
              <w:rPr>
                <w:b/>
                <w:lang w:val="en-AU"/>
              </w:rPr>
              <w:t xml:space="preserve">FSL </w:t>
            </w:r>
            <w:r>
              <w:rPr>
                <w:b/>
                <w:lang w:val="en-AU"/>
              </w:rPr>
              <w:t>u</w:t>
            </w:r>
            <w:r w:rsidRPr="004A478D">
              <w:rPr>
                <w:b/>
                <w:lang w:val="en-AU"/>
              </w:rPr>
              <w:t>se</w:t>
            </w:r>
          </w:p>
        </w:tc>
        <w:tc>
          <w:tcPr>
            <w:tcW w:w="532" w:type="pct"/>
            <w:noWrap/>
            <w:hideMark/>
          </w:tcPr>
          <w:p w14:paraId="0BE46C06" w14:textId="77777777" w:rsidR="00273EB5" w:rsidRPr="004A478D" w:rsidRDefault="00273EB5" w:rsidP="00791334">
            <w:pPr>
              <w:pStyle w:val="Tabletext0"/>
              <w:keepNext/>
              <w:keepLines/>
            </w:pPr>
          </w:p>
        </w:tc>
        <w:tc>
          <w:tcPr>
            <w:tcW w:w="532" w:type="pct"/>
            <w:noWrap/>
            <w:hideMark/>
          </w:tcPr>
          <w:p w14:paraId="5510C95E" w14:textId="77777777" w:rsidR="00273EB5" w:rsidRPr="004A478D" w:rsidRDefault="00273EB5" w:rsidP="00791334">
            <w:pPr>
              <w:pStyle w:val="Tabletext0"/>
              <w:keepNext/>
              <w:keepLines/>
            </w:pPr>
          </w:p>
        </w:tc>
        <w:tc>
          <w:tcPr>
            <w:tcW w:w="532" w:type="pct"/>
            <w:noWrap/>
            <w:hideMark/>
          </w:tcPr>
          <w:p w14:paraId="0009F4EB" w14:textId="77777777" w:rsidR="00273EB5" w:rsidRPr="004A478D" w:rsidRDefault="00273EB5" w:rsidP="00791334">
            <w:pPr>
              <w:pStyle w:val="Tabletext0"/>
              <w:keepNext/>
              <w:keepLines/>
            </w:pPr>
          </w:p>
        </w:tc>
        <w:tc>
          <w:tcPr>
            <w:tcW w:w="532" w:type="pct"/>
            <w:noWrap/>
            <w:hideMark/>
          </w:tcPr>
          <w:p w14:paraId="19057FB7" w14:textId="77777777" w:rsidR="00273EB5" w:rsidRPr="004A478D" w:rsidRDefault="00273EB5" w:rsidP="00791334">
            <w:pPr>
              <w:pStyle w:val="Tabletext0"/>
              <w:keepNext/>
              <w:keepLines/>
            </w:pPr>
          </w:p>
        </w:tc>
        <w:tc>
          <w:tcPr>
            <w:tcW w:w="532" w:type="pct"/>
            <w:noWrap/>
            <w:hideMark/>
          </w:tcPr>
          <w:p w14:paraId="030146A2" w14:textId="77777777" w:rsidR="00273EB5" w:rsidRPr="004A478D" w:rsidRDefault="00273EB5" w:rsidP="00791334">
            <w:pPr>
              <w:pStyle w:val="Tabletext0"/>
              <w:keepNext/>
              <w:keepLines/>
            </w:pPr>
          </w:p>
        </w:tc>
        <w:tc>
          <w:tcPr>
            <w:tcW w:w="531" w:type="pct"/>
            <w:noWrap/>
            <w:hideMark/>
          </w:tcPr>
          <w:p w14:paraId="62FF69FE" w14:textId="77777777" w:rsidR="00273EB5" w:rsidRPr="004A478D" w:rsidRDefault="00273EB5" w:rsidP="00791334">
            <w:pPr>
              <w:pStyle w:val="Tabletext0"/>
              <w:keepNext/>
              <w:keepLines/>
            </w:pPr>
          </w:p>
        </w:tc>
      </w:tr>
      <w:tr w:rsidR="003C75B0" w:rsidRPr="004A478D" w14:paraId="28451F6F" w14:textId="77777777" w:rsidTr="00FE568D">
        <w:trPr>
          <w:trHeight w:val="255"/>
        </w:trPr>
        <w:tc>
          <w:tcPr>
            <w:tcW w:w="1810" w:type="pct"/>
            <w:noWrap/>
            <w:vAlign w:val="bottom"/>
            <w:hideMark/>
          </w:tcPr>
          <w:p w14:paraId="30AE45E1" w14:textId="77777777" w:rsidR="00273EB5" w:rsidRPr="004A478D" w:rsidRDefault="00273EB5" w:rsidP="00791334">
            <w:pPr>
              <w:pStyle w:val="KMC16-Tablecontent"/>
              <w:keepNext/>
              <w:keepLines/>
              <w:rPr>
                <w:lang w:val="en-AU"/>
              </w:rPr>
            </w:pPr>
            <w:r w:rsidRPr="004A478D">
              <w:rPr>
                <w:lang w:val="en-AU"/>
              </w:rPr>
              <w:t xml:space="preserve">Patients </w:t>
            </w:r>
          </w:p>
        </w:tc>
        <w:tc>
          <w:tcPr>
            <w:tcW w:w="532" w:type="pct"/>
            <w:noWrap/>
          </w:tcPr>
          <w:p w14:paraId="28BB9E15" w14:textId="346B97D3" w:rsidR="00273EB5" w:rsidRPr="004A478D" w:rsidRDefault="00273EB5" w:rsidP="00791334">
            <w:pPr>
              <w:pStyle w:val="Tabletext0"/>
              <w:keepNext/>
              <w:keepLines/>
            </w:pPr>
            <w:r w:rsidRPr="000C66FF">
              <w:t xml:space="preserve">207,173 </w:t>
            </w:r>
          </w:p>
        </w:tc>
        <w:tc>
          <w:tcPr>
            <w:tcW w:w="532" w:type="pct"/>
            <w:noWrap/>
          </w:tcPr>
          <w:p w14:paraId="40AC6133" w14:textId="470BD704" w:rsidR="00273EB5" w:rsidRPr="004A478D" w:rsidRDefault="00273EB5" w:rsidP="00791334">
            <w:pPr>
              <w:pStyle w:val="Tabletext0"/>
              <w:keepNext/>
              <w:keepLines/>
            </w:pPr>
            <w:r w:rsidRPr="000C66FF">
              <w:t xml:space="preserve"> 209,245 </w:t>
            </w:r>
          </w:p>
        </w:tc>
        <w:tc>
          <w:tcPr>
            <w:tcW w:w="532" w:type="pct"/>
            <w:noWrap/>
          </w:tcPr>
          <w:p w14:paraId="3019A5A3" w14:textId="2C449D81" w:rsidR="00273EB5" w:rsidRPr="004A478D" w:rsidRDefault="00273EB5" w:rsidP="00791334">
            <w:pPr>
              <w:pStyle w:val="Tabletext0"/>
              <w:keepNext/>
              <w:keepLines/>
            </w:pPr>
            <w:r w:rsidRPr="000C66FF">
              <w:t xml:space="preserve"> 211,337 </w:t>
            </w:r>
          </w:p>
        </w:tc>
        <w:tc>
          <w:tcPr>
            <w:tcW w:w="532" w:type="pct"/>
            <w:noWrap/>
          </w:tcPr>
          <w:p w14:paraId="62F43C53" w14:textId="5F5B2AAA" w:rsidR="00273EB5" w:rsidRPr="004A478D" w:rsidRDefault="00273EB5" w:rsidP="00791334">
            <w:pPr>
              <w:pStyle w:val="Tabletext0"/>
              <w:keepNext/>
              <w:keepLines/>
            </w:pPr>
            <w:r w:rsidRPr="000C66FF">
              <w:t xml:space="preserve"> 213,450 </w:t>
            </w:r>
          </w:p>
        </w:tc>
        <w:tc>
          <w:tcPr>
            <w:tcW w:w="532" w:type="pct"/>
            <w:noWrap/>
          </w:tcPr>
          <w:p w14:paraId="4EBB1B63" w14:textId="47809C91" w:rsidR="00273EB5" w:rsidRPr="004A478D" w:rsidRDefault="00273EB5" w:rsidP="00791334">
            <w:pPr>
              <w:pStyle w:val="Tabletext0"/>
              <w:keepNext/>
              <w:keepLines/>
            </w:pPr>
            <w:r w:rsidRPr="000C66FF">
              <w:t xml:space="preserve"> 215,585 </w:t>
            </w:r>
          </w:p>
        </w:tc>
        <w:tc>
          <w:tcPr>
            <w:tcW w:w="531" w:type="pct"/>
            <w:noWrap/>
          </w:tcPr>
          <w:p w14:paraId="7B1679A1" w14:textId="2C03343A" w:rsidR="00273EB5" w:rsidRPr="004A478D" w:rsidRDefault="00273EB5" w:rsidP="00791334">
            <w:pPr>
              <w:pStyle w:val="Tabletext0"/>
              <w:keepNext/>
              <w:keepLines/>
            </w:pPr>
            <w:r w:rsidRPr="000C66FF">
              <w:t xml:space="preserve"> 217,741 </w:t>
            </w:r>
          </w:p>
        </w:tc>
      </w:tr>
      <w:tr w:rsidR="003C75B0" w:rsidRPr="004A478D" w14:paraId="2F901F62" w14:textId="77777777" w:rsidTr="00FE568D">
        <w:trPr>
          <w:trHeight w:val="255"/>
        </w:trPr>
        <w:tc>
          <w:tcPr>
            <w:tcW w:w="1810" w:type="pct"/>
            <w:noWrap/>
            <w:vAlign w:val="bottom"/>
            <w:hideMark/>
          </w:tcPr>
          <w:p w14:paraId="7ED3A83B" w14:textId="77777777" w:rsidR="00273EB5" w:rsidRPr="004A478D" w:rsidRDefault="00273EB5" w:rsidP="00791334">
            <w:pPr>
              <w:pStyle w:val="KMC16-Tablecontent"/>
              <w:keepNext/>
              <w:keepLines/>
              <w:rPr>
                <w:lang w:val="en-AU"/>
              </w:rPr>
            </w:pPr>
            <w:r w:rsidRPr="004A478D">
              <w:rPr>
                <w:lang w:val="en-AU"/>
              </w:rPr>
              <w:t>Uptake %</w:t>
            </w:r>
          </w:p>
        </w:tc>
        <w:tc>
          <w:tcPr>
            <w:tcW w:w="532" w:type="pct"/>
            <w:noWrap/>
          </w:tcPr>
          <w:p w14:paraId="18E9E782" w14:textId="4148751B" w:rsidR="00273EB5" w:rsidRPr="003C077C" w:rsidRDefault="00624E68" w:rsidP="00791334">
            <w:pPr>
              <w:pStyle w:val="Tabletext0"/>
              <w:keepNext/>
              <w:keepLines/>
              <w:rPr>
                <w:highlight w:val="yellow"/>
              </w:rPr>
            </w:pPr>
            <w:r>
              <w:rPr>
                <w:b/>
                <w:bCs/>
              </w:rPr>
              <w:t>Redacted</w:t>
            </w:r>
            <w:r w:rsidR="00273EB5" w:rsidRPr="00624E68">
              <w:t>%</w:t>
            </w:r>
          </w:p>
        </w:tc>
        <w:tc>
          <w:tcPr>
            <w:tcW w:w="532" w:type="pct"/>
            <w:noWrap/>
          </w:tcPr>
          <w:p w14:paraId="6063144E" w14:textId="2083E996" w:rsidR="00273EB5" w:rsidRPr="003C077C" w:rsidRDefault="00624E68" w:rsidP="00791334">
            <w:pPr>
              <w:pStyle w:val="Tabletext0"/>
              <w:keepNext/>
              <w:keepLines/>
              <w:rPr>
                <w:highlight w:val="yellow"/>
              </w:rPr>
            </w:pPr>
            <w:r>
              <w:rPr>
                <w:b/>
                <w:bCs/>
              </w:rPr>
              <w:t>Redacted</w:t>
            </w:r>
            <w:r w:rsidR="00273EB5" w:rsidRPr="00624E68">
              <w:t>%</w:t>
            </w:r>
          </w:p>
        </w:tc>
        <w:tc>
          <w:tcPr>
            <w:tcW w:w="532" w:type="pct"/>
            <w:noWrap/>
          </w:tcPr>
          <w:p w14:paraId="540EE95F" w14:textId="34AE4ADA" w:rsidR="00273EB5" w:rsidRPr="003C077C" w:rsidRDefault="00624E68" w:rsidP="00791334">
            <w:pPr>
              <w:pStyle w:val="Tabletext0"/>
              <w:keepNext/>
              <w:keepLines/>
              <w:rPr>
                <w:highlight w:val="yellow"/>
              </w:rPr>
            </w:pPr>
            <w:r>
              <w:rPr>
                <w:b/>
                <w:bCs/>
              </w:rPr>
              <w:t>Redacted</w:t>
            </w:r>
            <w:r w:rsidR="00273EB5" w:rsidRPr="00624E68">
              <w:t>%</w:t>
            </w:r>
          </w:p>
        </w:tc>
        <w:tc>
          <w:tcPr>
            <w:tcW w:w="532" w:type="pct"/>
            <w:noWrap/>
          </w:tcPr>
          <w:p w14:paraId="5B1BD713" w14:textId="5256714C" w:rsidR="00273EB5" w:rsidRPr="003C077C" w:rsidRDefault="00624E68" w:rsidP="00791334">
            <w:pPr>
              <w:pStyle w:val="Tabletext0"/>
              <w:keepNext/>
              <w:keepLines/>
              <w:rPr>
                <w:highlight w:val="yellow"/>
              </w:rPr>
            </w:pPr>
            <w:r w:rsidRPr="00624E68">
              <w:rPr>
                <w:b/>
                <w:bCs/>
              </w:rPr>
              <w:t>Redacted</w:t>
            </w:r>
            <w:r w:rsidR="00273EB5" w:rsidRPr="00624E68">
              <w:t>%</w:t>
            </w:r>
          </w:p>
        </w:tc>
        <w:tc>
          <w:tcPr>
            <w:tcW w:w="532" w:type="pct"/>
            <w:noWrap/>
          </w:tcPr>
          <w:p w14:paraId="5616CD84" w14:textId="78FA0B4A" w:rsidR="00273EB5" w:rsidRPr="003C077C" w:rsidRDefault="00624E68" w:rsidP="00791334">
            <w:pPr>
              <w:pStyle w:val="Tabletext0"/>
              <w:keepNext/>
              <w:keepLines/>
              <w:rPr>
                <w:highlight w:val="yellow"/>
              </w:rPr>
            </w:pPr>
            <w:r>
              <w:rPr>
                <w:b/>
                <w:bCs/>
              </w:rPr>
              <w:t>Redacted</w:t>
            </w:r>
            <w:r w:rsidR="00273EB5" w:rsidRPr="00624E68">
              <w:t>%</w:t>
            </w:r>
          </w:p>
        </w:tc>
        <w:tc>
          <w:tcPr>
            <w:tcW w:w="531" w:type="pct"/>
            <w:noWrap/>
          </w:tcPr>
          <w:p w14:paraId="43D72415" w14:textId="2B90018E" w:rsidR="00273EB5" w:rsidRPr="003C077C" w:rsidRDefault="00624E68" w:rsidP="00791334">
            <w:pPr>
              <w:pStyle w:val="Tabletext0"/>
              <w:keepNext/>
              <w:keepLines/>
              <w:rPr>
                <w:highlight w:val="yellow"/>
              </w:rPr>
            </w:pPr>
            <w:r>
              <w:rPr>
                <w:b/>
                <w:bCs/>
              </w:rPr>
              <w:t>Redacted</w:t>
            </w:r>
            <w:r w:rsidR="00273EB5" w:rsidRPr="00624E68">
              <w:t>%</w:t>
            </w:r>
          </w:p>
        </w:tc>
      </w:tr>
      <w:tr w:rsidR="003C75B0" w:rsidRPr="004A478D" w14:paraId="44C566A3" w14:textId="77777777" w:rsidTr="00FE568D">
        <w:trPr>
          <w:trHeight w:val="255"/>
        </w:trPr>
        <w:tc>
          <w:tcPr>
            <w:tcW w:w="1810" w:type="pct"/>
            <w:vAlign w:val="center"/>
            <w:hideMark/>
          </w:tcPr>
          <w:p w14:paraId="4710BFB4" w14:textId="77777777" w:rsidR="00273EB5" w:rsidRPr="004A478D" w:rsidRDefault="00273EB5" w:rsidP="00791334">
            <w:pPr>
              <w:pStyle w:val="KMC16-Tablecontent"/>
              <w:keepNext/>
              <w:keepLines/>
              <w:rPr>
                <w:color w:val="auto"/>
                <w:lang w:val="en-AU"/>
              </w:rPr>
            </w:pPr>
            <w:r w:rsidRPr="004A478D">
              <w:rPr>
                <w:lang w:val="en-AU"/>
              </w:rPr>
              <w:t>Number of patients taking up FSL</w:t>
            </w:r>
          </w:p>
        </w:tc>
        <w:tc>
          <w:tcPr>
            <w:tcW w:w="532" w:type="pct"/>
            <w:noWrap/>
          </w:tcPr>
          <w:p w14:paraId="689732B5" w14:textId="689439AC" w:rsidR="00273EB5" w:rsidRPr="003C077C" w:rsidRDefault="00DB6504" w:rsidP="00791334">
            <w:pPr>
              <w:pStyle w:val="Tabletext0"/>
              <w:keepNext/>
              <w:keepLines/>
              <w:rPr>
                <w:highlight w:val="yellow"/>
              </w:rPr>
            </w:pPr>
            <w:r>
              <w:rPr>
                <w:b/>
                <w:bCs/>
              </w:rPr>
              <w:t>Redacted</w:t>
            </w:r>
            <w:r w:rsidR="00893CA1" w:rsidRPr="003C077C">
              <w:rPr>
                <w:vertAlign w:val="superscript"/>
              </w:rPr>
              <w:t>1</w:t>
            </w:r>
            <w:r w:rsidR="00273EB5" w:rsidRPr="003C077C">
              <w:rPr>
                <w:highlight w:val="yellow"/>
              </w:rPr>
              <w:t xml:space="preserve"> </w:t>
            </w:r>
          </w:p>
        </w:tc>
        <w:tc>
          <w:tcPr>
            <w:tcW w:w="532" w:type="pct"/>
            <w:noWrap/>
          </w:tcPr>
          <w:p w14:paraId="0B812D30" w14:textId="0FCEDA40" w:rsidR="00273EB5" w:rsidRPr="003C077C" w:rsidRDefault="00DB6504" w:rsidP="00791334">
            <w:pPr>
              <w:pStyle w:val="Tabletext0"/>
              <w:keepNext/>
              <w:keepLines/>
              <w:rPr>
                <w:highlight w:val="yellow"/>
              </w:rPr>
            </w:pPr>
            <w:r>
              <w:rPr>
                <w:b/>
                <w:bCs/>
              </w:rPr>
              <w:t>Redacted</w:t>
            </w:r>
            <w:r w:rsidR="00893CA1" w:rsidRPr="003C077C">
              <w:rPr>
                <w:vertAlign w:val="superscript"/>
              </w:rPr>
              <w:t>2</w:t>
            </w:r>
            <w:r w:rsidR="00273EB5" w:rsidRPr="00DB6504">
              <w:t xml:space="preserve"> </w:t>
            </w:r>
          </w:p>
        </w:tc>
        <w:tc>
          <w:tcPr>
            <w:tcW w:w="532" w:type="pct"/>
            <w:noWrap/>
          </w:tcPr>
          <w:p w14:paraId="75AF3F55" w14:textId="6C4147E2" w:rsidR="00273EB5" w:rsidRPr="003C077C" w:rsidRDefault="00DB6504" w:rsidP="00791334">
            <w:pPr>
              <w:pStyle w:val="Tabletext0"/>
              <w:keepNext/>
              <w:keepLines/>
              <w:rPr>
                <w:highlight w:val="yellow"/>
              </w:rPr>
            </w:pPr>
            <w:r>
              <w:rPr>
                <w:b/>
                <w:bCs/>
              </w:rPr>
              <w:t>Redacted</w:t>
            </w:r>
            <w:r w:rsidR="00893CA1" w:rsidRPr="003C077C">
              <w:rPr>
                <w:vertAlign w:val="superscript"/>
              </w:rPr>
              <w:t>3</w:t>
            </w:r>
            <w:r w:rsidR="00273EB5" w:rsidRPr="00DB6504">
              <w:t xml:space="preserve"> </w:t>
            </w:r>
          </w:p>
        </w:tc>
        <w:tc>
          <w:tcPr>
            <w:tcW w:w="532" w:type="pct"/>
            <w:noWrap/>
          </w:tcPr>
          <w:p w14:paraId="5F1DA939" w14:textId="6FB01F37" w:rsidR="00273EB5" w:rsidRPr="003C077C" w:rsidRDefault="00DB6504" w:rsidP="00791334">
            <w:pPr>
              <w:pStyle w:val="Tabletext0"/>
              <w:keepNext/>
              <w:keepLines/>
              <w:rPr>
                <w:highlight w:val="yellow"/>
              </w:rPr>
            </w:pPr>
            <w:r>
              <w:rPr>
                <w:b/>
                <w:bCs/>
              </w:rPr>
              <w:t>Redacte</w:t>
            </w:r>
            <w:r w:rsidRPr="00DB6504">
              <w:rPr>
                <w:b/>
                <w:bCs/>
              </w:rPr>
              <w:t>d</w:t>
            </w:r>
            <w:r w:rsidR="00893CA1" w:rsidRPr="003C077C">
              <w:rPr>
                <w:vertAlign w:val="superscript"/>
              </w:rPr>
              <w:t>4</w:t>
            </w:r>
            <w:r w:rsidR="00273EB5" w:rsidRPr="00DB6504">
              <w:t xml:space="preserve"> </w:t>
            </w:r>
          </w:p>
        </w:tc>
        <w:tc>
          <w:tcPr>
            <w:tcW w:w="532" w:type="pct"/>
            <w:noWrap/>
          </w:tcPr>
          <w:p w14:paraId="0FF1C79A" w14:textId="6E2B67DC" w:rsidR="00273EB5" w:rsidRPr="003C077C" w:rsidRDefault="00DB6504" w:rsidP="00791334">
            <w:pPr>
              <w:pStyle w:val="Tabletext0"/>
              <w:keepNext/>
              <w:keepLines/>
              <w:rPr>
                <w:highlight w:val="yellow"/>
              </w:rPr>
            </w:pPr>
            <w:r>
              <w:rPr>
                <w:b/>
                <w:bCs/>
              </w:rPr>
              <w:t>Redacted</w:t>
            </w:r>
            <w:r w:rsidR="00893CA1" w:rsidRPr="003C077C">
              <w:rPr>
                <w:vertAlign w:val="superscript"/>
              </w:rPr>
              <w:t>5</w:t>
            </w:r>
            <w:r w:rsidR="00273EB5" w:rsidRPr="00DB6504">
              <w:t xml:space="preserve"> </w:t>
            </w:r>
          </w:p>
        </w:tc>
        <w:tc>
          <w:tcPr>
            <w:tcW w:w="531" w:type="pct"/>
            <w:noWrap/>
          </w:tcPr>
          <w:p w14:paraId="498314E5" w14:textId="123C4C93" w:rsidR="00273EB5" w:rsidRPr="003C077C" w:rsidRDefault="00DB6504" w:rsidP="00791334">
            <w:pPr>
              <w:pStyle w:val="Tabletext0"/>
              <w:keepNext/>
              <w:keepLines/>
              <w:rPr>
                <w:highlight w:val="yellow"/>
              </w:rPr>
            </w:pPr>
            <w:r>
              <w:rPr>
                <w:b/>
                <w:bCs/>
              </w:rPr>
              <w:t>Redacted</w:t>
            </w:r>
            <w:r w:rsidR="00893CA1" w:rsidRPr="003C077C">
              <w:rPr>
                <w:vertAlign w:val="superscript"/>
              </w:rPr>
              <w:t>6</w:t>
            </w:r>
            <w:r w:rsidR="00273EB5" w:rsidRPr="00DB6504">
              <w:t xml:space="preserve"> </w:t>
            </w:r>
          </w:p>
        </w:tc>
      </w:tr>
      <w:tr w:rsidR="003C75B0" w:rsidRPr="004A478D" w14:paraId="0994A2E2" w14:textId="77777777" w:rsidTr="00FE568D">
        <w:trPr>
          <w:trHeight w:val="255"/>
        </w:trPr>
        <w:tc>
          <w:tcPr>
            <w:tcW w:w="1810" w:type="pct"/>
            <w:noWrap/>
            <w:vAlign w:val="bottom"/>
            <w:hideMark/>
          </w:tcPr>
          <w:p w14:paraId="63FF6610" w14:textId="77777777" w:rsidR="00273EB5" w:rsidRPr="004A478D" w:rsidRDefault="00273EB5" w:rsidP="00791334">
            <w:pPr>
              <w:pStyle w:val="KMC16-Tablecontent"/>
              <w:keepNext/>
              <w:keepLines/>
              <w:rPr>
                <w:lang w:val="en-AU"/>
              </w:rPr>
            </w:pPr>
            <w:r w:rsidRPr="004A478D">
              <w:rPr>
                <w:lang w:val="en-AU"/>
              </w:rPr>
              <w:t>Number of FSL 2 sensors (1 sensor/pack)</w:t>
            </w:r>
          </w:p>
        </w:tc>
        <w:tc>
          <w:tcPr>
            <w:tcW w:w="532" w:type="pct"/>
            <w:noWrap/>
          </w:tcPr>
          <w:p w14:paraId="57FB4E66" w14:textId="6EFABC8B" w:rsidR="00273EB5" w:rsidRPr="003C077C" w:rsidRDefault="00DB6504" w:rsidP="00791334">
            <w:pPr>
              <w:pStyle w:val="Tabletext0"/>
              <w:keepNext/>
              <w:keepLines/>
              <w:rPr>
                <w:highlight w:val="yellow"/>
              </w:rPr>
            </w:pPr>
            <w:r>
              <w:rPr>
                <w:b/>
                <w:bCs/>
              </w:rPr>
              <w:t>Redacted</w:t>
            </w:r>
            <w:r w:rsidRPr="00DB6504">
              <w:rPr>
                <w:highlight w:val="yellow"/>
              </w:rPr>
              <w:t xml:space="preserve"> </w:t>
            </w:r>
            <w:r w:rsidR="00273EB5" w:rsidRPr="003C077C">
              <w:rPr>
                <w:highlight w:val="yellow"/>
              </w:rPr>
              <w:t xml:space="preserve"> </w:t>
            </w:r>
          </w:p>
        </w:tc>
        <w:tc>
          <w:tcPr>
            <w:tcW w:w="532" w:type="pct"/>
            <w:noWrap/>
          </w:tcPr>
          <w:p w14:paraId="5EFB900C" w14:textId="24200AF9" w:rsidR="00273EB5" w:rsidRPr="003C077C" w:rsidRDefault="00DB6504" w:rsidP="00791334">
            <w:pPr>
              <w:pStyle w:val="Tabletext0"/>
              <w:keepNext/>
              <w:keepLines/>
              <w:rPr>
                <w:highlight w:val="yellow"/>
              </w:rPr>
            </w:pPr>
            <w:r>
              <w:rPr>
                <w:b/>
                <w:bCs/>
              </w:rPr>
              <w:t>Redacted</w:t>
            </w:r>
            <w:r w:rsidRPr="00DB6504" w:rsidDel="00DB6504">
              <w:rPr>
                <w:highlight w:val="yellow"/>
              </w:rPr>
              <w:t xml:space="preserve"> </w:t>
            </w:r>
          </w:p>
        </w:tc>
        <w:tc>
          <w:tcPr>
            <w:tcW w:w="532" w:type="pct"/>
            <w:noWrap/>
          </w:tcPr>
          <w:p w14:paraId="73D1F2E6" w14:textId="7C51AA46" w:rsidR="00273EB5" w:rsidRPr="003C077C" w:rsidRDefault="00DB6504" w:rsidP="00791334">
            <w:pPr>
              <w:pStyle w:val="Tabletext0"/>
              <w:keepNext/>
              <w:keepLines/>
              <w:rPr>
                <w:highlight w:val="yellow"/>
              </w:rPr>
            </w:pPr>
            <w:r>
              <w:rPr>
                <w:b/>
                <w:bCs/>
              </w:rPr>
              <w:t>Redacted</w:t>
            </w:r>
            <w:r w:rsidRPr="00DB6504" w:rsidDel="00DB6504">
              <w:rPr>
                <w:highlight w:val="yellow"/>
              </w:rPr>
              <w:t xml:space="preserve"> </w:t>
            </w:r>
          </w:p>
        </w:tc>
        <w:tc>
          <w:tcPr>
            <w:tcW w:w="532" w:type="pct"/>
            <w:noWrap/>
          </w:tcPr>
          <w:p w14:paraId="586059E3" w14:textId="63FE4BFE" w:rsidR="00273EB5" w:rsidRPr="003C077C" w:rsidRDefault="00DB6504" w:rsidP="00791334">
            <w:pPr>
              <w:pStyle w:val="Tabletext0"/>
              <w:keepNext/>
              <w:keepLines/>
              <w:rPr>
                <w:highlight w:val="yellow"/>
              </w:rPr>
            </w:pPr>
            <w:r>
              <w:rPr>
                <w:b/>
                <w:bCs/>
              </w:rPr>
              <w:t>Redacted</w:t>
            </w:r>
            <w:r w:rsidRPr="00DB6504" w:rsidDel="00DB6504">
              <w:rPr>
                <w:highlight w:val="yellow"/>
              </w:rPr>
              <w:t xml:space="preserve"> </w:t>
            </w:r>
            <w:r w:rsidR="00273EB5" w:rsidRPr="003C077C">
              <w:rPr>
                <w:highlight w:val="yellow"/>
              </w:rPr>
              <w:t xml:space="preserve"> </w:t>
            </w:r>
          </w:p>
        </w:tc>
        <w:tc>
          <w:tcPr>
            <w:tcW w:w="532" w:type="pct"/>
            <w:noWrap/>
          </w:tcPr>
          <w:p w14:paraId="03654EE2" w14:textId="2DB64630" w:rsidR="00273EB5" w:rsidRPr="003C077C" w:rsidRDefault="00DB6504" w:rsidP="00791334">
            <w:pPr>
              <w:pStyle w:val="Tabletext0"/>
              <w:keepNext/>
              <w:keepLines/>
              <w:rPr>
                <w:highlight w:val="yellow"/>
              </w:rPr>
            </w:pPr>
            <w:r>
              <w:rPr>
                <w:b/>
                <w:bCs/>
              </w:rPr>
              <w:t>Redacted</w:t>
            </w:r>
            <w:r w:rsidRPr="00DB6504" w:rsidDel="00DB6504">
              <w:rPr>
                <w:highlight w:val="yellow"/>
              </w:rPr>
              <w:t xml:space="preserve"> </w:t>
            </w:r>
          </w:p>
        </w:tc>
        <w:tc>
          <w:tcPr>
            <w:tcW w:w="531" w:type="pct"/>
            <w:noWrap/>
          </w:tcPr>
          <w:p w14:paraId="608FD96A" w14:textId="44AF5D07" w:rsidR="00273EB5" w:rsidRPr="003C077C" w:rsidRDefault="00DB6504" w:rsidP="00791334">
            <w:pPr>
              <w:pStyle w:val="Tabletext0"/>
              <w:keepNext/>
              <w:keepLines/>
              <w:rPr>
                <w:highlight w:val="yellow"/>
              </w:rPr>
            </w:pPr>
            <w:r>
              <w:rPr>
                <w:b/>
                <w:bCs/>
              </w:rPr>
              <w:t>Redacted</w:t>
            </w:r>
            <w:r w:rsidRPr="00DB6504" w:rsidDel="00DB6504">
              <w:rPr>
                <w:highlight w:val="yellow"/>
              </w:rPr>
              <w:t xml:space="preserve"> </w:t>
            </w:r>
          </w:p>
        </w:tc>
      </w:tr>
      <w:tr w:rsidR="003C75B0" w:rsidRPr="009251A8" w14:paraId="62F85216" w14:textId="77777777" w:rsidTr="00FE568D">
        <w:trPr>
          <w:trHeight w:val="255"/>
        </w:trPr>
        <w:tc>
          <w:tcPr>
            <w:tcW w:w="1810" w:type="pct"/>
            <w:noWrap/>
            <w:vAlign w:val="bottom"/>
            <w:hideMark/>
          </w:tcPr>
          <w:p w14:paraId="263976BE" w14:textId="77777777" w:rsidR="00273EB5" w:rsidRPr="004A478D" w:rsidRDefault="00273EB5" w:rsidP="00791334">
            <w:pPr>
              <w:pStyle w:val="KMC16-Tablecontent"/>
              <w:keepNext/>
              <w:keepLines/>
              <w:rPr>
                <w:b/>
                <w:lang w:val="en-AU"/>
              </w:rPr>
            </w:pPr>
            <w:r w:rsidRPr="004A478D">
              <w:rPr>
                <w:b/>
                <w:lang w:val="en-AU"/>
              </w:rPr>
              <w:t xml:space="preserve">Total </w:t>
            </w:r>
            <w:r>
              <w:rPr>
                <w:b/>
                <w:lang w:val="en-AU"/>
              </w:rPr>
              <w:t>c</w:t>
            </w:r>
            <w:r w:rsidRPr="004A478D">
              <w:rPr>
                <w:b/>
                <w:lang w:val="en-AU"/>
              </w:rPr>
              <w:t>ost of FSL</w:t>
            </w:r>
          </w:p>
        </w:tc>
        <w:tc>
          <w:tcPr>
            <w:tcW w:w="532" w:type="pct"/>
            <w:noWrap/>
          </w:tcPr>
          <w:p w14:paraId="058D2B2C" w14:textId="319A9025" w:rsidR="00273EB5" w:rsidRPr="003C75B0" w:rsidRDefault="005D2613" w:rsidP="00791334">
            <w:pPr>
              <w:pStyle w:val="Tabletext0"/>
              <w:keepNext/>
              <w:keepLines/>
            </w:pPr>
            <w:r w:rsidRPr="003C077C">
              <w:t>$</w:t>
            </w:r>
            <w:r w:rsidRPr="003C75B0">
              <w:rPr>
                <w:b/>
                <w:bCs/>
              </w:rPr>
              <w:t>Redacted</w:t>
            </w:r>
            <w:r w:rsidR="004558A5" w:rsidRPr="00B156D1">
              <w:rPr>
                <w:vertAlign w:val="superscript"/>
              </w:rPr>
              <w:t>7</w:t>
            </w:r>
          </w:p>
        </w:tc>
        <w:tc>
          <w:tcPr>
            <w:tcW w:w="532" w:type="pct"/>
            <w:noWrap/>
          </w:tcPr>
          <w:p w14:paraId="13BDE9CA" w14:textId="46F7283F" w:rsidR="00273EB5" w:rsidRPr="003C75B0" w:rsidRDefault="005D2613" w:rsidP="00791334">
            <w:pPr>
              <w:pStyle w:val="Tabletext0"/>
              <w:keepNext/>
              <w:keepLines/>
            </w:pPr>
            <w:r w:rsidRPr="003C077C">
              <w:t>$</w:t>
            </w:r>
            <w:r w:rsidRPr="003C75B0">
              <w:rPr>
                <w:b/>
                <w:bCs/>
              </w:rPr>
              <w:t>Redacted</w:t>
            </w:r>
            <w:r w:rsidR="004558A5" w:rsidRPr="00B156D1">
              <w:rPr>
                <w:vertAlign w:val="superscript"/>
              </w:rPr>
              <w:t>8</w:t>
            </w:r>
          </w:p>
        </w:tc>
        <w:tc>
          <w:tcPr>
            <w:tcW w:w="532" w:type="pct"/>
            <w:noWrap/>
          </w:tcPr>
          <w:p w14:paraId="77BEA3B3" w14:textId="28EC2D90" w:rsidR="00273EB5" w:rsidRPr="003C75B0" w:rsidRDefault="005D2613" w:rsidP="00791334">
            <w:pPr>
              <w:pStyle w:val="Tabletext0"/>
              <w:keepNext/>
              <w:keepLines/>
            </w:pPr>
            <w:r w:rsidRPr="003C077C">
              <w:t>$</w:t>
            </w:r>
            <w:r w:rsidRPr="003C75B0">
              <w:rPr>
                <w:b/>
                <w:bCs/>
              </w:rPr>
              <w:t>Redacted</w:t>
            </w:r>
            <w:r w:rsidR="004558A5" w:rsidRPr="00B156D1">
              <w:rPr>
                <w:vertAlign w:val="superscript"/>
              </w:rPr>
              <w:t>9</w:t>
            </w:r>
          </w:p>
        </w:tc>
        <w:tc>
          <w:tcPr>
            <w:tcW w:w="532" w:type="pct"/>
            <w:noWrap/>
          </w:tcPr>
          <w:p w14:paraId="679B0881" w14:textId="11B93B90" w:rsidR="00273EB5" w:rsidRPr="003C75B0" w:rsidRDefault="005D2613" w:rsidP="00791334">
            <w:pPr>
              <w:pStyle w:val="Tabletext0"/>
              <w:keepNext/>
              <w:keepLines/>
            </w:pPr>
            <w:r w:rsidRPr="003C077C">
              <w:t>$</w:t>
            </w:r>
            <w:r w:rsidRPr="003C75B0">
              <w:rPr>
                <w:b/>
                <w:bCs/>
              </w:rPr>
              <w:t>Redacted</w:t>
            </w:r>
            <w:r w:rsidRPr="003C077C" w:rsidDel="005D2613">
              <w:t xml:space="preserve"> </w:t>
            </w:r>
            <w:r w:rsidR="004558A5" w:rsidRPr="00B156D1">
              <w:rPr>
                <w:vertAlign w:val="superscript"/>
              </w:rPr>
              <w:t>10</w:t>
            </w:r>
          </w:p>
        </w:tc>
        <w:tc>
          <w:tcPr>
            <w:tcW w:w="532" w:type="pct"/>
            <w:noWrap/>
          </w:tcPr>
          <w:p w14:paraId="41A22E15" w14:textId="0A2EAB7A" w:rsidR="00273EB5" w:rsidRPr="003C75B0" w:rsidRDefault="005D2613" w:rsidP="00791334">
            <w:pPr>
              <w:pStyle w:val="Tabletext0"/>
              <w:keepNext/>
              <w:keepLines/>
            </w:pPr>
            <w:r w:rsidRPr="003C077C">
              <w:t>$</w:t>
            </w:r>
            <w:r w:rsidRPr="003C75B0">
              <w:rPr>
                <w:b/>
                <w:bCs/>
              </w:rPr>
              <w:t>Redacted</w:t>
            </w:r>
            <w:r w:rsidR="004558A5" w:rsidRPr="003C077C">
              <w:rPr>
                <w:vertAlign w:val="superscript"/>
              </w:rPr>
              <w:t>11</w:t>
            </w:r>
          </w:p>
        </w:tc>
        <w:tc>
          <w:tcPr>
            <w:tcW w:w="531" w:type="pct"/>
            <w:noWrap/>
          </w:tcPr>
          <w:p w14:paraId="05CEA0B7" w14:textId="4D7741DD" w:rsidR="00273EB5" w:rsidRPr="003C75B0" w:rsidRDefault="00273EB5" w:rsidP="00791334">
            <w:pPr>
              <w:pStyle w:val="Tabletext0"/>
              <w:keepNext/>
              <w:keepLines/>
            </w:pPr>
            <w:r w:rsidRPr="003C75B0">
              <w:t>$</w:t>
            </w:r>
            <w:r w:rsidR="003C75B0">
              <w:rPr>
                <w:b/>
                <w:bCs/>
              </w:rPr>
              <w:t>Redacted</w:t>
            </w:r>
            <w:r w:rsidR="004558A5" w:rsidRPr="00B156D1">
              <w:rPr>
                <w:vertAlign w:val="superscript"/>
              </w:rPr>
              <w:t>11</w:t>
            </w:r>
          </w:p>
        </w:tc>
      </w:tr>
      <w:tr w:rsidR="003C75B0" w:rsidRPr="00E4592D" w14:paraId="5986337C" w14:textId="77777777" w:rsidTr="00FE568D">
        <w:trPr>
          <w:trHeight w:val="765"/>
        </w:trPr>
        <w:tc>
          <w:tcPr>
            <w:tcW w:w="1810" w:type="pct"/>
            <w:vAlign w:val="center"/>
            <w:hideMark/>
          </w:tcPr>
          <w:p w14:paraId="6B720C60" w14:textId="77777777" w:rsidR="00273EB5" w:rsidRPr="004A478D" w:rsidRDefault="00273EB5" w:rsidP="00791334">
            <w:pPr>
              <w:pStyle w:val="KMC16-Tablecontent"/>
              <w:keepNext/>
              <w:keepLines/>
              <w:rPr>
                <w:i/>
                <w:lang w:val="en-AU"/>
              </w:rPr>
            </w:pPr>
            <w:r w:rsidRPr="004A478D">
              <w:rPr>
                <w:i/>
                <w:lang w:val="en-AU"/>
              </w:rPr>
              <w:t>less cost offset (patient contributions, applies to 30% (or 27%) of population who are general patients, the remaining with concession pay $0 contribution)</w:t>
            </w:r>
          </w:p>
        </w:tc>
        <w:tc>
          <w:tcPr>
            <w:tcW w:w="532" w:type="pct"/>
            <w:noWrap/>
          </w:tcPr>
          <w:p w14:paraId="1151BEC8" w14:textId="4619CB68" w:rsidR="00273EB5" w:rsidRPr="003C077C" w:rsidRDefault="00273EB5" w:rsidP="00791334">
            <w:pPr>
              <w:pStyle w:val="Tabletext0"/>
              <w:keepNext/>
              <w:keepLines/>
              <w:rPr>
                <w:highlight w:val="yellow"/>
              </w:rPr>
            </w:pPr>
            <w:r w:rsidRPr="003C75B0">
              <w:t>$</w:t>
            </w:r>
            <w:r w:rsidR="003C75B0" w:rsidRPr="003C75B0">
              <w:rPr>
                <w:b/>
                <w:bCs/>
              </w:rPr>
              <w:t>Redacted</w:t>
            </w:r>
            <w:r w:rsidR="00BD2CF9" w:rsidRPr="003C077C">
              <w:rPr>
                <w:vertAlign w:val="superscript"/>
              </w:rPr>
              <w:t>12</w:t>
            </w:r>
          </w:p>
        </w:tc>
        <w:tc>
          <w:tcPr>
            <w:tcW w:w="532" w:type="pct"/>
            <w:noWrap/>
          </w:tcPr>
          <w:p w14:paraId="0810B489" w14:textId="44A20FA0" w:rsidR="00273EB5" w:rsidRPr="003C077C" w:rsidRDefault="00273EB5" w:rsidP="00791334">
            <w:pPr>
              <w:pStyle w:val="Tabletext0"/>
              <w:keepNext/>
              <w:keepLines/>
              <w:rPr>
                <w:highlight w:val="yellow"/>
              </w:rPr>
            </w:pPr>
            <w:r w:rsidRPr="003C75B0">
              <w:t>$</w:t>
            </w:r>
            <w:r w:rsidR="003C75B0" w:rsidRPr="003C75B0">
              <w:rPr>
                <w:b/>
                <w:bCs/>
              </w:rPr>
              <w:t>Redacted</w:t>
            </w:r>
            <w:r w:rsidR="00BD2CF9" w:rsidRPr="003C077C">
              <w:rPr>
                <w:vertAlign w:val="superscript"/>
              </w:rPr>
              <w:t>12</w:t>
            </w:r>
          </w:p>
        </w:tc>
        <w:tc>
          <w:tcPr>
            <w:tcW w:w="532" w:type="pct"/>
            <w:noWrap/>
          </w:tcPr>
          <w:p w14:paraId="03EA8FE4" w14:textId="0BC9C724" w:rsidR="00273EB5" w:rsidRPr="003C077C" w:rsidRDefault="00273EB5" w:rsidP="00791334">
            <w:pPr>
              <w:pStyle w:val="Tabletext0"/>
              <w:keepNext/>
              <w:keepLines/>
              <w:rPr>
                <w:highlight w:val="yellow"/>
              </w:rPr>
            </w:pPr>
            <w:r w:rsidRPr="003C75B0">
              <w:t>$</w:t>
            </w:r>
            <w:r w:rsidR="003C75B0" w:rsidRPr="003C75B0">
              <w:rPr>
                <w:b/>
                <w:bCs/>
              </w:rPr>
              <w:t>Redacted</w:t>
            </w:r>
            <w:r w:rsidR="00BD2CF9" w:rsidRPr="003C077C">
              <w:rPr>
                <w:vertAlign w:val="superscript"/>
              </w:rPr>
              <w:t>12</w:t>
            </w:r>
          </w:p>
        </w:tc>
        <w:tc>
          <w:tcPr>
            <w:tcW w:w="532" w:type="pct"/>
            <w:noWrap/>
          </w:tcPr>
          <w:p w14:paraId="589EC012" w14:textId="02E00C5A" w:rsidR="00273EB5" w:rsidRPr="003C077C" w:rsidRDefault="00273EB5" w:rsidP="00791334">
            <w:pPr>
              <w:pStyle w:val="Tabletext0"/>
              <w:keepNext/>
              <w:keepLines/>
              <w:rPr>
                <w:highlight w:val="yellow"/>
              </w:rPr>
            </w:pPr>
            <w:r w:rsidRPr="003C75B0">
              <w:t>$</w:t>
            </w:r>
            <w:r w:rsidR="003C75B0" w:rsidRPr="003C75B0">
              <w:rPr>
                <w:b/>
                <w:bCs/>
              </w:rPr>
              <w:t>Redacted</w:t>
            </w:r>
            <w:r w:rsidR="00BD2CF9" w:rsidRPr="003C077C">
              <w:rPr>
                <w:vertAlign w:val="superscript"/>
              </w:rPr>
              <w:t>12</w:t>
            </w:r>
          </w:p>
        </w:tc>
        <w:tc>
          <w:tcPr>
            <w:tcW w:w="532" w:type="pct"/>
            <w:noWrap/>
          </w:tcPr>
          <w:p w14:paraId="5D3B4CC0" w14:textId="68467AEF" w:rsidR="00273EB5" w:rsidRPr="003C077C" w:rsidRDefault="00273EB5" w:rsidP="00791334">
            <w:pPr>
              <w:pStyle w:val="Tabletext0"/>
              <w:keepNext/>
              <w:keepLines/>
              <w:rPr>
                <w:highlight w:val="yellow"/>
              </w:rPr>
            </w:pPr>
            <w:r w:rsidRPr="003C75B0">
              <w:t>$</w:t>
            </w:r>
            <w:r w:rsidR="003C75B0" w:rsidRPr="003C75B0">
              <w:rPr>
                <w:b/>
                <w:bCs/>
              </w:rPr>
              <w:t>Redacted</w:t>
            </w:r>
            <w:r w:rsidR="00BD2CF9" w:rsidRPr="003C077C">
              <w:rPr>
                <w:vertAlign w:val="superscript"/>
              </w:rPr>
              <w:t>12</w:t>
            </w:r>
          </w:p>
        </w:tc>
        <w:tc>
          <w:tcPr>
            <w:tcW w:w="531" w:type="pct"/>
            <w:noWrap/>
          </w:tcPr>
          <w:p w14:paraId="46FC5643" w14:textId="1F0FF16C" w:rsidR="00273EB5" w:rsidRPr="003C077C" w:rsidRDefault="00273EB5" w:rsidP="00791334">
            <w:pPr>
              <w:pStyle w:val="Tabletext0"/>
              <w:keepNext/>
              <w:keepLines/>
              <w:rPr>
                <w:highlight w:val="yellow"/>
              </w:rPr>
            </w:pPr>
            <w:r w:rsidRPr="003C75B0">
              <w:t>$</w:t>
            </w:r>
            <w:r w:rsidR="003C75B0" w:rsidRPr="003C75B0">
              <w:rPr>
                <w:b/>
                <w:bCs/>
              </w:rPr>
              <w:t>Redacted</w:t>
            </w:r>
            <w:r w:rsidR="00BD2CF9" w:rsidRPr="003C077C">
              <w:rPr>
                <w:vertAlign w:val="superscript"/>
              </w:rPr>
              <w:t>12</w:t>
            </w:r>
          </w:p>
        </w:tc>
      </w:tr>
      <w:tr w:rsidR="003C75B0" w:rsidRPr="009251A8" w14:paraId="580E6EA7" w14:textId="77777777" w:rsidTr="00FE568D">
        <w:trPr>
          <w:trHeight w:val="255"/>
        </w:trPr>
        <w:tc>
          <w:tcPr>
            <w:tcW w:w="1810" w:type="pct"/>
            <w:noWrap/>
            <w:vAlign w:val="bottom"/>
            <w:hideMark/>
          </w:tcPr>
          <w:p w14:paraId="0C721283" w14:textId="77777777" w:rsidR="00273EB5" w:rsidRPr="004A478D" w:rsidRDefault="00273EB5" w:rsidP="00791334">
            <w:pPr>
              <w:pStyle w:val="KMC16-Tablecontent"/>
              <w:keepNext/>
              <w:keepLines/>
              <w:rPr>
                <w:b/>
                <w:lang w:val="en-AU"/>
              </w:rPr>
            </w:pPr>
            <w:r w:rsidRPr="004A478D">
              <w:rPr>
                <w:b/>
                <w:lang w:val="en-AU"/>
              </w:rPr>
              <w:t xml:space="preserve">Net </w:t>
            </w:r>
            <w:r>
              <w:rPr>
                <w:b/>
                <w:lang w:val="en-AU"/>
              </w:rPr>
              <w:t>c</w:t>
            </w:r>
            <w:r w:rsidRPr="004A478D">
              <w:rPr>
                <w:b/>
                <w:lang w:val="en-AU"/>
              </w:rPr>
              <w:t>ost of FSL</w:t>
            </w:r>
          </w:p>
        </w:tc>
        <w:tc>
          <w:tcPr>
            <w:tcW w:w="532" w:type="pct"/>
            <w:noWrap/>
          </w:tcPr>
          <w:p w14:paraId="0F3CE5BD" w14:textId="4DEEB4FB" w:rsidR="00273EB5" w:rsidRPr="00162E19" w:rsidRDefault="000D177B" w:rsidP="00791334">
            <w:pPr>
              <w:pStyle w:val="Tabletext0"/>
              <w:keepNext/>
              <w:keepLines/>
            </w:pPr>
            <w:r w:rsidRPr="00162E19">
              <w:t>$</w:t>
            </w:r>
            <w:r w:rsidRPr="00162E19">
              <w:rPr>
                <w:b/>
                <w:bCs/>
              </w:rPr>
              <w:t>Redacted</w:t>
            </w:r>
            <w:r w:rsidR="00E479FF" w:rsidRPr="00B156D1">
              <w:rPr>
                <w:vertAlign w:val="superscript"/>
              </w:rPr>
              <w:t>7</w:t>
            </w:r>
          </w:p>
        </w:tc>
        <w:tc>
          <w:tcPr>
            <w:tcW w:w="532" w:type="pct"/>
            <w:noWrap/>
          </w:tcPr>
          <w:p w14:paraId="2E463557" w14:textId="7FAD1334" w:rsidR="00273EB5" w:rsidRPr="00162E19" w:rsidRDefault="000D177B" w:rsidP="00791334">
            <w:pPr>
              <w:pStyle w:val="Tabletext0"/>
              <w:keepNext/>
              <w:keepLines/>
            </w:pPr>
            <w:r w:rsidRPr="00162E19">
              <w:t>$</w:t>
            </w:r>
            <w:r w:rsidRPr="00162E19">
              <w:rPr>
                <w:b/>
                <w:bCs/>
              </w:rPr>
              <w:t>Redacted</w:t>
            </w:r>
            <w:r w:rsidR="00E479FF" w:rsidRPr="003C077C">
              <w:rPr>
                <w:vertAlign w:val="superscript"/>
              </w:rPr>
              <w:t>8</w:t>
            </w:r>
          </w:p>
        </w:tc>
        <w:tc>
          <w:tcPr>
            <w:tcW w:w="532" w:type="pct"/>
            <w:noWrap/>
          </w:tcPr>
          <w:p w14:paraId="56790E7D" w14:textId="5CACBD93" w:rsidR="00273EB5" w:rsidRPr="00162E19" w:rsidRDefault="0025102B" w:rsidP="00791334">
            <w:pPr>
              <w:pStyle w:val="Tabletext0"/>
              <w:keepNext/>
              <w:keepLines/>
            </w:pPr>
            <w:r w:rsidRPr="00162E19">
              <w:t>$</w:t>
            </w:r>
            <w:r w:rsidRPr="00162E19">
              <w:rPr>
                <w:b/>
                <w:bCs/>
              </w:rPr>
              <w:t>Redacted</w:t>
            </w:r>
            <w:r w:rsidR="00E479FF" w:rsidRPr="00B156D1">
              <w:rPr>
                <w:vertAlign w:val="superscript"/>
              </w:rPr>
              <w:t>9</w:t>
            </w:r>
          </w:p>
        </w:tc>
        <w:tc>
          <w:tcPr>
            <w:tcW w:w="532" w:type="pct"/>
            <w:noWrap/>
          </w:tcPr>
          <w:p w14:paraId="7D2DC0FA" w14:textId="678E1E27" w:rsidR="00273EB5" w:rsidRPr="00162E19" w:rsidRDefault="0025102B" w:rsidP="00791334">
            <w:pPr>
              <w:pStyle w:val="Tabletext0"/>
              <w:keepNext/>
              <w:keepLines/>
            </w:pPr>
            <w:r w:rsidRPr="00162E19">
              <w:t>$</w:t>
            </w:r>
            <w:r w:rsidRPr="00162E19">
              <w:rPr>
                <w:b/>
                <w:bCs/>
              </w:rPr>
              <w:t>Redacted</w:t>
            </w:r>
            <w:r w:rsidR="00E479FF" w:rsidRPr="00B156D1">
              <w:rPr>
                <w:vertAlign w:val="superscript"/>
              </w:rPr>
              <w:t>14</w:t>
            </w:r>
          </w:p>
        </w:tc>
        <w:tc>
          <w:tcPr>
            <w:tcW w:w="532" w:type="pct"/>
            <w:noWrap/>
          </w:tcPr>
          <w:p w14:paraId="5F51226A" w14:textId="1257B9A4" w:rsidR="00273EB5" w:rsidRPr="00162E19" w:rsidRDefault="0025102B" w:rsidP="00791334">
            <w:pPr>
              <w:pStyle w:val="Tabletext0"/>
              <w:keepNext/>
              <w:keepLines/>
            </w:pPr>
            <w:r w:rsidRPr="00162E19">
              <w:t>$</w:t>
            </w:r>
            <w:r w:rsidRPr="00162E19">
              <w:rPr>
                <w:b/>
                <w:bCs/>
              </w:rPr>
              <w:t>Redacted</w:t>
            </w:r>
            <w:r w:rsidR="00776605" w:rsidRPr="00B156D1">
              <w:rPr>
                <w:vertAlign w:val="superscript"/>
              </w:rPr>
              <w:t>10</w:t>
            </w:r>
          </w:p>
        </w:tc>
        <w:tc>
          <w:tcPr>
            <w:tcW w:w="531" w:type="pct"/>
            <w:noWrap/>
          </w:tcPr>
          <w:p w14:paraId="46A2366B" w14:textId="35574BD9" w:rsidR="00273EB5" w:rsidRPr="00162E19" w:rsidRDefault="0025102B" w:rsidP="00791334">
            <w:pPr>
              <w:pStyle w:val="Tabletext0"/>
              <w:keepNext/>
              <w:keepLines/>
            </w:pPr>
            <w:r w:rsidRPr="00162E19">
              <w:t>$</w:t>
            </w:r>
            <w:r w:rsidRPr="00162E19">
              <w:rPr>
                <w:b/>
                <w:bCs/>
              </w:rPr>
              <w:t>Redacted</w:t>
            </w:r>
            <w:r w:rsidR="00776605" w:rsidRPr="00B156D1">
              <w:rPr>
                <w:vertAlign w:val="superscript"/>
              </w:rPr>
              <w:t>11</w:t>
            </w:r>
          </w:p>
        </w:tc>
      </w:tr>
      <w:tr w:rsidR="003C75B0" w:rsidRPr="009251A8" w14:paraId="6C35C8FA" w14:textId="77777777" w:rsidTr="00FE568D">
        <w:trPr>
          <w:trHeight w:val="255"/>
        </w:trPr>
        <w:tc>
          <w:tcPr>
            <w:tcW w:w="1810" w:type="pct"/>
            <w:noWrap/>
            <w:vAlign w:val="bottom"/>
            <w:hideMark/>
          </w:tcPr>
          <w:p w14:paraId="3CB7D6F5" w14:textId="77777777" w:rsidR="00273EB5" w:rsidRPr="004A478D" w:rsidRDefault="00273EB5" w:rsidP="00791334">
            <w:pPr>
              <w:pStyle w:val="KMC16-Tablecontent"/>
              <w:keepNext/>
              <w:keepLines/>
              <w:rPr>
                <w:b/>
                <w:lang w:val="en-AU"/>
              </w:rPr>
            </w:pPr>
            <w:r w:rsidRPr="004A478D">
              <w:rPr>
                <w:b/>
                <w:lang w:val="en-AU"/>
              </w:rPr>
              <w:t xml:space="preserve">Change in SMBG </w:t>
            </w:r>
            <w:r>
              <w:rPr>
                <w:b/>
                <w:lang w:val="en-AU"/>
              </w:rPr>
              <w:t>u</w:t>
            </w:r>
            <w:r w:rsidRPr="004A478D">
              <w:rPr>
                <w:b/>
                <w:lang w:val="en-AU"/>
              </w:rPr>
              <w:t>se</w:t>
            </w:r>
          </w:p>
        </w:tc>
        <w:tc>
          <w:tcPr>
            <w:tcW w:w="532" w:type="pct"/>
            <w:noWrap/>
          </w:tcPr>
          <w:p w14:paraId="73BE4A1F" w14:textId="77777777" w:rsidR="00273EB5" w:rsidRPr="00162E19" w:rsidRDefault="00273EB5" w:rsidP="00791334">
            <w:pPr>
              <w:pStyle w:val="Tabletext0"/>
              <w:keepNext/>
              <w:keepLines/>
            </w:pPr>
          </w:p>
        </w:tc>
        <w:tc>
          <w:tcPr>
            <w:tcW w:w="532" w:type="pct"/>
            <w:noWrap/>
          </w:tcPr>
          <w:p w14:paraId="662E6E49" w14:textId="77777777" w:rsidR="00273EB5" w:rsidRPr="00162E19" w:rsidRDefault="00273EB5" w:rsidP="00791334">
            <w:pPr>
              <w:pStyle w:val="Tabletext0"/>
              <w:keepNext/>
              <w:keepLines/>
            </w:pPr>
          </w:p>
        </w:tc>
        <w:tc>
          <w:tcPr>
            <w:tcW w:w="532" w:type="pct"/>
            <w:noWrap/>
          </w:tcPr>
          <w:p w14:paraId="1E49DD6F" w14:textId="77777777" w:rsidR="00273EB5" w:rsidRPr="00162E19" w:rsidRDefault="00273EB5" w:rsidP="00791334">
            <w:pPr>
              <w:pStyle w:val="Tabletext0"/>
              <w:keepNext/>
              <w:keepLines/>
            </w:pPr>
          </w:p>
        </w:tc>
        <w:tc>
          <w:tcPr>
            <w:tcW w:w="532" w:type="pct"/>
            <w:noWrap/>
          </w:tcPr>
          <w:p w14:paraId="12C0A8EB" w14:textId="77777777" w:rsidR="00273EB5" w:rsidRPr="00162E19" w:rsidRDefault="00273EB5" w:rsidP="00791334">
            <w:pPr>
              <w:pStyle w:val="Tabletext0"/>
              <w:keepNext/>
              <w:keepLines/>
            </w:pPr>
          </w:p>
        </w:tc>
        <w:tc>
          <w:tcPr>
            <w:tcW w:w="532" w:type="pct"/>
            <w:noWrap/>
          </w:tcPr>
          <w:p w14:paraId="041CFEB1" w14:textId="77777777" w:rsidR="00273EB5" w:rsidRPr="00162E19" w:rsidRDefault="00273EB5" w:rsidP="00791334">
            <w:pPr>
              <w:pStyle w:val="Tabletext0"/>
              <w:keepNext/>
              <w:keepLines/>
            </w:pPr>
          </w:p>
        </w:tc>
        <w:tc>
          <w:tcPr>
            <w:tcW w:w="531" w:type="pct"/>
            <w:noWrap/>
          </w:tcPr>
          <w:p w14:paraId="67636C11" w14:textId="77777777" w:rsidR="00273EB5" w:rsidRPr="00162E19" w:rsidRDefault="00273EB5" w:rsidP="00791334">
            <w:pPr>
              <w:pStyle w:val="Tabletext0"/>
              <w:keepNext/>
              <w:keepLines/>
            </w:pPr>
          </w:p>
        </w:tc>
      </w:tr>
      <w:tr w:rsidR="003C75B0" w:rsidRPr="00E4592D" w14:paraId="022BC86C" w14:textId="77777777" w:rsidTr="00FE568D">
        <w:trPr>
          <w:trHeight w:val="255"/>
        </w:trPr>
        <w:tc>
          <w:tcPr>
            <w:tcW w:w="1810" w:type="pct"/>
            <w:vAlign w:val="center"/>
            <w:hideMark/>
          </w:tcPr>
          <w:p w14:paraId="666C01E0" w14:textId="5B931D0D" w:rsidR="00273EB5" w:rsidRPr="004A478D" w:rsidRDefault="00273EB5" w:rsidP="00791334">
            <w:pPr>
              <w:pStyle w:val="KMC16-Tablecontent"/>
              <w:keepNext/>
              <w:keepLines/>
              <w:rPr>
                <w:i/>
                <w:lang w:val="en-AU"/>
              </w:rPr>
            </w:pPr>
            <w:r w:rsidRPr="004A478D">
              <w:rPr>
                <w:i/>
                <w:lang w:val="en-AU"/>
              </w:rPr>
              <w:t>less cost offsets (reduced glucose strip</w:t>
            </w:r>
            <w:r>
              <w:rPr>
                <w:i/>
                <w:lang w:val="en-AU"/>
              </w:rPr>
              <w:t xml:space="preserve">s costing </w:t>
            </w:r>
            <w:r w:rsidR="00226443">
              <w:rPr>
                <w:color w:val="auto"/>
              </w:rPr>
              <w:t>$</w:t>
            </w:r>
            <w:r>
              <w:rPr>
                <w:i/>
                <w:lang w:val="en-AU"/>
              </w:rPr>
              <w:t>19.10 per pack</w:t>
            </w:r>
            <w:r w:rsidRPr="004A478D">
              <w:rPr>
                <w:i/>
                <w:lang w:val="en-AU"/>
              </w:rPr>
              <w:t>)</w:t>
            </w:r>
          </w:p>
        </w:tc>
        <w:tc>
          <w:tcPr>
            <w:tcW w:w="532" w:type="pct"/>
            <w:noWrap/>
          </w:tcPr>
          <w:p w14:paraId="5890CD4F" w14:textId="1DCDD60B" w:rsidR="00273EB5" w:rsidRPr="00162E19" w:rsidRDefault="0025102B" w:rsidP="00791334">
            <w:pPr>
              <w:pStyle w:val="Tabletext0"/>
              <w:keepNext/>
              <w:keepLines/>
            </w:pPr>
            <w:r w:rsidRPr="00162E19">
              <w:t>$</w:t>
            </w:r>
            <w:r w:rsidRPr="00162E19">
              <w:rPr>
                <w:b/>
                <w:bCs/>
              </w:rPr>
              <w:t>Redacted</w:t>
            </w:r>
            <w:r w:rsidR="00BD2CF9" w:rsidRPr="00B156D1">
              <w:rPr>
                <w:vertAlign w:val="superscript"/>
              </w:rPr>
              <w:t>12</w:t>
            </w:r>
          </w:p>
        </w:tc>
        <w:tc>
          <w:tcPr>
            <w:tcW w:w="532" w:type="pct"/>
            <w:noWrap/>
          </w:tcPr>
          <w:p w14:paraId="46212EDC" w14:textId="0C711252" w:rsidR="00273EB5" w:rsidRPr="00162E19" w:rsidRDefault="0025102B" w:rsidP="00791334">
            <w:pPr>
              <w:pStyle w:val="Tabletext0"/>
              <w:keepNext/>
              <w:keepLines/>
            </w:pPr>
            <w:r w:rsidRPr="00162E19">
              <w:t>$</w:t>
            </w:r>
            <w:r w:rsidRPr="00162E19">
              <w:rPr>
                <w:b/>
                <w:bCs/>
              </w:rPr>
              <w:t>Redacted</w:t>
            </w:r>
            <w:r w:rsidR="00BD2CF9" w:rsidRPr="00B156D1">
              <w:rPr>
                <w:vertAlign w:val="superscript"/>
              </w:rPr>
              <w:t>13</w:t>
            </w:r>
          </w:p>
        </w:tc>
        <w:tc>
          <w:tcPr>
            <w:tcW w:w="532" w:type="pct"/>
            <w:noWrap/>
          </w:tcPr>
          <w:p w14:paraId="020F7BA0" w14:textId="68D89473" w:rsidR="00273EB5" w:rsidRPr="00162E19" w:rsidRDefault="0025102B" w:rsidP="00791334">
            <w:pPr>
              <w:pStyle w:val="Tabletext0"/>
              <w:keepNext/>
              <w:keepLines/>
            </w:pPr>
            <w:r w:rsidRPr="00162E19">
              <w:t>$</w:t>
            </w:r>
            <w:r w:rsidRPr="00162E19">
              <w:rPr>
                <w:b/>
                <w:bCs/>
              </w:rPr>
              <w:t>Redacted</w:t>
            </w:r>
            <w:r w:rsidR="00BD2CF9" w:rsidRPr="00B156D1">
              <w:rPr>
                <w:vertAlign w:val="superscript"/>
              </w:rPr>
              <w:t>13</w:t>
            </w:r>
          </w:p>
        </w:tc>
        <w:tc>
          <w:tcPr>
            <w:tcW w:w="532" w:type="pct"/>
            <w:noWrap/>
          </w:tcPr>
          <w:p w14:paraId="27066A77" w14:textId="57C3F69D" w:rsidR="00273EB5" w:rsidRPr="00162E19" w:rsidRDefault="0025102B" w:rsidP="00791334">
            <w:pPr>
              <w:pStyle w:val="Tabletext0"/>
              <w:keepNext/>
              <w:keepLines/>
            </w:pPr>
            <w:r w:rsidRPr="00162E19">
              <w:t>$</w:t>
            </w:r>
            <w:r w:rsidRPr="00162E19">
              <w:rPr>
                <w:b/>
                <w:bCs/>
              </w:rPr>
              <w:t>Redacted</w:t>
            </w:r>
            <w:r w:rsidR="00BD2CF9" w:rsidRPr="00B156D1">
              <w:rPr>
                <w:vertAlign w:val="superscript"/>
              </w:rPr>
              <w:t>13</w:t>
            </w:r>
          </w:p>
        </w:tc>
        <w:tc>
          <w:tcPr>
            <w:tcW w:w="532" w:type="pct"/>
            <w:noWrap/>
          </w:tcPr>
          <w:p w14:paraId="3C2F19B2" w14:textId="13D8C206" w:rsidR="00273EB5" w:rsidRPr="00162E19" w:rsidRDefault="0025102B" w:rsidP="00791334">
            <w:pPr>
              <w:pStyle w:val="Tabletext0"/>
              <w:keepNext/>
              <w:keepLines/>
            </w:pPr>
            <w:r w:rsidRPr="00162E19">
              <w:t>$</w:t>
            </w:r>
            <w:r w:rsidRPr="00162E19">
              <w:rPr>
                <w:b/>
                <w:bCs/>
              </w:rPr>
              <w:t>Redacted</w:t>
            </w:r>
            <w:r w:rsidR="00BD2CF9" w:rsidRPr="00B156D1">
              <w:rPr>
                <w:vertAlign w:val="superscript"/>
              </w:rPr>
              <w:t>13</w:t>
            </w:r>
          </w:p>
        </w:tc>
        <w:tc>
          <w:tcPr>
            <w:tcW w:w="531" w:type="pct"/>
            <w:noWrap/>
          </w:tcPr>
          <w:p w14:paraId="75F99090" w14:textId="27AEC6D9" w:rsidR="00273EB5" w:rsidRPr="00162E19" w:rsidRDefault="0025102B" w:rsidP="00791334">
            <w:pPr>
              <w:pStyle w:val="Tabletext0"/>
              <w:keepNext/>
              <w:keepLines/>
            </w:pPr>
            <w:r w:rsidRPr="00162E19">
              <w:t>$</w:t>
            </w:r>
            <w:r w:rsidRPr="00162E19">
              <w:rPr>
                <w:b/>
                <w:bCs/>
              </w:rPr>
              <w:t>Redacted</w:t>
            </w:r>
            <w:r w:rsidR="00BD2CF9" w:rsidRPr="00B156D1">
              <w:rPr>
                <w:vertAlign w:val="superscript"/>
              </w:rPr>
              <w:t>13</w:t>
            </w:r>
          </w:p>
        </w:tc>
      </w:tr>
      <w:tr w:rsidR="003C75B0" w:rsidRPr="009251A8" w14:paraId="64E67988" w14:textId="77777777" w:rsidTr="00FE568D">
        <w:trPr>
          <w:trHeight w:val="270"/>
        </w:trPr>
        <w:tc>
          <w:tcPr>
            <w:tcW w:w="1810" w:type="pct"/>
            <w:noWrap/>
            <w:vAlign w:val="bottom"/>
            <w:hideMark/>
          </w:tcPr>
          <w:p w14:paraId="64B47E1F" w14:textId="77777777" w:rsidR="00273EB5" w:rsidRPr="004A478D" w:rsidRDefault="00273EB5" w:rsidP="00791334">
            <w:pPr>
              <w:pStyle w:val="KMC16-Tablecontent"/>
              <w:keepNext/>
              <w:keepLines/>
              <w:rPr>
                <w:b/>
                <w:lang w:val="en-AU"/>
              </w:rPr>
            </w:pPr>
            <w:r w:rsidRPr="004A478D">
              <w:rPr>
                <w:b/>
                <w:lang w:val="en-AU"/>
              </w:rPr>
              <w:t xml:space="preserve">Total </w:t>
            </w:r>
            <w:r>
              <w:rPr>
                <w:b/>
                <w:lang w:val="en-AU"/>
              </w:rPr>
              <w:t>n</w:t>
            </w:r>
            <w:r w:rsidRPr="00A54EDF">
              <w:rPr>
                <w:b/>
                <w:lang w:val="en-AU"/>
              </w:rPr>
              <w:t xml:space="preserve">et </w:t>
            </w:r>
            <w:r>
              <w:rPr>
                <w:b/>
                <w:lang w:val="en-AU"/>
              </w:rPr>
              <w:t>c</w:t>
            </w:r>
            <w:r w:rsidRPr="004A478D">
              <w:rPr>
                <w:b/>
                <w:lang w:val="en-AU"/>
              </w:rPr>
              <w:t>ost</w:t>
            </w:r>
          </w:p>
        </w:tc>
        <w:tc>
          <w:tcPr>
            <w:tcW w:w="532" w:type="pct"/>
            <w:noWrap/>
          </w:tcPr>
          <w:p w14:paraId="7B574F84" w14:textId="004BAE35" w:rsidR="00273EB5" w:rsidRPr="00162E19" w:rsidRDefault="0025102B" w:rsidP="00791334">
            <w:pPr>
              <w:pStyle w:val="Tabletext0"/>
              <w:keepNext/>
              <w:keepLines/>
            </w:pPr>
            <w:r w:rsidRPr="00162E19">
              <w:t>$</w:t>
            </w:r>
            <w:r w:rsidRPr="00162E19">
              <w:rPr>
                <w:b/>
                <w:bCs/>
              </w:rPr>
              <w:t>Redacted</w:t>
            </w:r>
            <w:r w:rsidR="00BF6EB9" w:rsidRPr="003C077C">
              <w:rPr>
                <w:vertAlign w:val="superscript"/>
              </w:rPr>
              <w:t>15</w:t>
            </w:r>
          </w:p>
        </w:tc>
        <w:tc>
          <w:tcPr>
            <w:tcW w:w="532" w:type="pct"/>
            <w:noWrap/>
          </w:tcPr>
          <w:p w14:paraId="5F926D24" w14:textId="4F27BCC8" w:rsidR="00273EB5" w:rsidRPr="00162E19" w:rsidRDefault="0025102B" w:rsidP="00791334">
            <w:pPr>
              <w:pStyle w:val="Tabletext0"/>
              <w:keepNext/>
              <w:keepLines/>
            </w:pPr>
            <w:r w:rsidRPr="00162E19">
              <w:t>$</w:t>
            </w:r>
            <w:r w:rsidRPr="00162E19">
              <w:rPr>
                <w:b/>
                <w:bCs/>
              </w:rPr>
              <w:t>Redacted</w:t>
            </w:r>
            <w:r w:rsidR="00054721" w:rsidRPr="003C077C">
              <w:rPr>
                <w:vertAlign w:val="superscript"/>
              </w:rPr>
              <w:t>16</w:t>
            </w:r>
          </w:p>
        </w:tc>
        <w:tc>
          <w:tcPr>
            <w:tcW w:w="532" w:type="pct"/>
            <w:noWrap/>
          </w:tcPr>
          <w:p w14:paraId="0F71F764" w14:textId="68EF554F" w:rsidR="00273EB5" w:rsidRPr="00162E19" w:rsidRDefault="0025102B" w:rsidP="00791334">
            <w:pPr>
              <w:pStyle w:val="Tabletext0"/>
              <w:keepNext/>
              <w:keepLines/>
            </w:pPr>
            <w:r w:rsidRPr="00162E19">
              <w:t>$</w:t>
            </w:r>
            <w:r w:rsidRPr="00162E19">
              <w:rPr>
                <w:b/>
                <w:bCs/>
              </w:rPr>
              <w:t>Redacted</w:t>
            </w:r>
            <w:r w:rsidR="00054721" w:rsidRPr="003C077C">
              <w:rPr>
                <w:vertAlign w:val="superscript"/>
              </w:rPr>
              <w:t>8</w:t>
            </w:r>
          </w:p>
        </w:tc>
        <w:tc>
          <w:tcPr>
            <w:tcW w:w="532" w:type="pct"/>
            <w:noWrap/>
          </w:tcPr>
          <w:p w14:paraId="222C6DBA" w14:textId="40A89B94" w:rsidR="00273EB5" w:rsidRPr="00162E19" w:rsidRDefault="0025102B" w:rsidP="00791334">
            <w:pPr>
              <w:pStyle w:val="Tabletext0"/>
              <w:keepNext/>
              <w:keepLines/>
            </w:pPr>
            <w:r w:rsidRPr="00162E19">
              <w:t>$</w:t>
            </w:r>
            <w:r w:rsidRPr="00162E19">
              <w:rPr>
                <w:b/>
                <w:bCs/>
              </w:rPr>
              <w:t>Redacted</w:t>
            </w:r>
            <w:r w:rsidR="00081BA2" w:rsidRPr="003C077C">
              <w:rPr>
                <w:vertAlign w:val="superscript"/>
              </w:rPr>
              <w:t>17</w:t>
            </w:r>
          </w:p>
        </w:tc>
        <w:tc>
          <w:tcPr>
            <w:tcW w:w="532" w:type="pct"/>
            <w:noWrap/>
          </w:tcPr>
          <w:p w14:paraId="1D7A4D77" w14:textId="1F655B7A" w:rsidR="00273EB5" w:rsidRPr="003C077C" w:rsidRDefault="0025102B" w:rsidP="00791334">
            <w:pPr>
              <w:pStyle w:val="Tabletext0"/>
              <w:keepNext/>
              <w:keepLines/>
              <w:rPr>
                <w:vertAlign w:val="superscript"/>
              </w:rPr>
            </w:pPr>
            <w:r w:rsidRPr="00162E19">
              <w:t>$</w:t>
            </w:r>
            <w:r w:rsidRPr="00162E19">
              <w:rPr>
                <w:b/>
                <w:bCs/>
              </w:rPr>
              <w:t>Redacted</w:t>
            </w:r>
            <w:r w:rsidR="00081BA2" w:rsidRPr="003C077C">
              <w:rPr>
                <w:vertAlign w:val="superscript"/>
              </w:rPr>
              <w:t>9</w:t>
            </w:r>
          </w:p>
        </w:tc>
        <w:tc>
          <w:tcPr>
            <w:tcW w:w="531" w:type="pct"/>
            <w:noWrap/>
          </w:tcPr>
          <w:p w14:paraId="77FAA059" w14:textId="460BE1CC" w:rsidR="00273EB5" w:rsidRPr="00162E19" w:rsidRDefault="0025102B" w:rsidP="00791334">
            <w:pPr>
              <w:pStyle w:val="Tabletext0"/>
              <w:keepNext/>
              <w:keepLines/>
            </w:pPr>
            <w:r w:rsidRPr="00162E19">
              <w:t>$</w:t>
            </w:r>
            <w:r w:rsidRPr="00162E19">
              <w:rPr>
                <w:b/>
                <w:bCs/>
              </w:rPr>
              <w:t>Redacted</w:t>
            </w:r>
            <w:r w:rsidR="00081BA2" w:rsidRPr="00B156D1">
              <w:rPr>
                <w:vertAlign w:val="superscript"/>
              </w:rPr>
              <w:t>14</w:t>
            </w:r>
          </w:p>
        </w:tc>
      </w:tr>
    </w:tbl>
    <w:p w14:paraId="3CAC4E2A" w14:textId="3ED3BC53" w:rsidR="00282959" w:rsidRDefault="00FE568D" w:rsidP="00FE568D">
      <w:pPr>
        <w:pStyle w:val="KMC16-TFNotes"/>
        <w:jc w:val="left"/>
        <w:rPr>
          <w:rFonts w:ascii="Arial Narrow" w:hAnsi="Arial Narrow"/>
          <w:sz w:val="18"/>
          <w:szCs w:val="18"/>
        </w:rPr>
      </w:pPr>
      <w:bookmarkStart w:id="80" w:name="_Ref193961427"/>
      <w:r>
        <w:rPr>
          <w:rFonts w:ascii="Arial Narrow" w:hAnsi="Arial Narrow"/>
          <w:sz w:val="18"/>
          <w:szCs w:val="18"/>
        </w:rPr>
        <w:t>The redacted values correspond to the following ranges:</w:t>
      </w:r>
    </w:p>
    <w:p w14:paraId="3AE0B7B3" w14:textId="40A6422F" w:rsidR="00FE568D" w:rsidRDefault="00FE568D" w:rsidP="00FE568D">
      <w:pPr>
        <w:pStyle w:val="KMC16-TFNotes"/>
        <w:jc w:val="left"/>
        <w:rPr>
          <w:rFonts w:ascii="Arial Narrow" w:hAnsi="Arial Narrow"/>
          <w:sz w:val="18"/>
          <w:szCs w:val="18"/>
        </w:rPr>
      </w:pPr>
      <w:r>
        <w:rPr>
          <w:rFonts w:ascii="Arial Narrow" w:hAnsi="Arial Narrow"/>
          <w:sz w:val="18"/>
          <w:szCs w:val="18"/>
          <w:vertAlign w:val="superscript"/>
        </w:rPr>
        <w:t>1</w:t>
      </w:r>
      <w:r>
        <w:rPr>
          <w:rFonts w:ascii="Arial Narrow" w:hAnsi="Arial Narrow"/>
          <w:sz w:val="18"/>
          <w:szCs w:val="18"/>
        </w:rPr>
        <w:t xml:space="preserve"> 2</w:t>
      </w:r>
      <w:r w:rsidR="00282959">
        <w:rPr>
          <w:rFonts w:ascii="Arial Narrow" w:hAnsi="Arial Narrow"/>
          <w:sz w:val="18"/>
          <w:szCs w:val="18"/>
        </w:rPr>
        <w:t>0</w:t>
      </w:r>
      <w:r>
        <w:rPr>
          <w:rFonts w:ascii="Arial Narrow" w:hAnsi="Arial Narrow"/>
          <w:sz w:val="18"/>
          <w:szCs w:val="18"/>
        </w:rPr>
        <w:t>,000 to &lt; 3</w:t>
      </w:r>
      <w:r w:rsidR="00282959">
        <w:rPr>
          <w:rFonts w:ascii="Arial Narrow" w:hAnsi="Arial Narrow"/>
          <w:sz w:val="18"/>
          <w:szCs w:val="18"/>
        </w:rPr>
        <w:t>0</w:t>
      </w:r>
      <w:r>
        <w:rPr>
          <w:rFonts w:ascii="Arial Narrow" w:hAnsi="Arial Narrow"/>
          <w:sz w:val="18"/>
          <w:szCs w:val="18"/>
        </w:rPr>
        <w:t>,000</w:t>
      </w:r>
    </w:p>
    <w:p w14:paraId="0AEDA16C" w14:textId="588784EE" w:rsidR="00FE568D" w:rsidRDefault="00683F3F" w:rsidP="00F37DB1">
      <w:pPr>
        <w:pStyle w:val="KMC16-TFNotes"/>
        <w:jc w:val="left"/>
        <w:rPr>
          <w:rFonts w:ascii="Arial Narrow" w:hAnsi="Arial Narrow"/>
          <w:sz w:val="18"/>
          <w:szCs w:val="18"/>
        </w:rPr>
      </w:pPr>
      <w:r w:rsidRPr="003C077C">
        <w:rPr>
          <w:rFonts w:ascii="Arial Narrow" w:hAnsi="Arial Narrow"/>
          <w:sz w:val="18"/>
          <w:szCs w:val="18"/>
          <w:vertAlign w:val="superscript"/>
        </w:rPr>
        <w:t>2</w:t>
      </w:r>
      <w:r w:rsidR="00FE568D">
        <w:rPr>
          <w:rFonts w:ascii="Arial Narrow" w:hAnsi="Arial Narrow"/>
          <w:sz w:val="18"/>
          <w:szCs w:val="18"/>
        </w:rPr>
        <w:t xml:space="preserve"> </w:t>
      </w:r>
      <w:r>
        <w:rPr>
          <w:rFonts w:ascii="Arial Narrow" w:hAnsi="Arial Narrow"/>
          <w:sz w:val="18"/>
          <w:szCs w:val="18"/>
        </w:rPr>
        <w:t>40</w:t>
      </w:r>
      <w:r w:rsidR="00FE568D">
        <w:rPr>
          <w:rFonts w:ascii="Arial Narrow" w:hAnsi="Arial Narrow"/>
          <w:sz w:val="18"/>
          <w:szCs w:val="18"/>
        </w:rPr>
        <w:t xml:space="preserve">,000 to &lt; </w:t>
      </w:r>
      <w:r>
        <w:rPr>
          <w:rFonts w:ascii="Arial Narrow" w:hAnsi="Arial Narrow"/>
          <w:sz w:val="18"/>
          <w:szCs w:val="18"/>
        </w:rPr>
        <w:t>50</w:t>
      </w:r>
      <w:r w:rsidR="00FE568D">
        <w:rPr>
          <w:rFonts w:ascii="Arial Narrow" w:hAnsi="Arial Narrow"/>
          <w:sz w:val="18"/>
          <w:szCs w:val="18"/>
        </w:rPr>
        <w:t>,000</w:t>
      </w:r>
    </w:p>
    <w:p w14:paraId="19F14C66" w14:textId="7ED209BB" w:rsidR="00357AB7" w:rsidRDefault="00683F3F" w:rsidP="00F37DB1">
      <w:pPr>
        <w:pStyle w:val="KMC16-TFNotes"/>
        <w:jc w:val="left"/>
        <w:rPr>
          <w:rFonts w:ascii="Arial Narrow" w:hAnsi="Arial Narrow"/>
          <w:sz w:val="18"/>
          <w:szCs w:val="18"/>
        </w:rPr>
      </w:pPr>
      <w:r w:rsidRPr="003C077C">
        <w:rPr>
          <w:rFonts w:ascii="Arial Narrow" w:hAnsi="Arial Narrow"/>
          <w:sz w:val="18"/>
          <w:szCs w:val="18"/>
          <w:vertAlign w:val="superscript"/>
        </w:rPr>
        <w:t>3</w:t>
      </w:r>
      <w:r>
        <w:rPr>
          <w:rFonts w:ascii="Arial Narrow" w:hAnsi="Arial Narrow"/>
          <w:sz w:val="18"/>
          <w:szCs w:val="18"/>
        </w:rPr>
        <w:t xml:space="preserve"> </w:t>
      </w:r>
      <w:r w:rsidR="00357AB7">
        <w:rPr>
          <w:rFonts w:ascii="Arial Narrow" w:hAnsi="Arial Narrow"/>
          <w:sz w:val="18"/>
          <w:szCs w:val="18"/>
        </w:rPr>
        <w:t>50,000 to &lt; 60 000</w:t>
      </w:r>
    </w:p>
    <w:p w14:paraId="2F8735CC" w14:textId="3D9417EF" w:rsidR="00357AB7" w:rsidRDefault="00683F3F" w:rsidP="00F37DB1">
      <w:pPr>
        <w:pStyle w:val="KMC16-TFNotes"/>
        <w:jc w:val="left"/>
        <w:rPr>
          <w:rFonts w:ascii="Arial Narrow" w:hAnsi="Arial Narrow"/>
          <w:sz w:val="18"/>
          <w:szCs w:val="18"/>
        </w:rPr>
      </w:pPr>
      <w:r w:rsidRPr="003C077C">
        <w:rPr>
          <w:rFonts w:ascii="Arial Narrow" w:hAnsi="Arial Narrow"/>
          <w:sz w:val="18"/>
          <w:szCs w:val="18"/>
          <w:vertAlign w:val="superscript"/>
        </w:rPr>
        <w:t>4</w:t>
      </w:r>
      <w:r>
        <w:rPr>
          <w:rFonts w:ascii="Arial Narrow" w:hAnsi="Arial Narrow"/>
          <w:sz w:val="18"/>
          <w:szCs w:val="18"/>
        </w:rPr>
        <w:t xml:space="preserve"> </w:t>
      </w:r>
      <w:r w:rsidR="00357AB7">
        <w:rPr>
          <w:rFonts w:ascii="Arial Narrow" w:hAnsi="Arial Narrow"/>
          <w:sz w:val="18"/>
          <w:szCs w:val="18"/>
        </w:rPr>
        <w:t>60,000 to &lt; 70,000</w:t>
      </w:r>
    </w:p>
    <w:p w14:paraId="54189F01" w14:textId="3F504DB5" w:rsidR="00683F3F" w:rsidRDefault="00683F3F" w:rsidP="00F37DB1">
      <w:pPr>
        <w:pStyle w:val="KMC16-TFNotes"/>
        <w:jc w:val="left"/>
        <w:rPr>
          <w:rFonts w:ascii="Arial Narrow" w:hAnsi="Arial Narrow"/>
          <w:sz w:val="18"/>
          <w:szCs w:val="18"/>
        </w:rPr>
      </w:pPr>
      <w:r w:rsidRPr="003C077C">
        <w:rPr>
          <w:rFonts w:ascii="Arial Narrow" w:hAnsi="Arial Narrow"/>
          <w:sz w:val="18"/>
          <w:szCs w:val="18"/>
          <w:vertAlign w:val="superscript"/>
        </w:rPr>
        <w:t>5</w:t>
      </w:r>
      <w:r>
        <w:rPr>
          <w:rFonts w:ascii="Arial Narrow" w:hAnsi="Arial Narrow"/>
          <w:sz w:val="18"/>
          <w:szCs w:val="18"/>
        </w:rPr>
        <w:t xml:space="preserve"> </w:t>
      </w:r>
      <w:r w:rsidR="00357AB7">
        <w:rPr>
          <w:rFonts w:ascii="Arial Narrow" w:hAnsi="Arial Narrow"/>
          <w:sz w:val="18"/>
          <w:szCs w:val="18"/>
        </w:rPr>
        <w:t>70,000 to &lt; 80,000</w:t>
      </w:r>
    </w:p>
    <w:p w14:paraId="3EE7AF48" w14:textId="079B375B" w:rsidR="00683F3F" w:rsidRDefault="00683F3F" w:rsidP="00F37DB1">
      <w:pPr>
        <w:pStyle w:val="KMC16-TFNotes"/>
        <w:jc w:val="left"/>
        <w:rPr>
          <w:rFonts w:ascii="Arial Narrow" w:hAnsi="Arial Narrow"/>
          <w:sz w:val="18"/>
          <w:szCs w:val="18"/>
        </w:rPr>
      </w:pPr>
      <w:r w:rsidRPr="003C077C">
        <w:rPr>
          <w:rFonts w:ascii="Arial Narrow" w:hAnsi="Arial Narrow"/>
          <w:sz w:val="18"/>
          <w:szCs w:val="18"/>
          <w:vertAlign w:val="superscript"/>
        </w:rPr>
        <w:t>6</w:t>
      </w:r>
      <w:r>
        <w:rPr>
          <w:rFonts w:ascii="Arial Narrow" w:hAnsi="Arial Narrow"/>
          <w:sz w:val="18"/>
          <w:szCs w:val="18"/>
        </w:rPr>
        <w:t xml:space="preserve"> </w:t>
      </w:r>
      <w:r w:rsidR="00357AB7">
        <w:rPr>
          <w:rFonts w:ascii="Arial Narrow" w:hAnsi="Arial Narrow"/>
          <w:sz w:val="18"/>
          <w:szCs w:val="18"/>
        </w:rPr>
        <w:t>80,000 to &lt; 90,000</w:t>
      </w:r>
    </w:p>
    <w:p w14:paraId="324E6673" w14:textId="0D17A534" w:rsidR="00683F3F" w:rsidRDefault="004558A5" w:rsidP="00F37DB1">
      <w:pPr>
        <w:pStyle w:val="KMC16-TFNotes"/>
        <w:jc w:val="left"/>
        <w:rPr>
          <w:rFonts w:ascii="Arial Narrow" w:hAnsi="Arial Narrow"/>
          <w:sz w:val="18"/>
          <w:szCs w:val="18"/>
        </w:rPr>
      </w:pPr>
      <w:r w:rsidRPr="003C077C">
        <w:rPr>
          <w:rFonts w:ascii="Arial Narrow" w:hAnsi="Arial Narrow"/>
          <w:sz w:val="18"/>
          <w:szCs w:val="18"/>
          <w:vertAlign w:val="superscript"/>
        </w:rPr>
        <w:t>7</w:t>
      </w:r>
      <w:r>
        <w:rPr>
          <w:rFonts w:ascii="Arial Narrow" w:hAnsi="Arial Narrow"/>
          <w:sz w:val="18"/>
          <w:szCs w:val="18"/>
        </w:rPr>
        <w:t xml:space="preserve"> </w:t>
      </w:r>
      <w:r w:rsidR="00013B5A">
        <w:rPr>
          <w:rFonts w:ascii="Arial Narrow" w:hAnsi="Arial Narrow"/>
          <w:sz w:val="18"/>
          <w:szCs w:val="18"/>
        </w:rPr>
        <w:t>$30 million to &lt; $40 million</w:t>
      </w:r>
    </w:p>
    <w:p w14:paraId="73838E41" w14:textId="5D4371AA" w:rsidR="00013B5A" w:rsidRDefault="00013B5A" w:rsidP="00F37DB1">
      <w:pPr>
        <w:pStyle w:val="KMC16-TFNotes"/>
        <w:jc w:val="left"/>
        <w:rPr>
          <w:rFonts w:ascii="Arial Narrow" w:hAnsi="Arial Narrow"/>
          <w:sz w:val="18"/>
          <w:szCs w:val="18"/>
        </w:rPr>
      </w:pPr>
      <w:r w:rsidRPr="003C077C">
        <w:rPr>
          <w:rFonts w:ascii="Arial Narrow" w:hAnsi="Arial Narrow"/>
          <w:sz w:val="18"/>
          <w:szCs w:val="18"/>
          <w:vertAlign w:val="superscript"/>
        </w:rPr>
        <w:t>8</w:t>
      </w:r>
      <w:r>
        <w:rPr>
          <w:rFonts w:ascii="Arial Narrow" w:hAnsi="Arial Narrow"/>
          <w:sz w:val="18"/>
          <w:szCs w:val="18"/>
        </w:rPr>
        <w:t xml:space="preserve"> $50 million to &lt; $60 million</w:t>
      </w:r>
    </w:p>
    <w:p w14:paraId="4059158F" w14:textId="5257CBE2" w:rsidR="00013B5A" w:rsidRDefault="00013B5A" w:rsidP="00F37DB1">
      <w:pPr>
        <w:pStyle w:val="KMC16-TFNotes"/>
        <w:jc w:val="left"/>
        <w:rPr>
          <w:rFonts w:ascii="Arial Narrow" w:hAnsi="Arial Narrow"/>
          <w:sz w:val="18"/>
          <w:szCs w:val="18"/>
        </w:rPr>
      </w:pPr>
      <w:r w:rsidRPr="003C077C">
        <w:rPr>
          <w:rFonts w:ascii="Arial Narrow" w:hAnsi="Arial Narrow"/>
          <w:sz w:val="18"/>
          <w:szCs w:val="18"/>
          <w:vertAlign w:val="superscript"/>
        </w:rPr>
        <w:t>9</w:t>
      </w:r>
      <w:r>
        <w:rPr>
          <w:rFonts w:ascii="Arial Narrow" w:hAnsi="Arial Narrow"/>
          <w:sz w:val="18"/>
          <w:szCs w:val="18"/>
        </w:rPr>
        <w:t xml:space="preserve"> $</w:t>
      </w:r>
      <w:r w:rsidR="00A003BE">
        <w:rPr>
          <w:rFonts w:ascii="Arial Narrow" w:hAnsi="Arial Narrow"/>
          <w:sz w:val="18"/>
          <w:szCs w:val="18"/>
        </w:rPr>
        <w:t>70 million to &lt; $80 million</w:t>
      </w:r>
    </w:p>
    <w:p w14:paraId="6CD067B4" w14:textId="5A4F2B14" w:rsidR="00A003BE" w:rsidRDefault="00A003BE" w:rsidP="00F37DB1">
      <w:pPr>
        <w:pStyle w:val="KMC16-TFNotes"/>
        <w:jc w:val="left"/>
        <w:rPr>
          <w:rFonts w:ascii="Arial Narrow" w:hAnsi="Arial Narrow"/>
          <w:sz w:val="18"/>
          <w:szCs w:val="18"/>
        </w:rPr>
      </w:pPr>
      <w:r w:rsidRPr="003C077C">
        <w:rPr>
          <w:rFonts w:ascii="Arial Narrow" w:hAnsi="Arial Narrow"/>
          <w:sz w:val="18"/>
          <w:szCs w:val="18"/>
          <w:vertAlign w:val="superscript"/>
        </w:rPr>
        <w:t>10</w:t>
      </w:r>
      <w:r>
        <w:rPr>
          <w:rFonts w:ascii="Arial Narrow" w:hAnsi="Arial Narrow"/>
          <w:sz w:val="18"/>
          <w:szCs w:val="18"/>
        </w:rPr>
        <w:t xml:space="preserve"> $90 million to &lt; $100 million</w:t>
      </w:r>
    </w:p>
    <w:p w14:paraId="32A5A03C" w14:textId="6711E1F8" w:rsidR="00A003BE" w:rsidRDefault="00634065" w:rsidP="00F37DB1">
      <w:pPr>
        <w:pStyle w:val="KMC16-TFNotes"/>
        <w:jc w:val="left"/>
        <w:rPr>
          <w:rFonts w:ascii="Arial Narrow" w:hAnsi="Arial Narrow"/>
          <w:sz w:val="18"/>
          <w:szCs w:val="18"/>
        </w:rPr>
      </w:pPr>
      <w:r w:rsidRPr="003C077C">
        <w:rPr>
          <w:rFonts w:ascii="Arial Narrow" w:hAnsi="Arial Narrow"/>
          <w:sz w:val="18"/>
          <w:szCs w:val="18"/>
          <w:vertAlign w:val="superscript"/>
        </w:rPr>
        <w:t>11</w:t>
      </w:r>
      <w:r>
        <w:rPr>
          <w:rFonts w:ascii="Arial Narrow" w:hAnsi="Arial Narrow"/>
          <w:sz w:val="18"/>
          <w:szCs w:val="18"/>
        </w:rPr>
        <w:t xml:space="preserve"> $100 million to &lt; $200 million</w:t>
      </w:r>
    </w:p>
    <w:p w14:paraId="155C1A76" w14:textId="543E0C13" w:rsidR="00BD2CF9" w:rsidRDefault="00BD2CF9" w:rsidP="00F37DB1">
      <w:pPr>
        <w:pStyle w:val="KMC16-TFNotes"/>
        <w:jc w:val="left"/>
        <w:rPr>
          <w:rFonts w:ascii="Arial Narrow" w:hAnsi="Arial Narrow"/>
          <w:sz w:val="18"/>
          <w:szCs w:val="18"/>
        </w:rPr>
      </w:pPr>
      <w:r w:rsidRPr="003C077C">
        <w:rPr>
          <w:rFonts w:ascii="Arial Narrow" w:hAnsi="Arial Narrow"/>
          <w:sz w:val="18"/>
          <w:szCs w:val="18"/>
          <w:vertAlign w:val="superscript"/>
        </w:rPr>
        <w:t xml:space="preserve">12 </w:t>
      </w:r>
      <w:r>
        <w:rPr>
          <w:rFonts w:ascii="Arial Narrow" w:hAnsi="Arial Narrow"/>
          <w:sz w:val="18"/>
          <w:szCs w:val="18"/>
        </w:rPr>
        <w:t>$0 to &lt; $10 million</w:t>
      </w:r>
    </w:p>
    <w:p w14:paraId="79557CAA" w14:textId="518503D3" w:rsidR="00BD2CF9" w:rsidRDefault="00BD2CF9" w:rsidP="00F37DB1">
      <w:pPr>
        <w:pStyle w:val="KMC16-TFNotes"/>
        <w:jc w:val="left"/>
        <w:rPr>
          <w:rFonts w:ascii="Arial Narrow" w:hAnsi="Arial Narrow"/>
          <w:sz w:val="18"/>
          <w:szCs w:val="18"/>
        </w:rPr>
      </w:pPr>
      <w:r>
        <w:rPr>
          <w:rFonts w:ascii="Arial Narrow" w:hAnsi="Arial Narrow"/>
          <w:sz w:val="18"/>
          <w:szCs w:val="18"/>
          <w:vertAlign w:val="superscript"/>
        </w:rPr>
        <w:t xml:space="preserve">13 </w:t>
      </w:r>
      <w:r>
        <w:rPr>
          <w:rFonts w:ascii="Arial Narrow" w:hAnsi="Arial Narrow"/>
          <w:sz w:val="18"/>
          <w:szCs w:val="18"/>
        </w:rPr>
        <w:t>$10 million to &lt; $20 million</w:t>
      </w:r>
    </w:p>
    <w:p w14:paraId="51146D26" w14:textId="5DA5858E" w:rsidR="00E479FF" w:rsidRDefault="00E479FF" w:rsidP="00F37DB1">
      <w:pPr>
        <w:pStyle w:val="KMC16-TFNotes"/>
        <w:jc w:val="left"/>
        <w:rPr>
          <w:rFonts w:ascii="Arial Narrow" w:hAnsi="Arial Narrow"/>
          <w:sz w:val="18"/>
          <w:szCs w:val="18"/>
        </w:rPr>
      </w:pPr>
      <w:r w:rsidRPr="003C077C">
        <w:rPr>
          <w:rFonts w:ascii="Arial Narrow" w:hAnsi="Arial Narrow"/>
          <w:sz w:val="18"/>
          <w:szCs w:val="18"/>
          <w:vertAlign w:val="superscript"/>
        </w:rPr>
        <w:t>14</w:t>
      </w:r>
      <w:r>
        <w:rPr>
          <w:rFonts w:ascii="Arial Narrow" w:hAnsi="Arial Narrow"/>
          <w:sz w:val="18"/>
          <w:szCs w:val="18"/>
        </w:rPr>
        <w:t xml:space="preserve"> $80 million to &lt; $90 million</w:t>
      </w:r>
    </w:p>
    <w:p w14:paraId="47B2DB3B" w14:textId="059656CE" w:rsidR="00BF6EB9" w:rsidRDefault="00BF6EB9" w:rsidP="00F37DB1">
      <w:pPr>
        <w:pStyle w:val="KMC16-TFNotes"/>
        <w:jc w:val="left"/>
        <w:rPr>
          <w:rFonts w:ascii="Arial Narrow" w:hAnsi="Arial Narrow"/>
          <w:sz w:val="18"/>
          <w:szCs w:val="18"/>
        </w:rPr>
      </w:pPr>
      <w:r w:rsidRPr="003C077C">
        <w:rPr>
          <w:rFonts w:ascii="Arial Narrow" w:hAnsi="Arial Narrow"/>
          <w:sz w:val="18"/>
          <w:szCs w:val="18"/>
          <w:vertAlign w:val="superscript"/>
        </w:rPr>
        <w:t>15</w:t>
      </w:r>
      <w:r>
        <w:rPr>
          <w:rFonts w:ascii="Arial Narrow" w:hAnsi="Arial Narrow"/>
          <w:sz w:val="18"/>
          <w:szCs w:val="18"/>
        </w:rPr>
        <w:t xml:space="preserve"> $20 million to &lt; $30 million</w:t>
      </w:r>
    </w:p>
    <w:p w14:paraId="747A81C3" w14:textId="2DFE983C" w:rsidR="00054721" w:rsidRDefault="00054721" w:rsidP="00F37DB1">
      <w:pPr>
        <w:pStyle w:val="KMC16-TFNotes"/>
        <w:jc w:val="left"/>
        <w:rPr>
          <w:rFonts w:ascii="Arial Narrow" w:hAnsi="Arial Narrow"/>
          <w:sz w:val="18"/>
          <w:szCs w:val="18"/>
        </w:rPr>
      </w:pPr>
      <w:r w:rsidRPr="003C077C">
        <w:rPr>
          <w:rFonts w:ascii="Arial Narrow" w:hAnsi="Arial Narrow"/>
          <w:sz w:val="18"/>
          <w:szCs w:val="18"/>
          <w:vertAlign w:val="superscript"/>
        </w:rPr>
        <w:t>16</w:t>
      </w:r>
      <w:r>
        <w:rPr>
          <w:rFonts w:ascii="Arial Narrow" w:hAnsi="Arial Narrow"/>
          <w:sz w:val="18"/>
          <w:szCs w:val="18"/>
        </w:rPr>
        <w:t xml:space="preserve"> $40 million to &lt; $50 million</w:t>
      </w:r>
    </w:p>
    <w:p w14:paraId="5B4E2D1A" w14:textId="38C1CF62" w:rsidR="00081BA2" w:rsidRPr="003C077C" w:rsidRDefault="00081BA2" w:rsidP="003C077C">
      <w:pPr>
        <w:pStyle w:val="KMC16-TFNotes"/>
        <w:jc w:val="left"/>
        <w:rPr>
          <w:sz w:val="18"/>
          <w:szCs w:val="18"/>
        </w:rPr>
      </w:pPr>
      <w:r w:rsidRPr="003C077C">
        <w:rPr>
          <w:rFonts w:ascii="Arial Narrow" w:hAnsi="Arial Narrow"/>
          <w:sz w:val="18"/>
          <w:szCs w:val="18"/>
          <w:vertAlign w:val="superscript"/>
        </w:rPr>
        <w:t>17</w:t>
      </w:r>
      <w:r>
        <w:rPr>
          <w:rFonts w:ascii="Arial Narrow" w:hAnsi="Arial Narrow"/>
          <w:sz w:val="18"/>
          <w:szCs w:val="18"/>
        </w:rPr>
        <w:t xml:space="preserve"> $60 million to &lt; $70 million</w:t>
      </w:r>
    </w:p>
    <w:p w14:paraId="31A287CC" w14:textId="4C87A5BA" w:rsidR="000C6AF3" w:rsidRDefault="000C6AF3" w:rsidP="00453A15">
      <w:pPr>
        <w:pStyle w:val="Caption"/>
        <w:keepLines/>
      </w:pPr>
      <w:r w:rsidRPr="00CE28E3">
        <w:t>Table</w:t>
      </w:r>
      <w:r>
        <w:t> </w:t>
      </w:r>
      <w:r w:rsidR="00315A60">
        <w:fldChar w:fldCharType="begin"/>
      </w:r>
      <w:r w:rsidR="00315A60">
        <w:instrText xml:space="preserve"> SEQ Table \* ARABIC </w:instrText>
      </w:r>
      <w:r w:rsidR="00315A60">
        <w:fldChar w:fldCharType="separate"/>
      </w:r>
      <w:r w:rsidR="00315A60">
        <w:rPr>
          <w:noProof/>
        </w:rPr>
        <w:t>14</w:t>
      </w:r>
      <w:r w:rsidR="00315A60">
        <w:rPr>
          <w:noProof/>
        </w:rPr>
        <w:fldChar w:fldCharType="end"/>
      </w:r>
      <w:bookmarkEnd w:id="80"/>
      <w:r w:rsidRPr="00CE28E3">
        <w:tab/>
        <w:t xml:space="preserve">Net financial implication of </w:t>
      </w:r>
      <w:r>
        <w:t xml:space="preserve">FSL </w:t>
      </w:r>
      <w:r w:rsidRPr="00CE28E3">
        <w:t xml:space="preserve">to </w:t>
      </w:r>
      <w:r>
        <w:t>NDSS (</w:t>
      </w:r>
      <w:r w:rsidR="007207C5">
        <w:t>intensive</w:t>
      </w:r>
      <w:r w:rsidR="005C08A3">
        <w:t xml:space="preserve"> </w:t>
      </w:r>
      <w:r>
        <w:t>insulin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1012"/>
        <w:gridCol w:w="1012"/>
        <w:gridCol w:w="1012"/>
        <w:gridCol w:w="1012"/>
        <w:gridCol w:w="1012"/>
        <w:gridCol w:w="1012"/>
      </w:tblGrid>
      <w:tr w:rsidR="002A4312" w:rsidRPr="004A478D" w14:paraId="337E5528" w14:textId="77777777" w:rsidTr="00235934">
        <w:trPr>
          <w:trHeight w:val="255"/>
        </w:trPr>
        <w:tc>
          <w:tcPr>
            <w:tcW w:w="1288" w:type="pct"/>
            <w:vMerge w:val="restart"/>
            <w:noWrap/>
            <w:vAlign w:val="center"/>
          </w:tcPr>
          <w:p w14:paraId="43407D78" w14:textId="77777777" w:rsidR="000C6AF3" w:rsidRPr="004A478D" w:rsidRDefault="000C6AF3" w:rsidP="00453A15">
            <w:pPr>
              <w:pStyle w:val="KMC16-Tablecontent"/>
              <w:keepNext/>
              <w:keepLines/>
              <w:rPr>
                <w:b/>
                <w:lang w:val="en-AU"/>
              </w:rPr>
            </w:pPr>
            <w:r w:rsidRPr="004A478D">
              <w:rPr>
                <w:b/>
                <w:lang w:val="en-AU"/>
              </w:rPr>
              <w:t> </w:t>
            </w:r>
          </w:p>
        </w:tc>
        <w:tc>
          <w:tcPr>
            <w:tcW w:w="3712" w:type="pct"/>
            <w:gridSpan w:val="6"/>
            <w:noWrap/>
            <w:vAlign w:val="center"/>
          </w:tcPr>
          <w:p w14:paraId="1C1A2EB3" w14:textId="1A046C30" w:rsidR="000C6AF3" w:rsidRPr="004A478D" w:rsidRDefault="000C6AF3" w:rsidP="00453A15">
            <w:pPr>
              <w:pStyle w:val="KMC16-Tablecontent"/>
              <w:keepNext/>
              <w:keepLines/>
              <w:jc w:val="center"/>
              <w:rPr>
                <w:b/>
                <w:lang w:val="en-AU"/>
              </w:rPr>
            </w:pPr>
            <w:r w:rsidRPr="00C77835">
              <w:rPr>
                <w:b/>
                <w:color w:val="auto"/>
                <w:lang w:val="en-AU"/>
              </w:rPr>
              <w:t xml:space="preserve">PICO Set 1 </w:t>
            </w:r>
            <w:r w:rsidR="00416E74">
              <w:rPr>
                <w:b/>
                <w:color w:val="auto"/>
                <w:lang w:val="en-AU"/>
              </w:rPr>
              <w:t xml:space="preserve">– </w:t>
            </w:r>
            <w:r w:rsidRPr="004A478D">
              <w:rPr>
                <w:b/>
                <w:lang w:val="en-AU"/>
              </w:rPr>
              <w:t>T2D</w:t>
            </w:r>
            <w:r w:rsidRPr="005102BE">
              <w:rPr>
                <w:lang w:val="en-AU"/>
              </w:rPr>
              <w:t xml:space="preserve"> </w:t>
            </w:r>
            <w:r w:rsidR="007207C5" w:rsidRPr="0019610C">
              <w:rPr>
                <w:b/>
                <w:lang w:val="en-AU"/>
              </w:rPr>
              <w:t>intensive</w:t>
            </w:r>
            <w:r w:rsidR="00416E74">
              <w:rPr>
                <w:b/>
                <w:lang w:val="en-AU"/>
              </w:rPr>
              <w:t xml:space="preserve"> </w:t>
            </w:r>
            <w:r w:rsidRPr="0019610C">
              <w:rPr>
                <w:b/>
                <w:lang w:val="en-AU"/>
              </w:rPr>
              <w:t>insulin users</w:t>
            </w:r>
          </w:p>
        </w:tc>
      </w:tr>
      <w:tr w:rsidR="002A4312" w:rsidRPr="004A478D" w14:paraId="4AB7FD0A" w14:textId="77777777" w:rsidTr="00235934">
        <w:trPr>
          <w:trHeight w:val="255"/>
        </w:trPr>
        <w:tc>
          <w:tcPr>
            <w:tcW w:w="1288" w:type="pct"/>
            <w:vMerge/>
            <w:noWrap/>
            <w:vAlign w:val="center"/>
            <w:hideMark/>
          </w:tcPr>
          <w:p w14:paraId="1095A7FD" w14:textId="77777777" w:rsidR="000C6AF3" w:rsidRPr="004A478D" w:rsidRDefault="000C6AF3" w:rsidP="00453A15">
            <w:pPr>
              <w:pStyle w:val="KMC16-Tablecontent"/>
              <w:keepNext/>
              <w:keepLines/>
              <w:rPr>
                <w:b/>
                <w:color w:val="auto"/>
                <w:lang w:val="en-AU"/>
              </w:rPr>
            </w:pPr>
          </w:p>
        </w:tc>
        <w:tc>
          <w:tcPr>
            <w:tcW w:w="586" w:type="pct"/>
            <w:noWrap/>
            <w:vAlign w:val="center"/>
            <w:hideMark/>
          </w:tcPr>
          <w:p w14:paraId="585A6130" w14:textId="77777777" w:rsidR="000C6AF3" w:rsidRPr="004A478D" w:rsidRDefault="000C6AF3" w:rsidP="00453A15">
            <w:pPr>
              <w:pStyle w:val="KMC16-Tablecontent"/>
              <w:keepNext/>
              <w:keepLines/>
              <w:jc w:val="center"/>
              <w:rPr>
                <w:b/>
                <w:lang w:val="en-AU"/>
              </w:rPr>
            </w:pPr>
            <w:r w:rsidRPr="004A478D">
              <w:rPr>
                <w:b/>
                <w:lang w:val="en-AU"/>
              </w:rPr>
              <w:t>Year 1</w:t>
            </w:r>
          </w:p>
        </w:tc>
        <w:tc>
          <w:tcPr>
            <w:tcW w:w="618" w:type="pct"/>
            <w:noWrap/>
            <w:vAlign w:val="center"/>
            <w:hideMark/>
          </w:tcPr>
          <w:p w14:paraId="1E4F44D5" w14:textId="77777777" w:rsidR="000C6AF3" w:rsidRPr="004A478D" w:rsidRDefault="000C6AF3" w:rsidP="00453A15">
            <w:pPr>
              <w:pStyle w:val="KMC16-Tablecontent"/>
              <w:keepNext/>
              <w:keepLines/>
              <w:jc w:val="center"/>
              <w:rPr>
                <w:b/>
                <w:lang w:val="en-AU"/>
              </w:rPr>
            </w:pPr>
            <w:r w:rsidRPr="004A478D">
              <w:rPr>
                <w:b/>
                <w:lang w:val="en-AU"/>
              </w:rPr>
              <w:t>Year 2</w:t>
            </w:r>
          </w:p>
        </w:tc>
        <w:tc>
          <w:tcPr>
            <w:tcW w:w="618" w:type="pct"/>
            <w:noWrap/>
            <w:vAlign w:val="center"/>
            <w:hideMark/>
          </w:tcPr>
          <w:p w14:paraId="62106369" w14:textId="77777777" w:rsidR="000C6AF3" w:rsidRPr="004A478D" w:rsidRDefault="000C6AF3" w:rsidP="00453A15">
            <w:pPr>
              <w:pStyle w:val="KMC16-Tablecontent"/>
              <w:keepNext/>
              <w:keepLines/>
              <w:jc w:val="center"/>
              <w:rPr>
                <w:b/>
                <w:lang w:val="en-AU"/>
              </w:rPr>
            </w:pPr>
            <w:r w:rsidRPr="004A478D">
              <w:rPr>
                <w:b/>
                <w:lang w:val="en-AU"/>
              </w:rPr>
              <w:t>Year 3</w:t>
            </w:r>
          </w:p>
        </w:tc>
        <w:tc>
          <w:tcPr>
            <w:tcW w:w="618" w:type="pct"/>
            <w:noWrap/>
            <w:vAlign w:val="center"/>
            <w:hideMark/>
          </w:tcPr>
          <w:p w14:paraId="29C2B0A7" w14:textId="77777777" w:rsidR="000C6AF3" w:rsidRPr="004A478D" w:rsidRDefault="000C6AF3" w:rsidP="00453A15">
            <w:pPr>
              <w:pStyle w:val="KMC16-Tablecontent"/>
              <w:keepNext/>
              <w:keepLines/>
              <w:jc w:val="center"/>
              <w:rPr>
                <w:b/>
                <w:lang w:val="en-AU"/>
              </w:rPr>
            </w:pPr>
            <w:r w:rsidRPr="004A478D">
              <w:rPr>
                <w:b/>
                <w:lang w:val="en-AU"/>
              </w:rPr>
              <w:t>Year 4</w:t>
            </w:r>
          </w:p>
        </w:tc>
        <w:tc>
          <w:tcPr>
            <w:tcW w:w="636" w:type="pct"/>
            <w:noWrap/>
            <w:vAlign w:val="center"/>
            <w:hideMark/>
          </w:tcPr>
          <w:p w14:paraId="2CFFB3A9" w14:textId="77777777" w:rsidR="000C6AF3" w:rsidRPr="004A478D" w:rsidRDefault="000C6AF3" w:rsidP="00453A15">
            <w:pPr>
              <w:pStyle w:val="KMC16-Tablecontent"/>
              <w:keepNext/>
              <w:keepLines/>
              <w:jc w:val="center"/>
              <w:rPr>
                <w:b/>
                <w:lang w:val="en-AU"/>
              </w:rPr>
            </w:pPr>
            <w:r w:rsidRPr="004A478D">
              <w:rPr>
                <w:b/>
                <w:lang w:val="en-AU"/>
              </w:rPr>
              <w:t>Year 5</w:t>
            </w:r>
          </w:p>
        </w:tc>
        <w:tc>
          <w:tcPr>
            <w:tcW w:w="636" w:type="pct"/>
            <w:noWrap/>
            <w:vAlign w:val="center"/>
            <w:hideMark/>
          </w:tcPr>
          <w:p w14:paraId="689C2EB0" w14:textId="77777777" w:rsidR="000C6AF3" w:rsidRPr="004A478D" w:rsidRDefault="000C6AF3" w:rsidP="00453A15">
            <w:pPr>
              <w:pStyle w:val="KMC16-Tablecontent"/>
              <w:keepNext/>
              <w:keepLines/>
              <w:jc w:val="center"/>
              <w:rPr>
                <w:b/>
                <w:lang w:val="en-AU"/>
              </w:rPr>
            </w:pPr>
            <w:r w:rsidRPr="004A478D">
              <w:rPr>
                <w:b/>
                <w:lang w:val="en-AU"/>
              </w:rPr>
              <w:t>Year 6</w:t>
            </w:r>
          </w:p>
        </w:tc>
      </w:tr>
      <w:tr w:rsidR="002A4312" w:rsidRPr="004A478D" w14:paraId="6B725ACA" w14:textId="77777777" w:rsidTr="00235934">
        <w:trPr>
          <w:trHeight w:val="255"/>
        </w:trPr>
        <w:tc>
          <w:tcPr>
            <w:tcW w:w="1288" w:type="pct"/>
            <w:noWrap/>
            <w:vAlign w:val="center"/>
            <w:hideMark/>
          </w:tcPr>
          <w:p w14:paraId="0F734014" w14:textId="7346E66D" w:rsidR="000C6AF3" w:rsidRPr="004A478D" w:rsidRDefault="000C6AF3" w:rsidP="00453A15">
            <w:pPr>
              <w:pStyle w:val="KMC16-Tablecontent"/>
              <w:keepNext/>
              <w:keepLines/>
              <w:rPr>
                <w:b/>
                <w:lang w:val="en-AU"/>
              </w:rPr>
            </w:pPr>
            <w:r w:rsidRPr="004A478D">
              <w:rPr>
                <w:b/>
                <w:lang w:val="en-AU"/>
              </w:rPr>
              <w:t xml:space="preserve">FSL </w:t>
            </w:r>
            <w:r w:rsidR="00416E74">
              <w:rPr>
                <w:b/>
                <w:lang w:val="en-AU"/>
              </w:rPr>
              <w:t>u</w:t>
            </w:r>
            <w:r w:rsidRPr="004A478D">
              <w:rPr>
                <w:b/>
                <w:lang w:val="en-AU"/>
              </w:rPr>
              <w:t>se</w:t>
            </w:r>
          </w:p>
        </w:tc>
        <w:tc>
          <w:tcPr>
            <w:tcW w:w="586" w:type="pct"/>
            <w:noWrap/>
            <w:hideMark/>
          </w:tcPr>
          <w:p w14:paraId="536DF1C4" w14:textId="77777777" w:rsidR="000C6AF3" w:rsidRPr="004A478D" w:rsidRDefault="000C6AF3" w:rsidP="00453A15">
            <w:pPr>
              <w:pStyle w:val="KMC16-Tablecontent"/>
              <w:keepNext/>
              <w:keepLines/>
              <w:jc w:val="center"/>
              <w:rPr>
                <w:b/>
                <w:lang w:val="en-AU"/>
              </w:rPr>
            </w:pPr>
          </w:p>
        </w:tc>
        <w:tc>
          <w:tcPr>
            <w:tcW w:w="618" w:type="pct"/>
            <w:noWrap/>
            <w:hideMark/>
          </w:tcPr>
          <w:p w14:paraId="3BE0D661" w14:textId="77777777" w:rsidR="000C6AF3" w:rsidRPr="004A478D" w:rsidRDefault="000C6AF3" w:rsidP="00453A15">
            <w:pPr>
              <w:pStyle w:val="KMC16-Tablecontent"/>
              <w:keepNext/>
              <w:keepLines/>
              <w:jc w:val="center"/>
              <w:rPr>
                <w:b/>
                <w:lang w:val="en-AU"/>
              </w:rPr>
            </w:pPr>
          </w:p>
        </w:tc>
        <w:tc>
          <w:tcPr>
            <w:tcW w:w="618" w:type="pct"/>
            <w:noWrap/>
            <w:hideMark/>
          </w:tcPr>
          <w:p w14:paraId="3B8D097A" w14:textId="77777777" w:rsidR="000C6AF3" w:rsidRPr="004A478D" w:rsidRDefault="000C6AF3" w:rsidP="00453A15">
            <w:pPr>
              <w:pStyle w:val="KMC16-Tablecontent"/>
              <w:keepNext/>
              <w:keepLines/>
              <w:jc w:val="center"/>
              <w:rPr>
                <w:b/>
                <w:lang w:val="en-AU"/>
              </w:rPr>
            </w:pPr>
          </w:p>
        </w:tc>
        <w:tc>
          <w:tcPr>
            <w:tcW w:w="618" w:type="pct"/>
            <w:noWrap/>
            <w:hideMark/>
          </w:tcPr>
          <w:p w14:paraId="2CB156AD" w14:textId="77777777" w:rsidR="000C6AF3" w:rsidRPr="004A478D" w:rsidRDefault="000C6AF3" w:rsidP="00453A15">
            <w:pPr>
              <w:pStyle w:val="KMC16-Tablecontent"/>
              <w:keepNext/>
              <w:keepLines/>
              <w:jc w:val="center"/>
              <w:rPr>
                <w:b/>
                <w:lang w:val="en-AU"/>
              </w:rPr>
            </w:pPr>
          </w:p>
        </w:tc>
        <w:tc>
          <w:tcPr>
            <w:tcW w:w="636" w:type="pct"/>
            <w:noWrap/>
            <w:hideMark/>
          </w:tcPr>
          <w:p w14:paraId="2A56FE05" w14:textId="77777777" w:rsidR="000C6AF3" w:rsidRPr="004A478D" w:rsidRDefault="000C6AF3" w:rsidP="00453A15">
            <w:pPr>
              <w:pStyle w:val="KMC16-Tablecontent"/>
              <w:keepNext/>
              <w:keepLines/>
              <w:jc w:val="center"/>
              <w:rPr>
                <w:b/>
                <w:lang w:val="en-AU"/>
              </w:rPr>
            </w:pPr>
          </w:p>
        </w:tc>
        <w:tc>
          <w:tcPr>
            <w:tcW w:w="636" w:type="pct"/>
            <w:noWrap/>
            <w:hideMark/>
          </w:tcPr>
          <w:p w14:paraId="665BD11E" w14:textId="77777777" w:rsidR="000C6AF3" w:rsidRPr="004A478D" w:rsidRDefault="000C6AF3" w:rsidP="00453A15">
            <w:pPr>
              <w:pStyle w:val="KMC16-Tablecontent"/>
              <w:keepNext/>
              <w:keepLines/>
              <w:jc w:val="center"/>
              <w:rPr>
                <w:b/>
                <w:lang w:val="en-AU"/>
              </w:rPr>
            </w:pPr>
          </w:p>
        </w:tc>
      </w:tr>
      <w:tr w:rsidR="002A4312" w:rsidRPr="004A478D" w14:paraId="468215C8" w14:textId="77777777" w:rsidTr="00235934">
        <w:trPr>
          <w:trHeight w:val="255"/>
        </w:trPr>
        <w:tc>
          <w:tcPr>
            <w:tcW w:w="1288" w:type="pct"/>
            <w:noWrap/>
            <w:vAlign w:val="bottom"/>
            <w:hideMark/>
          </w:tcPr>
          <w:p w14:paraId="1D11F0FE" w14:textId="77777777" w:rsidR="000C6AF3" w:rsidRPr="004A478D" w:rsidRDefault="000C6AF3" w:rsidP="00453A15">
            <w:pPr>
              <w:pStyle w:val="KMC16-Tablecontent"/>
              <w:keepNext/>
              <w:keepLines/>
              <w:rPr>
                <w:lang w:val="en-AU"/>
              </w:rPr>
            </w:pPr>
            <w:r w:rsidRPr="004A478D">
              <w:rPr>
                <w:lang w:val="en-AU"/>
              </w:rPr>
              <w:t xml:space="preserve">Patients </w:t>
            </w:r>
          </w:p>
        </w:tc>
        <w:tc>
          <w:tcPr>
            <w:tcW w:w="586" w:type="pct"/>
            <w:noWrap/>
            <w:hideMark/>
          </w:tcPr>
          <w:p w14:paraId="5457129E" w14:textId="77777777" w:rsidR="000C6AF3" w:rsidRPr="004A478D" w:rsidRDefault="000C6AF3" w:rsidP="00453A15">
            <w:pPr>
              <w:pStyle w:val="KMC16-Tablecontent"/>
              <w:keepNext/>
              <w:keepLines/>
              <w:jc w:val="right"/>
              <w:rPr>
                <w:lang w:val="en-AU"/>
              </w:rPr>
            </w:pPr>
            <w:r w:rsidRPr="004A478D">
              <w:rPr>
                <w:lang w:val="en-AU"/>
              </w:rPr>
              <w:t>33,361</w:t>
            </w:r>
          </w:p>
        </w:tc>
        <w:tc>
          <w:tcPr>
            <w:tcW w:w="618" w:type="pct"/>
            <w:noWrap/>
            <w:hideMark/>
          </w:tcPr>
          <w:p w14:paraId="2B722924" w14:textId="77777777" w:rsidR="000C6AF3" w:rsidRPr="004A478D" w:rsidRDefault="000C6AF3" w:rsidP="00453A15">
            <w:pPr>
              <w:pStyle w:val="KMC16-Tablecontent"/>
              <w:keepNext/>
              <w:keepLines/>
              <w:jc w:val="right"/>
              <w:rPr>
                <w:lang w:val="en-AU"/>
              </w:rPr>
            </w:pPr>
            <w:r w:rsidRPr="004A478D">
              <w:rPr>
                <w:lang w:val="en-AU"/>
              </w:rPr>
              <w:t>33,695</w:t>
            </w:r>
          </w:p>
        </w:tc>
        <w:tc>
          <w:tcPr>
            <w:tcW w:w="618" w:type="pct"/>
            <w:noWrap/>
            <w:hideMark/>
          </w:tcPr>
          <w:p w14:paraId="55A11993" w14:textId="77777777" w:rsidR="000C6AF3" w:rsidRPr="004A478D" w:rsidRDefault="000C6AF3" w:rsidP="00453A15">
            <w:pPr>
              <w:pStyle w:val="KMC16-Tablecontent"/>
              <w:keepNext/>
              <w:keepLines/>
              <w:jc w:val="right"/>
              <w:rPr>
                <w:lang w:val="en-AU"/>
              </w:rPr>
            </w:pPr>
            <w:r w:rsidRPr="004A478D">
              <w:rPr>
                <w:lang w:val="en-AU"/>
              </w:rPr>
              <w:t>34,032</w:t>
            </w:r>
          </w:p>
        </w:tc>
        <w:tc>
          <w:tcPr>
            <w:tcW w:w="618" w:type="pct"/>
            <w:noWrap/>
            <w:hideMark/>
          </w:tcPr>
          <w:p w14:paraId="205F11E4" w14:textId="77777777" w:rsidR="000C6AF3" w:rsidRPr="004A478D" w:rsidRDefault="000C6AF3" w:rsidP="00453A15">
            <w:pPr>
              <w:pStyle w:val="KMC16-Tablecontent"/>
              <w:keepNext/>
              <w:keepLines/>
              <w:jc w:val="right"/>
              <w:rPr>
                <w:lang w:val="en-AU"/>
              </w:rPr>
            </w:pPr>
            <w:r w:rsidRPr="004A478D">
              <w:rPr>
                <w:lang w:val="en-AU"/>
              </w:rPr>
              <w:t>34,372</w:t>
            </w:r>
          </w:p>
        </w:tc>
        <w:tc>
          <w:tcPr>
            <w:tcW w:w="636" w:type="pct"/>
            <w:noWrap/>
            <w:hideMark/>
          </w:tcPr>
          <w:p w14:paraId="7A3E2A79" w14:textId="77777777" w:rsidR="000C6AF3" w:rsidRPr="004A478D" w:rsidRDefault="000C6AF3" w:rsidP="00453A15">
            <w:pPr>
              <w:pStyle w:val="KMC16-Tablecontent"/>
              <w:keepNext/>
              <w:keepLines/>
              <w:jc w:val="right"/>
              <w:rPr>
                <w:lang w:val="en-AU"/>
              </w:rPr>
            </w:pPr>
            <w:r w:rsidRPr="004A478D">
              <w:rPr>
                <w:lang w:val="en-AU"/>
              </w:rPr>
              <w:t xml:space="preserve"> 34,716 </w:t>
            </w:r>
          </w:p>
        </w:tc>
        <w:tc>
          <w:tcPr>
            <w:tcW w:w="636" w:type="pct"/>
            <w:noWrap/>
            <w:hideMark/>
          </w:tcPr>
          <w:p w14:paraId="3DF04B35" w14:textId="77777777" w:rsidR="000C6AF3" w:rsidRPr="004A478D" w:rsidRDefault="000C6AF3" w:rsidP="00453A15">
            <w:pPr>
              <w:pStyle w:val="KMC16-Tablecontent"/>
              <w:keepNext/>
              <w:keepLines/>
              <w:jc w:val="right"/>
              <w:rPr>
                <w:lang w:val="en-AU"/>
              </w:rPr>
            </w:pPr>
            <w:r w:rsidRPr="004A478D">
              <w:rPr>
                <w:lang w:val="en-AU"/>
              </w:rPr>
              <w:t xml:space="preserve"> 35,063 </w:t>
            </w:r>
          </w:p>
        </w:tc>
      </w:tr>
      <w:tr w:rsidR="002A4312" w:rsidRPr="004A478D" w14:paraId="414B65FB" w14:textId="77777777" w:rsidTr="00235934">
        <w:trPr>
          <w:trHeight w:val="255"/>
        </w:trPr>
        <w:tc>
          <w:tcPr>
            <w:tcW w:w="1288" w:type="pct"/>
            <w:noWrap/>
            <w:vAlign w:val="bottom"/>
            <w:hideMark/>
          </w:tcPr>
          <w:p w14:paraId="078A7838" w14:textId="77777777" w:rsidR="000C6AF3" w:rsidRPr="004A478D" w:rsidRDefault="000C6AF3" w:rsidP="00453A15">
            <w:pPr>
              <w:pStyle w:val="KMC16-Tablecontent"/>
              <w:keepNext/>
              <w:keepLines/>
              <w:rPr>
                <w:lang w:val="en-AU"/>
              </w:rPr>
            </w:pPr>
            <w:r w:rsidRPr="004A478D">
              <w:rPr>
                <w:lang w:val="en-AU"/>
              </w:rPr>
              <w:t>Uptake %</w:t>
            </w:r>
          </w:p>
        </w:tc>
        <w:tc>
          <w:tcPr>
            <w:tcW w:w="586" w:type="pct"/>
            <w:noWrap/>
            <w:hideMark/>
          </w:tcPr>
          <w:p w14:paraId="6632B8A9" w14:textId="05A15DCB" w:rsidR="000C6AF3" w:rsidRPr="003C077C" w:rsidRDefault="00235934" w:rsidP="00453A15">
            <w:pPr>
              <w:pStyle w:val="KMC16-Tablecontent"/>
              <w:keepNext/>
              <w:keepLines/>
              <w:jc w:val="right"/>
              <w:rPr>
                <w:highlight w:val="yellow"/>
                <w:lang w:val="en-AU"/>
              </w:rPr>
            </w:pPr>
            <w:r w:rsidRPr="003C077C">
              <w:rPr>
                <w:b/>
                <w:bCs/>
                <w:lang w:val="en-AU"/>
              </w:rPr>
              <w:t>Redacted</w:t>
            </w:r>
            <w:r w:rsidRPr="003C077C">
              <w:rPr>
                <w:lang w:val="en-AU"/>
              </w:rPr>
              <w:t>%</w:t>
            </w:r>
          </w:p>
        </w:tc>
        <w:tc>
          <w:tcPr>
            <w:tcW w:w="618" w:type="pct"/>
            <w:noWrap/>
            <w:hideMark/>
          </w:tcPr>
          <w:p w14:paraId="42E30DB3" w14:textId="1A97DE7C" w:rsidR="000C6AF3" w:rsidRPr="003C077C" w:rsidRDefault="00235934" w:rsidP="00453A15">
            <w:pPr>
              <w:pStyle w:val="KMC16-Tablecontent"/>
              <w:keepNext/>
              <w:keepLines/>
              <w:jc w:val="right"/>
              <w:rPr>
                <w:highlight w:val="yellow"/>
                <w:lang w:val="en-AU"/>
              </w:rPr>
            </w:pPr>
            <w:r w:rsidRPr="00713151">
              <w:rPr>
                <w:b/>
                <w:bCs/>
                <w:lang w:val="en-AU"/>
              </w:rPr>
              <w:t>Redacted</w:t>
            </w:r>
            <w:r w:rsidRPr="00713151">
              <w:rPr>
                <w:lang w:val="en-AU"/>
              </w:rPr>
              <w:t>%</w:t>
            </w:r>
          </w:p>
        </w:tc>
        <w:tc>
          <w:tcPr>
            <w:tcW w:w="618" w:type="pct"/>
            <w:noWrap/>
            <w:hideMark/>
          </w:tcPr>
          <w:p w14:paraId="1B9171DC" w14:textId="4F3EF531" w:rsidR="000C6AF3" w:rsidRPr="003C077C" w:rsidRDefault="00235934" w:rsidP="00453A15">
            <w:pPr>
              <w:pStyle w:val="KMC16-Tablecontent"/>
              <w:keepNext/>
              <w:keepLines/>
              <w:jc w:val="right"/>
              <w:rPr>
                <w:highlight w:val="yellow"/>
                <w:lang w:val="en-AU"/>
              </w:rPr>
            </w:pPr>
            <w:r w:rsidRPr="00713151">
              <w:rPr>
                <w:b/>
                <w:bCs/>
                <w:lang w:val="en-AU"/>
              </w:rPr>
              <w:t>Redacted</w:t>
            </w:r>
            <w:r w:rsidRPr="00713151">
              <w:rPr>
                <w:lang w:val="en-AU"/>
              </w:rPr>
              <w:t>%</w:t>
            </w:r>
          </w:p>
        </w:tc>
        <w:tc>
          <w:tcPr>
            <w:tcW w:w="618" w:type="pct"/>
            <w:noWrap/>
            <w:hideMark/>
          </w:tcPr>
          <w:p w14:paraId="35C9B2A1" w14:textId="3D5130D8" w:rsidR="000C6AF3" w:rsidRPr="003C077C" w:rsidRDefault="00235934" w:rsidP="00453A15">
            <w:pPr>
              <w:pStyle w:val="KMC16-Tablecontent"/>
              <w:keepNext/>
              <w:keepLines/>
              <w:jc w:val="right"/>
              <w:rPr>
                <w:highlight w:val="yellow"/>
                <w:lang w:val="en-AU"/>
              </w:rPr>
            </w:pPr>
            <w:r w:rsidRPr="00713151">
              <w:rPr>
                <w:b/>
                <w:bCs/>
                <w:lang w:val="en-AU"/>
              </w:rPr>
              <w:t>Redacted</w:t>
            </w:r>
            <w:r w:rsidRPr="00713151">
              <w:rPr>
                <w:lang w:val="en-AU"/>
              </w:rPr>
              <w:t>%</w:t>
            </w:r>
          </w:p>
        </w:tc>
        <w:tc>
          <w:tcPr>
            <w:tcW w:w="636" w:type="pct"/>
            <w:noWrap/>
            <w:hideMark/>
          </w:tcPr>
          <w:p w14:paraId="15D69CB0" w14:textId="6ECB925A" w:rsidR="000C6AF3" w:rsidRPr="003C077C" w:rsidRDefault="00235934" w:rsidP="00453A15">
            <w:pPr>
              <w:pStyle w:val="KMC16-Tablecontent"/>
              <w:keepNext/>
              <w:keepLines/>
              <w:jc w:val="right"/>
              <w:rPr>
                <w:highlight w:val="yellow"/>
                <w:lang w:val="en-AU"/>
              </w:rPr>
            </w:pPr>
            <w:r w:rsidRPr="00713151">
              <w:rPr>
                <w:b/>
                <w:bCs/>
                <w:lang w:val="en-AU"/>
              </w:rPr>
              <w:t>Redacted</w:t>
            </w:r>
            <w:r w:rsidRPr="00713151">
              <w:rPr>
                <w:lang w:val="en-AU"/>
              </w:rPr>
              <w:t>%</w:t>
            </w:r>
          </w:p>
        </w:tc>
        <w:tc>
          <w:tcPr>
            <w:tcW w:w="636" w:type="pct"/>
            <w:noWrap/>
            <w:hideMark/>
          </w:tcPr>
          <w:p w14:paraId="6545C960" w14:textId="06580ECB" w:rsidR="000C6AF3" w:rsidRPr="003C077C" w:rsidRDefault="00235934" w:rsidP="00453A15">
            <w:pPr>
              <w:pStyle w:val="KMC16-Tablecontent"/>
              <w:keepNext/>
              <w:keepLines/>
              <w:jc w:val="right"/>
              <w:rPr>
                <w:highlight w:val="yellow"/>
                <w:lang w:val="en-AU"/>
              </w:rPr>
            </w:pPr>
            <w:r w:rsidRPr="00713151">
              <w:rPr>
                <w:b/>
                <w:bCs/>
                <w:lang w:val="en-AU"/>
              </w:rPr>
              <w:t>Redacted</w:t>
            </w:r>
            <w:r w:rsidRPr="00713151">
              <w:rPr>
                <w:lang w:val="en-AU"/>
              </w:rPr>
              <w:t>%</w:t>
            </w:r>
          </w:p>
        </w:tc>
      </w:tr>
      <w:tr w:rsidR="002A4312" w:rsidRPr="004A478D" w14:paraId="6B9FCA71" w14:textId="77777777" w:rsidTr="00235934">
        <w:trPr>
          <w:trHeight w:val="255"/>
        </w:trPr>
        <w:tc>
          <w:tcPr>
            <w:tcW w:w="1288" w:type="pct"/>
            <w:vAlign w:val="center"/>
            <w:hideMark/>
          </w:tcPr>
          <w:p w14:paraId="04941C90" w14:textId="77777777" w:rsidR="000C6AF3" w:rsidRPr="004A478D" w:rsidRDefault="000C6AF3" w:rsidP="00453A15">
            <w:pPr>
              <w:pStyle w:val="KMC16-Tablecontent"/>
              <w:keepNext/>
              <w:keepLines/>
              <w:rPr>
                <w:color w:val="auto"/>
                <w:lang w:val="en-AU"/>
              </w:rPr>
            </w:pPr>
            <w:r w:rsidRPr="004A478D">
              <w:rPr>
                <w:lang w:val="en-AU"/>
              </w:rPr>
              <w:t>Number of patients taking up FSL</w:t>
            </w:r>
          </w:p>
        </w:tc>
        <w:tc>
          <w:tcPr>
            <w:tcW w:w="586" w:type="pct"/>
            <w:noWrap/>
            <w:hideMark/>
          </w:tcPr>
          <w:p w14:paraId="411873A3" w14:textId="10586F27" w:rsidR="000C6AF3" w:rsidRPr="003C077C" w:rsidRDefault="00235934" w:rsidP="00453A15">
            <w:pPr>
              <w:pStyle w:val="KMC16-Tablecontent"/>
              <w:keepNext/>
              <w:keepLines/>
              <w:jc w:val="right"/>
              <w:rPr>
                <w:highlight w:val="yellow"/>
                <w:vertAlign w:val="superscript"/>
                <w:lang w:val="en-AU"/>
              </w:rPr>
            </w:pPr>
            <w:r w:rsidRPr="00713151">
              <w:rPr>
                <w:b/>
                <w:bCs/>
                <w:lang w:val="en-AU"/>
              </w:rPr>
              <w:t>Redacted</w:t>
            </w:r>
            <w:r w:rsidR="001B00FA" w:rsidRPr="003C077C">
              <w:rPr>
                <w:vertAlign w:val="superscript"/>
                <w:lang w:val="en-AU"/>
              </w:rPr>
              <w:t>1</w:t>
            </w:r>
          </w:p>
        </w:tc>
        <w:tc>
          <w:tcPr>
            <w:tcW w:w="618" w:type="pct"/>
            <w:noWrap/>
            <w:hideMark/>
          </w:tcPr>
          <w:p w14:paraId="62191E50" w14:textId="6B50A056" w:rsidR="000C6AF3" w:rsidRPr="003C077C" w:rsidRDefault="00235934" w:rsidP="00453A15">
            <w:pPr>
              <w:pStyle w:val="KMC16-Tablecontent"/>
              <w:keepNext/>
              <w:keepLines/>
              <w:jc w:val="right"/>
              <w:rPr>
                <w:highlight w:val="yellow"/>
                <w:vertAlign w:val="superscript"/>
                <w:lang w:val="en-AU"/>
              </w:rPr>
            </w:pPr>
            <w:r w:rsidRPr="00713151">
              <w:rPr>
                <w:b/>
                <w:bCs/>
                <w:lang w:val="en-AU"/>
              </w:rPr>
              <w:t>Redacted</w:t>
            </w:r>
            <w:r w:rsidR="001B00FA" w:rsidRPr="003C077C">
              <w:rPr>
                <w:vertAlign w:val="superscript"/>
                <w:lang w:val="en-AU"/>
              </w:rPr>
              <w:t>2</w:t>
            </w:r>
          </w:p>
        </w:tc>
        <w:tc>
          <w:tcPr>
            <w:tcW w:w="618" w:type="pct"/>
            <w:noWrap/>
            <w:hideMark/>
          </w:tcPr>
          <w:p w14:paraId="78ACC4B1" w14:textId="6E8BF8DF" w:rsidR="000C6AF3" w:rsidRPr="003C077C" w:rsidRDefault="00235934" w:rsidP="00453A15">
            <w:pPr>
              <w:pStyle w:val="KMC16-Tablecontent"/>
              <w:keepNext/>
              <w:keepLines/>
              <w:jc w:val="right"/>
              <w:rPr>
                <w:highlight w:val="yellow"/>
                <w:lang w:val="en-AU"/>
              </w:rPr>
            </w:pPr>
            <w:r w:rsidRPr="00713151">
              <w:rPr>
                <w:b/>
                <w:bCs/>
                <w:lang w:val="en-AU"/>
              </w:rPr>
              <w:t>Redacted</w:t>
            </w:r>
            <w:r w:rsidR="001B00FA" w:rsidRPr="003C077C">
              <w:rPr>
                <w:vertAlign w:val="superscript"/>
                <w:lang w:val="en-AU"/>
              </w:rPr>
              <w:t>2</w:t>
            </w:r>
          </w:p>
        </w:tc>
        <w:tc>
          <w:tcPr>
            <w:tcW w:w="618" w:type="pct"/>
            <w:noWrap/>
            <w:hideMark/>
          </w:tcPr>
          <w:p w14:paraId="1702AE25" w14:textId="664665C6" w:rsidR="000C6AF3" w:rsidRPr="003C077C" w:rsidRDefault="00235934" w:rsidP="00453A15">
            <w:pPr>
              <w:pStyle w:val="KMC16-Tablecontent"/>
              <w:keepNext/>
              <w:keepLines/>
              <w:jc w:val="right"/>
              <w:rPr>
                <w:highlight w:val="yellow"/>
                <w:lang w:val="en-AU"/>
              </w:rPr>
            </w:pPr>
            <w:r w:rsidRPr="00713151">
              <w:rPr>
                <w:b/>
                <w:bCs/>
                <w:lang w:val="en-AU"/>
              </w:rPr>
              <w:t>Redacted</w:t>
            </w:r>
            <w:r w:rsidR="001B00FA" w:rsidRPr="003C077C">
              <w:rPr>
                <w:vertAlign w:val="superscript"/>
                <w:lang w:val="en-AU"/>
              </w:rPr>
              <w:t>2</w:t>
            </w:r>
          </w:p>
        </w:tc>
        <w:tc>
          <w:tcPr>
            <w:tcW w:w="636" w:type="pct"/>
            <w:noWrap/>
            <w:hideMark/>
          </w:tcPr>
          <w:p w14:paraId="5CDF6E06" w14:textId="35BB5C89" w:rsidR="000C6AF3" w:rsidRPr="00235934" w:rsidRDefault="00235934" w:rsidP="00453A15">
            <w:pPr>
              <w:pStyle w:val="KMC16-Tablecontent"/>
              <w:keepNext/>
              <w:keepLines/>
              <w:jc w:val="right"/>
              <w:rPr>
                <w:lang w:val="en-AU"/>
              </w:rPr>
            </w:pPr>
            <w:r w:rsidRPr="00235934">
              <w:rPr>
                <w:b/>
                <w:bCs/>
                <w:lang w:val="en-AU"/>
              </w:rPr>
              <w:t>Redacted</w:t>
            </w:r>
            <w:r w:rsidR="001B00FA" w:rsidRPr="003C077C">
              <w:rPr>
                <w:vertAlign w:val="superscript"/>
                <w:lang w:val="en-AU"/>
              </w:rPr>
              <w:t>3</w:t>
            </w:r>
            <w:r w:rsidR="000C6AF3" w:rsidRPr="00235934">
              <w:rPr>
                <w:lang w:val="en-AU"/>
              </w:rPr>
              <w:t xml:space="preserve"> </w:t>
            </w:r>
          </w:p>
        </w:tc>
        <w:tc>
          <w:tcPr>
            <w:tcW w:w="636" w:type="pct"/>
            <w:noWrap/>
            <w:hideMark/>
          </w:tcPr>
          <w:p w14:paraId="028CB8F2" w14:textId="53C61B54" w:rsidR="000C6AF3" w:rsidRPr="003C077C" w:rsidRDefault="00235934" w:rsidP="00453A15">
            <w:pPr>
              <w:pStyle w:val="KMC16-Tablecontent"/>
              <w:keepNext/>
              <w:keepLines/>
              <w:jc w:val="right"/>
              <w:rPr>
                <w:highlight w:val="yellow"/>
                <w:lang w:val="en-AU"/>
              </w:rPr>
            </w:pPr>
            <w:r w:rsidRPr="00713151">
              <w:rPr>
                <w:b/>
                <w:bCs/>
                <w:lang w:val="en-AU"/>
              </w:rPr>
              <w:t>Redacted</w:t>
            </w:r>
            <w:r w:rsidR="001B00FA" w:rsidRPr="003C077C">
              <w:rPr>
                <w:vertAlign w:val="superscript"/>
                <w:lang w:val="en-AU"/>
              </w:rPr>
              <w:t>3</w:t>
            </w:r>
            <w:r w:rsidR="000C6AF3" w:rsidRPr="003C077C">
              <w:rPr>
                <w:highlight w:val="yellow"/>
                <w:lang w:val="en-AU"/>
              </w:rPr>
              <w:t xml:space="preserve"> </w:t>
            </w:r>
          </w:p>
        </w:tc>
      </w:tr>
      <w:tr w:rsidR="002A4312" w:rsidRPr="004A478D" w14:paraId="3FB6C623" w14:textId="77777777" w:rsidTr="00235934">
        <w:trPr>
          <w:trHeight w:val="255"/>
        </w:trPr>
        <w:tc>
          <w:tcPr>
            <w:tcW w:w="1288" w:type="pct"/>
            <w:noWrap/>
            <w:vAlign w:val="bottom"/>
            <w:hideMark/>
          </w:tcPr>
          <w:p w14:paraId="6C264989" w14:textId="77777777" w:rsidR="00235934" w:rsidRPr="004A478D" w:rsidRDefault="00235934" w:rsidP="00453A15">
            <w:pPr>
              <w:pStyle w:val="KMC16-Tablecontent"/>
              <w:keepNext/>
              <w:keepLines/>
              <w:rPr>
                <w:lang w:val="en-AU"/>
              </w:rPr>
            </w:pPr>
            <w:r w:rsidRPr="004A478D">
              <w:rPr>
                <w:lang w:val="en-AU"/>
              </w:rPr>
              <w:t>Number of FSL 2 sensors (1 sensor/pack)</w:t>
            </w:r>
          </w:p>
        </w:tc>
        <w:tc>
          <w:tcPr>
            <w:tcW w:w="586" w:type="pct"/>
            <w:noWrap/>
            <w:hideMark/>
          </w:tcPr>
          <w:p w14:paraId="13E000B0" w14:textId="59C4AB70" w:rsidR="00235934" w:rsidRPr="003C077C" w:rsidRDefault="00235934" w:rsidP="00453A15">
            <w:pPr>
              <w:pStyle w:val="KMC16-Tablecontent"/>
              <w:keepNext/>
              <w:keepLines/>
              <w:jc w:val="right"/>
              <w:rPr>
                <w:highlight w:val="yellow"/>
                <w:lang w:val="en-AU"/>
              </w:rPr>
            </w:pPr>
            <w:r w:rsidRPr="00823114">
              <w:rPr>
                <w:b/>
                <w:bCs/>
                <w:lang w:val="en-AU"/>
              </w:rPr>
              <w:t>Redacted</w:t>
            </w:r>
          </w:p>
        </w:tc>
        <w:tc>
          <w:tcPr>
            <w:tcW w:w="618" w:type="pct"/>
            <w:noWrap/>
            <w:hideMark/>
          </w:tcPr>
          <w:p w14:paraId="1387136B" w14:textId="68F1D6E1" w:rsidR="00235934" w:rsidRPr="003C077C" w:rsidRDefault="00235934" w:rsidP="00453A15">
            <w:pPr>
              <w:pStyle w:val="KMC16-Tablecontent"/>
              <w:keepNext/>
              <w:keepLines/>
              <w:jc w:val="right"/>
              <w:rPr>
                <w:highlight w:val="yellow"/>
                <w:lang w:val="en-AU"/>
              </w:rPr>
            </w:pPr>
            <w:r w:rsidRPr="00823114">
              <w:rPr>
                <w:b/>
                <w:bCs/>
                <w:lang w:val="en-AU"/>
              </w:rPr>
              <w:t>Redacted</w:t>
            </w:r>
          </w:p>
        </w:tc>
        <w:tc>
          <w:tcPr>
            <w:tcW w:w="618" w:type="pct"/>
            <w:noWrap/>
            <w:hideMark/>
          </w:tcPr>
          <w:p w14:paraId="40009B2E" w14:textId="20CD64DC" w:rsidR="00235934" w:rsidRPr="003C077C" w:rsidRDefault="00235934" w:rsidP="00453A15">
            <w:pPr>
              <w:pStyle w:val="KMC16-Tablecontent"/>
              <w:keepNext/>
              <w:keepLines/>
              <w:jc w:val="right"/>
              <w:rPr>
                <w:highlight w:val="yellow"/>
                <w:lang w:val="en-AU"/>
              </w:rPr>
            </w:pPr>
            <w:r w:rsidRPr="00823114">
              <w:rPr>
                <w:b/>
                <w:bCs/>
                <w:lang w:val="en-AU"/>
              </w:rPr>
              <w:t>Redacted</w:t>
            </w:r>
          </w:p>
        </w:tc>
        <w:tc>
          <w:tcPr>
            <w:tcW w:w="618" w:type="pct"/>
            <w:noWrap/>
            <w:hideMark/>
          </w:tcPr>
          <w:p w14:paraId="724E0D19" w14:textId="02A30DB7" w:rsidR="00235934" w:rsidRPr="003C077C" w:rsidRDefault="00235934" w:rsidP="00453A15">
            <w:pPr>
              <w:pStyle w:val="KMC16-Tablecontent"/>
              <w:keepNext/>
              <w:keepLines/>
              <w:jc w:val="right"/>
              <w:rPr>
                <w:highlight w:val="yellow"/>
                <w:lang w:val="en-AU"/>
              </w:rPr>
            </w:pPr>
            <w:r w:rsidRPr="00823114">
              <w:rPr>
                <w:b/>
                <w:bCs/>
                <w:lang w:val="en-AU"/>
              </w:rPr>
              <w:t>Redacted</w:t>
            </w:r>
          </w:p>
        </w:tc>
        <w:tc>
          <w:tcPr>
            <w:tcW w:w="636" w:type="pct"/>
            <w:noWrap/>
            <w:hideMark/>
          </w:tcPr>
          <w:p w14:paraId="37596CAC" w14:textId="4451C506" w:rsidR="00235934" w:rsidRPr="003C077C" w:rsidRDefault="00235934" w:rsidP="00453A15">
            <w:pPr>
              <w:pStyle w:val="KMC16-Tablecontent"/>
              <w:keepNext/>
              <w:keepLines/>
              <w:jc w:val="right"/>
              <w:rPr>
                <w:highlight w:val="yellow"/>
                <w:lang w:val="en-AU"/>
              </w:rPr>
            </w:pPr>
            <w:r w:rsidRPr="00823114">
              <w:rPr>
                <w:b/>
                <w:bCs/>
                <w:lang w:val="en-AU"/>
              </w:rPr>
              <w:t>Redacted</w:t>
            </w:r>
          </w:p>
        </w:tc>
        <w:tc>
          <w:tcPr>
            <w:tcW w:w="636" w:type="pct"/>
            <w:noWrap/>
            <w:hideMark/>
          </w:tcPr>
          <w:p w14:paraId="7CAACE3C" w14:textId="10006315" w:rsidR="00235934" w:rsidRPr="003C077C" w:rsidRDefault="00235934" w:rsidP="00453A15">
            <w:pPr>
              <w:pStyle w:val="KMC16-Tablecontent"/>
              <w:keepNext/>
              <w:keepLines/>
              <w:jc w:val="right"/>
              <w:rPr>
                <w:highlight w:val="yellow"/>
                <w:lang w:val="en-AU"/>
              </w:rPr>
            </w:pPr>
            <w:r w:rsidRPr="00823114">
              <w:rPr>
                <w:b/>
                <w:bCs/>
                <w:lang w:val="en-AU"/>
              </w:rPr>
              <w:t>Redacted</w:t>
            </w:r>
          </w:p>
        </w:tc>
      </w:tr>
      <w:tr w:rsidR="002A4312" w:rsidRPr="009251A8" w14:paraId="602CAB6F" w14:textId="77777777" w:rsidTr="00235934">
        <w:trPr>
          <w:trHeight w:val="255"/>
        </w:trPr>
        <w:tc>
          <w:tcPr>
            <w:tcW w:w="1288" w:type="pct"/>
            <w:noWrap/>
            <w:vAlign w:val="bottom"/>
            <w:hideMark/>
          </w:tcPr>
          <w:p w14:paraId="61DC0DBF" w14:textId="0202DF3C" w:rsidR="000C6AF3" w:rsidRPr="004A478D" w:rsidRDefault="000C6AF3" w:rsidP="00453A15">
            <w:pPr>
              <w:pStyle w:val="KMC16-Tablecontent"/>
              <w:keepNext/>
              <w:keepLines/>
              <w:rPr>
                <w:b/>
                <w:lang w:val="en-AU"/>
              </w:rPr>
            </w:pPr>
            <w:r w:rsidRPr="004A478D">
              <w:rPr>
                <w:b/>
                <w:lang w:val="en-AU"/>
              </w:rPr>
              <w:t xml:space="preserve">Total </w:t>
            </w:r>
            <w:r w:rsidR="00416E74">
              <w:rPr>
                <w:b/>
                <w:lang w:val="en-AU"/>
              </w:rPr>
              <w:t>c</w:t>
            </w:r>
            <w:r w:rsidRPr="004A478D">
              <w:rPr>
                <w:b/>
                <w:lang w:val="en-AU"/>
              </w:rPr>
              <w:t>ost of FSL</w:t>
            </w:r>
          </w:p>
        </w:tc>
        <w:tc>
          <w:tcPr>
            <w:tcW w:w="586" w:type="pct"/>
            <w:noWrap/>
            <w:hideMark/>
          </w:tcPr>
          <w:p w14:paraId="52083AD7" w14:textId="79E5D652" w:rsidR="000C6AF3" w:rsidRPr="003C077C" w:rsidRDefault="00235934" w:rsidP="00453A15">
            <w:pPr>
              <w:pStyle w:val="KMC16-Tablecontent"/>
              <w:keepNext/>
              <w:keepLines/>
              <w:jc w:val="right"/>
              <w:rPr>
                <w:vertAlign w:val="superscript"/>
                <w:lang w:val="en-AU"/>
              </w:rPr>
            </w:pPr>
            <w:r w:rsidRPr="0009127A">
              <w:rPr>
                <w:lang w:val="en-AU"/>
              </w:rPr>
              <w:t>$</w:t>
            </w:r>
            <w:r w:rsidRPr="0009127A">
              <w:rPr>
                <w:b/>
                <w:bCs/>
                <w:lang w:val="en-AU"/>
              </w:rPr>
              <w:t>Redacted</w:t>
            </w:r>
            <w:r w:rsidR="00310162" w:rsidRPr="003C077C">
              <w:rPr>
                <w:vertAlign w:val="superscript"/>
                <w:lang w:val="en-AU"/>
              </w:rPr>
              <w:t>4</w:t>
            </w:r>
          </w:p>
        </w:tc>
        <w:tc>
          <w:tcPr>
            <w:tcW w:w="618" w:type="pct"/>
            <w:noWrap/>
            <w:hideMark/>
          </w:tcPr>
          <w:p w14:paraId="20C63DDF" w14:textId="015C02C0" w:rsidR="000C6AF3" w:rsidRPr="003C077C" w:rsidRDefault="0009127A" w:rsidP="00453A15">
            <w:pPr>
              <w:pStyle w:val="KMC16-Tablecontent"/>
              <w:keepNext/>
              <w:keepLines/>
              <w:jc w:val="right"/>
              <w:rPr>
                <w:vertAlign w:val="superscript"/>
                <w:lang w:val="en-AU"/>
              </w:rPr>
            </w:pPr>
            <w:r w:rsidRPr="002A4312">
              <w:rPr>
                <w:lang w:val="en-AU"/>
              </w:rPr>
              <w:t>$</w:t>
            </w:r>
            <w:r w:rsidRPr="002A4312">
              <w:rPr>
                <w:b/>
                <w:bCs/>
                <w:lang w:val="en-AU"/>
              </w:rPr>
              <w:t>Redacted</w:t>
            </w:r>
            <w:r w:rsidR="00310162" w:rsidRPr="003C077C">
              <w:rPr>
                <w:vertAlign w:val="superscript"/>
                <w:lang w:val="en-AU"/>
              </w:rPr>
              <w:t>4</w:t>
            </w:r>
          </w:p>
        </w:tc>
        <w:tc>
          <w:tcPr>
            <w:tcW w:w="618" w:type="pct"/>
            <w:noWrap/>
            <w:hideMark/>
          </w:tcPr>
          <w:p w14:paraId="70405FD6" w14:textId="41E23613" w:rsidR="000C6AF3" w:rsidRPr="003C077C" w:rsidRDefault="009E306E" w:rsidP="00453A15">
            <w:pPr>
              <w:pStyle w:val="KMC16-Tablecontent"/>
              <w:keepNext/>
              <w:keepLines/>
              <w:jc w:val="right"/>
              <w:rPr>
                <w:vertAlign w:val="superscript"/>
                <w:lang w:val="en-AU"/>
              </w:rPr>
            </w:pPr>
            <w:r w:rsidRPr="002A4312">
              <w:rPr>
                <w:lang w:val="en-AU"/>
              </w:rPr>
              <w:t>$</w:t>
            </w:r>
            <w:r w:rsidRPr="002A4312">
              <w:rPr>
                <w:b/>
                <w:bCs/>
                <w:lang w:val="en-AU"/>
              </w:rPr>
              <w:t>Redacted</w:t>
            </w:r>
            <w:r w:rsidR="00310162" w:rsidRPr="003C077C">
              <w:rPr>
                <w:vertAlign w:val="superscript"/>
                <w:lang w:val="en-AU"/>
              </w:rPr>
              <w:t>3</w:t>
            </w:r>
          </w:p>
        </w:tc>
        <w:tc>
          <w:tcPr>
            <w:tcW w:w="618" w:type="pct"/>
            <w:noWrap/>
            <w:hideMark/>
          </w:tcPr>
          <w:p w14:paraId="70A98E0C" w14:textId="1E4144D5"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310162" w:rsidRPr="003C077C">
              <w:rPr>
                <w:vertAlign w:val="superscript"/>
                <w:lang w:val="en-AU"/>
              </w:rPr>
              <w:t>3</w:t>
            </w:r>
          </w:p>
        </w:tc>
        <w:tc>
          <w:tcPr>
            <w:tcW w:w="636" w:type="pct"/>
            <w:noWrap/>
            <w:hideMark/>
          </w:tcPr>
          <w:p w14:paraId="33BB658F" w14:textId="48FA5AB9"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310162" w:rsidRPr="003C077C">
              <w:rPr>
                <w:vertAlign w:val="superscript"/>
                <w:lang w:val="en-AU"/>
              </w:rPr>
              <w:t>3</w:t>
            </w:r>
          </w:p>
        </w:tc>
        <w:tc>
          <w:tcPr>
            <w:tcW w:w="636" w:type="pct"/>
            <w:noWrap/>
            <w:hideMark/>
          </w:tcPr>
          <w:p w14:paraId="3733FAE3" w14:textId="47773FA7"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310162" w:rsidRPr="003C077C">
              <w:rPr>
                <w:vertAlign w:val="superscript"/>
                <w:lang w:val="en-AU"/>
              </w:rPr>
              <w:t>3</w:t>
            </w:r>
          </w:p>
        </w:tc>
      </w:tr>
      <w:tr w:rsidR="002A4312" w:rsidRPr="00E4592D" w14:paraId="1AB86662" w14:textId="77777777" w:rsidTr="00235934">
        <w:trPr>
          <w:trHeight w:val="765"/>
        </w:trPr>
        <w:tc>
          <w:tcPr>
            <w:tcW w:w="1288" w:type="pct"/>
            <w:vAlign w:val="center"/>
            <w:hideMark/>
          </w:tcPr>
          <w:p w14:paraId="2CB99A6A" w14:textId="77777777" w:rsidR="000C6AF3" w:rsidRPr="004A478D" w:rsidRDefault="000C6AF3" w:rsidP="00453A15">
            <w:pPr>
              <w:pStyle w:val="KMC16-Tablecontent"/>
              <w:keepNext/>
              <w:keepLines/>
              <w:rPr>
                <w:i/>
                <w:lang w:val="en-AU"/>
              </w:rPr>
            </w:pPr>
            <w:r w:rsidRPr="004A478D">
              <w:rPr>
                <w:i/>
                <w:lang w:val="en-AU"/>
              </w:rPr>
              <w:t>less cost offset (patient contributions, applies to 30% (or 27%) of population who are general patients, the remaining with concession pay $0 contribution)</w:t>
            </w:r>
          </w:p>
        </w:tc>
        <w:tc>
          <w:tcPr>
            <w:tcW w:w="586" w:type="pct"/>
            <w:noWrap/>
            <w:hideMark/>
          </w:tcPr>
          <w:p w14:paraId="6765AD39" w14:textId="44D1B858" w:rsidR="000C6AF3" w:rsidRPr="003C077C" w:rsidRDefault="00235934" w:rsidP="00453A15">
            <w:pPr>
              <w:pStyle w:val="KMC16-Tablecontent"/>
              <w:keepNext/>
              <w:keepLines/>
              <w:jc w:val="right"/>
              <w:rPr>
                <w:vertAlign w:val="superscript"/>
                <w:lang w:val="en-AU"/>
              </w:rPr>
            </w:pPr>
            <w:r w:rsidRPr="0009127A">
              <w:rPr>
                <w:lang w:val="en-AU"/>
              </w:rPr>
              <w:t>$</w:t>
            </w:r>
            <w:r w:rsidRPr="0009127A">
              <w:rPr>
                <w:b/>
                <w:bCs/>
                <w:lang w:val="en-AU"/>
              </w:rPr>
              <w:t>Redacted</w:t>
            </w:r>
            <w:r w:rsidR="00310162" w:rsidRPr="003C077C">
              <w:rPr>
                <w:vertAlign w:val="superscript"/>
                <w:lang w:val="en-AU"/>
              </w:rPr>
              <w:t>6</w:t>
            </w:r>
          </w:p>
        </w:tc>
        <w:tc>
          <w:tcPr>
            <w:tcW w:w="618" w:type="pct"/>
            <w:noWrap/>
            <w:hideMark/>
          </w:tcPr>
          <w:p w14:paraId="42B33FF2" w14:textId="3C99D72B" w:rsidR="000C6AF3" w:rsidRPr="003C077C" w:rsidRDefault="0009127A" w:rsidP="00453A15">
            <w:pPr>
              <w:pStyle w:val="KMC16-Tablecontent"/>
              <w:keepNext/>
              <w:keepLines/>
              <w:jc w:val="right"/>
              <w:rPr>
                <w:vertAlign w:val="superscript"/>
                <w:lang w:val="en-AU"/>
              </w:rPr>
            </w:pPr>
            <w:r w:rsidRPr="002A4312">
              <w:rPr>
                <w:lang w:val="en-AU"/>
              </w:rPr>
              <w:t>$</w:t>
            </w:r>
            <w:r w:rsidRPr="002A4312">
              <w:rPr>
                <w:b/>
                <w:bCs/>
                <w:lang w:val="en-AU"/>
              </w:rPr>
              <w:t>Redacted</w:t>
            </w:r>
            <w:r w:rsidR="00310162" w:rsidRPr="003C077C">
              <w:rPr>
                <w:vertAlign w:val="superscript"/>
                <w:lang w:val="en-AU"/>
              </w:rPr>
              <w:t>6</w:t>
            </w:r>
          </w:p>
        </w:tc>
        <w:tc>
          <w:tcPr>
            <w:tcW w:w="618" w:type="pct"/>
            <w:noWrap/>
            <w:hideMark/>
          </w:tcPr>
          <w:p w14:paraId="71A8F164" w14:textId="74E0663C" w:rsidR="000C6AF3" w:rsidRPr="003C077C" w:rsidRDefault="009E306E" w:rsidP="00453A15">
            <w:pPr>
              <w:pStyle w:val="KMC16-Tablecontent"/>
              <w:keepNext/>
              <w:keepLines/>
              <w:jc w:val="right"/>
              <w:rPr>
                <w:vertAlign w:val="superscript"/>
                <w:lang w:val="en-AU"/>
              </w:rPr>
            </w:pPr>
            <w:r w:rsidRPr="002A4312">
              <w:rPr>
                <w:lang w:val="en-AU"/>
              </w:rPr>
              <w:t>$</w:t>
            </w:r>
            <w:r w:rsidRPr="002A4312">
              <w:rPr>
                <w:b/>
                <w:bCs/>
                <w:lang w:val="en-AU"/>
              </w:rPr>
              <w:t>Redacted</w:t>
            </w:r>
            <w:r w:rsidR="00310162" w:rsidRPr="003C077C">
              <w:rPr>
                <w:vertAlign w:val="superscript"/>
                <w:lang w:val="en-AU"/>
              </w:rPr>
              <w:t>6</w:t>
            </w:r>
          </w:p>
        </w:tc>
        <w:tc>
          <w:tcPr>
            <w:tcW w:w="618" w:type="pct"/>
            <w:noWrap/>
            <w:hideMark/>
          </w:tcPr>
          <w:p w14:paraId="7941784B" w14:textId="5FBEEEED"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310162" w:rsidRPr="003C077C">
              <w:rPr>
                <w:vertAlign w:val="superscript"/>
                <w:lang w:val="en-AU"/>
              </w:rPr>
              <w:t>6</w:t>
            </w:r>
          </w:p>
        </w:tc>
        <w:tc>
          <w:tcPr>
            <w:tcW w:w="636" w:type="pct"/>
            <w:noWrap/>
            <w:hideMark/>
          </w:tcPr>
          <w:p w14:paraId="5FB0D5E5" w14:textId="3AE0DFED"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310162" w:rsidRPr="003C077C">
              <w:rPr>
                <w:vertAlign w:val="superscript"/>
                <w:lang w:val="en-AU"/>
              </w:rPr>
              <w:t>6</w:t>
            </w:r>
          </w:p>
        </w:tc>
        <w:tc>
          <w:tcPr>
            <w:tcW w:w="636" w:type="pct"/>
            <w:noWrap/>
            <w:hideMark/>
          </w:tcPr>
          <w:p w14:paraId="1E0AADC0" w14:textId="5FFB5B2A"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310162" w:rsidRPr="003C077C">
              <w:rPr>
                <w:vertAlign w:val="superscript"/>
                <w:lang w:val="en-AU"/>
              </w:rPr>
              <w:t>6</w:t>
            </w:r>
          </w:p>
        </w:tc>
      </w:tr>
      <w:tr w:rsidR="002A4312" w:rsidRPr="009251A8" w14:paraId="771EE284" w14:textId="77777777" w:rsidTr="00235934">
        <w:trPr>
          <w:trHeight w:val="255"/>
        </w:trPr>
        <w:tc>
          <w:tcPr>
            <w:tcW w:w="1288" w:type="pct"/>
            <w:noWrap/>
            <w:vAlign w:val="bottom"/>
            <w:hideMark/>
          </w:tcPr>
          <w:p w14:paraId="2F3C89F4" w14:textId="433AA92F" w:rsidR="000C6AF3" w:rsidRPr="004A478D" w:rsidRDefault="000C6AF3" w:rsidP="00453A15">
            <w:pPr>
              <w:pStyle w:val="KMC16-Tablecontent"/>
              <w:keepNext/>
              <w:keepLines/>
              <w:rPr>
                <w:b/>
                <w:lang w:val="en-AU"/>
              </w:rPr>
            </w:pPr>
            <w:r w:rsidRPr="004A478D">
              <w:rPr>
                <w:b/>
                <w:lang w:val="en-AU"/>
              </w:rPr>
              <w:t xml:space="preserve">Net </w:t>
            </w:r>
            <w:r w:rsidR="007022E9">
              <w:rPr>
                <w:b/>
                <w:lang w:val="en-AU"/>
              </w:rPr>
              <w:t>c</w:t>
            </w:r>
            <w:r w:rsidRPr="004A478D">
              <w:rPr>
                <w:b/>
                <w:lang w:val="en-AU"/>
              </w:rPr>
              <w:t>ost of FSL</w:t>
            </w:r>
          </w:p>
        </w:tc>
        <w:tc>
          <w:tcPr>
            <w:tcW w:w="586" w:type="pct"/>
            <w:noWrap/>
            <w:hideMark/>
          </w:tcPr>
          <w:p w14:paraId="40853300" w14:textId="48E552D1" w:rsidR="000C6AF3" w:rsidRPr="003C077C" w:rsidRDefault="00235934" w:rsidP="00453A15">
            <w:pPr>
              <w:pStyle w:val="KMC16-Tablecontent"/>
              <w:keepNext/>
              <w:keepLines/>
              <w:jc w:val="right"/>
              <w:rPr>
                <w:vertAlign w:val="superscript"/>
                <w:lang w:val="en-AU"/>
              </w:rPr>
            </w:pPr>
            <w:r w:rsidRPr="0009127A">
              <w:rPr>
                <w:lang w:val="en-AU"/>
              </w:rPr>
              <w:t>$</w:t>
            </w:r>
            <w:r w:rsidRPr="0009127A">
              <w:rPr>
                <w:b/>
                <w:bCs/>
                <w:lang w:val="en-AU"/>
              </w:rPr>
              <w:t>Redacted</w:t>
            </w:r>
            <w:r w:rsidR="00310162" w:rsidRPr="003C077C">
              <w:rPr>
                <w:vertAlign w:val="superscript"/>
                <w:lang w:val="en-AU"/>
              </w:rPr>
              <w:t>6</w:t>
            </w:r>
          </w:p>
        </w:tc>
        <w:tc>
          <w:tcPr>
            <w:tcW w:w="618" w:type="pct"/>
            <w:noWrap/>
            <w:hideMark/>
          </w:tcPr>
          <w:p w14:paraId="51026D47" w14:textId="20A6FFBC"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CE35C3" w:rsidRPr="003C077C">
              <w:rPr>
                <w:vertAlign w:val="superscript"/>
                <w:lang w:val="en-AU"/>
              </w:rPr>
              <w:t>4</w:t>
            </w:r>
          </w:p>
        </w:tc>
        <w:tc>
          <w:tcPr>
            <w:tcW w:w="618" w:type="pct"/>
            <w:noWrap/>
            <w:hideMark/>
          </w:tcPr>
          <w:p w14:paraId="6527144F" w14:textId="5A4F6EBA"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CE35C3" w:rsidRPr="003C077C">
              <w:rPr>
                <w:vertAlign w:val="superscript"/>
                <w:lang w:val="en-AU"/>
              </w:rPr>
              <w:t>5</w:t>
            </w:r>
          </w:p>
        </w:tc>
        <w:tc>
          <w:tcPr>
            <w:tcW w:w="618" w:type="pct"/>
            <w:noWrap/>
            <w:hideMark/>
          </w:tcPr>
          <w:p w14:paraId="2742FA89" w14:textId="333842BF"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CE35C3" w:rsidRPr="003C077C">
              <w:rPr>
                <w:vertAlign w:val="superscript"/>
                <w:lang w:val="en-AU"/>
              </w:rPr>
              <w:t>5</w:t>
            </w:r>
          </w:p>
        </w:tc>
        <w:tc>
          <w:tcPr>
            <w:tcW w:w="636" w:type="pct"/>
            <w:noWrap/>
            <w:hideMark/>
          </w:tcPr>
          <w:p w14:paraId="4F921975" w14:textId="70D6E13C"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CE35C3" w:rsidRPr="003C077C">
              <w:rPr>
                <w:vertAlign w:val="superscript"/>
                <w:lang w:val="en-AU"/>
              </w:rPr>
              <w:t>5</w:t>
            </w:r>
          </w:p>
        </w:tc>
        <w:tc>
          <w:tcPr>
            <w:tcW w:w="636" w:type="pct"/>
            <w:noWrap/>
            <w:hideMark/>
          </w:tcPr>
          <w:p w14:paraId="32E7867B" w14:textId="083D2F3D"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CE35C3" w:rsidRPr="003C077C">
              <w:rPr>
                <w:vertAlign w:val="superscript"/>
                <w:lang w:val="en-AU"/>
              </w:rPr>
              <w:t>5</w:t>
            </w:r>
          </w:p>
        </w:tc>
      </w:tr>
      <w:tr w:rsidR="002A4312" w:rsidRPr="009251A8" w14:paraId="2FF89FA1" w14:textId="77777777" w:rsidTr="00235934">
        <w:trPr>
          <w:trHeight w:val="255"/>
        </w:trPr>
        <w:tc>
          <w:tcPr>
            <w:tcW w:w="1288" w:type="pct"/>
            <w:noWrap/>
            <w:vAlign w:val="bottom"/>
            <w:hideMark/>
          </w:tcPr>
          <w:p w14:paraId="76E4C6E1" w14:textId="3C79463F" w:rsidR="000C6AF3" w:rsidRPr="004A478D" w:rsidRDefault="000C6AF3" w:rsidP="00453A15">
            <w:pPr>
              <w:pStyle w:val="KMC16-Tablecontent"/>
              <w:keepNext/>
              <w:keepLines/>
              <w:rPr>
                <w:b/>
                <w:lang w:val="en-AU"/>
              </w:rPr>
            </w:pPr>
            <w:r w:rsidRPr="004A478D">
              <w:rPr>
                <w:b/>
                <w:lang w:val="en-AU"/>
              </w:rPr>
              <w:t xml:space="preserve">Change in SMBG </w:t>
            </w:r>
            <w:r w:rsidR="007022E9">
              <w:rPr>
                <w:b/>
                <w:lang w:val="en-AU"/>
              </w:rPr>
              <w:t>u</w:t>
            </w:r>
            <w:r w:rsidRPr="004A478D">
              <w:rPr>
                <w:b/>
                <w:lang w:val="en-AU"/>
              </w:rPr>
              <w:t>se</w:t>
            </w:r>
          </w:p>
        </w:tc>
        <w:tc>
          <w:tcPr>
            <w:tcW w:w="586" w:type="pct"/>
            <w:noWrap/>
            <w:hideMark/>
          </w:tcPr>
          <w:p w14:paraId="41AE995A" w14:textId="77777777" w:rsidR="000C6AF3" w:rsidRPr="0009127A" w:rsidRDefault="000C6AF3" w:rsidP="00453A15">
            <w:pPr>
              <w:pStyle w:val="KMC16-Tablecontent"/>
              <w:keepNext/>
              <w:keepLines/>
              <w:jc w:val="center"/>
              <w:rPr>
                <w:lang w:val="en-AU"/>
              </w:rPr>
            </w:pPr>
          </w:p>
        </w:tc>
        <w:tc>
          <w:tcPr>
            <w:tcW w:w="618" w:type="pct"/>
            <w:noWrap/>
            <w:hideMark/>
          </w:tcPr>
          <w:p w14:paraId="623DF606" w14:textId="77777777" w:rsidR="000C6AF3" w:rsidRPr="002A4312" w:rsidRDefault="000C6AF3" w:rsidP="00453A15">
            <w:pPr>
              <w:pStyle w:val="KMC16-Tablecontent"/>
              <w:keepNext/>
              <w:keepLines/>
              <w:jc w:val="center"/>
              <w:rPr>
                <w:lang w:val="en-AU"/>
              </w:rPr>
            </w:pPr>
          </w:p>
        </w:tc>
        <w:tc>
          <w:tcPr>
            <w:tcW w:w="618" w:type="pct"/>
            <w:noWrap/>
            <w:hideMark/>
          </w:tcPr>
          <w:p w14:paraId="7E142655" w14:textId="77777777" w:rsidR="000C6AF3" w:rsidRPr="002A4312" w:rsidRDefault="000C6AF3" w:rsidP="00453A15">
            <w:pPr>
              <w:pStyle w:val="KMC16-Tablecontent"/>
              <w:keepNext/>
              <w:keepLines/>
              <w:jc w:val="center"/>
              <w:rPr>
                <w:lang w:val="en-AU"/>
              </w:rPr>
            </w:pPr>
          </w:p>
        </w:tc>
        <w:tc>
          <w:tcPr>
            <w:tcW w:w="618" w:type="pct"/>
            <w:noWrap/>
            <w:hideMark/>
          </w:tcPr>
          <w:p w14:paraId="660F8922" w14:textId="77777777" w:rsidR="000C6AF3" w:rsidRPr="002A4312" w:rsidRDefault="000C6AF3" w:rsidP="00453A15">
            <w:pPr>
              <w:pStyle w:val="KMC16-Tablecontent"/>
              <w:keepNext/>
              <w:keepLines/>
              <w:jc w:val="center"/>
              <w:rPr>
                <w:lang w:val="en-AU"/>
              </w:rPr>
            </w:pPr>
          </w:p>
        </w:tc>
        <w:tc>
          <w:tcPr>
            <w:tcW w:w="636" w:type="pct"/>
            <w:noWrap/>
            <w:hideMark/>
          </w:tcPr>
          <w:p w14:paraId="7D0CB9BC" w14:textId="77777777" w:rsidR="000C6AF3" w:rsidRPr="002A4312" w:rsidRDefault="000C6AF3" w:rsidP="00453A15">
            <w:pPr>
              <w:pStyle w:val="KMC16-Tablecontent"/>
              <w:keepNext/>
              <w:keepLines/>
              <w:jc w:val="center"/>
              <w:rPr>
                <w:lang w:val="en-AU"/>
              </w:rPr>
            </w:pPr>
          </w:p>
        </w:tc>
        <w:tc>
          <w:tcPr>
            <w:tcW w:w="636" w:type="pct"/>
            <w:noWrap/>
            <w:hideMark/>
          </w:tcPr>
          <w:p w14:paraId="6C3E6013" w14:textId="77777777" w:rsidR="000C6AF3" w:rsidRPr="002A4312" w:rsidRDefault="000C6AF3" w:rsidP="00453A15">
            <w:pPr>
              <w:pStyle w:val="KMC16-Tablecontent"/>
              <w:keepNext/>
              <w:keepLines/>
              <w:jc w:val="center"/>
              <w:rPr>
                <w:lang w:val="en-AU"/>
              </w:rPr>
            </w:pPr>
          </w:p>
        </w:tc>
      </w:tr>
      <w:tr w:rsidR="002A4312" w:rsidRPr="00E4592D" w14:paraId="1C1C965D" w14:textId="77777777" w:rsidTr="00235934">
        <w:trPr>
          <w:trHeight w:val="255"/>
        </w:trPr>
        <w:tc>
          <w:tcPr>
            <w:tcW w:w="1288" w:type="pct"/>
            <w:vAlign w:val="center"/>
            <w:hideMark/>
          </w:tcPr>
          <w:p w14:paraId="7010BE86" w14:textId="62DEA251" w:rsidR="000C6AF3" w:rsidRPr="004A478D" w:rsidRDefault="000C6AF3" w:rsidP="00453A15">
            <w:pPr>
              <w:pStyle w:val="KMC16-Tablecontent"/>
              <w:keepNext/>
              <w:keepLines/>
              <w:rPr>
                <w:i/>
                <w:lang w:val="en-AU"/>
              </w:rPr>
            </w:pPr>
            <w:r w:rsidRPr="004A478D">
              <w:rPr>
                <w:i/>
                <w:lang w:val="en-AU"/>
              </w:rPr>
              <w:t>less cost offsets (reduced glucose strips</w:t>
            </w:r>
            <w:r w:rsidR="00273EB5">
              <w:rPr>
                <w:i/>
                <w:lang w:val="en-AU"/>
              </w:rPr>
              <w:t xml:space="preserve"> costing </w:t>
            </w:r>
            <w:r w:rsidR="00226443">
              <w:rPr>
                <w:color w:val="auto"/>
              </w:rPr>
              <w:t>$</w:t>
            </w:r>
            <w:r w:rsidR="00273EB5">
              <w:rPr>
                <w:i/>
                <w:lang w:val="en-AU"/>
              </w:rPr>
              <w:t>19.10 per pack</w:t>
            </w:r>
            <w:r w:rsidR="00273EB5" w:rsidRPr="004A478D">
              <w:rPr>
                <w:i/>
                <w:lang w:val="en-AU"/>
              </w:rPr>
              <w:t>)</w:t>
            </w:r>
          </w:p>
        </w:tc>
        <w:tc>
          <w:tcPr>
            <w:tcW w:w="586" w:type="pct"/>
            <w:noWrap/>
            <w:hideMark/>
          </w:tcPr>
          <w:p w14:paraId="4D6A0F1E" w14:textId="7BFBC094" w:rsidR="000C6AF3" w:rsidRPr="003C077C" w:rsidRDefault="00235934" w:rsidP="00453A15">
            <w:pPr>
              <w:pStyle w:val="KMC16-Tablecontent"/>
              <w:keepNext/>
              <w:keepLines/>
              <w:jc w:val="right"/>
              <w:rPr>
                <w:vertAlign w:val="superscript"/>
                <w:lang w:val="en-AU"/>
              </w:rPr>
            </w:pPr>
            <w:r w:rsidRPr="0009127A">
              <w:rPr>
                <w:lang w:val="en-AU"/>
              </w:rPr>
              <w:t>$</w:t>
            </w:r>
            <w:r w:rsidRPr="0009127A">
              <w:rPr>
                <w:b/>
                <w:bCs/>
                <w:lang w:val="en-AU"/>
              </w:rPr>
              <w:t>Redacted</w:t>
            </w:r>
            <w:r w:rsidR="00CE35C3" w:rsidRPr="003C077C">
              <w:rPr>
                <w:vertAlign w:val="superscript"/>
                <w:lang w:val="en-AU"/>
              </w:rPr>
              <w:t>6</w:t>
            </w:r>
          </w:p>
        </w:tc>
        <w:tc>
          <w:tcPr>
            <w:tcW w:w="618" w:type="pct"/>
            <w:noWrap/>
            <w:hideMark/>
          </w:tcPr>
          <w:p w14:paraId="78D2D639" w14:textId="5F03AC98"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CE35C3" w:rsidRPr="003C077C">
              <w:rPr>
                <w:vertAlign w:val="superscript"/>
                <w:lang w:val="en-AU"/>
              </w:rPr>
              <w:t>6</w:t>
            </w:r>
          </w:p>
        </w:tc>
        <w:tc>
          <w:tcPr>
            <w:tcW w:w="618" w:type="pct"/>
            <w:noWrap/>
            <w:hideMark/>
          </w:tcPr>
          <w:p w14:paraId="4B71513A" w14:textId="264AA1A4"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CE35C3" w:rsidRPr="003C077C">
              <w:rPr>
                <w:vertAlign w:val="superscript"/>
                <w:lang w:val="en-AU"/>
              </w:rPr>
              <w:t>6</w:t>
            </w:r>
          </w:p>
        </w:tc>
        <w:tc>
          <w:tcPr>
            <w:tcW w:w="618" w:type="pct"/>
            <w:noWrap/>
            <w:hideMark/>
          </w:tcPr>
          <w:p w14:paraId="5545F61C" w14:textId="1827D86E"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CE35C3" w:rsidRPr="003C077C">
              <w:rPr>
                <w:vertAlign w:val="superscript"/>
                <w:lang w:val="en-AU"/>
              </w:rPr>
              <w:t>6</w:t>
            </w:r>
          </w:p>
        </w:tc>
        <w:tc>
          <w:tcPr>
            <w:tcW w:w="636" w:type="pct"/>
            <w:noWrap/>
            <w:hideMark/>
          </w:tcPr>
          <w:p w14:paraId="77FF7A6B" w14:textId="4BA6C43F"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CE35C3" w:rsidRPr="003C077C">
              <w:rPr>
                <w:vertAlign w:val="superscript"/>
                <w:lang w:val="en-AU"/>
              </w:rPr>
              <w:t>6</w:t>
            </w:r>
          </w:p>
        </w:tc>
        <w:tc>
          <w:tcPr>
            <w:tcW w:w="636" w:type="pct"/>
            <w:noWrap/>
            <w:hideMark/>
          </w:tcPr>
          <w:p w14:paraId="1F084A71" w14:textId="57C383A2"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CE35C3" w:rsidRPr="003C077C">
              <w:rPr>
                <w:vertAlign w:val="superscript"/>
                <w:lang w:val="en-AU"/>
              </w:rPr>
              <w:t>6</w:t>
            </w:r>
          </w:p>
        </w:tc>
      </w:tr>
      <w:tr w:rsidR="002A4312" w:rsidRPr="009251A8" w14:paraId="4B5D37D1" w14:textId="77777777" w:rsidTr="00235934">
        <w:trPr>
          <w:trHeight w:val="270"/>
        </w:trPr>
        <w:tc>
          <w:tcPr>
            <w:tcW w:w="1288" w:type="pct"/>
            <w:noWrap/>
            <w:vAlign w:val="bottom"/>
            <w:hideMark/>
          </w:tcPr>
          <w:p w14:paraId="0FC121F0" w14:textId="7C2F8B40" w:rsidR="000C6AF3" w:rsidRPr="004A478D" w:rsidRDefault="000C6AF3" w:rsidP="00453A15">
            <w:pPr>
              <w:pStyle w:val="KMC16-Tablecontent"/>
              <w:keepNext/>
              <w:keepLines/>
              <w:rPr>
                <w:b/>
                <w:lang w:val="en-AU"/>
              </w:rPr>
            </w:pPr>
            <w:r w:rsidRPr="004A478D">
              <w:rPr>
                <w:b/>
                <w:lang w:val="en-AU"/>
              </w:rPr>
              <w:t xml:space="preserve">Total </w:t>
            </w:r>
            <w:r w:rsidR="007022E9">
              <w:rPr>
                <w:b/>
                <w:lang w:val="en-AU"/>
              </w:rPr>
              <w:t>n</w:t>
            </w:r>
            <w:r w:rsidRPr="00A54EDF">
              <w:rPr>
                <w:b/>
                <w:lang w:val="en-AU"/>
              </w:rPr>
              <w:t xml:space="preserve">et </w:t>
            </w:r>
            <w:r w:rsidR="007022E9">
              <w:rPr>
                <w:b/>
                <w:lang w:val="en-AU"/>
              </w:rPr>
              <w:t>c</w:t>
            </w:r>
            <w:r w:rsidRPr="004A478D">
              <w:rPr>
                <w:b/>
                <w:lang w:val="en-AU"/>
              </w:rPr>
              <w:t>ost</w:t>
            </w:r>
          </w:p>
        </w:tc>
        <w:tc>
          <w:tcPr>
            <w:tcW w:w="586" w:type="pct"/>
            <w:noWrap/>
            <w:hideMark/>
          </w:tcPr>
          <w:p w14:paraId="7F3FB7D8" w14:textId="63A0A9C4" w:rsidR="000C6AF3" w:rsidRPr="003C077C" w:rsidRDefault="0009127A" w:rsidP="00453A15">
            <w:pPr>
              <w:pStyle w:val="KMC16-Tablecontent"/>
              <w:keepNext/>
              <w:keepLines/>
              <w:jc w:val="right"/>
              <w:rPr>
                <w:vertAlign w:val="superscript"/>
                <w:lang w:val="en-AU"/>
              </w:rPr>
            </w:pPr>
            <w:r w:rsidRPr="0009127A">
              <w:rPr>
                <w:lang w:val="en-AU"/>
              </w:rPr>
              <w:t>$</w:t>
            </w:r>
            <w:r w:rsidRPr="0009127A">
              <w:rPr>
                <w:b/>
                <w:bCs/>
                <w:lang w:val="en-AU"/>
              </w:rPr>
              <w:t>Redacted</w:t>
            </w:r>
            <w:r w:rsidR="00CE35C3" w:rsidRPr="003C077C">
              <w:rPr>
                <w:vertAlign w:val="superscript"/>
                <w:lang w:val="en-AU"/>
              </w:rPr>
              <w:t>6</w:t>
            </w:r>
          </w:p>
        </w:tc>
        <w:tc>
          <w:tcPr>
            <w:tcW w:w="618" w:type="pct"/>
            <w:noWrap/>
            <w:hideMark/>
          </w:tcPr>
          <w:p w14:paraId="4A7CDA7F" w14:textId="259DB50C"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CE35C3" w:rsidRPr="003C077C">
              <w:rPr>
                <w:vertAlign w:val="superscript"/>
                <w:lang w:val="en-AU"/>
              </w:rPr>
              <w:t>4</w:t>
            </w:r>
          </w:p>
        </w:tc>
        <w:tc>
          <w:tcPr>
            <w:tcW w:w="618" w:type="pct"/>
            <w:noWrap/>
            <w:hideMark/>
          </w:tcPr>
          <w:p w14:paraId="32D70BE2" w14:textId="2E3755F7"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CE35C3" w:rsidRPr="003C077C">
              <w:rPr>
                <w:vertAlign w:val="superscript"/>
                <w:lang w:val="en-AU"/>
              </w:rPr>
              <w:t>4</w:t>
            </w:r>
          </w:p>
        </w:tc>
        <w:tc>
          <w:tcPr>
            <w:tcW w:w="618" w:type="pct"/>
            <w:noWrap/>
            <w:hideMark/>
          </w:tcPr>
          <w:p w14:paraId="7EEFBD75" w14:textId="1BE9BEF2"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CE35C3" w:rsidRPr="003C077C">
              <w:rPr>
                <w:vertAlign w:val="superscript"/>
                <w:lang w:val="en-AU"/>
              </w:rPr>
              <w:t>4</w:t>
            </w:r>
          </w:p>
        </w:tc>
        <w:tc>
          <w:tcPr>
            <w:tcW w:w="636" w:type="pct"/>
            <w:noWrap/>
            <w:hideMark/>
          </w:tcPr>
          <w:p w14:paraId="4E4421F9" w14:textId="714F1810"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CE35C3" w:rsidRPr="003C077C">
              <w:rPr>
                <w:vertAlign w:val="superscript"/>
                <w:lang w:val="en-AU"/>
              </w:rPr>
              <w:t>5</w:t>
            </w:r>
          </w:p>
        </w:tc>
        <w:tc>
          <w:tcPr>
            <w:tcW w:w="636" w:type="pct"/>
            <w:noWrap/>
            <w:hideMark/>
          </w:tcPr>
          <w:p w14:paraId="26D819A9" w14:textId="0B391AED" w:rsidR="000C6AF3" w:rsidRPr="003C077C" w:rsidRDefault="002A4312" w:rsidP="00453A15">
            <w:pPr>
              <w:pStyle w:val="KMC16-Tablecontent"/>
              <w:keepNext/>
              <w:keepLines/>
              <w:jc w:val="right"/>
              <w:rPr>
                <w:vertAlign w:val="superscript"/>
                <w:lang w:val="en-AU"/>
              </w:rPr>
            </w:pPr>
            <w:r w:rsidRPr="002A4312">
              <w:rPr>
                <w:lang w:val="en-AU"/>
              </w:rPr>
              <w:t>$</w:t>
            </w:r>
            <w:r w:rsidRPr="002A4312">
              <w:rPr>
                <w:b/>
                <w:bCs/>
                <w:lang w:val="en-AU"/>
              </w:rPr>
              <w:t>Redacted</w:t>
            </w:r>
            <w:r w:rsidR="00CE35C3" w:rsidRPr="003C077C">
              <w:rPr>
                <w:vertAlign w:val="superscript"/>
                <w:lang w:val="en-AU"/>
              </w:rPr>
              <w:t>5</w:t>
            </w:r>
          </w:p>
        </w:tc>
      </w:tr>
    </w:tbl>
    <w:p w14:paraId="1DEA104A" w14:textId="77777777" w:rsidR="00DF67A2" w:rsidRPr="003027B3" w:rsidRDefault="00DF67A2" w:rsidP="00453A15">
      <w:pPr>
        <w:pStyle w:val="KMC16-TFNotes"/>
        <w:keepNext/>
        <w:keepLines/>
        <w:rPr>
          <w:rFonts w:ascii="Arial Narrow" w:hAnsi="Arial Narrow"/>
          <w:sz w:val="18"/>
          <w:szCs w:val="18"/>
          <w:u w:val="single"/>
        </w:rPr>
      </w:pPr>
      <w:r w:rsidRPr="003027B3">
        <w:rPr>
          <w:rFonts w:ascii="Arial Narrow" w:hAnsi="Arial Narrow"/>
          <w:b/>
          <w:bCs/>
          <w:sz w:val="18"/>
          <w:szCs w:val="18"/>
          <w:u w:val="single"/>
        </w:rPr>
        <w:t>Abbreviations</w:t>
      </w:r>
    </w:p>
    <w:p w14:paraId="377FA0A7" w14:textId="7EE7BDEA" w:rsidR="00DF67A2" w:rsidRPr="003027B3" w:rsidRDefault="00DF67A2" w:rsidP="00453A15">
      <w:pPr>
        <w:pStyle w:val="KMC16-TFNotes"/>
        <w:keepNext/>
        <w:keepLines/>
        <w:jc w:val="left"/>
        <w:rPr>
          <w:rFonts w:ascii="Arial Narrow" w:hAnsi="Arial Narrow"/>
          <w:sz w:val="18"/>
          <w:szCs w:val="18"/>
        </w:rPr>
      </w:pPr>
      <w:r w:rsidRPr="003027B3">
        <w:rPr>
          <w:rFonts w:ascii="Arial Narrow" w:hAnsi="Arial Narrow"/>
          <w:b/>
          <w:bCs/>
          <w:sz w:val="18"/>
          <w:szCs w:val="18"/>
        </w:rPr>
        <w:t>FSL</w:t>
      </w:r>
      <w:r w:rsidRPr="003027B3">
        <w:rPr>
          <w:rFonts w:ascii="Arial Narrow" w:hAnsi="Arial Narrow"/>
          <w:sz w:val="18"/>
          <w:szCs w:val="18"/>
        </w:rPr>
        <w:t xml:space="preserve"> = FreeStyle Libre Continuous Glucose Monitoring, </w:t>
      </w:r>
      <w:r w:rsidRPr="003027B3">
        <w:rPr>
          <w:rFonts w:ascii="Arial Narrow" w:hAnsi="Arial Narrow"/>
          <w:b/>
          <w:bCs/>
          <w:sz w:val="18"/>
          <w:szCs w:val="18"/>
        </w:rPr>
        <w:t>SMBG</w:t>
      </w:r>
      <w:r w:rsidRPr="003027B3">
        <w:rPr>
          <w:rFonts w:ascii="Arial Narrow" w:hAnsi="Arial Narrow"/>
          <w:sz w:val="18"/>
          <w:szCs w:val="18"/>
        </w:rPr>
        <w:t xml:space="preserve"> = self-monitoring of blood glucose, </w:t>
      </w:r>
      <w:r w:rsidRPr="003027B3">
        <w:rPr>
          <w:rFonts w:ascii="Arial Narrow" w:hAnsi="Arial Narrow"/>
          <w:b/>
          <w:bCs/>
          <w:sz w:val="18"/>
          <w:szCs w:val="18"/>
        </w:rPr>
        <w:t>T2D</w:t>
      </w:r>
      <w:r w:rsidRPr="003027B3">
        <w:rPr>
          <w:rFonts w:ascii="Arial Narrow" w:hAnsi="Arial Narrow"/>
          <w:sz w:val="18"/>
          <w:szCs w:val="18"/>
        </w:rPr>
        <w:t xml:space="preserve"> = type 2 diabetes. </w:t>
      </w:r>
      <w:r w:rsidR="00C70CF3" w:rsidRPr="003027B3">
        <w:rPr>
          <w:rFonts w:ascii="Arial Narrow" w:hAnsi="Arial Narrow"/>
          <w:sz w:val="18"/>
          <w:szCs w:val="18"/>
        </w:rPr>
        <w:br/>
      </w:r>
      <w:r w:rsidR="00C70CF3" w:rsidRPr="003027B3">
        <w:rPr>
          <w:rFonts w:ascii="Arial Narrow" w:hAnsi="Arial Narrow"/>
          <w:b/>
          <w:bCs/>
          <w:sz w:val="18"/>
          <w:szCs w:val="18"/>
          <w:u w:val="single"/>
        </w:rPr>
        <w:t>Notes</w:t>
      </w:r>
      <w:r w:rsidR="00C70CF3" w:rsidRPr="003027B3">
        <w:rPr>
          <w:rFonts w:ascii="Arial Narrow" w:hAnsi="Arial Narrow"/>
          <w:b/>
          <w:bCs/>
          <w:sz w:val="18"/>
          <w:szCs w:val="18"/>
          <w:u w:val="single"/>
        </w:rPr>
        <w:br/>
      </w:r>
      <w:r w:rsidR="00C70CF3" w:rsidRPr="003027B3">
        <w:rPr>
          <w:rFonts w:ascii="Arial Narrow" w:hAnsi="Arial Narrow"/>
          <w:sz w:val="18"/>
          <w:szCs w:val="18"/>
        </w:rPr>
        <w:t>All currencies represent AUD.</w:t>
      </w:r>
    </w:p>
    <w:p w14:paraId="35745D8E" w14:textId="77777777" w:rsidR="002A7607" w:rsidRDefault="002A7607" w:rsidP="002A7607">
      <w:pPr>
        <w:pStyle w:val="KMC16-TFNotes"/>
        <w:jc w:val="left"/>
        <w:rPr>
          <w:rFonts w:ascii="Arial Narrow" w:hAnsi="Arial Narrow"/>
          <w:sz w:val="18"/>
          <w:szCs w:val="18"/>
        </w:rPr>
      </w:pPr>
      <w:r>
        <w:rPr>
          <w:rFonts w:ascii="Arial Narrow" w:hAnsi="Arial Narrow"/>
          <w:sz w:val="18"/>
          <w:szCs w:val="18"/>
        </w:rPr>
        <w:t>The redacted values correspond to the following ranges:</w:t>
      </w:r>
    </w:p>
    <w:p w14:paraId="4C35EC73" w14:textId="376A48A4" w:rsidR="002A7607" w:rsidRDefault="002A7607" w:rsidP="002A7607">
      <w:pPr>
        <w:pStyle w:val="KMC16-TFNotes"/>
        <w:jc w:val="left"/>
        <w:rPr>
          <w:rFonts w:ascii="Arial Narrow" w:hAnsi="Arial Narrow"/>
          <w:sz w:val="18"/>
          <w:szCs w:val="18"/>
        </w:rPr>
      </w:pPr>
      <w:r>
        <w:rPr>
          <w:rFonts w:ascii="Arial Narrow" w:hAnsi="Arial Narrow"/>
          <w:sz w:val="18"/>
          <w:szCs w:val="18"/>
          <w:vertAlign w:val="superscript"/>
        </w:rPr>
        <w:t>1</w:t>
      </w:r>
      <w:r>
        <w:rPr>
          <w:rFonts w:ascii="Arial Narrow" w:hAnsi="Arial Narrow"/>
          <w:sz w:val="18"/>
          <w:szCs w:val="18"/>
        </w:rPr>
        <w:t xml:space="preserve"> </w:t>
      </w:r>
      <w:r w:rsidR="001B00FA">
        <w:rPr>
          <w:rFonts w:ascii="Arial Narrow" w:hAnsi="Arial Narrow"/>
          <w:sz w:val="18"/>
          <w:szCs w:val="18"/>
        </w:rPr>
        <w:t>5</w:t>
      </w:r>
      <w:r>
        <w:rPr>
          <w:rFonts w:ascii="Arial Narrow" w:hAnsi="Arial Narrow"/>
          <w:sz w:val="18"/>
          <w:szCs w:val="18"/>
        </w:rPr>
        <w:t xml:space="preserve">,000 to &lt; </w:t>
      </w:r>
      <w:r w:rsidR="001B00FA">
        <w:rPr>
          <w:rFonts w:ascii="Arial Narrow" w:hAnsi="Arial Narrow"/>
          <w:sz w:val="18"/>
          <w:szCs w:val="18"/>
        </w:rPr>
        <w:t>1</w:t>
      </w:r>
      <w:r>
        <w:rPr>
          <w:rFonts w:ascii="Arial Narrow" w:hAnsi="Arial Narrow"/>
          <w:sz w:val="18"/>
          <w:szCs w:val="18"/>
        </w:rPr>
        <w:t>0,000</w:t>
      </w:r>
    </w:p>
    <w:p w14:paraId="4BBCC5C7" w14:textId="33DE6955" w:rsidR="002A7607" w:rsidRDefault="002A7607" w:rsidP="00F37DB1">
      <w:pPr>
        <w:pStyle w:val="KMC16-TFNotes"/>
        <w:jc w:val="left"/>
        <w:rPr>
          <w:rFonts w:ascii="Arial Narrow" w:hAnsi="Arial Narrow"/>
          <w:sz w:val="18"/>
          <w:szCs w:val="18"/>
        </w:rPr>
      </w:pPr>
      <w:r w:rsidRPr="00D95A3C">
        <w:rPr>
          <w:rFonts w:ascii="Arial Narrow" w:hAnsi="Arial Narrow"/>
          <w:sz w:val="18"/>
          <w:szCs w:val="18"/>
          <w:vertAlign w:val="superscript"/>
        </w:rPr>
        <w:t>2</w:t>
      </w:r>
      <w:r>
        <w:rPr>
          <w:rFonts w:ascii="Arial Narrow" w:hAnsi="Arial Narrow"/>
          <w:sz w:val="18"/>
          <w:szCs w:val="18"/>
        </w:rPr>
        <w:t xml:space="preserve"> </w:t>
      </w:r>
      <w:r w:rsidR="00FA0F39">
        <w:rPr>
          <w:rFonts w:ascii="Arial Narrow" w:hAnsi="Arial Narrow"/>
          <w:sz w:val="18"/>
          <w:szCs w:val="18"/>
        </w:rPr>
        <w:t>10</w:t>
      </w:r>
      <w:r>
        <w:rPr>
          <w:rFonts w:ascii="Arial Narrow" w:hAnsi="Arial Narrow"/>
          <w:sz w:val="18"/>
          <w:szCs w:val="18"/>
        </w:rPr>
        <w:t xml:space="preserve">,000 to &lt; </w:t>
      </w:r>
      <w:r w:rsidR="00FA0F39">
        <w:rPr>
          <w:rFonts w:ascii="Arial Narrow" w:hAnsi="Arial Narrow"/>
          <w:sz w:val="18"/>
          <w:szCs w:val="18"/>
        </w:rPr>
        <w:t>2</w:t>
      </w:r>
      <w:r>
        <w:rPr>
          <w:rFonts w:ascii="Arial Narrow" w:hAnsi="Arial Narrow"/>
          <w:sz w:val="18"/>
          <w:szCs w:val="18"/>
        </w:rPr>
        <w:t>0,000</w:t>
      </w:r>
    </w:p>
    <w:p w14:paraId="23FC4081" w14:textId="0EFB9364" w:rsidR="002A7607" w:rsidRDefault="002A7607" w:rsidP="00F37DB1">
      <w:pPr>
        <w:pStyle w:val="KMC16-TFNotes"/>
        <w:jc w:val="left"/>
        <w:rPr>
          <w:rFonts w:ascii="Arial Narrow" w:hAnsi="Arial Narrow"/>
          <w:sz w:val="18"/>
          <w:szCs w:val="18"/>
        </w:rPr>
      </w:pPr>
      <w:r w:rsidRPr="00D95A3C">
        <w:rPr>
          <w:rFonts w:ascii="Arial Narrow" w:hAnsi="Arial Narrow"/>
          <w:sz w:val="18"/>
          <w:szCs w:val="18"/>
          <w:vertAlign w:val="superscript"/>
        </w:rPr>
        <w:t>3</w:t>
      </w:r>
      <w:r>
        <w:rPr>
          <w:rFonts w:ascii="Arial Narrow" w:hAnsi="Arial Narrow"/>
          <w:sz w:val="18"/>
          <w:szCs w:val="18"/>
        </w:rPr>
        <w:t xml:space="preserve"> </w:t>
      </w:r>
      <w:r w:rsidR="00FA0F39">
        <w:rPr>
          <w:rFonts w:ascii="Arial Narrow" w:hAnsi="Arial Narrow"/>
          <w:sz w:val="18"/>
          <w:szCs w:val="18"/>
        </w:rPr>
        <w:t>2</w:t>
      </w:r>
      <w:r>
        <w:rPr>
          <w:rFonts w:ascii="Arial Narrow" w:hAnsi="Arial Narrow"/>
          <w:sz w:val="18"/>
          <w:szCs w:val="18"/>
        </w:rPr>
        <w:t xml:space="preserve">0,000 to &lt; </w:t>
      </w:r>
      <w:r w:rsidR="00FA0F39">
        <w:rPr>
          <w:rFonts w:ascii="Arial Narrow" w:hAnsi="Arial Narrow"/>
          <w:sz w:val="18"/>
          <w:szCs w:val="18"/>
        </w:rPr>
        <w:t>3</w:t>
      </w:r>
      <w:r>
        <w:rPr>
          <w:rFonts w:ascii="Arial Narrow" w:hAnsi="Arial Narrow"/>
          <w:sz w:val="18"/>
          <w:szCs w:val="18"/>
        </w:rPr>
        <w:t>0 000</w:t>
      </w:r>
    </w:p>
    <w:p w14:paraId="1F436D35" w14:textId="48161AA3" w:rsidR="002A7607" w:rsidRDefault="002A7607" w:rsidP="00F37DB1">
      <w:pPr>
        <w:pStyle w:val="KMC16-TFNotes"/>
        <w:jc w:val="left"/>
        <w:rPr>
          <w:rFonts w:ascii="Arial Narrow" w:hAnsi="Arial Narrow"/>
          <w:sz w:val="18"/>
          <w:szCs w:val="18"/>
        </w:rPr>
      </w:pPr>
      <w:r w:rsidRPr="00D95A3C">
        <w:rPr>
          <w:rFonts w:ascii="Arial Narrow" w:hAnsi="Arial Narrow"/>
          <w:sz w:val="18"/>
          <w:szCs w:val="18"/>
          <w:vertAlign w:val="superscript"/>
        </w:rPr>
        <w:t>4</w:t>
      </w:r>
      <w:r>
        <w:rPr>
          <w:rFonts w:ascii="Arial Narrow" w:hAnsi="Arial Narrow"/>
          <w:sz w:val="18"/>
          <w:szCs w:val="18"/>
        </w:rPr>
        <w:t xml:space="preserve"> </w:t>
      </w:r>
      <w:r w:rsidR="00310162">
        <w:rPr>
          <w:rFonts w:ascii="Arial Narrow" w:hAnsi="Arial Narrow"/>
          <w:sz w:val="18"/>
          <w:szCs w:val="18"/>
        </w:rPr>
        <w:t>$10 million to &lt; $20 million</w:t>
      </w:r>
    </w:p>
    <w:p w14:paraId="78C143A5" w14:textId="00DA42F0" w:rsidR="002A7607" w:rsidRDefault="002A7607" w:rsidP="00F37DB1">
      <w:pPr>
        <w:pStyle w:val="KMC16-TFNotes"/>
        <w:jc w:val="left"/>
        <w:rPr>
          <w:rFonts w:ascii="Arial Narrow" w:hAnsi="Arial Narrow"/>
          <w:sz w:val="18"/>
          <w:szCs w:val="18"/>
        </w:rPr>
      </w:pPr>
      <w:r w:rsidRPr="00D95A3C">
        <w:rPr>
          <w:rFonts w:ascii="Arial Narrow" w:hAnsi="Arial Narrow"/>
          <w:sz w:val="18"/>
          <w:szCs w:val="18"/>
          <w:vertAlign w:val="superscript"/>
        </w:rPr>
        <w:t>5</w:t>
      </w:r>
      <w:r>
        <w:rPr>
          <w:rFonts w:ascii="Arial Narrow" w:hAnsi="Arial Narrow"/>
          <w:sz w:val="18"/>
          <w:szCs w:val="18"/>
        </w:rPr>
        <w:t xml:space="preserve"> </w:t>
      </w:r>
      <w:r w:rsidR="00310162">
        <w:rPr>
          <w:rFonts w:ascii="Arial Narrow" w:hAnsi="Arial Narrow"/>
          <w:sz w:val="18"/>
          <w:szCs w:val="18"/>
        </w:rPr>
        <w:t>$20 million to &lt; $30 million</w:t>
      </w:r>
    </w:p>
    <w:p w14:paraId="4AAF0E22" w14:textId="5EFE02B9" w:rsidR="002A7607" w:rsidRPr="003027B3" w:rsidRDefault="002A7607" w:rsidP="00E04694">
      <w:pPr>
        <w:pStyle w:val="KMC16-TFNotes"/>
        <w:jc w:val="left"/>
        <w:rPr>
          <w:rFonts w:ascii="Arial Narrow" w:hAnsi="Arial Narrow"/>
          <w:sz w:val="18"/>
          <w:szCs w:val="18"/>
        </w:rPr>
      </w:pPr>
      <w:r w:rsidRPr="00D95A3C">
        <w:rPr>
          <w:rFonts w:ascii="Arial Narrow" w:hAnsi="Arial Narrow"/>
          <w:sz w:val="18"/>
          <w:szCs w:val="18"/>
          <w:vertAlign w:val="superscript"/>
        </w:rPr>
        <w:t>6</w:t>
      </w:r>
      <w:r>
        <w:rPr>
          <w:rFonts w:ascii="Arial Narrow" w:hAnsi="Arial Narrow"/>
          <w:sz w:val="18"/>
          <w:szCs w:val="18"/>
        </w:rPr>
        <w:t xml:space="preserve"> </w:t>
      </w:r>
      <w:r w:rsidR="00310162">
        <w:rPr>
          <w:rFonts w:ascii="Arial Narrow" w:hAnsi="Arial Narrow"/>
          <w:sz w:val="18"/>
          <w:szCs w:val="18"/>
        </w:rPr>
        <w:t>$0 to &lt; $10 million</w:t>
      </w:r>
    </w:p>
    <w:p w14:paraId="127C5B2F" w14:textId="099DF51D" w:rsidR="000C6AF3" w:rsidRPr="00CE28E3" w:rsidRDefault="000C6AF3" w:rsidP="00791334">
      <w:pPr>
        <w:pStyle w:val="Caption"/>
        <w:keepLines/>
      </w:pPr>
      <w:bookmarkStart w:id="81" w:name="_Ref192773548"/>
      <w:r w:rsidRPr="00CE28E3">
        <w:t>Table</w:t>
      </w:r>
      <w:r>
        <w:t> </w:t>
      </w:r>
      <w:r w:rsidR="00315A60">
        <w:fldChar w:fldCharType="begin"/>
      </w:r>
      <w:r w:rsidR="00315A60">
        <w:instrText xml:space="preserve"> SEQ Table \* ARABIC </w:instrText>
      </w:r>
      <w:r w:rsidR="00315A60">
        <w:fldChar w:fldCharType="separate"/>
      </w:r>
      <w:r w:rsidR="00315A60">
        <w:rPr>
          <w:noProof/>
        </w:rPr>
        <w:t>15</w:t>
      </w:r>
      <w:r w:rsidR="00315A60">
        <w:rPr>
          <w:noProof/>
        </w:rPr>
        <w:fldChar w:fldCharType="end"/>
      </w:r>
      <w:bookmarkEnd w:id="81"/>
      <w:r w:rsidRPr="00CE28E3">
        <w:tab/>
        <w:t xml:space="preserve">Net financial implication of </w:t>
      </w:r>
      <w:r>
        <w:t>FSL</w:t>
      </w:r>
      <w:r w:rsidRPr="00CE28E3">
        <w:t xml:space="preserve"> to </w:t>
      </w:r>
      <w:r>
        <w:t>NDSS (non-intensive insulin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31"/>
        <w:gridCol w:w="1031"/>
        <w:gridCol w:w="1031"/>
        <w:gridCol w:w="1031"/>
        <w:gridCol w:w="1031"/>
        <w:gridCol w:w="1031"/>
      </w:tblGrid>
      <w:tr w:rsidR="000C6AF3" w:rsidRPr="004A478D" w14:paraId="1098028F" w14:textId="77777777" w:rsidTr="00EB6F0B">
        <w:trPr>
          <w:trHeight w:val="255"/>
        </w:trPr>
        <w:tc>
          <w:tcPr>
            <w:tcW w:w="1176" w:type="pct"/>
            <w:vMerge w:val="restart"/>
            <w:noWrap/>
            <w:vAlign w:val="center"/>
          </w:tcPr>
          <w:p w14:paraId="47C2DA96" w14:textId="77777777" w:rsidR="000C6AF3" w:rsidRPr="004A478D" w:rsidRDefault="000C6AF3" w:rsidP="00791334">
            <w:pPr>
              <w:pStyle w:val="KMC16-Tablecontent"/>
              <w:keepNext/>
              <w:keepLines/>
              <w:rPr>
                <w:b/>
                <w:lang w:val="en-AU"/>
              </w:rPr>
            </w:pPr>
            <w:r w:rsidRPr="004A478D">
              <w:rPr>
                <w:b/>
                <w:lang w:val="en-AU"/>
              </w:rPr>
              <w:t> </w:t>
            </w:r>
          </w:p>
        </w:tc>
        <w:tc>
          <w:tcPr>
            <w:tcW w:w="3824" w:type="pct"/>
            <w:gridSpan w:val="6"/>
            <w:noWrap/>
            <w:vAlign w:val="center"/>
          </w:tcPr>
          <w:p w14:paraId="19489565" w14:textId="44095DC1" w:rsidR="000C6AF3" w:rsidRPr="004A478D" w:rsidRDefault="000C6AF3" w:rsidP="00791334">
            <w:pPr>
              <w:pStyle w:val="KMC16-Tablecontent"/>
              <w:keepNext/>
              <w:keepLines/>
              <w:jc w:val="center"/>
              <w:rPr>
                <w:b/>
                <w:lang w:val="en-AU"/>
              </w:rPr>
            </w:pPr>
            <w:r w:rsidRPr="00C535C5">
              <w:rPr>
                <w:b/>
                <w:color w:val="auto"/>
                <w:lang w:val="en-AU"/>
              </w:rPr>
              <w:t xml:space="preserve">PICO Set 1 </w:t>
            </w:r>
            <w:r w:rsidR="0042105B">
              <w:rPr>
                <w:b/>
                <w:color w:val="auto"/>
                <w:lang w:val="en-AU"/>
              </w:rPr>
              <w:t>–</w:t>
            </w:r>
            <w:r w:rsidRPr="00C535C5">
              <w:rPr>
                <w:b/>
                <w:color w:val="auto"/>
                <w:lang w:val="en-AU"/>
              </w:rPr>
              <w:t xml:space="preserve"> </w:t>
            </w:r>
            <w:r w:rsidRPr="004A478D">
              <w:rPr>
                <w:b/>
                <w:lang w:val="en-AU"/>
              </w:rPr>
              <w:t>T2D</w:t>
            </w:r>
            <w:r w:rsidRPr="005102BE">
              <w:rPr>
                <w:lang w:val="en-AU"/>
              </w:rPr>
              <w:t xml:space="preserve"> </w:t>
            </w:r>
            <w:r w:rsidRPr="0019610C">
              <w:rPr>
                <w:b/>
                <w:lang w:val="en-AU"/>
              </w:rPr>
              <w:t>non-intensive insulin users</w:t>
            </w:r>
          </w:p>
        </w:tc>
      </w:tr>
      <w:tr w:rsidR="00EB6F0B" w:rsidRPr="004A478D" w14:paraId="3044EFBD" w14:textId="77777777" w:rsidTr="00EB6F0B">
        <w:trPr>
          <w:trHeight w:val="255"/>
        </w:trPr>
        <w:tc>
          <w:tcPr>
            <w:tcW w:w="1176" w:type="pct"/>
            <w:vMerge/>
            <w:noWrap/>
            <w:vAlign w:val="center"/>
            <w:hideMark/>
          </w:tcPr>
          <w:p w14:paraId="32A6EAA3" w14:textId="77777777" w:rsidR="000C6AF3" w:rsidRPr="004A478D" w:rsidRDefault="000C6AF3" w:rsidP="00791334">
            <w:pPr>
              <w:pStyle w:val="KMC16-Tablecontent"/>
              <w:keepNext/>
              <w:keepLines/>
              <w:rPr>
                <w:b/>
                <w:color w:val="auto"/>
                <w:lang w:val="en-AU"/>
              </w:rPr>
            </w:pPr>
          </w:p>
        </w:tc>
        <w:tc>
          <w:tcPr>
            <w:tcW w:w="639" w:type="pct"/>
            <w:noWrap/>
            <w:vAlign w:val="center"/>
            <w:hideMark/>
          </w:tcPr>
          <w:p w14:paraId="48843C04" w14:textId="77777777" w:rsidR="000C6AF3" w:rsidRPr="004A478D" w:rsidRDefault="000C6AF3" w:rsidP="00791334">
            <w:pPr>
              <w:pStyle w:val="KMC16-Tablecontent"/>
              <w:keepNext/>
              <w:keepLines/>
              <w:jc w:val="center"/>
              <w:rPr>
                <w:b/>
                <w:lang w:val="en-AU"/>
              </w:rPr>
            </w:pPr>
            <w:r w:rsidRPr="004A478D">
              <w:rPr>
                <w:b/>
                <w:lang w:val="en-AU"/>
              </w:rPr>
              <w:t>Year 1</w:t>
            </w:r>
          </w:p>
        </w:tc>
        <w:tc>
          <w:tcPr>
            <w:tcW w:w="639" w:type="pct"/>
            <w:noWrap/>
            <w:vAlign w:val="center"/>
            <w:hideMark/>
          </w:tcPr>
          <w:p w14:paraId="13FF4643" w14:textId="77777777" w:rsidR="000C6AF3" w:rsidRPr="004A478D" w:rsidRDefault="000C6AF3" w:rsidP="00791334">
            <w:pPr>
              <w:pStyle w:val="KMC16-Tablecontent"/>
              <w:keepNext/>
              <w:keepLines/>
              <w:jc w:val="center"/>
              <w:rPr>
                <w:b/>
                <w:lang w:val="en-AU"/>
              </w:rPr>
            </w:pPr>
            <w:r w:rsidRPr="004A478D">
              <w:rPr>
                <w:b/>
                <w:lang w:val="en-AU"/>
              </w:rPr>
              <w:t>Year 2</w:t>
            </w:r>
          </w:p>
        </w:tc>
        <w:tc>
          <w:tcPr>
            <w:tcW w:w="618" w:type="pct"/>
            <w:noWrap/>
            <w:vAlign w:val="center"/>
            <w:hideMark/>
          </w:tcPr>
          <w:p w14:paraId="433745E4" w14:textId="77777777" w:rsidR="000C6AF3" w:rsidRPr="004A478D" w:rsidRDefault="000C6AF3" w:rsidP="00791334">
            <w:pPr>
              <w:pStyle w:val="KMC16-Tablecontent"/>
              <w:keepNext/>
              <w:keepLines/>
              <w:jc w:val="center"/>
              <w:rPr>
                <w:b/>
                <w:lang w:val="en-AU"/>
              </w:rPr>
            </w:pPr>
            <w:r w:rsidRPr="004A478D">
              <w:rPr>
                <w:b/>
                <w:lang w:val="en-AU"/>
              </w:rPr>
              <w:t>Year 3</w:t>
            </w:r>
          </w:p>
        </w:tc>
        <w:tc>
          <w:tcPr>
            <w:tcW w:w="639" w:type="pct"/>
            <w:noWrap/>
            <w:vAlign w:val="center"/>
            <w:hideMark/>
          </w:tcPr>
          <w:p w14:paraId="3A811598" w14:textId="77777777" w:rsidR="000C6AF3" w:rsidRPr="004A478D" w:rsidRDefault="000C6AF3" w:rsidP="00791334">
            <w:pPr>
              <w:pStyle w:val="KMC16-Tablecontent"/>
              <w:keepNext/>
              <w:keepLines/>
              <w:jc w:val="center"/>
              <w:rPr>
                <w:b/>
                <w:lang w:val="en-AU"/>
              </w:rPr>
            </w:pPr>
            <w:r w:rsidRPr="004A478D">
              <w:rPr>
                <w:b/>
                <w:lang w:val="en-AU"/>
              </w:rPr>
              <w:t>Year 4</w:t>
            </w:r>
          </w:p>
        </w:tc>
        <w:tc>
          <w:tcPr>
            <w:tcW w:w="645" w:type="pct"/>
            <w:noWrap/>
            <w:vAlign w:val="center"/>
            <w:hideMark/>
          </w:tcPr>
          <w:p w14:paraId="052632ED" w14:textId="77777777" w:rsidR="000C6AF3" w:rsidRPr="004A478D" w:rsidRDefault="000C6AF3" w:rsidP="00791334">
            <w:pPr>
              <w:pStyle w:val="KMC16-Tablecontent"/>
              <w:keepNext/>
              <w:keepLines/>
              <w:jc w:val="center"/>
              <w:rPr>
                <w:b/>
                <w:lang w:val="en-AU"/>
              </w:rPr>
            </w:pPr>
            <w:r w:rsidRPr="004A478D">
              <w:rPr>
                <w:b/>
                <w:lang w:val="en-AU"/>
              </w:rPr>
              <w:t>Year 5</w:t>
            </w:r>
          </w:p>
        </w:tc>
        <w:tc>
          <w:tcPr>
            <w:tcW w:w="645" w:type="pct"/>
            <w:noWrap/>
            <w:vAlign w:val="center"/>
            <w:hideMark/>
          </w:tcPr>
          <w:p w14:paraId="257C653F" w14:textId="77777777" w:rsidR="000C6AF3" w:rsidRPr="004A478D" w:rsidRDefault="000C6AF3" w:rsidP="00791334">
            <w:pPr>
              <w:pStyle w:val="KMC16-Tablecontent"/>
              <w:keepNext/>
              <w:keepLines/>
              <w:jc w:val="center"/>
              <w:rPr>
                <w:b/>
                <w:lang w:val="en-AU"/>
              </w:rPr>
            </w:pPr>
            <w:r w:rsidRPr="004A478D">
              <w:rPr>
                <w:b/>
                <w:lang w:val="en-AU"/>
              </w:rPr>
              <w:t>Year 6</w:t>
            </w:r>
          </w:p>
        </w:tc>
      </w:tr>
      <w:tr w:rsidR="00EB6F0B" w:rsidRPr="004A478D" w14:paraId="4D6C64C0" w14:textId="77777777" w:rsidTr="00EB6F0B">
        <w:trPr>
          <w:trHeight w:val="255"/>
        </w:trPr>
        <w:tc>
          <w:tcPr>
            <w:tcW w:w="1176" w:type="pct"/>
            <w:noWrap/>
            <w:vAlign w:val="center"/>
            <w:hideMark/>
          </w:tcPr>
          <w:p w14:paraId="5FADF4EF" w14:textId="365E7AF3" w:rsidR="000C6AF3" w:rsidRPr="004A478D" w:rsidRDefault="000C6AF3" w:rsidP="00791334">
            <w:pPr>
              <w:pStyle w:val="KMC16-Tablecontent"/>
              <w:keepNext/>
              <w:keepLines/>
              <w:rPr>
                <w:b/>
                <w:lang w:val="en-AU"/>
              </w:rPr>
            </w:pPr>
            <w:r w:rsidRPr="004A478D">
              <w:rPr>
                <w:b/>
                <w:lang w:val="en-AU"/>
              </w:rPr>
              <w:t xml:space="preserve">FSL </w:t>
            </w:r>
            <w:r w:rsidR="00FA261C">
              <w:rPr>
                <w:b/>
                <w:lang w:val="en-AU"/>
              </w:rPr>
              <w:t>u</w:t>
            </w:r>
            <w:r w:rsidRPr="004A478D">
              <w:rPr>
                <w:b/>
                <w:lang w:val="en-AU"/>
              </w:rPr>
              <w:t>se</w:t>
            </w:r>
          </w:p>
        </w:tc>
        <w:tc>
          <w:tcPr>
            <w:tcW w:w="639" w:type="pct"/>
            <w:noWrap/>
            <w:hideMark/>
          </w:tcPr>
          <w:p w14:paraId="2F9A5568" w14:textId="77777777" w:rsidR="000C6AF3" w:rsidRPr="004A478D" w:rsidRDefault="000C6AF3" w:rsidP="00791334">
            <w:pPr>
              <w:pStyle w:val="KMC16-Tablecontent"/>
              <w:keepNext/>
              <w:keepLines/>
              <w:jc w:val="center"/>
              <w:rPr>
                <w:b/>
                <w:lang w:val="en-AU"/>
              </w:rPr>
            </w:pPr>
          </w:p>
        </w:tc>
        <w:tc>
          <w:tcPr>
            <w:tcW w:w="639" w:type="pct"/>
            <w:noWrap/>
            <w:hideMark/>
          </w:tcPr>
          <w:p w14:paraId="4ECB55CA" w14:textId="77777777" w:rsidR="000C6AF3" w:rsidRPr="004A478D" w:rsidRDefault="000C6AF3" w:rsidP="00791334">
            <w:pPr>
              <w:pStyle w:val="KMC16-Tablecontent"/>
              <w:keepNext/>
              <w:keepLines/>
              <w:jc w:val="center"/>
              <w:rPr>
                <w:b/>
                <w:lang w:val="en-AU"/>
              </w:rPr>
            </w:pPr>
          </w:p>
        </w:tc>
        <w:tc>
          <w:tcPr>
            <w:tcW w:w="618" w:type="pct"/>
            <w:noWrap/>
            <w:hideMark/>
          </w:tcPr>
          <w:p w14:paraId="69A70C82" w14:textId="77777777" w:rsidR="000C6AF3" w:rsidRPr="004A478D" w:rsidRDefault="000C6AF3" w:rsidP="00791334">
            <w:pPr>
              <w:pStyle w:val="KMC16-Tablecontent"/>
              <w:keepNext/>
              <w:keepLines/>
              <w:jc w:val="center"/>
              <w:rPr>
                <w:b/>
                <w:lang w:val="en-AU"/>
              </w:rPr>
            </w:pPr>
          </w:p>
        </w:tc>
        <w:tc>
          <w:tcPr>
            <w:tcW w:w="639" w:type="pct"/>
            <w:noWrap/>
            <w:hideMark/>
          </w:tcPr>
          <w:p w14:paraId="4897C72B" w14:textId="77777777" w:rsidR="000C6AF3" w:rsidRPr="004A478D" w:rsidRDefault="000C6AF3" w:rsidP="00791334">
            <w:pPr>
              <w:pStyle w:val="KMC16-Tablecontent"/>
              <w:keepNext/>
              <w:keepLines/>
              <w:jc w:val="center"/>
              <w:rPr>
                <w:b/>
                <w:lang w:val="en-AU"/>
              </w:rPr>
            </w:pPr>
          </w:p>
        </w:tc>
        <w:tc>
          <w:tcPr>
            <w:tcW w:w="645" w:type="pct"/>
            <w:noWrap/>
            <w:hideMark/>
          </w:tcPr>
          <w:p w14:paraId="01C0A4B3" w14:textId="77777777" w:rsidR="000C6AF3" w:rsidRPr="004A478D" w:rsidRDefault="000C6AF3" w:rsidP="00791334">
            <w:pPr>
              <w:pStyle w:val="KMC16-Tablecontent"/>
              <w:keepNext/>
              <w:keepLines/>
              <w:jc w:val="center"/>
              <w:rPr>
                <w:b/>
                <w:lang w:val="en-AU"/>
              </w:rPr>
            </w:pPr>
          </w:p>
        </w:tc>
        <w:tc>
          <w:tcPr>
            <w:tcW w:w="645" w:type="pct"/>
            <w:noWrap/>
            <w:hideMark/>
          </w:tcPr>
          <w:p w14:paraId="567B25F7" w14:textId="77777777" w:rsidR="000C6AF3" w:rsidRPr="004A478D" w:rsidRDefault="000C6AF3" w:rsidP="00791334">
            <w:pPr>
              <w:pStyle w:val="KMC16-Tablecontent"/>
              <w:keepNext/>
              <w:keepLines/>
              <w:jc w:val="center"/>
              <w:rPr>
                <w:b/>
                <w:lang w:val="en-AU"/>
              </w:rPr>
            </w:pPr>
          </w:p>
        </w:tc>
      </w:tr>
      <w:tr w:rsidR="00EB6F0B" w:rsidRPr="004A478D" w14:paraId="2F6B71CC" w14:textId="77777777" w:rsidTr="00EB6F0B">
        <w:trPr>
          <w:trHeight w:val="255"/>
        </w:trPr>
        <w:tc>
          <w:tcPr>
            <w:tcW w:w="1176" w:type="pct"/>
            <w:noWrap/>
            <w:vAlign w:val="bottom"/>
            <w:hideMark/>
          </w:tcPr>
          <w:p w14:paraId="5261F96F" w14:textId="77777777" w:rsidR="000C6AF3" w:rsidRPr="004A478D" w:rsidRDefault="000C6AF3" w:rsidP="00791334">
            <w:pPr>
              <w:pStyle w:val="KMC16-Tablecontent"/>
              <w:keepNext/>
              <w:keepLines/>
              <w:rPr>
                <w:lang w:val="en-AU"/>
              </w:rPr>
            </w:pPr>
            <w:r w:rsidRPr="004A478D">
              <w:rPr>
                <w:lang w:val="en-AU"/>
              </w:rPr>
              <w:t xml:space="preserve">Patients </w:t>
            </w:r>
          </w:p>
        </w:tc>
        <w:tc>
          <w:tcPr>
            <w:tcW w:w="639" w:type="pct"/>
            <w:noWrap/>
            <w:hideMark/>
          </w:tcPr>
          <w:p w14:paraId="13AAEF71" w14:textId="77777777" w:rsidR="000C6AF3" w:rsidRPr="004A478D" w:rsidRDefault="000C6AF3" w:rsidP="00791334">
            <w:pPr>
              <w:pStyle w:val="KMC16-Tablecontent"/>
              <w:keepNext/>
              <w:keepLines/>
              <w:jc w:val="right"/>
              <w:rPr>
                <w:lang w:val="en-AU"/>
              </w:rPr>
            </w:pPr>
            <w:r w:rsidRPr="005102BE">
              <w:rPr>
                <w:lang w:val="en-AU"/>
              </w:rPr>
              <w:t>173,812</w:t>
            </w:r>
          </w:p>
        </w:tc>
        <w:tc>
          <w:tcPr>
            <w:tcW w:w="639" w:type="pct"/>
            <w:noWrap/>
            <w:hideMark/>
          </w:tcPr>
          <w:p w14:paraId="1FB08CE8" w14:textId="77777777" w:rsidR="000C6AF3" w:rsidRPr="004A478D" w:rsidRDefault="000C6AF3" w:rsidP="00791334">
            <w:pPr>
              <w:pStyle w:val="KMC16-Tablecontent"/>
              <w:keepNext/>
              <w:keepLines/>
              <w:jc w:val="right"/>
              <w:rPr>
                <w:lang w:val="en-AU"/>
              </w:rPr>
            </w:pPr>
            <w:r w:rsidRPr="005102BE">
              <w:rPr>
                <w:lang w:val="en-AU"/>
              </w:rPr>
              <w:t>175,550</w:t>
            </w:r>
          </w:p>
        </w:tc>
        <w:tc>
          <w:tcPr>
            <w:tcW w:w="618" w:type="pct"/>
            <w:noWrap/>
            <w:hideMark/>
          </w:tcPr>
          <w:p w14:paraId="531A655D" w14:textId="77777777" w:rsidR="000C6AF3" w:rsidRPr="004A478D" w:rsidRDefault="000C6AF3" w:rsidP="00791334">
            <w:pPr>
              <w:pStyle w:val="KMC16-Tablecontent"/>
              <w:keepNext/>
              <w:keepLines/>
              <w:jc w:val="right"/>
              <w:rPr>
                <w:lang w:val="en-AU"/>
              </w:rPr>
            </w:pPr>
            <w:r w:rsidRPr="005102BE">
              <w:rPr>
                <w:lang w:val="en-AU"/>
              </w:rPr>
              <w:t>177,305</w:t>
            </w:r>
          </w:p>
        </w:tc>
        <w:tc>
          <w:tcPr>
            <w:tcW w:w="639" w:type="pct"/>
            <w:noWrap/>
            <w:hideMark/>
          </w:tcPr>
          <w:p w14:paraId="36AF8CC2" w14:textId="77777777" w:rsidR="000C6AF3" w:rsidRPr="004A478D" w:rsidRDefault="000C6AF3" w:rsidP="00791334">
            <w:pPr>
              <w:pStyle w:val="KMC16-Tablecontent"/>
              <w:keepNext/>
              <w:keepLines/>
              <w:jc w:val="right"/>
              <w:rPr>
                <w:lang w:val="en-AU"/>
              </w:rPr>
            </w:pPr>
            <w:r w:rsidRPr="005102BE">
              <w:rPr>
                <w:lang w:val="en-AU"/>
              </w:rPr>
              <w:t>179,078</w:t>
            </w:r>
          </w:p>
        </w:tc>
        <w:tc>
          <w:tcPr>
            <w:tcW w:w="645" w:type="pct"/>
            <w:noWrap/>
            <w:hideMark/>
          </w:tcPr>
          <w:p w14:paraId="07B7BE81" w14:textId="77777777" w:rsidR="000C6AF3" w:rsidRPr="004A478D" w:rsidRDefault="000C6AF3" w:rsidP="00791334">
            <w:pPr>
              <w:pStyle w:val="KMC16-Tablecontent"/>
              <w:keepNext/>
              <w:keepLines/>
              <w:jc w:val="right"/>
              <w:rPr>
                <w:lang w:val="en-AU"/>
              </w:rPr>
            </w:pPr>
            <w:r w:rsidRPr="005102BE">
              <w:rPr>
                <w:lang w:val="en-AU"/>
              </w:rPr>
              <w:t xml:space="preserve"> 180,869 </w:t>
            </w:r>
          </w:p>
        </w:tc>
        <w:tc>
          <w:tcPr>
            <w:tcW w:w="645" w:type="pct"/>
            <w:noWrap/>
            <w:hideMark/>
          </w:tcPr>
          <w:p w14:paraId="2F140E0A" w14:textId="77777777" w:rsidR="000C6AF3" w:rsidRPr="004A478D" w:rsidRDefault="000C6AF3" w:rsidP="00791334">
            <w:pPr>
              <w:pStyle w:val="KMC16-Tablecontent"/>
              <w:keepNext/>
              <w:keepLines/>
              <w:jc w:val="right"/>
              <w:rPr>
                <w:lang w:val="en-AU"/>
              </w:rPr>
            </w:pPr>
            <w:r w:rsidRPr="005102BE">
              <w:rPr>
                <w:lang w:val="en-AU"/>
              </w:rPr>
              <w:t xml:space="preserve"> 182,678 </w:t>
            </w:r>
          </w:p>
        </w:tc>
      </w:tr>
      <w:tr w:rsidR="00EB6F0B" w:rsidRPr="004A478D" w14:paraId="41FACB41" w14:textId="77777777" w:rsidTr="00EB6F0B">
        <w:trPr>
          <w:trHeight w:val="255"/>
        </w:trPr>
        <w:tc>
          <w:tcPr>
            <w:tcW w:w="1176" w:type="pct"/>
            <w:noWrap/>
            <w:vAlign w:val="bottom"/>
            <w:hideMark/>
          </w:tcPr>
          <w:p w14:paraId="47F9629F" w14:textId="77777777" w:rsidR="00EB6F0B" w:rsidRPr="004A478D" w:rsidRDefault="00EB6F0B" w:rsidP="00EB6F0B">
            <w:pPr>
              <w:pStyle w:val="KMC16-Tablecontent"/>
              <w:keepNext/>
              <w:keepLines/>
              <w:rPr>
                <w:lang w:val="en-AU"/>
              </w:rPr>
            </w:pPr>
            <w:r w:rsidRPr="004A478D">
              <w:rPr>
                <w:lang w:val="en-AU"/>
              </w:rPr>
              <w:t>Uptake %</w:t>
            </w:r>
          </w:p>
        </w:tc>
        <w:tc>
          <w:tcPr>
            <w:tcW w:w="639" w:type="pct"/>
            <w:noWrap/>
            <w:hideMark/>
          </w:tcPr>
          <w:p w14:paraId="45493A7D" w14:textId="22F152EC" w:rsidR="00EB6F0B" w:rsidRPr="003C077C" w:rsidRDefault="00EB6F0B" w:rsidP="00EB6F0B">
            <w:pPr>
              <w:pStyle w:val="KMC16-Tablecontent"/>
              <w:keepNext/>
              <w:keepLines/>
              <w:jc w:val="right"/>
              <w:rPr>
                <w:highlight w:val="yellow"/>
                <w:lang w:val="en-AU"/>
              </w:rPr>
            </w:pPr>
            <w:r w:rsidRPr="00F571A3">
              <w:rPr>
                <w:b/>
                <w:bCs/>
                <w:lang w:val="en-AU"/>
              </w:rPr>
              <w:t>Redacted</w:t>
            </w:r>
            <w:r>
              <w:rPr>
                <w:lang w:val="en-AU"/>
              </w:rPr>
              <w:t>%</w:t>
            </w:r>
          </w:p>
        </w:tc>
        <w:tc>
          <w:tcPr>
            <w:tcW w:w="639" w:type="pct"/>
            <w:noWrap/>
            <w:hideMark/>
          </w:tcPr>
          <w:p w14:paraId="2555A740" w14:textId="1F06ECAC" w:rsidR="00EB6F0B" w:rsidRPr="003C077C" w:rsidRDefault="00EB6F0B" w:rsidP="00EB6F0B">
            <w:pPr>
              <w:pStyle w:val="KMC16-Tablecontent"/>
              <w:keepNext/>
              <w:keepLines/>
              <w:jc w:val="right"/>
              <w:rPr>
                <w:highlight w:val="yellow"/>
                <w:lang w:val="en-AU"/>
              </w:rPr>
            </w:pPr>
            <w:r w:rsidRPr="00F571A3">
              <w:rPr>
                <w:b/>
                <w:bCs/>
                <w:lang w:val="en-AU"/>
              </w:rPr>
              <w:t>Redacted</w:t>
            </w:r>
            <w:r>
              <w:rPr>
                <w:lang w:val="en-AU"/>
              </w:rPr>
              <w:t>%</w:t>
            </w:r>
          </w:p>
        </w:tc>
        <w:tc>
          <w:tcPr>
            <w:tcW w:w="618" w:type="pct"/>
            <w:noWrap/>
            <w:hideMark/>
          </w:tcPr>
          <w:p w14:paraId="61FE13EC" w14:textId="233C78BE" w:rsidR="00EB6F0B" w:rsidRPr="003C077C" w:rsidRDefault="00EB6F0B" w:rsidP="00EB6F0B">
            <w:pPr>
              <w:pStyle w:val="KMC16-Tablecontent"/>
              <w:keepNext/>
              <w:keepLines/>
              <w:jc w:val="right"/>
              <w:rPr>
                <w:highlight w:val="yellow"/>
                <w:lang w:val="en-AU"/>
              </w:rPr>
            </w:pPr>
            <w:r w:rsidRPr="00F571A3">
              <w:rPr>
                <w:b/>
                <w:bCs/>
                <w:lang w:val="en-AU"/>
              </w:rPr>
              <w:t>Redacted</w:t>
            </w:r>
            <w:r>
              <w:rPr>
                <w:lang w:val="en-AU"/>
              </w:rPr>
              <w:t>%</w:t>
            </w:r>
          </w:p>
        </w:tc>
        <w:tc>
          <w:tcPr>
            <w:tcW w:w="639" w:type="pct"/>
            <w:noWrap/>
            <w:hideMark/>
          </w:tcPr>
          <w:p w14:paraId="6B4F1E1F" w14:textId="61F0D309" w:rsidR="00EB6F0B" w:rsidRPr="003C077C" w:rsidRDefault="00EB6F0B" w:rsidP="00EB6F0B">
            <w:pPr>
              <w:pStyle w:val="KMC16-Tablecontent"/>
              <w:keepNext/>
              <w:keepLines/>
              <w:jc w:val="right"/>
              <w:rPr>
                <w:highlight w:val="yellow"/>
                <w:lang w:val="en-AU"/>
              </w:rPr>
            </w:pPr>
            <w:r w:rsidRPr="00F571A3">
              <w:rPr>
                <w:b/>
                <w:bCs/>
                <w:lang w:val="en-AU"/>
              </w:rPr>
              <w:t>Redacted</w:t>
            </w:r>
            <w:r>
              <w:rPr>
                <w:lang w:val="en-AU"/>
              </w:rPr>
              <w:t>%</w:t>
            </w:r>
          </w:p>
        </w:tc>
        <w:tc>
          <w:tcPr>
            <w:tcW w:w="645" w:type="pct"/>
            <w:noWrap/>
            <w:hideMark/>
          </w:tcPr>
          <w:p w14:paraId="55437FD9" w14:textId="6EDCDB15" w:rsidR="00EB6F0B" w:rsidRPr="003C077C" w:rsidRDefault="00EB6F0B" w:rsidP="00EB6F0B">
            <w:pPr>
              <w:pStyle w:val="KMC16-Tablecontent"/>
              <w:keepNext/>
              <w:keepLines/>
              <w:jc w:val="right"/>
              <w:rPr>
                <w:highlight w:val="yellow"/>
                <w:lang w:val="en-AU"/>
              </w:rPr>
            </w:pPr>
            <w:r w:rsidRPr="00F571A3">
              <w:rPr>
                <w:b/>
                <w:bCs/>
                <w:lang w:val="en-AU"/>
              </w:rPr>
              <w:t>Redacted</w:t>
            </w:r>
            <w:r>
              <w:rPr>
                <w:lang w:val="en-AU"/>
              </w:rPr>
              <w:t>%</w:t>
            </w:r>
          </w:p>
        </w:tc>
        <w:tc>
          <w:tcPr>
            <w:tcW w:w="645" w:type="pct"/>
            <w:noWrap/>
            <w:hideMark/>
          </w:tcPr>
          <w:p w14:paraId="198C99F3" w14:textId="29CD942A" w:rsidR="00EB6F0B" w:rsidRPr="003C077C" w:rsidRDefault="00EB6F0B" w:rsidP="00EB6F0B">
            <w:pPr>
              <w:pStyle w:val="KMC16-Tablecontent"/>
              <w:keepNext/>
              <w:keepLines/>
              <w:jc w:val="right"/>
              <w:rPr>
                <w:highlight w:val="yellow"/>
                <w:lang w:val="en-AU"/>
              </w:rPr>
            </w:pPr>
            <w:r w:rsidRPr="00F571A3">
              <w:rPr>
                <w:b/>
                <w:bCs/>
                <w:lang w:val="en-AU"/>
              </w:rPr>
              <w:t>Redacted</w:t>
            </w:r>
            <w:r>
              <w:rPr>
                <w:lang w:val="en-AU"/>
              </w:rPr>
              <w:t>%</w:t>
            </w:r>
          </w:p>
        </w:tc>
      </w:tr>
      <w:tr w:rsidR="00EB6F0B" w:rsidRPr="004A478D" w14:paraId="164A8FB2" w14:textId="77777777" w:rsidTr="00EB6F0B">
        <w:trPr>
          <w:trHeight w:val="255"/>
        </w:trPr>
        <w:tc>
          <w:tcPr>
            <w:tcW w:w="1176" w:type="pct"/>
            <w:vAlign w:val="center"/>
            <w:hideMark/>
          </w:tcPr>
          <w:p w14:paraId="4D545D7F" w14:textId="77777777" w:rsidR="000C6AF3" w:rsidRPr="004A478D" w:rsidRDefault="000C6AF3" w:rsidP="00791334">
            <w:pPr>
              <w:pStyle w:val="KMC16-Tablecontent"/>
              <w:keepNext/>
              <w:keepLines/>
              <w:rPr>
                <w:color w:val="auto"/>
                <w:lang w:val="en-AU"/>
              </w:rPr>
            </w:pPr>
            <w:r w:rsidRPr="004A478D">
              <w:rPr>
                <w:lang w:val="en-AU"/>
              </w:rPr>
              <w:t>Number of patients taking up FSL</w:t>
            </w:r>
          </w:p>
        </w:tc>
        <w:tc>
          <w:tcPr>
            <w:tcW w:w="639" w:type="pct"/>
            <w:noWrap/>
            <w:hideMark/>
          </w:tcPr>
          <w:p w14:paraId="3893A5A8" w14:textId="4EB9D983" w:rsidR="000C6AF3" w:rsidRPr="003C077C" w:rsidRDefault="00EB6F0B" w:rsidP="00791334">
            <w:pPr>
              <w:pStyle w:val="KMC16-Tablecontent"/>
              <w:keepNext/>
              <w:keepLines/>
              <w:jc w:val="right"/>
              <w:rPr>
                <w:vertAlign w:val="superscript"/>
                <w:lang w:val="en-AU"/>
              </w:rPr>
            </w:pPr>
            <w:r w:rsidRPr="00EB6F0B">
              <w:rPr>
                <w:b/>
                <w:bCs/>
                <w:lang w:val="en-AU"/>
              </w:rPr>
              <w:t>Redacted</w:t>
            </w:r>
            <w:r w:rsidR="00611D7F" w:rsidRPr="003C077C">
              <w:rPr>
                <w:vertAlign w:val="superscript"/>
                <w:lang w:val="en-AU"/>
              </w:rPr>
              <w:t>1</w:t>
            </w:r>
          </w:p>
        </w:tc>
        <w:tc>
          <w:tcPr>
            <w:tcW w:w="639" w:type="pct"/>
            <w:noWrap/>
            <w:hideMark/>
          </w:tcPr>
          <w:p w14:paraId="1346F3AD" w14:textId="4ADA50A7" w:rsidR="000C6AF3" w:rsidRPr="003C077C" w:rsidRDefault="00EB6F0B" w:rsidP="00791334">
            <w:pPr>
              <w:pStyle w:val="KMC16-Tablecontent"/>
              <w:keepNext/>
              <w:keepLines/>
              <w:jc w:val="right"/>
              <w:rPr>
                <w:vertAlign w:val="superscript"/>
                <w:lang w:val="en-AU"/>
              </w:rPr>
            </w:pPr>
            <w:r w:rsidRPr="00EB6F0B">
              <w:rPr>
                <w:b/>
                <w:bCs/>
                <w:lang w:val="en-AU"/>
              </w:rPr>
              <w:t>Redacted</w:t>
            </w:r>
            <w:r w:rsidR="00611D7F" w:rsidRPr="003C077C">
              <w:rPr>
                <w:vertAlign w:val="superscript"/>
                <w:lang w:val="en-AU"/>
              </w:rPr>
              <w:t>2</w:t>
            </w:r>
          </w:p>
        </w:tc>
        <w:tc>
          <w:tcPr>
            <w:tcW w:w="618" w:type="pct"/>
            <w:noWrap/>
            <w:hideMark/>
          </w:tcPr>
          <w:p w14:paraId="23FEFEEE" w14:textId="3454FD3F" w:rsidR="000C6AF3" w:rsidRPr="003C077C" w:rsidRDefault="00EB6F0B" w:rsidP="00791334">
            <w:pPr>
              <w:pStyle w:val="KMC16-Tablecontent"/>
              <w:keepNext/>
              <w:keepLines/>
              <w:jc w:val="right"/>
              <w:rPr>
                <w:vertAlign w:val="superscript"/>
                <w:lang w:val="en-AU"/>
              </w:rPr>
            </w:pPr>
            <w:r w:rsidRPr="00EB6F0B">
              <w:rPr>
                <w:b/>
                <w:bCs/>
                <w:lang w:val="en-AU"/>
              </w:rPr>
              <w:t>Redacted</w:t>
            </w:r>
            <w:r w:rsidR="00611D7F" w:rsidRPr="003C077C">
              <w:rPr>
                <w:vertAlign w:val="superscript"/>
                <w:lang w:val="en-AU"/>
              </w:rPr>
              <w:t>3</w:t>
            </w:r>
          </w:p>
        </w:tc>
        <w:tc>
          <w:tcPr>
            <w:tcW w:w="639" w:type="pct"/>
            <w:noWrap/>
            <w:hideMark/>
          </w:tcPr>
          <w:p w14:paraId="0886A417" w14:textId="3B8426EA" w:rsidR="000C6AF3" w:rsidRPr="003C077C" w:rsidRDefault="00EB6F0B" w:rsidP="00791334">
            <w:pPr>
              <w:pStyle w:val="KMC16-Tablecontent"/>
              <w:keepNext/>
              <w:keepLines/>
              <w:jc w:val="right"/>
              <w:rPr>
                <w:vertAlign w:val="superscript"/>
                <w:lang w:val="en-AU"/>
              </w:rPr>
            </w:pPr>
            <w:r w:rsidRPr="00EB6F0B">
              <w:rPr>
                <w:b/>
                <w:bCs/>
                <w:lang w:val="en-AU"/>
              </w:rPr>
              <w:t>Redacted</w:t>
            </w:r>
            <w:r w:rsidR="00611D7F" w:rsidRPr="003C077C">
              <w:rPr>
                <w:vertAlign w:val="superscript"/>
                <w:lang w:val="en-AU"/>
              </w:rPr>
              <w:t>4</w:t>
            </w:r>
          </w:p>
        </w:tc>
        <w:tc>
          <w:tcPr>
            <w:tcW w:w="645" w:type="pct"/>
            <w:noWrap/>
            <w:hideMark/>
          </w:tcPr>
          <w:p w14:paraId="3051BF9A" w14:textId="57D5AE5B" w:rsidR="000C6AF3" w:rsidRPr="00EB6F0B" w:rsidRDefault="00EB6F0B" w:rsidP="00791334">
            <w:pPr>
              <w:pStyle w:val="KMC16-Tablecontent"/>
              <w:keepNext/>
              <w:keepLines/>
              <w:jc w:val="right"/>
              <w:rPr>
                <w:lang w:val="en-AU"/>
              </w:rPr>
            </w:pPr>
            <w:r w:rsidRPr="00EB6F0B">
              <w:rPr>
                <w:b/>
                <w:bCs/>
                <w:lang w:val="en-AU"/>
              </w:rPr>
              <w:t>Redacted</w:t>
            </w:r>
            <w:r w:rsidR="00611D7F" w:rsidRPr="003C077C">
              <w:rPr>
                <w:vertAlign w:val="superscript"/>
                <w:lang w:val="en-AU"/>
              </w:rPr>
              <w:t>5</w:t>
            </w:r>
            <w:r w:rsidR="000C6AF3" w:rsidRPr="00EB6F0B">
              <w:rPr>
                <w:lang w:val="en-AU"/>
              </w:rPr>
              <w:t xml:space="preserve"> </w:t>
            </w:r>
          </w:p>
        </w:tc>
        <w:tc>
          <w:tcPr>
            <w:tcW w:w="645" w:type="pct"/>
            <w:noWrap/>
            <w:hideMark/>
          </w:tcPr>
          <w:p w14:paraId="4B304818" w14:textId="3B8EC09C" w:rsidR="000C6AF3" w:rsidRPr="00EB6F0B" w:rsidRDefault="00EB6F0B" w:rsidP="00791334">
            <w:pPr>
              <w:pStyle w:val="KMC16-Tablecontent"/>
              <w:keepNext/>
              <w:keepLines/>
              <w:jc w:val="right"/>
              <w:rPr>
                <w:lang w:val="en-AU"/>
              </w:rPr>
            </w:pPr>
            <w:r w:rsidRPr="00EB6F0B">
              <w:rPr>
                <w:b/>
                <w:bCs/>
                <w:lang w:val="en-AU"/>
              </w:rPr>
              <w:t>Redacted</w:t>
            </w:r>
            <w:r w:rsidR="00611D7F" w:rsidRPr="003C077C">
              <w:rPr>
                <w:vertAlign w:val="superscript"/>
                <w:lang w:val="en-AU"/>
              </w:rPr>
              <w:t>5</w:t>
            </w:r>
            <w:r w:rsidR="000C6AF3" w:rsidRPr="00EB6F0B">
              <w:rPr>
                <w:lang w:val="en-AU"/>
              </w:rPr>
              <w:t xml:space="preserve"> </w:t>
            </w:r>
          </w:p>
        </w:tc>
      </w:tr>
      <w:tr w:rsidR="00EB6F0B" w:rsidRPr="004A478D" w14:paraId="257777AD" w14:textId="77777777" w:rsidTr="00EB6F0B">
        <w:trPr>
          <w:trHeight w:val="255"/>
        </w:trPr>
        <w:tc>
          <w:tcPr>
            <w:tcW w:w="1176" w:type="pct"/>
            <w:noWrap/>
            <w:vAlign w:val="bottom"/>
            <w:hideMark/>
          </w:tcPr>
          <w:p w14:paraId="45776460" w14:textId="77777777" w:rsidR="00EB6F0B" w:rsidRPr="004A478D" w:rsidRDefault="00EB6F0B" w:rsidP="00EB6F0B">
            <w:pPr>
              <w:pStyle w:val="KMC16-Tablecontent"/>
              <w:keepNext/>
              <w:keepLines/>
              <w:rPr>
                <w:lang w:val="en-AU"/>
              </w:rPr>
            </w:pPr>
            <w:r w:rsidRPr="004A478D">
              <w:rPr>
                <w:lang w:val="en-AU"/>
              </w:rPr>
              <w:t>Number of FSL 2 sensors (1 sensor/pack)</w:t>
            </w:r>
          </w:p>
        </w:tc>
        <w:tc>
          <w:tcPr>
            <w:tcW w:w="639" w:type="pct"/>
            <w:noWrap/>
            <w:hideMark/>
          </w:tcPr>
          <w:p w14:paraId="10528002" w14:textId="6E7FFB8F" w:rsidR="00EB6F0B" w:rsidRPr="003C077C" w:rsidRDefault="00EB6F0B" w:rsidP="00EB6F0B">
            <w:pPr>
              <w:pStyle w:val="KMC16-Tablecontent"/>
              <w:keepNext/>
              <w:keepLines/>
              <w:jc w:val="right"/>
              <w:rPr>
                <w:highlight w:val="yellow"/>
                <w:lang w:val="en-AU"/>
              </w:rPr>
            </w:pPr>
            <w:r w:rsidRPr="00CA4DED">
              <w:rPr>
                <w:b/>
                <w:bCs/>
                <w:lang w:val="en-AU"/>
              </w:rPr>
              <w:t>Redacted</w:t>
            </w:r>
          </w:p>
        </w:tc>
        <w:tc>
          <w:tcPr>
            <w:tcW w:w="639" w:type="pct"/>
            <w:noWrap/>
            <w:hideMark/>
          </w:tcPr>
          <w:p w14:paraId="48058AFE" w14:textId="3EE28374" w:rsidR="00EB6F0B" w:rsidRPr="003C077C" w:rsidRDefault="00EB6F0B" w:rsidP="00EB6F0B">
            <w:pPr>
              <w:pStyle w:val="KMC16-Tablecontent"/>
              <w:keepNext/>
              <w:keepLines/>
              <w:jc w:val="right"/>
              <w:rPr>
                <w:highlight w:val="yellow"/>
                <w:lang w:val="en-AU"/>
              </w:rPr>
            </w:pPr>
            <w:r w:rsidRPr="00CA4DED">
              <w:rPr>
                <w:b/>
                <w:bCs/>
                <w:lang w:val="en-AU"/>
              </w:rPr>
              <w:t>Redacted</w:t>
            </w:r>
          </w:p>
        </w:tc>
        <w:tc>
          <w:tcPr>
            <w:tcW w:w="618" w:type="pct"/>
            <w:noWrap/>
            <w:hideMark/>
          </w:tcPr>
          <w:p w14:paraId="17B209F1" w14:textId="12D9BF34" w:rsidR="00EB6F0B" w:rsidRPr="003C077C" w:rsidRDefault="00EB6F0B" w:rsidP="00EB6F0B">
            <w:pPr>
              <w:pStyle w:val="KMC16-Tablecontent"/>
              <w:keepNext/>
              <w:keepLines/>
              <w:jc w:val="right"/>
              <w:rPr>
                <w:highlight w:val="yellow"/>
                <w:lang w:val="en-AU"/>
              </w:rPr>
            </w:pPr>
            <w:r w:rsidRPr="00CA4DED">
              <w:rPr>
                <w:b/>
                <w:bCs/>
                <w:lang w:val="en-AU"/>
              </w:rPr>
              <w:t>Redacted</w:t>
            </w:r>
          </w:p>
        </w:tc>
        <w:tc>
          <w:tcPr>
            <w:tcW w:w="639" w:type="pct"/>
            <w:noWrap/>
            <w:hideMark/>
          </w:tcPr>
          <w:p w14:paraId="243429F6" w14:textId="4688DAFF" w:rsidR="00EB6F0B" w:rsidRPr="003C077C" w:rsidRDefault="00EB6F0B" w:rsidP="00EB6F0B">
            <w:pPr>
              <w:pStyle w:val="KMC16-Tablecontent"/>
              <w:keepNext/>
              <w:keepLines/>
              <w:jc w:val="right"/>
              <w:rPr>
                <w:highlight w:val="yellow"/>
                <w:lang w:val="en-AU"/>
              </w:rPr>
            </w:pPr>
            <w:r w:rsidRPr="00CA4DED">
              <w:rPr>
                <w:b/>
                <w:bCs/>
                <w:lang w:val="en-AU"/>
              </w:rPr>
              <w:t>Redacted</w:t>
            </w:r>
          </w:p>
        </w:tc>
        <w:tc>
          <w:tcPr>
            <w:tcW w:w="645" w:type="pct"/>
            <w:noWrap/>
            <w:hideMark/>
          </w:tcPr>
          <w:p w14:paraId="003A79D1" w14:textId="0B464FD1" w:rsidR="00EB6F0B" w:rsidRPr="003C077C" w:rsidRDefault="00EB6F0B" w:rsidP="00EB6F0B">
            <w:pPr>
              <w:pStyle w:val="KMC16-Tablecontent"/>
              <w:keepNext/>
              <w:keepLines/>
              <w:jc w:val="right"/>
              <w:rPr>
                <w:highlight w:val="yellow"/>
                <w:lang w:val="en-AU"/>
              </w:rPr>
            </w:pPr>
            <w:r w:rsidRPr="00CA4DED">
              <w:rPr>
                <w:b/>
                <w:bCs/>
                <w:lang w:val="en-AU"/>
              </w:rPr>
              <w:t>Redacted</w:t>
            </w:r>
          </w:p>
        </w:tc>
        <w:tc>
          <w:tcPr>
            <w:tcW w:w="645" w:type="pct"/>
            <w:noWrap/>
            <w:hideMark/>
          </w:tcPr>
          <w:p w14:paraId="5E600A49" w14:textId="2370BCF9" w:rsidR="00EB6F0B" w:rsidRPr="003C077C" w:rsidRDefault="00EB6F0B" w:rsidP="00EB6F0B">
            <w:pPr>
              <w:pStyle w:val="KMC16-Tablecontent"/>
              <w:keepNext/>
              <w:keepLines/>
              <w:jc w:val="right"/>
              <w:rPr>
                <w:highlight w:val="yellow"/>
                <w:lang w:val="en-AU"/>
              </w:rPr>
            </w:pPr>
            <w:r w:rsidRPr="00CA4DED">
              <w:rPr>
                <w:b/>
                <w:bCs/>
                <w:lang w:val="en-AU"/>
              </w:rPr>
              <w:t>Redacted</w:t>
            </w:r>
          </w:p>
        </w:tc>
      </w:tr>
      <w:tr w:rsidR="00EB6F0B" w:rsidRPr="004A478D" w14:paraId="2A6610C1" w14:textId="77777777" w:rsidTr="00EB6F0B">
        <w:trPr>
          <w:trHeight w:val="255"/>
        </w:trPr>
        <w:tc>
          <w:tcPr>
            <w:tcW w:w="1176" w:type="pct"/>
            <w:noWrap/>
            <w:vAlign w:val="bottom"/>
            <w:hideMark/>
          </w:tcPr>
          <w:p w14:paraId="7336F1F3" w14:textId="619F7AD7" w:rsidR="000C6AF3" w:rsidRPr="004A478D" w:rsidRDefault="000C6AF3" w:rsidP="00791334">
            <w:pPr>
              <w:pStyle w:val="KMC16-Tablecontent"/>
              <w:keepNext/>
              <w:keepLines/>
              <w:rPr>
                <w:b/>
                <w:lang w:val="en-AU"/>
              </w:rPr>
            </w:pPr>
            <w:r w:rsidRPr="004A478D">
              <w:rPr>
                <w:b/>
                <w:lang w:val="en-AU"/>
              </w:rPr>
              <w:t xml:space="preserve">Total </w:t>
            </w:r>
            <w:r w:rsidR="00FA261C">
              <w:rPr>
                <w:b/>
                <w:lang w:val="en-AU"/>
              </w:rPr>
              <w:t>c</w:t>
            </w:r>
            <w:r w:rsidRPr="004A478D">
              <w:rPr>
                <w:b/>
                <w:lang w:val="en-AU"/>
              </w:rPr>
              <w:t>ost of FSL</w:t>
            </w:r>
          </w:p>
        </w:tc>
        <w:tc>
          <w:tcPr>
            <w:tcW w:w="639" w:type="pct"/>
            <w:noWrap/>
            <w:hideMark/>
          </w:tcPr>
          <w:p w14:paraId="1DECE9C5" w14:textId="370E7134" w:rsidR="000C6AF3" w:rsidRPr="003C077C" w:rsidRDefault="00EB6F0B" w:rsidP="00791334">
            <w:pPr>
              <w:pStyle w:val="KMC16-Tablecontent"/>
              <w:keepNext/>
              <w:keepLines/>
              <w:jc w:val="right"/>
              <w:rPr>
                <w:b/>
                <w:color w:val="auto"/>
                <w:vertAlign w:val="superscript"/>
                <w:lang w:val="en-AU"/>
              </w:rPr>
            </w:pPr>
            <w:r w:rsidRPr="00EB6F0B">
              <w:rPr>
                <w:lang w:val="en-AU"/>
              </w:rPr>
              <w:t>$</w:t>
            </w:r>
            <w:r w:rsidRPr="00EB6F0B">
              <w:rPr>
                <w:b/>
                <w:bCs/>
                <w:lang w:val="en-AU"/>
              </w:rPr>
              <w:t>Redacted</w:t>
            </w:r>
            <w:r w:rsidR="00D66A1C" w:rsidRPr="003C077C">
              <w:rPr>
                <w:vertAlign w:val="superscript"/>
                <w:lang w:val="en-AU"/>
              </w:rPr>
              <w:t>6</w:t>
            </w:r>
          </w:p>
        </w:tc>
        <w:tc>
          <w:tcPr>
            <w:tcW w:w="639" w:type="pct"/>
            <w:noWrap/>
            <w:hideMark/>
          </w:tcPr>
          <w:p w14:paraId="24D0F306" w14:textId="40199C13" w:rsidR="000C6AF3" w:rsidRPr="003C077C" w:rsidRDefault="00EB6F0B" w:rsidP="00791334">
            <w:pPr>
              <w:pStyle w:val="KMC16-Tablecontent"/>
              <w:keepNext/>
              <w:keepLines/>
              <w:jc w:val="right"/>
              <w:rPr>
                <w:b/>
                <w:vertAlign w:val="superscript"/>
                <w:lang w:val="en-AU"/>
              </w:rPr>
            </w:pPr>
            <w:r w:rsidRPr="00EB6F0B">
              <w:rPr>
                <w:lang w:val="en-AU"/>
              </w:rPr>
              <w:t>$</w:t>
            </w:r>
            <w:r w:rsidRPr="00EB6F0B">
              <w:rPr>
                <w:b/>
                <w:bCs/>
                <w:lang w:val="en-AU"/>
              </w:rPr>
              <w:t>Redacted</w:t>
            </w:r>
            <w:r w:rsidR="00D66A1C" w:rsidRPr="003C077C">
              <w:rPr>
                <w:vertAlign w:val="superscript"/>
                <w:lang w:val="en-AU"/>
              </w:rPr>
              <w:t>7</w:t>
            </w:r>
          </w:p>
        </w:tc>
        <w:tc>
          <w:tcPr>
            <w:tcW w:w="618" w:type="pct"/>
            <w:noWrap/>
            <w:hideMark/>
          </w:tcPr>
          <w:p w14:paraId="7F07F974" w14:textId="318569FB" w:rsidR="000C6AF3" w:rsidRPr="003C077C" w:rsidRDefault="00EB6F0B" w:rsidP="00791334">
            <w:pPr>
              <w:pStyle w:val="KMC16-Tablecontent"/>
              <w:keepNext/>
              <w:keepLines/>
              <w:jc w:val="right"/>
              <w:rPr>
                <w:b/>
                <w:vertAlign w:val="superscript"/>
                <w:lang w:val="en-AU"/>
              </w:rPr>
            </w:pPr>
            <w:r w:rsidRPr="00EB6F0B">
              <w:rPr>
                <w:lang w:val="en-AU"/>
              </w:rPr>
              <w:t>$</w:t>
            </w:r>
            <w:r w:rsidRPr="00EB6F0B">
              <w:rPr>
                <w:b/>
                <w:bCs/>
                <w:lang w:val="en-AU"/>
              </w:rPr>
              <w:t>Redacted</w:t>
            </w:r>
            <w:r w:rsidR="00D66A1C" w:rsidRPr="003C077C">
              <w:rPr>
                <w:vertAlign w:val="superscript"/>
                <w:lang w:val="en-AU"/>
              </w:rPr>
              <w:t>8</w:t>
            </w:r>
          </w:p>
        </w:tc>
        <w:tc>
          <w:tcPr>
            <w:tcW w:w="639" w:type="pct"/>
            <w:noWrap/>
            <w:hideMark/>
          </w:tcPr>
          <w:p w14:paraId="6FF9D3E5" w14:textId="663F9D4B" w:rsidR="000C6AF3" w:rsidRPr="003C077C" w:rsidRDefault="00EB6F0B" w:rsidP="00791334">
            <w:pPr>
              <w:pStyle w:val="KMC16-Tablecontent"/>
              <w:keepNext/>
              <w:keepLines/>
              <w:jc w:val="right"/>
              <w:rPr>
                <w:b/>
                <w:vertAlign w:val="superscript"/>
                <w:lang w:val="en-AU"/>
              </w:rPr>
            </w:pPr>
            <w:r w:rsidRPr="00EB6F0B">
              <w:rPr>
                <w:lang w:val="en-AU"/>
              </w:rPr>
              <w:t>$</w:t>
            </w:r>
            <w:r w:rsidRPr="00EB6F0B">
              <w:rPr>
                <w:b/>
                <w:bCs/>
                <w:lang w:val="en-AU"/>
              </w:rPr>
              <w:t>Redacted</w:t>
            </w:r>
            <w:r w:rsidR="00D66A1C" w:rsidRPr="003C077C">
              <w:rPr>
                <w:vertAlign w:val="superscript"/>
                <w:lang w:val="en-AU"/>
              </w:rPr>
              <w:t>9</w:t>
            </w:r>
          </w:p>
        </w:tc>
        <w:tc>
          <w:tcPr>
            <w:tcW w:w="645" w:type="pct"/>
            <w:noWrap/>
            <w:hideMark/>
          </w:tcPr>
          <w:p w14:paraId="5E42E2AA" w14:textId="318241A7" w:rsidR="000C6AF3" w:rsidRPr="003C077C" w:rsidRDefault="00EB6F0B" w:rsidP="00791334">
            <w:pPr>
              <w:pStyle w:val="KMC16-Tablecontent"/>
              <w:keepNext/>
              <w:keepLines/>
              <w:jc w:val="right"/>
              <w:rPr>
                <w:b/>
                <w:vertAlign w:val="superscript"/>
                <w:lang w:val="en-AU"/>
              </w:rPr>
            </w:pPr>
            <w:r w:rsidRPr="00EB6F0B">
              <w:rPr>
                <w:lang w:val="en-AU"/>
              </w:rPr>
              <w:t>$</w:t>
            </w:r>
            <w:r w:rsidRPr="00EB6F0B">
              <w:rPr>
                <w:b/>
                <w:bCs/>
                <w:lang w:val="en-AU"/>
              </w:rPr>
              <w:t>Redacted</w:t>
            </w:r>
            <w:r w:rsidR="00D66A1C" w:rsidRPr="003C077C">
              <w:rPr>
                <w:vertAlign w:val="superscript"/>
                <w:lang w:val="en-AU"/>
              </w:rPr>
              <w:t>10</w:t>
            </w:r>
          </w:p>
        </w:tc>
        <w:tc>
          <w:tcPr>
            <w:tcW w:w="645" w:type="pct"/>
            <w:noWrap/>
            <w:hideMark/>
          </w:tcPr>
          <w:p w14:paraId="46FE71F1" w14:textId="6D1D83B9" w:rsidR="000C6AF3" w:rsidRPr="003C077C" w:rsidRDefault="00EB6F0B" w:rsidP="00791334">
            <w:pPr>
              <w:pStyle w:val="KMC16-Tablecontent"/>
              <w:keepNext/>
              <w:keepLines/>
              <w:jc w:val="right"/>
              <w:rPr>
                <w:b/>
                <w:vertAlign w:val="superscript"/>
                <w:lang w:val="en-AU"/>
              </w:rPr>
            </w:pPr>
            <w:r w:rsidRPr="00EB6F0B">
              <w:rPr>
                <w:lang w:val="en-AU"/>
              </w:rPr>
              <w:t>$</w:t>
            </w:r>
            <w:r w:rsidRPr="00EB6F0B">
              <w:rPr>
                <w:b/>
                <w:bCs/>
                <w:lang w:val="en-AU"/>
              </w:rPr>
              <w:t>Redacted</w:t>
            </w:r>
            <w:r w:rsidR="00D66A1C" w:rsidRPr="003C077C">
              <w:rPr>
                <w:vertAlign w:val="superscript"/>
                <w:lang w:val="en-AU"/>
              </w:rPr>
              <w:t>11</w:t>
            </w:r>
          </w:p>
        </w:tc>
      </w:tr>
      <w:tr w:rsidR="00EB6F0B" w:rsidRPr="004A478D" w14:paraId="028C0409" w14:textId="77777777" w:rsidTr="00EB6F0B">
        <w:trPr>
          <w:trHeight w:val="765"/>
        </w:trPr>
        <w:tc>
          <w:tcPr>
            <w:tcW w:w="1176" w:type="pct"/>
            <w:vAlign w:val="center"/>
            <w:hideMark/>
          </w:tcPr>
          <w:p w14:paraId="289D8CAA" w14:textId="77777777" w:rsidR="000C6AF3" w:rsidRPr="004A478D" w:rsidRDefault="000C6AF3" w:rsidP="00791334">
            <w:pPr>
              <w:pStyle w:val="KMC16-Tablecontent"/>
              <w:keepNext/>
              <w:keepLines/>
              <w:rPr>
                <w:i/>
                <w:lang w:val="en-AU"/>
              </w:rPr>
            </w:pPr>
            <w:r w:rsidRPr="004A478D">
              <w:rPr>
                <w:i/>
                <w:lang w:val="en-AU"/>
              </w:rPr>
              <w:t>less cost offset (patient contributions, applies to 30% (or 27%) of population who are general patients, the remaining with concession pay $0 contribution)</w:t>
            </w:r>
          </w:p>
        </w:tc>
        <w:tc>
          <w:tcPr>
            <w:tcW w:w="639" w:type="pct"/>
            <w:noWrap/>
            <w:hideMark/>
          </w:tcPr>
          <w:p w14:paraId="3F2A1359" w14:textId="20534B2B" w:rsidR="000C6AF3" w:rsidRPr="00EB6F0B" w:rsidRDefault="00EB6F0B" w:rsidP="00791334">
            <w:pPr>
              <w:pStyle w:val="KMC16-Tablecontent"/>
              <w:keepNext/>
              <w:keepLines/>
              <w:jc w:val="right"/>
              <w:rPr>
                <w:i/>
                <w:color w:val="FF0000"/>
                <w:lang w:val="en-AU"/>
              </w:rPr>
            </w:pPr>
            <w:r w:rsidRPr="00EB6F0B">
              <w:rPr>
                <w:lang w:val="en-AU"/>
              </w:rPr>
              <w:t>$</w:t>
            </w:r>
            <w:r w:rsidRPr="00EB6F0B">
              <w:rPr>
                <w:b/>
                <w:bCs/>
                <w:lang w:val="en-AU"/>
              </w:rPr>
              <w:t>Redacted</w:t>
            </w:r>
            <w:r w:rsidR="001C6B81" w:rsidRPr="00B156D1">
              <w:rPr>
                <w:vertAlign w:val="superscript"/>
                <w:lang w:val="en-AU"/>
              </w:rPr>
              <w:t>12</w:t>
            </w:r>
          </w:p>
        </w:tc>
        <w:tc>
          <w:tcPr>
            <w:tcW w:w="639" w:type="pct"/>
            <w:noWrap/>
            <w:hideMark/>
          </w:tcPr>
          <w:p w14:paraId="4C352302" w14:textId="367766F2" w:rsidR="000C6AF3" w:rsidRPr="00EB6F0B" w:rsidRDefault="00EB6F0B" w:rsidP="00791334">
            <w:pPr>
              <w:pStyle w:val="KMC16-Tablecontent"/>
              <w:keepNext/>
              <w:keepLines/>
              <w:jc w:val="right"/>
              <w:rPr>
                <w:i/>
                <w:color w:val="FF0000"/>
                <w:lang w:val="en-AU"/>
              </w:rPr>
            </w:pPr>
            <w:r w:rsidRPr="00EB6F0B">
              <w:rPr>
                <w:lang w:val="en-AU"/>
              </w:rPr>
              <w:t>$</w:t>
            </w:r>
            <w:r w:rsidRPr="00EB6F0B">
              <w:rPr>
                <w:b/>
                <w:bCs/>
                <w:lang w:val="en-AU"/>
              </w:rPr>
              <w:t>Redacted</w:t>
            </w:r>
            <w:r w:rsidR="001C6B81" w:rsidRPr="00B156D1">
              <w:rPr>
                <w:vertAlign w:val="superscript"/>
                <w:lang w:val="en-AU"/>
              </w:rPr>
              <w:t>12</w:t>
            </w:r>
          </w:p>
        </w:tc>
        <w:tc>
          <w:tcPr>
            <w:tcW w:w="618" w:type="pct"/>
            <w:noWrap/>
            <w:hideMark/>
          </w:tcPr>
          <w:p w14:paraId="2D8CF039" w14:textId="1DB51FD8" w:rsidR="000C6AF3" w:rsidRPr="00EB6F0B" w:rsidRDefault="00EB6F0B" w:rsidP="00791334">
            <w:pPr>
              <w:pStyle w:val="KMC16-Tablecontent"/>
              <w:keepNext/>
              <w:keepLines/>
              <w:jc w:val="right"/>
              <w:rPr>
                <w:i/>
                <w:color w:val="FF0000"/>
                <w:lang w:val="en-AU"/>
              </w:rPr>
            </w:pPr>
            <w:r w:rsidRPr="00EB6F0B">
              <w:rPr>
                <w:lang w:val="en-AU"/>
              </w:rPr>
              <w:t>$</w:t>
            </w:r>
            <w:r w:rsidRPr="00EB6F0B">
              <w:rPr>
                <w:b/>
                <w:bCs/>
                <w:lang w:val="en-AU"/>
              </w:rPr>
              <w:t>Redacted</w:t>
            </w:r>
            <w:r w:rsidR="001C6B81" w:rsidRPr="00B156D1">
              <w:rPr>
                <w:vertAlign w:val="superscript"/>
                <w:lang w:val="en-AU"/>
              </w:rPr>
              <w:t>12</w:t>
            </w:r>
          </w:p>
        </w:tc>
        <w:tc>
          <w:tcPr>
            <w:tcW w:w="639" w:type="pct"/>
            <w:noWrap/>
            <w:hideMark/>
          </w:tcPr>
          <w:p w14:paraId="12E89526" w14:textId="48935159" w:rsidR="000C6AF3" w:rsidRPr="00EB6F0B" w:rsidRDefault="00EB6F0B" w:rsidP="00791334">
            <w:pPr>
              <w:pStyle w:val="KMC16-Tablecontent"/>
              <w:keepNext/>
              <w:keepLines/>
              <w:jc w:val="right"/>
              <w:rPr>
                <w:i/>
                <w:color w:val="FF0000"/>
                <w:lang w:val="en-AU"/>
              </w:rPr>
            </w:pPr>
            <w:r w:rsidRPr="00EB6F0B">
              <w:rPr>
                <w:lang w:val="en-AU"/>
              </w:rPr>
              <w:t>$</w:t>
            </w:r>
            <w:r w:rsidRPr="00EB6F0B">
              <w:rPr>
                <w:b/>
                <w:bCs/>
                <w:lang w:val="en-AU"/>
              </w:rPr>
              <w:t>Redacted</w:t>
            </w:r>
            <w:r w:rsidR="001C6B81" w:rsidRPr="00B156D1">
              <w:rPr>
                <w:vertAlign w:val="superscript"/>
                <w:lang w:val="en-AU"/>
              </w:rPr>
              <w:t>12</w:t>
            </w:r>
          </w:p>
        </w:tc>
        <w:tc>
          <w:tcPr>
            <w:tcW w:w="645" w:type="pct"/>
            <w:noWrap/>
            <w:hideMark/>
          </w:tcPr>
          <w:p w14:paraId="7FAE8F7E" w14:textId="56A49FCB" w:rsidR="000C6AF3" w:rsidRPr="00EB6F0B" w:rsidRDefault="00EB6F0B" w:rsidP="00791334">
            <w:pPr>
              <w:pStyle w:val="KMC16-Tablecontent"/>
              <w:keepNext/>
              <w:keepLines/>
              <w:jc w:val="right"/>
              <w:rPr>
                <w:i/>
                <w:color w:val="FF0000"/>
                <w:lang w:val="en-AU"/>
              </w:rPr>
            </w:pPr>
            <w:r w:rsidRPr="00EB6F0B">
              <w:rPr>
                <w:lang w:val="en-AU"/>
              </w:rPr>
              <w:t>$</w:t>
            </w:r>
            <w:r w:rsidRPr="00EB6F0B">
              <w:rPr>
                <w:b/>
                <w:bCs/>
                <w:lang w:val="en-AU"/>
              </w:rPr>
              <w:t>Redacted</w:t>
            </w:r>
            <w:r w:rsidR="001C6B81" w:rsidRPr="00B156D1">
              <w:rPr>
                <w:vertAlign w:val="superscript"/>
                <w:lang w:val="en-AU"/>
              </w:rPr>
              <w:t>12</w:t>
            </w:r>
          </w:p>
        </w:tc>
        <w:tc>
          <w:tcPr>
            <w:tcW w:w="645" w:type="pct"/>
            <w:noWrap/>
            <w:hideMark/>
          </w:tcPr>
          <w:p w14:paraId="66C3D9EB" w14:textId="04930E22" w:rsidR="000C6AF3" w:rsidRPr="00EB6F0B" w:rsidRDefault="00EB6F0B" w:rsidP="00791334">
            <w:pPr>
              <w:pStyle w:val="KMC16-Tablecontent"/>
              <w:keepNext/>
              <w:keepLines/>
              <w:jc w:val="right"/>
              <w:rPr>
                <w:i/>
                <w:color w:val="FF0000"/>
                <w:lang w:val="en-AU"/>
              </w:rPr>
            </w:pPr>
            <w:r w:rsidRPr="00EB6F0B">
              <w:rPr>
                <w:lang w:val="en-AU"/>
              </w:rPr>
              <w:t>$</w:t>
            </w:r>
            <w:r w:rsidRPr="00EB6F0B">
              <w:rPr>
                <w:b/>
                <w:bCs/>
                <w:lang w:val="en-AU"/>
              </w:rPr>
              <w:t>Redacted</w:t>
            </w:r>
            <w:r w:rsidR="001C6B81" w:rsidRPr="00B156D1">
              <w:rPr>
                <w:vertAlign w:val="superscript"/>
                <w:lang w:val="en-AU"/>
              </w:rPr>
              <w:t>12</w:t>
            </w:r>
          </w:p>
        </w:tc>
      </w:tr>
      <w:tr w:rsidR="00EB6F0B" w:rsidRPr="004A478D" w14:paraId="581F5BF0" w14:textId="77777777" w:rsidTr="00EB6F0B">
        <w:trPr>
          <w:trHeight w:val="255"/>
        </w:trPr>
        <w:tc>
          <w:tcPr>
            <w:tcW w:w="1176" w:type="pct"/>
            <w:noWrap/>
            <w:vAlign w:val="bottom"/>
            <w:hideMark/>
          </w:tcPr>
          <w:p w14:paraId="508383D1" w14:textId="3E387DA5" w:rsidR="000C6AF3" w:rsidRPr="004A478D" w:rsidRDefault="000C6AF3" w:rsidP="00791334">
            <w:pPr>
              <w:pStyle w:val="KMC16-Tablecontent"/>
              <w:keepNext/>
              <w:keepLines/>
              <w:rPr>
                <w:b/>
                <w:lang w:val="en-AU"/>
              </w:rPr>
            </w:pPr>
            <w:r w:rsidRPr="004A478D">
              <w:rPr>
                <w:b/>
                <w:lang w:val="en-AU"/>
              </w:rPr>
              <w:t xml:space="preserve">Net </w:t>
            </w:r>
            <w:r w:rsidR="00FA261C">
              <w:rPr>
                <w:b/>
                <w:lang w:val="en-AU"/>
              </w:rPr>
              <w:t>c</w:t>
            </w:r>
            <w:r w:rsidRPr="004A478D">
              <w:rPr>
                <w:b/>
                <w:lang w:val="en-AU"/>
              </w:rPr>
              <w:t>ost of FSL</w:t>
            </w:r>
          </w:p>
        </w:tc>
        <w:tc>
          <w:tcPr>
            <w:tcW w:w="639" w:type="pct"/>
            <w:noWrap/>
            <w:hideMark/>
          </w:tcPr>
          <w:p w14:paraId="6064CBC2" w14:textId="1891EA99" w:rsidR="000C6AF3" w:rsidRPr="00EB6F0B" w:rsidRDefault="00EB6F0B" w:rsidP="00791334">
            <w:pPr>
              <w:pStyle w:val="KMC16-Tablecontent"/>
              <w:keepNext/>
              <w:keepLines/>
              <w:jc w:val="right"/>
              <w:rPr>
                <w:b/>
                <w:color w:val="auto"/>
                <w:lang w:val="en-AU"/>
              </w:rPr>
            </w:pPr>
            <w:r w:rsidRPr="00EB6F0B">
              <w:rPr>
                <w:lang w:val="en-AU"/>
              </w:rPr>
              <w:t>$</w:t>
            </w:r>
            <w:r w:rsidRPr="00EB6F0B">
              <w:rPr>
                <w:b/>
                <w:bCs/>
                <w:lang w:val="en-AU"/>
              </w:rPr>
              <w:t>Redacted</w:t>
            </w:r>
            <w:r w:rsidR="001C6B81" w:rsidRPr="003C077C">
              <w:rPr>
                <w:vertAlign w:val="superscript"/>
                <w:lang w:val="en-AU"/>
              </w:rPr>
              <w:t>6</w:t>
            </w:r>
          </w:p>
        </w:tc>
        <w:tc>
          <w:tcPr>
            <w:tcW w:w="639" w:type="pct"/>
            <w:noWrap/>
            <w:hideMark/>
          </w:tcPr>
          <w:p w14:paraId="15E9B25D" w14:textId="30E1A48F" w:rsidR="000C6AF3" w:rsidRPr="003C077C" w:rsidRDefault="00EB6F0B" w:rsidP="00791334">
            <w:pPr>
              <w:pStyle w:val="KMC16-Tablecontent"/>
              <w:keepNext/>
              <w:keepLines/>
              <w:jc w:val="right"/>
              <w:rPr>
                <w:b/>
                <w:vertAlign w:val="superscript"/>
                <w:lang w:val="en-AU"/>
              </w:rPr>
            </w:pPr>
            <w:r w:rsidRPr="00EB6F0B">
              <w:rPr>
                <w:lang w:val="en-AU"/>
              </w:rPr>
              <w:t>$</w:t>
            </w:r>
            <w:r w:rsidRPr="00EB6F0B">
              <w:rPr>
                <w:b/>
                <w:bCs/>
                <w:lang w:val="en-AU"/>
              </w:rPr>
              <w:t>Redacted</w:t>
            </w:r>
            <w:r w:rsidR="006C4332" w:rsidRPr="003C077C">
              <w:rPr>
                <w:vertAlign w:val="superscript"/>
                <w:lang w:val="en-AU"/>
              </w:rPr>
              <w:t>13</w:t>
            </w:r>
          </w:p>
        </w:tc>
        <w:tc>
          <w:tcPr>
            <w:tcW w:w="618" w:type="pct"/>
            <w:noWrap/>
            <w:hideMark/>
          </w:tcPr>
          <w:p w14:paraId="416C47F1" w14:textId="5B72C588" w:rsidR="000C6AF3" w:rsidRPr="003C077C" w:rsidRDefault="00EB6F0B" w:rsidP="00791334">
            <w:pPr>
              <w:pStyle w:val="KMC16-Tablecontent"/>
              <w:keepNext/>
              <w:keepLines/>
              <w:jc w:val="right"/>
              <w:rPr>
                <w:b/>
                <w:vertAlign w:val="superscript"/>
                <w:lang w:val="en-AU"/>
              </w:rPr>
            </w:pPr>
            <w:r w:rsidRPr="00EB6F0B">
              <w:rPr>
                <w:lang w:val="en-AU"/>
              </w:rPr>
              <w:t>$</w:t>
            </w:r>
            <w:r w:rsidRPr="00EB6F0B">
              <w:rPr>
                <w:b/>
                <w:bCs/>
                <w:lang w:val="en-AU"/>
              </w:rPr>
              <w:t>Redacted</w:t>
            </w:r>
            <w:r w:rsidR="006C4332" w:rsidRPr="003C077C">
              <w:rPr>
                <w:vertAlign w:val="superscript"/>
                <w:lang w:val="en-AU"/>
              </w:rPr>
              <w:t>7</w:t>
            </w:r>
          </w:p>
        </w:tc>
        <w:tc>
          <w:tcPr>
            <w:tcW w:w="639" w:type="pct"/>
            <w:noWrap/>
            <w:hideMark/>
          </w:tcPr>
          <w:p w14:paraId="7210BE31" w14:textId="5D10EC77" w:rsidR="000C6AF3" w:rsidRPr="003C077C" w:rsidRDefault="00EB6F0B" w:rsidP="00791334">
            <w:pPr>
              <w:pStyle w:val="KMC16-Tablecontent"/>
              <w:keepNext/>
              <w:keepLines/>
              <w:jc w:val="right"/>
              <w:rPr>
                <w:b/>
                <w:vertAlign w:val="superscript"/>
                <w:lang w:val="en-AU"/>
              </w:rPr>
            </w:pPr>
            <w:r w:rsidRPr="00EB6F0B">
              <w:rPr>
                <w:lang w:val="en-AU"/>
              </w:rPr>
              <w:t>$</w:t>
            </w:r>
            <w:r w:rsidRPr="00EB6F0B">
              <w:rPr>
                <w:b/>
                <w:bCs/>
                <w:lang w:val="en-AU"/>
              </w:rPr>
              <w:t>Redacted</w:t>
            </w:r>
            <w:r w:rsidR="009A2267" w:rsidRPr="003C077C">
              <w:rPr>
                <w:vertAlign w:val="superscript"/>
                <w:lang w:val="en-AU"/>
              </w:rPr>
              <w:t>9</w:t>
            </w:r>
          </w:p>
        </w:tc>
        <w:tc>
          <w:tcPr>
            <w:tcW w:w="645" w:type="pct"/>
            <w:noWrap/>
            <w:hideMark/>
          </w:tcPr>
          <w:p w14:paraId="075D4F3F" w14:textId="6D4C66F2" w:rsidR="000C6AF3" w:rsidRPr="003C077C" w:rsidRDefault="00EB6F0B" w:rsidP="00791334">
            <w:pPr>
              <w:pStyle w:val="KMC16-Tablecontent"/>
              <w:keepNext/>
              <w:keepLines/>
              <w:jc w:val="right"/>
              <w:rPr>
                <w:b/>
                <w:vertAlign w:val="superscript"/>
                <w:lang w:val="en-AU"/>
              </w:rPr>
            </w:pPr>
            <w:r w:rsidRPr="00EB6F0B">
              <w:rPr>
                <w:lang w:val="en-AU"/>
              </w:rPr>
              <w:t>$</w:t>
            </w:r>
            <w:r w:rsidRPr="00EB6F0B">
              <w:rPr>
                <w:b/>
                <w:bCs/>
                <w:lang w:val="en-AU"/>
              </w:rPr>
              <w:t>Redacted</w:t>
            </w:r>
            <w:r w:rsidR="009A2267" w:rsidRPr="003C077C">
              <w:rPr>
                <w:vertAlign w:val="superscript"/>
                <w:lang w:val="en-AU"/>
              </w:rPr>
              <w:t>9</w:t>
            </w:r>
          </w:p>
        </w:tc>
        <w:tc>
          <w:tcPr>
            <w:tcW w:w="645" w:type="pct"/>
            <w:noWrap/>
            <w:hideMark/>
          </w:tcPr>
          <w:p w14:paraId="21B5D7AA" w14:textId="27164A53" w:rsidR="000C6AF3" w:rsidRPr="003C077C" w:rsidRDefault="00EB6F0B" w:rsidP="00791334">
            <w:pPr>
              <w:pStyle w:val="KMC16-Tablecontent"/>
              <w:keepNext/>
              <w:keepLines/>
              <w:jc w:val="right"/>
              <w:rPr>
                <w:b/>
                <w:vertAlign w:val="superscript"/>
                <w:lang w:val="en-AU"/>
              </w:rPr>
            </w:pPr>
            <w:r w:rsidRPr="00EB6F0B">
              <w:rPr>
                <w:lang w:val="en-AU"/>
              </w:rPr>
              <w:t>$</w:t>
            </w:r>
            <w:r w:rsidRPr="00EB6F0B">
              <w:rPr>
                <w:b/>
                <w:bCs/>
                <w:lang w:val="en-AU"/>
              </w:rPr>
              <w:t>Redacted</w:t>
            </w:r>
            <w:r w:rsidR="009A2267" w:rsidRPr="003C077C">
              <w:rPr>
                <w:vertAlign w:val="superscript"/>
                <w:lang w:val="en-AU"/>
              </w:rPr>
              <w:t>10</w:t>
            </w:r>
          </w:p>
        </w:tc>
      </w:tr>
      <w:tr w:rsidR="00EB6F0B" w:rsidRPr="004A478D" w14:paraId="2D96BE5C" w14:textId="77777777" w:rsidTr="00EB6F0B">
        <w:trPr>
          <w:trHeight w:val="255"/>
        </w:trPr>
        <w:tc>
          <w:tcPr>
            <w:tcW w:w="1176" w:type="pct"/>
            <w:noWrap/>
            <w:vAlign w:val="bottom"/>
            <w:hideMark/>
          </w:tcPr>
          <w:p w14:paraId="4616F575" w14:textId="1839003B" w:rsidR="000C6AF3" w:rsidRPr="004A478D" w:rsidRDefault="000C6AF3" w:rsidP="00791334">
            <w:pPr>
              <w:pStyle w:val="KMC16-Tablecontent"/>
              <w:keepNext/>
              <w:keepLines/>
              <w:rPr>
                <w:b/>
                <w:lang w:val="en-AU"/>
              </w:rPr>
            </w:pPr>
            <w:r w:rsidRPr="004A478D">
              <w:rPr>
                <w:b/>
                <w:lang w:val="en-AU"/>
              </w:rPr>
              <w:t xml:space="preserve">Change in SMBG </w:t>
            </w:r>
            <w:r w:rsidR="00FA261C">
              <w:rPr>
                <w:b/>
                <w:lang w:val="en-AU"/>
              </w:rPr>
              <w:t>u</w:t>
            </w:r>
            <w:r w:rsidRPr="004A478D">
              <w:rPr>
                <w:b/>
                <w:lang w:val="en-AU"/>
              </w:rPr>
              <w:t>se</w:t>
            </w:r>
          </w:p>
        </w:tc>
        <w:tc>
          <w:tcPr>
            <w:tcW w:w="639" w:type="pct"/>
            <w:noWrap/>
            <w:hideMark/>
          </w:tcPr>
          <w:p w14:paraId="79D35939" w14:textId="77777777" w:rsidR="000C6AF3" w:rsidRPr="00EB6F0B" w:rsidRDefault="000C6AF3" w:rsidP="00791334">
            <w:pPr>
              <w:pStyle w:val="KMC16-Tablecontent"/>
              <w:keepNext/>
              <w:keepLines/>
              <w:jc w:val="center"/>
              <w:rPr>
                <w:b/>
                <w:color w:val="auto"/>
                <w:lang w:val="en-AU"/>
              </w:rPr>
            </w:pPr>
          </w:p>
        </w:tc>
        <w:tc>
          <w:tcPr>
            <w:tcW w:w="639" w:type="pct"/>
            <w:noWrap/>
            <w:hideMark/>
          </w:tcPr>
          <w:p w14:paraId="3C12EA1A" w14:textId="77777777" w:rsidR="000C6AF3" w:rsidRPr="00EB6F0B" w:rsidRDefault="000C6AF3" w:rsidP="00791334">
            <w:pPr>
              <w:pStyle w:val="KMC16-Tablecontent"/>
              <w:keepNext/>
              <w:keepLines/>
              <w:jc w:val="center"/>
              <w:rPr>
                <w:b/>
                <w:lang w:val="en-AU"/>
              </w:rPr>
            </w:pPr>
          </w:p>
        </w:tc>
        <w:tc>
          <w:tcPr>
            <w:tcW w:w="618" w:type="pct"/>
            <w:noWrap/>
            <w:hideMark/>
          </w:tcPr>
          <w:p w14:paraId="3CABADCE" w14:textId="77777777" w:rsidR="000C6AF3" w:rsidRPr="00EB6F0B" w:rsidRDefault="000C6AF3" w:rsidP="00791334">
            <w:pPr>
              <w:pStyle w:val="KMC16-Tablecontent"/>
              <w:keepNext/>
              <w:keepLines/>
              <w:jc w:val="center"/>
              <w:rPr>
                <w:b/>
                <w:lang w:val="en-AU"/>
              </w:rPr>
            </w:pPr>
          </w:p>
        </w:tc>
        <w:tc>
          <w:tcPr>
            <w:tcW w:w="639" w:type="pct"/>
            <w:noWrap/>
            <w:hideMark/>
          </w:tcPr>
          <w:p w14:paraId="213780D1" w14:textId="77777777" w:rsidR="000C6AF3" w:rsidRPr="00EB6F0B" w:rsidRDefault="000C6AF3" w:rsidP="00791334">
            <w:pPr>
              <w:pStyle w:val="KMC16-Tablecontent"/>
              <w:keepNext/>
              <w:keepLines/>
              <w:jc w:val="center"/>
              <w:rPr>
                <w:b/>
                <w:lang w:val="en-AU"/>
              </w:rPr>
            </w:pPr>
          </w:p>
        </w:tc>
        <w:tc>
          <w:tcPr>
            <w:tcW w:w="645" w:type="pct"/>
            <w:noWrap/>
            <w:hideMark/>
          </w:tcPr>
          <w:p w14:paraId="6955A89E" w14:textId="77777777" w:rsidR="000C6AF3" w:rsidRPr="00EB6F0B" w:rsidRDefault="000C6AF3" w:rsidP="00791334">
            <w:pPr>
              <w:pStyle w:val="KMC16-Tablecontent"/>
              <w:keepNext/>
              <w:keepLines/>
              <w:jc w:val="center"/>
              <w:rPr>
                <w:b/>
                <w:lang w:val="en-AU"/>
              </w:rPr>
            </w:pPr>
          </w:p>
        </w:tc>
        <w:tc>
          <w:tcPr>
            <w:tcW w:w="645" w:type="pct"/>
            <w:noWrap/>
            <w:hideMark/>
          </w:tcPr>
          <w:p w14:paraId="1632954F" w14:textId="77777777" w:rsidR="000C6AF3" w:rsidRPr="00EB6F0B" w:rsidRDefault="000C6AF3" w:rsidP="00791334">
            <w:pPr>
              <w:pStyle w:val="KMC16-Tablecontent"/>
              <w:keepNext/>
              <w:keepLines/>
              <w:jc w:val="center"/>
              <w:rPr>
                <w:b/>
                <w:lang w:val="en-AU"/>
              </w:rPr>
            </w:pPr>
          </w:p>
        </w:tc>
      </w:tr>
      <w:tr w:rsidR="00EB6F0B" w:rsidRPr="004A478D" w14:paraId="1011802D" w14:textId="77777777" w:rsidTr="00EB6F0B">
        <w:trPr>
          <w:trHeight w:val="255"/>
        </w:trPr>
        <w:tc>
          <w:tcPr>
            <w:tcW w:w="1176" w:type="pct"/>
            <w:vAlign w:val="center"/>
            <w:hideMark/>
          </w:tcPr>
          <w:p w14:paraId="0B118DEA" w14:textId="6CD62A4E" w:rsidR="000C6AF3" w:rsidRPr="004A478D" w:rsidRDefault="000C6AF3" w:rsidP="00791334">
            <w:pPr>
              <w:pStyle w:val="KMC16-Tablecontent"/>
              <w:keepNext/>
              <w:keepLines/>
              <w:rPr>
                <w:i/>
                <w:lang w:val="en-AU"/>
              </w:rPr>
            </w:pPr>
            <w:r w:rsidRPr="004A478D">
              <w:rPr>
                <w:i/>
                <w:lang w:val="en-AU"/>
              </w:rPr>
              <w:t>less cost offsets (reduced glucose strips</w:t>
            </w:r>
            <w:r w:rsidR="00273EB5">
              <w:rPr>
                <w:i/>
                <w:lang w:val="en-AU"/>
              </w:rPr>
              <w:t xml:space="preserve"> costing </w:t>
            </w:r>
            <w:r w:rsidR="00226443">
              <w:rPr>
                <w:color w:val="auto"/>
              </w:rPr>
              <w:t>$</w:t>
            </w:r>
            <w:r w:rsidR="00273EB5">
              <w:rPr>
                <w:i/>
                <w:lang w:val="en-AU"/>
              </w:rPr>
              <w:t>19.10 per pack</w:t>
            </w:r>
            <w:r w:rsidR="00273EB5" w:rsidRPr="004A478D">
              <w:rPr>
                <w:i/>
                <w:lang w:val="en-AU"/>
              </w:rPr>
              <w:t>)</w:t>
            </w:r>
          </w:p>
        </w:tc>
        <w:tc>
          <w:tcPr>
            <w:tcW w:w="639" w:type="pct"/>
            <w:noWrap/>
            <w:hideMark/>
          </w:tcPr>
          <w:p w14:paraId="3B7E1037" w14:textId="1D2E2819" w:rsidR="000C6AF3" w:rsidRPr="003C077C" w:rsidRDefault="00EB6F0B" w:rsidP="00791334">
            <w:pPr>
              <w:pStyle w:val="KMC16-Tablecontent"/>
              <w:keepNext/>
              <w:keepLines/>
              <w:jc w:val="right"/>
              <w:rPr>
                <w:i/>
                <w:color w:val="FF0000"/>
                <w:vertAlign w:val="superscript"/>
                <w:lang w:val="en-AU"/>
              </w:rPr>
            </w:pPr>
            <w:r w:rsidRPr="00EB6F0B">
              <w:rPr>
                <w:lang w:val="en-AU"/>
              </w:rPr>
              <w:t>$</w:t>
            </w:r>
            <w:r w:rsidRPr="00EB6F0B">
              <w:rPr>
                <w:b/>
                <w:bCs/>
                <w:lang w:val="en-AU"/>
              </w:rPr>
              <w:t>Redacted</w:t>
            </w:r>
            <w:r w:rsidR="009A2267" w:rsidRPr="003C077C">
              <w:rPr>
                <w:vertAlign w:val="superscript"/>
                <w:lang w:val="en-AU"/>
              </w:rPr>
              <w:t>12</w:t>
            </w:r>
          </w:p>
        </w:tc>
        <w:tc>
          <w:tcPr>
            <w:tcW w:w="639" w:type="pct"/>
            <w:noWrap/>
            <w:hideMark/>
          </w:tcPr>
          <w:p w14:paraId="6E40EF62" w14:textId="0EC507AC" w:rsidR="000C6AF3" w:rsidRPr="00EB6F0B" w:rsidRDefault="00EB6F0B" w:rsidP="00791334">
            <w:pPr>
              <w:pStyle w:val="KMC16-Tablecontent"/>
              <w:keepNext/>
              <w:keepLines/>
              <w:jc w:val="right"/>
              <w:rPr>
                <w:i/>
                <w:color w:val="FF0000"/>
                <w:lang w:val="en-AU"/>
              </w:rPr>
            </w:pPr>
            <w:r w:rsidRPr="00EB6F0B">
              <w:rPr>
                <w:lang w:val="en-AU"/>
              </w:rPr>
              <w:t>$</w:t>
            </w:r>
            <w:r w:rsidRPr="00EB6F0B">
              <w:rPr>
                <w:b/>
                <w:bCs/>
                <w:lang w:val="en-AU"/>
              </w:rPr>
              <w:t>Redacted</w:t>
            </w:r>
            <w:r w:rsidR="009A2267" w:rsidRPr="003C077C">
              <w:rPr>
                <w:vertAlign w:val="superscript"/>
                <w:lang w:val="en-AU"/>
              </w:rPr>
              <w:t>12</w:t>
            </w:r>
          </w:p>
        </w:tc>
        <w:tc>
          <w:tcPr>
            <w:tcW w:w="618" w:type="pct"/>
            <w:noWrap/>
            <w:hideMark/>
          </w:tcPr>
          <w:p w14:paraId="4C2C87E6" w14:textId="37C41AFD" w:rsidR="000C6AF3" w:rsidRPr="00EB6F0B" w:rsidRDefault="00EB6F0B" w:rsidP="00791334">
            <w:pPr>
              <w:pStyle w:val="KMC16-Tablecontent"/>
              <w:keepNext/>
              <w:keepLines/>
              <w:jc w:val="right"/>
              <w:rPr>
                <w:i/>
                <w:color w:val="FF0000"/>
                <w:lang w:val="en-AU"/>
              </w:rPr>
            </w:pPr>
            <w:r w:rsidRPr="00EB6F0B">
              <w:rPr>
                <w:lang w:val="en-AU"/>
              </w:rPr>
              <w:t>$</w:t>
            </w:r>
            <w:r w:rsidRPr="00EB6F0B">
              <w:rPr>
                <w:b/>
                <w:bCs/>
                <w:lang w:val="en-AU"/>
              </w:rPr>
              <w:t>Redacted</w:t>
            </w:r>
            <w:r w:rsidR="009A2267" w:rsidRPr="003C077C">
              <w:rPr>
                <w:vertAlign w:val="superscript"/>
                <w:lang w:val="en-AU"/>
              </w:rPr>
              <w:t>12</w:t>
            </w:r>
          </w:p>
        </w:tc>
        <w:tc>
          <w:tcPr>
            <w:tcW w:w="639" w:type="pct"/>
            <w:noWrap/>
            <w:hideMark/>
          </w:tcPr>
          <w:p w14:paraId="636661C9" w14:textId="794C3D04" w:rsidR="000C6AF3" w:rsidRPr="00EB6F0B" w:rsidRDefault="00EB6F0B" w:rsidP="00791334">
            <w:pPr>
              <w:pStyle w:val="KMC16-Tablecontent"/>
              <w:keepNext/>
              <w:keepLines/>
              <w:jc w:val="right"/>
              <w:rPr>
                <w:i/>
                <w:color w:val="FF0000"/>
                <w:lang w:val="en-AU"/>
              </w:rPr>
            </w:pPr>
            <w:r w:rsidRPr="00EB6F0B">
              <w:rPr>
                <w:lang w:val="en-AU"/>
              </w:rPr>
              <w:t>$</w:t>
            </w:r>
            <w:r w:rsidRPr="00EB6F0B">
              <w:rPr>
                <w:b/>
                <w:bCs/>
                <w:lang w:val="en-AU"/>
              </w:rPr>
              <w:t>Redacted</w:t>
            </w:r>
            <w:r w:rsidR="00654615" w:rsidRPr="003C077C">
              <w:rPr>
                <w:vertAlign w:val="superscript"/>
                <w:lang w:val="en-AU"/>
              </w:rPr>
              <w:t>14</w:t>
            </w:r>
          </w:p>
        </w:tc>
        <w:tc>
          <w:tcPr>
            <w:tcW w:w="645" w:type="pct"/>
            <w:noWrap/>
            <w:hideMark/>
          </w:tcPr>
          <w:p w14:paraId="69C2570D" w14:textId="7CCDABE0" w:rsidR="000C6AF3" w:rsidRPr="003C077C" w:rsidRDefault="00EB6F0B" w:rsidP="00791334">
            <w:pPr>
              <w:pStyle w:val="KMC16-Tablecontent"/>
              <w:keepNext/>
              <w:keepLines/>
              <w:jc w:val="right"/>
              <w:rPr>
                <w:i/>
                <w:color w:val="FF0000"/>
                <w:vertAlign w:val="superscript"/>
                <w:lang w:val="en-AU"/>
              </w:rPr>
            </w:pPr>
            <w:r w:rsidRPr="00EB6F0B">
              <w:rPr>
                <w:lang w:val="en-AU"/>
              </w:rPr>
              <w:t>$</w:t>
            </w:r>
            <w:r w:rsidRPr="00EB6F0B">
              <w:rPr>
                <w:b/>
                <w:bCs/>
                <w:lang w:val="en-AU"/>
              </w:rPr>
              <w:t>Redacted</w:t>
            </w:r>
            <w:r w:rsidR="00CA10A3" w:rsidRPr="003C077C">
              <w:rPr>
                <w:vertAlign w:val="superscript"/>
                <w:lang w:val="en-AU"/>
              </w:rPr>
              <w:t>14</w:t>
            </w:r>
          </w:p>
        </w:tc>
        <w:tc>
          <w:tcPr>
            <w:tcW w:w="645" w:type="pct"/>
            <w:noWrap/>
            <w:hideMark/>
          </w:tcPr>
          <w:p w14:paraId="5F92714D" w14:textId="7947A017" w:rsidR="000C6AF3" w:rsidRPr="003C077C" w:rsidRDefault="00EB6F0B" w:rsidP="00791334">
            <w:pPr>
              <w:pStyle w:val="KMC16-Tablecontent"/>
              <w:keepNext/>
              <w:keepLines/>
              <w:jc w:val="right"/>
              <w:rPr>
                <w:i/>
                <w:color w:val="FF0000"/>
                <w:vertAlign w:val="superscript"/>
                <w:lang w:val="en-AU"/>
              </w:rPr>
            </w:pPr>
            <w:r w:rsidRPr="00EB6F0B">
              <w:rPr>
                <w:lang w:val="en-AU"/>
              </w:rPr>
              <w:t>$</w:t>
            </w:r>
            <w:r w:rsidRPr="00EB6F0B">
              <w:rPr>
                <w:b/>
                <w:bCs/>
                <w:lang w:val="en-AU"/>
              </w:rPr>
              <w:t>Redacted</w:t>
            </w:r>
            <w:r w:rsidR="00CA10A3" w:rsidRPr="003C077C">
              <w:rPr>
                <w:vertAlign w:val="superscript"/>
                <w:lang w:val="en-AU"/>
              </w:rPr>
              <w:t>14</w:t>
            </w:r>
          </w:p>
        </w:tc>
      </w:tr>
      <w:tr w:rsidR="00EB6F0B" w:rsidRPr="004A478D" w14:paraId="2AE63BCB" w14:textId="77777777" w:rsidTr="00EB6F0B">
        <w:trPr>
          <w:trHeight w:val="270"/>
        </w:trPr>
        <w:tc>
          <w:tcPr>
            <w:tcW w:w="1176" w:type="pct"/>
            <w:noWrap/>
            <w:vAlign w:val="bottom"/>
            <w:hideMark/>
          </w:tcPr>
          <w:p w14:paraId="0A6EF2BA" w14:textId="3F11B4E0" w:rsidR="000C6AF3" w:rsidRPr="004A478D" w:rsidRDefault="000C6AF3" w:rsidP="00791334">
            <w:pPr>
              <w:pStyle w:val="KMC16-Tablecontent"/>
              <w:keepNext/>
              <w:keepLines/>
              <w:rPr>
                <w:b/>
                <w:lang w:val="en-AU"/>
              </w:rPr>
            </w:pPr>
            <w:r w:rsidRPr="004A478D">
              <w:rPr>
                <w:b/>
                <w:lang w:val="en-AU"/>
              </w:rPr>
              <w:t xml:space="preserve">Total </w:t>
            </w:r>
            <w:r w:rsidR="00FA261C">
              <w:rPr>
                <w:b/>
                <w:lang w:val="en-AU"/>
              </w:rPr>
              <w:t>n</w:t>
            </w:r>
            <w:r w:rsidRPr="00A54EDF">
              <w:rPr>
                <w:b/>
                <w:lang w:val="en-AU"/>
              </w:rPr>
              <w:t xml:space="preserve">et </w:t>
            </w:r>
            <w:r w:rsidR="00FA261C">
              <w:rPr>
                <w:b/>
                <w:lang w:val="en-AU"/>
              </w:rPr>
              <w:t>c</w:t>
            </w:r>
            <w:r w:rsidRPr="004A478D">
              <w:rPr>
                <w:b/>
                <w:lang w:val="en-AU"/>
              </w:rPr>
              <w:t>ost</w:t>
            </w:r>
          </w:p>
        </w:tc>
        <w:tc>
          <w:tcPr>
            <w:tcW w:w="639" w:type="pct"/>
            <w:noWrap/>
            <w:hideMark/>
          </w:tcPr>
          <w:p w14:paraId="5D627BC5" w14:textId="4BD58BF7" w:rsidR="000C6AF3" w:rsidRPr="003C077C" w:rsidRDefault="00EB6F0B" w:rsidP="00791334">
            <w:pPr>
              <w:pStyle w:val="KMC16-Tablecontent"/>
              <w:keepNext/>
              <w:keepLines/>
              <w:jc w:val="right"/>
              <w:rPr>
                <w:b/>
                <w:color w:val="auto"/>
                <w:vertAlign w:val="superscript"/>
                <w:lang w:val="en-AU"/>
              </w:rPr>
            </w:pPr>
            <w:r w:rsidRPr="00EB6F0B">
              <w:rPr>
                <w:lang w:val="en-AU"/>
              </w:rPr>
              <w:t>$</w:t>
            </w:r>
            <w:r w:rsidRPr="00EB6F0B">
              <w:rPr>
                <w:b/>
                <w:bCs/>
                <w:lang w:val="en-AU"/>
              </w:rPr>
              <w:t>Redacted</w:t>
            </w:r>
            <w:r w:rsidR="00CA10A3" w:rsidRPr="003C077C">
              <w:rPr>
                <w:vertAlign w:val="superscript"/>
                <w:lang w:val="en-AU"/>
              </w:rPr>
              <w:t>14</w:t>
            </w:r>
          </w:p>
        </w:tc>
        <w:tc>
          <w:tcPr>
            <w:tcW w:w="639" w:type="pct"/>
            <w:noWrap/>
            <w:hideMark/>
          </w:tcPr>
          <w:p w14:paraId="2633293B" w14:textId="5A675513" w:rsidR="000C6AF3" w:rsidRPr="003C077C" w:rsidRDefault="00EB6F0B" w:rsidP="00791334">
            <w:pPr>
              <w:pStyle w:val="KMC16-Tablecontent"/>
              <w:keepNext/>
              <w:keepLines/>
              <w:jc w:val="right"/>
              <w:rPr>
                <w:b/>
                <w:vertAlign w:val="superscript"/>
                <w:lang w:val="en-AU"/>
              </w:rPr>
            </w:pPr>
            <w:r w:rsidRPr="00EB6F0B">
              <w:rPr>
                <w:lang w:val="en-AU"/>
              </w:rPr>
              <w:t>$</w:t>
            </w:r>
            <w:r w:rsidRPr="00EB6F0B">
              <w:rPr>
                <w:b/>
                <w:bCs/>
                <w:lang w:val="en-AU"/>
              </w:rPr>
              <w:t>Redacted</w:t>
            </w:r>
            <w:r w:rsidR="00CA10A3" w:rsidRPr="003C077C">
              <w:rPr>
                <w:vertAlign w:val="superscript"/>
                <w:lang w:val="en-AU"/>
              </w:rPr>
              <w:t>13</w:t>
            </w:r>
          </w:p>
        </w:tc>
        <w:tc>
          <w:tcPr>
            <w:tcW w:w="618" w:type="pct"/>
            <w:noWrap/>
            <w:hideMark/>
          </w:tcPr>
          <w:p w14:paraId="13C18F28" w14:textId="4937ABA5" w:rsidR="000C6AF3" w:rsidRPr="003C077C" w:rsidRDefault="00EB6F0B" w:rsidP="00791334">
            <w:pPr>
              <w:pStyle w:val="KMC16-Tablecontent"/>
              <w:keepNext/>
              <w:keepLines/>
              <w:jc w:val="right"/>
              <w:rPr>
                <w:b/>
                <w:vertAlign w:val="superscript"/>
                <w:lang w:val="en-AU"/>
              </w:rPr>
            </w:pPr>
            <w:r w:rsidRPr="00EB6F0B">
              <w:rPr>
                <w:lang w:val="en-AU"/>
              </w:rPr>
              <w:t>$</w:t>
            </w:r>
            <w:r w:rsidRPr="00EB6F0B">
              <w:rPr>
                <w:b/>
                <w:bCs/>
                <w:lang w:val="en-AU"/>
              </w:rPr>
              <w:t>Redacted</w:t>
            </w:r>
            <w:r w:rsidR="00AB5262" w:rsidRPr="003C077C">
              <w:rPr>
                <w:vertAlign w:val="superscript"/>
                <w:lang w:val="en-AU"/>
              </w:rPr>
              <w:t>7</w:t>
            </w:r>
          </w:p>
        </w:tc>
        <w:tc>
          <w:tcPr>
            <w:tcW w:w="639" w:type="pct"/>
            <w:noWrap/>
            <w:hideMark/>
          </w:tcPr>
          <w:p w14:paraId="039DB964" w14:textId="77C0A870" w:rsidR="000C6AF3" w:rsidRPr="003C077C" w:rsidRDefault="00EB6F0B" w:rsidP="00791334">
            <w:pPr>
              <w:pStyle w:val="KMC16-Tablecontent"/>
              <w:keepNext/>
              <w:keepLines/>
              <w:jc w:val="right"/>
              <w:rPr>
                <w:b/>
                <w:vertAlign w:val="superscript"/>
                <w:lang w:val="en-AU"/>
              </w:rPr>
            </w:pPr>
            <w:r w:rsidRPr="00EB6F0B">
              <w:rPr>
                <w:lang w:val="en-AU"/>
              </w:rPr>
              <w:t>$</w:t>
            </w:r>
            <w:r w:rsidRPr="00EB6F0B">
              <w:rPr>
                <w:b/>
                <w:bCs/>
                <w:lang w:val="en-AU"/>
              </w:rPr>
              <w:t>Redacted</w:t>
            </w:r>
            <w:r w:rsidR="00AB5262" w:rsidRPr="003C077C">
              <w:rPr>
                <w:vertAlign w:val="superscript"/>
                <w:lang w:val="en-AU"/>
              </w:rPr>
              <w:t>7</w:t>
            </w:r>
          </w:p>
        </w:tc>
        <w:tc>
          <w:tcPr>
            <w:tcW w:w="645" w:type="pct"/>
            <w:noWrap/>
            <w:hideMark/>
          </w:tcPr>
          <w:p w14:paraId="54DDEC39" w14:textId="350AC62D" w:rsidR="000C6AF3" w:rsidRPr="003C077C" w:rsidRDefault="00EB6F0B" w:rsidP="00791334">
            <w:pPr>
              <w:pStyle w:val="KMC16-Tablecontent"/>
              <w:keepNext/>
              <w:keepLines/>
              <w:jc w:val="right"/>
              <w:rPr>
                <w:b/>
                <w:vertAlign w:val="superscript"/>
                <w:lang w:val="en-AU"/>
              </w:rPr>
            </w:pPr>
            <w:r w:rsidRPr="00EB6F0B">
              <w:rPr>
                <w:lang w:val="en-AU"/>
              </w:rPr>
              <w:t>$</w:t>
            </w:r>
            <w:r w:rsidRPr="00EB6F0B">
              <w:rPr>
                <w:b/>
                <w:bCs/>
                <w:lang w:val="en-AU"/>
              </w:rPr>
              <w:t>Redacted</w:t>
            </w:r>
            <w:r w:rsidR="00AB5262" w:rsidRPr="003C077C">
              <w:rPr>
                <w:vertAlign w:val="superscript"/>
                <w:lang w:val="en-AU"/>
              </w:rPr>
              <w:t>8</w:t>
            </w:r>
          </w:p>
        </w:tc>
        <w:tc>
          <w:tcPr>
            <w:tcW w:w="645" w:type="pct"/>
            <w:noWrap/>
            <w:hideMark/>
          </w:tcPr>
          <w:p w14:paraId="60BC17B4" w14:textId="79617EFE" w:rsidR="000C6AF3" w:rsidRPr="003C077C" w:rsidRDefault="00EB6F0B" w:rsidP="00791334">
            <w:pPr>
              <w:pStyle w:val="KMC16-Tablecontent"/>
              <w:keepNext/>
              <w:keepLines/>
              <w:jc w:val="right"/>
              <w:rPr>
                <w:b/>
                <w:vertAlign w:val="superscript"/>
                <w:lang w:val="en-AU"/>
              </w:rPr>
            </w:pPr>
            <w:r w:rsidRPr="00EB6F0B">
              <w:rPr>
                <w:lang w:val="en-AU"/>
              </w:rPr>
              <w:t>$</w:t>
            </w:r>
            <w:r w:rsidRPr="00EB6F0B">
              <w:rPr>
                <w:b/>
                <w:bCs/>
                <w:lang w:val="en-AU"/>
              </w:rPr>
              <w:t>Redacted</w:t>
            </w:r>
            <w:r w:rsidR="00AB5262" w:rsidRPr="003C077C">
              <w:rPr>
                <w:vertAlign w:val="superscript"/>
                <w:lang w:val="en-AU"/>
              </w:rPr>
              <w:t>9</w:t>
            </w:r>
          </w:p>
        </w:tc>
      </w:tr>
    </w:tbl>
    <w:p w14:paraId="10317BA6" w14:textId="77777777" w:rsidR="00DF67A2" w:rsidRPr="003027B3" w:rsidRDefault="00DF67A2" w:rsidP="00791334">
      <w:pPr>
        <w:pStyle w:val="KMC16-TFNotes"/>
        <w:keepNext/>
        <w:keepLines/>
        <w:rPr>
          <w:rFonts w:ascii="Arial Narrow" w:hAnsi="Arial Narrow"/>
          <w:sz w:val="18"/>
          <w:szCs w:val="18"/>
          <w:u w:val="single"/>
        </w:rPr>
      </w:pPr>
      <w:r w:rsidRPr="003027B3">
        <w:rPr>
          <w:rFonts w:ascii="Arial Narrow" w:hAnsi="Arial Narrow"/>
          <w:b/>
          <w:bCs/>
          <w:sz w:val="18"/>
          <w:szCs w:val="18"/>
          <w:u w:val="single"/>
        </w:rPr>
        <w:t>Abbreviations</w:t>
      </w:r>
    </w:p>
    <w:p w14:paraId="55615A88" w14:textId="00C6C79D" w:rsidR="00DF67A2" w:rsidRPr="003027B3" w:rsidRDefault="00DF67A2" w:rsidP="00791334">
      <w:pPr>
        <w:pStyle w:val="KMC16-TFNotes"/>
        <w:keepNext/>
        <w:keepLines/>
        <w:jc w:val="left"/>
        <w:rPr>
          <w:rFonts w:ascii="Arial Narrow" w:hAnsi="Arial Narrow"/>
          <w:sz w:val="18"/>
          <w:szCs w:val="18"/>
        </w:rPr>
      </w:pPr>
      <w:r w:rsidRPr="003027B3">
        <w:rPr>
          <w:rFonts w:ascii="Arial Narrow" w:hAnsi="Arial Narrow"/>
          <w:b/>
          <w:bCs/>
          <w:sz w:val="18"/>
          <w:szCs w:val="18"/>
        </w:rPr>
        <w:t>FSL</w:t>
      </w:r>
      <w:r w:rsidRPr="003027B3">
        <w:rPr>
          <w:rFonts w:ascii="Arial Narrow" w:hAnsi="Arial Narrow"/>
          <w:sz w:val="18"/>
          <w:szCs w:val="18"/>
        </w:rPr>
        <w:t xml:space="preserve"> = FreeStyle Libre Continuous Glucose Monitoring, </w:t>
      </w:r>
      <w:r w:rsidRPr="003027B3">
        <w:rPr>
          <w:rFonts w:ascii="Arial Narrow" w:hAnsi="Arial Narrow"/>
          <w:b/>
          <w:bCs/>
          <w:sz w:val="18"/>
          <w:szCs w:val="18"/>
        </w:rPr>
        <w:t>SMBG</w:t>
      </w:r>
      <w:r w:rsidRPr="003027B3">
        <w:rPr>
          <w:rFonts w:ascii="Arial Narrow" w:hAnsi="Arial Narrow"/>
          <w:sz w:val="18"/>
          <w:szCs w:val="18"/>
        </w:rPr>
        <w:t xml:space="preserve"> = self-monitoring of blood glucose, </w:t>
      </w:r>
      <w:r w:rsidRPr="003027B3">
        <w:rPr>
          <w:rFonts w:ascii="Arial Narrow" w:hAnsi="Arial Narrow"/>
          <w:b/>
          <w:bCs/>
          <w:sz w:val="18"/>
          <w:szCs w:val="18"/>
        </w:rPr>
        <w:t>T2D</w:t>
      </w:r>
      <w:r w:rsidRPr="003027B3">
        <w:rPr>
          <w:rFonts w:ascii="Arial Narrow" w:hAnsi="Arial Narrow"/>
          <w:sz w:val="18"/>
          <w:szCs w:val="18"/>
        </w:rPr>
        <w:t xml:space="preserve"> = type 2 diabetes. </w:t>
      </w:r>
      <w:r w:rsidR="00C70CF3" w:rsidRPr="003027B3">
        <w:rPr>
          <w:rFonts w:ascii="Arial Narrow" w:hAnsi="Arial Narrow"/>
          <w:sz w:val="18"/>
          <w:szCs w:val="18"/>
        </w:rPr>
        <w:br/>
      </w:r>
      <w:r w:rsidR="00C70CF3" w:rsidRPr="003027B3">
        <w:rPr>
          <w:rFonts w:ascii="Arial Narrow" w:hAnsi="Arial Narrow"/>
          <w:b/>
          <w:bCs/>
          <w:sz w:val="18"/>
          <w:szCs w:val="18"/>
          <w:u w:val="single"/>
        </w:rPr>
        <w:t>Notes</w:t>
      </w:r>
      <w:r w:rsidR="00C70CF3" w:rsidRPr="003027B3">
        <w:rPr>
          <w:rFonts w:ascii="Arial Narrow" w:hAnsi="Arial Narrow"/>
          <w:b/>
          <w:bCs/>
          <w:sz w:val="18"/>
          <w:szCs w:val="18"/>
          <w:u w:val="single"/>
        </w:rPr>
        <w:br/>
      </w:r>
      <w:r w:rsidR="00C70CF3" w:rsidRPr="003027B3">
        <w:rPr>
          <w:rFonts w:ascii="Arial Narrow" w:hAnsi="Arial Narrow"/>
          <w:sz w:val="18"/>
          <w:szCs w:val="18"/>
        </w:rPr>
        <w:t>All currencies represent AUD.</w:t>
      </w:r>
    </w:p>
    <w:p w14:paraId="197380B2" w14:textId="77777777" w:rsidR="00153DA6" w:rsidRDefault="00153DA6" w:rsidP="00153DA6">
      <w:pPr>
        <w:pStyle w:val="KMC16-TFNotes"/>
        <w:jc w:val="left"/>
        <w:rPr>
          <w:rFonts w:ascii="Arial Narrow" w:hAnsi="Arial Narrow"/>
          <w:sz w:val="18"/>
          <w:szCs w:val="18"/>
        </w:rPr>
      </w:pPr>
      <w:r>
        <w:rPr>
          <w:rFonts w:ascii="Arial Narrow" w:hAnsi="Arial Narrow"/>
          <w:sz w:val="18"/>
          <w:szCs w:val="18"/>
        </w:rPr>
        <w:t>The redacted values correspond to the following ranges:</w:t>
      </w:r>
    </w:p>
    <w:p w14:paraId="7F1CE8FA" w14:textId="2D11FE19" w:rsidR="00153DA6" w:rsidRDefault="00153DA6" w:rsidP="00153DA6">
      <w:pPr>
        <w:pStyle w:val="KMC16-TFNotes"/>
        <w:jc w:val="left"/>
        <w:rPr>
          <w:rFonts w:ascii="Arial Narrow" w:hAnsi="Arial Narrow"/>
          <w:sz w:val="18"/>
          <w:szCs w:val="18"/>
        </w:rPr>
      </w:pPr>
      <w:r>
        <w:rPr>
          <w:rFonts w:ascii="Arial Narrow" w:hAnsi="Arial Narrow"/>
          <w:sz w:val="18"/>
          <w:szCs w:val="18"/>
          <w:vertAlign w:val="superscript"/>
        </w:rPr>
        <w:t>1</w:t>
      </w:r>
      <w:r>
        <w:rPr>
          <w:rFonts w:ascii="Arial Narrow" w:hAnsi="Arial Narrow"/>
          <w:sz w:val="18"/>
          <w:szCs w:val="18"/>
        </w:rPr>
        <w:t xml:space="preserve"> 10,000 to &lt; 20,000</w:t>
      </w:r>
    </w:p>
    <w:p w14:paraId="1322C77E" w14:textId="68083011" w:rsidR="00153DA6" w:rsidRDefault="00153DA6" w:rsidP="00F37DB1">
      <w:pPr>
        <w:pStyle w:val="KMC16-TFNotes"/>
        <w:jc w:val="left"/>
        <w:rPr>
          <w:rFonts w:ascii="Arial Narrow" w:hAnsi="Arial Narrow"/>
          <w:sz w:val="18"/>
          <w:szCs w:val="18"/>
        </w:rPr>
      </w:pPr>
      <w:r w:rsidRPr="00D95A3C">
        <w:rPr>
          <w:rFonts w:ascii="Arial Narrow" w:hAnsi="Arial Narrow"/>
          <w:sz w:val="18"/>
          <w:szCs w:val="18"/>
          <w:vertAlign w:val="superscript"/>
        </w:rPr>
        <w:t>2</w:t>
      </w:r>
      <w:r>
        <w:rPr>
          <w:rFonts w:ascii="Arial Narrow" w:hAnsi="Arial Narrow"/>
          <w:sz w:val="18"/>
          <w:szCs w:val="18"/>
        </w:rPr>
        <w:t xml:space="preserve"> 20,000 to &lt; 30,000</w:t>
      </w:r>
    </w:p>
    <w:p w14:paraId="384BEC3D" w14:textId="71DFC2FB" w:rsidR="00153DA6" w:rsidRDefault="00153DA6" w:rsidP="00F37DB1">
      <w:pPr>
        <w:pStyle w:val="KMC16-TFNotes"/>
        <w:jc w:val="left"/>
        <w:rPr>
          <w:rFonts w:ascii="Arial Narrow" w:hAnsi="Arial Narrow"/>
          <w:sz w:val="18"/>
          <w:szCs w:val="18"/>
        </w:rPr>
      </w:pPr>
      <w:r w:rsidRPr="00D95A3C">
        <w:rPr>
          <w:rFonts w:ascii="Arial Narrow" w:hAnsi="Arial Narrow"/>
          <w:sz w:val="18"/>
          <w:szCs w:val="18"/>
          <w:vertAlign w:val="superscript"/>
        </w:rPr>
        <w:t>3</w:t>
      </w:r>
      <w:r>
        <w:rPr>
          <w:rFonts w:ascii="Arial Narrow" w:hAnsi="Arial Narrow"/>
          <w:sz w:val="18"/>
          <w:szCs w:val="18"/>
        </w:rPr>
        <w:t xml:space="preserve"> 30,000 to &lt; 40 000</w:t>
      </w:r>
    </w:p>
    <w:p w14:paraId="53B2B43B" w14:textId="1AA1C963" w:rsidR="00153DA6" w:rsidRDefault="00153DA6" w:rsidP="00F37DB1">
      <w:pPr>
        <w:pStyle w:val="KMC16-TFNotes"/>
        <w:jc w:val="left"/>
        <w:rPr>
          <w:rFonts w:ascii="Arial Narrow" w:hAnsi="Arial Narrow"/>
          <w:sz w:val="18"/>
          <w:szCs w:val="18"/>
        </w:rPr>
      </w:pPr>
      <w:r w:rsidRPr="00D95A3C">
        <w:rPr>
          <w:rFonts w:ascii="Arial Narrow" w:hAnsi="Arial Narrow"/>
          <w:sz w:val="18"/>
          <w:szCs w:val="18"/>
          <w:vertAlign w:val="superscript"/>
        </w:rPr>
        <w:t>4</w:t>
      </w:r>
      <w:r>
        <w:rPr>
          <w:rFonts w:ascii="Arial Narrow" w:hAnsi="Arial Narrow"/>
          <w:sz w:val="18"/>
          <w:szCs w:val="18"/>
        </w:rPr>
        <w:t xml:space="preserve"> 40,000 to &lt; 50,000</w:t>
      </w:r>
    </w:p>
    <w:p w14:paraId="09B90DA2" w14:textId="7E3F220B" w:rsidR="00153DA6" w:rsidRDefault="00153DA6" w:rsidP="00F37DB1">
      <w:pPr>
        <w:pStyle w:val="KMC16-TFNotes"/>
        <w:jc w:val="left"/>
        <w:rPr>
          <w:rFonts w:ascii="Arial Narrow" w:hAnsi="Arial Narrow"/>
          <w:sz w:val="18"/>
          <w:szCs w:val="18"/>
        </w:rPr>
      </w:pPr>
      <w:r w:rsidRPr="00D95A3C">
        <w:rPr>
          <w:rFonts w:ascii="Arial Narrow" w:hAnsi="Arial Narrow"/>
          <w:sz w:val="18"/>
          <w:szCs w:val="18"/>
          <w:vertAlign w:val="superscript"/>
        </w:rPr>
        <w:t>5</w:t>
      </w:r>
      <w:r>
        <w:rPr>
          <w:rFonts w:ascii="Arial Narrow" w:hAnsi="Arial Narrow"/>
          <w:sz w:val="18"/>
          <w:szCs w:val="18"/>
        </w:rPr>
        <w:t xml:space="preserve"> </w:t>
      </w:r>
      <w:r w:rsidR="00611D7F">
        <w:rPr>
          <w:rFonts w:ascii="Arial Narrow" w:hAnsi="Arial Narrow"/>
          <w:sz w:val="18"/>
          <w:szCs w:val="18"/>
        </w:rPr>
        <w:t>5</w:t>
      </w:r>
      <w:r>
        <w:rPr>
          <w:rFonts w:ascii="Arial Narrow" w:hAnsi="Arial Narrow"/>
          <w:sz w:val="18"/>
          <w:szCs w:val="18"/>
        </w:rPr>
        <w:t xml:space="preserve">0,000 to &lt; </w:t>
      </w:r>
      <w:r w:rsidR="00611D7F">
        <w:rPr>
          <w:rFonts w:ascii="Arial Narrow" w:hAnsi="Arial Narrow"/>
          <w:sz w:val="18"/>
          <w:szCs w:val="18"/>
        </w:rPr>
        <w:t>6</w:t>
      </w:r>
      <w:r>
        <w:rPr>
          <w:rFonts w:ascii="Arial Narrow" w:hAnsi="Arial Narrow"/>
          <w:sz w:val="18"/>
          <w:szCs w:val="18"/>
        </w:rPr>
        <w:t>0,000</w:t>
      </w:r>
    </w:p>
    <w:p w14:paraId="1B4CBD4C" w14:textId="1D461450" w:rsidR="00153DA6" w:rsidRDefault="00153DA6" w:rsidP="00F37DB1">
      <w:pPr>
        <w:pStyle w:val="KMC16-TFNotes"/>
        <w:jc w:val="left"/>
        <w:rPr>
          <w:rFonts w:ascii="Arial Narrow" w:hAnsi="Arial Narrow"/>
          <w:sz w:val="18"/>
          <w:szCs w:val="18"/>
        </w:rPr>
      </w:pPr>
      <w:r w:rsidRPr="00D95A3C">
        <w:rPr>
          <w:rFonts w:ascii="Arial Narrow" w:hAnsi="Arial Narrow"/>
          <w:sz w:val="18"/>
          <w:szCs w:val="18"/>
          <w:vertAlign w:val="superscript"/>
        </w:rPr>
        <w:t>6</w:t>
      </w:r>
      <w:r>
        <w:rPr>
          <w:rFonts w:ascii="Arial Narrow" w:hAnsi="Arial Narrow"/>
          <w:sz w:val="18"/>
          <w:szCs w:val="18"/>
        </w:rPr>
        <w:t xml:space="preserve"> </w:t>
      </w:r>
      <w:r w:rsidR="00D66A1C">
        <w:rPr>
          <w:rFonts w:ascii="Arial Narrow" w:hAnsi="Arial Narrow"/>
          <w:sz w:val="18"/>
          <w:szCs w:val="18"/>
        </w:rPr>
        <w:t>$20 million to &lt; $30 million</w:t>
      </w:r>
    </w:p>
    <w:p w14:paraId="6A06BDFC" w14:textId="1CD3AEC2" w:rsidR="00153DA6" w:rsidRDefault="00153DA6" w:rsidP="00F37DB1">
      <w:pPr>
        <w:pStyle w:val="KMC16-TFNotes"/>
        <w:jc w:val="left"/>
        <w:rPr>
          <w:rFonts w:ascii="Arial Narrow" w:hAnsi="Arial Narrow"/>
          <w:sz w:val="18"/>
          <w:szCs w:val="18"/>
        </w:rPr>
      </w:pPr>
      <w:r w:rsidRPr="00D95A3C">
        <w:rPr>
          <w:rFonts w:ascii="Arial Narrow" w:hAnsi="Arial Narrow"/>
          <w:sz w:val="18"/>
          <w:szCs w:val="18"/>
          <w:vertAlign w:val="superscript"/>
        </w:rPr>
        <w:t>7</w:t>
      </w:r>
      <w:r>
        <w:rPr>
          <w:rFonts w:ascii="Arial Narrow" w:hAnsi="Arial Narrow"/>
          <w:sz w:val="18"/>
          <w:szCs w:val="18"/>
        </w:rPr>
        <w:t xml:space="preserve"> $</w:t>
      </w:r>
      <w:r w:rsidR="00D66A1C">
        <w:rPr>
          <w:rFonts w:ascii="Arial Narrow" w:hAnsi="Arial Narrow"/>
          <w:sz w:val="18"/>
          <w:szCs w:val="18"/>
        </w:rPr>
        <w:t>4</w:t>
      </w:r>
      <w:r>
        <w:rPr>
          <w:rFonts w:ascii="Arial Narrow" w:hAnsi="Arial Narrow"/>
          <w:sz w:val="18"/>
          <w:szCs w:val="18"/>
        </w:rPr>
        <w:t>0 million to &lt; $</w:t>
      </w:r>
      <w:r w:rsidR="00D66A1C">
        <w:rPr>
          <w:rFonts w:ascii="Arial Narrow" w:hAnsi="Arial Narrow"/>
          <w:sz w:val="18"/>
          <w:szCs w:val="18"/>
        </w:rPr>
        <w:t>5</w:t>
      </w:r>
      <w:r>
        <w:rPr>
          <w:rFonts w:ascii="Arial Narrow" w:hAnsi="Arial Narrow"/>
          <w:sz w:val="18"/>
          <w:szCs w:val="18"/>
        </w:rPr>
        <w:t>0 million</w:t>
      </w:r>
    </w:p>
    <w:p w14:paraId="1FB3614A" w14:textId="77777777" w:rsidR="00153DA6" w:rsidRDefault="00153DA6" w:rsidP="00F37DB1">
      <w:pPr>
        <w:pStyle w:val="KMC16-TFNotes"/>
        <w:jc w:val="left"/>
        <w:rPr>
          <w:rFonts w:ascii="Arial Narrow" w:hAnsi="Arial Narrow"/>
          <w:sz w:val="18"/>
          <w:szCs w:val="18"/>
        </w:rPr>
      </w:pPr>
      <w:r w:rsidRPr="00D95A3C">
        <w:rPr>
          <w:rFonts w:ascii="Arial Narrow" w:hAnsi="Arial Narrow"/>
          <w:sz w:val="18"/>
          <w:szCs w:val="18"/>
          <w:vertAlign w:val="superscript"/>
        </w:rPr>
        <w:t>8</w:t>
      </w:r>
      <w:r>
        <w:rPr>
          <w:rFonts w:ascii="Arial Narrow" w:hAnsi="Arial Narrow"/>
          <w:sz w:val="18"/>
          <w:szCs w:val="18"/>
        </w:rPr>
        <w:t xml:space="preserve"> $50 million to &lt; $60 million</w:t>
      </w:r>
    </w:p>
    <w:p w14:paraId="3FA80736" w14:textId="2AA7B89B" w:rsidR="00153DA6" w:rsidRDefault="00153DA6" w:rsidP="00F37DB1">
      <w:pPr>
        <w:pStyle w:val="KMC16-TFNotes"/>
        <w:jc w:val="left"/>
        <w:rPr>
          <w:rFonts w:ascii="Arial Narrow" w:hAnsi="Arial Narrow"/>
          <w:sz w:val="18"/>
          <w:szCs w:val="18"/>
        </w:rPr>
      </w:pPr>
      <w:r w:rsidRPr="00D95A3C">
        <w:rPr>
          <w:rFonts w:ascii="Arial Narrow" w:hAnsi="Arial Narrow"/>
          <w:sz w:val="18"/>
          <w:szCs w:val="18"/>
          <w:vertAlign w:val="superscript"/>
        </w:rPr>
        <w:t>9</w:t>
      </w:r>
      <w:r>
        <w:rPr>
          <w:rFonts w:ascii="Arial Narrow" w:hAnsi="Arial Narrow"/>
          <w:sz w:val="18"/>
          <w:szCs w:val="18"/>
        </w:rPr>
        <w:t xml:space="preserve"> $</w:t>
      </w:r>
      <w:r w:rsidR="00D66A1C">
        <w:rPr>
          <w:rFonts w:ascii="Arial Narrow" w:hAnsi="Arial Narrow"/>
          <w:sz w:val="18"/>
          <w:szCs w:val="18"/>
        </w:rPr>
        <w:t>6</w:t>
      </w:r>
      <w:r>
        <w:rPr>
          <w:rFonts w:ascii="Arial Narrow" w:hAnsi="Arial Narrow"/>
          <w:sz w:val="18"/>
          <w:szCs w:val="18"/>
        </w:rPr>
        <w:t>0 million to &lt; $</w:t>
      </w:r>
      <w:r w:rsidR="00D66A1C">
        <w:rPr>
          <w:rFonts w:ascii="Arial Narrow" w:hAnsi="Arial Narrow"/>
          <w:sz w:val="18"/>
          <w:szCs w:val="18"/>
        </w:rPr>
        <w:t>7</w:t>
      </w:r>
      <w:r>
        <w:rPr>
          <w:rFonts w:ascii="Arial Narrow" w:hAnsi="Arial Narrow"/>
          <w:sz w:val="18"/>
          <w:szCs w:val="18"/>
        </w:rPr>
        <w:t>0 million</w:t>
      </w:r>
    </w:p>
    <w:p w14:paraId="2C29665B" w14:textId="5F4A0613" w:rsidR="00153DA6" w:rsidRDefault="00153DA6" w:rsidP="00F37DB1">
      <w:pPr>
        <w:pStyle w:val="KMC16-TFNotes"/>
        <w:jc w:val="left"/>
        <w:rPr>
          <w:rFonts w:ascii="Arial Narrow" w:hAnsi="Arial Narrow"/>
          <w:sz w:val="18"/>
          <w:szCs w:val="18"/>
        </w:rPr>
      </w:pPr>
      <w:r w:rsidRPr="00D95A3C">
        <w:rPr>
          <w:rFonts w:ascii="Arial Narrow" w:hAnsi="Arial Narrow"/>
          <w:sz w:val="18"/>
          <w:szCs w:val="18"/>
          <w:vertAlign w:val="superscript"/>
        </w:rPr>
        <w:t>10</w:t>
      </w:r>
      <w:r>
        <w:rPr>
          <w:rFonts w:ascii="Arial Narrow" w:hAnsi="Arial Narrow"/>
          <w:sz w:val="18"/>
          <w:szCs w:val="18"/>
        </w:rPr>
        <w:t xml:space="preserve"> $</w:t>
      </w:r>
      <w:r w:rsidR="00D66A1C">
        <w:rPr>
          <w:rFonts w:ascii="Arial Narrow" w:hAnsi="Arial Narrow"/>
          <w:sz w:val="18"/>
          <w:szCs w:val="18"/>
        </w:rPr>
        <w:t>7</w:t>
      </w:r>
      <w:r>
        <w:rPr>
          <w:rFonts w:ascii="Arial Narrow" w:hAnsi="Arial Narrow"/>
          <w:sz w:val="18"/>
          <w:szCs w:val="18"/>
        </w:rPr>
        <w:t>0 million to &lt; $</w:t>
      </w:r>
      <w:r w:rsidR="00D66A1C">
        <w:rPr>
          <w:rFonts w:ascii="Arial Narrow" w:hAnsi="Arial Narrow"/>
          <w:sz w:val="18"/>
          <w:szCs w:val="18"/>
        </w:rPr>
        <w:t>8</w:t>
      </w:r>
      <w:r>
        <w:rPr>
          <w:rFonts w:ascii="Arial Narrow" w:hAnsi="Arial Narrow"/>
          <w:sz w:val="18"/>
          <w:szCs w:val="18"/>
        </w:rPr>
        <w:t>0 million</w:t>
      </w:r>
    </w:p>
    <w:p w14:paraId="4B486C54" w14:textId="0E6C938B" w:rsidR="00153DA6" w:rsidRDefault="00153DA6" w:rsidP="00F37DB1">
      <w:pPr>
        <w:pStyle w:val="KMC16-TFNotes"/>
        <w:jc w:val="left"/>
        <w:rPr>
          <w:rFonts w:ascii="Arial Narrow" w:hAnsi="Arial Narrow"/>
          <w:sz w:val="18"/>
          <w:szCs w:val="18"/>
        </w:rPr>
      </w:pPr>
      <w:r w:rsidRPr="00D95A3C">
        <w:rPr>
          <w:rFonts w:ascii="Arial Narrow" w:hAnsi="Arial Narrow"/>
          <w:sz w:val="18"/>
          <w:szCs w:val="18"/>
          <w:vertAlign w:val="superscript"/>
        </w:rPr>
        <w:t>11</w:t>
      </w:r>
      <w:r>
        <w:rPr>
          <w:rFonts w:ascii="Arial Narrow" w:hAnsi="Arial Narrow"/>
          <w:sz w:val="18"/>
          <w:szCs w:val="18"/>
        </w:rPr>
        <w:t xml:space="preserve"> $</w:t>
      </w:r>
      <w:r w:rsidR="00D66A1C">
        <w:rPr>
          <w:rFonts w:ascii="Arial Narrow" w:hAnsi="Arial Narrow"/>
          <w:sz w:val="18"/>
          <w:szCs w:val="18"/>
        </w:rPr>
        <w:t>8</w:t>
      </w:r>
      <w:r>
        <w:rPr>
          <w:rFonts w:ascii="Arial Narrow" w:hAnsi="Arial Narrow"/>
          <w:sz w:val="18"/>
          <w:szCs w:val="18"/>
        </w:rPr>
        <w:t>0 million to &lt; $</w:t>
      </w:r>
      <w:r w:rsidR="00D66A1C">
        <w:rPr>
          <w:rFonts w:ascii="Arial Narrow" w:hAnsi="Arial Narrow"/>
          <w:sz w:val="18"/>
          <w:szCs w:val="18"/>
        </w:rPr>
        <w:t>9</w:t>
      </w:r>
      <w:r>
        <w:rPr>
          <w:rFonts w:ascii="Arial Narrow" w:hAnsi="Arial Narrow"/>
          <w:sz w:val="18"/>
          <w:szCs w:val="18"/>
        </w:rPr>
        <w:t>0 million</w:t>
      </w:r>
    </w:p>
    <w:p w14:paraId="366CBAFF" w14:textId="77777777" w:rsidR="001C6B81" w:rsidRDefault="001C6B81" w:rsidP="001C6B81">
      <w:pPr>
        <w:pStyle w:val="KMC16-TFNotes"/>
        <w:jc w:val="left"/>
        <w:rPr>
          <w:rFonts w:ascii="Arial Narrow" w:hAnsi="Arial Narrow"/>
          <w:sz w:val="18"/>
          <w:szCs w:val="18"/>
        </w:rPr>
      </w:pPr>
      <w:r w:rsidRPr="003C077C">
        <w:rPr>
          <w:rFonts w:ascii="Arial Narrow" w:hAnsi="Arial Narrow"/>
          <w:sz w:val="18"/>
          <w:szCs w:val="18"/>
          <w:vertAlign w:val="superscript"/>
        </w:rPr>
        <w:t xml:space="preserve">12 </w:t>
      </w:r>
      <w:r>
        <w:rPr>
          <w:rFonts w:ascii="Arial Narrow" w:hAnsi="Arial Narrow"/>
          <w:sz w:val="18"/>
          <w:szCs w:val="18"/>
        </w:rPr>
        <w:t>$0 to &lt; $10 million</w:t>
      </w:r>
    </w:p>
    <w:p w14:paraId="04469B0D" w14:textId="77777777" w:rsidR="00654615" w:rsidRDefault="001C6B81" w:rsidP="001C6B81">
      <w:pPr>
        <w:pStyle w:val="KMC16-TFNotes"/>
        <w:jc w:val="left"/>
        <w:rPr>
          <w:rFonts w:ascii="Arial Narrow" w:hAnsi="Arial Narrow"/>
          <w:sz w:val="18"/>
          <w:szCs w:val="18"/>
        </w:rPr>
      </w:pPr>
      <w:r w:rsidRPr="003C077C">
        <w:rPr>
          <w:rFonts w:ascii="Arial Narrow" w:hAnsi="Arial Narrow"/>
          <w:sz w:val="18"/>
          <w:szCs w:val="18"/>
          <w:vertAlign w:val="superscript"/>
        </w:rPr>
        <w:t>13</w:t>
      </w:r>
      <w:r>
        <w:rPr>
          <w:rFonts w:ascii="Arial Narrow" w:hAnsi="Arial Narrow"/>
          <w:sz w:val="18"/>
          <w:szCs w:val="18"/>
          <w:vertAlign w:val="superscript"/>
        </w:rPr>
        <w:t xml:space="preserve"> </w:t>
      </w:r>
      <w:r w:rsidR="006C4332">
        <w:rPr>
          <w:rFonts w:ascii="Arial Narrow" w:hAnsi="Arial Narrow"/>
          <w:sz w:val="18"/>
          <w:szCs w:val="18"/>
        </w:rPr>
        <w:t>$30 million to &lt; $40 million</w:t>
      </w:r>
    </w:p>
    <w:p w14:paraId="3C7A1923" w14:textId="1FD98A81" w:rsidR="00153DA6" w:rsidRPr="00453A15" w:rsidRDefault="00654615" w:rsidP="00453A15">
      <w:pPr>
        <w:pStyle w:val="KMC16-TFNotes"/>
        <w:jc w:val="left"/>
        <w:rPr>
          <w:rFonts w:ascii="Arial Narrow" w:hAnsi="Arial Narrow"/>
          <w:sz w:val="18"/>
          <w:szCs w:val="18"/>
          <w:vertAlign w:val="superscript"/>
        </w:rPr>
      </w:pPr>
      <w:r w:rsidRPr="003C077C">
        <w:rPr>
          <w:rFonts w:ascii="Arial Narrow" w:hAnsi="Arial Narrow"/>
          <w:sz w:val="18"/>
          <w:szCs w:val="18"/>
          <w:vertAlign w:val="superscript"/>
        </w:rPr>
        <w:t xml:space="preserve">14 </w:t>
      </w:r>
      <w:r>
        <w:rPr>
          <w:rFonts w:ascii="Arial Narrow" w:hAnsi="Arial Narrow"/>
          <w:sz w:val="18"/>
          <w:szCs w:val="18"/>
        </w:rPr>
        <w:t>$10 million to &lt; $</w:t>
      </w:r>
      <w:r w:rsidR="00CA10A3">
        <w:rPr>
          <w:rFonts w:ascii="Arial Narrow" w:hAnsi="Arial Narrow"/>
          <w:sz w:val="18"/>
          <w:szCs w:val="18"/>
        </w:rPr>
        <w:t>20 million</w:t>
      </w:r>
      <w:r w:rsidR="001C6B81" w:rsidRPr="003C077C">
        <w:rPr>
          <w:rFonts w:ascii="Arial Narrow" w:hAnsi="Arial Narrow"/>
          <w:sz w:val="18"/>
          <w:szCs w:val="18"/>
          <w:vertAlign w:val="superscript"/>
        </w:rPr>
        <w:t xml:space="preserve"> </w:t>
      </w:r>
    </w:p>
    <w:p w14:paraId="05C3F6EB" w14:textId="245801E9" w:rsidR="004A60FE" w:rsidRPr="004A60FE" w:rsidRDefault="004A60FE" w:rsidP="000C6AF3">
      <w:r w:rsidRPr="006536A3">
        <w:rPr>
          <w:rStyle w:val="InstructionaltextChar"/>
          <w:rFonts w:eastAsiaTheme="majorEastAsia" w:cstheme="majorBidi"/>
          <w:b/>
          <w:bCs/>
          <w:color w:val="auto"/>
          <w:sz w:val="24"/>
          <w:szCs w:val="24"/>
        </w:rPr>
        <w:t>PICO Set 2</w:t>
      </w:r>
    </w:p>
    <w:p w14:paraId="35CF63B1" w14:textId="5BAF6551" w:rsidR="000C6AF3" w:rsidRDefault="000C6AF3" w:rsidP="000C6AF3">
      <w:r>
        <w:t xml:space="preserve">The </w:t>
      </w:r>
      <w:r w:rsidR="00A27D5B">
        <w:t xml:space="preserve">ADAR </w:t>
      </w:r>
      <w:r>
        <w:t xml:space="preserve">used </w:t>
      </w:r>
      <w:r w:rsidRPr="00D82F12">
        <w:t xml:space="preserve">NDSS snapshot data </w:t>
      </w:r>
      <w:r>
        <w:t>to</w:t>
      </w:r>
      <w:r w:rsidRPr="00D82F12">
        <w:t xml:space="preserve"> </w:t>
      </w:r>
      <w:r>
        <w:t xml:space="preserve">determine </w:t>
      </w:r>
      <w:r w:rsidR="00FD649A">
        <w:t xml:space="preserve">that the </w:t>
      </w:r>
      <w:r>
        <w:t xml:space="preserve">population of </w:t>
      </w:r>
      <w:r w:rsidR="00FD649A">
        <w:t xml:space="preserve">women with GDM was </w:t>
      </w:r>
      <w:r w:rsidRPr="00D82F12">
        <w:t xml:space="preserve">45,290 </w:t>
      </w:r>
      <w:r>
        <w:t xml:space="preserve">(as of June 2024). This was determined to be more accurate than other sources, for example, </w:t>
      </w:r>
      <w:r w:rsidR="00112429">
        <w:t>the Australian Institute of Health and Welfare (</w:t>
      </w:r>
      <w:r>
        <w:t>AIHW</w:t>
      </w:r>
      <w:r w:rsidR="00112429">
        <w:t>)</w:t>
      </w:r>
      <w:r w:rsidR="00684AD3">
        <w:rPr>
          <w:rStyle w:val="FootnoteReference"/>
        </w:rPr>
        <w:footnoteReference w:id="30"/>
      </w:r>
      <w:r>
        <w:t>. It was assumed that uptake in people with GDM was equivalent to uptake in intensive</w:t>
      </w:r>
      <w:r w:rsidR="008705FA">
        <w:t xml:space="preserve"> </w:t>
      </w:r>
      <w:r>
        <w:t>insulin users (calculated using French and Swedish real-world data).</w:t>
      </w:r>
      <w:r w:rsidR="00FD649A">
        <w:t xml:space="preserve"> </w:t>
      </w:r>
      <w:r w:rsidRPr="00CE28E3">
        <w:t xml:space="preserve">The financial implications to the </w:t>
      </w:r>
      <w:r>
        <w:t>NDSS</w:t>
      </w:r>
      <w:r w:rsidRPr="00CE28E3">
        <w:t xml:space="preserve"> resulting from the proposed listing of </w:t>
      </w:r>
      <w:r>
        <w:t xml:space="preserve">FSL in people with GDM </w:t>
      </w:r>
      <w:r w:rsidRPr="00CE28E3">
        <w:t xml:space="preserve">are summarised in </w:t>
      </w:r>
      <w:r>
        <w:fldChar w:fldCharType="begin"/>
      </w:r>
      <w:r>
        <w:instrText xml:space="preserve"> REF _Ref192773550 \h </w:instrText>
      </w:r>
      <w:r>
        <w:fldChar w:fldCharType="separate"/>
      </w:r>
      <w:r w:rsidR="00315A60" w:rsidRPr="00CE28E3">
        <w:t>Table</w:t>
      </w:r>
      <w:r w:rsidR="00315A60">
        <w:t> </w:t>
      </w:r>
      <w:r w:rsidR="00315A60">
        <w:rPr>
          <w:noProof/>
        </w:rPr>
        <w:t>16</w:t>
      </w:r>
      <w:r>
        <w:fldChar w:fldCharType="end"/>
      </w:r>
      <w:r w:rsidR="00BE054F">
        <w:t xml:space="preserve">. </w:t>
      </w:r>
      <w:r w:rsidR="00AD69B1">
        <w:t xml:space="preserve">The ADAR did not </w:t>
      </w:r>
      <w:proofErr w:type="gramStart"/>
      <w:r w:rsidR="00AD69B1">
        <w:t>take into account</w:t>
      </w:r>
      <w:proofErr w:type="gramEnd"/>
      <w:r w:rsidR="00AD69B1">
        <w:t xml:space="preserve"> </w:t>
      </w:r>
      <w:r w:rsidR="00BE054F" w:rsidRPr="00BE054F">
        <w:t>social disparities in the prevalence of diabetes</w:t>
      </w:r>
      <w:r w:rsidR="00A242F9">
        <w:t xml:space="preserve"> or the pregnancy rate</w:t>
      </w:r>
      <w:r w:rsidR="00BE054F" w:rsidRPr="00BE054F">
        <w:t xml:space="preserve"> in Australia</w:t>
      </w:r>
      <w:r w:rsidR="00AD69B1">
        <w:t xml:space="preserve"> </w:t>
      </w:r>
      <w:r w:rsidR="00AD69B1" w:rsidRPr="00BE054F">
        <w:t>when calculating the population in the financial analysis for GDM</w:t>
      </w:r>
      <w:r w:rsidR="00AD69B1">
        <w:t xml:space="preserve"> (for instance, </w:t>
      </w:r>
      <w:r w:rsidR="00A242F9">
        <w:t>A</w:t>
      </w:r>
      <w:r w:rsidR="00BE054F" w:rsidRPr="00BE054F">
        <w:t>boriginal and/or Torres Strait Islander people were 2.9 times as likely to be living with T2D as were non-Indigenous adults</w:t>
      </w:r>
      <w:r w:rsidR="00A242F9">
        <w:t>)</w:t>
      </w:r>
      <w:r w:rsidR="00BE054F" w:rsidRPr="00BE054F">
        <w:t xml:space="preserve">. </w:t>
      </w:r>
    </w:p>
    <w:p w14:paraId="703057F6" w14:textId="169302BD" w:rsidR="000C6AF3" w:rsidRPr="00CE28E3" w:rsidRDefault="000C6AF3" w:rsidP="00E435BB">
      <w:pPr>
        <w:pStyle w:val="Caption"/>
      </w:pPr>
      <w:bookmarkStart w:id="82" w:name="_Ref192773550"/>
      <w:r w:rsidRPr="00CE28E3">
        <w:t>Table</w:t>
      </w:r>
      <w:r>
        <w:t> </w:t>
      </w:r>
      <w:r w:rsidR="00315A60">
        <w:fldChar w:fldCharType="begin"/>
      </w:r>
      <w:r w:rsidR="00315A60">
        <w:instrText xml:space="preserve"> SEQ Table \* ARABIC </w:instrText>
      </w:r>
      <w:r w:rsidR="00315A60">
        <w:fldChar w:fldCharType="separate"/>
      </w:r>
      <w:r w:rsidR="00315A60">
        <w:rPr>
          <w:noProof/>
        </w:rPr>
        <w:t>16</w:t>
      </w:r>
      <w:r w:rsidR="00315A60">
        <w:rPr>
          <w:noProof/>
        </w:rPr>
        <w:fldChar w:fldCharType="end"/>
      </w:r>
      <w:bookmarkEnd w:id="82"/>
      <w:r w:rsidRPr="00CE28E3">
        <w:tab/>
        <w:t xml:space="preserve">Net financial implications of </w:t>
      </w:r>
      <w:r>
        <w:t xml:space="preserve">FSL </w:t>
      </w:r>
      <w:r w:rsidRPr="00CE28E3">
        <w:t xml:space="preserve">to </w:t>
      </w:r>
      <w:r>
        <w:t>NDSS (GDM)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1012"/>
        <w:gridCol w:w="1012"/>
        <w:gridCol w:w="1012"/>
        <w:gridCol w:w="1012"/>
        <w:gridCol w:w="1012"/>
        <w:gridCol w:w="1012"/>
      </w:tblGrid>
      <w:tr w:rsidR="00CF3251" w:rsidRPr="00E4592D" w14:paraId="72296167" w14:textId="77777777" w:rsidTr="00AE15AA">
        <w:trPr>
          <w:trHeight w:val="255"/>
        </w:trPr>
        <w:tc>
          <w:tcPr>
            <w:tcW w:w="1250" w:type="pct"/>
            <w:vMerge w:val="restart"/>
            <w:noWrap/>
            <w:vAlign w:val="center"/>
          </w:tcPr>
          <w:p w14:paraId="09AB7055" w14:textId="77777777" w:rsidR="000C6AF3" w:rsidRPr="004A478D" w:rsidRDefault="000C6AF3" w:rsidP="00E435BB">
            <w:pPr>
              <w:pStyle w:val="KMC16-Tablecontent"/>
              <w:keepNext/>
              <w:rPr>
                <w:b/>
                <w:lang w:val="en-AU"/>
              </w:rPr>
            </w:pPr>
            <w:r w:rsidRPr="004A478D">
              <w:rPr>
                <w:b/>
                <w:lang w:val="en-AU"/>
              </w:rPr>
              <w:t> </w:t>
            </w:r>
          </w:p>
        </w:tc>
        <w:tc>
          <w:tcPr>
            <w:tcW w:w="3750" w:type="pct"/>
            <w:gridSpan w:val="6"/>
            <w:noWrap/>
            <w:vAlign w:val="center"/>
          </w:tcPr>
          <w:p w14:paraId="11011904" w14:textId="5C33764E" w:rsidR="000C6AF3" w:rsidRPr="00C77835" w:rsidRDefault="000C6AF3" w:rsidP="00E435BB">
            <w:pPr>
              <w:pStyle w:val="KMC16-Tablecontent"/>
              <w:keepNext/>
              <w:jc w:val="center"/>
              <w:rPr>
                <w:b/>
                <w:color w:val="auto"/>
                <w:lang w:val="en-AU"/>
              </w:rPr>
            </w:pPr>
            <w:r w:rsidRPr="00C77835">
              <w:rPr>
                <w:b/>
                <w:color w:val="auto"/>
                <w:lang w:val="en-AU"/>
              </w:rPr>
              <w:t xml:space="preserve">PICO Set 2 </w:t>
            </w:r>
            <w:r w:rsidR="002D39F9">
              <w:rPr>
                <w:b/>
                <w:color w:val="auto"/>
                <w:lang w:val="en-AU"/>
              </w:rPr>
              <w:t>–</w:t>
            </w:r>
            <w:r w:rsidRPr="00C77835">
              <w:rPr>
                <w:b/>
                <w:color w:val="auto"/>
                <w:lang w:val="en-AU"/>
              </w:rPr>
              <w:t xml:space="preserve"> </w:t>
            </w:r>
            <w:r>
              <w:rPr>
                <w:b/>
                <w:color w:val="auto"/>
                <w:lang w:val="en-AU"/>
              </w:rPr>
              <w:t>GDM</w:t>
            </w:r>
          </w:p>
        </w:tc>
      </w:tr>
      <w:tr w:rsidR="00836275" w:rsidRPr="00E4592D" w14:paraId="52FD828B" w14:textId="77777777" w:rsidTr="00AE15AA">
        <w:trPr>
          <w:trHeight w:val="255"/>
        </w:trPr>
        <w:tc>
          <w:tcPr>
            <w:tcW w:w="1250" w:type="pct"/>
            <w:vMerge/>
            <w:noWrap/>
            <w:vAlign w:val="center"/>
            <w:hideMark/>
          </w:tcPr>
          <w:p w14:paraId="388A9A0A" w14:textId="77777777" w:rsidR="000C6AF3" w:rsidRPr="004A478D" w:rsidRDefault="000C6AF3" w:rsidP="00E435BB">
            <w:pPr>
              <w:pStyle w:val="KMC16-Tablecontent"/>
              <w:keepNext/>
              <w:rPr>
                <w:b/>
                <w:color w:val="auto"/>
                <w:lang w:val="en-AU"/>
              </w:rPr>
            </w:pPr>
          </w:p>
        </w:tc>
        <w:tc>
          <w:tcPr>
            <w:tcW w:w="619" w:type="pct"/>
            <w:noWrap/>
          </w:tcPr>
          <w:p w14:paraId="38444195" w14:textId="77777777" w:rsidR="000C6AF3" w:rsidRPr="00C77835" w:rsidRDefault="000C6AF3" w:rsidP="00E435BB">
            <w:pPr>
              <w:pStyle w:val="KMC16-Tablecontent"/>
              <w:keepNext/>
              <w:jc w:val="center"/>
              <w:rPr>
                <w:bCs/>
                <w:color w:val="auto"/>
                <w:lang w:val="en-AU"/>
              </w:rPr>
            </w:pPr>
            <w:r w:rsidRPr="005102BE">
              <w:rPr>
                <w:lang w:val="en-AU"/>
              </w:rPr>
              <w:t>Year 1</w:t>
            </w:r>
          </w:p>
        </w:tc>
        <w:tc>
          <w:tcPr>
            <w:tcW w:w="619" w:type="pct"/>
            <w:noWrap/>
          </w:tcPr>
          <w:p w14:paraId="2D94C3B4" w14:textId="77777777" w:rsidR="000C6AF3" w:rsidRPr="00C77835" w:rsidRDefault="000C6AF3" w:rsidP="00E435BB">
            <w:pPr>
              <w:pStyle w:val="KMC16-Tablecontent"/>
              <w:keepNext/>
              <w:jc w:val="center"/>
              <w:rPr>
                <w:bCs/>
                <w:color w:val="auto"/>
                <w:lang w:val="en-AU"/>
              </w:rPr>
            </w:pPr>
            <w:r w:rsidRPr="005102BE">
              <w:rPr>
                <w:lang w:val="en-AU"/>
              </w:rPr>
              <w:t>Year 2</w:t>
            </w:r>
          </w:p>
        </w:tc>
        <w:tc>
          <w:tcPr>
            <w:tcW w:w="619" w:type="pct"/>
            <w:noWrap/>
          </w:tcPr>
          <w:p w14:paraId="3F248A50" w14:textId="77777777" w:rsidR="000C6AF3" w:rsidRPr="00C77835" w:rsidRDefault="000C6AF3" w:rsidP="00E435BB">
            <w:pPr>
              <w:pStyle w:val="KMC16-Tablecontent"/>
              <w:keepNext/>
              <w:jc w:val="center"/>
              <w:rPr>
                <w:bCs/>
                <w:color w:val="auto"/>
                <w:lang w:val="en-AU"/>
              </w:rPr>
            </w:pPr>
            <w:r w:rsidRPr="005102BE">
              <w:rPr>
                <w:lang w:val="en-AU"/>
              </w:rPr>
              <w:t>Year 3</w:t>
            </w:r>
          </w:p>
        </w:tc>
        <w:tc>
          <w:tcPr>
            <w:tcW w:w="619" w:type="pct"/>
            <w:noWrap/>
          </w:tcPr>
          <w:p w14:paraId="77DAE232" w14:textId="77777777" w:rsidR="000C6AF3" w:rsidRPr="00C77835" w:rsidRDefault="000C6AF3" w:rsidP="00E435BB">
            <w:pPr>
              <w:pStyle w:val="KMC16-Tablecontent"/>
              <w:keepNext/>
              <w:jc w:val="center"/>
              <w:rPr>
                <w:bCs/>
                <w:color w:val="auto"/>
                <w:lang w:val="en-AU"/>
              </w:rPr>
            </w:pPr>
            <w:r w:rsidRPr="005102BE">
              <w:rPr>
                <w:lang w:val="en-AU"/>
              </w:rPr>
              <w:t>Year 4</w:t>
            </w:r>
          </w:p>
        </w:tc>
        <w:tc>
          <w:tcPr>
            <w:tcW w:w="619" w:type="pct"/>
            <w:noWrap/>
          </w:tcPr>
          <w:p w14:paraId="23248EC7" w14:textId="77777777" w:rsidR="000C6AF3" w:rsidRPr="00C77835" w:rsidRDefault="000C6AF3" w:rsidP="00E435BB">
            <w:pPr>
              <w:pStyle w:val="KMC16-Tablecontent"/>
              <w:keepNext/>
              <w:jc w:val="center"/>
              <w:rPr>
                <w:bCs/>
                <w:color w:val="auto"/>
                <w:lang w:val="en-AU"/>
              </w:rPr>
            </w:pPr>
            <w:r w:rsidRPr="005102BE">
              <w:rPr>
                <w:lang w:val="en-AU"/>
              </w:rPr>
              <w:t>Year 5</w:t>
            </w:r>
          </w:p>
        </w:tc>
        <w:tc>
          <w:tcPr>
            <w:tcW w:w="653" w:type="pct"/>
            <w:noWrap/>
          </w:tcPr>
          <w:p w14:paraId="4C863073" w14:textId="77777777" w:rsidR="000C6AF3" w:rsidRPr="00C77835" w:rsidRDefault="000C6AF3" w:rsidP="00E435BB">
            <w:pPr>
              <w:pStyle w:val="KMC16-Tablecontent"/>
              <w:keepNext/>
              <w:jc w:val="center"/>
              <w:rPr>
                <w:bCs/>
                <w:color w:val="auto"/>
                <w:lang w:val="en-AU"/>
              </w:rPr>
            </w:pPr>
            <w:r w:rsidRPr="005102BE">
              <w:rPr>
                <w:lang w:val="en-AU"/>
              </w:rPr>
              <w:t>Year 6</w:t>
            </w:r>
          </w:p>
        </w:tc>
      </w:tr>
      <w:tr w:rsidR="00836275" w:rsidRPr="00E4592D" w14:paraId="37464F15" w14:textId="77777777" w:rsidTr="00AE15AA">
        <w:trPr>
          <w:trHeight w:val="255"/>
        </w:trPr>
        <w:tc>
          <w:tcPr>
            <w:tcW w:w="1250" w:type="pct"/>
            <w:noWrap/>
            <w:vAlign w:val="center"/>
            <w:hideMark/>
          </w:tcPr>
          <w:p w14:paraId="6285F55F" w14:textId="3D4E7FED" w:rsidR="000C6AF3" w:rsidRPr="004A478D" w:rsidRDefault="000C6AF3" w:rsidP="00E435BB">
            <w:pPr>
              <w:pStyle w:val="KMC16-Tablecontent"/>
              <w:keepNext/>
              <w:rPr>
                <w:b/>
                <w:lang w:val="en-AU"/>
              </w:rPr>
            </w:pPr>
            <w:r w:rsidRPr="004A478D">
              <w:rPr>
                <w:b/>
                <w:lang w:val="en-AU"/>
              </w:rPr>
              <w:t xml:space="preserve">FSL </w:t>
            </w:r>
            <w:r w:rsidR="002D39F9">
              <w:rPr>
                <w:b/>
                <w:lang w:val="en-AU"/>
              </w:rPr>
              <w:t>u</w:t>
            </w:r>
            <w:r w:rsidRPr="004A478D">
              <w:rPr>
                <w:b/>
                <w:lang w:val="en-AU"/>
              </w:rPr>
              <w:t>se</w:t>
            </w:r>
          </w:p>
        </w:tc>
        <w:tc>
          <w:tcPr>
            <w:tcW w:w="619" w:type="pct"/>
            <w:noWrap/>
          </w:tcPr>
          <w:p w14:paraId="48232669" w14:textId="77777777" w:rsidR="000C6AF3" w:rsidRPr="00C77835" w:rsidRDefault="000C6AF3" w:rsidP="00E435BB">
            <w:pPr>
              <w:pStyle w:val="KMC16-Tablecontent"/>
              <w:keepNext/>
              <w:jc w:val="center"/>
              <w:rPr>
                <w:bCs/>
                <w:color w:val="auto"/>
                <w:lang w:val="en-AU"/>
              </w:rPr>
            </w:pPr>
          </w:p>
        </w:tc>
        <w:tc>
          <w:tcPr>
            <w:tcW w:w="619" w:type="pct"/>
            <w:noWrap/>
          </w:tcPr>
          <w:p w14:paraId="07856F60" w14:textId="77777777" w:rsidR="000C6AF3" w:rsidRPr="00C77835" w:rsidRDefault="000C6AF3" w:rsidP="00E435BB">
            <w:pPr>
              <w:pStyle w:val="KMC16-Tablecontent"/>
              <w:keepNext/>
              <w:jc w:val="center"/>
              <w:rPr>
                <w:bCs/>
                <w:color w:val="auto"/>
                <w:lang w:val="en-AU"/>
              </w:rPr>
            </w:pPr>
          </w:p>
        </w:tc>
        <w:tc>
          <w:tcPr>
            <w:tcW w:w="619" w:type="pct"/>
            <w:noWrap/>
          </w:tcPr>
          <w:p w14:paraId="250E7890" w14:textId="77777777" w:rsidR="000C6AF3" w:rsidRPr="00C77835" w:rsidRDefault="000C6AF3" w:rsidP="00E435BB">
            <w:pPr>
              <w:pStyle w:val="KMC16-Tablecontent"/>
              <w:keepNext/>
              <w:jc w:val="center"/>
              <w:rPr>
                <w:bCs/>
                <w:color w:val="auto"/>
                <w:lang w:val="en-AU"/>
              </w:rPr>
            </w:pPr>
          </w:p>
        </w:tc>
        <w:tc>
          <w:tcPr>
            <w:tcW w:w="619" w:type="pct"/>
            <w:noWrap/>
          </w:tcPr>
          <w:p w14:paraId="3733F91D" w14:textId="77777777" w:rsidR="000C6AF3" w:rsidRPr="00C77835" w:rsidRDefault="000C6AF3" w:rsidP="00E435BB">
            <w:pPr>
              <w:pStyle w:val="KMC16-Tablecontent"/>
              <w:keepNext/>
              <w:jc w:val="center"/>
              <w:rPr>
                <w:bCs/>
                <w:color w:val="auto"/>
                <w:lang w:val="en-AU"/>
              </w:rPr>
            </w:pPr>
          </w:p>
        </w:tc>
        <w:tc>
          <w:tcPr>
            <w:tcW w:w="619" w:type="pct"/>
            <w:noWrap/>
          </w:tcPr>
          <w:p w14:paraId="5FE8AE57" w14:textId="77777777" w:rsidR="000C6AF3" w:rsidRPr="00C77835" w:rsidRDefault="000C6AF3" w:rsidP="00E435BB">
            <w:pPr>
              <w:pStyle w:val="KMC16-Tablecontent"/>
              <w:keepNext/>
              <w:jc w:val="center"/>
              <w:rPr>
                <w:bCs/>
                <w:color w:val="auto"/>
                <w:lang w:val="en-AU"/>
              </w:rPr>
            </w:pPr>
          </w:p>
        </w:tc>
        <w:tc>
          <w:tcPr>
            <w:tcW w:w="653" w:type="pct"/>
            <w:noWrap/>
          </w:tcPr>
          <w:p w14:paraId="7C753384" w14:textId="77777777" w:rsidR="000C6AF3" w:rsidRPr="00C77835" w:rsidRDefault="000C6AF3" w:rsidP="00E435BB">
            <w:pPr>
              <w:pStyle w:val="KMC16-Tablecontent"/>
              <w:keepNext/>
              <w:jc w:val="center"/>
              <w:rPr>
                <w:bCs/>
                <w:color w:val="auto"/>
                <w:lang w:val="en-AU"/>
              </w:rPr>
            </w:pPr>
          </w:p>
        </w:tc>
      </w:tr>
      <w:tr w:rsidR="00836275" w:rsidRPr="00E4592D" w14:paraId="5EB6C0A1" w14:textId="77777777" w:rsidTr="00AE15AA">
        <w:trPr>
          <w:trHeight w:val="255"/>
        </w:trPr>
        <w:tc>
          <w:tcPr>
            <w:tcW w:w="1250" w:type="pct"/>
            <w:noWrap/>
            <w:vAlign w:val="bottom"/>
            <w:hideMark/>
          </w:tcPr>
          <w:p w14:paraId="1F54A37C" w14:textId="77777777" w:rsidR="000C6AF3" w:rsidRPr="004A478D" w:rsidRDefault="000C6AF3" w:rsidP="00E435BB">
            <w:pPr>
              <w:pStyle w:val="KMC16-Tablecontent"/>
              <w:keepNext/>
              <w:rPr>
                <w:lang w:val="en-AU"/>
              </w:rPr>
            </w:pPr>
            <w:r w:rsidRPr="004A478D">
              <w:rPr>
                <w:lang w:val="en-AU"/>
              </w:rPr>
              <w:t xml:space="preserve">Patients </w:t>
            </w:r>
          </w:p>
        </w:tc>
        <w:tc>
          <w:tcPr>
            <w:tcW w:w="619" w:type="pct"/>
            <w:noWrap/>
          </w:tcPr>
          <w:p w14:paraId="0D109122" w14:textId="77777777" w:rsidR="000C6AF3" w:rsidRPr="00C77835" w:rsidRDefault="000C6AF3" w:rsidP="00E435BB">
            <w:pPr>
              <w:pStyle w:val="KMC16-Tablecontent"/>
              <w:keepNext/>
              <w:jc w:val="right"/>
              <w:rPr>
                <w:bCs/>
                <w:color w:val="auto"/>
                <w:lang w:val="en-AU"/>
              </w:rPr>
            </w:pPr>
            <w:r w:rsidRPr="005102BE">
              <w:rPr>
                <w:lang w:val="en-AU"/>
              </w:rPr>
              <w:t xml:space="preserve"> 45,290 </w:t>
            </w:r>
          </w:p>
        </w:tc>
        <w:tc>
          <w:tcPr>
            <w:tcW w:w="619" w:type="pct"/>
            <w:noWrap/>
          </w:tcPr>
          <w:p w14:paraId="4F9C8AF6" w14:textId="77777777" w:rsidR="000C6AF3" w:rsidRPr="00C77835" w:rsidRDefault="000C6AF3" w:rsidP="00E435BB">
            <w:pPr>
              <w:pStyle w:val="KMC16-Tablecontent"/>
              <w:keepNext/>
              <w:jc w:val="right"/>
              <w:rPr>
                <w:bCs/>
                <w:color w:val="auto"/>
                <w:lang w:val="en-AU"/>
              </w:rPr>
            </w:pPr>
            <w:r w:rsidRPr="005102BE">
              <w:rPr>
                <w:lang w:val="en-AU"/>
              </w:rPr>
              <w:t xml:space="preserve"> 45,743 </w:t>
            </w:r>
          </w:p>
        </w:tc>
        <w:tc>
          <w:tcPr>
            <w:tcW w:w="619" w:type="pct"/>
            <w:noWrap/>
          </w:tcPr>
          <w:p w14:paraId="438BCF64" w14:textId="77777777" w:rsidR="000C6AF3" w:rsidRPr="00C77835" w:rsidRDefault="000C6AF3" w:rsidP="00E435BB">
            <w:pPr>
              <w:pStyle w:val="KMC16-Tablecontent"/>
              <w:keepNext/>
              <w:jc w:val="right"/>
              <w:rPr>
                <w:bCs/>
                <w:color w:val="auto"/>
                <w:lang w:val="en-AU"/>
              </w:rPr>
            </w:pPr>
            <w:r w:rsidRPr="005102BE">
              <w:rPr>
                <w:lang w:val="en-AU"/>
              </w:rPr>
              <w:t xml:space="preserve"> 46,200 </w:t>
            </w:r>
          </w:p>
        </w:tc>
        <w:tc>
          <w:tcPr>
            <w:tcW w:w="619" w:type="pct"/>
            <w:noWrap/>
          </w:tcPr>
          <w:p w14:paraId="65A008DE" w14:textId="77777777" w:rsidR="000C6AF3" w:rsidRPr="00C77835" w:rsidRDefault="000C6AF3" w:rsidP="00E435BB">
            <w:pPr>
              <w:pStyle w:val="KMC16-Tablecontent"/>
              <w:keepNext/>
              <w:jc w:val="right"/>
              <w:rPr>
                <w:bCs/>
                <w:color w:val="auto"/>
                <w:lang w:val="en-AU"/>
              </w:rPr>
            </w:pPr>
            <w:r w:rsidRPr="005102BE">
              <w:rPr>
                <w:lang w:val="en-AU"/>
              </w:rPr>
              <w:t xml:space="preserve"> 46,662 </w:t>
            </w:r>
          </w:p>
        </w:tc>
        <w:tc>
          <w:tcPr>
            <w:tcW w:w="619" w:type="pct"/>
            <w:noWrap/>
          </w:tcPr>
          <w:p w14:paraId="478108CF" w14:textId="77777777" w:rsidR="000C6AF3" w:rsidRPr="00C77835" w:rsidRDefault="000C6AF3" w:rsidP="00E435BB">
            <w:pPr>
              <w:pStyle w:val="KMC16-Tablecontent"/>
              <w:keepNext/>
              <w:jc w:val="right"/>
              <w:rPr>
                <w:bCs/>
                <w:color w:val="auto"/>
                <w:lang w:val="en-AU"/>
              </w:rPr>
            </w:pPr>
            <w:r w:rsidRPr="005102BE">
              <w:rPr>
                <w:lang w:val="en-AU"/>
              </w:rPr>
              <w:t xml:space="preserve"> 47,129 </w:t>
            </w:r>
          </w:p>
        </w:tc>
        <w:tc>
          <w:tcPr>
            <w:tcW w:w="653" w:type="pct"/>
            <w:noWrap/>
          </w:tcPr>
          <w:p w14:paraId="3C3BD713" w14:textId="77777777" w:rsidR="000C6AF3" w:rsidRPr="00C77835" w:rsidRDefault="000C6AF3" w:rsidP="00E435BB">
            <w:pPr>
              <w:pStyle w:val="KMC16-Tablecontent"/>
              <w:keepNext/>
              <w:jc w:val="right"/>
              <w:rPr>
                <w:bCs/>
                <w:color w:val="auto"/>
                <w:lang w:val="en-AU"/>
              </w:rPr>
            </w:pPr>
            <w:r w:rsidRPr="005102BE">
              <w:rPr>
                <w:lang w:val="en-AU"/>
              </w:rPr>
              <w:t xml:space="preserve"> 47,600 </w:t>
            </w:r>
          </w:p>
        </w:tc>
      </w:tr>
      <w:tr w:rsidR="00836275" w:rsidRPr="00E4592D" w14:paraId="24C839AB" w14:textId="77777777" w:rsidTr="00AE15AA">
        <w:trPr>
          <w:trHeight w:val="255"/>
        </w:trPr>
        <w:tc>
          <w:tcPr>
            <w:tcW w:w="1250" w:type="pct"/>
            <w:noWrap/>
            <w:vAlign w:val="bottom"/>
            <w:hideMark/>
          </w:tcPr>
          <w:p w14:paraId="2408BA54" w14:textId="77777777" w:rsidR="000C6AF3" w:rsidRPr="004A478D" w:rsidRDefault="000C6AF3" w:rsidP="00E435BB">
            <w:pPr>
              <w:pStyle w:val="KMC16-Tablecontent"/>
              <w:keepNext/>
              <w:rPr>
                <w:lang w:val="en-AU"/>
              </w:rPr>
            </w:pPr>
            <w:r w:rsidRPr="004A478D">
              <w:rPr>
                <w:lang w:val="en-AU"/>
              </w:rPr>
              <w:t>Uptake %</w:t>
            </w:r>
          </w:p>
        </w:tc>
        <w:tc>
          <w:tcPr>
            <w:tcW w:w="619" w:type="pct"/>
            <w:noWrap/>
          </w:tcPr>
          <w:p w14:paraId="7DE0FA2F" w14:textId="30E24523" w:rsidR="000C6AF3" w:rsidRPr="00836275" w:rsidRDefault="00836275" w:rsidP="00E435BB">
            <w:pPr>
              <w:pStyle w:val="KMC16-Tablecontent"/>
              <w:keepNext/>
              <w:jc w:val="right"/>
              <w:rPr>
                <w:color w:val="auto"/>
                <w:lang w:val="en-AU"/>
              </w:rPr>
            </w:pPr>
            <w:r w:rsidRPr="00836275">
              <w:rPr>
                <w:b/>
                <w:bCs/>
                <w:lang w:val="en-AU"/>
              </w:rPr>
              <w:t>Redacted</w:t>
            </w:r>
            <w:r w:rsidR="000C6AF3" w:rsidRPr="00836275">
              <w:rPr>
                <w:lang w:val="en-AU"/>
              </w:rPr>
              <w:t>%</w:t>
            </w:r>
          </w:p>
        </w:tc>
        <w:tc>
          <w:tcPr>
            <w:tcW w:w="619" w:type="pct"/>
            <w:noWrap/>
          </w:tcPr>
          <w:p w14:paraId="3AEADCD4" w14:textId="73832834" w:rsidR="000C6AF3" w:rsidRPr="00836275" w:rsidRDefault="00836275" w:rsidP="00E435BB">
            <w:pPr>
              <w:pStyle w:val="KMC16-Tablecontent"/>
              <w:keepNext/>
              <w:jc w:val="right"/>
              <w:rPr>
                <w:color w:val="auto"/>
                <w:lang w:val="en-AU"/>
              </w:rPr>
            </w:pPr>
            <w:r w:rsidRPr="00836275">
              <w:rPr>
                <w:b/>
                <w:bCs/>
                <w:lang w:val="en-AU"/>
              </w:rPr>
              <w:t>Redacted</w:t>
            </w:r>
            <w:r w:rsidR="000C6AF3" w:rsidRPr="00836275">
              <w:rPr>
                <w:lang w:val="en-AU"/>
              </w:rPr>
              <w:t>%</w:t>
            </w:r>
          </w:p>
        </w:tc>
        <w:tc>
          <w:tcPr>
            <w:tcW w:w="619" w:type="pct"/>
            <w:noWrap/>
          </w:tcPr>
          <w:p w14:paraId="5F267F50" w14:textId="09AA4097" w:rsidR="000C6AF3" w:rsidRPr="00836275" w:rsidRDefault="00836275" w:rsidP="00E435BB">
            <w:pPr>
              <w:pStyle w:val="KMC16-Tablecontent"/>
              <w:keepNext/>
              <w:jc w:val="right"/>
              <w:rPr>
                <w:color w:val="auto"/>
                <w:lang w:val="en-AU"/>
              </w:rPr>
            </w:pPr>
            <w:r w:rsidRPr="00836275">
              <w:rPr>
                <w:b/>
                <w:bCs/>
                <w:lang w:val="en-AU"/>
              </w:rPr>
              <w:t>Redacted</w:t>
            </w:r>
            <w:r w:rsidR="000C6AF3" w:rsidRPr="00836275">
              <w:rPr>
                <w:lang w:val="en-AU"/>
              </w:rPr>
              <w:t>%</w:t>
            </w:r>
          </w:p>
        </w:tc>
        <w:tc>
          <w:tcPr>
            <w:tcW w:w="619" w:type="pct"/>
            <w:noWrap/>
          </w:tcPr>
          <w:p w14:paraId="62EF1925" w14:textId="637C9155" w:rsidR="000C6AF3" w:rsidRPr="00836275" w:rsidRDefault="00836275" w:rsidP="00E435BB">
            <w:pPr>
              <w:pStyle w:val="KMC16-Tablecontent"/>
              <w:keepNext/>
              <w:jc w:val="right"/>
              <w:rPr>
                <w:color w:val="auto"/>
                <w:lang w:val="en-AU"/>
              </w:rPr>
            </w:pPr>
            <w:r w:rsidRPr="00836275">
              <w:rPr>
                <w:b/>
                <w:bCs/>
                <w:lang w:val="en-AU"/>
              </w:rPr>
              <w:t>Redacted</w:t>
            </w:r>
            <w:r w:rsidR="000C6AF3" w:rsidRPr="00836275">
              <w:rPr>
                <w:lang w:val="en-AU"/>
              </w:rPr>
              <w:t>%</w:t>
            </w:r>
          </w:p>
        </w:tc>
        <w:tc>
          <w:tcPr>
            <w:tcW w:w="619" w:type="pct"/>
            <w:noWrap/>
          </w:tcPr>
          <w:p w14:paraId="09A48EAA" w14:textId="3CE057B9" w:rsidR="000C6AF3" w:rsidRPr="00836275" w:rsidRDefault="00836275" w:rsidP="00E435BB">
            <w:pPr>
              <w:pStyle w:val="KMC16-Tablecontent"/>
              <w:keepNext/>
              <w:jc w:val="right"/>
              <w:rPr>
                <w:color w:val="auto"/>
                <w:lang w:val="en-AU"/>
              </w:rPr>
            </w:pPr>
            <w:r w:rsidRPr="00836275">
              <w:rPr>
                <w:b/>
                <w:bCs/>
                <w:lang w:val="en-AU"/>
              </w:rPr>
              <w:t>Redacted</w:t>
            </w:r>
            <w:r w:rsidR="000C6AF3" w:rsidRPr="00836275">
              <w:rPr>
                <w:lang w:val="en-AU"/>
              </w:rPr>
              <w:t>%</w:t>
            </w:r>
          </w:p>
        </w:tc>
        <w:tc>
          <w:tcPr>
            <w:tcW w:w="653" w:type="pct"/>
            <w:noWrap/>
          </w:tcPr>
          <w:p w14:paraId="0901CAA8" w14:textId="059238FD" w:rsidR="000C6AF3" w:rsidRPr="00836275" w:rsidRDefault="00836275" w:rsidP="00E435BB">
            <w:pPr>
              <w:pStyle w:val="KMC16-Tablecontent"/>
              <w:keepNext/>
              <w:jc w:val="right"/>
              <w:rPr>
                <w:color w:val="auto"/>
                <w:lang w:val="en-AU"/>
              </w:rPr>
            </w:pPr>
            <w:r w:rsidRPr="00836275">
              <w:rPr>
                <w:b/>
                <w:bCs/>
                <w:lang w:val="en-AU"/>
              </w:rPr>
              <w:t>Redacted</w:t>
            </w:r>
            <w:r w:rsidR="000C6AF3" w:rsidRPr="00836275">
              <w:rPr>
                <w:lang w:val="en-AU"/>
              </w:rPr>
              <w:t>%</w:t>
            </w:r>
          </w:p>
        </w:tc>
      </w:tr>
      <w:tr w:rsidR="00836275" w:rsidRPr="00E4592D" w14:paraId="2A7A5C0A" w14:textId="77777777" w:rsidTr="00AE15AA">
        <w:trPr>
          <w:trHeight w:val="255"/>
        </w:trPr>
        <w:tc>
          <w:tcPr>
            <w:tcW w:w="1250" w:type="pct"/>
            <w:vAlign w:val="center"/>
            <w:hideMark/>
          </w:tcPr>
          <w:p w14:paraId="30591629" w14:textId="77777777" w:rsidR="000C6AF3" w:rsidRPr="004A478D" w:rsidRDefault="000C6AF3" w:rsidP="00E435BB">
            <w:pPr>
              <w:pStyle w:val="KMC16-Tablecontent"/>
              <w:keepNext/>
              <w:rPr>
                <w:color w:val="auto"/>
                <w:lang w:val="en-AU"/>
              </w:rPr>
            </w:pPr>
            <w:r w:rsidRPr="004A478D">
              <w:rPr>
                <w:lang w:val="en-AU"/>
              </w:rPr>
              <w:t>Number of patients taking up FSL</w:t>
            </w:r>
          </w:p>
        </w:tc>
        <w:tc>
          <w:tcPr>
            <w:tcW w:w="619" w:type="pct"/>
            <w:noWrap/>
          </w:tcPr>
          <w:p w14:paraId="64B3EFD8" w14:textId="0A8EB57B" w:rsidR="000C6AF3" w:rsidRPr="00836275" w:rsidRDefault="00836275" w:rsidP="00E435BB">
            <w:pPr>
              <w:pStyle w:val="KMC16-Tablecontent"/>
              <w:keepNext/>
              <w:jc w:val="right"/>
              <w:rPr>
                <w:color w:val="auto"/>
                <w:lang w:val="en-AU"/>
              </w:rPr>
            </w:pPr>
            <w:r w:rsidRPr="00836275">
              <w:rPr>
                <w:b/>
                <w:bCs/>
                <w:lang w:val="en-AU"/>
              </w:rPr>
              <w:t>Redacted</w:t>
            </w:r>
            <w:r w:rsidR="00AB5262" w:rsidRPr="00B156D1">
              <w:rPr>
                <w:vertAlign w:val="superscript"/>
                <w:lang w:val="en-AU"/>
              </w:rPr>
              <w:t>1</w:t>
            </w:r>
            <w:r w:rsidR="000C6AF3" w:rsidRPr="00836275">
              <w:rPr>
                <w:lang w:val="en-AU"/>
              </w:rPr>
              <w:t xml:space="preserve"> </w:t>
            </w:r>
          </w:p>
        </w:tc>
        <w:tc>
          <w:tcPr>
            <w:tcW w:w="619" w:type="pct"/>
            <w:noWrap/>
          </w:tcPr>
          <w:p w14:paraId="66052036" w14:textId="7FAB56D9" w:rsidR="000C6AF3" w:rsidRPr="00836275" w:rsidRDefault="00836275" w:rsidP="00E435BB">
            <w:pPr>
              <w:pStyle w:val="KMC16-Tablecontent"/>
              <w:keepNext/>
              <w:jc w:val="right"/>
              <w:rPr>
                <w:color w:val="auto"/>
                <w:lang w:val="en-AU"/>
              </w:rPr>
            </w:pPr>
            <w:r w:rsidRPr="00836275">
              <w:rPr>
                <w:b/>
                <w:bCs/>
                <w:lang w:val="en-AU"/>
              </w:rPr>
              <w:t>Redacted</w:t>
            </w:r>
            <w:r w:rsidR="00AB5262" w:rsidRPr="00B156D1">
              <w:rPr>
                <w:vertAlign w:val="superscript"/>
                <w:lang w:val="en-AU"/>
              </w:rPr>
              <w:t>1</w:t>
            </w:r>
            <w:r w:rsidR="000C6AF3" w:rsidRPr="00836275">
              <w:rPr>
                <w:lang w:val="en-AU"/>
              </w:rPr>
              <w:t xml:space="preserve"> </w:t>
            </w:r>
          </w:p>
        </w:tc>
        <w:tc>
          <w:tcPr>
            <w:tcW w:w="619" w:type="pct"/>
            <w:noWrap/>
          </w:tcPr>
          <w:p w14:paraId="6DB1A349" w14:textId="2211D752" w:rsidR="000C6AF3" w:rsidRPr="00836275" w:rsidRDefault="00836275" w:rsidP="00E435BB">
            <w:pPr>
              <w:pStyle w:val="KMC16-Tablecontent"/>
              <w:keepNext/>
              <w:jc w:val="right"/>
              <w:rPr>
                <w:color w:val="auto"/>
                <w:lang w:val="en-AU"/>
              </w:rPr>
            </w:pPr>
            <w:r w:rsidRPr="00836275">
              <w:rPr>
                <w:b/>
                <w:bCs/>
                <w:lang w:val="en-AU"/>
              </w:rPr>
              <w:t>Redacted</w:t>
            </w:r>
            <w:r w:rsidR="00AB5262" w:rsidRPr="003C077C">
              <w:rPr>
                <w:vertAlign w:val="superscript"/>
                <w:lang w:val="en-AU"/>
              </w:rPr>
              <w:t>2</w:t>
            </w:r>
            <w:r w:rsidR="000C6AF3" w:rsidRPr="00836275">
              <w:rPr>
                <w:lang w:val="en-AU"/>
              </w:rPr>
              <w:t xml:space="preserve"> </w:t>
            </w:r>
          </w:p>
        </w:tc>
        <w:tc>
          <w:tcPr>
            <w:tcW w:w="619" w:type="pct"/>
            <w:noWrap/>
          </w:tcPr>
          <w:p w14:paraId="52D22865" w14:textId="0C82E75C" w:rsidR="000C6AF3" w:rsidRPr="00836275" w:rsidRDefault="00836275" w:rsidP="00E435BB">
            <w:pPr>
              <w:pStyle w:val="KMC16-Tablecontent"/>
              <w:keepNext/>
              <w:jc w:val="right"/>
              <w:rPr>
                <w:color w:val="auto"/>
                <w:lang w:val="en-AU"/>
              </w:rPr>
            </w:pPr>
            <w:r w:rsidRPr="00836275">
              <w:rPr>
                <w:b/>
                <w:bCs/>
                <w:lang w:val="en-AU"/>
              </w:rPr>
              <w:t>Redacted</w:t>
            </w:r>
            <w:r w:rsidR="00AB5262" w:rsidRPr="003C077C">
              <w:rPr>
                <w:vertAlign w:val="superscript"/>
                <w:lang w:val="en-AU"/>
              </w:rPr>
              <w:t>2</w:t>
            </w:r>
            <w:r w:rsidR="000C6AF3" w:rsidRPr="00836275">
              <w:rPr>
                <w:lang w:val="en-AU"/>
              </w:rPr>
              <w:t xml:space="preserve"> </w:t>
            </w:r>
          </w:p>
        </w:tc>
        <w:tc>
          <w:tcPr>
            <w:tcW w:w="619" w:type="pct"/>
            <w:noWrap/>
          </w:tcPr>
          <w:p w14:paraId="636494B7" w14:textId="358271F5" w:rsidR="000C6AF3" w:rsidRPr="00836275" w:rsidRDefault="00836275" w:rsidP="00E435BB">
            <w:pPr>
              <w:pStyle w:val="KMC16-Tablecontent"/>
              <w:keepNext/>
              <w:jc w:val="right"/>
              <w:rPr>
                <w:color w:val="auto"/>
                <w:lang w:val="en-AU"/>
              </w:rPr>
            </w:pPr>
            <w:r w:rsidRPr="00836275">
              <w:rPr>
                <w:b/>
                <w:bCs/>
                <w:lang w:val="en-AU"/>
              </w:rPr>
              <w:t>Redacted</w:t>
            </w:r>
            <w:r w:rsidR="00AB5262" w:rsidRPr="00B156D1">
              <w:rPr>
                <w:vertAlign w:val="superscript"/>
                <w:lang w:val="en-AU"/>
              </w:rPr>
              <w:t>2</w:t>
            </w:r>
            <w:r w:rsidR="000C6AF3" w:rsidRPr="00836275">
              <w:rPr>
                <w:lang w:val="en-AU"/>
              </w:rPr>
              <w:t xml:space="preserve"> </w:t>
            </w:r>
          </w:p>
        </w:tc>
        <w:tc>
          <w:tcPr>
            <w:tcW w:w="653" w:type="pct"/>
            <w:noWrap/>
          </w:tcPr>
          <w:p w14:paraId="24AA0B25" w14:textId="685A8B7C" w:rsidR="000C6AF3" w:rsidRPr="00836275" w:rsidRDefault="00836275" w:rsidP="00E435BB">
            <w:pPr>
              <w:pStyle w:val="KMC16-Tablecontent"/>
              <w:keepNext/>
              <w:jc w:val="right"/>
              <w:rPr>
                <w:color w:val="auto"/>
                <w:lang w:val="en-AU"/>
              </w:rPr>
            </w:pPr>
            <w:r w:rsidRPr="00836275">
              <w:rPr>
                <w:b/>
                <w:bCs/>
                <w:lang w:val="en-AU"/>
              </w:rPr>
              <w:t>Redacted</w:t>
            </w:r>
            <w:r w:rsidR="00AB5262" w:rsidRPr="00B156D1">
              <w:rPr>
                <w:vertAlign w:val="superscript"/>
                <w:lang w:val="en-AU"/>
              </w:rPr>
              <w:t>2</w:t>
            </w:r>
            <w:r w:rsidR="000C6AF3" w:rsidRPr="00836275">
              <w:rPr>
                <w:lang w:val="en-AU"/>
              </w:rPr>
              <w:t xml:space="preserve"> </w:t>
            </w:r>
          </w:p>
        </w:tc>
      </w:tr>
      <w:tr w:rsidR="00836275" w:rsidRPr="00E4592D" w14:paraId="06BDD7F3" w14:textId="77777777" w:rsidTr="00AE15AA">
        <w:trPr>
          <w:trHeight w:val="255"/>
        </w:trPr>
        <w:tc>
          <w:tcPr>
            <w:tcW w:w="1250" w:type="pct"/>
            <w:noWrap/>
            <w:vAlign w:val="bottom"/>
            <w:hideMark/>
          </w:tcPr>
          <w:p w14:paraId="3329BE0E" w14:textId="77777777" w:rsidR="00AE15AA" w:rsidRPr="004A478D" w:rsidRDefault="00AE15AA" w:rsidP="00AE15AA">
            <w:pPr>
              <w:pStyle w:val="KMC16-Tablecontent"/>
              <w:keepNext/>
              <w:rPr>
                <w:lang w:val="en-AU"/>
              </w:rPr>
            </w:pPr>
            <w:r w:rsidRPr="004A478D">
              <w:rPr>
                <w:lang w:val="en-AU"/>
              </w:rPr>
              <w:t>Number of FSL 2 sensors (1 sensor/pack)</w:t>
            </w:r>
          </w:p>
        </w:tc>
        <w:tc>
          <w:tcPr>
            <w:tcW w:w="619" w:type="pct"/>
            <w:noWrap/>
          </w:tcPr>
          <w:p w14:paraId="636CF16E" w14:textId="20B9DDB0" w:rsidR="00AE15AA" w:rsidRPr="003C077C" w:rsidRDefault="00AE15AA" w:rsidP="00AE15AA">
            <w:pPr>
              <w:pStyle w:val="KMC16-Tablecontent"/>
              <w:keepNext/>
              <w:jc w:val="right"/>
              <w:rPr>
                <w:color w:val="auto"/>
                <w:highlight w:val="yellow"/>
                <w:lang w:val="en-AU"/>
              </w:rPr>
            </w:pPr>
            <w:r w:rsidRPr="006152C3">
              <w:rPr>
                <w:b/>
                <w:bCs/>
                <w:lang w:val="en-AU"/>
              </w:rPr>
              <w:t>Redacted</w:t>
            </w:r>
          </w:p>
        </w:tc>
        <w:tc>
          <w:tcPr>
            <w:tcW w:w="619" w:type="pct"/>
            <w:noWrap/>
          </w:tcPr>
          <w:p w14:paraId="6576FAB3" w14:textId="157A6C27" w:rsidR="00AE15AA" w:rsidRPr="003C077C" w:rsidRDefault="00AE15AA" w:rsidP="00AE15AA">
            <w:pPr>
              <w:pStyle w:val="KMC16-Tablecontent"/>
              <w:keepNext/>
              <w:jc w:val="right"/>
              <w:rPr>
                <w:color w:val="auto"/>
                <w:highlight w:val="yellow"/>
                <w:lang w:val="en-AU"/>
              </w:rPr>
            </w:pPr>
            <w:r w:rsidRPr="006152C3">
              <w:rPr>
                <w:b/>
                <w:bCs/>
                <w:lang w:val="en-AU"/>
              </w:rPr>
              <w:t>Redacted</w:t>
            </w:r>
          </w:p>
        </w:tc>
        <w:tc>
          <w:tcPr>
            <w:tcW w:w="619" w:type="pct"/>
            <w:noWrap/>
          </w:tcPr>
          <w:p w14:paraId="207C9AE4" w14:textId="1493C506" w:rsidR="00AE15AA" w:rsidRPr="003C077C" w:rsidRDefault="00AE15AA" w:rsidP="00AE15AA">
            <w:pPr>
              <w:pStyle w:val="KMC16-Tablecontent"/>
              <w:keepNext/>
              <w:jc w:val="right"/>
              <w:rPr>
                <w:color w:val="auto"/>
                <w:highlight w:val="yellow"/>
                <w:lang w:val="en-AU"/>
              </w:rPr>
            </w:pPr>
            <w:r w:rsidRPr="006152C3">
              <w:rPr>
                <w:b/>
                <w:bCs/>
                <w:lang w:val="en-AU"/>
              </w:rPr>
              <w:t>Redacted</w:t>
            </w:r>
          </w:p>
        </w:tc>
        <w:tc>
          <w:tcPr>
            <w:tcW w:w="619" w:type="pct"/>
            <w:noWrap/>
          </w:tcPr>
          <w:p w14:paraId="674EEBF3" w14:textId="03FA3B25" w:rsidR="00AE15AA" w:rsidRPr="003C077C" w:rsidRDefault="00AE15AA" w:rsidP="00AE15AA">
            <w:pPr>
              <w:pStyle w:val="KMC16-Tablecontent"/>
              <w:keepNext/>
              <w:jc w:val="right"/>
              <w:rPr>
                <w:color w:val="auto"/>
                <w:highlight w:val="yellow"/>
                <w:lang w:val="en-AU"/>
              </w:rPr>
            </w:pPr>
            <w:r w:rsidRPr="006152C3">
              <w:rPr>
                <w:b/>
                <w:bCs/>
                <w:lang w:val="en-AU"/>
              </w:rPr>
              <w:t>Redacted</w:t>
            </w:r>
          </w:p>
        </w:tc>
        <w:tc>
          <w:tcPr>
            <w:tcW w:w="619" w:type="pct"/>
            <w:noWrap/>
          </w:tcPr>
          <w:p w14:paraId="59BEC249" w14:textId="069912BB" w:rsidR="00AE15AA" w:rsidRPr="003C077C" w:rsidRDefault="00AE15AA" w:rsidP="00AE15AA">
            <w:pPr>
              <w:pStyle w:val="KMC16-Tablecontent"/>
              <w:keepNext/>
              <w:jc w:val="right"/>
              <w:rPr>
                <w:color w:val="auto"/>
                <w:highlight w:val="yellow"/>
                <w:lang w:val="en-AU"/>
              </w:rPr>
            </w:pPr>
            <w:r w:rsidRPr="006152C3">
              <w:rPr>
                <w:b/>
                <w:bCs/>
                <w:lang w:val="en-AU"/>
              </w:rPr>
              <w:t>Redacted</w:t>
            </w:r>
          </w:p>
        </w:tc>
        <w:tc>
          <w:tcPr>
            <w:tcW w:w="653" w:type="pct"/>
            <w:noWrap/>
          </w:tcPr>
          <w:p w14:paraId="063051C6" w14:textId="21F3CF09" w:rsidR="00AE15AA" w:rsidRPr="003C077C" w:rsidRDefault="00AE15AA" w:rsidP="00AE15AA">
            <w:pPr>
              <w:pStyle w:val="KMC16-Tablecontent"/>
              <w:keepNext/>
              <w:jc w:val="right"/>
              <w:rPr>
                <w:color w:val="auto"/>
                <w:highlight w:val="yellow"/>
                <w:lang w:val="en-AU"/>
              </w:rPr>
            </w:pPr>
            <w:r w:rsidRPr="006152C3">
              <w:rPr>
                <w:b/>
                <w:bCs/>
                <w:lang w:val="en-AU"/>
              </w:rPr>
              <w:t>Redacted</w:t>
            </w:r>
          </w:p>
        </w:tc>
      </w:tr>
      <w:tr w:rsidR="00836275" w:rsidRPr="00E4592D" w14:paraId="1FEA4EB3" w14:textId="77777777" w:rsidTr="00AE15AA">
        <w:trPr>
          <w:trHeight w:val="255"/>
        </w:trPr>
        <w:tc>
          <w:tcPr>
            <w:tcW w:w="1250" w:type="pct"/>
            <w:noWrap/>
            <w:vAlign w:val="bottom"/>
            <w:hideMark/>
          </w:tcPr>
          <w:p w14:paraId="3C122F8A" w14:textId="078E8F07" w:rsidR="000C6AF3" w:rsidRPr="004A478D" w:rsidRDefault="000C6AF3" w:rsidP="00E435BB">
            <w:pPr>
              <w:pStyle w:val="KMC16-Tablecontent"/>
              <w:keepNext/>
              <w:rPr>
                <w:b/>
                <w:lang w:val="en-AU"/>
              </w:rPr>
            </w:pPr>
            <w:r w:rsidRPr="004A478D">
              <w:rPr>
                <w:b/>
                <w:lang w:val="en-AU"/>
              </w:rPr>
              <w:t xml:space="preserve">Total </w:t>
            </w:r>
            <w:r w:rsidR="002D39F9">
              <w:rPr>
                <w:b/>
                <w:lang w:val="en-AU"/>
              </w:rPr>
              <w:t>c</w:t>
            </w:r>
            <w:r w:rsidRPr="004A478D">
              <w:rPr>
                <w:b/>
                <w:lang w:val="en-AU"/>
              </w:rPr>
              <w:t>ost of FSL</w:t>
            </w:r>
          </w:p>
        </w:tc>
        <w:tc>
          <w:tcPr>
            <w:tcW w:w="619" w:type="pct"/>
            <w:noWrap/>
          </w:tcPr>
          <w:p w14:paraId="20B685B2" w14:textId="215A51F4" w:rsidR="000C6AF3" w:rsidRPr="003C077C" w:rsidRDefault="00CF3251" w:rsidP="00E435BB">
            <w:pPr>
              <w:pStyle w:val="KMC16-Tablecontent"/>
              <w:keepNext/>
              <w:jc w:val="right"/>
              <w:rPr>
                <w:color w:val="auto"/>
                <w:vertAlign w:val="superscript"/>
                <w:lang w:val="en-AU"/>
              </w:rPr>
            </w:pPr>
            <w:r w:rsidRPr="00836275">
              <w:rPr>
                <w:lang w:val="en-AU"/>
              </w:rPr>
              <w:t>$</w:t>
            </w:r>
            <w:r w:rsidRPr="00836275">
              <w:rPr>
                <w:b/>
                <w:bCs/>
                <w:lang w:val="en-AU"/>
              </w:rPr>
              <w:t>Redacted</w:t>
            </w:r>
            <w:r w:rsidR="00415DA6" w:rsidRPr="003C077C">
              <w:rPr>
                <w:vertAlign w:val="superscript"/>
                <w:lang w:val="en-AU"/>
              </w:rPr>
              <w:t>3</w:t>
            </w:r>
          </w:p>
        </w:tc>
        <w:tc>
          <w:tcPr>
            <w:tcW w:w="619" w:type="pct"/>
            <w:noWrap/>
          </w:tcPr>
          <w:p w14:paraId="1533B8DC" w14:textId="2106D4A2" w:rsidR="000C6AF3" w:rsidRPr="00836275" w:rsidRDefault="00CF3251" w:rsidP="00E435BB">
            <w:pPr>
              <w:pStyle w:val="KMC16-Tablecontent"/>
              <w:keepNext/>
              <w:jc w:val="right"/>
              <w:rPr>
                <w:color w:val="auto"/>
                <w:lang w:val="en-AU"/>
              </w:rPr>
            </w:pPr>
            <w:r w:rsidRPr="00836275">
              <w:rPr>
                <w:lang w:val="en-AU"/>
              </w:rPr>
              <w:t>$</w:t>
            </w:r>
            <w:r w:rsidRPr="00836275">
              <w:rPr>
                <w:b/>
                <w:bCs/>
                <w:lang w:val="en-AU"/>
              </w:rPr>
              <w:t>Redacted</w:t>
            </w:r>
            <w:r w:rsidR="00415DA6" w:rsidRPr="003C077C">
              <w:rPr>
                <w:vertAlign w:val="superscript"/>
                <w:lang w:val="en-AU"/>
              </w:rPr>
              <w:t>3</w:t>
            </w:r>
          </w:p>
        </w:tc>
        <w:tc>
          <w:tcPr>
            <w:tcW w:w="619" w:type="pct"/>
            <w:noWrap/>
          </w:tcPr>
          <w:p w14:paraId="7C47966D" w14:textId="1E182046" w:rsidR="000C6AF3" w:rsidRPr="00836275" w:rsidRDefault="00CF3251" w:rsidP="00E435BB">
            <w:pPr>
              <w:pStyle w:val="KMC16-Tablecontent"/>
              <w:keepNext/>
              <w:jc w:val="right"/>
              <w:rPr>
                <w:color w:val="auto"/>
                <w:lang w:val="en-AU"/>
              </w:rPr>
            </w:pPr>
            <w:r w:rsidRPr="00836275">
              <w:rPr>
                <w:lang w:val="en-AU"/>
              </w:rPr>
              <w:t>$</w:t>
            </w:r>
            <w:r w:rsidRPr="00836275">
              <w:rPr>
                <w:b/>
                <w:bCs/>
                <w:lang w:val="en-AU"/>
              </w:rPr>
              <w:t>Redacted</w:t>
            </w:r>
            <w:r w:rsidR="00415DA6" w:rsidRPr="003C077C">
              <w:rPr>
                <w:vertAlign w:val="superscript"/>
                <w:lang w:val="en-AU"/>
              </w:rPr>
              <w:t>3</w:t>
            </w:r>
          </w:p>
        </w:tc>
        <w:tc>
          <w:tcPr>
            <w:tcW w:w="619" w:type="pct"/>
            <w:noWrap/>
          </w:tcPr>
          <w:p w14:paraId="6162D0E0" w14:textId="1E9AD39B" w:rsidR="000C6AF3" w:rsidRPr="00836275" w:rsidRDefault="00CF3251" w:rsidP="00E435BB">
            <w:pPr>
              <w:pStyle w:val="KMC16-Tablecontent"/>
              <w:keepNext/>
              <w:jc w:val="right"/>
              <w:rPr>
                <w:color w:val="auto"/>
                <w:lang w:val="en-AU"/>
              </w:rPr>
            </w:pPr>
            <w:r w:rsidRPr="00836275">
              <w:rPr>
                <w:lang w:val="en-AU"/>
              </w:rPr>
              <w:t>$</w:t>
            </w:r>
            <w:r w:rsidRPr="00836275">
              <w:rPr>
                <w:b/>
                <w:bCs/>
                <w:lang w:val="en-AU"/>
              </w:rPr>
              <w:t>Redacted</w:t>
            </w:r>
            <w:r w:rsidR="00415DA6" w:rsidRPr="003C077C">
              <w:rPr>
                <w:vertAlign w:val="superscript"/>
                <w:lang w:val="en-AU"/>
              </w:rPr>
              <w:t>3</w:t>
            </w:r>
          </w:p>
        </w:tc>
        <w:tc>
          <w:tcPr>
            <w:tcW w:w="619" w:type="pct"/>
            <w:noWrap/>
          </w:tcPr>
          <w:p w14:paraId="26F41631" w14:textId="34B4A14C" w:rsidR="000C6AF3" w:rsidRPr="00836275" w:rsidRDefault="00CF3251" w:rsidP="00E435BB">
            <w:pPr>
              <w:pStyle w:val="KMC16-Tablecontent"/>
              <w:keepNext/>
              <w:jc w:val="right"/>
              <w:rPr>
                <w:color w:val="auto"/>
                <w:lang w:val="en-AU"/>
              </w:rPr>
            </w:pPr>
            <w:r w:rsidRPr="00836275">
              <w:rPr>
                <w:lang w:val="en-AU"/>
              </w:rPr>
              <w:t>$</w:t>
            </w:r>
            <w:r w:rsidRPr="00836275">
              <w:rPr>
                <w:b/>
                <w:bCs/>
                <w:lang w:val="en-AU"/>
              </w:rPr>
              <w:t>Redacted</w:t>
            </w:r>
            <w:r w:rsidR="00415DA6" w:rsidRPr="003C077C">
              <w:rPr>
                <w:vertAlign w:val="superscript"/>
                <w:lang w:val="en-AU"/>
              </w:rPr>
              <w:t>3</w:t>
            </w:r>
          </w:p>
        </w:tc>
        <w:tc>
          <w:tcPr>
            <w:tcW w:w="653" w:type="pct"/>
            <w:noWrap/>
          </w:tcPr>
          <w:p w14:paraId="7D041017" w14:textId="109CBF19" w:rsidR="000C6AF3" w:rsidRPr="003C077C" w:rsidRDefault="00CF3251" w:rsidP="00E435BB">
            <w:pPr>
              <w:pStyle w:val="KMC16-Tablecontent"/>
              <w:keepNext/>
              <w:jc w:val="right"/>
              <w:rPr>
                <w:color w:val="auto"/>
                <w:vertAlign w:val="superscript"/>
                <w:lang w:val="en-AU"/>
              </w:rPr>
            </w:pPr>
            <w:r w:rsidRPr="00836275">
              <w:rPr>
                <w:lang w:val="en-AU"/>
              </w:rPr>
              <w:t>$</w:t>
            </w:r>
            <w:r w:rsidRPr="00836275">
              <w:rPr>
                <w:b/>
                <w:bCs/>
                <w:lang w:val="en-AU"/>
              </w:rPr>
              <w:t>Redacted</w:t>
            </w:r>
            <w:r w:rsidR="00415DA6" w:rsidRPr="003C077C">
              <w:rPr>
                <w:vertAlign w:val="superscript"/>
                <w:lang w:val="en-AU"/>
              </w:rPr>
              <w:t>4</w:t>
            </w:r>
          </w:p>
        </w:tc>
      </w:tr>
      <w:tr w:rsidR="00836275" w:rsidRPr="00E4592D" w14:paraId="53176087" w14:textId="77777777" w:rsidTr="00AE15AA">
        <w:trPr>
          <w:trHeight w:val="765"/>
        </w:trPr>
        <w:tc>
          <w:tcPr>
            <w:tcW w:w="1250" w:type="pct"/>
            <w:vAlign w:val="center"/>
            <w:hideMark/>
          </w:tcPr>
          <w:p w14:paraId="7AD9E4BE" w14:textId="77777777" w:rsidR="000C6AF3" w:rsidRPr="004A478D" w:rsidRDefault="000C6AF3" w:rsidP="00E435BB">
            <w:pPr>
              <w:pStyle w:val="KMC16-Tablecontent"/>
              <w:keepNext/>
              <w:rPr>
                <w:i/>
                <w:lang w:val="en-AU"/>
              </w:rPr>
            </w:pPr>
            <w:r w:rsidRPr="004A478D">
              <w:rPr>
                <w:i/>
                <w:lang w:val="en-AU"/>
              </w:rPr>
              <w:t>less cost offset (patient contributions, applies to 30% (or 27%) of population who are general patients, the remaining with concession pay $0 contribution)</w:t>
            </w:r>
          </w:p>
        </w:tc>
        <w:tc>
          <w:tcPr>
            <w:tcW w:w="619" w:type="pct"/>
            <w:noWrap/>
          </w:tcPr>
          <w:p w14:paraId="14294450" w14:textId="685BD76E" w:rsidR="000C6AF3" w:rsidRPr="00836275" w:rsidRDefault="00CF3251" w:rsidP="00E435BB">
            <w:pPr>
              <w:pStyle w:val="KMC16-Tablecontent"/>
              <w:keepNext/>
              <w:jc w:val="right"/>
              <w:rPr>
                <w:color w:val="auto"/>
                <w:lang w:val="en-AU"/>
              </w:rPr>
            </w:pPr>
            <w:r w:rsidRPr="00836275">
              <w:rPr>
                <w:lang w:val="en-AU"/>
              </w:rPr>
              <w:t>$</w:t>
            </w:r>
            <w:r w:rsidRPr="00836275">
              <w:rPr>
                <w:b/>
                <w:bCs/>
                <w:lang w:val="en-AU"/>
              </w:rPr>
              <w:t>Redacted</w:t>
            </w:r>
            <w:r w:rsidR="00415DA6" w:rsidRPr="00B156D1">
              <w:rPr>
                <w:vertAlign w:val="superscript"/>
                <w:lang w:val="en-AU"/>
              </w:rPr>
              <w:t>3</w:t>
            </w:r>
          </w:p>
        </w:tc>
        <w:tc>
          <w:tcPr>
            <w:tcW w:w="619" w:type="pct"/>
            <w:noWrap/>
          </w:tcPr>
          <w:p w14:paraId="0E2E6B23" w14:textId="26647D64" w:rsidR="000C6AF3" w:rsidRPr="00836275" w:rsidRDefault="00CF3251" w:rsidP="00E435BB">
            <w:pPr>
              <w:pStyle w:val="KMC16-Tablecontent"/>
              <w:keepNext/>
              <w:jc w:val="right"/>
              <w:rPr>
                <w:color w:val="auto"/>
                <w:lang w:val="en-AU"/>
              </w:rPr>
            </w:pPr>
            <w:r w:rsidRPr="00836275">
              <w:rPr>
                <w:lang w:val="en-AU"/>
              </w:rPr>
              <w:t>$</w:t>
            </w:r>
            <w:r w:rsidRPr="00836275">
              <w:rPr>
                <w:b/>
                <w:bCs/>
                <w:lang w:val="en-AU"/>
              </w:rPr>
              <w:t>Redacted</w:t>
            </w:r>
            <w:r w:rsidR="00415DA6" w:rsidRPr="00B156D1">
              <w:rPr>
                <w:vertAlign w:val="superscript"/>
                <w:lang w:val="en-AU"/>
              </w:rPr>
              <w:t>3</w:t>
            </w:r>
          </w:p>
        </w:tc>
        <w:tc>
          <w:tcPr>
            <w:tcW w:w="619" w:type="pct"/>
            <w:noWrap/>
          </w:tcPr>
          <w:p w14:paraId="25D0C86D" w14:textId="782B246A" w:rsidR="000C6AF3" w:rsidRPr="00836275" w:rsidRDefault="00CF3251" w:rsidP="00E435BB">
            <w:pPr>
              <w:pStyle w:val="KMC16-Tablecontent"/>
              <w:keepNext/>
              <w:jc w:val="right"/>
              <w:rPr>
                <w:color w:val="auto"/>
                <w:lang w:val="en-AU"/>
              </w:rPr>
            </w:pPr>
            <w:r w:rsidRPr="00836275">
              <w:rPr>
                <w:lang w:val="en-AU"/>
              </w:rPr>
              <w:t>$</w:t>
            </w:r>
            <w:r w:rsidRPr="00836275">
              <w:rPr>
                <w:b/>
                <w:bCs/>
                <w:lang w:val="en-AU"/>
              </w:rPr>
              <w:t>Redacted</w:t>
            </w:r>
            <w:r w:rsidR="00415DA6" w:rsidRPr="00B156D1">
              <w:rPr>
                <w:vertAlign w:val="superscript"/>
                <w:lang w:val="en-AU"/>
              </w:rPr>
              <w:t>3</w:t>
            </w:r>
          </w:p>
        </w:tc>
        <w:tc>
          <w:tcPr>
            <w:tcW w:w="619" w:type="pct"/>
            <w:noWrap/>
          </w:tcPr>
          <w:p w14:paraId="55A5C59A" w14:textId="2A20F477" w:rsidR="000C6AF3" w:rsidRPr="00836275" w:rsidRDefault="00CF3251" w:rsidP="00E435BB">
            <w:pPr>
              <w:pStyle w:val="KMC16-Tablecontent"/>
              <w:keepNext/>
              <w:jc w:val="right"/>
              <w:rPr>
                <w:color w:val="auto"/>
                <w:lang w:val="en-AU"/>
              </w:rPr>
            </w:pPr>
            <w:r w:rsidRPr="00836275">
              <w:rPr>
                <w:lang w:val="en-AU"/>
              </w:rPr>
              <w:t>$</w:t>
            </w:r>
            <w:r w:rsidRPr="00836275">
              <w:rPr>
                <w:b/>
                <w:bCs/>
                <w:lang w:val="en-AU"/>
              </w:rPr>
              <w:t>Redacted</w:t>
            </w:r>
            <w:r w:rsidR="00415DA6" w:rsidRPr="00B156D1">
              <w:rPr>
                <w:vertAlign w:val="superscript"/>
                <w:lang w:val="en-AU"/>
              </w:rPr>
              <w:t>3</w:t>
            </w:r>
          </w:p>
        </w:tc>
        <w:tc>
          <w:tcPr>
            <w:tcW w:w="619" w:type="pct"/>
            <w:noWrap/>
          </w:tcPr>
          <w:p w14:paraId="539A9423" w14:textId="4D4F39BE" w:rsidR="000C6AF3" w:rsidRPr="00836275" w:rsidRDefault="00CF3251" w:rsidP="00E435BB">
            <w:pPr>
              <w:pStyle w:val="KMC16-Tablecontent"/>
              <w:keepNext/>
              <w:jc w:val="right"/>
              <w:rPr>
                <w:color w:val="auto"/>
                <w:lang w:val="en-AU"/>
              </w:rPr>
            </w:pPr>
            <w:r w:rsidRPr="00836275">
              <w:rPr>
                <w:lang w:val="en-AU"/>
              </w:rPr>
              <w:t>$</w:t>
            </w:r>
            <w:r w:rsidRPr="00836275">
              <w:rPr>
                <w:b/>
                <w:bCs/>
                <w:lang w:val="en-AU"/>
              </w:rPr>
              <w:t>Redacted</w:t>
            </w:r>
            <w:r w:rsidR="00415DA6" w:rsidRPr="00B156D1">
              <w:rPr>
                <w:vertAlign w:val="superscript"/>
                <w:lang w:val="en-AU"/>
              </w:rPr>
              <w:t>3</w:t>
            </w:r>
          </w:p>
        </w:tc>
        <w:tc>
          <w:tcPr>
            <w:tcW w:w="653" w:type="pct"/>
            <w:noWrap/>
          </w:tcPr>
          <w:p w14:paraId="6C31F1D5" w14:textId="736716EC" w:rsidR="000C6AF3" w:rsidRPr="00836275" w:rsidRDefault="00CF3251" w:rsidP="00E435BB">
            <w:pPr>
              <w:pStyle w:val="KMC16-Tablecontent"/>
              <w:keepNext/>
              <w:jc w:val="right"/>
              <w:rPr>
                <w:color w:val="auto"/>
                <w:lang w:val="en-AU"/>
              </w:rPr>
            </w:pPr>
            <w:r w:rsidRPr="00836275">
              <w:rPr>
                <w:lang w:val="en-AU"/>
              </w:rPr>
              <w:t>$</w:t>
            </w:r>
            <w:r w:rsidRPr="00836275">
              <w:rPr>
                <w:b/>
                <w:bCs/>
                <w:lang w:val="en-AU"/>
              </w:rPr>
              <w:t>Redacted</w:t>
            </w:r>
            <w:r w:rsidR="00415DA6" w:rsidRPr="00B156D1">
              <w:rPr>
                <w:vertAlign w:val="superscript"/>
                <w:lang w:val="en-AU"/>
              </w:rPr>
              <w:t>3</w:t>
            </w:r>
          </w:p>
        </w:tc>
      </w:tr>
      <w:tr w:rsidR="00836275" w:rsidRPr="00E4592D" w14:paraId="7697760B" w14:textId="77777777" w:rsidTr="00AE15AA">
        <w:trPr>
          <w:trHeight w:val="255"/>
        </w:trPr>
        <w:tc>
          <w:tcPr>
            <w:tcW w:w="1250" w:type="pct"/>
            <w:noWrap/>
            <w:vAlign w:val="bottom"/>
            <w:hideMark/>
          </w:tcPr>
          <w:p w14:paraId="42DF0777" w14:textId="0311B08D" w:rsidR="000C6AF3" w:rsidRPr="004A478D" w:rsidRDefault="000C6AF3" w:rsidP="00E435BB">
            <w:pPr>
              <w:pStyle w:val="KMC16-Tablecontent"/>
              <w:keepNext/>
              <w:rPr>
                <w:b/>
                <w:lang w:val="en-AU"/>
              </w:rPr>
            </w:pPr>
            <w:r w:rsidRPr="004A478D">
              <w:rPr>
                <w:b/>
                <w:lang w:val="en-AU"/>
              </w:rPr>
              <w:t xml:space="preserve">Net </w:t>
            </w:r>
            <w:r w:rsidR="002D39F9">
              <w:rPr>
                <w:b/>
                <w:lang w:val="en-AU"/>
              </w:rPr>
              <w:t>c</w:t>
            </w:r>
            <w:r w:rsidRPr="004A478D">
              <w:rPr>
                <w:b/>
                <w:lang w:val="en-AU"/>
              </w:rPr>
              <w:t>ost of FSL</w:t>
            </w:r>
          </w:p>
        </w:tc>
        <w:tc>
          <w:tcPr>
            <w:tcW w:w="619" w:type="pct"/>
            <w:noWrap/>
          </w:tcPr>
          <w:p w14:paraId="012E33B4" w14:textId="531E429F" w:rsidR="000C6AF3" w:rsidRPr="00836275" w:rsidRDefault="00CF3251" w:rsidP="00E435BB">
            <w:pPr>
              <w:pStyle w:val="KMC16-Tablecontent"/>
              <w:keepNext/>
              <w:jc w:val="right"/>
              <w:rPr>
                <w:color w:val="auto"/>
                <w:lang w:val="en-AU"/>
              </w:rPr>
            </w:pPr>
            <w:r w:rsidRPr="00836275">
              <w:rPr>
                <w:lang w:val="en-AU"/>
              </w:rPr>
              <w:t>$</w:t>
            </w:r>
            <w:r w:rsidRPr="00836275">
              <w:rPr>
                <w:b/>
                <w:bCs/>
                <w:lang w:val="en-AU"/>
              </w:rPr>
              <w:t>Redacted</w:t>
            </w:r>
            <w:r w:rsidR="00415DA6" w:rsidRPr="00B156D1">
              <w:rPr>
                <w:vertAlign w:val="superscript"/>
                <w:lang w:val="en-AU"/>
              </w:rPr>
              <w:t>3</w:t>
            </w:r>
          </w:p>
        </w:tc>
        <w:tc>
          <w:tcPr>
            <w:tcW w:w="619" w:type="pct"/>
            <w:noWrap/>
          </w:tcPr>
          <w:p w14:paraId="64824134" w14:textId="4AEEAD4C" w:rsidR="000C6AF3" w:rsidRPr="00836275" w:rsidRDefault="00CF3251" w:rsidP="00E435BB">
            <w:pPr>
              <w:pStyle w:val="KMC16-Tablecontent"/>
              <w:keepNext/>
              <w:jc w:val="right"/>
              <w:rPr>
                <w:color w:val="auto"/>
                <w:lang w:val="en-AU"/>
              </w:rPr>
            </w:pPr>
            <w:r w:rsidRPr="00836275">
              <w:rPr>
                <w:lang w:val="en-AU"/>
              </w:rPr>
              <w:t>$</w:t>
            </w:r>
            <w:r w:rsidRPr="00836275">
              <w:rPr>
                <w:b/>
                <w:bCs/>
                <w:lang w:val="en-AU"/>
              </w:rPr>
              <w:t>Redacted</w:t>
            </w:r>
            <w:r w:rsidR="00415DA6" w:rsidRPr="00B156D1">
              <w:rPr>
                <w:vertAlign w:val="superscript"/>
                <w:lang w:val="en-AU"/>
              </w:rPr>
              <w:t>3</w:t>
            </w:r>
          </w:p>
        </w:tc>
        <w:tc>
          <w:tcPr>
            <w:tcW w:w="619" w:type="pct"/>
            <w:noWrap/>
          </w:tcPr>
          <w:p w14:paraId="740C464C" w14:textId="44DA361C" w:rsidR="000C6AF3" w:rsidRPr="00836275" w:rsidRDefault="00CF3251" w:rsidP="00E435BB">
            <w:pPr>
              <w:pStyle w:val="KMC16-Tablecontent"/>
              <w:keepNext/>
              <w:jc w:val="right"/>
              <w:rPr>
                <w:color w:val="auto"/>
                <w:lang w:val="en-AU"/>
              </w:rPr>
            </w:pPr>
            <w:r w:rsidRPr="00836275">
              <w:rPr>
                <w:lang w:val="en-AU"/>
              </w:rPr>
              <w:t>$</w:t>
            </w:r>
            <w:r w:rsidRPr="00836275">
              <w:rPr>
                <w:b/>
                <w:bCs/>
                <w:lang w:val="en-AU"/>
              </w:rPr>
              <w:t>Redacted</w:t>
            </w:r>
            <w:r w:rsidR="00415DA6" w:rsidRPr="00B156D1">
              <w:rPr>
                <w:vertAlign w:val="superscript"/>
                <w:lang w:val="en-AU"/>
              </w:rPr>
              <w:t>3</w:t>
            </w:r>
          </w:p>
        </w:tc>
        <w:tc>
          <w:tcPr>
            <w:tcW w:w="619" w:type="pct"/>
            <w:noWrap/>
          </w:tcPr>
          <w:p w14:paraId="15F1D82F" w14:textId="5450941D" w:rsidR="000C6AF3" w:rsidRPr="00836275" w:rsidRDefault="00CF3251" w:rsidP="00E435BB">
            <w:pPr>
              <w:pStyle w:val="KMC16-Tablecontent"/>
              <w:keepNext/>
              <w:jc w:val="right"/>
              <w:rPr>
                <w:color w:val="auto"/>
                <w:lang w:val="en-AU"/>
              </w:rPr>
            </w:pPr>
            <w:r w:rsidRPr="00836275">
              <w:rPr>
                <w:lang w:val="en-AU"/>
              </w:rPr>
              <w:t>$</w:t>
            </w:r>
            <w:r w:rsidRPr="00836275">
              <w:rPr>
                <w:b/>
                <w:bCs/>
                <w:lang w:val="en-AU"/>
              </w:rPr>
              <w:t>Redacted</w:t>
            </w:r>
            <w:r w:rsidR="00415DA6" w:rsidRPr="00B156D1">
              <w:rPr>
                <w:vertAlign w:val="superscript"/>
                <w:lang w:val="en-AU"/>
              </w:rPr>
              <w:t>3</w:t>
            </w:r>
          </w:p>
        </w:tc>
        <w:tc>
          <w:tcPr>
            <w:tcW w:w="619" w:type="pct"/>
            <w:noWrap/>
          </w:tcPr>
          <w:p w14:paraId="79FF3F3D" w14:textId="16EEB1E1" w:rsidR="000C6AF3" w:rsidRPr="00836275" w:rsidRDefault="00AE15AA" w:rsidP="00E435BB">
            <w:pPr>
              <w:pStyle w:val="KMC16-Tablecontent"/>
              <w:keepNext/>
              <w:jc w:val="right"/>
              <w:rPr>
                <w:color w:val="auto"/>
                <w:lang w:val="en-AU"/>
              </w:rPr>
            </w:pPr>
            <w:r w:rsidRPr="00836275">
              <w:rPr>
                <w:lang w:val="en-AU"/>
              </w:rPr>
              <w:t>$</w:t>
            </w:r>
            <w:r w:rsidRPr="00836275">
              <w:rPr>
                <w:b/>
                <w:bCs/>
                <w:lang w:val="en-AU"/>
              </w:rPr>
              <w:t>Redacted</w:t>
            </w:r>
            <w:r w:rsidR="00415DA6" w:rsidRPr="00B156D1">
              <w:rPr>
                <w:vertAlign w:val="superscript"/>
                <w:lang w:val="en-AU"/>
              </w:rPr>
              <w:t>3</w:t>
            </w:r>
          </w:p>
        </w:tc>
        <w:tc>
          <w:tcPr>
            <w:tcW w:w="653" w:type="pct"/>
            <w:noWrap/>
          </w:tcPr>
          <w:p w14:paraId="502A01E4" w14:textId="5E2ABFA1" w:rsidR="000C6AF3" w:rsidRPr="00836275" w:rsidRDefault="00AE15AA" w:rsidP="00E435BB">
            <w:pPr>
              <w:pStyle w:val="KMC16-Tablecontent"/>
              <w:keepNext/>
              <w:jc w:val="right"/>
              <w:rPr>
                <w:color w:val="auto"/>
                <w:lang w:val="en-AU"/>
              </w:rPr>
            </w:pPr>
            <w:r w:rsidRPr="00836275">
              <w:rPr>
                <w:lang w:val="en-AU"/>
              </w:rPr>
              <w:t>$</w:t>
            </w:r>
            <w:r w:rsidRPr="00836275">
              <w:rPr>
                <w:b/>
                <w:bCs/>
                <w:lang w:val="en-AU"/>
              </w:rPr>
              <w:t>Redacted</w:t>
            </w:r>
            <w:r w:rsidR="00415DA6" w:rsidRPr="00B156D1">
              <w:rPr>
                <w:vertAlign w:val="superscript"/>
                <w:lang w:val="en-AU"/>
              </w:rPr>
              <w:t>3</w:t>
            </w:r>
          </w:p>
        </w:tc>
      </w:tr>
      <w:tr w:rsidR="00836275" w:rsidRPr="00E4592D" w14:paraId="4344727D" w14:textId="77777777" w:rsidTr="00AE15AA">
        <w:trPr>
          <w:trHeight w:val="255"/>
        </w:trPr>
        <w:tc>
          <w:tcPr>
            <w:tcW w:w="1250" w:type="pct"/>
            <w:noWrap/>
            <w:vAlign w:val="bottom"/>
            <w:hideMark/>
          </w:tcPr>
          <w:p w14:paraId="2B988B9E" w14:textId="58AEBCC1" w:rsidR="000C6AF3" w:rsidRPr="004A478D" w:rsidRDefault="000C6AF3" w:rsidP="00E435BB">
            <w:pPr>
              <w:pStyle w:val="KMC16-Tablecontent"/>
              <w:keepNext/>
              <w:rPr>
                <w:b/>
                <w:lang w:val="en-AU"/>
              </w:rPr>
            </w:pPr>
            <w:r w:rsidRPr="004A478D">
              <w:rPr>
                <w:b/>
                <w:lang w:val="en-AU"/>
              </w:rPr>
              <w:t xml:space="preserve">Change in SMBG </w:t>
            </w:r>
            <w:r w:rsidR="002D39F9">
              <w:rPr>
                <w:b/>
                <w:lang w:val="en-AU"/>
              </w:rPr>
              <w:t>u</w:t>
            </w:r>
            <w:r w:rsidRPr="004A478D">
              <w:rPr>
                <w:b/>
                <w:lang w:val="en-AU"/>
              </w:rPr>
              <w:t>se</w:t>
            </w:r>
          </w:p>
        </w:tc>
        <w:tc>
          <w:tcPr>
            <w:tcW w:w="619" w:type="pct"/>
            <w:noWrap/>
          </w:tcPr>
          <w:p w14:paraId="1630FD8C" w14:textId="77777777" w:rsidR="000C6AF3" w:rsidRPr="00836275" w:rsidRDefault="000C6AF3" w:rsidP="00E435BB">
            <w:pPr>
              <w:pStyle w:val="KMC16-Tablecontent"/>
              <w:keepNext/>
              <w:jc w:val="center"/>
              <w:rPr>
                <w:bCs/>
                <w:color w:val="auto"/>
                <w:lang w:val="en-AU"/>
              </w:rPr>
            </w:pPr>
          </w:p>
        </w:tc>
        <w:tc>
          <w:tcPr>
            <w:tcW w:w="619" w:type="pct"/>
            <w:noWrap/>
          </w:tcPr>
          <w:p w14:paraId="707BB2D5" w14:textId="77777777" w:rsidR="000C6AF3" w:rsidRPr="00836275" w:rsidRDefault="000C6AF3" w:rsidP="00E435BB">
            <w:pPr>
              <w:pStyle w:val="KMC16-Tablecontent"/>
              <w:keepNext/>
              <w:jc w:val="center"/>
              <w:rPr>
                <w:bCs/>
                <w:color w:val="auto"/>
                <w:lang w:val="en-AU"/>
              </w:rPr>
            </w:pPr>
          </w:p>
        </w:tc>
        <w:tc>
          <w:tcPr>
            <w:tcW w:w="619" w:type="pct"/>
            <w:noWrap/>
          </w:tcPr>
          <w:p w14:paraId="54888073" w14:textId="77777777" w:rsidR="000C6AF3" w:rsidRPr="00836275" w:rsidRDefault="000C6AF3" w:rsidP="00E435BB">
            <w:pPr>
              <w:pStyle w:val="KMC16-Tablecontent"/>
              <w:keepNext/>
              <w:jc w:val="center"/>
              <w:rPr>
                <w:bCs/>
                <w:color w:val="auto"/>
                <w:lang w:val="en-AU"/>
              </w:rPr>
            </w:pPr>
          </w:p>
        </w:tc>
        <w:tc>
          <w:tcPr>
            <w:tcW w:w="619" w:type="pct"/>
            <w:noWrap/>
          </w:tcPr>
          <w:p w14:paraId="13B4AB59" w14:textId="77777777" w:rsidR="000C6AF3" w:rsidRPr="00836275" w:rsidRDefault="000C6AF3" w:rsidP="00E435BB">
            <w:pPr>
              <w:pStyle w:val="KMC16-Tablecontent"/>
              <w:keepNext/>
              <w:jc w:val="center"/>
              <w:rPr>
                <w:bCs/>
                <w:color w:val="auto"/>
                <w:lang w:val="en-AU"/>
              </w:rPr>
            </w:pPr>
          </w:p>
        </w:tc>
        <w:tc>
          <w:tcPr>
            <w:tcW w:w="619" w:type="pct"/>
            <w:noWrap/>
          </w:tcPr>
          <w:p w14:paraId="151E3A92" w14:textId="77777777" w:rsidR="000C6AF3" w:rsidRPr="00836275" w:rsidRDefault="000C6AF3" w:rsidP="00E435BB">
            <w:pPr>
              <w:pStyle w:val="KMC16-Tablecontent"/>
              <w:keepNext/>
              <w:jc w:val="center"/>
              <w:rPr>
                <w:bCs/>
                <w:color w:val="auto"/>
                <w:lang w:val="en-AU"/>
              </w:rPr>
            </w:pPr>
          </w:p>
        </w:tc>
        <w:tc>
          <w:tcPr>
            <w:tcW w:w="653" w:type="pct"/>
            <w:noWrap/>
          </w:tcPr>
          <w:p w14:paraId="43B9A039" w14:textId="77777777" w:rsidR="000C6AF3" w:rsidRPr="00836275" w:rsidRDefault="000C6AF3" w:rsidP="00E435BB">
            <w:pPr>
              <w:pStyle w:val="KMC16-Tablecontent"/>
              <w:keepNext/>
              <w:jc w:val="center"/>
              <w:rPr>
                <w:bCs/>
                <w:color w:val="auto"/>
                <w:lang w:val="en-AU"/>
              </w:rPr>
            </w:pPr>
          </w:p>
        </w:tc>
      </w:tr>
      <w:tr w:rsidR="00836275" w:rsidRPr="00E4592D" w14:paraId="252FEB45" w14:textId="77777777" w:rsidTr="00AE15AA">
        <w:trPr>
          <w:trHeight w:val="255"/>
        </w:trPr>
        <w:tc>
          <w:tcPr>
            <w:tcW w:w="1250" w:type="pct"/>
            <w:vAlign w:val="center"/>
            <w:hideMark/>
          </w:tcPr>
          <w:p w14:paraId="33E8FFB3" w14:textId="536A065B" w:rsidR="000C6AF3" w:rsidRPr="004A478D" w:rsidRDefault="000C6AF3" w:rsidP="00E435BB">
            <w:pPr>
              <w:pStyle w:val="KMC16-Tablecontent"/>
              <w:keepNext/>
              <w:rPr>
                <w:i/>
                <w:lang w:val="en-AU"/>
              </w:rPr>
            </w:pPr>
            <w:r w:rsidRPr="004A478D">
              <w:rPr>
                <w:i/>
                <w:lang w:val="en-AU"/>
              </w:rPr>
              <w:t>less cost offsets (reduced glucose strips</w:t>
            </w:r>
            <w:r w:rsidR="00273EB5">
              <w:rPr>
                <w:i/>
                <w:lang w:val="en-AU"/>
              </w:rPr>
              <w:t xml:space="preserve"> costing </w:t>
            </w:r>
            <w:r w:rsidR="00226443">
              <w:rPr>
                <w:color w:val="auto"/>
              </w:rPr>
              <w:t>$</w:t>
            </w:r>
            <w:r w:rsidR="00273EB5">
              <w:rPr>
                <w:i/>
                <w:lang w:val="en-AU"/>
              </w:rPr>
              <w:t>19.10 per pack</w:t>
            </w:r>
            <w:r w:rsidR="00273EB5" w:rsidRPr="004A478D">
              <w:rPr>
                <w:i/>
                <w:lang w:val="en-AU"/>
              </w:rPr>
              <w:t>)</w:t>
            </w:r>
          </w:p>
        </w:tc>
        <w:tc>
          <w:tcPr>
            <w:tcW w:w="619" w:type="pct"/>
            <w:noWrap/>
          </w:tcPr>
          <w:p w14:paraId="0CA64B26" w14:textId="0A9B3DDB" w:rsidR="000C6AF3" w:rsidRPr="00836275" w:rsidRDefault="00CF3251" w:rsidP="00E435BB">
            <w:pPr>
              <w:pStyle w:val="KMC16-Tablecontent"/>
              <w:keepNext/>
              <w:jc w:val="right"/>
              <w:rPr>
                <w:color w:val="auto"/>
                <w:lang w:val="en-AU"/>
              </w:rPr>
            </w:pPr>
            <w:r w:rsidRPr="00836275">
              <w:rPr>
                <w:lang w:val="en-AU"/>
              </w:rPr>
              <w:t>$</w:t>
            </w:r>
            <w:r w:rsidRPr="00836275">
              <w:rPr>
                <w:b/>
                <w:bCs/>
                <w:lang w:val="en-AU"/>
              </w:rPr>
              <w:t>Redacted</w:t>
            </w:r>
            <w:r w:rsidR="009B1DFC" w:rsidRPr="00B156D1">
              <w:rPr>
                <w:vertAlign w:val="superscript"/>
                <w:lang w:val="en-AU"/>
              </w:rPr>
              <w:t>3</w:t>
            </w:r>
          </w:p>
        </w:tc>
        <w:tc>
          <w:tcPr>
            <w:tcW w:w="619" w:type="pct"/>
            <w:noWrap/>
          </w:tcPr>
          <w:p w14:paraId="629DB177" w14:textId="00A0C065" w:rsidR="000C6AF3" w:rsidRPr="00836275" w:rsidRDefault="00CF3251" w:rsidP="00E435BB">
            <w:pPr>
              <w:pStyle w:val="KMC16-Tablecontent"/>
              <w:keepNext/>
              <w:jc w:val="right"/>
              <w:rPr>
                <w:color w:val="auto"/>
                <w:lang w:val="en-AU"/>
              </w:rPr>
            </w:pPr>
            <w:r w:rsidRPr="00836275">
              <w:rPr>
                <w:lang w:val="en-AU"/>
              </w:rPr>
              <w:t>$</w:t>
            </w:r>
            <w:r w:rsidRPr="00836275">
              <w:rPr>
                <w:b/>
                <w:bCs/>
                <w:lang w:val="en-AU"/>
              </w:rPr>
              <w:t>Redacted</w:t>
            </w:r>
            <w:r w:rsidR="009B1DFC" w:rsidRPr="00B156D1">
              <w:rPr>
                <w:vertAlign w:val="superscript"/>
                <w:lang w:val="en-AU"/>
              </w:rPr>
              <w:t>3</w:t>
            </w:r>
          </w:p>
        </w:tc>
        <w:tc>
          <w:tcPr>
            <w:tcW w:w="619" w:type="pct"/>
            <w:noWrap/>
          </w:tcPr>
          <w:p w14:paraId="56AE1911" w14:textId="3201A142" w:rsidR="000C6AF3" w:rsidRPr="00836275" w:rsidRDefault="00CF3251" w:rsidP="00E435BB">
            <w:pPr>
              <w:pStyle w:val="KMC16-Tablecontent"/>
              <w:keepNext/>
              <w:jc w:val="right"/>
              <w:rPr>
                <w:color w:val="auto"/>
                <w:lang w:val="en-AU"/>
              </w:rPr>
            </w:pPr>
            <w:r w:rsidRPr="00836275">
              <w:rPr>
                <w:lang w:val="en-AU"/>
              </w:rPr>
              <w:t>$</w:t>
            </w:r>
            <w:r w:rsidRPr="00836275">
              <w:rPr>
                <w:b/>
                <w:bCs/>
                <w:lang w:val="en-AU"/>
              </w:rPr>
              <w:t>Redacted</w:t>
            </w:r>
            <w:r w:rsidR="009B1DFC" w:rsidRPr="00B156D1">
              <w:rPr>
                <w:vertAlign w:val="superscript"/>
                <w:lang w:val="en-AU"/>
              </w:rPr>
              <w:t>3</w:t>
            </w:r>
          </w:p>
        </w:tc>
        <w:tc>
          <w:tcPr>
            <w:tcW w:w="619" w:type="pct"/>
            <w:noWrap/>
          </w:tcPr>
          <w:p w14:paraId="70047E29" w14:textId="03942E28" w:rsidR="000C6AF3" w:rsidRPr="00836275" w:rsidRDefault="00AE15AA" w:rsidP="00E435BB">
            <w:pPr>
              <w:pStyle w:val="KMC16-Tablecontent"/>
              <w:keepNext/>
              <w:jc w:val="right"/>
              <w:rPr>
                <w:color w:val="auto"/>
                <w:lang w:val="en-AU"/>
              </w:rPr>
            </w:pPr>
            <w:r w:rsidRPr="00836275">
              <w:rPr>
                <w:lang w:val="en-AU"/>
              </w:rPr>
              <w:t>$</w:t>
            </w:r>
            <w:r w:rsidRPr="00836275">
              <w:rPr>
                <w:b/>
                <w:bCs/>
                <w:lang w:val="en-AU"/>
              </w:rPr>
              <w:t>Redacted</w:t>
            </w:r>
            <w:r w:rsidR="009B1DFC" w:rsidRPr="00B156D1">
              <w:rPr>
                <w:vertAlign w:val="superscript"/>
                <w:lang w:val="en-AU"/>
              </w:rPr>
              <w:t>3</w:t>
            </w:r>
          </w:p>
        </w:tc>
        <w:tc>
          <w:tcPr>
            <w:tcW w:w="619" w:type="pct"/>
            <w:noWrap/>
          </w:tcPr>
          <w:p w14:paraId="7768D4B1" w14:textId="3D4009F7" w:rsidR="000C6AF3" w:rsidRPr="00836275" w:rsidRDefault="00AE15AA" w:rsidP="00E435BB">
            <w:pPr>
              <w:pStyle w:val="KMC16-Tablecontent"/>
              <w:keepNext/>
              <w:jc w:val="right"/>
              <w:rPr>
                <w:color w:val="auto"/>
                <w:lang w:val="en-AU"/>
              </w:rPr>
            </w:pPr>
            <w:r w:rsidRPr="00836275">
              <w:rPr>
                <w:lang w:val="en-AU"/>
              </w:rPr>
              <w:t>$</w:t>
            </w:r>
            <w:r w:rsidRPr="00836275">
              <w:rPr>
                <w:b/>
                <w:bCs/>
                <w:lang w:val="en-AU"/>
              </w:rPr>
              <w:t>Redacted</w:t>
            </w:r>
            <w:r w:rsidR="009B1DFC" w:rsidRPr="00B156D1">
              <w:rPr>
                <w:vertAlign w:val="superscript"/>
                <w:lang w:val="en-AU"/>
              </w:rPr>
              <w:t>3</w:t>
            </w:r>
          </w:p>
        </w:tc>
        <w:tc>
          <w:tcPr>
            <w:tcW w:w="653" w:type="pct"/>
            <w:noWrap/>
          </w:tcPr>
          <w:p w14:paraId="0BB4766D" w14:textId="5CCB14EE" w:rsidR="000C6AF3" w:rsidRPr="00836275" w:rsidRDefault="00AE15AA" w:rsidP="00E435BB">
            <w:pPr>
              <w:pStyle w:val="KMC16-Tablecontent"/>
              <w:keepNext/>
              <w:jc w:val="right"/>
              <w:rPr>
                <w:color w:val="auto"/>
                <w:lang w:val="en-AU"/>
              </w:rPr>
            </w:pPr>
            <w:r w:rsidRPr="00836275">
              <w:rPr>
                <w:lang w:val="en-AU"/>
              </w:rPr>
              <w:t>$</w:t>
            </w:r>
            <w:r w:rsidRPr="00836275">
              <w:rPr>
                <w:b/>
                <w:bCs/>
                <w:lang w:val="en-AU"/>
              </w:rPr>
              <w:t>Redacted</w:t>
            </w:r>
            <w:r w:rsidR="009B1DFC" w:rsidRPr="00B156D1">
              <w:rPr>
                <w:vertAlign w:val="superscript"/>
                <w:lang w:val="en-AU"/>
              </w:rPr>
              <w:t>3</w:t>
            </w:r>
          </w:p>
        </w:tc>
      </w:tr>
      <w:tr w:rsidR="00836275" w:rsidRPr="00E4592D" w14:paraId="3310640E" w14:textId="77777777" w:rsidTr="00AE15AA">
        <w:trPr>
          <w:trHeight w:val="270"/>
        </w:trPr>
        <w:tc>
          <w:tcPr>
            <w:tcW w:w="1250" w:type="pct"/>
            <w:noWrap/>
            <w:vAlign w:val="bottom"/>
            <w:hideMark/>
          </w:tcPr>
          <w:p w14:paraId="3A618E55" w14:textId="15AA6303" w:rsidR="000C6AF3" w:rsidRPr="004A478D" w:rsidRDefault="000C6AF3" w:rsidP="004A2A66">
            <w:pPr>
              <w:pStyle w:val="KMC16-Tablecontent"/>
              <w:rPr>
                <w:b/>
                <w:lang w:val="en-AU"/>
              </w:rPr>
            </w:pPr>
            <w:r w:rsidRPr="004A478D">
              <w:rPr>
                <w:b/>
                <w:lang w:val="en-AU"/>
              </w:rPr>
              <w:t xml:space="preserve">Total </w:t>
            </w:r>
            <w:r w:rsidR="002D39F9">
              <w:rPr>
                <w:b/>
                <w:lang w:val="en-AU"/>
              </w:rPr>
              <w:t>n</w:t>
            </w:r>
            <w:r w:rsidRPr="00A54EDF">
              <w:rPr>
                <w:b/>
                <w:lang w:val="en-AU"/>
              </w:rPr>
              <w:t xml:space="preserve">et </w:t>
            </w:r>
            <w:r w:rsidR="002D39F9">
              <w:rPr>
                <w:b/>
                <w:lang w:val="en-AU"/>
              </w:rPr>
              <w:t>c</w:t>
            </w:r>
            <w:r w:rsidRPr="004A478D">
              <w:rPr>
                <w:b/>
                <w:lang w:val="en-AU"/>
              </w:rPr>
              <w:t>ost</w:t>
            </w:r>
          </w:p>
        </w:tc>
        <w:tc>
          <w:tcPr>
            <w:tcW w:w="619" w:type="pct"/>
            <w:noWrap/>
          </w:tcPr>
          <w:p w14:paraId="4B9E2BAB" w14:textId="5317E68E" w:rsidR="000C6AF3" w:rsidRPr="00836275" w:rsidRDefault="00CF3251" w:rsidP="004A2A66">
            <w:pPr>
              <w:pStyle w:val="KMC16-Tablecontent"/>
              <w:jc w:val="right"/>
              <w:rPr>
                <w:color w:val="auto"/>
                <w:lang w:val="en-AU"/>
              </w:rPr>
            </w:pPr>
            <w:r w:rsidRPr="00836275">
              <w:rPr>
                <w:lang w:val="en-AU"/>
              </w:rPr>
              <w:t>$</w:t>
            </w:r>
            <w:r w:rsidRPr="00836275">
              <w:rPr>
                <w:b/>
                <w:bCs/>
                <w:lang w:val="en-AU"/>
              </w:rPr>
              <w:t>Redacted</w:t>
            </w:r>
            <w:r w:rsidR="009B1DFC" w:rsidRPr="00B156D1">
              <w:rPr>
                <w:vertAlign w:val="superscript"/>
                <w:lang w:val="en-AU"/>
              </w:rPr>
              <w:t>3</w:t>
            </w:r>
          </w:p>
        </w:tc>
        <w:tc>
          <w:tcPr>
            <w:tcW w:w="619" w:type="pct"/>
            <w:noWrap/>
          </w:tcPr>
          <w:p w14:paraId="0DFE2254" w14:textId="56F4A755" w:rsidR="000C6AF3" w:rsidRPr="00836275" w:rsidRDefault="00CF3251" w:rsidP="004A2A66">
            <w:pPr>
              <w:pStyle w:val="KMC16-Tablecontent"/>
              <w:jc w:val="right"/>
              <w:rPr>
                <w:color w:val="auto"/>
                <w:lang w:val="en-AU"/>
              </w:rPr>
            </w:pPr>
            <w:r w:rsidRPr="00836275">
              <w:rPr>
                <w:lang w:val="en-AU"/>
              </w:rPr>
              <w:t>$</w:t>
            </w:r>
            <w:r w:rsidRPr="00836275">
              <w:rPr>
                <w:b/>
                <w:bCs/>
                <w:lang w:val="en-AU"/>
              </w:rPr>
              <w:t>Redacted</w:t>
            </w:r>
            <w:r w:rsidR="009B1DFC" w:rsidRPr="00B156D1">
              <w:rPr>
                <w:vertAlign w:val="superscript"/>
                <w:lang w:val="en-AU"/>
              </w:rPr>
              <w:t>3</w:t>
            </w:r>
          </w:p>
        </w:tc>
        <w:tc>
          <w:tcPr>
            <w:tcW w:w="619" w:type="pct"/>
            <w:noWrap/>
          </w:tcPr>
          <w:p w14:paraId="6977B6DF" w14:textId="1A9FF838" w:rsidR="000C6AF3" w:rsidRPr="00836275" w:rsidRDefault="00CF3251" w:rsidP="004A2A66">
            <w:pPr>
              <w:pStyle w:val="KMC16-Tablecontent"/>
              <w:jc w:val="right"/>
              <w:rPr>
                <w:color w:val="auto"/>
                <w:lang w:val="en-AU"/>
              </w:rPr>
            </w:pPr>
            <w:r w:rsidRPr="00836275">
              <w:rPr>
                <w:lang w:val="en-AU"/>
              </w:rPr>
              <w:t>$</w:t>
            </w:r>
            <w:r w:rsidRPr="00836275">
              <w:rPr>
                <w:b/>
                <w:bCs/>
                <w:lang w:val="en-AU"/>
              </w:rPr>
              <w:t>Redacted</w:t>
            </w:r>
            <w:r w:rsidR="009B1DFC" w:rsidRPr="00B156D1">
              <w:rPr>
                <w:vertAlign w:val="superscript"/>
                <w:lang w:val="en-AU"/>
              </w:rPr>
              <w:t>3</w:t>
            </w:r>
          </w:p>
        </w:tc>
        <w:tc>
          <w:tcPr>
            <w:tcW w:w="619" w:type="pct"/>
            <w:noWrap/>
          </w:tcPr>
          <w:p w14:paraId="30AF785B" w14:textId="54B59C0B" w:rsidR="000C6AF3" w:rsidRPr="00836275" w:rsidRDefault="00AE15AA" w:rsidP="004A2A66">
            <w:pPr>
              <w:pStyle w:val="KMC16-Tablecontent"/>
              <w:jc w:val="right"/>
              <w:rPr>
                <w:color w:val="auto"/>
                <w:lang w:val="en-AU"/>
              </w:rPr>
            </w:pPr>
            <w:r w:rsidRPr="00836275">
              <w:rPr>
                <w:lang w:val="en-AU"/>
              </w:rPr>
              <w:t>$</w:t>
            </w:r>
            <w:r w:rsidRPr="00836275">
              <w:rPr>
                <w:b/>
                <w:bCs/>
                <w:lang w:val="en-AU"/>
              </w:rPr>
              <w:t>Redacted</w:t>
            </w:r>
            <w:r w:rsidR="009B1DFC" w:rsidRPr="00B156D1">
              <w:rPr>
                <w:vertAlign w:val="superscript"/>
                <w:lang w:val="en-AU"/>
              </w:rPr>
              <w:t>3</w:t>
            </w:r>
          </w:p>
        </w:tc>
        <w:tc>
          <w:tcPr>
            <w:tcW w:w="619" w:type="pct"/>
            <w:noWrap/>
          </w:tcPr>
          <w:p w14:paraId="56A911C0" w14:textId="7D80DE20" w:rsidR="000C6AF3" w:rsidRPr="00836275" w:rsidRDefault="00AE15AA" w:rsidP="004A2A66">
            <w:pPr>
              <w:pStyle w:val="KMC16-Tablecontent"/>
              <w:jc w:val="right"/>
              <w:rPr>
                <w:color w:val="auto"/>
                <w:lang w:val="en-AU"/>
              </w:rPr>
            </w:pPr>
            <w:r w:rsidRPr="00836275">
              <w:rPr>
                <w:lang w:val="en-AU"/>
              </w:rPr>
              <w:t>$</w:t>
            </w:r>
            <w:r w:rsidRPr="00836275">
              <w:rPr>
                <w:b/>
                <w:bCs/>
                <w:lang w:val="en-AU"/>
              </w:rPr>
              <w:t>Redacted</w:t>
            </w:r>
            <w:r w:rsidR="009B1DFC" w:rsidRPr="00B156D1">
              <w:rPr>
                <w:vertAlign w:val="superscript"/>
                <w:lang w:val="en-AU"/>
              </w:rPr>
              <w:t>3</w:t>
            </w:r>
          </w:p>
        </w:tc>
        <w:tc>
          <w:tcPr>
            <w:tcW w:w="653" w:type="pct"/>
            <w:noWrap/>
          </w:tcPr>
          <w:p w14:paraId="2F1AD2A9" w14:textId="57058551" w:rsidR="000C6AF3" w:rsidRPr="00836275" w:rsidRDefault="00AE15AA" w:rsidP="004A2A66">
            <w:pPr>
              <w:pStyle w:val="KMC16-Tablecontent"/>
              <w:jc w:val="right"/>
              <w:rPr>
                <w:color w:val="auto"/>
                <w:lang w:val="en-AU"/>
              </w:rPr>
            </w:pPr>
            <w:r w:rsidRPr="00836275">
              <w:rPr>
                <w:lang w:val="en-AU"/>
              </w:rPr>
              <w:t>$</w:t>
            </w:r>
            <w:r w:rsidRPr="00836275">
              <w:rPr>
                <w:b/>
                <w:bCs/>
                <w:lang w:val="en-AU"/>
              </w:rPr>
              <w:t>Redacted</w:t>
            </w:r>
            <w:r w:rsidR="009B1DFC" w:rsidRPr="00B156D1">
              <w:rPr>
                <w:vertAlign w:val="superscript"/>
                <w:lang w:val="en-AU"/>
              </w:rPr>
              <w:t>3</w:t>
            </w:r>
          </w:p>
        </w:tc>
      </w:tr>
    </w:tbl>
    <w:p w14:paraId="4479EE3D" w14:textId="77777777" w:rsidR="00DF67A2" w:rsidRPr="003027B3" w:rsidRDefault="00DF67A2" w:rsidP="00DF67A2">
      <w:pPr>
        <w:pStyle w:val="KMC16-TFNotes"/>
        <w:rPr>
          <w:rFonts w:ascii="Arial Narrow" w:hAnsi="Arial Narrow"/>
          <w:sz w:val="18"/>
          <w:szCs w:val="18"/>
          <w:u w:val="single"/>
        </w:rPr>
      </w:pPr>
      <w:r w:rsidRPr="003027B3">
        <w:rPr>
          <w:rFonts w:ascii="Arial Narrow" w:hAnsi="Arial Narrow"/>
          <w:b/>
          <w:bCs/>
          <w:sz w:val="18"/>
          <w:szCs w:val="18"/>
          <w:u w:val="single"/>
        </w:rPr>
        <w:t>Abbreviations</w:t>
      </w:r>
    </w:p>
    <w:p w14:paraId="0D5016C8" w14:textId="4B42C6F9" w:rsidR="00DF67A2" w:rsidRPr="003027B3" w:rsidRDefault="00DF67A2" w:rsidP="00E435BB">
      <w:pPr>
        <w:pStyle w:val="KMC16-TFNotes"/>
        <w:jc w:val="left"/>
        <w:rPr>
          <w:rFonts w:ascii="Arial Narrow" w:hAnsi="Arial Narrow"/>
          <w:sz w:val="18"/>
          <w:szCs w:val="18"/>
        </w:rPr>
      </w:pPr>
      <w:r w:rsidRPr="003027B3">
        <w:rPr>
          <w:rFonts w:ascii="Arial Narrow" w:hAnsi="Arial Narrow"/>
          <w:b/>
          <w:bCs/>
          <w:sz w:val="18"/>
          <w:szCs w:val="18"/>
        </w:rPr>
        <w:t>FSL</w:t>
      </w:r>
      <w:r w:rsidRPr="003027B3">
        <w:rPr>
          <w:rFonts w:ascii="Arial Narrow" w:hAnsi="Arial Narrow"/>
          <w:sz w:val="18"/>
          <w:szCs w:val="18"/>
        </w:rPr>
        <w:t xml:space="preserve"> = FreeStyle Libre Continuous Glucose Monitoring, </w:t>
      </w:r>
      <w:r w:rsidRPr="003027B3">
        <w:rPr>
          <w:rFonts w:ascii="Arial Narrow" w:hAnsi="Arial Narrow"/>
          <w:b/>
          <w:bCs/>
          <w:sz w:val="18"/>
          <w:szCs w:val="18"/>
        </w:rPr>
        <w:t>GDM</w:t>
      </w:r>
      <w:r w:rsidRPr="003027B3">
        <w:rPr>
          <w:rFonts w:ascii="Arial Narrow" w:hAnsi="Arial Narrow"/>
          <w:sz w:val="18"/>
          <w:szCs w:val="18"/>
        </w:rPr>
        <w:t xml:space="preserve"> = gestational diabetes, </w:t>
      </w:r>
      <w:r w:rsidRPr="003027B3">
        <w:rPr>
          <w:rFonts w:ascii="Arial Narrow" w:hAnsi="Arial Narrow"/>
          <w:b/>
          <w:bCs/>
          <w:sz w:val="18"/>
          <w:szCs w:val="18"/>
        </w:rPr>
        <w:t>SMBG</w:t>
      </w:r>
      <w:r w:rsidRPr="003027B3">
        <w:rPr>
          <w:rFonts w:ascii="Arial Narrow" w:hAnsi="Arial Narrow"/>
          <w:sz w:val="18"/>
          <w:szCs w:val="18"/>
        </w:rPr>
        <w:t xml:space="preserve"> = self-monitoring of blood glucose. </w:t>
      </w:r>
      <w:r w:rsidR="00C70CF3" w:rsidRPr="003027B3">
        <w:rPr>
          <w:rFonts w:ascii="Arial Narrow" w:hAnsi="Arial Narrow"/>
          <w:sz w:val="18"/>
          <w:szCs w:val="18"/>
        </w:rPr>
        <w:br/>
      </w:r>
      <w:r w:rsidR="00C70CF3" w:rsidRPr="003027B3">
        <w:rPr>
          <w:rFonts w:ascii="Arial Narrow" w:hAnsi="Arial Narrow"/>
          <w:b/>
          <w:bCs/>
          <w:sz w:val="18"/>
          <w:szCs w:val="18"/>
          <w:u w:val="single"/>
        </w:rPr>
        <w:t>Notes</w:t>
      </w:r>
      <w:r w:rsidR="00C70CF3" w:rsidRPr="003027B3">
        <w:rPr>
          <w:rFonts w:ascii="Arial Narrow" w:hAnsi="Arial Narrow"/>
          <w:b/>
          <w:bCs/>
          <w:sz w:val="18"/>
          <w:szCs w:val="18"/>
          <w:u w:val="single"/>
        </w:rPr>
        <w:br/>
      </w:r>
      <w:r w:rsidR="00C70CF3" w:rsidRPr="003027B3">
        <w:rPr>
          <w:rFonts w:ascii="Arial Narrow" w:hAnsi="Arial Narrow"/>
          <w:sz w:val="18"/>
          <w:szCs w:val="18"/>
        </w:rPr>
        <w:t>All currencies represent AUD.</w:t>
      </w:r>
    </w:p>
    <w:p w14:paraId="337F1961" w14:textId="77777777" w:rsidR="00AB5262" w:rsidRDefault="00AB5262" w:rsidP="00AB5262">
      <w:pPr>
        <w:pStyle w:val="KMC16-TFNotes"/>
        <w:jc w:val="left"/>
        <w:rPr>
          <w:rFonts w:ascii="Arial Narrow" w:hAnsi="Arial Narrow"/>
          <w:sz w:val="18"/>
          <w:szCs w:val="18"/>
        </w:rPr>
      </w:pPr>
      <w:r>
        <w:rPr>
          <w:rFonts w:ascii="Arial Narrow" w:hAnsi="Arial Narrow"/>
          <w:sz w:val="18"/>
          <w:szCs w:val="18"/>
        </w:rPr>
        <w:t>The redacted values correspond to the following ranges:</w:t>
      </w:r>
    </w:p>
    <w:p w14:paraId="2DFD61E6" w14:textId="77777777" w:rsidR="00AB5262" w:rsidRDefault="00AB5262" w:rsidP="00AB5262">
      <w:pPr>
        <w:pStyle w:val="KMC16-TFNotes"/>
        <w:jc w:val="left"/>
        <w:rPr>
          <w:rFonts w:ascii="Arial Narrow" w:hAnsi="Arial Narrow"/>
          <w:sz w:val="18"/>
          <w:szCs w:val="18"/>
        </w:rPr>
      </w:pPr>
      <w:r>
        <w:rPr>
          <w:rFonts w:ascii="Arial Narrow" w:hAnsi="Arial Narrow"/>
          <w:sz w:val="18"/>
          <w:szCs w:val="18"/>
          <w:vertAlign w:val="superscript"/>
        </w:rPr>
        <w:t>1</w:t>
      </w:r>
      <w:r>
        <w:rPr>
          <w:rFonts w:ascii="Arial Narrow" w:hAnsi="Arial Narrow"/>
          <w:sz w:val="18"/>
          <w:szCs w:val="18"/>
        </w:rPr>
        <w:t xml:space="preserve"> 10,000 to &lt; 20,000</w:t>
      </w:r>
    </w:p>
    <w:p w14:paraId="6CA18F37" w14:textId="77777777" w:rsidR="00AB5262" w:rsidRDefault="00AB5262" w:rsidP="00F37DB1">
      <w:pPr>
        <w:pStyle w:val="KMC16-TFNotes"/>
        <w:jc w:val="left"/>
        <w:rPr>
          <w:rFonts w:ascii="Arial Narrow" w:hAnsi="Arial Narrow"/>
          <w:sz w:val="18"/>
          <w:szCs w:val="18"/>
        </w:rPr>
      </w:pPr>
      <w:r w:rsidRPr="00D95A3C">
        <w:rPr>
          <w:rFonts w:ascii="Arial Narrow" w:hAnsi="Arial Narrow"/>
          <w:sz w:val="18"/>
          <w:szCs w:val="18"/>
          <w:vertAlign w:val="superscript"/>
        </w:rPr>
        <w:t>2</w:t>
      </w:r>
      <w:r>
        <w:rPr>
          <w:rFonts w:ascii="Arial Narrow" w:hAnsi="Arial Narrow"/>
          <w:sz w:val="18"/>
          <w:szCs w:val="18"/>
        </w:rPr>
        <w:t xml:space="preserve"> 20,000 to &lt; 30,000</w:t>
      </w:r>
    </w:p>
    <w:p w14:paraId="0D0028F2" w14:textId="38B94133" w:rsidR="00AB5262" w:rsidRDefault="00AB5262" w:rsidP="00F37DB1">
      <w:pPr>
        <w:pStyle w:val="KMC16-TFNotes"/>
        <w:jc w:val="left"/>
        <w:rPr>
          <w:rFonts w:ascii="Arial Narrow" w:hAnsi="Arial Narrow"/>
          <w:sz w:val="18"/>
          <w:szCs w:val="18"/>
        </w:rPr>
      </w:pPr>
      <w:proofErr w:type="gramStart"/>
      <w:r w:rsidRPr="00D95A3C">
        <w:rPr>
          <w:rFonts w:ascii="Arial Narrow" w:hAnsi="Arial Narrow"/>
          <w:sz w:val="18"/>
          <w:szCs w:val="18"/>
          <w:vertAlign w:val="superscript"/>
        </w:rPr>
        <w:t>3</w:t>
      </w:r>
      <w:r>
        <w:rPr>
          <w:rFonts w:ascii="Arial Narrow" w:hAnsi="Arial Narrow"/>
          <w:sz w:val="18"/>
          <w:szCs w:val="18"/>
        </w:rPr>
        <w:t xml:space="preserve"> </w:t>
      </w:r>
      <w:r w:rsidR="00415DA6" w:rsidRPr="00D95A3C">
        <w:rPr>
          <w:rFonts w:ascii="Arial Narrow" w:hAnsi="Arial Narrow"/>
          <w:sz w:val="18"/>
          <w:szCs w:val="18"/>
          <w:vertAlign w:val="superscript"/>
        </w:rPr>
        <w:t xml:space="preserve"> </w:t>
      </w:r>
      <w:r w:rsidR="00415DA6">
        <w:rPr>
          <w:rFonts w:ascii="Arial Narrow" w:hAnsi="Arial Narrow"/>
          <w:sz w:val="18"/>
          <w:szCs w:val="18"/>
        </w:rPr>
        <w:t>$</w:t>
      </w:r>
      <w:proofErr w:type="gramEnd"/>
      <w:r w:rsidR="00415DA6">
        <w:rPr>
          <w:rFonts w:ascii="Arial Narrow" w:hAnsi="Arial Narrow"/>
          <w:sz w:val="18"/>
          <w:szCs w:val="18"/>
        </w:rPr>
        <w:t>0 to &lt; $10 million</w:t>
      </w:r>
    </w:p>
    <w:p w14:paraId="006C5865" w14:textId="6D506CB5" w:rsidR="00AB5262" w:rsidRPr="003027B3" w:rsidRDefault="00AB5262" w:rsidP="00E435BB">
      <w:pPr>
        <w:pStyle w:val="KMC16-TFNotes"/>
        <w:jc w:val="left"/>
        <w:rPr>
          <w:rFonts w:ascii="Arial Narrow" w:hAnsi="Arial Narrow"/>
          <w:sz w:val="18"/>
          <w:szCs w:val="18"/>
        </w:rPr>
      </w:pPr>
      <w:r w:rsidRPr="00D95A3C">
        <w:rPr>
          <w:rFonts w:ascii="Arial Narrow" w:hAnsi="Arial Narrow"/>
          <w:sz w:val="18"/>
          <w:szCs w:val="18"/>
          <w:vertAlign w:val="superscript"/>
        </w:rPr>
        <w:t>4</w:t>
      </w:r>
      <w:r>
        <w:rPr>
          <w:rFonts w:ascii="Arial Narrow" w:hAnsi="Arial Narrow"/>
          <w:sz w:val="18"/>
          <w:szCs w:val="18"/>
        </w:rPr>
        <w:t xml:space="preserve"> </w:t>
      </w:r>
      <w:r w:rsidR="009B1DFC">
        <w:rPr>
          <w:rFonts w:ascii="Arial Narrow" w:hAnsi="Arial Narrow"/>
          <w:sz w:val="18"/>
          <w:szCs w:val="18"/>
        </w:rPr>
        <w:t>$10 million to &lt; $20 million</w:t>
      </w:r>
    </w:p>
    <w:p w14:paraId="099719CC" w14:textId="0F4AC1C5" w:rsidR="004A60FE" w:rsidRPr="004A60FE" w:rsidRDefault="004A60FE" w:rsidP="000C6AF3">
      <w:r w:rsidRPr="006536A3">
        <w:rPr>
          <w:rStyle w:val="InstructionaltextChar"/>
          <w:rFonts w:eastAsiaTheme="majorEastAsia" w:cstheme="majorBidi"/>
          <w:b/>
          <w:bCs/>
          <w:color w:val="auto"/>
          <w:sz w:val="24"/>
          <w:szCs w:val="24"/>
        </w:rPr>
        <w:t>PICO Set 3</w:t>
      </w:r>
    </w:p>
    <w:p w14:paraId="36BE2583" w14:textId="40E53B15" w:rsidR="000C6AF3" w:rsidRDefault="000C6AF3" w:rsidP="000C6AF3">
      <w:r>
        <w:t>There was a paucity of data to inform the population size</w:t>
      </w:r>
      <w:r w:rsidR="005A1BF0">
        <w:t>, t</w:t>
      </w:r>
      <w:r>
        <w:t xml:space="preserve">herefore the most accurate source was determined to be </w:t>
      </w:r>
      <w:r w:rsidRPr="00D82F12">
        <w:t>NDSS snapshot data</w:t>
      </w:r>
      <w:r>
        <w:t xml:space="preserve">. The </w:t>
      </w:r>
      <w:r w:rsidR="00A27D5B">
        <w:t xml:space="preserve">ADAR </w:t>
      </w:r>
      <w:r>
        <w:t xml:space="preserve">used a population of </w:t>
      </w:r>
      <w:r w:rsidRPr="00BA6C7B">
        <w:t xml:space="preserve">8,009 </w:t>
      </w:r>
      <w:r>
        <w:t>who were</w:t>
      </w:r>
      <w:r w:rsidRPr="00BA6C7B">
        <w:t xml:space="preserve"> registered with the NDSS as </w:t>
      </w:r>
      <w:r w:rsidR="0097087B">
        <w:t>‘</w:t>
      </w:r>
      <w:r w:rsidRPr="00BA6C7B">
        <w:t xml:space="preserve">other </w:t>
      </w:r>
      <w:r w:rsidRPr="00A54EDF">
        <w:t>diabetes</w:t>
      </w:r>
      <w:r w:rsidR="00EC0AA7">
        <w:t>’</w:t>
      </w:r>
      <w:r w:rsidRPr="00BA6C7B">
        <w:t xml:space="preserve"> requiring insulin </w:t>
      </w:r>
      <w:r>
        <w:t>(as of June 2024).</w:t>
      </w:r>
      <w:r w:rsidR="00FD649A">
        <w:t xml:space="preserve"> </w:t>
      </w:r>
      <w:r>
        <w:t>It was assumed that uptake in people with other diabetes was equivalent to uptake in intensive</w:t>
      </w:r>
      <w:r w:rsidR="00EC0AA7">
        <w:t xml:space="preserve"> </w:t>
      </w:r>
      <w:r>
        <w:t>insulin users (calculated using French and Swedish real-world data).</w:t>
      </w:r>
      <w:r w:rsidR="00FD649A">
        <w:t xml:space="preserve"> </w:t>
      </w:r>
      <w:r>
        <w:t xml:space="preserve">As </w:t>
      </w:r>
      <w:r w:rsidR="002205D3">
        <w:t>for</w:t>
      </w:r>
      <w:r>
        <w:t xml:space="preserve"> T2D people requiring insulin, the </w:t>
      </w:r>
      <w:r w:rsidR="00A27D5B">
        <w:t xml:space="preserve">ADAR </w:t>
      </w:r>
      <w:r>
        <w:t xml:space="preserve">assumed 24 sensors </w:t>
      </w:r>
      <w:r w:rsidR="00FD649A">
        <w:t xml:space="preserve">would be required </w:t>
      </w:r>
      <w:r>
        <w:t xml:space="preserve">annually. </w:t>
      </w:r>
      <w:r w:rsidRPr="00CE28E3">
        <w:t xml:space="preserve">The financial implications to the </w:t>
      </w:r>
      <w:r>
        <w:t>NDSS</w:t>
      </w:r>
      <w:r w:rsidRPr="00CE28E3">
        <w:t xml:space="preserve"> resulting from the proposed listing of </w:t>
      </w:r>
      <w:r>
        <w:t xml:space="preserve">FSL in people with </w:t>
      </w:r>
      <w:r w:rsidR="0097087B">
        <w:t>‘</w:t>
      </w:r>
      <w:r>
        <w:t>other</w:t>
      </w:r>
      <w:r w:rsidR="0097087B">
        <w:t>’</w:t>
      </w:r>
      <w:r>
        <w:t xml:space="preserve"> diabetes</w:t>
      </w:r>
      <w:r w:rsidRPr="00CE28E3">
        <w:t xml:space="preserve"> are summarised in </w:t>
      </w:r>
      <w:r>
        <w:fldChar w:fldCharType="begin"/>
      </w:r>
      <w:r>
        <w:instrText xml:space="preserve"> REF _Ref192773551 \h </w:instrText>
      </w:r>
      <w:r>
        <w:fldChar w:fldCharType="separate"/>
      </w:r>
      <w:r w:rsidR="00315A60" w:rsidRPr="00CE28E3">
        <w:t>Table</w:t>
      </w:r>
      <w:r w:rsidR="00315A60">
        <w:t> </w:t>
      </w:r>
      <w:r w:rsidR="00315A60">
        <w:rPr>
          <w:noProof/>
        </w:rPr>
        <w:t>17</w:t>
      </w:r>
      <w:r>
        <w:fldChar w:fldCharType="end"/>
      </w:r>
      <w:r>
        <w:t>.</w:t>
      </w:r>
    </w:p>
    <w:p w14:paraId="608F2E5D" w14:textId="303F74B4" w:rsidR="00DB327F" w:rsidRPr="00746A07" w:rsidRDefault="00DB327F" w:rsidP="000C6AF3">
      <w:r w:rsidRPr="000F5E75">
        <w:t xml:space="preserve">Across all </w:t>
      </w:r>
      <w:r w:rsidR="00CD6A05" w:rsidRPr="000F5E75">
        <w:t>3</w:t>
      </w:r>
      <w:r w:rsidR="00184CF3" w:rsidRPr="000F5E75">
        <w:t xml:space="preserve"> PICO sets and all insulin users, the ADAR </w:t>
      </w:r>
      <w:r w:rsidRPr="000F5E75">
        <w:t>assumed equivalent use of SMBG</w:t>
      </w:r>
      <w:r w:rsidR="00184CF3" w:rsidRPr="000F5E75">
        <w:t xml:space="preserve"> per user</w:t>
      </w:r>
      <w:r w:rsidR="007D001A" w:rsidRPr="000F5E75">
        <w:t>.</w:t>
      </w:r>
      <w:r w:rsidRPr="000F5E75">
        <w:t xml:space="preserve"> No evidence was provided to support this</w:t>
      </w:r>
      <w:r w:rsidR="007D001A" w:rsidRPr="000F5E75">
        <w:t>.</w:t>
      </w:r>
    </w:p>
    <w:p w14:paraId="37B1D6C7" w14:textId="78C88445" w:rsidR="000C6AF3" w:rsidRPr="00CE28E3" w:rsidRDefault="000C6AF3" w:rsidP="00791334">
      <w:pPr>
        <w:pStyle w:val="Caption"/>
        <w:keepLines/>
      </w:pPr>
      <w:bookmarkStart w:id="83" w:name="_Ref192773551"/>
      <w:r w:rsidRPr="00CE28E3">
        <w:t>Table</w:t>
      </w:r>
      <w:r>
        <w:t> </w:t>
      </w:r>
      <w:r w:rsidR="00315A60">
        <w:fldChar w:fldCharType="begin"/>
      </w:r>
      <w:r w:rsidR="00315A60">
        <w:instrText xml:space="preserve"> SEQ Table \* ARABIC </w:instrText>
      </w:r>
      <w:r w:rsidR="00315A60">
        <w:fldChar w:fldCharType="separate"/>
      </w:r>
      <w:r w:rsidR="00315A60">
        <w:rPr>
          <w:noProof/>
        </w:rPr>
        <w:t>17</w:t>
      </w:r>
      <w:r w:rsidR="00315A60">
        <w:rPr>
          <w:noProof/>
        </w:rPr>
        <w:fldChar w:fldCharType="end"/>
      </w:r>
      <w:bookmarkEnd w:id="83"/>
      <w:r w:rsidRPr="00CE28E3">
        <w:tab/>
        <w:t xml:space="preserve">Net financial implications of </w:t>
      </w:r>
      <w:r>
        <w:t xml:space="preserve">FSL </w:t>
      </w:r>
      <w:r w:rsidRPr="00CE28E3">
        <w:t xml:space="preserve">to </w:t>
      </w:r>
      <w:r>
        <w:t>NDSS (</w:t>
      </w:r>
      <w:r w:rsidR="0097087B">
        <w:t>‘</w:t>
      </w:r>
      <w:r w:rsidRPr="0019610C">
        <w:t>other</w:t>
      </w:r>
      <w:r w:rsidR="0097087B">
        <w:t>’</w:t>
      </w:r>
      <w:r w:rsidRPr="0019610C">
        <w:t xml:space="preserve"> diabetes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1012"/>
        <w:gridCol w:w="1012"/>
        <w:gridCol w:w="1012"/>
        <w:gridCol w:w="1012"/>
        <w:gridCol w:w="1012"/>
        <w:gridCol w:w="1012"/>
      </w:tblGrid>
      <w:tr w:rsidR="000C6AF3" w:rsidRPr="00E4592D" w14:paraId="3AE03F26" w14:textId="77777777" w:rsidTr="003C077C">
        <w:trPr>
          <w:trHeight w:val="255"/>
        </w:trPr>
        <w:tc>
          <w:tcPr>
            <w:tcW w:w="1412" w:type="pct"/>
            <w:vMerge w:val="restart"/>
            <w:noWrap/>
            <w:vAlign w:val="center"/>
          </w:tcPr>
          <w:p w14:paraId="3C894F02" w14:textId="77777777" w:rsidR="000C6AF3" w:rsidRPr="004A478D" w:rsidRDefault="000C6AF3" w:rsidP="00791334">
            <w:pPr>
              <w:pStyle w:val="KMC16-Tablecontent"/>
              <w:keepNext/>
              <w:keepLines/>
              <w:rPr>
                <w:b/>
                <w:lang w:val="en-AU"/>
              </w:rPr>
            </w:pPr>
            <w:r w:rsidRPr="004A478D">
              <w:rPr>
                <w:b/>
                <w:lang w:val="en-AU"/>
              </w:rPr>
              <w:t> </w:t>
            </w:r>
          </w:p>
        </w:tc>
        <w:tc>
          <w:tcPr>
            <w:tcW w:w="3588" w:type="pct"/>
            <w:gridSpan w:val="6"/>
            <w:noWrap/>
            <w:vAlign w:val="center"/>
          </w:tcPr>
          <w:p w14:paraId="7AA8DAD6" w14:textId="082ECC2A" w:rsidR="000C6AF3" w:rsidRPr="00C77835" w:rsidRDefault="000C6AF3" w:rsidP="00791334">
            <w:pPr>
              <w:pStyle w:val="KMC16-Tablecontent"/>
              <w:keepNext/>
              <w:keepLines/>
              <w:jc w:val="center"/>
              <w:rPr>
                <w:b/>
                <w:color w:val="auto"/>
                <w:lang w:val="en-AU"/>
              </w:rPr>
            </w:pPr>
            <w:r w:rsidRPr="00C77835">
              <w:rPr>
                <w:b/>
                <w:color w:val="auto"/>
                <w:lang w:val="en-AU"/>
              </w:rPr>
              <w:t xml:space="preserve">PICO Set 3 </w:t>
            </w:r>
            <w:r w:rsidR="00BC6A97">
              <w:rPr>
                <w:b/>
                <w:color w:val="auto"/>
                <w:lang w:val="en-AU"/>
              </w:rPr>
              <w:t>–</w:t>
            </w:r>
            <w:r w:rsidRPr="00A54EDF">
              <w:rPr>
                <w:b/>
                <w:color w:val="auto"/>
                <w:lang w:val="en-AU"/>
              </w:rPr>
              <w:t xml:space="preserve"> </w:t>
            </w:r>
            <w:r w:rsidR="00BC6A97">
              <w:rPr>
                <w:b/>
                <w:color w:val="auto"/>
                <w:lang w:val="en-AU"/>
              </w:rPr>
              <w:t>o</w:t>
            </w:r>
            <w:r w:rsidRPr="00C77835">
              <w:rPr>
                <w:b/>
                <w:color w:val="auto"/>
                <w:lang w:val="en-AU"/>
              </w:rPr>
              <w:t>ther diabetes</w:t>
            </w:r>
          </w:p>
        </w:tc>
      </w:tr>
      <w:tr w:rsidR="00C75C64" w:rsidRPr="00E4592D" w14:paraId="5602C0DA" w14:textId="77777777" w:rsidTr="003C077C">
        <w:trPr>
          <w:trHeight w:val="255"/>
        </w:trPr>
        <w:tc>
          <w:tcPr>
            <w:tcW w:w="1412" w:type="pct"/>
            <w:vMerge/>
            <w:noWrap/>
            <w:vAlign w:val="center"/>
            <w:hideMark/>
          </w:tcPr>
          <w:p w14:paraId="47E374F0" w14:textId="77777777" w:rsidR="000C6AF3" w:rsidRPr="004A478D" w:rsidRDefault="000C6AF3" w:rsidP="00791334">
            <w:pPr>
              <w:pStyle w:val="KMC16-Tablecontent"/>
              <w:keepNext/>
              <w:keepLines/>
              <w:rPr>
                <w:b/>
                <w:color w:val="auto"/>
                <w:lang w:val="en-AU"/>
              </w:rPr>
            </w:pPr>
          </w:p>
        </w:tc>
        <w:tc>
          <w:tcPr>
            <w:tcW w:w="781" w:type="pct"/>
            <w:noWrap/>
            <w:hideMark/>
          </w:tcPr>
          <w:p w14:paraId="7C09F6BF" w14:textId="77777777" w:rsidR="000C6AF3" w:rsidRPr="00C77835" w:rsidRDefault="000C6AF3" w:rsidP="00791334">
            <w:pPr>
              <w:pStyle w:val="KMC16-Tablecontent"/>
              <w:keepNext/>
              <w:keepLines/>
              <w:jc w:val="center"/>
              <w:rPr>
                <w:b/>
                <w:color w:val="auto"/>
                <w:lang w:val="en-AU"/>
              </w:rPr>
            </w:pPr>
            <w:r w:rsidRPr="005102BE">
              <w:rPr>
                <w:lang w:val="en-AU"/>
              </w:rPr>
              <w:t>Year 1</w:t>
            </w:r>
          </w:p>
        </w:tc>
        <w:tc>
          <w:tcPr>
            <w:tcW w:w="561" w:type="pct"/>
            <w:noWrap/>
          </w:tcPr>
          <w:p w14:paraId="254BFC3E" w14:textId="77777777" w:rsidR="000C6AF3" w:rsidRPr="00C77835" w:rsidRDefault="000C6AF3" w:rsidP="00791334">
            <w:pPr>
              <w:pStyle w:val="KMC16-Tablecontent"/>
              <w:keepNext/>
              <w:keepLines/>
              <w:jc w:val="center"/>
              <w:rPr>
                <w:b/>
                <w:color w:val="auto"/>
                <w:lang w:val="en-AU"/>
              </w:rPr>
            </w:pPr>
            <w:r w:rsidRPr="005102BE">
              <w:rPr>
                <w:lang w:val="en-AU"/>
              </w:rPr>
              <w:t>Year 2</w:t>
            </w:r>
          </w:p>
        </w:tc>
        <w:tc>
          <w:tcPr>
            <w:tcW w:w="561" w:type="pct"/>
            <w:noWrap/>
          </w:tcPr>
          <w:p w14:paraId="6F189DED" w14:textId="77777777" w:rsidR="000C6AF3" w:rsidRPr="00C77835" w:rsidRDefault="000C6AF3" w:rsidP="00791334">
            <w:pPr>
              <w:pStyle w:val="KMC16-Tablecontent"/>
              <w:keepNext/>
              <w:keepLines/>
              <w:jc w:val="center"/>
              <w:rPr>
                <w:b/>
                <w:color w:val="auto"/>
                <w:lang w:val="en-AU"/>
              </w:rPr>
            </w:pPr>
            <w:r w:rsidRPr="005102BE">
              <w:rPr>
                <w:lang w:val="en-AU"/>
              </w:rPr>
              <w:t>Year 3</w:t>
            </w:r>
          </w:p>
        </w:tc>
        <w:tc>
          <w:tcPr>
            <w:tcW w:w="561" w:type="pct"/>
            <w:noWrap/>
          </w:tcPr>
          <w:p w14:paraId="1E6F9146" w14:textId="77777777" w:rsidR="000C6AF3" w:rsidRPr="00C77835" w:rsidRDefault="000C6AF3" w:rsidP="00791334">
            <w:pPr>
              <w:pStyle w:val="KMC16-Tablecontent"/>
              <w:keepNext/>
              <w:keepLines/>
              <w:jc w:val="center"/>
              <w:rPr>
                <w:b/>
                <w:color w:val="auto"/>
                <w:lang w:val="en-AU"/>
              </w:rPr>
            </w:pPr>
            <w:r w:rsidRPr="005102BE">
              <w:rPr>
                <w:lang w:val="en-AU"/>
              </w:rPr>
              <w:t>Year 4</w:t>
            </w:r>
          </w:p>
        </w:tc>
        <w:tc>
          <w:tcPr>
            <w:tcW w:w="561" w:type="pct"/>
            <w:noWrap/>
          </w:tcPr>
          <w:p w14:paraId="3924EDCA" w14:textId="77777777" w:rsidR="000C6AF3" w:rsidRPr="00C77835" w:rsidRDefault="000C6AF3" w:rsidP="00791334">
            <w:pPr>
              <w:pStyle w:val="KMC16-Tablecontent"/>
              <w:keepNext/>
              <w:keepLines/>
              <w:jc w:val="center"/>
              <w:rPr>
                <w:b/>
                <w:color w:val="auto"/>
                <w:lang w:val="en-AU"/>
              </w:rPr>
            </w:pPr>
            <w:r w:rsidRPr="005102BE">
              <w:rPr>
                <w:lang w:val="en-AU"/>
              </w:rPr>
              <w:t>Year 5</w:t>
            </w:r>
          </w:p>
        </w:tc>
        <w:tc>
          <w:tcPr>
            <w:tcW w:w="561" w:type="pct"/>
            <w:noWrap/>
          </w:tcPr>
          <w:p w14:paraId="58C34389" w14:textId="77777777" w:rsidR="000C6AF3" w:rsidRPr="00C77835" w:rsidRDefault="000C6AF3" w:rsidP="00791334">
            <w:pPr>
              <w:pStyle w:val="KMC16-Tablecontent"/>
              <w:keepNext/>
              <w:keepLines/>
              <w:jc w:val="center"/>
              <w:rPr>
                <w:b/>
                <w:color w:val="auto"/>
                <w:lang w:val="en-AU"/>
              </w:rPr>
            </w:pPr>
            <w:r w:rsidRPr="005102BE">
              <w:rPr>
                <w:lang w:val="en-AU"/>
              </w:rPr>
              <w:t>Year 6</w:t>
            </w:r>
          </w:p>
        </w:tc>
      </w:tr>
      <w:tr w:rsidR="00C75C64" w:rsidRPr="00E4592D" w14:paraId="5BAB3C4B" w14:textId="77777777" w:rsidTr="003C077C">
        <w:trPr>
          <w:trHeight w:val="255"/>
        </w:trPr>
        <w:tc>
          <w:tcPr>
            <w:tcW w:w="1412" w:type="pct"/>
            <w:noWrap/>
            <w:vAlign w:val="center"/>
            <w:hideMark/>
          </w:tcPr>
          <w:p w14:paraId="42AD3C1E" w14:textId="065B1CD6" w:rsidR="000C6AF3" w:rsidRPr="004A478D" w:rsidRDefault="000C6AF3" w:rsidP="00791334">
            <w:pPr>
              <w:pStyle w:val="KMC16-Tablecontent"/>
              <w:keepNext/>
              <w:keepLines/>
              <w:rPr>
                <w:b/>
                <w:lang w:val="en-AU"/>
              </w:rPr>
            </w:pPr>
            <w:r w:rsidRPr="004A478D">
              <w:rPr>
                <w:b/>
                <w:lang w:val="en-AU"/>
              </w:rPr>
              <w:t xml:space="preserve">FSL </w:t>
            </w:r>
            <w:r w:rsidR="00BC6A97">
              <w:rPr>
                <w:b/>
                <w:lang w:val="en-AU"/>
              </w:rPr>
              <w:t>u</w:t>
            </w:r>
            <w:r w:rsidRPr="004A478D">
              <w:rPr>
                <w:b/>
                <w:lang w:val="en-AU"/>
              </w:rPr>
              <w:t>se</w:t>
            </w:r>
          </w:p>
        </w:tc>
        <w:tc>
          <w:tcPr>
            <w:tcW w:w="781" w:type="pct"/>
            <w:noWrap/>
            <w:hideMark/>
          </w:tcPr>
          <w:p w14:paraId="0AE82B56" w14:textId="77777777" w:rsidR="000C6AF3" w:rsidRPr="00C77835" w:rsidRDefault="000C6AF3" w:rsidP="00791334">
            <w:pPr>
              <w:pStyle w:val="KMC16-Tablecontent"/>
              <w:keepNext/>
              <w:keepLines/>
              <w:jc w:val="center"/>
              <w:rPr>
                <w:b/>
                <w:color w:val="auto"/>
                <w:lang w:val="en-AU"/>
              </w:rPr>
            </w:pPr>
          </w:p>
        </w:tc>
        <w:tc>
          <w:tcPr>
            <w:tcW w:w="561" w:type="pct"/>
            <w:noWrap/>
            <w:hideMark/>
          </w:tcPr>
          <w:p w14:paraId="07D32CF4" w14:textId="77777777" w:rsidR="000C6AF3" w:rsidRPr="00C77835" w:rsidRDefault="000C6AF3" w:rsidP="00791334">
            <w:pPr>
              <w:pStyle w:val="KMC16-Tablecontent"/>
              <w:keepNext/>
              <w:keepLines/>
              <w:jc w:val="center"/>
              <w:rPr>
                <w:b/>
                <w:color w:val="auto"/>
                <w:lang w:val="en-AU"/>
              </w:rPr>
            </w:pPr>
          </w:p>
        </w:tc>
        <w:tc>
          <w:tcPr>
            <w:tcW w:w="561" w:type="pct"/>
            <w:noWrap/>
            <w:hideMark/>
          </w:tcPr>
          <w:p w14:paraId="4B7054A5" w14:textId="77777777" w:rsidR="000C6AF3" w:rsidRPr="00C77835" w:rsidRDefault="000C6AF3" w:rsidP="00791334">
            <w:pPr>
              <w:pStyle w:val="KMC16-Tablecontent"/>
              <w:keepNext/>
              <w:keepLines/>
              <w:jc w:val="center"/>
              <w:rPr>
                <w:b/>
                <w:color w:val="auto"/>
                <w:lang w:val="en-AU"/>
              </w:rPr>
            </w:pPr>
          </w:p>
        </w:tc>
        <w:tc>
          <w:tcPr>
            <w:tcW w:w="561" w:type="pct"/>
            <w:noWrap/>
            <w:hideMark/>
          </w:tcPr>
          <w:p w14:paraId="2F6C2D23" w14:textId="77777777" w:rsidR="000C6AF3" w:rsidRPr="00C77835" w:rsidRDefault="000C6AF3" w:rsidP="00791334">
            <w:pPr>
              <w:pStyle w:val="KMC16-Tablecontent"/>
              <w:keepNext/>
              <w:keepLines/>
              <w:jc w:val="center"/>
              <w:rPr>
                <w:b/>
                <w:color w:val="auto"/>
                <w:lang w:val="en-AU"/>
              </w:rPr>
            </w:pPr>
          </w:p>
        </w:tc>
        <w:tc>
          <w:tcPr>
            <w:tcW w:w="561" w:type="pct"/>
            <w:noWrap/>
            <w:hideMark/>
          </w:tcPr>
          <w:p w14:paraId="640C6078" w14:textId="77777777" w:rsidR="000C6AF3" w:rsidRPr="00C77835" w:rsidRDefault="000C6AF3" w:rsidP="00791334">
            <w:pPr>
              <w:pStyle w:val="KMC16-Tablecontent"/>
              <w:keepNext/>
              <w:keepLines/>
              <w:jc w:val="center"/>
              <w:rPr>
                <w:b/>
                <w:color w:val="auto"/>
                <w:lang w:val="en-AU"/>
              </w:rPr>
            </w:pPr>
          </w:p>
        </w:tc>
        <w:tc>
          <w:tcPr>
            <w:tcW w:w="561" w:type="pct"/>
            <w:noWrap/>
            <w:hideMark/>
          </w:tcPr>
          <w:p w14:paraId="49DDC3BE" w14:textId="77777777" w:rsidR="000C6AF3" w:rsidRPr="00C77835" w:rsidRDefault="000C6AF3" w:rsidP="00791334">
            <w:pPr>
              <w:pStyle w:val="KMC16-Tablecontent"/>
              <w:keepNext/>
              <w:keepLines/>
              <w:jc w:val="center"/>
              <w:rPr>
                <w:b/>
                <w:color w:val="auto"/>
                <w:lang w:val="en-AU"/>
              </w:rPr>
            </w:pPr>
          </w:p>
        </w:tc>
      </w:tr>
      <w:tr w:rsidR="00C75C64" w:rsidRPr="00E4592D" w14:paraId="3A1C62AE" w14:textId="77777777" w:rsidTr="003C077C">
        <w:trPr>
          <w:trHeight w:val="255"/>
        </w:trPr>
        <w:tc>
          <w:tcPr>
            <w:tcW w:w="1412" w:type="pct"/>
            <w:noWrap/>
            <w:vAlign w:val="bottom"/>
            <w:hideMark/>
          </w:tcPr>
          <w:p w14:paraId="5334F524" w14:textId="77777777" w:rsidR="000C6AF3" w:rsidRPr="004A478D" w:rsidRDefault="000C6AF3" w:rsidP="00791334">
            <w:pPr>
              <w:pStyle w:val="KMC16-Tablecontent"/>
              <w:keepNext/>
              <w:keepLines/>
              <w:rPr>
                <w:lang w:val="en-AU"/>
              </w:rPr>
            </w:pPr>
            <w:r w:rsidRPr="004A478D">
              <w:rPr>
                <w:lang w:val="en-AU"/>
              </w:rPr>
              <w:t xml:space="preserve">Patients </w:t>
            </w:r>
          </w:p>
        </w:tc>
        <w:tc>
          <w:tcPr>
            <w:tcW w:w="781" w:type="pct"/>
            <w:noWrap/>
            <w:hideMark/>
          </w:tcPr>
          <w:p w14:paraId="31AD557F" w14:textId="77777777" w:rsidR="000C6AF3" w:rsidRPr="00C77835" w:rsidRDefault="000C6AF3" w:rsidP="00791334">
            <w:pPr>
              <w:pStyle w:val="KMC16-Tablecontent"/>
              <w:keepNext/>
              <w:keepLines/>
              <w:jc w:val="right"/>
              <w:rPr>
                <w:color w:val="auto"/>
                <w:lang w:val="en-AU"/>
              </w:rPr>
            </w:pPr>
            <w:r w:rsidRPr="005102BE">
              <w:rPr>
                <w:lang w:val="en-AU"/>
              </w:rPr>
              <w:t xml:space="preserve"> 7,362 </w:t>
            </w:r>
          </w:p>
        </w:tc>
        <w:tc>
          <w:tcPr>
            <w:tcW w:w="561" w:type="pct"/>
            <w:noWrap/>
          </w:tcPr>
          <w:p w14:paraId="61B5C6CC" w14:textId="77777777" w:rsidR="000C6AF3" w:rsidRPr="00C77835" w:rsidRDefault="000C6AF3" w:rsidP="00791334">
            <w:pPr>
              <w:pStyle w:val="KMC16-Tablecontent"/>
              <w:keepNext/>
              <w:keepLines/>
              <w:jc w:val="right"/>
              <w:rPr>
                <w:color w:val="auto"/>
                <w:lang w:val="en-AU"/>
              </w:rPr>
            </w:pPr>
            <w:r w:rsidRPr="005102BE">
              <w:rPr>
                <w:lang w:val="en-AU"/>
              </w:rPr>
              <w:t xml:space="preserve"> 7,436 </w:t>
            </w:r>
          </w:p>
        </w:tc>
        <w:tc>
          <w:tcPr>
            <w:tcW w:w="561" w:type="pct"/>
            <w:noWrap/>
          </w:tcPr>
          <w:p w14:paraId="15985BE6" w14:textId="77777777" w:rsidR="000C6AF3" w:rsidRPr="00C77835" w:rsidRDefault="000C6AF3" w:rsidP="00791334">
            <w:pPr>
              <w:pStyle w:val="KMC16-Tablecontent"/>
              <w:keepNext/>
              <w:keepLines/>
              <w:jc w:val="right"/>
              <w:rPr>
                <w:color w:val="auto"/>
                <w:lang w:val="en-AU"/>
              </w:rPr>
            </w:pPr>
            <w:r w:rsidRPr="005102BE">
              <w:rPr>
                <w:lang w:val="en-AU"/>
              </w:rPr>
              <w:t xml:space="preserve"> 7,510 </w:t>
            </w:r>
          </w:p>
        </w:tc>
        <w:tc>
          <w:tcPr>
            <w:tcW w:w="561" w:type="pct"/>
            <w:noWrap/>
          </w:tcPr>
          <w:p w14:paraId="110A4D97" w14:textId="77777777" w:rsidR="000C6AF3" w:rsidRPr="00C77835" w:rsidRDefault="000C6AF3" w:rsidP="00791334">
            <w:pPr>
              <w:pStyle w:val="KMC16-Tablecontent"/>
              <w:keepNext/>
              <w:keepLines/>
              <w:jc w:val="right"/>
              <w:rPr>
                <w:color w:val="auto"/>
                <w:lang w:val="en-AU"/>
              </w:rPr>
            </w:pPr>
            <w:r w:rsidRPr="005102BE">
              <w:rPr>
                <w:lang w:val="en-AU"/>
              </w:rPr>
              <w:t xml:space="preserve"> 7,585 </w:t>
            </w:r>
          </w:p>
        </w:tc>
        <w:tc>
          <w:tcPr>
            <w:tcW w:w="561" w:type="pct"/>
            <w:noWrap/>
          </w:tcPr>
          <w:p w14:paraId="534F54D3" w14:textId="77777777" w:rsidR="000C6AF3" w:rsidRPr="00C77835" w:rsidRDefault="000C6AF3" w:rsidP="00791334">
            <w:pPr>
              <w:pStyle w:val="KMC16-Tablecontent"/>
              <w:keepNext/>
              <w:keepLines/>
              <w:jc w:val="right"/>
              <w:rPr>
                <w:color w:val="auto"/>
                <w:lang w:val="en-AU"/>
              </w:rPr>
            </w:pPr>
            <w:r w:rsidRPr="005102BE">
              <w:rPr>
                <w:lang w:val="en-AU"/>
              </w:rPr>
              <w:t xml:space="preserve"> 7,661 </w:t>
            </w:r>
          </w:p>
        </w:tc>
        <w:tc>
          <w:tcPr>
            <w:tcW w:w="561" w:type="pct"/>
            <w:noWrap/>
          </w:tcPr>
          <w:p w14:paraId="2575FA9F" w14:textId="77777777" w:rsidR="000C6AF3" w:rsidRPr="00C77835" w:rsidRDefault="000C6AF3" w:rsidP="00791334">
            <w:pPr>
              <w:pStyle w:val="KMC16-Tablecontent"/>
              <w:keepNext/>
              <w:keepLines/>
              <w:jc w:val="right"/>
              <w:rPr>
                <w:color w:val="auto"/>
                <w:lang w:val="en-AU"/>
              </w:rPr>
            </w:pPr>
            <w:r w:rsidRPr="005102BE">
              <w:rPr>
                <w:lang w:val="en-AU"/>
              </w:rPr>
              <w:t xml:space="preserve"> 7,738 </w:t>
            </w:r>
          </w:p>
        </w:tc>
      </w:tr>
      <w:tr w:rsidR="00C75C64" w:rsidRPr="00E4592D" w14:paraId="1B1F9098" w14:textId="77777777" w:rsidTr="003C077C">
        <w:trPr>
          <w:trHeight w:val="255"/>
        </w:trPr>
        <w:tc>
          <w:tcPr>
            <w:tcW w:w="1412" w:type="pct"/>
            <w:noWrap/>
            <w:vAlign w:val="bottom"/>
            <w:hideMark/>
          </w:tcPr>
          <w:p w14:paraId="6E027A89" w14:textId="77777777" w:rsidR="00C75C64" w:rsidRPr="004A478D" w:rsidRDefault="00C75C64" w:rsidP="00C75C64">
            <w:pPr>
              <w:pStyle w:val="KMC16-Tablecontent"/>
              <w:keepNext/>
              <w:keepLines/>
              <w:rPr>
                <w:lang w:val="en-AU"/>
              </w:rPr>
            </w:pPr>
            <w:r w:rsidRPr="004A478D">
              <w:rPr>
                <w:lang w:val="en-AU"/>
              </w:rPr>
              <w:t>Uptake %</w:t>
            </w:r>
          </w:p>
        </w:tc>
        <w:tc>
          <w:tcPr>
            <w:tcW w:w="781" w:type="pct"/>
            <w:noWrap/>
            <w:hideMark/>
          </w:tcPr>
          <w:p w14:paraId="7023C4FD" w14:textId="288A7E17" w:rsidR="00C75C64" w:rsidRPr="003C077C" w:rsidRDefault="00C75C64" w:rsidP="00C75C64">
            <w:pPr>
              <w:pStyle w:val="KMC16-Tablecontent"/>
              <w:keepNext/>
              <w:keepLines/>
              <w:jc w:val="right"/>
              <w:rPr>
                <w:color w:val="auto"/>
                <w:highlight w:val="yellow"/>
                <w:lang w:val="en-AU"/>
              </w:rPr>
            </w:pPr>
            <w:r w:rsidRPr="003C077C">
              <w:rPr>
                <w:b/>
                <w:bCs/>
                <w:lang w:val="en-AU"/>
              </w:rPr>
              <w:t>Redacted</w:t>
            </w:r>
            <w:r w:rsidRPr="00C75C64">
              <w:rPr>
                <w:lang w:val="en-AU"/>
              </w:rPr>
              <w:t>%</w:t>
            </w:r>
          </w:p>
        </w:tc>
        <w:tc>
          <w:tcPr>
            <w:tcW w:w="561" w:type="pct"/>
            <w:noWrap/>
          </w:tcPr>
          <w:p w14:paraId="27491B6B" w14:textId="6D3DAD4D" w:rsidR="00C75C64" w:rsidRPr="003C077C" w:rsidRDefault="00C75C64" w:rsidP="00C75C64">
            <w:pPr>
              <w:pStyle w:val="KMC16-Tablecontent"/>
              <w:keepNext/>
              <w:keepLines/>
              <w:jc w:val="right"/>
              <w:rPr>
                <w:color w:val="auto"/>
                <w:highlight w:val="yellow"/>
                <w:lang w:val="en-AU"/>
              </w:rPr>
            </w:pPr>
            <w:r w:rsidRPr="00713151">
              <w:rPr>
                <w:b/>
                <w:bCs/>
                <w:lang w:val="en-AU"/>
              </w:rPr>
              <w:t>Redacted</w:t>
            </w:r>
            <w:r w:rsidRPr="00C75C64">
              <w:rPr>
                <w:lang w:val="en-AU"/>
              </w:rPr>
              <w:t>%</w:t>
            </w:r>
          </w:p>
        </w:tc>
        <w:tc>
          <w:tcPr>
            <w:tcW w:w="561" w:type="pct"/>
            <w:noWrap/>
          </w:tcPr>
          <w:p w14:paraId="3AAD94F0" w14:textId="722E4A85" w:rsidR="00C75C64" w:rsidRPr="003C077C" w:rsidRDefault="00C75C64" w:rsidP="00C75C64">
            <w:pPr>
              <w:pStyle w:val="KMC16-Tablecontent"/>
              <w:keepNext/>
              <w:keepLines/>
              <w:jc w:val="right"/>
              <w:rPr>
                <w:color w:val="auto"/>
                <w:highlight w:val="yellow"/>
                <w:lang w:val="en-AU"/>
              </w:rPr>
            </w:pPr>
            <w:r w:rsidRPr="00713151">
              <w:rPr>
                <w:b/>
                <w:bCs/>
                <w:lang w:val="en-AU"/>
              </w:rPr>
              <w:t>Redacted</w:t>
            </w:r>
            <w:r w:rsidRPr="00C75C64">
              <w:rPr>
                <w:lang w:val="en-AU"/>
              </w:rPr>
              <w:t>%</w:t>
            </w:r>
          </w:p>
        </w:tc>
        <w:tc>
          <w:tcPr>
            <w:tcW w:w="561" w:type="pct"/>
            <w:noWrap/>
          </w:tcPr>
          <w:p w14:paraId="30379674" w14:textId="74EDD1B7" w:rsidR="00C75C64" w:rsidRPr="003C077C" w:rsidRDefault="00C75C64" w:rsidP="00C75C64">
            <w:pPr>
              <w:pStyle w:val="KMC16-Tablecontent"/>
              <w:keepNext/>
              <w:keepLines/>
              <w:jc w:val="right"/>
              <w:rPr>
                <w:color w:val="auto"/>
                <w:highlight w:val="yellow"/>
                <w:lang w:val="en-AU"/>
              </w:rPr>
            </w:pPr>
            <w:r w:rsidRPr="00713151">
              <w:rPr>
                <w:b/>
                <w:bCs/>
                <w:lang w:val="en-AU"/>
              </w:rPr>
              <w:t>Redacted</w:t>
            </w:r>
            <w:r w:rsidRPr="00C75C64">
              <w:rPr>
                <w:lang w:val="en-AU"/>
              </w:rPr>
              <w:t>%</w:t>
            </w:r>
          </w:p>
        </w:tc>
        <w:tc>
          <w:tcPr>
            <w:tcW w:w="561" w:type="pct"/>
            <w:noWrap/>
          </w:tcPr>
          <w:p w14:paraId="5F939CC2" w14:textId="62934DFE" w:rsidR="00C75C64" w:rsidRPr="003C077C" w:rsidRDefault="00C75C64" w:rsidP="00C75C64">
            <w:pPr>
              <w:pStyle w:val="KMC16-Tablecontent"/>
              <w:keepNext/>
              <w:keepLines/>
              <w:jc w:val="right"/>
              <w:rPr>
                <w:color w:val="auto"/>
                <w:highlight w:val="yellow"/>
                <w:lang w:val="en-AU"/>
              </w:rPr>
            </w:pPr>
            <w:r w:rsidRPr="00514ECE">
              <w:rPr>
                <w:b/>
                <w:bCs/>
                <w:lang w:val="en-AU"/>
              </w:rPr>
              <w:t>Redacted</w:t>
            </w:r>
            <w:r w:rsidRPr="00514ECE">
              <w:rPr>
                <w:lang w:val="en-AU"/>
              </w:rPr>
              <w:t>%</w:t>
            </w:r>
          </w:p>
        </w:tc>
        <w:tc>
          <w:tcPr>
            <w:tcW w:w="561" w:type="pct"/>
            <w:noWrap/>
          </w:tcPr>
          <w:p w14:paraId="3CF1964B" w14:textId="4823F47F" w:rsidR="00C75C64" w:rsidRPr="003C077C" w:rsidRDefault="00C75C64" w:rsidP="00C75C64">
            <w:pPr>
              <w:pStyle w:val="KMC16-Tablecontent"/>
              <w:keepNext/>
              <w:keepLines/>
              <w:jc w:val="right"/>
              <w:rPr>
                <w:color w:val="auto"/>
                <w:highlight w:val="yellow"/>
                <w:lang w:val="en-AU"/>
              </w:rPr>
            </w:pPr>
            <w:r w:rsidRPr="00514ECE">
              <w:rPr>
                <w:b/>
                <w:bCs/>
                <w:lang w:val="en-AU"/>
              </w:rPr>
              <w:t>Redacted</w:t>
            </w:r>
            <w:r w:rsidRPr="00514ECE">
              <w:rPr>
                <w:lang w:val="en-AU"/>
              </w:rPr>
              <w:t>%</w:t>
            </w:r>
          </w:p>
        </w:tc>
      </w:tr>
      <w:tr w:rsidR="00C75C64" w:rsidRPr="00E4592D" w14:paraId="6B923B63" w14:textId="77777777" w:rsidTr="003C077C">
        <w:trPr>
          <w:trHeight w:val="255"/>
        </w:trPr>
        <w:tc>
          <w:tcPr>
            <w:tcW w:w="1412" w:type="pct"/>
            <w:vAlign w:val="center"/>
            <w:hideMark/>
          </w:tcPr>
          <w:p w14:paraId="24FAC66D" w14:textId="77777777" w:rsidR="000C6AF3" w:rsidRPr="004A478D" w:rsidRDefault="000C6AF3" w:rsidP="00791334">
            <w:pPr>
              <w:pStyle w:val="KMC16-Tablecontent"/>
              <w:keepNext/>
              <w:keepLines/>
              <w:rPr>
                <w:color w:val="auto"/>
                <w:lang w:val="en-AU"/>
              </w:rPr>
            </w:pPr>
            <w:r w:rsidRPr="004A478D">
              <w:rPr>
                <w:lang w:val="en-AU"/>
              </w:rPr>
              <w:t>Number of patients taking up FSL</w:t>
            </w:r>
          </w:p>
        </w:tc>
        <w:tc>
          <w:tcPr>
            <w:tcW w:w="781" w:type="pct"/>
            <w:noWrap/>
            <w:hideMark/>
          </w:tcPr>
          <w:p w14:paraId="439B07B5" w14:textId="26678335" w:rsidR="000C6AF3" w:rsidRPr="00C75C64" w:rsidRDefault="00C75C64" w:rsidP="00791334">
            <w:pPr>
              <w:pStyle w:val="KMC16-Tablecontent"/>
              <w:keepNext/>
              <w:keepLines/>
              <w:jc w:val="right"/>
              <w:rPr>
                <w:color w:val="auto"/>
                <w:lang w:val="en-AU"/>
              </w:rPr>
            </w:pPr>
            <w:r w:rsidRPr="00C75C64">
              <w:rPr>
                <w:b/>
                <w:bCs/>
                <w:lang w:val="en-AU"/>
              </w:rPr>
              <w:t>Redacted</w:t>
            </w:r>
            <w:r w:rsidR="004F7673" w:rsidRPr="003C077C">
              <w:rPr>
                <w:vertAlign w:val="superscript"/>
                <w:lang w:val="en-AU"/>
              </w:rPr>
              <w:t>1</w:t>
            </w:r>
            <w:r w:rsidR="000C6AF3" w:rsidRPr="00C75C64">
              <w:rPr>
                <w:lang w:val="en-AU"/>
              </w:rPr>
              <w:t xml:space="preserve"> </w:t>
            </w:r>
          </w:p>
        </w:tc>
        <w:tc>
          <w:tcPr>
            <w:tcW w:w="561" w:type="pct"/>
            <w:noWrap/>
          </w:tcPr>
          <w:p w14:paraId="2D8388DE" w14:textId="6C213E46" w:rsidR="000C6AF3" w:rsidRPr="00C75C64" w:rsidRDefault="00C75C64" w:rsidP="00791334">
            <w:pPr>
              <w:pStyle w:val="KMC16-Tablecontent"/>
              <w:keepNext/>
              <w:keepLines/>
              <w:jc w:val="right"/>
              <w:rPr>
                <w:color w:val="auto"/>
                <w:lang w:val="en-AU"/>
              </w:rPr>
            </w:pPr>
            <w:r w:rsidRPr="00C75C64">
              <w:rPr>
                <w:b/>
                <w:bCs/>
                <w:lang w:val="en-AU"/>
              </w:rPr>
              <w:t>Redacted</w:t>
            </w:r>
            <w:r w:rsidR="004F7673" w:rsidRPr="003C077C">
              <w:rPr>
                <w:vertAlign w:val="superscript"/>
                <w:lang w:val="en-AU"/>
              </w:rPr>
              <w:t>1</w:t>
            </w:r>
            <w:r w:rsidR="000C6AF3" w:rsidRPr="00C75C64">
              <w:rPr>
                <w:lang w:val="en-AU"/>
              </w:rPr>
              <w:t xml:space="preserve"> </w:t>
            </w:r>
          </w:p>
        </w:tc>
        <w:tc>
          <w:tcPr>
            <w:tcW w:w="561" w:type="pct"/>
            <w:noWrap/>
          </w:tcPr>
          <w:p w14:paraId="2A266585" w14:textId="525F0235" w:rsidR="000C6AF3" w:rsidRPr="00C75C64" w:rsidRDefault="00C75C64" w:rsidP="00791334">
            <w:pPr>
              <w:pStyle w:val="KMC16-Tablecontent"/>
              <w:keepNext/>
              <w:keepLines/>
              <w:jc w:val="right"/>
              <w:rPr>
                <w:color w:val="auto"/>
                <w:lang w:val="en-AU"/>
              </w:rPr>
            </w:pPr>
            <w:r w:rsidRPr="00C75C64">
              <w:rPr>
                <w:b/>
                <w:bCs/>
                <w:lang w:val="en-AU"/>
              </w:rPr>
              <w:t>Redacted</w:t>
            </w:r>
            <w:r w:rsidR="004F7673" w:rsidRPr="003C077C">
              <w:rPr>
                <w:vertAlign w:val="superscript"/>
                <w:lang w:val="en-AU"/>
              </w:rPr>
              <w:t>1</w:t>
            </w:r>
            <w:r w:rsidR="000C6AF3" w:rsidRPr="00C75C64">
              <w:rPr>
                <w:lang w:val="en-AU"/>
              </w:rPr>
              <w:t xml:space="preserve"> </w:t>
            </w:r>
          </w:p>
        </w:tc>
        <w:tc>
          <w:tcPr>
            <w:tcW w:w="561" w:type="pct"/>
            <w:noWrap/>
          </w:tcPr>
          <w:p w14:paraId="1E1173FD" w14:textId="21E491FC" w:rsidR="000C6AF3" w:rsidRPr="00C75C64" w:rsidRDefault="00C75C64" w:rsidP="00791334">
            <w:pPr>
              <w:pStyle w:val="KMC16-Tablecontent"/>
              <w:keepNext/>
              <w:keepLines/>
              <w:jc w:val="right"/>
              <w:rPr>
                <w:color w:val="auto"/>
                <w:lang w:val="en-AU"/>
              </w:rPr>
            </w:pPr>
            <w:r w:rsidRPr="00C75C64">
              <w:rPr>
                <w:b/>
                <w:bCs/>
                <w:lang w:val="en-AU"/>
              </w:rPr>
              <w:t>Redacted</w:t>
            </w:r>
            <w:r w:rsidR="004F7673" w:rsidRPr="003C077C">
              <w:rPr>
                <w:vertAlign w:val="superscript"/>
                <w:lang w:val="en-AU"/>
              </w:rPr>
              <w:t>1</w:t>
            </w:r>
            <w:r w:rsidR="000C6AF3" w:rsidRPr="00C75C64">
              <w:rPr>
                <w:lang w:val="en-AU"/>
              </w:rPr>
              <w:t xml:space="preserve"> </w:t>
            </w:r>
          </w:p>
        </w:tc>
        <w:tc>
          <w:tcPr>
            <w:tcW w:w="561" w:type="pct"/>
            <w:noWrap/>
          </w:tcPr>
          <w:p w14:paraId="1E9B6E21" w14:textId="04BAE9EA" w:rsidR="000C6AF3" w:rsidRPr="00C75C64" w:rsidRDefault="00C75C64" w:rsidP="00791334">
            <w:pPr>
              <w:pStyle w:val="KMC16-Tablecontent"/>
              <w:keepNext/>
              <w:keepLines/>
              <w:jc w:val="right"/>
              <w:rPr>
                <w:color w:val="auto"/>
                <w:lang w:val="en-AU"/>
              </w:rPr>
            </w:pPr>
            <w:r w:rsidRPr="00C75C64">
              <w:rPr>
                <w:b/>
                <w:bCs/>
                <w:lang w:val="en-AU"/>
              </w:rPr>
              <w:t>Redacted</w:t>
            </w:r>
            <w:r w:rsidR="004F7673" w:rsidRPr="003C077C">
              <w:rPr>
                <w:vertAlign w:val="superscript"/>
                <w:lang w:val="en-AU"/>
              </w:rPr>
              <w:t>1</w:t>
            </w:r>
            <w:r w:rsidR="000C6AF3" w:rsidRPr="00C75C64">
              <w:rPr>
                <w:lang w:val="en-AU"/>
              </w:rPr>
              <w:t xml:space="preserve"> </w:t>
            </w:r>
          </w:p>
        </w:tc>
        <w:tc>
          <w:tcPr>
            <w:tcW w:w="561" w:type="pct"/>
            <w:noWrap/>
          </w:tcPr>
          <w:p w14:paraId="4BDCAAD3" w14:textId="11AC77F3" w:rsidR="000C6AF3" w:rsidRPr="00C75C64" w:rsidRDefault="00C75C64" w:rsidP="00791334">
            <w:pPr>
              <w:pStyle w:val="KMC16-Tablecontent"/>
              <w:keepNext/>
              <w:keepLines/>
              <w:jc w:val="right"/>
              <w:rPr>
                <w:color w:val="auto"/>
                <w:lang w:val="en-AU"/>
              </w:rPr>
            </w:pPr>
            <w:r w:rsidRPr="00C75C64">
              <w:rPr>
                <w:b/>
                <w:bCs/>
                <w:lang w:val="en-AU"/>
              </w:rPr>
              <w:t xml:space="preserve"> Redacted</w:t>
            </w:r>
            <w:r w:rsidR="004F7673" w:rsidRPr="003C077C">
              <w:rPr>
                <w:vertAlign w:val="superscript"/>
                <w:lang w:val="en-AU"/>
              </w:rPr>
              <w:t>1</w:t>
            </w:r>
            <w:r w:rsidR="000C6AF3" w:rsidRPr="00C75C64">
              <w:rPr>
                <w:lang w:val="en-AU"/>
              </w:rPr>
              <w:t xml:space="preserve"> </w:t>
            </w:r>
          </w:p>
        </w:tc>
      </w:tr>
      <w:tr w:rsidR="00C75C64" w:rsidRPr="00E4592D" w14:paraId="2BFA8AC2" w14:textId="77777777" w:rsidTr="003C077C">
        <w:trPr>
          <w:trHeight w:val="255"/>
        </w:trPr>
        <w:tc>
          <w:tcPr>
            <w:tcW w:w="1412" w:type="pct"/>
            <w:noWrap/>
            <w:vAlign w:val="bottom"/>
            <w:hideMark/>
          </w:tcPr>
          <w:p w14:paraId="63FD43E4" w14:textId="77777777" w:rsidR="00C75C64" w:rsidRPr="004A478D" w:rsidRDefault="00C75C64" w:rsidP="00C75C64">
            <w:pPr>
              <w:pStyle w:val="KMC16-Tablecontent"/>
              <w:keepNext/>
              <w:keepLines/>
              <w:rPr>
                <w:lang w:val="en-AU"/>
              </w:rPr>
            </w:pPr>
            <w:r w:rsidRPr="004A478D">
              <w:rPr>
                <w:lang w:val="en-AU"/>
              </w:rPr>
              <w:t>Number of FSL 2 sensors (1 sensor/pack)</w:t>
            </w:r>
          </w:p>
        </w:tc>
        <w:tc>
          <w:tcPr>
            <w:tcW w:w="781" w:type="pct"/>
            <w:noWrap/>
            <w:hideMark/>
          </w:tcPr>
          <w:p w14:paraId="062276A5" w14:textId="78207D5F" w:rsidR="00C75C64" w:rsidRPr="003C077C" w:rsidRDefault="00C75C64" w:rsidP="00C75C64">
            <w:pPr>
              <w:pStyle w:val="KMC16-Tablecontent"/>
              <w:keepNext/>
              <w:keepLines/>
              <w:jc w:val="right"/>
              <w:rPr>
                <w:color w:val="auto"/>
                <w:highlight w:val="yellow"/>
                <w:lang w:val="en-AU"/>
              </w:rPr>
            </w:pPr>
            <w:r w:rsidRPr="00523F81">
              <w:rPr>
                <w:b/>
                <w:bCs/>
                <w:lang w:val="en-AU"/>
              </w:rPr>
              <w:t>Redacted</w:t>
            </w:r>
          </w:p>
        </w:tc>
        <w:tc>
          <w:tcPr>
            <w:tcW w:w="561" w:type="pct"/>
            <w:noWrap/>
          </w:tcPr>
          <w:p w14:paraId="732E523C" w14:textId="1176A112" w:rsidR="00C75C64" w:rsidRPr="003C077C" w:rsidRDefault="00C75C64" w:rsidP="00C75C64">
            <w:pPr>
              <w:pStyle w:val="KMC16-Tablecontent"/>
              <w:keepNext/>
              <w:keepLines/>
              <w:jc w:val="right"/>
              <w:rPr>
                <w:color w:val="auto"/>
                <w:highlight w:val="yellow"/>
                <w:lang w:val="en-AU"/>
              </w:rPr>
            </w:pPr>
            <w:r w:rsidRPr="00523F81">
              <w:rPr>
                <w:b/>
                <w:bCs/>
                <w:lang w:val="en-AU"/>
              </w:rPr>
              <w:t>Redacted</w:t>
            </w:r>
          </w:p>
        </w:tc>
        <w:tc>
          <w:tcPr>
            <w:tcW w:w="561" w:type="pct"/>
            <w:noWrap/>
          </w:tcPr>
          <w:p w14:paraId="5315ADC6" w14:textId="0F0DF740" w:rsidR="00C75C64" w:rsidRPr="003C077C" w:rsidRDefault="00C75C64" w:rsidP="00C75C64">
            <w:pPr>
              <w:pStyle w:val="KMC16-Tablecontent"/>
              <w:keepNext/>
              <w:keepLines/>
              <w:jc w:val="right"/>
              <w:rPr>
                <w:color w:val="auto"/>
                <w:highlight w:val="yellow"/>
                <w:lang w:val="en-AU"/>
              </w:rPr>
            </w:pPr>
            <w:r w:rsidRPr="00523F81">
              <w:rPr>
                <w:b/>
                <w:bCs/>
                <w:lang w:val="en-AU"/>
              </w:rPr>
              <w:t>Redacted</w:t>
            </w:r>
          </w:p>
        </w:tc>
        <w:tc>
          <w:tcPr>
            <w:tcW w:w="561" w:type="pct"/>
            <w:noWrap/>
          </w:tcPr>
          <w:p w14:paraId="01B86704" w14:textId="25D2FF35" w:rsidR="00C75C64" w:rsidRPr="003C077C" w:rsidRDefault="00C75C64" w:rsidP="00C75C64">
            <w:pPr>
              <w:pStyle w:val="KMC16-Tablecontent"/>
              <w:keepNext/>
              <w:keepLines/>
              <w:jc w:val="right"/>
              <w:rPr>
                <w:color w:val="auto"/>
                <w:highlight w:val="yellow"/>
                <w:lang w:val="en-AU"/>
              </w:rPr>
            </w:pPr>
            <w:r w:rsidRPr="00523F81">
              <w:rPr>
                <w:b/>
                <w:bCs/>
                <w:lang w:val="en-AU"/>
              </w:rPr>
              <w:t>Redacted</w:t>
            </w:r>
          </w:p>
        </w:tc>
        <w:tc>
          <w:tcPr>
            <w:tcW w:w="561" w:type="pct"/>
            <w:noWrap/>
          </w:tcPr>
          <w:p w14:paraId="1A54AF04" w14:textId="2A956D7F" w:rsidR="00C75C64" w:rsidRPr="003C077C" w:rsidRDefault="00C75C64" w:rsidP="00C75C64">
            <w:pPr>
              <w:pStyle w:val="KMC16-Tablecontent"/>
              <w:keepNext/>
              <w:keepLines/>
              <w:jc w:val="right"/>
              <w:rPr>
                <w:color w:val="auto"/>
                <w:highlight w:val="yellow"/>
                <w:lang w:val="en-AU"/>
              </w:rPr>
            </w:pPr>
            <w:r w:rsidRPr="00523F81">
              <w:rPr>
                <w:b/>
                <w:bCs/>
                <w:lang w:val="en-AU"/>
              </w:rPr>
              <w:t>Redacted</w:t>
            </w:r>
          </w:p>
        </w:tc>
        <w:tc>
          <w:tcPr>
            <w:tcW w:w="561" w:type="pct"/>
            <w:noWrap/>
          </w:tcPr>
          <w:p w14:paraId="3DCAE686" w14:textId="4196616D" w:rsidR="00C75C64" w:rsidRPr="003C077C" w:rsidRDefault="00C75C64" w:rsidP="00C75C64">
            <w:pPr>
              <w:pStyle w:val="KMC16-Tablecontent"/>
              <w:keepNext/>
              <w:keepLines/>
              <w:jc w:val="right"/>
              <w:rPr>
                <w:color w:val="auto"/>
                <w:highlight w:val="yellow"/>
                <w:lang w:val="en-AU"/>
              </w:rPr>
            </w:pPr>
            <w:r w:rsidRPr="00523F81">
              <w:rPr>
                <w:b/>
                <w:bCs/>
                <w:lang w:val="en-AU"/>
              </w:rPr>
              <w:t>Redacted</w:t>
            </w:r>
          </w:p>
        </w:tc>
      </w:tr>
      <w:tr w:rsidR="00C75C64" w:rsidRPr="00E4592D" w14:paraId="69D2D9A8" w14:textId="77777777" w:rsidTr="003C077C">
        <w:trPr>
          <w:trHeight w:val="255"/>
        </w:trPr>
        <w:tc>
          <w:tcPr>
            <w:tcW w:w="1412" w:type="pct"/>
            <w:noWrap/>
            <w:vAlign w:val="bottom"/>
            <w:hideMark/>
          </w:tcPr>
          <w:p w14:paraId="45A9F36B" w14:textId="706DEC58" w:rsidR="00C75C64" w:rsidRPr="004A478D" w:rsidRDefault="00C75C64" w:rsidP="00C75C64">
            <w:pPr>
              <w:pStyle w:val="KMC16-Tablecontent"/>
              <w:keepNext/>
              <w:keepLines/>
              <w:rPr>
                <w:b/>
                <w:lang w:val="en-AU"/>
              </w:rPr>
            </w:pPr>
            <w:r w:rsidRPr="004A478D">
              <w:rPr>
                <w:b/>
                <w:lang w:val="en-AU"/>
              </w:rPr>
              <w:t xml:space="preserve">Total </w:t>
            </w:r>
            <w:r>
              <w:rPr>
                <w:b/>
                <w:lang w:val="en-AU"/>
              </w:rPr>
              <w:t>c</w:t>
            </w:r>
            <w:r w:rsidRPr="004A478D">
              <w:rPr>
                <w:b/>
                <w:lang w:val="en-AU"/>
              </w:rPr>
              <w:t>ost of FSL</w:t>
            </w:r>
          </w:p>
        </w:tc>
        <w:tc>
          <w:tcPr>
            <w:tcW w:w="781" w:type="pct"/>
            <w:noWrap/>
            <w:hideMark/>
          </w:tcPr>
          <w:p w14:paraId="23EC1987" w14:textId="41246698" w:rsidR="00C75C64" w:rsidRPr="003C077C" w:rsidRDefault="00C75C64" w:rsidP="00C75C64">
            <w:pPr>
              <w:pStyle w:val="KMC16-Tablecontent"/>
              <w:keepNext/>
              <w:keepLines/>
              <w:jc w:val="right"/>
              <w:rPr>
                <w:color w:val="auto"/>
                <w:highlight w:val="yellow"/>
                <w:lang w:val="en-AU"/>
              </w:rPr>
            </w:pPr>
            <w:r w:rsidRPr="00C75C64">
              <w:rPr>
                <w:lang w:val="en-AU"/>
              </w:rPr>
              <w:t>$</w:t>
            </w:r>
            <w:r w:rsidRPr="00C75C64">
              <w:rPr>
                <w:b/>
                <w:bCs/>
                <w:lang w:val="en-AU"/>
              </w:rPr>
              <w:t>Redacted</w:t>
            </w:r>
            <w:r w:rsidRPr="003C077C">
              <w:rPr>
                <w:vertAlign w:val="superscript"/>
                <w:lang w:val="en-AU"/>
              </w:rPr>
              <w:t>2</w:t>
            </w:r>
          </w:p>
        </w:tc>
        <w:tc>
          <w:tcPr>
            <w:tcW w:w="561" w:type="pct"/>
            <w:noWrap/>
          </w:tcPr>
          <w:p w14:paraId="339C18B9" w14:textId="2FAA69F9" w:rsidR="00C75C64" w:rsidRPr="003C077C" w:rsidRDefault="00C75C64" w:rsidP="00C75C64">
            <w:pPr>
              <w:pStyle w:val="KMC16-Tablecontent"/>
              <w:keepNext/>
              <w:keepLines/>
              <w:jc w:val="right"/>
              <w:rPr>
                <w:color w:val="auto"/>
                <w:highlight w:val="yellow"/>
                <w:lang w:val="en-AU"/>
              </w:rPr>
            </w:pPr>
            <w:r w:rsidRPr="00C75C64">
              <w:rPr>
                <w:lang w:val="en-AU"/>
              </w:rPr>
              <w:t>$</w:t>
            </w:r>
            <w:r w:rsidRPr="00C75C64">
              <w:rPr>
                <w:b/>
                <w:bCs/>
                <w:lang w:val="en-AU"/>
              </w:rPr>
              <w:t>Redacted</w:t>
            </w:r>
            <w:r w:rsidRPr="00713151">
              <w:rPr>
                <w:vertAlign w:val="superscript"/>
                <w:lang w:val="en-AU"/>
              </w:rPr>
              <w:t>2</w:t>
            </w:r>
          </w:p>
        </w:tc>
        <w:tc>
          <w:tcPr>
            <w:tcW w:w="561" w:type="pct"/>
            <w:noWrap/>
          </w:tcPr>
          <w:p w14:paraId="066D5265" w14:textId="365A1323" w:rsidR="00C75C64" w:rsidRPr="003C077C" w:rsidRDefault="00C75C64" w:rsidP="00C75C64">
            <w:pPr>
              <w:pStyle w:val="KMC16-Tablecontent"/>
              <w:keepNext/>
              <w:keepLines/>
              <w:jc w:val="right"/>
              <w:rPr>
                <w:color w:val="auto"/>
                <w:highlight w:val="yellow"/>
                <w:lang w:val="en-AU"/>
              </w:rPr>
            </w:pPr>
            <w:r w:rsidRPr="006E7D31">
              <w:rPr>
                <w:lang w:val="en-AU"/>
              </w:rPr>
              <w:t>$</w:t>
            </w:r>
            <w:r w:rsidRPr="006E7D31">
              <w:rPr>
                <w:b/>
                <w:bCs/>
                <w:lang w:val="en-AU"/>
              </w:rPr>
              <w:t>Redacted</w:t>
            </w:r>
            <w:r w:rsidRPr="006E7D31">
              <w:rPr>
                <w:vertAlign w:val="superscript"/>
                <w:lang w:val="en-AU"/>
              </w:rPr>
              <w:t>2</w:t>
            </w:r>
          </w:p>
        </w:tc>
        <w:tc>
          <w:tcPr>
            <w:tcW w:w="561" w:type="pct"/>
            <w:noWrap/>
          </w:tcPr>
          <w:p w14:paraId="2AFE905C" w14:textId="1ED9467F" w:rsidR="00C75C64" w:rsidRPr="003C077C" w:rsidRDefault="00C75C64" w:rsidP="00C75C64">
            <w:pPr>
              <w:pStyle w:val="KMC16-Tablecontent"/>
              <w:keepNext/>
              <w:keepLines/>
              <w:jc w:val="right"/>
              <w:rPr>
                <w:color w:val="auto"/>
                <w:highlight w:val="yellow"/>
                <w:lang w:val="en-AU"/>
              </w:rPr>
            </w:pPr>
            <w:r w:rsidRPr="006E7D31">
              <w:rPr>
                <w:lang w:val="en-AU"/>
              </w:rPr>
              <w:t>$</w:t>
            </w:r>
            <w:r w:rsidRPr="006E7D31">
              <w:rPr>
                <w:b/>
                <w:bCs/>
                <w:lang w:val="en-AU"/>
              </w:rPr>
              <w:t>Redacted</w:t>
            </w:r>
            <w:r w:rsidRPr="006E7D31">
              <w:rPr>
                <w:vertAlign w:val="superscript"/>
                <w:lang w:val="en-AU"/>
              </w:rPr>
              <w:t>2</w:t>
            </w:r>
          </w:p>
        </w:tc>
        <w:tc>
          <w:tcPr>
            <w:tcW w:w="561" w:type="pct"/>
            <w:noWrap/>
          </w:tcPr>
          <w:p w14:paraId="02F4DE96" w14:textId="4A30BDFF" w:rsidR="00C75C64" w:rsidRPr="003C077C" w:rsidRDefault="00C75C64" w:rsidP="00C75C64">
            <w:pPr>
              <w:pStyle w:val="KMC16-Tablecontent"/>
              <w:keepNext/>
              <w:keepLines/>
              <w:jc w:val="right"/>
              <w:rPr>
                <w:color w:val="auto"/>
                <w:highlight w:val="yellow"/>
                <w:lang w:val="en-AU"/>
              </w:rPr>
            </w:pPr>
            <w:r w:rsidRPr="00E50418">
              <w:rPr>
                <w:lang w:val="en-AU"/>
              </w:rPr>
              <w:t>$</w:t>
            </w:r>
            <w:r w:rsidRPr="00E50418">
              <w:rPr>
                <w:b/>
                <w:bCs/>
                <w:lang w:val="en-AU"/>
              </w:rPr>
              <w:t>Redacted</w:t>
            </w:r>
            <w:r w:rsidRPr="00E50418">
              <w:rPr>
                <w:vertAlign w:val="superscript"/>
                <w:lang w:val="en-AU"/>
              </w:rPr>
              <w:t>2</w:t>
            </w:r>
          </w:p>
        </w:tc>
        <w:tc>
          <w:tcPr>
            <w:tcW w:w="561" w:type="pct"/>
            <w:noWrap/>
          </w:tcPr>
          <w:p w14:paraId="070BC6B6" w14:textId="38C29DD9" w:rsidR="00C75C64" w:rsidRPr="003C077C" w:rsidRDefault="00C75C64" w:rsidP="00C75C64">
            <w:pPr>
              <w:pStyle w:val="KMC16-Tablecontent"/>
              <w:keepNext/>
              <w:keepLines/>
              <w:jc w:val="right"/>
              <w:rPr>
                <w:color w:val="auto"/>
                <w:highlight w:val="yellow"/>
                <w:lang w:val="en-AU"/>
              </w:rPr>
            </w:pPr>
            <w:r w:rsidRPr="00E50418">
              <w:rPr>
                <w:lang w:val="en-AU"/>
              </w:rPr>
              <w:t>$</w:t>
            </w:r>
            <w:r w:rsidRPr="00E50418">
              <w:rPr>
                <w:b/>
                <w:bCs/>
                <w:lang w:val="en-AU"/>
              </w:rPr>
              <w:t>Redacted</w:t>
            </w:r>
            <w:r w:rsidRPr="00E50418">
              <w:rPr>
                <w:vertAlign w:val="superscript"/>
                <w:lang w:val="en-AU"/>
              </w:rPr>
              <w:t>2</w:t>
            </w:r>
          </w:p>
        </w:tc>
      </w:tr>
      <w:tr w:rsidR="00C75C64" w:rsidRPr="00E4592D" w14:paraId="43B25657" w14:textId="77777777" w:rsidTr="003C077C">
        <w:trPr>
          <w:trHeight w:val="765"/>
        </w:trPr>
        <w:tc>
          <w:tcPr>
            <w:tcW w:w="1412" w:type="pct"/>
            <w:vAlign w:val="center"/>
            <w:hideMark/>
          </w:tcPr>
          <w:p w14:paraId="58F4F2F0" w14:textId="77777777" w:rsidR="00C75C64" w:rsidRPr="004A478D" w:rsidRDefault="00C75C64" w:rsidP="00C75C64">
            <w:pPr>
              <w:pStyle w:val="KMC16-Tablecontent"/>
              <w:keepNext/>
              <w:keepLines/>
              <w:rPr>
                <w:i/>
                <w:lang w:val="en-AU"/>
              </w:rPr>
            </w:pPr>
            <w:r w:rsidRPr="004A478D">
              <w:rPr>
                <w:i/>
                <w:lang w:val="en-AU"/>
              </w:rPr>
              <w:t>less cost offset (patient contributions, applies to 30% (or 27%) of population who are general patients, the remaining with concession pay $0 contribution)</w:t>
            </w:r>
          </w:p>
        </w:tc>
        <w:tc>
          <w:tcPr>
            <w:tcW w:w="781" w:type="pct"/>
            <w:noWrap/>
            <w:hideMark/>
          </w:tcPr>
          <w:p w14:paraId="4818C7D7" w14:textId="0E3850BA" w:rsidR="00C75C64" w:rsidRPr="003C077C" w:rsidRDefault="00C75C64" w:rsidP="00C75C64">
            <w:pPr>
              <w:pStyle w:val="KMC16-Tablecontent"/>
              <w:keepNext/>
              <w:keepLines/>
              <w:jc w:val="right"/>
              <w:rPr>
                <w:color w:val="auto"/>
                <w:highlight w:val="yellow"/>
                <w:lang w:val="en-AU"/>
              </w:rPr>
            </w:pPr>
            <w:r w:rsidRPr="001171B7">
              <w:rPr>
                <w:lang w:val="en-AU"/>
              </w:rPr>
              <w:t>$</w:t>
            </w:r>
            <w:r w:rsidRPr="001171B7">
              <w:rPr>
                <w:b/>
                <w:bCs/>
                <w:lang w:val="en-AU"/>
              </w:rPr>
              <w:t>Redacted</w:t>
            </w:r>
            <w:r w:rsidRPr="001171B7">
              <w:rPr>
                <w:vertAlign w:val="superscript"/>
                <w:lang w:val="en-AU"/>
              </w:rPr>
              <w:t>2</w:t>
            </w:r>
          </w:p>
        </w:tc>
        <w:tc>
          <w:tcPr>
            <w:tcW w:w="561" w:type="pct"/>
            <w:noWrap/>
          </w:tcPr>
          <w:p w14:paraId="79B75719" w14:textId="5A169151" w:rsidR="00C75C64" w:rsidRPr="003C077C" w:rsidRDefault="00C75C64" w:rsidP="00C75C64">
            <w:pPr>
              <w:pStyle w:val="KMC16-Tablecontent"/>
              <w:keepNext/>
              <w:keepLines/>
              <w:jc w:val="right"/>
              <w:rPr>
                <w:color w:val="auto"/>
                <w:highlight w:val="yellow"/>
                <w:lang w:val="en-AU"/>
              </w:rPr>
            </w:pPr>
            <w:r w:rsidRPr="001171B7">
              <w:rPr>
                <w:lang w:val="en-AU"/>
              </w:rPr>
              <w:t>$</w:t>
            </w:r>
            <w:r w:rsidRPr="001171B7">
              <w:rPr>
                <w:b/>
                <w:bCs/>
                <w:lang w:val="en-AU"/>
              </w:rPr>
              <w:t>Redacted</w:t>
            </w:r>
            <w:r w:rsidRPr="001171B7">
              <w:rPr>
                <w:vertAlign w:val="superscript"/>
                <w:lang w:val="en-AU"/>
              </w:rPr>
              <w:t>2</w:t>
            </w:r>
          </w:p>
        </w:tc>
        <w:tc>
          <w:tcPr>
            <w:tcW w:w="561" w:type="pct"/>
            <w:noWrap/>
          </w:tcPr>
          <w:p w14:paraId="09954BAD" w14:textId="35681317" w:rsidR="00C75C64" w:rsidRPr="003C077C" w:rsidRDefault="00C75C64" w:rsidP="00C75C64">
            <w:pPr>
              <w:pStyle w:val="KMC16-Tablecontent"/>
              <w:keepNext/>
              <w:keepLines/>
              <w:jc w:val="right"/>
              <w:rPr>
                <w:color w:val="auto"/>
                <w:highlight w:val="yellow"/>
                <w:lang w:val="en-AU"/>
              </w:rPr>
            </w:pPr>
            <w:r w:rsidRPr="001171B7">
              <w:rPr>
                <w:lang w:val="en-AU"/>
              </w:rPr>
              <w:t>$</w:t>
            </w:r>
            <w:r w:rsidRPr="001171B7">
              <w:rPr>
                <w:b/>
                <w:bCs/>
                <w:lang w:val="en-AU"/>
              </w:rPr>
              <w:t>Redacted</w:t>
            </w:r>
            <w:r w:rsidRPr="001171B7">
              <w:rPr>
                <w:vertAlign w:val="superscript"/>
                <w:lang w:val="en-AU"/>
              </w:rPr>
              <w:t>2</w:t>
            </w:r>
          </w:p>
        </w:tc>
        <w:tc>
          <w:tcPr>
            <w:tcW w:w="561" w:type="pct"/>
            <w:noWrap/>
          </w:tcPr>
          <w:p w14:paraId="3F84ED69" w14:textId="54896239" w:rsidR="00C75C64" w:rsidRPr="003C077C" w:rsidRDefault="00C75C64" w:rsidP="00C75C64">
            <w:pPr>
              <w:pStyle w:val="KMC16-Tablecontent"/>
              <w:keepNext/>
              <w:keepLines/>
              <w:jc w:val="right"/>
              <w:rPr>
                <w:color w:val="auto"/>
                <w:highlight w:val="yellow"/>
                <w:lang w:val="en-AU"/>
              </w:rPr>
            </w:pPr>
            <w:r w:rsidRPr="001171B7">
              <w:rPr>
                <w:lang w:val="en-AU"/>
              </w:rPr>
              <w:t>$</w:t>
            </w:r>
            <w:r w:rsidRPr="001171B7">
              <w:rPr>
                <w:b/>
                <w:bCs/>
                <w:lang w:val="en-AU"/>
              </w:rPr>
              <w:t>Redacted</w:t>
            </w:r>
            <w:r w:rsidRPr="001171B7">
              <w:rPr>
                <w:vertAlign w:val="superscript"/>
                <w:lang w:val="en-AU"/>
              </w:rPr>
              <w:t>2</w:t>
            </w:r>
          </w:p>
        </w:tc>
        <w:tc>
          <w:tcPr>
            <w:tcW w:w="561" w:type="pct"/>
            <w:noWrap/>
          </w:tcPr>
          <w:p w14:paraId="6994AC82" w14:textId="13E1BCA8" w:rsidR="00C75C64" w:rsidRPr="003C077C" w:rsidRDefault="00C75C64" w:rsidP="00C75C64">
            <w:pPr>
              <w:pStyle w:val="KMC16-Tablecontent"/>
              <w:keepNext/>
              <w:keepLines/>
              <w:jc w:val="right"/>
              <w:rPr>
                <w:color w:val="auto"/>
                <w:highlight w:val="yellow"/>
                <w:lang w:val="en-AU"/>
              </w:rPr>
            </w:pPr>
            <w:r w:rsidRPr="001171B7">
              <w:rPr>
                <w:lang w:val="en-AU"/>
              </w:rPr>
              <w:t>$</w:t>
            </w:r>
            <w:r w:rsidRPr="001171B7">
              <w:rPr>
                <w:b/>
                <w:bCs/>
                <w:lang w:val="en-AU"/>
              </w:rPr>
              <w:t>Redacted</w:t>
            </w:r>
            <w:r w:rsidRPr="001171B7">
              <w:rPr>
                <w:vertAlign w:val="superscript"/>
                <w:lang w:val="en-AU"/>
              </w:rPr>
              <w:t>2</w:t>
            </w:r>
          </w:p>
        </w:tc>
        <w:tc>
          <w:tcPr>
            <w:tcW w:w="561" w:type="pct"/>
            <w:noWrap/>
          </w:tcPr>
          <w:p w14:paraId="07AAEF7D" w14:textId="0568FB35" w:rsidR="00C75C64" w:rsidRPr="003C077C" w:rsidRDefault="00C75C64" w:rsidP="00C75C64">
            <w:pPr>
              <w:pStyle w:val="KMC16-Tablecontent"/>
              <w:keepNext/>
              <w:keepLines/>
              <w:jc w:val="right"/>
              <w:rPr>
                <w:color w:val="auto"/>
                <w:highlight w:val="yellow"/>
                <w:lang w:val="en-AU"/>
              </w:rPr>
            </w:pPr>
            <w:r w:rsidRPr="001171B7">
              <w:rPr>
                <w:lang w:val="en-AU"/>
              </w:rPr>
              <w:t>$</w:t>
            </w:r>
            <w:r w:rsidRPr="001171B7">
              <w:rPr>
                <w:b/>
                <w:bCs/>
                <w:lang w:val="en-AU"/>
              </w:rPr>
              <w:t>Redacted</w:t>
            </w:r>
            <w:r w:rsidRPr="001171B7">
              <w:rPr>
                <w:vertAlign w:val="superscript"/>
                <w:lang w:val="en-AU"/>
              </w:rPr>
              <w:t>2</w:t>
            </w:r>
          </w:p>
        </w:tc>
      </w:tr>
      <w:tr w:rsidR="00C75C64" w:rsidRPr="00E4592D" w14:paraId="48B9CB11" w14:textId="77777777" w:rsidTr="003C077C">
        <w:trPr>
          <w:trHeight w:val="255"/>
        </w:trPr>
        <w:tc>
          <w:tcPr>
            <w:tcW w:w="1412" w:type="pct"/>
            <w:noWrap/>
            <w:vAlign w:val="bottom"/>
            <w:hideMark/>
          </w:tcPr>
          <w:p w14:paraId="2BA72FD5" w14:textId="4410EB6C" w:rsidR="00C75C64" w:rsidRPr="004A478D" w:rsidRDefault="00C75C64" w:rsidP="00C75C64">
            <w:pPr>
              <w:pStyle w:val="KMC16-Tablecontent"/>
              <w:keepNext/>
              <w:keepLines/>
              <w:rPr>
                <w:b/>
                <w:lang w:val="en-AU"/>
              </w:rPr>
            </w:pPr>
            <w:r w:rsidRPr="004A478D">
              <w:rPr>
                <w:b/>
                <w:lang w:val="en-AU"/>
              </w:rPr>
              <w:t xml:space="preserve">Net </w:t>
            </w:r>
            <w:r>
              <w:rPr>
                <w:b/>
                <w:lang w:val="en-AU"/>
              </w:rPr>
              <w:t>c</w:t>
            </w:r>
            <w:r w:rsidRPr="004A478D">
              <w:rPr>
                <w:b/>
                <w:lang w:val="en-AU"/>
              </w:rPr>
              <w:t>ost of FSL</w:t>
            </w:r>
          </w:p>
        </w:tc>
        <w:tc>
          <w:tcPr>
            <w:tcW w:w="781" w:type="pct"/>
            <w:noWrap/>
            <w:hideMark/>
          </w:tcPr>
          <w:p w14:paraId="47E2CB41" w14:textId="2779E14B" w:rsidR="00C75C64" w:rsidRPr="00C75C64" w:rsidRDefault="00C75C64" w:rsidP="00C75C64">
            <w:pPr>
              <w:pStyle w:val="KMC16-Tablecontent"/>
              <w:keepNext/>
              <w:keepLines/>
              <w:jc w:val="right"/>
              <w:rPr>
                <w:color w:val="auto"/>
                <w:lang w:val="en-AU"/>
              </w:rPr>
            </w:pPr>
            <w:r w:rsidRPr="00C75C64">
              <w:rPr>
                <w:lang w:val="en-AU"/>
              </w:rPr>
              <w:t>$</w:t>
            </w:r>
            <w:r w:rsidRPr="00C75C64">
              <w:rPr>
                <w:b/>
                <w:bCs/>
                <w:lang w:val="en-AU"/>
              </w:rPr>
              <w:t>Redacted</w:t>
            </w:r>
            <w:r w:rsidRPr="003C077C">
              <w:rPr>
                <w:vertAlign w:val="superscript"/>
                <w:lang w:val="en-AU"/>
              </w:rPr>
              <w:t>2</w:t>
            </w:r>
          </w:p>
        </w:tc>
        <w:tc>
          <w:tcPr>
            <w:tcW w:w="561" w:type="pct"/>
            <w:noWrap/>
          </w:tcPr>
          <w:p w14:paraId="629C6463" w14:textId="09C4C733" w:rsidR="00C75C64" w:rsidRPr="00C75C64" w:rsidRDefault="00C75C64" w:rsidP="00C75C64">
            <w:pPr>
              <w:pStyle w:val="KMC16-Tablecontent"/>
              <w:keepNext/>
              <w:keepLines/>
              <w:jc w:val="right"/>
              <w:rPr>
                <w:color w:val="auto"/>
                <w:lang w:val="en-AU"/>
              </w:rPr>
            </w:pPr>
            <w:r w:rsidRPr="00C75C64">
              <w:rPr>
                <w:lang w:val="en-AU"/>
              </w:rPr>
              <w:t>$</w:t>
            </w:r>
            <w:r w:rsidRPr="00C75C64">
              <w:rPr>
                <w:b/>
                <w:bCs/>
                <w:lang w:val="en-AU"/>
              </w:rPr>
              <w:t>Redacted</w:t>
            </w:r>
            <w:r w:rsidRPr="003C077C">
              <w:rPr>
                <w:vertAlign w:val="superscript"/>
                <w:lang w:val="en-AU"/>
              </w:rPr>
              <w:t>2</w:t>
            </w:r>
          </w:p>
        </w:tc>
        <w:tc>
          <w:tcPr>
            <w:tcW w:w="561" w:type="pct"/>
            <w:noWrap/>
          </w:tcPr>
          <w:p w14:paraId="24C419C3" w14:textId="650E2AF4" w:rsidR="00C75C64" w:rsidRPr="00C75C64" w:rsidRDefault="00C75C64" w:rsidP="00C75C64">
            <w:pPr>
              <w:pStyle w:val="KMC16-Tablecontent"/>
              <w:keepNext/>
              <w:keepLines/>
              <w:jc w:val="right"/>
              <w:rPr>
                <w:color w:val="auto"/>
                <w:lang w:val="en-AU"/>
              </w:rPr>
            </w:pPr>
            <w:r w:rsidRPr="00C75C64">
              <w:rPr>
                <w:lang w:val="en-AU"/>
              </w:rPr>
              <w:t>$</w:t>
            </w:r>
            <w:r w:rsidRPr="00C75C64">
              <w:rPr>
                <w:b/>
                <w:bCs/>
                <w:lang w:val="en-AU"/>
              </w:rPr>
              <w:t>Redacted</w:t>
            </w:r>
            <w:r w:rsidRPr="003C077C">
              <w:rPr>
                <w:vertAlign w:val="superscript"/>
                <w:lang w:val="en-AU"/>
              </w:rPr>
              <w:t>2</w:t>
            </w:r>
          </w:p>
        </w:tc>
        <w:tc>
          <w:tcPr>
            <w:tcW w:w="561" w:type="pct"/>
            <w:noWrap/>
          </w:tcPr>
          <w:p w14:paraId="121D019E" w14:textId="0C93818B" w:rsidR="00C75C64" w:rsidRPr="003C077C" w:rsidRDefault="00C75C64" w:rsidP="00C75C64">
            <w:pPr>
              <w:pStyle w:val="KMC16-Tablecontent"/>
              <w:keepNext/>
              <w:keepLines/>
              <w:jc w:val="right"/>
              <w:rPr>
                <w:color w:val="auto"/>
                <w:highlight w:val="yellow"/>
                <w:lang w:val="en-AU"/>
              </w:rPr>
            </w:pPr>
            <w:r w:rsidRPr="00F2156B">
              <w:rPr>
                <w:lang w:val="en-AU"/>
              </w:rPr>
              <w:t>$</w:t>
            </w:r>
            <w:r w:rsidRPr="00F2156B">
              <w:rPr>
                <w:b/>
                <w:bCs/>
                <w:lang w:val="en-AU"/>
              </w:rPr>
              <w:t>Redacted</w:t>
            </w:r>
            <w:r w:rsidRPr="00F2156B">
              <w:rPr>
                <w:vertAlign w:val="superscript"/>
                <w:lang w:val="en-AU"/>
              </w:rPr>
              <w:t>2</w:t>
            </w:r>
          </w:p>
        </w:tc>
        <w:tc>
          <w:tcPr>
            <w:tcW w:w="561" w:type="pct"/>
            <w:noWrap/>
          </w:tcPr>
          <w:p w14:paraId="7DD3D194" w14:textId="1E950B21" w:rsidR="00C75C64" w:rsidRPr="003C077C" w:rsidRDefault="00C75C64" w:rsidP="00C75C64">
            <w:pPr>
              <w:pStyle w:val="KMC16-Tablecontent"/>
              <w:keepNext/>
              <w:keepLines/>
              <w:jc w:val="right"/>
              <w:rPr>
                <w:color w:val="auto"/>
                <w:highlight w:val="yellow"/>
                <w:lang w:val="en-AU"/>
              </w:rPr>
            </w:pPr>
            <w:r w:rsidRPr="00F2156B">
              <w:rPr>
                <w:lang w:val="en-AU"/>
              </w:rPr>
              <w:t>$</w:t>
            </w:r>
            <w:r w:rsidRPr="00F2156B">
              <w:rPr>
                <w:b/>
                <w:bCs/>
                <w:lang w:val="en-AU"/>
              </w:rPr>
              <w:t>Redacted</w:t>
            </w:r>
            <w:r w:rsidRPr="00F2156B">
              <w:rPr>
                <w:vertAlign w:val="superscript"/>
                <w:lang w:val="en-AU"/>
              </w:rPr>
              <w:t>2</w:t>
            </w:r>
          </w:p>
        </w:tc>
        <w:tc>
          <w:tcPr>
            <w:tcW w:w="561" w:type="pct"/>
            <w:noWrap/>
          </w:tcPr>
          <w:p w14:paraId="421C0A09" w14:textId="3F9986EA" w:rsidR="00C75C64" w:rsidRPr="003C077C" w:rsidRDefault="00C75C64" w:rsidP="00C75C64">
            <w:pPr>
              <w:pStyle w:val="KMC16-Tablecontent"/>
              <w:keepNext/>
              <w:keepLines/>
              <w:jc w:val="right"/>
              <w:rPr>
                <w:color w:val="auto"/>
                <w:highlight w:val="yellow"/>
                <w:lang w:val="en-AU"/>
              </w:rPr>
            </w:pPr>
            <w:r w:rsidRPr="00F2156B">
              <w:rPr>
                <w:lang w:val="en-AU"/>
              </w:rPr>
              <w:t>$</w:t>
            </w:r>
            <w:r w:rsidRPr="00F2156B">
              <w:rPr>
                <w:b/>
                <w:bCs/>
                <w:lang w:val="en-AU"/>
              </w:rPr>
              <w:t>Redacted</w:t>
            </w:r>
            <w:r w:rsidRPr="00F2156B">
              <w:rPr>
                <w:vertAlign w:val="superscript"/>
                <w:lang w:val="en-AU"/>
              </w:rPr>
              <w:t>2</w:t>
            </w:r>
          </w:p>
        </w:tc>
      </w:tr>
      <w:tr w:rsidR="00C75C64" w:rsidRPr="00E4592D" w14:paraId="3E16D0DD" w14:textId="77777777" w:rsidTr="003C077C">
        <w:trPr>
          <w:trHeight w:val="255"/>
        </w:trPr>
        <w:tc>
          <w:tcPr>
            <w:tcW w:w="1412" w:type="pct"/>
            <w:noWrap/>
            <w:vAlign w:val="bottom"/>
            <w:hideMark/>
          </w:tcPr>
          <w:p w14:paraId="1AB0362D" w14:textId="58246706" w:rsidR="000C6AF3" w:rsidRPr="004A478D" w:rsidRDefault="000C6AF3" w:rsidP="00791334">
            <w:pPr>
              <w:pStyle w:val="KMC16-Tablecontent"/>
              <w:keepNext/>
              <w:keepLines/>
              <w:rPr>
                <w:b/>
                <w:lang w:val="en-AU"/>
              </w:rPr>
            </w:pPr>
            <w:r w:rsidRPr="004A478D">
              <w:rPr>
                <w:b/>
                <w:lang w:val="en-AU"/>
              </w:rPr>
              <w:t xml:space="preserve">Change in SMBG </w:t>
            </w:r>
            <w:r w:rsidR="00BC6A97">
              <w:rPr>
                <w:b/>
                <w:lang w:val="en-AU"/>
              </w:rPr>
              <w:t>u</w:t>
            </w:r>
            <w:r w:rsidRPr="004A478D">
              <w:rPr>
                <w:b/>
                <w:lang w:val="en-AU"/>
              </w:rPr>
              <w:t>se</w:t>
            </w:r>
          </w:p>
        </w:tc>
        <w:tc>
          <w:tcPr>
            <w:tcW w:w="781" w:type="pct"/>
            <w:noWrap/>
            <w:hideMark/>
          </w:tcPr>
          <w:p w14:paraId="751B1E82" w14:textId="77777777" w:rsidR="000C6AF3" w:rsidRPr="00C75C64" w:rsidRDefault="000C6AF3" w:rsidP="00791334">
            <w:pPr>
              <w:pStyle w:val="KMC16-Tablecontent"/>
              <w:keepNext/>
              <w:keepLines/>
              <w:jc w:val="center"/>
              <w:rPr>
                <w:color w:val="auto"/>
                <w:lang w:val="en-AU"/>
              </w:rPr>
            </w:pPr>
          </w:p>
        </w:tc>
        <w:tc>
          <w:tcPr>
            <w:tcW w:w="561" w:type="pct"/>
            <w:noWrap/>
          </w:tcPr>
          <w:p w14:paraId="2C6E49FA" w14:textId="77777777" w:rsidR="000C6AF3" w:rsidRPr="00C75C64" w:rsidRDefault="000C6AF3" w:rsidP="00791334">
            <w:pPr>
              <w:pStyle w:val="KMC16-Tablecontent"/>
              <w:keepNext/>
              <w:keepLines/>
              <w:jc w:val="center"/>
              <w:rPr>
                <w:color w:val="auto"/>
                <w:lang w:val="en-AU"/>
              </w:rPr>
            </w:pPr>
          </w:p>
        </w:tc>
        <w:tc>
          <w:tcPr>
            <w:tcW w:w="561" w:type="pct"/>
            <w:noWrap/>
          </w:tcPr>
          <w:p w14:paraId="1E18D344" w14:textId="77777777" w:rsidR="000C6AF3" w:rsidRPr="00C75C64" w:rsidRDefault="000C6AF3" w:rsidP="00791334">
            <w:pPr>
              <w:pStyle w:val="KMC16-Tablecontent"/>
              <w:keepNext/>
              <w:keepLines/>
              <w:jc w:val="center"/>
              <w:rPr>
                <w:color w:val="auto"/>
                <w:lang w:val="en-AU"/>
              </w:rPr>
            </w:pPr>
          </w:p>
        </w:tc>
        <w:tc>
          <w:tcPr>
            <w:tcW w:w="561" w:type="pct"/>
            <w:noWrap/>
          </w:tcPr>
          <w:p w14:paraId="396D8A35" w14:textId="77777777" w:rsidR="000C6AF3" w:rsidRPr="00C77835" w:rsidRDefault="000C6AF3" w:rsidP="00791334">
            <w:pPr>
              <w:pStyle w:val="KMC16-Tablecontent"/>
              <w:keepNext/>
              <w:keepLines/>
              <w:jc w:val="center"/>
              <w:rPr>
                <w:color w:val="auto"/>
                <w:lang w:val="en-AU"/>
              </w:rPr>
            </w:pPr>
          </w:p>
        </w:tc>
        <w:tc>
          <w:tcPr>
            <w:tcW w:w="561" w:type="pct"/>
            <w:noWrap/>
          </w:tcPr>
          <w:p w14:paraId="3A5BD711" w14:textId="77777777" w:rsidR="000C6AF3" w:rsidRPr="00C77835" w:rsidRDefault="000C6AF3" w:rsidP="00791334">
            <w:pPr>
              <w:pStyle w:val="KMC16-Tablecontent"/>
              <w:keepNext/>
              <w:keepLines/>
              <w:jc w:val="center"/>
              <w:rPr>
                <w:color w:val="auto"/>
                <w:lang w:val="en-AU"/>
              </w:rPr>
            </w:pPr>
          </w:p>
        </w:tc>
        <w:tc>
          <w:tcPr>
            <w:tcW w:w="561" w:type="pct"/>
            <w:noWrap/>
          </w:tcPr>
          <w:p w14:paraId="70566969" w14:textId="77777777" w:rsidR="000C6AF3" w:rsidRPr="00C77835" w:rsidRDefault="000C6AF3" w:rsidP="00791334">
            <w:pPr>
              <w:pStyle w:val="KMC16-Tablecontent"/>
              <w:keepNext/>
              <w:keepLines/>
              <w:jc w:val="center"/>
              <w:rPr>
                <w:color w:val="auto"/>
                <w:lang w:val="en-AU"/>
              </w:rPr>
            </w:pPr>
          </w:p>
        </w:tc>
      </w:tr>
      <w:tr w:rsidR="00C75C64" w:rsidRPr="00E4592D" w14:paraId="42BCC6CC" w14:textId="77777777" w:rsidTr="003C077C">
        <w:trPr>
          <w:trHeight w:val="255"/>
        </w:trPr>
        <w:tc>
          <w:tcPr>
            <w:tcW w:w="1412" w:type="pct"/>
            <w:vAlign w:val="center"/>
            <w:hideMark/>
          </w:tcPr>
          <w:p w14:paraId="0C578189" w14:textId="45427DAC" w:rsidR="00C75C64" w:rsidRPr="004A478D" w:rsidRDefault="00C75C64" w:rsidP="00C75C64">
            <w:pPr>
              <w:pStyle w:val="KMC16-Tablecontent"/>
              <w:keepNext/>
              <w:keepLines/>
              <w:rPr>
                <w:i/>
                <w:lang w:val="en-AU"/>
              </w:rPr>
            </w:pPr>
            <w:r w:rsidRPr="004A478D">
              <w:rPr>
                <w:i/>
                <w:lang w:val="en-AU"/>
              </w:rPr>
              <w:t>less cost offsets (reduced glucose strips</w:t>
            </w:r>
            <w:r>
              <w:rPr>
                <w:i/>
                <w:lang w:val="en-AU"/>
              </w:rPr>
              <w:t xml:space="preserve"> costing </w:t>
            </w:r>
            <w:r>
              <w:rPr>
                <w:color w:val="auto"/>
              </w:rPr>
              <w:t>$</w:t>
            </w:r>
            <w:r>
              <w:rPr>
                <w:i/>
                <w:lang w:val="en-AU"/>
              </w:rPr>
              <w:t>19.10 per pack</w:t>
            </w:r>
            <w:r w:rsidRPr="004A478D">
              <w:rPr>
                <w:i/>
                <w:lang w:val="en-AU"/>
              </w:rPr>
              <w:t>)</w:t>
            </w:r>
          </w:p>
        </w:tc>
        <w:tc>
          <w:tcPr>
            <w:tcW w:w="781" w:type="pct"/>
            <w:noWrap/>
            <w:hideMark/>
          </w:tcPr>
          <w:p w14:paraId="141110AE" w14:textId="7FD9824A" w:rsidR="00C75C64" w:rsidRPr="00C75C64" w:rsidRDefault="00C75C64" w:rsidP="00C75C64">
            <w:pPr>
              <w:pStyle w:val="KMC16-Tablecontent"/>
              <w:keepNext/>
              <w:keepLines/>
              <w:jc w:val="right"/>
              <w:rPr>
                <w:color w:val="auto"/>
                <w:lang w:val="en-AU"/>
              </w:rPr>
            </w:pPr>
            <w:r w:rsidRPr="00C75C64">
              <w:rPr>
                <w:lang w:val="en-AU"/>
              </w:rPr>
              <w:t>$</w:t>
            </w:r>
            <w:r w:rsidRPr="00C75C64">
              <w:rPr>
                <w:b/>
                <w:bCs/>
                <w:lang w:val="en-AU"/>
              </w:rPr>
              <w:t>Redacted</w:t>
            </w:r>
            <w:r w:rsidRPr="003C077C">
              <w:rPr>
                <w:vertAlign w:val="superscript"/>
                <w:lang w:val="en-AU"/>
              </w:rPr>
              <w:t>2</w:t>
            </w:r>
          </w:p>
        </w:tc>
        <w:tc>
          <w:tcPr>
            <w:tcW w:w="561" w:type="pct"/>
            <w:noWrap/>
          </w:tcPr>
          <w:p w14:paraId="6DB9A79E" w14:textId="5668556E" w:rsidR="00C75C64" w:rsidRPr="00C75C64" w:rsidRDefault="00C75C64" w:rsidP="00C75C64">
            <w:pPr>
              <w:pStyle w:val="KMC16-Tablecontent"/>
              <w:keepNext/>
              <w:keepLines/>
              <w:jc w:val="right"/>
              <w:rPr>
                <w:color w:val="auto"/>
                <w:lang w:val="en-AU"/>
              </w:rPr>
            </w:pPr>
            <w:r w:rsidRPr="00C75C64">
              <w:rPr>
                <w:lang w:val="en-AU"/>
              </w:rPr>
              <w:t>$</w:t>
            </w:r>
            <w:r w:rsidRPr="00C75C64">
              <w:rPr>
                <w:b/>
                <w:bCs/>
                <w:lang w:val="en-AU"/>
              </w:rPr>
              <w:t>Redacted</w:t>
            </w:r>
            <w:r w:rsidRPr="003C077C">
              <w:rPr>
                <w:vertAlign w:val="superscript"/>
                <w:lang w:val="en-AU"/>
              </w:rPr>
              <w:t>2</w:t>
            </w:r>
          </w:p>
        </w:tc>
        <w:tc>
          <w:tcPr>
            <w:tcW w:w="561" w:type="pct"/>
            <w:noWrap/>
          </w:tcPr>
          <w:p w14:paraId="06605263" w14:textId="7BA2433C" w:rsidR="00C75C64" w:rsidRPr="00C75C64" w:rsidRDefault="00C75C64" w:rsidP="00C75C64">
            <w:pPr>
              <w:pStyle w:val="KMC16-Tablecontent"/>
              <w:keepNext/>
              <w:keepLines/>
              <w:jc w:val="right"/>
              <w:rPr>
                <w:color w:val="auto"/>
                <w:lang w:val="en-AU"/>
              </w:rPr>
            </w:pPr>
            <w:r w:rsidRPr="00C75C64">
              <w:rPr>
                <w:lang w:val="en-AU"/>
              </w:rPr>
              <w:t>$</w:t>
            </w:r>
            <w:r w:rsidRPr="00C75C64">
              <w:rPr>
                <w:b/>
                <w:bCs/>
                <w:lang w:val="en-AU"/>
              </w:rPr>
              <w:t>Redacted</w:t>
            </w:r>
            <w:r w:rsidRPr="003C077C">
              <w:rPr>
                <w:vertAlign w:val="superscript"/>
                <w:lang w:val="en-AU"/>
              </w:rPr>
              <w:t>2</w:t>
            </w:r>
          </w:p>
        </w:tc>
        <w:tc>
          <w:tcPr>
            <w:tcW w:w="561" w:type="pct"/>
            <w:noWrap/>
          </w:tcPr>
          <w:p w14:paraId="3845485A" w14:textId="659B7743" w:rsidR="00C75C64" w:rsidRPr="003C077C" w:rsidRDefault="00C75C64" w:rsidP="00C75C64">
            <w:pPr>
              <w:pStyle w:val="KMC16-Tablecontent"/>
              <w:keepNext/>
              <w:keepLines/>
              <w:jc w:val="right"/>
              <w:rPr>
                <w:color w:val="auto"/>
                <w:highlight w:val="yellow"/>
                <w:lang w:val="en-AU"/>
              </w:rPr>
            </w:pPr>
            <w:r w:rsidRPr="003A4C3C">
              <w:rPr>
                <w:lang w:val="en-AU"/>
              </w:rPr>
              <w:t>$</w:t>
            </w:r>
            <w:r w:rsidRPr="003A4C3C">
              <w:rPr>
                <w:b/>
                <w:bCs/>
                <w:lang w:val="en-AU"/>
              </w:rPr>
              <w:t>Redacted</w:t>
            </w:r>
            <w:r w:rsidRPr="003A4C3C">
              <w:rPr>
                <w:vertAlign w:val="superscript"/>
                <w:lang w:val="en-AU"/>
              </w:rPr>
              <w:t>2</w:t>
            </w:r>
          </w:p>
        </w:tc>
        <w:tc>
          <w:tcPr>
            <w:tcW w:w="561" w:type="pct"/>
            <w:noWrap/>
          </w:tcPr>
          <w:p w14:paraId="54F57ADD" w14:textId="2F268BE8" w:rsidR="00C75C64" w:rsidRPr="003C077C" w:rsidRDefault="00C75C64" w:rsidP="00C75C64">
            <w:pPr>
              <w:pStyle w:val="KMC16-Tablecontent"/>
              <w:keepNext/>
              <w:keepLines/>
              <w:jc w:val="right"/>
              <w:rPr>
                <w:color w:val="auto"/>
                <w:highlight w:val="yellow"/>
                <w:lang w:val="en-AU"/>
              </w:rPr>
            </w:pPr>
            <w:r w:rsidRPr="003A4C3C">
              <w:rPr>
                <w:lang w:val="en-AU"/>
              </w:rPr>
              <w:t>$</w:t>
            </w:r>
            <w:r w:rsidRPr="003A4C3C">
              <w:rPr>
                <w:b/>
                <w:bCs/>
                <w:lang w:val="en-AU"/>
              </w:rPr>
              <w:t>Redacted</w:t>
            </w:r>
            <w:r w:rsidRPr="003A4C3C">
              <w:rPr>
                <w:vertAlign w:val="superscript"/>
                <w:lang w:val="en-AU"/>
              </w:rPr>
              <w:t>2</w:t>
            </w:r>
          </w:p>
        </w:tc>
        <w:tc>
          <w:tcPr>
            <w:tcW w:w="561" w:type="pct"/>
            <w:noWrap/>
          </w:tcPr>
          <w:p w14:paraId="687745C7" w14:textId="36F265C4" w:rsidR="00C75C64" w:rsidRPr="003C077C" w:rsidRDefault="00C75C64" w:rsidP="00C75C64">
            <w:pPr>
              <w:pStyle w:val="KMC16-Tablecontent"/>
              <w:keepNext/>
              <w:keepLines/>
              <w:jc w:val="right"/>
              <w:rPr>
                <w:color w:val="auto"/>
                <w:highlight w:val="yellow"/>
                <w:lang w:val="en-AU"/>
              </w:rPr>
            </w:pPr>
            <w:r w:rsidRPr="003A4C3C">
              <w:rPr>
                <w:lang w:val="en-AU"/>
              </w:rPr>
              <w:t>$</w:t>
            </w:r>
            <w:r w:rsidRPr="003A4C3C">
              <w:rPr>
                <w:b/>
                <w:bCs/>
                <w:lang w:val="en-AU"/>
              </w:rPr>
              <w:t>Redacted</w:t>
            </w:r>
            <w:r w:rsidRPr="003A4C3C">
              <w:rPr>
                <w:vertAlign w:val="superscript"/>
                <w:lang w:val="en-AU"/>
              </w:rPr>
              <w:t>2</w:t>
            </w:r>
          </w:p>
        </w:tc>
      </w:tr>
      <w:tr w:rsidR="00C75C64" w:rsidRPr="00E4592D" w14:paraId="5297E9F7" w14:textId="77777777" w:rsidTr="003C077C">
        <w:trPr>
          <w:trHeight w:val="270"/>
        </w:trPr>
        <w:tc>
          <w:tcPr>
            <w:tcW w:w="1412" w:type="pct"/>
            <w:noWrap/>
            <w:vAlign w:val="bottom"/>
            <w:hideMark/>
          </w:tcPr>
          <w:p w14:paraId="5F236257" w14:textId="68938052" w:rsidR="00C75C64" w:rsidRPr="004A478D" w:rsidRDefault="00C75C64" w:rsidP="00C75C64">
            <w:pPr>
              <w:pStyle w:val="KMC16-Tablecontent"/>
              <w:keepNext/>
              <w:keepLines/>
              <w:rPr>
                <w:b/>
                <w:lang w:val="en-AU"/>
              </w:rPr>
            </w:pPr>
            <w:r w:rsidRPr="004A478D">
              <w:rPr>
                <w:b/>
                <w:lang w:val="en-AU"/>
              </w:rPr>
              <w:t xml:space="preserve">Total </w:t>
            </w:r>
            <w:r>
              <w:rPr>
                <w:b/>
                <w:lang w:val="en-AU"/>
              </w:rPr>
              <w:t>n</w:t>
            </w:r>
            <w:r w:rsidRPr="00A54EDF">
              <w:rPr>
                <w:b/>
                <w:lang w:val="en-AU"/>
              </w:rPr>
              <w:t xml:space="preserve">et </w:t>
            </w:r>
            <w:r>
              <w:rPr>
                <w:b/>
                <w:lang w:val="en-AU"/>
              </w:rPr>
              <w:t>c</w:t>
            </w:r>
            <w:r w:rsidRPr="004A478D">
              <w:rPr>
                <w:b/>
                <w:lang w:val="en-AU"/>
              </w:rPr>
              <w:t>ost</w:t>
            </w:r>
          </w:p>
        </w:tc>
        <w:tc>
          <w:tcPr>
            <w:tcW w:w="781" w:type="pct"/>
            <w:noWrap/>
            <w:hideMark/>
          </w:tcPr>
          <w:p w14:paraId="6B808276" w14:textId="0C36F2D0" w:rsidR="00C75C64" w:rsidRPr="00C75C64" w:rsidRDefault="00C75C64" w:rsidP="00C75C64">
            <w:pPr>
              <w:pStyle w:val="KMC16-Tablecontent"/>
              <w:keepNext/>
              <w:keepLines/>
              <w:jc w:val="right"/>
              <w:rPr>
                <w:color w:val="auto"/>
                <w:lang w:val="en-AU"/>
              </w:rPr>
            </w:pPr>
            <w:r w:rsidRPr="00C75C64">
              <w:rPr>
                <w:lang w:val="en-AU"/>
              </w:rPr>
              <w:t>$</w:t>
            </w:r>
            <w:r w:rsidRPr="00C75C64">
              <w:rPr>
                <w:b/>
                <w:bCs/>
                <w:lang w:val="en-AU"/>
              </w:rPr>
              <w:t>Redacted</w:t>
            </w:r>
            <w:r w:rsidRPr="003C077C">
              <w:rPr>
                <w:vertAlign w:val="superscript"/>
                <w:lang w:val="en-AU"/>
              </w:rPr>
              <w:t>2</w:t>
            </w:r>
          </w:p>
        </w:tc>
        <w:tc>
          <w:tcPr>
            <w:tcW w:w="561" w:type="pct"/>
            <w:noWrap/>
          </w:tcPr>
          <w:p w14:paraId="3C19E76C" w14:textId="330DCA8A" w:rsidR="00C75C64" w:rsidRPr="00C75C64" w:rsidRDefault="00C75C64" w:rsidP="00C75C64">
            <w:pPr>
              <w:pStyle w:val="KMC16-Tablecontent"/>
              <w:keepNext/>
              <w:keepLines/>
              <w:jc w:val="right"/>
              <w:rPr>
                <w:color w:val="auto"/>
                <w:lang w:val="en-AU"/>
              </w:rPr>
            </w:pPr>
            <w:r w:rsidRPr="00C75C64">
              <w:rPr>
                <w:lang w:val="en-AU"/>
              </w:rPr>
              <w:t>$</w:t>
            </w:r>
            <w:r w:rsidRPr="00C75C64">
              <w:rPr>
                <w:b/>
                <w:bCs/>
                <w:lang w:val="en-AU"/>
              </w:rPr>
              <w:t>Redacted</w:t>
            </w:r>
            <w:r w:rsidRPr="003C077C">
              <w:rPr>
                <w:vertAlign w:val="superscript"/>
                <w:lang w:val="en-AU"/>
              </w:rPr>
              <w:t>2</w:t>
            </w:r>
          </w:p>
        </w:tc>
        <w:tc>
          <w:tcPr>
            <w:tcW w:w="561" w:type="pct"/>
            <w:noWrap/>
          </w:tcPr>
          <w:p w14:paraId="48CFEC21" w14:textId="670A0D89" w:rsidR="00C75C64" w:rsidRPr="00C75C64" w:rsidRDefault="00C75C64" w:rsidP="00C75C64">
            <w:pPr>
              <w:pStyle w:val="KMC16-Tablecontent"/>
              <w:keepNext/>
              <w:keepLines/>
              <w:jc w:val="right"/>
              <w:rPr>
                <w:color w:val="auto"/>
                <w:lang w:val="en-AU"/>
              </w:rPr>
            </w:pPr>
            <w:r w:rsidRPr="00C75C64">
              <w:rPr>
                <w:lang w:val="en-AU"/>
              </w:rPr>
              <w:t>$</w:t>
            </w:r>
            <w:r w:rsidRPr="00C75C64">
              <w:rPr>
                <w:b/>
                <w:bCs/>
                <w:lang w:val="en-AU"/>
              </w:rPr>
              <w:t>Redacted</w:t>
            </w:r>
            <w:r w:rsidRPr="00C75C64">
              <w:rPr>
                <w:vertAlign w:val="superscript"/>
                <w:lang w:val="en-AU"/>
              </w:rPr>
              <w:t>2</w:t>
            </w:r>
          </w:p>
        </w:tc>
        <w:tc>
          <w:tcPr>
            <w:tcW w:w="561" w:type="pct"/>
            <w:noWrap/>
          </w:tcPr>
          <w:p w14:paraId="6BA29C48" w14:textId="178BA565" w:rsidR="00C75C64" w:rsidRPr="003C077C" w:rsidRDefault="00C75C64" w:rsidP="00C75C64">
            <w:pPr>
              <w:pStyle w:val="KMC16-Tablecontent"/>
              <w:keepNext/>
              <w:keepLines/>
              <w:jc w:val="right"/>
              <w:rPr>
                <w:color w:val="auto"/>
                <w:highlight w:val="yellow"/>
                <w:lang w:val="en-AU"/>
              </w:rPr>
            </w:pPr>
            <w:r w:rsidRPr="00303BD1">
              <w:rPr>
                <w:lang w:val="en-AU"/>
              </w:rPr>
              <w:t>$</w:t>
            </w:r>
            <w:r w:rsidRPr="00303BD1">
              <w:rPr>
                <w:b/>
                <w:bCs/>
                <w:lang w:val="en-AU"/>
              </w:rPr>
              <w:t>Redacted</w:t>
            </w:r>
            <w:r w:rsidRPr="00303BD1">
              <w:rPr>
                <w:vertAlign w:val="superscript"/>
                <w:lang w:val="en-AU"/>
              </w:rPr>
              <w:t>2</w:t>
            </w:r>
          </w:p>
        </w:tc>
        <w:tc>
          <w:tcPr>
            <w:tcW w:w="561" w:type="pct"/>
            <w:noWrap/>
          </w:tcPr>
          <w:p w14:paraId="58525E61" w14:textId="099F6B74" w:rsidR="00C75C64" w:rsidRPr="003C077C" w:rsidRDefault="00C75C64" w:rsidP="00C75C64">
            <w:pPr>
              <w:pStyle w:val="KMC16-Tablecontent"/>
              <w:keepNext/>
              <w:keepLines/>
              <w:jc w:val="right"/>
              <w:rPr>
                <w:color w:val="auto"/>
                <w:highlight w:val="yellow"/>
                <w:lang w:val="en-AU"/>
              </w:rPr>
            </w:pPr>
            <w:r w:rsidRPr="00303BD1">
              <w:rPr>
                <w:lang w:val="en-AU"/>
              </w:rPr>
              <w:t>$</w:t>
            </w:r>
            <w:r w:rsidRPr="00303BD1">
              <w:rPr>
                <w:b/>
                <w:bCs/>
                <w:lang w:val="en-AU"/>
              </w:rPr>
              <w:t>Redacted</w:t>
            </w:r>
            <w:r w:rsidRPr="00303BD1">
              <w:rPr>
                <w:vertAlign w:val="superscript"/>
                <w:lang w:val="en-AU"/>
              </w:rPr>
              <w:t>2</w:t>
            </w:r>
          </w:p>
        </w:tc>
        <w:tc>
          <w:tcPr>
            <w:tcW w:w="561" w:type="pct"/>
            <w:noWrap/>
          </w:tcPr>
          <w:p w14:paraId="6AFBA28D" w14:textId="20E3DFF5" w:rsidR="00C75C64" w:rsidRPr="003C077C" w:rsidRDefault="00C75C64" w:rsidP="00C75C64">
            <w:pPr>
              <w:pStyle w:val="KMC16-Tablecontent"/>
              <w:keepNext/>
              <w:keepLines/>
              <w:jc w:val="right"/>
              <w:rPr>
                <w:color w:val="auto"/>
                <w:highlight w:val="yellow"/>
                <w:lang w:val="en-AU"/>
              </w:rPr>
            </w:pPr>
            <w:r w:rsidRPr="00303BD1">
              <w:rPr>
                <w:lang w:val="en-AU"/>
              </w:rPr>
              <w:t>$</w:t>
            </w:r>
            <w:r w:rsidRPr="00303BD1">
              <w:rPr>
                <w:b/>
                <w:bCs/>
                <w:lang w:val="en-AU"/>
              </w:rPr>
              <w:t>Redacted</w:t>
            </w:r>
            <w:r w:rsidRPr="00303BD1">
              <w:rPr>
                <w:vertAlign w:val="superscript"/>
                <w:lang w:val="en-AU"/>
              </w:rPr>
              <w:t>2</w:t>
            </w:r>
          </w:p>
        </w:tc>
      </w:tr>
    </w:tbl>
    <w:p w14:paraId="729A50E2" w14:textId="77777777" w:rsidR="00DF67A2" w:rsidRPr="003027B3" w:rsidRDefault="00DF67A2" w:rsidP="00791334">
      <w:pPr>
        <w:pStyle w:val="KMC16-TFNotes"/>
        <w:keepNext/>
        <w:keepLines/>
        <w:rPr>
          <w:rFonts w:ascii="Arial Narrow" w:hAnsi="Arial Narrow"/>
          <w:sz w:val="18"/>
          <w:szCs w:val="18"/>
          <w:u w:val="single"/>
        </w:rPr>
      </w:pPr>
      <w:r w:rsidRPr="003027B3">
        <w:rPr>
          <w:rFonts w:ascii="Arial Narrow" w:hAnsi="Arial Narrow"/>
          <w:b/>
          <w:bCs/>
          <w:sz w:val="18"/>
          <w:szCs w:val="18"/>
          <w:u w:val="single"/>
        </w:rPr>
        <w:t>Abbreviations</w:t>
      </w:r>
    </w:p>
    <w:p w14:paraId="0976EAA3" w14:textId="17B8E4F5" w:rsidR="00DF67A2" w:rsidRPr="003027B3" w:rsidRDefault="00DF67A2" w:rsidP="00791334">
      <w:pPr>
        <w:pStyle w:val="KMC16-TFNotes"/>
        <w:keepNext/>
        <w:keepLines/>
        <w:jc w:val="left"/>
        <w:rPr>
          <w:rFonts w:ascii="Arial Narrow" w:hAnsi="Arial Narrow"/>
          <w:sz w:val="18"/>
          <w:szCs w:val="18"/>
        </w:rPr>
      </w:pPr>
      <w:r w:rsidRPr="003027B3">
        <w:rPr>
          <w:rFonts w:ascii="Arial Narrow" w:hAnsi="Arial Narrow"/>
          <w:b/>
          <w:bCs/>
          <w:sz w:val="18"/>
          <w:szCs w:val="18"/>
        </w:rPr>
        <w:t>FSL</w:t>
      </w:r>
      <w:r w:rsidRPr="003027B3">
        <w:rPr>
          <w:rFonts w:ascii="Arial Narrow" w:hAnsi="Arial Narrow"/>
          <w:sz w:val="18"/>
          <w:szCs w:val="18"/>
        </w:rPr>
        <w:t xml:space="preserve"> = FreeStyle Libre Continuous Glucose Monitoring, </w:t>
      </w:r>
      <w:r w:rsidRPr="003027B3">
        <w:rPr>
          <w:rFonts w:ascii="Arial Narrow" w:hAnsi="Arial Narrow"/>
          <w:b/>
          <w:bCs/>
          <w:sz w:val="18"/>
          <w:szCs w:val="18"/>
        </w:rPr>
        <w:t>SMBG</w:t>
      </w:r>
      <w:r w:rsidRPr="003027B3">
        <w:rPr>
          <w:rFonts w:ascii="Arial Narrow" w:hAnsi="Arial Narrow"/>
          <w:sz w:val="18"/>
          <w:szCs w:val="18"/>
        </w:rPr>
        <w:t xml:space="preserve"> = self-monitoring of blood glucose. </w:t>
      </w:r>
      <w:r w:rsidR="00C70CF3" w:rsidRPr="003027B3">
        <w:rPr>
          <w:rFonts w:ascii="Arial Narrow" w:hAnsi="Arial Narrow"/>
          <w:sz w:val="18"/>
          <w:szCs w:val="18"/>
        </w:rPr>
        <w:br/>
      </w:r>
      <w:r w:rsidR="00C70CF3" w:rsidRPr="003027B3">
        <w:rPr>
          <w:rFonts w:ascii="Arial Narrow" w:hAnsi="Arial Narrow"/>
          <w:b/>
          <w:bCs/>
          <w:sz w:val="18"/>
          <w:szCs w:val="18"/>
          <w:u w:val="single"/>
        </w:rPr>
        <w:t>Notes</w:t>
      </w:r>
      <w:r w:rsidR="00C70CF3" w:rsidRPr="003027B3">
        <w:rPr>
          <w:rFonts w:ascii="Arial Narrow" w:hAnsi="Arial Narrow"/>
          <w:b/>
          <w:bCs/>
          <w:sz w:val="18"/>
          <w:szCs w:val="18"/>
          <w:u w:val="single"/>
        </w:rPr>
        <w:br/>
      </w:r>
      <w:r w:rsidR="00C70CF3" w:rsidRPr="003027B3">
        <w:rPr>
          <w:rFonts w:ascii="Arial Narrow" w:hAnsi="Arial Narrow"/>
          <w:sz w:val="18"/>
          <w:szCs w:val="18"/>
        </w:rPr>
        <w:t>All currencies represent AUD</w:t>
      </w:r>
    </w:p>
    <w:p w14:paraId="2B7CC62E" w14:textId="77777777" w:rsidR="001120BB" w:rsidRDefault="001120BB" w:rsidP="001120BB">
      <w:pPr>
        <w:pStyle w:val="KMC16-TFNotes"/>
        <w:jc w:val="left"/>
        <w:rPr>
          <w:rFonts w:ascii="Arial Narrow" w:hAnsi="Arial Narrow"/>
          <w:sz w:val="18"/>
          <w:szCs w:val="18"/>
        </w:rPr>
      </w:pPr>
      <w:r>
        <w:rPr>
          <w:rFonts w:ascii="Arial Narrow" w:hAnsi="Arial Narrow"/>
          <w:sz w:val="18"/>
          <w:szCs w:val="18"/>
        </w:rPr>
        <w:t>The redacted values correspond to the following ranges:</w:t>
      </w:r>
    </w:p>
    <w:p w14:paraId="6CCBA08F" w14:textId="326AAF7A" w:rsidR="001120BB" w:rsidRDefault="001120BB" w:rsidP="001120BB">
      <w:pPr>
        <w:pStyle w:val="KMC16-TFNotes"/>
        <w:jc w:val="left"/>
        <w:rPr>
          <w:rFonts w:ascii="Arial Narrow" w:hAnsi="Arial Narrow"/>
          <w:sz w:val="18"/>
          <w:szCs w:val="18"/>
        </w:rPr>
      </w:pPr>
      <w:r>
        <w:rPr>
          <w:rFonts w:ascii="Arial Narrow" w:hAnsi="Arial Narrow"/>
          <w:sz w:val="18"/>
          <w:szCs w:val="18"/>
          <w:vertAlign w:val="superscript"/>
        </w:rPr>
        <w:t>1</w:t>
      </w:r>
      <w:r>
        <w:rPr>
          <w:rFonts w:ascii="Arial Narrow" w:hAnsi="Arial Narrow"/>
          <w:sz w:val="18"/>
          <w:szCs w:val="18"/>
        </w:rPr>
        <w:t xml:space="preserve"> </w:t>
      </w:r>
      <w:r w:rsidR="004F7673">
        <w:rPr>
          <w:rFonts w:ascii="Arial Narrow" w:hAnsi="Arial Narrow"/>
          <w:sz w:val="18"/>
          <w:szCs w:val="18"/>
        </w:rPr>
        <w:t>500</w:t>
      </w:r>
      <w:r>
        <w:rPr>
          <w:rFonts w:ascii="Arial Narrow" w:hAnsi="Arial Narrow"/>
          <w:sz w:val="18"/>
          <w:szCs w:val="18"/>
        </w:rPr>
        <w:t xml:space="preserve"> to &lt; </w:t>
      </w:r>
      <w:r w:rsidR="004F7673">
        <w:rPr>
          <w:rFonts w:ascii="Arial Narrow" w:hAnsi="Arial Narrow"/>
          <w:sz w:val="18"/>
          <w:szCs w:val="18"/>
        </w:rPr>
        <w:t>5</w:t>
      </w:r>
      <w:r>
        <w:rPr>
          <w:rFonts w:ascii="Arial Narrow" w:hAnsi="Arial Narrow"/>
          <w:sz w:val="18"/>
          <w:szCs w:val="18"/>
        </w:rPr>
        <w:t>,000</w:t>
      </w:r>
    </w:p>
    <w:p w14:paraId="3CADC9FD" w14:textId="3A696B76" w:rsidR="001120BB" w:rsidRPr="003027B3" w:rsidRDefault="001120BB" w:rsidP="00453A15">
      <w:pPr>
        <w:pStyle w:val="KMC16-TFNotes"/>
        <w:jc w:val="left"/>
        <w:rPr>
          <w:rFonts w:ascii="Arial Narrow" w:hAnsi="Arial Narrow"/>
          <w:sz w:val="18"/>
          <w:szCs w:val="18"/>
        </w:rPr>
      </w:pPr>
      <w:r w:rsidRPr="00D95A3C">
        <w:rPr>
          <w:rFonts w:ascii="Arial Narrow" w:hAnsi="Arial Narrow"/>
          <w:sz w:val="18"/>
          <w:szCs w:val="18"/>
          <w:vertAlign w:val="superscript"/>
        </w:rPr>
        <w:t>2</w:t>
      </w:r>
      <w:r>
        <w:rPr>
          <w:rFonts w:ascii="Arial Narrow" w:hAnsi="Arial Narrow"/>
          <w:sz w:val="18"/>
          <w:szCs w:val="18"/>
        </w:rPr>
        <w:t xml:space="preserve"> </w:t>
      </w:r>
      <w:r w:rsidR="0090199C">
        <w:rPr>
          <w:rFonts w:ascii="Arial Narrow" w:hAnsi="Arial Narrow"/>
          <w:sz w:val="18"/>
          <w:szCs w:val="18"/>
        </w:rPr>
        <w:t>$0 to &lt; $10 million</w:t>
      </w:r>
    </w:p>
    <w:p w14:paraId="3D0ACDAC" w14:textId="77777777" w:rsidR="000C6AF3" w:rsidRPr="009251A8" w:rsidRDefault="000C6AF3" w:rsidP="000C6AF3">
      <w:pPr>
        <w:pStyle w:val="Heading3"/>
      </w:pPr>
      <w:r>
        <w:rPr>
          <w:rStyle w:val="InstructionaltextChar"/>
          <w:rFonts w:ascii="Franklin Gothic Medium" w:hAnsi="Franklin Gothic Medium"/>
          <w:color w:val="auto"/>
        </w:rPr>
        <w:t>Scenario analysis</w:t>
      </w:r>
    </w:p>
    <w:p w14:paraId="0B68358E" w14:textId="70B0EEC4" w:rsidR="004A60FE" w:rsidRDefault="000C6AF3" w:rsidP="00E435BB">
      <w:r>
        <w:t xml:space="preserve">The </w:t>
      </w:r>
      <w:r w:rsidR="00A27D5B">
        <w:t xml:space="preserve">ADAR </w:t>
      </w:r>
      <w:r>
        <w:t xml:space="preserve">presented </w:t>
      </w:r>
      <w:r w:rsidR="001F03C9">
        <w:t>2</w:t>
      </w:r>
      <w:r w:rsidR="001F03C9" w:rsidRPr="00A54EDF">
        <w:t xml:space="preserve"> </w:t>
      </w:r>
      <w:r>
        <w:t xml:space="preserve">scenario analyses accounting for uncertainty in </w:t>
      </w:r>
      <w:r w:rsidR="00F43395">
        <w:t xml:space="preserve">the </w:t>
      </w:r>
      <w:r w:rsidRPr="009251A8">
        <w:t>number of T2D patients requiring insulin</w:t>
      </w:r>
      <w:r>
        <w:t xml:space="preserve"> and </w:t>
      </w:r>
      <w:r w:rsidR="00F43395">
        <w:t xml:space="preserve">the </w:t>
      </w:r>
      <w:r>
        <w:t xml:space="preserve">uptake of FSL. </w:t>
      </w:r>
    </w:p>
    <w:p w14:paraId="0F078796" w14:textId="5518D6CE" w:rsidR="004A60FE" w:rsidRPr="001947DB" w:rsidRDefault="004A60FE" w:rsidP="000C6AF3">
      <w:pPr>
        <w:rPr>
          <w:u w:val="single"/>
        </w:rPr>
      </w:pPr>
      <w:r w:rsidRPr="001947DB">
        <w:rPr>
          <w:rStyle w:val="InstructionaltextChar"/>
          <w:rFonts w:eastAsiaTheme="majorEastAsia" w:cstheme="majorBidi"/>
          <w:i/>
          <w:color w:val="auto"/>
          <w:u w:val="single"/>
        </w:rPr>
        <w:t>T2D requiring insulin</w:t>
      </w:r>
    </w:p>
    <w:p w14:paraId="3F7DC7B7" w14:textId="3844CBED" w:rsidR="000C6AF3" w:rsidRDefault="000C6AF3" w:rsidP="000C6AF3">
      <w:r w:rsidRPr="00BE6F9C">
        <w:t>The number of T2D patients requiring insulin</w:t>
      </w:r>
      <w:r>
        <w:t xml:space="preserve"> was assumed to align with </w:t>
      </w:r>
      <w:r w:rsidR="00F43395">
        <w:t xml:space="preserve">the </w:t>
      </w:r>
      <w:r w:rsidRPr="00BE6F9C">
        <w:t xml:space="preserve">number of patients from the 30 June 2024 </w:t>
      </w:r>
      <w:r w:rsidR="00F43395">
        <w:t xml:space="preserve">NDSS </w:t>
      </w:r>
      <w:r w:rsidRPr="00BE6F9C">
        <w:t>snapshot (315,432)</w:t>
      </w:r>
      <w:r>
        <w:t>. The applicant assumed that</w:t>
      </w:r>
      <w:r w:rsidRPr="00BE6F9C">
        <w:t xml:space="preserve"> 16% of NDSS</w:t>
      </w:r>
      <w:r w:rsidR="00F43395">
        <w:t>-</w:t>
      </w:r>
      <w:r w:rsidRPr="00BE6F9C">
        <w:t xml:space="preserve">registered T2D insulin users </w:t>
      </w:r>
      <w:r w:rsidR="00F43395">
        <w:t>required an</w:t>
      </w:r>
      <w:r w:rsidR="00F43395" w:rsidRPr="00BE6F9C">
        <w:t xml:space="preserve"> </w:t>
      </w:r>
      <w:r w:rsidRPr="00BE6F9C">
        <w:t>intensive</w:t>
      </w:r>
      <w:r w:rsidR="00F43395">
        <w:t>-</w:t>
      </w:r>
      <w:r w:rsidRPr="00BE6F9C">
        <w:t xml:space="preserve">insulin </w:t>
      </w:r>
      <w:r w:rsidR="00F43395">
        <w:t xml:space="preserve">regimen </w:t>
      </w:r>
      <w:r w:rsidRPr="00BE6F9C">
        <w:t>(</w:t>
      </w:r>
      <w:r>
        <w:t>proportional to</w:t>
      </w:r>
      <w:r w:rsidRPr="00BE6F9C">
        <w:t xml:space="preserve"> the findings from the Prospection analysis)</w:t>
      </w:r>
      <w:r>
        <w:t>.</w:t>
      </w:r>
      <w:r w:rsidRPr="00BE6F9C">
        <w:t xml:space="preserve"> </w:t>
      </w:r>
      <w:r>
        <w:t>This scenario included</w:t>
      </w:r>
      <w:r w:rsidRPr="00BE6F9C">
        <w:t xml:space="preserve"> 50,469 intensive</w:t>
      </w:r>
      <w:r w:rsidR="00D13CB0">
        <w:t xml:space="preserve"> </w:t>
      </w:r>
      <w:r w:rsidRPr="00BE6F9C">
        <w:t xml:space="preserve">insulin users </w:t>
      </w:r>
      <w:r w:rsidR="00F43395">
        <w:t xml:space="preserve">and </w:t>
      </w:r>
      <w:r w:rsidRPr="00BE6F9C">
        <w:t>264,962 non-intensive users.</w:t>
      </w:r>
      <w:r w:rsidR="00F43395">
        <w:t xml:space="preserve"> </w:t>
      </w:r>
      <w:r>
        <w:t>As per the base case, growth rate was assumed to be 1% per year.</w:t>
      </w:r>
    </w:p>
    <w:p w14:paraId="57638D92" w14:textId="1FC3994E" w:rsidR="000C6AF3" w:rsidRDefault="000C6AF3" w:rsidP="000C6AF3">
      <w:r w:rsidRPr="00CE28E3">
        <w:t xml:space="preserve">The financial implications to the </w:t>
      </w:r>
      <w:r>
        <w:t>NDSS</w:t>
      </w:r>
      <w:r w:rsidRPr="00CE28E3">
        <w:t xml:space="preserve"> resulting from the proposed listing of </w:t>
      </w:r>
      <w:r>
        <w:t>FSL in people with T2D using insulin</w:t>
      </w:r>
      <w:r w:rsidRPr="00CE28E3">
        <w:t xml:space="preserve"> </w:t>
      </w:r>
      <w:r w:rsidR="00684217">
        <w:t xml:space="preserve">(scenario 1) </w:t>
      </w:r>
      <w:r w:rsidRPr="00CE28E3">
        <w:t xml:space="preserve">are summarised in </w:t>
      </w:r>
      <w:r>
        <w:fldChar w:fldCharType="begin"/>
      </w:r>
      <w:r>
        <w:instrText xml:space="preserve"> REF _Ref192774617 \h </w:instrText>
      </w:r>
      <w:r>
        <w:fldChar w:fldCharType="separate"/>
      </w:r>
      <w:r w:rsidR="00315A60" w:rsidRPr="00CE28E3">
        <w:t>Table</w:t>
      </w:r>
      <w:r w:rsidR="00315A60">
        <w:t> </w:t>
      </w:r>
      <w:r w:rsidR="00315A60">
        <w:rPr>
          <w:noProof/>
        </w:rPr>
        <w:t>18</w:t>
      </w:r>
      <w:r>
        <w:fldChar w:fldCharType="end"/>
      </w:r>
      <w:r>
        <w:t>.</w:t>
      </w:r>
    </w:p>
    <w:p w14:paraId="213B0EEE" w14:textId="1494EEF5" w:rsidR="000C6AF3" w:rsidRPr="00791334" w:rsidRDefault="000C6AF3" w:rsidP="00791334">
      <w:pPr>
        <w:pStyle w:val="KMC16-Caption"/>
        <w:keepLines/>
        <w:rPr>
          <w:rFonts w:ascii="Arial Narrow" w:hAnsi="Arial Narrow"/>
        </w:rPr>
      </w:pPr>
      <w:bookmarkStart w:id="84" w:name="_Ref192774617"/>
      <w:r w:rsidRPr="00791334">
        <w:rPr>
          <w:rFonts w:ascii="Arial Narrow" w:hAnsi="Arial Narrow"/>
        </w:rPr>
        <w:t>Table </w:t>
      </w:r>
      <w:r w:rsidR="00315A60" w:rsidRPr="00791334">
        <w:rPr>
          <w:rFonts w:ascii="Arial Narrow" w:hAnsi="Arial Narrow"/>
        </w:rPr>
        <w:fldChar w:fldCharType="begin"/>
      </w:r>
      <w:r w:rsidR="00315A60" w:rsidRPr="00791334">
        <w:rPr>
          <w:rFonts w:ascii="Arial Narrow" w:hAnsi="Arial Narrow"/>
        </w:rPr>
        <w:instrText xml:space="preserve"> SEQ Table \* ARABIC </w:instrText>
      </w:r>
      <w:r w:rsidR="00315A60" w:rsidRPr="00791334">
        <w:rPr>
          <w:rFonts w:ascii="Arial Narrow" w:hAnsi="Arial Narrow"/>
        </w:rPr>
        <w:fldChar w:fldCharType="separate"/>
      </w:r>
      <w:r w:rsidR="00315A60" w:rsidRPr="00791334">
        <w:rPr>
          <w:rFonts w:ascii="Arial Narrow" w:hAnsi="Arial Narrow"/>
          <w:noProof/>
        </w:rPr>
        <w:t>18</w:t>
      </w:r>
      <w:r w:rsidR="00315A60" w:rsidRPr="00791334">
        <w:rPr>
          <w:rFonts w:ascii="Arial Narrow" w:hAnsi="Arial Narrow"/>
          <w:noProof/>
        </w:rPr>
        <w:fldChar w:fldCharType="end"/>
      </w:r>
      <w:bookmarkEnd w:id="84"/>
      <w:r w:rsidRPr="00791334">
        <w:rPr>
          <w:rFonts w:ascii="Arial Narrow" w:hAnsi="Arial Narrow"/>
        </w:rPr>
        <w:tab/>
        <w:t>Net financial implications of FSL to NDSS (T2D with insulin, scenario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990"/>
        <w:gridCol w:w="1042"/>
        <w:gridCol w:w="1042"/>
        <w:gridCol w:w="990"/>
        <w:gridCol w:w="1042"/>
        <w:gridCol w:w="1042"/>
      </w:tblGrid>
      <w:tr w:rsidR="000C6AF3" w:rsidRPr="00E4592D" w14:paraId="3FEBE058" w14:textId="77777777" w:rsidTr="00C75C64">
        <w:trPr>
          <w:trHeight w:val="255"/>
        </w:trPr>
        <w:tc>
          <w:tcPr>
            <w:tcW w:w="1219" w:type="pct"/>
            <w:vMerge w:val="restart"/>
            <w:noWrap/>
            <w:vAlign w:val="center"/>
          </w:tcPr>
          <w:p w14:paraId="71B881B9" w14:textId="77777777" w:rsidR="000C6AF3" w:rsidRPr="004A478D" w:rsidRDefault="000C6AF3" w:rsidP="00791334">
            <w:pPr>
              <w:pStyle w:val="KMC16-Tablecontent"/>
              <w:keepNext/>
              <w:keepLines/>
              <w:rPr>
                <w:b/>
                <w:lang w:val="en-AU"/>
              </w:rPr>
            </w:pPr>
            <w:r w:rsidRPr="004A478D">
              <w:rPr>
                <w:b/>
                <w:lang w:val="en-AU"/>
              </w:rPr>
              <w:t> </w:t>
            </w:r>
          </w:p>
        </w:tc>
        <w:tc>
          <w:tcPr>
            <w:tcW w:w="3781" w:type="pct"/>
            <w:gridSpan w:val="6"/>
            <w:noWrap/>
            <w:vAlign w:val="center"/>
          </w:tcPr>
          <w:p w14:paraId="4E557810" w14:textId="445D08FA" w:rsidR="000C6AF3" w:rsidRPr="00C535C5" w:rsidRDefault="00A965FB" w:rsidP="00791334">
            <w:pPr>
              <w:pStyle w:val="KMC16-Tablecontent"/>
              <w:keepNext/>
              <w:keepLines/>
              <w:jc w:val="center"/>
              <w:rPr>
                <w:b/>
                <w:color w:val="auto"/>
                <w:lang w:val="en-AU"/>
              </w:rPr>
            </w:pPr>
            <w:r w:rsidRPr="00C77835">
              <w:rPr>
                <w:b/>
                <w:color w:val="auto"/>
                <w:lang w:val="en-AU"/>
              </w:rPr>
              <w:t>PICO Set 1</w:t>
            </w:r>
          </w:p>
        </w:tc>
      </w:tr>
      <w:tr w:rsidR="00EA1A93" w:rsidRPr="00E4592D" w14:paraId="5B796D00" w14:textId="77777777" w:rsidTr="00C75C64">
        <w:trPr>
          <w:trHeight w:val="255"/>
        </w:trPr>
        <w:tc>
          <w:tcPr>
            <w:tcW w:w="1219" w:type="pct"/>
            <w:vMerge/>
            <w:noWrap/>
            <w:vAlign w:val="center"/>
            <w:hideMark/>
          </w:tcPr>
          <w:p w14:paraId="570A6456" w14:textId="77777777" w:rsidR="000C6AF3" w:rsidRPr="004A478D" w:rsidRDefault="000C6AF3" w:rsidP="00791334">
            <w:pPr>
              <w:pStyle w:val="KMC16-Tablecontent"/>
              <w:keepNext/>
              <w:keepLines/>
              <w:rPr>
                <w:b/>
                <w:color w:val="auto"/>
                <w:lang w:val="en-AU"/>
              </w:rPr>
            </w:pPr>
          </w:p>
        </w:tc>
        <w:tc>
          <w:tcPr>
            <w:tcW w:w="606" w:type="pct"/>
            <w:noWrap/>
            <w:hideMark/>
          </w:tcPr>
          <w:p w14:paraId="44B82550" w14:textId="77777777" w:rsidR="000C6AF3" w:rsidRPr="00C535C5" w:rsidRDefault="000C6AF3" w:rsidP="00791334">
            <w:pPr>
              <w:pStyle w:val="KMC16-Tablecontent"/>
              <w:keepNext/>
              <w:keepLines/>
              <w:jc w:val="center"/>
              <w:rPr>
                <w:b/>
                <w:color w:val="auto"/>
                <w:lang w:val="en-AU"/>
              </w:rPr>
            </w:pPr>
            <w:r w:rsidRPr="005102BE">
              <w:rPr>
                <w:lang w:val="en-AU"/>
              </w:rPr>
              <w:t>Year 1</w:t>
            </w:r>
          </w:p>
        </w:tc>
        <w:tc>
          <w:tcPr>
            <w:tcW w:w="622" w:type="pct"/>
            <w:noWrap/>
            <w:hideMark/>
          </w:tcPr>
          <w:p w14:paraId="677C4161" w14:textId="77777777" w:rsidR="000C6AF3" w:rsidRPr="00C535C5" w:rsidRDefault="000C6AF3" w:rsidP="00791334">
            <w:pPr>
              <w:pStyle w:val="KMC16-Tablecontent"/>
              <w:keepNext/>
              <w:keepLines/>
              <w:jc w:val="center"/>
              <w:rPr>
                <w:b/>
                <w:color w:val="auto"/>
                <w:lang w:val="en-AU"/>
              </w:rPr>
            </w:pPr>
            <w:r w:rsidRPr="005102BE">
              <w:rPr>
                <w:lang w:val="en-AU"/>
              </w:rPr>
              <w:t>Year 2</w:t>
            </w:r>
          </w:p>
        </w:tc>
        <w:tc>
          <w:tcPr>
            <w:tcW w:w="638" w:type="pct"/>
            <w:noWrap/>
            <w:hideMark/>
          </w:tcPr>
          <w:p w14:paraId="24E525D8" w14:textId="77777777" w:rsidR="000C6AF3" w:rsidRPr="00C535C5" w:rsidRDefault="000C6AF3" w:rsidP="00791334">
            <w:pPr>
              <w:pStyle w:val="KMC16-Tablecontent"/>
              <w:keepNext/>
              <w:keepLines/>
              <w:jc w:val="center"/>
              <w:rPr>
                <w:b/>
                <w:color w:val="auto"/>
                <w:lang w:val="en-AU"/>
              </w:rPr>
            </w:pPr>
            <w:r w:rsidRPr="005102BE">
              <w:rPr>
                <w:lang w:val="en-AU"/>
              </w:rPr>
              <w:t>Year 3</w:t>
            </w:r>
          </w:p>
        </w:tc>
        <w:tc>
          <w:tcPr>
            <w:tcW w:w="638" w:type="pct"/>
            <w:noWrap/>
            <w:hideMark/>
          </w:tcPr>
          <w:p w14:paraId="05E98FC3" w14:textId="77777777" w:rsidR="000C6AF3" w:rsidRPr="00C535C5" w:rsidRDefault="000C6AF3" w:rsidP="00791334">
            <w:pPr>
              <w:pStyle w:val="KMC16-Tablecontent"/>
              <w:keepNext/>
              <w:keepLines/>
              <w:jc w:val="center"/>
              <w:rPr>
                <w:b/>
                <w:color w:val="auto"/>
                <w:lang w:val="en-AU"/>
              </w:rPr>
            </w:pPr>
            <w:r w:rsidRPr="005102BE">
              <w:rPr>
                <w:lang w:val="en-AU"/>
              </w:rPr>
              <w:t>Year 4</w:t>
            </w:r>
          </w:p>
        </w:tc>
        <w:tc>
          <w:tcPr>
            <w:tcW w:w="638" w:type="pct"/>
            <w:noWrap/>
            <w:hideMark/>
          </w:tcPr>
          <w:p w14:paraId="6C3CD978" w14:textId="77777777" w:rsidR="000C6AF3" w:rsidRPr="00C535C5" w:rsidRDefault="000C6AF3" w:rsidP="00791334">
            <w:pPr>
              <w:pStyle w:val="KMC16-Tablecontent"/>
              <w:keepNext/>
              <w:keepLines/>
              <w:jc w:val="center"/>
              <w:rPr>
                <w:b/>
                <w:color w:val="auto"/>
                <w:lang w:val="en-AU"/>
              </w:rPr>
            </w:pPr>
            <w:r w:rsidRPr="005102BE">
              <w:rPr>
                <w:lang w:val="en-AU"/>
              </w:rPr>
              <w:t>Year 5</w:t>
            </w:r>
          </w:p>
        </w:tc>
        <w:tc>
          <w:tcPr>
            <w:tcW w:w="638" w:type="pct"/>
            <w:noWrap/>
            <w:hideMark/>
          </w:tcPr>
          <w:p w14:paraId="756FC22F" w14:textId="77777777" w:rsidR="000C6AF3" w:rsidRPr="00C535C5" w:rsidRDefault="000C6AF3" w:rsidP="00791334">
            <w:pPr>
              <w:pStyle w:val="KMC16-Tablecontent"/>
              <w:keepNext/>
              <w:keepLines/>
              <w:jc w:val="center"/>
              <w:rPr>
                <w:b/>
                <w:color w:val="auto"/>
                <w:lang w:val="en-AU"/>
              </w:rPr>
            </w:pPr>
            <w:r w:rsidRPr="005102BE">
              <w:rPr>
                <w:lang w:val="en-AU"/>
              </w:rPr>
              <w:t>Year 6</w:t>
            </w:r>
          </w:p>
        </w:tc>
      </w:tr>
      <w:tr w:rsidR="00EA1A93" w:rsidRPr="00E4592D" w14:paraId="62175480" w14:textId="77777777" w:rsidTr="00C75C64">
        <w:trPr>
          <w:trHeight w:val="255"/>
        </w:trPr>
        <w:tc>
          <w:tcPr>
            <w:tcW w:w="1219" w:type="pct"/>
            <w:noWrap/>
            <w:vAlign w:val="center"/>
            <w:hideMark/>
          </w:tcPr>
          <w:p w14:paraId="5C577071" w14:textId="75644060" w:rsidR="000C6AF3" w:rsidRPr="004A478D" w:rsidRDefault="000C6AF3" w:rsidP="00791334">
            <w:pPr>
              <w:pStyle w:val="KMC16-Tablecontent"/>
              <w:keepNext/>
              <w:keepLines/>
              <w:rPr>
                <w:b/>
                <w:lang w:val="en-AU"/>
              </w:rPr>
            </w:pPr>
            <w:r w:rsidRPr="004A478D">
              <w:rPr>
                <w:b/>
                <w:lang w:val="en-AU"/>
              </w:rPr>
              <w:t xml:space="preserve">FSL </w:t>
            </w:r>
            <w:r w:rsidR="00E305BE">
              <w:rPr>
                <w:b/>
                <w:lang w:val="en-AU"/>
              </w:rPr>
              <w:t>u</w:t>
            </w:r>
            <w:r w:rsidRPr="004A478D">
              <w:rPr>
                <w:b/>
                <w:lang w:val="en-AU"/>
              </w:rPr>
              <w:t>se</w:t>
            </w:r>
          </w:p>
        </w:tc>
        <w:tc>
          <w:tcPr>
            <w:tcW w:w="606" w:type="pct"/>
            <w:noWrap/>
            <w:hideMark/>
          </w:tcPr>
          <w:p w14:paraId="218177EB" w14:textId="77777777" w:rsidR="000C6AF3" w:rsidRPr="00C535C5" w:rsidRDefault="000C6AF3" w:rsidP="00791334">
            <w:pPr>
              <w:pStyle w:val="KMC16-Tablecontent"/>
              <w:keepNext/>
              <w:keepLines/>
              <w:jc w:val="center"/>
              <w:rPr>
                <w:b/>
                <w:color w:val="auto"/>
                <w:lang w:val="en-AU"/>
              </w:rPr>
            </w:pPr>
          </w:p>
        </w:tc>
        <w:tc>
          <w:tcPr>
            <w:tcW w:w="622" w:type="pct"/>
            <w:noWrap/>
            <w:hideMark/>
          </w:tcPr>
          <w:p w14:paraId="7EE2362D" w14:textId="77777777" w:rsidR="000C6AF3" w:rsidRPr="00C535C5" w:rsidRDefault="000C6AF3" w:rsidP="00791334">
            <w:pPr>
              <w:pStyle w:val="KMC16-Tablecontent"/>
              <w:keepNext/>
              <w:keepLines/>
              <w:jc w:val="center"/>
              <w:rPr>
                <w:b/>
                <w:color w:val="auto"/>
                <w:lang w:val="en-AU"/>
              </w:rPr>
            </w:pPr>
          </w:p>
        </w:tc>
        <w:tc>
          <w:tcPr>
            <w:tcW w:w="638" w:type="pct"/>
            <w:noWrap/>
            <w:hideMark/>
          </w:tcPr>
          <w:p w14:paraId="47456B50" w14:textId="77777777" w:rsidR="000C6AF3" w:rsidRPr="00C535C5" w:rsidRDefault="000C6AF3" w:rsidP="00791334">
            <w:pPr>
              <w:pStyle w:val="KMC16-Tablecontent"/>
              <w:keepNext/>
              <w:keepLines/>
              <w:jc w:val="center"/>
              <w:rPr>
                <w:b/>
                <w:color w:val="auto"/>
                <w:lang w:val="en-AU"/>
              </w:rPr>
            </w:pPr>
          </w:p>
        </w:tc>
        <w:tc>
          <w:tcPr>
            <w:tcW w:w="638" w:type="pct"/>
            <w:noWrap/>
            <w:hideMark/>
          </w:tcPr>
          <w:p w14:paraId="4D32A56B" w14:textId="77777777" w:rsidR="000C6AF3" w:rsidRPr="00C535C5" w:rsidRDefault="000C6AF3" w:rsidP="00791334">
            <w:pPr>
              <w:pStyle w:val="KMC16-Tablecontent"/>
              <w:keepNext/>
              <w:keepLines/>
              <w:jc w:val="center"/>
              <w:rPr>
                <w:b/>
                <w:color w:val="auto"/>
                <w:lang w:val="en-AU"/>
              </w:rPr>
            </w:pPr>
          </w:p>
        </w:tc>
        <w:tc>
          <w:tcPr>
            <w:tcW w:w="638" w:type="pct"/>
            <w:noWrap/>
            <w:hideMark/>
          </w:tcPr>
          <w:p w14:paraId="2B00CD0B" w14:textId="77777777" w:rsidR="000C6AF3" w:rsidRPr="00C535C5" w:rsidRDefault="000C6AF3" w:rsidP="00791334">
            <w:pPr>
              <w:pStyle w:val="KMC16-Tablecontent"/>
              <w:keepNext/>
              <w:keepLines/>
              <w:jc w:val="center"/>
              <w:rPr>
                <w:b/>
                <w:color w:val="auto"/>
                <w:lang w:val="en-AU"/>
              </w:rPr>
            </w:pPr>
          </w:p>
        </w:tc>
        <w:tc>
          <w:tcPr>
            <w:tcW w:w="638" w:type="pct"/>
            <w:noWrap/>
            <w:hideMark/>
          </w:tcPr>
          <w:p w14:paraId="58C6EA4C" w14:textId="77777777" w:rsidR="000C6AF3" w:rsidRPr="00C535C5" w:rsidRDefault="000C6AF3" w:rsidP="00791334">
            <w:pPr>
              <w:pStyle w:val="KMC16-Tablecontent"/>
              <w:keepNext/>
              <w:keepLines/>
              <w:jc w:val="center"/>
              <w:rPr>
                <w:b/>
                <w:color w:val="auto"/>
                <w:lang w:val="en-AU"/>
              </w:rPr>
            </w:pPr>
          </w:p>
        </w:tc>
      </w:tr>
      <w:tr w:rsidR="00EA1A93" w:rsidRPr="00E4592D" w14:paraId="7625F0EF" w14:textId="77777777" w:rsidTr="00C75C64">
        <w:trPr>
          <w:trHeight w:val="255"/>
        </w:trPr>
        <w:tc>
          <w:tcPr>
            <w:tcW w:w="1219" w:type="pct"/>
            <w:noWrap/>
            <w:vAlign w:val="bottom"/>
            <w:hideMark/>
          </w:tcPr>
          <w:p w14:paraId="3411AC1C" w14:textId="77777777" w:rsidR="000C6AF3" w:rsidRPr="004A478D" w:rsidRDefault="000C6AF3" w:rsidP="00791334">
            <w:pPr>
              <w:pStyle w:val="KMC16-Tablecontent"/>
              <w:keepNext/>
              <w:keepLines/>
              <w:rPr>
                <w:lang w:val="en-AU"/>
              </w:rPr>
            </w:pPr>
            <w:r w:rsidRPr="004A478D">
              <w:rPr>
                <w:lang w:val="en-AU"/>
              </w:rPr>
              <w:t xml:space="preserve">Patients </w:t>
            </w:r>
          </w:p>
        </w:tc>
        <w:tc>
          <w:tcPr>
            <w:tcW w:w="606" w:type="pct"/>
            <w:noWrap/>
            <w:hideMark/>
          </w:tcPr>
          <w:p w14:paraId="25048072" w14:textId="77777777" w:rsidR="000C6AF3" w:rsidRPr="00C535C5" w:rsidRDefault="000C6AF3" w:rsidP="00791334">
            <w:pPr>
              <w:pStyle w:val="KMC16-Tablecontent"/>
              <w:keepNext/>
              <w:keepLines/>
              <w:jc w:val="right"/>
              <w:rPr>
                <w:color w:val="auto"/>
                <w:lang w:val="en-AU"/>
              </w:rPr>
            </w:pPr>
            <w:r w:rsidRPr="005102BE">
              <w:rPr>
                <w:lang w:val="en-AU"/>
              </w:rPr>
              <w:t xml:space="preserve"> 371,238 </w:t>
            </w:r>
          </w:p>
        </w:tc>
        <w:tc>
          <w:tcPr>
            <w:tcW w:w="622" w:type="pct"/>
            <w:noWrap/>
            <w:hideMark/>
          </w:tcPr>
          <w:p w14:paraId="38C059D3" w14:textId="77777777" w:rsidR="000C6AF3" w:rsidRPr="00C535C5" w:rsidRDefault="000C6AF3" w:rsidP="00791334">
            <w:pPr>
              <w:pStyle w:val="KMC16-Tablecontent"/>
              <w:keepNext/>
              <w:keepLines/>
              <w:jc w:val="right"/>
              <w:rPr>
                <w:color w:val="auto"/>
                <w:lang w:val="en-AU"/>
              </w:rPr>
            </w:pPr>
            <w:r w:rsidRPr="005102BE">
              <w:rPr>
                <w:lang w:val="en-AU"/>
              </w:rPr>
              <w:t xml:space="preserve"> 374,950 </w:t>
            </w:r>
          </w:p>
        </w:tc>
        <w:tc>
          <w:tcPr>
            <w:tcW w:w="638" w:type="pct"/>
            <w:noWrap/>
            <w:hideMark/>
          </w:tcPr>
          <w:p w14:paraId="4642C746" w14:textId="77777777" w:rsidR="000C6AF3" w:rsidRPr="00C535C5" w:rsidRDefault="000C6AF3" w:rsidP="00791334">
            <w:pPr>
              <w:pStyle w:val="KMC16-Tablecontent"/>
              <w:keepNext/>
              <w:keepLines/>
              <w:jc w:val="right"/>
              <w:rPr>
                <w:color w:val="auto"/>
                <w:lang w:val="en-AU"/>
              </w:rPr>
            </w:pPr>
            <w:r w:rsidRPr="005102BE">
              <w:rPr>
                <w:lang w:val="en-AU"/>
              </w:rPr>
              <w:t xml:space="preserve"> 378,699 </w:t>
            </w:r>
          </w:p>
        </w:tc>
        <w:tc>
          <w:tcPr>
            <w:tcW w:w="638" w:type="pct"/>
            <w:noWrap/>
            <w:hideMark/>
          </w:tcPr>
          <w:p w14:paraId="0AE3972F" w14:textId="77777777" w:rsidR="000C6AF3" w:rsidRPr="00C535C5" w:rsidRDefault="000C6AF3" w:rsidP="00791334">
            <w:pPr>
              <w:pStyle w:val="KMC16-Tablecontent"/>
              <w:keepNext/>
              <w:keepLines/>
              <w:jc w:val="right"/>
              <w:rPr>
                <w:color w:val="auto"/>
                <w:lang w:val="en-AU"/>
              </w:rPr>
            </w:pPr>
            <w:r w:rsidRPr="005102BE">
              <w:rPr>
                <w:lang w:val="en-AU"/>
              </w:rPr>
              <w:t xml:space="preserve"> 382,486 </w:t>
            </w:r>
          </w:p>
        </w:tc>
        <w:tc>
          <w:tcPr>
            <w:tcW w:w="638" w:type="pct"/>
            <w:noWrap/>
            <w:hideMark/>
          </w:tcPr>
          <w:p w14:paraId="582B95E1" w14:textId="77777777" w:rsidR="000C6AF3" w:rsidRPr="00C535C5" w:rsidRDefault="000C6AF3" w:rsidP="00791334">
            <w:pPr>
              <w:pStyle w:val="KMC16-Tablecontent"/>
              <w:keepNext/>
              <w:keepLines/>
              <w:jc w:val="right"/>
              <w:rPr>
                <w:color w:val="auto"/>
                <w:lang w:val="en-AU"/>
              </w:rPr>
            </w:pPr>
            <w:r w:rsidRPr="005102BE">
              <w:rPr>
                <w:lang w:val="en-AU"/>
              </w:rPr>
              <w:t xml:space="preserve"> 386,311 </w:t>
            </w:r>
          </w:p>
        </w:tc>
        <w:tc>
          <w:tcPr>
            <w:tcW w:w="638" w:type="pct"/>
            <w:noWrap/>
            <w:hideMark/>
          </w:tcPr>
          <w:p w14:paraId="1B21AE3C" w14:textId="77777777" w:rsidR="000C6AF3" w:rsidRPr="00C535C5" w:rsidRDefault="000C6AF3" w:rsidP="00791334">
            <w:pPr>
              <w:pStyle w:val="KMC16-Tablecontent"/>
              <w:keepNext/>
              <w:keepLines/>
              <w:jc w:val="right"/>
              <w:rPr>
                <w:color w:val="auto"/>
                <w:lang w:val="en-AU"/>
              </w:rPr>
            </w:pPr>
            <w:r w:rsidRPr="005102BE">
              <w:rPr>
                <w:lang w:val="en-AU"/>
              </w:rPr>
              <w:t xml:space="preserve"> 390,174 </w:t>
            </w:r>
          </w:p>
        </w:tc>
      </w:tr>
      <w:tr w:rsidR="00EA1A93" w:rsidRPr="00E4592D" w14:paraId="5A3ED3AC" w14:textId="77777777" w:rsidTr="00C75C64">
        <w:trPr>
          <w:trHeight w:val="255"/>
        </w:trPr>
        <w:tc>
          <w:tcPr>
            <w:tcW w:w="1219" w:type="pct"/>
            <w:noWrap/>
            <w:vAlign w:val="bottom"/>
            <w:hideMark/>
          </w:tcPr>
          <w:p w14:paraId="2899096C" w14:textId="77777777" w:rsidR="00C75C64" w:rsidRPr="004A478D" w:rsidRDefault="00C75C64" w:rsidP="00C75C64">
            <w:pPr>
              <w:pStyle w:val="KMC16-Tablecontent"/>
              <w:keepNext/>
              <w:keepLines/>
              <w:rPr>
                <w:lang w:val="en-AU"/>
              </w:rPr>
            </w:pPr>
            <w:r w:rsidRPr="004A478D">
              <w:rPr>
                <w:lang w:val="en-AU"/>
              </w:rPr>
              <w:t>Uptake %</w:t>
            </w:r>
          </w:p>
        </w:tc>
        <w:tc>
          <w:tcPr>
            <w:tcW w:w="606" w:type="pct"/>
            <w:noWrap/>
            <w:hideMark/>
          </w:tcPr>
          <w:p w14:paraId="120B2CCF" w14:textId="4604FF7E" w:rsidR="00C75C64" w:rsidRPr="003C077C" w:rsidRDefault="00C75C64" w:rsidP="00C75C64">
            <w:pPr>
              <w:pStyle w:val="KMC16-Tablecontent"/>
              <w:keepNext/>
              <w:keepLines/>
              <w:jc w:val="right"/>
              <w:rPr>
                <w:color w:val="auto"/>
                <w:highlight w:val="yellow"/>
                <w:lang w:val="en-AU"/>
              </w:rPr>
            </w:pPr>
            <w:r w:rsidRPr="00460F17">
              <w:rPr>
                <w:b/>
                <w:bCs/>
                <w:lang w:val="en-AU"/>
              </w:rPr>
              <w:t>Redacted</w:t>
            </w:r>
            <w:r w:rsidRPr="00460F17">
              <w:rPr>
                <w:lang w:val="en-AU"/>
              </w:rPr>
              <w:t>%</w:t>
            </w:r>
          </w:p>
        </w:tc>
        <w:tc>
          <w:tcPr>
            <w:tcW w:w="622" w:type="pct"/>
            <w:noWrap/>
            <w:hideMark/>
          </w:tcPr>
          <w:p w14:paraId="51C2B9FE" w14:textId="48CA5313" w:rsidR="00C75C64" w:rsidRPr="003C077C" w:rsidRDefault="00C75C64" w:rsidP="00C75C64">
            <w:pPr>
              <w:pStyle w:val="KMC16-Tablecontent"/>
              <w:keepNext/>
              <w:keepLines/>
              <w:jc w:val="right"/>
              <w:rPr>
                <w:color w:val="auto"/>
                <w:highlight w:val="yellow"/>
                <w:lang w:val="en-AU"/>
              </w:rPr>
            </w:pPr>
            <w:r w:rsidRPr="00460F17">
              <w:rPr>
                <w:b/>
                <w:bCs/>
                <w:lang w:val="en-AU"/>
              </w:rPr>
              <w:t>Redacted</w:t>
            </w:r>
            <w:r w:rsidRPr="00460F17">
              <w:rPr>
                <w:lang w:val="en-AU"/>
              </w:rPr>
              <w:t>%</w:t>
            </w:r>
          </w:p>
        </w:tc>
        <w:tc>
          <w:tcPr>
            <w:tcW w:w="638" w:type="pct"/>
            <w:noWrap/>
            <w:hideMark/>
          </w:tcPr>
          <w:p w14:paraId="36663957" w14:textId="14E1D2A0" w:rsidR="00C75C64" w:rsidRPr="003C077C" w:rsidRDefault="00C75C64" w:rsidP="00C75C64">
            <w:pPr>
              <w:pStyle w:val="KMC16-Tablecontent"/>
              <w:keepNext/>
              <w:keepLines/>
              <w:jc w:val="right"/>
              <w:rPr>
                <w:color w:val="auto"/>
                <w:highlight w:val="yellow"/>
                <w:lang w:val="en-AU"/>
              </w:rPr>
            </w:pPr>
            <w:r w:rsidRPr="00460F17">
              <w:rPr>
                <w:b/>
                <w:bCs/>
                <w:lang w:val="en-AU"/>
              </w:rPr>
              <w:t>Redacted</w:t>
            </w:r>
            <w:r w:rsidRPr="00460F17">
              <w:rPr>
                <w:lang w:val="en-AU"/>
              </w:rPr>
              <w:t>%</w:t>
            </w:r>
          </w:p>
        </w:tc>
        <w:tc>
          <w:tcPr>
            <w:tcW w:w="638" w:type="pct"/>
            <w:noWrap/>
            <w:hideMark/>
          </w:tcPr>
          <w:p w14:paraId="0AB27FF2" w14:textId="365A0BFB" w:rsidR="00C75C64" w:rsidRPr="003C077C" w:rsidRDefault="00C75C64" w:rsidP="00C75C64">
            <w:pPr>
              <w:pStyle w:val="KMC16-Tablecontent"/>
              <w:keepNext/>
              <w:keepLines/>
              <w:jc w:val="right"/>
              <w:rPr>
                <w:color w:val="auto"/>
                <w:highlight w:val="yellow"/>
                <w:lang w:val="en-AU"/>
              </w:rPr>
            </w:pPr>
            <w:r w:rsidRPr="00460F17">
              <w:rPr>
                <w:b/>
                <w:bCs/>
                <w:lang w:val="en-AU"/>
              </w:rPr>
              <w:t>Redacted</w:t>
            </w:r>
            <w:r w:rsidRPr="00460F17">
              <w:rPr>
                <w:lang w:val="en-AU"/>
              </w:rPr>
              <w:t>%</w:t>
            </w:r>
          </w:p>
        </w:tc>
        <w:tc>
          <w:tcPr>
            <w:tcW w:w="638" w:type="pct"/>
            <w:noWrap/>
            <w:hideMark/>
          </w:tcPr>
          <w:p w14:paraId="7CE3295F" w14:textId="378A7D71" w:rsidR="00C75C64" w:rsidRPr="003C077C" w:rsidRDefault="00C75C64" w:rsidP="00C75C64">
            <w:pPr>
              <w:pStyle w:val="KMC16-Tablecontent"/>
              <w:keepNext/>
              <w:keepLines/>
              <w:jc w:val="right"/>
              <w:rPr>
                <w:color w:val="auto"/>
                <w:highlight w:val="yellow"/>
                <w:lang w:val="en-AU"/>
              </w:rPr>
            </w:pPr>
            <w:r w:rsidRPr="00460F17">
              <w:rPr>
                <w:b/>
                <w:bCs/>
                <w:lang w:val="en-AU"/>
              </w:rPr>
              <w:t>Redacted</w:t>
            </w:r>
            <w:r w:rsidRPr="00460F17">
              <w:rPr>
                <w:lang w:val="en-AU"/>
              </w:rPr>
              <w:t>%</w:t>
            </w:r>
          </w:p>
        </w:tc>
        <w:tc>
          <w:tcPr>
            <w:tcW w:w="638" w:type="pct"/>
            <w:noWrap/>
            <w:hideMark/>
          </w:tcPr>
          <w:p w14:paraId="31B72623" w14:textId="56FB290C" w:rsidR="00C75C64" w:rsidRPr="003C077C" w:rsidRDefault="00C75C64" w:rsidP="00C75C64">
            <w:pPr>
              <w:pStyle w:val="KMC16-Tablecontent"/>
              <w:keepNext/>
              <w:keepLines/>
              <w:jc w:val="right"/>
              <w:rPr>
                <w:color w:val="auto"/>
                <w:highlight w:val="yellow"/>
                <w:lang w:val="en-AU"/>
              </w:rPr>
            </w:pPr>
            <w:r w:rsidRPr="00460F17">
              <w:rPr>
                <w:b/>
                <w:bCs/>
                <w:lang w:val="en-AU"/>
              </w:rPr>
              <w:t>Redacted</w:t>
            </w:r>
            <w:r w:rsidRPr="00460F17">
              <w:rPr>
                <w:lang w:val="en-AU"/>
              </w:rPr>
              <w:t>%</w:t>
            </w:r>
          </w:p>
        </w:tc>
      </w:tr>
      <w:tr w:rsidR="00EA1A93" w:rsidRPr="00E4592D" w14:paraId="7C9A3274" w14:textId="77777777" w:rsidTr="00C75C64">
        <w:trPr>
          <w:trHeight w:val="255"/>
        </w:trPr>
        <w:tc>
          <w:tcPr>
            <w:tcW w:w="1219" w:type="pct"/>
            <w:vAlign w:val="center"/>
            <w:hideMark/>
          </w:tcPr>
          <w:p w14:paraId="374B47D9" w14:textId="77777777" w:rsidR="000C6AF3" w:rsidRPr="004A478D" w:rsidRDefault="000C6AF3" w:rsidP="00791334">
            <w:pPr>
              <w:pStyle w:val="KMC16-Tablecontent"/>
              <w:keepNext/>
              <w:keepLines/>
              <w:rPr>
                <w:color w:val="auto"/>
                <w:lang w:val="en-AU"/>
              </w:rPr>
            </w:pPr>
            <w:r w:rsidRPr="004A478D">
              <w:rPr>
                <w:lang w:val="en-AU"/>
              </w:rPr>
              <w:t>Number of patients taking up FSL</w:t>
            </w:r>
          </w:p>
        </w:tc>
        <w:tc>
          <w:tcPr>
            <w:tcW w:w="606" w:type="pct"/>
            <w:noWrap/>
            <w:hideMark/>
          </w:tcPr>
          <w:p w14:paraId="5E102BEB" w14:textId="7C6298C2" w:rsidR="000C6AF3" w:rsidRPr="00C75C64" w:rsidRDefault="00C75C64" w:rsidP="00791334">
            <w:pPr>
              <w:pStyle w:val="KMC16-Tablecontent"/>
              <w:keepNext/>
              <w:keepLines/>
              <w:jc w:val="right"/>
              <w:rPr>
                <w:color w:val="auto"/>
                <w:lang w:val="en-AU"/>
              </w:rPr>
            </w:pPr>
            <w:r w:rsidRPr="00C75C64">
              <w:rPr>
                <w:b/>
                <w:bCs/>
                <w:lang w:val="en-AU"/>
              </w:rPr>
              <w:t>Redacted</w:t>
            </w:r>
            <w:r w:rsidR="0055188B" w:rsidRPr="003C077C">
              <w:rPr>
                <w:vertAlign w:val="superscript"/>
                <w:lang w:val="en-AU"/>
              </w:rPr>
              <w:t>1</w:t>
            </w:r>
            <w:r w:rsidR="000C6AF3" w:rsidRPr="00C75C64">
              <w:rPr>
                <w:lang w:val="en-AU"/>
              </w:rPr>
              <w:t xml:space="preserve"> </w:t>
            </w:r>
          </w:p>
        </w:tc>
        <w:tc>
          <w:tcPr>
            <w:tcW w:w="622" w:type="pct"/>
            <w:noWrap/>
            <w:hideMark/>
          </w:tcPr>
          <w:p w14:paraId="2D71B947" w14:textId="6D8B3DCA" w:rsidR="000C6AF3" w:rsidRPr="00C75C64" w:rsidRDefault="00C75C64" w:rsidP="00791334">
            <w:pPr>
              <w:pStyle w:val="KMC16-Tablecontent"/>
              <w:keepNext/>
              <w:keepLines/>
              <w:jc w:val="right"/>
              <w:rPr>
                <w:color w:val="auto"/>
                <w:lang w:val="en-AU"/>
              </w:rPr>
            </w:pPr>
            <w:r w:rsidRPr="00C75C64">
              <w:rPr>
                <w:b/>
                <w:bCs/>
                <w:lang w:val="en-AU"/>
              </w:rPr>
              <w:t xml:space="preserve"> Redacted</w:t>
            </w:r>
            <w:r w:rsidR="0055188B" w:rsidRPr="003C077C">
              <w:rPr>
                <w:vertAlign w:val="superscript"/>
                <w:lang w:val="en-AU"/>
              </w:rPr>
              <w:t>2</w:t>
            </w:r>
            <w:r w:rsidR="000C6AF3" w:rsidRPr="00C75C64">
              <w:rPr>
                <w:lang w:val="en-AU"/>
              </w:rPr>
              <w:t xml:space="preserve"> </w:t>
            </w:r>
          </w:p>
        </w:tc>
        <w:tc>
          <w:tcPr>
            <w:tcW w:w="638" w:type="pct"/>
            <w:noWrap/>
            <w:hideMark/>
          </w:tcPr>
          <w:p w14:paraId="7EDDA9A3" w14:textId="11CE5D34" w:rsidR="000C6AF3" w:rsidRPr="00C75C64" w:rsidRDefault="00C75C64" w:rsidP="00791334">
            <w:pPr>
              <w:pStyle w:val="KMC16-Tablecontent"/>
              <w:keepNext/>
              <w:keepLines/>
              <w:jc w:val="right"/>
              <w:rPr>
                <w:color w:val="auto"/>
                <w:lang w:val="en-AU"/>
              </w:rPr>
            </w:pPr>
            <w:r w:rsidRPr="00C75C64">
              <w:rPr>
                <w:b/>
                <w:bCs/>
                <w:lang w:val="en-AU"/>
              </w:rPr>
              <w:t>Redacted</w:t>
            </w:r>
            <w:r w:rsidR="0055188B" w:rsidRPr="003C077C">
              <w:rPr>
                <w:vertAlign w:val="superscript"/>
                <w:lang w:val="en-AU"/>
              </w:rPr>
              <w:t>3</w:t>
            </w:r>
            <w:r w:rsidR="000C6AF3" w:rsidRPr="00C75C64">
              <w:rPr>
                <w:lang w:val="en-AU"/>
              </w:rPr>
              <w:t xml:space="preserve"> </w:t>
            </w:r>
          </w:p>
        </w:tc>
        <w:tc>
          <w:tcPr>
            <w:tcW w:w="638" w:type="pct"/>
            <w:noWrap/>
            <w:hideMark/>
          </w:tcPr>
          <w:p w14:paraId="18C1D20C" w14:textId="34DA603E" w:rsidR="000C6AF3" w:rsidRPr="00C75C64" w:rsidRDefault="00C75C64" w:rsidP="00791334">
            <w:pPr>
              <w:pStyle w:val="KMC16-Tablecontent"/>
              <w:keepNext/>
              <w:keepLines/>
              <w:jc w:val="right"/>
              <w:rPr>
                <w:color w:val="auto"/>
                <w:lang w:val="en-AU"/>
              </w:rPr>
            </w:pPr>
            <w:r w:rsidRPr="00C75C64">
              <w:rPr>
                <w:b/>
                <w:bCs/>
                <w:lang w:val="en-AU"/>
              </w:rPr>
              <w:t>Redacted</w:t>
            </w:r>
            <w:r w:rsidR="00FE5288" w:rsidRPr="003C077C">
              <w:rPr>
                <w:vertAlign w:val="superscript"/>
                <w:lang w:val="en-AU"/>
              </w:rPr>
              <w:t>3</w:t>
            </w:r>
            <w:r w:rsidR="000C6AF3" w:rsidRPr="00C75C64">
              <w:rPr>
                <w:lang w:val="en-AU"/>
              </w:rPr>
              <w:t xml:space="preserve"> </w:t>
            </w:r>
          </w:p>
        </w:tc>
        <w:tc>
          <w:tcPr>
            <w:tcW w:w="638" w:type="pct"/>
            <w:noWrap/>
            <w:hideMark/>
          </w:tcPr>
          <w:p w14:paraId="5EA3C556" w14:textId="38AB07E3" w:rsidR="000C6AF3" w:rsidRPr="00C75C64" w:rsidRDefault="00C75C64" w:rsidP="00791334">
            <w:pPr>
              <w:pStyle w:val="KMC16-Tablecontent"/>
              <w:keepNext/>
              <w:keepLines/>
              <w:jc w:val="right"/>
              <w:rPr>
                <w:color w:val="auto"/>
                <w:lang w:val="en-AU"/>
              </w:rPr>
            </w:pPr>
            <w:r w:rsidRPr="00C75C64">
              <w:rPr>
                <w:b/>
                <w:bCs/>
                <w:lang w:val="en-AU"/>
              </w:rPr>
              <w:t>Redacted</w:t>
            </w:r>
            <w:r w:rsidR="00FE5288" w:rsidRPr="003C077C">
              <w:rPr>
                <w:vertAlign w:val="superscript"/>
                <w:lang w:val="en-AU"/>
              </w:rPr>
              <w:t>3</w:t>
            </w:r>
            <w:r w:rsidR="000C6AF3" w:rsidRPr="00C75C64">
              <w:rPr>
                <w:lang w:val="en-AU"/>
              </w:rPr>
              <w:t xml:space="preserve"> </w:t>
            </w:r>
          </w:p>
        </w:tc>
        <w:tc>
          <w:tcPr>
            <w:tcW w:w="638" w:type="pct"/>
            <w:noWrap/>
            <w:hideMark/>
          </w:tcPr>
          <w:p w14:paraId="4BD6702C" w14:textId="145A4F62" w:rsidR="000C6AF3" w:rsidRPr="00C75C64" w:rsidRDefault="00C75C64" w:rsidP="00791334">
            <w:pPr>
              <w:pStyle w:val="KMC16-Tablecontent"/>
              <w:keepNext/>
              <w:keepLines/>
              <w:jc w:val="right"/>
              <w:rPr>
                <w:color w:val="auto"/>
                <w:lang w:val="en-AU"/>
              </w:rPr>
            </w:pPr>
            <w:r w:rsidRPr="00C75C64">
              <w:rPr>
                <w:b/>
                <w:bCs/>
                <w:lang w:val="en-AU"/>
              </w:rPr>
              <w:t>Redacted</w:t>
            </w:r>
            <w:r w:rsidR="00FE5288" w:rsidRPr="003C077C">
              <w:rPr>
                <w:vertAlign w:val="superscript"/>
                <w:lang w:val="en-AU"/>
              </w:rPr>
              <w:t>3</w:t>
            </w:r>
            <w:r w:rsidR="000C6AF3" w:rsidRPr="00C75C64">
              <w:rPr>
                <w:lang w:val="en-AU"/>
              </w:rPr>
              <w:t xml:space="preserve"> </w:t>
            </w:r>
          </w:p>
        </w:tc>
      </w:tr>
      <w:tr w:rsidR="00EA1A93" w:rsidRPr="00E4592D" w14:paraId="54B007FB" w14:textId="77777777" w:rsidTr="00C75C64">
        <w:trPr>
          <w:trHeight w:val="255"/>
        </w:trPr>
        <w:tc>
          <w:tcPr>
            <w:tcW w:w="1219" w:type="pct"/>
            <w:noWrap/>
            <w:vAlign w:val="bottom"/>
            <w:hideMark/>
          </w:tcPr>
          <w:p w14:paraId="428E909D" w14:textId="77777777" w:rsidR="00C75C64" w:rsidRPr="004A478D" w:rsidRDefault="00C75C64" w:rsidP="00C75C64">
            <w:pPr>
              <w:pStyle w:val="KMC16-Tablecontent"/>
              <w:keepNext/>
              <w:keepLines/>
              <w:rPr>
                <w:lang w:val="en-AU"/>
              </w:rPr>
            </w:pPr>
            <w:r w:rsidRPr="004A478D">
              <w:rPr>
                <w:lang w:val="en-AU"/>
              </w:rPr>
              <w:t>Number of FSL 2 sensors (1 sensor/pack)</w:t>
            </w:r>
          </w:p>
        </w:tc>
        <w:tc>
          <w:tcPr>
            <w:tcW w:w="606" w:type="pct"/>
            <w:noWrap/>
            <w:hideMark/>
          </w:tcPr>
          <w:p w14:paraId="724EB644" w14:textId="67A413C1" w:rsidR="00C75C64" w:rsidRPr="003C077C" w:rsidRDefault="00C75C64" w:rsidP="00C75C64">
            <w:pPr>
              <w:pStyle w:val="KMC16-Tablecontent"/>
              <w:keepNext/>
              <w:keepLines/>
              <w:jc w:val="right"/>
              <w:rPr>
                <w:color w:val="auto"/>
                <w:highlight w:val="yellow"/>
                <w:lang w:val="en-AU"/>
              </w:rPr>
            </w:pPr>
            <w:r w:rsidRPr="00A5047E">
              <w:rPr>
                <w:b/>
                <w:bCs/>
                <w:lang w:val="en-AU"/>
              </w:rPr>
              <w:t>Redacted</w:t>
            </w:r>
          </w:p>
        </w:tc>
        <w:tc>
          <w:tcPr>
            <w:tcW w:w="622" w:type="pct"/>
            <w:noWrap/>
            <w:hideMark/>
          </w:tcPr>
          <w:p w14:paraId="50B349BC" w14:textId="1C96B2F3" w:rsidR="00C75C64" w:rsidRPr="003C077C" w:rsidRDefault="00C75C64" w:rsidP="00C75C64">
            <w:pPr>
              <w:pStyle w:val="KMC16-Tablecontent"/>
              <w:keepNext/>
              <w:keepLines/>
              <w:jc w:val="right"/>
              <w:rPr>
                <w:color w:val="auto"/>
                <w:highlight w:val="yellow"/>
                <w:lang w:val="en-AU"/>
              </w:rPr>
            </w:pPr>
            <w:r w:rsidRPr="00A5047E">
              <w:rPr>
                <w:b/>
                <w:bCs/>
                <w:lang w:val="en-AU"/>
              </w:rPr>
              <w:t>Redacted</w:t>
            </w:r>
          </w:p>
        </w:tc>
        <w:tc>
          <w:tcPr>
            <w:tcW w:w="638" w:type="pct"/>
            <w:noWrap/>
            <w:hideMark/>
          </w:tcPr>
          <w:p w14:paraId="09209508" w14:textId="5C5BD3F7" w:rsidR="00C75C64" w:rsidRPr="003C077C" w:rsidRDefault="00C75C64" w:rsidP="00C75C64">
            <w:pPr>
              <w:pStyle w:val="KMC16-Tablecontent"/>
              <w:keepNext/>
              <w:keepLines/>
              <w:jc w:val="right"/>
              <w:rPr>
                <w:color w:val="auto"/>
                <w:highlight w:val="yellow"/>
                <w:lang w:val="en-AU"/>
              </w:rPr>
            </w:pPr>
            <w:r w:rsidRPr="00A5047E">
              <w:rPr>
                <w:b/>
                <w:bCs/>
                <w:lang w:val="en-AU"/>
              </w:rPr>
              <w:t>Redacted</w:t>
            </w:r>
          </w:p>
        </w:tc>
        <w:tc>
          <w:tcPr>
            <w:tcW w:w="638" w:type="pct"/>
            <w:noWrap/>
            <w:hideMark/>
          </w:tcPr>
          <w:p w14:paraId="4201FE51" w14:textId="49DF93B4" w:rsidR="00C75C64" w:rsidRPr="003C077C" w:rsidRDefault="00C75C64" w:rsidP="00C75C64">
            <w:pPr>
              <w:pStyle w:val="KMC16-Tablecontent"/>
              <w:keepNext/>
              <w:keepLines/>
              <w:jc w:val="right"/>
              <w:rPr>
                <w:color w:val="auto"/>
                <w:highlight w:val="yellow"/>
                <w:lang w:val="en-AU"/>
              </w:rPr>
            </w:pPr>
            <w:r w:rsidRPr="00A5047E">
              <w:rPr>
                <w:b/>
                <w:bCs/>
                <w:lang w:val="en-AU"/>
              </w:rPr>
              <w:t>Redacted</w:t>
            </w:r>
          </w:p>
        </w:tc>
        <w:tc>
          <w:tcPr>
            <w:tcW w:w="638" w:type="pct"/>
            <w:noWrap/>
            <w:hideMark/>
          </w:tcPr>
          <w:p w14:paraId="61863BEC" w14:textId="21324C97" w:rsidR="00C75C64" w:rsidRPr="003C077C" w:rsidRDefault="00C75C64" w:rsidP="00C75C64">
            <w:pPr>
              <w:pStyle w:val="KMC16-Tablecontent"/>
              <w:keepNext/>
              <w:keepLines/>
              <w:jc w:val="right"/>
              <w:rPr>
                <w:color w:val="auto"/>
                <w:highlight w:val="yellow"/>
                <w:lang w:val="en-AU"/>
              </w:rPr>
            </w:pPr>
            <w:r w:rsidRPr="00A5047E">
              <w:rPr>
                <w:b/>
                <w:bCs/>
                <w:lang w:val="en-AU"/>
              </w:rPr>
              <w:t>Redacted</w:t>
            </w:r>
          </w:p>
        </w:tc>
        <w:tc>
          <w:tcPr>
            <w:tcW w:w="638" w:type="pct"/>
            <w:noWrap/>
            <w:hideMark/>
          </w:tcPr>
          <w:p w14:paraId="75B5A60C" w14:textId="21B0FB6C" w:rsidR="00C75C64" w:rsidRPr="003C077C" w:rsidRDefault="00C75C64" w:rsidP="00C75C64">
            <w:pPr>
              <w:pStyle w:val="KMC16-Tablecontent"/>
              <w:keepNext/>
              <w:keepLines/>
              <w:jc w:val="right"/>
              <w:rPr>
                <w:color w:val="auto"/>
                <w:highlight w:val="yellow"/>
                <w:lang w:val="en-AU"/>
              </w:rPr>
            </w:pPr>
            <w:r w:rsidRPr="00A5047E">
              <w:rPr>
                <w:b/>
                <w:bCs/>
                <w:lang w:val="en-AU"/>
              </w:rPr>
              <w:t>Redacted</w:t>
            </w:r>
          </w:p>
        </w:tc>
      </w:tr>
      <w:tr w:rsidR="00EA1A93" w:rsidRPr="00E4592D" w14:paraId="1CF78EE6" w14:textId="77777777" w:rsidTr="00C75C64">
        <w:trPr>
          <w:trHeight w:val="255"/>
        </w:trPr>
        <w:tc>
          <w:tcPr>
            <w:tcW w:w="1219" w:type="pct"/>
            <w:noWrap/>
            <w:vAlign w:val="bottom"/>
            <w:hideMark/>
          </w:tcPr>
          <w:p w14:paraId="002EF823" w14:textId="220698BD" w:rsidR="000C6AF3" w:rsidRPr="004A478D" w:rsidRDefault="000C6AF3" w:rsidP="00791334">
            <w:pPr>
              <w:pStyle w:val="KMC16-Tablecontent"/>
              <w:keepNext/>
              <w:keepLines/>
              <w:rPr>
                <w:b/>
                <w:lang w:val="en-AU"/>
              </w:rPr>
            </w:pPr>
            <w:r w:rsidRPr="004A478D">
              <w:rPr>
                <w:b/>
                <w:lang w:val="en-AU"/>
              </w:rPr>
              <w:t xml:space="preserve">Total </w:t>
            </w:r>
            <w:r w:rsidR="002F36B6">
              <w:rPr>
                <w:b/>
                <w:lang w:val="en-AU"/>
              </w:rPr>
              <w:t>c</w:t>
            </w:r>
            <w:r w:rsidRPr="004A478D">
              <w:rPr>
                <w:b/>
                <w:lang w:val="en-AU"/>
              </w:rPr>
              <w:t>ost of FSL</w:t>
            </w:r>
          </w:p>
        </w:tc>
        <w:tc>
          <w:tcPr>
            <w:tcW w:w="606" w:type="pct"/>
            <w:noWrap/>
            <w:hideMark/>
          </w:tcPr>
          <w:p w14:paraId="24F202ED" w14:textId="1DAA2B6A" w:rsidR="000C6AF3" w:rsidRPr="003C077C" w:rsidRDefault="000C6AF3" w:rsidP="00791334">
            <w:pPr>
              <w:pStyle w:val="KMC16-Tablecontent"/>
              <w:keepNext/>
              <w:keepLines/>
              <w:jc w:val="right"/>
              <w:rPr>
                <w:color w:val="auto"/>
                <w:vertAlign w:val="superscript"/>
                <w:lang w:val="en-AU"/>
              </w:rPr>
            </w:pPr>
            <w:r w:rsidRPr="00EA1A93">
              <w:rPr>
                <w:lang w:val="en-AU"/>
              </w:rPr>
              <w:t>$</w:t>
            </w:r>
            <w:r w:rsidR="00C75C64" w:rsidRPr="00EA1A93">
              <w:rPr>
                <w:b/>
                <w:bCs/>
                <w:lang w:val="en-AU"/>
              </w:rPr>
              <w:t>Redacted</w:t>
            </w:r>
            <w:r w:rsidR="00FE5288" w:rsidRPr="003C077C">
              <w:rPr>
                <w:vertAlign w:val="superscript"/>
                <w:lang w:val="en-AU"/>
              </w:rPr>
              <w:t>4</w:t>
            </w:r>
          </w:p>
        </w:tc>
        <w:tc>
          <w:tcPr>
            <w:tcW w:w="622" w:type="pct"/>
            <w:noWrap/>
            <w:hideMark/>
          </w:tcPr>
          <w:p w14:paraId="7366F804" w14:textId="2450386F" w:rsidR="000C6AF3" w:rsidRPr="003C077C" w:rsidRDefault="000C6AF3" w:rsidP="00791334">
            <w:pPr>
              <w:pStyle w:val="KMC16-Tablecontent"/>
              <w:keepNext/>
              <w:keepLines/>
              <w:jc w:val="right"/>
              <w:rPr>
                <w:color w:val="auto"/>
                <w:vertAlign w:val="superscript"/>
                <w:lang w:val="en-AU"/>
              </w:rPr>
            </w:pPr>
            <w:r w:rsidRPr="00EA1A93">
              <w:rPr>
                <w:lang w:val="en-AU"/>
              </w:rPr>
              <w:t>$</w:t>
            </w:r>
            <w:r w:rsidR="00C75C64" w:rsidRPr="00EA1A93">
              <w:rPr>
                <w:b/>
                <w:bCs/>
                <w:lang w:val="en-AU"/>
              </w:rPr>
              <w:t>Redacted</w:t>
            </w:r>
            <w:r w:rsidR="00FE5288" w:rsidRPr="003C077C">
              <w:rPr>
                <w:vertAlign w:val="superscript"/>
                <w:lang w:val="en-AU"/>
              </w:rPr>
              <w:t>5</w:t>
            </w:r>
          </w:p>
        </w:tc>
        <w:tc>
          <w:tcPr>
            <w:tcW w:w="638" w:type="pct"/>
            <w:noWrap/>
            <w:hideMark/>
          </w:tcPr>
          <w:p w14:paraId="5045A956" w14:textId="3491B345" w:rsidR="000C6AF3" w:rsidRPr="003C077C" w:rsidRDefault="000C6AF3" w:rsidP="00791334">
            <w:pPr>
              <w:pStyle w:val="KMC16-Tablecontent"/>
              <w:keepNext/>
              <w:keepLines/>
              <w:jc w:val="right"/>
              <w:rPr>
                <w:color w:val="auto"/>
                <w:vertAlign w:val="superscript"/>
                <w:lang w:val="en-AU"/>
              </w:rPr>
            </w:pPr>
            <w:r w:rsidRPr="00EA1A93">
              <w:rPr>
                <w:lang w:val="en-AU"/>
              </w:rPr>
              <w:t>$</w:t>
            </w:r>
            <w:r w:rsidR="00C75C64" w:rsidRPr="00EA1A93">
              <w:rPr>
                <w:b/>
                <w:bCs/>
                <w:lang w:val="en-AU"/>
              </w:rPr>
              <w:t>Redacted</w:t>
            </w:r>
            <w:r w:rsidR="00FE5288" w:rsidRPr="003C077C">
              <w:rPr>
                <w:vertAlign w:val="superscript"/>
                <w:lang w:val="en-AU"/>
              </w:rPr>
              <w:t>5</w:t>
            </w:r>
          </w:p>
        </w:tc>
        <w:tc>
          <w:tcPr>
            <w:tcW w:w="638" w:type="pct"/>
            <w:noWrap/>
            <w:hideMark/>
          </w:tcPr>
          <w:p w14:paraId="1B7E3A10" w14:textId="549739B4" w:rsidR="000C6AF3" w:rsidRPr="003C077C" w:rsidRDefault="000C6AF3" w:rsidP="00791334">
            <w:pPr>
              <w:pStyle w:val="KMC16-Tablecontent"/>
              <w:keepNext/>
              <w:keepLines/>
              <w:jc w:val="right"/>
              <w:rPr>
                <w:color w:val="auto"/>
                <w:vertAlign w:val="superscript"/>
                <w:lang w:val="en-AU"/>
              </w:rPr>
            </w:pPr>
            <w:r w:rsidRPr="00EA1A93">
              <w:rPr>
                <w:lang w:val="en-AU"/>
              </w:rPr>
              <w:t>$</w:t>
            </w:r>
            <w:r w:rsidR="00C75C64" w:rsidRPr="00EA1A93">
              <w:rPr>
                <w:b/>
                <w:bCs/>
                <w:lang w:val="en-AU"/>
              </w:rPr>
              <w:t>Redacted</w:t>
            </w:r>
            <w:r w:rsidR="00FE5288" w:rsidRPr="003C077C">
              <w:rPr>
                <w:vertAlign w:val="superscript"/>
                <w:lang w:val="en-AU"/>
              </w:rPr>
              <w:t>5</w:t>
            </w:r>
          </w:p>
        </w:tc>
        <w:tc>
          <w:tcPr>
            <w:tcW w:w="638" w:type="pct"/>
            <w:noWrap/>
            <w:hideMark/>
          </w:tcPr>
          <w:p w14:paraId="548627EA" w14:textId="488D8DD9" w:rsidR="000C6AF3" w:rsidRPr="003C077C" w:rsidRDefault="000C6AF3" w:rsidP="00791334">
            <w:pPr>
              <w:pStyle w:val="KMC16-Tablecontent"/>
              <w:keepNext/>
              <w:keepLines/>
              <w:jc w:val="right"/>
              <w:rPr>
                <w:color w:val="auto"/>
                <w:vertAlign w:val="superscript"/>
                <w:lang w:val="en-AU"/>
              </w:rPr>
            </w:pPr>
            <w:r w:rsidRPr="00EA1A93">
              <w:rPr>
                <w:lang w:val="en-AU"/>
              </w:rPr>
              <w:t>$</w:t>
            </w:r>
            <w:r w:rsidR="00C75C64" w:rsidRPr="00EA1A93">
              <w:rPr>
                <w:b/>
                <w:bCs/>
                <w:lang w:val="en-AU"/>
              </w:rPr>
              <w:t>Redacted</w:t>
            </w:r>
            <w:r w:rsidR="00FE5288" w:rsidRPr="003C077C">
              <w:rPr>
                <w:vertAlign w:val="superscript"/>
                <w:lang w:val="en-AU"/>
              </w:rPr>
              <w:t>5</w:t>
            </w:r>
          </w:p>
        </w:tc>
        <w:tc>
          <w:tcPr>
            <w:tcW w:w="638" w:type="pct"/>
            <w:noWrap/>
            <w:hideMark/>
          </w:tcPr>
          <w:p w14:paraId="39B62D60" w14:textId="7987A767"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FE5288" w:rsidRPr="003C077C">
              <w:rPr>
                <w:vertAlign w:val="superscript"/>
                <w:lang w:val="en-AU"/>
              </w:rPr>
              <w:t>5</w:t>
            </w:r>
          </w:p>
        </w:tc>
      </w:tr>
      <w:tr w:rsidR="00EA1A93" w:rsidRPr="00E4592D" w14:paraId="1F4F5C3B" w14:textId="77777777" w:rsidTr="00C75C64">
        <w:trPr>
          <w:trHeight w:val="765"/>
        </w:trPr>
        <w:tc>
          <w:tcPr>
            <w:tcW w:w="1219" w:type="pct"/>
            <w:vAlign w:val="center"/>
            <w:hideMark/>
          </w:tcPr>
          <w:p w14:paraId="6031CAEB" w14:textId="77777777" w:rsidR="000C6AF3" w:rsidRPr="004A478D" w:rsidRDefault="000C6AF3" w:rsidP="00791334">
            <w:pPr>
              <w:pStyle w:val="KMC16-Tablecontent"/>
              <w:keepNext/>
              <w:keepLines/>
              <w:rPr>
                <w:i/>
                <w:lang w:val="en-AU"/>
              </w:rPr>
            </w:pPr>
            <w:r w:rsidRPr="004A478D">
              <w:rPr>
                <w:i/>
                <w:lang w:val="en-AU"/>
              </w:rPr>
              <w:t>less cost offset (patient contributions, applies to 30% (or 27%) of population who are general patients, the remaining with concession pay $0 contribution)</w:t>
            </w:r>
          </w:p>
        </w:tc>
        <w:tc>
          <w:tcPr>
            <w:tcW w:w="606" w:type="pct"/>
            <w:noWrap/>
            <w:hideMark/>
          </w:tcPr>
          <w:p w14:paraId="71429081" w14:textId="642E17FF"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FE5288" w:rsidRPr="003C077C">
              <w:rPr>
                <w:vertAlign w:val="superscript"/>
                <w:lang w:val="en-AU"/>
              </w:rPr>
              <w:t>8</w:t>
            </w:r>
          </w:p>
        </w:tc>
        <w:tc>
          <w:tcPr>
            <w:tcW w:w="622" w:type="pct"/>
            <w:noWrap/>
            <w:hideMark/>
          </w:tcPr>
          <w:p w14:paraId="21AE9DBA" w14:textId="575B7BF5"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FE5288" w:rsidRPr="003C077C">
              <w:rPr>
                <w:vertAlign w:val="superscript"/>
                <w:lang w:val="en-AU"/>
              </w:rPr>
              <w:t>8</w:t>
            </w:r>
          </w:p>
        </w:tc>
        <w:tc>
          <w:tcPr>
            <w:tcW w:w="638" w:type="pct"/>
            <w:noWrap/>
            <w:hideMark/>
          </w:tcPr>
          <w:p w14:paraId="42E59B99" w14:textId="6BAF5C8A"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FE5288" w:rsidRPr="003C077C">
              <w:rPr>
                <w:vertAlign w:val="superscript"/>
                <w:lang w:val="en-AU"/>
              </w:rPr>
              <w:t>9</w:t>
            </w:r>
          </w:p>
        </w:tc>
        <w:tc>
          <w:tcPr>
            <w:tcW w:w="638" w:type="pct"/>
            <w:noWrap/>
            <w:hideMark/>
          </w:tcPr>
          <w:p w14:paraId="7D8F0ACE" w14:textId="417E019C"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FE5288" w:rsidRPr="003C077C">
              <w:rPr>
                <w:vertAlign w:val="superscript"/>
                <w:lang w:val="en-AU"/>
              </w:rPr>
              <w:t>9</w:t>
            </w:r>
          </w:p>
        </w:tc>
        <w:tc>
          <w:tcPr>
            <w:tcW w:w="638" w:type="pct"/>
            <w:noWrap/>
            <w:hideMark/>
          </w:tcPr>
          <w:p w14:paraId="739E72F3" w14:textId="1A1091AB"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FE5288" w:rsidRPr="003C077C">
              <w:rPr>
                <w:vertAlign w:val="superscript"/>
                <w:lang w:val="en-AU"/>
              </w:rPr>
              <w:t>9</w:t>
            </w:r>
          </w:p>
        </w:tc>
        <w:tc>
          <w:tcPr>
            <w:tcW w:w="638" w:type="pct"/>
            <w:noWrap/>
            <w:hideMark/>
          </w:tcPr>
          <w:p w14:paraId="20ACC6B2" w14:textId="08B1185A"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FE5288" w:rsidRPr="003C077C">
              <w:rPr>
                <w:vertAlign w:val="superscript"/>
                <w:lang w:val="en-AU"/>
              </w:rPr>
              <w:t>9</w:t>
            </w:r>
          </w:p>
        </w:tc>
      </w:tr>
      <w:tr w:rsidR="00EA1A93" w:rsidRPr="00E4592D" w14:paraId="76E27242" w14:textId="77777777" w:rsidTr="00C75C64">
        <w:trPr>
          <w:trHeight w:val="255"/>
        </w:trPr>
        <w:tc>
          <w:tcPr>
            <w:tcW w:w="1219" w:type="pct"/>
            <w:noWrap/>
            <w:vAlign w:val="bottom"/>
            <w:hideMark/>
          </w:tcPr>
          <w:p w14:paraId="4291F470" w14:textId="721E59DB" w:rsidR="000C6AF3" w:rsidRPr="004A478D" w:rsidRDefault="000C6AF3" w:rsidP="00791334">
            <w:pPr>
              <w:pStyle w:val="KMC16-Tablecontent"/>
              <w:keepNext/>
              <w:keepLines/>
              <w:rPr>
                <w:b/>
                <w:lang w:val="en-AU"/>
              </w:rPr>
            </w:pPr>
            <w:r w:rsidRPr="004A478D">
              <w:rPr>
                <w:b/>
                <w:lang w:val="en-AU"/>
              </w:rPr>
              <w:t xml:space="preserve">Net </w:t>
            </w:r>
            <w:r w:rsidR="002F36B6">
              <w:rPr>
                <w:b/>
                <w:lang w:val="en-AU"/>
              </w:rPr>
              <w:t>c</w:t>
            </w:r>
            <w:r w:rsidRPr="004A478D">
              <w:rPr>
                <w:b/>
                <w:lang w:val="en-AU"/>
              </w:rPr>
              <w:t>ost of FSL</w:t>
            </w:r>
          </w:p>
        </w:tc>
        <w:tc>
          <w:tcPr>
            <w:tcW w:w="606" w:type="pct"/>
            <w:noWrap/>
            <w:hideMark/>
          </w:tcPr>
          <w:p w14:paraId="745B3E95" w14:textId="0CFFF643"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1A05F5" w:rsidRPr="003C077C">
              <w:rPr>
                <w:vertAlign w:val="superscript"/>
                <w:lang w:val="en-AU"/>
              </w:rPr>
              <w:t>4</w:t>
            </w:r>
          </w:p>
        </w:tc>
        <w:tc>
          <w:tcPr>
            <w:tcW w:w="622" w:type="pct"/>
            <w:noWrap/>
            <w:hideMark/>
          </w:tcPr>
          <w:p w14:paraId="6B7CC86C" w14:textId="52971958"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1A05F5" w:rsidRPr="003C077C">
              <w:rPr>
                <w:vertAlign w:val="superscript"/>
                <w:lang w:val="en-AU"/>
              </w:rPr>
              <w:t>10</w:t>
            </w:r>
          </w:p>
        </w:tc>
        <w:tc>
          <w:tcPr>
            <w:tcW w:w="638" w:type="pct"/>
            <w:noWrap/>
            <w:hideMark/>
          </w:tcPr>
          <w:p w14:paraId="2D21BF76" w14:textId="09B416DE"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1A05F5" w:rsidRPr="003C077C">
              <w:rPr>
                <w:vertAlign w:val="superscript"/>
                <w:lang w:val="en-AU"/>
              </w:rPr>
              <w:t>5</w:t>
            </w:r>
          </w:p>
        </w:tc>
        <w:tc>
          <w:tcPr>
            <w:tcW w:w="638" w:type="pct"/>
            <w:noWrap/>
            <w:hideMark/>
          </w:tcPr>
          <w:p w14:paraId="02BADED3" w14:textId="5CDE0A94"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1A05F5" w:rsidRPr="003C077C">
              <w:rPr>
                <w:vertAlign w:val="superscript"/>
                <w:lang w:val="en-AU"/>
              </w:rPr>
              <w:t>5</w:t>
            </w:r>
          </w:p>
        </w:tc>
        <w:tc>
          <w:tcPr>
            <w:tcW w:w="638" w:type="pct"/>
            <w:noWrap/>
            <w:hideMark/>
          </w:tcPr>
          <w:p w14:paraId="5602E6AB" w14:textId="4D48B7FE"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1A05F5" w:rsidRPr="003C077C">
              <w:rPr>
                <w:vertAlign w:val="superscript"/>
                <w:lang w:val="en-AU"/>
              </w:rPr>
              <w:t>5</w:t>
            </w:r>
          </w:p>
        </w:tc>
        <w:tc>
          <w:tcPr>
            <w:tcW w:w="638" w:type="pct"/>
            <w:noWrap/>
            <w:hideMark/>
          </w:tcPr>
          <w:p w14:paraId="485819CC" w14:textId="79C75826"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1A05F5" w:rsidRPr="003C077C">
              <w:rPr>
                <w:vertAlign w:val="superscript"/>
                <w:lang w:val="en-AU"/>
              </w:rPr>
              <w:t>5</w:t>
            </w:r>
          </w:p>
        </w:tc>
      </w:tr>
      <w:tr w:rsidR="00EA1A93" w:rsidRPr="00E4592D" w14:paraId="499DF7B4" w14:textId="77777777" w:rsidTr="00C75C64">
        <w:trPr>
          <w:trHeight w:val="255"/>
        </w:trPr>
        <w:tc>
          <w:tcPr>
            <w:tcW w:w="1219" w:type="pct"/>
            <w:noWrap/>
            <w:vAlign w:val="bottom"/>
            <w:hideMark/>
          </w:tcPr>
          <w:p w14:paraId="6846554C" w14:textId="116A268A" w:rsidR="000C6AF3" w:rsidRPr="004A478D" w:rsidRDefault="000C6AF3" w:rsidP="00791334">
            <w:pPr>
              <w:pStyle w:val="KMC16-Tablecontent"/>
              <w:keepNext/>
              <w:keepLines/>
              <w:rPr>
                <w:b/>
                <w:lang w:val="en-AU"/>
              </w:rPr>
            </w:pPr>
            <w:r w:rsidRPr="004A478D">
              <w:rPr>
                <w:b/>
                <w:lang w:val="en-AU"/>
              </w:rPr>
              <w:t xml:space="preserve">Change in SMBG </w:t>
            </w:r>
            <w:r w:rsidR="002F36B6">
              <w:rPr>
                <w:b/>
                <w:lang w:val="en-AU"/>
              </w:rPr>
              <w:t>u</w:t>
            </w:r>
            <w:r w:rsidRPr="004A478D">
              <w:rPr>
                <w:b/>
                <w:lang w:val="en-AU"/>
              </w:rPr>
              <w:t>se</w:t>
            </w:r>
          </w:p>
        </w:tc>
        <w:tc>
          <w:tcPr>
            <w:tcW w:w="606" w:type="pct"/>
            <w:noWrap/>
            <w:hideMark/>
          </w:tcPr>
          <w:p w14:paraId="6D43203F" w14:textId="77777777" w:rsidR="000C6AF3" w:rsidRPr="00EA1A93" w:rsidRDefault="000C6AF3" w:rsidP="00791334">
            <w:pPr>
              <w:pStyle w:val="KMC16-Tablecontent"/>
              <w:keepNext/>
              <w:keepLines/>
              <w:jc w:val="center"/>
              <w:rPr>
                <w:color w:val="auto"/>
                <w:lang w:val="en-AU"/>
              </w:rPr>
            </w:pPr>
          </w:p>
        </w:tc>
        <w:tc>
          <w:tcPr>
            <w:tcW w:w="622" w:type="pct"/>
            <w:noWrap/>
            <w:hideMark/>
          </w:tcPr>
          <w:p w14:paraId="4338F058" w14:textId="77777777" w:rsidR="000C6AF3" w:rsidRPr="00EA1A93" w:rsidRDefault="000C6AF3" w:rsidP="00791334">
            <w:pPr>
              <w:pStyle w:val="KMC16-Tablecontent"/>
              <w:keepNext/>
              <w:keepLines/>
              <w:jc w:val="center"/>
              <w:rPr>
                <w:color w:val="auto"/>
                <w:lang w:val="en-AU"/>
              </w:rPr>
            </w:pPr>
          </w:p>
        </w:tc>
        <w:tc>
          <w:tcPr>
            <w:tcW w:w="638" w:type="pct"/>
            <w:noWrap/>
            <w:hideMark/>
          </w:tcPr>
          <w:p w14:paraId="7A6949B0" w14:textId="77777777" w:rsidR="000C6AF3" w:rsidRPr="00EA1A93" w:rsidRDefault="000C6AF3" w:rsidP="00791334">
            <w:pPr>
              <w:pStyle w:val="KMC16-Tablecontent"/>
              <w:keepNext/>
              <w:keepLines/>
              <w:jc w:val="center"/>
              <w:rPr>
                <w:color w:val="auto"/>
                <w:lang w:val="en-AU"/>
              </w:rPr>
            </w:pPr>
          </w:p>
        </w:tc>
        <w:tc>
          <w:tcPr>
            <w:tcW w:w="638" w:type="pct"/>
            <w:noWrap/>
            <w:hideMark/>
          </w:tcPr>
          <w:p w14:paraId="343CF074" w14:textId="77777777" w:rsidR="000C6AF3" w:rsidRPr="00EA1A93" w:rsidRDefault="000C6AF3" w:rsidP="00791334">
            <w:pPr>
              <w:pStyle w:val="KMC16-Tablecontent"/>
              <w:keepNext/>
              <w:keepLines/>
              <w:jc w:val="center"/>
              <w:rPr>
                <w:color w:val="auto"/>
                <w:lang w:val="en-AU"/>
              </w:rPr>
            </w:pPr>
          </w:p>
        </w:tc>
        <w:tc>
          <w:tcPr>
            <w:tcW w:w="638" w:type="pct"/>
            <w:noWrap/>
            <w:hideMark/>
          </w:tcPr>
          <w:p w14:paraId="20E17460" w14:textId="77777777" w:rsidR="000C6AF3" w:rsidRPr="00EA1A93" w:rsidRDefault="000C6AF3" w:rsidP="00791334">
            <w:pPr>
              <w:pStyle w:val="KMC16-Tablecontent"/>
              <w:keepNext/>
              <w:keepLines/>
              <w:jc w:val="center"/>
              <w:rPr>
                <w:color w:val="auto"/>
                <w:lang w:val="en-AU"/>
              </w:rPr>
            </w:pPr>
          </w:p>
        </w:tc>
        <w:tc>
          <w:tcPr>
            <w:tcW w:w="638" w:type="pct"/>
            <w:noWrap/>
            <w:hideMark/>
          </w:tcPr>
          <w:p w14:paraId="043A3F60" w14:textId="77777777" w:rsidR="000C6AF3" w:rsidRPr="00EA1A93" w:rsidRDefault="000C6AF3" w:rsidP="00791334">
            <w:pPr>
              <w:pStyle w:val="KMC16-Tablecontent"/>
              <w:keepNext/>
              <w:keepLines/>
              <w:jc w:val="center"/>
              <w:rPr>
                <w:color w:val="auto"/>
                <w:lang w:val="en-AU"/>
              </w:rPr>
            </w:pPr>
          </w:p>
        </w:tc>
      </w:tr>
      <w:tr w:rsidR="00EA1A93" w:rsidRPr="00E4592D" w14:paraId="0521EEF1" w14:textId="77777777" w:rsidTr="00C75C64">
        <w:trPr>
          <w:trHeight w:val="255"/>
        </w:trPr>
        <w:tc>
          <w:tcPr>
            <w:tcW w:w="1219" w:type="pct"/>
            <w:vAlign w:val="center"/>
            <w:hideMark/>
          </w:tcPr>
          <w:p w14:paraId="4C348636" w14:textId="77777777" w:rsidR="000C6AF3" w:rsidRPr="004A478D" w:rsidRDefault="000C6AF3" w:rsidP="00791334">
            <w:pPr>
              <w:pStyle w:val="KMC16-Tablecontent"/>
              <w:keepNext/>
              <w:keepLines/>
              <w:rPr>
                <w:i/>
                <w:lang w:val="en-AU"/>
              </w:rPr>
            </w:pPr>
            <w:r w:rsidRPr="004A478D">
              <w:rPr>
                <w:i/>
                <w:lang w:val="en-AU"/>
              </w:rPr>
              <w:t>less cost offsets (reduced glucose strips)</w:t>
            </w:r>
          </w:p>
        </w:tc>
        <w:tc>
          <w:tcPr>
            <w:tcW w:w="606" w:type="pct"/>
            <w:noWrap/>
            <w:hideMark/>
          </w:tcPr>
          <w:p w14:paraId="160DACF2" w14:textId="6F8D9194"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1A05F5" w:rsidRPr="003C077C">
              <w:rPr>
                <w:vertAlign w:val="superscript"/>
                <w:lang w:val="en-AU"/>
              </w:rPr>
              <w:t>9</w:t>
            </w:r>
          </w:p>
        </w:tc>
        <w:tc>
          <w:tcPr>
            <w:tcW w:w="622" w:type="pct"/>
            <w:noWrap/>
            <w:hideMark/>
          </w:tcPr>
          <w:p w14:paraId="25B085E6" w14:textId="2516CAA3"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1A05F5" w:rsidRPr="003C077C">
              <w:rPr>
                <w:vertAlign w:val="superscript"/>
                <w:lang w:val="en-AU"/>
              </w:rPr>
              <w:t>9</w:t>
            </w:r>
          </w:p>
        </w:tc>
        <w:tc>
          <w:tcPr>
            <w:tcW w:w="638" w:type="pct"/>
            <w:noWrap/>
            <w:hideMark/>
          </w:tcPr>
          <w:p w14:paraId="000D9510" w14:textId="76688A08"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1A05F5" w:rsidRPr="003C077C">
              <w:rPr>
                <w:vertAlign w:val="superscript"/>
                <w:lang w:val="en-AU"/>
              </w:rPr>
              <w:t>6</w:t>
            </w:r>
          </w:p>
        </w:tc>
        <w:tc>
          <w:tcPr>
            <w:tcW w:w="638" w:type="pct"/>
            <w:noWrap/>
            <w:hideMark/>
          </w:tcPr>
          <w:p w14:paraId="241C2563" w14:textId="2384454D"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1A05F5" w:rsidRPr="003C077C">
              <w:rPr>
                <w:vertAlign w:val="superscript"/>
                <w:lang w:val="en-AU"/>
              </w:rPr>
              <w:t>6</w:t>
            </w:r>
          </w:p>
        </w:tc>
        <w:tc>
          <w:tcPr>
            <w:tcW w:w="638" w:type="pct"/>
            <w:noWrap/>
            <w:hideMark/>
          </w:tcPr>
          <w:p w14:paraId="66D2FEA3" w14:textId="24636022"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7C706D" w:rsidRPr="003C077C">
              <w:rPr>
                <w:vertAlign w:val="superscript"/>
                <w:lang w:val="en-AU"/>
              </w:rPr>
              <w:t>11</w:t>
            </w:r>
          </w:p>
        </w:tc>
        <w:tc>
          <w:tcPr>
            <w:tcW w:w="638" w:type="pct"/>
            <w:noWrap/>
            <w:hideMark/>
          </w:tcPr>
          <w:p w14:paraId="477F991E" w14:textId="136BC4EE"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7C706D" w:rsidRPr="003C077C">
              <w:rPr>
                <w:vertAlign w:val="superscript"/>
                <w:lang w:val="en-AU"/>
              </w:rPr>
              <w:t>11</w:t>
            </w:r>
          </w:p>
        </w:tc>
      </w:tr>
      <w:tr w:rsidR="00EA1A93" w:rsidRPr="00E4592D" w14:paraId="51F703BD" w14:textId="77777777" w:rsidTr="00C75C64">
        <w:trPr>
          <w:trHeight w:val="270"/>
        </w:trPr>
        <w:tc>
          <w:tcPr>
            <w:tcW w:w="1219" w:type="pct"/>
            <w:noWrap/>
            <w:vAlign w:val="bottom"/>
            <w:hideMark/>
          </w:tcPr>
          <w:p w14:paraId="01D83B44" w14:textId="5074B54E" w:rsidR="000C6AF3" w:rsidRPr="004A478D" w:rsidRDefault="000C6AF3" w:rsidP="00791334">
            <w:pPr>
              <w:pStyle w:val="KMC16-Tablecontent"/>
              <w:keepNext/>
              <w:keepLines/>
              <w:rPr>
                <w:b/>
                <w:lang w:val="en-AU"/>
              </w:rPr>
            </w:pPr>
            <w:r w:rsidRPr="004A478D">
              <w:rPr>
                <w:b/>
                <w:lang w:val="en-AU"/>
              </w:rPr>
              <w:t xml:space="preserve">Total </w:t>
            </w:r>
            <w:r w:rsidR="002F36B6">
              <w:rPr>
                <w:b/>
                <w:lang w:val="en-AU"/>
              </w:rPr>
              <w:t>n</w:t>
            </w:r>
            <w:r w:rsidRPr="00A54EDF">
              <w:rPr>
                <w:b/>
                <w:lang w:val="en-AU"/>
              </w:rPr>
              <w:t xml:space="preserve">et </w:t>
            </w:r>
            <w:r w:rsidR="002F36B6">
              <w:rPr>
                <w:b/>
                <w:lang w:val="en-AU"/>
              </w:rPr>
              <w:t>c</w:t>
            </w:r>
            <w:r w:rsidRPr="004A478D">
              <w:rPr>
                <w:b/>
                <w:lang w:val="en-AU"/>
              </w:rPr>
              <w:t>ost</w:t>
            </w:r>
          </w:p>
        </w:tc>
        <w:tc>
          <w:tcPr>
            <w:tcW w:w="606" w:type="pct"/>
            <w:noWrap/>
            <w:hideMark/>
          </w:tcPr>
          <w:p w14:paraId="5F665D84" w14:textId="286EAA5D"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7C706D" w:rsidRPr="003C077C">
              <w:rPr>
                <w:vertAlign w:val="superscript"/>
                <w:lang w:val="en-AU"/>
              </w:rPr>
              <w:t>7</w:t>
            </w:r>
          </w:p>
        </w:tc>
        <w:tc>
          <w:tcPr>
            <w:tcW w:w="622" w:type="pct"/>
            <w:noWrap/>
            <w:hideMark/>
          </w:tcPr>
          <w:p w14:paraId="751E8B89" w14:textId="388A8BB3"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440D33" w:rsidRPr="003C077C">
              <w:rPr>
                <w:vertAlign w:val="superscript"/>
                <w:lang w:val="en-AU"/>
              </w:rPr>
              <w:t>12</w:t>
            </w:r>
          </w:p>
        </w:tc>
        <w:tc>
          <w:tcPr>
            <w:tcW w:w="638" w:type="pct"/>
            <w:noWrap/>
            <w:hideMark/>
          </w:tcPr>
          <w:p w14:paraId="2FDBFDE8" w14:textId="361E2AAB" w:rsidR="000C6AF3" w:rsidRPr="00EA1A93" w:rsidRDefault="000C6AF3" w:rsidP="00791334">
            <w:pPr>
              <w:pStyle w:val="KMC16-Tablecontent"/>
              <w:keepNext/>
              <w:keepLines/>
              <w:jc w:val="right"/>
              <w:rPr>
                <w:color w:val="auto"/>
                <w:lang w:val="en-AU"/>
              </w:rPr>
            </w:pPr>
            <w:r w:rsidRPr="00EA1A93">
              <w:rPr>
                <w:lang w:val="en-AU"/>
              </w:rPr>
              <w:t>$</w:t>
            </w:r>
            <w:r w:rsidR="00EA1A93" w:rsidRPr="00EA1A93">
              <w:rPr>
                <w:b/>
                <w:bCs/>
                <w:lang w:val="en-AU"/>
              </w:rPr>
              <w:t>Redacted</w:t>
            </w:r>
            <w:r w:rsidR="00440D33" w:rsidRPr="003C077C">
              <w:rPr>
                <w:vertAlign w:val="superscript"/>
                <w:lang w:val="en-AU"/>
              </w:rPr>
              <w:t>10</w:t>
            </w:r>
          </w:p>
        </w:tc>
        <w:tc>
          <w:tcPr>
            <w:tcW w:w="638" w:type="pct"/>
            <w:noWrap/>
            <w:hideMark/>
          </w:tcPr>
          <w:p w14:paraId="25A87FEE" w14:textId="3E57B764"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440D33" w:rsidRPr="003C077C">
              <w:rPr>
                <w:vertAlign w:val="superscript"/>
                <w:lang w:val="en-AU"/>
              </w:rPr>
              <w:t>5</w:t>
            </w:r>
          </w:p>
        </w:tc>
        <w:tc>
          <w:tcPr>
            <w:tcW w:w="638" w:type="pct"/>
            <w:noWrap/>
            <w:hideMark/>
          </w:tcPr>
          <w:p w14:paraId="4C408E59" w14:textId="462345EE"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FD3C18" w:rsidRPr="003C077C">
              <w:rPr>
                <w:vertAlign w:val="superscript"/>
                <w:lang w:val="en-AU"/>
              </w:rPr>
              <w:t>5</w:t>
            </w:r>
          </w:p>
        </w:tc>
        <w:tc>
          <w:tcPr>
            <w:tcW w:w="638" w:type="pct"/>
            <w:noWrap/>
            <w:hideMark/>
          </w:tcPr>
          <w:p w14:paraId="63A1D1B5" w14:textId="523E83B1" w:rsidR="000C6AF3" w:rsidRPr="003C077C" w:rsidRDefault="000C6AF3" w:rsidP="00791334">
            <w:pPr>
              <w:pStyle w:val="KMC16-Tablecontent"/>
              <w:keepNext/>
              <w:keepLines/>
              <w:jc w:val="right"/>
              <w:rPr>
                <w:color w:val="auto"/>
                <w:vertAlign w:val="superscript"/>
                <w:lang w:val="en-AU"/>
              </w:rPr>
            </w:pPr>
            <w:r w:rsidRPr="00EA1A93">
              <w:rPr>
                <w:lang w:val="en-AU"/>
              </w:rPr>
              <w:t>$</w:t>
            </w:r>
            <w:r w:rsidR="00EA1A93" w:rsidRPr="00EA1A93">
              <w:rPr>
                <w:b/>
                <w:bCs/>
                <w:lang w:val="en-AU"/>
              </w:rPr>
              <w:t>Redacted</w:t>
            </w:r>
            <w:r w:rsidR="00FD3C18" w:rsidRPr="003C077C">
              <w:rPr>
                <w:vertAlign w:val="superscript"/>
                <w:lang w:val="en-AU"/>
              </w:rPr>
              <w:t>5</w:t>
            </w:r>
          </w:p>
        </w:tc>
      </w:tr>
    </w:tbl>
    <w:p w14:paraId="57F0950A" w14:textId="77777777" w:rsidR="00DF67A2" w:rsidRPr="003027B3" w:rsidRDefault="00DF67A2" w:rsidP="00791334">
      <w:pPr>
        <w:pStyle w:val="KMC16-TFNotes"/>
        <w:keepNext/>
        <w:keepLines/>
        <w:rPr>
          <w:rFonts w:ascii="Arial Narrow" w:hAnsi="Arial Narrow"/>
          <w:sz w:val="18"/>
          <w:szCs w:val="18"/>
          <w:u w:val="single"/>
        </w:rPr>
      </w:pPr>
      <w:r w:rsidRPr="003027B3">
        <w:rPr>
          <w:rFonts w:ascii="Arial Narrow" w:hAnsi="Arial Narrow"/>
          <w:b/>
          <w:bCs/>
          <w:sz w:val="18"/>
          <w:szCs w:val="18"/>
          <w:u w:val="single"/>
        </w:rPr>
        <w:t>Abbreviations</w:t>
      </w:r>
    </w:p>
    <w:p w14:paraId="43929226" w14:textId="72A81970" w:rsidR="00DF67A2" w:rsidRPr="003027B3" w:rsidRDefault="00DF67A2" w:rsidP="00791334">
      <w:pPr>
        <w:pStyle w:val="KMC16-TFNotes"/>
        <w:keepNext/>
        <w:keepLines/>
        <w:rPr>
          <w:rFonts w:ascii="Arial Narrow" w:hAnsi="Arial Narrow"/>
          <w:sz w:val="18"/>
          <w:szCs w:val="18"/>
        </w:rPr>
      </w:pPr>
      <w:r w:rsidRPr="003027B3">
        <w:rPr>
          <w:rFonts w:ascii="Arial Narrow" w:hAnsi="Arial Narrow"/>
          <w:b/>
          <w:bCs/>
          <w:sz w:val="18"/>
          <w:szCs w:val="18"/>
        </w:rPr>
        <w:t>FSL</w:t>
      </w:r>
      <w:r w:rsidRPr="003027B3">
        <w:rPr>
          <w:rFonts w:ascii="Arial Narrow" w:hAnsi="Arial Narrow"/>
          <w:sz w:val="18"/>
          <w:szCs w:val="18"/>
        </w:rPr>
        <w:t xml:space="preserve"> = FreeStyle Libre Continuous Glucose Monitoring, </w:t>
      </w:r>
      <w:r w:rsidRPr="003027B3">
        <w:rPr>
          <w:rFonts w:ascii="Arial Narrow" w:hAnsi="Arial Narrow"/>
          <w:b/>
          <w:bCs/>
          <w:sz w:val="18"/>
          <w:szCs w:val="18"/>
        </w:rPr>
        <w:t>SMBG</w:t>
      </w:r>
      <w:r w:rsidRPr="003027B3">
        <w:rPr>
          <w:rFonts w:ascii="Arial Narrow" w:hAnsi="Arial Narrow"/>
          <w:sz w:val="18"/>
          <w:szCs w:val="18"/>
        </w:rPr>
        <w:t xml:space="preserve"> = self-monitoring of blood glucose, </w:t>
      </w:r>
      <w:r w:rsidRPr="003027B3">
        <w:rPr>
          <w:rFonts w:ascii="Arial Narrow" w:hAnsi="Arial Narrow"/>
          <w:b/>
          <w:bCs/>
          <w:sz w:val="18"/>
          <w:szCs w:val="18"/>
        </w:rPr>
        <w:t>T2D</w:t>
      </w:r>
      <w:r w:rsidRPr="003027B3">
        <w:rPr>
          <w:rFonts w:ascii="Arial Narrow" w:hAnsi="Arial Narrow"/>
          <w:sz w:val="18"/>
          <w:szCs w:val="18"/>
        </w:rPr>
        <w:t xml:space="preserve"> = type 2 diabetes. </w:t>
      </w:r>
    </w:p>
    <w:p w14:paraId="461F7A07" w14:textId="758A5572" w:rsidR="00C70CF3" w:rsidRPr="003027B3" w:rsidRDefault="00C70CF3" w:rsidP="00791334">
      <w:pPr>
        <w:pStyle w:val="KMC16-TFNotes"/>
        <w:keepNext/>
        <w:keepLines/>
        <w:rPr>
          <w:rFonts w:ascii="Arial Narrow" w:hAnsi="Arial Narrow"/>
          <w:sz w:val="18"/>
          <w:szCs w:val="18"/>
        </w:rPr>
      </w:pPr>
      <w:r w:rsidRPr="003027B3">
        <w:rPr>
          <w:rFonts w:ascii="Arial Narrow" w:hAnsi="Arial Narrow"/>
          <w:b/>
          <w:bCs/>
          <w:sz w:val="18"/>
          <w:szCs w:val="18"/>
          <w:u w:val="single"/>
        </w:rPr>
        <w:t>Notes</w:t>
      </w:r>
      <w:r w:rsidRPr="003027B3">
        <w:rPr>
          <w:rFonts w:ascii="Arial Narrow" w:hAnsi="Arial Narrow"/>
          <w:b/>
          <w:bCs/>
          <w:sz w:val="18"/>
          <w:szCs w:val="18"/>
          <w:u w:val="single"/>
        </w:rPr>
        <w:br/>
      </w:r>
      <w:r w:rsidRPr="003027B3">
        <w:rPr>
          <w:rFonts w:ascii="Arial Narrow" w:hAnsi="Arial Narrow"/>
          <w:sz w:val="18"/>
          <w:szCs w:val="18"/>
        </w:rPr>
        <w:t>All currencies represent AUD.</w:t>
      </w:r>
    </w:p>
    <w:p w14:paraId="5CFCBB87" w14:textId="77777777" w:rsidR="00A6357C" w:rsidRDefault="00A6357C" w:rsidP="00A6357C">
      <w:pPr>
        <w:pStyle w:val="KMC16-TFNotes"/>
        <w:jc w:val="left"/>
        <w:rPr>
          <w:rFonts w:ascii="Arial Narrow" w:hAnsi="Arial Narrow"/>
          <w:sz w:val="18"/>
          <w:szCs w:val="18"/>
        </w:rPr>
      </w:pPr>
      <w:r>
        <w:rPr>
          <w:rFonts w:ascii="Arial Narrow" w:hAnsi="Arial Narrow"/>
          <w:sz w:val="18"/>
          <w:szCs w:val="18"/>
        </w:rPr>
        <w:t>The redacted values correspond to the following ranges:</w:t>
      </w:r>
    </w:p>
    <w:p w14:paraId="66B30B99" w14:textId="722327C1" w:rsidR="00A6357C" w:rsidRDefault="00A6357C" w:rsidP="00A6357C">
      <w:pPr>
        <w:pStyle w:val="KMC16-TFNotes"/>
        <w:jc w:val="left"/>
        <w:rPr>
          <w:rFonts w:ascii="Arial Narrow" w:hAnsi="Arial Narrow"/>
          <w:sz w:val="18"/>
          <w:szCs w:val="18"/>
        </w:rPr>
      </w:pPr>
      <w:r>
        <w:rPr>
          <w:rFonts w:ascii="Arial Narrow" w:hAnsi="Arial Narrow"/>
          <w:sz w:val="18"/>
          <w:szCs w:val="18"/>
          <w:vertAlign w:val="superscript"/>
        </w:rPr>
        <w:t>1</w:t>
      </w:r>
      <w:r>
        <w:rPr>
          <w:rFonts w:ascii="Arial Narrow" w:hAnsi="Arial Narrow"/>
          <w:sz w:val="18"/>
          <w:szCs w:val="18"/>
        </w:rPr>
        <w:t xml:space="preserve"> 40,000 to &lt; 50,000</w:t>
      </w:r>
    </w:p>
    <w:p w14:paraId="7DD0D973" w14:textId="058FB691" w:rsidR="00A6357C" w:rsidRDefault="00A6357C" w:rsidP="00F37DB1">
      <w:pPr>
        <w:pStyle w:val="KMC16-TFNotes"/>
        <w:jc w:val="left"/>
        <w:rPr>
          <w:rFonts w:ascii="Arial Narrow" w:hAnsi="Arial Narrow"/>
          <w:sz w:val="18"/>
          <w:szCs w:val="18"/>
        </w:rPr>
      </w:pPr>
      <w:r w:rsidRPr="00D95A3C">
        <w:rPr>
          <w:rFonts w:ascii="Arial Narrow" w:hAnsi="Arial Narrow"/>
          <w:sz w:val="18"/>
          <w:szCs w:val="18"/>
          <w:vertAlign w:val="superscript"/>
        </w:rPr>
        <w:t>2</w:t>
      </w:r>
      <w:r>
        <w:rPr>
          <w:rFonts w:ascii="Arial Narrow" w:hAnsi="Arial Narrow"/>
          <w:sz w:val="18"/>
          <w:szCs w:val="18"/>
        </w:rPr>
        <w:t xml:space="preserve"> 80,000 to &lt; 90,000</w:t>
      </w:r>
    </w:p>
    <w:p w14:paraId="50330E0F" w14:textId="14EEABAD" w:rsidR="00A6357C" w:rsidRDefault="00A6357C" w:rsidP="00F37DB1">
      <w:pPr>
        <w:pStyle w:val="KMC16-TFNotes"/>
        <w:jc w:val="left"/>
        <w:rPr>
          <w:rFonts w:ascii="Arial Narrow" w:hAnsi="Arial Narrow"/>
          <w:sz w:val="18"/>
          <w:szCs w:val="18"/>
        </w:rPr>
      </w:pPr>
      <w:r w:rsidRPr="00D95A3C">
        <w:rPr>
          <w:rFonts w:ascii="Arial Narrow" w:hAnsi="Arial Narrow"/>
          <w:sz w:val="18"/>
          <w:szCs w:val="18"/>
          <w:vertAlign w:val="superscript"/>
        </w:rPr>
        <w:t>3</w:t>
      </w:r>
      <w:r>
        <w:rPr>
          <w:rFonts w:ascii="Arial Narrow" w:hAnsi="Arial Narrow"/>
          <w:sz w:val="18"/>
          <w:szCs w:val="18"/>
        </w:rPr>
        <w:t xml:space="preserve"> </w:t>
      </w:r>
      <w:r w:rsidR="0055188B">
        <w:rPr>
          <w:rFonts w:ascii="Arial Narrow" w:hAnsi="Arial Narrow"/>
          <w:sz w:val="18"/>
          <w:szCs w:val="18"/>
        </w:rPr>
        <w:t>10</w:t>
      </w:r>
      <w:r>
        <w:rPr>
          <w:rFonts w:ascii="Arial Narrow" w:hAnsi="Arial Narrow"/>
          <w:sz w:val="18"/>
          <w:szCs w:val="18"/>
        </w:rPr>
        <w:t xml:space="preserve">0,000 to &lt; </w:t>
      </w:r>
      <w:r w:rsidR="0055188B">
        <w:rPr>
          <w:rFonts w:ascii="Arial Narrow" w:hAnsi="Arial Narrow"/>
          <w:sz w:val="18"/>
          <w:szCs w:val="18"/>
        </w:rPr>
        <w:t>20</w:t>
      </w:r>
      <w:r>
        <w:rPr>
          <w:rFonts w:ascii="Arial Narrow" w:hAnsi="Arial Narrow"/>
          <w:sz w:val="18"/>
          <w:szCs w:val="18"/>
        </w:rPr>
        <w:t>0 000</w:t>
      </w:r>
    </w:p>
    <w:p w14:paraId="51AF23E6" w14:textId="3EF34DD4" w:rsidR="00A6357C" w:rsidRDefault="00A6357C" w:rsidP="00F37DB1">
      <w:pPr>
        <w:pStyle w:val="KMC16-TFNotes"/>
        <w:jc w:val="left"/>
        <w:rPr>
          <w:rFonts w:ascii="Arial Narrow" w:hAnsi="Arial Narrow"/>
          <w:sz w:val="18"/>
          <w:szCs w:val="18"/>
        </w:rPr>
      </w:pPr>
      <w:r w:rsidRPr="00D95A3C">
        <w:rPr>
          <w:rFonts w:ascii="Arial Narrow" w:hAnsi="Arial Narrow"/>
          <w:sz w:val="18"/>
          <w:szCs w:val="18"/>
          <w:vertAlign w:val="superscript"/>
        </w:rPr>
        <w:t>4</w:t>
      </w:r>
      <w:r>
        <w:rPr>
          <w:rFonts w:ascii="Arial Narrow" w:hAnsi="Arial Narrow"/>
          <w:sz w:val="18"/>
          <w:szCs w:val="18"/>
        </w:rPr>
        <w:t xml:space="preserve"> </w:t>
      </w:r>
      <w:r w:rsidR="00FE5288">
        <w:rPr>
          <w:rFonts w:ascii="Arial Narrow" w:hAnsi="Arial Narrow"/>
          <w:sz w:val="18"/>
          <w:szCs w:val="18"/>
        </w:rPr>
        <w:t>$50 million to &lt; $60 million</w:t>
      </w:r>
    </w:p>
    <w:p w14:paraId="47010F36" w14:textId="0752104C" w:rsidR="00A6357C" w:rsidRDefault="00A6357C" w:rsidP="00F37DB1">
      <w:pPr>
        <w:pStyle w:val="KMC16-TFNotes"/>
        <w:jc w:val="left"/>
        <w:rPr>
          <w:rFonts w:ascii="Arial Narrow" w:hAnsi="Arial Narrow"/>
          <w:sz w:val="18"/>
          <w:szCs w:val="18"/>
        </w:rPr>
      </w:pPr>
      <w:r w:rsidRPr="00D95A3C">
        <w:rPr>
          <w:rFonts w:ascii="Arial Narrow" w:hAnsi="Arial Narrow"/>
          <w:sz w:val="18"/>
          <w:szCs w:val="18"/>
          <w:vertAlign w:val="superscript"/>
        </w:rPr>
        <w:t>5</w:t>
      </w:r>
      <w:r>
        <w:rPr>
          <w:rFonts w:ascii="Arial Narrow" w:hAnsi="Arial Narrow"/>
          <w:sz w:val="18"/>
          <w:szCs w:val="18"/>
        </w:rPr>
        <w:t xml:space="preserve"> </w:t>
      </w:r>
      <w:r w:rsidR="00FE5288">
        <w:rPr>
          <w:rFonts w:ascii="Arial Narrow" w:hAnsi="Arial Narrow"/>
          <w:sz w:val="18"/>
          <w:szCs w:val="18"/>
        </w:rPr>
        <w:t>$100 million to &lt; $200 million</w:t>
      </w:r>
    </w:p>
    <w:p w14:paraId="0EB17099" w14:textId="77777777" w:rsidR="00A6357C" w:rsidRDefault="00A6357C" w:rsidP="00F37DB1">
      <w:pPr>
        <w:pStyle w:val="KMC16-TFNotes"/>
        <w:jc w:val="left"/>
        <w:rPr>
          <w:rFonts w:ascii="Arial Narrow" w:hAnsi="Arial Narrow"/>
          <w:sz w:val="18"/>
          <w:szCs w:val="18"/>
        </w:rPr>
      </w:pPr>
      <w:r w:rsidRPr="00D95A3C">
        <w:rPr>
          <w:rFonts w:ascii="Arial Narrow" w:hAnsi="Arial Narrow"/>
          <w:sz w:val="18"/>
          <w:szCs w:val="18"/>
          <w:vertAlign w:val="superscript"/>
        </w:rPr>
        <w:t>6</w:t>
      </w:r>
      <w:r>
        <w:rPr>
          <w:rFonts w:ascii="Arial Narrow" w:hAnsi="Arial Narrow"/>
          <w:sz w:val="18"/>
          <w:szCs w:val="18"/>
        </w:rPr>
        <w:t xml:space="preserve"> $20 million to &lt; $30 million</w:t>
      </w:r>
    </w:p>
    <w:p w14:paraId="4839593A" w14:textId="77777777" w:rsidR="00A6357C" w:rsidRDefault="00A6357C" w:rsidP="00F37DB1">
      <w:pPr>
        <w:pStyle w:val="KMC16-TFNotes"/>
        <w:jc w:val="left"/>
        <w:rPr>
          <w:rFonts w:ascii="Arial Narrow" w:hAnsi="Arial Narrow"/>
          <w:sz w:val="18"/>
          <w:szCs w:val="18"/>
        </w:rPr>
      </w:pPr>
      <w:r w:rsidRPr="00D95A3C">
        <w:rPr>
          <w:rFonts w:ascii="Arial Narrow" w:hAnsi="Arial Narrow"/>
          <w:sz w:val="18"/>
          <w:szCs w:val="18"/>
          <w:vertAlign w:val="superscript"/>
        </w:rPr>
        <w:t>7</w:t>
      </w:r>
      <w:r>
        <w:rPr>
          <w:rFonts w:ascii="Arial Narrow" w:hAnsi="Arial Narrow"/>
          <w:sz w:val="18"/>
          <w:szCs w:val="18"/>
        </w:rPr>
        <w:t xml:space="preserve"> $40 million to &lt; $50 million</w:t>
      </w:r>
    </w:p>
    <w:p w14:paraId="42B70C2F" w14:textId="2822BE1A" w:rsidR="00FE5288" w:rsidRDefault="00A6357C" w:rsidP="00F37DB1">
      <w:pPr>
        <w:pStyle w:val="KMC16-TFNotes"/>
        <w:jc w:val="left"/>
        <w:rPr>
          <w:rFonts w:ascii="Arial Narrow" w:hAnsi="Arial Narrow"/>
          <w:sz w:val="18"/>
          <w:szCs w:val="18"/>
        </w:rPr>
      </w:pPr>
      <w:r w:rsidRPr="00D95A3C">
        <w:rPr>
          <w:rFonts w:ascii="Arial Narrow" w:hAnsi="Arial Narrow"/>
          <w:sz w:val="18"/>
          <w:szCs w:val="18"/>
          <w:vertAlign w:val="superscript"/>
        </w:rPr>
        <w:t>8</w:t>
      </w:r>
      <w:r>
        <w:rPr>
          <w:rFonts w:ascii="Arial Narrow" w:hAnsi="Arial Narrow"/>
          <w:sz w:val="18"/>
          <w:szCs w:val="18"/>
        </w:rPr>
        <w:t xml:space="preserve"> </w:t>
      </w:r>
      <w:r w:rsidR="00FE5288">
        <w:rPr>
          <w:rFonts w:ascii="Arial Narrow" w:hAnsi="Arial Narrow"/>
          <w:sz w:val="18"/>
          <w:szCs w:val="18"/>
        </w:rPr>
        <w:t>$0 to &lt; $10 million</w:t>
      </w:r>
    </w:p>
    <w:p w14:paraId="78A3BB8A" w14:textId="72E5E563" w:rsidR="00FE5288" w:rsidRDefault="00A6357C" w:rsidP="00F37DB1">
      <w:pPr>
        <w:pStyle w:val="KMC16-TFNotes"/>
        <w:jc w:val="left"/>
        <w:rPr>
          <w:rFonts w:ascii="Arial Narrow" w:hAnsi="Arial Narrow"/>
          <w:sz w:val="18"/>
          <w:szCs w:val="18"/>
        </w:rPr>
      </w:pPr>
      <w:r w:rsidRPr="00D95A3C">
        <w:rPr>
          <w:rFonts w:ascii="Arial Narrow" w:hAnsi="Arial Narrow"/>
          <w:sz w:val="18"/>
          <w:szCs w:val="18"/>
          <w:vertAlign w:val="superscript"/>
        </w:rPr>
        <w:t>9</w:t>
      </w:r>
      <w:r>
        <w:rPr>
          <w:rFonts w:ascii="Arial Narrow" w:hAnsi="Arial Narrow"/>
          <w:sz w:val="18"/>
          <w:szCs w:val="18"/>
        </w:rPr>
        <w:t xml:space="preserve"> </w:t>
      </w:r>
      <w:r w:rsidR="00FE5288">
        <w:rPr>
          <w:rFonts w:ascii="Arial Narrow" w:hAnsi="Arial Narrow"/>
          <w:sz w:val="18"/>
          <w:szCs w:val="18"/>
        </w:rPr>
        <w:t>$10 million to &lt; $20 million</w:t>
      </w:r>
    </w:p>
    <w:p w14:paraId="62D2A31E" w14:textId="2282E7D3" w:rsidR="001A05F5" w:rsidRDefault="00A6357C" w:rsidP="00F37DB1">
      <w:pPr>
        <w:pStyle w:val="KMC16-TFNotes"/>
        <w:jc w:val="left"/>
        <w:rPr>
          <w:rFonts w:ascii="Arial Narrow" w:hAnsi="Arial Narrow"/>
          <w:sz w:val="18"/>
          <w:szCs w:val="18"/>
        </w:rPr>
      </w:pPr>
      <w:r w:rsidRPr="00D95A3C">
        <w:rPr>
          <w:rFonts w:ascii="Arial Narrow" w:hAnsi="Arial Narrow"/>
          <w:sz w:val="18"/>
          <w:szCs w:val="18"/>
          <w:vertAlign w:val="superscript"/>
        </w:rPr>
        <w:t>10</w:t>
      </w:r>
      <w:r>
        <w:rPr>
          <w:rFonts w:ascii="Arial Narrow" w:hAnsi="Arial Narrow"/>
          <w:sz w:val="18"/>
          <w:szCs w:val="18"/>
        </w:rPr>
        <w:t xml:space="preserve"> $</w:t>
      </w:r>
      <w:r w:rsidR="001A05F5">
        <w:rPr>
          <w:rFonts w:ascii="Arial Narrow" w:hAnsi="Arial Narrow"/>
          <w:sz w:val="18"/>
          <w:szCs w:val="18"/>
        </w:rPr>
        <w:t>9</w:t>
      </w:r>
      <w:r>
        <w:rPr>
          <w:rFonts w:ascii="Arial Narrow" w:hAnsi="Arial Narrow"/>
          <w:sz w:val="18"/>
          <w:szCs w:val="18"/>
        </w:rPr>
        <w:t>0 million to &lt; $</w:t>
      </w:r>
      <w:r w:rsidR="001A05F5">
        <w:rPr>
          <w:rFonts w:ascii="Arial Narrow" w:hAnsi="Arial Narrow"/>
          <w:sz w:val="18"/>
          <w:szCs w:val="18"/>
        </w:rPr>
        <w:t>10</w:t>
      </w:r>
      <w:r>
        <w:rPr>
          <w:rFonts w:ascii="Arial Narrow" w:hAnsi="Arial Narrow"/>
          <w:sz w:val="18"/>
          <w:szCs w:val="18"/>
        </w:rPr>
        <w:t>0 million</w:t>
      </w:r>
    </w:p>
    <w:p w14:paraId="0A98382B" w14:textId="7DC463D8" w:rsidR="00A6357C" w:rsidRDefault="00A6357C" w:rsidP="00F37DB1">
      <w:pPr>
        <w:pStyle w:val="KMC16-TFNotes"/>
        <w:jc w:val="left"/>
        <w:rPr>
          <w:rFonts w:ascii="Arial Narrow" w:hAnsi="Arial Narrow"/>
          <w:sz w:val="18"/>
          <w:szCs w:val="18"/>
        </w:rPr>
      </w:pPr>
      <w:r w:rsidRPr="00D95A3C">
        <w:rPr>
          <w:rFonts w:ascii="Arial Narrow" w:hAnsi="Arial Narrow"/>
          <w:sz w:val="18"/>
          <w:szCs w:val="18"/>
          <w:vertAlign w:val="superscript"/>
        </w:rPr>
        <w:t>11</w:t>
      </w:r>
      <w:r>
        <w:rPr>
          <w:rFonts w:ascii="Arial Narrow" w:hAnsi="Arial Narrow"/>
          <w:sz w:val="18"/>
          <w:szCs w:val="18"/>
        </w:rPr>
        <w:t xml:space="preserve"> </w:t>
      </w:r>
      <w:r w:rsidR="007C706D">
        <w:rPr>
          <w:rFonts w:ascii="Arial Narrow" w:hAnsi="Arial Narrow"/>
          <w:sz w:val="18"/>
          <w:szCs w:val="18"/>
        </w:rPr>
        <w:t>$30 million to &lt; $40 million</w:t>
      </w:r>
    </w:p>
    <w:p w14:paraId="01C7AF53" w14:textId="68C2E2C0" w:rsidR="00A6357C" w:rsidRPr="003027B3" w:rsidRDefault="00A6357C" w:rsidP="00E134A4">
      <w:pPr>
        <w:pStyle w:val="KMC16-TFNotes"/>
        <w:jc w:val="left"/>
        <w:rPr>
          <w:rFonts w:ascii="Arial Narrow" w:hAnsi="Arial Narrow"/>
          <w:sz w:val="18"/>
          <w:szCs w:val="18"/>
        </w:rPr>
      </w:pPr>
      <w:r w:rsidRPr="00D95A3C">
        <w:rPr>
          <w:rFonts w:ascii="Arial Narrow" w:hAnsi="Arial Narrow"/>
          <w:sz w:val="18"/>
          <w:szCs w:val="18"/>
          <w:vertAlign w:val="superscript"/>
        </w:rPr>
        <w:t xml:space="preserve">12 </w:t>
      </w:r>
      <w:r w:rsidR="00440D33">
        <w:rPr>
          <w:rFonts w:ascii="Arial Narrow" w:hAnsi="Arial Narrow"/>
          <w:sz w:val="18"/>
          <w:szCs w:val="18"/>
        </w:rPr>
        <w:t>$70 million to &lt; $80 million</w:t>
      </w:r>
    </w:p>
    <w:p w14:paraId="25BA0922" w14:textId="7CAC1F2E" w:rsidR="004A60FE" w:rsidRDefault="004A60FE" w:rsidP="000C6AF3">
      <w:r>
        <w:rPr>
          <w:u w:val="single"/>
        </w:rPr>
        <w:t>Uptake of FSL</w:t>
      </w:r>
    </w:p>
    <w:p w14:paraId="0D54B9B0" w14:textId="51B1F3E4" w:rsidR="000C6AF3" w:rsidRPr="00C77835" w:rsidRDefault="000C6AF3" w:rsidP="000C6AF3">
      <w:r w:rsidRPr="00CE28E3">
        <w:t xml:space="preserve">The financial implications to the </w:t>
      </w:r>
      <w:r>
        <w:t>NDSS</w:t>
      </w:r>
      <w:r w:rsidRPr="00CE28E3">
        <w:t xml:space="preserve"> resulting from </w:t>
      </w:r>
      <w:r w:rsidR="00684217">
        <w:t xml:space="preserve">a higher market uptake rate (scenario 2) </w:t>
      </w:r>
      <w:r w:rsidRPr="00CE28E3">
        <w:t xml:space="preserve">are summarised in </w:t>
      </w:r>
      <w:r>
        <w:fldChar w:fldCharType="begin"/>
      </w:r>
      <w:r>
        <w:instrText xml:space="preserve"> REF _Ref192774619 \h </w:instrText>
      </w:r>
      <w:r>
        <w:fldChar w:fldCharType="separate"/>
      </w:r>
      <w:r w:rsidR="00315A60" w:rsidRPr="00CE28E3">
        <w:t>Table</w:t>
      </w:r>
      <w:r w:rsidR="00315A60">
        <w:t> </w:t>
      </w:r>
      <w:r w:rsidR="00315A60">
        <w:rPr>
          <w:noProof/>
        </w:rPr>
        <w:t>19</w:t>
      </w:r>
      <w:r>
        <w:fldChar w:fldCharType="end"/>
      </w:r>
      <w:r w:rsidR="00684217">
        <w:t>.</w:t>
      </w:r>
      <w:r>
        <w:t xml:space="preserve">  </w:t>
      </w:r>
    </w:p>
    <w:p w14:paraId="06645B73" w14:textId="4B390B08" w:rsidR="000C6AF3" w:rsidRPr="00EE745E" w:rsidRDefault="000C6AF3" w:rsidP="00453A15">
      <w:pPr>
        <w:pStyle w:val="KMC16-Caption"/>
        <w:keepLines/>
        <w:rPr>
          <w:rFonts w:ascii="Arial Narrow" w:hAnsi="Arial Narrow"/>
        </w:rPr>
      </w:pPr>
      <w:bookmarkStart w:id="85" w:name="_Ref192774619"/>
      <w:r w:rsidRPr="00EE745E">
        <w:rPr>
          <w:rFonts w:ascii="Arial Narrow" w:hAnsi="Arial Narrow"/>
        </w:rPr>
        <w:t>Table </w:t>
      </w:r>
      <w:r w:rsidR="00315A60" w:rsidRPr="00EE745E">
        <w:rPr>
          <w:rFonts w:ascii="Arial Narrow" w:hAnsi="Arial Narrow"/>
        </w:rPr>
        <w:fldChar w:fldCharType="begin"/>
      </w:r>
      <w:r w:rsidR="00315A60" w:rsidRPr="00EE745E">
        <w:rPr>
          <w:rFonts w:ascii="Arial Narrow" w:hAnsi="Arial Narrow"/>
        </w:rPr>
        <w:instrText xml:space="preserve"> SEQ Table \* ARABIC </w:instrText>
      </w:r>
      <w:r w:rsidR="00315A60" w:rsidRPr="00EE745E">
        <w:rPr>
          <w:rFonts w:ascii="Arial Narrow" w:hAnsi="Arial Narrow"/>
        </w:rPr>
        <w:fldChar w:fldCharType="separate"/>
      </w:r>
      <w:r w:rsidR="00315A60" w:rsidRPr="00EE745E">
        <w:rPr>
          <w:rFonts w:ascii="Arial Narrow" w:hAnsi="Arial Narrow"/>
        </w:rPr>
        <w:t>19</w:t>
      </w:r>
      <w:r w:rsidR="00315A60" w:rsidRPr="00EE745E">
        <w:rPr>
          <w:rFonts w:ascii="Arial Narrow" w:hAnsi="Arial Narrow"/>
        </w:rPr>
        <w:fldChar w:fldCharType="end"/>
      </w:r>
      <w:bookmarkEnd w:id="85"/>
      <w:r w:rsidRPr="00EE745E">
        <w:rPr>
          <w:rFonts w:ascii="Arial Narrow" w:hAnsi="Arial Narrow"/>
        </w:rPr>
        <w:tab/>
        <w:t>Net financial implications of FSL to NDSS (</w:t>
      </w:r>
      <w:r w:rsidR="00684217" w:rsidRPr="00EE745E">
        <w:rPr>
          <w:rFonts w:ascii="Arial Narrow" w:hAnsi="Arial Narrow"/>
        </w:rPr>
        <w:t>FSL uptake rate</w:t>
      </w:r>
      <w:r w:rsidRPr="00EE745E">
        <w:rPr>
          <w:rFonts w:ascii="Arial Narrow" w:hAnsi="Arial Narrow"/>
        </w:rPr>
        <w:t>, scenario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31"/>
        <w:gridCol w:w="1031"/>
        <w:gridCol w:w="1031"/>
        <w:gridCol w:w="1031"/>
        <w:gridCol w:w="1031"/>
        <w:gridCol w:w="1031"/>
      </w:tblGrid>
      <w:tr w:rsidR="00EA1A93" w:rsidRPr="00E4592D" w14:paraId="3BCB092C" w14:textId="77777777" w:rsidTr="005A35DF">
        <w:trPr>
          <w:trHeight w:val="255"/>
        </w:trPr>
        <w:tc>
          <w:tcPr>
            <w:tcW w:w="1175" w:type="pct"/>
            <w:vMerge w:val="restart"/>
            <w:noWrap/>
            <w:vAlign w:val="center"/>
          </w:tcPr>
          <w:p w14:paraId="5314FB54" w14:textId="77777777" w:rsidR="000C6AF3" w:rsidRPr="004A478D" w:rsidRDefault="000C6AF3" w:rsidP="00453A15">
            <w:pPr>
              <w:pStyle w:val="KMC16-Tablecontent"/>
              <w:keepNext/>
              <w:keepLines/>
              <w:spacing w:before="0" w:after="0"/>
              <w:rPr>
                <w:b/>
                <w:lang w:val="en-AU"/>
              </w:rPr>
            </w:pPr>
            <w:r w:rsidRPr="004A478D">
              <w:rPr>
                <w:b/>
                <w:lang w:val="en-AU"/>
              </w:rPr>
              <w:t> </w:t>
            </w:r>
          </w:p>
        </w:tc>
        <w:tc>
          <w:tcPr>
            <w:tcW w:w="3825" w:type="pct"/>
            <w:gridSpan w:val="6"/>
            <w:noWrap/>
            <w:vAlign w:val="center"/>
          </w:tcPr>
          <w:p w14:paraId="66FABA54" w14:textId="47A823EC" w:rsidR="000C6AF3" w:rsidRPr="00C535C5" w:rsidRDefault="00A965FB" w:rsidP="00453A15">
            <w:pPr>
              <w:pStyle w:val="KMC16-Tablecontent"/>
              <w:keepNext/>
              <w:keepLines/>
              <w:spacing w:before="0" w:after="0"/>
              <w:jc w:val="center"/>
              <w:rPr>
                <w:b/>
                <w:color w:val="auto"/>
                <w:lang w:val="en-AU"/>
              </w:rPr>
            </w:pPr>
            <w:r w:rsidRPr="00C77835">
              <w:rPr>
                <w:b/>
                <w:color w:val="auto"/>
                <w:lang w:val="en-AU"/>
              </w:rPr>
              <w:t>PICO Set 1</w:t>
            </w:r>
          </w:p>
        </w:tc>
      </w:tr>
      <w:tr w:rsidR="005A35DF" w:rsidRPr="00E4592D" w14:paraId="473BC1B4" w14:textId="77777777" w:rsidTr="005A35DF">
        <w:trPr>
          <w:trHeight w:val="255"/>
        </w:trPr>
        <w:tc>
          <w:tcPr>
            <w:tcW w:w="1175" w:type="pct"/>
            <w:vMerge/>
            <w:noWrap/>
            <w:vAlign w:val="center"/>
            <w:hideMark/>
          </w:tcPr>
          <w:p w14:paraId="772BC2F5" w14:textId="77777777" w:rsidR="000C6AF3" w:rsidRPr="004A478D" w:rsidRDefault="000C6AF3" w:rsidP="00453A15">
            <w:pPr>
              <w:pStyle w:val="KMC16-Tablecontent"/>
              <w:keepNext/>
              <w:keepLines/>
              <w:spacing w:before="0" w:after="0"/>
              <w:rPr>
                <w:b/>
                <w:color w:val="auto"/>
                <w:lang w:val="en-AU"/>
              </w:rPr>
            </w:pPr>
          </w:p>
        </w:tc>
        <w:tc>
          <w:tcPr>
            <w:tcW w:w="606" w:type="pct"/>
            <w:noWrap/>
          </w:tcPr>
          <w:p w14:paraId="64E3395F" w14:textId="77777777" w:rsidR="000C6AF3" w:rsidRPr="00C535C5" w:rsidRDefault="000C6AF3" w:rsidP="00453A15">
            <w:pPr>
              <w:pStyle w:val="KMC16-Tablecontent"/>
              <w:keepNext/>
              <w:keepLines/>
              <w:spacing w:before="0" w:after="0"/>
              <w:jc w:val="center"/>
              <w:rPr>
                <w:b/>
                <w:color w:val="auto"/>
                <w:lang w:val="en-AU"/>
              </w:rPr>
            </w:pPr>
            <w:r w:rsidRPr="005102BE">
              <w:rPr>
                <w:lang w:val="en-AU"/>
              </w:rPr>
              <w:t>Year 1</w:t>
            </w:r>
          </w:p>
        </w:tc>
        <w:tc>
          <w:tcPr>
            <w:tcW w:w="644" w:type="pct"/>
            <w:noWrap/>
          </w:tcPr>
          <w:p w14:paraId="7C1CE1D3" w14:textId="77777777" w:rsidR="000C6AF3" w:rsidRPr="00C535C5" w:rsidRDefault="000C6AF3" w:rsidP="00453A15">
            <w:pPr>
              <w:pStyle w:val="KMC16-Tablecontent"/>
              <w:keepNext/>
              <w:keepLines/>
              <w:spacing w:before="0" w:after="0"/>
              <w:jc w:val="center"/>
              <w:rPr>
                <w:b/>
                <w:color w:val="auto"/>
                <w:lang w:val="en-AU"/>
              </w:rPr>
            </w:pPr>
            <w:r w:rsidRPr="005102BE">
              <w:rPr>
                <w:lang w:val="en-AU"/>
              </w:rPr>
              <w:t>Year 2</w:t>
            </w:r>
          </w:p>
        </w:tc>
        <w:tc>
          <w:tcPr>
            <w:tcW w:w="644" w:type="pct"/>
            <w:noWrap/>
          </w:tcPr>
          <w:p w14:paraId="7B106691" w14:textId="77777777" w:rsidR="000C6AF3" w:rsidRPr="00C535C5" w:rsidRDefault="000C6AF3" w:rsidP="00453A15">
            <w:pPr>
              <w:pStyle w:val="KMC16-Tablecontent"/>
              <w:keepNext/>
              <w:keepLines/>
              <w:spacing w:before="0" w:after="0"/>
              <w:jc w:val="center"/>
              <w:rPr>
                <w:b/>
                <w:color w:val="auto"/>
                <w:lang w:val="en-AU"/>
              </w:rPr>
            </w:pPr>
            <w:r w:rsidRPr="005102BE">
              <w:rPr>
                <w:lang w:val="en-AU"/>
              </w:rPr>
              <w:t>Year 3</w:t>
            </w:r>
          </w:p>
        </w:tc>
        <w:tc>
          <w:tcPr>
            <w:tcW w:w="644" w:type="pct"/>
            <w:noWrap/>
          </w:tcPr>
          <w:p w14:paraId="3F3BBFE3" w14:textId="77777777" w:rsidR="000C6AF3" w:rsidRPr="00C535C5" w:rsidRDefault="000C6AF3" w:rsidP="00453A15">
            <w:pPr>
              <w:pStyle w:val="KMC16-Tablecontent"/>
              <w:keepNext/>
              <w:keepLines/>
              <w:spacing w:before="0" w:after="0"/>
              <w:jc w:val="center"/>
              <w:rPr>
                <w:b/>
                <w:color w:val="auto"/>
                <w:lang w:val="en-AU"/>
              </w:rPr>
            </w:pPr>
            <w:r w:rsidRPr="005102BE">
              <w:rPr>
                <w:lang w:val="en-AU"/>
              </w:rPr>
              <w:t>Year 4</w:t>
            </w:r>
          </w:p>
        </w:tc>
        <w:tc>
          <w:tcPr>
            <w:tcW w:w="644" w:type="pct"/>
            <w:noWrap/>
          </w:tcPr>
          <w:p w14:paraId="723D4100" w14:textId="77777777" w:rsidR="000C6AF3" w:rsidRPr="00C535C5" w:rsidRDefault="000C6AF3" w:rsidP="00453A15">
            <w:pPr>
              <w:pStyle w:val="KMC16-Tablecontent"/>
              <w:keepNext/>
              <w:keepLines/>
              <w:spacing w:before="0" w:after="0"/>
              <w:jc w:val="center"/>
              <w:rPr>
                <w:b/>
                <w:color w:val="auto"/>
                <w:lang w:val="en-AU"/>
              </w:rPr>
            </w:pPr>
            <w:r w:rsidRPr="005102BE">
              <w:rPr>
                <w:lang w:val="en-AU"/>
              </w:rPr>
              <w:t>Year 5</w:t>
            </w:r>
          </w:p>
        </w:tc>
        <w:tc>
          <w:tcPr>
            <w:tcW w:w="644" w:type="pct"/>
            <w:noWrap/>
          </w:tcPr>
          <w:p w14:paraId="32F39F87" w14:textId="77777777" w:rsidR="000C6AF3" w:rsidRPr="00C535C5" w:rsidRDefault="000C6AF3" w:rsidP="00453A15">
            <w:pPr>
              <w:pStyle w:val="KMC16-Tablecontent"/>
              <w:keepNext/>
              <w:keepLines/>
              <w:spacing w:before="0" w:after="0"/>
              <w:jc w:val="center"/>
              <w:rPr>
                <w:b/>
                <w:color w:val="auto"/>
                <w:lang w:val="en-AU"/>
              </w:rPr>
            </w:pPr>
            <w:r w:rsidRPr="005102BE">
              <w:rPr>
                <w:lang w:val="en-AU"/>
              </w:rPr>
              <w:t>Year 6</w:t>
            </w:r>
          </w:p>
        </w:tc>
      </w:tr>
      <w:tr w:rsidR="005A35DF" w:rsidRPr="00E4592D" w14:paraId="78FC8566" w14:textId="77777777" w:rsidTr="005A35DF">
        <w:trPr>
          <w:trHeight w:val="255"/>
        </w:trPr>
        <w:tc>
          <w:tcPr>
            <w:tcW w:w="1175" w:type="pct"/>
            <w:noWrap/>
            <w:vAlign w:val="center"/>
            <w:hideMark/>
          </w:tcPr>
          <w:p w14:paraId="5A82F10D" w14:textId="7EBC0E08" w:rsidR="000C6AF3" w:rsidRPr="004A478D" w:rsidRDefault="000C6AF3" w:rsidP="00453A15">
            <w:pPr>
              <w:pStyle w:val="KMC16-Tablecontent"/>
              <w:keepNext/>
              <w:keepLines/>
              <w:spacing w:before="0" w:after="0"/>
              <w:rPr>
                <w:b/>
                <w:lang w:val="en-AU"/>
              </w:rPr>
            </w:pPr>
            <w:r w:rsidRPr="004A478D">
              <w:rPr>
                <w:b/>
                <w:lang w:val="en-AU"/>
              </w:rPr>
              <w:t xml:space="preserve">FSL </w:t>
            </w:r>
            <w:r w:rsidR="00757390">
              <w:rPr>
                <w:b/>
                <w:lang w:val="en-AU"/>
              </w:rPr>
              <w:t>u</w:t>
            </w:r>
            <w:r w:rsidRPr="004A478D">
              <w:rPr>
                <w:b/>
                <w:lang w:val="en-AU"/>
              </w:rPr>
              <w:t>se</w:t>
            </w:r>
          </w:p>
        </w:tc>
        <w:tc>
          <w:tcPr>
            <w:tcW w:w="606" w:type="pct"/>
            <w:noWrap/>
          </w:tcPr>
          <w:p w14:paraId="6C6677AE" w14:textId="77777777" w:rsidR="000C6AF3" w:rsidRPr="00C535C5" w:rsidRDefault="000C6AF3" w:rsidP="00453A15">
            <w:pPr>
              <w:pStyle w:val="KMC16-Tablecontent"/>
              <w:keepNext/>
              <w:keepLines/>
              <w:spacing w:before="0" w:after="0"/>
              <w:jc w:val="center"/>
              <w:rPr>
                <w:b/>
                <w:color w:val="auto"/>
                <w:lang w:val="en-AU"/>
              </w:rPr>
            </w:pPr>
          </w:p>
        </w:tc>
        <w:tc>
          <w:tcPr>
            <w:tcW w:w="644" w:type="pct"/>
            <w:noWrap/>
          </w:tcPr>
          <w:p w14:paraId="320A46FF" w14:textId="77777777" w:rsidR="000C6AF3" w:rsidRPr="00C535C5" w:rsidRDefault="000C6AF3" w:rsidP="00453A15">
            <w:pPr>
              <w:pStyle w:val="KMC16-Tablecontent"/>
              <w:keepNext/>
              <w:keepLines/>
              <w:spacing w:before="0" w:after="0"/>
              <w:jc w:val="center"/>
              <w:rPr>
                <w:b/>
                <w:color w:val="auto"/>
                <w:lang w:val="en-AU"/>
              </w:rPr>
            </w:pPr>
          </w:p>
        </w:tc>
        <w:tc>
          <w:tcPr>
            <w:tcW w:w="644" w:type="pct"/>
            <w:noWrap/>
          </w:tcPr>
          <w:p w14:paraId="4F5276FB" w14:textId="77777777" w:rsidR="000C6AF3" w:rsidRPr="00C535C5" w:rsidRDefault="000C6AF3" w:rsidP="00453A15">
            <w:pPr>
              <w:pStyle w:val="KMC16-Tablecontent"/>
              <w:keepNext/>
              <w:keepLines/>
              <w:spacing w:before="0" w:after="0"/>
              <w:jc w:val="center"/>
              <w:rPr>
                <w:b/>
                <w:color w:val="auto"/>
                <w:lang w:val="en-AU"/>
              </w:rPr>
            </w:pPr>
          </w:p>
        </w:tc>
        <w:tc>
          <w:tcPr>
            <w:tcW w:w="644" w:type="pct"/>
            <w:noWrap/>
          </w:tcPr>
          <w:p w14:paraId="29AB6CED" w14:textId="77777777" w:rsidR="000C6AF3" w:rsidRPr="00C535C5" w:rsidRDefault="000C6AF3" w:rsidP="00453A15">
            <w:pPr>
              <w:pStyle w:val="KMC16-Tablecontent"/>
              <w:keepNext/>
              <w:keepLines/>
              <w:spacing w:before="0" w:after="0"/>
              <w:jc w:val="center"/>
              <w:rPr>
                <w:b/>
                <w:color w:val="auto"/>
                <w:lang w:val="en-AU"/>
              </w:rPr>
            </w:pPr>
          </w:p>
        </w:tc>
        <w:tc>
          <w:tcPr>
            <w:tcW w:w="644" w:type="pct"/>
            <w:noWrap/>
          </w:tcPr>
          <w:p w14:paraId="307E8F99" w14:textId="77777777" w:rsidR="000C6AF3" w:rsidRPr="00C535C5" w:rsidRDefault="000C6AF3" w:rsidP="00453A15">
            <w:pPr>
              <w:pStyle w:val="KMC16-Tablecontent"/>
              <w:keepNext/>
              <w:keepLines/>
              <w:spacing w:before="0" w:after="0"/>
              <w:jc w:val="center"/>
              <w:rPr>
                <w:b/>
                <w:color w:val="auto"/>
                <w:lang w:val="en-AU"/>
              </w:rPr>
            </w:pPr>
          </w:p>
        </w:tc>
        <w:tc>
          <w:tcPr>
            <w:tcW w:w="644" w:type="pct"/>
            <w:noWrap/>
          </w:tcPr>
          <w:p w14:paraId="0257AFB6" w14:textId="77777777" w:rsidR="000C6AF3" w:rsidRPr="00C535C5" w:rsidRDefault="000C6AF3" w:rsidP="00453A15">
            <w:pPr>
              <w:pStyle w:val="KMC16-Tablecontent"/>
              <w:keepNext/>
              <w:keepLines/>
              <w:spacing w:before="0" w:after="0"/>
              <w:jc w:val="center"/>
              <w:rPr>
                <w:b/>
                <w:color w:val="auto"/>
                <w:lang w:val="en-AU"/>
              </w:rPr>
            </w:pPr>
          </w:p>
        </w:tc>
      </w:tr>
      <w:tr w:rsidR="005A35DF" w:rsidRPr="00E4592D" w14:paraId="56787300" w14:textId="77777777" w:rsidTr="005A35DF">
        <w:trPr>
          <w:trHeight w:val="255"/>
        </w:trPr>
        <w:tc>
          <w:tcPr>
            <w:tcW w:w="1175" w:type="pct"/>
            <w:noWrap/>
            <w:vAlign w:val="bottom"/>
            <w:hideMark/>
          </w:tcPr>
          <w:p w14:paraId="0A968150" w14:textId="77777777" w:rsidR="000C6AF3" w:rsidRPr="004A478D" w:rsidRDefault="000C6AF3" w:rsidP="00453A15">
            <w:pPr>
              <w:pStyle w:val="KMC16-Tablecontent"/>
              <w:keepNext/>
              <w:keepLines/>
              <w:spacing w:before="0" w:after="0"/>
              <w:rPr>
                <w:lang w:val="en-AU"/>
              </w:rPr>
            </w:pPr>
            <w:r w:rsidRPr="004A478D">
              <w:rPr>
                <w:lang w:val="en-AU"/>
              </w:rPr>
              <w:t xml:space="preserve">Patients </w:t>
            </w:r>
          </w:p>
        </w:tc>
        <w:tc>
          <w:tcPr>
            <w:tcW w:w="606" w:type="pct"/>
            <w:noWrap/>
          </w:tcPr>
          <w:p w14:paraId="4AEB89CB" w14:textId="77777777" w:rsidR="000C6AF3" w:rsidRPr="00C535C5" w:rsidRDefault="000C6AF3" w:rsidP="00453A15">
            <w:pPr>
              <w:pStyle w:val="KMC16-Tablecontent"/>
              <w:keepNext/>
              <w:keepLines/>
              <w:spacing w:before="0" w:after="0"/>
              <w:jc w:val="right"/>
              <w:rPr>
                <w:color w:val="auto"/>
                <w:lang w:val="en-AU"/>
              </w:rPr>
            </w:pPr>
            <w:r w:rsidRPr="005102BE">
              <w:rPr>
                <w:lang w:val="en-AU"/>
              </w:rPr>
              <w:t xml:space="preserve"> 259,825 </w:t>
            </w:r>
          </w:p>
        </w:tc>
        <w:tc>
          <w:tcPr>
            <w:tcW w:w="644" w:type="pct"/>
            <w:noWrap/>
          </w:tcPr>
          <w:p w14:paraId="4911FF45" w14:textId="77777777" w:rsidR="000C6AF3" w:rsidRPr="00C535C5" w:rsidRDefault="000C6AF3" w:rsidP="00453A15">
            <w:pPr>
              <w:pStyle w:val="KMC16-Tablecontent"/>
              <w:keepNext/>
              <w:keepLines/>
              <w:spacing w:before="0" w:after="0"/>
              <w:jc w:val="right"/>
              <w:rPr>
                <w:color w:val="auto"/>
                <w:lang w:val="en-AU"/>
              </w:rPr>
            </w:pPr>
            <w:r w:rsidRPr="005102BE">
              <w:rPr>
                <w:lang w:val="en-AU"/>
              </w:rPr>
              <w:t xml:space="preserve"> 262,423 </w:t>
            </w:r>
          </w:p>
        </w:tc>
        <w:tc>
          <w:tcPr>
            <w:tcW w:w="644" w:type="pct"/>
            <w:noWrap/>
          </w:tcPr>
          <w:p w14:paraId="527AE1B1" w14:textId="77777777" w:rsidR="000C6AF3" w:rsidRPr="00C535C5" w:rsidRDefault="000C6AF3" w:rsidP="00453A15">
            <w:pPr>
              <w:pStyle w:val="KMC16-Tablecontent"/>
              <w:keepNext/>
              <w:keepLines/>
              <w:spacing w:before="0" w:after="0"/>
              <w:jc w:val="right"/>
              <w:rPr>
                <w:color w:val="auto"/>
                <w:lang w:val="en-AU"/>
              </w:rPr>
            </w:pPr>
            <w:r w:rsidRPr="005102BE">
              <w:rPr>
                <w:lang w:val="en-AU"/>
              </w:rPr>
              <w:t xml:space="preserve"> 265,048 </w:t>
            </w:r>
          </w:p>
        </w:tc>
        <w:tc>
          <w:tcPr>
            <w:tcW w:w="644" w:type="pct"/>
            <w:noWrap/>
          </w:tcPr>
          <w:p w14:paraId="4F312528" w14:textId="77777777" w:rsidR="000C6AF3" w:rsidRPr="00C535C5" w:rsidRDefault="000C6AF3" w:rsidP="00453A15">
            <w:pPr>
              <w:pStyle w:val="KMC16-Tablecontent"/>
              <w:keepNext/>
              <w:keepLines/>
              <w:spacing w:before="0" w:after="0"/>
              <w:jc w:val="right"/>
              <w:rPr>
                <w:color w:val="auto"/>
                <w:lang w:val="en-AU"/>
              </w:rPr>
            </w:pPr>
            <w:r w:rsidRPr="005102BE">
              <w:rPr>
                <w:lang w:val="en-AU"/>
              </w:rPr>
              <w:t xml:space="preserve"> 267,698 </w:t>
            </w:r>
          </w:p>
        </w:tc>
        <w:tc>
          <w:tcPr>
            <w:tcW w:w="644" w:type="pct"/>
            <w:noWrap/>
          </w:tcPr>
          <w:p w14:paraId="2B6B51EA" w14:textId="77777777" w:rsidR="000C6AF3" w:rsidRPr="00C535C5" w:rsidRDefault="000C6AF3" w:rsidP="00453A15">
            <w:pPr>
              <w:pStyle w:val="KMC16-Tablecontent"/>
              <w:keepNext/>
              <w:keepLines/>
              <w:spacing w:before="0" w:after="0"/>
              <w:jc w:val="right"/>
              <w:rPr>
                <w:color w:val="auto"/>
                <w:lang w:val="en-AU"/>
              </w:rPr>
            </w:pPr>
            <w:r w:rsidRPr="005102BE">
              <w:rPr>
                <w:lang w:val="en-AU"/>
              </w:rPr>
              <w:t xml:space="preserve"> 270,375 </w:t>
            </w:r>
          </w:p>
        </w:tc>
        <w:tc>
          <w:tcPr>
            <w:tcW w:w="644" w:type="pct"/>
            <w:noWrap/>
          </w:tcPr>
          <w:p w14:paraId="4F324471" w14:textId="77777777" w:rsidR="000C6AF3" w:rsidRPr="00C535C5" w:rsidRDefault="000C6AF3" w:rsidP="00453A15">
            <w:pPr>
              <w:pStyle w:val="KMC16-Tablecontent"/>
              <w:keepNext/>
              <w:keepLines/>
              <w:spacing w:before="0" w:after="0"/>
              <w:jc w:val="right"/>
              <w:rPr>
                <w:color w:val="auto"/>
                <w:lang w:val="en-AU"/>
              </w:rPr>
            </w:pPr>
            <w:r w:rsidRPr="005102BE">
              <w:rPr>
                <w:lang w:val="en-AU"/>
              </w:rPr>
              <w:t xml:space="preserve"> 273,079 </w:t>
            </w:r>
          </w:p>
        </w:tc>
      </w:tr>
      <w:tr w:rsidR="005A35DF" w:rsidRPr="00E4592D" w14:paraId="708F3280" w14:textId="77777777" w:rsidTr="005A35DF">
        <w:trPr>
          <w:trHeight w:val="255"/>
        </w:trPr>
        <w:tc>
          <w:tcPr>
            <w:tcW w:w="1175" w:type="pct"/>
            <w:noWrap/>
            <w:vAlign w:val="bottom"/>
            <w:hideMark/>
          </w:tcPr>
          <w:p w14:paraId="65E09992" w14:textId="77777777" w:rsidR="005A35DF" w:rsidRPr="004A478D" w:rsidRDefault="005A35DF" w:rsidP="00453A15">
            <w:pPr>
              <w:pStyle w:val="KMC16-Tablecontent"/>
              <w:keepNext/>
              <w:keepLines/>
              <w:spacing w:before="0" w:after="0"/>
              <w:rPr>
                <w:lang w:val="en-AU"/>
              </w:rPr>
            </w:pPr>
            <w:r w:rsidRPr="004A478D">
              <w:rPr>
                <w:lang w:val="en-AU"/>
              </w:rPr>
              <w:t>Uptake %</w:t>
            </w:r>
          </w:p>
        </w:tc>
        <w:tc>
          <w:tcPr>
            <w:tcW w:w="606" w:type="pct"/>
            <w:noWrap/>
          </w:tcPr>
          <w:p w14:paraId="74705652" w14:textId="2E8E6F77" w:rsidR="005A35DF" w:rsidRPr="00E134A4" w:rsidRDefault="005A35DF" w:rsidP="00453A15">
            <w:pPr>
              <w:pStyle w:val="KMC16-Tablecontent"/>
              <w:keepNext/>
              <w:keepLines/>
              <w:spacing w:before="0" w:after="0"/>
              <w:jc w:val="right"/>
              <w:rPr>
                <w:color w:val="auto"/>
                <w:highlight w:val="yellow"/>
                <w:lang w:val="en-AU"/>
              </w:rPr>
            </w:pPr>
            <w:r w:rsidRPr="00FC3674">
              <w:rPr>
                <w:b/>
                <w:bCs/>
                <w:lang w:val="en-AU"/>
              </w:rPr>
              <w:t>Redacted</w:t>
            </w:r>
            <w:r>
              <w:rPr>
                <w:lang w:val="en-AU"/>
              </w:rPr>
              <w:t>%</w:t>
            </w:r>
          </w:p>
        </w:tc>
        <w:tc>
          <w:tcPr>
            <w:tcW w:w="644" w:type="pct"/>
            <w:noWrap/>
          </w:tcPr>
          <w:p w14:paraId="14AC714B" w14:textId="7DFB0284" w:rsidR="005A35DF" w:rsidRPr="00E134A4" w:rsidRDefault="005A35DF" w:rsidP="00453A15">
            <w:pPr>
              <w:pStyle w:val="KMC16-Tablecontent"/>
              <w:keepNext/>
              <w:keepLines/>
              <w:spacing w:before="0" w:after="0"/>
              <w:jc w:val="right"/>
              <w:rPr>
                <w:color w:val="auto"/>
                <w:highlight w:val="yellow"/>
                <w:lang w:val="en-AU"/>
              </w:rPr>
            </w:pPr>
            <w:r w:rsidRPr="00FC3674">
              <w:rPr>
                <w:b/>
                <w:bCs/>
                <w:lang w:val="en-AU"/>
              </w:rPr>
              <w:t>Redacted</w:t>
            </w:r>
            <w:r>
              <w:rPr>
                <w:lang w:val="en-AU"/>
              </w:rPr>
              <w:t>%</w:t>
            </w:r>
          </w:p>
        </w:tc>
        <w:tc>
          <w:tcPr>
            <w:tcW w:w="644" w:type="pct"/>
            <w:noWrap/>
          </w:tcPr>
          <w:p w14:paraId="3682F422" w14:textId="219C7293" w:rsidR="005A35DF" w:rsidRPr="00E134A4" w:rsidRDefault="005A35DF" w:rsidP="00453A15">
            <w:pPr>
              <w:pStyle w:val="KMC16-Tablecontent"/>
              <w:keepNext/>
              <w:keepLines/>
              <w:spacing w:before="0" w:after="0"/>
              <w:jc w:val="right"/>
              <w:rPr>
                <w:color w:val="auto"/>
                <w:highlight w:val="yellow"/>
                <w:lang w:val="en-AU"/>
              </w:rPr>
            </w:pPr>
            <w:r w:rsidRPr="00FC3674">
              <w:rPr>
                <w:b/>
                <w:bCs/>
                <w:lang w:val="en-AU"/>
              </w:rPr>
              <w:t>Redacted</w:t>
            </w:r>
            <w:r>
              <w:rPr>
                <w:lang w:val="en-AU"/>
              </w:rPr>
              <w:t>%</w:t>
            </w:r>
          </w:p>
        </w:tc>
        <w:tc>
          <w:tcPr>
            <w:tcW w:w="644" w:type="pct"/>
            <w:noWrap/>
          </w:tcPr>
          <w:p w14:paraId="58DC846E" w14:textId="09E4252E" w:rsidR="005A35DF" w:rsidRPr="00E134A4" w:rsidRDefault="005A35DF" w:rsidP="00453A15">
            <w:pPr>
              <w:pStyle w:val="KMC16-Tablecontent"/>
              <w:keepNext/>
              <w:keepLines/>
              <w:spacing w:before="0" w:after="0"/>
              <w:jc w:val="right"/>
              <w:rPr>
                <w:color w:val="auto"/>
                <w:highlight w:val="yellow"/>
                <w:lang w:val="en-AU"/>
              </w:rPr>
            </w:pPr>
            <w:r w:rsidRPr="00FC3674">
              <w:rPr>
                <w:b/>
                <w:bCs/>
                <w:lang w:val="en-AU"/>
              </w:rPr>
              <w:t>Redacted</w:t>
            </w:r>
            <w:r>
              <w:rPr>
                <w:lang w:val="en-AU"/>
              </w:rPr>
              <w:t>%</w:t>
            </w:r>
          </w:p>
        </w:tc>
        <w:tc>
          <w:tcPr>
            <w:tcW w:w="644" w:type="pct"/>
            <w:noWrap/>
          </w:tcPr>
          <w:p w14:paraId="1ED16620" w14:textId="10731CE5" w:rsidR="005A35DF" w:rsidRPr="00E134A4" w:rsidRDefault="005A35DF" w:rsidP="00453A15">
            <w:pPr>
              <w:pStyle w:val="KMC16-Tablecontent"/>
              <w:keepNext/>
              <w:keepLines/>
              <w:spacing w:before="0" w:after="0"/>
              <w:jc w:val="right"/>
              <w:rPr>
                <w:color w:val="auto"/>
                <w:highlight w:val="yellow"/>
                <w:lang w:val="en-AU"/>
              </w:rPr>
            </w:pPr>
            <w:r w:rsidRPr="00FC3674">
              <w:rPr>
                <w:b/>
                <w:bCs/>
                <w:lang w:val="en-AU"/>
              </w:rPr>
              <w:t>Redacted</w:t>
            </w:r>
            <w:r>
              <w:rPr>
                <w:lang w:val="en-AU"/>
              </w:rPr>
              <w:t>%</w:t>
            </w:r>
          </w:p>
        </w:tc>
        <w:tc>
          <w:tcPr>
            <w:tcW w:w="644" w:type="pct"/>
            <w:noWrap/>
          </w:tcPr>
          <w:p w14:paraId="62479E42" w14:textId="52FEF5A1" w:rsidR="005A35DF" w:rsidRPr="00E134A4" w:rsidRDefault="005A35DF" w:rsidP="00453A15">
            <w:pPr>
              <w:pStyle w:val="KMC16-Tablecontent"/>
              <w:keepNext/>
              <w:keepLines/>
              <w:spacing w:before="0" w:after="0"/>
              <w:jc w:val="right"/>
              <w:rPr>
                <w:color w:val="auto"/>
                <w:highlight w:val="yellow"/>
                <w:lang w:val="en-AU"/>
              </w:rPr>
            </w:pPr>
            <w:r w:rsidRPr="00FC3674">
              <w:rPr>
                <w:b/>
                <w:bCs/>
                <w:lang w:val="en-AU"/>
              </w:rPr>
              <w:t>Redacted</w:t>
            </w:r>
            <w:r>
              <w:rPr>
                <w:lang w:val="en-AU"/>
              </w:rPr>
              <w:t>%</w:t>
            </w:r>
          </w:p>
        </w:tc>
      </w:tr>
      <w:tr w:rsidR="005A35DF" w:rsidRPr="00E4592D" w14:paraId="5E3B138C" w14:textId="77777777" w:rsidTr="005A35DF">
        <w:trPr>
          <w:trHeight w:val="255"/>
        </w:trPr>
        <w:tc>
          <w:tcPr>
            <w:tcW w:w="1175" w:type="pct"/>
            <w:vAlign w:val="center"/>
            <w:hideMark/>
          </w:tcPr>
          <w:p w14:paraId="40914140" w14:textId="77777777" w:rsidR="000C6AF3" w:rsidRPr="004A478D" w:rsidRDefault="000C6AF3" w:rsidP="00453A15">
            <w:pPr>
              <w:pStyle w:val="KMC16-Tablecontent"/>
              <w:keepNext/>
              <w:keepLines/>
              <w:spacing w:before="0" w:after="0"/>
              <w:rPr>
                <w:color w:val="auto"/>
                <w:lang w:val="en-AU"/>
              </w:rPr>
            </w:pPr>
            <w:r w:rsidRPr="004A478D">
              <w:rPr>
                <w:lang w:val="en-AU"/>
              </w:rPr>
              <w:t>Number of patients taking up FSL</w:t>
            </w:r>
          </w:p>
        </w:tc>
        <w:tc>
          <w:tcPr>
            <w:tcW w:w="606" w:type="pct"/>
            <w:noWrap/>
          </w:tcPr>
          <w:p w14:paraId="1F810BB2" w14:textId="1A21FA95" w:rsidR="000C6AF3" w:rsidRPr="005A35DF" w:rsidRDefault="005A35DF" w:rsidP="00453A15">
            <w:pPr>
              <w:pStyle w:val="KMC16-Tablecontent"/>
              <w:keepNext/>
              <w:keepLines/>
              <w:spacing w:before="0" w:after="0"/>
              <w:jc w:val="right"/>
              <w:rPr>
                <w:color w:val="auto"/>
                <w:lang w:val="en-AU"/>
              </w:rPr>
            </w:pPr>
            <w:r w:rsidRPr="005A35DF">
              <w:rPr>
                <w:b/>
                <w:bCs/>
                <w:lang w:val="en-AU"/>
              </w:rPr>
              <w:t>Redacted</w:t>
            </w:r>
            <w:r w:rsidR="00864FF0" w:rsidRPr="00B156D1">
              <w:rPr>
                <w:vertAlign w:val="superscript"/>
                <w:lang w:val="en-AU"/>
              </w:rPr>
              <w:t>1</w:t>
            </w:r>
            <w:r w:rsidR="000C6AF3" w:rsidRPr="005A35DF">
              <w:rPr>
                <w:lang w:val="en-AU"/>
              </w:rPr>
              <w:t xml:space="preserve"> </w:t>
            </w:r>
          </w:p>
        </w:tc>
        <w:tc>
          <w:tcPr>
            <w:tcW w:w="644" w:type="pct"/>
            <w:noWrap/>
          </w:tcPr>
          <w:p w14:paraId="34AA5E2B" w14:textId="2496D87C" w:rsidR="000C6AF3" w:rsidRPr="005A35DF" w:rsidRDefault="005A35DF" w:rsidP="00453A15">
            <w:pPr>
              <w:pStyle w:val="KMC16-Tablecontent"/>
              <w:keepNext/>
              <w:keepLines/>
              <w:spacing w:before="0" w:after="0"/>
              <w:jc w:val="right"/>
              <w:rPr>
                <w:color w:val="auto"/>
                <w:lang w:val="en-AU"/>
              </w:rPr>
            </w:pPr>
            <w:r w:rsidRPr="005A35DF">
              <w:rPr>
                <w:b/>
                <w:bCs/>
                <w:lang w:val="en-AU"/>
              </w:rPr>
              <w:t>Redacted</w:t>
            </w:r>
            <w:r w:rsidR="00864FF0" w:rsidRPr="00E134A4">
              <w:rPr>
                <w:vertAlign w:val="superscript"/>
                <w:lang w:val="en-AU"/>
              </w:rPr>
              <w:t>2</w:t>
            </w:r>
            <w:r w:rsidR="000C6AF3" w:rsidRPr="005A35DF">
              <w:rPr>
                <w:lang w:val="en-AU"/>
              </w:rPr>
              <w:t xml:space="preserve"> </w:t>
            </w:r>
          </w:p>
        </w:tc>
        <w:tc>
          <w:tcPr>
            <w:tcW w:w="644" w:type="pct"/>
            <w:noWrap/>
          </w:tcPr>
          <w:p w14:paraId="06EB5B6F" w14:textId="49FBC2EC" w:rsidR="000C6AF3" w:rsidRPr="005A35DF" w:rsidRDefault="005A35DF" w:rsidP="00453A15">
            <w:pPr>
              <w:pStyle w:val="KMC16-Tablecontent"/>
              <w:keepNext/>
              <w:keepLines/>
              <w:spacing w:before="0" w:after="0"/>
              <w:jc w:val="right"/>
              <w:rPr>
                <w:color w:val="auto"/>
                <w:lang w:val="en-AU"/>
              </w:rPr>
            </w:pPr>
            <w:r w:rsidRPr="005A35DF">
              <w:rPr>
                <w:b/>
                <w:bCs/>
                <w:lang w:val="en-AU"/>
              </w:rPr>
              <w:t>Redacted</w:t>
            </w:r>
            <w:r w:rsidR="00CF5CB6" w:rsidRPr="00E134A4">
              <w:rPr>
                <w:vertAlign w:val="superscript"/>
                <w:lang w:val="en-AU"/>
              </w:rPr>
              <w:t>3</w:t>
            </w:r>
            <w:r w:rsidR="000C6AF3" w:rsidRPr="005A35DF">
              <w:rPr>
                <w:lang w:val="en-AU"/>
              </w:rPr>
              <w:t xml:space="preserve"> </w:t>
            </w:r>
          </w:p>
        </w:tc>
        <w:tc>
          <w:tcPr>
            <w:tcW w:w="644" w:type="pct"/>
            <w:noWrap/>
          </w:tcPr>
          <w:p w14:paraId="0E1F7390" w14:textId="5A71A236" w:rsidR="000C6AF3" w:rsidRPr="005A35DF" w:rsidRDefault="005A35DF" w:rsidP="00453A15">
            <w:pPr>
              <w:pStyle w:val="KMC16-Tablecontent"/>
              <w:keepNext/>
              <w:keepLines/>
              <w:spacing w:before="0" w:after="0"/>
              <w:jc w:val="right"/>
              <w:rPr>
                <w:color w:val="auto"/>
                <w:lang w:val="en-AU"/>
              </w:rPr>
            </w:pPr>
            <w:r w:rsidRPr="005A35DF">
              <w:rPr>
                <w:b/>
                <w:bCs/>
                <w:lang w:val="en-AU"/>
              </w:rPr>
              <w:t>Redacted</w:t>
            </w:r>
            <w:r w:rsidR="00CF5CB6" w:rsidRPr="00B156D1">
              <w:rPr>
                <w:vertAlign w:val="superscript"/>
                <w:lang w:val="en-AU"/>
              </w:rPr>
              <w:t>4</w:t>
            </w:r>
            <w:r w:rsidR="000C6AF3" w:rsidRPr="005A35DF">
              <w:rPr>
                <w:lang w:val="en-AU"/>
              </w:rPr>
              <w:t xml:space="preserve"> </w:t>
            </w:r>
          </w:p>
        </w:tc>
        <w:tc>
          <w:tcPr>
            <w:tcW w:w="644" w:type="pct"/>
            <w:noWrap/>
          </w:tcPr>
          <w:p w14:paraId="67A124AA" w14:textId="5468E096" w:rsidR="000C6AF3" w:rsidRPr="005A35DF" w:rsidRDefault="000C6AF3" w:rsidP="00453A15">
            <w:pPr>
              <w:pStyle w:val="KMC16-Tablecontent"/>
              <w:keepNext/>
              <w:keepLines/>
              <w:spacing w:before="0" w:after="0"/>
              <w:jc w:val="right"/>
              <w:rPr>
                <w:color w:val="auto"/>
                <w:lang w:val="en-AU"/>
              </w:rPr>
            </w:pPr>
            <w:r w:rsidRPr="005A35DF">
              <w:rPr>
                <w:lang w:val="en-AU"/>
              </w:rPr>
              <w:t xml:space="preserve"> </w:t>
            </w:r>
            <w:r w:rsidR="005A35DF" w:rsidRPr="005A35DF">
              <w:rPr>
                <w:b/>
                <w:bCs/>
                <w:lang w:val="en-AU"/>
              </w:rPr>
              <w:t>Redacted</w:t>
            </w:r>
            <w:r w:rsidR="00CF5CB6" w:rsidRPr="00E134A4">
              <w:rPr>
                <w:vertAlign w:val="superscript"/>
                <w:lang w:val="en-AU"/>
              </w:rPr>
              <w:t>4</w:t>
            </w:r>
            <w:r w:rsidRPr="005A35DF">
              <w:rPr>
                <w:lang w:val="en-AU"/>
              </w:rPr>
              <w:t xml:space="preserve"> </w:t>
            </w:r>
          </w:p>
        </w:tc>
        <w:tc>
          <w:tcPr>
            <w:tcW w:w="644" w:type="pct"/>
            <w:noWrap/>
          </w:tcPr>
          <w:p w14:paraId="2C08874B" w14:textId="567CB4B4" w:rsidR="000C6AF3" w:rsidRPr="005A35DF" w:rsidRDefault="005A35DF" w:rsidP="00453A15">
            <w:pPr>
              <w:pStyle w:val="KMC16-Tablecontent"/>
              <w:keepNext/>
              <w:keepLines/>
              <w:spacing w:before="0" w:after="0"/>
              <w:jc w:val="right"/>
              <w:rPr>
                <w:color w:val="auto"/>
                <w:lang w:val="en-AU"/>
              </w:rPr>
            </w:pPr>
            <w:r w:rsidRPr="005A35DF">
              <w:rPr>
                <w:b/>
                <w:bCs/>
                <w:lang w:val="en-AU"/>
              </w:rPr>
              <w:t>Redacted</w:t>
            </w:r>
            <w:r w:rsidR="00CF5CB6" w:rsidRPr="00B156D1">
              <w:rPr>
                <w:vertAlign w:val="superscript"/>
                <w:lang w:val="en-AU"/>
              </w:rPr>
              <w:t>4</w:t>
            </w:r>
            <w:r w:rsidR="000C6AF3" w:rsidRPr="005A35DF">
              <w:rPr>
                <w:lang w:val="en-AU"/>
              </w:rPr>
              <w:t xml:space="preserve"> </w:t>
            </w:r>
          </w:p>
        </w:tc>
      </w:tr>
      <w:tr w:rsidR="005A35DF" w:rsidRPr="00E4592D" w14:paraId="580D0A7D" w14:textId="77777777" w:rsidTr="005A35DF">
        <w:trPr>
          <w:trHeight w:val="255"/>
        </w:trPr>
        <w:tc>
          <w:tcPr>
            <w:tcW w:w="1175" w:type="pct"/>
            <w:noWrap/>
            <w:vAlign w:val="bottom"/>
            <w:hideMark/>
          </w:tcPr>
          <w:p w14:paraId="1B69D0C1" w14:textId="77777777" w:rsidR="005A35DF" w:rsidRPr="004A478D" w:rsidRDefault="005A35DF" w:rsidP="00453A15">
            <w:pPr>
              <w:pStyle w:val="KMC16-Tablecontent"/>
              <w:keepNext/>
              <w:keepLines/>
              <w:spacing w:before="0" w:after="0"/>
              <w:rPr>
                <w:lang w:val="en-AU"/>
              </w:rPr>
            </w:pPr>
            <w:r w:rsidRPr="004A478D">
              <w:rPr>
                <w:lang w:val="en-AU"/>
              </w:rPr>
              <w:t>Number of FSL 2 sensors (1 sensor/pack)</w:t>
            </w:r>
          </w:p>
        </w:tc>
        <w:tc>
          <w:tcPr>
            <w:tcW w:w="606" w:type="pct"/>
            <w:noWrap/>
          </w:tcPr>
          <w:p w14:paraId="457A4F5C" w14:textId="092D51E8" w:rsidR="005A35DF" w:rsidRPr="005A35DF" w:rsidRDefault="005A35DF" w:rsidP="00453A15">
            <w:pPr>
              <w:pStyle w:val="KMC16-Tablecontent"/>
              <w:keepNext/>
              <w:keepLines/>
              <w:spacing w:before="0" w:after="0"/>
              <w:jc w:val="right"/>
              <w:rPr>
                <w:color w:val="auto"/>
                <w:lang w:val="en-AU"/>
              </w:rPr>
            </w:pPr>
            <w:r w:rsidRPr="005A35DF">
              <w:rPr>
                <w:b/>
                <w:bCs/>
                <w:lang w:val="en-AU"/>
              </w:rPr>
              <w:t>Redacted</w:t>
            </w:r>
          </w:p>
        </w:tc>
        <w:tc>
          <w:tcPr>
            <w:tcW w:w="644" w:type="pct"/>
            <w:noWrap/>
          </w:tcPr>
          <w:p w14:paraId="00434EB3" w14:textId="2AABF611" w:rsidR="005A35DF" w:rsidRPr="005A35DF" w:rsidRDefault="005A35DF" w:rsidP="00453A15">
            <w:pPr>
              <w:pStyle w:val="KMC16-Tablecontent"/>
              <w:keepNext/>
              <w:keepLines/>
              <w:spacing w:before="0" w:after="0"/>
              <w:jc w:val="right"/>
              <w:rPr>
                <w:color w:val="auto"/>
                <w:lang w:val="en-AU"/>
              </w:rPr>
            </w:pPr>
            <w:r w:rsidRPr="005A35DF">
              <w:rPr>
                <w:b/>
                <w:bCs/>
                <w:lang w:val="en-AU"/>
              </w:rPr>
              <w:t>Redacted</w:t>
            </w:r>
          </w:p>
        </w:tc>
        <w:tc>
          <w:tcPr>
            <w:tcW w:w="644" w:type="pct"/>
            <w:noWrap/>
          </w:tcPr>
          <w:p w14:paraId="312EC713" w14:textId="2D27AE06" w:rsidR="005A35DF" w:rsidRPr="005A35DF" w:rsidRDefault="005A35DF" w:rsidP="00453A15">
            <w:pPr>
              <w:pStyle w:val="KMC16-Tablecontent"/>
              <w:keepNext/>
              <w:keepLines/>
              <w:spacing w:before="0" w:after="0"/>
              <w:jc w:val="right"/>
              <w:rPr>
                <w:color w:val="auto"/>
                <w:lang w:val="en-AU"/>
              </w:rPr>
            </w:pPr>
            <w:r w:rsidRPr="005A35DF">
              <w:rPr>
                <w:b/>
                <w:bCs/>
                <w:lang w:val="en-AU"/>
              </w:rPr>
              <w:t>Redacted</w:t>
            </w:r>
          </w:p>
        </w:tc>
        <w:tc>
          <w:tcPr>
            <w:tcW w:w="644" w:type="pct"/>
            <w:noWrap/>
          </w:tcPr>
          <w:p w14:paraId="6A97F786" w14:textId="6D95A8F4" w:rsidR="005A35DF" w:rsidRPr="005A35DF" w:rsidRDefault="005A35DF" w:rsidP="00453A15">
            <w:pPr>
              <w:pStyle w:val="KMC16-Tablecontent"/>
              <w:keepNext/>
              <w:keepLines/>
              <w:spacing w:before="0" w:after="0"/>
              <w:jc w:val="right"/>
              <w:rPr>
                <w:color w:val="auto"/>
                <w:lang w:val="en-AU"/>
              </w:rPr>
            </w:pPr>
            <w:r w:rsidRPr="005A35DF">
              <w:rPr>
                <w:b/>
                <w:bCs/>
                <w:lang w:val="en-AU"/>
              </w:rPr>
              <w:t>Redacted</w:t>
            </w:r>
          </w:p>
        </w:tc>
        <w:tc>
          <w:tcPr>
            <w:tcW w:w="644" w:type="pct"/>
            <w:noWrap/>
          </w:tcPr>
          <w:p w14:paraId="62FFACD0" w14:textId="02835B0B" w:rsidR="005A35DF" w:rsidRPr="005A35DF" w:rsidRDefault="005A35DF" w:rsidP="00453A15">
            <w:pPr>
              <w:pStyle w:val="KMC16-Tablecontent"/>
              <w:keepNext/>
              <w:keepLines/>
              <w:spacing w:before="0" w:after="0"/>
              <w:jc w:val="right"/>
              <w:rPr>
                <w:color w:val="auto"/>
                <w:lang w:val="en-AU"/>
              </w:rPr>
            </w:pPr>
            <w:r w:rsidRPr="005A35DF">
              <w:rPr>
                <w:b/>
                <w:bCs/>
                <w:lang w:val="en-AU"/>
              </w:rPr>
              <w:t>Redacted</w:t>
            </w:r>
          </w:p>
        </w:tc>
        <w:tc>
          <w:tcPr>
            <w:tcW w:w="644" w:type="pct"/>
            <w:noWrap/>
          </w:tcPr>
          <w:p w14:paraId="05959F4D" w14:textId="39DFB893" w:rsidR="005A35DF" w:rsidRPr="005A35DF" w:rsidRDefault="005A35DF" w:rsidP="00453A15">
            <w:pPr>
              <w:pStyle w:val="KMC16-Tablecontent"/>
              <w:keepNext/>
              <w:keepLines/>
              <w:spacing w:before="0" w:after="0"/>
              <w:jc w:val="right"/>
              <w:rPr>
                <w:color w:val="auto"/>
                <w:lang w:val="en-AU"/>
              </w:rPr>
            </w:pPr>
            <w:r w:rsidRPr="005A35DF">
              <w:rPr>
                <w:b/>
                <w:bCs/>
                <w:lang w:val="en-AU"/>
              </w:rPr>
              <w:t>Redacted</w:t>
            </w:r>
          </w:p>
        </w:tc>
      </w:tr>
      <w:tr w:rsidR="005A35DF" w:rsidRPr="00E4592D" w14:paraId="1C345DA9" w14:textId="77777777" w:rsidTr="005A35DF">
        <w:trPr>
          <w:trHeight w:val="255"/>
        </w:trPr>
        <w:tc>
          <w:tcPr>
            <w:tcW w:w="1175" w:type="pct"/>
            <w:noWrap/>
            <w:vAlign w:val="bottom"/>
            <w:hideMark/>
          </w:tcPr>
          <w:p w14:paraId="07583C20" w14:textId="0F734C2F" w:rsidR="000C6AF3" w:rsidRPr="004A478D" w:rsidRDefault="000C6AF3" w:rsidP="00453A15">
            <w:pPr>
              <w:pStyle w:val="KMC16-Tablecontent"/>
              <w:keepNext/>
              <w:keepLines/>
              <w:spacing w:before="0" w:after="0"/>
              <w:rPr>
                <w:b/>
                <w:lang w:val="en-AU"/>
              </w:rPr>
            </w:pPr>
            <w:r w:rsidRPr="004A478D">
              <w:rPr>
                <w:b/>
                <w:lang w:val="en-AU"/>
              </w:rPr>
              <w:t xml:space="preserve">Total </w:t>
            </w:r>
            <w:r w:rsidR="00757390">
              <w:rPr>
                <w:b/>
                <w:lang w:val="en-AU"/>
              </w:rPr>
              <w:t>c</w:t>
            </w:r>
            <w:r w:rsidRPr="004A478D">
              <w:rPr>
                <w:b/>
                <w:lang w:val="en-AU"/>
              </w:rPr>
              <w:t>ost of FSL</w:t>
            </w:r>
          </w:p>
        </w:tc>
        <w:tc>
          <w:tcPr>
            <w:tcW w:w="606" w:type="pct"/>
            <w:noWrap/>
          </w:tcPr>
          <w:p w14:paraId="5F073B84" w14:textId="6A8B9FF5"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5A35DF" w:rsidRPr="005A35DF">
              <w:rPr>
                <w:b/>
                <w:bCs/>
                <w:lang w:val="en-AU"/>
              </w:rPr>
              <w:t>Redacted</w:t>
            </w:r>
            <w:r w:rsidR="00700518" w:rsidRPr="00E134A4">
              <w:rPr>
                <w:vertAlign w:val="superscript"/>
                <w:lang w:val="en-AU"/>
              </w:rPr>
              <w:t>5</w:t>
            </w:r>
          </w:p>
        </w:tc>
        <w:tc>
          <w:tcPr>
            <w:tcW w:w="644" w:type="pct"/>
            <w:noWrap/>
          </w:tcPr>
          <w:p w14:paraId="33831105" w14:textId="098467ED"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5A35DF" w:rsidRPr="005A35DF">
              <w:rPr>
                <w:b/>
                <w:bCs/>
                <w:lang w:val="en-AU"/>
              </w:rPr>
              <w:t>Redacted</w:t>
            </w:r>
            <w:r w:rsidR="00E538CF" w:rsidRPr="00E134A4">
              <w:rPr>
                <w:vertAlign w:val="superscript"/>
                <w:lang w:val="en-AU"/>
              </w:rPr>
              <w:t>6</w:t>
            </w:r>
          </w:p>
        </w:tc>
        <w:tc>
          <w:tcPr>
            <w:tcW w:w="644" w:type="pct"/>
            <w:noWrap/>
          </w:tcPr>
          <w:p w14:paraId="4630AD08" w14:textId="3793B47B"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5A35DF" w:rsidRPr="005A35DF">
              <w:rPr>
                <w:b/>
                <w:bCs/>
                <w:lang w:val="en-AU"/>
              </w:rPr>
              <w:t>Redacted</w:t>
            </w:r>
            <w:r w:rsidR="00E538CF" w:rsidRPr="00E134A4">
              <w:rPr>
                <w:vertAlign w:val="superscript"/>
                <w:lang w:val="en-AU"/>
              </w:rPr>
              <w:t>7</w:t>
            </w:r>
          </w:p>
        </w:tc>
        <w:tc>
          <w:tcPr>
            <w:tcW w:w="644" w:type="pct"/>
            <w:noWrap/>
          </w:tcPr>
          <w:p w14:paraId="546AD8EE" w14:textId="30EE920D"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5A35DF" w:rsidRPr="005A35DF">
              <w:rPr>
                <w:b/>
                <w:bCs/>
                <w:lang w:val="en-AU"/>
              </w:rPr>
              <w:t>Redacted</w:t>
            </w:r>
            <w:r w:rsidR="00E538CF" w:rsidRPr="00E134A4">
              <w:rPr>
                <w:vertAlign w:val="superscript"/>
                <w:lang w:val="en-AU"/>
              </w:rPr>
              <w:t>7</w:t>
            </w:r>
          </w:p>
        </w:tc>
        <w:tc>
          <w:tcPr>
            <w:tcW w:w="644" w:type="pct"/>
            <w:noWrap/>
          </w:tcPr>
          <w:p w14:paraId="2211182D" w14:textId="18BE2E76"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5A35DF" w:rsidRPr="005A35DF">
              <w:rPr>
                <w:b/>
                <w:bCs/>
                <w:lang w:val="en-AU"/>
              </w:rPr>
              <w:t>Redacted</w:t>
            </w:r>
            <w:r w:rsidR="00E538CF" w:rsidRPr="00E134A4">
              <w:rPr>
                <w:vertAlign w:val="superscript"/>
                <w:lang w:val="en-AU"/>
              </w:rPr>
              <w:t>7</w:t>
            </w:r>
          </w:p>
        </w:tc>
        <w:tc>
          <w:tcPr>
            <w:tcW w:w="644" w:type="pct"/>
            <w:noWrap/>
          </w:tcPr>
          <w:p w14:paraId="04D9378A" w14:textId="3B097161"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5A35DF" w:rsidRPr="005A35DF">
              <w:rPr>
                <w:b/>
                <w:bCs/>
                <w:lang w:val="en-AU"/>
              </w:rPr>
              <w:t>Redacted</w:t>
            </w:r>
            <w:r w:rsidR="00E538CF" w:rsidRPr="00E134A4">
              <w:rPr>
                <w:vertAlign w:val="superscript"/>
                <w:lang w:val="en-AU"/>
              </w:rPr>
              <w:t>7</w:t>
            </w:r>
          </w:p>
        </w:tc>
      </w:tr>
      <w:tr w:rsidR="005A35DF" w:rsidRPr="00E4592D" w14:paraId="44701393" w14:textId="77777777" w:rsidTr="005A35DF">
        <w:trPr>
          <w:trHeight w:val="765"/>
        </w:trPr>
        <w:tc>
          <w:tcPr>
            <w:tcW w:w="1175" w:type="pct"/>
            <w:vAlign w:val="center"/>
            <w:hideMark/>
          </w:tcPr>
          <w:p w14:paraId="1FF9DC89" w14:textId="77777777" w:rsidR="000C6AF3" w:rsidRPr="004A478D" w:rsidRDefault="000C6AF3" w:rsidP="00453A15">
            <w:pPr>
              <w:pStyle w:val="KMC16-Tablecontent"/>
              <w:keepNext/>
              <w:keepLines/>
              <w:spacing w:before="0" w:after="0"/>
              <w:rPr>
                <w:i/>
                <w:lang w:val="en-AU"/>
              </w:rPr>
            </w:pPr>
            <w:r w:rsidRPr="004A478D">
              <w:rPr>
                <w:i/>
                <w:lang w:val="en-AU"/>
              </w:rPr>
              <w:t>less cost offset (patient contributions, applies to 30% (or 27%) of population who are general patients, the remaining with concession pay $0 contribution)</w:t>
            </w:r>
          </w:p>
        </w:tc>
        <w:tc>
          <w:tcPr>
            <w:tcW w:w="606" w:type="pct"/>
            <w:noWrap/>
          </w:tcPr>
          <w:p w14:paraId="4F8E39D4" w14:textId="6773D0DF"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5A35DF" w:rsidRPr="005A35DF">
              <w:rPr>
                <w:b/>
                <w:bCs/>
                <w:lang w:val="en-AU"/>
              </w:rPr>
              <w:t>Redacted</w:t>
            </w:r>
            <w:r w:rsidR="00E538CF" w:rsidRPr="00E134A4">
              <w:rPr>
                <w:vertAlign w:val="superscript"/>
                <w:lang w:val="en-AU"/>
              </w:rPr>
              <w:t>8</w:t>
            </w:r>
          </w:p>
        </w:tc>
        <w:tc>
          <w:tcPr>
            <w:tcW w:w="644" w:type="pct"/>
            <w:noWrap/>
          </w:tcPr>
          <w:p w14:paraId="1E4D4D7D" w14:textId="6120D66C"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5A35DF" w:rsidRPr="005A35DF">
              <w:rPr>
                <w:b/>
                <w:bCs/>
                <w:lang w:val="en-AU"/>
              </w:rPr>
              <w:t>Redacted</w:t>
            </w:r>
            <w:r w:rsidR="00E538CF" w:rsidRPr="00E134A4">
              <w:rPr>
                <w:vertAlign w:val="superscript"/>
                <w:lang w:val="en-AU"/>
              </w:rPr>
              <w:t>8</w:t>
            </w:r>
          </w:p>
        </w:tc>
        <w:tc>
          <w:tcPr>
            <w:tcW w:w="644" w:type="pct"/>
            <w:noWrap/>
          </w:tcPr>
          <w:p w14:paraId="16A2753A" w14:textId="43CEDE27"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5A35DF" w:rsidRPr="005A35DF">
              <w:rPr>
                <w:b/>
                <w:bCs/>
                <w:lang w:val="en-AU"/>
              </w:rPr>
              <w:t>Redacted</w:t>
            </w:r>
            <w:r w:rsidR="00E538CF" w:rsidRPr="00E134A4">
              <w:rPr>
                <w:vertAlign w:val="superscript"/>
                <w:lang w:val="en-AU"/>
              </w:rPr>
              <w:t>8</w:t>
            </w:r>
          </w:p>
        </w:tc>
        <w:tc>
          <w:tcPr>
            <w:tcW w:w="644" w:type="pct"/>
            <w:noWrap/>
          </w:tcPr>
          <w:p w14:paraId="7177EA1D" w14:textId="722D4DBD"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5A35DF" w:rsidRPr="005A35DF">
              <w:rPr>
                <w:b/>
                <w:bCs/>
                <w:lang w:val="en-AU"/>
              </w:rPr>
              <w:t>Redacted</w:t>
            </w:r>
            <w:r w:rsidR="007C16A3" w:rsidRPr="00E134A4">
              <w:rPr>
                <w:vertAlign w:val="superscript"/>
                <w:lang w:val="en-AU"/>
              </w:rPr>
              <w:t>9</w:t>
            </w:r>
          </w:p>
        </w:tc>
        <w:tc>
          <w:tcPr>
            <w:tcW w:w="644" w:type="pct"/>
            <w:noWrap/>
          </w:tcPr>
          <w:p w14:paraId="205D55A5" w14:textId="4F0C481E"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5A35DF" w:rsidRPr="005A35DF">
              <w:rPr>
                <w:b/>
                <w:bCs/>
                <w:lang w:val="en-AU"/>
              </w:rPr>
              <w:t>Redacted</w:t>
            </w:r>
            <w:r w:rsidR="007C16A3" w:rsidRPr="00E134A4">
              <w:rPr>
                <w:vertAlign w:val="superscript"/>
                <w:lang w:val="en-AU"/>
              </w:rPr>
              <w:t>9</w:t>
            </w:r>
          </w:p>
        </w:tc>
        <w:tc>
          <w:tcPr>
            <w:tcW w:w="644" w:type="pct"/>
            <w:noWrap/>
          </w:tcPr>
          <w:p w14:paraId="37AB5F34" w14:textId="25377580"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5A35DF" w:rsidRPr="005A35DF">
              <w:rPr>
                <w:b/>
                <w:bCs/>
                <w:lang w:val="en-AU"/>
              </w:rPr>
              <w:t>Redacted</w:t>
            </w:r>
            <w:r w:rsidR="007C16A3" w:rsidRPr="00E134A4">
              <w:rPr>
                <w:vertAlign w:val="superscript"/>
                <w:lang w:val="en-AU"/>
              </w:rPr>
              <w:t>9</w:t>
            </w:r>
          </w:p>
        </w:tc>
      </w:tr>
      <w:tr w:rsidR="005A35DF" w:rsidRPr="00E4592D" w14:paraId="757F1169" w14:textId="77777777" w:rsidTr="005A35DF">
        <w:trPr>
          <w:trHeight w:val="255"/>
        </w:trPr>
        <w:tc>
          <w:tcPr>
            <w:tcW w:w="1175" w:type="pct"/>
            <w:noWrap/>
            <w:vAlign w:val="bottom"/>
            <w:hideMark/>
          </w:tcPr>
          <w:p w14:paraId="1AABC566" w14:textId="4EE5C701" w:rsidR="000C6AF3" w:rsidRPr="004A478D" w:rsidRDefault="000C6AF3" w:rsidP="00453A15">
            <w:pPr>
              <w:pStyle w:val="KMC16-Tablecontent"/>
              <w:keepNext/>
              <w:keepLines/>
              <w:spacing w:before="0" w:after="0"/>
              <w:rPr>
                <w:b/>
                <w:lang w:val="en-AU"/>
              </w:rPr>
            </w:pPr>
            <w:r w:rsidRPr="004A478D">
              <w:rPr>
                <w:b/>
                <w:lang w:val="en-AU"/>
              </w:rPr>
              <w:t xml:space="preserve">Net </w:t>
            </w:r>
            <w:r w:rsidR="00757390">
              <w:rPr>
                <w:b/>
                <w:lang w:val="en-AU"/>
              </w:rPr>
              <w:t>c</w:t>
            </w:r>
            <w:r w:rsidRPr="004A478D">
              <w:rPr>
                <w:b/>
                <w:lang w:val="en-AU"/>
              </w:rPr>
              <w:t>ost of FSL</w:t>
            </w:r>
          </w:p>
        </w:tc>
        <w:tc>
          <w:tcPr>
            <w:tcW w:w="606" w:type="pct"/>
            <w:noWrap/>
          </w:tcPr>
          <w:p w14:paraId="4AC0891C" w14:textId="1F450319"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EA1A93" w:rsidRPr="005A35DF">
              <w:rPr>
                <w:b/>
                <w:bCs/>
                <w:lang w:val="en-AU"/>
              </w:rPr>
              <w:t>Redacted</w:t>
            </w:r>
            <w:r w:rsidR="007C16A3" w:rsidRPr="00E134A4">
              <w:rPr>
                <w:vertAlign w:val="superscript"/>
                <w:lang w:val="en-AU"/>
              </w:rPr>
              <w:t>5</w:t>
            </w:r>
          </w:p>
        </w:tc>
        <w:tc>
          <w:tcPr>
            <w:tcW w:w="644" w:type="pct"/>
            <w:noWrap/>
          </w:tcPr>
          <w:p w14:paraId="5758D3B5" w14:textId="35948F2E"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EA1A93" w:rsidRPr="005A35DF">
              <w:rPr>
                <w:b/>
                <w:bCs/>
                <w:lang w:val="en-AU"/>
              </w:rPr>
              <w:t>Redacted</w:t>
            </w:r>
            <w:r w:rsidR="00C41A92" w:rsidRPr="00E134A4">
              <w:rPr>
                <w:vertAlign w:val="superscript"/>
                <w:lang w:val="en-AU"/>
              </w:rPr>
              <w:t>10</w:t>
            </w:r>
          </w:p>
        </w:tc>
        <w:tc>
          <w:tcPr>
            <w:tcW w:w="644" w:type="pct"/>
            <w:noWrap/>
          </w:tcPr>
          <w:p w14:paraId="05BEAD1C" w14:textId="1F459AED"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EA1A93" w:rsidRPr="005A35DF">
              <w:rPr>
                <w:b/>
                <w:bCs/>
                <w:lang w:val="en-AU"/>
              </w:rPr>
              <w:t>Redacted</w:t>
            </w:r>
            <w:r w:rsidR="00C41A92" w:rsidRPr="00E134A4">
              <w:rPr>
                <w:vertAlign w:val="superscript"/>
                <w:lang w:val="en-AU"/>
              </w:rPr>
              <w:t>11</w:t>
            </w:r>
          </w:p>
        </w:tc>
        <w:tc>
          <w:tcPr>
            <w:tcW w:w="644" w:type="pct"/>
            <w:noWrap/>
          </w:tcPr>
          <w:p w14:paraId="7F03C34A" w14:textId="4C5526F3"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EA1A93" w:rsidRPr="005A35DF">
              <w:rPr>
                <w:b/>
                <w:bCs/>
                <w:lang w:val="en-AU"/>
              </w:rPr>
              <w:t>Redacted</w:t>
            </w:r>
            <w:r w:rsidR="00C41A92" w:rsidRPr="00E134A4">
              <w:rPr>
                <w:vertAlign w:val="superscript"/>
                <w:lang w:val="en-AU"/>
              </w:rPr>
              <w:t>7</w:t>
            </w:r>
          </w:p>
        </w:tc>
        <w:tc>
          <w:tcPr>
            <w:tcW w:w="644" w:type="pct"/>
            <w:noWrap/>
          </w:tcPr>
          <w:p w14:paraId="4E67EFF5" w14:textId="5DB6E5C2"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EA1A93" w:rsidRPr="005A35DF">
              <w:rPr>
                <w:b/>
                <w:bCs/>
                <w:lang w:val="en-AU"/>
              </w:rPr>
              <w:t>Redacted</w:t>
            </w:r>
            <w:r w:rsidR="00C41A92" w:rsidRPr="00E134A4">
              <w:rPr>
                <w:vertAlign w:val="superscript"/>
                <w:lang w:val="en-AU"/>
              </w:rPr>
              <w:t>7</w:t>
            </w:r>
          </w:p>
        </w:tc>
        <w:tc>
          <w:tcPr>
            <w:tcW w:w="644" w:type="pct"/>
            <w:noWrap/>
          </w:tcPr>
          <w:p w14:paraId="046D706F" w14:textId="4C991CDE"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EA1A93" w:rsidRPr="005A35DF">
              <w:rPr>
                <w:b/>
                <w:bCs/>
                <w:lang w:val="en-AU"/>
              </w:rPr>
              <w:t>Redacted</w:t>
            </w:r>
            <w:r w:rsidR="00C41A92" w:rsidRPr="00E134A4">
              <w:rPr>
                <w:vertAlign w:val="superscript"/>
                <w:lang w:val="en-AU"/>
              </w:rPr>
              <w:t>7</w:t>
            </w:r>
          </w:p>
        </w:tc>
      </w:tr>
      <w:tr w:rsidR="005A35DF" w:rsidRPr="00E4592D" w14:paraId="6EF818F2" w14:textId="77777777" w:rsidTr="005A35DF">
        <w:trPr>
          <w:trHeight w:val="255"/>
        </w:trPr>
        <w:tc>
          <w:tcPr>
            <w:tcW w:w="1175" w:type="pct"/>
            <w:noWrap/>
            <w:vAlign w:val="bottom"/>
            <w:hideMark/>
          </w:tcPr>
          <w:p w14:paraId="26CBE71A" w14:textId="553E638A" w:rsidR="000C6AF3" w:rsidRPr="004A478D" w:rsidRDefault="000C6AF3" w:rsidP="00453A15">
            <w:pPr>
              <w:pStyle w:val="KMC16-Tablecontent"/>
              <w:keepNext/>
              <w:keepLines/>
              <w:spacing w:before="0" w:after="0"/>
              <w:rPr>
                <w:b/>
                <w:lang w:val="en-AU"/>
              </w:rPr>
            </w:pPr>
            <w:r w:rsidRPr="004A478D">
              <w:rPr>
                <w:b/>
                <w:lang w:val="en-AU"/>
              </w:rPr>
              <w:t xml:space="preserve">Change in SMBG </w:t>
            </w:r>
            <w:r w:rsidR="00757390">
              <w:rPr>
                <w:b/>
                <w:lang w:val="en-AU"/>
              </w:rPr>
              <w:t>u</w:t>
            </w:r>
            <w:r w:rsidRPr="004A478D">
              <w:rPr>
                <w:b/>
                <w:lang w:val="en-AU"/>
              </w:rPr>
              <w:t>se</w:t>
            </w:r>
          </w:p>
        </w:tc>
        <w:tc>
          <w:tcPr>
            <w:tcW w:w="606" w:type="pct"/>
            <w:noWrap/>
          </w:tcPr>
          <w:p w14:paraId="776D90F5" w14:textId="77777777" w:rsidR="000C6AF3" w:rsidRPr="005A35DF" w:rsidRDefault="000C6AF3" w:rsidP="00453A15">
            <w:pPr>
              <w:pStyle w:val="KMC16-Tablecontent"/>
              <w:keepNext/>
              <w:keepLines/>
              <w:spacing w:before="0" w:after="0"/>
              <w:jc w:val="center"/>
              <w:rPr>
                <w:color w:val="auto"/>
                <w:lang w:val="en-AU"/>
              </w:rPr>
            </w:pPr>
          </w:p>
        </w:tc>
        <w:tc>
          <w:tcPr>
            <w:tcW w:w="644" w:type="pct"/>
            <w:noWrap/>
          </w:tcPr>
          <w:p w14:paraId="415EEFE7" w14:textId="77777777" w:rsidR="000C6AF3" w:rsidRPr="005A35DF" w:rsidRDefault="000C6AF3" w:rsidP="00453A15">
            <w:pPr>
              <w:pStyle w:val="KMC16-Tablecontent"/>
              <w:keepNext/>
              <w:keepLines/>
              <w:spacing w:before="0" w:after="0"/>
              <w:jc w:val="center"/>
              <w:rPr>
                <w:color w:val="auto"/>
                <w:lang w:val="en-AU"/>
              </w:rPr>
            </w:pPr>
          </w:p>
        </w:tc>
        <w:tc>
          <w:tcPr>
            <w:tcW w:w="644" w:type="pct"/>
            <w:noWrap/>
          </w:tcPr>
          <w:p w14:paraId="72265625" w14:textId="77777777" w:rsidR="000C6AF3" w:rsidRPr="005A35DF" w:rsidRDefault="000C6AF3" w:rsidP="00453A15">
            <w:pPr>
              <w:pStyle w:val="KMC16-Tablecontent"/>
              <w:keepNext/>
              <w:keepLines/>
              <w:spacing w:before="0" w:after="0"/>
              <w:jc w:val="center"/>
              <w:rPr>
                <w:color w:val="auto"/>
                <w:lang w:val="en-AU"/>
              </w:rPr>
            </w:pPr>
          </w:p>
        </w:tc>
        <w:tc>
          <w:tcPr>
            <w:tcW w:w="644" w:type="pct"/>
            <w:noWrap/>
          </w:tcPr>
          <w:p w14:paraId="43C3B27E" w14:textId="77777777" w:rsidR="000C6AF3" w:rsidRPr="005A35DF" w:rsidRDefault="000C6AF3" w:rsidP="00453A15">
            <w:pPr>
              <w:pStyle w:val="KMC16-Tablecontent"/>
              <w:keepNext/>
              <w:keepLines/>
              <w:spacing w:before="0" w:after="0"/>
              <w:jc w:val="center"/>
              <w:rPr>
                <w:color w:val="auto"/>
                <w:lang w:val="en-AU"/>
              </w:rPr>
            </w:pPr>
          </w:p>
        </w:tc>
        <w:tc>
          <w:tcPr>
            <w:tcW w:w="644" w:type="pct"/>
            <w:noWrap/>
          </w:tcPr>
          <w:p w14:paraId="45A358BA" w14:textId="77777777" w:rsidR="000C6AF3" w:rsidRPr="005A35DF" w:rsidRDefault="000C6AF3" w:rsidP="00453A15">
            <w:pPr>
              <w:pStyle w:val="KMC16-Tablecontent"/>
              <w:keepNext/>
              <w:keepLines/>
              <w:spacing w:before="0" w:after="0"/>
              <w:jc w:val="center"/>
              <w:rPr>
                <w:color w:val="auto"/>
                <w:lang w:val="en-AU"/>
              </w:rPr>
            </w:pPr>
          </w:p>
        </w:tc>
        <w:tc>
          <w:tcPr>
            <w:tcW w:w="644" w:type="pct"/>
            <w:noWrap/>
          </w:tcPr>
          <w:p w14:paraId="268F9FF4" w14:textId="77777777" w:rsidR="000C6AF3" w:rsidRPr="005A35DF" w:rsidRDefault="000C6AF3" w:rsidP="00453A15">
            <w:pPr>
              <w:pStyle w:val="KMC16-Tablecontent"/>
              <w:keepNext/>
              <w:keepLines/>
              <w:spacing w:before="0" w:after="0"/>
              <w:jc w:val="center"/>
              <w:rPr>
                <w:color w:val="auto"/>
                <w:lang w:val="en-AU"/>
              </w:rPr>
            </w:pPr>
          </w:p>
        </w:tc>
      </w:tr>
      <w:tr w:rsidR="005A35DF" w:rsidRPr="00E4592D" w14:paraId="29A2CBC6" w14:textId="77777777" w:rsidTr="005A35DF">
        <w:trPr>
          <w:trHeight w:val="255"/>
        </w:trPr>
        <w:tc>
          <w:tcPr>
            <w:tcW w:w="1175" w:type="pct"/>
            <w:vAlign w:val="center"/>
            <w:hideMark/>
          </w:tcPr>
          <w:p w14:paraId="3EE1FCCB" w14:textId="77777777" w:rsidR="000C6AF3" w:rsidRPr="004A478D" w:rsidRDefault="000C6AF3" w:rsidP="00453A15">
            <w:pPr>
              <w:pStyle w:val="KMC16-Tablecontent"/>
              <w:keepNext/>
              <w:keepLines/>
              <w:spacing w:before="0" w:after="0"/>
              <w:rPr>
                <w:i/>
                <w:lang w:val="en-AU"/>
              </w:rPr>
            </w:pPr>
            <w:r w:rsidRPr="004A478D">
              <w:rPr>
                <w:i/>
                <w:lang w:val="en-AU"/>
              </w:rPr>
              <w:t>less cost offsets (reduced glucose strips)</w:t>
            </w:r>
          </w:p>
        </w:tc>
        <w:tc>
          <w:tcPr>
            <w:tcW w:w="606" w:type="pct"/>
            <w:noWrap/>
          </w:tcPr>
          <w:p w14:paraId="7EABBB67" w14:textId="28F53EE0"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EA1A93" w:rsidRPr="005A35DF">
              <w:rPr>
                <w:b/>
                <w:bCs/>
                <w:lang w:val="en-AU"/>
              </w:rPr>
              <w:t>Redacted</w:t>
            </w:r>
            <w:r w:rsidR="00264A86" w:rsidRPr="00E134A4">
              <w:rPr>
                <w:vertAlign w:val="superscript"/>
                <w:lang w:val="en-AU"/>
              </w:rPr>
              <w:t>8</w:t>
            </w:r>
          </w:p>
        </w:tc>
        <w:tc>
          <w:tcPr>
            <w:tcW w:w="644" w:type="pct"/>
            <w:noWrap/>
          </w:tcPr>
          <w:p w14:paraId="1D415F72" w14:textId="6379E320"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EA1A93" w:rsidRPr="005A35DF">
              <w:rPr>
                <w:b/>
                <w:bCs/>
                <w:lang w:val="en-AU"/>
              </w:rPr>
              <w:t>Redacted</w:t>
            </w:r>
            <w:r w:rsidR="00264A86" w:rsidRPr="00E134A4">
              <w:rPr>
                <w:vertAlign w:val="superscript"/>
                <w:lang w:val="en-AU"/>
              </w:rPr>
              <w:t>9</w:t>
            </w:r>
          </w:p>
        </w:tc>
        <w:tc>
          <w:tcPr>
            <w:tcW w:w="644" w:type="pct"/>
            <w:noWrap/>
          </w:tcPr>
          <w:p w14:paraId="6FF76A29" w14:textId="560B34F7"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EA1A93" w:rsidRPr="005A35DF">
              <w:rPr>
                <w:b/>
                <w:bCs/>
                <w:lang w:val="en-AU"/>
              </w:rPr>
              <w:t>Redacted</w:t>
            </w:r>
            <w:r w:rsidR="00264A86" w:rsidRPr="00E134A4">
              <w:rPr>
                <w:vertAlign w:val="superscript"/>
                <w:lang w:val="en-AU"/>
              </w:rPr>
              <w:t>9</w:t>
            </w:r>
          </w:p>
        </w:tc>
        <w:tc>
          <w:tcPr>
            <w:tcW w:w="644" w:type="pct"/>
            <w:noWrap/>
          </w:tcPr>
          <w:p w14:paraId="01B08742" w14:textId="06FBC89E"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EA1A93" w:rsidRPr="005A35DF">
              <w:rPr>
                <w:b/>
                <w:bCs/>
                <w:lang w:val="en-AU"/>
              </w:rPr>
              <w:t>Redacted</w:t>
            </w:r>
            <w:r w:rsidR="00462B03" w:rsidRPr="00E134A4">
              <w:rPr>
                <w:vertAlign w:val="superscript"/>
                <w:lang w:val="en-AU"/>
              </w:rPr>
              <w:t>12</w:t>
            </w:r>
          </w:p>
        </w:tc>
        <w:tc>
          <w:tcPr>
            <w:tcW w:w="644" w:type="pct"/>
            <w:noWrap/>
          </w:tcPr>
          <w:p w14:paraId="6C4192DD" w14:textId="044C038F"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EA1A93" w:rsidRPr="005A35DF">
              <w:rPr>
                <w:b/>
                <w:bCs/>
                <w:lang w:val="en-AU"/>
              </w:rPr>
              <w:t>Redacted</w:t>
            </w:r>
            <w:r w:rsidR="00462B03" w:rsidRPr="00E134A4">
              <w:rPr>
                <w:vertAlign w:val="superscript"/>
                <w:lang w:val="en-AU"/>
              </w:rPr>
              <w:t>12</w:t>
            </w:r>
          </w:p>
        </w:tc>
        <w:tc>
          <w:tcPr>
            <w:tcW w:w="644" w:type="pct"/>
            <w:noWrap/>
          </w:tcPr>
          <w:p w14:paraId="2AAC28B7" w14:textId="7331343A"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EA1A93" w:rsidRPr="005A35DF">
              <w:rPr>
                <w:b/>
                <w:bCs/>
                <w:lang w:val="en-AU"/>
              </w:rPr>
              <w:t>Redacted</w:t>
            </w:r>
            <w:r w:rsidR="00462B03" w:rsidRPr="00E134A4">
              <w:rPr>
                <w:vertAlign w:val="superscript"/>
                <w:lang w:val="en-AU"/>
              </w:rPr>
              <w:t>12</w:t>
            </w:r>
          </w:p>
        </w:tc>
      </w:tr>
      <w:tr w:rsidR="005A35DF" w:rsidRPr="00E4592D" w14:paraId="67AF30DE" w14:textId="77777777" w:rsidTr="005A35DF">
        <w:trPr>
          <w:trHeight w:val="270"/>
        </w:trPr>
        <w:tc>
          <w:tcPr>
            <w:tcW w:w="1175" w:type="pct"/>
            <w:noWrap/>
            <w:vAlign w:val="bottom"/>
            <w:hideMark/>
          </w:tcPr>
          <w:p w14:paraId="657035DB" w14:textId="4DD86176" w:rsidR="000C6AF3" w:rsidRPr="004A478D" w:rsidRDefault="000C6AF3" w:rsidP="00453A15">
            <w:pPr>
              <w:pStyle w:val="KMC16-Tablecontent"/>
              <w:keepNext/>
              <w:keepLines/>
              <w:spacing w:before="0" w:after="0"/>
              <w:rPr>
                <w:b/>
                <w:lang w:val="en-AU"/>
              </w:rPr>
            </w:pPr>
            <w:r w:rsidRPr="004A478D">
              <w:rPr>
                <w:b/>
                <w:lang w:val="en-AU"/>
              </w:rPr>
              <w:t xml:space="preserve">Total </w:t>
            </w:r>
            <w:r w:rsidR="00757390">
              <w:rPr>
                <w:b/>
                <w:lang w:val="en-AU"/>
              </w:rPr>
              <w:t>n</w:t>
            </w:r>
            <w:r w:rsidRPr="00A54EDF">
              <w:rPr>
                <w:b/>
                <w:lang w:val="en-AU"/>
              </w:rPr>
              <w:t xml:space="preserve">et </w:t>
            </w:r>
            <w:r w:rsidR="00757390">
              <w:rPr>
                <w:b/>
                <w:lang w:val="en-AU"/>
              </w:rPr>
              <w:t>c</w:t>
            </w:r>
            <w:r w:rsidRPr="004A478D">
              <w:rPr>
                <w:b/>
                <w:lang w:val="en-AU"/>
              </w:rPr>
              <w:t>ost</w:t>
            </w:r>
          </w:p>
        </w:tc>
        <w:tc>
          <w:tcPr>
            <w:tcW w:w="606" w:type="pct"/>
            <w:noWrap/>
          </w:tcPr>
          <w:p w14:paraId="1CCF04FA" w14:textId="315508F3"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EA1A93" w:rsidRPr="005A35DF">
              <w:rPr>
                <w:b/>
                <w:bCs/>
                <w:lang w:val="en-AU"/>
              </w:rPr>
              <w:t>Redacted</w:t>
            </w:r>
            <w:r w:rsidR="00462B03" w:rsidRPr="00E134A4">
              <w:rPr>
                <w:vertAlign w:val="superscript"/>
                <w:lang w:val="en-AU"/>
              </w:rPr>
              <w:t>13</w:t>
            </w:r>
          </w:p>
        </w:tc>
        <w:tc>
          <w:tcPr>
            <w:tcW w:w="644" w:type="pct"/>
            <w:noWrap/>
          </w:tcPr>
          <w:p w14:paraId="4CFEAC4F" w14:textId="21CB100A"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EA1A93" w:rsidRPr="005A35DF">
              <w:rPr>
                <w:b/>
                <w:bCs/>
                <w:lang w:val="en-AU"/>
              </w:rPr>
              <w:t>Redacted</w:t>
            </w:r>
            <w:r w:rsidR="00A62C75" w:rsidRPr="00E134A4">
              <w:rPr>
                <w:vertAlign w:val="superscript"/>
                <w:lang w:val="en-AU"/>
              </w:rPr>
              <w:t>14</w:t>
            </w:r>
          </w:p>
        </w:tc>
        <w:tc>
          <w:tcPr>
            <w:tcW w:w="644" w:type="pct"/>
            <w:noWrap/>
          </w:tcPr>
          <w:p w14:paraId="61252318" w14:textId="6FB7C809"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EA1A93" w:rsidRPr="005A35DF">
              <w:rPr>
                <w:b/>
                <w:bCs/>
                <w:lang w:val="en-AU"/>
              </w:rPr>
              <w:t>Redacted</w:t>
            </w:r>
            <w:r w:rsidR="00A62C75" w:rsidRPr="00E134A4">
              <w:rPr>
                <w:vertAlign w:val="superscript"/>
                <w:lang w:val="en-AU"/>
              </w:rPr>
              <w:t>10</w:t>
            </w:r>
          </w:p>
        </w:tc>
        <w:tc>
          <w:tcPr>
            <w:tcW w:w="644" w:type="pct"/>
            <w:noWrap/>
          </w:tcPr>
          <w:p w14:paraId="68C04C19" w14:textId="15B64A73"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EA1A93" w:rsidRPr="005A35DF">
              <w:rPr>
                <w:b/>
                <w:bCs/>
                <w:lang w:val="en-AU"/>
              </w:rPr>
              <w:t>Redacted</w:t>
            </w:r>
            <w:r w:rsidR="00A62C75" w:rsidRPr="00E134A4">
              <w:rPr>
                <w:vertAlign w:val="superscript"/>
                <w:lang w:val="en-AU"/>
              </w:rPr>
              <w:t>11</w:t>
            </w:r>
          </w:p>
        </w:tc>
        <w:tc>
          <w:tcPr>
            <w:tcW w:w="644" w:type="pct"/>
            <w:noWrap/>
          </w:tcPr>
          <w:p w14:paraId="34344901" w14:textId="24B99B95"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EA1A93" w:rsidRPr="005A35DF">
              <w:rPr>
                <w:b/>
                <w:bCs/>
                <w:lang w:val="en-AU"/>
              </w:rPr>
              <w:t>Redacted</w:t>
            </w:r>
            <w:r w:rsidR="00A62C75" w:rsidRPr="00E134A4">
              <w:rPr>
                <w:vertAlign w:val="superscript"/>
                <w:lang w:val="en-AU"/>
              </w:rPr>
              <w:t>7</w:t>
            </w:r>
          </w:p>
        </w:tc>
        <w:tc>
          <w:tcPr>
            <w:tcW w:w="644" w:type="pct"/>
            <w:noWrap/>
          </w:tcPr>
          <w:p w14:paraId="54E170BF" w14:textId="7A3CC3D6" w:rsidR="000C6AF3" w:rsidRPr="00E134A4" w:rsidRDefault="000C6AF3" w:rsidP="00453A15">
            <w:pPr>
              <w:pStyle w:val="KMC16-Tablecontent"/>
              <w:keepNext/>
              <w:keepLines/>
              <w:spacing w:before="0" w:after="0"/>
              <w:jc w:val="right"/>
              <w:rPr>
                <w:color w:val="auto"/>
                <w:vertAlign w:val="superscript"/>
                <w:lang w:val="en-AU"/>
              </w:rPr>
            </w:pPr>
            <w:r w:rsidRPr="005A35DF">
              <w:rPr>
                <w:lang w:val="en-AU"/>
              </w:rPr>
              <w:t>$</w:t>
            </w:r>
            <w:r w:rsidR="005A35DF" w:rsidRPr="005A35DF">
              <w:rPr>
                <w:b/>
                <w:bCs/>
                <w:lang w:val="en-AU"/>
              </w:rPr>
              <w:t>Redacted</w:t>
            </w:r>
            <w:r w:rsidR="00A62C75" w:rsidRPr="00E134A4">
              <w:rPr>
                <w:vertAlign w:val="superscript"/>
                <w:lang w:val="en-AU"/>
              </w:rPr>
              <w:t>7</w:t>
            </w:r>
          </w:p>
        </w:tc>
      </w:tr>
    </w:tbl>
    <w:p w14:paraId="0E4A07C6" w14:textId="77777777" w:rsidR="00DF67A2" w:rsidRPr="003027B3" w:rsidRDefault="00DF67A2" w:rsidP="00453A15">
      <w:pPr>
        <w:pStyle w:val="KMC16-TFNotes"/>
        <w:keepNext/>
        <w:keepLines/>
        <w:spacing w:before="0"/>
        <w:rPr>
          <w:rFonts w:ascii="Arial Narrow" w:hAnsi="Arial Narrow"/>
          <w:sz w:val="18"/>
          <w:szCs w:val="18"/>
          <w:u w:val="single"/>
        </w:rPr>
      </w:pPr>
      <w:bookmarkStart w:id="86" w:name="Title_Table5"/>
      <w:bookmarkStart w:id="87" w:name="Title_Table6"/>
      <w:bookmarkStart w:id="88" w:name="_Hlk68276759"/>
      <w:bookmarkEnd w:id="32"/>
      <w:bookmarkEnd w:id="86"/>
      <w:bookmarkEnd w:id="87"/>
      <w:r w:rsidRPr="003027B3">
        <w:rPr>
          <w:rFonts w:ascii="Arial Narrow" w:hAnsi="Arial Narrow"/>
          <w:b/>
          <w:bCs/>
          <w:sz w:val="18"/>
          <w:szCs w:val="18"/>
          <w:u w:val="single"/>
        </w:rPr>
        <w:t>Abbreviations</w:t>
      </w:r>
    </w:p>
    <w:p w14:paraId="4918FCC3" w14:textId="49B7EF2E" w:rsidR="00DF67A2" w:rsidRPr="003027B3" w:rsidRDefault="00DF67A2" w:rsidP="00453A15">
      <w:pPr>
        <w:pStyle w:val="KMC16-TFNotes"/>
        <w:keepNext/>
        <w:keepLines/>
        <w:rPr>
          <w:rFonts w:ascii="Arial Narrow" w:hAnsi="Arial Narrow"/>
          <w:sz w:val="18"/>
          <w:szCs w:val="18"/>
        </w:rPr>
      </w:pPr>
      <w:r w:rsidRPr="003027B3">
        <w:rPr>
          <w:rFonts w:ascii="Arial Narrow" w:hAnsi="Arial Narrow"/>
          <w:b/>
          <w:bCs/>
          <w:sz w:val="18"/>
          <w:szCs w:val="18"/>
        </w:rPr>
        <w:t>FSL</w:t>
      </w:r>
      <w:r w:rsidRPr="003027B3">
        <w:rPr>
          <w:rFonts w:ascii="Arial Narrow" w:hAnsi="Arial Narrow"/>
          <w:sz w:val="18"/>
          <w:szCs w:val="18"/>
        </w:rPr>
        <w:t xml:space="preserve"> = FreeStyle Libre Continuous Glucose Monitoring, </w:t>
      </w:r>
      <w:r w:rsidRPr="003027B3">
        <w:rPr>
          <w:rFonts w:ascii="Arial Narrow" w:hAnsi="Arial Narrow"/>
          <w:b/>
          <w:bCs/>
          <w:sz w:val="18"/>
          <w:szCs w:val="18"/>
        </w:rPr>
        <w:t>SMBG</w:t>
      </w:r>
      <w:r w:rsidRPr="003027B3">
        <w:rPr>
          <w:rFonts w:ascii="Arial Narrow" w:hAnsi="Arial Narrow"/>
          <w:sz w:val="18"/>
          <w:szCs w:val="18"/>
        </w:rPr>
        <w:t xml:space="preserve"> = self-monitoring of blood glucose, </w:t>
      </w:r>
      <w:r w:rsidRPr="003027B3">
        <w:rPr>
          <w:rFonts w:ascii="Arial Narrow" w:hAnsi="Arial Narrow"/>
          <w:b/>
          <w:bCs/>
          <w:sz w:val="18"/>
          <w:szCs w:val="18"/>
        </w:rPr>
        <w:t>T2D</w:t>
      </w:r>
      <w:r w:rsidRPr="003027B3">
        <w:rPr>
          <w:rFonts w:ascii="Arial Narrow" w:hAnsi="Arial Narrow"/>
          <w:sz w:val="18"/>
          <w:szCs w:val="18"/>
        </w:rPr>
        <w:t xml:space="preserve"> = type 2 diabetes. </w:t>
      </w:r>
    </w:p>
    <w:p w14:paraId="64A0AED0" w14:textId="46D52703" w:rsidR="00C70CF3" w:rsidRPr="003027B3" w:rsidRDefault="00C70CF3" w:rsidP="00453A15">
      <w:pPr>
        <w:pStyle w:val="KMC16-TFNotes"/>
        <w:keepNext/>
        <w:keepLines/>
        <w:spacing w:before="0"/>
        <w:rPr>
          <w:rFonts w:ascii="Arial Narrow" w:hAnsi="Arial Narrow"/>
          <w:sz w:val="18"/>
          <w:szCs w:val="18"/>
        </w:rPr>
      </w:pPr>
      <w:r w:rsidRPr="003027B3">
        <w:rPr>
          <w:rFonts w:ascii="Arial Narrow" w:hAnsi="Arial Narrow"/>
          <w:b/>
          <w:bCs/>
          <w:sz w:val="18"/>
          <w:szCs w:val="18"/>
          <w:u w:val="single"/>
        </w:rPr>
        <w:t>Notes</w:t>
      </w:r>
      <w:r w:rsidRPr="003027B3">
        <w:rPr>
          <w:rFonts w:ascii="Arial Narrow" w:hAnsi="Arial Narrow"/>
          <w:b/>
          <w:bCs/>
          <w:sz w:val="18"/>
          <w:szCs w:val="18"/>
          <w:u w:val="single"/>
        </w:rPr>
        <w:br/>
      </w:r>
      <w:r w:rsidRPr="003027B3">
        <w:rPr>
          <w:rFonts w:ascii="Arial Narrow" w:hAnsi="Arial Narrow"/>
          <w:sz w:val="18"/>
          <w:szCs w:val="18"/>
        </w:rPr>
        <w:t>All currencies represent AUD.</w:t>
      </w:r>
    </w:p>
    <w:p w14:paraId="3F471A93" w14:textId="77777777" w:rsidR="00864FF0" w:rsidRDefault="00864FF0" w:rsidP="00864FF0">
      <w:pPr>
        <w:pStyle w:val="KMC16-TFNotes"/>
        <w:jc w:val="left"/>
        <w:rPr>
          <w:rFonts w:ascii="Arial Narrow" w:hAnsi="Arial Narrow"/>
          <w:sz w:val="18"/>
          <w:szCs w:val="18"/>
        </w:rPr>
      </w:pPr>
      <w:r>
        <w:rPr>
          <w:rFonts w:ascii="Arial Narrow" w:hAnsi="Arial Narrow"/>
          <w:sz w:val="18"/>
          <w:szCs w:val="18"/>
        </w:rPr>
        <w:t>The redacted values correspond to the following ranges:</w:t>
      </w:r>
    </w:p>
    <w:p w14:paraId="25D35EDB" w14:textId="77777777" w:rsidR="00864FF0" w:rsidRDefault="00864FF0" w:rsidP="00864FF0">
      <w:pPr>
        <w:pStyle w:val="KMC16-TFNotes"/>
        <w:jc w:val="left"/>
        <w:rPr>
          <w:rFonts w:ascii="Arial Narrow" w:hAnsi="Arial Narrow"/>
          <w:sz w:val="18"/>
          <w:szCs w:val="18"/>
        </w:rPr>
      </w:pPr>
      <w:r>
        <w:rPr>
          <w:rFonts w:ascii="Arial Narrow" w:hAnsi="Arial Narrow"/>
          <w:sz w:val="18"/>
          <w:szCs w:val="18"/>
          <w:vertAlign w:val="superscript"/>
        </w:rPr>
        <w:t>1</w:t>
      </w:r>
      <w:r>
        <w:rPr>
          <w:rFonts w:ascii="Arial Narrow" w:hAnsi="Arial Narrow"/>
          <w:sz w:val="18"/>
          <w:szCs w:val="18"/>
        </w:rPr>
        <w:t xml:space="preserve"> 40,000 to &lt; 50,000</w:t>
      </w:r>
    </w:p>
    <w:p w14:paraId="38EACF27" w14:textId="01CBA839" w:rsidR="00864FF0" w:rsidRDefault="00864FF0" w:rsidP="00F37DB1">
      <w:pPr>
        <w:pStyle w:val="KMC16-TFNotes"/>
        <w:jc w:val="left"/>
        <w:rPr>
          <w:rFonts w:ascii="Arial Narrow" w:hAnsi="Arial Narrow"/>
          <w:sz w:val="18"/>
          <w:szCs w:val="18"/>
        </w:rPr>
      </w:pPr>
      <w:r w:rsidRPr="00D95A3C">
        <w:rPr>
          <w:rFonts w:ascii="Arial Narrow" w:hAnsi="Arial Narrow"/>
          <w:sz w:val="18"/>
          <w:szCs w:val="18"/>
          <w:vertAlign w:val="superscript"/>
        </w:rPr>
        <w:t>2</w:t>
      </w:r>
      <w:r>
        <w:rPr>
          <w:rFonts w:ascii="Arial Narrow" w:hAnsi="Arial Narrow"/>
          <w:sz w:val="18"/>
          <w:szCs w:val="18"/>
        </w:rPr>
        <w:t xml:space="preserve"> 70,000 to &lt; 80,000</w:t>
      </w:r>
    </w:p>
    <w:p w14:paraId="75D9502E" w14:textId="134B8115" w:rsidR="00CF5CB6" w:rsidRDefault="00864FF0" w:rsidP="00F37DB1">
      <w:pPr>
        <w:pStyle w:val="KMC16-TFNotes"/>
        <w:jc w:val="left"/>
        <w:rPr>
          <w:rFonts w:ascii="Arial Narrow" w:hAnsi="Arial Narrow"/>
          <w:sz w:val="18"/>
          <w:szCs w:val="18"/>
        </w:rPr>
      </w:pPr>
      <w:r w:rsidRPr="00D95A3C">
        <w:rPr>
          <w:rFonts w:ascii="Arial Narrow" w:hAnsi="Arial Narrow"/>
          <w:sz w:val="18"/>
          <w:szCs w:val="18"/>
          <w:vertAlign w:val="superscript"/>
        </w:rPr>
        <w:t>3</w:t>
      </w:r>
      <w:r>
        <w:rPr>
          <w:rFonts w:ascii="Arial Narrow" w:hAnsi="Arial Narrow"/>
          <w:sz w:val="18"/>
          <w:szCs w:val="18"/>
        </w:rPr>
        <w:t xml:space="preserve"> </w:t>
      </w:r>
      <w:r w:rsidR="00CF5CB6">
        <w:rPr>
          <w:rFonts w:ascii="Arial Narrow" w:hAnsi="Arial Narrow"/>
          <w:sz w:val="18"/>
          <w:szCs w:val="18"/>
        </w:rPr>
        <w:t>90,000 to &lt; 100,000</w:t>
      </w:r>
    </w:p>
    <w:p w14:paraId="2319CB9C" w14:textId="3251E3BE" w:rsidR="00864FF0" w:rsidRDefault="00CF5CB6" w:rsidP="00F37DB1">
      <w:pPr>
        <w:pStyle w:val="KMC16-TFNotes"/>
        <w:jc w:val="left"/>
        <w:rPr>
          <w:rFonts w:ascii="Arial Narrow" w:hAnsi="Arial Narrow"/>
          <w:sz w:val="18"/>
          <w:szCs w:val="18"/>
        </w:rPr>
      </w:pPr>
      <w:r w:rsidRPr="00E134A4">
        <w:rPr>
          <w:rFonts w:ascii="Arial Narrow" w:hAnsi="Arial Narrow"/>
          <w:sz w:val="18"/>
          <w:szCs w:val="18"/>
          <w:vertAlign w:val="superscript"/>
        </w:rPr>
        <w:t>4</w:t>
      </w:r>
      <w:r>
        <w:rPr>
          <w:rFonts w:ascii="Arial Narrow" w:hAnsi="Arial Narrow"/>
          <w:sz w:val="18"/>
          <w:szCs w:val="18"/>
        </w:rPr>
        <w:t xml:space="preserve"> </w:t>
      </w:r>
      <w:r w:rsidR="00864FF0">
        <w:rPr>
          <w:rFonts w:ascii="Arial Narrow" w:hAnsi="Arial Narrow"/>
          <w:sz w:val="18"/>
          <w:szCs w:val="18"/>
        </w:rPr>
        <w:t>100,000 to &lt; 200 000</w:t>
      </w:r>
    </w:p>
    <w:p w14:paraId="4A034219" w14:textId="0415209F" w:rsidR="00700518" w:rsidRDefault="00700518" w:rsidP="00F37DB1">
      <w:pPr>
        <w:pStyle w:val="KMC16-TFNotes"/>
        <w:jc w:val="left"/>
        <w:rPr>
          <w:rFonts w:ascii="Arial Narrow" w:hAnsi="Arial Narrow"/>
          <w:sz w:val="18"/>
          <w:szCs w:val="18"/>
        </w:rPr>
      </w:pPr>
      <w:r>
        <w:rPr>
          <w:rFonts w:ascii="Arial Narrow" w:hAnsi="Arial Narrow"/>
          <w:sz w:val="18"/>
          <w:szCs w:val="18"/>
          <w:vertAlign w:val="superscript"/>
        </w:rPr>
        <w:t>5</w:t>
      </w:r>
      <w:r w:rsidR="00864FF0">
        <w:rPr>
          <w:rFonts w:ascii="Arial Narrow" w:hAnsi="Arial Narrow"/>
          <w:sz w:val="18"/>
          <w:szCs w:val="18"/>
        </w:rPr>
        <w:t xml:space="preserve"> $</w:t>
      </w:r>
      <w:r>
        <w:rPr>
          <w:rFonts w:ascii="Arial Narrow" w:hAnsi="Arial Narrow"/>
          <w:sz w:val="18"/>
          <w:szCs w:val="18"/>
        </w:rPr>
        <w:t>4</w:t>
      </w:r>
      <w:r w:rsidR="00864FF0">
        <w:rPr>
          <w:rFonts w:ascii="Arial Narrow" w:hAnsi="Arial Narrow"/>
          <w:sz w:val="18"/>
          <w:szCs w:val="18"/>
        </w:rPr>
        <w:t>0 million to &lt; $</w:t>
      </w:r>
      <w:r>
        <w:rPr>
          <w:rFonts w:ascii="Arial Narrow" w:hAnsi="Arial Narrow"/>
          <w:sz w:val="18"/>
          <w:szCs w:val="18"/>
        </w:rPr>
        <w:t>5</w:t>
      </w:r>
      <w:r w:rsidR="00864FF0">
        <w:rPr>
          <w:rFonts w:ascii="Arial Narrow" w:hAnsi="Arial Narrow"/>
          <w:sz w:val="18"/>
          <w:szCs w:val="18"/>
        </w:rPr>
        <w:t>0 million</w:t>
      </w:r>
    </w:p>
    <w:p w14:paraId="627B9C82" w14:textId="01321AF6" w:rsidR="00864FF0" w:rsidRDefault="00700518" w:rsidP="00F37DB1">
      <w:pPr>
        <w:pStyle w:val="KMC16-TFNotes"/>
        <w:jc w:val="left"/>
        <w:rPr>
          <w:rFonts w:ascii="Arial Narrow" w:hAnsi="Arial Narrow"/>
          <w:sz w:val="18"/>
          <w:szCs w:val="18"/>
        </w:rPr>
      </w:pPr>
      <w:r>
        <w:rPr>
          <w:rFonts w:ascii="Arial Narrow" w:hAnsi="Arial Narrow"/>
          <w:sz w:val="18"/>
          <w:szCs w:val="18"/>
          <w:vertAlign w:val="superscript"/>
        </w:rPr>
        <w:t>6</w:t>
      </w:r>
      <w:r w:rsidR="00864FF0">
        <w:rPr>
          <w:rFonts w:ascii="Arial Narrow" w:hAnsi="Arial Narrow"/>
          <w:sz w:val="18"/>
          <w:szCs w:val="18"/>
        </w:rPr>
        <w:t xml:space="preserve"> </w:t>
      </w:r>
      <w:r w:rsidR="00E538CF">
        <w:rPr>
          <w:rFonts w:ascii="Arial Narrow" w:hAnsi="Arial Narrow"/>
          <w:sz w:val="18"/>
          <w:szCs w:val="18"/>
        </w:rPr>
        <w:t>$80 million to &lt; $90 million</w:t>
      </w:r>
    </w:p>
    <w:p w14:paraId="36E4EDD9" w14:textId="0E3E2508" w:rsidR="00E538CF" w:rsidRDefault="00700518" w:rsidP="00F37DB1">
      <w:pPr>
        <w:pStyle w:val="KMC16-TFNotes"/>
        <w:jc w:val="left"/>
        <w:rPr>
          <w:rFonts w:ascii="Arial Narrow" w:hAnsi="Arial Narrow"/>
          <w:sz w:val="18"/>
          <w:szCs w:val="18"/>
        </w:rPr>
      </w:pPr>
      <w:r>
        <w:rPr>
          <w:rFonts w:ascii="Arial Narrow" w:hAnsi="Arial Narrow"/>
          <w:sz w:val="18"/>
          <w:szCs w:val="18"/>
          <w:vertAlign w:val="superscript"/>
        </w:rPr>
        <w:t>7</w:t>
      </w:r>
      <w:r w:rsidR="00864FF0">
        <w:rPr>
          <w:rFonts w:ascii="Arial Narrow" w:hAnsi="Arial Narrow"/>
          <w:sz w:val="18"/>
          <w:szCs w:val="18"/>
        </w:rPr>
        <w:t xml:space="preserve"> </w:t>
      </w:r>
      <w:r>
        <w:rPr>
          <w:rFonts w:ascii="Arial Narrow" w:hAnsi="Arial Narrow"/>
          <w:sz w:val="18"/>
          <w:szCs w:val="18"/>
        </w:rPr>
        <w:t>$100 million to &lt; $200 million</w:t>
      </w:r>
    </w:p>
    <w:p w14:paraId="3DDEE13E" w14:textId="1201CC75" w:rsidR="00864FF0" w:rsidRDefault="00700518" w:rsidP="00F37DB1">
      <w:pPr>
        <w:pStyle w:val="KMC16-TFNotes"/>
        <w:jc w:val="left"/>
        <w:rPr>
          <w:rFonts w:ascii="Arial Narrow" w:hAnsi="Arial Narrow"/>
          <w:sz w:val="18"/>
          <w:szCs w:val="18"/>
        </w:rPr>
      </w:pPr>
      <w:r>
        <w:rPr>
          <w:rFonts w:ascii="Arial Narrow" w:hAnsi="Arial Narrow"/>
          <w:sz w:val="18"/>
          <w:szCs w:val="18"/>
          <w:vertAlign w:val="superscript"/>
        </w:rPr>
        <w:t>8</w:t>
      </w:r>
      <w:r w:rsidR="00864FF0">
        <w:rPr>
          <w:rFonts w:ascii="Arial Narrow" w:hAnsi="Arial Narrow"/>
          <w:sz w:val="18"/>
          <w:szCs w:val="18"/>
        </w:rPr>
        <w:t xml:space="preserve"> </w:t>
      </w:r>
      <w:r w:rsidR="00E538CF">
        <w:rPr>
          <w:rFonts w:ascii="Arial Narrow" w:hAnsi="Arial Narrow"/>
          <w:sz w:val="18"/>
          <w:szCs w:val="18"/>
        </w:rPr>
        <w:t>$0 to &lt; $10 million</w:t>
      </w:r>
    </w:p>
    <w:p w14:paraId="2A73D693" w14:textId="6BD94409" w:rsidR="00864FF0" w:rsidRDefault="00700518" w:rsidP="00F37DB1">
      <w:pPr>
        <w:pStyle w:val="KMC16-TFNotes"/>
        <w:jc w:val="left"/>
        <w:rPr>
          <w:rFonts w:ascii="Arial Narrow" w:hAnsi="Arial Narrow"/>
          <w:sz w:val="18"/>
          <w:szCs w:val="18"/>
        </w:rPr>
      </w:pPr>
      <w:r>
        <w:rPr>
          <w:rFonts w:ascii="Arial Narrow" w:hAnsi="Arial Narrow"/>
          <w:sz w:val="18"/>
          <w:szCs w:val="18"/>
          <w:vertAlign w:val="superscript"/>
        </w:rPr>
        <w:t>9</w:t>
      </w:r>
      <w:r w:rsidR="00864FF0">
        <w:rPr>
          <w:rFonts w:ascii="Arial Narrow" w:hAnsi="Arial Narrow"/>
          <w:sz w:val="18"/>
          <w:szCs w:val="18"/>
        </w:rPr>
        <w:t xml:space="preserve"> </w:t>
      </w:r>
      <w:r w:rsidR="007C16A3">
        <w:rPr>
          <w:rFonts w:ascii="Arial Narrow" w:hAnsi="Arial Narrow"/>
          <w:sz w:val="18"/>
          <w:szCs w:val="18"/>
        </w:rPr>
        <w:t>$10 million to &lt; $20 million</w:t>
      </w:r>
    </w:p>
    <w:p w14:paraId="54E83A70" w14:textId="0366B53D" w:rsidR="00C41A92" w:rsidRDefault="00700518" w:rsidP="00F37DB1">
      <w:pPr>
        <w:pStyle w:val="KMC16-TFNotes"/>
        <w:jc w:val="left"/>
        <w:rPr>
          <w:rFonts w:ascii="Arial Narrow" w:hAnsi="Arial Narrow"/>
          <w:sz w:val="18"/>
          <w:szCs w:val="18"/>
        </w:rPr>
      </w:pPr>
      <w:proofErr w:type="gramStart"/>
      <w:r>
        <w:rPr>
          <w:rFonts w:ascii="Arial Narrow" w:hAnsi="Arial Narrow"/>
          <w:sz w:val="18"/>
          <w:szCs w:val="18"/>
          <w:vertAlign w:val="superscript"/>
        </w:rPr>
        <w:t>10</w:t>
      </w:r>
      <w:r w:rsidR="00864FF0" w:rsidRPr="00E134A4">
        <w:rPr>
          <w:rFonts w:ascii="Arial Narrow" w:hAnsi="Arial Narrow"/>
          <w:sz w:val="18"/>
          <w:szCs w:val="18"/>
          <w:vertAlign w:val="superscript"/>
        </w:rPr>
        <w:t xml:space="preserve"> </w:t>
      </w:r>
      <w:r w:rsidR="00C41A92" w:rsidRPr="00C41A92">
        <w:rPr>
          <w:rFonts w:ascii="Arial Narrow" w:hAnsi="Arial Narrow"/>
          <w:sz w:val="18"/>
          <w:szCs w:val="18"/>
          <w:vertAlign w:val="superscript"/>
        </w:rPr>
        <w:t xml:space="preserve"> </w:t>
      </w:r>
      <w:r w:rsidR="00C41A92">
        <w:rPr>
          <w:rFonts w:ascii="Arial Narrow" w:hAnsi="Arial Narrow"/>
          <w:sz w:val="18"/>
          <w:szCs w:val="18"/>
        </w:rPr>
        <w:t>$</w:t>
      </w:r>
      <w:proofErr w:type="gramEnd"/>
      <w:r w:rsidR="00C41A92">
        <w:rPr>
          <w:rFonts w:ascii="Arial Narrow" w:hAnsi="Arial Narrow"/>
          <w:sz w:val="18"/>
          <w:szCs w:val="18"/>
        </w:rPr>
        <w:t>70 million to &lt; $80 million</w:t>
      </w:r>
    </w:p>
    <w:p w14:paraId="3A60F38F" w14:textId="72E50DCE" w:rsidR="00C41A92" w:rsidRDefault="00864FF0" w:rsidP="00F37DB1">
      <w:pPr>
        <w:pStyle w:val="KMC16-TFNotes"/>
        <w:jc w:val="left"/>
        <w:rPr>
          <w:rFonts w:ascii="Arial Narrow" w:hAnsi="Arial Narrow"/>
          <w:sz w:val="18"/>
          <w:szCs w:val="18"/>
        </w:rPr>
      </w:pPr>
      <w:r w:rsidRPr="00D95A3C">
        <w:rPr>
          <w:rFonts w:ascii="Arial Narrow" w:hAnsi="Arial Narrow"/>
          <w:sz w:val="18"/>
          <w:szCs w:val="18"/>
          <w:vertAlign w:val="superscript"/>
        </w:rPr>
        <w:t>1</w:t>
      </w:r>
      <w:r w:rsidR="00700518">
        <w:rPr>
          <w:rFonts w:ascii="Arial Narrow" w:hAnsi="Arial Narrow"/>
          <w:sz w:val="18"/>
          <w:szCs w:val="18"/>
          <w:vertAlign w:val="superscript"/>
        </w:rPr>
        <w:t>1</w:t>
      </w:r>
      <w:r>
        <w:rPr>
          <w:rFonts w:ascii="Arial Narrow" w:hAnsi="Arial Narrow"/>
          <w:sz w:val="18"/>
          <w:szCs w:val="18"/>
        </w:rPr>
        <w:t xml:space="preserve"> $90 million to &lt; $100 million</w:t>
      </w:r>
    </w:p>
    <w:p w14:paraId="733B2D37" w14:textId="19E21BB6" w:rsidR="00864FF0" w:rsidRDefault="00864FF0" w:rsidP="00F37DB1">
      <w:pPr>
        <w:pStyle w:val="KMC16-TFNotes"/>
        <w:jc w:val="left"/>
        <w:rPr>
          <w:rFonts w:ascii="Arial Narrow" w:hAnsi="Arial Narrow"/>
          <w:sz w:val="18"/>
          <w:szCs w:val="18"/>
        </w:rPr>
      </w:pPr>
      <w:r w:rsidRPr="00D95A3C">
        <w:rPr>
          <w:rFonts w:ascii="Arial Narrow" w:hAnsi="Arial Narrow"/>
          <w:sz w:val="18"/>
          <w:szCs w:val="18"/>
          <w:vertAlign w:val="superscript"/>
        </w:rPr>
        <w:t>1</w:t>
      </w:r>
      <w:r w:rsidR="00700518">
        <w:rPr>
          <w:rFonts w:ascii="Arial Narrow" w:hAnsi="Arial Narrow"/>
          <w:sz w:val="18"/>
          <w:szCs w:val="18"/>
          <w:vertAlign w:val="superscript"/>
        </w:rPr>
        <w:t>2</w:t>
      </w:r>
      <w:r>
        <w:rPr>
          <w:rFonts w:ascii="Arial Narrow" w:hAnsi="Arial Narrow"/>
          <w:sz w:val="18"/>
          <w:szCs w:val="18"/>
        </w:rPr>
        <w:t xml:space="preserve"> $</w:t>
      </w:r>
      <w:r w:rsidR="00264A86">
        <w:rPr>
          <w:rFonts w:ascii="Arial Narrow" w:hAnsi="Arial Narrow"/>
          <w:sz w:val="18"/>
          <w:szCs w:val="18"/>
        </w:rPr>
        <w:t>2</w:t>
      </w:r>
      <w:r>
        <w:rPr>
          <w:rFonts w:ascii="Arial Narrow" w:hAnsi="Arial Narrow"/>
          <w:sz w:val="18"/>
          <w:szCs w:val="18"/>
        </w:rPr>
        <w:t>0 million to &lt; $</w:t>
      </w:r>
      <w:r w:rsidR="00264A86">
        <w:rPr>
          <w:rFonts w:ascii="Arial Narrow" w:hAnsi="Arial Narrow"/>
          <w:sz w:val="18"/>
          <w:szCs w:val="18"/>
        </w:rPr>
        <w:t>3</w:t>
      </w:r>
      <w:r>
        <w:rPr>
          <w:rFonts w:ascii="Arial Narrow" w:hAnsi="Arial Narrow"/>
          <w:sz w:val="18"/>
          <w:szCs w:val="18"/>
        </w:rPr>
        <w:t>0 million</w:t>
      </w:r>
    </w:p>
    <w:p w14:paraId="4042917D" w14:textId="4A456FBA" w:rsidR="00864FF0" w:rsidRDefault="00864FF0" w:rsidP="00864FF0">
      <w:pPr>
        <w:pStyle w:val="KMC16-TFNotes"/>
        <w:jc w:val="left"/>
        <w:rPr>
          <w:rFonts w:ascii="Arial Narrow" w:hAnsi="Arial Narrow"/>
          <w:sz w:val="18"/>
          <w:szCs w:val="18"/>
        </w:rPr>
      </w:pPr>
      <w:r w:rsidRPr="00D95A3C">
        <w:rPr>
          <w:rFonts w:ascii="Arial Narrow" w:hAnsi="Arial Narrow"/>
          <w:sz w:val="18"/>
          <w:szCs w:val="18"/>
          <w:vertAlign w:val="superscript"/>
        </w:rPr>
        <w:t>1</w:t>
      </w:r>
      <w:r w:rsidR="00700518">
        <w:rPr>
          <w:rFonts w:ascii="Arial Narrow" w:hAnsi="Arial Narrow"/>
          <w:sz w:val="18"/>
          <w:szCs w:val="18"/>
          <w:vertAlign w:val="superscript"/>
        </w:rPr>
        <w:t>3</w:t>
      </w:r>
      <w:r w:rsidR="00462B03">
        <w:rPr>
          <w:rFonts w:ascii="Arial Narrow" w:hAnsi="Arial Narrow"/>
          <w:sz w:val="18"/>
          <w:szCs w:val="18"/>
          <w:vertAlign w:val="superscript"/>
        </w:rPr>
        <w:t xml:space="preserve"> </w:t>
      </w:r>
      <w:r w:rsidR="00462B03">
        <w:rPr>
          <w:rFonts w:ascii="Arial Narrow" w:hAnsi="Arial Narrow"/>
          <w:sz w:val="18"/>
          <w:szCs w:val="18"/>
        </w:rPr>
        <w:t>$30 million to &lt; $40 million</w:t>
      </w:r>
    </w:p>
    <w:p w14:paraId="2090D766" w14:textId="03DBCD9D" w:rsidR="00864FF0" w:rsidRPr="003027B3" w:rsidRDefault="00A62C75" w:rsidP="00E134A4">
      <w:pPr>
        <w:pStyle w:val="KMC16-TFNotes"/>
        <w:jc w:val="left"/>
        <w:rPr>
          <w:rFonts w:ascii="Arial Narrow" w:hAnsi="Arial Narrow"/>
          <w:sz w:val="18"/>
          <w:szCs w:val="18"/>
        </w:rPr>
      </w:pPr>
      <w:r w:rsidRPr="00E134A4">
        <w:rPr>
          <w:rFonts w:ascii="Arial Narrow" w:hAnsi="Arial Narrow"/>
          <w:sz w:val="18"/>
          <w:szCs w:val="18"/>
          <w:vertAlign w:val="superscript"/>
        </w:rPr>
        <w:t>14</w:t>
      </w:r>
      <w:r>
        <w:rPr>
          <w:rFonts w:ascii="Arial Narrow" w:hAnsi="Arial Narrow"/>
          <w:sz w:val="18"/>
          <w:szCs w:val="18"/>
        </w:rPr>
        <w:t xml:space="preserve"> $60 million to $70 million</w:t>
      </w:r>
    </w:p>
    <w:p w14:paraId="7838A9FF" w14:textId="12488813" w:rsidR="00772829" w:rsidRPr="00CE28E3" w:rsidRDefault="00772829" w:rsidP="003027B3">
      <w:pPr>
        <w:pStyle w:val="Heading2"/>
        <w:numPr>
          <w:ilvl w:val="0"/>
          <w:numId w:val="27"/>
        </w:numPr>
        <w:ind w:hanging="720"/>
      </w:pPr>
      <w:bookmarkStart w:id="89" w:name="_Toc69491427"/>
      <w:bookmarkEnd w:id="88"/>
      <w:r w:rsidRPr="00CE28E3">
        <w:t xml:space="preserve">Other relevant </w:t>
      </w:r>
      <w:bookmarkEnd w:id="89"/>
      <w:r w:rsidR="00FA5766">
        <w:t>information</w:t>
      </w:r>
    </w:p>
    <w:p w14:paraId="1084E39A" w14:textId="16D80CCB" w:rsidR="0067479E" w:rsidRPr="00A66B87" w:rsidRDefault="0067479E" w:rsidP="0067479E">
      <w:pPr>
        <w:rPr>
          <w:b/>
          <w:u w:val="single"/>
        </w:rPr>
      </w:pPr>
      <w:r w:rsidRPr="00A66B87">
        <w:rPr>
          <w:b/>
          <w:bCs/>
          <w:u w:val="single"/>
        </w:rPr>
        <w:t>Post-ESC analy</w:t>
      </w:r>
      <w:r>
        <w:rPr>
          <w:b/>
          <w:bCs/>
          <w:u w:val="single"/>
        </w:rPr>
        <w:t>sis - economics</w:t>
      </w:r>
    </w:p>
    <w:p w14:paraId="551C452A" w14:textId="77777777" w:rsidR="0067479E" w:rsidRPr="003251C2" w:rsidRDefault="0067479E" w:rsidP="0067479E">
      <w:r>
        <w:t xml:space="preserve">Post-ESC the assessment group was requested to provide its opinion </w:t>
      </w:r>
      <w:r w:rsidRPr="00600F34">
        <w:t xml:space="preserve">summarising </w:t>
      </w:r>
      <w:r>
        <w:t>its views on</w:t>
      </w:r>
      <w:r w:rsidRPr="00600F34">
        <w:t xml:space="preserve"> the transparency of the </w:t>
      </w:r>
      <w:r>
        <w:t xml:space="preserve">economic </w:t>
      </w:r>
      <w:r w:rsidRPr="00600F34">
        <w:t>model</w:t>
      </w:r>
      <w:r>
        <w:t xml:space="preserve"> used in this ADAR with reference to TG 18.3 of the MSAC Guidelines. The assessment group’s views are provided below.</w:t>
      </w:r>
    </w:p>
    <w:p w14:paraId="17C1E79D" w14:textId="77777777" w:rsidR="000B3009" w:rsidRPr="00030079" w:rsidRDefault="000B3009" w:rsidP="000B3009">
      <w:pPr>
        <w:rPr>
          <w:i/>
          <w:iCs/>
        </w:rPr>
      </w:pPr>
      <w:r w:rsidRPr="00030079">
        <w:rPr>
          <w:i/>
          <w:iCs/>
        </w:rPr>
        <w:t xml:space="preserve">The Applicant used the Determination of Diabetes Utilities, Costs, and Effects (DEDUCE) microsimulation model. To justify this approach, the Applicant described how the history of complications impacts individuals’ future complications and prognosis. The Applicant stated that “need for a model memory necessitates and explains the choice of a microsimulation model design” (Section 3.2.5 in the ADAR). The justification and approach are appropriate. The applicant did not explore other possible model structures. </w:t>
      </w:r>
    </w:p>
    <w:p w14:paraId="499EB2EB" w14:textId="6C89F18D" w:rsidR="00574BBA" w:rsidRDefault="000B3009" w:rsidP="000B3009">
      <w:pPr>
        <w:rPr>
          <w:i/>
          <w:iCs/>
        </w:rPr>
      </w:pPr>
      <w:r w:rsidRPr="00030079">
        <w:rPr>
          <w:i/>
          <w:iCs/>
        </w:rPr>
        <w:t xml:space="preserve">The Applicant used the RECODe algorithm (or risk equations) to predict the occurrence of complications. Risk equations are the ‘engine’ of the model. The Applicant also described the alternate UKPDS-82 risk equation used for modelling type 2 diabetes that were identified in the literature review. The applicant justified the use of RECODe risk equations by stating that they were “newer” and the ACCORD study from which they were derived was “more reflective of recent treatment practices” than UKPDS-82, which were derived from the UKPDS study. This justification is not sufficient given that the follow-up period in the two trials intersect. The Applicant did not discuss the applicability of other risk equations published after RECODe (namely, UKPDS-90 and BRAVO). The applicant did not discuss whether RECODe was more appropriate for the Australian population, and whether RECODe had been validated against this population. </w:t>
      </w:r>
    </w:p>
    <w:p w14:paraId="092EE967" w14:textId="62008943" w:rsidR="00030079" w:rsidRDefault="000B3009" w:rsidP="000B3009">
      <w:pPr>
        <w:rPr>
          <w:i/>
          <w:iCs/>
        </w:rPr>
      </w:pPr>
      <w:r w:rsidRPr="00030079">
        <w:rPr>
          <w:i/>
          <w:iCs/>
        </w:rPr>
        <w:t>The DEDUCE model was developed in Excel and a copy was available to the Evaluators. The Evaluators’ scope of work did not include a comprehensive model quality check; however, the model was functional. The Applicant ran the model with 50,000 individuals in the first-order analysis. The applicant did not state whether the results converged. The model run time was less than 30 minutes. The Evaluator was able to replicate the results when the model was run.</w:t>
      </w:r>
    </w:p>
    <w:p w14:paraId="78470907" w14:textId="77777777" w:rsidR="003027B3" w:rsidRPr="00A737D1" w:rsidRDefault="003027B3" w:rsidP="003027B3">
      <w:pPr>
        <w:pStyle w:val="Heading2"/>
        <w:numPr>
          <w:ilvl w:val="0"/>
          <w:numId w:val="27"/>
        </w:numPr>
        <w:ind w:hanging="720"/>
      </w:pPr>
      <w:bookmarkStart w:id="90" w:name="_Toc145678765"/>
      <w:bookmarkStart w:id="91" w:name="_Toc150172410"/>
      <w:bookmarkStart w:id="92" w:name="_Toc153462785"/>
      <w:r w:rsidRPr="003A793E">
        <w:t>Key issues from ESC to MSAC</w:t>
      </w:r>
    </w:p>
    <w:bookmarkEnd w:id="90"/>
    <w:bookmarkEnd w:id="91"/>
    <w:bookmarkEnd w:id="92"/>
    <w:p w14:paraId="6F6960D8" w14:textId="77777777" w:rsidR="003A0813" w:rsidRDefault="003A0813" w:rsidP="003A0813">
      <w:pPr>
        <w:pStyle w:val="BoxName0"/>
      </w:pPr>
      <w:r w:rsidRPr="00C749CB">
        <w:t>Main issues for MSAC consideration</w:t>
      </w:r>
    </w:p>
    <w:p w14:paraId="38B537C7" w14:textId="77777777" w:rsidR="003A0813" w:rsidRDefault="003A0813" w:rsidP="003A0813">
      <w:pPr>
        <w:pStyle w:val="BoxHeading"/>
      </w:pPr>
      <w:r>
        <w:t>Clinical issues:</w:t>
      </w:r>
    </w:p>
    <w:p w14:paraId="1B29AA22" w14:textId="77777777" w:rsidR="003A0813" w:rsidRPr="008A47FE" w:rsidRDefault="003A0813" w:rsidP="003A0813">
      <w:pPr>
        <w:pStyle w:val="BoxBullet"/>
      </w:pPr>
      <w:r w:rsidRPr="006A0882">
        <w:t xml:space="preserve">The </w:t>
      </w:r>
      <w:r>
        <w:t>ADAR proposed</w:t>
      </w:r>
      <w:r w:rsidRPr="006A0882">
        <w:t xml:space="preserve"> </w:t>
      </w:r>
      <w:r>
        <w:t>a</w:t>
      </w:r>
      <w:r w:rsidRPr="00210D9C">
        <w:t xml:space="preserve"> minimal clinically important difference</w:t>
      </w:r>
      <w:r w:rsidRPr="006A0882">
        <w:t xml:space="preserve"> </w:t>
      </w:r>
      <w:r w:rsidRPr="00210D9C">
        <w:t>(</w:t>
      </w:r>
      <w:r w:rsidRPr="006A0882">
        <w:t>MCID</w:t>
      </w:r>
      <w:r w:rsidRPr="00210D9C">
        <w:t>)</w:t>
      </w:r>
      <w:r w:rsidRPr="006A0882">
        <w:t xml:space="preserve"> for change in </w:t>
      </w:r>
      <w:r w:rsidRPr="00210D9C">
        <w:t>glycated haemoglobin (</w:t>
      </w:r>
      <w:r w:rsidRPr="006A0882">
        <w:t>HbA1c</w:t>
      </w:r>
      <w:r w:rsidRPr="00210D9C">
        <w:t>)</w:t>
      </w:r>
      <w:r w:rsidRPr="006A0882">
        <w:t xml:space="preserve"> at 0.3%. This is lower than the threshold of 0.5% </w:t>
      </w:r>
      <w:r>
        <w:t xml:space="preserve">previously used by </w:t>
      </w:r>
      <w:r w:rsidRPr="006A0882">
        <w:t>the PBAC</w:t>
      </w:r>
      <w:r>
        <w:t xml:space="preserve"> (</w:t>
      </w:r>
      <w:r w:rsidRPr="006A0882">
        <w:t>for</w:t>
      </w:r>
      <w:r>
        <w:t xml:space="preserve"> example, semaglutide Public Summary Document [PSD], March 2021 PBAC meeting)</w:t>
      </w:r>
      <w:r w:rsidRPr="006A0882">
        <w:t xml:space="preserve">. </w:t>
      </w:r>
      <w:r>
        <w:t xml:space="preserve">An </w:t>
      </w:r>
      <w:r w:rsidRPr="006A0882">
        <w:t xml:space="preserve">MCID of 0.5% </w:t>
      </w:r>
      <w:r>
        <w:t xml:space="preserve">is also </w:t>
      </w:r>
      <w:r w:rsidRPr="006A0882">
        <w:t>accepted by NICE (</w:t>
      </w:r>
      <w:r>
        <w:t>England</w:t>
      </w:r>
      <w:r w:rsidRPr="006A0882">
        <w:t>).</w:t>
      </w:r>
      <w:r>
        <w:t xml:space="preserve"> The ADAR did not establish that a HbA1c reduction of 0.3% is clinically significant. I</w:t>
      </w:r>
      <w:r w:rsidRPr="00B35E4C">
        <w:t xml:space="preserve">f 0.5% </w:t>
      </w:r>
      <w:r>
        <w:t>remains accepted</w:t>
      </w:r>
      <w:r w:rsidRPr="00B35E4C">
        <w:t xml:space="preserve"> as the MCID for HbA1c</w:t>
      </w:r>
      <w:r>
        <w:t xml:space="preserve"> in type 2 diabetes (T2D)</w:t>
      </w:r>
      <w:r w:rsidRPr="00B35E4C">
        <w:t xml:space="preserve">, the claim of superior clinical effectiveness </w:t>
      </w:r>
      <w:r>
        <w:t xml:space="preserve">based on the change in HbA1c cannot be accepted. </w:t>
      </w:r>
      <w:r w:rsidRPr="008A47FE">
        <w:t>If a claim of superior clinical effectiveness</w:t>
      </w:r>
      <w:r>
        <w:t xml:space="preserve"> based on HbA1c change</w:t>
      </w:r>
      <w:r w:rsidRPr="008A47FE">
        <w:t xml:space="preserve"> cannot be established, an alternative may be for the applicant to establish a claim of non-inferior effectiveness</w:t>
      </w:r>
      <w:r>
        <w:t>. The applicant may also wish to consider establishing a claim of superior effectiveness if there is substantial evidence of improvement in other patient-relevant outcomes</w:t>
      </w:r>
      <w:r w:rsidRPr="008A47FE">
        <w:t>, such as quality of life (QoL).</w:t>
      </w:r>
      <w:r>
        <w:t xml:space="preserve"> </w:t>
      </w:r>
      <w:r w:rsidRPr="008A47FE">
        <w:t xml:space="preserve">While QoL improvements for patients using </w:t>
      </w:r>
      <w:r>
        <w:t>continuous glucose monitoring (</w:t>
      </w:r>
      <w:r w:rsidRPr="008A47FE">
        <w:t>CGM</w:t>
      </w:r>
      <w:r>
        <w:t>) would be expected because of the reduced need for finger prick testing</w:t>
      </w:r>
      <w:r w:rsidRPr="008A47FE">
        <w:t xml:space="preserve">, this </w:t>
      </w:r>
      <w:r>
        <w:t xml:space="preserve">was not supported by QoL outcomes reported in the studies </w:t>
      </w:r>
      <w:r w:rsidRPr="008A47FE">
        <w:t>presented in the application.</w:t>
      </w:r>
    </w:p>
    <w:p w14:paraId="28708FDA" w14:textId="49A111AC" w:rsidR="003A0813" w:rsidRDefault="00337C73" w:rsidP="003A0813">
      <w:pPr>
        <w:pStyle w:val="BoxBullet"/>
      </w:pPr>
      <w:r w:rsidRPr="00A16422">
        <w:rPr>
          <w:b/>
          <w:bCs/>
        </w:rPr>
        <w:t xml:space="preserve">REDACTED. </w:t>
      </w:r>
      <w:r w:rsidR="003A0813" w:rsidRPr="006A050D">
        <w:t xml:space="preserve">Therefore, device-agnostic </w:t>
      </w:r>
      <w:r w:rsidR="003A0813">
        <w:t>funding</w:t>
      </w:r>
      <w:r w:rsidR="003A0813" w:rsidRPr="006A050D">
        <w:t xml:space="preserve"> for these products would likely be appropriate </w:t>
      </w:r>
      <w:r w:rsidR="003A0813" w:rsidRPr="00A16422">
        <w:t>as the devices likely have a class effect</w:t>
      </w:r>
      <w:r w:rsidR="003A0813" w:rsidRPr="00A82E52">
        <w:t>.</w:t>
      </w:r>
    </w:p>
    <w:p w14:paraId="014B6C33" w14:textId="77777777" w:rsidR="003A0813" w:rsidRDefault="003A0813" w:rsidP="003A0813">
      <w:pPr>
        <w:pStyle w:val="BoxBullet"/>
      </w:pPr>
      <w:r>
        <w:t>I</w:t>
      </w:r>
      <w:r w:rsidRPr="002F22E2">
        <w:t xml:space="preserve">nsufficient data </w:t>
      </w:r>
      <w:r>
        <w:t xml:space="preserve">are </w:t>
      </w:r>
      <w:r w:rsidRPr="002F22E2">
        <w:t>available to support the clinical claim of superior effectiveness for PICO set</w:t>
      </w:r>
      <w:r>
        <w:t>s 2 and 3</w:t>
      </w:r>
      <w:r w:rsidRPr="002F22E2">
        <w:t>. However, ESC noted that PICO set</w:t>
      </w:r>
      <w:r>
        <w:t>s </w:t>
      </w:r>
      <w:r w:rsidRPr="002F22E2">
        <w:t>2</w:t>
      </w:r>
      <w:r>
        <w:t xml:space="preserve"> and 3</w:t>
      </w:r>
      <w:r w:rsidRPr="002F22E2">
        <w:t xml:space="preserve"> </w:t>
      </w:r>
      <w:r>
        <w:t>were</w:t>
      </w:r>
      <w:r w:rsidRPr="002F22E2">
        <w:t xml:space="preserve"> small but important subgroup</w:t>
      </w:r>
      <w:r>
        <w:t>s</w:t>
      </w:r>
      <w:r w:rsidRPr="002F22E2">
        <w:t xml:space="preserve"> </w:t>
      </w:r>
      <w:r>
        <w:t>for which</w:t>
      </w:r>
      <w:r w:rsidRPr="002F22E2">
        <w:t xml:space="preserve"> there was potential for good </w:t>
      </w:r>
      <w:r>
        <w:t xml:space="preserve">clinical </w:t>
      </w:r>
      <w:r w:rsidRPr="002F22E2">
        <w:t xml:space="preserve">outcomes </w:t>
      </w:r>
      <w:r>
        <w:t>from using</w:t>
      </w:r>
      <w:r w:rsidRPr="002F22E2">
        <w:t xml:space="preserve"> CGM.</w:t>
      </w:r>
    </w:p>
    <w:p w14:paraId="45829760" w14:textId="77777777" w:rsidR="003A0813" w:rsidRDefault="003A0813" w:rsidP="003A0813">
      <w:pPr>
        <w:pStyle w:val="BoxHeading"/>
      </w:pPr>
      <w:r>
        <w:t>Economic issues:</w:t>
      </w:r>
    </w:p>
    <w:p w14:paraId="3DF61638" w14:textId="77777777" w:rsidR="003A0813" w:rsidRDefault="003A0813" w:rsidP="003A0813">
      <w:pPr>
        <w:pStyle w:val="BoxBullet"/>
      </w:pPr>
      <w:r>
        <w:t>T</w:t>
      </w:r>
      <w:r w:rsidRPr="002663FE">
        <w:t>he diabetes complication events were generated using RECODe equations</w:t>
      </w:r>
      <w:r>
        <w:t xml:space="preserve">, but </w:t>
      </w:r>
      <w:r w:rsidRPr="002663FE">
        <w:t xml:space="preserve">it </w:t>
      </w:r>
      <w:r>
        <w:t xml:space="preserve">was </w:t>
      </w:r>
      <w:r w:rsidRPr="002663FE">
        <w:t>unclear whether the RECODe equations ha</w:t>
      </w:r>
      <w:r>
        <w:t>ve</w:t>
      </w:r>
      <w:r w:rsidRPr="002663FE">
        <w:t xml:space="preserve"> been validated in terms of disease progression only or also in terms of incremental effects across interventions.</w:t>
      </w:r>
      <w:r>
        <w:t xml:space="preserve"> The applicant should demonstrate that the model has been sufficiently validated to estimate increments in effect on the patient-relevant health states following any HbA1c improvement to assess the effect of the expected lag of onset of effect and less than full epidemiological prediction.</w:t>
      </w:r>
    </w:p>
    <w:p w14:paraId="24BF2734" w14:textId="77777777" w:rsidR="003A0813" w:rsidRDefault="003A0813" w:rsidP="003A0813">
      <w:pPr>
        <w:pStyle w:val="BoxBullet"/>
      </w:pPr>
      <w:r>
        <w:t xml:space="preserve">The clinical evidence for effectiveness used for the economic evaluation did not </w:t>
      </w:r>
      <w:r w:rsidRPr="0092344D">
        <w:t>m</w:t>
      </w:r>
      <w:r>
        <w:t>e</w:t>
      </w:r>
      <w:r w:rsidRPr="0092344D">
        <w:t xml:space="preserve">et </w:t>
      </w:r>
      <w:r>
        <w:t xml:space="preserve">the studies’ </w:t>
      </w:r>
      <w:r w:rsidRPr="0092344D">
        <w:t xml:space="preserve">prespecified MCIDs of 0.35% and 0.5%, </w:t>
      </w:r>
      <w:r>
        <w:t xml:space="preserve">which means it is </w:t>
      </w:r>
      <w:r w:rsidRPr="0092344D">
        <w:t>unclear whether there was any treatment effect on HbA1c.</w:t>
      </w:r>
    </w:p>
    <w:p w14:paraId="544FCCF5" w14:textId="77777777" w:rsidR="003A0813" w:rsidRPr="002663FE" w:rsidRDefault="003A0813" w:rsidP="003A0813">
      <w:pPr>
        <w:pStyle w:val="BoxBullet"/>
      </w:pPr>
      <w:r>
        <w:t>For transparency, the applicant should provide the results of the second-order probabilistic analysis for scenario 1 in the T2D model without varying the discount rate or time horizon from the first-order economic evaluation. These should include tabulated results for the CGM arm, the SMBG arm and the increment; the aggregate discount costs, life years and QALYs; and the discounted cost per life year and cost per QALY (increment only).</w:t>
      </w:r>
    </w:p>
    <w:p w14:paraId="1476AF65" w14:textId="77777777" w:rsidR="003A0813" w:rsidRDefault="003A0813" w:rsidP="003A0813">
      <w:pPr>
        <w:pStyle w:val="BoxHeading"/>
      </w:pPr>
      <w:r>
        <w:t>Financial issues:</w:t>
      </w:r>
    </w:p>
    <w:p w14:paraId="283367BF" w14:textId="75590704" w:rsidR="003A0813" w:rsidRDefault="003A0813" w:rsidP="003A0813">
      <w:pPr>
        <w:pStyle w:val="BoxBullet"/>
      </w:pPr>
      <w:r>
        <w:t>There was a</w:t>
      </w:r>
      <w:r w:rsidRPr="00F82CAB">
        <w:t xml:space="preserve"> difference in </w:t>
      </w:r>
      <w:r>
        <w:t>device cost</w:t>
      </w:r>
      <w:r w:rsidRPr="00F82CAB">
        <w:t xml:space="preserve"> per year </w:t>
      </w:r>
      <w:r>
        <w:t>presented between</w:t>
      </w:r>
      <w:r w:rsidRPr="00F82CAB">
        <w:t xml:space="preserve"> the FSL2 </w:t>
      </w:r>
      <w:r w:rsidRPr="00E134A4">
        <w:t>(</w:t>
      </w:r>
      <w:r w:rsidRPr="005A35DF">
        <w:t>$</w:t>
      </w:r>
      <w:r w:rsidR="005A35DF">
        <w:rPr>
          <w:b/>
          <w:bCs/>
        </w:rPr>
        <w:t>REDACTED</w:t>
      </w:r>
      <w:r w:rsidRPr="00E134A4">
        <w:t xml:space="preserve">) </w:t>
      </w:r>
      <w:r w:rsidRPr="00F82CAB">
        <w:t>and the Dexcom ONE ($</w:t>
      </w:r>
      <w:r w:rsidR="00337C73">
        <w:rPr>
          <w:b/>
          <w:bCs/>
        </w:rPr>
        <w:t>REDACTED</w:t>
      </w:r>
      <w:r w:rsidRPr="00F82CAB">
        <w:t xml:space="preserve">) for </w:t>
      </w:r>
      <w:r>
        <w:t xml:space="preserve">likely similar clinical </w:t>
      </w:r>
      <w:r w:rsidRPr="00F82CAB">
        <w:t>outcome</w:t>
      </w:r>
      <w:r>
        <w:t>s</w:t>
      </w:r>
      <w:r w:rsidRPr="00F82CAB">
        <w:t xml:space="preserve">. ESC </w:t>
      </w:r>
      <w:r>
        <w:t>advised that, if a device-agnostic listing is approved, MSAC could consider</w:t>
      </w:r>
      <w:r w:rsidRPr="00F82CAB">
        <w:t xml:space="preserve"> a </w:t>
      </w:r>
      <w:r>
        <w:t>cost-</w:t>
      </w:r>
      <w:r w:rsidRPr="00F82CAB">
        <w:t>minimisation approach for CGM products accessed via the NDSS</w:t>
      </w:r>
      <w:r>
        <w:t>, accounting for the different durations of sensor performance,</w:t>
      </w:r>
      <w:r w:rsidRPr="00F7550E">
        <w:t xml:space="preserve"> such as direct price competition or the introduction of a price premium for more expensive options</w:t>
      </w:r>
      <w:r w:rsidRPr="00F82CAB">
        <w:t>.</w:t>
      </w:r>
    </w:p>
    <w:p w14:paraId="571FCAC0" w14:textId="77777777" w:rsidR="003A0813" w:rsidRDefault="003A0813" w:rsidP="003A0813">
      <w:pPr>
        <w:pStyle w:val="BoxBullet"/>
        <w:numPr>
          <w:ilvl w:val="0"/>
          <w:numId w:val="0"/>
        </w:numPr>
        <w:ind w:left="357" w:hanging="357"/>
        <w:rPr>
          <w:b/>
          <w:bCs/>
        </w:rPr>
      </w:pPr>
      <w:r>
        <w:rPr>
          <w:b/>
          <w:bCs/>
        </w:rPr>
        <w:t>Other relevant information:</w:t>
      </w:r>
    </w:p>
    <w:p w14:paraId="79B202B6" w14:textId="77777777" w:rsidR="003A0813" w:rsidRDefault="003A0813" w:rsidP="003A0813">
      <w:pPr>
        <w:pStyle w:val="BoxBullet"/>
      </w:pPr>
      <w:r w:rsidRPr="00F7550E">
        <w:t>MSAC may wish to consider equity issues in relation to co-payments across different diabetes types and subpopulations</w:t>
      </w:r>
      <w:r>
        <w:t>, noting that currently a co</w:t>
      </w:r>
      <w:r w:rsidRPr="000810D8">
        <w:t>-payment</w:t>
      </w:r>
      <w:r>
        <w:t xml:space="preserve"> is</w:t>
      </w:r>
      <w:r w:rsidRPr="000810D8">
        <w:t xml:space="preserve"> applicable for CGM funding for non-Aboriginal and Torres Strait Islander and non-concessional beneficiaries aged 21 years or over</w:t>
      </w:r>
      <w:r>
        <w:t xml:space="preserve"> with T1D</w:t>
      </w:r>
      <w:r w:rsidRPr="000810D8">
        <w:t xml:space="preserve">. </w:t>
      </w:r>
      <w:r>
        <w:t>A</w:t>
      </w:r>
      <w:r w:rsidRPr="000810D8">
        <w:t xml:space="preserve">pplying a full subsidy of CGM for T2D patients would </w:t>
      </w:r>
      <w:r>
        <w:t xml:space="preserve">therefore </w:t>
      </w:r>
      <w:r w:rsidRPr="000810D8">
        <w:t xml:space="preserve">create an inequity in subsidy access compared to the existing NDSS subsidy co-payment arrangements for similar patients with T1D (and for blood glucose strips). </w:t>
      </w:r>
    </w:p>
    <w:p w14:paraId="3D1EED97" w14:textId="77777777" w:rsidR="003A0813" w:rsidRPr="00F7550E" w:rsidRDefault="003A0813" w:rsidP="003A0813">
      <w:pPr>
        <w:pStyle w:val="BoxBullet"/>
      </w:pPr>
      <w:r w:rsidRPr="00F7550E">
        <w:t xml:space="preserve">Most patients with T2D are managed in a </w:t>
      </w:r>
      <w:r>
        <w:t>general practitioner (</w:t>
      </w:r>
      <w:r w:rsidRPr="00F7550E">
        <w:t>GP</w:t>
      </w:r>
      <w:r>
        <w:t>)</w:t>
      </w:r>
      <w:r w:rsidRPr="00F7550E">
        <w:t xml:space="preserve"> setting, but GPs are currently not included in the set of health professionals who can </w:t>
      </w:r>
      <w:r>
        <w:t>certify eligibility for the populations eligible for CGM products through the NDSS</w:t>
      </w:r>
      <w:r w:rsidRPr="00F7550E">
        <w:t xml:space="preserve">. Allowing GPs to approve the device would eliminate </w:t>
      </w:r>
      <w:r>
        <w:t xml:space="preserve">authorisation </w:t>
      </w:r>
      <w:r w:rsidRPr="00F7550E">
        <w:t>bottlenecks and improve equity of access. Consumer feedback also supports an extended role for GPs.</w:t>
      </w:r>
    </w:p>
    <w:p w14:paraId="5CD5CE76" w14:textId="77777777" w:rsidR="003A0813" w:rsidRPr="001868D2" w:rsidRDefault="003A0813" w:rsidP="003027B3">
      <w:pPr>
        <w:spacing w:before="240" w:after="120"/>
        <w:rPr>
          <w:rStyle w:val="Strong"/>
        </w:rPr>
      </w:pPr>
      <w:r w:rsidRPr="001868D2">
        <w:rPr>
          <w:rStyle w:val="Strong"/>
        </w:rPr>
        <w:t>ESC discussion</w:t>
      </w:r>
    </w:p>
    <w:p w14:paraId="115E6467" w14:textId="77777777" w:rsidR="003A0813" w:rsidRPr="00DA51A8" w:rsidRDefault="003A0813" w:rsidP="003A0813">
      <w:pPr>
        <w:pStyle w:val="NormalBeforeBullet0"/>
      </w:pPr>
      <w:r w:rsidRPr="002D4BBB">
        <w:t xml:space="preserve">ESC noted that </w:t>
      </w:r>
      <w:r>
        <w:t>this application from Abbott Australasia was originally to r</w:t>
      </w:r>
      <w:r w:rsidRPr="002D4BBB">
        <w:t>equest National Diabetes Services Scheme (NDSS) funding of the FreeStyle Libre</w:t>
      </w:r>
      <w:r>
        <w:t> </w:t>
      </w:r>
      <w:r w:rsidRPr="002D4BBB">
        <w:t xml:space="preserve">2 (FSL2) continuous </w:t>
      </w:r>
      <w:r w:rsidRPr="00DA51A8">
        <w:t>glucose monitoring (CGM) system for:</w:t>
      </w:r>
    </w:p>
    <w:p w14:paraId="6D3E8D98" w14:textId="77777777" w:rsidR="003A0813" w:rsidRPr="0026376C" w:rsidRDefault="003A0813" w:rsidP="003027B3">
      <w:pPr>
        <w:pStyle w:val="Bullet"/>
        <w:numPr>
          <w:ilvl w:val="0"/>
          <w:numId w:val="24"/>
        </w:numPr>
        <w:spacing w:before="0"/>
        <w:rPr>
          <w:rFonts w:ascii="Franklin Gothic Book" w:hAnsi="Franklin Gothic Book"/>
        </w:rPr>
      </w:pPr>
      <w:r w:rsidRPr="0026376C">
        <w:rPr>
          <w:rFonts w:ascii="Franklin Gothic Book" w:hAnsi="Franklin Gothic Book"/>
        </w:rPr>
        <w:t>people with type 2 diabetes mellitus (T2D) requiring treatment with insulin (PICO set 1)</w:t>
      </w:r>
    </w:p>
    <w:p w14:paraId="13CAF9AE" w14:textId="77777777" w:rsidR="003A0813" w:rsidRPr="0026376C" w:rsidRDefault="003A0813" w:rsidP="003027B3">
      <w:pPr>
        <w:pStyle w:val="Bullet"/>
        <w:numPr>
          <w:ilvl w:val="0"/>
          <w:numId w:val="24"/>
        </w:numPr>
        <w:spacing w:before="0"/>
        <w:rPr>
          <w:rFonts w:ascii="Franklin Gothic Book" w:hAnsi="Franklin Gothic Book"/>
        </w:rPr>
      </w:pPr>
      <w:r w:rsidRPr="0026376C">
        <w:rPr>
          <w:rFonts w:ascii="Franklin Gothic Book" w:hAnsi="Franklin Gothic Book"/>
        </w:rPr>
        <w:t>pregnant women with gestational diabetes mellitus (GDM) (PICO set 2)</w:t>
      </w:r>
    </w:p>
    <w:p w14:paraId="6CD94C9E" w14:textId="77777777" w:rsidR="003A0813" w:rsidRPr="00DA51A8" w:rsidRDefault="003A0813" w:rsidP="003027B3">
      <w:pPr>
        <w:pStyle w:val="BulletLast"/>
        <w:numPr>
          <w:ilvl w:val="0"/>
          <w:numId w:val="24"/>
        </w:numPr>
      </w:pPr>
      <w:r w:rsidRPr="00DA51A8">
        <w:t>people with type 3c diabetes (T3cD) requiring treatment with insulin (PICO set 3).</w:t>
      </w:r>
    </w:p>
    <w:p w14:paraId="675D4361" w14:textId="77777777" w:rsidR="003A0813" w:rsidRPr="00DA51A8" w:rsidRDefault="003A0813" w:rsidP="003A0813">
      <w:r w:rsidRPr="00DA51A8">
        <w:t xml:space="preserve">ESC noted that, following a meeting including the department and the applicant, PICO set 3 had been expanded to include people aged 21 years and over </w:t>
      </w:r>
      <w:r>
        <w:t xml:space="preserve">who have conditions </w:t>
      </w:r>
      <w:proofErr w:type="gramStart"/>
      <w:r w:rsidRPr="00DA51A8">
        <w:t>similar to</w:t>
      </w:r>
      <w:proofErr w:type="gramEnd"/>
      <w:r w:rsidRPr="00DA51A8">
        <w:t xml:space="preserve"> type 1 diabetes mellitus (T1D) </w:t>
      </w:r>
      <w:r>
        <w:t xml:space="preserve">and </w:t>
      </w:r>
      <w:r w:rsidRPr="00DA51A8">
        <w:t>requir</w:t>
      </w:r>
      <w:r>
        <w:t>e</w:t>
      </w:r>
      <w:r w:rsidRPr="00DA51A8">
        <w:t xml:space="preserve"> insulin.</w:t>
      </w:r>
    </w:p>
    <w:p w14:paraId="7FEED559" w14:textId="77777777" w:rsidR="003A0813" w:rsidRPr="0026376C" w:rsidRDefault="003A0813" w:rsidP="003A0813">
      <w:pPr>
        <w:pStyle w:val="Bullet"/>
        <w:numPr>
          <w:ilvl w:val="0"/>
          <w:numId w:val="0"/>
        </w:numPr>
        <w:rPr>
          <w:rFonts w:ascii="Franklin Gothic Book" w:hAnsi="Franklin Gothic Book"/>
        </w:rPr>
      </w:pPr>
      <w:r w:rsidRPr="0026376C">
        <w:rPr>
          <w:rFonts w:ascii="Franklin Gothic Book" w:hAnsi="Franklin Gothic Book"/>
        </w:rPr>
        <w:t>ESC noted the history of subsidised CGM monitoring in Australia. CGM technology has received public funding since 2017, when the NDSS provided full subsidies for T1D patients under the age of 21 years. In March 2019, access was expanded to include:</w:t>
      </w:r>
    </w:p>
    <w:p w14:paraId="087BB3DE" w14:textId="77777777" w:rsidR="003A0813" w:rsidRPr="0026376C" w:rsidRDefault="003A0813" w:rsidP="003027B3">
      <w:pPr>
        <w:pStyle w:val="Bullet"/>
        <w:numPr>
          <w:ilvl w:val="0"/>
          <w:numId w:val="24"/>
        </w:numPr>
        <w:spacing w:before="0"/>
        <w:rPr>
          <w:rFonts w:ascii="Franklin Gothic Book" w:hAnsi="Franklin Gothic Book"/>
        </w:rPr>
      </w:pPr>
      <w:r w:rsidRPr="0026376C">
        <w:rPr>
          <w:rFonts w:ascii="Franklin Gothic Book" w:hAnsi="Franklin Gothic Book"/>
        </w:rPr>
        <w:t>T1D patients aged 21 years and over with concession status and a specified set of clinical needs</w:t>
      </w:r>
    </w:p>
    <w:p w14:paraId="0CAFFAEF" w14:textId="77777777" w:rsidR="003A0813" w:rsidRPr="0026376C" w:rsidRDefault="003A0813" w:rsidP="003027B3">
      <w:pPr>
        <w:pStyle w:val="Bullet"/>
        <w:numPr>
          <w:ilvl w:val="0"/>
          <w:numId w:val="24"/>
        </w:numPr>
        <w:spacing w:before="0"/>
        <w:rPr>
          <w:rFonts w:ascii="Franklin Gothic Book" w:hAnsi="Franklin Gothic Book"/>
        </w:rPr>
      </w:pPr>
      <w:r w:rsidRPr="0026376C">
        <w:rPr>
          <w:rFonts w:ascii="Franklin Gothic Book" w:hAnsi="Franklin Gothic Book"/>
        </w:rPr>
        <w:t>T1D patients who are pregnant, actively planning pregnancy or immediately post-pregnancy</w:t>
      </w:r>
    </w:p>
    <w:p w14:paraId="563A478A" w14:textId="77777777" w:rsidR="003A0813" w:rsidRPr="00DA51A8" w:rsidRDefault="003A0813" w:rsidP="003027B3">
      <w:pPr>
        <w:pStyle w:val="BulletLast"/>
        <w:numPr>
          <w:ilvl w:val="0"/>
          <w:numId w:val="24"/>
        </w:numPr>
      </w:pPr>
      <w:r w:rsidRPr="00DA51A8">
        <w:t xml:space="preserve">patients aged under 21 years who have conditions </w:t>
      </w:r>
      <w:proofErr w:type="gramStart"/>
      <w:r w:rsidRPr="00DA51A8">
        <w:t>similar to</w:t>
      </w:r>
      <w:proofErr w:type="gramEnd"/>
      <w:r w:rsidRPr="00DA51A8">
        <w:t xml:space="preserve"> T1D and require insulin.</w:t>
      </w:r>
    </w:p>
    <w:p w14:paraId="14D75320" w14:textId="7E486E16" w:rsidR="003A0813" w:rsidRPr="0026376C" w:rsidRDefault="003A0813" w:rsidP="003A0813">
      <w:pPr>
        <w:pStyle w:val="BulletBeforeDash"/>
        <w:numPr>
          <w:ilvl w:val="0"/>
          <w:numId w:val="0"/>
        </w:numPr>
      </w:pPr>
      <w:r w:rsidRPr="53F9ED77">
        <w:t xml:space="preserve">In 2022, the NDSS expanded funding of CGM technology to all patients with T1D (with an equivalent monthly co-payment </w:t>
      </w:r>
      <w:r w:rsidR="00A77A1E" w:rsidRPr="53F9ED77">
        <w:t xml:space="preserve">currently of around $35.90 for </w:t>
      </w:r>
      <w:r w:rsidR="00A77A1E">
        <w:t>people</w:t>
      </w:r>
      <w:r w:rsidR="00A77A1E" w:rsidRPr="53F9ED77">
        <w:t xml:space="preserve"> </w:t>
      </w:r>
      <w:r w:rsidRPr="53F9ED77">
        <w:t>aged 21 years and over who do not have concessional status).</w:t>
      </w:r>
    </w:p>
    <w:p w14:paraId="239CABDF" w14:textId="77777777" w:rsidR="003A0813" w:rsidRPr="00350FF5" w:rsidRDefault="003A0813" w:rsidP="003A0813">
      <w:pPr>
        <w:pStyle w:val="Bullet"/>
        <w:numPr>
          <w:ilvl w:val="0"/>
          <w:numId w:val="0"/>
        </w:numPr>
        <w:rPr>
          <w:rFonts w:ascii="Franklin Gothic Book" w:hAnsi="Franklin Gothic Book"/>
        </w:rPr>
      </w:pPr>
      <w:r w:rsidRPr="0026376C">
        <w:rPr>
          <w:rFonts w:ascii="Franklin Gothic Book" w:hAnsi="Franklin Gothic Book"/>
        </w:rPr>
        <w:t xml:space="preserve">MSAC conducted a review of CGM products provided via the NDSS for people with T1D in 2021 (see </w:t>
      </w:r>
      <w:hyperlink r:id="rId17" w:history="1">
        <w:r w:rsidRPr="0026376C">
          <w:rPr>
            <w:rStyle w:val="Hyperlink"/>
            <w:rFonts w:ascii="Franklin Gothic Book" w:hAnsi="Franklin Gothic Book"/>
          </w:rPr>
          <w:t>MSAC Review 1663</w:t>
        </w:r>
      </w:hyperlink>
      <w:r w:rsidRPr="00350FF5">
        <w:rPr>
          <w:rFonts w:ascii="Franklin Gothic Book" w:hAnsi="Franklin Gothic Book"/>
        </w:rPr>
        <w:t>). After considering the available evidence, the review concluded that there is most likely no difference between CGM and self-monitoring of blood glucose (SMBG) in terms of safety and effectiveness. However, the review noted that clinically relevant outcomes and clinical needs vary according to the patient and recommended that the clinical and quality of life (QoL) benefits of CGM be further explored.</w:t>
      </w:r>
    </w:p>
    <w:p w14:paraId="4C7A5B29" w14:textId="77777777" w:rsidR="003A0813" w:rsidRDefault="003A0813" w:rsidP="003A0813">
      <w:r>
        <w:t xml:space="preserve">ESC noted that there are currently 3 manufacturers of CGM products on the NDSS, 2 of which are currently under consideration by MSAC. </w:t>
      </w:r>
      <w:hyperlink r:id="rId18" w:history="1">
        <w:r w:rsidRPr="001846B3">
          <w:rPr>
            <w:rStyle w:val="Hyperlink"/>
          </w:rPr>
          <w:t>Application 1785</w:t>
        </w:r>
      </w:hyperlink>
      <w:r>
        <w:t xml:space="preserve"> seeks funding for the Dexcom ONE CGM system for people with T2D requiring insulin.</w:t>
      </w:r>
    </w:p>
    <w:p w14:paraId="0D0802DF" w14:textId="77777777" w:rsidR="003A0813" w:rsidRDefault="003A0813" w:rsidP="003A0813">
      <w:r w:rsidRPr="00C75FA3">
        <w:t>Th</w:t>
      </w:r>
      <w:r>
        <w:t>is</w:t>
      </w:r>
      <w:r w:rsidRPr="00C75FA3">
        <w:t xml:space="preserve"> application </w:t>
      </w:r>
      <w:r>
        <w:t>(1786)</w:t>
      </w:r>
      <w:r w:rsidRPr="00C75FA3">
        <w:t xml:space="preserve"> requests public funding for</w:t>
      </w:r>
      <w:r>
        <w:t xml:space="preserve"> FSL2 for:</w:t>
      </w:r>
    </w:p>
    <w:p w14:paraId="0762E9BA" w14:textId="77777777" w:rsidR="003A0813" w:rsidRDefault="003A0813" w:rsidP="003027B3">
      <w:pPr>
        <w:pStyle w:val="ListParagraph"/>
        <w:numPr>
          <w:ilvl w:val="0"/>
          <w:numId w:val="26"/>
        </w:numPr>
      </w:pPr>
      <w:r>
        <w:t>people with T2D requiring insulin</w:t>
      </w:r>
    </w:p>
    <w:p w14:paraId="78AD2755" w14:textId="77777777" w:rsidR="003A0813" w:rsidRDefault="003A0813" w:rsidP="003027B3">
      <w:pPr>
        <w:pStyle w:val="ListParagraph"/>
        <w:numPr>
          <w:ilvl w:val="0"/>
          <w:numId w:val="26"/>
        </w:numPr>
      </w:pPr>
      <w:r>
        <w:t>women with GDM</w:t>
      </w:r>
    </w:p>
    <w:p w14:paraId="25CAF2DF" w14:textId="77777777" w:rsidR="003A0813" w:rsidRDefault="003A0813" w:rsidP="003027B3">
      <w:pPr>
        <w:pStyle w:val="ListParagraph"/>
        <w:numPr>
          <w:ilvl w:val="0"/>
          <w:numId w:val="26"/>
        </w:numPr>
      </w:pPr>
      <w:r w:rsidRPr="00C47F9F">
        <w:t>people over the age of 21</w:t>
      </w:r>
      <w:r>
        <w:t xml:space="preserve"> </w:t>
      </w:r>
      <w:r w:rsidRPr="00C47F9F">
        <w:t xml:space="preserve">with other conditions </w:t>
      </w:r>
      <w:proofErr w:type="gramStart"/>
      <w:r w:rsidRPr="00C47F9F">
        <w:t>similar to</w:t>
      </w:r>
      <w:proofErr w:type="gramEnd"/>
      <w:r w:rsidRPr="00C47F9F">
        <w:t xml:space="preserve"> T1D</w:t>
      </w:r>
      <w:r>
        <w:t xml:space="preserve"> requiring insulin, </w:t>
      </w:r>
      <w:r w:rsidRPr="00C47F9F">
        <w:t>including Type 3c</w:t>
      </w:r>
      <w:r>
        <w:t xml:space="preserve"> diabetes.</w:t>
      </w:r>
    </w:p>
    <w:p w14:paraId="75D42CC0" w14:textId="77777777" w:rsidR="003A0813" w:rsidRDefault="003A0813" w:rsidP="003A0813">
      <w:r>
        <w:t xml:space="preserve">ESC noted that the proposed NDSS eligibility criteria for FSL2 did not specify poor glycaemic control (represented by HbA1c above a certain threshold), unlike the proposed eligibility criteria for application 1785. ESC considered that the eligibility criteria for </w:t>
      </w:r>
      <w:r w:rsidRPr="002D21DF">
        <w:t xml:space="preserve">patients with T2D </w:t>
      </w:r>
      <w:r>
        <w:t>requiring</w:t>
      </w:r>
      <w:r w:rsidRPr="002D21DF">
        <w:t xml:space="preserve"> insulin</w:t>
      </w:r>
      <w:r>
        <w:t xml:space="preserve"> could be defined</w:t>
      </w:r>
      <w:r w:rsidRPr="002D21DF">
        <w:t xml:space="preserve"> without a need to define intensity of insulin usage</w:t>
      </w:r>
      <w:r>
        <w:t xml:space="preserve"> among different sub-populations but queried whether the proposed eligibility criteria for FSL2 should also specify a HbA1c </w:t>
      </w:r>
      <w:r w:rsidRPr="007C692E">
        <w:t>threshold (</w:t>
      </w:r>
      <w:r w:rsidRPr="004A3188">
        <w:t>like application 1785</w:t>
      </w:r>
      <w:r w:rsidRPr="007C692E">
        <w:t>).</w:t>
      </w:r>
      <w:r>
        <w:t xml:space="preserve"> </w:t>
      </w:r>
    </w:p>
    <w:p w14:paraId="67C5B67C" w14:textId="77777777" w:rsidR="003A0813" w:rsidRPr="00A55BD8" w:rsidRDefault="003A0813" w:rsidP="003A0813">
      <w:pPr>
        <w:spacing w:before="0" w:after="240" w:line="240" w:lineRule="auto"/>
        <w:rPr>
          <w:rFonts w:eastAsia="Times New Roman" w:cs="Times New Roman"/>
          <w:szCs w:val="20"/>
          <w:lang w:eastAsia="en-AU"/>
        </w:rPr>
      </w:pPr>
      <w:r w:rsidRPr="00F7550E">
        <w:rPr>
          <w:rFonts w:eastAsia="Times New Roman" w:cs="Times New Roman"/>
          <w:szCs w:val="20"/>
          <w:lang w:eastAsia="en-AU"/>
        </w:rPr>
        <w:t xml:space="preserve">ESC noted that </w:t>
      </w:r>
      <w:r>
        <w:rPr>
          <w:rFonts w:eastAsia="Times New Roman" w:cs="Times New Roman"/>
          <w:szCs w:val="20"/>
          <w:lang w:eastAsia="en-AU"/>
        </w:rPr>
        <w:t xml:space="preserve">GPs are not </w:t>
      </w:r>
      <w:r w:rsidRPr="00661F11">
        <w:rPr>
          <w:rFonts w:eastAsia="Times New Roman" w:cs="Times New Roman"/>
          <w:szCs w:val="20"/>
          <w:lang w:eastAsia="en-AU"/>
        </w:rPr>
        <w:t>authorised to certify eligibility to access CGM products through the NDSS</w:t>
      </w:r>
      <w:r>
        <w:rPr>
          <w:rFonts w:eastAsia="Times New Roman" w:cs="Times New Roman"/>
          <w:szCs w:val="20"/>
          <w:lang w:eastAsia="en-AU"/>
        </w:rPr>
        <w:t>. E</w:t>
      </w:r>
      <w:r w:rsidRPr="00F7550E">
        <w:rPr>
          <w:rFonts w:eastAsia="Times New Roman" w:cs="Times New Roman"/>
          <w:szCs w:val="20"/>
          <w:lang w:eastAsia="en-AU"/>
        </w:rPr>
        <w:t>ndocrinologists, certified diabetes educators and other health professionals specialising in diabetes can determine whether patients meet the eligibility criteria for CGM</w:t>
      </w:r>
      <w:r>
        <w:rPr>
          <w:rFonts w:eastAsia="Times New Roman" w:cs="Times New Roman"/>
          <w:szCs w:val="20"/>
          <w:lang w:eastAsia="en-AU"/>
        </w:rPr>
        <w:t xml:space="preserve"> on the NDSS</w:t>
      </w:r>
      <w:r w:rsidRPr="00F7550E">
        <w:rPr>
          <w:rFonts w:eastAsia="Times New Roman" w:cs="Times New Roman"/>
          <w:szCs w:val="20"/>
          <w:lang w:eastAsia="en-AU"/>
        </w:rPr>
        <w:t xml:space="preserve">. However, </w:t>
      </w:r>
      <w:r>
        <w:t>ESC considered it appropriate that general practitioners (GPs)</w:t>
      </w:r>
      <w:r w:rsidRPr="00ED442D">
        <w:t xml:space="preserve"> </w:t>
      </w:r>
      <w:r>
        <w:t xml:space="preserve">be </w:t>
      </w:r>
      <w:r w:rsidRPr="00ED442D">
        <w:t>authorised to certify eligibility to access CGM products through the NDSS.</w:t>
      </w:r>
      <w:r>
        <w:t xml:space="preserve"> ESC noted that</w:t>
      </w:r>
      <w:r w:rsidRPr="00F7550E">
        <w:rPr>
          <w:rFonts w:eastAsia="Times New Roman" w:cs="Times New Roman"/>
          <w:szCs w:val="20"/>
          <w:lang w:eastAsia="en-AU"/>
        </w:rPr>
        <w:t xml:space="preserve"> most patients with </w:t>
      </w:r>
      <w:r>
        <w:t>T2D are diagnosed and managed by a GP who regularly monitors their HbA1c. ESC considered that there was no capacity for all patients to see an endocrinologist or diabetes educator (currently authorised to certify eligibility) and that this was a significant issue for equity, especially in rural areas where patients may have less access to non-GP health professionals. ESC also considered the ability for GPs to certify eligibility would be especially important for GDM patients.</w:t>
      </w:r>
      <w:r w:rsidRPr="002D21DF">
        <w:t xml:space="preserve"> </w:t>
      </w:r>
      <w:r>
        <w:t xml:space="preserve">ESC discussed whether a pharmacist could authorise eligibility; however, ESC considered that it was unclear how they could do this without requesting data from a GP or how they would manage FSL2 use and outcomes going forward. </w:t>
      </w:r>
    </w:p>
    <w:p w14:paraId="26F6B340" w14:textId="77777777" w:rsidR="003A0813" w:rsidRDefault="003A0813" w:rsidP="003A0813">
      <w:r>
        <w:t xml:space="preserve">ESC considered the public consultation feedback received for this application alongside the feedback received for MSAC </w:t>
      </w:r>
      <w:r w:rsidRPr="000433A8">
        <w:t>Application</w:t>
      </w:r>
      <w:r>
        <w:t> </w:t>
      </w:r>
      <w:r w:rsidRPr="000433A8">
        <w:t>178</w:t>
      </w:r>
      <w:r>
        <w:t xml:space="preserve">5. ESC noted that </w:t>
      </w:r>
      <w:proofErr w:type="gramStart"/>
      <w:r>
        <w:t>a large number of</w:t>
      </w:r>
      <w:proofErr w:type="gramEnd"/>
      <w:r>
        <w:t xml:space="preserve"> submissions in this feedback had been received and that the feedback came from a variety of sources, including professional organisations, peak bodies, medical device companies, individual healthcare providers, and Aboriginal health and community service providers. </w:t>
      </w:r>
    </w:p>
    <w:p w14:paraId="61476FEC" w14:textId="77777777" w:rsidR="003A0813" w:rsidRPr="00B14943" w:rsidRDefault="003A0813" w:rsidP="003A0813">
      <w:pPr>
        <w:spacing w:before="0" w:after="240" w:line="240" w:lineRule="auto"/>
        <w:rPr>
          <w:rFonts w:eastAsia="Times New Roman" w:cs="Times New Roman"/>
          <w:color w:val="000000"/>
          <w:szCs w:val="20"/>
          <w:lang w:eastAsia="en-AU"/>
        </w:rPr>
      </w:pPr>
      <w:r>
        <w:rPr>
          <w:rFonts w:eastAsia="Times New Roman" w:cs="Times New Roman"/>
          <w:color w:val="000000"/>
          <w:szCs w:val="20"/>
          <w:lang w:eastAsia="en-AU"/>
        </w:rPr>
        <w:t>The feedback</w:t>
      </w:r>
      <w:r w:rsidRPr="00F7550E">
        <w:rPr>
          <w:rFonts w:eastAsia="Times New Roman" w:cs="Times New Roman"/>
          <w:color w:val="000000"/>
          <w:szCs w:val="20"/>
          <w:lang w:eastAsia="en-AU"/>
        </w:rPr>
        <w:t xml:space="preserve"> focused on the potential benefits of CGM products</w:t>
      </w:r>
      <w:r>
        <w:rPr>
          <w:rFonts w:eastAsia="Times New Roman" w:cs="Times New Roman"/>
          <w:color w:val="000000"/>
          <w:szCs w:val="20"/>
          <w:lang w:eastAsia="en-AU"/>
        </w:rPr>
        <w:t>,</w:t>
      </w:r>
      <w:r w:rsidRPr="00F7550E">
        <w:rPr>
          <w:rFonts w:eastAsia="Times New Roman" w:cs="Times New Roman"/>
          <w:color w:val="000000"/>
          <w:szCs w:val="20"/>
          <w:lang w:eastAsia="en-AU"/>
        </w:rPr>
        <w:t xml:space="preserve"> highlight</w:t>
      </w:r>
      <w:r>
        <w:rPr>
          <w:rFonts w:eastAsia="Times New Roman" w:cs="Times New Roman"/>
          <w:color w:val="000000"/>
          <w:szCs w:val="20"/>
          <w:lang w:eastAsia="en-AU"/>
        </w:rPr>
        <w:t>ing</w:t>
      </w:r>
      <w:r w:rsidRPr="00F7550E">
        <w:rPr>
          <w:rFonts w:eastAsia="Times New Roman" w:cs="Times New Roman"/>
          <w:color w:val="000000"/>
          <w:szCs w:val="20"/>
          <w:lang w:eastAsia="en-AU"/>
        </w:rPr>
        <w:t xml:space="preserve"> the capacity for real-time monitoring to reduce hypoglycaemic events, especially at night. This capability </w:t>
      </w:r>
      <w:r>
        <w:rPr>
          <w:rFonts w:eastAsia="Times New Roman" w:cs="Times New Roman"/>
          <w:color w:val="000000"/>
          <w:szCs w:val="20"/>
          <w:lang w:eastAsia="en-AU"/>
        </w:rPr>
        <w:t>reduces the fear of hypoglycaemic events and</w:t>
      </w:r>
      <w:r w:rsidRPr="00F7550E">
        <w:rPr>
          <w:rFonts w:eastAsia="Times New Roman" w:cs="Times New Roman"/>
          <w:color w:val="000000"/>
          <w:szCs w:val="20"/>
          <w:lang w:eastAsia="en-AU"/>
        </w:rPr>
        <w:t xml:space="preserve"> provides peace of mind to patients and their carers, especially when a patient is older, has cognitive disability or is living alone. </w:t>
      </w:r>
      <w:r>
        <w:rPr>
          <w:rFonts w:eastAsia="Times New Roman" w:cs="Times New Roman"/>
          <w:color w:val="000000"/>
          <w:szCs w:val="20"/>
          <w:lang w:eastAsia="en-AU"/>
        </w:rPr>
        <w:t>The feedback</w:t>
      </w:r>
      <w:r w:rsidRPr="00F7550E">
        <w:rPr>
          <w:rFonts w:eastAsia="Times New Roman" w:cs="Times New Roman"/>
          <w:color w:val="000000"/>
          <w:szCs w:val="20"/>
          <w:lang w:eastAsia="en-AU"/>
        </w:rPr>
        <w:t xml:space="preserve"> also noted that the real-time feedback afforded by CGM helps people understand the impact of their lifestyle on blood glucose levels (BGLs) in real time, which in turn builds confidence and self-efficacy, facilitates more informed and timely decision-making, and helps people feel more engaged in their own treatment</w:t>
      </w:r>
      <w:r>
        <w:t>.</w:t>
      </w:r>
    </w:p>
    <w:p w14:paraId="0C9D8A21" w14:textId="77777777" w:rsidR="003A0813" w:rsidRPr="00BB6767" w:rsidRDefault="003A0813" w:rsidP="003A0813">
      <w:r>
        <w:t>Additional potential benefits highlighted through public consultation included the potential for reduced comorbidities and com</w:t>
      </w:r>
      <w:r w:rsidRPr="00A63B89">
        <w:t>plications; reduced anxiety about insulin dosing and fluctuations in BGL, especially for people with needle aversion;</w:t>
      </w:r>
      <w:r>
        <w:t xml:space="preserve"> </w:t>
      </w:r>
      <w:r w:rsidRPr="00A63B89">
        <w:t>reduced need for painful finger prick testing</w:t>
      </w:r>
      <w:r>
        <w:rPr>
          <w:rFonts w:eastAsia="Times New Roman" w:cs="Times New Roman"/>
          <w:color w:val="000000"/>
          <w:szCs w:val="20"/>
          <w:lang w:eastAsia="en-AU"/>
        </w:rPr>
        <w:t xml:space="preserve">. CGM allows </w:t>
      </w:r>
      <w:r w:rsidRPr="00F7550E">
        <w:rPr>
          <w:rFonts w:eastAsia="Times New Roman" w:cs="Times New Roman"/>
          <w:color w:val="000000"/>
          <w:szCs w:val="20"/>
          <w:lang w:eastAsia="en-AU"/>
        </w:rPr>
        <w:t xml:space="preserve">more discreet </w:t>
      </w:r>
      <w:r>
        <w:rPr>
          <w:rFonts w:eastAsia="Times New Roman" w:cs="Times New Roman"/>
          <w:color w:val="000000"/>
          <w:szCs w:val="20"/>
          <w:lang w:eastAsia="en-AU"/>
        </w:rPr>
        <w:t xml:space="preserve">monitoring which reduces </w:t>
      </w:r>
      <w:r w:rsidRPr="00F7550E">
        <w:rPr>
          <w:rFonts w:eastAsia="Times New Roman" w:cs="Times New Roman"/>
          <w:color w:val="000000"/>
          <w:szCs w:val="20"/>
          <w:lang w:eastAsia="en-AU"/>
        </w:rPr>
        <w:t>stigma</w:t>
      </w:r>
      <w:r>
        <w:t>, fear</w:t>
      </w:r>
      <w:r w:rsidRPr="00A63B89">
        <w:t xml:space="preserve"> and shame, especially for </w:t>
      </w:r>
      <w:r>
        <w:t>Aboriginal and Torres Strait Islander</w:t>
      </w:r>
      <w:r w:rsidRPr="00BB6767">
        <w:t xml:space="preserve"> patients. </w:t>
      </w:r>
      <w:r>
        <w:t>The feedback</w:t>
      </w:r>
      <w:r w:rsidRPr="00BB6767">
        <w:t xml:space="preserve"> also mentioned the capacity for remote monitoring by carers (which may be especially useful for patients in aged or supported care), higher confidence for carers, reduced emotional and logistical load on carers, enhanced opportunities for patient education, and (where relevant) improved support for the involvement of families in informed and collaborative care decisions. </w:t>
      </w:r>
      <w:r>
        <w:t>Some of the feedback</w:t>
      </w:r>
      <w:r w:rsidRPr="00BB6767">
        <w:t xml:space="preserve"> highlighted the potential for C</w:t>
      </w:r>
      <w:r>
        <w:t>G</w:t>
      </w:r>
      <w:r w:rsidRPr="00BB6767">
        <w:t>M to improve equity and access to care, especially for people with physical disability or those in rural and remote areas.</w:t>
      </w:r>
      <w:r>
        <w:t xml:space="preserve"> </w:t>
      </w:r>
      <w:r w:rsidRPr="005B2C7D">
        <w:t xml:space="preserve">ESC considered that formal evidence was needed for some of the potential benefits proposed by </w:t>
      </w:r>
      <w:r>
        <w:t>the public consultation feedback</w:t>
      </w:r>
      <w:r w:rsidRPr="005B2C7D">
        <w:t>.</w:t>
      </w:r>
    </w:p>
    <w:p w14:paraId="12C8BBDA" w14:textId="77777777" w:rsidR="003A0813" w:rsidRDefault="003A0813" w:rsidP="003A0813">
      <w:r w:rsidRPr="00BB6767">
        <w:t xml:space="preserve">Several submissions </w:t>
      </w:r>
      <w:r>
        <w:t xml:space="preserve">in the feedback </w:t>
      </w:r>
      <w:r w:rsidRPr="00BB6767">
        <w:t>flagged a need for workforce skill-building opportunities to ensure the technology is used effectively. Support was expressed for the inclusion of GPs in the list of health professionals authorised to certify eligibility to access CGM products through the NDSS. There were also suggestions that subsidised access to CGM products could be expanded to include their short-term use in newly diagnosed T2D patients for the purpose of education and prevention of progression.</w:t>
      </w:r>
      <w:r>
        <w:t xml:space="preserve"> ESC noted that there was currently no evidence related to short-term use.</w:t>
      </w:r>
    </w:p>
    <w:p w14:paraId="39DB65F3" w14:textId="77777777" w:rsidR="003A0813" w:rsidRDefault="003A0813" w:rsidP="003A0813">
      <w:r>
        <w:t xml:space="preserve">ESC noted the separate clinical management algorithms for the 3 PICO sets. In </w:t>
      </w:r>
      <w:r>
        <w:rPr>
          <w:rFonts w:eastAsia="Times New Roman" w:cs="Times New Roman"/>
          <w:color w:val="000000"/>
          <w:szCs w:val="20"/>
          <w:lang w:eastAsia="en-AU"/>
        </w:rPr>
        <w:t xml:space="preserve">the proposed clinical management algorithm for </w:t>
      </w:r>
      <w:r>
        <w:t xml:space="preserve">PICO set 1, ESC noted that there was no mention of the need for SMBG if a person’s symptoms did not match their CGM results. ESC considered that patients using CGM would still need access to SMBG in this situation. In </w:t>
      </w:r>
      <w:r>
        <w:rPr>
          <w:rFonts w:eastAsia="Times New Roman" w:cs="Times New Roman"/>
          <w:color w:val="000000"/>
          <w:szCs w:val="20"/>
          <w:lang w:eastAsia="en-AU"/>
        </w:rPr>
        <w:t xml:space="preserve">the proposed clinical management algorithm for </w:t>
      </w:r>
      <w:r>
        <w:t xml:space="preserve">PICO set 2, ESC noted that the prescribed duration of use should be from </w:t>
      </w:r>
      <w:r w:rsidRPr="008B7212">
        <w:t>week 24-28 until delivery for patients with GDM</w:t>
      </w:r>
      <w:r>
        <w:t>, unless they have been diagnosed earlier.</w:t>
      </w:r>
      <w:r w:rsidRPr="00F04C21">
        <w:t xml:space="preserve"> </w:t>
      </w:r>
    </w:p>
    <w:p w14:paraId="30E2E742" w14:textId="77777777" w:rsidR="003A0813" w:rsidRDefault="003A0813" w:rsidP="003A0813">
      <w:r>
        <w:t>ESC noted that the comparator in each of the 3 PICO sets was SMBG using a finger-prick capillary blood sample, glucose test strips and a glucose meter, and considered this appropriate.</w:t>
      </w:r>
    </w:p>
    <w:p w14:paraId="0BCE8980" w14:textId="77777777" w:rsidR="003A0813" w:rsidRDefault="003A0813" w:rsidP="003A0813">
      <w:r>
        <w:t>ESC noted the clinical claim of non-inferior safety compared with SMBG for all PICO sets. ESC considered that there was a low level of evidence for this claim and that the evidence was uncertain. For PICO set 1,</w:t>
      </w:r>
      <w:r w:rsidRPr="000A441F">
        <w:t xml:space="preserve"> </w:t>
      </w:r>
      <w:r>
        <w:t xml:space="preserve">ESC noted that 5 studies reported adverse events (AEs), but that the consistency of reporting was very low – only one study reported AEs for </w:t>
      </w:r>
      <w:proofErr w:type="gramStart"/>
      <w:r>
        <w:t>SMBG</w:t>
      </w:r>
      <w:proofErr w:type="gramEnd"/>
      <w:r>
        <w:t xml:space="preserve"> and the event rates were low. ESC noted that AEs associated with the FSL included sensor insertion and site reactions such as insertion site bruising, oedema and pain. For PICO set 2,</w:t>
      </w:r>
      <w:r w:rsidRPr="00CB2747">
        <w:t xml:space="preserve"> </w:t>
      </w:r>
      <w:r>
        <w:t>ESC noted that only one case series study reported AEs and that no severe or unanticipated AEs were reported. Local, mild AEs were reported for 8 FSL patients (33% of patients), none of which resulted in withdrawal. Pruritus was reported for 7 patients, erythema for 2 patients and pain for one patient. For PICO set 3, ESC noted that no safety outcomes were reported. ESC considered that the clinical claim of non-inferior safety for all 3 PICO sets was not evidence-based but was, on balance, acceptable.</w:t>
      </w:r>
    </w:p>
    <w:p w14:paraId="0D7DA1A9" w14:textId="77777777" w:rsidR="003A0813" w:rsidRDefault="003A0813" w:rsidP="003A0813">
      <w:r>
        <w:t xml:space="preserve">ESC queried whether there could be safety issues if a CGM system gave an inaccurate reading, which could lead to a patient taking a higher than required dose of insulin and experiencing hypoglycaemia, but noted that the Therapeutic Goods Administration would have considered this issue when approving the device. ESC noted that CGM systems measure glucose levels in the interstitial fluid, rather than blood glucose levels (BGL) as measured by SMBG. </w:t>
      </w:r>
      <w:proofErr w:type="gramStart"/>
      <w:r>
        <w:t>Therefore</w:t>
      </w:r>
      <w:proofErr w:type="gramEnd"/>
      <w:r>
        <w:t xml:space="preserve"> there can be a delay between changes in BGL and changes in glucose levels in the interstitial fluid as measured by CGM systems, which may raise safety issues. However, ESC noted that it is recommended that patients use SMBG if their symptoms do not match their CGM results.</w:t>
      </w:r>
    </w:p>
    <w:p w14:paraId="27AF7FAD" w14:textId="77777777" w:rsidR="003A0813" w:rsidRDefault="003A0813" w:rsidP="003A0813">
      <w:r>
        <w:t xml:space="preserve">ESC noted the clinical claim of superior effectiveness compared with SMBG. For PICO set 1, ESC noted that there were 5 comparative studies including 2 randomised controlled trials (RCTs) and that the evidence base was mainly small, open studies with varied timeframes. ESC noted that there were no Australian studies and that all the studies were in adult patients. ESC noted that the result of the meta-analysis of the incremental change from baseline in HbA1c for the FSL compared with SMBG including all 5 comparative studies was –0.29%. ESC noted that the weighting given to the 3 cohort studies in this meta-analysis was approximately 70%. </w:t>
      </w:r>
      <w:r w:rsidRPr="00922379">
        <w:t xml:space="preserve">Two cohort studies demonstrated </w:t>
      </w:r>
      <w:r>
        <w:t xml:space="preserve">a </w:t>
      </w:r>
      <w:r w:rsidRPr="00922379">
        <w:t>reduction in hospitalisations</w:t>
      </w:r>
      <w:r>
        <w:t xml:space="preserve"> due to glycaemic-related events. </w:t>
      </w:r>
    </w:p>
    <w:p w14:paraId="12C1DAEE" w14:textId="77777777" w:rsidR="003A0813" w:rsidRPr="00053838" w:rsidRDefault="003A0813" w:rsidP="003A0813">
      <w:r w:rsidRPr="00A30BE8">
        <w:t>E</w:t>
      </w:r>
      <w:r>
        <w:t>SC noted that the applicant had proposed a minimum clinically important difference (MCID) of 0.3% as the threshold for clinical effect</w:t>
      </w:r>
      <w:r w:rsidRPr="00FB4933">
        <w:t>iveness</w:t>
      </w:r>
      <w:r>
        <w:t xml:space="preserve"> which was not technically met by the meta-analysis result (i.e. without rounding up)</w:t>
      </w:r>
      <w:r w:rsidRPr="00FB4933">
        <w:t xml:space="preserve">. This threshold is lower than the </w:t>
      </w:r>
      <w:r>
        <w:t xml:space="preserve">MCID of </w:t>
      </w:r>
      <w:r w:rsidRPr="00FB4933">
        <w:t xml:space="preserve">0.5% </w:t>
      </w:r>
      <w:r>
        <w:t>that has previously been accepted</w:t>
      </w:r>
      <w:r w:rsidRPr="00FB4933">
        <w:t xml:space="preserve"> by the Pharmaceutical Benefits Advisory Committee </w:t>
      </w:r>
      <w:r>
        <w:t xml:space="preserve">(PBAC), including to assess clinical effectiveness in HbA1c changes in T2D (refer to the PBAC PSD for </w:t>
      </w:r>
      <w:hyperlink r:id="rId19" w:history="1">
        <w:r w:rsidRPr="00F74255">
          <w:rPr>
            <w:rStyle w:val="Hyperlink"/>
          </w:rPr>
          <w:t>semaglutide</w:t>
        </w:r>
      </w:hyperlink>
      <w:r>
        <w:t>). T</w:t>
      </w:r>
      <w:r w:rsidRPr="00FB4933">
        <w:t xml:space="preserve">he International Diabetes Federation, </w:t>
      </w:r>
      <w:r>
        <w:t>England’s</w:t>
      </w:r>
      <w:r w:rsidRPr="00FB4933">
        <w:t xml:space="preserve"> National Institute for Health an</w:t>
      </w:r>
      <w:r>
        <w:t>d Care</w:t>
      </w:r>
      <w:r w:rsidRPr="00FB4933">
        <w:t xml:space="preserve"> Excellence, the Australian Diabetes Society and the Royal </w:t>
      </w:r>
      <w:r>
        <w:t>Australian</w:t>
      </w:r>
      <w:r w:rsidRPr="00FB4933">
        <w:t xml:space="preserve"> College of General Practitioners </w:t>
      </w:r>
      <w:r>
        <w:t xml:space="preserve">have also nominated 0.5% as the </w:t>
      </w:r>
      <w:r w:rsidRPr="00053838">
        <w:t xml:space="preserve">MCID for HbA1c. </w:t>
      </w:r>
      <w:r>
        <w:rPr>
          <w:rFonts w:eastAsia="Times New Roman" w:cs="Times New Roman"/>
          <w:color w:val="000000"/>
          <w:szCs w:val="20"/>
          <w:lang w:eastAsia="en-AU"/>
        </w:rPr>
        <w:t>The European Medicines Agency</w:t>
      </w:r>
      <w:r>
        <w:rPr>
          <w:rStyle w:val="FootnoteReference"/>
          <w:rFonts w:eastAsia="Times New Roman" w:cs="Times New Roman"/>
          <w:color w:val="000000"/>
          <w:szCs w:val="20"/>
          <w:lang w:eastAsia="en-AU"/>
        </w:rPr>
        <w:footnoteReference w:id="31"/>
      </w:r>
      <w:r>
        <w:rPr>
          <w:rFonts w:eastAsia="Times New Roman" w:cs="Times New Roman"/>
          <w:color w:val="000000"/>
          <w:szCs w:val="20"/>
          <w:lang w:eastAsia="en-AU"/>
        </w:rPr>
        <w:t xml:space="preserve"> guidance supports the use of a 0.3% HbA1c to establish non-inferiority.</w:t>
      </w:r>
    </w:p>
    <w:p w14:paraId="31F89016" w14:textId="77777777" w:rsidR="003A0813" w:rsidRDefault="003A0813" w:rsidP="003A0813">
      <w:pPr>
        <w:spacing w:before="0" w:after="240" w:line="240" w:lineRule="auto"/>
        <w:rPr>
          <w:rFonts w:eastAsia="Times New Roman" w:cs="Times New Roman"/>
          <w:color w:val="000000"/>
          <w:szCs w:val="20"/>
          <w:lang w:eastAsia="en-AU"/>
        </w:rPr>
      </w:pPr>
      <w:r>
        <w:rPr>
          <w:rFonts w:eastAsia="Times New Roman" w:cs="Times New Roman"/>
          <w:color w:val="000000"/>
          <w:szCs w:val="20"/>
          <w:lang w:eastAsia="en-AU"/>
        </w:rPr>
        <w:t xml:space="preserve">ESC considered that </w:t>
      </w:r>
      <w:r w:rsidRPr="00407D53">
        <w:rPr>
          <w:rFonts w:eastAsia="Times New Roman" w:cs="Times New Roman"/>
          <w:color w:val="000000"/>
          <w:szCs w:val="20"/>
          <w:lang w:eastAsia="en-AU"/>
        </w:rPr>
        <w:t xml:space="preserve">PBAC has set a </w:t>
      </w:r>
      <w:proofErr w:type="gramStart"/>
      <w:r w:rsidRPr="00407D53">
        <w:rPr>
          <w:rFonts w:eastAsia="Times New Roman" w:cs="Times New Roman"/>
          <w:color w:val="000000"/>
          <w:szCs w:val="20"/>
          <w:lang w:eastAsia="en-AU"/>
        </w:rPr>
        <w:t>long standing</w:t>
      </w:r>
      <w:proofErr w:type="gramEnd"/>
      <w:r w:rsidRPr="00407D53">
        <w:rPr>
          <w:rFonts w:eastAsia="Times New Roman" w:cs="Times New Roman"/>
          <w:color w:val="000000"/>
          <w:szCs w:val="20"/>
          <w:lang w:eastAsia="en-AU"/>
        </w:rPr>
        <w:t xml:space="preserve"> precedent for 0.5% as the MCID </w:t>
      </w:r>
      <w:r>
        <w:rPr>
          <w:rFonts w:eastAsia="Times New Roman" w:cs="Times New Roman"/>
          <w:color w:val="000000"/>
          <w:szCs w:val="20"/>
          <w:lang w:eastAsia="en-AU"/>
        </w:rPr>
        <w:t xml:space="preserve">for HbA1c </w:t>
      </w:r>
      <w:r w:rsidRPr="00407D53">
        <w:rPr>
          <w:rFonts w:eastAsia="Times New Roman" w:cs="Times New Roman"/>
          <w:color w:val="000000"/>
          <w:szCs w:val="20"/>
          <w:lang w:eastAsia="en-AU"/>
        </w:rPr>
        <w:t xml:space="preserve">and </w:t>
      </w:r>
      <w:r>
        <w:rPr>
          <w:rFonts w:eastAsia="Times New Roman" w:cs="Times New Roman"/>
          <w:color w:val="000000"/>
          <w:szCs w:val="20"/>
          <w:lang w:eastAsia="en-AU"/>
        </w:rPr>
        <w:t xml:space="preserve">to the ADAR did not provide a basis to accept a smaller MCID. ESC considered this would lead to a </w:t>
      </w:r>
      <w:r w:rsidRPr="00407D53">
        <w:rPr>
          <w:rFonts w:eastAsia="Times New Roman" w:cs="Times New Roman"/>
          <w:color w:val="000000"/>
          <w:szCs w:val="20"/>
          <w:lang w:eastAsia="en-AU"/>
        </w:rPr>
        <w:t xml:space="preserve">conclusion of non-superiority of </w:t>
      </w:r>
      <w:r>
        <w:rPr>
          <w:rFonts w:eastAsia="Times New Roman" w:cs="Times New Roman"/>
          <w:color w:val="000000"/>
          <w:szCs w:val="20"/>
          <w:lang w:eastAsia="en-AU"/>
        </w:rPr>
        <w:t xml:space="preserve">FSL compared to SMBG in clinical effectiveness based on the primary outcome of change in HbA1C. </w:t>
      </w:r>
      <w:r w:rsidDel="004D2516">
        <w:rPr>
          <w:rFonts w:eastAsia="Times New Roman" w:cs="Times New Roman"/>
          <w:color w:val="000000"/>
          <w:szCs w:val="20"/>
          <w:lang w:eastAsia="en-AU"/>
        </w:rPr>
        <w:t xml:space="preserve">ESC acknowledged that there was some evidence of a linear </w:t>
      </w:r>
      <w:r>
        <w:rPr>
          <w:rFonts w:eastAsia="Times New Roman" w:cs="Times New Roman"/>
          <w:color w:val="000000"/>
          <w:szCs w:val="20"/>
          <w:lang w:eastAsia="en-AU"/>
        </w:rPr>
        <w:t xml:space="preserve">epidemiological </w:t>
      </w:r>
      <w:r w:rsidDel="004D2516">
        <w:rPr>
          <w:rFonts w:eastAsia="Times New Roman" w:cs="Times New Roman"/>
          <w:color w:val="000000"/>
          <w:szCs w:val="20"/>
          <w:lang w:eastAsia="en-AU"/>
        </w:rPr>
        <w:t xml:space="preserve">relationship between HbA1C and various diabetes-related complications from the </w:t>
      </w:r>
      <w:r w:rsidRPr="00DC032F" w:rsidDel="004D2516">
        <w:rPr>
          <w:rFonts w:eastAsia="Times New Roman" w:cs="Times New Roman"/>
          <w:color w:val="000000"/>
          <w:szCs w:val="20"/>
          <w:lang w:eastAsia="en-AU"/>
        </w:rPr>
        <w:t xml:space="preserve">UK </w:t>
      </w:r>
      <w:proofErr w:type="gramStart"/>
      <w:r w:rsidRPr="00DC032F" w:rsidDel="004D2516">
        <w:rPr>
          <w:rFonts w:eastAsia="Times New Roman" w:cs="Times New Roman"/>
          <w:color w:val="000000"/>
          <w:szCs w:val="20"/>
          <w:lang w:eastAsia="en-AU"/>
        </w:rPr>
        <w:t>Prospective</w:t>
      </w:r>
      <w:proofErr w:type="gramEnd"/>
      <w:r w:rsidRPr="00DC032F" w:rsidDel="004D2516">
        <w:rPr>
          <w:rFonts w:eastAsia="Times New Roman" w:cs="Times New Roman"/>
          <w:color w:val="000000"/>
          <w:szCs w:val="20"/>
          <w:lang w:eastAsia="en-AU"/>
        </w:rPr>
        <w:t xml:space="preserve"> Diabetes Study (UKPDS) </w:t>
      </w:r>
      <w:r w:rsidDel="004D2516">
        <w:rPr>
          <w:rFonts w:eastAsia="Times New Roman" w:cs="Times New Roman"/>
          <w:color w:val="000000"/>
          <w:szCs w:val="20"/>
          <w:lang w:eastAsia="en-AU"/>
        </w:rPr>
        <w:t>but this study was conducted more than 25 years ago.</w:t>
      </w:r>
    </w:p>
    <w:p w14:paraId="27BC7B9A" w14:textId="77777777" w:rsidR="003A0813" w:rsidRDefault="003A0813" w:rsidP="003A0813">
      <w:pPr>
        <w:spacing w:before="0" w:after="240" w:line="240" w:lineRule="auto"/>
      </w:pPr>
      <w:r>
        <w:t>ESC noted the argument for acceptance of a MCID of 0.3% for CGM products in the applicant’s pre-ESC response.</w:t>
      </w:r>
      <w:r w:rsidRPr="00CB2400">
        <w:t xml:space="preserve"> </w:t>
      </w:r>
      <w:r>
        <w:t xml:space="preserve">The pre-ESC response noted that </w:t>
      </w:r>
      <w:r w:rsidRPr="00CB2400">
        <w:t>the Ratified PICO confirmation</w:t>
      </w:r>
      <w:r>
        <w:t xml:space="preserve"> stated that </w:t>
      </w:r>
      <w:r w:rsidRPr="00CB2400">
        <w:t>“...the minimum clinically important difference (MCID) for change in HbA1c for T2D reported in the published literature ranges from 0.3% to 0.5%”</w:t>
      </w:r>
      <w:r>
        <w:t xml:space="preserve"> The pre-ESC response also cited the European Medical Agency (EMA), which stated that </w:t>
      </w:r>
      <w:r w:rsidRPr="004B3F37">
        <w:t>“even apparently small reductions in HbA1c have been shown to be clinically relevant in terms of risk reduction of diabetic</w:t>
      </w:r>
      <w:r>
        <w:t xml:space="preserve"> complications</w:t>
      </w:r>
      <w:r w:rsidRPr="004B3F37">
        <w:t>”, with both the FDA and EM</w:t>
      </w:r>
      <w:r>
        <w:t>A</w:t>
      </w:r>
      <w:r w:rsidRPr="004B3F37">
        <w:t xml:space="preserve"> recommending a HbA1c change non-inferiority margin of 0.3% based on the level of clinical benefit linked to reduced long term complications</w:t>
      </w:r>
      <w:r>
        <w:t>.</w:t>
      </w:r>
    </w:p>
    <w:p w14:paraId="04DE9419" w14:textId="77777777" w:rsidR="003A0813" w:rsidRDefault="003A0813" w:rsidP="003A0813">
      <w:pPr>
        <w:spacing w:before="0" w:after="240" w:line="240" w:lineRule="auto"/>
        <w:rPr>
          <w:rFonts w:eastAsia="Times New Roman" w:cs="Times New Roman"/>
          <w:color w:val="000000"/>
          <w:szCs w:val="20"/>
          <w:lang w:eastAsia="en-AU"/>
        </w:rPr>
      </w:pPr>
      <w:r>
        <w:rPr>
          <w:rFonts w:eastAsia="Times New Roman" w:cs="Times New Roman"/>
          <w:color w:val="000000"/>
          <w:szCs w:val="20"/>
          <w:lang w:eastAsia="en-AU"/>
        </w:rPr>
        <w:t>ESC advised that substantive evidence should be provided in support of any change to the 0.5% MCID that was accepted by the PBAC. ESC noted that HbA1c is a surrogate outcome for diabetes-related health outcomes. ESC referred to Appendix 12 of the MSAC Guidelines,</w:t>
      </w:r>
      <w:r w:rsidDel="004D2516">
        <w:rPr>
          <w:rFonts w:eastAsia="Times New Roman" w:cs="Times New Roman"/>
          <w:color w:val="000000"/>
          <w:szCs w:val="20"/>
          <w:lang w:eastAsia="en-AU"/>
        </w:rPr>
        <w:t xml:space="preserve"> </w:t>
      </w:r>
      <w:r>
        <w:rPr>
          <w:rFonts w:eastAsia="Times New Roman" w:cs="Times New Roman"/>
          <w:color w:val="000000"/>
          <w:szCs w:val="20"/>
          <w:lang w:eastAsia="en-AU"/>
        </w:rPr>
        <w:t>which describes (p 296) an approach to establishing a surrogate threshold effect using a meta-regression of randomised trials (in this case of any intervention in T2D) comparing the observed treatment effect on the proposed surrogate measure (in this case HbA1c within the first 12 months) with the observed treatment effect on the target patient-relevant clinical outcome (in this case any one or more of the modelled diabetes complications over subsequent years).</w:t>
      </w:r>
    </w:p>
    <w:p w14:paraId="69E42BB1" w14:textId="77777777" w:rsidR="003A0813" w:rsidRDefault="003A0813" w:rsidP="003A0813">
      <w:pPr>
        <w:spacing w:before="0" w:after="240" w:line="240" w:lineRule="auto"/>
        <w:rPr>
          <w:rFonts w:eastAsia="Times New Roman" w:cs="Times New Roman"/>
          <w:color w:val="000000"/>
          <w:szCs w:val="20"/>
          <w:lang w:eastAsia="en-AU"/>
        </w:rPr>
      </w:pPr>
      <w:r>
        <w:rPr>
          <w:rFonts w:eastAsia="Times New Roman" w:cs="Times New Roman"/>
          <w:color w:val="000000"/>
          <w:szCs w:val="20"/>
          <w:lang w:eastAsia="en-AU"/>
        </w:rPr>
        <w:t>ESC considered that if a claim of superior clinical effectiveness cannot be established</w:t>
      </w:r>
      <w:bookmarkStart w:id="93" w:name="_Hlk201919627"/>
      <w:r>
        <w:rPr>
          <w:rFonts w:eastAsia="Times New Roman" w:cs="Times New Roman"/>
          <w:color w:val="000000"/>
          <w:szCs w:val="20"/>
          <w:lang w:eastAsia="en-AU"/>
        </w:rPr>
        <w:t xml:space="preserve"> based on mean change in HbA1c</w:t>
      </w:r>
      <w:bookmarkEnd w:id="93"/>
      <w:r>
        <w:rPr>
          <w:rFonts w:eastAsia="Times New Roman" w:cs="Times New Roman"/>
          <w:color w:val="000000"/>
          <w:szCs w:val="20"/>
          <w:lang w:eastAsia="en-AU"/>
        </w:rPr>
        <w:t>, an alternative</w:t>
      </w:r>
      <w:bookmarkStart w:id="94" w:name="_Hlk201919665"/>
      <w:r>
        <w:rPr>
          <w:rFonts w:eastAsia="Times New Roman" w:cs="Times New Roman"/>
          <w:color w:val="000000"/>
          <w:szCs w:val="20"/>
          <w:lang w:eastAsia="en-AU"/>
        </w:rPr>
        <w:t>, consistent with MSAC suggestions in MSAC Review 1663,</w:t>
      </w:r>
      <w:bookmarkEnd w:id="94"/>
      <w:r>
        <w:rPr>
          <w:rFonts w:eastAsia="Times New Roman" w:cs="Times New Roman"/>
          <w:color w:val="000000"/>
          <w:szCs w:val="20"/>
          <w:lang w:eastAsia="en-AU"/>
        </w:rPr>
        <w:t xml:space="preserve"> may be to establish a claim of superior</w:t>
      </w:r>
      <w:r w:rsidRPr="00F7550E">
        <w:rPr>
          <w:rFonts w:eastAsia="Times New Roman" w:cs="Times New Roman"/>
          <w:color w:val="000000"/>
          <w:szCs w:val="20"/>
          <w:lang w:eastAsia="en-AU"/>
        </w:rPr>
        <w:t xml:space="preserve"> effectiveness</w:t>
      </w:r>
      <w:r>
        <w:rPr>
          <w:rFonts w:eastAsia="Times New Roman" w:cs="Times New Roman"/>
          <w:color w:val="000000"/>
          <w:szCs w:val="20"/>
          <w:lang w:eastAsia="en-AU"/>
        </w:rPr>
        <w:t xml:space="preserve"> </w:t>
      </w:r>
      <w:r w:rsidRPr="00F7550E">
        <w:rPr>
          <w:rFonts w:eastAsia="Times New Roman" w:cs="Times New Roman"/>
          <w:color w:val="000000"/>
          <w:szCs w:val="20"/>
          <w:lang w:eastAsia="en-AU"/>
        </w:rPr>
        <w:t xml:space="preserve">accompanied by substantial evidence of improvement on </w:t>
      </w:r>
      <w:r>
        <w:rPr>
          <w:rFonts w:eastAsia="Times New Roman" w:cs="Times New Roman"/>
          <w:color w:val="000000"/>
          <w:szCs w:val="20"/>
          <w:lang w:eastAsia="en-AU"/>
        </w:rPr>
        <w:t>other patient-relevant outcomes</w:t>
      </w:r>
      <w:r w:rsidRPr="00F7550E">
        <w:rPr>
          <w:rFonts w:eastAsia="Times New Roman" w:cs="Times New Roman"/>
          <w:color w:val="000000"/>
          <w:szCs w:val="20"/>
          <w:lang w:eastAsia="en-AU"/>
        </w:rPr>
        <w:t xml:space="preserve">, such as </w:t>
      </w:r>
      <w:r>
        <w:rPr>
          <w:rFonts w:eastAsia="Times New Roman" w:cs="Times New Roman"/>
          <w:color w:val="000000"/>
          <w:szCs w:val="20"/>
          <w:lang w:eastAsia="en-AU"/>
        </w:rPr>
        <w:t>quality of life (</w:t>
      </w:r>
      <w:r w:rsidRPr="00F7550E">
        <w:rPr>
          <w:rFonts w:eastAsia="Times New Roman" w:cs="Times New Roman"/>
          <w:color w:val="000000"/>
          <w:szCs w:val="20"/>
          <w:lang w:eastAsia="en-AU"/>
        </w:rPr>
        <w:t>QoL</w:t>
      </w:r>
      <w:r>
        <w:rPr>
          <w:rFonts w:eastAsia="Times New Roman" w:cs="Times New Roman"/>
          <w:color w:val="000000"/>
          <w:szCs w:val="20"/>
          <w:lang w:eastAsia="en-AU"/>
        </w:rPr>
        <w:t>)</w:t>
      </w:r>
      <w:r w:rsidRPr="00F7550E">
        <w:rPr>
          <w:rFonts w:eastAsia="Times New Roman" w:cs="Times New Roman"/>
          <w:color w:val="000000"/>
          <w:szCs w:val="20"/>
          <w:lang w:eastAsia="en-AU"/>
        </w:rPr>
        <w:t xml:space="preserve">. </w:t>
      </w:r>
      <w:r>
        <w:rPr>
          <w:rFonts w:eastAsia="Times New Roman" w:cs="Times New Roman"/>
          <w:color w:val="000000"/>
          <w:szCs w:val="20"/>
          <w:lang w:eastAsia="en-AU"/>
        </w:rPr>
        <w:t xml:space="preserve">However, ESC noted that the ADAR did not provide </w:t>
      </w:r>
      <w:r w:rsidRPr="00F7550E">
        <w:rPr>
          <w:rFonts w:eastAsia="Times New Roman" w:cs="Times New Roman"/>
          <w:color w:val="000000"/>
          <w:szCs w:val="20"/>
          <w:lang w:eastAsia="en-AU"/>
        </w:rPr>
        <w:t>such evidence. ESC acknowledged that gathering such evidence is difficult, given that it is not possible to conduct blind</w:t>
      </w:r>
      <w:r>
        <w:rPr>
          <w:rFonts w:eastAsia="Times New Roman" w:cs="Times New Roman"/>
          <w:color w:val="000000"/>
          <w:szCs w:val="20"/>
          <w:lang w:eastAsia="en-AU"/>
        </w:rPr>
        <w:t>ed</w:t>
      </w:r>
      <w:r w:rsidRPr="00F7550E">
        <w:rPr>
          <w:rFonts w:eastAsia="Times New Roman" w:cs="Times New Roman"/>
          <w:color w:val="000000"/>
          <w:szCs w:val="20"/>
          <w:lang w:eastAsia="en-AU"/>
        </w:rPr>
        <w:t xml:space="preserve"> studies comparing SMBG and CGM. ESC suggested that alternative measures of effectiveness, such as the percentage of patients achieving a target HbA1c level of less than 7%, could also be considered.</w:t>
      </w:r>
    </w:p>
    <w:p w14:paraId="716D105F" w14:textId="77777777" w:rsidR="003A0813" w:rsidRDefault="003A0813" w:rsidP="003A0813">
      <w:r>
        <w:t>For PICO set 2, ESC noted that there were 5 studies in the evidence base, which it considered provided a low level of evidence. ESC noted that there were 2 RCTs that reported effectiveness for people with GDM. The RCT by Majewska et al. (2023) reported no difference between patients using the FSL and SMBG in mean fasting glycaemia during the first month of the study. The RCT by Zhang et al. (2021) reported that maternal hypoglycaemic events were significantly lower in the FSL group compared with the SMBG group, and that FSL use was associated with significantly greater improvements in the subjective management of GDM, but ESC noted that there was a high risk of bias associated with the study. ESC noted that there were 3 studies that reported effectiveness outcomes for the newborns of people with GDM. Majewska et al. (2023) reported that the secondary outcome of incidence of macrosomia was significantly lower in patients using the FSL, although ESC noted that no significant difference was reported in the primary outcome (glycaemic control). The non-randomised study by Bastobbe et al. (2023) reported no significant benefits for patients using the FSL and that mean HbA1c was significantly lower in patients using SMBG compared with patients using the FSL, however ESC considered HbA1c is a less reliable measurement of glycaemic control in pregnancy due to physiological changes in pregnancy. The non-randomised study by Won et al. (2025) reported no significant differences in perinatal outcomes between patients using FSL and patients using SMBG. ESC considered that there were insufficient data available to support the clinical claim of superior effectiveness for PICO set 2. However, ESC noted that PICO set 2 was a small but important subgroup for which there was potential for good clinical outcomes from using short term CGM.</w:t>
      </w:r>
    </w:p>
    <w:p w14:paraId="0019FC02" w14:textId="77777777" w:rsidR="003A0813" w:rsidRDefault="003A0813" w:rsidP="003A0813">
      <w:r>
        <w:t>For PICO set 3,</w:t>
      </w:r>
      <w:r w:rsidRPr="00290999">
        <w:t xml:space="preserve"> </w:t>
      </w:r>
      <w:r>
        <w:t>ESC noted that there were 5 studies in the evidence base, 2 of which were retrospective cohort studies and 3 of which were prospective cohort studies. ESC considered that this provided a low level of evidence. Rahman et al. (2020) reported a change in HbA1c from baseline of –0.6% among patients with cystic fibrosis–related diabetes. Shimmin et al. (2020) reported a median change in HbA1c from 58.5 mmol to 55 mmol among patients with cystic fibrosis–related diabetes. Hagan et al. (2020) reported a median change in HbA1c of –0.6% among patients with cystic fibrosis–related diabetes, which was not statistically significant. Lee et al. (2022) reported that patients with T3cD were not at increased risk of glycaemic variability compared with patients with T1D or T2D when using the FSL. Shimmin et al. (2020) reported no difference in time in range between baseline and follow-up in a study of patients with cystic fibrosis–related diabetes. ESC considered that there were insufficient data available to support the clinical claim of superior effectiveness for PICO set 3. However, ESC noted that PICO set 3 was a small but important subgroup for which there was potential for good clinical outcomes from using CGM.</w:t>
      </w:r>
    </w:p>
    <w:p w14:paraId="7FE596FD" w14:textId="77777777" w:rsidR="003A0813" w:rsidRDefault="003A0813" w:rsidP="003A0813">
      <w:r>
        <w:t xml:space="preserve">ESC noted the evidence on patient-related outcomes. For PICO set 1, the RCT by Haak et al. (2017) reported a significant improvement in the Diabetes Treatment Satisfaction Questionnaire score in patients using the FSL. There was no change in </w:t>
      </w:r>
      <w:proofErr w:type="gramStart"/>
      <w:r>
        <w:t>patients’</w:t>
      </w:r>
      <w:proofErr w:type="gramEnd"/>
      <w:r>
        <w:t xml:space="preserve"> perceived frequency of hypoglycaemia or hyperglycaemia. For PICO set 2, the non-randomised study by Won et al. (2025) reported a significant improvement in Diabetes Treatment Satisfaction Questionnaire scores in patients using the FSL. There was no significant difference in </w:t>
      </w:r>
      <w:proofErr w:type="gramStart"/>
      <w:r>
        <w:t>patients’</w:t>
      </w:r>
      <w:proofErr w:type="gramEnd"/>
      <w:r>
        <w:t xml:space="preserve"> perceived frequency of hypoglycaemia or hyperglycaemia. In another study, 83% of patients agreed that applying the FSL sensor was less painful than SMBG. ESC considered that there were limited data available but that the evidence was indicative of potential for improved clinical outcomes. ESC also considered that the patient-related outcomes may be underestimated because the application was based on an older version of the device (FSL) which does not include alarms for high and low BGL, unlike the FSL2.</w:t>
      </w:r>
    </w:p>
    <w:p w14:paraId="25DE65F1" w14:textId="0877E148" w:rsidR="003A0813" w:rsidRDefault="00337C73" w:rsidP="003A0813">
      <w:r>
        <w:rPr>
          <w:rFonts w:eastAsia="Times New Roman" w:cs="Times New Roman"/>
          <w:b/>
          <w:bCs/>
          <w:color w:val="000000"/>
          <w:szCs w:val="20"/>
          <w:lang w:eastAsia="en-AU"/>
        </w:rPr>
        <w:t xml:space="preserve">REDACTED. </w:t>
      </w:r>
      <w:r w:rsidR="003A0813" w:rsidRPr="00F7550E">
        <w:rPr>
          <w:rFonts w:eastAsia="Times New Roman" w:cs="Times New Roman"/>
          <w:color w:val="000000"/>
          <w:szCs w:val="20"/>
          <w:lang w:eastAsia="en-AU"/>
        </w:rPr>
        <w:t xml:space="preserve">ESC considered that a device-agnostic </w:t>
      </w:r>
      <w:r w:rsidR="003A0813">
        <w:rPr>
          <w:rFonts w:eastAsia="Times New Roman" w:cs="Times New Roman"/>
          <w:color w:val="000000"/>
          <w:szCs w:val="20"/>
          <w:lang w:eastAsia="en-AU"/>
        </w:rPr>
        <w:t>NDSS listing</w:t>
      </w:r>
      <w:r w:rsidR="003A0813" w:rsidRPr="00F7550E">
        <w:rPr>
          <w:rFonts w:eastAsia="Times New Roman" w:cs="Times New Roman"/>
          <w:color w:val="000000"/>
          <w:szCs w:val="20"/>
          <w:lang w:eastAsia="en-AU"/>
        </w:rPr>
        <w:t xml:space="preserve"> may be appropriate</w:t>
      </w:r>
      <w:r w:rsidR="003A0813">
        <w:rPr>
          <w:rFonts w:eastAsia="Times New Roman" w:cs="Times New Roman"/>
          <w:color w:val="000000"/>
          <w:szCs w:val="20"/>
          <w:lang w:eastAsia="en-AU"/>
        </w:rPr>
        <w:t>.</w:t>
      </w:r>
    </w:p>
    <w:p w14:paraId="5FF9A3BE" w14:textId="77777777" w:rsidR="003A0813" w:rsidRDefault="003A0813" w:rsidP="003A0813">
      <w:r w:rsidRPr="00D073EA">
        <w:t>ESC noted that a cost-utility analysis was used for the economic evaluation</w:t>
      </w:r>
      <w:r>
        <w:t xml:space="preserve"> for PICO set 1</w:t>
      </w:r>
      <w:r w:rsidRPr="00D073EA">
        <w:t>, which it considered appropriate. ESC also considered that the comparator, outcomes, costs, perspective, time horizon, computational method, cycle length and discount rate used were appropriate.</w:t>
      </w:r>
      <w:r>
        <w:t xml:space="preserve"> However, ESC had concerns with a range of issues relating to the generation of the base case, the assumed health states and the transition probabilities used.</w:t>
      </w:r>
    </w:p>
    <w:p w14:paraId="070B9E06" w14:textId="1D5CE909" w:rsidR="003A0813" w:rsidRDefault="003A0813" w:rsidP="003A0813">
      <w:r>
        <w:t>Step 1 of the model used the difference in HbA1c reduction (0.3%) reported across the two RCTs and provided an incremental cost-effectiveness ratio (ICER) of $</w:t>
      </w:r>
      <w:r w:rsidR="00697F81" w:rsidRPr="00B156D1">
        <w:t>15,000 to &lt; $25,000</w:t>
      </w:r>
      <w:r w:rsidRPr="005A35DF">
        <w:t xml:space="preserve"> per quality adjusted life year (QALY). Step 2 used a greater difference in HbA1c reduction (0.53%) reported across all five comparative studies as the first-order base case analysis and provided an ICER/QALY of $</w:t>
      </w:r>
      <w:r w:rsidR="00697F81" w:rsidRPr="005A35DF">
        <w:t>50,000 to &lt; $</w:t>
      </w:r>
      <w:r w:rsidR="001B2E61" w:rsidRPr="005A35DF">
        <w:t>15,000</w:t>
      </w:r>
      <w:r w:rsidRPr="005A35DF">
        <w:t>. Step 3 used the HbA1c reduction from step 2 as the second-order probabilistic analysis and provided an ICER/QALY of $</w:t>
      </w:r>
      <w:r w:rsidR="001B2E61" w:rsidRPr="005A35DF">
        <w:t>15,000 to &lt; $25,000</w:t>
      </w:r>
      <w:r w:rsidRPr="005A35DF">
        <w:t>. ESC noted that the ICER/QALY for CGM over SMBG was under $</w:t>
      </w:r>
      <w:r w:rsidR="00670B2F" w:rsidRPr="00B156D1">
        <w:t>15,000 to &lt; $25,000</w:t>
      </w:r>
      <w:r w:rsidRPr="005A35DF">
        <w:t xml:space="preserve"> in all the scenarios reported in all three steps while no sensitivity analyses generated an ICER/QALY of $</w:t>
      </w:r>
      <w:r w:rsidR="00A61038" w:rsidRPr="005A35DF">
        <w:t>25,000 to &lt; $35,000</w:t>
      </w:r>
      <w:r w:rsidRPr="005A35DF">
        <w:t xml:space="preserve"> or greater. However, ESC noted</w:t>
      </w:r>
      <w:r>
        <w:t xml:space="preserve"> a fully editable model did not appear to be provided, and considering that this raised issues for model transparency, asked that this be clarified. ESC considered that reasons for the different results between the </w:t>
      </w:r>
      <w:proofErr w:type="gramStart"/>
      <w:r>
        <w:t>first-order</w:t>
      </w:r>
      <w:proofErr w:type="gramEnd"/>
      <w:r>
        <w:t xml:space="preserve"> (step 2) and </w:t>
      </w:r>
      <w:proofErr w:type="gramStart"/>
      <w:r>
        <w:t>second-order</w:t>
      </w:r>
      <w:proofErr w:type="gramEnd"/>
      <w:r>
        <w:t xml:space="preserve"> (step 3) analyses were unclear, but this difference suggested that the model may be unstable. </w:t>
      </w:r>
    </w:p>
    <w:p w14:paraId="63B9F22B" w14:textId="77777777" w:rsidR="003A0813" w:rsidRDefault="003A0813" w:rsidP="003A0813">
      <w:r>
        <w:t>ESC again noted that the applicant had selected an MCID of 0.3% as the threshold for clinical effect</w:t>
      </w:r>
      <w:r w:rsidRPr="00FB4933">
        <w:t>iveness</w:t>
      </w:r>
      <w:r>
        <w:t>. ESC noted that neither of the RCTs by Haak et al. (2017) and Yaron et al. (2019) met their prespecified MCIDs (of 0.35% and 0.5%, respectively). ESC reiterated that this meant it was unclear whether there was any treatment effect on HbA1c.</w:t>
      </w:r>
    </w:p>
    <w:p w14:paraId="6F8C38FB" w14:textId="77777777" w:rsidR="003A0813" w:rsidRDefault="003A0813" w:rsidP="003A0813">
      <w:r>
        <w:t>ESC noted that biomarkers typically have a lag in their effect on patient outcomes and are rarely 100% predictive of an effect on subsequent clinical outcomes. ESC considered it unclear whether the model (in any form) had been validated for its incremental estimates. ESC noted that it was unclear whether the figure presented as the “base case incremental model trace” displayed cumulative results or results for each cycle. ESC considered that this trace cast doubt on the reliability of the model.</w:t>
      </w:r>
    </w:p>
    <w:p w14:paraId="7172DB75" w14:textId="77777777" w:rsidR="003A0813" w:rsidRDefault="003A0813" w:rsidP="003A0813">
      <w:r>
        <w:t xml:space="preserve">ESC noted that a key concern regarding the transition probabilities used in the model related to how the diabetes complication events were generated using </w:t>
      </w:r>
      <w:r w:rsidRPr="000532E5">
        <w:t xml:space="preserve">Risk Equations for Complications </w:t>
      </w:r>
      <w:r>
        <w:t>O</w:t>
      </w:r>
      <w:r w:rsidRPr="000532E5">
        <w:t xml:space="preserve">f </w:t>
      </w:r>
      <w:r>
        <w:t>t</w:t>
      </w:r>
      <w:r w:rsidRPr="000532E5">
        <w:t>ype</w:t>
      </w:r>
      <w:r>
        <w:t> </w:t>
      </w:r>
      <w:r w:rsidRPr="000532E5">
        <w:t>2 Diabetes (RECODe) equations</w:t>
      </w:r>
      <w:r>
        <w:t>. ESC noted that the RECODe equations have been validated for cardiovascular events only rather than all modelled types of diabetic complications and has been superseded by more recent risk equations based on larger populations. ESC considered it unclear whether the RECODe equations had been validated in terms of disease progression only or also in terms of incremental effects across interventions. ESC also noted that the equations were based on datasets from the United States and Canada, and that its applicability to Australian populations was not clearly established. ESC also noted that the 10-year risks were assumed to be distributed equally over time to generate annual risks, which ESC noted may result in events in the model occurring earlier than would occur clinically given that diabetes is a progressive disease.</w:t>
      </w:r>
      <w:r w:rsidRPr="00937437">
        <w:t xml:space="preserve"> </w:t>
      </w:r>
    </w:p>
    <w:p w14:paraId="5E5A1575" w14:textId="77777777" w:rsidR="003A0813" w:rsidRDefault="003A0813" w:rsidP="003A0813">
      <w:r>
        <w:t xml:space="preserve">ESC noted that </w:t>
      </w:r>
      <w:r w:rsidRPr="00937437">
        <w:t xml:space="preserve">all risk variables </w:t>
      </w:r>
      <w:r>
        <w:t xml:space="preserve">in the model </w:t>
      </w:r>
      <w:r w:rsidRPr="00937437">
        <w:t xml:space="preserve">are constant over time, except age (which changes every 10 years) and HbA1c (which is reduced </w:t>
      </w:r>
      <w:r>
        <w:t xml:space="preserve">to a greater extent </w:t>
      </w:r>
      <w:r w:rsidRPr="00937437">
        <w:t>at baseline for CGM</w:t>
      </w:r>
      <w:r>
        <w:t>). ESC also noted that b</w:t>
      </w:r>
      <w:r w:rsidRPr="00D41EFD">
        <w:t>lood pressure, a covariate affected by HbA1c and affecting cardiovascular events</w:t>
      </w:r>
      <w:r>
        <w:t>,</w:t>
      </w:r>
      <w:r w:rsidRPr="00D41EFD">
        <w:t xml:space="preserve"> was omitted</w:t>
      </w:r>
      <w:r>
        <w:t xml:space="preserve"> in the model. ESC noted and accepted the pre-ESC response’s argument that </w:t>
      </w:r>
      <w:r w:rsidRPr="00BB16DE">
        <w:t xml:space="preserve">risks of complications being fixed over time and </w:t>
      </w:r>
      <w:r>
        <w:t xml:space="preserve">the </w:t>
      </w:r>
      <w:r w:rsidRPr="00BB16DE">
        <w:t>failure to include blood pressure as a covariate</w:t>
      </w:r>
      <w:r>
        <w:t xml:space="preserve"> that would be reduced by a reduction in HbA1c</w:t>
      </w:r>
      <w:r w:rsidRPr="00BB16DE">
        <w:t xml:space="preserve"> </w:t>
      </w:r>
      <w:r>
        <w:t xml:space="preserve">would be </w:t>
      </w:r>
      <w:r w:rsidRPr="00BB16DE">
        <w:t xml:space="preserve">conservative (against CGM) </w:t>
      </w:r>
      <w:r w:rsidRPr="006D71EF">
        <w:t xml:space="preserve">because if (for example) </w:t>
      </w:r>
      <w:r>
        <w:t>blood pressure</w:t>
      </w:r>
      <w:r w:rsidRPr="006D71EF">
        <w:t xml:space="preserve"> reduction were to feedback</w:t>
      </w:r>
      <w:r>
        <w:t xml:space="preserve"> into the model</w:t>
      </w:r>
      <w:r w:rsidRPr="006D71EF">
        <w:t xml:space="preserve"> it would reduce </w:t>
      </w:r>
      <w:r>
        <w:t xml:space="preserve">the </w:t>
      </w:r>
      <w:r w:rsidRPr="006D71EF">
        <w:t>risk</w:t>
      </w:r>
      <w:r>
        <w:t xml:space="preserve"> of diabetes complications</w:t>
      </w:r>
      <w:r w:rsidRPr="006D71EF">
        <w:t>, making CGM more cost-</w:t>
      </w:r>
      <w:r>
        <w:t xml:space="preserve">effective. However, ESC considered that the bringing forward of the risks in the model worked to partly offset this potential conservative bias. </w:t>
      </w:r>
    </w:p>
    <w:p w14:paraId="40F61061" w14:textId="77777777" w:rsidR="003A0813" w:rsidRDefault="003A0813" w:rsidP="003A0813">
      <w:r>
        <w:t>ESC noted other issues with the economic modelling, including that the model included a large cost offset generated by reduced hospitalisations for hypoglycaemic episodes or diabetic ketoacidosis. ESC noted that these events were generated from a separate before-and-after study from France, which it considered is of unclear applicability to Australia. Also, ESC noted that the baseline utility across both arms was derived from all T2D patients rather than only T2D patients requiring insulin and was not based on Australian findings on patient utility. ESC also noted that only two of the baseline characteristic variables were from people with T2D requiring insulin and that most of the remaining variables were from people with T2D regardless of insulin use.</w:t>
      </w:r>
    </w:p>
    <w:p w14:paraId="3ADF4223" w14:textId="7C805821" w:rsidR="003A0813" w:rsidRDefault="003A0813" w:rsidP="003A0813">
      <w:proofErr w:type="gramStart"/>
      <w:r>
        <w:t>With regard to</w:t>
      </w:r>
      <w:proofErr w:type="gramEnd"/>
      <w:r>
        <w:t xml:space="preserve"> the time horizon, ESC considered it implausible that a more favourable ICER would be generated over the shorter time horizon of 25 years ($</w:t>
      </w:r>
      <w:r w:rsidR="00A61038">
        <w:t xml:space="preserve">5,000 to </w:t>
      </w:r>
      <w:r w:rsidR="00A61038" w:rsidRPr="005A35DF">
        <w:t>&lt; $15,000</w:t>
      </w:r>
      <w:r w:rsidRPr="005A35DF">
        <w:t xml:space="preserve"> per QALY) than the longer 50 years base case ($</w:t>
      </w:r>
      <w:r w:rsidR="00A61038" w:rsidRPr="005A35DF">
        <w:t>5,000 to &lt; $15,000</w:t>
      </w:r>
      <w:r w:rsidRPr="005A35DF">
        <w:t xml:space="preserve"> per QALY). ESC also considered</w:t>
      </w:r>
      <w:r>
        <w:t xml:space="preserve"> that the estimated life years gained seemed large compared with the estimated QALYs gained and queried whether the reason for this might have been due to the adjustment to avoid double-counting cardiovascular deaths.</w:t>
      </w:r>
    </w:p>
    <w:p w14:paraId="21F91DF2" w14:textId="77777777" w:rsidR="003A0813" w:rsidRDefault="003A0813" w:rsidP="003A0813">
      <w:pPr>
        <w:spacing w:before="0" w:after="240" w:line="240" w:lineRule="auto"/>
        <w:rPr>
          <w:rFonts w:eastAsia="Times New Roman" w:cs="Times New Roman"/>
          <w:color w:val="000000"/>
          <w:szCs w:val="20"/>
          <w:lang w:eastAsia="en-AU"/>
        </w:rPr>
      </w:pPr>
      <w:r>
        <w:rPr>
          <w:rFonts w:eastAsia="Times New Roman" w:cs="Times New Roman"/>
          <w:color w:val="000000"/>
          <w:szCs w:val="20"/>
          <w:lang w:eastAsia="en-AU"/>
        </w:rPr>
        <w:t>ESC noted that the following assumptions in the model for PICO set 1 led to minor uncertainties. However, ESC noted that these assumptions had conservative implications (i.e. were biased against CGM), and therefore considered that the associated uncertainties were ultimately not of significant concern:</w:t>
      </w:r>
    </w:p>
    <w:p w14:paraId="6CFE8F99" w14:textId="77777777" w:rsidR="003A0813" w:rsidRDefault="003A0813" w:rsidP="003027B3">
      <w:pPr>
        <w:pStyle w:val="ListParagraph"/>
        <w:numPr>
          <w:ilvl w:val="0"/>
          <w:numId w:val="26"/>
        </w:numPr>
        <w:spacing w:before="0" w:after="240" w:line="240" w:lineRule="auto"/>
        <w:rPr>
          <w:rFonts w:eastAsia="Times New Roman" w:cs="Times New Roman"/>
          <w:color w:val="000000"/>
          <w:szCs w:val="20"/>
          <w:lang w:eastAsia="en-AU"/>
        </w:rPr>
      </w:pPr>
      <w:r>
        <w:rPr>
          <w:rFonts w:eastAsia="Times New Roman" w:cs="Times New Roman"/>
          <w:color w:val="000000"/>
          <w:szCs w:val="20"/>
          <w:lang w:eastAsia="en-AU"/>
        </w:rPr>
        <w:t xml:space="preserve">A </w:t>
      </w:r>
      <w:r w:rsidRPr="00A66CB3">
        <w:rPr>
          <w:rFonts w:eastAsia="Times New Roman" w:cs="Times New Roman"/>
          <w:color w:val="000000"/>
          <w:szCs w:val="20"/>
          <w:lang w:eastAsia="en-AU"/>
        </w:rPr>
        <w:t>1-year disutility duration</w:t>
      </w:r>
      <w:r>
        <w:rPr>
          <w:rFonts w:eastAsia="Times New Roman" w:cs="Times New Roman"/>
          <w:color w:val="000000"/>
          <w:szCs w:val="20"/>
          <w:lang w:eastAsia="en-AU"/>
        </w:rPr>
        <w:t xml:space="preserve"> was assumed</w:t>
      </w:r>
      <w:r w:rsidRPr="00A66CB3">
        <w:rPr>
          <w:rFonts w:eastAsia="Times New Roman" w:cs="Times New Roman"/>
          <w:color w:val="000000"/>
          <w:szCs w:val="20"/>
          <w:lang w:eastAsia="en-AU"/>
        </w:rPr>
        <w:t xml:space="preserve"> for chronic </w:t>
      </w:r>
      <w:r>
        <w:rPr>
          <w:rFonts w:eastAsia="Times New Roman" w:cs="Times New Roman"/>
          <w:color w:val="000000"/>
          <w:szCs w:val="20"/>
          <w:lang w:eastAsia="en-AU"/>
        </w:rPr>
        <w:t>diabetic complications.</w:t>
      </w:r>
    </w:p>
    <w:p w14:paraId="7CD7D3BE" w14:textId="77777777" w:rsidR="003A0813" w:rsidRDefault="003A0813" w:rsidP="003027B3">
      <w:pPr>
        <w:pStyle w:val="ListParagraph"/>
        <w:numPr>
          <w:ilvl w:val="0"/>
          <w:numId w:val="26"/>
        </w:numPr>
        <w:spacing w:before="0" w:after="240" w:line="240" w:lineRule="auto"/>
        <w:rPr>
          <w:rFonts w:eastAsia="Times New Roman" w:cs="Times New Roman"/>
          <w:color w:val="000000"/>
          <w:szCs w:val="20"/>
          <w:lang w:eastAsia="en-AU"/>
        </w:rPr>
      </w:pPr>
      <w:r>
        <w:rPr>
          <w:rFonts w:eastAsia="Times New Roman" w:cs="Times New Roman"/>
          <w:color w:val="000000"/>
          <w:szCs w:val="20"/>
          <w:lang w:eastAsia="en-AU"/>
        </w:rPr>
        <w:t>The model assumed patients in the comparator arm used l</w:t>
      </w:r>
      <w:r w:rsidRPr="00F172CC">
        <w:rPr>
          <w:rFonts w:eastAsia="Times New Roman" w:cs="Times New Roman"/>
          <w:color w:val="000000"/>
          <w:szCs w:val="20"/>
          <w:lang w:eastAsia="en-AU"/>
        </w:rPr>
        <w:t xml:space="preserve">ess than recommended number of blood glucose monitoring </w:t>
      </w:r>
      <w:r>
        <w:rPr>
          <w:rFonts w:eastAsia="Times New Roman" w:cs="Times New Roman"/>
          <w:color w:val="000000"/>
          <w:szCs w:val="20"/>
          <w:lang w:eastAsia="en-AU"/>
        </w:rPr>
        <w:t>strips</w:t>
      </w:r>
      <w:r w:rsidRPr="00F172CC">
        <w:rPr>
          <w:rFonts w:eastAsia="Times New Roman" w:cs="Times New Roman"/>
          <w:color w:val="000000"/>
          <w:szCs w:val="20"/>
          <w:lang w:eastAsia="en-AU"/>
        </w:rPr>
        <w:t xml:space="preserve"> per day</w:t>
      </w:r>
      <w:r>
        <w:rPr>
          <w:rFonts w:eastAsia="Times New Roman" w:cs="Times New Roman"/>
          <w:color w:val="000000"/>
          <w:szCs w:val="20"/>
          <w:lang w:eastAsia="en-AU"/>
        </w:rPr>
        <w:t>, resulting in a reduced estimated cost offset.</w:t>
      </w:r>
    </w:p>
    <w:p w14:paraId="7EE32744" w14:textId="77777777" w:rsidR="003A0813" w:rsidRDefault="003A0813" w:rsidP="003027B3">
      <w:pPr>
        <w:pStyle w:val="ListParagraph"/>
        <w:numPr>
          <w:ilvl w:val="0"/>
          <w:numId w:val="26"/>
        </w:numPr>
        <w:spacing w:before="0" w:after="240" w:line="240" w:lineRule="auto"/>
        <w:rPr>
          <w:rFonts w:eastAsia="Times New Roman" w:cs="Times New Roman"/>
          <w:color w:val="000000"/>
          <w:szCs w:val="20"/>
          <w:lang w:eastAsia="en-AU"/>
        </w:rPr>
      </w:pPr>
      <w:r>
        <w:rPr>
          <w:rFonts w:eastAsia="Times New Roman" w:cs="Times New Roman"/>
          <w:color w:val="000000"/>
          <w:szCs w:val="20"/>
          <w:lang w:eastAsia="en-AU"/>
        </w:rPr>
        <w:t>The assumed c</w:t>
      </w:r>
      <w:r w:rsidRPr="005F78C8">
        <w:rPr>
          <w:rFonts w:eastAsia="Times New Roman" w:cs="Times New Roman"/>
          <w:color w:val="000000"/>
          <w:szCs w:val="20"/>
          <w:lang w:eastAsia="en-AU"/>
        </w:rPr>
        <w:t xml:space="preserve">ost of renal complications </w:t>
      </w:r>
      <w:r>
        <w:rPr>
          <w:rFonts w:eastAsia="Times New Roman" w:cs="Times New Roman"/>
          <w:color w:val="000000"/>
          <w:szCs w:val="20"/>
          <w:lang w:eastAsia="en-AU"/>
        </w:rPr>
        <w:t xml:space="preserve">was </w:t>
      </w:r>
      <w:r w:rsidRPr="005F78C8">
        <w:rPr>
          <w:rFonts w:eastAsia="Times New Roman" w:cs="Times New Roman"/>
          <w:color w:val="000000"/>
          <w:szCs w:val="20"/>
          <w:lang w:eastAsia="en-AU"/>
        </w:rPr>
        <w:t>likely underestimated</w:t>
      </w:r>
      <w:r>
        <w:rPr>
          <w:rFonts w:eastAsia="Times New Roman" w:cs="Times New Roman"/>
          <w:color w:val="000000"/>
          <w:szCs w:val="20"/>
          <w:lang w:eastAsia="en-AU"/>
        </w:rPr>
        <w:t xml:space="preserve"> which also resulted in a reduced </w:t>
      </w:r>
      <w:r w:rsidRPr="005F78C8">
        <w:rPr>
          <w:rFonts w:eastAsia="Times New Roman" w:cs="Times New Roman"/>
          <w:color w:val="000000"/>
          <w:szCs w:val="20"/>
          <w:lang w:eastAsia="en-AU"/>
        </w:rPr>
        <w:t>cost offset</w:t>
      </w:r>
      <w:r>
        <w:rPr>
          <w:rFonts w:eastAsia="Times New Roman" w:cs="Times New Roman"/>
          <w:color w:val="000000"/>
          <w:szCs w:val="20"/>
          <w:lang w:eastAsia="en-AU"/>
        </w:rPr>
        <w:t>.</w:t>
      </w:r>
    </w:p>
    <w:p w14:paraId="6B6656A8" w14:textId="77777777" w:rsidR="003A0813" w:rsidRPr="00C27AEA" w:rsidRDefault="003A0813" w:rsidP="003027B3">
      <w:pPr>
        <w:pStyle w:val="ListParagraph"/>
        <w:numPr>
          <w:ilvl w:val="0"/>
          <w:numId w:val="26"/>
        </w:numPr>
        <w:spacing w:before="0" w:after="240" w:line="240" w:lineRule="auto"/>
        <w:rPr>
          <w:rFonts w:eastAsia="Times New Roman" w:cs="Times New Roman"/>
          <w:color w:val="000000"/>
          <w:szCs w:val="20"/>
          <w:lang w:eastAsia="en-AU"/>
        </w:rPr>
      </w:pPr>
      <w:r>
        <w:t>The model’s nine diabetic complication health states omitted amputation, which resulted in reduced utility gains and reduced cost offsets.</w:t>
      </w:r>
    </w:p>
    <w:p w14:paraId="50176E15" w14:textId="77777777" w:rsidR="003A0813" w:rsidRDefault="003A0813" w:rsidP="003A0813">
      <w:r>
        <w:t xml:space="preserve">ESC accepted the explanation in the applicant’s pre-ESC response that </w:t>
      </w:r>
      <w:r w:rsidRPr="005B11A1">
        <w:t>the attenuation of effect on HbA1c relates to SMBG, not CGM</w:t>
      </w:r>
      <w:r>
        <w:t>.</w:t>
      </w:r>
    </w:p>
    <w:p w14:paraId="2DE6E9A1" w14:textId="61742857" w:rsidR="003A0813" w:rsidRDefault="003A0813" w:rsidP="003A0813">
      <w:r>
        <w:t>For PICO set 2, ESC noted that a cost-consequence analysis was presented, which claimed a net cost saving. ESC noted that this was based on a reduction in macrosomia from the RCT</w:t>
      </w:r>
      <w:r w:rsidRPr="00362425">
        <w:t xml:space="preserve"> </w:t>
      </w:r>
      <w:r>
        <w:t xml:space="preserve">by Majewska et al. (2023), which ESC considered to be uncertain because this secondary outcome result was not consistent with the negative primary (glycaemic) outcome result. ESC also noted that the result was based on costing each </w:t>
      </w:r>
      <w:r w:rsidRPr="00AA4E26">
        <w:t xml:space="preserve">macrosomia </w:t>
      </w:r>
      <w:r>
        <w:t xml:space="preserve">event at </w:t>
      </w:r>
      <w:r w:rsidRPr="00AA4E26">
        <w:t>$5,128 per neonate admitted, with $</w:t>
      </w:r>
      <w:r w:rsidR="005A35DF">
        <w:rPr>
          <w:b/>
          <w:bCs/>
        </w:rPr>
        <w:t>REDACTED</w:t>
      </w:r>
      <w:r w:rsidRPr="005A35DF">
        <w:t xml:space="preserve"> </w:t>
      </w:r>
      <w:r w:rsidRPr="00AA4E26">
        <w:t>being the breakeven cost</w:t>
      </w:r>
      <w:r>
        <w:t>.</w:t>
      </w:r>
      <w:r w:rsidRPr="00AA4E26">
        <w:t xml:space="preserve"> </w:t>
      </w:r>
      <w:r w:rsidRPr="002F3063">
        <w:t>The ADAR did not explore any scenarios around these estimates despite the confidence interval around the odds ratio being very lar</w:t>
      </w:r>
      <w:r>
        <w:t>ge.</w:t>
      </w:r>
    </w:p>
    <w:p w14:paraId="0E9DA2B4" w14:textId="77777777" w:rsidR="003A0813" w:rsidRPr="00A70F81" w:rsidRDefault="003A0813" w:rsidP="003A0813">
      <w:r>
        <w:t xml:space="preserve">For PICO set 3, ESC considered that no economic evaluation could be reasonably provided. </w:t>
      </w:r>
    </w:p>
    <w:p w14:paraId="5077855E" w14:textId="77777777" w:rsidR="003A0813" w:rsidRDefault="003A0813" w:rsidP="003A0813">
      <w:r w:rsidRPr="007F57A0">
        <w:t>ESC considered the approach taken to calculating the financial imp</w:t>
      </w:r>
      <w:r>
        <w:t>lications</w:t>
      </w:r>
      <w:r w:rsidRPr="007F57A0">
        <w:t xml:space="preserve"> to be reasonable.</w:t>
      </w:r>
    </w:p>
    <w:p w14:paraId="144446E9" w14:textId="77777777" w:rsidR="003A0813" w:rsidRPr="007F57A0" w:rsidRDefault="003A0813" w:rsidP="003A0813">
      <w:r>
        <w:t xml:space="preserve">ESC noted that the </w:t>
      </w:r>
      <w:r w:rsidRPr="002E29AB">
        <w:t>CGM uptake/substitution rates</w:t>
      </w:r>
      <w:r>
        <w:t xml:space="preserve"> for all PICO set estimates </w:t>
      </w:r>
      <w:r w:rsidRPr="002E29AB">
        <w:t>relied on assumptions with supporting evidence from similar markets</w:t>
      </w:r>
      <w:r>
        <w:t>.</w:t>
      </w:r>
      <w:r w:rsidRPr="0058444D">
        <w:t xml:space="preserve"> </w:t>
      </w:r>
      <w:r>
        <w:t>For all PICO set estimates, t</w:t>
      </w:r>
      <w:r w:rsidRPr="0058444D">
        <w:t xml:space="preserve">he unit cost of a pack of </w:t>
      </w:r>
      <w:r>
        <w:t>blood glucose</w:t>
      </w:r>
      <w:r w:rsidRPr="0058444D">
        <w:t xml:space="preserve"> </w:t>
      </w:r>
      <w:r>
        <w:t>test strips</w:t>
      </w:r>
      <w:r w:rsidRPr="0058444D">
        <w:t xml:space="preserve"> seems appropriate because the cost to the NDSS </w:t>
      </w:r>
      <w:r>
        <w:t xml:space="preserve">appropriately </w:t>
      </w:r>
      <w:r w:rsidRPr="0058444D">
        <w:t>exclude</w:t>
      </w:r>
      <w:r>
        <w:t>d</w:t>
      </w:r>
      <w:r w:rsidRPr="0058444D">
        <w:t xml:space="preserve"> patient copayments</w:t>
      </w:r>
      <w:r>
        <w:t xml:space="preserve"> for the applicable percentage of the patient population and therefore the estimated SMBG cost offsets were also appropriate.</w:t>
      </w:r>
    </w:p>
    <w:p w14:paraId="1A61115E" w14:textId="77777777" w:rsidR="003A0813" w:rsidRDefault="003A0813" w:rsidP="003A0813">
      <w:r>
        <w:t>ESC noted that t</w:t>
      </w:r>
      <w:r w:rsidRPr="006D691B">
        <w:t xml:space="preserve">he prevalence estimates of patients with T2D using insulin (201,080 in 2022 from a 10% sample of PBS data) </w:t>
      </w:r>
      <w:r>
        <w:t>used in PICO set 1 we</w:t>
      </w:r>
      <w:r w:rsidRPr="006D691B">
        <w:t xml:space="preserve">re consistent with </w:t>
      </w:r>
      <w:r>
        <w:t>the department’s advice that PBS data was more accurate than</w:t>
      </w:r>
      <w:r w:rsidRPr="00D766D1">
        <w:t xml:space="preserve"> NDSS data</w:t>
      </w:r>
      <w:r>
        <w:t>,</w:t>
      </w:r>
      <w:r w:rsidRPr="00D766D1">
        <w:t xml:space="preserve"> as the </w:t>
      </w:r>
      <w:r>
        <w:t>latter</w:t>
      </w:r>
      <w:r w:rsidRPr="00D766D1">
        <w:t xml:space="preserve"> covers all people that have T2D that may have used insulin at some point</w:t>
      </w:r>
      <w:r>
        <w:t xml:space="preserve"> and</w:t>
      </w:r>
      <w:r w:rsidRPr="00D766D1">
        <w:t xml:space="preserve"> will </w:t>
      </w:r>
      <w:r>
        <w:t xml:space="preserve">therefore tend to </w:t>
      </w:r>
      <w:r w:rsidRPr="00D766D1">
        <w:t xml:space="preserve">overestimate </w:t>
      </w:r>
      <w:r>
        <w:t>this figure.</w:t>
      </w:r>
      <w:r w:rsidRPr="00216203">
        <w:t xml:space="preserve"> </w:t>
      </w:r>
    </w:p>
    <w:p w14:paraId="18E409E2" w14:textId="77777777" w:rsidR="003A0813" w:rsidRPr="00216203" w:rsidRDefault="003A0813" w:rsidP="003A0813">
      <w:r>
        <w:t xml:space="preserve">ESC noted that the model for PICO set 1 assumed substantial adherence with use of the FSL2 as well as lifelong use of the device. </w:t>
      </w:r>
      <w:r w:rsidRPr="00216203">
        <w:t xml:space="preserve">ESC considered that uptake of, and compliance in using, the FSL2 in </w:t>
      </w:r>
      <w:r>
        <w:t>older patients</w:t>
      </w:r>
      <w:r w:rsidRPr="00216203">
        <w:t xml:space="preserve"> may be</w:t>
      </w:r>
      <w:r>
        <w:t xml:space="preserve"> uncertain, as they may experience more difficulties attaching and using CGM systems</w:t>
      </w:r>
      <w:r w:rsidRPr="00216203">
        <w:t>.</w:t>
      </w:r>
      <w:r>
        <w:t xml:space="preserve"> ESC also considered that lifelong use may be an unrealistic assumption in the real world.</w:t>
      </w:r>
    </w:p>
    <w:p w14:paraId="7F5BE88E" w14:textId="21A74E40" w:rsidR="003A0813" w:rsidRPr="00216203" w:rsidRDefault="003A0813" w:rsidP="003A0813">
      <w:r w:rsidRPr="00216203">
        <w:t xml:space="preserve">ESC noted that CGM products are currently free for most patients with T1D </w:t>
      </w:r>
      <w:r>
        <w:t xml:space="preserve">through the NDSS </w:t>
      </w:r>
      <w:r w:rsidRPr="00216203">
        <w:t xml:space="preserve">and that expanding access to the larger T2D population </w:t>
      </w:r>
      <w:r>
        <w:t>is estimated to increase the NDSS budget by between $</w:t>
      </w:r>
      <w:r w:rsidR="00D0168B">
        <w:t>20 million to &lt; $30 million</w:t>
      </w:r>
      <w:r>
        <w:t xml:space="preserve"> in year 1 and $</w:t>
      </w:r>
      <w:r w:rsidR="00D0168B">
        <w:t>80 million to &lt; $90 million</w:t>
      </w:r>
      <w:r>
        <w:t xml:space="preserve"> in year 6</w:t>
      </w:r>
      <w:r w:rsidRPr="00216203">
        <w:t>.</w:t>
      </w:r>
    </w:p>
    <w:p w14:paraId="03F59E67" w14:textId="77777777" w:rsidR="003A0813" w:rsidRDefault="003A0813" w:rsidP="003A0813">
      <w:r>
        <w:t>ESC</w:t>
      </w:r>
      <w:r w:rsidRPr="00216203">
        <w:t xml:space="preserve"> </w:t>
      </w:r>
      <w:r>
        <w:t xml:space="preserve">considered </w:t>
      </w:r>
      <w:r w:rsidRPr="00216203">
        <w:t>that</w:t>
      </w:r>
      <w:r w:rsidRPr="007F57A0">
        <w:t xml:space="preserve"> the assumed growth in GDM patient numbers </w:t>
      </w:r>
      <w:r>
        <w:t xml:space="preserve">in PICO set 2 </w:t>
      </w:r>
      <w:r w:rsidRPr="007F57A0">
        <w:t xml:space="preserve">was inconsistent with declining fertility </w:t>
      </w:r>
      <w:proofErr w:type="gramStart"/>
      <w:r w:rsidRPr="007F57A0">
        <w:t>rates</w:t>
      </w:r>
      <w:r>
        <w:t>, and</w:t>
      </w:r>
      <w:proofErr w:type="gramEnd"/>
      <w:r>
        <w:t xml:space="preserve"> could only be reasonable if the increase in the incidence of GDM is greater than this decrease in fertility</w:t>
      </w:r>
      <w:r w:rsidRPr="007F57A0">
        <w:t xml:space="preserve">. </w:t>
      </w:r>
      <w:r w:rsidRPr="00216203">
        <w:t xml:space="preserve">ESC </w:t>
      </w:r>
      <w:r>
        <w:t xml:space="preserve">also </w:t>
      </w:r>
      <w:r w:rsidRPr="00216203">
        <w:t>noted that, for PICO set 2, use of the device would be for months, not years, which would limit its</w:t>
      </w:r>
      <w:r>
        <w:t xml:space="preserve"> overall</w:t>
      </w:r>
      <w:r w:rsidRPr="00216203">
        <w:t xml:space="preserve"> financial impact. ESC also noted that new Australian guidelines for diagnosis of GDM </w:t>
      </w:r>
      <w:r>
        <w:t>were being developed and that these may change the financial impact. Post-ESC, ESC noted the updated guidelines had</w:t>
      </w:r>
      <w:r w:rsidRPr="00216203">
        <w:t xml:space="preserve"> be</w:t>
      </w:r>
      <w:r>
        <w:t>en</w:t>
      </w:r>
      <w:r w:rsidRPr="00216203">
        <w:t xml:space="preserve"> </w:t>
      </w:r>
      <w:r>
        <w:t>published</w:t>
      </w:r>
      <w:r>
        <w:rPr>
          <w:rStyle w:val="FootnoteReference"/>
        </w:rPr>
        <w:footnoteReference w:id="32"/>
      </w:r>
      <w:r>
        <w:t xml:space="preserve"> and are due to be implemented on 1 July 2025.</w:t>
      </w:r>
      <w:r w:rsidRPr="00216203">
        <w:t xml:space="preserve"> </w:t>
      </w:r>
      <w:r>
        <w:t>These guidelines</w:t>
      </w:r>
      <w:r w:rsidRPr="00216203">
        <w:t xml:space="preserve"> set a higher threshold</w:t>
      </w:r>
      <w:r>
        <w:t xml:space="preserve"> for diagnosis, which is likely to reduce the prevalence of diagnosed GDM and therefore the financial impact of funding access to CGM products for this population. However, the guidelines also recommend that women at higher risk of GDM are tested earlier in pregnancy, specifically recommending testing at 10-14 weeks, which may increase the duration of CGM use (and subsequently increase costs). </w:t>
      </w:r>
    </w:p>
    <w:p w14:paraId="00CA90FD" w14:textId="77777777" w:rsidR="003A0813" w:rsidRDefault="003A0813" w:rsidP="003A0813">
      <w:r w:rsidRPr="007F57A0">
        <w:t xml:space="preserve">ESC noted that the prevalence estimates for patients </w:t>
      </w:r>
      <w:r>
        <w:t xml:space="preserve">aged 21 years and over </w:t>
      </w:r>
      <w:r w:rsidRPr="007F57A0">
        <w:t xml:space="preserve">with conditions </w:t>
      </w:r>
      <w:proofErr w:type="gramStart"/>
      <w:r w:rsidRPr="007F57A0">
        <w:t>similar to</w:t>
      </w:r>
      <w:proofErr w:type="gramEnd"/>
      <w:r w:rsidRPr="007F57A0">
        <w:t xml:space="preserve"> T1D requiring insulin were </w:t>
      </w:r>
      <w:proofErr w:type="gramStart"/>
      <w:r w:rsidRPr="007F57A0">
        <w:t>uncertain</w:t>
      </w:r>
      <w:r>
        <w:t>, but</w:t>
      </w:r>
      <w:proofErr w:type="gramEnd"/>
      <w:r w:rsidRPr="007F57A0">
        <w:t xml:space="preserve"> considered that the prevalence was unlikely to be large.</w:t>
      </w:r>
    </w:p>
    <w:p w14:paraId="7628FCE5" w14:textId="7B3A99AC" w:rsidR="003A0813" w:rsidRDefault="003A0813" w:rsidP="003A0813">
      <w:r>
        <w:t xml:space="preserve">ESC noted that current NDSS listings do not differentiate between CGM products. </w:t>
      </w:r>
      <w:r w:rsidR="00337C73">
        <w:rPr>
          <w:b/>
          <w:bCs/>
        </w:rPr>
        <w:t xml:space="preserve">REDACTED. </w:t>
      </w:r>
      <w:r>
        <w:t xml:space="preserve">Based on this, ESC considered that a device-agnostic descriptor for CGM products would likely be </w:t>
      </w:r>
      <w:r w:rsidRPr="00D3467D">
        <w:t xml:space="preserve">appropriate </w:t>
      </w:r>
      <w:r w:rsidRPr="00A16422">
        <w:t>as the devices likely have a class effect</w:t>
      </w:r>
      <w:r>
        <w:t>. ESC also noted the substantial difference in device cost per year for the FSL2 ($</w:t>
      </w:r>
      <w:r w:rsidR="003E1ED0">
        <w:rPr>
          <w:b/>
          <w:bCs/>
        </w:rPr>
        <w:t>REDACTED</w:t>
      </w:r>
      <w:r>
        <w:t>) and the Dexcom ONE ($</w:t>
      </w:r>
      <w:r w:rsidR="00337C73">
        <w:rPr>
          <w:b/>
          <w:bCs/>
        </w:rPr>
        <w:t>REDACTED</w:t>
      </w:r>
      <w:r>
        <w:t xml:space="preserve">) for the assumed same outcome. </w:t>
      </w:r>
    </w:p>
    <w:p w14:paraId="1D7AC5DF" w14:textId="77777777" w:rsidR="003A0813" w:rsidRPr="00A70F81" w:rsidRDefault="003A0813" w:rsidP="003A0813">
      <w:r>
        <w:t xml:space="preserve">ESC noted that the </w:t>
      </w:r>
      <w:proofErr w:type="gramStart"/>
      <w:r>
        <w:t>populations</w:t>
      </w:r>
      <w:proofErr w:type="gramEnd"/>
      <w:r>
        <w:t xml:space="preserve"> in P</w:t>
      </w:r>
      <w:r w:rsidRPr="00D74E01">
        <w:t>ICO</w:t>
      </w:r>
      <w:r>
        <w:t xml:space="preserve"> sets</w:t>
      </w:r>
      <w:r w:rsidRPr="00D74E01">
        <w:t xml:space="preserve"> 2 and 3 are small and </w:t>
      </w:r>
      <w:r>
        <w:t xml:space="preserve">it is </w:t>
      </w:r>
      <w:r w:rsidRPr="00D74E01">
        <w:t xml:space="preserve">unlikely </w:t>
      </w:r>
      <w:r>
        <w:t>that</w:t>
      </w:r>
      <w:r w:rsidRPr="00D74E01">
        <w:t xml:space="preserve"> </w:t>
      </w:r>
      <w:r>
        <w:t xml:space="preserve">scientifically robust </w:t>
      </w:r>
      <w:r w:rsidRPr="00D74E01">
        <w:t>datasets</w:t>
      </w:r>
      <w:r>
        <w:t xml:space="preserve"> will be developed for these two populations. Moreover, access to CGM for people with the conditions defined in </w:t>
      </w:r>
      <w:r w:rsidRPr="00D74E01">
        <w:t xml:space="preserve">PICO </w:t>
      </w:r>
      <w:r>
        <w:t xml:space="preserve">set </w:t>
      </w:r>
      <w:r w:rsidRPr="00D74E01">
        <w:t xml:space="preserve">3 is already funded </w:t>
      </w:r>
      <w:r>
        <w:t xml:space="preserve">for those </w:t>
      </w:r>
      <w:r w:rsidRPr="00D74E01">
        <w:t>under 21 y</w:t>
      </w:r>
      <w:r>
        <w:t>ears</w:t>
      </w:r>
      <w:r w:rsidRPr="00D74E01">
        <w:t xml:space="preserve"> of age</w:t>
      </w:r>
      <w:r>
        <w:t xml:space="preserve"> while access to CGM for </w:t>
      </w:r>
      <w:r w:rsidRPr="00D74E01">
        <w:t xml:space="preserve">PICO </w:t>
      </w:r>
      <w:r>
        <w:t xml:space="preserve">set </w:t>
      </w:r>
      <w:r w:rsidRPr="00D74E01">
        <w:t xml:space="preserve">2 </w:t>
      </w:r>
      <w:r>
        <w:t>will only be</w:t>
      </w:r>
      <w:r w:rsidRPr="00D74E01">
        <w:t xml:space="preserve"> for months not years</w:t>
      </w:r>
      <w:r>
        <w:t xml:space="preserve">. Based on these considerations, ESC advised that MSAC may wish to assess the case for funded CGM for these populations separately from the </w:t>
      </w:r>
      <w:r w:rsidRPr="00A70F81">
        <w:t>larger PICO set </w:t>
      </w:r>
      <w:r>
        <w:t>1, and that MSAC may consider a lower level of evidence sufficient for these two smaller PICO sets.</w:t>
      </w:r>
    </w:p>
    <w:p w14:paraId="0A05B197" w14:textId="77777777" w:rsidR="003A0813" w:rsidRPr="00350FF5" w:rsidRDefault="003A0813" w:rsidP="003A0813">
      <w:pPr>
        <w:spacing w:before="0" w:after="120" w:line="240" w:lineRule="auto"/>
        <w:rPr>
          <w:rFonts w:eastAsia="Times New Roman" w:cs="Times New Roman"/>
          <w:szCs w:val="20"/>
          <w:lang w:eastAsia="en-AU"/>
        </w:rPr>
      </w:pPr>
      <w:r w:rsidRPr="00F7550E">
        <w:rPr>
          <w:rFonts w:eastAsia="Times New Roman" w:cs="Times New Roman"/>
          <w:color w:val="000000"/>
          <w:szCs w:val="20"/>
          <w:lang w:eastAsia="en-AU"/>
        </w:rPr>
        <w:t>ESC noted equity of access issues related to CGM</w:t>
      </w:r>
      <w:r>
        <w:rPr>
          <w:rFonts w:eastAsia="Times New Roman" w:cs="Times New Roman"/>
          <w:color w:val="000000"/>
          <w:szCs w:val="20"/>
          <w:lang w:eastAsia="en-AU"/>
        </w:rPr>
        <w:t xml:space="preserve">. </w:t>
      </w:r>
      <w:proofErr w:type="gramStart"/>
      <w:r>
        <w:rPr>
          <w:rFonts w:eastAsia="Times New Roman" w:cs="Times New Roman"/>
          <w:color w:val="000000"/>
          <w:szCs w:val="20"/>
          <w:lang w:eastAsia="en-AU"/>
        </w:rPr>
        <w:t>In particular ESC</w:t>
      </w:r>
      <w:proofErr w:type="gramEnd"/>
      <w:r>
        <w:rPr>
          <w:rFonts w:eastAsia="Times New Roman" w:cs="Times New Roman"/>
          <w:color w:val="000000"/>
          <w:szCs w:val="20"/>
          <w:lang w:eastAsia="en-AU"/>
        </w:rPr>
        <w:t xml:space="preserve"> noted that while CGM is fully funded for concessional status </w:t>
      </w:r>
      <w:r w:rsidRPr="009808D3">
        <w:rPr>
          <w:rFonts w:eastAsia="Times New Roman" w:cs="Times New Roman"/>
          <w:color w:val="000000"/>
          <w:szCs w:val="20"/>
          <w:lang w:eastAsia="en-AU"/>
        </w:rPr>
        <w:t>patients with T1D</w:t>
      </w:r>
      <w:r>
        <w:rPr>
          <w:rFonts w:eastAsia="Times New Roman" w:cs="Times New Roman"/>
          <w:color w:val="000000"/>
          <w:szCs w:val="20"/>
          <w:lang w:eastAsia="en-AU"/>
        </w:rPr>
        <w:t xml:space="preserve">, an equivalent monthly </w:t>
      </w:r>
      <w:r w:rsidRPr="009808D3">
        <w:rPr>
          <w:rFonts w:eastAsia="Times New Roman" w:cs="Times New Roman"/>
          <w:color w:val="000000"/>
          <w:szCs w:val="20"/>
          <w:lang w:eastAsia="en-AU"/>
        </w:rPr>
        <w:t>co-payment of $3</w:t>
      </w:r>
      <w:r>
        <w:rPr>
          <w:rFonts w:eastAsia="Times New Roman" w:cs="Times New Roman"/>
          <w:color w:val="000000"/>
          <w:szCs w:val="20"/>
          <w:lang w:eastAsia="en-AU"/>
        </w:rPr>
        <w:t>5</w:t>
      </w:r>
      <w:r w:rsidRPr="009808D3">
        <w:rPr>
          <w:rFonts w:eastAsia="Times New Roman" w:cs="Times New Roman"/>
          <w:color w:val="000000"/>
          <w:szCs w:val="20"/>
          <w:lang w:eastAsia="en-AU"/>
        </w:rPr>
        <w:t>.</w:t>
      </w:r>
      <w:r>
        <w:rPr>
          <w:rFonts w:eastAsia="Times New Roman" w:cs="Times New Roman"/>
          <w:color w:val="000000"/>
          <w:szCs w:val="20"/>
          <w:lang w:eastAsia="en-AU"/>
        </w:rPr>
        <w:t>9</w:t>
      </w:r>
      <w:r w:rsidRPr="009808D3">
        <w:rPr>
          <w:rFonts w:eastAsia="Times New Roman" w:cs="Times New Roman"/>
          <w:color w:val="000000"/>
          <w:szCs w:val="20"/>
          <w:lang w:eastAsia="en-AU"/>
        </w:rPr>
        <w:t xml:space="preserve">0 </w:t>
      </w:r>
      <w:r>
        <w:rPr>
          <w:rFonts w:eastAsia="Times New Roman" w:cs="Times New Roman"/>
          <w:color w:val="000000"/>
          <w:szCs w:val="20"/>
          <w:lang w:eastAsia="en-AU"/>
        </w:rPr>
        <w:t xml:space="preserve">currently applies </w:t>
      </w:r>
      <w:r w:rsidRPr="009808D3">
        <w:rPr>
          <w:rFonts w:eastAsia="Times New Roman" w:cs="Times New Roman"/>
          <w:color w:val="000000"/>
          <w:szCs w:val="20"/>
          <w:lang w:eastAsia="en-AU"/>
        </w:rPr>
        <w:t>for people aged 21 years and over who do not have concessional status</w:t>
      </w:r>
      <w:r>
        <w:rPr>
          <w:rFonts w:eastAsia="Times New Roman" w:cs="Times New Roman"/>
          <w:color w:val="000000"/>
          <w:szCs w:val="20"/>
          <w:lang w:eastAsia="en-AU"/>
        </w:rPr>
        <w:t xml:space="preserve">. </w:t>
      </w:r>
      <w:r w:rsidRPr="00F7550E">
        <w:rPr>
          <w:rFonts w:eastAsia="Times New Roman" w:cs="Times New Roman"/>
          <w:color w:val="000000"/>
          <w:szCs w:val="20"/>
          <w:lang w:eastAsia="en-AU"/>
        </w:rPr>
        <w:t xml:space="preserve">ESC noted that the T2D population is much larger </w:t>
      </w:r>
      <w:r>
        <w:rPr>
          <w:rFonts w:eastAsia="Times New Roman" w:cs="Times New Roman"/>
          <w:color w:val="000000"/>
          <w:szCs w:val="20"/>
          <w:lang w:eastAsia="en-AU"/>
        </w:rPr>
        <w:t>than the T1D population</w:t>
      </w:r>
      <w:r w:rsidRPr="00F7550E">
        <w:rPr>
          <w:rFonts w:eastAsia="Times New Roman" w:cs="Times New Roman"/>
          <w:color w:val="000000"/>
          <w:szCs w:val="20"/>
          <w:lang w:eastAsia="en-AU"/>
        </w:rPr>
        <w:t xml:space="preserve"> and that funding</w:t>
      </w:r>
      <w:r>
        <w:rPr>
          <w:rFonts w:eastAsia="Times New Roman" w:cs="Times New Roman"/>
          <w:color w:val="000000"/>
          <w:szCs w:val="20"/>
          <w:lang w:eastAsia="en-AU"/>
        </w:rPr>
        <w:t xml:space="preserve"> CGM for the T2D population</w:t>
      </w:r>
      <w:r w:rsidRPr="00F7550E">
        <w:rPr>
          <w:rFonts w:eastAsia="Times New Roman" w:cs="Times New Roman"/>
          <w:color w:val="000000"/>
          <w:szCs w:val="20"/>
          <w:lang w:eastAsia="en-AU"/>
        </w:rPr>
        <w:t xml:space="preserve"> will have a considerable impact on budgets</w:t>
      </w:r>
      <w:r>
        <w:rPr>
          <w:rFonts w:eastAsia="Times New Roman" w:cs="Times New Roman"/>
          <w:color w:val="000000"/>
          <w:szCs w:val="20"/>
          <w:lang w:eastAsia="en-AU"/>
        </w:rPr>
        <w:t>.</w:t>
      </w:r>
      <w:r w:rsidRPr="00B44104">
        <w:rPr>
          <w:rFonts w:eastAsia="Times New Roman" w:cs="Times New Roman"/>
          <w:szCs w:val="20"/>
          <w:lang w:eastAsia="en-AU"/>
        </w:rPr>
        <w:t xml:space="preserve"> </w:t>
      </w:r>
      <w:r>
        <w:rPr>
          <w:rFonts w:eastAsia="Times New Roman" w:cs="Times New Roman"/>
          <w:szCs w:val="20"/>
          <w:lang w:eastAsia="en-AU"/>
        </w:rPr>
        <w:t xml:space="preserve">ESC noted that CGM could also be considered for short-term use </w:t>
      </w:r>
      <w:r w:rsidRPr="0051546C">
        <w:rPr>
          <w:rFonts w:eastAsia="Times New Roman" w:cs="Times New Roman"/>
          <w:szCs w:val="20"/>
          <w:lang w:eastAsia="en-AU"/>
        </w:rPr>
        <w:t>in newly diagnosed T2D patients for education and prevention of progression</w:t>
      </w:r>
      <w:r>
        <w:rPr>
          <w:rFonts w:eastAsia="Times New Roman" w:cs="Times New Roman"/>
          <w:szCs w:val="20"/>
          <w:lang w:eastAsia="en-AU"/>
        </w:rPr>
        <w:t xml:space="preserve">. </w:t>
      </w:r>
    </w:p>
    <w:p w14:paraId="177A9C77" w14:textId="77777777" w:rsidR="003A0813" w:rsidRPr="00480793" w:rsidRDefault="003A0813" w:rsidP="003A0813">
      <w:pPr>
        <w:pStyle w:val="NormalBeforeBullet0"/>
      </w:pPr>
      <w:r>
        <w:t xml:space="preserve">ESC suggested that if MSAC supports any aspect of the requested funding, MSAC may also wish </w:t>
      </w:r>
      <w:r w:rsidRPr="00BC67A0">
        <w:t xml:space="preserve">to </w:t>
      </w:r>
      <w:r w:rsidRPr="00480793">
        <w:t>consider advising on 3 broader aspects of government policy regarding NDSS funding:</w:t>
      </w:r>
    </w:p>
    <w:p w14:paraId="55D133F5" w14:textId="77777777" w:rsidR="003A0813" w:rsidRPr="00350FF5" w:rsidRDefault="003A0813" w:rsidP="003027B3">
      <w:pPr>
        <w:pStyle w:val="Bullet"/>
        <w:numPr>
          <w:ilvl w:val="0"/>
          <w:numId w:val="24"/>
        </w:numPr>
        <w:spacing w:before="0"/>
        <w:rPr>
          <w:rFonts w:ascii="Franklin Gothic Book" w:hAnsi="Franklin Gothic Book"/>
        </w:rPr>
      </w:pPr>
      <w:r w:rsidRPr="00350FF5">
        <w:rPr>
          <w:rFonts w:ascii="Franklin Gothic Book" w:hAnsi="Franklin Gothic Book"/>
        </w:rPr>
        <w:t>MSAC could consider recommending that a co-payment be applicable for CGM funding for non-Aboriginal and Torres Strait Islander</w:t>
      </w:r>
      <w:r>
        <w:rPr>
          <w:rFonts w:ascii="Franklin Gothic Book" w:hAnsi="Franklin Gothic Book"/>
        </w:rPr>
        <w:t xml:space="preserve"> and</w:t>
      </w:r>
      <w:r w:rsidRPr="00350FF5">
        <w:rPr>
          <w:rFonts w:ascii="Franklin Gothic Book" w:hAnsi="Franklin Gothic Book"/>
        </w:rPr>
        <w:t xml:space="preserve"> non-concessional beneficiaries aged 21 years or over. This is because ESC considered that applying a full subsidy of CGM for T2D patients would create an inequity in subsidy access compared to the existing NDSS subsidy co-payment arrangements for similar patients with T1D (and for blood glucose strips). ESC considered that while applying the T1D CGM co-payment may marginally reduce the rate and extent of expected uptake and the associated costs, it would give the subpopulations with greatest need access to the full subsidy.</w:t>
      </w:r>
      <w:r>
        <w:rPr>
          <w:rFonts w:ascii="Franklin Gothic Book" w:hAnsi="Franklin Gothic Book"/>
        </w:rPr>
        <w:t xml:space="preserve"> Similarly, MSAC should also be aware that the request to fully subsidise CGM in GDM is consistent with the existing full subsidy of patients with T1D in the context of pregnancy.</w:t>
      </w:r>
    </w:p>
    <w:p w14:paraId="55C316B8" w14:textId="77777777" w:rsidR="003A0813" w:rsidRPr="00350FF5" w:rsidRDefault="003A0813" w:rsidP="003027B3">
      <w:pPr>
        <w:pStyle w:val="Bullet"/>
        <w:numPr>
          <w:ilvl w:val="0"/>
          <w:numId w:val="24"/>
        </w:numPr>
        <w:spacing w:before="0"/>
        <w:rPr>
          <w:rFonts w:ascii="Franklin Gothic Book" w:hAnsi="Franklin Gothic Book"/>
        </w:rPr>
      </w:pPr>
      <w:r w:rsidRPr="00350FF5">
        <w:rPr>
          <w:rFonts w:ascii="Franklin Gothic Book" w:hAnsi="Franklin Gothic Book"/>
        </w:rPr>
        <w:t xml:space="preserve">MSAC could recommend adoption of a device-agnostic cost-minimisation approach across suitable TGA-approved CGM systems. This approach could potentially also be extended to flash glucose monitors (FGMs). If MSAC is not satisfied that a particular CGM (and/or FGM) would provide superior health outcomes over any other CGM (and/or FGM), at least two cost-minimisation approaches could be considered to improve cost-effectiveness, noting that the upfront costs of changing between these options are relatively small (compared to T1D, in which there are clearer links for some patients </w:t>
      </w:r>
      <w:r>
        <w:rPr>
          <w:rFonts w:ascii="Franklin Gothic Book" w:hAnsi="Franklin Gothic Book"/>
        </w:rPr>
        <w:t>using</w:t>
      </w:r>
      <w:r w:rsidRPr="00350FF5">
        <w:rPr>
          <w:rFonts w:ascii="Franklin Gothic Book" w:hAnsi="Franklin Gothic Book"/>
        </w:rPr>
        <w:t xml:space="preserve"> insulin pumps).</w:t>
      </w:r>
      <w:r>
        <w:rPr>
          <w:rFonts w:ascii="Franklin Gothic Book" w:hAnsi="Franklin Gothic Book"/>
        </w:rPr>
        <w:t xml:space="preserve"> </w:t>
      </w:r>
      <w:r w:rsidRPr="004A3188">
        <w:rPr>
          <w:rFonts w:ascii="Franklin Gothic Book" w:hAnsi="Franklin Gothic Book"/>
        </w:rPr>
        <w:t>The approach should also account for the different durations of sensor performance.</w:t>
      </w:r>
      <w:r w:rsidRPr="00350FF5">
        <w:rPr>
          <w:rFonts w:ascii="Franklin Gothic Book" w:hAnsi="Franklin Gothic Book"/>
        </w:rPr>
        <w:t xml:space="preserve"> One possible approach is straight price competition, where options which are more expensive than the cheapest option(s) are not NDSS-subsidised. An alternative approach would be </w:t>
      </w:r>
      <w:proofErr w:type="gramStart"/>
      <w:r w:rsidRPr="00350FF5">
        <w:rPr>
          <w:rFonts w:ascii="Franklin Gothic Book" w:hAnsi="Franklin Gothic Book"/>
        </w:rPr>
        <w:t>similar to</w:t>
      </w:r>
      <w:proofErr w:type="gramEnd"/>
      <w:r w:rsidRPr="00350FF5">
        <w:rPr>
          <w:rFonts w:ascii="Franklin Gothic Book" w:hAnsi="Franklin Gothic Book"/>
        </w:rPr>
        <w:t xml:space="preserve"> the PBS Therapeutic Group Premium Policy, in which the subsidy is only provided up to the cost of the cheapest </w:t>
      </w:r>
      <w:proofErr w:type="gramStart"/>
      <w:r w:rsidRPr="00350FF5">
        <w:rPr>
          <w:rFonts w:ascii="Franklin Gothic Book" w:hAnsi="Franklin Gothic Book"/>
        </w:rPr>
        <w:t>option</w:t>
      </w:r>
      <w:proofErr w:type="gramEnd"/>
      <w:r w:rsidRPr="00350FF5">
        <w:rPr>
          <w:rFonts w:ascii="Franklin Gothic Book" w:hAnsi="Franklin Gothic Book"/>
        </w:rPr>
        <w:t xml:space="preserve"> so patients pay the premium associated with the more expensive option, so there is more patient choice for </w:t>
      </w:r>
      <w:r>
        <w:rPr>
          <w:rFonts w:ascii="Franklin Gothic Book" w:hAnsi="Franklin Gothic Book"/>
        </w:rPr>
        <w:t xml:space="preserve">more </w:t>
      </w:r>
      <w:r w:rsidRPr="00350FF5">
        <w:rPr>
          <w:rFonts w:ascii="Franklin Gothic Book" w:hAnsi="Franklin Gothic Book"/>
        </w:rPr>
        <w:t>NDSS-subsidised options.</w:t>
      </w:r>
    </w:p>
    <w:p w14:paraId="384B6D15" w14:textId="77777777" w:rsidR="003A0813" w:rsidRDefault="003A0813" w:rsidP="003027B3">
      <w:pPr>
        <w:pStyle w:val="BulletLast"/>
        <w:numPr>
          <w:ilvl w:val="0"/>
          <w:numId w:val="24"/>
        </w:numPr>
      </w:pPr>
      <w:r w:rsidRPr="00480793">
        <w:t xml:space="preserve">MSAC could consider whether the proposed restriction on allowing </w:t>
      </w:r>
      <w:r w:rsidRPr="00480793">
        <w:rPr>
          <w:bCs/>
        </w:rPr>
        <w:t>GPs to authorise requests for the NDSS subsidy</w:t>
      </w:r>
      <w:r w:rsidRPr="00480793">
        <w:t xml:space="preserve"> should be retained given that similar restrictions on GP authorisation do not apply to</w:t>
      </w:r>
      <w:r w:rsidRPr="00480793">
        <w:rPr>
          <w:bCs/>
        </w:rPr>
        <w:t xml:space="preserve"> blood glucose test strips</w:t>
      </w:r>
      <w:r w:rsidRPr="00480793">
        <w:t xml:space="preserve">. Although PASC advised that this is not a matter for MSAC, MSAC may wish to consider whether retaining a tighter group of approved authorisers might </w:t>
      </w:r>
      <w:r>
        <w:t>inappropriately restrict access</w:t>
      </w:r>
      <w:r w:rsidRPr="00480793">
        <w:t xml:space="preserve"> for the larger T2D population, reducing the rate and extent of expected uptake and the resulting financial implications. However, the equity issues raised above regarding access to authorised health professionals should be </w:t>
      </w:r>
      <w:proofErr w:type="gramStart"/>
      <w:r w:rsidRPr="00480793">
        <w:t>taken into account</w:t>
      </w:r>
      <w:proofErr w:type="gramEnd"/>
      <w:r w:rsidRPr="00480793">
        <w:t xml:space="preserve"> if this option is considered</w:t>
      </w:r>
      <w:r>
        <w:t xml:space="preserve"> with expected large impact on rural and remote patients</w:t>
      </w:r>
      <w:r w:rsidRPr="00480793">
        <w:t>.</w:t>
      </w:r>
    </w:p>
    <w:p w14:paraId="40A4891C" w14:textId="77777777" w:rsidR="003A0813" w:rsidRDefault="003A0813" w:rsidP="003A0813">
      <w:pPr>
        <w:pStyle w:val="BulletBeforeDash"/>
        <w:numPr>
          <w:ilvl w:val="0"/>
          <w:numId w:val="0"/>
        </w:numPr>
      </w:pPr>
      <w:r>
        <w:t xml:space="preserve">ESC requested </w:t>
      </w:r>
      <w:r w:rsidRPr="003D2E06">
        <w:t>that the</w:t>
      </w:r>
      <w:r>
        <w:t xml:space="preserve"> applicant </w:t>
      </w:r>
      <w:r w:rsidRPr="004E79C1">
        <w:t xml:space="preserve">provide </w:t>
      </w:r>
      <w:r>
        <w:t xml:space="preserve">the following </w:t>
      </w:r>
      <w:r w:rsidRPr="004E79C1">
        <w:t>a</w:t>
      </w:r>
      <w:r>
        <w:t xml:space="preserve">dditional information to support its contention that the economic </w:t>
      </w:r>
      <w:r w:rsidRPr="004E79C1">
        <w:t>model has been sufficiently validated</w:t>
      </w:r>
      <w:r>
        <w:t>:</w:t>
      </w:r>
    </w:p>
    <w:p w14:paraId="032CBFC8" w14:textId="77777777" w:rsidR="003A0813" w:rsidRDefault="003A0813" w:rsidP="003027B3">
      <w:pPr>
        <w:pStyle w:val="ListParagraph"/>
        <w:numPr>
          <w:ilvl w:val="0"/>
          <w:numId w:val="26"/>
        </w:numPr>
        <w:rPr>
          <w:rFonts w:eastAsia="Times New Roman" w:cs="Times New Roman"/>
          <w:color w:val="000000"/>
          <w:szCs w:val="20"/>
          <w:lang w:eastAsia="en-AU"/>
        </w:rPr>
      </w:pPr>
      <w:r w:rsidRPr="00052B66">
        <w:rPr>
          <w:rFonts w:eastAsia="Times New Roman" w:cs="Times New Roman"/>
          <w:color w:val="000000"/>
          <w:szCs w:val="20"/>
          <w:lang w:eastAsia="en-AU"/>
        </w:rPr>
        <w:t>Provide a basis to accept that the model has been validated to estimate increment</w:t>
      </w:r>
      <w:r>
        <w:rPr>
          <w:rFonts w:eastAsia="Times New Roman" w:cs="Times New Roman"/>
          <w:color w:val="000000"/>
          <w:szCs w:val="20"/>
          <w:lang w:eastAsia="en-AU"/>
        </w:rPr>
        <w:t>al effect</w:t>
      </w:r>
      <w:r w:rsidRPr="00052B66">
        <w:rPr>
          <w:rFonts w:eastAsia="Times New Roman" w:cs="Times New Roman"/>
          <w:color w:val="000000"/>
          <w:szCs w:val="20"/>
          <w:lang w:eastAsia="en-AU"/>
        </w:rPr>
        <w:t>s on the patient-relevant health states following any HbA1c improvement. This should include a basis fo</w:t>
      </w:r>
      <w:r>
        <w:rPr>
          <w:rFonts w:eastAsia="Times New Roman" w:cs="Times New Roman"/>
          <w:color w:val="000000"/>
          <w:szCs w:val="20"/>
          <w:lang w:eastAsia="en-AU"/>
        </w:rPr>
        <w:t>r</w:t>
      </w:r>
      <w:r w:rsidRPr="00052B66">
        <w:rPr>
          <w:rFonts w:eastAsia="Times New Roman" w:cs="Times New Roman"/>
          <w:color w:val="000000"/>
          <w:szCs w:val="20"/>
          <w:lang w:eastAsia="en-AU"/>
        </w:rPr>
        <w:t xml:space="preserve"> assess</w:t>
      </w:r>
      <w:r>
        <w:rPr>
          <w:rFonts w:eastAsia="Times New Roman" w:cs="Times New Roman"/>
          <w:color w:val="000000"/>
          <w:szCs w:val="20"/>
          <w:lang w:eastAsia="en-AU"/>
        </w:rPr>
        <w:t>ing</w:t>
      </w:r>
      <w:r w:rsidRPr="00052B66">
        <w:rPr>
          <w:rFonts w:eastAsia="Times New Roman" w:cs="Times New Roman"/>
          <w:color w:val="000000"/>
          <w:szCs w:val="20"/>
          <w:lang w:eastAsia="en-AU"/>
        </w:rPr>
        <w:t xml:space="preserve"> the effect of expected lag</w:t>
      </w:r>
      <w:r>
        <w:rPr>
          <w:rFonts w:eastAsia="Times New Roman" w:cs="Times New Roman"/>
          <w:color w:val="000000"/>
          <w:szCs w:val="20"/>
          <w:lang w:eastAsia="en-AU"/>
        </w:rPr>
        <w:t>s</w:t>
      </w:r>
      <w:r w:rsidRPr="00052B66">
        <w:rPr>
          <w:rFonts w:eastAsia="Times New Roman" w:cs="Times New Roman"/>
          <w:color w:val="000000"/>
          <w:szCs w:val="20"/>
          <w:lang w:eastAsia="en-AU"/>
        </w:rPr>
        <w:t xml:space="preserve"> in onset of </w:t>
      </w:r>
      <w:r>
        <w:rPr>
          <w:rFonts w:eastAsia="Times New Roman" w:cs="Times New Roman"/>
          <w:color w:val="000000"/>
          <w:szCs w:val="20"/>
          <w:lang w:eastAsia="en-AU"/>
        </w:rPr>
        <w:t xml:space="preserve">the treatment </w:t>
      </w:r>
      <w:r w:rsidRPr="00052B66">
        <w:rPr>
          <w:rFonts w:eastAsia="Times New Roman" w:cs="Times New Roman"/>
          <w:color w:val="000000"/>
          <w:szCs w:val="20"/>
          <w:lang w:eastAsia="en-AU"/>
        </w:rPr>
        <w:t>effect</w:t>
      </w:r>
      <w:r>
        <w:rPr>
          <w:rFonts w:eastAsia="Times New Roman" w:cs="Times New Roman"/>
          <w:color w:val="000000"/>
          <w:szCs w:val="20"/>
          <w:lang w:eastAsia="en-AU"/>
        </w:rPr>
        <w:t xml:space="preserve"> and less than a full epidemiological-based prediction</w:t>
      </w:r>
      <w:r w:rsidRPr="00052B66">
        <w:rPr>
          <w:rFonts w:eastAsia="Times New Roman" w:cs="Times New Roman"/>
          <w:color w:val="000000"/>
          <w:szCs w:val="20"/>
          <w:lang w:eastAsia="en-AU"/>
        </w:rPr>
        <w:t xml:space="preserve">, noting </w:t>
      </w:r>
      <w:r>
        <w:rPr>
          <w:rFonts w:eastAsia="Times New Roman" w:cs="Times New Roman"/>
          <w:color w:val="000000"/>
          <w:szCs w:val="20"/>
          <w:lang w:eastAsia="en-AU"/>
        </w:rPr>
        <w:t xml:space="preserve">the </w:t>
      </w:r>
      <w:r w:rsidRPr="00052B66">
        <w:rPr>
          <w:rFonts w:eastAsia="Times New Roman" w:cs="Times New Roman"/>
          <w:color w:val="000000"/>
          <w:szCs w:val="20"/>
          <w:lang w:eastAsia="en-AU"/>
        </w:rPr>
        <w:t xml:space="preserve">duration of </w:t>
      </w:r>
      <w:r>
        <w:rPr>
          <w:rFonts w:eastAsia="Times New Roman" w:cs="Times New Roman"/>
          <w:color w:val="000000"/>
          <w:szCs w:val="20"/>
          <w:lang w:eastAsia="en-AU"/>
        </w:rPr>
        <w:t xml:space="preserve">change of </w:t>
      </w:r>
      <w:r w:rsidRPr="00052B66">
        <w:rPr>
          <w:rFonts w:eastAsia="Times New Roman" w:cs="Times New Roman"/>
          <w:color w:val="000000"/>
          <w:szCs w:val="20"/>
          <w:lang w:eastAsia="en-AU"/>
        </w:rPr>
        <w:t>HbA1</w:t>
      </w:r>
      <w:r>
        <w:rPr>
          <w:rFonts w:eastAsia="Times New Roman" w:cs="Times New Roman"/>
          <w:color w:val="000000"/>
          <w:szCs w:val="20"/>
          <w:lang w:eastAsia="en-AU"/>
        </w:rPr>
        <w:t xml:space="preserve">c levels </w:t>
      </w:r>
      <w:r w:rsidRPr="00052B66">
        <w:rPr>
          <w:rFonts w:eastAsia="Times New Roman" w:cs="Times New Roman"/>
          <w:color w:val="000000"/>
          <w:szCs w:val="20"/>
          <w:lang w:eastAsia="en-AU"/>
        </w:rPr>
        <w:t xml:space="preserve">in any </w:t>
      </w:r>
      <w:r>
        <w:rPr>
          <w:rFonts w:eastAsia="Times New Roman" w:cs="Times New Roman"/>
          <w:color w:val="000000"/>
          <w:szCs w:val="20"/>
          <w:lang w:eastAsia="en-AU"/>
        </w:rPr>
        <w:t xml:space="preserve">of the </w:t>
      </w:r>
      <w:r w:rsidRPr="00052B66">
        <w:rPr>
          <w:rFonts w:eastAsia="Times New Roman" w:cs="Times New Roman"/>
          <w:color w:val="000000"/>
          <w:szCs w:val="20"/>
          <w:lang w:eastAsia="en-AU"/>
        </w:rPr>
        <w:t>RCT</w:t>
      </w:r>
      <w:r>
        <w:rPr>
          <w:rFonts w:eastAsia="Times New Roman" w:cs="Times New Roman"/>
          <w:color w:val="000000"/>
          <w:szCs w:val="20"/>
          <w:lang w:eastAsia="en-AU"/>
        </w:rPr>
        <w:t xml:space="preserve">s identified in the evidence base used for the validation. </w:t>
      </w:r>
    </w:p>
    <w:p w14:paraId="66C60F81" w14:textId="77777777" w:rsidR="003A0813" w:rsidRPr="005840A3" w:rsidRDefault="003A0813" w:rsidP="003027B3">
      <w:pPr>
        <w:pStyle w:val="ListParagraph"/>
        <w:numPr>
          <w:ilvl w:val="0"/>
          <w:numId w:val="26"/>
        </w:numPr>
        <w:rPr>
          <w:rFonts w:eastAsia="Times New Roman" w:cs="Times New Roman"/>
          <w:color w:val="000000"/>
          <w:szCs w:val="20"/>
          <w:lang w:eastAsia="en-AU"/>
        </w:rPr>
      </w:pPr>
      <w:r w:rsidRPr="00D34AEA">
        <w:rPr>
          <w:rFonts w:eastAsia="Times New Roman" w:cs="Times New Roman"/>
          <w:color w:val="000000"/>
          <w:szCs w:val="20"/>
          <w:lang w:eastAsia="en-AU"/>
        </w:rPr>
        <w:t>Provide a basis to accept that any such previously established model validity is still relevant despite changes to model structure</w:t>
      </w:r>
      <w:r>
        <w:rPr>
          <w:rFonts w:eastAsia="Times New Roman" w:cs="Times New Roman"/>
          <w:color w:val="000000"/>
          <w:szCs w:val="20"/>
          <w:lang w:eastAsia="en-AU"/>
        </w:rPr>
        <w:t xml:space="preserve"> (for example, that a CVD event had no impact on an individual’s future risk of complications or death).</w:t>
      </w:r>
      <w:r w:rsidRPr="00D34AEA">
        <w:rPr>
          <w:rFonts w:eastAsia="Times New Roman" w:cs="Times New Roman"/>
          <w:color w:val="000000"/>
          <w:szCs w:val="20"/>
          <w:lang w:eastAsia="en-AU"/>
        </w:rPr>
        <w:t xml:space="preserve"> </w:t>
      </w:r>
    </w:p>
    <w:p w14:paraId="574DBC61" w14:textId="77777777" w:rsidR="003A0813" w:rsidRDefault="003A0813" w:rsidP="003027B3">
      <w:pPr>
        <w:pStyle w:val="BulletBeforeDash"/>
        <w:numPr>
          <w:ilvl w:val="0"/>
          <w:numId w:val="26"/>
        </w:numPr>
      </w:pPr>
      <w:r w:rsidRPr="00E6730C">
        <w:t xml:space="preserve">Given the difficulty in interpreting the T2D model trace provided, provide per year traces over the duration of the model for the </w:t>
      </w:r>
      <w:r>
        <w:t>‘</w:t>
      </w:r>
      <w:r w:rsidRPr="00E6730C">
        <w:t>Scenario 1/Step 1</w:t>
      </w:r>
      <w:r>
        <w:t xml:space="preserve"> </w:t>
      </w:r>
      <w:r w:rsidRPr="00E6730C">
        <w:t>version</w:t>
      </w:r>
      <w:r>
        <w:t>’</w:t>
      </w:r>
      <w:r w:rsidRPr="00E6730C">
        <w:t xml:space="preserve"> of the model, and for each of the CGM arm, the SMBG arm, and the increment</w:t>
      </w:r>
      <w:r>
        <w:t>:</w:t>
      </w:r>
    </w:p>
    <w:p w14:paraId="5C40B106" w14:textId="77777777" w:rsidR="003A0813" w:rsidRPr="00FC3EED" w:rsidRDefault="003A0813" w:rsidP="003027B3">
      <w:pPr>
        <w:pStyle w:val="BulletBeforeDash"/>
        <w:numPr>
          <w:ilvl w:val="1"/>
          <w:numId w:val="26"/>
        </w:numPr>
      </w:pPr>
      <w:r>
        <w:t>P</w:t>
      </w:r>
      <w:r w:rsidRPr="00FC3EED">
        <w:t>roportions of patients in each of the RECODe-based health states (graphed)</w:t>
      </w:r>
      <w:r>
        <w:t>, with proportions free of complication and death in a separate graph.</w:t>
      </w:r>
    </w:p>
    <w:p w14:paraId="38D42093" w14:textId="77777777" w:rsidR="003A0813" w:rsidRPr="00FC3EED" w:rsidRDefault="003A0813" w:rsidP="003027B3">
      <w:pPr>
        <w:pStyle w:val="BulletBeforeDash"/>
        <w:numPr>
          <w:ilvl w:val="1"/>
          <w:numId w:val="26"/>
        </w:numPr>
      </w:pPr>
      <w:r>
        <w:t>M</w:t>
      </w:r>
      <w:r w:rsidRPr="00FC3EED">
        <w:t xml:space="preserve">odelled aggregate discounted costs and </w:t>
      </w:r>
      <w:r>
        <w:t xml:space="preserve">modelled discounted </w:t>
      </w:r>
      <w:r w:rsidRPr="00FC3EED">
        <w:t>QALYs (graphed, accrued)</w:t>
      </w:r>
      <w:r>
        <w:t>.</w:t>
      </w:r>
    </w:p>
    <w:p w14:paraId="3CF288BC" w14:textId="77777777" w:rsidR="003A0813" w:rsidRDefault="003A0813" w:rsidP="003027B3">
      <w:pPr>
        <w:pStyle w:val="BulletBeforeDash"/>
        <w:numPr>
          <w:ilvl w:val="1"/>
          <w:numId w:val="26"/>
        </w:numPr>
      </w:pPr>
      <w:r>
        <w:t>M</w:t>
      </w:r>
      <w:r w:rsidRPr="00FC3EED">
        <w:t>odelled discounted cost/QALY (increment only, graphed, accrued</w:t>
      </w:r>
      <w:r>
        <w:t>).</w:t>
      </w:r>
    </w:p>
    <w:p w14:paraId="3F746C43" w14:textId="77777777" w:rsidR="003A0813" w:rsidRPr="00A70F81" w:rsidRDefault="003A0813" w:rsidP="003027B3">
      <w:pPr>
        <w:pStyle w:val="BulletLast"/>
        <w:numPr>
          <w:ilvl w:val="0"/>
          <w:numId w:val="26"/>
        </w:numPr>
      </w:pPr>
      <w:r w:rsidRPr="0020748C">
        <w:t xml:space="preserve">For transparency, provide </w:t>
      </w:r>
      <w:r>
        <w:t xml:space="preserve">in a table </w:t>
      </w:r>
      <w:r w:rsidRPr="0020748C">
        <w:t>the results of the second-order probabilistic analysis for the “Scenario 1”/”Step 1” version of the T2D model without varying the discount rate or time horizon from the first-order economic evaluation:</w:t>
      </w:r>
      <w:r>
        <w:t xml:space="preserve"> </w:t>
      </w:r>
      <w:r w:rsidRPr="0020748C">
        <w:t>for each of the CGM arm, the SMBG arm, and the increment:</w:t>
      </w:r>
      <w:r>
        <w:t xml:space="preserve"> </w:t>
      </w:r>
      <w:r w:rsidRPr="0020748C">
        <w:t xml:space="preserve">aggregate discounted costs, </w:t>
      </w:r>
      <w:r>
        <w:t xml:space="preserve">discounted </w:t>
      </w:r>
      <w:r w:rsidRPr="0020748C">
        <w:t>LYs</w:t>
      </w:r>
      <w:r>
        <w:t>, discounted</w:t>
      </w:r>
      <w:r w:rsidRPr="0020748C">
        <w:t xml:space="preserve"> QALY</w:t>
      </w:r>
      <w:r>
        <w:t xml:space="preserve">s, </w:t>
      </w:r>
      <w:r w:rsidRPr="0020748C">
        <w:t>discounted cos</w:t>
      </w:r>
      <w:r>
        <w:t>t</w:t>
      </w:r>
      <w:r w:rsidRPr="0020748C">
        <w:t xml:space="preserve">/LY </w:t>
      </w:r>
      <w:r>
        <w:t xml:space="preserve">(increment only) </w:t>
      </w:r>
      <w:r w:rsidRPr="0020748C">
        <w:t xml:space="preserve">and </w:t>
      </w:r>
      <w:r>
        <w:t xml:space="preserve">discounted </w:t>
      </w:r>
      <w:r w:rsidRPr="0020748C">
        <w:t>cost/QALY (increment only)</w:t>
      </w:r>
      <w:r>
        <w:t>.</w:t>
      </w:r>
    </w:p>
    <w:p w14:paraId="706A299E" w14:textId="77777777" w:rsidR="003A0813" w:rsidRPr="008B30FF" w:rsidRDefault="003A0813" w:rsidP="003A0813">
      <w:pPr>
        <w:spacing w:after="240"/>
        <w:rPr>
          <w:iCs/>
        </w:rPr>
      </w:pPr>
      <w:r w:rsidRPr="00AF18DE">
        <w:t xml:space="preserve">ESC </w:t>
      </w:r>
      <w:r>
        <w:t xml:space="preserve">also </w:t>
      </w:r>
      <w:r w:rsidRPr="00AF18DE">
        <w:t>requested</w:t>
      </w:r>
      <w:r>
        <w:t xml:space="preserve"> that</w:t>
      </w:r>
      <w:r w:rsidRPr="00AF18DE">
        <w:t xml:space="preserve"> further information be extracted from the studies identified in the ADAR on (i) the longevity of the treatment effect (on HbA1c levels) related to CGM use and (ii) the impact of CGM in reducing the risk of hypo- and hyperglycaemic episodes within patients who have acute intercurrent illness (e.g</w:t>
      </w:r>
      <w:r>
        <w:t>.</w:t>
      </w:r>
      <w:r w:rsidRPr="00AF18DE">
        <w:t xml:space="preserve"> urinary tract infection). </w:t>
      </w:r>
    </w:p>
    <w:p w14:paraId="08422B65" w14:textId="77777777" w:rsidR="003027B3" w:rsidRPr="00A737D1" w:rsidRDefault="003027B3" w:rsidP="003027B3">
      <w:pPr>
        <w:pStyle w:val="Heading2"/>
        <w:numPr>
          <w:ilvl w:val="0"/>
          <w:numId w:val="27"/>
        </w:numPr>
        <w:ind w:hanging="720"/>
      </w:pPr>
      <w:bookmarkStart w:id="95" w:name="_Hlk193984667"/>
      <w:r w:rsidRPr="003A793E">
        <w:t>Applicant comments on MSAC’s Public Summary Document</w:t>
      </w:r>
    </w:p>
    <w:p w14:paraId="6D877384" w14:textId="0114ABEE" w:rsidR="003027B3" w:rsidRPr="00453A15" w:rsidRDefault="008C0658" w:rsidP="00453A15">
      <w:pPr>
        <w:pStyle w:val="xxmsonormal"/>
        <w:rPr>
          <w:rFonts w:ascii="Franklin Gothic Book" w:hAnsi="Franklin Gothic Book"/>
          <w:lang w:val="en-US"/>
        </w:rPr>
      </w:pPr>
      <w:r w:rsidRPr="008C0658">
        <w:rPr>
          <w:rFonts w:ascii="Franklin Gothic Book" w:hAnsi="Franklin Gothic Book"/>
          <w:sz w:val="22"/>
          <w:szCs w:val="22"/>
          <w:lang w:val="en-US"/>
        </w:rPr>
        <w:t>Abbott is committed to working with MSAC to expand access to FreeStyle Libre (FSL) for Australians with type 2 diabetes using insulin, building on the proven benefits already seen in the funded access for type 1 diabetes. Recommendation 15 of the 2023 Parliamentary Inquiry into Diabetes identified insulin-using subpopulations as priority groups for FSL access, and this recommendation, recognised by the PICO Advisory Subcommittee (PASC), needs to be considered pragmatically by MSAC. Access for people with insulin-requiring T2D is already established in many countries.</w:t>
      </w:r>
      <w:r w:rsidRPr="008C0658">
        <w:rPr>
          <w:rFonts w:ascii="Franklin Gothic Book" w:hAnsi="Franklin Gothic Book"/>
          <w:sz w:val="22"/>
          <w:szCs w:val="22"/>
        </w:rPr>
        <w:t> </w:t>
      </w:r>
    </w:p>
    <w:p w14:paraId="00678724" w14:textId="77777777" w:rsidR="003027B3" w:rsidRPr="00A737D1" w:rsidRDefault="003027B3" w:rsidP="003027B3">
      <w:pPr>
        <w:pStyle w:val="Heading2"/>
        <w:numPr>
          <w:ilvl w:val="0"/>
          <w:numId w:val="27"/>
        </w:numPr>
        <w:ind w:hanging="720"/>
      </w:pPr>
      <w:r w:rsidRPr="003A793E">
        <w:t>Further information on MSAC</w:t>
      </w:r>
    </w:p>
    <w:p w14:paraId="7B510CEA" w14:textId="26B13CB3" w:rsidR="003A0813" w:rsidRDefault="003027B3" w:rsidP="003027B3">
      <w:pPr>
        <w:pStyle w:val="BodyText"/>
      </w:pPr>
      <w:r w:rsidRPr="00F309FA">
        <w:rPr>
          <w:bCs/>
          <w:iCs/>
        </w:rPr>
        <w:t xml:space="preserve">MSAC Terms of Reference and other information are available on the MSAC Website: </w:t>
      </w:r>
      <w:hyperlink r:id="rId20" w:tooltip="Link to the MSAC website" w:history="1">
        <w:r w:rsidRPr="000D2098">
          <w:rPr>
            <w:rStyle w:val="Hyperlink"/>
            <w:iCs/>
            <w:color w:val="007BB8"/>
          </w:rPr>
          <w:t>visit the MSAC website</w:t>
        </w:r>
      </w:hyperlink>
      <w:bookmarkEnd w:id="95"/>
      <w:r>
        <w:t>.</w:t>
      </w:r>
    </w:p>
    <w:sectPr w:rsidR="003A0813" w:rsidSect="00784341">
      <w:headerReference w:type="even" r:id="rId21"/>
      <w:headerReference w:type="default" r:id="rId22"/>
      <w:footerReference w:type="even" r:id="rId23"/>
      <w:footerReference w:type="default" r:id="rId24"/>
      <w:headerReference w:type="first" r:id="rId25"/>
      <w:footerReference w:type="first" r:id="rId26"/>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701E" w14:textId="77777777" w:rsidR="00210C77" w:rsidRDefault="00210C77" w:rsidP="00B62DF2">
      <w:pPr>
        <w:spacing w:after="0" w:line="240" w:lineRule="auto"/>
      </w:pPr>
      <w:r>
        <w:separator/>
      </w:r>
    </w:p>
  </w:endnote>
  <w:endnote w:type="continuationSeparator" w:id="0">
    <w:p w14:paraId="3881FEC5" w14:textId="77777777" w:rsidR="00210C77" w:rsidRDefault="00210C77" w:rsidP="00B62DF2">
      <w:pPr>
        <w:spacing w:after="0" w:line="240" w:lineRule="auto"/>
      </w:pPr>
      <w:r>
        <w:continuationSeparator/>
      </w:r>
    </w:p>
  </w:endnote>
  <w:endnote w:type="continuationNotice" w:id="1">
    <w:p w14:paraId="1B84E037" w14:textId="77777777" w:rsidR="00210C77" w:rsidRDefault="00210C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altName w:val="Calibri"/>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460831"/>
      <w:docPartObj>
        <w:docPartGallery w:val="Page Numbers (Bottom of Page)"/>
        <w:docPartUnique/>
      </w:docPartObj>
    </w:sdtPr>
    <w:sdtEndPr>
      <w:rPr>
        <w:noProof/>
      </w:rPr>
    </w:sdtEndPr>
    <w:sdtContent>
      <w:sdt>
        <w:sdtPr>
          <w:id w:val="-739794833"/>
          <w:docPartObj>
            <w:docPartGallery w:val="Page Numbers (Bottom of Page)"/>
            <w:docPartUnique/>
          </w:docPartObj>
        </w:sdtPr>
        <w:sdtEndPr>
          <w:rPr>
            <w:noProof/>
          </w:rPr>
        </w:sdtEndPr>
        <w:sdtContent>
          <w:p w14:paraId="6E76D499" w14:textId="6BA1EF26" w:rsidR="00197B55" w:rsidRDefault="00197B55" w:rsidP="00140A7D">
            <w:pPr>
              <w:pStyle w:val="Footer"/>
              <w:tabs>
                <w:tab w:val="left" w:pos="8130"/>
              </w:tabs>
              <w:jc w:val="right"/>
              <w:rPr>
                <w:noProof/>
              </w:rPr>
            </w:pPr>
            <w:r>
              <w:fldChar w:fldCharType="begin"/>
            </w:r>
            <w:r>
              <w:instrText xml:space="preserve"> PAGE   \* MERGEFORMAT </w:instrText>
            </w:r>
            <w:r>
              <w:fldChar w:fldCharType="separate"/>
            </w:r>
            <w:r>
              <w:t>1</w:t>
            </w:r>
            <w:r>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4847"/>
      <w:docPartObj>
        <w:docPartGallery w:val="Page Numbers (Bottom of Page)"/>
        <w:docPartUnique/>
      </w:docPartObj>
    </w:sdtPr>
    <w:sdtEndPr>
      <w:rPr>
        <w:noProof/>
      </w:rPr>
    </w:sdtEndPr>
    <w:sdtContent>
      <w:p w14:paraId="6BE9385A" w14:textId="4D1691F9" w:rsidR="00197B55" w:rsidRDefault="00197B55" w:rsidP="00140A7D">
        <w:pPr>
          <w:pStyle w:val="Footer"/>
          <w:tabs>
            <w:tab w:val="left" w:pos="8130"/>
          </w:tabs>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CA27" w14:textId="77777777" w:rsidR="00492CE3" w:rsidRDefault="00492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CE2D" w14:textId="77777777" w:rsidR="00210C77" w:rsidRDefault="00210C77" w:rsidP="00B62DF2">
      <w:pPr>
        <w:spacing w:after="0" w:line="240" w:lineRule="auto"/>
      </w:pPr>
      <w:r>
        <w:separator/>
      </w:r>
    </w:p>
  </w:footnote>
  <w:footnote w:type="continuationSeparator" w:id="0">
    <w:p w14:paraId="15FAEAD1" w14:textId="77777777" w:rsidR="00210C77" w:rsidRDefault="00210C77" w:rsidP="00B62DF2">
      <w:pPr>
        <w:spacing w:after="0" w:line="240" w:lineRule="auto"/>
      </w:pPr>
      <w:r>
        <w:continuationSeparator/>
      </w:r>
    </w:p>
  </w:footnote>
  <w:footnote w:type="continuationNotice" w:id="1">
    <w:p w14:paraId="1A06274F" w14:textId="77777777" w:rsidR="00210C77" w:rsidRDefault="00210C77">
      <w:pPr>
        <w:spacing w:before="0" w:after="0" w:line="240" w:lineRule="auto"/>
      </w:pPr>
    </w:p>
  </w:footnote>
  <w:footnote w:id="2">
    <w:p w14:paraId="45051885" w14:textId="77777777" w:rsidR="003D76E2" w:rsidRPr="00B572C4" w:rsidRDefault="003D76E2" w:rsidP="003D76E2">
      <w:pPr>
        <w:pStyle w:val="FootnoteText"/>
        <w:spacing w:before="20" w:after="20"/>
      </w:pPr>
      <w:r>
        <w:rPr>
          <w:rStyle w:val="FootnoteReference"/>
        </w:rPr>
        <w:footnoteRef/>
      </w:r>
      <w:r>
        <w:t xml:space="preserve"> International Diabetes Federation. Recommendations for managing type 2 diabetes in primary care, 2017. www.idf.org/managing-type2-diabetes</w:t>
      </w:r>
    </w:p>
  </w:footnote>
  <w:footnote w:id="3">
    <w:p w14:paraId="6F8A8E04" w14:textId="77777777" w:rsidR="003D76E2" w:rsidRPr="005B740D" w:rsidRDefault="003D76E2" w:rsidP="003D76E2">
      <w:pPr>
        <w:spacing w:before="20" w:after="20"/>
        <w:jc w:val="both"/>
        <w:rPr>
          <w:rFonts w:asciiTheme="minorHAnsi" w:hAnsiTheme="minorHAnsi" w:cstheme="minorHAnsi"/>
          <w:sz w:val="18"/>
          <w:szCs w:val="18"/>
        </w:rPr>
      </w:pPr>
      <w:r w:rsidRPr="00052E2C">
        <w:rPr>
          <w:rStyle w:val="FootnoteReference"/>
          <w:sz w:val="18"/>
          <w:szCs w:val="18"/>
        </w:rPr>
        <w:footnoteRef/>
      </w:r>
      <w:r w:rsidRPr="00052E2C">
        <w:rPr>
          <w:sz w:val="18"/>
          <w:szCs w:val="18"/>
        </w:rPr>
        <w:t xml:space="preserve"> </w:t>
      </w:r>
      <w:r w:rsidRPr="005B740D">
        <w:rPr>
          <w:rFonts w:asciiTheme="minorHAnsi" w:hAnsiTheme="minorHAnsi" w:cstheme="minorHAnsi"/>
          <w:sz w:val="18"/>
          <w:szCs w:val="18"/>
        </w:rPr>
        <w:t xml:space="preserve">National Institute for Health and Care Excellence (NICE). Type 2 diabetes in adults: management </w:t>
      </w:r>
      <w:r>
        <w:rPr>
          <w:rFonts w:asciiTheme="minorHAnsi" w:hAnsiTheme="minorHAnsi" w:cstheme="minorHAnsi"/>
          <w:sz w:val="18"/>
          <w:szCs w:val="18"/>
        </w:rPr>
        <w:t>(NICE guideline)</w:t>
      </w:r>
      <w:r w:rsidRPr="005B740D">
        <w:rPr>
          <w:rFonts w:asciiTheme="minorHAnsi" w:hAnsiTheme="minorHAnsi" w:cstheme="minorHAnsi"/>
          <w:sz w:val="18"/>
          <w:szCs w:val="18"/>
        </w:rPr>
        <w:t>. [NG28]. London: NICE; 2015.</w:t>
      </w:r>
    </w:p>
  </w:footnote>
  <w:footnote w:id="4">
    <w:p w14:paraId="31771847" w14:textId="77777777" w:rsidR="003D76E2" w:rsidRPr="00052E2C" w:rsidRDefault="003D76E2" w:rsidP="003D76E2">
      <w:pPr>
        <w:spacing w:before="20" w:after="20"/>
        <w:jc w:val="both"/>
        <w:rPr>
          <w:sz w:val="18"/>
          <w:szCs w:val="18"/>
        </w:rPr>
      </w:pPr>
      <w:r w:rsidRPr="00052E2C">
        <w:rPr>
          <w:rStyle w:val="FootnoteReference"/>
          <w:sz w:val="18"/>
          <w:szCs w:val="18"/>
        </w:rPr>
        <w:footnoteRef/>
      </w:r>
      <w:r w:rsidRPr="00052E2C">
        <w:rPr>
          <w:sz w:val="18"/>
          <w:szCs w:val="18"/>
        </w:rPr>
        <w:t xml:space="preserve"> </w:t>
      </w:r>
      <w:r w:rsidRPr="005B740D">
        <w:rPr>
          <w:rFonts w:asciiTheme="minorHAnsi" w:hAnsiTheme="minorHAnsi" w:cstheme="minorHAnsi"/>
          <w:sz w:val="18"/>
          <w:szCs w:val="18"/>
        </w:rPr>
        <w:t>National Institute for Health and Care Excellence (NICE) Surveillance of diabetes (type 1 and type 2) in children and young people: diagnosis and management [NG18]. London: NICE; 2022</w:t>
      </w:r>
      <w:r>
        <w:rPr>
          <w:rFonts w:asciiTheme="minorHAnsi" w:hAnsiTheme="minorHAnsi" w:cstheme="minorHAnsi"/>
          <w:sz w:val="18"/>
          <w:szCs w:val="18"/>
        </w:rPr>
        <w:t>.</w:t>
      </w:r>
    </w:p>
  </w:footnote>
  <w:footnote w:id="5">
    <w:p w14:paraId="40EB3A21" w14:textId="77777777" w:rsidR="003D76E2" w:rsidRPr="00052E2C" w:rsidRDefault="003D76E2" w:rsidP="003D76E2">
      <w:pPr>
        <w:pStyle w:val="FootnoteText"/>
        <w:spacing w:before="20" w:after="20"/>
      </w:pPr>
      <w:r>
        <w:rPr>
          <w:rStyle w:val="FootnoteReference"/>
        </w:rPr>
        <w:footnoteRef/>
      </w:r>
      <w:r>
        <w:t xml:space="preserve"> </w:t>
      </w:r>
      <w:r w:rsidRPr="00052E2C">
        <w:t>https://treatment.diabetessociety.com.au/plan/</w:t>
      </w:r>
    </w:p>
  </w:footnote>
  <w:footnote w:id="6">
    <w:p w14:paraId="1B21D1C4" w14:textId="77777777" w:rsidR="003D76E2" w:rsidRPr="009C2261" w:rsidRDefault="003D76E2" w:rsidP="003D76E2">
      <w:pPr>
        <w:pStyle w:val="FootnoteText"/>
        <w:spacing w:before="20" w:after="20"/>
        <w:rPr>
          <w:lang w:val="nl-NL"/>
        </w:rPr>
      </w:pPr>
      <w:r>
        <w:rPr>
          <w:rStyle w:val="FootnoteReference"/>
        </w:rPr>
        <w:footnoteRef/>
      </w:r>
      <w:r w:rsidRPr="009C2261">
        <w:rPr>
          <w:lang w:val="en-GB"/>
        </w:rPr>
        <w:t xml:space="preserve"> </w:t>
      </w:r>
      <w:r w:rsidRPr="009C2261">
        <w:t xml:space="preserve">The Royal Australian College of General Practitioners. Management of type 2 diabetes: </w:t>
      </w:r>
      <w:r>
        <w:t>a</w:t>
      </w:r>
      <w:r w:rsidRPr="009C2261">
        <w:t xml:space="preserve"> handbook for general practice. </w:t>
      </w:r>
      <w:r w:rsidRPr="006767DD">
        <w:rPr>
          <w:lang w:val="nl-NL"/>
        </w:rPr>
        <w:t>East Melbourne, Vic: RACGP, 2020.</w:t>
      </w:r>
    </w:p>
  </w:footnote>
  <w:footnote w:id="7">
    <w:p w14:paraId="284D222C" w14:textId="77777777" w:rsidR="005649A3" w:rsidRDefault="005649A3" w:rsidP="005649A3">
      <w:pPr>
        <w:pStyle w:val="FootnoteText"/>
      </w:pPr>
      <w:r>
        <w:rPr>
          <w:rStyle w:val="FootnoteReference"/>
        </w:rPr>
        <w:footnoteRef/>
      </w:r>
      <w:r>
        <w:t xml:space="preserve"> European Medicines Agency (2023). Guideline on clinical investigation of medicinal products in the treatment or prevention of diabetes mellitus. CPMP/EWP/1080/00 Rev.2. </w:t>
      </w:r>
      <w:hyperlink r:id="rId1" w:history="1">
        <w:r>
          <w:rPr>
            <w:rStyle w:val="Hyperlink"/>
          </w:rPr>
          <w:t>https://www.ema.europa.eu/en/clinical-investigation-medicinal-products-treatment-or-prevention-diabetes-mellitus-scientific-guideline</w:t>
        </w:r>
      </w:hyperlink>
    </w:p>
  </w:footnote>
  <w:footnote w:id="8">
    <w:p w14:paraId="5808E659" w14:textId="77777777" w:rsidR="00055849" w:rsidRPr="006836B5" w:rsidRDefault="00055849" w:rsidP="00055849">
      <w:pPr>
        <w:pStyle w:val="FootnoteText"/>
        <w:rPr>
          <w:lang w:val="en-GB"/>
        </w:rPr>
      </w:pPr>
      <w:r>
        <w:rPr>
          <w:rStyle w:val="FootnoteReference"/>
        </w:rPr>
        <w:footnoteRef/>
      </w:r>
      <w:r>
        <w:t xml:space="preserve"> </w:t>
      </w:r>
      <w:r>
        <w:rPr>
          <w:lang w:val="en-GB"/>
        </w:rPr>
        <w:t xml:space="preserve">Diabetes Inquiry. 2024. [Online]. Available at: </w:t>
      </w:r>
      <w:hyperlink r:id="rId2" w:history="1">
        <w:r w:rsidRPr="00FF0D2C">
          <w:rPr>
            <w:rStyle w:val="Hyperlink"/>
          </w:rPr>
          <w:t>https://www.aph.gov.au/Parliamentary_Business/Committees/House/Health_Aged_Care_and_Sport/Inquiry_into_Diabetes/Report</w:t>
        </w:r>
      </w:hyperlink>
      <w:r>
        <w:t xml:space="preserve"> [Accessed 23 April 2025]</w:t>
      </w:r>
    </w:p>
  </w:footnote>
  <w:footnote w:id="9">
    <w:p w14:paraId="3A7EC178" w14:textId="00685A16" w:rsidR="00197B55" w:rsidRPr="006836B5" w:rsidRDefault="00197B55">
      <w:pPr>
        <w:pStyle w:val="FootnoteText"/>
        <w:rPr>
          <w:lang w:val="en-GB"/>
        </w:rPr>
      </w:pPr>
      <w:r>
        <w:rPr>
          <w:rStyle w:val="FootnoteReference"/>
        </w:rPr>
        <w:footnoteRef/>
      </w:r>
      <w:r>
        <w:t xml:space="preserve"> </w:t>
      </w:r>
      <w:r>
        <w:rPr>
          <w:lang w:val="en-GB"/>
        </w:rPr>
        <w:t>The mean absolute relative difference measures average difference between the FSL measurement and the reference measurement at normal to high glucose levels. It is a measure of accuracy, indicating how close the sensor readings are to actual blood glucose levels.</w:t>
      </w:r>
    </w:p>
  </w:footnote>
  <w:footnote w:id="10">
    <w:p w14:paraId="07225EF6" w14:textId="3B0B67A1" w:rsidR="00197B55" w:rsidRPr="006836B5" w:rsidRDefault="00197B55">
      <w:pPr>
        <w:pStyle w:val="FootnoteText"/>
        <w:rPr>
          <w:lang w:val="en-GB"/>
        </w:rPr>
      </w:pPr>
      <w:r>
        <w:rPr>
          <w:rStyle w:val="FootnoteReference"/>
        </w:rPr>
        <w:footnoteRef/>
      </w:r>
      <w:r>
        <w:t xml:space="preserve"> The Omnipod 5 system is a tubeless, hybrid closed-loop insulin delivery system that integrates with the FSL2 Plus sensor. The NovoPen 6 is a smart insulin pen that automatically records insulin dosing information for each injection. </w:t>
      </w:r>
    </w:p>
  </w:footnote>
  <w:footnote w:id="11">
    <w:p w14:paraId="4166080D" w14:textId="77777777" w:rsidR="00055849" w:rsidRPr="00EE2176" w:rsidRDefault="00055849" w:rsidP="00055849">
      <w:pPr>
        <w:pStyle w:val="FootnoteText"/>
        <w:rPr>
          <w:lang w:val="en-GB"/>
        </w:rPr>
      </w:pPr>
      <w:r>
        <w:rPr>
          <w:rStyle w:val="FootnoteReference"/>
        </w:rPr>
        <w:footnoteRef/>
      </w:r>
      <w:r>
        <w:t xml:space="preserve"> </w:t>
      </w:r>
      <w:r>
        <w:rPr>
          <w:lang w:val="en-GB"/>
        </w:rPr>
        <w:t xml:space="preserve">MSAC Application 1786: PICO Confirmation. 2024. [Online]. Available at: </w:t>
      </w:r>
      <w:hyperlink r:id="rId3" w:history="1">
        <w:r w:rsidRPr="00352766">
          <w:rPr>
            <w:rStyle w:val="Hyperlink"/>
            <w:lang w:val="en-GB"/>
          </w:rPr>
          <w:t>https://www.msac.gov.au/sites/default/files/2025-02/1786_final_ratified_pico_-_redacted_0.pdf</w:t>
        </w:r>
      </w:hyperlink>
      <w:r>
        <w:rPr>
          <w:lang w:val="en-GB"/>
        </w:rPr>
        <w:t xml:space="preserve"> [Accessed 23 April 2025]</w:t>
      </w:r>
    </w:p>
  </w:footnote>
  <w:footnote w:id="12">
    <w:p w14:paraId="7575C52D" w14:textId="77777777" w:rsidR="00197B55" w:rsidRPr="008C0B0D" w:rsidRDefault="00197B55" w:rsidP="00671F6E">
      <w:pPr>
        <w:pStyle w:val="FootnoteText"/>
        <w:rPr>
          <w:lang w:val="en-GB"/>
        </w:rPr>
      </w:pPr>
      <w:r>
        <w:rPr>
          <w:rStyle w:val="FootnoteReference"/>
        </w:rPr>
        <w:footnoteRef/>
      </w:r>
      <w:r>
        <w:t xml:space="preserve"> </w:t>
      </w:r>
      <w:r>
        <w:rPr>
          <w:lang w:val="en-GB"/>
        </w:rPr>
        <w:t xml:space="preserve">Australian Diabetes Clinical Quality Registry. Annual Report 2024. [Online]. Available at: </w:t>
      </w:r>
      <w:hyperlink r:id="rId4" w:history="1">
        <w:r w:rsidRPr="000224A6">
          <w:rPr>
            <w:rStyle w:val="Hyperlink"/>
            <w:lang w:val="en-GB"/>
          </w:rPr>
          <w:t>https://www.monash.edu/__data/assets/pdf_file/0016/3920002/adcqr-2024-annual-report.pdf</w:t>
        </w:r>
      </w:hyperlink>
    </w:p>
  </w:footnote>
  <w:footnote w:id="13">
    <w:p w14:paraId="60648251" w14:textId="77777777" w:rsidR="00055849" w:rsidRPr="00622705" w:rsidRDefault="00055849" w:rsidP="00055849">
      <w:pPr>
        <w:pStyle w:val="FootnoteText"/>
        <w:rPr>
          <w:lang w:val="en-GB"/>
        </w:rPr>
      </w:pPr>
      <w:r>
        <w:rPr>
          <w:rStyle w:val="FootnoteReference"/>
        </w:rPr>
        <w:footnoteRef/>
      </w:r>
      <w:r>
        <w:t xml:space="preserve"> </w:t>
      </w:r>
      <w:r>
        <w:rPr>
          <w:lang w:val="en-GB"/>
        </w:rPr>
        <w:t xml:space="preserve">National Diabetes Services Scheme. 2021. Fact sheet: Blood glucose monitoring. [Online]. Available at: </w:t>
      </w:r>
      <w:r w:rsidRPr="006B4AE7">
        <w:rPr>
          <w:lang w:val="en-GB"/>
        </w:rPr>
        <w:t>https://www.ndss.com.au/wp-content/uploads/fact-sheets/fact-sheet-blood-glucose-monitoring.pdf</w:t>
      </w:r>
    </w:p>
  </w:footnote>
  <w:footnote w:id="14">
    <w:p w14:paraId="42459343" w14:textId="0606CE56" w:rsidR="00197B55" w:rsidRPr="00622705" w:rsidRDefault="00197B55">
      <w:pPr>
        <w:pStyle w:val="FootnoteText"/>
        <w:rPr>
          <w:lang w:val="en-GB"/>
        </w:rPr>
      </w:pPr>
      <w:r>
        <w:rPr>
          <w:rStyle w:val="FootnoteReference"/>
        </w:rPr>
        <w:footnoteRef/>
      </w:r>
      <w:r>
        <w:t xml:space="preserve"> </w:t>
      </w:r>
      <w:r w:rsidRPr="00D46FC5">
        <w:t>American Diabetes Association Professional Practice Committee. 5. Facilitating Positive Health Behaviors and Well-being to Improve Health Outcomes: Standards of Care in Diabetes-2025. Diabetes Care. 2025 Jan 1;48(Supplement_1</w:t>
      </w:r>
      <w:proofErr w:type="gramStart"/>
      <w:r w:rsidRPr="00D46FC5">
        <w:t>):S</w:t>
      </w:r>
      <w:proofErr w:type="gramEnd"/>
      <w:r w:rsidRPr="00D46FC5">
        <w:t xml:space="preserve">86-S127. doi: 10.2337/dc25-S005. Erratum in: Diabetes Care. 2025 Jan </w:t>
      </w:r>
      <w:proofErr w:type="gramStart"/>
      <w:r w:rsidRPr="00D46FC5">
        <w:t>23:dc</w:t>
      </w:r>
      <w:proofErr w:type="gramEnd"/>
      <w:r w:rsidRPr="00D46FC5">
        <w:t>25er04a. doi: 10.2337/dc25-er04a. PMID: 39651983; PMCID: PMC11635047.</w:t>
      </w:r>
    </w:p>
  </w:footnote>
  <w:footnote w:id="15">
    <w:p w14:paraId="02A32DAC" w14:textId="77777777" w:rsidR="00197B55" w:rsidRPr="00B572C4" w:rsidRDefault="00197B55" w:rsidP="009414D8">
      <w:pPr>
        <w:pStyle w:val="FootnoteText"/>
      </w:pPr>
      <w:r>
        <w:rPr>
          <w:rStyle w:val="FootnoteReference"/>
        </w:rPr>
        <w:footnoteRef/>
      </w:r>
      <w:r>
        <w:t xml:space="preserve"> International Diabetes Federation. Recommendations For Managing Type 2 Diabetes </w:t>
      </w:r>
      <w:proofErr w:type="gramStart"/>
      <w:r>
        <w:t>In</w:t>
      </w:r>
      <w:proofErr w:type="gramEnd"/>
      <w:r>
        <w:t xml:space="preserve"> Primary Care, 2017. www.idf.org/managing-type2-diabetes</w:t>
      </w:r>
    </w:p>
  </w:footnote>
  <w:footnote w:id="16">
    <w:p w14:paraId="491BC7F2" w14:textId="77777777" w:rsidR="00197B55" w:rsidRPr="00052E2C" w:rsidRDefault="00197B55" w:rsidP="009414D8">
      <w:pPr>
        <w:jc w:val="both"/>
        <w:rPr>
          <w:sz w:val="18"/>
          <w:szCs w:val="18"/>
        </w:rPr>
      </w:pPr>
      <w:r w:rsidRPr="00052E2C">
        <w:rPr>
          <w:rStyle w:val="FootnoteReference"/>
          <w:sz w:val="18"/>
          <w:szCs w:val="18"/>
        </w:rPr>
        <w:footnoteRef/>
      </w:r>
      <w:r w:rsidRPr="00052E2C">
        <w:rPr>
          <w:sz w:val="18"/>
          <w:szCs w:val="18"/>
        </w:rPr>
        <w:t xml:space="preserve"> National Institute for Health and Care Excellence (NICE</w:t>
      </w:r>
      <w:proofErr w:type="gramStart"/>
      <w:r w:rsidRPr="00052E2C">
        <w:rPr>
          <w:sz w:val="18"/>
          <w:szCs w:val="18"/>
        </w:rPr>
        <w:t>) .</w:t>
      </w:r>
      <w:proofErr w:type="gramEnd"/>
      <w:r w:rsidRPr="00052E2C">
        <w:rPr>
          <w:sz w:val="18"/>
          <w:szCs w:val="18"/>
        </w:rPr>
        <w:t xml:space="preserve"> Type 2 diabetes in adults: management Clinical Guideline. [NG28]. London: NICE; 2015.</w:t>
      </w:r>
    </w:p>
  </w:footnote>
  <w:footnote w:id="17">
    <w:p w14:paraId="49D26C0D" w14:textId="77777777" w:rsidR="00197B55" w:rsidRPr="00052E2C" w:rsidRDefault="00197B55" w:rsidP="009414D8">
      <w:pPr>
        <w:jc w:val="both"/>
        <w:rPr>
          <w:sz w:val="18"/>
          <w:szCs w:val="18"/>
        </w:rPr>
      </w:pPr>
      <w:r w:rsidRPr="00052E2C">
        <w:rPr>
          <w:rStyle w:val="FootnoteReference"/>
          <w:sz w:val="18"/>
          <w:szCs w:val="18"/>
        </w:rPr>
        <w:footnoteRef/>
      </w:r>
      <w:r w:rsidRPr="00052E2C">
        <w:rPr>
          <w:sz w:val="18"/>
          <w:szCs w:val="18"/>
        </w:rPr>
        <w:t xml:space="preserve"> National Institute for Health and Care Excellence (NICE) Surveillance of diabetes (type 1 and type 2) in children and young people: diagnosis and management [NG18]. London: NICE; 2022</w:t>
      </w:r>
    </w:p>
  </w:footnote>
  <w:footnote w:id="18">
    <w:p w14:paraId="28881719" w14:textId="77777777" w:rsidR="00197B55" w:rsidRPr="00052E2C" w:rsidRDefault="00197B55" w:rsidP="009414D8">
      <w:pPr>
        <w:pStyle w:val="FootnoteText"/>
      </w:pPr>
      <w:r>
        <w:rPr>
          <w:rStyle w:val="FootnoteReference"/>
        </w:rPr>
        <w:footnoteRef/>
      </w:r>
      <w:r>
        <w:t xml:space="preserve"> </w:t>
      </w:r>
      <w:r w:rsidRPr="00052E2C">
        <w:t>https://treatment.diabetessociety.com.au/plan/</w:t>
      </w:r>
    </w:p>
  </w:footnote>
  <w:footnote w:id="19">
    <w:p w14:paraId="07EAF4E6" w14:textId="77777777" w:rsidR="00197B55" w:rsidRPr="00622705" w:rsidRDefault="00197B55" w:rsidP="009414D8">
      <w:pPr>
        <w:pStyle w:val="FootnoteText"/>
        <w:rPr>
          <w:lang w:val="en-GB"/>
        </w:rPr>
      </w:pPr>
      <w:r>
        <w:rPr>
          <w:rStyle w:val="FootnoteReference"/>
        </w:rPr>
        <w:footnoteRef/>
      </w:r>
      <w:r w:rsidRPr="009C2261">
        <w:rPr>
          <w:lang w:val="en-GB"/>
        </w:rPr>
        <w:t xml:space="preserve"> </w:t>
      </w:r>
      <w:r w:rsidRPr="009C2261">
        <w:t xml:space="preserve">The Royal Australian College of General Practitioners. Management of type 2 diabetes: A handbook for general practice. </w:t>
      </w:r>
      <w:r w:rsidRPr="00622705">
        <w:rPr>
          <w:lang w:val="en-GB"/>
        </w:rPr>
        <w:t>East Melbourne, Vic: RACGP, 2020.</w:t>
      </w:r>
    </w:p>
  </w:footnote>
  <w:footnote w:id="20">
    <w:p w14:paraId="3A71B188" w14:textId="6A79A447" w:rsidR="00D43738" w:rsidRDefault="00D43738">
      <w:pPr>
        <w:pStyle w:val="FootnoteText"/>
      </w:pPr>
      <w:r>
        <w:rPr>
          <w:rStyle w:val="FootnoteReference"/>
        </w:rPr>
        <w:footnoteRef/>
      </w:r>
      <w:r>
        <w:t xml:space="preserve"> Note that fetal macrosomia was defined as </w:t>
      </w:r>
      <w:r>
        <w:rPr>
          <w:rFonts w:cstheme="minorHAnsi"/>
        </w:rPr>
        <w:t>≥</w:t>
      </w:r>
      <w:r>
        <w:t>4000g</w:t>
      </w:r>
      <w:r w:rsidR="00146E18">
        <w:t xml:space="preserve"> and the number of babies with macrosomia was 2 in the FSL group.</w:t>
      </w:r>
    </w:p>
  </w:footnote>
  <w:footnote w:id="21">
    <w:p w14:paraId="478BAEF6" w14:textId="62043F61" w:rsidR="008243F5" w:rsidRDefault="008243F5">
      <w:pPr>
        <w:pStyle w:val="FootnoteText"/>
      </w:pPr>
      <w:r>
        <w:rPr>
          <w:rStyle w:val="FootnoteReference"/>
        </w:rPr>
        <w:footnoteRef/>
      </w:r>
      <w:r>
        <w:t xml:space="preserve"> Note that </w:t>
      </w:r>
      <w:r w:rsidR="00907519">
        <w:t>‘large for gestational age’ was defined as birthweight &gt;90</w:t>
      </w:r>
      <w:r w:rsidR="00907519" w:rsidRPr="000F5E75">
        <w:rPr>
          <w:vertAlign w:val="superscript"/>
        </w:rPr>
        <w:t>th</w:t>
      </w:r>
      <w:r w:rsidR="00907519">
        <w:t xml:space="preserve"> percentile. </w:t>
      </w:r>
    </w:p>
  </w:footnote>
  <w:footnote w:id="22">
    <w:p w14:paraId="561977A9" w14:textId="1E05CF34" w:rsidR="00197B55" w:rsidRPr="00F3247A" w:rsidRDefault="00197B55">
      <w:pPr>
        <w:pStyle w:val="FootnoteText"/>
      </w:pPr>
      <w:r>
        <w:rPr>
          <w:rStyle w:val="FootnoteReference"/>
        </w:rPr>
        <w:footnoteRef/>
      </w:r>
      <w:r>
        <w:t xml:space="preserve"> </w:t>
      </w:r>
      <w:r w:rsidRPr="00F3247A">
        <w:t>Szafranski</w:t>
      </w:r>
      <w:r w:rsidR="000B5BF6">
        <w:t>,</w:t>
      </w:r>
      <w:r w:rsidRPr="00F3247A">
        <w:t xml:space="preserve"> K </w:t>
      </w:r>
      <w:r w:rsidR="000B5BF6">
        <w:t>et al. (</w:t>
      </w:r>
      <w:r w:rsidR="00BB0301">
        <w:t>2024)</w:t>
      </w:r>
      <w:r w:rsidRPr="00F3247A">
        <w:t xml:space="preserve">. The Determination of Diabetes Utilities, Costs, and Effects Model: A Cost-Utility Tool Using Patient-Level Microsimulation to Evaluate Sensor-Based Glucose Monitoring Systems in Type 1 and Type 2 Diabetes: Comparative Validation. </w:t>
      </w:r>
      <w:r w:rsidRPr="00434B0C">
        <w:rPr>
          <w:i/>
          <w:iCs/>
        </w:rPr>
        <w:t>Value Health</w:t>
      </w:r>
      <w:r w:rsidRPr="00F3247A">
        <w:t xml:space="preserve"> 27(4):500-507. doi: 10.1016/j.jval.2024.01.010.</w:t>
      </w:r>
    </w:p>
  </w:footnote>
  <w:footnote w:id="23">
    <w:p w14:paraId="7F092DD4" w14:textId="04913E39" w:rsidR="00197B55" w:rsidRPr="00413F0C" w:rsidRDefault="00197B55" w:rsidP="009B508E">
      <w:pPr>
        <w:pStyle w:val="FootnoteText"/>
        <w:rPr>
          <w:lang w:val="en-GB"/>
        </w:rPr>
      </w:pPr>
      <w:r>
        <w:rPr>
          <w:rStyle w:val="FootnoteReference"/>
        </w:rPr>
        <w:footnoteRef/>
      </w:r>
      <w:r>
        <w:t xml:space="preserve"> </w:t>
      </w:r>
      <w:r w:rsidRPr="00F3247A">
        <w:t>Basu</w:t>
      </w:r>
      <w:r w:rsidR="00BB0301">
        <w:t>,</w:t>
      </w:r>
      <w:r w:rsidRPr="00F3247A">
        <w:t xml:space="preserve"> S</w:t>
      </w:r>
      <w:r w:rsidR="00BB0301">
        <w:t xml:space="preserve"> et al</w:t>
      </w:r>
      <w:r w:rsidRPr="00F3247A">
        <w:t>.</w:t>
      </w:r>
      <w:r w:rsidR="00BB0301">
        <w:t xml:space="preserve"> (2017).</w:t>
      </w:r>
      <w:r w:rsidRPr="00F3247A">
        <w:t xml:space="preserve"> Development and validation of Risk Equations for Complications Of type 2 Diabetes (RECODe) using individual participant data from randomised trials. </w:t>
      </w:r>
      <w:r w:rsidRPr="00EF453A">
        <w:rPr>
          <w:i/>
          <w:iCs/>
        </w:rPr>
        <w:t>Lancet Diabetes Endocrinol</w:t>
      </w:r>
      <w:r w:rsidR="00BB0301">
        <w:t xml:space="preserve"> </w:t>
      </w:r>
      <w:r w:rsidRPr="00F3247A">
        <w:t xml:space="preserve">5(10):788-798. doi: 10.1016/S2213-8587(17)30221-8. </w:t>
      </w:r>
    </w:p>
  </w:footnote>
  <w:footnote w:id="24">
    <w:p w14:paraId="196938DA" w14:textId="77777777" w:rsidR="00197B55" w:rsidRPr="00916907" w:rsidRDefault="00197B55" w:rsidP="00AE7DCE">
      <w:pPr>
        <w:pStyle w:val="FootnoteText"/>
        <w:rPr>
          <w:lang w:val="en-GB"/>
        </w:rPr>
      </w:pPr>
      <w:r>
        <w:rPr>
          <w:rStyle w:val="FootnoteReference"/>
        </w:rPr>
        <w:footnoteRef/>
      </w:r>
      <w:r>
        <w:t xml:space="preserve"> </w:t>
      </w:r>
      <w:r>
        <w:rPr>
          <w:lang w:val="en-GB"/>
        </w:rPr>
        <w:t xml:space="preserve">NICE. 2022. Type 2 diabetes in adults: management. Available at: </w:t>
      </w:r>
      <w:hyperlink r:id="rId5" w:history="1">
        <w:r w:rsidRPr="00F42FCA">
          <w:rPr>
            <w:rStyle w:val="Hyperlink"/>
          </w:rPr>
          <w:t>https://www.nice.org.uk/guidance/ng28/evidence/economic-model-report-pdf-11013295213</w:t>
        </w:r>
      </w:hyperlink>
    </w:p>
  </w:footnote>
  <w:footnote w:id="25">
    <w:p w14:paraId="6F58C322" w14:textId="6099749B" w:rsidR="00197B55" w:rsidRPr="00A063A0" w:rsidRDefault="00197B55">
      <w:pPr>
        <w:pStyle w:val="FootnoteText"/>
        <w:rPr>
          <w:lang w:val="en-GB"/>
        </w:rPr>
      </w:pPr>
      <w:r>
        <w:rPr>
          <w:rStyle w:val="FootnoteReference"/>
        </w:rPr>
        <w:footnoteRef/>
      </w:r>
      <w:r>
        <w:t xml:space="preserve"> </w:t>
      </w:r>
      <w:r w:rsidRPr="00A063A0">
        <w:rPr>
          <w:lang w:val="en-GB"/>
        </w:rPr>
        <w:t>Daly</w:t>
      </w:r>
      <w:r w:rsidR="00BB0301">
        <w:rPr>
          <w:lang w:val="en-GB"/>
        </w:rPr>
        <w:t>,</w:t>
      </w:r>
      <w:r w:rsidRPr="00A063A0">
        <w:rPr>
          <w:lang w:val="en-GB"/>
        </w:rPr>
        <w:t xml:space="preserve"> MJ</w:t>
      </w:r>
      <w:r w:rsidR="00BB0301">
        <w:rPr>
          <w:lang w:val="en-GB"/>
        </w:rPr>
        <w:t xml:space="preserve"> et al. (20</w:t>
      </w:r>
      <w:r w:rsidR="008F0A84">
        <w:rPr>
          <w:lang w:val="en-GB"/>
        </w:rPr>
        <w:t>22).</w:t>
      </w:r>
      <w:r w:rsidRPr="00A063A0">
        <w:rPr>
          <w:lang w:val="en-GB"/>
        </w:rPr>
        <w:t xml:space="preserve"> A Review of Economic Models Submitted to NICE's Technology Appraisal Programme, for Treatments of T1DM &amp; T2DM. </w:t>
      </w:r>
      <w:r w:rsidRPr="00C57A50">
        <w:rPr>
          <w:i/>
          <w:iCs/>
          <w:lang w:val="en-GB"/>
        </w:rPr>
        <w:t>Front Pharmacol</w:t>
      </w:r>
      <w:r w:rsidR="00004E42">
        <w:rPr>
          <w:lang w:val="en-GB"/>
        </w:rPr>
        <w:t xml:space="preserve"> </w:t>
      </w:r>
      <w:r w:rsidRPr="00A063A0">
        <w:rPr>
          <w:lang w:val="en-GB"/>
        </w:rPr>
        <w:t xml:space="preserve">13:887298. doi: 10.3389/fphar.2022.887298. </w:t>
      </w:r>
    </w:p>
  </w:footnote>
  <w:footnote w:id="26">
    <w:p w14:paraId="1BBA2884" w14:textId="031FC07C" w:rsidR="00197B55" w:rsidRPr="00DA29CF" w:rsidRDefault="00197B55">
      <w:pPr>
        <w:pStyle w:val="FootnoteText"/>
        <w:rPr>
          <w:lang w:val="en-GB"/>
        </w:rPr>
      </w:pPr>
      <w:r>
        <w:rPr>
          <w:rStyle w:val="FootnoteReference"/>
        </w:rPr>
        <w:footnoteRef/>
      </w:r>
      <w:r>
        <w:t xml:space="preserve"> </w:t>
      </w:r>
      <w:r w:rsidRPr="00AF3EFF">
        <w:t>Liu</w:t>
      </w:r>
      <w:r w:rsidR="00004E42">
        <w:t>,</w:t>
      </w:r>
      <w:r w:rsidRPr="00AF3EFF">
        <w:t xml:space="preserve"> L </w:t>
      </w:r>
      <w:r w:rsidR="00004E42">
        <w:t>et al</w:t>
      </w:r>
      <w:r w:rsidRPr="00AF3EFF">
        <w:t xml:space="preserve">. </w:t>
      </w:r>
      <w:r w:rsidR="00004E42">
        <w:t xml:space="preserve">(2022). </w:t>
      </w:r>
      <w:r w:rsidRPr="00AF3EFF">
        <w:t xml:space="preserve">Associations of the baseline level and change in glycosylated hemoglobin A1c with incident hypertension in non-diabetic individuals: a 3-year cohort study. </w:t>
      </w:r>
      <w:r w:rsidRPr="00C57A50">
        <w:rPr>
          <w:i/>
          <w:iCs/>
        </w:rPr>
        <w:t>Diabetol Metab Syndr</w:t>
      </w:r>
      <w:r w:rsidR="00004E42">
        <w:t xml:space="preserve"> </w:t>
      </w:r>
      <w:r w:rsidRPr="00AF3EFF">
        <w:t>14(1):54. doi: 10.1186/s13098-022-00827-8.</w:t>
      </w:r>
    </w:p>
  </w:footnote>
  <w:footnote w:id="27">
    <w:p w14:paraId="442C24E8" w14:textId="77777777" w:rsidR="00197B55" w:rsidRPr="00413F0C" w:rsidRDefault="00197B55" w:rsidP="00981F63">
      <w:pPr>
        <w:pStyle w:val="FootnoteText"/>
        <w:rPr>
          <w:lang w:val="en-GB"/>
        </w:rPr>
      </w:pPr>
      <w:r>
        <w:rPr>
          <w:rStyle w:val="FootnoteReference"/>
        </w:rPr>
        <w:footnoteRef/>
      </w:r>
      <w:r>
        <w:t xml:space="preserve"> </w:t>
      </w:r>
      <w:r w:rsidRPr="00981F63">
        <w:t>Haute Autorité de Santé</w:t>
      </w:r>
      <w:r>
        <w:t xml:space="preserve">. Self-monitoring of blood glucose in type 2 diabetes: limited use for a target population. </w:t>
      </w:r>
      <w:r w:rsidRPr="00981F63">
        <w:t>April 2011</w:t>
      </w:r>
      <w:r>
        <w:t xml:space="preserve">. </w:t>
      </w:r>
      <w:r w:rsidRPr="00981F63">
        <w:t>LEAFLET ON GOOD PRACTICE IN HEALTHCARE TECHNOLOGY USE</w:t>
      </w:r>
      <w:r>
        <w:t xml:space="preserve">. PDF available at: </w:t>
      </w:r>
      <w:hyperlink r:id="rId6" w:history="1">
        <w:r w:rsidRPr="00354C56">
          <w:rPr>
            <w:rStyle w:val="Hyperlink"/>
          </w:rPr>
          <w:t>https://www.has-sante.fr/upload/docs/application/pdf/2011-12/good_practice_-_self-monitoring_blood_glucose_type_2_diabetes.pdf</w:t>
        </w:r>
      </w:hyperlink>
      <w:r>
        <w:t xml:space="preserve">. Downloadable from: </w:t>
      </w:r>
      <w:r w:rsidRPr="00981F63">
        <w:t>www.has-sante.fr</w:t>
      </w:r>
    </w:p>
  </w:footnote>
  <w:footnote w:id="28">
    <w:p w14:paraId="4E7BA3C6" w14:textId="183816D7" w:rsidR="00197B55" w:rsidRPr="00791334" w:rsidRDefault="00197B55" w:rsidP="00FC76A5">
      <w:pPr>
        <w:pStyle w:val="FootnoteText"/>
      </w:pPr>
      <w:r>
        <w:rPr>
          <w:rStyle w:val="FootnoteReference"/>
        </w:rPr>
        <w:footnoteRef/>
      </w:r>
      <w:r>
        <w:t xml:space="preserve"> </w:t>
      </w:r>
      <w:r w:rsidRPr="00FC76A5">
        <w:t>German Diabetes Association: Clinical Practice Guidelines</w:t>
      </w:r>
      <w:r>
        <w:t xml:space="preserve">. Glucose Measurement and Control in Patients with Type 1 or Type 2 Diabetes. 2022. Available at: </w:t>
      </w:r>
      <w:r w:rsidRPr="00FC76A5">
        <w:t>https://www.ddg.info/fileadmin/user_upload/05_Behandlung/01_Leitlinien/Englische_Leitlinien/Glucose_Measurement_and_Control.pdf</w:t>
      </w:r>
    </w:p>
  </w:footnote>
  <w:footnote w:id="29">
    <w:p w14:paraId="468FAA82" w14:textId="5A607644" w:rsidR="00197B55" w:rsidRPr="00A0721B" w:rsidRDefault="00197B55">
      <w:pPr>
        <w:pStyle w:val="FootnoteText"/>
        <w:rPr>
          <w:lang w:val="en-GB"/>
        </w:rPr>
      </w:pPr>
      <w:r>
        <w:rPr>
          <w:rStyle w:val="FootnoteReference"/>
        </w:rPr>
        <w:footnoteRef/>
      </w:r>
      <w:r>
        <w:t xml:space="preserve"> </w:t>
      </w:r>
      <w:r>
        <w:rPr>
          <w:lang w:val="en-GB"/>
        </w:rPr>
        <w:t xml:space="preserve">Australian Bureau of Statistics. 2025. Consumer Price Index, Australia. [Online]. Available at: </w:t>
      </w:r>
      <w:hyperlink r:id="rId7" w:history="1">
        <w:r w:rsidRPr="000224A6">
          <w:rPr>
            <w:rStyle w:val="Hyperlink"/>
            <w:lang w:val="en-GB"/>
          </w:rPr>
          <w:t>https://www.abs.gov.au/statistics/economy/price-indexes-and-inflation/consumer-price-index-australia/latest-release</w:t>
        </w:r>
      </w:hyperlink>
    </w:p>
  </w:footnote>
  <w:footnote w:id="30">
    <w:p w14:paraId="139CA3CF" w14:textId="5D2B789B" w:rsidR="00197B55" w:rsidRPr="000C111B" w:rsidRDefault="00197B55">
      <w:pPr>
        <w:pStyle w:val="FootnoteText"/>
        <w:rPr>
          <w:lang w:val="en-GB"/>
        </w:rPr>
      </w:pPr>
      <w:r>
        <w:rPr>
          <w:rStyle w:val="FootnoteReference"/>
        </w:rPr>
        <w:footnoteRef/>
      </w:r>
      <w:r>
        <w:t xml:space="preserve"> Australian Institute of Health and Welfare. 2024. Diabetes: Australian facts. [Online]. Available at: </w:t>
      </w:r>
      <w:hyperlink r:id="rId8" w:history="1">
        <w:r w:rsidRPr="000224A6">
          <w:rPr>
            <w:rStyle w:val="Hyperlink"/>
          </w:rPr>
          <w:t>https://www.aihw.gov.au/reports/diabetes/diabetes/contents/how-common-is-diabetes/gestational-diabetes</w:t>
        </w:r>
      </w:hyperlink>
    </w:p>
  </w:footnote>
  <w:footnote w:id="31">
    <w:p w14:paraId="33CB8617" w14:textId="77777777" w:rsidR="003A0813" w:rsidRDefault="003A0813" w:rsidP="003A0813">
      <w:pPr>
        <w:pStyle w:val="FootnoteText"/>
      </w:pPr>
      <w:r>
        <w:rPr>
          <w:rStyle w:val="FootnoteReference"/>
        </w:rPr>
        <w:footnoteRef/>
      </w:r>
      <w:r>
        <w:t xml:space="preserve"> European Medicines Agency (2023). Guideline on clinical investigation of medicinal products in the treatment or prevention of diabetes mellitus. CPMP/EWP/1080/00 Rev.2. </w:t>
      </w:r>
      <w:hyperlink r:id="rId9" w:history="1">
        <w:r w:rsidRPr="003F6048">
          <w:rPr>
            <w:rStyle w:val="Hyperlink"/>
          </w:rPr>
          <w:t>https://www.ema.europa.eu/en/clinical-investigation-medicinal-products-treatment-or-prevention-diabetes-mellitus-scientific-guideline</w:t>
        </w:r>
      </w:hyperlink>
    </w:p>
  </w:footnote>
  <w:footnote w:id="32">
    <w:p w14:paraId="21E3E537" w14:textId="77777777" w:rsidR="003A0813" w:rsidRPr="00351F7F" w:rsidRDefault="003A0813" w:rsidP="003A0813">
      <w:pPr>
        <w:pStyle w:val="FootnoteText"/>
      </w:pPr>
      <w:r>
        <w:rPr>
          <w:rStyle w:val="FootnoteReference"/>
        </w:rPr>
        <w:footnoteRef/>
      </w:r>
      <w:r>
        <w:t xml:space="preserve"> </w:t>
      </w:r>
      <w:r w:rsidRPr="00984109">
        <w:t xml:space="preserve">Sweeting A, </w:t>
      </w:r>
      <w:r>
        <w:rPr>
          <w:i/>
          <w:iCs/>
        </w:rPr>
        <w:t xml:space="preserve">et al. </w:t>
      </w:r>
      <w:r>
        <w:t>(2025)</w:t>
      </w:r>
      <w:r w:rsidRPr="00984109">
        <w:t xml:space="preserve">. Australasian Diabetes in Pregnancy Society (ADIPS) 2025 consensus recommendations for the screening, diagnosis and classification of gestational diabetes. </w:t>
      </w:r>
      <w:r w:rsidRPr="00350FF5">
        <w:rPr>
          <w:i/>
          <w:iCs/>
        </w:rPr>
        <w:t>Med J Aust</w:t>
      </w:r>
      <w:r w:rsidRPr="00984109">
        <w:t xml:space="preserve">. doi: 10.5694/mja2.52696.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B5D2" w14:textId="77777777" w:rsidR="00492CE3" w:rsidRDefault="00492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8868" w14:textId="77777777" w:rsidR="00492CE3" w:rsidRDefault="00492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549B" w14:textId="77777777" w:rsidR="00492CE3" w:rsidRDefault="00492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0509A7"/>
    <w:multiLevelType w:val="hybridMultilevel"/>
    <w:tmpl w:val="DB8AF54E"/>
    <w:lvl w:ilvl="0" w:tplc="01A44E6E">
      <w:start w:val="1"/>
      <w:numFmt w:val="bullet"/>
      <w:pStyle w:val="DashEndLis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16416B60"/>
    <w:multiLevelType w:val="hybridMultilevel"/>
    <w:tmpl w:val="2DF0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60963"/>
    <w:multiLevelType w:val="hybridMultilevel"/>
    <w:tmpl w:val="7F88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04201"/>
    <w:multiLevelType w:val="hybridMultilevel"/>
    <w:tmpl w:val="4EAC7024"/>
    <w:lvl w:ilvl="0" w:tplc="0C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4C61BB"/>
    <w:multiLevelType w:val="hybridMultilevel"/>
    <w:tmpl w:val="227C3E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993E28"/>
    <w:multiLevelType w:val="hybridMultilevel"/>
    <w:tmpl w:val="927C0FDE"/>
    <w:lvl w:ilvl="0" w:tplc="0C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8" w15:restartNumberingAfterBreak="0">
    <w:nsid w:val="237C0EE4"/>
    <w:multiLevelType w:val="multilevel"/>
    <w:tmpl w:val="FEE071C8"/>
    <w:styleLink w:val="ESSectionheading-numbered"/>
    <w:lvl w:ilvl="0">
      <w:start w:val="1"/>
      <w:numFmt w:val="none"/>
      <w:lvlText w:val="A.1"/>
      <w:lvlJc w:val="left"/>
      <w:pPr>
        <w:ind w:left="1134" w:hanging="1134"/>
      </w:pPr>
      <w:rPr>
        <w:rFonts w:ascii="Calibri" w:hAnsi="Calibri" w:hint="default"/>
        <w:b/>
        <w:i w:val="0"/>
        <w:color w:val="auto"/>
        <w:sz w:val="24"/>
      </w:rPr>
    </w:lvl>
    <w:lvl w:ilvl="1">
      <w:start w:val="1"/>
      <w:numFmt w:val="decimal"/>
      <w:lvlText w:val="B.%2."/>
      <w:lvlJc w:val="left"/>
      <w:pPr>
        <w:ind w:left="1134" w:hanging="1134"/>
      </w:pPr>
      <w:rPr>
        <w:rFonts w:ascii="Calibri" w:hAnsi="Calibri" w:hint="default"/>
        <w:b/>
        <w:i w:val="0"/>
        <w:sz w:val="24"/>
      </w:rPr>
    </w:lvl>
    <w:lvl w:ilvl="2">
      <w:start w:val="1"/>
      <w:numFmt w:val="decimal"/>
      <w:lvlText w:val="C.%3."/>
      <w:lvlJc w:val="left"/>
      <w:pPr>
        <w:ind w:left="1134" w:hanging="1134"/>
      </w:pPr>
      <w:rPr>
        <w:rFonts w:ascii="Calibri" w:hAnsi="Calibri" w:hint="default"/>
        <w:b/>
        <w:i w:val="0"/>
        <w:sz w:val="24"/>
      </w:rPr>
    </w:lvl>
    <w:lvl w:ilvl="3">
      <w:start w:val="1"/>
      <w:numFmt w:val="decimal"/>
      <w:lvlText w:val="D.%4."/>
      <w:lvlJc w:val="left"/>
      <w:pPr>
        <w:ind w:left="1134" w:hanging="1134"/>
      </w:pPr>
      <w:rPr>
        <w:rFonts w:ascii="Calibri" w:hAnsi="Calibri" w:hint="default"/>
        <w:b/>
        <w:i w:val="0"/>
        <w:sz w:val="24"/>
      </w:rPr>
    </w:lvl>
    <w:lvl w:ilvl="4">
      <w:start w:val="1"/>
      <w:numFmt w:val="decimal"/>
      <w:lvlText w:val="E.%5."/>
      <w:lvlJc w:val="left"/>
      <w:pPr>
        <w:ind w:left="1134" w:hanging="1134"/>
      </w:pPr>
      <w:rPr>
        <w:rFonts w:ascii="Calibri" w:hAnsi="Calibri" w:hint="default"/>
        <w:b/>
        <w:i w:val="0"/>
        <w:sz w:val="24"/>
      </w:rPr>
    </w:lvl>
    <w:lvl w:ilvl="5">
      <w:start w:val="1"/>
      <w:numFmt w:val="decimal"/>
      <w:lvlText w:val="A.%6"/>
      <w:lvlJc w:val="left"/>
      <w:pPr>
        <w:ind w:left="1134" w:hanging="1134"/>
      </w:pPr>
      <w:rPr>
        <w:rFonts w:ascii="Calibri" w:hAnsi="Calibri" w:hint="default"/>
        <w:b/>
        <w:i w:val="0"/>
        <w:color w:val="auto"/>
        <w:sz w:val="24"/>
      </w:rPr>
    </w:lvl>
    <w:lvl w:ilvl="6">
      <w:start w:val="1"/>
      <w:numFmt w:val="none"/>
      <w:lvlText w:val=""/>
      <w:lvlJc w:val="left"/>
      <w:pPr>
        <w:ind w:left="1134" w:hanging="1134"/>
      </w:pPr>
      <w:rPr>
        <w:rFonts w:ascii="Calibri" w:hAnsi="Calibri" w:hint="default"/>
        <w:b/>
        <w:i w:val="0"/>
        <w:sz w:val="24"/>
      </w:rPr>
    </w:lvl>
    <w:lvl w:ilvl="7">
      <w:start w:val="1"/>
      <w:numFmt w:val="none"/>
      <w:lvlText w:val="%8"/>
      <w:lvlJc w:val="left"/>
      <w:pPr>
        <w:ind w:left="1134" w:hanging="1134"/>
      </w:pPr>
      <w:rPr>
        <w:rFonts w:hint="default"/>
      </w:rPr>
    </w:lvl>
    <w:lvl w:ilvl="8">
      <w:start w:val="1"/>
      <w:numFmt w:val="none"/>
      <w:lvlText w:val="%9"/>
      <w:lvlJc w:val="right"/>
      <w:pPr>
        <w:ind w:left="1134" w:hanging="1134"/>
      </w:pPr>
      <w:rPr>
        <w:rFonts w:hint="default"/>
      </w:rPr>
    </w:lvl>
  </w:abstractNum>
  <w:abstractNum w:abstractNumId="9" w15:restartNumberingAfterBreak="0">
    <w:nsid w:val="24947850"/>
    <w:multiLevelType w:val="hybridMultilevel"/>
    <w:tmpl w:val="3F644788"/>
    <w:lvl w:ilvl="0" w:tplc="08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Arial Narrow" w:eastAsia="Times New Roman" w:hAnsi="Arial Narrow"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5E246B"/>
    <w:multiLevelType w:val="hybridMultilevel"/>
    <w:tmpl w:val="C4F2253C"/>
    <w:lvl w:ilvl="0" w:tplc="B0E28340">
      <w:start w:val="1"/>
      <w:numFmt w:val="decimal"/>
      <w:pStyle w:val="ESHeading1"/>
      <w:lvlText w:val="%1."/>
      <w:lvlJc w:val="left"/>
      <w:pPr>
        <w:ind w:left="216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D154E0"/>
    <w:multiLevelType w:val="hybridMultilevel"/>
    <w:tmpl w:val="3EAE175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24371DC"/>
    <w:multiLevelType w:val="multilevel"/>
    <w:tmpl w:val="4A02812C"/>
    <w:lvl w:ilvl="0">
      <w:start w:val="1"/>
      <w:numFmt w:val="decimal"/>
      <w:pStyle w:val="Heading1"/>
      <w:lvlText w:val="Section %1"/>
      <w:lvlJc w:val="left"/>
      <w:pPr>
        <w:ind w:left="786" w:hanging="360"/>
      </w:pPr>
      <w:rPr>
        <w:rFonts w:hint="default"/>
      </w:rPr>
    </w:lvl>
    <w:lvl w:ilvl="1">
      <w:start w:val="1"/>
      <w:numFmt w:val="decimal"/>
      <w:pStyle w:val="Heading2"/>
      <w:lvlText w:val="%1.%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EC5838"/>
    <w:multiLevelType w:val="hybridMultilevel"/>
    <w:tmpl w:val="73EEDB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932BC4"/>
    <w:multiLevelType w:val="hybridMultilevel"/>
    <w:tmpl w:val="8A206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24454"/>
    <w:multiLevelType w:val="hybridMultilevel"/>
    <w:tmpl w:val="0CAA2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AD2E6F"/>
    <w:multiLevelType w:val="hybridMultilevel"/>
    <w:tmpl w:val="13B69F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095746"/>
    <w:multiLevelType w:val="hybridMultilevel"/>
    <w:tmpl w:val="6392713A"/>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8797AC9"/>
    <w:multiLevelType w:val="hybridMultilevel"/>
    <w:tmpl w:val="C3B6A5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A81EBF"/>
    <w:multiLevelType w:val="hybridMultilevel"/>
    <w:tmpl w:val="9362AD56"/>
    <w:lvl w:ilvl="0" w:tplc="B902237C">
      <w:numFmt w:val="bullet"/>
      <w:lvlText w:val="-"/>
      <w:lvlJc w:val="left"/>
      <w:pPr>
        <w:ind w:left="720" w:hanging="360"/>
      </w:pPr>
      <w:rPr>
        <w:rFonts w:ascii="Franklin Gothic Book" w:eastAsiaTheme="minorHAnsi" w:hAnsi="Franklin Gothic Book"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B218F1"/>
    <w:multiLevelType w:val="hybridMultilevel"/>
    <w:tmpl w:val="30D48086"/>
    <w:lvl w:ilvl="0" w:tplc="8B282944">
      <w:start w:val="6"/>
      <w:numFmt w:val="bullet"/>
      <w:lvlText w:val=""/>
      <w:lvlJc w:val="left"/>
      <w:pPr>
        <w:ind w:left="360" w:hanging="360"/>
      </w:pPr>
      <w:rPr>
        <w:rFonts w:ascii="Symbol" w:eastAsiaTheme="minorHAnsi" w:hAnsi="Symbo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084185F"/>
    <w:multiLevelType w:val="hybridMultilevel"/>
    <w:tmpl w:val="3D34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AC369F"/>
    <w:multiLevelType w:val="hybridMultilevel"/>
    <w:tmpl w:val="7DBC3C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D37467F"/>
    <w:multiLevelType w:val="hybridMultilevel"/>
    <w:tmpl w:val="603AF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FC0532"/>
    <w:multiLevelType w:val="hybridMultilevel"/>
    <w:tmpl w:val="E10A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DD48AA"/>
    <w:multiLevelType w:val="hybridMultilevel"/>
    <w:tmpl w:val="D42AEB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903098"/>
    <w:multiLevelType w:val="hybridMultilevel"/>
    <w:tmpl w:val="27C87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181516"/>
    <w:multiLevelType w:val="hybridMultilevel"/>
    <w:tmpl w:val="FF9EE7EA"/>
    <w:lvl w:ilvl="0" w:tplc="99525AAE">
      <w:start w:val="1"/>
      <w:numFmt w:val="decimal"/>
      <w:pStyle w:val="Nnumberedlist"/>
      <w:lvlText w:val="%1."/>
      <w:lvlJc w:val="left"/>
      <w:pPr>
        <w:tabs>
          <w:tab w:val="num" w:pos="1440"/>
        </w:tabs>
        <w:ind w:left="1440" w:hanging="360"/>
      </w:pPr>
    </w:lvl>
    <w:lvl w:ilvl="1" w:tplc="389C2200" w:tentative="1">
      <w:start w:val="1"/>
      <w:numFmt w:val="lowerLetter"/>
      <w:lvlText w:val="%2."/>
      <w:lvlJc w:val="left"/>
      <w:pPr>
        <w:tabs>
          <w:tab w:val="num" w:pos="2160"/>
        </w:tabs>
        <w:ind w:left="2160" w:hanging="360"/>
      </w:pPr>
    </w:lvl>
    <w:lvl w:ilvl="2" w:tplc="C3F8B188" w:tentative="1">
      <w:start w:val="1"/>
      <w:numFmt w:val="lowerRoman"/>
      <w:lvlText w:val="%3."/>
      <w:lvlJc w:val="right"/>
      <w:pPr>
        <w:tabs>
          <w:tab w:val="num" w:pos="2880"/>
        </w:tabs>
        <w:ind w:left="2880" w:hanging="180"/>
      </w:pPr>
    </w:lvl>
    <w:lvl w:ilvl="3" w:tplc="391E97F0" w:tentative="1">
      <w:start w:val="1"/>
      <w:numFmt w:val="decimal"/>
      <w:lvlText w:val="%4."/>
      <w:lvlJc w:val="left"/>
      <w:pPr>
        <w:tabs>
          <w:tab w:val="num" w:pos="3600"/>
        </w:tabs>
        <w:ind w:left="3600" w:hanging="360"/>
      </w:pPr>
    </w:lvl>
    <w:lvl w:ilvl="4" w:tplc="4F42265E" w:tentative="1">
      <w:start w:val="1"/>
      <w:numFmt w:val="lowerLetter"/>
      <w:lvlText w:val="%5."/>
      <w:lvlJc w:val="left"/>
      <w:pPr>
        <w:tabs>
          <w:tab w:val="num" w:pos="4320"/>
        </w:tabs>
        <w:ind w:left="4320" w:hanging="360"/>
      </w:pPr>
    </w:lvl>
    <w:lvl w:ilvl="5" w:tplc="30546058" w:tentative="1">
      <w:start w:val="1"/>
      <w:numFmt w:val="lowerRoman"/>
      <w:lvlText w:val="%6."/>
      <w:lvlJc w:val="right"/>
      <w:pPr>
        <w:tabs>
          <w:tab w:val="num" w:pos="5040"/>
        </w:tabs>
        <w:ind w:left="5040" w:hanging="180"/>
      </w:pPr>
    </w:lvl>
    <w:lvl w:ilvl="6" w:tplc="6E10F0C6" w:tentative="1">
      <w:start w:val="1"/>
      <w:numFmt w:val="decimal"/>
      <w:lvlText w:val="%7."/>
      <w:lvlJc w:val="left"/>
      <w:pPr>
        <w:tabs>
          <w:tab w:val="num" w:pos="5760"/>
        </w:tabs>
        <w:ind w:left="5760" w:hanging="360"/>
      </w:pPr>
    </w:lvl>
    <w:lvl w:ilvl="7" w:tplc="70B07B9C" w:tentative="1">
      <w:start w:val="1"/>
      <w:numFmt w:val="lowerLetter"/>
      <w:lvlText w:val="%8."/>
      <w:lvlJc w:val="left"/>
      <w:pPr>
        <w:tabs>
          <w:tab w:val="num" w:pos="6480"/>
        </w:tabs>
        <w:ind w:left="6480" w:hanging="360"/>
      </w:pPr>
    </w:lvl>
    <w:lvl w:ilvl="8" w:tplc="9BF48AAC" w:tentative="1">
      <w:start w:val="1"/>
      <w:numFmt w:val="lowerRoman"/>
      <w:lvlText w:val="%9."/>
      <w:lvlJc w:val="right"/>
      <w:pPr>
        <w:tabs>
          <w:tab w:val="num" w:pos="7200"/>
        </w:tabs>
        <w:ind w:left="7200" w:hanging="180"/>
      </w:pPr>
    </w:lvl>
  </w:abstractNum>
  <w:num w:numId="1" w16cid:durableId="1774980042">
    <w:abstractNumId w:val="14"/>
  </w:num>
  <w:num w:numId="2" w16cid:durableId="1776703444">
    <w:abstractNumId w:val="31"/>
  </w:num>
  <w:num w:numId="3" w16cid:durableId="1127549895">
    <w:abstractNumId w:val="0"/>
  </w:num>
  <w:num w:numId="4" w16cid:durableId="1157265368">
    <w:abstractNumId w:val="8"/>
  </w:num>
  <w:num w:numId="5" w16cid:durableId="1082490847">
    <w:abstractNumId w:val="28"/>
  </w:num>
  <w:num w:numId="6" w16cid:durableId="1383091611">
    <w:abstractNumId w:val="10"/>
  </w:num>
  <w:num w:numId="7" w16cid:durableId="616378987">
    <w:abstractNumId w:val="11"/>
  </w:num>
  <w:num w:numId="8" w16cid:durableId="1615013401">
    <w:abstractNumId w:val="12"/>
  </w:num>
  <w:num w:numId="9" w16cid:durableId="2036029322">
    <w:abstractNumId w:val="19"/>
  </w:num>
  <w:num w:numId="10" w16cid:durableId="712727902">
    <w:abstractNumId w:val="15"/>
  </w:num>
  <w:num w:numId="11" w16cid:durableId="803078773">
    <w:abstractNumId w:val="24"/>
  </w:num>
  <w:num w:numId="12" w16cid:durableId="1024401778">
    <w:abstractNumId w:val="27"/>
  </w:num>
  <w:num w:numId="13" w16cid:durableId="731972499">
    <w:abstractNumId w:val="16"/>
  </w:num>
  <w:num w:numId="14" w16cid:durableId="1548955303">
    <w:abstractNumId w:val="1"/>
  </w:num>
  <w:num w:numId="15" w16cid:durableId="1472600207">
    <w:abstractNumId w:val="25"/>
  </w:num>
  <w:num w:numId="16" w16cid:durableId="877544339">
    <w:abstractNumId w:val="26"/>
  </w:num>
  <w:num w:numId="17" w16cid:durableId="792283096">
    <w:abstractNumId w:val="2"/>
  </w:num>
  <w:num w:numId="18" w16cid:durableId="823279733">
    <w:abstractNumId w:val="30"/>
  </w:num>
  <w:num w:numId="19" w16cid:durableId="545219554">
    <w:abstractNumId w:val="20"/>
  </w:num>
  <w:num w:numId="20" w16cid:durableId="1034113760">
    <w:abstractNumId w:val="5"/>
  </w:num>
  <w:num w:numId="21" w16cid:durableId="1537348674">
    <w:abstractNumId w:val="13"/>
  </w:num>
  <w:num w:numId="22" w16cid:durableId="1268124197">
    <w:abstractNumId w:val="9"/>
  </w:num>
  <w:num w:numId="23" w16cid:durableId="1307198945">
    <w:abstractNumId w:val="4"/>
  </w:num>
  <w:num w:numId="24" w16cid:durableId="1246303243">
    <w:abstractNumId w:val="29"/>
  </w:num>
  <w:num w:numId="25" w16cid:durableId="1689479852">
    <w:abstractNumId w:val="3"/>
  </w:num>
  <w:num w:numId="26" w16cid:durableId="1396515981">
    <w:abstractNumId w:val="21"/>
  </w:num>
  <w:num w:numId="27" w16cid:durableId="853615812">
    <w:abstractNumId w:val="18"/>
  </w:num>
  <w:num w:numId="28" w16cid:durableId="630674307">
    <w:abstractNumId w:val="17"/>
  </w:num>
  <w:num w:numId="29" w16cid:durableId="908927443">
    <w:abstractNumId w:val="22"/>
  </w:num>
  <w:num w:numId="30" w16cid:durableId="1031952627">
    <w:abstractNumId w:val="6"/>
  </w:num>
  <w:num w:numId="31" w16cid:durableId="1423993146">
    <w:abstractNumId w:val="7"/>
  </w:num>
  <w:num w:numId="32" w16cid:durableId="1754624779">
    <w:abstractNumId w:val="23"/>
  </w:num>
  <w:num w:numId="33" w16cid:durableId="1363171402">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7F1"/>
    <w:rsid w:val="000002FB"/>
    <w:rsid w:val="0000081B"/>
    <w:rsid w:val="0000109A"/>
    <w:rsid w:val="00001AE6"/>
    <w:rsid w:val="00001D55"/>
    <w:rsid w:val="0000219D"/>
    <w:rsid w:val="000033D0"/>
    <w:rsid w:val="000039AB"/>
    <w:rsid w:val="00003B04"/>
    <w:rsid w:val="00003CF2"/>
    <w:rsid w:val="00004140"/>
    <w:rsid w:val="00004D69"/>
    <w:rsid w:val="00004DFF"/>
    <w:rsid w:val="00004E42"/>
    <w:rsid w:val="00004F7F"/>
    <w:rsid w:val="000052F3"/>
    <w:rsid w:val="000054C9"/>
    <w:rsid w:val="00005803"/>
    <w:rsid w:val="000059DE"/>
    <w:rsid w:val="0000700F"/>
    <w:rsid w:val="000072B5"/>
    <w:rsid w:val="00007A7A"/>
    <w:rsid w:val="00007BC7"/>
    <w:rsid w:val="00007E47"/>
    <w:rsid w:val="0001023C"/>
    <w:rsid w:val="00011568"/>
    <w:rsid w:val="00011A4D"/>
    <w:rsid w:val="00011C1A"/>
    <w:rsid w:val="00012114"/>
    <w:rsid w:val="00012ECA"/>
    <w:rsid w:val="00013B5A"/>
    <w:rsid w:val="00013EAD"/>
    <w:rsid w:val="00014173"/>
    <w:rsid w:val="00014398"/>
    <w:rsid w:val="00014974"/>
    <w:rsid w:val="00014B81"/>
    <w:rsid w:val="00015414"/>
    <w:rsid w:val="00015E18"/>
    <w:rsid w:val="00016DF4"/>
    <w:rsid w:val="000176F9"/>
    <w:rsid w:val="00017727"/>
    <w:rsid w:val="0002007A"/>
    <w:rsid w:val="0002045A"/>
    <w:rsid w:val="00020BF0"/>
    <w:rsid w:val="000213A7"/>
    <w:rsid w:val="000218FE"/>
    <w:rsid w:val="00021901"/>
    <w:rsid w:val="00021C71"/>
    <w:rsid w:val="0002218B"/>
    <w:rsid w:val="00022275"/>
    <w:rsid w:val="00022366"/>
    <w:rsid w:val="000228B8"/>
    <w:rsid w:val="00023632"/>
    <w:rsid w:val="0002381B"/>
    <w:rsid w:val="0002392D"/>
    <w:rsid w:val="00024618"/>
    <w:rsid w:val="0002477F"/>
    <w:rsid w:val="00024EA5"/>
    <w:rsid w:val="00024EA8"/>
    <w:rsid w:val="0002612B"/>
    <w:rsid w:val="00026943"/>
    <w:rsid w:val="00026948"/>
    <w:rsid w:val="0002755F"/>
    <w:rsid w:val="000276B9"/>
    <w:rsid w:val="00027A52"/>
    <w:rsid w:val="0003005B"/>
    <w:rsid w:val="00030079"/>
    <w:rsid w:val="000303C1"/>
    <w:rsid w:val="000304D5"/>
    <w:rsid w:val="0003062D"/>
    <w:rsid w:val="00031F11"/>
    <w:rsid w:val="00032641"/>
    <w:rsid w:val="00032B34"/>
    <w:rsid w:val="00032D6D"/>
    <w:rsid w:val="00032EE8"/>
    <w:rsid w:val="00033964"/>
    <w:rsid w:val="00033AE8"/>
    <w:rsid w:val="00033D1F"/>
    <w:rsid w:val="00033F6F"/>
    <w:rsid w:val="0003423A"/>
    <w:rsid w:val="00034296"/>
    <w:rsid w:val="000342B0"/>
    <w:rsid w:val="000344B8"/>
    <w:rsid w:val="0003477F"/>
    <w:rsid w:val="00034EA6"/>
    <w:rsid w:val="0003504A"/>
    <w:rsid w:val="00035248"/>
    <w:rsid w:val="00035958"/>
    <w:rsid w:val="0003666D"/>
    <w:rsid w:val="00036888"/>
    <w:rsid w:val="00036AD8"/>
    <w:rsid w:val="00036B31"/>
    <w:rsid w:val="00036C20"/>
    <w:rsid w:val="00037037"/>
    <w:rsid w:val="0003729D"/>
    <w:rsid w:val="00037302"/>
    <w:rsid w:val="00037489"/>
    <w:rsid w:val="00037590"/>
    <w:rsid w:val="0004005D"/>
    <w:rsid w:val="000408B8"/>
    <w:rsid w:val="00040ADF"/>
    <w:rsid w:val="00040F62"/>
    <w:rsid w:val="00040FB4"/>
    <w:rsid w:val="00041236"/>
    <w:rsid w:val="000416C3"/>
    <w:rsid w:val="0004178C"/>
    <w:rsid w:val="00041F5D"/>
    <w:rsid w:val="000422CE"/>
    <w:rsid w:val="00043399"/>
    <w:rsid w:val="00043B79"/>
    <w:rsid w:val="00043BCE"/>
    <w:rsid w:val="000443A6"/>
    <w:rsid w:val="00044493"/>
    <w:rsid w:val="0004476B"/>
    <w:rsid w:val="000448BC"/>
    <w:rsid w:val="000449D1"/>
    <w:rsid w:val="00044DFB"/>
    <w:rsid w:val="00044FA1"/>
    <w:rsid w:val="00045B8D"/>
    <w:rsid w:val="00045CC5"/>
    <w:rsid w:val="000461A4"/>
    <w:rsid w:val="000466E9"/>
    <w:rsid w:val="00046B6A"/>
    <w:rsid w:val="000472D4"/>
    <w:rsid w:val="00047E84"/>
    <w:rsid w:val="00047F9A"/>
    <w:rsid w:val="00050910"/>
    <w:rsid w:val="0005133E"/>
    <w:rsid w:val="000513E3"/>
    <w:rsid w:val="000520E3"/>
    <w:rsid w:val="0005241B"/>
    <w:rsid w:val="00052476"/>
    <w:rsid w:val="000529C5"/>
    <w:rsid w:val="00052DB7"/>
    <w:rsid w:val="00052DD3"/>
    <w:rsid w:val="0005326D"/>
    <w:rsid w:val="00053D3C"/>
    <w:rsid w:val="00053F6C"/>
    <w:rsid w:val="0005426C"/>
    <w:rsid w:val="00054328"/>
    <w:rsid w:val="00054721"/>
    <w:rsid w:val="00054735"/>
    <w:rsid w:val="00054AF7"/>
    <w:rsid w:val="00054D23"/>
    <w:rsid w:val="0005517B"/>
    <w:rsid w:val="00055849"/>
    <w:rsid w:val="00055CA2"/>
    <w:rsid w:val="00055CA4"/>
    <w:rsid w:val="00055D40"/>
    <w:rsid w:val="00056249"/>
    <w:rsid w:val="000571BF"/>
    <w:rsid w:val="00057A4D"/>
    <w:rsid w:val="00057EF6"/>
    <w:rsid w:val="00060535"/>
    <w:rsid w:val="00060B66"/>
    <w:rsid w:val="00061024"/>
    <w:rsid w:val="000617A3"/>
    <w:rsid w:val="00061812"/>
    <w:rsid w:val="00062515"/>
    <w:rsid w:val="00062681"/>
    <w:rsid w:val="000627A6"/>
    <w:rsid w:val="00062B8F"/>
    <w:rsid w:val="0006339C"/>
    <w:rsid w:val="000635AE"/>
    <w:rsid w:val="00064783"/>
    <w:rsid w:val="000647C2"/>
    <w:rsid w:val="000648B1"/>
    <w:rsid w:val="000661F4"/>
    <w:rsid w:val="000669F2"/>
    <w:rsid w:val="0006769A"/>
    <w:rsid w:val="00067D34"/>
    <w:rsid w:val="0007021F"/>
    <w:rsid w:val="00070305"/>
    <w:rsid w:val="000709A0"/>
    <w:rsid w:val="00070A90"/>
    <w:rsid w:val="00070FC7"/>
    <w:rsid w:val="000711CB"/>
    <w:rsid w:val="000716A0"/>
    <w:rsid w:val="0007189B"/>
    <w:rsid w:val="00071F6D"/>
    <w:rsid w:val="0007275D"/>
    <w:rsid w:val="00072C11"/>
    <w:rsid w:val="00073727"/>
    <w:rsid w:val="00073926"/>
    <w:rsid w:val="00074026"/>
    <w:rsid w:val="00074199"/>
    <w:rsid w:val="00074632"/>
    <w:rsid w:val="00074AAF"/>
    <w:rsid w:val="00074E47"/>
    <w:rsid w:val="00075854"/>
    <w:rsid w:val="00075C3E"/>
    <w:rsid w:val="00077D72"/>
    <w:rsid w:val="00080241"/>
    <w:rsid w:val="000805EB"/>
    <w:rsid w:val="00080D8E"/>
    <w:rsid w:val="00080F20"/>
    <w:rsid w:val="00081526"/>
    <w:rsid w:val="000815E0"/>
    <w:rsid w:val="00081778"/>
    <w:rsid w:val="00081BA2"/>
    <w:rsid w:val="00081EB0"/>
    <w:rsid w:val="000828D5"/>
    <w:rsid w:val="00083153"/>
    <w:rsid w:val="0008363E"/>
    <w:rsid w:val="00084507"/>
    <w:rsid w:val="00084F04"/>
    <w:rsid w:val="00085574"/>
    <w:rsid w:val="00086126"/>
    <w:rsid w:val="00086FA3"/>
    <w:rsid w:val="000870B6"/>
    <w:rsid w:val="000873F9"/>
    <w:rsid w:val="00087FF9"/>
    <w:rsid w:val="00090224"/>
    <w:rsid w:val="000903DC"/>
    <w:rsid w:val="00090613"/>
    <w:rsid w:val="00090B5F"/>
    <w:rsid w:val="00090BD1"/>
    <w:rsid w:val="00090EF5"/>
    <w:rsid w:val="0009127A"/>
    <w:rsid w:val="0009174E"/>
    <w:rsid w:val="00091857"/>
    <w:rsid w:val="00091C59"/>
    <w:rsid w:val="00092610"/>
    <w:rsid w:val="00092A21"/>
    <w:rsid w:val="0009328C"/>
    <w:rsid w:val="00093D9A"/>
    <w:rsid w:val="00094656"/>
    <w:rsid w:val="00094D08"/>
    <w:rsid w:val="00094EA9"/>
    <w:rsid w:val="0009501F"/>
    <w:rsid w:val="00096019"/>
    <w:rsid w:val="00096938"/>
    <w:rsid w:val="00096B52"/>
    <w:rsid w:val="00096C5A"/>
    <w:rsid w:val="00096C98"/>
    <w:rsid w:val="00096DD3"/>
    <w:rsid w:val="00097AE7"/>
    <w:rsid w:val="00097AF2"/>
    <w:rsid w:val="000A00AC"/>
    <w:rsid w:val="000A0843"/>
    <w:rsid w:val="000A0944"/>
    <w:rsid w:val="000A10BF"/>
    <w:rsid w:val="000A1F56"/>
    <w:rsid w:val="000A2204"/>
    <w:rsid w:val="000A2ACD"/>
    <w:rsid w:val="000A2B65"/>
    <w:rsid w:val="000A2DA8"/>
    <w:rsid w:val="000A3549"/>
    <w:rsid w:val="000A37F4"/>
    <w:rsid w:val="000A391A"/>
    <w:rsid w:val="000A3E67"/>
    <w:rsid w:val="000A47F0"/>
    <w:rsid w:val="000A4C85"/>
    <w:rsid w:val="000A5039"/>
    <w:rsid w:val="000A58EB"/>
    <w:rsid w:val="000A5C47"/>
    <w:rsid w:val="000A629E"/>
    <w:rsid w:val="000A69B6"/>
    <w:rsid w:val="000A6B30"/>
    <w:rsid w:val="000A75CF"/>
    <w:rsid w:val="000A7F7F"/>
    <w:rsid w:val="000A7FC9"/>
    <w:rsid w:val="000B1607"/>
    <w:rsid w:val="000B19F5"/>
    <w:rsid w:val="000B2EAF"/>
    <w:rsid w:val="000B3009"/>
    <w:rsid w:val="000B332A"/>
    <w:rsid w:val="000B3330"/>
    <w:rsid w:val="000B46AD"/>
    <w:rsid w:val="000B4AB5"/>
    <w:rsid w:val="000B4B65"/>
    <w:rsid w:val="000B5441"/>
    <w:rsid w:val="000B56A0"/>
    <w:rsid w:val="000B581A"/>
    <w:rsid w:val="000B5BF6"/>
    <w:rsid w:val="000B684E"/>
    <w:rsid w:val="000B6CF0"/>
    <w:rsid w:val="000B720C"/>
    <w:rsid w:val="000B7665"/>
    <w:rsid w:val="000B789F"/>
    <w:rsid w:val="000B7A80"/>
    <w:rsid w:val="000C01D2"/>
    <w:rsid w:val="000C0242"/>
    <w:rsid w:val="000C0B71"/>
    <w:rsid w:val="000C111B"/>
    <w:rsid w:val="000C1270"/>
    <w:rsid w:val="000C19DE"/>
    <w:rsid w:val="000C1DCB"/>
    <w:rsid w:val="000C1E36"/>
    <w:rsid w:val="000C2683"/>
    <w:rsid w:val="000C2833"/>
    <w:rsid w:val="000C2F21"/>
    <w:rsid w:val="000C30DB"/>
    <w:rsid w:val="000C35BF"/>
    <w:rsid w:val="000C3B2A"/>
    <w:rsid w:val="000C3E52"/>
    <w:rsid w:val="000C43DD"/>
    <w:rsid w:val="000C556D"/>
    <w:rsid w:val="000C57BD"/>
    <w:rsid w:val="000C5C2B"/>
    <w:rsid w:val="000C5D54"/>
    <w:rsid w:val="000C5EC3"/>
    <w:rsid w:val="000C6573"/>
    <w:rsid w:val="000C67B6"/>
    <w:rsid w:val="000C6AF3"/>
    <w:rsid w:val="000C6EC7"/>
    <w:rsid w:val="000C7651"/>
    <w:rsid w:val="000C7C46"/>
    <w:rsid w:val="000D00F8"/>
    <w:rsid w:val="000D177B"/>
    <w:rsid w:val="000D1AA6"/>
    <w:rsid w:val="000D1B52"/>
    <w:rsid w:val="000D1C6A"/>
    <w:rsid w:val="000D1EAC"/>
    <w:rsid w:val="000D245D"/>
    <w:rsid w:val="000D282F"/>
    <w:rsid w:val="000D2F91"/>
    <w:rsid w:val="000D307E"/>
    <w:rsid w:val="000D30F4"/>
    <w:rsid w:val="000D3B7D"/>
    <w:rsid w:val="000D41B7"/>
    <w:rsid w:val="000D4289"/>
    <w:rsid w:val="000D4C1B"/>
    <w:rsid w:val="000D5523"/>
    <w:rsid w:val="000D64E0"/>
    <w:rsid w:val="000D7064"/>
    <w:rsid w:val="000D7590"/>
    <w:rsid w:val="000D7A95"/>
    <w:rsid w:val="000E03DC"/>
    <w:rsid w:val="000E1124"/>
    <w:rsid w:val="000E25B0"/>
    <w:rsid w:val="000E282A"/>
    <w:rsid w:val="000E346C"/>
    <w:rsid w:val="000E3E03"/>
    <w:rsid w:val="000E425F"/>
    <w:rsid w:val="000E42E9"/>
    <w:rsid w:val="000E48E8"/>
    <w:rsid w:val="000E5531"/>
    <w:rsid w:val="000E58B2"/>
    <w:rsid w:val="000E5BB6"/>
    <w:rsid w:val="000E5F4A"/>
    <w:rsid w:val="000E6410"/>
    <w:rsid w:val="000E659C"/>
    <w:rsid w:val="000E678B"/>
    <w:rsid w:val="000E679F"/>
    <w:rsid w:val="000E7450"/>
    <w:rsid w:val="000E76E9"/>
    <w:rsid w:val="000E79A5"/>
    <w:rsid w:val="000E7C3B"/>
    <w:rsid w:val="000F009A"/>
    <w:rsid w:val="000F01C8"/>
    <w:rsid w:val="000F0651"/>
    <w:rsid w:val="000F1292"/>
    <w:rsid w:val="000F181F"/>
    <w:rsid w:val="000F1A99"/>
    <w:rsid w:val="000F2155"/>
    <w:rsid w:val="000F2E01"/>
    <w:rsid w:val="000F41A0"/>
    <w:rsid w:val="000F41DF"/>
    <w:rsid w:val="000F4244"/>
    <w:rsid w:val="000F42CB"/>
    <w:rsid w:val="000F4ACE"/>
    <w:rsid w:val="000F5A54"/>
    <w:rsid w:val="000F5E75"/>
    <w:rsid w:val="000F5F85"/>
    <w:rsid w:val="000F62C6"/>
    <w:rsid w:val="000F6E3A"/>
    <w:rsid w:val="000F7785"/>
    <w:rsid w:val="000F7987"/>
    <w:rsid w:val="000F7CE0"/>
    <w:rsid w:val="000F7D96"/>
    <w:rsid w:val="000F7E02"/>
    <w:rsid w:val="000F7FB4"/>
    <w:rsid w:val="00100477"/>
    <w:rsid w:val="0010051C"/>
    <w:rsid w:val="001007AB"/>
    <w:rsid w:val="0010086C"/>
    <w:rsid w:val="00100963"/>
    <w:rsid w:val="00101051"/>
    <w:rsid w:val="001010FE"/>
    <w:rsid w:val="0010135A"/>
    <w:rsid w:val="001013A8"/>
    <w:rsid w:val="00102A6E"/>
    <w:rsid w:val="00102B79"/>
    <w:rsid w:val="00103CF6"/>
    <w:rsid w:val="0010425C"/>
    <w:rsid w:val="0010448B"/>
    <w:rsid w:val="001044B1"/>
    <w:rsid w:val="0010481A"/>
    <w:rsid w:val="00104859"/>
    <w:rsid w:val="00104A4F"/>
    <w:rsid w:val="00105017"/>
    <w:rsid w:val="0010521F"/>
    <w:rsid w:val="001052F7"/>
    <w:rsid w:val="00105E9C"/>
    <w:rsid w:val="0010625A"/>
    <w:rsid w:val="00106CB0"/>
    <w:rsid w:val="00106E0E"/>
    <w:rsid w:val="00107524"/>
    <w:rsid w:val="0010760A"/>
    <w:rsid w:val="00107739"/>
    <w:rsid w:val="00107D79"/>
    <w:rsid w:val="00107DCD"/>
    <w:rsid w:val="00107E7E"/>
    <w:rsid w:val="00107EF0"/>
    <w:rsid w:val="001104DC"/>
    <w:rsid w:val="001107E5"/>
    <w:rsid w:val="00111417"/>
    <w:rsid w:val="0011145D"/>
    <w:rsid w:val="0011172B"/>
    <w:rsid w:val="001120BB"/>
    <w:rsid w:val="00112429"/>
    <w:rsid w:val="00113279"/>
    <w:rsid w:val="0011339D"/>
    <w:rsid w:val="001133A3"/>
    <w:rsid w:val="00113C60"/>
    <w:rsid w:val="00114012"/>
    <w:rsid w:val="001141BA"/>
    <w:rsid w:val="001142F6"/>
    <w:rsid w:val="00114C3B"/>
    <w:rsid w:val="00115691"/>
    <w:rsid w:val="00115EB2"/>
    <w:rsid w:val="00116133"/>
    <w:rsid w:val="00116485"/>
    <w:rsid w:val="0011684D"/>
    <w:rsid w:val="00116AC8"/>
    <w:rsid w:val="00116BF5"/>
    <w:rsid w:val="00117039"/>
    <w:rsid w:val="0011768E"/>
    <w:rsid w:val="0011784F"/>
    <w:rsid w:val="00117CAD"/>
    <w:rsid w:val="00117F04"/>
    <w:rsid w:val="001200CE"/>
    <w:rsid w:val="00120236"/>
    <w:rsid w:val="00120BD3"/>
    <w:rsid w:val="00120BE0"/>
    <w:rsid w:val="001210A0"/>
    <w:rsid w:val="00121242"/>
    <w:rsid w:val="001218C0"/>
    <w:rsid w:val="00121DAB"/>
    <w:rsid w:val="001223D5"/>
    <w:rsid w:val="00122AE3"/>
    <w:rsid w:val="00122EE1"/>
    <w:rsid w:val="00122F91"/>
    <w:rsid w:val="00123038"/>
    <w:rsid w:val="00123658"/>
    <w:rsid w:val="001237AF"/>
    <w:rsid w:val="0012468C"/>
    <w:rsid w:val="001247EB"/>
    <w:rsid w:val="00124F3C"/>
    <w:rsid w:val="00124FDA"/>
    <w:rsid w:val="00125B61"/>
    <w:rsid w:val="00125E41"/>
    <w:rsid w:val="00126122"/>
    <w:rsid w:val="00126983"/>
    <w:rsid w:val="0012758D"/>
    <w:rsid w:val="00127597"/>
    <w:rsid w:val="00130C5E"/>
    <w:rsid w:val="00130D0D"/>
    <w:rsid w:val="00130E9F"/>
    <w:rsid w:val="001317E3"/>
    <w:rsid w:val="00131D45"/>
    <w:rsid w:val="00131FA3"/>
    <w:rsid w:val="001320F0"/>
    <w:rsid w:val="00132E66"/>
    <w:rsid w:val="001336E0"/>
    <w:rsid w:val="00133F34"/>
    <w:rsid w:val="0013439D"/>
    <w:rsid w:val="00134752"/>
    <w:rsid w:val="00134B65"/>
    <w:rsid w:val="00135155"/>
    <w:rsid w:val="00135273"/>
    <w:rsid w:val="00135FC9"/>
    <w:rsid w:val="00136A72"/>
    <w:rsid w:val="0013701F"/>
    <w:rsid w:val="0013708C"/>
    <w:rsid w:val="001372E5"/>
    <w:rsid w:val="001373EC"/>
    <w:rsid w:val="00137754"/>
    <w:rsid w:val="001401C6"/>
    <w:rsid w:val="0014078E"/>
    <w:rsid w:val="00140A7D"/>
    <w:rsid w:val="00140EF1"/>
    <w:rsid w:val="00141901"/>
    <w:rsid w:val="0014227E"/>
    <w:rsid w:val="0014280D"/>
    <w:rsid w:val="001429AC"/>
    <w:rsid w:val="0014331F"/>
    <w:rsid w:val="00143478"/>
    <w:rsid w:val="00143F2F"/>
    <w:rsid w:val="00143FE6"/>
    <w:rsid w:val="001443BD"/>
    <w:rsid w:val="00144453"/>
    <w:rsid w:val="0014569E"/>
    <w:rsid w:val="00145F25"/>
    <w:rsid w:val="00146624"/>
    <w:rsid w:val="00146E18"/>
    <w:rsid w:val="001470B6"/>
    <w:rsid w:val="00147124"/>
    <w:rsid w:val="0014794B"/>
    <w:rsid w:val="0015027A"/>
    <w:rsid w:val="001502C0"/>
    <w:rsid w:val="00150376"/>
    <w:rsid w:val="00150518"/>
    <w:rsid w:val="0015067B"/>
    <w:rsid w:val="00150CF3"/>
    <w:rsid w:val="001511EF"/>
    <w:rsid w:val="001512D8"/>
    <w:rsid w:val="00151DBD"/>
    <w:rsid w:val="00151F40"/>
    <w:rsid w:val="0015218C"/>
    <w:rsid w:val="0015225A"/>
    <w:rsid w:val="00152A89"/>
    <w:rsid w:val="001531D6"/>
    <w:rsid w:val="001531DF"/>
    <w:rsid w:val="00153334"/>
    <w:rsid w:val="00153DA6"/>
    <w:rsid w:val="001545AA"/>
    <w:rsid w:val="00154B7B"/>
    <w:rsid w:val="00154C9B"/>
    <w:rsid w:val="00155434"/>
    <w:rsid w:val="00155451"/>
    <w:rsid w:val="00155BDA"/>
    <w:rsid w:val="00155ED1"/>
    <w:rsid w:val="00156242"/>
    <w:rsid w:val="00156FA7"/>
    <w:rsid w:val="00157867"/>
    <w:rsid w:val="00157B9B"/>
    <w:rsid w:val="00157CEE"/>
    <w:rsid w:val="00160208"/>
    <w:rsid w:val="0016023A"/>
    <w:rsid w:val="00160B83"/>
    <w:rsid w:val="0016164C"/>
    <w:rsid w:val="00162328"/>
    <w:rsid w:val="001626C0"/>
    <w:rsid w:val="00162BE2"/>
    <w:rsid w:val="00162DBF"/>
    <w:rsid w:val="00162E19"/>
    <w:rsid w:val="001633EC"/>
    <w:rsid w:val="001636AA"/>
    <w:rsid w:val="0016391C"/>
    <w:rsid w:val="00163A9A"/>
    <w:rsid w:val="00164AA7"/>
    <w:rsid w:val="00164CF8"/>
    <w:rsid w:val="001653AE"/>
    <w:rsid w:val="00165860"/>
    <w:rsid w:val="00165E36"/>
    <w:rsid w:val="00166447"/>
    <w:rsid w:val="001671BD"/>
    <w:rsid w:val="001673E3"/>
    <w:rsid w:val="001678D1"/>
    <w:rsid w:val="001706C1"/>
    <w:rsid w:val="00170D5B"/>
    <w:rsid w:val="00171CE2"/>
    <w:rsid w:val="00171DD0"/>
    <w:rsid w:val="00171EE4"/>
    <w:rsid w:val="00171FCF"/>
    <w:rsid w:val="00172395"/>
    <w:rsid w:val="00172B8F"/>
    <w:rsid w:val="00173254"/>
    <w:rsid w:val="001733F2"/>
    <w:rsid w:val="001736F8"/>
    <w:rsid w:val="00173B2D"/>
    <w:rsid w:val="00173D24"/>
    <w:rsid w:val="00173D85"/>
    <w:rsid w:val="00173F5F"/>
    <w:rsid w:val="001745A1"/>
    <w:rsid w:val="0017466E"/>
    <w:rsid w:val="00174FD4"/>
    <w:rsid w:val="00175162"/>
    <w:rsid w:val="0017539B"/>
    <w:rsid w:val="00175E2B"/>
    <w:rsid w:val="00175F9F"/>
    <w:rsid w:val="001776BE"/>
    <w:rsid w:val="00180400"/>
    <w:rsid w:val="001804E5"/>
    <w:rsid w:val="00180CAD"/>
    <w:rsid w:val="001812C0"/>
    <w:rsid w:val="0018334E"/>
    <w:rsid w:val="00183CFC"/>
    <w:rsid w:val="0018489E"/>
    <w:rsid w:val="0018490E"/>
    <w:rsid w:val="00184BAE"/>
    <w:rsid w:val="00184CF3"/>
    <w:rsid w:val="00184F45"/>
    <w:rsid w:val="001855B3"/>
    <w:rsid w:val="001868D2"/>
    <w:rsid w:val="00186ACD"/>
    <w:rsid w:val="00186DB1"/>
    <w:rsid w:val="0018704F"/>
    <w:rsid w:val="00187183"/>
    <w:rsid w:val="001874BB"/>
    <w:rsid w:val="00187615"/>
    <w:rsid w:val="00187DAC"/>
    <w:rsid w:val="00187DEE"/>
    <w:rsid w:val="00187E47"/>
    <w:rsid w:val="00187ECD"/>
    <w:rsid w:val="00187F67"/>
    <w:rsid w:val="00187F70"/>
    <w:rsid w:val="00191231"/>
    <w:rsid w:val="001915E1"/>
    <w:rsid w:val="00191909"/>
    <w:rsid w:val="00191EBB"/>
    <w:rsid w:val="001925B8"/>
    <w:rsid w:val="00192D0A"/>
    <w:rsid w:val="00193042"/>
    <w:rsid w:val="001931F8"/>
    <w:rsid w:val="00193358"/>
    <w:rsid w:val="0019335A"/>
    <w:rsid w:val="0019362A"/>
    <w:rsid w:val="00193C1A"/>
    <w:rsid w:val="00193C6B"/>
    <w:rsid w:val="001944C2"/>
    <w:rsid w:val="0019474E"/>
    <w:rsid w:val="001947DB"/>
    <w:rsid w:val="00195728"/>
    <w:rsid w:val="00195861"/>
    <w:rsid w:val="00195CA6"/>
    <w:rsid w:val="00196AD3"/>
    <w:rsid w:val="00196B13"/>
    <w:rsid w:val="00196B73"/>
    <w:rsid w:val="00196C97"/>
    <w:rsid w:val="001970C0"/>
    <w:rsid w:val="00197B55"/>
    <w:rsid w:val="001A05F5"/>
    <w:rsid w:val="001A1200"/>
    <w:rsid w:val="001A190E"/>
    <w:rsid w:val="001A1CB7"/>
    <w:rsid w:val="001A2127"/>
    <w:rsid w:val="001A268B"/>
    <w:rsid w:val="001A35F0"/>
    <w:rsid w:val="001A3999"/>
    <w:rsid w:val="001A3B3E"/>
    <w:rsid w:val="001A420B"/>
    <w:rsid w:val="001A4B97"/>
    <w:rsid w:val="001A4CC8"/>
    <w:rsid w:val="001A4F7D"/>
    <w:rsid w:val="001A4FE5"/>
    <w:rsid w:val="001A5B5C"/>
    <w:rsid w:val="001A65EA"/>
    <w:rsid w:val="001A70C0"/>
    <w:rsid w:val="001A72FF"/>
    <w:rsid w:val="001A7484"/>
    <w:rsid w:val="001A7752"/>
    <w:rsid w:val="001A7B42"/>
    <w:rsid w:val="001A7CB1"/>
    <w:rsid w:val="001A7D8F"/>
    <w:rsid w:val="001A7EF4"/>
    <w:rsid w:val="001B00FA"/>
    <w:rsid w:val="001B0F8A"/>
    <w:rsid w:val="001B1035"/>
    <w:rsid w:val="001B1122"/>
    <w:rsid w:val="001B165A"/>
    <w:rsid w:val="001B2A97"/>
    <w:rsid w:val="001B2CD4"/>
    <w:rsid w:val="001B2E61"/>
    <w:rsid w:val="001B3D35"/>
    <w:rsid w:val="001B3DBC"/>
    <w:rsid w:val="001B3F8C"/>
    <w:rsid w:val="001B530C"/>
    <w:rsid w:val="001B549A"/>
    <w:rsid w:val="001B54CE"/>
    <w:rsid w:val="001B59F1"/>
    <w:rsid w:val="001B6292"/>
    <w:rsid w:val="001B6AE9"/>
    <w:rsid w:val="001B6CAB"/>
    <w:rsid w:val="001B6F38"/>
    <w:rsid w:val="001B72D7"/>
    <w:rsid w:val="001B7329"/>
    <w:rsid w:val="001B77DA"/>
    <w:rsid w:val="001C03D6"/>
    <w:rsid w:val="001C0DBD"/>
    <w:rsid w:val="001C174A"/>
    <w:rsid w:val="001C1D05"/>
    <w:rsid w:val="001C2549"/>
    <w:rsid w:val="001C26BE"/>
    <w:rsid w:val="001C2A48"/>
    <w:rsid w:val="001C2CB5"/>
    <w:rsid w:val="001C2CFF"/>
    <w:rsid w:val="001C313F"/>
    <w:rsid w:val="001C37C4"/>
    <w:rsid w:val="001C3A55"/>
    <w:rsid w:val="001C42E1"/>
    <w:rsid w:val="001C471A"/>
    <w:rsid w:val="001C4D42"/>
    <w:rsid w:val="001C4F4D"/>
    <w:rsid w:val="001C56A1"/>
    <w:rsid w:val="001C5B7B"/>
    <w:rsid w:val="001C5C79"/>
    <w:rsid w:val="001C6084"/>
    <w:rsid w:val="001C658A"/>
    <w:rsid w:val="001C69E3"/>
    <w:rsid w:val="001C6B81"/>
    <w:rsid w:val="001C6DFD"/>
    <w:rsid w:val="001C6F07"/>
    <w:rsid w:val="001C7348"/>
    <w:rsid w:val="001C7817"/>
    <w:rsid w:val="001C78E7"/>
    <w:rsid w:val="001C7B21"/>
    <w:rsid w:val="001D0A05"/>
    <w:rsid w:val="001D0AD0"/>
    <w:rsid w:val="001D0D5A"/>
    <w:rsid w:val="001D1339"/>
    <w:rsid w:val="001D1343"/>
    <w:rsid w:val="001D3054"/>
    <w:rsid w:val="001D327C"/>
    <w:rsid w:val="001D32C0"/>
    <w:rsid w:val="001D3413"/>
    <w:rsid w:val="001D3A64"/>
    <w:rsid w:val="001D3FDC"/>
    <w:rsid w:val="001D41C1"/>
    <w:rsid w:val="001D4289"/>
    <w:rsid w:val="001D4EB9"/>
    <w:rsid w:val="001D4FC0"/>
    <w:rsid w:val="001D52CB"/>
    <w:rsid w:val="001D55E5"/>
    <w:rsid w:val="001D5647"/>
    <w:rsid w:val="001D5793"/>
    <w:rsid w:val="001D5A73"/>
    <w:rsid w:val="001D5B59"/>
    <w:rsid w:val="001D5B81"/>
    <w:rsid w:val="001D5FE7"/>
    <w:rsid w:val="001D685C"/>
    <w:rsid w:val="001D74A7"/>
    <w:rsid w:val="001D7648"/>
    <w:rsid w:val="001D7CD0"/>
    <w:rsid w:val="001E0489"/>
    <w:rsid w:val="001E0ACE"/>
    <w:rsid w:val="001E0D31"/>
    <w:rsid w:val="001E0F05"/>
    <w:rsid w:val="001E152C"/>
    <w:rsid w:val="001E15F2"/>
    <w:rsid w:val="001E176D"/>
    <w:rsid w:val="001E1C5E"/>
    <w:rsid w:val="001E1C60"/>
    <w:rsid w:val="001E1DEB"/>
    <w:rsid w:val="001E1EA3"/>
    <w:rsid w:val="001E1F47"/>
    <w:rsid w:val="001E1FF4"/>
    <w:rsid w:val="001E22F7"/>
    <w:rsid w:val="001E2ECB"/>
    <w:rsid w:val="001E4074"/>
    <w:rsid w:val="001E447E"/>
    <w:rsid w:val="001E465F"/>
    <w:rsid w:val="001E4AD7"/>
    <w:rsid w:val="001E5097"/>
    <w:rsid w:val="001E50B8"/>
    <w:rsid w:val="001E56CF"/>
    <w:rsid w:val="001E5EC9"/>
    <w:rsid w:val="001E66C3"/>
    <w:rsid w:val="001E6EC9"/>
    <w:rsid w:val="001E6FC0"/>
    <w:rsid w:val="001E73DD"/>
    <w:rsid w:val="001F03C9"/>
    <w:rsid w:val="001F0FB4"/>
    <w:rsid w:val="001F1170"/>
    <w:rsid w:val="001F1CB4"/>
    <w:rsid w:val="001F1CBE"/>
    <w:rsid w:val="001F2902"/>
    <w:rsid w:val="001F291F"/>
    <w:rsid w:val="001F2E94"/>
    <w:rsid w:val="001F3370"/>
    <w:rsid w:val="001F3F36"/>
    <w:rsid w:val="001F4A30"/>
    <w:rsid w:val="001F4ECE"/>
    <w:rsid w:val="001F55CC"/>
    <w:rsid w:val="001F56D4"/>
    <w:rsid w:val="001F5EB2"/>
    <w:rsid w:val="001F658C"/>
    <w:rsid w:val="001F675C"/>
    <w:rsid w:val="001F6F44"/>
    <w:rsid w:val="001F6FAF"/>
    <w:rsid w:val="001F7563"/>
    <w:rsid w:val="001F7565"/>
    <w:rsid w:val="001F781D"/>
    <w:rsid w:val="00200C50"/>
    <w:rsid w:val="00201498"/>
    <w:rsid w:val="00201503"/>
    <w:rsid w:val="00202B6E"/>
    <w:rsid w:val="00202E01"/>
    <w:rsid w:val="00203119"/>
    <w:rsid w:val="00203475"/>
    <w:rsid w:val="00203B4C"/>
    <w:rsid w:val="00203FBE"/>
    <w:rsid w:val="00204EB7"/>
    <w:rsid w:val="00204EF8"/>
    <w:rsid w:val="002050A4"/>
    <w:rsid w:val="002050C7"/>
    <w:rsid w:val="002065F0"/>
    <w:rsid w:val="002066B0"/>
    <w:rsid w:val="0020748C"/>
    <w:rsid w:val="002075B5"/>
    <w:rsid w:val="00207F59"/>
    <w:rsid w:val="002102F2"/>
    <w:rsid w:val="00210311"/>
    <w:rsid w:val="00210C77"/>
    <w:rsid w:val="00211D6E"/>
    <w:rsid w:val="00211DC3"/>
    <w:rsid w:val="002121B4"/>
    <w:rsid w:val="002125FB"/>
    <w:rsid w:val="0021271D"/>
    <w:rsid w:val="0021322B"/>
    <w:rsid w:val="00213AC9"/>
    <w:rsid w:val="002145FB"/>
    <w:rsid w:val="00214BDC"/>
    <w:rsid w:val="00214E3D"/>
    <w:rsid w:val="002155B6"/>
    <w:rsid w:val="002157E4"/>
    <w:rsid w:val="00215AFB"/>
    <w:rsid w:val="00215DEA"/>
    <w:rsid w:val="00215EFA"/>
    <w:rsid w:val="002167FE"/>
    <w:rsid w:val="00216917"/>
    <w:rsid w:val="00216D32"/>
    <w:rsid w:val="00216D89"/>
    <w:rsid w:val="00217A82"/>
    <w:rsid w:val="002200D8"/>
    <w:rsid w:val="002205D3"/>
    <w:rsid w:val="002223CA"/>
    <w:rsid w:val="00222E7B"/>
    <w:rsid w:val="002233DA"/>
    <w:rsid w:val="00223664"/>
    <w:rsid w:val="00223A56"/>
    <w:rsid w:val="00224782"/>
    <w:rsid w:val="00224C71"/>
    <w:rsid w:val="00224DB5"/>
    <w:rsid w:val="002257DA"/>
    <w:rsid w:val="00225833"/>
    <w:rsid w:val="00225DD9"/>
    <w:rsid w:val="00226095"/>
    <w:rsid w:val="00226443"/>
    <w:rsid w:val="0022681F"/>
    <w:rsid w:val="00226CAD"/>
    <w:rsid w:val="00226CCE"/>
    <w:rsid w:val="00227022"/>
    <w:rsid w:val="002273CB"/>
    <w:rsid w:val="00227447"/>
    <w:rsid w:val="00227B89"/>
    <w:rsid w:val="00227D5E"/>
    <w:rsid w:val="00227F43"/>
    <w:rsid w:val="0023029B"/>
    <w:rsid w:val="00230438"/>
    <w:rsid w:val="00230A8C"/>
    <w:rsid w:val="00230E53"/>
    <w:rsid w:val="0023154A"/>
    <w:rsid w:val="00231ECF"/>
    <w:rsid w:val="00232639"/>
    <w:rsid w:val="00232AF1"/>
    <w:rsid w:val="00232C07"/>
    <w:rsid w:val="00232F73"/>
    <w:rsid w:val="002332B4"/>
    <w:rsid w:val="00233422"/>
    <w:rsid w:val="00233438"/>
    <w:rsid w:val="00233599"/>
    <w:rsid w:val="00233BA2"/>
    <w:rsid w:val="00234640"/>
    <w:rsid w:val="00234D1F"/>
    <w:rsid w:val="00234E8E"/>
    <w:rsid w:val="0023510E"/>
    <w:rsid w:val="0023567F"/>
    <w:rsid w:val="00235934"/>
    <w:rsid w:val="002359DB"/>
    <w:rsid w:val="00235D18"/>
    <w:rsid w:val="00236DC5"/>
    <w:rsid w:val="00237C52"/>
    <w:rsid w:val="00240106"/>
    <w:rsid w:val="00240AC0"/>
    <w:rsid w:val="002411C7"/>
    <w:rsid w:val="002415A6"/>
    <w:rsid w:val="002415D7"/>
    <w:rsid w:val="00241DA9"/>
    <w:rsid w:val="00241DB7"/>
    <w:rsid w:val="00241F61"/>
    <w:rsid w:val="00242732"/>
    <w:rsid w:val="00242EA0"/>
    <w:rsid w:val="00242F4E"/>
    <w:rsid w:val="00243F1D"/>
    <w:rsid w:val="00244172"/>
    <w:rsid w:val="00244F75"/>
    <w:rsid w:val="002452A0"/>
    <w:rsid w:val="00245AAD"/>
    <w:rsid w:val="002463A6"/>
    <w:rsid w:val="00246627"/>
    <w:rsid w:val="00246ADB"/>
    <w:rsid w:val="00246BA3"/>
    <w:rsid w:val="00250355"/>
    <w:rsid w:val="00250503"/>
    <w:rsid w:val="00250941"/>
    <w:rsid w:val="00250AFE"/>
    <w:rsid w:val="0025102B"/>
    <w:rsid w:val="0025135E"/>
    <w:rsid w:val="00251420"/>
    <w:rsid w:val="002517A5"/>
    <w:rsid w:val="002517BD"/>
    <w:rsid w:val="002519A3"/>
    <w:rsid w:val="00251F6C"/>
    <w:rsid w:val="0025249C"/>
    <w:rsid w:val="002528DD"/>
    <w:rsid w:val="00252943"/>
    <w:rsid w:val="002539ED"/>
    <w:rsid w:val="00253FD8"/>
    <w:rsid w:val="0025440D"/>
    <w:rsid w:val="0025450E"/>
    <w:rsid w:val="002546FE"/>
    <w:rsid w:val="00254838"/>
    <w:rsid w:val="00254A6F"/>
    <w:rsid w:val="00254AFD"/>
    <w:rsid w:val="00254EF1"/>
    <w:rsid w:val="00255152"/>
    <w:rsid w:val="0025522D"/>
    <w:rsid w:val="0025554E"/>
    <w:rsid w:val="00255CF4"/>
    <w:rsid w:val="00256484"/>
    <w:rsid w:val="00256F5E"/>
    <w:rsid w:val="0025709B"/>
    <w:rsid w:val="00257C6A"/>
    <w:rsid w:val="00260376"/>
    <w:rsid w:val="0026074B"/>
    <w:rsid w:val="002609EC"/>
    <w:rsid w:val="00261029"/>
    <w:rsid w:val="00261286"/>
    <w:rsid w:val="002613BD"/>
    <w:rsid w:val="00261629"/>
    <w:rsid w:val="0026177E"/>
    <w:rsid w:val="002618C0"/>
    <w:rsid w:val="00261997"/>
    <w:rsid w:val="00261A83"/>
    <w:rsid w:val="00261DA7"/>
    <w:rsid w:val="00262496"/>
    <w:rsid w:val="002627D7"/>
    <w:rsid w:val="00262886"/>
    <w:rsid w:val="0026376C"/>
    <w:rsid w:val="002638F4"/>
    <w:rsid w:val="00263D09"/>
    <w:rsid w:val="00264396"/>
    <w:rsid w:val="00264647"/>
    <w:rsid w:val="00264A86"/>
    <w:rsid w:val="00264E2D"/>
    <w:rsid w:val="00265A54"/>
    <w:rsid w:val="00266031"/>
    <w:rsid w:val="002661BC"/>
    <w:rsid w:val="00266C65"/>
    <w:rsid w:val="00270254"/>
    <w:rsid w:val="002715B9"/>
    <w:rsid w:val="0027160C"/>
    <w:rsid w:val="00272683"/>
    <w:rsid w:val="0027288C"/>
    <w:rsid w:val="00272FE6"/>
    <w:rsid w:val="00273EB5"/>
    <w:rsid w:val="002741EC"/>
    <w:rsid w:val="00274566"/>
    <w:rsid w:val="00274F2C"/>
    <w:rsid w:val="0027506C"/>
    <w:rsid w:val="00275181"/>
    <w:rsid w:val="002751D1"/>
    <w:rsid w:val="00275209"/>
    <w:rsid w:val="0027560A"/>
    <w:rsid w:val="00276428"/>
    <w:rsid w:val="00276597"/>
    <w:rsid w:val="00277B08"/>
    <w:rsid w:val="00277D44"/>
    <w:rsid w:val="00277FA2"/>
    <w:rsid w:val="0028001E"/>
    <w:rsid w:val="00280C1F"/>
    <w:rsid w:val="00281165"/>
    <w:rsid w:val="002826BB"/>
    <w:rsid w:val="002826DF"/>
    <w:rsid w:val="00282959"/>
    <w:rsid w:val="002832AA"/>
    <w:rsid w:val="0028363D"/>
    <w:rsid w:val="00284340"/>
    <w:rsid w:val="002844B6"/>
    <w:rsid w:val="00285867"/>
    <w:rsid w:val="00286B5E"/>
    <w:rsid w:val="00286BF9"/>
    <w:rsid w:val="0028719C"/>
    <w:rsid w:val="00287415"/>
    <w:rsid w:val="00287E78"/>
    <w:rsid w:val="0029001D"/>
    <w:rsid w:val="00290189"/>
    <w:rsid w:val="002904C4"/>
    <w:rsid w:val="00290676"/>
    <w:rsid w:val="002908B1"/>
    <w:rsid w:val="00290E73"/>
    <w:rsid w:val="00291338"/>
    <w:rsid w:val="00291462"/>
    <w:rsid w:val="00291572"/>
    <w:rsid w:val="002917D5"/>
    <w:rsid w:val="00291ADC"/>
    <w:rsid w:val="00292131"/>
    <w:rsid w:val="00292388"/>
    <w:rsid w:val="00292978"/>
    <w:rsid w:val="002929BC"/>
    <w:rsid w:val="00292C2E"/>
    <w:rsid w:val="0029332F"/>
    <w:rsid w:val="00293E4F"/>
    <w:rsid w:val="00293F7B"/>
    <w:rsid w:val="0029418F"/>
    <w:rsid w:val="0029442B"/>
    <w:rsid w:val="00294D2A"/>
    <w:rsid w:val="00295B30"/>
    <w:rsid w:val="002964B1"/>
    <w:rsid w:val="00296D2F"/>
    <w:rsid w:val="002A04B4"/>
    <w:rsid w:val="002A063B"/>
    <w:rsid w:val="002A1195"/>
    <w:rsid w:val="002A145B"/>
    <w:rsid w:val="002A18BE"/>
    <w:rsid w:val="002A2353"/>
    <w:rsid w:val="002A2E46"/>
    <w:rsid w:val="002A32C9"/>
    <w:rsid w:val="002A36F6"/>
    <w:rsid w:val="002A4084"/>
    <w:rsid w:val="002A4199"/>
    <w:rsid w:val="002A42D6"/>
    <w:rsid w:val="002A4312"/>
    <w:rsid w:val="002A4AD6"/>
    <w:rsid w:val="002A4AF9"/>
    <w:rsid w:val="002A4B1C"/>
    <w:rsid w:val="002A4FC8"/>
    <w:rsid w:val="002A51AA"/>
    <w:rsid w:val="002A53BE"/>
    <w:rsid w:val="002A55BB"/>
    <w:rsid w:val="002A56D2"/>
    <w:rsid w:val="002A592A"/>
    <w:rsid w:val="002A5C9E"/>
    <w:rsid w:val="002A5D05"/>
    <w:rsid w:val="002A6479"/>
    <w:rsid w:val="002A6AF9"/>
    <w:rsid w:val="002A7196"/>
    <w:rsid w:val="002A7206"/>
    <w:rsid w:val="002A7607"/>
    <w:rsid w:val="002A76AE"/>
    <w:rsid w:val="002A79EE"/>
    <w:rsid w:val="002A7FFC"/>
    <w:rsid w:val="002B0C49"/>
    <w:rsid w:val="002B1384"/>
    <w:rsid w:val="002B1426"/>
    <w:rsid w:val="002B1779"/>
    <w:rsid w:val="002B18ED"/>
    <w:rsid w:val="002B2303"/>
    <w:rsid w:val="002B2F01"/>
    <w:rsid w:val="002B3681"/>
    <w:rsid w:val="002B3A40"/>
    <w:rsid w:val="002B3FF3"/>
    <w:rsid w:val="002B4543"/>
    <w:rsid w:val="002B484C"/>
    <w:rsid w:val="002B4A6D"/>
    <w:rsid w:val="002B5065"/>
    <w:rsid w:val="002B592A"/>
    <w:rsid w:val="002B667C"/>
    <w:rsid w:val="002B6D4F"/>
    <w:rsid w:val="002B75A9"/>
    <w:rsid w:val="002B77F0"/>
    <w:rsid w:val="002B7BE8"/>
    <w:rsid w:val="002C0A26"/>
    <w:rsid w:val="002C0C06"/>
    <w:rsid w:val="002C0EEB"/>
    <w:rsid w:val="002C1034"/>
    <w:rsid w:val="002C11CA"/>
    <w:rsid w:val="002C160D"/>
    <w:rsid w:val="002C278B"/>
    <w:rsid w:val="002C286B"/>
    <w:rsid w:val="002C359A"/>
    <w:rsid w:val="002C364C"/>
    <w:rsid w:val="002C3C2C"/>
    <w:rsid w:val="002C4046"/>
    <w:rsid w:val="002C45E8"/>
    <w:rsid w:val="002C497D"/>
    <w:rsid w:val="002C5B26"/>
    <w:rsid w:val="002C6E17"/>
    <w:rsid w:val="002C6F23"/>
    <w:rsid w:val="002C70CE"/>
    <w:rsid w:val="002C7F52"/>
    <w:rsid w:val="002D16D6"/>
    <w:rsid w:val="002D19DA"/>
    <w:rsid w:val="002D1FA9"/>
    <w:rsid w:val="002D21DF"/>
    <w:rsid w:val="002D29ED"/>
    <w:rsid w:val="002D3311"/>
    <w:rsid w:val="002D34F8"/>
    <w:rsid w:val="002D393D"/>
    <w:rsid w:val="002D39F9"/>
    <w:rsid w:val="002D3AC6"/>
    <w:rsid w:val="002D3E78"/>
    <w:rsid w:val="002D43D0"/>
    <w:rsid w:val="002D4566"/>
    <w:rsid w:val="002D4F13"/>
    <w:rsid w:val="002D4F9A"/>
    <w:rsid w:val="002D5097"/>
    <w:rsid w:val="002D50DD"/>
    <w:rsid w:val="002D5336"/>
    <w:rsid w:val="002D55E4"/>
    <w:rsid w:val="002D5E89"/>
    <w:rsid w:val="002D690D"/>
    <w:rsid w:val="002D6C84"/>
    <w:rsid w:val="002D6CD1"/>
    <w:rsid w:val="002D711C"/>
    <w:rsid w:val="002D7279"/>
    <w:rsid w:val="002D7FF2"/>
    <w:rsid w:val="002E0076"/>
    <w:rsid w:val="002E072F"/>
    <w:rsid w:val="002E1C5F"/>
    <w:rsid w:val="002E1DF2"/>
    <w:rsid w:val="002E2033"/>
    <w:rsid w:val="002E2248"/>
    <w:rsid w:val="002E24B1"/>
    <w:rsid w:val="002E29AB"/>
    <w:rsid w:val="002E2B3F"/>
    <w:rsid w:val="002E3596"/>
    <w:rsid w:val="002E366A"/>
    <w:rsid w:val="002E44FE"/>
    <w:rsid w:val="002E4AA2"/>
    <w:rsid w:val="002E5522"/>
    <w:rsid w:val="002E5FA8"/>
    <w:rsid w:val="002E6342"/>
    <w:rsid w:val="002E63BE"/>
    <w:rsid w:val="002E6552"/>
    <w:rsid w:val="002E6F2C"/>
    <w:rsid w:val="002E7775"/>
    <w:rsid w:val="002E7AD2"/>
    <w:rsid w:val="002F01D5"/>
    <w:rsid w:val="002F0DE2"/>
    <w:rsid w:val="002F12B2"/>
    <w:rsid w:val="002F1358"/>
    <w:rsid w:val="002F1399"/>
    <w:rsid w:val="002F14FB"/>
    <w:rsid w:val="002F153D"/>
    <w:rsid w:val="002F1F5B"/>
    <w:rsid w:val="002F266D"/>
    <w:rsid w:val="002F2746"/>
    <w:rsid w:val="002F2E6C"/>
    <w:rsid w:val="002F2F4A"/>
    <w:rsid w:val="002F3063"/>
    <w:rsid w:val="002F31A0"/>
    <w:rsid w:val="002F32FB"/>
    <w:rsid w:val="002F36B6"/>
    <w:rsid w:val="002F3D55"/>
    <w:rsid w:val="002F3E23"/>
    <w:rsid w:val="002F48A3"/>
    <w:rsid w:val="002F4B65"/>
    <w:rsid w:val="002F4EEB"/>
    <w:rsid w:val="002F5611"/>
    <w:rsid w:val="002F56F7"/>
    <w:rsid w:val="002F5F5E"/>
    <w:rsid w:val="002F5F85"/>
    <w:rsid w:val="002F6154"/>
    <w:rsid w:val="002F6208"/>
    <w:rsid w:val="002F693F"/>
    <w:rsid w:val="002F7604"/>
    <w:rsid w:val="002F769F"/>
    <w:rsid w:val="00300325"/>
    <w:rsid w:val="00300870"/>
    <w:rsid w:val="003008CC"/>
    <w:rsid w:val="00300E4F"/>
    <w:rsid w:val="00300F43"/>
    <w:rsid w:val="003010D8"/>
    <w:rsid w:val="00301763"/>
    <w:rsid w:val="00301AC7"/>
    <w:rsid w:val="00302252"/>
    <w:rsid w:val="0030228F"/>
    <w:rsid w:val="0030230A"/>
    <w:rsid w:val="0030234E"/>
    <w:rsid w:val="00302731"/>
    <w:rsid w:val="003027B3"/>
    <w:rsid w:val="00302A9A"/>
    <w:rsid w:val="00302E1D"/>
    <w:rsid w:val="00303646"/>
    <w:rsid w:val="003038A7"/>
    <w:rsid w:val="00303B59"/>
    <w:rsid w:val="00303C60"/>
    <w:rsid w:val="003042E8"/>
    <w:rsid w:val="00304646"/>
    <w:rsid w:val="00304FB8"/>
    <w:rsid w:val="00305095"/>
    <w:rsid w:val="003057FF"/>
    <w:rsid w:val="00305C66"/>
    <w:rsid w:val="00306494"/>
    <w:rsid w:val="00306B02"/>
    <w:rsid w:val="00306B9E"/>
    <w:rsid w:val="00307299"/>
    <w:rsid w:val="003078B5"/>
    <w:rsid w:val="003079B8"/>
    <w:rsid w:val="00310162"/>
    <w:rsid w:val="0031043B"/>
    <w:rsid w:val="00310B9B"/>
    <w:rsid w:val="00310C3F"/>
    <w:rsid w:val="00311257"/>
    <w:rsid w:val="00311397"/>
    <w:rsid w:val="00311664"/>
    <w:rsid w:val="00311C28"/>
    <w:rsid w:val="00311C77"/>
    <w:rsid w:val="0031274A"/>
    <w:rsid w:val="003138CE"/>
    <w:rsid w:val="00313D7B"/>
    <w:rsid w:val="0031406A"/>
    <w:rsid w:val="003140D2"/>
    <w:rsid w:val="00314744"/>
    <w:rsid w:val="003152C0"/>
    <w:rsid w:val="003155CD"/>
    <w:rsid w:val="00315A60"/>
    <w:rsid w:val="0031687C"/>
    <w:rsid w:val="00316E64"/>
    <w:rsid w:val="00317714"/>
    <w:rsid w:val="00317CB9"/>
    <w:rsid w:val="00317DC2"/>
    <w:rsid w:val="0032002F"/>
    <w:rsid w:val="003205C1"/>
    <w:rsid w:val="00320A17"/>
    <w:rsid w:val="00320ABC"/>
    <w:rsid w:val="00320D19"/>
    <w:rsid w:val="00320DB5"/>
    <w:rsid w:val="00321A51"/>
    <w:rsid w:val="00321E85"/>
    <w:rsid w:val="00322127"/>
    <w:rsid w:val="003221C2"/>
    <w:rsid w:val="0032258E"/>
    <w:rsid w:val="00322BC6"/>
    <w:rsid w:val="00322DA9"/>
    <w:rsid w:val="0032389E"/>
    <w:rsid w:val="00323AF6"/>
    <w:rsid w:val="00323C55"/>
    <w:rsid w:val="00323EAC"/>
    <w:rsid w:val="00324829"/>
    <w:rsid w:val="00324CCC"/>
    <w:rsid w:val="00324EBC"/>
    <w:rsid w:val="003251C2"/>
    <w:rsid w:val="0032543B"/>
    <w:rsid w:val="00325474"/>
    <w:rsid w:val="00325F0E"/>
    <w:rsid w:val="00325FA0"/>
    <w:rsid w:val="003261A1"/>
    <w:rsid w:val="00326238"/>
    <w:rsid w:val="0032644A"/>
    <w:rsid w:val="00326844"/>
    <w:rsid w:val="00326F1C"/>
    <w:rsid w:val="00327162"/>
    <w:rsid w:val="00327680"/>
    <w:rsid w:val="00327B41"/>
    <w:rsid w:val="00327CD1"/>
    <w:rsid w:val="00330A0A"/>
    <w:rsid w:val="0033102B"/>
    <w:rsid w:val="00331120"/>
    <w:rsid w:val="003311E6"/>
    <w:rsid w:val="00331348"/>
    <w:rsid w:val="00331D96"/>
    <w:rsid w:val="00332867"/>
    <w:rsid w:val="003328A9"/>
    <w:rsid w:val="00332E40"/>
    <w:rsid w:val="00332E62"/>
    <w:rsid w:val="0033345F"/>
    <w:rsid w:val="00333710"/>
    <w:rsid w:val="00333A74"/>
    <w:rsid w:val="00333CAA"/>
    <w:rsid w:val="00333F5F"/>
    <w:rsid w:val="003349DC"/>
    <w:rsid w:val="00334B62"/>
    <w:rsid w:val="003351ED"/>
    <w:rsid w:val="00335311"/>
    <w:rsid w:val="00335D74"/>
    <w:rsid w:val="0033659F"/>
    <w:rsid w:val="00336D04"/>
    <w:rsid w:val="003371B5"/>
    <w:rsid w:val="003379ED"/>
    <w:rsid w:val="00337BAF"/>
    <w:rsid w:val="00337C73"/>
    <w:rsid w:val="00337E81"/>
    <w:rsid w:val="00340341"/>
    <w:rsid w:val="00341373"/>
    <w:rsid w:val="003417CB"/>
    <w:rsid w:val="00341916"/>
    <w:rsid w:val="00341E14"/>
    <w:rsid w:val="00342088"/>
    <w:rsid w:val="003422D3"/>
    <w:rsid w:val="00342642"/>
    <w:rsid w:val="00342C31"/>
    <w:rsid w:val="003431C0"/>
    <w:rsid w:val="003435A9"/>
    <w:rsid w:val="003435B6"/>
    <w:rsid w:val="003437DC"/>
    <w:rsid w:val="00343827"/>
    <w:rsid w:val="00344649"/>
    <w:rsid w:val="00345107"/>
    <w:rsid w:val="003451FF"/>
    <w:rsid w:val="0034522A"/>
    <w:rsid w:val="00345496"/>
    <w:rsid w:val="003458C3"/>
    <w:rsid w:val="00345A25"/>
    <w:rsid w:val="00345BCF"/>
    <w:rsid w:val="00345D64"/>
    <w:rsid w:val="00345DE0"/>
    <w:rsid w:val="00345E67"/>
    <w:rsid w:val="003466F9"/>
    <w:rsid w:val="00346DA4"/>
    <w:rsid w:val="003474AF"/>
    <w:rsid w:val="0034766E"/>
    <w:rsid w:val="00347906"/>
    <w:rsid w:val="00350092"/>
    <w:rsid w:val="00350C45"/>
    <w:rsid w:val="00350DC8"/>
    <w:rsid w:val="00350F6B"/>
    <w:rsid w:val="00350FA4"/>
    <w:rsid w:val="00350FF5"/>
    <w:rsid w:val="0035141B"/>
    <w:rsid w:val="00351423"/>
    <w:rsid w:val="003519AD"/>
    <w:rsid w:val="00351AE4"/>
    <w:rsid w:val="00351E0E"/>
    <w:rsid w:val="00351F7F"/>
    <w:rsid w:val="0035248C"/>
    <w:rsid w:val="003528F9"/>
    <w:rsid w:val="00352B38"/>
    <w:rsid w:val="00352D3A"/>
    <w:rsid w:val="0035331B"/>
    <w:rsid w:val="0035389E"/>
    <w:rsid w:val="00354C0A"/>
    <w:rsid w:val="00354EB4"/>
    <w:rsid w:val="0035538E"/>
    <w:rsid w:val="00355612"/>
    <w:rsid w:val="00355B7F"/>
    <w:rsid w:val="00355E4B"/>
    <w:rsid w:val="00356025"/>
    <w:rsid w:val="003565FA"/>
    <w:rsid w:val="00356D29"/>
    <w:rsid w:val="003571C2"/>
    <w:rsid w:val="00357AB7"/>
    <w:rsid w:val="00357AD5"/>
    <w:rsid w:val="003603C2"/>
    <w:rsid w:val="00361DAE"/>
    <w:rsid w:val="00362425"/>
    <w:rsid w:val="00362FF1"/>
    <w:rsid w:val="00363112"/>
    <w:rsid w:val="003640A7"/>
    <w:rsid w:val="00364231"/>
    <w:rsid w:val="003646A8"/>
    <w:rsid w:val="00364CA1"/>
    <w:rsid w:val="00364FC3"/>
    <w:rsid w:val="00365381"/>
    <w:rsid w:val="0036538D"/>
    <w:rsid w:val="00365395"/>
    <w:rsid w:val="00365447"/>
    <w:rsid w:val="003656A0"/>
    <w:rsid w:val="003662B2"/>
    <w:rsid w:val="00366DD0"/>
    <w:rsid w:val="003671A9"/>
    <w:rsid w:val="003676A6"/>
    <w:rsid w:val="0036794E"/>
    <w:rsid w:val="00367A97"/>
    <w:rsid w:val="00367AE9"/>
    <w:rsid w:val="003700EA"/>
    <w:rsid w:val="00370E56"/>
    <w:rsid w:val="00371D36"/>
    <w:rsid w:val="003724F0"/>
    <w:rsid w:val="00372EB9"/>
    <w:rsid w:val="00374D56"/>
    <w:rsid w:val="00374DE5"/>
    <w:rsid w:val="003755C9"/>
    <w:rsid w:val="00375A24"/>
    <w:rsid w:val="00375A87"/>
    <w:rsid w:val="00375B7D"/>
    <w:rsid w:val="00376065"/>
    <w:rsid w:val="003762FD"/>
    <w:rsid w:val="0037744C"/>
    <w:rsid w:val="00377B66"/>
    <w:rsid w:val="00377EC6"/>
    <w:rsid w:val="00380687"/>
    <w:rsid w:val="00380B1B"/>
    <w:rsid w:val="00380C9D"/>
    <w:rsid w:val="00380CE7"/>
    <w:rsid w:val="00380E1B"/>
    <w:rsid w:val="0038146C"/>
    <w:rsid w:val="00382609"/>
    <w:rsid w:val="00382B35"/>
    <w:rsid w:val="00382B65"/>
    <w:rsid w:val="00383BF0"/>
    <w:rsid w:val="00383E10"/>
    <w:rsid w:val="003840E0"/>
    <w:rsid w:val="0038444C"/>
    <w:rsid w:val="0038453C"/>
    <w:rsid w:val="00384FED"/>
    <w:rsid w:val="0038545D"/>
    <w:rsid w:val="00385701"/>
    <w:rsid w:val="003860AE"/>
    <w:rsid w:val="00386124"/>
    <w:rsid w:val="003864D5"/>
    <w:rsid w:val="00386C21"/>
    <w:rsid w:val="003873BD"/>
    <w:rsid w:val="0038767B"/>
    <w:rsid w:val="00390567"/>
    <w:rsid w:val="00390B65"/>
    <w:rsid w:val="00390E77"/>
    <w:rsid w:val="00390ED6"/>
    <w:rsid w:val="00391868"/>
    <w:rsid w:val="00392353"/>
    <w:rsid w:val="003924F0"/>
    <w:rsid w:val="00392632"/>
    <w:rsid w:val="003928D3"/>
    <w:rsid w:val="0039304A"/>
    <w:rsid w:val="003935DD"/>
    <w:rsid w:val="0039461F"/>
    <w:rsid w:val="0039509B"/>
    <w:rsid w:val="00395788"/>
    <w:rsid w:val="003966F6"/>
    <w:rsid w:val="0039677D"/>
    <w:rsid w:val="003967D9"/>
    <w:rsid w:val="00396D85"/>
    <w:rsid w:val="00397373"/>
    <w:rsid w:val="003A006C"/>
    <w:rsid w:val="003A0660"/>
    <w:rsid w:val="003A0813"/>
    <w:rsid w:val="003A0D52"/>
    <w:rsid w:val="003A13F2"/>
    <w:rsid w:val="003A20A0"/>
    <w:rsid w:val="003A2232"/>
    <w:rsid w:val="003A2C88"/>
    <w:rsid w:val="003A2ED1"/>
    <w:rsid w:val="003A4A46"/>
    <w:rsid w:val="003A4C47"/>
    <w:rsid w:val="003A6724"/>
    <w:rsid w:val="003A6E1A"/>
    <w:rsid w:val="003A7638"/>
    <w:rsid w:val="003A77B5"/>
    <w:rsid w:val="003A7D37"/>
    <w:rsid w:val="003B024D"/>
    <w:rsid w:val="003B089A"/>
    <w:rsid w:val="003B0BA1"/>
    <w:rsid w:val="003B1627"/>
    <w:rsid w:val="003B25AD"/>
    <w:rsid w:val="003B2901"/>
    <w:rsid w:val="003B2E56"/>
    <w:rsid w:val="003B3152"/>
    <w:rsid w:val="003B36A6"/>
    <w:rsid w:val="003B3954"/>
    <w:rsid w:val="003B401D"/>
    <w:rsid w:val="003B4090"/>
    <w:rsid w:val="003B4537"/>
    <w:rsid w:val="003B4599"/>
    <w:rsid w:val="003B4660"/>
    <w:rsid w:val="003B5894"/>
    <w:rsid w:val="003B5EA2"/>
    <w:rsid w:val="003B60BB"/>
    <w:rsid w:val="003B61B7"/>
    <w:rsid w:val="003B6657"/>
    <w:rsid w:val="003B6A51"/>
    <w:rsid w:val="003B7087"/>
    <w:rsid w:val="003B73E7"/>
    <w:rsid w:val="003B7BB4"/>
    <w:rsid w:val="003C068B"/>
    <w:rsid w:val="003C076B"/>
    <w:rsid w:val="003C077C"/>
    <w:rsid w:val="003C0D83"/>
    <w:rsid w:val="003C117E"/>
    <w:rsid w:val="003C1AE2"/>
    <w:rsid w:val="003C212E"/>
    <w:rsid w:val="003C2655"/>
    <w:rsid w:val="003C3479"/>
    <w:rsid w:val="003C45A0"/>
    <w:rsid w:val="003C4610"/>
    <w:rsid w:val="003C4F5E"/>
    <w:rsid w:val="003C4F80"/>
    <w:rsid w:val="003C4F8F"/>
    <w:rsid w:val="003C509D"/>
    <w:rsid w:val="003C57CA"/>
    <w:rsid w:val="003C5EF0"/>
    <w:rsid w:val="003C68C9"/>
    <w:rsid w:val="003C6987"/>
    <w:rsid w:val="003C6A79"/>
    <w:rsid w:val="003C6B59"/>
    <w:rsid w:val="003C70AD"/>
    <w:rsid w:val="003C73ED"/>
    <w:rsid w:val="003C75B0"/>
    <w:rsid w:val="003C78C6"/>
    <w:rsid w:val="003D019B"/>
    <w:rsid w:val="003D04D1"/>
    <w:rsid w:val="003D13EC"/>
    <w:rsid w:val="003D17E5"/>
    <w:rsid w:val="003D233D"/>
    <w:rsid w:val="003D280B"/>
    <w:rsid w:val="003D299E"/>
    <w:rsid w:val="003D2B8C"/>
    <w:rsid w:val="003D2E79"/>
    <w:rsid w:val="003D310A"/>
    <w:rsid w:val="003D3615"/>
    <w:rsid w:val="003D3F0F"/>
    <w:rsid w:val="003D4E16"/>
    <w:rsid w:val="003D55E1"/>
    <w:rsid w:val="003D57FF"/>
    <w:rsid w:val="003D5924"/>
    <w:rsid w:val="003D5A80"/>
    <w:rsid w:val="003D641A"/>
    <w:rsid w:val="003D6476"/>
    <w:rsid w:val="003D7120"/>
    <w:rsid w:val="003D71A7"/>
    <w:rsid w:val="003D71EB"/>
    <w:rsid w:val="003D76E2"/>
    <w:rsid w:val="003D7A09"/>
    <w:rsid w:val="003D7A58"/>
    <w:rsid w:val="003D7D00"/>
    <w:rsid w:val="003E0E7F"/>
    <w:rsid w:val="003E0FC5"/>
    <w:rsid w:val="003E1CCB"/>
    <w:rsid w:val="003E1ED0"/>
    <w:rsid w:val="003E21D3"/>
    <w:rsid w:val="003E22CB"/>
    <w:rsid w:val="003E2343"/>
    <w:rsid w:val="003E2350"/>
    <w:rsid w:val="003E2FCA"/>
    <w:rsid w:val="003E3188"/>
    <w:rsid w:val="003E381C"/>
    <w:rsid w:val="003E3F2A"/>
    <w:rsid w:val="003E406B"/>
    <w:rsid w:val="003E4265"/>
    <w:rsid w:val="003E437F"/>
    <w:rsid w:val="003E47BB"/>
    <w:rsid w:val="003E4F96"/>
    <w:rsid w:val="003E5CCA"/>
    <w:rsid w:val="003E5EF0"/>
    <w:rsid w:val="003E63B4"/>
    <w:rsid w:val="003E63C0"/>
    <w:rsid w:val="003E6588"/>
    <w:rsid w:val="003E6E21"/>
    <w:rsid w:val="003E74E0"/>
    <w:rsid w:val="003E7773"/>
    <w:rsid w:val="003F0CDB"/>
    <w:rsid w:val="003F0DE9"/>
    <w:rsid w:val="003F0DF2"/>
    <w:rsid w:val="003F115E"/>
    <w:rsid w:val="003F14C2"/>
    <w:rsid w:val="003F1DD6"/>
    <w:rsid w:val="003F2210"/>
    <w:rsid w:val="003F253B"/>
    <w:rsid w:val="003F311C"/>
    <w:rsid w:val="003F334E"/>
    <w:rsid w:val="003F35A5"/>
    <w:rsid w:val="003F535C"/>
    <w:rsid w:val="003F54BF"/>
    <w:rsid w:val="003F654E"/>
    <w:rsid w:val="003F668F"/>
    <w:rsid w:val="003F6BB1"/>
    <w:rsid w:val="003F7196"/>
    <w:rsid w:val="0040035D"/>
    <w:rsid w:val="00400633"/>
    <w:rsid w:val="004007F3"/>
    <w:rsid w:val="00400833"/>
    <w:rsid w:val="004008AF"/>
    <w:rsid w:val="00400B5F"/>
    <w:rsid w:val="00400F3A"/>
    <w:rsid w:val="004010F9"/>
    <w:rsid w:val="00401382"/>
    <w:rsid w:val="00401789"/>
    <w:rsid w:val="00401C31"/>
    <w:rsid w:val="00401CCE"/>
    <w:rsid w:val="00401DBF"/>
    <w:rsid w:val="004021B3"/>
    <w:rsid w:val="004024B4"/>
    <w:rsid w:val="00403246"/>
    <w:rsid w:val="004033B8"/>
    <w:rsid w:val="004033D9"/>
    <w:rsid w:val="004039B5"/>
    <w:rsid w:val="0040432E"/>
    <w:rsid w:val="004047B0"/>
    <w:rsid w:val="00404A94"/>
    <w:rsid w:val="00404FC1"/>
    <w:rsid w:val="004050C1"/>
    <w:rsid w:val="0040551F"/>
    <w:rsid w:val="004059D3"/>
    <w:rsid w:val="00406390"/>
    <w:rsid w:val="00406866"/>
    <w:rsid w:val="004068AD"/>
    <w:rsid w:val="0040771F"/>
    <w:rsid w:val="004101B0"/>
    <w:rsid w:val="00410D51"/>
    <w:rsid w:val="004111F7"/>
    <w:rsid w:val="00411AA0"/>
    <w:rsid w:val="00411DD4"/>
    <w:rsid w:val="0041217D"/>
    <w:rsid w:val="004121AB"/>
    <w:rsid w:val="00412422"/>
    <w:rsid w:val="004125C6"/>
    <w:rsid w:val="0041275F"/>
    <w:rsid w:val="00412B8B"/>
    <w:rsid w:val="00412D1F"/>
    <w:rsid w:val="004131FF"/>
    <w:rsid w:val="00413804"/>
    <w:rsid w:val="00413EA0"/>
    <w:rsid w:val="00414DC1"/>
    <w:rsid w:val="00415327"/>
    <w:rsid w:val="004153EE"/>
    <w:rsid w:val="00415A2E"/>
    <w:rsid w:val="00415A98"/>
    <w:rsid w:val="00415DA6"/>
    <w:rsid w:val="00415E72"/>
    <w:rsid w:val="004161A5"/>
    <w:rsid w:val="00416E74"/>
    <w:rsid w:val="00417C5D"/>
    <w:rsid w:val="00420748"/>
    <w:rsid w:val="00420DE8"/>
    <w:rsid w:val="0042105B"/>
    <w:rsid w:val="004213EA"/>
    <w:rsid w:val="0042149A"/>
    <w:rsid w:val="004214B6"/>
    <w:rsid w:val="00421A89"/>
    <w:rsid w:val="00421D76"/>
    <w:rsid w:val="00421EBC"/>
    <w:rsid w:val="00421FFB"/>
    <w:rsid w:val="00422111"/>
    <w:rsid w:val="004221DD"/>
    <w:rsid w:val="00422630"/>
    <w:rsid w:val="00422837"/>
    <w:rsid w:val="0042304B"/>
    <w:rsid w:val="004234CB"/>
    <w:rsid w:val="00423CD0"/>
    <w:rsid w:val="00423E5F"/>
    <w:rsid w:val="00424084"/>
    <w:rsid w:val="004244AD"/>
    <w:rsid w:val="00424A05"/>
    <w:rsid w:val="00424A93"/>
    <w:rsid w:val="0042511D"/>
    <w:rsid w:val="004252DD"/>
    <w:rsid w:val="00425D60"/>
    <w:rsid w:val="00426547"/>
    <w:rsid w:val="00426C6C"/>
    <w:rsid w:val="00426ED0"/>
    <w:rsid w:val="0042714B"/>
    <w:rsid w:val="004273AD"/>
    <w:rsid w:val="00427578"/>
    <w:rsid w:val="004301BA"/>
    <w:rsid w:val="00430368"/>
    <w:rsid w:val="004305AE"/>
    <w:rsid w:val="0043087F"/>
    <w:rsid w:val="004313C9"/>
    <w:rsid w:val="00431800"/>
    <w:rsid w:val="00432629"/>
    <w:rsid w:val="00432F67"/>
    <w:rsid w:val="00433541"/>
    <w:rsid w:val="004335A3"/>
    <w:rsid w:val="00433780"/>
    <w:rsid w:val="004337D2"/>
    <w:rsid w:val="00433807"/>
    <w:rsid w:val="0043385F"/>
    <w:rsid w:val="00433941"/>
    <w:rsid w:val="00433BA2"/>
    <w:rsid w:val="00433E00"/>
    <w:rsid w:val="00433F43"/>
    <w:rsid w:val="00434097"/>
    <w:rsid w:val="00434AE8"/>
    <w:rsid w:val="00434B0C"/>
    <w:rsid w:val="00434B23"/>
    <w:rsid w:val="0043511C"/>
    <w:rsid w:val="00435858"/>
    <w:rsid w:val="00435B57"/>
    <w:rsid w:val="00435D2F"/>
    <w:rsid w:val="00435F42"/>
    <w:rsid w:val="004361DA"/>
    <w:rsid w:val="00436514"/>
    <w:rsid w:val="004365D4"/>
    <w:rsid w:val="00436BE6"/>
    <w:rsid w:val="00437E6E"/>
    <w:rsid w:val="004401C4"/>
    <w:rsid w:val="00440D33"/>
    <w:rsid w:val="00440F1F"/>
    <w:rsid w:val="0044128C"/>
    <w:rsid w:val="00441AC7"/>
    <w:rsid w:val="004423F7"/>
    <w:rsid w:val="004427C0"/>
    <w:rsid w:val="00442A49"/>
    <w:rsid w:val="00442F57"/>
    <w:rsid w:val="00443356"/>
    <w:rsid w:val="004437B5"/>
    <w:rsid w:val="004439B1"/>
    <w:rsid w:val="00443B60"/>
    <w:rsid w:val="004441B4"/>
    <w:rsid w:val="00444443"/>
    <w:rsid w:val="00444844"/>
    <w:rsid w:val="00445250"/>
    <w:rsid w:val="004454A6"/>
    <w:rsid w:val="00445D9C"/>
    <w:rsid w:val="00445F28"/>
    <w:rsid w:val="0044690B"/>
    <w:rsid w:val="00446BBE"/>
    <w:rsid w:val="00446C34"/>
    <w:rsid w:val="0044711E"/>
    <w:rsid w:val="0044782C"/>
    <w:rsid w:val="00447C51"/>
    <w:rsid w:val="00447D06"/>
    <w:rsid w:val="0045093D"/>
    <w:rsid w:val="00450EB1"/>
    <w:rsid w:val="00450F0C"/>
    <w:rsid w:val="00451470"/>
    <w:rsid w:val="0045159D"/>
    <w:rsid w:val="00451645"/>
    <w:rsid w:val="00451DA6"/>
    <w:rsid w:val="00452119"/>
    <w:rsid w:val="0045275A"/>
    <w:rsid w:val="00452B00"/>
    <w:rsid w:val="00452FE8"/>
    <w:rsid w:val="0045303B"/>
    <w:rsid w:val="00453A15"/>
    <w:rsid w:val="00453CDA"/>
    <w:rsid w:val="0045412A"/>
    <w:rsid w:val="004545A8"/>
    <w:rsid w:val="00454648"/>
    <w:rsid w:val="00454755"/>
    <w:rsid w:val="00454E84"/>
    <w:rsid w:val="00454F8E"/>
    <w:rsid w:val="00455180"/>
    <w:rsid w:val="004558A5"/>
    <w:rsid w:val="00455909"/>
    <w:rsid w:val="00456268"/>
    <w:rsid w:val="00457984"/>
    <w:rsid w:val="00457BF9"/>
    <w:rsid w:val="00457D3E"/>
    <w:rsid w:val="004605B7"/>
    <w:rsid w:val="004607E4"/>
    <w:rsid w:val="004608F8"/>
    <w:rsid w:val="00460D38"/>
    <w:rsid w:val="00460D74"/>
    <w:rsid w:val="00460DC4"/>
    <w:rsid w:val="004618A8"/>
    <w:rsid w:val="00461BA0"/>
    <w:rsid w:val="00461C12"/>
    <w:rsid w:val="00462206"/>
    <w:rsid w:val="00462384"/>
    <w:rsid w:val="00462552"/>
    <w:rsid w:val="00462778"/>
    <w:rsid w:val="00462B03"/>
    <w:rsid w:val="00462C54"/>
    <w:rsid w:val="004641E3"/>
    <w:rsid w:val="00464A31"/>
    <w:rsid w:val="00464F6C"/>
    <w:rsid w:val="004654DB"/>
    <w:rsid w:val="00465781"/>
    <w:rsid w:val="00465A92"/>
    <w:rsid w:val="00465FF0"/>
    <w:rsid w:val="00466258"/>
    <w:rsid w:val="0046651B"/>
    <w:rsid w:val="00466668"/>
    <w:rsid w:val="0047016C"/>
    <w:rsid w:val="0047064B"/>
    <w:rsid w:val="00470C32"/>
    <w:rsid w:val="00471A14"/>
    <w:rsid w:val="00471A3D"/>
    <w:rsid w:val="00471CAC"/>
    <w:rsid w:val="00471D0D"/>
    <w:rsid w:val="00471DAC"/>
    <w:rsid w:val="0047214A"/>
    <w:rsid w:val="00472920"/>
    <w:rsid w:val="00472C43"/>
    <w:rsid w:val="00474554"/>
    <w:rsid w:val="00474E01"/>
    <w:rsid w:val="00474EC1"/>
    <w:rsid w:val="004752B7"/>
    <w:rsid w:val="00475FF1"/>
    <w:rsid w:val="004772D6"/>
    <w:rsid w:val="00477E97"/>
    <w:rsid w:val="0048047A"/>
    <w:rsid w:val="00480793"/>
    <w:rsid w:val="004809AC"/>
    <w:rsid w:val="00481D3C"/>
    <w:rsid w:val="00482804"/>
    <w:rsid w:val="00482B47"/>
    <w:rsid w:val="00482F55"/>
    <w:rsid w:val="0048323E"/>
    <w:rsid w:val="004835C7"/>
    <w:rsid w:val="004847A8"/>
    <w:rsid w:val="00484DC5"/>
    <w:rsid w:val="004850EF"/>
    <w:rsid w:val="00485675"/>
    <w:rsid w:val="00485899"/>
    <w:rsid w:val="00485D16"/>
    <w:rsid w:val="00486275"/>
    <w:rsid w:val="00486643"/>
    <w:rsid w:val="004868D6"/>
    <w:rsid w:val="00486F82"/>
    <w:rsid w:val="0048751F"/>
    <w:rsid w:val="004876AC"/>
    <w:rsid w:val="004878DC"/>
    <w:rsid w:val="00487C85"/>
    <w:rsid w:val="00487D3E"/>
    <w:rsid w:val="00487D9A"/>
    <w:rsid w:val="00490258"/>
    <w:rsid w:val="00490DC4"/>
    <w:rsid w:val="00491123"/>
    <w:rsid w:val="004911CA"/>
    <w:rsid w:val="004912F2"/>
    <w:rsid w:val="00492512"/>
    <w:rsid w:val="00492CE3"/>
    <w:rsid w:val="00492CE8"/>
    <w:rsid w:val="00492FA7"/>
    <w:rsid w:val="00493083"/>
    <w:rsid w:val="004930C9"/>
    <w:rsid w:val="004935AC"/>
    <w:rsid w:val="00493919"/>
    <w:rsid w:val="004939A3"/>
    <w:rsid w:val="00493DE9"/>
    <w:rsid w:val="004941B0"/>
    <w:rsid w:val="0049458A"/>
    <w:rsid w:val="00494E15"/>
    <w:rsid w:val="00494F64"/>
    <w:rsid w:val="004958E1"/>
    <w:rsid w:val="0049673F"/>
    <w:rsid w:val="00496C22"/>
    <w:rsid w:val="00496DFB"/>
    <w:rsid w:val="00497139"/>
    <w:rsid w:val="00497B9F"/>
    <w:rsid w:val="00497EE9"/>
    <w:rsid w:val="00497FD1"/>
    <w:rsid w:val="004A0081"/>
    <w:rsid w:val="004A0299"/>
    <w:rsid w:val="004A09BF"/>
    <w:rsid w:val="004A11AF"/>
    <w:rsid w:val="004A18C0"/>
    <w:rsid w:val="004A1B47"/>
    <w:rsid w:val="004A1D9C"/>
    <w:rsid w:val="004A1DD7"/>
    <w:rsid w:val="004A2084"/>
    <w:rsid w:val="004A234D"/>
    <w:rsid w:val="004A2391"/>
    <w:rsid w:val="004A26A6"/>
    <w:rsid w:val="004A2A66"/>
    <w:rsid w:val="004A311D"/>
    <w:rsid w:val="004A3188"/>
    <w:rsid w:val="004A4430"/>
    <w:rsid w:val="004A446B"/>
    <w:rsid w:val="004A4A78"/>
    <w:rsid w:val="004A4D87"/>
    <w:rsid w:val="004A4FDF"/>
    <w:rsid w:val="004A505E"/>
    <w:rsid w:val="004A51AF"/>
    <w:rsid w:val="004A542C"/>
    <w:rsid w:val="004A5489"/>
    <w:rsid w:val="004A5490"/>
    <w:rsid w:val="004A5E73"/>
    <w:rsid w:val="004A60FE"/>
    <w:rsid w:val="004A6466"/>
    <w:rsid w:val="004A68E8"/>
    <w:rsid w:val="004A6C7B"/>
    <w:rsid w:val="004A75F0"/>
    <w:rsid w:val="004A7A52"/>
    <w:rsid w:val="004B0203"/>
    <w:rsid w:val="004B02C7"/>
    <w:rsid w:val="004B065C"/>
    <w:rsid w:val="004B110C"/>
    <w:rsid w:val="004B159C"/>
    <w:rsid w:val="004B19FE"/>
    <w:rsid w:val="004B2599"/>
    <w:rsid w:val="004B2635"/>
    <w:rsid w:val="004B2A4D"/>
    <w:rsid w:val="004B2F45"/>
    <w:rsid w:val="004B2F8C"/>
    <w:rsid w:val="004B33A8"/>
    <w:rsid w:val="004B33C2"/>
    <w:rsid w:val="004B3816"/>
    <w:rsid w:val="004B3855"/>
    <w:rsid w:val="004B3F37"/>
    <w:rsid w:val="004B4023"/>
    <w:rsid w:val="004B4214"/>
    <w:rsid w:val="004B4ABF"/>
    <w:rsid w:val="004B4AE3"/>
    <w:rsid w:val="004B4F90"/>
    <w:rsid w:val="004B57FB"/>
    <w:rsid w:val="004B60BA"/>
    <w:rsid w:val="004B6315"/>
    <w:rsid w:val="004B689D"/>
    <w:rsid w:val="004B6BB1"/>
    <w:rsid w:val="004B72C0"/>
    <w:rsid w:val="004B7925"/>
    <w:rsid w:val="004B7E2D"/>
    <w:rsid w:val="004C06D3"/>
    <w:rsid w:val="004C0A75"/>
    <w:rsid w:val="004C0E97"/>
    <w:rsid w:val="004C18BB"/>
    <w:rsid w:val="004C1BF1"/>
    <w:rsid w:val="004C25B0"/>
    <w:rsid w:val="004C2DD8"/>
    <w:rsid w:val="004C3F38"/>
    <w:rsid w:val="004C48C8"/>
    <w:rsid w:val="004C4A23"/>
    <w:rsid w:val="004C4BC9"/>
    <w:rsid w:val="004C598D"/>
    <w:rsid w:val="004C679A"/>
    <w:rsid w:val="004C6B20"/>
    <w:rsid w:val="004D015C"/>
    <w:rsid w:val="004D050D"/>
    <w:rsid w:val="004D12B1"/>
    <w:rsid w:val="004D23D0"/>
    <w:rsid w:val="004D2F5F"/>
    <w:rsid w:val="004D3245"/>
    <w:rsid w:val="004D3473"/>
    <w:rsid w:val="004D3897"/>
    <w:rsid w:val="004D3C17"/>
    <w:rsid w:val="004D3EDD"/>
    <w:rsid w:val="004D406E"/>
    <w:rsid w:val="004D4425"/>
    <w:rsid w:val="004D50B0"/>
    <w:rsid w:val="004D55C6"/>
    <w:rsid w:val="004D5F22"/>
    <w:rsid w:val="004D6136"/>
    <w:rsid w:val="004D6366"/>
    <w:rsid w:val="004D682F"/>
    <w:rsid w:val="004D6956"/>
    <w:rsid w:val="004D6A3D"/>
    <w:rsid w:val="004D7684"/>
    <w:rsid w:val="004E0157"/>
    <w:rsid w:val="004E127C"/>
    <w:rsid w:val="004E1307"/>
    <w:rsid w:val="004E1A97"/>
    <w:rsid w:val="004E2682"/>
    <w:rsid w:val="004E2697"/>
    <w:rsid w:val="004E2BD6"/>
    <w:rsid w:val="004E2D53"/>
    <w:rsid w:val="004E363E"/>
    <w:rsid w:val="004E4013"/>
    <w:rsid w:val="004E4247"/>
    <w:rsid w:val="004E4BDF"/>
    <w:rsid w:val="004E50DE"/>
    <w:rsid w:val="004E5119"/>
    <w:rsid w:val="004E519F"/>
    <w:rsid w:val="004E524C"/>
    <w:rsid w:val="004E52E8"/>
    <w:rsid w:val="004E5AA4"/>
    <w:rsid w:val="004E5C13"/>
    <w:rsid w:val="004E612C"/>
    <w:rsid w:val="004E6A94"/>
    <w:rsid w:val="004E6C4F"/>
    <w:rsid w:val="004E6EDC"/>
    <w:rsid w:val="004E70B8"/>
    <w:rsid w:val="004E7623"/>
    <w:rsid w:val="004E7DDB"/>
    <w:rsid w:val="004E7DEF"/>
    <w:rsid w:val="004F00B1"/>
    <w:rsid w:val="004F0659"/>
    <w:rsid w:val="004F089B"/>
    <w:rsid w:val="004F110D"/>
    <w:rsid w:val="004F1BCA"/>
    <w:rsid w:val="004F2FD2"/>
    <w:rsid w:val="004F3272"/>
    <w:rsid w:val="004F3AF7"/>
    <w:rsid w:val="004F3AFA"/>
    <w:rsid w:val="004F3C0E"/>
    <w:rsid w:val="004F3E9C"/>
    <w:rsid w:val="004F45A7"/>
    <w:rsid w:val="004F4839"/>
    <w:rsid w:val="004F5292"/>
    <w:rsid w:val="004F5300"/>
    <w:rsid w:val="004F5B9B"/>
    <w:rsid w:val="004F61EF"/>
    <w:rsid w:val="004F6489"/>
    <w:rsid w:val="004F6AD3"/>
    <w:rsid w:val="004F7587"/>
    <w:rsid w:val="004F7673"/>
    <w:rsid w:val="004F7E68"/>
    <w:rsid w:val="005003FA"/>
    <w:rsid w:val="00500FBC"/>
    <w:rsid w:val="00501071"/>
    <w:rsid w:val="00501386"/>
    <w:rsid w:val="00501798"/>
    <w:rsid w:val="00501BD9"/>
    <w:rsid w:val="00501C25"/>
    <w:rsid w:val="005021EF"/>
    <w:rsid w:val="005026CC"/>
    <w:rsid w:val="005027A6"/>
    <w:rsid w:val="005027C0"/>
    <w:rsid w:val="00502DAE"/>
    <w:rsid w:val="00502DF6"/>
    <w:rsid w:val="00502FFB"/>
    <w:rsid w:val="0050364E"/>
    <w:rsid w:val="005038A0"/>
    <w:rsid w:val="005039F4"/>
    <w:rsid w:val="00503C92"/>
    <w:rsid w:val="00503DE8"/>
    <w:rsid w:val="005041EF"/>
    <w:rsid w:val="00504A82"/>
    <w:rsid w:val="00504B2E"/>
    <w:rsid w:val="00504FAE"/>
    <w:rsid w:val="00504FE2"/>
    <w:rsid w:val="005052DD"/>
    <w:rsid w:val="005054E3"/>
    <w:rsid w:val="00505E19"/>
    <w:rsid w:val="005063A3"/>
    <w:rsid w:val="00506416"/>
    <w:rsid w:val="005074AF"/>
    <w:rsid w:val="005102BE"/>
    <w:rsid w:val="005103C5"/>
    <w:rsid w:val="005107B2"/>
    <w:rsid w:val="0051089A"/>
    <w:rsid w:val="00510973"/>
    <w:rsid w:val="00510FE6"/>
    <w:rsid w:val="00511922"/>
    <w:rsid w:val="00511B14"/>
    <w:rsid w:val="00511B2C"/>
    <w:rsid w:val="005120DA"/>
    <w:rsid w:val="005131D3"/>
    <w:rsid w:val="0051352C"/>
    <w:rsid w:val="005136E1"/>
    <w:rsid w:val="00514192"/>
    <w:rsid w:val="0051449A"/>
    <w:rsid w:val="00514FC2"/>
    <w:rsid w:val="0051520B"/>
    <w:rsid w:val="00515BFA"/>
    <w:rsid w:val="00515E19"/>
    <w:rsid w:val="00515E37"/>
    <w:rsid w:val="00515FE3"/>
    <w:rsid w:val="00516FAA"/>
    <w:rsid w:val="005172AB"/>
    <w:rsid w:val="005173BB"/>
    <w:rsid w:val="00517A86"/>
    <w:rsid w:val="0052024B"/>
    <w:rsid w:val="005202B5"/>
    <w:rsid w:val="005209E9"/>
    <w:rsid w:val="00520F13"/>
    <w:rsid w:val="00521028"/>
    <w:rsid w:val="005213CD"/>
    <w:rsid w:val="00521422"/>
    <w:rsid w:val="005219BF"/>
    <w:rsid w:val="00522C5F"/>
    <w:rsid w:val="00522F39"/>
    <w:rsid w:val="0052349D"/>
    <w:rsid w:val="00523868"/>
    <w:rsid w:val="00523869"/>
    <w:rsid w:val="00524445"/>
    <w:rsid w:val="00524946"/>
    <w:rsid w:val="00524BE8"/>
    <w:rsid w:val="00524EAC"/>
    <w:rsid w:val="005252C0"/>
    <w:rsid w:val="0052531B"/>
    <w:rsid w:val="0052559B"/>
    <w:rsid w:val="0052575D"/>
    <w:rsid w:val="00525922"/>
    <w:rsid w:val="005259B1"/>
    <w:rsid w:val="00526156"/>
    <w:rsid w:val="00526466"/>
    <w:rsid w:val="00526713"/>
    <w:rsid w:val="00526C92"/>
    <w:rsid w:val="005275FC"/>
    <w:rsid w:val="0052768C"/>
    <w:rsid w:val="0052788A"/>
    <w:rsid w:val="00530114"/>
    <w:rsid w:val="0053012F"/>
    <w:rsid w:val="00530896"/>
    <w:rsid w:val="005308EE"/>
    <w:rsid w:val="00530C23"/>
    <w:rsid w:val="005310AF"/>
    <w:rsid w:val="00531584"/>
    <w:rsid w:val="00531718"/>
    <w:rsid w:val="00531907"/>
    <w:rsid w:val="00531C54"/>
    <w:rsid w:val="00531D36"/>
    <w:rsid w:val="00532688"/>
    <w:rsid w:val="00532E01"/>
    <w:rsid w:val="00533CCE"/>
    <w:rsid w:val="005341BC"/>
    <w:rsid w:val="005342C3"/>
    <w:rsid w:val="005358BE"/>
    <w:rsid w:val="00535CBB"/>
    <w:rsid w:val="00535DE2"/>
    <w:rsid w:val="005362F5"/>
    <w:rsid w:val="005369D0"/>
    <w:rsid w:val="00537014"/>
    <w:rsid w:val="005370DE"/>
    <w:rsid w:val="005371D4"/>
    <w:rsid w:val="0053725B"/>
    <w:rsid w:val="0053751B"/>
    <w:rsid w:val="00540048"/>
    <w:rsid w:val="00540517"/>
    <w:rsid w:val="005407B1"/>
    <w:rsid w:val="00540839"/>
    <w:rsid w:val="005409B2"/>
    <w:rsid w:val="00540C57"/>
    <w:rsid w:val="00541170"/>
    <w:rsid w:val="005412A6"/>
    <w:rsid w:val="005413D4"/>
    <w:rsid w:val="005416A3"/>
    <w:rsid w:val="005418A1"/>
    <w:rsid w:val="00541EE9"/>
    <w:rsid w:val="00542D79"/>
    <w:rsid w:val="005430B6"/>
    <w:rsid w:val="00544704"/>
    <w:rsid w:val="005448DB"/>
    <w:rsid w:val="005457C6"/>
    <w:rsid w:val="00545BA0"/>
    <w:rsid w:val="005460A9"/>
    <w:rsid w:val="00546DDA"/>
    <w:rsid w:val="00547CA9"/>
    <w:rsid w:val="005501CC"/>
    <w:rsid w:val="0055060C"/>
    <w:rsid w:val="0055064A"/>
    <w:rsid w:val="00550E7B"/>
    <w:rsid w:val="00551138"/>
    <w:rsid w:val="00551523"/>
    <w:rsid w:val="0055161C"/>
    <w:rsid w:val="0055165D"/>
    <w:rsid w:val="0055188B"/>
    <w:rsid w:val="00551FB3"/>
    <w:rsid w:val="00551FB5"/>
    <w:rsid w:val="0055283D"/>
    <w:rsid w:val="00552A45"/>
    <w:rsid w:val="00552C2B"/>
    <w:rsid w:val="005531BD"/>
    <w:rsid w:val="00553F58"/>
    <w:rsid w:val="00554152"/>
    <w:rsid w:val="005542E5"/>
    <w:rsid w:val="00554552"/>
    <w:rsid w:val="0055497B"/>
    <w:rsid w:val="00554F7C"/>
    <w:rsid w:val="00555697"/>
    <w:rsid w:val="00556761"/>
    <w:rsid w:val="005567B2"/>
    <w:rsid w:val="005574E2"/>
    <w:rsid w:val="00557568"/>
    <w:rsid w:val="0055777B"/>
    <w:rsid w:val="00557870"/>
    <w:rsid w:val="005579A1"/>
    <w:rsid w:val="00557BDE"/>
    <w:rsid w:val="00557D28"/>
    <w:rsid w:val="00560277"/>
    <w:rsid w:val="00560938"/>
    <w:rsid w:val="00560AF1"/>
    <w:rsid w:val="00560FD1"/>
    <w:rsid w:val="00561101"/>
    <w:rsid w:val="0056116A"/>
    <w:rsid w:val="00561562"/>
    <w:rsid w:val="005625CD"/>
    <w:rsid w:val="00562659"/>
    <w:rsid w:val="005629B0"/>
    <w:rsid w:val="0056322D"/>
    <w:rsid w:val="00563317"/>
    <w:rsid w:val="00563B31"/>
    <w:rsid w:val="00563C9E"/>
    <w:rsid w:val="00563DE6"/>
    <w:rsid w:val="00563EAD"/>
    <w:rsid w:val="005646A4"/>
    <w:rsid w:val="005649A3"/>
    <w:rsid w:val="00564D1E"/>
    <w:rsid w:val="0056501B"/>
    <w:rsid w:val="0056528D"/>
    <w:rsid w:val="0056628B"/>
    <w:rsid w:val="00566298"/>
    <w:rsid w:val="00567BC7"/>
    <w:rsid w:val="00567E2B"/>
    <w:rsid w:val="005704D7"/>
    <w:rsid w:val="0057091E"/>
    <w:rsid w:val="00570A1E"/>
    <w:rsid w:val="00571089"/>
    <w:rsid w:val="005712FA"/>
    <w:rsid w:val="0057229B"/>
    <w:rsid w:val="005722C5"/>
    <w:rsid w:val="00572307"/>
    <w:rsid w:val="005723D6"/>
    <w:rsid w:val="00572A75"/>
    <w:rsid w:val="00572C6B"/>
    <w:rsid w:val="00572D01"/>
    <w:rsid w:val="0057446C"/>
    <w:rsid w:val="0057496C"/>
    <w:rsid w:val="00574A6E"/>
    <w:rsid w:val="00574BBA"/>
    <w:rsid w:val="00575755"/>
    <w:rsid w:val="005759F3"/>
    <w:rsid w:val="00575B05"/>
    <w:rsid w:val="00575F71"/>
    <w:rsid w:val="0057674F"/>
    <w:rsid w:val="00576A8A"/>
    <w:rsid w:val="00576E76"/>
    <w:rsid w:val="00577145"/>
    <w:rsid w:val="005773BE"/>
    <w:rsid w:val="00577790"/>
    <w:rsid w:val="005777FD"/>
    <w:rsid w:val="00577CAA"/>
    <w:rsid w:val="005805AB"/>
    <w:rsid w:val="00580864"/>
    <w:rsid w:val="005813EF"/>
    <w:rsid w:val="005818BC"/>
    <w:rsid w:val="00581E48"/>
    <w:rsid w:val="00582365"/>
    <w:rsid w:val="00582369"/>
    <w:rsid w:val="0058259D"/>
    <w:rsid w:val="00582A53"/>
    <w:rsid w:val="00584281"/>
    <w:rsid w:val="005842C4"/>
    <w:rsid w:val="0058444D"/>
    <w:rsid w:val="00584825"/>
    <w:rsid w:val="0058498B"/>
    <w:rsid w:val="00584AC1"/>
    <w:rsid w:val="00585009"/>
    <w:rsid w:val="00585426"/>
    <w:rsid w:val="005857BD"/>
    <w:rsid w:val="00585A50"/>
    <w:rsid w:val="00585B3A"/>
    <w:rsid w:val="00585BD8"/>
    <w:rsid w:val="00585C1B"/>
    <w:rsid w:val="00585D0E"/>
    <w:rsid w:val="00585EE9"/>
    <w:rsid w:val="005867AD"/>
    <w:rsid w:val="0058691F"/>
    <w:rsid w:val="005874BF"/>
    <w:rsid w:val="005875CB"/>
    <w:rsid w:val="00587639"/>
    <w:rsid w:val="00587B35"/>
    <w:rsid w:val="00587EFD"/>
    <w:rsid w:val="00590C03"/>
    <w:rsid w:val="00591E0F"/>
    <w:rsid w:val="00592638"/>
    <w:rsid w:val="005926BB"/>
    <w:rsid w:val="0059278C"/>
    <w:rsid w:val="0059294F"/>
    <w:rsid w:val="00592965"/>
    <w:rsid w:val="00592BBB"/>
    <w:rsid w:val="00592C68"/>
    <w:rsid w:val="00593138"/>
    <w:rsid w:val="0059341E"/>
    <w:rsid w:val="005939A7"/>
    <w:rsid w:val="00593A33"/>
    <w:rsid w:val="00593B76"/>
    <w:rsid w:val="005947B5"/>
    <w:rsid w:val="00594ADA"/>
    <w:rsid w:val="00594AF5"/>
    <w:rsid w:val="00594C37"/>
    <w:rsid w:val="0059553D"/>
    <w:rsid w:val="00595834"/>
    <w:rsid w:val="00595DB0"/>
    <w:rsid w:val="00595E74"/>
    <w:rsid w:val="005960BB"/>
    <w:rsid w:val="00596B1C"/>
    <w:rsid w:val="00597200"/>
    <w:rsid w:val="0059738C"/>
    <w:rsid w:val="00597407"/>
    <w:rsid w:val="005977C8"/>
    <w:rsid w:val="00597FAE"/>
    <w:rsid w:val="005A0496"/>
    <w:rsid w:val="005A0517"/>
    <w:rsid w:val="005A0E19"/>
    <w:rsid w:val="005A165F"/>
    <w:rsid w:val="005A182E"/>
    <w:rsid w:val="005A1945"/>
    <w:rsid w:val="005A1A00"/>
    <w:rsid w:val="005A1A6A"/>
    <w:rsid w:val="005A1BF0"/>
    <w:rsid w:val="005A3402"/>
    <w:rsid w:val="005A3452"/>
    <w:rsid w:val="005A35DF"/>
    <w:rsid w:val="005A3693"/>
    <w:rsid w:val="005A3C45"/>
    <w:rsid w:val="005A3DEA"/>
    <w:rsid w:val="005A4047"/>
    <w:rsid w:val="005A4384"/>
    <w:rsid w:val="005A475C"/>
    <w:rsid w:val="005A4A98"/>
    <w:rsid w:val="005A4BCD"/>
    <w:rsid w:val="005A55D3"/>
    <w:rsid w:val="005A5C5E"/>
    <w:rsid w:val="005A5D9B"/>
    <w:rsid w:val="005A6ECC"/>
    <w:rsid w:val="005A7012"/>
    <w:rsid w:val="005A74A6"/>
    <w:rsid w:val="005A7770"/>
    <w:rsid w:val="005A7959"/>
    <w:rsid w:val="005A7A5E"/>
    <w:rsid w:val="005A7C76"/>
    <w:rsid w:val="005A7D4C"/>
    <w:rsid w:val="005B0A2F"/>
    <w:rsid w:val="005B0BD3"/>
    <w:rsid w:val="005B0DF9"/>
    <w:rsid w:val="005B0E8D"/>
    <w:rsid w:val="005B11A1"/>
    <w:rsid w:val="005B127C"/>
    <w:rsid w:val="005B16D1"/>
    <w:rsid w:val="005B1A88"/>
    <w:rsid w:val="005B1C07"/>
    <w:rsid w:val="005B29FD"/>
    <w:rsid w:val="005B3432"/>
    <w:rsid w:val="005B3513"/>
    <w:rsid w:val="005B3BD6"/>
    <w:rsid w:val="005B3CB5"/>
    <w:rsid w:val="005B3E9A"/>
    <w:rsid w:val="005B45DD"/>
    <w:rsid w:val="005B48D9"/>
    <w:rsid w:val="005B550A"/>
    <w:rsid w:val="005B5C81"/>
    <w:rsid w:val="005B6390"/>
    <w:rsid w:val="005B6781"/>
    <w:rsid w:val="005B6D2F"/>
    <w:rsid w:val="005B6ECE"/>
    <w:rsid w:val="005B6F91"/>
    <w:rsid w:val="005B7358"/>
    <w:rsid w:val="005B79EF"/>
    <w:rsid w:val="005B7D6C"/>
    <w:rsid w:val="005C0255"/>
    <w:rsid w:val="005C067D"/>
    <w:rsid w:val="005C0762"/>
    <w:rsid w:val="005C08A3"/>
    <w:rsid w:val="005C1263"/>
    <w:rsid w:val="005C142D"/>
    <w:rsid w:val="005C19BA"/>
    <w:rsid w:val="005C1B2C"/>
    <w:rsid w:val="005C1BE0"/>
    <w:rsid w:val="005C2018"/>
    <w:rsid w:val="005C28E5"/>
    <w:rsid w:val="005C2DE0"/>
    <w:rsid w:val="005C31E9"/>
    <w:rsid w:val="005C3380"/>
    <w:rsid w:val="005C3464"/>
    <w:rsid w:val="005C3552"/>
    <w:rsid w:val="005C3712"/>
    <w:rsid w:val="005C3BBA"/>
    <w:rsid w:val="005C437F"/>
    <w:rsid w:val="005C44B1"/>
    <w:rsid w:val="005C46A9"/>
    <w:rsid w:val="005C4FA5"/>
    <w:rsid w:val="005C5489"/>
    <w:rsid w:val="005C5CBA"/>
    <w:rsid w:val="005C5F1B"/>
    <w:rsid w:val="005C671C"/>
    <w:rsid w:val="005C6F30"/>
    <w:rsid w:val="005C6F67"/>
    <w:rsid w:val="005C71D0"/>
    <w:rsid w:val="005C7215"/>
    <w:rsid w:val="005C73C4"/>
    <w:rsid w:val="005C7C8B"/>
    <w:rsid w:val="005C7DCD"/>
    <w:rsid w:val="005D00EA"/>
    <w:rsid w:val="005D023B"/>
    <w:rsid w:val="005D02C4"/>
    <w:rsid w:val="005D12E7"/>
    <w:rsid w:val="005D17C8"/>
    <w:rsid w:val="005D1854"/>
    <w:rsid w:val="005D1EC4"/>
    <w:rsid w:val="005D1F90"/>
    <w:rsid w:val="005D2304"/>
    <w:rsid w:val="005D2613"/>
    <w:rsid w:val="005D26D6"/>
    <w:rsid w:val="005D2941"/>
    <w:rsid w:val="005D34C7"/>
    <w:rsid w:val="005D3A04"/>
    <w:rsid w:val="005D4393"/>
    <w:rsid w:val="005D48FE"/>
    <w:rsid w:val="005D5438"/>
    <w:rsid w:val="005D5788"/>
    <w:rsid w:val="005D647F"/>
    <w:rsid w:val="005D68FF"/>
    <w:rsid w:val="005D7031"/>
    <w:rsid w:val="005D7471"/>
    <w:rsid w:val="005D749D"/>
    <w:rsid w:val="005D7567"/>
    <w:rsid w:val="005D7CDE"/>
    <w:rsid w:val="005E00B5"/>
    <w:rsid w:val="005E0516"/>
    <w:rsid w:val="005E0555"/>
    <w:rsid w:val="005E0697"/>
    <w:rsid w:val="005E0A6B"/>
    <w:rsid w:val="005E22B9"/>
    <w:rsid w:val="005E25B5"/>
    <w:rsid w:val="005E2702"/>
    <w:rsid w:val="005E2AEA"/>
    <w:rsid w:val="005E35D3"/>
    <w:rsid w:val="005E3E30"/>
    <w:rsid w:val="005E4313"/>
    <w:rsid w:val="005E48CB"/>
    <w:rsid w:val="005E5874"/>
    <w:rsid w:val="005E5C67"/>
    <w:rsid w:val="005E605F"/>
    <w:rsid w:val="005E634D"/>
    <w:rsid w:val="005E6C0A"/>
    <w:rsid w:val="005E75D5"/>
    <w:rsid w:val="005E7A2A"/>
    <w:rsid w:val="005E7A6C"/>
    <w:rsid w:val="005E7F1C"/>
    <w:rsid w:val="005F0084"/>
    <w:rsid w:val="005F13F9"/>
    <w:rsid w:val="005F1555"/>
    <w:rsid w:val="005F194B"/>
    <w:rsid w:val="005F1B03"/>
    <w:rsid w:val="005F2929"/>
    <w:rsid w:val="005F2978"/>
    <w:rsid w:val="005F3568"/>
    <w:rsid w:val="005F3BBE"/>
    <w:rsid w:val="005F435C"/>
    <w:rsid w:val="005F4721"/>
    <w:rsid w:val="005F4F8F"/>
    <w:rsid w:val="005F5268"/>
    <w:rsid w:val="005F52D7"/>
    <w:rsid w:val="005F5E1D"/>
    <w:rsid w:val="005F65A7"/>
    <w:rsid w:val="005F720A"/>
    <w:rsid w:val="005F78C8"/>
    <w:rsid w:val="005F7F4B"/>
    <w:rsid w:val="0060005E"/>
    <w:rsid w:val="00600099"/>
    <w:rsid w:val="006007E2"/>
    <w:rsid w:val="00600FB5"/>
    <w:rsid w:val="006012F4"/>
    <w:rsid w:val="00601469"/>
    <w:rsid w:val="006016CB"/>
    <w:rsid w:val="00601A78"/>
    <w:rsid w:val="00601A8E"/>
    <w:rsid w:val="00601DBF"/>
    <w:rsid w:val="00602740"/>
    <w:rsid w:val="00602F43"/>
    <w:rsid w:val="0060379C"/>
    <w:rsid w:val="00603B08"/>
    <w:rsid w:val="00603B62"/>
    <w:rsid w:val="006044C6"/>
    <w:rsid w:val="00604737"/>
    <w:rsid w:val="00605776"/>
    <w:rsid w:val="00605D94"/>
    <w:rsid w:val="00606863"/>
    <w:rsid w:val="00607024"/>
    <w:rsid w:val="00607673"/>
    <w:rsid w:val="00607752"/>
    <w:rsid w:val="00607DBB"/>
    <w:rsid w:val="0061008C"/>
    <w:rsid w:val="00610142"/>
    <w:rsid w:val="00610162"/>
    <w:rsid w:val="0061072B"/>
    <w:rsid w:val="00610ABA"/>
    <w:rsid w:val="00610E88"/>
    <w:rsid w:val="00610F83"/>
    <w:rsid w:val="00611D7F"/>
    <w:rsid w:val="0061223F"/>
    <w:rsid w:val="0061270B"/>
    <w:rsid w:val="00612DC8"/>
    <w:rsid w:val="00613037"/>
    <w:rsid w:val="006135AB"/>
    <w:rsid w:val="00613776"/>
    <w:rsid w:val="006138E4"/>
    <w:rsid w:val="00613B72"/>
    <w:rsid w:val="00614312"/>
    <w:rsid w:val="006144F6"/>
    <w:rsid w:val="00614F88"/>
    <w:rsid w:val="0061569B"/>
    <w:rsid w:val="00615994"/>
    <w:rsid w:val="00615CC3"/>
    <w:rsid w:val="00616407"/>
    <w:rsid w:val="006169E3"/>
    <w:rsid w:val="00616B25"/>
    <w:rsid w:val="00616B7F"/>
    <w:rsid w:val="00616D85"/>
    <w:rsid w:val="00616FA6"/>
    <w:rsid w:val="0061733C"/>
    <w:rsid w:val="00617B1F"/>
    <w:rsid w:val="006203D9"/>
    <w:rsid w:val="0062068F"/>
    <w:rsid w:val="00620787"/>
    <w:rsid w:val="00620E5A"/>
    <w:rsid w:val="00620FF0"/>
    <w:rsid w:val="0062133A"/>
    <w:rsid w:val="00621D12"/>
    <w:rsid w:val="00622016"/>
    <w:rsid w:val="00622331"/>
    <w:rsid w:val="0062269D"/>
    <w:rsid w:val="00622705"/>
    <w:rsid w:val="00622AF2"/>
    <w:rsid w:val="00622D5A"/>
    <w:rsid w:val="00622FA2"/>
    <w:rsid w:val="006230D3"/>
    <w:rsid w:val="0062385B"/>
    <w:rsid w:val="00623A9A"/>
    <w:rsid w:val="00623F1D"/>
    <w:rsid w:val="006240B6"/>
    <w:rsid w:val="0062441C"/>
    <w:rsid w:val="0062457C"/>
    <w:rsid w:val="00624B05"/>
    <w:rsid w:val="00624E68"/>
    <w:rsid w:val="006250E9"/>
    <w:rsid w:val="00626555"/>
    <w:rsid w:val="00626B8F"/>
    <w:rsid w:val="00627CED"/>
    <w:rsid w:val="006306D5"/>
    <w:rsid w:val="00630CB3"/>
    <w:rsid w:val="00631719"/>
    <w:rsid w:val="00632625"/>
    <w:rsid w:val="00632735"/>
    <w:rsid w:val="00632C62"/>
    <w:rsid w:val="00633B2F"/>
    <w:rsid w:val="00633EF6"/>
    <w:rsid w:val="00634065"/>
    <w:rsid w:val="006347CC"/>
    <w:rsid w:val="00634B23"/>
    <w:rsid w:val="00635962"/>
    <w:rsid w:val="006361BA"/>
    <w:rsid w:val="006364D8"/>
    <w:rsid w:val="00636869"/>
    <w:rsid w:val="00636C12"/>
    <w:rsid w:val="00637327"/>
    <w:rsid w:val="006373FA"/>
    <w:rsid w:val="0063794C"/>
    <w:rsid w:val="00640AF7"/>
    <w:rsid w:val="00640C31"/>
    <w:rsid w:val="00640F88"/>
    <w:rsid w:val="006410BC"/>
    <w:rsid w:val="00641199"/>
    <w:rsid w:val="00641501"/>
    <w:rsid w:val="006416BB"/>
    <w:rsid w:val="006419E2"/>
    <w:rsid w:val="00642733"/>
    <w:rsid w:val="00642B9D"/>
    <w:rsid w:val="00642EBF"/>
    <w:rsid w:val="00643226"/>
    <w:rsid w:val="0064329B"/>
    <w:rsid w:val="00644131"/>
    <w:rsid w:val="00644EDC"/>
    <w:rsid w:val="00645196"/>
    <w:rsid w:val="00645315"/>
    <w:rsid w:val="006453FF"/>
    <w:rsid w:val="0064569A"/>
    <w:rsid w:val="006457E0"/>
    <w:rsid w:val="006459EF"/>
    <w:rsid w:val="00646350"/>
    <w:rsid w:val="00646370"/>
    <w:rsid w:val="0064648F"/>
    <w:rsid w:val="0064652E"/>
    <w:rsid w:val="006465F3"/>
    <w:rsid w:val="00646A21"/>
    <w:rsid w:val="00647923"/>
    <w:rsid w:val="00647B95"/>
    <w:rsid w:val="00652450"/>
    <w:rsid w:val="006530EB"/>
    <w:rsid w:val="00653472"/>
    <w:rsid w:val="006534BF"/>
    <w:rsid w:val="006536A3"/>
    <w:rsid w:val="006537D7"/>
    <w:rsid w:val="0065385D"/>
    <w:rsid w:val="00653F0C"/>
    <w:rsid w:val="00654365"/>
    <w:rsid w:val="0065444A"/>
    <w:rsid w:val="00654508"/>
    <w:rsid w:val="00654615"/>
    <w:rsid w:val="00654F68"/>
    <w:rsid w:val="00655669"/>
    <w:rsid w:val="00655CF9"/>
    <w:rsid w:val="00655D45"/>
    <w:rsid w:val="0065621F"/>
    <w:rsid w:val="006567F7"/>
    <w:rsid w:val="00656B5A"/>
    <w:rsid w:val="00656F13"/>
    <w:rsid w:val="0065714C"/>
    <w:rsid w:val="00657AC9"/>
    <w:rsid w:val="00660095"/>
    <w:rsid w:val="00660A74"/>
    <w:rsid w:val="00660EFB"/>
    <w:rsid w:val="006615A0"/>
    <w:rsid w:val="00661999"/>
    <w:rsid w:val="0066243B"/>
    <w:rsid w:val="00662E5F"/>
    <w:rsid w:val="00663414"/>
    <w:rsid w:val="00663BEE"/>
    <w:rsid w:val="00663C4A"/>
    <w:rsid w:val="00664281"/>
    <w:rsid w:val="00664434"/>
    <w:rsid w:val="0066458F"/>
    <w:rsid w:val="0066481E"/>
    <w:rsid w:val="00664A51"/>
    <w:rsid w:val="00665124"/>
    <w:rsid w:val="0066518E"/>
    <w:rsid w:val="0066561F"/>
    <w:rsid w:val="00666082"/>
    <w:rsid w:val="00666A58"/>
    <w:rsid w:val="00667157"/>
    <w:rsid w:val="00667F88"/>
    <w:rsid w:val="00670470"/>
    <w:rsid w:val="00670650"/>
    <w:rsid w:val="00670B2F"/>
    <w:rsid w:val="006712C0"/>
    <w:rsid w:val="00671ED5"/>
    <w:rsid w:val="00671F6E"/>
    <w:rsid w:val="006722FE"/>
    <w:rsid w:val="00672472"/>
    <w:rsid w:val="00672C5A"/>
    <w:rsid w:val="00672FD9"/>
    <w:rsid w:val="00672FDB"/>
    <w:rsid w:val="006732CC"/>
    <w:rsid w:val="00673388"/>
    <w:rsid w:val="00673FF6"/>
    <w:rsid w:val="006744AC"/>
    <w:rsid w:val="0067479E"/>
    <w:rsid w:val="00674C7D"/>
    <w:rsid w:val="006756C5"/>
    <w:rsid w:val="006756CE"/>
    <w:rsid w:val="006757B1"/>
    <w:rsid w:val="00675DDB"/>
    <w:rsid w:val="00675FC5"/>
    <w:rsid w:val="0067609B"/>
    <w:rsid w:val="006768D3"/>
    <w:rsid w:val="00676991"/>
    <w:rsid w:val="00676A26"/>
    <w:rsid w:val="006773F4"/>
    <w:rsid w:val="0067765C"/>
    <w:rsid w:val="006803B7"/>
    <w:rsid w:val="00680B40"/>
    <w:rsid w:val="00681824"/>
    <w:rsid w:val="006818C4"/>
    <w:rsid w:val="00681DDF"/>
    <w:rsid w:val="00681EC9"/>
    <w:rsid w:val="006822FA"/>
    <w:rsid w:val="0068230E"/>
    <w:rsid w:val="00682783"/>
    <w:rsid w:val="0068288C"/>
    <w:rsid w:val="00682D1F"/>
    <w:rsid w:val="00682D81"/>
    <w:rsid w:val="0068313D"/>
    <w:rsid w:val="006836B5"/>
    <w:rsid w:val="00683A8E"/>
    <w:rsid w:val="00683F36"/>
    <w:rsid w:val="00683F3F"/>
    <w:rsid w:val="00684217"/>
    <w:rsid w:val="00684AD3"/>
    <w:rsid w:val="0068557A"/>
    <w:rsid w:val="00685589"/>
    <w:rsid w:val="0068563F"/>
    <w:rsid w:val="00685734"/>
    <w:rsid w:val="0068586A"/>
    <w:rsid w:val="006859D1"/>
    <w:rsid w:val="00685C56"/>
    <w:rsid w:val="0068668F"/>
    <w:rsid w:val="0068682C"/>
    <w:rsid w:val="00687494"/>
    <w:rsid w:val="00690049"/>
    <w:rsid w:val="0069046F"/>
    <w:rsid w:val="006905F7"/>
    <w:rsid w:val="00690748"/>
    <w:rsid w:val="00690CB1"/>
    <w:rsid w:val="00692F00"/>
    <w:rsid w:val="006938AA"/>
    <w:rsid w:val="0069474B"/>
    <w:rsid w:val="0069475D"/>
    <w:rsid w:val="00694B02"/>
    <w:rsid w:val="00695414"/>
    <w:rsid w:val="006956FC"/>
    <w:rsid w:val="00695C92"/>
    <w:rsid w:val="00695F0E"/>
    <w:rsid w:val="0069600A"/>
    <w:rsid w:val="006964AF"/>
    <w:rsid w:val="006968E2"/>
    <w:rsid w:val="00696A73"/>
    <w:rsid w:val="00696DCE"/>
    <w:rsid w:val="0069732C"/>
    <w:rsid w:val="00697966"/>
    <w:rsid w:val="00697F81"/>
    <w:rsid w:val="006A050D"/>
    <w:rsid w:val="006A12B2"/>
    <w:rsid w:val="006A17AE"/>
    <w:rsid w:val="006A198B"/>
    <w:rsid w:val="006A1E68"/>
    <w:rsid w:val="006A32F1"/>
    <w:rsid w:val="006A361A"/>
    <w:rsid w:val="006A3950"/>
    <w:rsid w:val="006A3A2B"/>
    <w:rsid w:val="006A42A2"/>
    <w:rsid w:val="006A4704"/>
    <w:rsid w:val="006A4776"/>
    <w:rsid w:val="006A4960"/>
    <w:rsid w:val="006A4BED"/>
    <w:rsid w:val="006A4D4F"/>
    <w:rsid w:val="006A5545"/>
    <w:rsid w:val="006A5A16"/>
    <w:rsid w:val="006A5C22"/>
    <w:rsid w:val="006A6BF1"/>
    <w:rsid w:val="006A78F4"/>
    <w:rsid w:val="006B069D"/>
    <w:rsid w:val="006B0CB2"/>
    <w:rsid w:val="006B1FE5"/>
    <w:rsid w:val="006B20B2"/>
    <w:rsid w:val="006B22F6"/>
    <w:rsid w:val="006B2363"/>
    <w:rsid w:val="006B2A12"/>
    <w:rsid w:val="006B3002"/>
    <w:rsid w:val="006B3032"/>
    <w:rsid w:val="006B3423"/>
    <w:rsid w:val="006B35FF"/>
    <w:rsid w:val="006B361B"/>
    <w:rsid w:val="006B3963"/>
    <w:rsid w:val="006B429E"/>
    <w:rsid w:val="006B4AE7"/>
    <w:rsid w:val="006B4B4A"/>
    <w:rsid w:val="006B5210"/>
    <w:rsid w:val="006B569C"/>
    <w:rsid w:val="006B6EC1"/>
    <w:rsid w:val="006B6F2A"/>
    <w:rsid w:val="006B7159"/>
    <w:rsid w:val="006B7588"/>
    <w:rsid w:val="006B75C6"/>
    <w:rsid w:val="006B78F2"/>
    <w:rsid w:val="006C0104"/>
    <w:rsid w:val="006C087E"/>
    <w:rsid w:val="006C1864"/>
    <w:rsid w:val="006C1928"/>
    <w:rsid w:val="006C1E5A"/>
    <w:rsid w:val="006C23C2"/>
    <w:rsid w:val="006C32DE"/>
    <w:rsid w:val="006C34B2"/>
    <w:rsid w:val="006C354C"/>
    <w:rsid w:val="006C3B60"/>
    <w:rsid w:val="006C3B76"/>
    <w:rsid w:val="006C4130"/>
    <w:rsid w:val="006C4154"/>
    <w:rsid w:val="006C41FD"/>
    <w:rsid w:val="006C4302"/>
    <w:rsid w:val="006C4332"/>
    <w:rsid w:val="006C4572"/>
    <w:rsid w:val="006C46AB"/>
    <w:rsid w:val="006C4A35"/>
    <w:rsid w:val="006C50D6"/>
    <w:rsid w:val="006C5A1F"/>
    <w:rsid w:val="006C60C4"/>
    <w:rsid w:val="006C630A"/>
    <w:rsid w:val="006C658E"/>
    <w:rsid w:val="006C6D17"/>
    <w:rsid w:val="006C6D24"/>
    <w:rsid w:val="006C7AC5"/>
    <w:rsid w:val="006C7B03"/>
    <w:rsid w:val="006D0844"/>
    <w:rsid w:val="006D0EC2"/>
    <w:rsid w:val="006D2159"/>
    <w:rsid w:val="006D29EA"/>
    <w:rsid w:val="006D39C4"/>
    <w:rsid w:val="006D4583"/>
    <w:rsid w:val="006D47F3"/>
    <w:rsid w:val="006D4C72"/>
    <w:rsid w:val="006D4E4C"/>
    <w:rsid w:val="006D5365"/>
    <w:rsid w:val="006D5585"/>
    <w:rsid w:val="006D5B4D"/>
    <w:rsid w:val="006D5C39"/>
    <w:rsid w:val="006D5F76"/>
    <w:rsid w:val="006D6055"/>
    <w:rsid w:val="006D61FC"/>
    <w:rsid w:val="006D691B"/>
    <w:rsid w:val="006D6D96"/>
    <w:rsid w:val="006D707E"/>
    <w:rsid w:val="006D71EF"/>
    <w:rsid w:val="006D7211"/>
    <w:rsid w:val="006D730C"/>
    <w:rsid w:val="006D75C8"/>
    <w:rsid w:val="006D7D21"/>
    <w:rsid w:val="006E0416"/>
    <w:rsid w:val="006E0A2E"/>
    <w:rsid w:val="006E121F"/>
    <w:rsid w:val="006E1918"/>
    <w:rsid w:val="006E2D18"/>
    <w:rsid w:val="006E30E6"/>
    <w:rsid w:val="006E3C57"/>
    <w:rsid w:val="006E436E"/>
    <w:rsid w:val="006E465B"/>
    <w:rsid w:val="006E47DD"/>
    <w:rsid w:val="006E4B63"/>
    <w:rsid w:val="006E5A28"/>
    <w:rsid w:val="006E5FAB"/>
    <w:rsid w:val="006E68E8"/>
    <w:rsid w:val="006E6951"/>
    <w:rsid w:val="006E6BDD"/>
    <w:rsid w:val="006E6ECA"/>
    <w:rsid w:val="006E70F0"/>
    <w:rsid w:val="006E7399"/>
    <w:rsid w:val="006E742A"/>
    <w:rsid w:val="006E77E1"/>
    <w:rsid w:val="006F0A7C"/>
    <w:rsid w:val="006F0D46"/>
    <w:rsid w:val="006F11B6"/>
    <w:rsid w:val="006F1C2C"/>
    <w:rsid w:val="006F219F"/>
    <w:rsid w:val="006F23DD"/>
    <w:rsid w:val="006F3599"/>
    <w:rsid w:val="006F3886"/>
    <w:rsid w:val="006F3C22"/>
    <w:rsid w:val="006F44B2"/>
    <w:rsid w:val="006F4555"/>
    <w:rsid w:val="006F47E6"/>
    <w:rsid w:val="006F4E8D"/>
    <w:rsid w:val="006F5158"/>
    <w:rsid w:val="006F52EE"/>
    <w:rsid w:val="006F6076"/>
    <w:rsid w:val="006F6B17"/>
    <w:rsid w:val="006F6EDE"/>
    <w:rsid w:val="006F729C"/>
    <w:rsid w:val="006F72F7"/>
    <w:rsid w:val="006F75CE"/>
    <w:rsid w:val="006F77C7"/>
    <w:rsid w:val="006F77DF"/>
    <w:rsid w:val="006F79E6"/>
    <w:rsid w:val="006F7C19"/>
    <w:rsid w:val="006F7FAB"/>
    <w:rsid w:val="007002A0"/>
    <w:rsid w:val="00700430"/>
    <w:rsid w:val="00700518"/>
    <w:rsid w:val="0070090E"/>
    <w:rsid w:val="00700950"/>
    <w:rsid w:val="00701028"/>
    <w:rsid w:val="00701136"/>
    <w:rsid w:val="0070130D"/>
    <w:rsid w:val="00701573"/>
    <w:rsid w:val="00701ABF"/>
    <w:rsid w:val="00701F0B"/>
    <w:rsid w:val="007022E9"/>
    <w:rsid w:val="007022EB"/>
    <w:rsid w:val="0070319A"/>
    <w:rsid w:val="00703497"/>
    <w:rsid w:val="00703CB4"/>
    <w:rsid w:val="00703F55"/>
    <w:rsid w:val="007040C1"/>
    <w:rsid w:val="007048B9"/>
    <w:rsid w:val="00705B19"/>
    <w:rsid w:val="00705E25"/>
    <w:rsid w:val="007060CF"/>
    <w:rsid w:val="007069A6"/>
    <w:rsid w:val="00706E7F"/>
    <w:rsid w:val="007070FA"/>
    <w:rsid w:val="00707801"/>
    <w:rsid w:val="00707A8F"/>
    <w:rsid w:val="00707BCD"/>
    <w:rsid w:val="00707C18"/>
    <w:rsid w:val="00707F3D"/>
    <w:rsid w:val="00710203"/>
    <w:rsid w:val="0071039D"/>
    <w:rsid w:val="007103A9"/>
    <w:rsid w:val="00710A93"/>
    <w:rsid w:val="00710C40"/>
    <w:rsid w:val="00710FF5"/>
    <w:rsid w:val="00711289"/>
    <w:rsid w:val="007117E6"/>
    <w:rsid w:val="00711913"/>
    <w:rsid w:val="0071207D"/>
    <w:rsid w:val="00712661"/>
    <w:rsid w:val="00712BC9"/>
    <w:rsid w:val="0071342A"/>
    <w:rsid w:val="00713B6B"/>
    <w:rsid w:val="00713C98"/>
    <w:rsid w:val="007146A7"/>
    <w:rsid w:val="00714FAD"/>
    <w:rsid w:val="00715072"/>
    <w:rsid w:val="007154F0"/>
    <w:rsid w:val="0071577D"/>
    <w:rsid w:val="00715ACE"/>
    <w:rsid w:val="00715D45"/>
    <w:rsid w:val="007160BC"/>
    <w:rsid w:val="00716AD2"/>
    <w:rsid w:val="00716F9E"/>
    <w:rsid w:val="0071723B"/>
    <w:rsid w:val="007175C7"/>
    <w:rsid w:val="00717D46"/>
    <w:rsid w:val="00720096"/>
    <w:rsid w:val="007203CA"/>
    <w:rsid w:val="007207C5"/>
    <w:rsid w:val="00720C2D"/>
    <w:rsid w:val="00721573"/>
    <w:rsid w:val="00721890"/>
    <w:rsid w:val="00721D72"/>
    <w:rsid w:val="00721FAF"/>
    <w:rsid w:val="00722089"/>
    <w:rsid w:val="007226F5"/>
    <w:rsid w:val="00722773"/>
    <w:rsid w:val="00722827"/>
    <w:rsid w:val="007228BC"/>
    <w:rsid w:val="00723327"/>
    <w:rsid w:val="0072340A"/>
    <w:rsid w:val="007236A0"/>
    <w:rsid w:val="00723B2C"/>
    <w:rsid w:val="007244D7"/>
    <w:rsid w:val="0072469A"/>
    <w:rsid w:val="00724ED0"/>
    <w:rsid w:val="00724F92"/>
    <w:rsid w:val="007253D6"/>
    <w:rsid w:val="0072565A"/>
    <w:rsid w:val="0072578A"/>
    <w:rsid w:val="0072597A"/>
    <w:rsid w:val="0072654B"/>
    <w:rsid w:val="0072718B"/>
    <w:rsid w:val="007272D7"/>
    <w:rsid w:val="00727E45"/>
    <w:rsid w:val="0073027E"/>
    <w:rsid w:val="0073176D"/>
    <w:rsid w:val="00731AF9"/>
    <w:rsid w:val="00731EEE"/>
    <w:rsid w:val="00732274"/>
    <w:rsid w:val="00732505"/>
    <w:rsid w:val="00732AF9"/>
    <w:rsid w:val="00732EA9"/>
    <w:rsid w:val="007333D1"/>
    <w:rsid w:val="0073453D"/>
    <w:rsid w:val="007347FE"/>
    <w:rsid w:val="007348F2"/>
    <w:rsid w:val="00734D15"/>
    <w:rsid w:val="007353BC"/>
    <w:rsid w:val="00736098"/>
    <w:rsid w:val="00736149"/>
    <w:rsid w:val="00736776"/>
    <w:rsid w:val="00736790"/>
    <w:rsid w:val="0073792C"/>
    <w:rsid w:val="0074012E"/>
    <w:rsid w:val="007407EA"/>
    <w:rsid w:val="007409DC"/>
    <w:rsid w:val="007409F8"/>
    <w:rsid w:val="0074100F"/>
    <w:rsid w:val="00741359"/>
    <w:rsid w:val="007418BF"/>
    <w:rsid w:val="00741B40"/>
    <w:rsid w:val="007420D5"/>
    <w:rsid w:val="00742474"/>
    <w:rsid w:val="0074257A"/>
    <w:rsid w:val="00742F30"/>
    <w:rsid w:val="007439AA"/>
    <w:rsid w:val="007443CB"/>
    <w:rsid w:val="00744640"/>
    <w:rsid w:val="00744CEA"/>
    <w:rsid w:val="007454CA"/>
    <w:rsid w:val="00745C76"/>
    <w:rsid w:val="00745E25"/>
    <w:rsid w:val="0074616B"/>
    <w:rsid w:val="00746A07"/>
    <w:rsid w:val="00747351"/>
    <w:rsid w:val="00747434"/>
    <w:rsid w:val="0074788B"/>
    <w:rsid w:val="00750DE2"/>
    <w:rsid w:val="0075137C"/>
    <w:rsid w:val="007515E7"/>
    <w:rsid w:val="007524CC"/>
    <w:rsid w:val="007525F9"/>
    <w:rsid w:val="00752BD2"/>
    <w:rsid w:val="00753DC0"/>
    <w:rsid w:val="00753F5F"/>
    <w:rsid w:val="0075418A"/>
    <w:rsid w:val="00754632"/>
    <w:rsid w:val="00755347"/>
    <w:rsid w:val="00755B03"/>
    <w:rsid w:val="0075609D"/>
    <w:rsid w:val="00756A11"/>
    <w:rsid w:val="00756F6B"/>
    <w:rsid w:val="00757390"/>
    <w:rsid w:val="0075788B"/>
    <w:rsid w:val="0076001F"/>
    <w:rsid w:val="007606BC"/>
    <w:rsid w:val="007609C0"/>
    <w:rsid w:val="00760AAF"/>
    <w:rsid w:val="00760FDD"/>
    <w:rsid w:val="00761381"/>
    <w:rsid w:val="007619C2"/>
    <w:rsid w:val="00761F2A"/>
    <w:rsid w:val="0076260D"/>
    <w:rsid w:val="00762A6C"/>
    <w:rsid w:val="00762D4C"/>
    <w:rsid w:val="00763B77"/>
    <w:rsid w:val="007642B8"/>
    <w:rsid w:val="00765297"/>
    <w:rsid w:val="00765805"/>
    <w:rsid w:val="007658A7"/>
    <w:rsid w:val="00765A74"/>
    <w:rsid w:val="00765EE2"/>
    <w:rsid w:val="007660E2"/>
    <w:rsid w:val="0076628C"/>
    <w:rsid w:val="0076686A"/>
    <w:rsid w:val="00766879"/>
    <w:rsid w:val="00766B34"/>
    <w:rsid w:val="0076702C"/>
    <w:rsid w:val="00767C58"/>
    <w:rsid w:val="00767F6C"/>
    <w:rsid w:val="00770085"/>
    <w:rsid w:val="007701E0"/>
    <w:rsid w:val="0077058C"/>
    <w:rsid w:val="00770B9D"/>
    <w:rsid w:val="00770D4F"/>
    <w:rsid w:val="00771DE2"/>
    <w:rsid w:val="00772584"/>
    <w:rsid w:val="00772829"/>
    <w:rsid w:val="00772870"/>
    <w:rsid w:val="00772CAB"/>
    <w:rsid w:val="00772FA3"/>
    <w:rsid w:val="007730B2"/>
    <w:rsid w:val="00773A68"/>
    <w:rsid w:val="00774262"/>
    <w:rsid w:val="0077431A"/>
    <w:rsid w:val="00774563"/>
    <w:rsid w:val="00774600"/>
    <w:rsid w:val="00774E0D"/>
    <w:rsid w:val="00775BCA"/>
    <w:rsid w:val="00776312"/>
    <w:rsid w:val="00776605"/>
    <w:rsid w:val="007769FF"/>
    <w:rsid w:val="007770A8"/>
    <w:rsid w:val="00777156"/>
    <w:rsid w:val="00777576"/>
    <w:rsid w:val="00777653"/>
    <w:rsid w:val="00777848"/>
    <w:rsid w:val="00777893"/>
    <w:rsid w:val="007779A7"/>
    <w:rsid w:val="00777BBE"/>
    <w:rsid w:val="00777F76"/>
    <w:rsid w:val="0078046D"/>
    <w:rsid w:val="00780589"/>
    <w:rsid w:val="0078081C"/>
    <w:rsid w:val="00780B44"/>
    <w:rsid w:val="00781B9E"/>
    <w:rsid w:val="00781C48"/>
    <w:rsid w:val="00782A7E"/>
    <w:rsid w:val="00784096"/>
    <w:rsid w:val="00784341"/>
    <w:rsid w:val="007847E2"/>
    <w:rsid w:val="00784B96"/>
    <w:rsid w:val="007852E9"/>
    <w:rsid w:val="00785864"/>
    <w:rsid w:val="00786BA3"/>
    <w:rsid w:val="00786C28"/>
    <w:rsid w:val="0078719A"/>
    <w:rsid w:val="00787771"/>
    <w:rsid w:val="0078794E"/>
    <w:rsid w:val="00787B21"/>
    <w:rsid w:val="00787C58"/>
    <w:rsid w:val="00787D4E"/>
    <w:rsid w:val="00790082"/>
    <w:rsid w:val="00790386"/>
    <w:rsid w:val="00790542"/>
    <w:rsid w:val="00790B15"/>
    <w:rsid w:val="00790F49"/>
    <w:rsid w:val="00791334"/>
    <w:rsid w:val="007918AD"/>
    <w:rsid w:val="007926FC"/>
    <w:rsid w:val="00792969"/>
    <w:rsid w:val="00792BAF"/>
    <w:rsid w:val="007931CB"/>
    <w:rsid w:val="00793BEA"/>
    <w:rsid w:val="00794029"/>
    <w:rsid w:val="007940F2"/>
    <w:rsid w:val="00794826"/>
    <w:rsid w:val="00794A39"/>
    <w:rsid w:val="00794FB2"/>
    <w:rsid w:val="007951D4"/>
    <w:rsid w:val="0079541F"/>
    <w:rsid w:val="0079639B"/>
    <w:rsid w:val="00796469"/>
    <w:rsid w:val="007964F5"/>
    <w:rsid w:val="00796778"/>
    <w:rsid w:val="0079748F"/>
    <w:rsid w:val="00797666"/>
    <w:rsid w:val="007979D2"/>
    <w:rsid w:val="00797C46"/>
    <w:rsid w:val="007A1306"/>
    <w:rsid w:val="007A1935"/>
    <w:rsid w:val="007A19F6"/>
    <w:rsid w:val="007A1A46"/>
    <w:rsid w:val="007A20F8"/>
    <w:rsid w:val="007A2B65"/>
    <w:rsid w:val="007A2CB7"/>
    <w:rsid w:val="007A3D8D"/>
    <w:rsid w:val="007A4E90"/>
    <w:rsid w:val="007A5617"/>
    <w:rsid w:val="007A57BA"/>
    <w:rsid w:val="007A5B82"/>
    <w:rsid w:val="007A6207"/>
    <w:rsid w:val="007A6476"/>
    <w:rsid w:val="007A669B"/>
    <w:rsid w:val="007A68EA"/>
    <w:rsid w:val="007A6A91"/>
    <w:rsid w:val="007A6C7A"/>
    <w:rsid w:val="007A6E3D"/>
    <w:rsid w:val="007A7759"/>
    <w:rsid w:val="007B0220"/>
    <w:rsid w:val="007B0245"/>
    <w:rsid w:val="007B029D"/>
    <w:rsid w:val="007B083F"/>
    <w:rsid w:val="007B0880"/>
    <w:rsid w:val="007B0D01"/>
    <w:rsid w:val="007B0DE7"/>
    <w:rsid w:val="007B1466"/>
    <w:rsid w:val="007B2085"/>
    <w:rsid w:val="007B2303"/>
    <w:rsid w:val="007B2B0F"/>
    <w:rsid w:val="007B2B52"/>
    <w:rsid w:val="007B2FDC"/>
    <w:rsid w:val="007B331F"/>
    <w:rsid w:val="007B38A0"/>
    <w:rsid w:val="007B38B7"/>
    <w:rsid w:val="007B3A00"/>
    <w:rsid w:val="007B4B68"/>
    <w:rsid w:val="007B4D42"/>
    <w:rsid w:val="007B4F7B"/>
    <w:rsid w:val="007B583D"/>
    <w:rsid w:val="007B65EB"/>
    <w:rsid w:val="007B6684"/>
    <w:rsid w:val="007B6B21"/>
    <w:rsid w:val="007B7024"/>
    <w:rsid w:val="007C0390"/>
    <w:rsid w:val="007C14A2"/>
    <w:rsid w:val="007C16A3"/>
    <w:rsid w:val="007C19F4"/>
    <w:rsid w:val="007C1A0D"/>
    <w:rsid w:val="007C1F87"/>
    <w:rsid w:val="007C228A"/>
    <w:rsid w:val="007C2A46"/>
    <w:rsid w:val="007C2B26"/>
    <w:rsid w:val="007C2B3D"/>
    <w:rsid w:val="007C2B7A"/>
    <w:rsid w:val="007C300E"/>
    <w:rsid w:val="007C328D"/>
    <w:rsid w:val="007C336F"/>
    <w:rsid w:val="007C41B1"/>
    <w:rsid w:val="007C4323"/>
    <w:rsid w:val="007C4C64"/>
    <w:rsid w:val="007C5EEA"/>
    <w:rsid w:val="007C5FDB"/>
    <w:rsid w:val="007C6312"/>
    <w:rsid w:val="007C631E"/>
    <w:rsid w:val="007C692E"/>
    <w:rsid w:val="007C6BF3"/>
    <w:rsid w:val="007C706D"/>
    <w:rsid w:val="007C730F"/>
    <w:rsid w:val="007D001A"/>
    <w:rsid w:val="007D0AC6"/>
    <w:rsid w:val="007D0C04"/>
    <w:rsid w:val="007D0F3B"/>
    <w:rsid w:val="007D16A1"/>
    <w:rsid w:val="007D1BE8"/>
    <w:rsid w:val="007D1FAB"/>
    <w:rsid w:val="007D2616"/>
    <w:rsid w:val="007D270E"/>
    <w:rsid w:val="007D2C10"/>
    <w:rsid w:val="007D30B7"/>
    <w:rsid w:val="007D35D5"/>
    <w:rsid w:val="007D3FDB"/>
    <w:rsid w:val="007D40E5"/>
    <w:rsid w:val="007D4150"/>
    <w:rsid w:val="007D4271"/>
    <w:rsid w:val="007D4A01"/>
    <w:rsid w:val="007D5358"/>
    <w:rsid w:val="007D53F5"/>
    <w:rsid w:val="007D55D2"/>
    <w:rsid w:val="007D5F60"/>
    <w:rsid w:val="007D648E"/>
    <w:rsid w:val="007D6646"/>
    <w:rsid w:val="007D6712"/>
    <w:rsid w:val="007D6CD0"/>
    <w:rsid w:val="007D70C1"/>
    <w:rsid w:val="007D73CC"/>
    <w:rsid w:val="007D741E"/>
    <w:rsid w:val="007D7684"/>
    <w:rsid w:val="007D7A04"/>
    <w:rsid w:val="007E0225"/>
    <w:rsid w:val="007E09C9"/>
    <w:rsid w:val="007E0F3C"/>
    <w:rsid w:val="007E15AD"/>
    <w:rsid w:val="007E1C35"/>
    <w:rsid w:val="007E23A1"/>
    <w:rsid w:val="007E2584"/>
    <w:rsid w:val="007E25ED"/>
    <w:rsid w:val="007E2BC0"/>
    <w:rsid w:val="007E340D"/>
    <w:rsid w:val="007E40BE"/>
    <w:rsid w:val="007E5112"/>
    <w:rsid w:val="007E52A7"/>
    <w:rsid w:val="007E5958"/>
    <w:rsid w:val="007E5A25"/>
    <w:rsid w:val="007E6351"/>
    <w:rsid w:val="007E65F2"/>
    <w:rsid w:val="007E6BD4"/>
    <w:rsid w:val="007E745F"/>
    <w:rsid w:val="007E76AC"/>
    <w:rsid w:val="007E7822"/>
    <w:rsid w:val="007E7B0A"/>
    <w:rsid w:val="007F001A"/>
    <w:rsid w:val="007F03B6"/>
    <w:rsid w:val="007F10C6"/>
    <w:rsid w:val="007F1101"/>
    <w:rsid w:val="007F15B7"/>
    <w:rsid w:val="007F2FBB"/>
    <w:rsid w:val="007F3DFE"/>
    <w:rsid w:val="007F49AC"/>
    <w:rsid w:val="007F5B8C"/>
    <w:rsid w:val="007F61DA"/>
    <w:rsid w:val="007F67E9"/>
    <w:rsid w:val="007F6A10"/>
    <w:rsid w:val="007F6A91"/>
    <w:rsid w:val="007F6EAC"/>
    <w:rsid w:val="007F72A9"/>
    <w:rsid w:val="007F7564"/>
    <w:rsid w:val="007F79E1"/>
    <w:rsid w:val="007F7C7B"/>
    <w:rsid w:val="0080018C"/>
    <w:rsid w:val="0080045E"/>
    <w:rsid w:val="00801A1E"/>
    <w:rsid w:val="00801B67"/>
    <w:rsid w:val="00801F4E"/>
    <w:rsid w:val="008022B6"/>
    <w:rsid w:val="00802F44"/>
    <w:rsid w:val="00803E61"/>
    <w:rsid w:val="008040A2"/>
    <w:rsid w:val="00804632"/>
    <w:rsid w:val="00805034"/>
    <w:rsid w:val="00805175"/>
    <w:rsid w:val="008054D9"/>
    <w:rsid w:val="00805700"/>
    <w:rsid w:val="008060BF"/>
    <w:rsid w:val="008061BE"/>
    <w:rsid w:val="00806688"/>
    <w:rsid w:val="00806922"/>
    <w:rsid w:val="00806D2A"/>
    <w:rsid w:val="00807A3E"/>
    <w:rsid w:val="00807D03"/>
    <w:rsid w:val="00810338"/>
    <w:rsid w:val="0081071A"/>
    <w:rsid w:val="00810D7A"/>
    <w:rsid w:val="00811846"/>
    <w:rsid w:val="00811C7A"/>
    <w:rsid w:val="00812167"/>
    <w:rsid w:val="00812282"/>
    <w:rsid w:val="0081231E"/>
    <w:rsid w:val="00812428"/>
    <w:rsid w:val="0081306E"/>
    <w:rsid w:val="00813345"/>
    <w:rsid w:val="00813EB1"/>
    <w:rsid w:val="008148E4"/>
    <w:rsid w:val="00814956"/>
    <w:rsid w:val="00815126"/>
    <w:rsid w:val="00815666"/>
    <w:rsid w:val="008157F1"/>
    <w:rsid w:val="00815F13"/>
    <w:rsid w:val="00816BD0"/>
    <w:rsid w:val="00816EC2"/>
    <w:rsid w:val="00817A13"/>
    <w:rsid w:val="008221A2"/>
    <w:rsid w:val="00822675"/>
    <w:rsid w:val="008228B8"/>
    <w:rsid w:val="008236E1"/>
    <w:rsid w:val="00823997"/>
    <w:rsid w:val="00823E35"/>
    <w:rsid w:val="00823FDB"/>
    <w:rsid w:val="0082438E"/>
    <w:rsid w:val="008243F5"/>
    <w:rsid w:val="00824458"/>
    <w:rsid w:val="00824666"/>
    <w:rsid w:val="00824999"/>
    <w:rsid w:val="008249F7"/>
    <w:rsid w:val="00824B74"/>
    <w:rsid w:val="00824E57"/>
    <w:rsid w:val="0082529F"/>
    <w:rsid w:val="008253E3"/>
    <w:rsid w:val="00825B5C"/>
    <w:rsid w:val="008265BC"/>
    <w:rsid w:val="00827027"/>
    <w:rsid w:val="00827D47"/>
    <w:rsid w:val="00827E25"/>
    <w:rsid w:val="00827FFE"/>
    <w:rsid w:val="0083030D"/>
    <w:rsid w:val="00830BA2"/>
    <w:rsid w:val="0083144B"/>
    <w:rsid w:val="0083195E"/>
    <w:rsid w:val="00831FFE"/>
    <w:rsid w:val="00832062"/>
    <w:rsid w:val="00832652"/>
    <w:rsid w:val="0083372F"/>
    <w:rsid w:val="00833CBC"/>
    <w:rsid w:val="008346B5"/>
    <w:rsid w:val="00834F53"/>
    <w:rsid w:val="008353BF"/>
    <w:rsid w:val="0083545C"/>
    <w:rsid w:val="00835EC9"/>
    <w:rsid w:val="00836275"/>
    <w:rsid w:val="00836DB1"/>
    <w:rsid w:val="00837C55"/>
    <w:rsid w:val="0084073D"/>
    <w:rsid w:val="00841388"/>
    <w:rsid w:val="00841D3A"/>
    <w:rsid w:val="00841E6E"/>
    <w:rsid w:val="00841EFB"/>
    <w:rsid w:val="00841F44"/>
    <w:rsid w:val="008427B4"/>
    <w:rsid w:val="008428E5"/>
    <w:rsid w:val="00842B0E"/>
    <w:rsid w:val="00842C82"/>
    <w:rsid w:val="00842DCE"/>
    <w:rsid w:val="008436D7"/>
    <w:rsid w:val="00843F1B"/>
    <w:rsid w:val="008440FE"/>
    <w:rsid w:val="00844584"/>
    <w:rsid w:val="00844CE6"/>
    <w:rsid w:val="00845534"/>
    <w:rsid w:val="00845AE5"/>
    <w:rsid w:val="00846119"/>
    <w:rsid w:val="00846795"/>
    <w:rsid w:val="00846864"/>
    <w:rsid w:val="00846E1D"/>
    <w:rsid w:val="008474E3"/>
    <w:rsid w:val="00847A0B"/>
    <w:rsid w:val="00847DD6"/>
    <w:rsid w:val="00847DD7"/>
    <w:rsid w:val="00851634"/>
    <w:rsid w:val="008516C3"/>
    <w:rsid w:val="00852323"/>
    <w:rsid w:val="00852399"/>
    <w:rsid w:val="008527ED"/>
    <w:rsid w:val="00852802"/>
    <w:rsid w:val="00852BBA"/>
    <w:rsid w:val="008537F7"/>
    <w:rsid w:val="008546BE"/>
    <w:rsid w:val="00854BEF"/>
    <w:rsid w:val="00854D1E"/>
    <w:rsid w:val="00856074"/>
    <w:rsid w:val="00856392"/>
    <w:rsid w:val="0085656D"/>
    <w:rsid w:val="008568FC"/>
    <w:rsid w:val="00857949"/>
    <w:rsid w:val="0086126D"/>
    <w:rsid w:val="008620E5"/>
    <w:rsid w:val="00862699"/>
    <w:rsid w:val="00862C9E"/>
    <w:rsid w:val="00862D61"/>
    <w:rsid w:val="00863CF6"/>
    <w:rsid w:val="00863D27"/>
    <w:rsid w:val="00864886"/>
    <w:rsid w:val="00864EF8"/>
    <w:rsid w:val="00864FF0"/>
    <w:rsid w:val="00865CCF"/>
    <w:rsid w:val="00866036"/>
    <w:rsid w:val="0086615F"/>
    <w:rsid w:val="00866568"/>
    <w:rsid w:val="00866699"/>
    <w:rsid w:val="008671C3"/>
    <w:rsid w:val="00867BD1"/>
    <w:rsid w:val="008705FA"/>
    <w:rsid w:val="00870A49"/>
    <w:rsid w:val="00870EE8"/>
    <w:rsid w:val="00871417"/>
    <w:rsid w:val="008719C2"/>
    <w:rsid w:val="00871D11"/>
    <w:rsid w:val="00871EC8"/>
    <w:rsid w:val="0087277A"/>
    <w:rsid w:val="00872A47"/>
    <w:rsid w:val="00872F1F"/>
    <w:rsid w:val="008731C2"/>
    <w:rsid w:val="008736E2"/>
    <w:rsid w:val="00873758"/>
    <w:rsid w:val="00874300"/>
    <w:rsid w:val="008743BA"/>
    <w:rsid w:val="00874565"/>
    <w:rsid w:val="00875D6A"/>
    <w:rsid w:val="00876DBB"/>
    <w:rsid w:val="00876F60"/>
    <w:rsid w:val="00877247"/>
    <w:rsid w:val="0088006F"/>
    <w:rsid w:val="008801AE"/>
    <w:rsid w:val="008806C2"/>
    <w:rsid w:val="00880AA3"/>
    <w:rsid w:val="008817AD"/>
    <w:rsid w:val="00881D68"/>
    <w:rsid w:val="00882592"/>
    <w:rsid w:val="008833CB"/>
    <w:rsid w:val="008833E8"/>
    <w:rsid w:val="0088421C"/>
    <w:rsid w:val="0088445B"/>
    <w:rsid w:val="00884787"/>
    <w:rsid w:val="008849BC"/>
    <w:rsid w:val="00884A26"/>
    <w:rsid w:val="00884F4E"/>
    <w:rsid w:val="0088509E"/>
    <w:rsid w:val="008860A8"/>
    <w:rsid w:val="008861CC"/>
    <w:rsid w:val="00886439"/>
    <w:rsid w:val="00886566"/>
    <w:rsid w:val="00886731"/>
    <w:rsid w:val="00886788"/>
    <w:rsid w:val="00886B25"/>
    <w:rsid w:val="00886E09"/>
    <w:rsid w:val="00886F07"/>
    <w:rsid w:val="0088716D"/>
    <w:rsid w:val="008875C0"/>
    <w:rsid w:val="00887C44"/>
    <w:rsid w:val="00890273"/>
    <w:rsid w:val="00890276"/>
    <w:rsid w:val="00890B95"/>
    <w:rsid w:val="0089105E"/>
    <w:rsid w:val="00891AF6"/>
    <w:rsid w:val="00891B4B"/>
    <w:rsid w:val="00891BC3"/>
    <w:rsid w:val="00891D8B"/>
    <w:rsid w:val="0089202A"/>
    <w:rsid w:val="00892B19"/>
    <w:rsid w:val="00892E59"/>
    <w:rsid w:val="00893371"/>
    <w:rsid w:val="00893564"/>
    <w:rsid w:val="008935FC"/>
    <w:rsid w:val="008937C8"/>
    <w:rsid w:val="008938E5"/>
    <w:rsid w:val="00893917"/>
    <w:rsid w:val="00893CA1"/>
    <w:rsid w:val="008940DE"/>
    <w:rsid w:val="0089439A"/>
    <w:rsid w:val="00894C9B"/>
    <w:rsid w:val="00895205"/>
    <w:rsid w:val="008956F5"/>
    <w:rsid w:val="00895AFC"/>
    <w:rsid w:val="00895B4D"/>
    <w:rsid w:val="00895F96"/>
    <w:rsid w:val="008961ED"/>
    <w:rsid w:val="008967C4"/>
    <w:rsid w:val="00896EFD"/>
    <w:rsid w:val="00897199"/>
    <w:rsid w:val="0089759F"/>
    <w:rsid w:val="00897A66"/>
    <w:rsid w:val="008A0345"/>
    <w:rsid w:val="008A0845"/>
    <w:rsid w:val="008A08A4"/>
    <w:rsid w:val="008A0BD2"/>
    <w:rsid w:val="008A0D02"/>
    <w:rsid w:val="008A0D2A"/>
    <w:rsid w:val="008A0E09"/>
    <w:rsid w:val="008A167C"/>
    <w:rsid w:val="008A1693"/>
    <w:rsid w:val="008A1ED5"/>
    <w:rsid w:val="008A1F41"/>
    <w:rsid w:val="008A21F3"/>
    <w:rsid w:val="008A24FF"/>
    <w:rsid w:val="008A254F"/>
    <w:rsid w:val="008A2630"/>
    <w:rsid w:val="008A30E4"/>
    <w:rsid w:val="008A3946"/>
    <w:rsid w:val="008A3AA1"/>
    <w:rsid w:val="008A3C2D"/>
    <w:rsid w:val="008A510A"/>
    <w:rsid w:val="008A559B"/>
    <w:rsid w:val="008A5601"/>
    <w:rsid w:val="008A5833"/>
    <w:rsid w:val="008A5C70"/>
    <w:rsid w:val="008A5EA3"/>
    <w:rsid w:val="008A66C7"/>
    <w:rsid w:val="008A6966"/>
    <w:rsid w:val="008A7ACF"/>
    <w:rsid w:val="008A7DD7"/>
    <w:rsid w:val="008B05A5"/>
    <w:rsid w:val="008B06FC"/>
    <w:rsid w:val="008B08BB"/>
    <w:rsid w:val="008B16AE"/>
    <w:rsid w:val="008B183E"/>
    <w:rsid w:val="008B1BC2"/>
    <w:rsid w:val="008B22B7"/>
    <w:rsid w:val="008B2E8F"/>
    <w:rsid w:val="008B318D"/>
    <w:rsid w:val="008B39A5"/>
    <w:rsid w:val="008B3A88"/>
    <w:rsid w:val="008B3B08"/>
    <w:rsid w:val="008B3E39"/>
    <w:rsid w:val="008B49F3"/>
    <w:rsid w:val="008B4B13"/>
    <w:rsid w:val="008B4BFC"/>
    <w:rsid w:val="008B4D25"/>
    <w:rsid w:val="008B51B4"/>
    <w:rsid w:val="008B5B23"/>
    <w:rsid w:val="008B5B67"/>
    <w:rsid w:val="008B5D7A"/>
    <w:rsid w:val="008B5F3D"/>
    <w:rsid w:val="008B5F81"/>
    <w:rsid w:val="008B5FE5"/>
    <w:rsid w:val="008B6046"/>
    <w:rsid w:val="008B608D"/>
    <w:rsid w:val="008B66E3"/>
    <w:rsid w:val="008B68EC"/>
    <w:rsid w:val="008B6E6B"/>
    <w:rsid w:val="008B6F1A"/>
    <w:rsid w:val="008B6FE7"/>
    <w:rsid w:val="008B705C"/>
    <w:rsid w:val="008B717E"/>
    <w:rsid w:val="008B7212"/>
    <w:rsid w:val="008B7848"/>
    <w:rsid w:val="008B7F22"/>
    <w:rsid w:val="008C0038"/>
    <w:rsid w:val="008C0658"/>
    <w:rsid w:val="008C1063"/>
    <w:rsid w:val="008C1625"/>
    <w:rsid w:val="008C18B6"/>
    <w:rsid w:val="008C1E05"/>
    <w:rsid w:val="008C2D9E"/>
    <w:rsid w:val="008C312C"/>
    <w:rsid w:val="008C3411"/>
    <w:rsid w:val="008C3448"/>
    <w:rsid w:val="008C34BB"/>
    <w:rsid w:val="008C3641"/>
    <w:rsid w:val="008C43EA"/>
    <w:rsid w:val="008C45E2"/>
    <w:rsid w:val="008C4F4F"/>
    <w:rsid w:val="008C531A"/>
    <w:rsid w:val="008C5D76"/>
    <w:rsid w:val="008C666F"/>
    <w:rsid w:val="008C6B22"/>
    <w:rsid w:val="008C6B26"/>
    <w:rsid w:val="008C7582"/>
    <w:rsid w:val="008C767C"/>
    <w:rsid w:val="008C791B"/>
    <w:rsid w:val="008D04B0"/>
    <w:rsid w:val="008D0AE2"/>
    <w:rsid w:val="008D16D6"/>
    <w:rsid w:val="008D2055"/>
    <w:rsid w:val="008D22D0"/>
    <w:rsid w:val="008D27D3"/>
    <w:rsid w:val="008D2E5F"/>
    <w:rsid w:val="008D3726"/>
    <w:rsid w:val="008D3BD3"/>
    <w:rsid w:val="008D462F"/>
    <w:rsid w:val="008D4CB0"/>
    <w:rsid w:val="008D4CC1"/>
    <w:rsid w:val="008D4CD0"/>
    <w:rsid w:val="008D512F"/>
    <w:rsid w:val="008D6397"/>
    <w:rsid w:val="008D721E"/>
    <w:rsid w:val="008D73C9"/>
    <w:rsid w:val="008D758E"/>
    <w:rsid w:val="008D79FA"/>
    <w:rsid w:val="008D7AD8"/>
    <w:rsid w:val="008D7BB7"/>
    <w:rsid w:val="008D7E92"/>
    <w:rsid w:val="008E02D0"/>
    <w:rsid w:val="008E149D"/>
    <w:rsid w:val="008E16BF"/>
    <w:rsid w:val="008E17D7"/>
    <w:rsid w:val="008E19D9"/>
    <w:rsid w:val="008E1C01"/>
    <w:rsid w:val="008E1FDD"/>
    <w:rsid w:val="008E245D"/>
    <w:rsid w:val="008E28DE"/>
    <w:rsid w:val="008E2E1C"/>
    <w:rsid w:val="008E3049"/>
    <w:rsid w:val="008E35A3"/>
    <w:rsid w:val="008E361B"/>
    <w:rsid w:val="008E375E"/>
    <w:rsid w:val="008E3D4C"/>
    <w:rsid w:val="008E4101"/>
    <w:rsid w:val="008E4DE0"/>
    <w:rsid w:val="008E57AC"/>
    <w:rsid w:val="008E5BF3"/>
    <w:rsid w:val="008E5ECB"/>
    <w:rsid w:val="008E608E"/>
    <w:rsid w:val="008E6D0A"/>
    <w:rsid w:val="008E6D41"/>
    <w:rsid w:val="008E6D93"/>
    <w:rsid w:val="008E7151"/>
    <w:rsid w:val="008E7274"/>
    <w:rsid w:val="008E7593"/>
    <w:rsid w:val="008E7E8B"/>
    <w:rsid w:val="008F0562"/>
    <w:rsid w:val="008F0A84"/>
    <w:rsid w:val="008F0AC5"/>
    <w:rsid w:val="008F0C94"/>
    <w:rsid w:val="008F1026"/>
    <w:rsid w:val="008F1F1C"/>
    <w:rsid w:val="008F260B"/>
    <w:rsid w:val="008F2702"/>
    <w:rsid w:val="008F3D35"/>
    <w:rsid w:val="008F5781"/>
    <w:rsid w:val="008F5D3D"/>
    <w:rsid w:val="008F5EF5"/>
    <w:rsid w:val="008F66CE"/>
    <w:rsid w:val="008F6953"/>
    <w:rsid w:val="008F75EB"/>
    <w:rsid w:val="0090120B"/>
    <w:rsid w:val="00901874"/>
    <w:rsid w:val="0090199C"/>
    <w:rsid w:val="0090217D"/>
    <w:rsid w:val="00902296"/>
    <w:rsid w:val="00902E01"/>
    <w:rsid w:val="00903129"/>
    <w:rsid w:val="00903888"/>
    <w:rsid w:val="0090393A"/>
    <w:rsid w:val="00903B58"/>
    <w:rsid w:val="00903C85"/>
    <w:rsid w:val="00903F38"/>
    <w:rsid w:val="00904227"/>
    <w:rsid w:val="009044B3"/>
    <w:rsid w:val="00904D05"/>
    <w:rsid w:val="009051B8"/>
    <w:rsid w:val="009060A3"/>
    <w:rsid w:val="0090649C"/>
    <w:rsid w:val="00906819"/>
    <w:rsid w:val="00906821"/>
    <w:rsid w:val="00906BC7"/>
    <w:rsid w:val="00906E65"/>
    <w:rsid w:val="00906FE3"/>
    <w:rsid w:val="009071B8"/>
    <w:rsid w:val="00907519"/>
    <w:rsid w:val="00907F51"/>
    <w:rsid w:val="0091032E"/>
    <w:rsid w:val="009104CA"/>
    <w:rsid w:val="0091058F"/>
    <w:rsid w:val="009107A8"/>
    <w:rsid w:val="00910845"/>
    <w:rsid w:val="00910BB4"/>
    <w:rsid w:val="00910EC1"/>
    <w:rsid w:val="00911C24"/>
    <w:rsid w:val="00912662"/>
    <w:rsid w:val="0091321E"/>
    <w:rsid w:val="00913648"/>
    <w:rsid w:val="00913E77"/>
    <w:rsid w:val="009144D5"/>
    <w:rsid w:val="009146AD"/>
    <w:rsid w:val="009156D4"/>
    <w:rsid w:val="00915F98"/>
    <w:rsid w:val="00915FA3"/>
    <w:rsid w:val="009163F6"/>
    <w:rsid w:val="00916907"/>
    <w:rsid w:val="00916BDB"/>
    <w:rsid w:val="00917525"/>
    <w:rsid w:val="0092016C"/>
    <w:rsid w:val="00920309"/>
    <w:rsid w:val="009205DD"/>
    <w:rsid w:val="009210F5"/>
    <w:rsid w:val="00921190"/>
    <w:rsid w:val="00921258"/>
    <w:rsid w:val="009215F7"/>
    <w:rsid w:val="009217F8"/>
    <w:rsid w:val="00921B02"/>
    <w:rsid w:val="00922379"/>
    <w:rsid w:val="009223C7"/>
    <w:rsid w:val="00923803"/>
    <w:rsid w:val="00923B74"/>
    <w:rsid w:val="00923C08"/>
    <w:rsid w:val="00923C73"/>
    <w:rsid w:val="009244D7"/>
    <w:rsid w:val="0092470E"/>
    <w:rsid w:val="00924BB6"/>
    <w:rsid w:val="00924D57"/>
    <w:rsid w:val="009250DB"/>
    <w:rsid w:val="00925187"/>
    <w:rsid w:val="0092576A"/>
    <w:rsid w:val="00925F22"/>
    <w:rsid w:val="0092709C"/>
    <w:rsid w:val="0092717F"/>
    <w:rsid w:val="009272BE"/>
    <w:rsid w:val="00927744"/>
    <w:rsid w:val="00927B05"/>
    <w:rsid w:val="00927D94"/>
    <w:rsid w:val="009302A3"/>
    <w:rsid w:val="00930F4E"/>
    <w:rsid w:val="00933371"/>
    <w:rsid w:val="009334AB"/>
    <w:rsid w:val="0093362D"/>
    <w:rsid w:val="00933A9B"/>
    <w:rsid w:val="00934081"/>
    <w:rsid w:val="00934566"/>
    <w:rsid w:val="00934AAF"/>
    <w:rsid w:val="00935E0D"/>
    <w:rsid w:val="00936062"/>
    <w:rsid w:val="00936E03"/>
    <w:rsid w:val="00936F52"/>
    <w:rsid w:val="00937295"/>
    <w:rsid w:val="00937437"/>
    <w:rsid w:val="0093781E"/>
    <w:rsid w:val="00937965"/>
    <w:rsid w:val="00937CBE"/>
    <w:rsid w:val="00940717"/>
    <w:rsid w:val="0094074D"/>
    <w:rsid w:val="00940DE9"/>
    <w:rsid w:val="009414D8"/>
    <w:rsid w:val="009416D2"/>
    <w:rsid w:val="0094181A"/>
    <w:rsid w:val="009425DF"/>
    <w:rsid w:val="00942CA6"/>
    <w:rsid w:val="009430B1"/>
    <w:rsid w:val="00943743"/>
    <w:rsid w:val="009437B6"/>
    <w:rsid w:val="00943A76"/>
    <w:rsid w:val="00944037"/>
    <w:rsid w:val="00944087"/>
    <w:rsid w:val="0094484A"/>
    <w:rsid w:val="00944AC7"/>
    <w:rsid w:val="00944D24"/>
    <w:rsid w:val="00944E74"/>
    <w:rsid w:val="00945531"/>
    <w:rsid w:val="00945BDB"/>
    <w:rsid w:val="009461CC"/>
    <w:rsid w:val="009462FA"/>
    <w:rsid w:val="00946455"/>
    <w:rsid w:val="00947952"/>
    <w:rsid w:val="0095012E"/>
    <w:rsid w:val="0095017F"/>
    <w:rsid w:val="0095047F"/>
    <w:rsid w:val="00950D7F"/>
    <w:rsid w:val="00951934"/>
    <w:rsid w:val="00951B6C"/>
    <w:rsid w:val="0095207B"/>
    <w:rsid w:val="00952E2B"/>
    <w:rsid w:val="0095310C"/>
    <w:rsid w:val="009532B2"/>
    <w:rsid w:val="00954131"/>
    <w:rsid w:val="00954612"/>
    <w:rsid w:val="009549B1"/>
    <w:rsid w:val="00954C8C"/>
    <w:rsid w:val="00956ACE"/>
    <w:rsid w:val="00956AE2"/>
    <w:rsid w:val="00956E5C"/>
    <w:rsid w:val="009572A0"/>
    <w:rsid w:val="00957D24"/>
    <w:rsid w:val="009604D2"/>
    <w:rsid w:val="00960C1E"/>
    <w:rsid w:val="00960DCF"/>
    <w:rsid w:val="009617E5"/>
    <w:rsid w:val="00961B53"/>
    <w:rsid w:val="00961ED3"/>
    <w:rsid w:val="00961FDC"/>
    <w:rsid w:val="00962125"/>
    <w:rsid w:val="00962CD6"/>
    <w:rsid w:val="00963264"/>
    <w:rsid w:val="0096389D"/>
    <w:rsid w:val="00964736"/>
    <w:rsid w:val="009647A8"/>
    <w:rsid w:val="009649EA"/>
    <w:rsid w:val="009650FD"/>
    <w:rsid w:val="00965B72"/>
    <w:rsid w:val="00965C6B"/>
    <w:rsid w:val="00965E8E"/>
    <w:rsid w:val="009664DA"/>
    <w:rsid w:val="00967436"/>
    <w:rsid w:val="009674EE"/>
    <w:rsid w:val="009676C0"/>
    <w:rsid w:val="00970075"/>
    <w:rsid w:val="009704BC"/>
    <w:rsid w:val="009706C3"/>
    <w:rsid w:val="0097087B"/>
    <w:rsid w:val="009709A9"/>
    <w:rsid w:val="00970BF0"/>
    <w:rsid w:val="00971060"/>
    <w:rsid w:val="009718A3"/>
    <w:rsid w:val="00972078"/>
    <w:rsid w:val="0097259C"/>
    <w:rsid w:val="009728A0"/>
    <w:rsid w:val="009729E5"/>
    <w:rsid w:val="0097343C"/>
    <w:rsid w:val="0097357A"/>
    <w:rsid w:val="00973D33"/>
    <w:rsid w:val="009740EA"/>
    <w:rsid w:val="0097422A"/>
    <w:rsid w:val="00974825"/>
    <w:rsid w:val="00976496"/>
    <w:rsid w:val="00976817"/>
    <w:rsid w:val="009771F1"/>
    <w:rsid w:val="009802FD"/>
    <w:rsid w:val="009803A9"/>
    <w:rsid w:val="009803CB"/>
    <w:rsid w:val="009803D4"/>
    <w:rsid w:val="009805A0"/>
    <w:rsid w:val="009807A2"/>
    <w:rsid w:val="0098094F"/>
    <w:rsid w:val="009809D9"/>
    <w:rsid w:val="009814CE"/>
    <w:rsid w:val="009815A5"/>
    <w:rsid w:val="0098161F"/>
    <w:rsid w:val="0098199C"/>
    <w:rsid w:val="00981CD4"/>
    <w:rsid w:val="00981D96"/>
    <w:rsid w:val="00981F63"/>
    <w:rsid w:val="00982048"/>
    <w:rsid w:val="00982306"/>
    <w:rsid w:val="00982894"/>
    <w:rsid w:val="00982AD9"/>
    <w:rsid w:val="00983342"/>
    <w:rsid w:val="009833AE"/>
    <w:rsid w:val="00983853"/>
    <w:rsid w:val="009839EF"/>
    <w:rsid w:val="00983B3E"/>
    <w:rsid w:val="00984109"/>
    <w:rsid w:val="009847A9"/>
    <w:rsid w:val="00984C1C"/>
    <w:rsid w:val="00984E0F"/>
    <w:rsid w:val="00985214"/>
    <w:rsid w:val="009855AD"/>
    <w:rsid w:val="0098562D"/>
    <w:rsid w:val="00985CBF"/>
    <w:rsid w:val="00985E51"/>
    <w:rsid w:val="009862B8"/>
    <w:rsid w:val="00986DF2"/>
    <w:rsid w:val="009873F3"/>
    <w:rsid w:val="00987732"/>
    <w:rsid w:val="00987DE0"/>
    <w:rsid w:val="009902A1"/>
    <w:rsid w:val="00990631"/>
    <w:rsid w:val="0099088A"/>
    <w:rsid w:val="00990D06"/>
    <w:rsid w:val="00990E9B"/>
    <w:rsid w:val="00991370"/>
    <w:rsid w:val="009913EE"/>
    <w:rsid w:val="00991EA3"/>
    <w:rsid w:val="00992D57"/>
    <w:rsid w:val="00992FC1"/>
    <w:rsid w:val="00992FF3"/>
    <w:rsid w:val="00993A5D"/>
    <w:rsid w:val="00993C42"/>
    <w:rsid w:val="00993C9E"/>
    <w:rsid w:val="00993CED"/>
    <w:rsid w:val="00993D6B"/>
    <w:rsid w:val="0099442D"/>
    <w:rsid w:val="00994A23"/>
    <w:rsid w:val="00994BD3"/>
    <w:rsid w:val="00994C27"/>
    <w:rsid w:val="009955A8"/>
    <w:rsid w:val="009956CE"/>
    <w:rsid w:val="009956D3"/>
    <w:rsid w:val="00995E98"/>
    <w:rsid w:val="00995EB0"/>
    <w:rsid w:val="009964F4"/>
    <w:rsid w:val="00996F15"/>
    <w:rsid w:val="00997BA8"/>
    <w:rsid w:val="009A006A"/>
    <w:rsid w:val="009A0301"/>
    <w:rsid w:val="009A06F4"/>
    <w:rsid w:val="009A1623"/>
    <w:rsid w:val="009A198D"/>
    <w:rsid w:val="009A1A7E"/>
    <w:rsid w:val="009A1B8A"/>
    <w:rsid w:val="009A1D53"/>
    <w:rsid w:val="009A2042"/>
    <w:rsid w:val="009A2267"/>
    <w:rsid w:val="009A25E6"/>
    <w:rsid w:val="009A27CB"/>
    <w:rsid w:val="009A31EA"/>
    <w:rsid w:val="009A3778"/>
    <w:rsid w:val="009A3E2E"/>
    <w:rsid w:val="009A51C8"/>
    <w:rsid w:val="009A5649"/>
    <w:rsid w:val="009A5726"/>
    <w:rsid w:val="009A585E"/>
    <w:rsid w:val="009A5881"/>
    <w:rsid w:val="009A5BA0"/>
    <w:rsid w:val="009A5BB8"/>
    <w:rsid w:val="009A5EF7"/>
    <w:rsid w:val="009A6519"/>
    <w:rsid w:val="009A6CCE"/>
    <w:rsid w:val="009A74AA"/>
    <w:rsid w:val="009A7864"/>
    <w:rsid w:val="009A7ECA"/>
    <w:rsid w:val="009A7F34"/>
    <w:rsid w:val="009B197E"/>
    <w:rsid w:val="009B1BFC"/>
    <w:rsid w:val="009B1DFC"/>
    <w:rsid w:val="009B2245"/>
    <w:rsid w:val="009B258E"/>
    <w:rsid w:val="009B2699"/>
    <w:rsid w:val="009B2918"/>
    <w:rsid w:val="009B29F8"/>
    <w:rsid w:val="009B3E15"/>
    <w:rsid w:val="009B3F90"/>
    <w:rsid w:val="009B4CA0"/>
    <w:rsid w:val="009B508E"/>
    <w:rsid w:val="009B51BA"/>
    <w:rsid w:val="009B5997"/>
    <w:rsid w:val="009B5DD4"/>
    <w:rsid w:val="009B66DE"/>
    <w:rsid w:val="009B699F"/>
    <w:rsid w:val="009B6B23"/>
    <w:rsid w:val="009B6C1C"/>
    <w:rsid w:val="009B704F"/>
    <w:rsid w:val="009B725E"/>
    <w:rsid w:val="009B72A9"/>
    <w:rsid w:val="009B7AAF"/>
    <w:rsid w:val="009B7ABD"/>
    <w:rsid w:val="009B7CAE"/>
    <w:rsid w:val="009C03FA"/>
    <w:rsid w:val="009C1421"/>
    <w:rsid w:val="009C161E"/>
    <w:rsid w:val="009C1B35"/>
    <w:rsid w:val="009C1BBB"/>
    <w:rsid w:val="009C1D27"/>
    <w:rsid w:val="009C373B"/>
    <w:rsid w:val="009C3BD9"/>
    <w:rsid w:val="009C4C1B"/>
    <w:rsid w:val="009C4C2E"/>
    <w:rsid w:val="009C532F"/>
    <w:rsid w:val="009C5B82"/>
    <w:rsid w:val="009C64BC"/>
    <w:rsid w:val="009C6B09"/>
    <w:rsid w:val="009C6E47"/>
    <w:rsid w:val="009C743C"/>
    <w:rsid w:val="009C756E"/>
    <w:rsid w:val="009C75B9"/>
    <w:rsid w:val="009C7772"/>
    <w:rsid w:val="009D0052"/>
    <w:rsid w:val="009D02A0"/>
    <w:rsid w:val="009D0512"/>
    <w:rsid w:val="009D063A"/>
    <w:rsid w:val="009D0872"/>
    <w:rsid w:val="009D0995"/>
    <w:rsid w:val="009D1199"/>
    <w:rsid w:val="009D17F6"/>
    <w:rsid w:val="009D21BE"/>
    <w:rsid w:val="009D2C75"/>
    <w:rsid w:val="009D31E3"/>
    <w:rsid w:val="009D367E"/>
    <w:rsid w:val="009D370D"/>
    <w:rsid w:val="009D3861"/>
    <w:rsid w:val="009D386A"/>
    <w:rsid w:val="009D3C3D"/>
    <w:rsid w:val="009D3E21"/>
    <w:rsid w:val="009D5288"/>
    <w:rsid w:val="009D5618"/>
    <w:rsid w:val="009D6091"/>
    <w:rsid w:val="009D65B8"/>
    <w:rsid w:val="009D700F"/>
    <w:rsid w:val="009D7271"/>
    <w:rsid w:val="009D7B24"/>
    <w:rsid w:val="009D7EEB"/>
    <w:rsid w:val="009E0BD9"/>
    <w:rsid w:val="009E0C28"/>
    <w:rsid w:val="009E1101"/>
    <w:rsid w:val="009E13EE"/>
    <w:rsid w:val="009E14E4"/>
    <w:rsid w:val="009E176E"/>
    <w:rsid w:val="009E1788"/>
    <w:rsid w:val="009E2647"/>
    <w:rsid w:val="009E2AD3"/>
    <w:rsid w:val="009E2EF0"/>
    <w:rsid w:val="009E306E"/>
    <w:rsid w:val="009E36FB"/>
    <w:rsid w:val="009E3D07"/>
    <w:rsid w:val="009E40DC"/>
    <w:rsid w:val="009E425F"/>
    <w:rsid w:val="009E47E5"/>
    <w:rsid w:val="009E4A58"/>
    <w:rsid w:val="009E4CAC"/>
    <w:rsid w:val="009E4D00"/>
    <w:rsid w:val="009E5C56"/>
    <w:rsid w:val="009E6208"/>
    <w:rsid w:val="009E771C"/>
    <w:rsid w:val="009E79F3"/>
    <w:rsid w:val="009F054D"/>
    <w:rsid w:val="009F0F42"/>
    <w:rsid w:val="009F146F"/>
    <w:rsid w:val="009F15C4"/>
    <w:rsid w:val="009F293C"/>
    <w:rsid w:val="009F2CE3"/>
    <w:rsid w:val="009F31F1"/>
    <w:rsid w:val="009F3683"/>
    <w:rsid w:val="009F377D"/>
    <w:rsid w:val="009F3C75"/>
    <w:rsid w:val="009F40E8"/>
    <w:rsid w:val="009F44BC"/>
    <w:rsid w:val="009F4B6F"/>
    <w:rsid w:val="009F50F7"/>
    <w:rsid w:val="009F5328"/>
    <w:rsid w:val="009F5407"/>
    <w:rsid w:val="009F5AB5"/>
    <w:rsid w:val="009F6629"/>
    <w:rsid w:val="009F703E"/>
    <w:rsid w:val="009F76F8"/>
    <w:rsid w:val="009F7786"/>
    <w:rsid w:val="009F778B"/>
    <w:rsid w:val="009F7875"/>
    <w:rsid w:val="009F7E1C"/>
    <w:rsid w:val="00A0037E"/>
    <w:rsid w:val="00A003BE"/>
    <w:rsid w:val="00A01303"/>
    <w:rsid w:val="00A013B2"/>
    <w:rsid w:val="00A01854"/>
    <w:rsid w:val="00A01C2C"/>
    <w:rsid w:val="00A01CCE"/>
    <w:rsid w:val="00A02933"/>
    <w:rsid w:val="00A02C4F"/>
    <w:rsid w:val="00A0360E"/>
    <w:rsid w:val="00A036EA"/>
    <w:rsid w:val="00A03E95"/>
    <w:rsid w:val="00A0422C"/>
    <w:rsid w:val="00A04949"/>
    <w:rsid w:val="00A04958"/>
    <w:rsid w:val="00A04A09"/>
    <w:rsid w:val="00A056AE"/>
    <w:rsid w:val="00A05821"/>
    <w:rsid w:val="00A058B3"/>
    <w:rsid w:val="00A05A58"/>
    <w:rsid w:val="00A05AF5"/>
    <w:rsid w:val="00A05C63"/>
    <w:rsid w:val="00A05D1D"/>
    <w:rsid w:val="00A05EA2"/>
    <w:rsid w:val="00A063A0"/>
    <w:rsid w:val="00A0642E"/>
    <w:rsid w:val="00A0721B"/>
    <w:rsid w:val="00A076CC"/>
    <w:rsid w:val="00A07B34"/>
    <w:rsid w:val="00A101C1"/>
    <w:rsid w:val="00A1036F"/>
    <w:rsid w:val="00A10434"/>
    <w:rsid w:val="00A1165C"/>
    <w:rsid w:val="00A11C7E"/>
    <w:rsid w:val="00A12490"/>
    <w:rsid w:val="00A125D6"/>
    <w:rsid w:val="00A132E7"/>
    <w:rsid w:val="00A1378D"/>
    <w:rsid w:val="00A1390A"/>
    <w:rsid w:val="00A14180"/>
    <w:rsid w:val="00A14E53"/>
    <w:rsid w:val="00A153B0"/>
    <w:rsid w:val="00A15580"/>
    <w:rsid w:val="00A15A67"/>
    <w:rsid w:val="00A16197"/>
    <w:rsid w:val="00A1638E"/>
    <w:rsid w:val="00A16422"/>
    <w:rsid w:val="00A16449"/>
    <w:rsid w:val="00A16FCE"/>
    <w:rsid w:val="00A17694"/>
    <w:rsid w:val="00A17A17"/>
    <w:rsid w:val="00A17E8F"/>
    <w:rsid w:val="00A218D7"/>
    <w:rsid w:val="00A22EFC"/>
    <w:rsid w:val="00A237F8"/>
    <w:rsid w:val="00A23DCE"/>
    <w:rsid w:val="00A242F9"/>
    <w:rsid w:val="00A24697"/>
    <w:rsid w:val="00A24958"/>
    <w:rsid w:val="00A262D2"/>
    <w:rsid w:val="00A26389"/>
    <w:rsid w:val="00A267CC"/>
    <w:rsid w:val="00A26B46"/>
    <w:rsid w:val="00A26DEB"/>
    <w:rsid w:val="00A27D5B"/>
    <w:rsid w:val="00A27E97"/>
    <w:rsid w:val="00A27F9B"/>
    <w:rsid w:val="00A303B8"/>
    <w:rsid w:val="00A3077B"/>
    <w:rsid w:val="00A30A98"/>
    <w:rsid w:val="00A31241"/>
    <w:rsid w:val="00A319F5"/>
    <w:rsid w:val="00A320AF"/>
    <w:rsid w:val="00A32BCD"/>
    <w:rsid w:val="00A33AF8"/>
    <w:rsid w:val="00A33EC0"/>
    <w:rsid w:val="00A340C0"/>
    <w:rsid w:val="00A34273"/>
    <w:rsid w:val="00A344AE"/>
    <w:rsid w:val="00A34735"/>
    <w:rsid w:val="00A349B4"/>
    <w:rsid w:val="00A35158"/>
    <w:rsid w:val="00A35209"/>
    <w:rsid w:val="00A355E7"/>
    <w:rsid w:val="00A3599B"/>
    <w:rsid w:val="00A35C58"/>
    <w:rsid w:val="00A361C3"/>
    <w:rsid w:val="00A36344"/>
    <w:rsid w:val="00A36803"/>
    <w:rsid w:val="00A36C5D"/>
    <w:rsid w:val="00A37050"/>
    <w:rsid w:val="00A402E1"/>
    <w:rsid w:val="00A40BA4"/>
    <w:rsid w:val="00A40C5E"/>
    <w:rsid w:val="00A40F86"/>
    <w:rsid w:val="00A411FA"/>
    <w:rsid w:val="00A422BA"/>
    <w:rsid w:val="00A42483"/>
    <w:rsid w:val="00A42606"/>
    <w:rsid w:val="00A42847"/>
    <w:rsid w:val="00A42A51"/>
    <w:rsid w:val="00A431D7"/>
    <w:rsid w:val="00A4320E"/>
    <w:rsid w:val="00A435CA"/>
    <w:rsid w:val="00A43620"/>
    <w:rsid w:val="00A43755"/>
    <w:rsid w:val="00A4389C"/>
    <w:rsid w:val="00A44305"/>
    <w:rsid w:val="00A44352"/>
    <w:rsid w:val="00A445E1"/>
    <w:rsid w:val="00A44EC1"/>
    <w:rsid w:val="00A454B3"/>
    <w:rsid w:val="00A454C8"/>
    <w:rsid w:val="00A45923"/>
    <w:rsid w:val="00A45E52"/>
    <w:rsid w:val="00A4614A"/>
    <w:rsid w:val="00A4634C"/>
    <w:rsid w:val="00A46652"/>
    <w:rsid w:val="00A469BA"/>
    <w:rsid w:val="00A46BC8"/>
    <w:rsid w:val="00A46CF4"/>
    <w:rsid w:val="00A46D15"/>
    <w:rsid w:val="00A470F0"/>
    <w:rsid w:val="00A4713D"/>
    <w:rsid w:val="00A501BE"/>
    <w:rsid w:val="00A51511"/>
    <w:rsid w:val="00A51B42"/>
    <w:rsid w:val="00A5285C"/>
    <w:rsid w:val="00A52BA8"/>
    <w:rsid w:val="00A52E79"/>
    <w:rsid w:val="00A5323B"/>
    <w:rsid w:val="00A545EC"/>
    <w:rsid w:val="00A54D40"/>
    <w:rsid w:val="00A54EDF"/>
    <w:rsid w:val="00A54FB4"/>
    <w:rsid w:val="00A55174"/>
    <w:rsid w:val="00A55217"/>
    <w:rsid w:val="00A5553E"/>
    <w:rsid w:val="00A55BD8"/>
    <w:rsid w:val="00A55C27"/>
    <w:rsid w:val="00A5683F"/>
    <w:rsid w:val="00A56C0D"/>
    <w:rsid w:val="00A56DE0"/>
    <w:rsid w:val="00A56E90"/>
    <w:rsid w:val="00A575CB"/>
    <w:rsid w:val="00A605EA"/>
    <w:rsid w:val="00A608FF"/>
    <w:rsid w:val="00A609A1"/>
    <w:rsid w:val="00A6102C"/>
    <w:rsid w:val="00A61038"/>
    <w:rsid w:val="00A611E4"/>
    <w:rsid w:val="00A6123A"/>
    <w:rsid w:val="00A61D55"/>
    <w:rsid w:val="00A61F36"/>
    <w:rsid w:val="00A6240E"/>
    <w:rsid w:val="00A626F8"/>
    <w:rsid w:val="00A62C75"/>
    <w:rsid w:val="00A6357C"/>
    <w:rsid w:val="00A638E4"/>
    <w:rsid w:val="00A63B5A"/>
    <w:rsid w:val="00A63BFF"/>
    <w:rsid w:val="00A63C18"/>
    <w:rsid w:val="00A63EEC"/>
    <w:rsid w:val="00A643D1"/>
    <w:rsid w:val="00A65B1F"/>
    <w:rsid w:val="00A66096"/>
    <w:rsid w:val="00A662DC"/>
    <w:rsid w:val="00A667E8"/>
    <w:rsid w:val="00A66C5E"/>
    <w:rsid w:val="00A66CB3"/>
    <w:rsid w:val="00A66D65"/>
    <w:rsid w:val="00A66DD5"/>
    <w:rsid w:val="00A6741B"/>
    <w:rsid w:val="00A6758E"/>
    <w:rsid w:val="00A6775D"/>
    <w:rsid w:val="00A67B41"/>
    <w:rsid w:val="00A70857"/>
    <w:rsid w:val="00A70943"/>
    <w:rsid w:val="00A70E7C"/>
    <w:rsid w:val="00A70FC1"/>
    <w:rsid w:val="00A71096"/>
    <w:rsid w:val="00A71AE4"/>
    <w:rsid w:val="00A71DD5"/>
    <w:rsid w:val="00A72012"/>
    <w:rsid w:val="00A738FB"/>
    <w:rsid w:val="00A73BD1"/>
    <w:rsid w:val="00A73BEE"/>
    <w:rsid w:val="00A74160"/>
    <w:rsid w:val="00A74226"/>
    <w:rsid w:val="00A743C0"/>
    <w:rsid w:val="00A757B0"/>
    <w:rsid w:val="00A7698C"/>
    <w:rsid w:val="00A76CCE"/>
    <w:rsid w:val="00A776A4"/>
    <w:rsid w:val="00A77A1E"/>
    <w:rsid w:val="00A8049D"/>
    <w:rsid w:val="00A810D6"/>
    <w:rsid w:val="00A811A1"/>
    <w:rsid w:val="00A81B58"/>
    <w:rsid w:val="00A822C2"/>
    <w:rsid w:val="00A82990"/>
    <w:rsid w:val="00A83BB0"/>
    <w:rsid w:val="00A84087"/>
    <w:rsid w:val="00A841C1"/>
    <w:rsid w:val="00A84DDF"/>
    <w:rsid w:val="00A85352"/>
    <w:rsid w:val="00A85ABF"/>
    <w:rsid w:val="00A85E44"/>
    <w:rsid w:val="00A861CF"/>
    <w:rsid w:val="00A8632A"/>
    <w:rsid w:val="00A87547"/>
    <w:rsid w:val="00A903A2"/>
    <w:rsid w:val="00A90401"/>
    <w:rsid w:val="00A90A61"/>
    <w:rsid w:val="00A90FB2"/>
    <w:rsid w:val="00A91045"/>
    <w:rsid w:val="00A91734"/>
    <w:rsid w:val="00A91B12"/>
    <w:rsid w:val="00A921E3"/>
    <w:rsid w:val="00A9296D"/>
    <w:rsid w:val="00A9297F"/>
    <w:rsid w:val="00A93141"/>
    <w:rsid w:val="00A9349A"/>
    <w:rsid w:val="00A937D0"/>
    <w:rsid w:val="00A938A7"/>
    <w:rsid w:val="00A93E18"/>
    <w:rsid w:val="00A941DF"/>
    <w:rsid w:val="00A942DA"/>
    <w:rsid w:val="00A94D20"/>
    <w:rsid w:val="00A952DC"/>
    <w:rsid w:val="00A96354"/>
    <w:rsid w:val="00A963D5"/>
    <w:rsid w:val="00A96571"/>
    <w:rsid w:val="00A965FB"/>
    <w:rsid w:val="00A96B69"/>
    <w:rsid w:val="00A9702F"/>
    <w:rsid w:val="00A97456"/>
    <w:rsid w:val="00A9752B"/>
    <w:rsid w:val="00A97843"/>
    <w:rsid w:val="00A9788A"/>
    <w:rsid w:val="00AA05A9"/>
    <w:rsid w:val="00AA06DE"/>
    <w:rsid w:val="00AA164F"/>
    <w:rsid w:val="00AA17A8"/>
    <w:rsid w:val="00AA17F3"/>
    <w:rsid w:val="00AA1A3F"/>
    <w:rsid w:val="00AA1BB4"/>
    <w:rsid w:val="00AA2461"/>
    <w:rsid w:val="00AA2574"/>
    <w:rsid w:val="00AA2865"/>
    <w:rsid w:val="00AA3A9B"/>
    <w:rsid w:val="00AA3BF1"/>
    <w:rsid w:val="00AA436D"/>
    <w:rsid w:val="00AA4E26"/>
    <w:rsid w:val="00AA5022"/>
    <w:rsid w:val="00AA5410"/>
    <w:rsid w:val="00AA583D"/>
    <w:rsid w:val="00AA5E5F"/>
    <w:rsid w:val="00AA6533"/>
    <w:rsid w:val="00AA684A"/>
    <w:rsid w:val="00AA69F5"/>
    <w:rsid w:val="00AA6CA4"/>
    <w:rsid w:val="00AA70D2"/>
    <w:rsid w:val="00AA777F"/>
    <w:rsid w:val="00AA7D15"/>
    <w:rsid w:val="00AA7D19"/>
    <w:rsid w:val="00AB0824"/>
    <w:rsid w:val="00AB112C"/>
    <w:rsid w:val="00AB1EE2"/>
    <w:rsid w:val="00AB21C6"/>
    <w:rsid w:val="00AB2309"/>
    <w:rsid w:val="00AB25C0"/>
    <w:rsid w:val="00AB26A7"/>
    <w:rsid w:val="00AB2841"/>
    <w:rsid w:val="00AB2CFA"/>
    <w:rsid w:val="00AB2D69"/>
    <w:rsid w:val="00AB3BB1"/>
    <w:rsid w:val="00AB4081"/>
    <w:rsid w:val="00AB437B"/>
    <w:rsid w:val="00AB4FB9"/>
    <w:rsid w:val="00AB5262"/>
    <w:rsid w:val="00AB5EDF"/>
    <w:rsid w:val="00AB5F19"/>
    <w:rsid w:val="00AB5F54"/>
    <w:rsid w:val="00AB61D4"/>
    <w:rsid w:val="00AB6413"/>
    <w:rsid w:val="00AB6569"/>
    <w:rsid w:val="00AB7288"/>
    <w:rsid w:val="00AB734F"/>
    <w:rsid w:val="00AC05A0"/>
    <w:rsid w:val="00AC0BA7"/>
    <w:rsid w:val="00AC0EBE"/>
    <w:rsid w:val="00AC131A"/>
    <w:rsid w:val="00AC34D4"/>
    <w:rsid w:val="00AC3916"/>
    <w:rsid w:val="00AC3AE1"/>
    <w:rsid w:val="00AC4195"/>
    <w:rsid w:val="00AC44B0"/>
    <w:rsid w:val="00AC4B2C"/>
    <w:rsid w:val="00AC4D4A"/>
    <w:rsid w:val="00AC52D2"/>
    <w:rsid w:val="00AC532F"/>
    <w:rsid w:val="00AC53F5"/>
    <w:rsid w:val="00AC5FF6"/>
    <w:rsid w:val="00AC6073"/>
    <w:rsid w:val="00AC6675"/>
    <w:rsid w:val="00AC6842"/>
    <w:rsid w:val="00AC6F7D"/>
    <w:rsid w:val="00AC720A"/>
    <w:rsid w:val="00AC7455"/>
    <w:rsid w:val="00AC7B68"/>
    <w:rsid w:val="00AD00AE"/>
    <w:rsid w:val="00AD033D"/>
    <w:rsid w:val="00AD0540"/>
    <w:rsid w:val="00AD1991"/>
    <w:rsid w:val="00AD1CF4"/>
    <w:rsid w:val="00AD35B1"/>
    <w:rsid w:val="00AD3885"/>
    <w:rsid w:val="00AD3A06"/>
    <w:rsid w:val="00AD40F1"/>
    <w:rsid w:val="00AD4929"/>
    <w:rsid w:val="00AD4A3D"/>
    <w:rsid w:val="00AD4FB6"/>
    <w:rsid w:val="00AD60EA"/>
    <w:rsid w:val="00AD67D4"/>
    <w:rsid w:val="00AD69B1"/>
    <w:rsid w:val="00AD6C0A"/>
    <w:rsid w:val="00AD765A"/>
    <w:rsid w:val="00AD76EA"/>
    <w:rsid w:val="00AE0096"/>
    <w:rsid w:val="00AE03B0"/>
    <w:rsid w:val="00AE15AA"/>
    <w:rsid w:val="00AE2247"/>
    <w:rsid w:val="00AE2878"/>
    <w:rsid w:val="00AE29BB"/>
    <w:rsid w:val="00AE33DD"/>
    <w:rsid w:val="00AE368A"/>
    <w:rsid w:val="00AE374F"/>
    <w:rsid w:val="00AE40E8"/>
    <w:rsid w:val="00AE432A"/>
    <w:rsid w:val="00AE4331"/>
    <w:rsid w:val="00AE4496"/>
    <w:rsid w:val="00AE4947"/>
    <w:rsid w:val="00AE495F"/>
    <w:rsid w:val="00AE4AC0"/>
    <w:rsid w:val="00AE599F"/>
    <w:rsid w:val="00AE614D"/>
    <w:rsid w:val="00AE740B"/>
    <w:rsid w:val="00AE76FD"/>
    <w:rsid w:val="00AE7849"/>
    <w:rsid w:val="00AE7977"/>
    <w:rsid w:val="00AE79FA"/>
    <w:rsid w:val="00AE7D5D"/>
    <w:rsid w:val="00AE7DCE"/>
    <w:rsid w:val="00AF023A"/>
    <w:rsid w:val="00AF0295"/>
    <w:rsid w:val="00AF02A5"/>
    <w:rsid w:val="00AF03E9"/>
    <w:rsid w:val="00AF0699"/>
    <w:rsid w:val="00AF0B36"/>
    <w:rsid w:val="00AF0DE8"/>
    <w:rsid w:val="00AF0E6D"/>
    <w:rsid w:val="00AF170D"/>
    <w:rsid w:val="00AF1742"/>
    <w:rsid w:val="00AF18DE"/>
    <w:rsid w:val="00AF1F10"/>
    <w:rsid w:val="00AF212A"/>
    <w:rsid w:val="00AF2998"/>
    <w:rsid w:val="00AF32BD"/>
    <w:rsid w:val="00AF3D39"/>
    <w:rsid w:val="00AF3DF3"/>
    <w:rsid w:val="00AF3EFF"/>
    <w:rsid w:val="00AF497B"/>
    <w:rsid w:val="00AF4E83"/>
    <w:rsid w:val="00AF5005"/>
    <w:rsid w:val="00AF5B75"/>
    <w:rsid w:val="00AF6396"/>
    <w:rsid w:val="00AF6A4C"/>
    <w:rsid w:val="00AF6E8E"/>
    <w:rsid w:val="00AF734C"/>
    <w:rsid w:val="00AF7E62"/>
    <w:rsid w:val="00B00504"/>
    <w:rsid w:val="00B01057"/>
    <w:rsid w:val="00B01687"/>
    <w:rsid w:val="00B01895"/>
    <w:rsid w:val="00B018D4"/>
    <w:rsid w:val="00B02183"/>
    <w:rsid w:val="00B021F1"/>
    <w:rsid w:val="00B02DAD"/>
    <w:rsid w:val="00B0356C"/>
    <w:rsid w:val="00B042D8"/>
    <w:rsid w:val="00B047C2"/>
    <w:rsid w:val="00B04CB1"/>
    <w:rsid w:val="00B050B6"/>
    <w:rsid w:val="00B050E1"/>
    <w:rsid w:val="00B05635"/>
    <w:rsid w:val="00B0631B"/>
    <w:rsid w:val="00B0672A"/>
    <w:rsid w:val="00B06C13"/>
    <w:rsid w:val="00B06C66"/>
    <w:rsid w:val="00B06DA9"/>
    <w:rsid w:val="00B07620"/>
    <w:rsid w:val="00B07EFF"/>
    <w:rsid w:val="00B108C1"/>
    <w:rsid w:val="00B10989"/>
    <w:rsid w:val="00B11983"/>
    <w:rsid w:val="00B11DAF"/>
    <w:rsid w:val="00B1215A"/>
    <w:rsid w:val="00B1305F"/>
    <w:rsid w:val="00B1314F"/>
    <w:rsid w:val="00B1385F"/>
    <w:rsid w:val="00B14943"/>
    <w:rsid w:val="00B14CDF"/>
    <w:rsid w:val="00B151CF"/>
    <w:rsid w:val="00B152FA"/>
    <w:rsid w:val="00B156D1"/>
    <w:rsid w:val="00B16182"/>
    <w:rsid w:val="00B16745"/>
    <w:rsid w:val="00B1716A"/>
    <w:rsid w:val="00B174C2"/>
    <w:rsid w:val="00B17F39"/>
    <w:rsid w:val="00B20445"/>
    <w:rsid w:val="00B20876"/>
    <w:rsid w:val="00B20ACA"/>
    <w:rsid w:val="00B2146C"/>
    <w:rsid w:val="00B216F0"/>
    <w:rsid w:val="00B21B0C"/>
    <w:rsid w:val="00B21E5A"/>
    <w:rsid w:val="00B229FE"/>
    <w:rsid w:val="00B22C8D"/>
    <w:rsid w:val="00B239EB"/>
    <w:rsid w:val="00B247AD"/>
    <w:rsid w:val="00B25429"/>
    <w:rsid w:val="00B258DC"/>
    <w:rsid w:val="00B25D05"/>
    <w:rsid w:val="00B26622"/>
    <w:rsid w:val="00B26669"/>
    <w:rsid w:val="00B268DC"/>
    <w:rsid w:val="00B26A34"/>
    <w:rsid w:val="00B26F23"/>
    <w:rsid w:val="00B270D6"/>
    <w:rsid w:val="00B2750A"/>
    <w:rsid w:val="00B276B4"/>
    <w:rsid w:val="00B27795"/>
    <w:rsid w:val="00B278DC"/>
    <w:rsid w:val="00B303F6"/>
    <w:rsid w:val="00B307B7"/>
    <w:rsid w:val="00B31406"/>
    <w:rsid w:val="00B316A3"/>
    <w:rsid w:val="00B32486"/>
    <w:rsid w:val="00B32CA5"/>
    <w:rsid w:val="00B32E0E"/>
    <w:rsid w:val="00B32E1F"/>
    <w:rsid w:val="00B33877"/>
    <w:rsid w:val="00B33EE2"/>
    <w:rsid w:val="00B34815"/>
    <w:rsid w:val="00B35FDC"/>
    <w:rsid w:val="00B36028"/>
    <w:rsid w:val="00B36544"/>
    <w:rsid w:val="00B3703C"/>
    <w:rsid w:val="00B37252"/>
    <w:rsid w:val="00B37C97"/>
    <w:rsid w:val="00B40064"/>
    <w:rsid w:val="00B40AA2"/>
    <w:rsid w:val="00B416E1"/>
    <w:rsid w:val="00B41D0D"/>
    <w:rsid w:val="00B4217B"/>
    <w:rsid w:val="00B424A8"/>
    <w:rsid w:val="00B42C9B"/>
    <w:rsid w:val="00B43036"/>
    <w:rsid w:val="00B430FB"/>
    <w:rsid w:val="00B4362C"/>
    <w:rsid w:val="00B43950"/>
    <w:rsid w:val="00B43FCC"/>
    <w:rsid w:val="00B4408D"/>
    <w:rsid w:val="00B44104"/>
    <w:rsid w:val="00B44185"/>
    <w:rsid w:val="00B44311"/>
    <w:rsid w:val="00B44410"/>
    <w:rsid w:val="00B455C5"/>
    <w:rsid w:val="00B45663"/>
    <w:rsid w:val="00B45926"/>
    <w:rsid w:val="00B45AA4"/>
    <w:rsid w:val="00B45B91"/>
    <w:rsid w:val="00B45F40"/>
    <w:rsid w:val="00B462ED"/>
    <w:rsid w:val="00B46B79"/>
    <w:rsid w:val="00B476FF"/>
    <w:rsid w:val="00B477E9"/>
    <w:rsid w:val="00B479D1"/>
    <w:rsid w:val="00B47B8F"/>
    <w:rsid w:val="00B47E1A"/>
    <w:rsid w:val="00B47F0C"/>
    <w:rsid w:val="00B50A44"/>
    <w:rsid w:val="00B5142F"/>
    <w:rsid w:val="00B51935"/>
    <w:rsid w:val="00B519D7"/>
    <w:rsid w:val="00B51E46"/>
    <w:rsid w:val="00B51EE9"/>
    <w:rsid w:val="00B520DD"/>
    <w:rsid w:val="00B52540"/>
    <w:rsid w:val="00B5272E"/>
    <w:rsid w:val="00B53019"/>
    <w:rsid w:val="00B53611"/>
    <w:rsid w:val="00B54C44"/>
    <w:rsid w:val="00B55524"/>
    <w:rsid w:val="00B559C2"/>
    <w:rsid w:val="00B55FB4"/>
    <w:rsid w:val="00B56BB5"/>
    <w:rsid w:val="00B5743D"/>
    <w:rsid w:val="00B575BF"/>
    <w:rsid w:val="00B57665"/>
    <w:rsid w:val="00B57A69"/>
    <w:rsid w:val="00B57DD4"/>
    <w:rsid w:val="00B603A5"/>
    <w:rsid w:val="00B60410"/>
    <w:rsid w:val="00B612EA"/>
    <w:rsid w:val="00B61888"/>
    <w:rsid w:val="00B619A4"/>
    <w:rsid w:val="00B61C66"/>
    <w:rsid w:val="00B620C9"/>
    <w:rsid w:val="00B62604"/>
    <w:rsid w:val="00B62DF2"/>
    <w:rsid w:val="00B62FA9"/>
    <w:rsid w:val="00B63600"/>
    <w:rsid w:val="00B636C1"/>
    <w:rsid w:val="00B6381A"/>
    <w:rsid w:val="00B63DEE"/>
    <w:rsid w:val="00B646A1"/>
    <w:rsid w:val="00B64AEF"/>
    <w:rsid w:val="00B64BB7"/>
    <w:rsid w:val="00B659B1"/>
    <w:rsid w:val="00B65E6B"/>
    <w:rsid w:val="00B66117"/>
    <w:rsid w:val="00B66A87"/>
    <w:rsid w:val="00B67AC9"/>
    <w:rsid w:val="00B704B2"/>
    <w:rsid w:val="00B70EBC"/>
    <w:rsid w:val="00B70FF0"/>
    <w:rsid w:val="00B7129C"/>
    <w:rsid w:val="00B712D0"/>
    <w:rsid w:val="00B73D59"/>
    <w:rsid w:val="00B740D3"/>
    <w:rsid w:val="00B741CA"/>
    <w:rsid w:val="00B74B30"/>
    <w:rsid w:val="00B74E58"/>
    <w:rsid w:val="00B751E5"/>
    <w:rsid w:val="00B75650"/>
    <w:rsid w:val="00B757E5"/>
    <w:rsid w:val="00B762FF"/>
    <w:rsid w:val="00B76416"/>
    <w:rsid w:val="00B76704"/>
    <w:rsid w:val="00B771AC"/>
    <w:rsid w:val="00B774A1"/>
    <w:rsid w:val="00B77DC1"/>
    <w:rsid w:val="00B80384"/>
    <w:rsid w:val="00B80A76"/>
    <w:rsid w:val="00B80C88"/>
    <w:rsid w:val="00B80D5A"/>
    <w:rsid w:val="00B80EC9"/>
    <w:rsid w:val="00B8141F"/>
    <w:rsid w:val="00B81F38"/>
    <w:rsid w:val="00B8273F"/>
    <w:rsid w:val="00B83469"/>
    <w:rsid w:val="00B83B33"/>
    <w:rsid w:val="00B83B62"/>
    <w:rsid w:val="00B84331"/>
    <w:rsid w:val="00B84557"/>
    <w:rsid w:val="00B84A17"/>
    <w:rsid w:val="00B84C69"/>
    <w:rsid w:val="00B84E55"/>
    <w:rsid w:val="00B84EC9"/>
    <w:rsid w:val="00B84F56"/>
    <w:rsid w:val="00B8535F"/>
    <w:rsid w:val="00B8549A"/>
    <w:rsid w:val="00B85671"/>
    <w:rsid w:val="00B85A22"/>
    <w:rsid w:val="00B85F1A"/>
    <w:rsid w:val="00B87263"/>
    <w:rsid w:val="00B878CD"/>
    <w:rsid w:val="00B90500"/>
    <w:rsid w:val="00B9080C"/>
    <w:rsid w:val="00B9114E"/>
    <w:rsid w:val="00B916B3"/>
    <w:rsid w:val="00B91929"/>
    <w:rsid w:val="00B91BAC"/>
    <w:rsid w:val="00B91CB1"/>
    <w:rsid w:val="00B91E36"/>
    <w:rsid w:val="00B91EC4"/>
    <w:rsid w:val="00B91ED9"/>
    <w:rsid w:val="00B92020"/>
    <w:rsid w:val="00B92152"/>
    <w:rsid w:val="00B9249B"/>
    <w:rsid w:val="00B928AD"/>
    <w:rsid w:val="00B92C4C"/>
    <w:rsid w:val="00B92F85"/>
    <w:rsid w:val="00B939C9"/>
    <w:rsid w:val="00B9459D"/>
    <w:rsid w:val="00B94C26"/>
    <w:rsid w:val="00B95218"/>
    <w:rsid w:val="00B952D7"/>
    <w:rsid w:val="00B9536C"/>
    <w:rsid w:val="00B95A9F"/>
    <w:rsid w:val="00B95B7F"/>
    <w:rsid w:val="00B97793"/>
    <w:rsid w:val="00B97953"/>
    <w:rsid w:val="00BA0165"/>
    <w:rsid w:val="00BA02A0"/>
    <w:rsid w:val="00BA0DD3"/>
    <w:rsid w:val="00BA11EF"/>
    <w:rsid w:val="00BA1400"/>
    <w:rsid w:val="00BA144E"/>
    <w:rsid w:val="00BA1955"/>
    <w:rsid w:val="00BA1FFB"/>
    <w:rsid w:val="00BA217A"/>
    <w:rsid w:val="00BA22EC"/>
    <w:rsid w:val="00BA2A3A"/>
    <w:rsid w:val="00BA2B3F"/>
    <w:rsid w:val="00BA3069"/>
    <w:rsid w:val="00BA3797"/>
    <w:rsid w:val="00BA3E1E"/>
    <w:rsid w:val="00BA43F0"/>
    <w:rsid w:val="00BA48BB"/>
    <w:rsid w:val="00BA4E45"/>
    <w:rsid w:val="00BA527A"/>
    <w:rsid w:val="00BA566B"/>
    <w:rsid w:val="00BA5738"/>
    <w:rsid w:val="00BA5918"/>
    <w:rsid w:val="00BA59FB"/>
    <w:rsid w:val="00BA5AA7"/>
    <w:rsid w:val="00BA5BEC"/>
    <w:rsid w:val="00BA601D"/>
    <w:rsid w:val="00BA615D"/>
    <w:rsid w:val="00BA7580"/>
    <w:rsid w:val="00BA75F0"/>
    <w:rsid w:val="00BA76AB"/>
    <w:rsid w:val="00BB0301"/>
    <w:rsid w:val="00BB0C3B"/>
    <w:rsid w:val="00BB0E14"/>
    <w:rsid w:val="00BB1094"/>
    <w:rsid w:val="00BB14A3"/>
    <w:rsid w:val="00BB16AC"/>
    <w:rsid w:val="00BB16DE"/>
    <w:rsid w:val="00BB1986"/>
    <w:rsid w:val="00BB23A7"/>
    <w:rsid w:val="00BB2539"/>
    <w:rsid w:val="00BB2595"/>
    <w:rsid w:val="00BB373E"/>
    <w:rsid w:val="00BB42A5"/>
    <w:rsid w:val="00BB4389"/>
    <w:rsid w:val="00BB443E"/>
    <w:rsid w:val="00BB475A"/>
    <w:rsid w:val="00BB4832"/>
    <w:rsid w:val="00BB4E93"/>
    <w:rsid w:val="00BB4EB3"/>
    <w:rsid w:val="00BB50DB"/>
    <w:rsid w:val="00BB5200"/>
    <w:rsid w:val="00BB5A68"/>
    <w:rsid w:val="00BB5B6B"/>
    <w:rsid w:val="00BB6003"/>
    <w:rsid w:val="00BB603E"/>
    <w:rsid w:val="00BB60B3"/>
    <w:rsid w:val="00BB6E49"/>
    <w:rsid w:val="00BB6E9C"/>
    <w:rsid w:val="00BB6EDF"/>
    <w:rsid w:val="00BB7C56"/>
    <w:rsid w:val="00BB7F1C"/>
    <w:rsid w:val="00BC0B75"/>
    <w:rsid w:val="00BC15DE"/>
    <w:rsid w:val="00BC17C8"/>
    <w:rsid w:val="00BC1976"/>
    <w:rsid w:val="00BC3116"/>
    <w:rsid w:val="00BC363A"/>
    <w:rsid w:val="00BC369C"/>
    <w:rsid w:val="00BC44A9"/>
    <w:rsid w:val="00BC4972"/>
    <w:rsid w:val="00BC5010"/>
    <w:rsid w:val="00BC5F6E"/>
    <w:rsid w:val="00BC6144"/>
    <w:rsid w:val="00BC67B8"/>
    <w:rsid w:val="00BC6897"/>
    <w:rsid w:val="00BC69DE"/>
    <w:rsid w:val="00BC6A3B"/>
    <w:rsid w:val="00BC6A97"/>
    <w:rsid w:val="00BC6E6D"/>
    <w:rsid w:val="00BC7282"/>
    <w:rsid w:val="00BC79CF"/>
    <w:rsid w:val="00BD13B5"/>
    <w:rsid w:val="00BD1B8D"/>
    <w:rsid w:val="00BD1CC9"/>
    <w:rsid w:val="00BD262C"/>
    <w:rsid w:val="00BD2CF9"/>
    <w:rsid w:val="00BD33D4"/>
    <w:rsid w:val="00BD40B1"/>
    <w:rsid w:val="00BD4183"/>
    <w:rsid w:val="00BD47F6"/>
    <w:rsid w:val="00BD55F3"/>
    <w:rsid w:val="00BD5A73"/>
    <w:rsid w:val="00BD5AE9"/>
    <w:rsid w:val="00BD5CE1"/>
    <w:rsid w:val="00BD61D5"/>
    <w:rsid w:val="00BD6850"/>
    <w:rsid w:val="00BD687B"/>
    <w:rsid w:val="00BD6B0B"/>
    <w:rsid w:val="00BD6B41"/>
    <w:rsid w:val="00BD78E5"/>
    <w:rsid w:val="00BE054F"/>
    <w:rsid w:val="00BE071F"/>
    <w:rsid w:val="00BE109A"/>
    <w:rsid w:val="00BE1245"/>
    <w:rsid w:val="00BE12BB"/>
    <w:rsid w:val="00BE14F7"/>
    <w:rsid w:val="00BE1BB8"/>
    <w:rsid w:val="00BE2E14"/>
    <w:rsid w:val="00BE3068"/>
    <w:rsid w:val="00BE4069"/>
    <w:rsid w:val="00BE4249"/>
    <w:rsid w:val="00BE43DC"/>
    <w:rsid w:val="00BE47BF"/>
    <w:rsid w:val="00BE47F4"/>
    <w:rsid w:val="00BE4B64"/>
    <w:rsid w:val="00BE4C72"/>
    <w:rsid w:val="00BE4E2F"/>
    <w:rsid w:val="00BE4F95"/>
    <w:rsid w:val="00BE5374"/>
    <w:rsid w:val="00BE555F"/>
    <w:rsid w:val="00BE56A1"/>
    <w:rsid w:val="00BE586F"/>
    <w:rsid w:val="00BE60E4"/>
    <w:rsid w:val="00BE6110"/>
    <w:rsid w:val="00BE627A"/>
    <w:rsid w:val="00BE6CE8"/>
    <w:rsid w:val="00BE70A3"/>
    <w:rsid w:val="00BE7640"/>
    <w:rsid w:val="00BF005D"/>
    <w:rsid w:val="00BF03C1"/>
    <w:rsid w:val="00BF0D2F"/>
    <w:rsid w:val="00BF123B"/>
    <w:rsid w:val="00BF1AF7"/>
    <w:rsid w:val="00BF1EC0"/>
    <w:rsid w:val="00BF2ABB"/>
    <w:rsid w:val="00BF2D45"/>
    <w:rsid w:val="00BF2DF3"/>
    <w:rsid w:val="00BF3C02"/>
    <w:rsid w:val="00BF42B9"/>
    <w:rsid w:val="00BF4551"/>
    <w:rsid w:val="00BF4DBF"/>
    <w:rsid w:val="00BF5702"/>
    <w:rsid w:val="00BF61AC"/>
    <w:rsid w:val="00BF686C"/>
    <w:rsid w:val="00BF6EB9"/>
    <w:rsid w:val="00BF7851"/>
    <w:rsid w:val="00BF7C54"/>
    <w:rsid w:val="00C00695"/>
    <w:rsid w:val="00C006A2"/>
    <w:rsid w:val="00C00A13"/>
    <w:rsid w:val="00C00ADF"/>
    <w:rsid w:val="00C0105B"/>
    <w:rsid w:val="00C014AB"/>
    <w:rsid w:val="00C01D35"/>
    <w:rsid w:val="00C01D5F"/>
    <w:rsid w:val="00C0319B"/>
    <w:rsid w:val="00C0345A"/>
    <w:rsid w:val="00C03511"/>
    <w:rsid w:val="00C0352C"/>
    <w:rsid w:val="00C03F91"/>
    <w:rsid w:val="00C04181"/>
    <w:rsid w:val="00C041B7"/>
    <w:rsid w:val="00C048DE"/>
    <w:rsid w:val="00C04C3A"/>
    <w:rsid w:val="00C04EFC"/>
    <w:rsid w:val="00C051EB"/>
    <w:rsid w:val="00C05228"/>
    <w:rsid w:val="00C05322"/>
    <w:rsid w:val="00C05700"/>
    <w:rsid w:val="00C05765"/>
    <w:rsid w:val="00C06475"/>
    <w:rsid w:val="00C06B6F"/>
    <w:rsid w:val="00C07123"/>
    <w:rsid w:val="00C0726E"/>
    <w:rsid w:val="00C074CD"/>
    <w:rsid w:val="00C07A75"/>
    <w:rsid w:val="00C07EC8"/>
    <w:rsid w:val="00C10067"/>
    <w:rsid w:val="00C107C3"/>
    <w:rsid w:val="00C1196B"/>
    <w:rsid w:val="00C1211C"/>
    <w:rsid w:val="00C12A0D"/>
    <w:rsid w:val="00C12DA5"/>
    <w:rsid w:val="00C1303D"/>
    <w:rsid w:val="00C13397"/>
    <w:rsid w:val="00C13520"/>
    <w:rsid w:val="00C1363C"/>
    <w:rsid w:val="00C149A6"/>
    <w:rsid w:val="00C14F9B"/>
    <w:rsid w:val="00C14FAB"/>
    <w:rsid w:val="00C15498"/>
    <w:rsid w:val="00C1556E"/>
    <w:rsid w:val="00C15F42"/>
    <w:rsid w:val="00C1610B"/>
    <w:rsid w:val="00C1611D"/>
    <w:rsid w:val="00C163F1"/>
    <w:rsid w:val="00C16447"/>
    <w:rsid w:val="00C16C9A"/>
    <w:rsid w:val="00C1729C"/>
    <w:rsid w:val="00C17359"/>
    <w:rsid w:val="00C175E4"/>
    <w:rsid w:val="00C17C53"/>
    <w:rsid w:val="00C17D65"/>
    <w:rsid w:val="00C20188"/>
    <w:rsid w:val="00C20279"/>
    <w:rsid w:val="00C2035B"/>
    <w:rsid w:val="00C20454"/>
    <w:rsid w:val="00C20CEE"/>
    <w:rsid w:val="00C21A57"/>
    <w:rsid w:val="00C22113"/>
    <w:rsid w:val="00C22302"/>
    <w:rsid w:val="00C22B0D"/>
    <w:rsid w:val="00C22FDC"/>
    <w:rsid w:val="00C2307F"/>
    <w:rsid w:val="00C231B7"/>
    <w:rsid w:val="00C232E0"/>
    <w:rsid w:val="00C2352A"/>
    <w:rsid w:val="00C23989"/>
    <w:rsid w:val="00C240B9"/>
    <w:rsid w:val="00C24536"/>
    <w:rsid w:val="00C24663"/>
    <w:rsid w:val="00C247D1"/>
    <w:rsid w:val="00C24B5E"/>
    <w:rsid w:val="00C24BE9"/>
    <w:rsid w:val="00C24F35"/>
    <w:rsid w:val="00C251BE"/>
    <w:rsid w:val="00C2534F"/>
    <w:rsid w:val="00C258DC"/>
    <w:rsid w:val="00C25CC8"/>
    <w:rsid w:val="00C25E3C"/>
    <w:rsid w:val="00C27361"/>
    <w:rsid w:val="00C27AEA"/>
    <w:rsid w:val="00C27D79"/>
    <w:rsid w:val="00C27E76"/>
    <w:rsid w:val="00C30058"/>
    <w:rsid w:val="00C30113"/>
    <w:rsid w:val="00C30119"/>
    <w:rsid w:val="00C307FF"/>
    <w:rsid w:val="00C308EE"/>
    <w:rsid w:val="00C30BC4"/>
    <w:rsid w:val="00C3108A"/>
    <w:rsid w:val="00C312DF"/>
    <w:rsid w:val="00C3136C"/>
    <w:rsid w:val="00C31452"/>
    <w:rsid w:val="00C317A2"/>
    <w:rsid w:val="00C32788"/>
    <w:rsid w:val="00C32791"/>
    <w:rsid w:val="00C328FE"/>
    <w:rsid w:val="00C32A65"/>
    <w:rsid w:val="00C32A85"/>
    <w:rsid w:val="00C32CFC"/>
    <w:rsid w:val="00C3343E"/>
    <w:rsid w:val="00C335B9"/>
    <w:rsid w:val="00C33FB1"/>
    <w:rsid w:val="00C343FC"/>
    <w:rsid w:val="00C35D55"/>
    <w:rsid w:val="00C36309"/>
    <w:rsid w:val="00C3651F"/>
    <w:rsid w:val="00C36523"/>
    <w:rsid w:val="00C36633"/>
    <w:rsid w:val="00C36DF8"/>
    <w:rsid w:val="00C36E9D"/>
    <w:rsid w:val="00C36FE9"/>
    <w:rsid w:val="00C3721A"/>
    <w:rsid w:val="00C375C1"/>
    <w:rsid w:val="00C377AB"/>
    <w:rsid w:val="00C37C86"/>
    <w:rsid w:val="00C403B0"/>
    <w:rsid w:val="00C412B1"/>
    <w:rsid w:val="00C4168D"/>
    <w:rsid w:val="00C41851"/>
    <w:rsid w:val="00C41A92"/>
    <w:rsid w:val="00C41C1F"/>
    <w:rsid w:val="00C4388A"/>
    <w:rsid w:val="00C43ACE"/>
    <w:rsid w:val="00C44197"/>
    <w:rsid w:val="00C4436C"/>
    <w:rsid w:val="00C45510"/>
    <w:rsid w:val="00C455BF"/>
    <w:rsid w:val="00C45B20"/>
    <w:rsid w:val="00C46010"/>
    <w:rsid w:val="00C460E4"/>
    <w:rsid w:val="00C461B2"/>
    <w:rsid w:val="00C46658"/>
    <w:rsid w:val="00C46781"/>
    <w:rsid w:val="00C46912"/>
    <w:rsid w:val="00C471C5"/>
    <w:rsid w:val="00C47806"/>
    <w:rsid w:val="00C47A12"/>
    <w:rsid w:val="00C47C8E"/>
    <w:rsid w:val="00C47F9F"/>
    <w:rsid w:val="00C5046C"/>
    <w:rsid w:val="00C50E1B"/>
    <w:rsid w:val="00C50F2B"/>
    <w:rsid w:val="00C51A89"/>
    <w:rsid w:val="00C52FD1"/>
    <w:rsid w:val="00C530BB"/>
    <w:rsid w:val="00C5315E"/>
    <w:rsid w:val="00C5344E"/>
    <w:rsid w:val="00C5359B"/>
    <w:rsid w:val="00C53AF7"/>
    <w:rsid w:val="00C53C9B"/>
    <w:rsid w:val="00C54BF8"/>
    <w:rsid w:val="00C54DAA"/>
    <w:rsid w:val="00C55260"/>
    <w:rsid w:val="00C5529F"/>
    <w:rsid w:val="00C554B5"/>
    <w:rsid w:val="00C55A4B"/>
    <w:rsid w:val="00C55BD7"/>
    <w:rsid w:val="00C5686E"/>
    <w:rsid w:val="00C56B37"/>
    <w:rsid w:val="00C56EF2"/>
    <w:rsid w:val="00C56F58"/>
    <w:rsid w:val="00C570A6"/>
    <w:rsid w:val="00C5783D"/>
    <w:rsid w:val="00C579F3"/>
    <w:rsid w:val="00C57A50"/>
    <w:rsid w:val="00C57AC4"/>
    <w:rsid w:val="00C57ACB"/>
    <w:rsid w:val="00C600B3"/>
    <w:rsid w:val="00C60265"/>
    <w:rsid w:val="00C6026C"/>
    <w:rsid w:val="00C6027F"/>
    <w:rsid w:val="00C60433"/>
    <w:rsid w:val="00C60DE1"/>
    <w:rsid w:val="00C61359"/>
    <w:rsid w:val="00C61464"/>
    <w:rsid w:val="00C6185C"/>
    <w:rsid w:val="00C61BD9"/>
    <w:rsid w:val="00C621AE"/>
    <w:rsid w:val="00C6260F"/>
    <w:rsid w:val="00C6302F"/>
    <w:rsid w:val="00C6350F"/>
    <w:rsid w:val="00C636F5"/>
    <w:rsid w:val="00C636F6"/>
    <w:rsid w:val="00C63804"/>
    <w:rsid w:val="00C6386E"/>
    <w:rsid w:val="00C640B1"/>
    <w:rsid w:val="00C6413D"/>
    <w:rsid w:val="00C647C7"/>
    <w:rsid w:val="00C64AA9"/>
    <w:rsid w:val="00C650D9"/>
    <w:rsid w:val="00C6531B"/>
    <w:rsid w:val="00C66161"/>
    <w:rsid w:val="00C661EE"/>
    <w:rsid w:val="00C663AB"/>
    <w:rsid w:val="00C678BD"/>
    <w:rsid w:val="00C67BA7"/>
    <w:rsid w:val="00C67E02"/>
    <w:rsid w:val="00C67E8E"/>
    <w:rsid w:val="00C70587"/>
    <w:rsid w:val="00C70CF3"/>
    <w:rsid w:val="00C71E92"/>
    <w:rsid w:val="00C71FA9"/>
    <w:rsid w:val="00C72177"/>
    <w:rsid w:val="00C72388"/>
    <w:rsid w:val="00C724DF"/>
    <w:rsid w:val="00C72FF6"/>
    <w:rsid w:val="00C73007"/>
    <w:rsid w:val="00C73020"/>
    <w:rsid w:val="00C7326D"/>
    <w:rsid w:val="00C747BA"/>
    <w:rsid w:val="00C74A67"/>
    <w:rsid w:val="00C74B8C"/>
    <w:rsid w:val="00C74CE6"/>
    <w:rsid w:val="00C754D4"/>
    <w:rsid w:val="00C75C64"/>
    <w:rsid w:val="00C75FA3"/>
    <w:rsid w:val="00C7601E"/>
    <w:rsid w:val="00C76369"/>
    <w:rsid w:val="00C7663A"/>
    <w:rsid w:val="00C768CD"/>
    <w:rsid w:val="00C76A21"/>
    <w:rsid w:val="00C77057"/>
    <w:rsid w:val="00C77A52"/>
    <w:rsid w:val="00C80CDF"/>
    <w:rsid w:val="00C81142"/>
    <w:rsid w:val="00C822B0"/>
    <w:rsid w:val="00C8268F"/>
    <w:rsid w:val="00C8293B"/>
    <w:rsid w:val="00C82B88"/>
    <w:rsid w:val="00C82CDC"/>
    <w:rsid w:val="00C82E10"/>
    <w:rsid w:val="00C8333B"/>
    <w:rsid w:val="00C8350B"/>
    <w:rsid w:val="00C83535"/>
    <w:rsid w:val="00C83D84"/>
    <w:rsid w:val="00C8400B"/>
    <w:rsid w:val="00C844D0"/>
    <w:rsid w:val="00C851BD"/>
    <w:rsid w:val="00C85FF2"/>
    <w:rsid w:val="00C861E9"/>
    <w:rsid w:val="00C86265"/>
    <w:rsid w:val="00C86491"/>
    <w:rsid w:val="00C86AE8"/>
    <w:rsid w:val="00C87436"/>
    <w:rsid w:val="00C90AC6"/>
    <w:rsid w:val="00C90CD4"/>
    <w:rsid w:val="00C91651"/>
    <w:rsid w:val="00C917A4"/>
    <w:rsid w:val="00C91AA1"/>
    <w:rsid w:val="00C922A2"/>
    <w:rsid w:val="00C9298A"/>
    <w:rsid w:val="00C92FCD"/>
    <w:rsid w:val="00C93787"/>
    <w:rsid w:val="00C938A9"/>
    <w:rsid w:val="00C93E06"/>
    <w:rsid w:val="00C94125"/>
    <w:rsid w:val="00C94CDC"/>
    <w:rsid w:val="00C955FF"/>
    <w:rsid w:val="00C9577F"/>
    <w:rsid w:val="00C95C03"/>
    <w:rsid w:val="00C96340"/>
    <w:rsid w:val="00C963EA"/>
    <w:rsid w:val="00C96917"/>
    <w:rsid w:val="00C970D4"/>
    <w:rsid w:val="00C9753F"/>
    <w:rsid w:val="00C976CC"/>
    <w:rsid w:val="00C97CEE"/>
    <w:rsid w:val="00C97DEC"/>
    <w:rsid w:val="00CA007E"/>
    <w:rsid w:val="00CA06A6"/>
    <w:rsid w:val="00CA0B4E"/>
    <w:rsid w:val="00CA0DD2"/>
    <w:rsid w:val="00CA10A3"/>
    <w:rsid w:val="00CA1C07"/>
    <w:rsid w:val="00CA1D49"/>
    <w:rsid w:val="00CA1E0A"/>
    <w:rsid w:val="00CA239B"/>
    <w:rsid w:val="00CA26EA"/>
    <w:rsid w:val="00CA2A5F"/>
    <w:rsid w:val="00CA2FB2"/>
    <w:rsid w:val="00CA3095"/>
    <w:rsid w:val="00CA321C"/>
    <w:rsid w:val="00CA367C"/>
    <w:rsid w:val="00CA39AD"/>
    <w:rsid w:val="00CA3B64"/>
    <w:rsid w:val="00CA3D3A"/>
    <w:rsid w:val="00CA3DE4"/>
    <w:rsid w:val="00CA42D6"/>
    <w:rsid w:val="00CA4491"/>
    <w:rsid w:val="00CA4797"/>
    <w:rsid w:val="00CA4961"/>
    <w:rsid w:val="00CA4B0E"/>
    <w:rsid w:val="00CA5018"/>
    <w:rsid w:val="00CA528A"/>
    <w:rsid w:val="00CA56C7"/>
    <w:rsid w:val="00CA598A"/>
    <w:rsid w:val="00CA59AD"/>
    <w:rsid w:val="00CA5E07"/>
    <w:rsid w:val="00CA64B2"/>
    <w:rsid w:val="00CA6FA3"/>
    <w:rsid w:val="00CA7444"/>
    <w:rsid w:val="00CA7744"/>
    <w:rsid w:val="00CB0EA2"/>
    <w:rsid w:val="00CB1135"/>
    <w:rsid w:val="00CB15E9"/>
    <w:rsid w:val="00CB1C76"/>
    <w:rsid w:val="00CB2400"/>
    <w:rsid w:val="00CB2B4F"/>
    <w:rsid w:val="00CB2BD5"/>
    <w:rsid w:val="00CB2C0B"/>
    <w:rsid w:val="00CB3BEA"/>
    <w:rsid w:val="00CB4A8B"/>
    <w:rsid w:val="00CB503F"/>
    <w:rsid w:val="00CB5085"/>
    <w:rsid w:val="00CB5C55"/>
    <w:rsid w:val="00CB5F44"/>
    <w:rsid w:val="00CB6370"/>
    <w:rsid w:val="00CB63A6"/>
    <w:rsid w:val="00CB6F0D"/>
    <w:rsid w:val="00CB793F"/>
    <w:rsid w:val="00CB7DB7"/>
    <w:rsid w:val="00CC07B9"/>
    <w:rsid w:val="00CC0E4A"/>
    <w:rsid w:val="00CC0E6C"/>
    <w:rsid w:val="00CC0E72"/>
    <w:rsid w:val="00CC0FC4"/>
    <w:rsid w:val="00CC1C5C"/>
    <w:rsid w:val="00CC1D1A"/>
    <w:rsid w:val="00CC2040"/>
    <w:rsid w:val="00CC241A"/>
    <w:rsid w:val="00CC30D2"/>
    <w:rsid w:val="00CC3248"/>
    <w:rsid w:val="00CC335E"/>
    <w:rsid w:val="00CC52AB"/>
    <w:rsid w:val="00CC56BB"/>
    <w:rsid w:val="00CC5956"/>
    <w:rsid w:val="00CC5A71"/>
    <w:rsid w:val="00CC5D70"/>
    <w:rsid w:val="00CC6260"/>
    <w:rsid w:val="00CC6295"/>
    <w:rsid w:val="00CC6412"/>
    <w:rsid w:val="00CC695F"/>
    <w:rsid w:val="00CC7921"/>
    <w:rsid w:val="00CC7ACD"/>
    <w:rsid w:val="00CC7FBB"/>
    <w:rsid w:val="00CD0145"/>
    <w:rsid w:val="00CD0323"/>
    <w:rsid w:val="00CD05AF"/>
    <w:rsid w:val="00CD06DD"/>
    <w:rsid w:val="00CD077F"/>
    <w:rsid w:val="00CD1404"/>
    <w:rsid w:val="00CD168D"/>
    <w:rsid w:val="00CD2310"/>
    <w:rsid w:val="00CD27A8"/>
    <w:rsid w:val="00CD2E56"/>
    <w:rsid w:val="00CD3171"/>
    <w:rsid w:val="00CD34DE"/>
    <w:rsid w:val="00CD3989"/>
    <w:rsid w:val="00CD405E"/>
    <w:rsid w:val="00CD42D0"/>
    <w:rsid w:val="00CD4BA9"/>
    <w:rsid w:val="00CD4D12"/>
    <w:rsid w:val="00CD5106"/>
    <w:rsid w:val="00CD5DB6"/>
    <w:rsid w:val="00CD63FA"/>
    <w:rsid w:val="00CD6A05"/>
    <w:rsid w:val="00CD6E61"/>
    <w:rsid w:val="00CD7097"/>
    <w:rsid w:val="00CD76DB"/>
    <w:rsid w:val="00CD7A5C"/>
    <w:rsid w:val="00CD7B73"/>
    <w:rsid w:val="00CE05B9"/>
    <w:rsid w:val="00CE0CA8"/>
    <w:rsid w:val="00CE11C8"/>
    <w:rsid w:val="00CE11CB"/>
    <w:rsid w:val="00CE1D9B"/>
    <w:rsid w:val="00CE27E1"/>
    <w:rsid w:val="00CE2851"/>
    <w:rsid w:val="00CE28E3"/>
    <w:rsid w:val="00CE35C3"/>
    <w:rsid w:val="00CE393A"/>
    <w:rsid w:val="00CE4649"/>
    <w:rsid w:val="00CE51EF"/>
    <w:rsid w:val="00CE5796"/>
    <w:rsid w:val="00CE58D9"/>
    <w:rsid w:val="00CE6614"/>
    <w:rsid w:val="00CE6DA6"/>
    <w:rsid w:val="00CE742E"/>
    <w:rsid w:val="00CE7F92"/>
    <w:rsid w:val="00CF0980"/>
    <w:rsid w:val="00CF116C"/>
    <w:rsid w:val="00CF17C2"/>
    <w:rsid w:val="00CF19A5"/>
    <w:rsid w:val="00CF1A2D"/>
    <w:rsid w:val="00CF1B7F"/>
    <w:rsid w:val="00CF1C97"/>
    <w:rsid w:val="00CF2042"/>
    <w:rsid w:val="00CF20BD"/>
    <w:rsid w:val="00CF26A4"/>
    <w:rsid w:val="00CF280B"/>
    <w:rsid w:val="00CF2913"/>
    <w:rsid w:val="00CF2A52"/>
    <w:rsid w:val="00CF2EF7"/>
    <w:rsid w:val="00CF3251"/>
    <w:rsid w:val="00CF3939"/>
    <w:rsid w:val="00CF4155"/>
    <w:rsid w:val="00CF439F"/>
    <w:rsid w:val="00CF446E"/>
    <w:rsid w:val="00CF4519"/>
    <w:rsid w:val="00CF4FFA"/>
    <w:rsid w:val="00CF579D"/>
    <w:rsid w:val="00CF5B31"/>
    <w:rsid w:val="00CF5CB6"/>
    <w:rsid w:val="00CF6FB2"/>
    <w:rsid w:val="00CF7120"/>
    <w:rsid w:val="00CF724C"/>
    <w:rsid w:val="00D001B4"/>
    <w:rsid w:val="00D003B7"/>
    <w:rsid w:val="00D00E36"/>
    <w:rsid w:val="00D00F11"/>
    <w:rsid w:val="00D0168B"/>
    <w:rsid w:val="00D029D4"/>
    <w:rsid w:val="00D02F4F"/>
    <w:rsid w:val="00D0375F"/>
    <w:rsid w:val="00D03FC1"/>
    <w:rsid w:val="00D03FEF"/>
    <w:rsid w:val="00D0422C"/>
    <w:rsid w:val="00D04A75"/>
    <w:rsid w:val="00D04CB3"/>
    <w:rsid w:val="00D057B2"/>
    <w:rsid w:val="00D058A9"/>
    <w:rsid w:val="00D05BA6"/>
    <w:rsid w:val="00D05D16"/>
    <w:rsid w:val="00D068B3"/>
    <w:rsid w:val="00D06AB2"/>
    <w:rsid w:val="00D1002D"/>
    <w:rsid w:val="00D104DE"/>
    <w:rsid w:val="00D1163B"/>
    <w:rsid w:val="00D11D8E"/>
    <w:rsid w:val="00D120F6"/>
    <w:rsid w:val="00D126D9"/>
    <w:rsid w:val="00D1285A"/>
    <w:rsid w:val="00D128FF"/>
    <w:rsid w:val="00D12E47"/>
    <w:rsid w:val="00D12E63"/>
    <w:rsid w:val="00D12E95"/>
    <w:rsid w:val="00D130F3"/>
    <w:rsid w:val="00D13359"/>
    <w:rsid w:val="00D1355B"/>
    <w:rsid w:val="00D13887"/>
    <w:rsid w:val="00D13CB0"/>
    <w:rsid w:val="00D13D3B"/>
    <w:rsid w:val="00D13DF9"/>
    <w:rsid w:val="00D13FBF"/>
    <w:rsid w:val="00D142C0"/>
    <w:rsid w:val="00D14308"/>
    <w:rsid w:val="00D14B79"/>
    <w:rsid w:val="00D14E59"/>
    <w:rsid w:val="00D1508A"/>
    <w:rsid w:val="00D15204"/>
    <w:rsid w:val="00D15437"/>
    <w:rsid w:val="00D15E3D"/>
    <w:rsid w:val="00D15F0B"/>
    <w:rsid w:val="00D164D8"/>
    <w:rsid w:val="00D1656C"/>
    <w:rsid w:val="00D17DCE"/>
    <w:rsid w:val="00D20031"/>
    <w:rsid w:val="00D20207"/>
    <w:rsid w:val="00D20446"/>
    <w:rsid w:val="00D21AC5"/>
    <w:rsid w:val="00D21EB6"/>
    <w:rsid w:val="00D22431"/>
    <w:rsid w:val="00D22F65"/>
    <w:rsid w:val="00D2327E"/>
    <w:rsid w:val="00D23DCE"/>
    <w:rsid w:val="00D24058"/>
    <w:rsid w:val="00D243BB"/>
    <w:rsid w:val="00D2484D"/>
    <w:rsid w:val="00D25667"/>
    <w:rsid w:val="00D25995"/>
    <w:rsid w:val="00D25E06"/>
    <w:rsid w:val="00D25F88"/>
    <w:rsid w:val="00D26C6B"/>
    <w:rsid w:val="00D26C97"/>
    <w:rsid w:val="00D26D01"/>
    <w:rsid w:val="00D26FE1"/>
    <w:rsid w:val="00D27B68"/>
    <w:rsid w:val="00D3075C"/>
    <w:rsid w:val="00D30F65"/>
    <w:rsid w:val="00D313B3"/>
    <w:rsid w:val="00D31E04"/>
    <w:rsid w:val="00D3292B"/>
    <w:rsid w:val="00D33035"/>
    <w:rsid w:val="00D33F02"/>
    <w:rsid w:val="00D3467D"/>
    <w:rsid w:val="00D3499C"/>
    <w:rsid w:val="00D358F7"/>
    <w:rsid w:val="00D35C3A"/>
    <w:rsid w:val="00D35D70"/>
    <w:rsid w:val="00D36376"/>
    <w:rsid w:val="00D36762"/>
    <w:rsid w:val="00D36E67"/>
    <w:rsid w:val="00D377C7"/>
    <w:rsid w:val="00D37829"/>
    <w:rsid w:val="00D37859"/>
    <w:rsid w:val="00D37EF5"/>
    <w:rsid w:val="00D40B91"/>
    <w:rsid w:val="00D40C66"/>
    <w:rsid w:val="00D419C9"/>
    <w:rsid w:val="00D41EFD"/>
    <w:rsid w:val="00D4274B"/>
    <w:rsid w:val="00D428B9"/>
    <w:rsid w:val="00D43246"/>
    <w:rsid w:val="00D43323"/>
    <w:rsid w:val="00D43738"/>
    <w:rsid w:val="00D43B21"/>
    <w:rsid w:val="00D43E63"/>
    <w:rsid w:val="00D43F38"/>
    <w:rsid w:val="00D44106"/>
    <w:rsid w:val="00D4467D"/>
    <w:rsid w:val="00D4493F"/>
    <w:rsid w:val="00D4564B"/>
    <w:rsid w:val="00D45750"/>
    <w:rsid w:val="00D457EA"/>
    <w:rsid w:val="00D45C42"/>
    <w:rsid w:val="00D45E38"/>
    <w:rsid w:val="00D46307"/>
    <w:rsid w:val="00D517C5"/>
    <w:rsid w:val="00D51E77"/>
    <w:rsid w:val="00D525ED"/>
    <w:rsid w:val="00D52854"/>
    <w:rsid w:val="00D52E54"/>
    <w:rsid w:val="00D52FF5"/>
    <w:rsid w:val="00D535D5"/>
    <w:rsid w:val="00D53996"/>
    <w:rsid w:val="00D53B9E"/>
    <w:rsid w:val="00D53BD6"/>
    <w:rsid w:val="00D53CDE"/>
    <w:rsid w:val="00D54A0E"/>
    <w:rsid w:val="00D54C2F"/>
    <w:rsid w:val="00D54F92"/>
    <w:rsid w:val="00D56004"/>
    <w:rsid w:val="00D560A4"/>
    <w:rsid w:val="00D5622C"/>
    <w:rsid w:val="00D56357"/>
    <w:rsid w:val="00D564C6"/>
    <w:rsid w:val="00D569D3"/>
    <w:rsid w:val="00D56DFA"/>
    <w:rsid w:val="00D57336"/>
    <w:rsid w:val="00D576FD"/>
    <w:rsid w:val="00D57897"/>
    <w:rsid w:val="00D579E9"/>
    <w:rsid w:val="00D57B1C"/>
    <w:rsid w:val="00D57F06"/>
    <w:rsid w:val="00D604E9"/>
    <w:rsid w:val="00D607B3"/>
    <w:rsid w:val="00D60BFB"/>
    <w:rsid w:val="00D60C2C"/>
    <w:rsid w:val="00D60C33"/>
    <w:rsid w:val="00D60E22"/>
    <w:rsid w:val="00D61302"/>
    <w:rsid w:val="00D61796"/>
    <w:rsid w:val="00D625A2"/>
    <w:rsid w:val="00D62CCA"/>
    <w:rsid w:val="00D62F4D"/>
    <w:rsid w:val="00D62F8F"/>
    <w:rsid w:val="00D6484F"/>
    <w:rsid w:val="00D64906"/>
    <w:rsid w:val="00D64926"/>
    <w:rsid w:val="00D649AA"/>
    <w:rsid w:val="00D652D9"/>
    <w:rsid w:val="00D652FF"/>
    <w:rsid w:val="00D6598D"/>
    <w:rsid w:val="00D65B44"/>
    <w:rsid w:val="00D65B6A"/>
    <w:rsid w:val="00D65C5F"/>
    <w:rsid w:val="00D66269"/>
    <w:rsid w:val="00D662AD"/>
    <w:rsid w:val="00D66A1C"/>
    <w:rsid w:val="00D70BB4"/>
    <w:rsid w:val="00D70C2F"/>
    <w:rsid w:val="00D70DDA"/>
    <w:rsid w:val="00D7100C"/>
    <w:rsid w:val="00D7156C"/>
    <w:rsid w:val="00D71649"/>
    <w:rsid w:val="00D718E0"/>
    <w:rsid w:val="00D72688"/>
    <w:rsid w:val="00D72E14"/>
    <w:rsid w:val="00D72EA6"/>
    <w:rsid w:val="00D73106"/>
    <w:rsid w:val="00D733FA"/>
    <w:rsid w:val="00D7355E"/>
    <w:rsid w:val="00D73AD9"/>
    <w:rsid w:val="00D73EB6"/>
    <w:rsid w:val="00D74175"/>
    <w:rsid w:val="00D74E01"/>
    <w:rsid w:val="00D754B6"/>
    <w:rsid w:val="00D756EF"/>
    <w:rsid w:val="00D75ABC"/>
    <w:rsid w:val="00D75D36"/>
    <w:rsid w:val="00D760DA"/>
    <w:rsid w:val="00D76230"/>
    <w:rsid w:val="00D76330"/>
    <w:rsid w:val="00D766D1"/>
    <w:rsid w:val="00D767E0"/>
    <w:rsid w:val="00D76BBA"/>
    <w:rsid w:val="00D76D92"/>
    <w:rsid w:val="00D76F2E"/>
    <w:rsid w:val="00D77004"/>
    <w:rsid w:val="00D771E8"/>
    <w:rsid w:val="00D7732F"/>
    <w:rsid w:val="00D77750"/>
    <w:rsid w:val="00D77B20"/>
    <w:rsid w:val="00D802B2"/>
    <w:rsid w:val="00D80668"/>
    <w:rsid w:val="00D8071F"/>
    <w:rsid w:val="00D80B8C"/>
    <w:rsid w:val="00D80C29"/>
    <w:rsid w:val="00D8137D"/>
    <w:rsid w:val="00D813E0"/>
    <w:rsid w:val="00D819AD"/>
    <w:rsid w:val="00D82626"/>
    <w:rsid w:val="00D8266C"/>
    <w:rsid w:val="00D82ED7"/>
    <w:rsid w:val="00D830A5"/>
    <w:rsid w:val="00D8316D"/>
    <w:rsid w:val="00D8335C"/>
    <w:rsid w:val="00D837F2"/>
    <w:rsid w:val="00D83B51"/>
    <w:rsid w:val="00D84386"/>
    <w:rsid w:val="00D843C8"/>
    <w:rsid w:val="00D84ECA"/>
    <w:rsid w:val="00D850B2"/>
    <w:rsid w:val="00D8525E"/>
    <w:rsid w:val="00D8625D"/>
    <w:rsid w:val="00D8634D"/>
    <w:rsid w:val="00D8651B"/>
    <w:rsid w:val="00D87E97"/>
    <w:rsid w:val="00D9027B"/>
    <w:rsid w:val="00D9041B"/>
    <w:rsid w:val="00D90DBB"/>
    <w:rsid w:val="00D90E9B"/>
    <w:rsid w:val="00D912A9"/>
    <w:rsid w:val="00D913FD"/>
    <w:rsid w:val="00D9141D"/>
    <w:rsid w:val="00D9181D"/>
    <w:rsid w:val="00D91EE9"/>
    <w:rsid w:val="00D9218E"/>
    <w:rsid w:val="00D92368"/>
    <w:rsid w:val="00D92547"/>
    <w:rsid w:val="00D9259F"/>
    <w:rsid w:val="00D92E5B"/>
    <w:rsid w:val="00D932D4"/>
    <w:rsid w:val="00D94076"/>
    <w:rsid w:val="00D946C9"/>
    <w:rsid w:val="00D948CB"/>
    <w:rsid w:val="00D94A4C"/>
    <w:rsid w:val="00D94CF3"/>
    <w:rsid w:val="00D94F0B"/>
    <w:rsid w:val="00D960B7"/>
    <w:rsid w:val="00D96419"/>
    <w:rsid w:val="00D966A5"/>
    <w:rsid w:val="00D967A8"/>
    <w:rsid w:val="00D967D5"/>
    <w:rsid w:val="00D97307"/>
    <w:rsid w:val="00D97AD0"/>
    <w:rsid w:val="00D97D41"/>
    <w:rsid w:val="00DA058E"/>
    <w:rsid w:val="00DA05A2"/>
    <w:rsid w:val="00DA0A36"/>
    <w:rsid w:val="00DA0B64"/>
    <w:rsid w:val="00DA16AF"/>
    <w:rsid w:val="00DA17E6"/>
    <w:rsid w:val="00DA23EE"/>
    <w:rsid w:val="00DA29CF"/>
    <w:rsid w:val="00DA2F97"/>
    <w:rsid w:val="00DA3098"/>
    <w:rsid w:val="00DA34EE"/>
    <w:rsid w:val="00DA3952"/>
    <w:rsid w:val="00DA3A39"/>
    <w:rsid w:val="00DA3C52"/>
    <w:rsid w:val="00DA3C6D"/>
    <w:rsid w:val="00DA4001"/>
    <w:rsid w:val="00DA4B89"/>
    <w:rsid w:val="00DA4C5F"/>
    <w:rsid w:val="00DA4C92"/>
    <w:rsid w:val="00DA4FE0"/>
    <w:rsid w:val="00DA509C"/>
    <w:rsid w:val="00DA512C"/>
    <w:rsid w:val="00DA51A8"/>
    <w:rsid w:val="00DA5CB5"/>
    <w:rsid w:val="00DA616B"/>
    <w:rsid w:val="00DA6620"/>
    <w:rsid w:val="00DA6765"/>
    <w:rsid w:val="00DA71EB"/>
    <w:rsid w:val="00DA7B1B"/>
    <w:rsid w:val="00DB003C"/>
    <w:rsid w:val="00DB0808"/>
    <w:rsid w:val="00DB0E70"/>
    <w:rsid w:val="00DB106B"/>
    <w:rsid w:val="00DB1E91"/>
    <w:rsid w:val="00DB2058"/>
    <w:rsid w:val="00DB25E6"/>
    <w:rsid w:val="00DB2F02"/>
    <w:rsid w:val="00DB31C5"/>
    <w:rsid w:val="00DB327F"/>
    <w:rsid w:val="00DB3DDD"/>
    <w:rsid w:val="00DB4410"/>
    <w:rsid w:val="00DB45DB"/>
    <w:rsid w:val="00DB493B"/>
    <w:rsid w:val="00DB5117"/>
    <w:rsid w:val="00DB581F"/>
    <w:rsid w:val="00DB5899"/>
    <w:rsid w:val="00DB5B2E"/>
    <w:rsid w:val="00DB6031"/>
    <w:rsid w:val="00DB60D1"/>
    <w:rsid w:val="00DB6504"/>
    <w:rsid w:val="00DB664A"/>
    <w:rsid w:val="00DB6671"/>
    <w:rsid w:val="00DB7463"/>
    <w:rsid w:val="00DB74E3"/>
    <w:rsid w:val="00DB7A78"/>
    <w:rsid w:val="00DB7C4E"/>
    <w:rsid w:val="00DC092A"/>
    <w:rsid w:val="00DC14AF"/>
    <w:rsid w:val="00DC1720"/>
    <w:rsid w:val="00DC1A1D"/>
    <w:rsid w:val="00DC1FB4"/>
    <w:rsid w:val="00DC1FC1"/>
    <w:rsid w:val="00DC204E"/>
    <w:rsid w:val="00DC22ED"/>
    <w:rsid w:val="00DC26D4"/>
    <w:rsid w:val="00DC295E"/>
    <w:rsid w:val="00DC3382"/>
    <w:rsid w:val="00DC3555"/>
    <w:rsid w:val="00DC3633"/>
    <w:rsid w:val="00DC4108"/>
    <w:rsid w:val="00DC418D"/>
    <w:rsid w:val="00DC42E2"/>
    <w:rsid w:val="00DC44A0"/>
    <w:rsid w:val="00DC4EC7"/>
    <w:rsid w:val="00DC4F45"/>
    <w:rsid w:val="00DC4F64"/>
    <w:rsid w:val="00DC50C5"/>
    <w:rsid w:val="00DC53F7"/>
    <w:rsid w:val="00DC64A7"/>
    <w:rsid w:val="00DC7841"/>
    <w:rsid w:val="00DC7BAD"/>
    <w:rsid w:val="00DC7E34"/>
    <w:rsid w:val="00DD003B"/>
    <w:rsid w:val="00DD01AF"/>
    <w:rsid w:val="00DD02AD"/>
    <w:rsid w:val="00DD0953"/>
    <w:rsid w:val="00DD1A95"/>
    <w:rsid w:val="00DD1F25"/>
    <w:rsid w:val="00DD1FF3"/>
    <w:rsid w:val="00DD261C"/>
    <w:rsid w:val="00DD2C81"/>
    <w:rsid w:val="00DD37BD"/>
    <w:rsid w:val="00DD4145"/>
    <w:rsid w:val="00DD4643"/>
    <w:rsid w:val="00DD52AC"/>
    <w:rsid w:val="00DD5967"/>
    <w:rsid w:val="00DD5B04"/>
    <w:rsid w:val="00DD61A6"/>
    <w:rsid w:val="00DD67C1"/>
    <w:rsid w:val="00DD6D54"/>
    <w:rsid w:val="00DD6E36"/>
    <w:rsid w:val="00DD6E66"/>
    <w:rsid w:val="00DD792E"/>
    <w:rsid w:val="00DD7A92"/>
    <w:rsid w:val="00DD7C5C"/>
    <w:rsid w:val="00DE008A"/>
    <w:rsid w:val="00DE035A"/>
    <w:rsid w:val="00DE0CED"/>
    <w:rsid w:val="00DE1724"/>
    <w:rsid w:val="00DE2189"/>
    <w:rsid w:val="00DE2496"/>
    <w:rsid w:val="00DE2E86"/>
    <w:rsid w:val="00DE31ED"/>
    <w:rsid w:val="00DE362F"/>
    <w:rsid w:val="00DE3CD1"/>
    <w:rsid w:val="00DE3D2D"/>
    <w:rsid w:val="00DE460A"/>
    <w:rsid w:val="00DE4942"/>
    <w:rsid w:val="00DE4AD8"/>
    <w:rsid w:val="00DE56B4"/>
    <w:rsid w:val="00DE58B6"/>
    <w:rsid w:val="00DE5DCE"/>
    <w:rsid w:val="00DE6F09"/>
    <w:rsid w:val="00DE7099"/>
    <w:rsid w:val="00DE7C07"/>
    <w:rsid w:val="00DF0CE9"/>
    <w:rsid w:val="00DF0FAA"/>
    <w:rsid w:val="00DF164E"/>
    <w:rsid w:val="00DF1CF8"/>
    <w:rsid w:val="00DF2C34"/>
    <w:rsid w:val="00DF2C84"/>
    <w:rsid w:val="00DF341B"/>
    <w:rsid w:val="00DF3790"/>
    <w:rsid w:val="00DF397F"/>
    <w:rsid w:val="00DF39E9"/>
    <w:rsid w:val="00DF3EF7"/>
    <w:rsid w:val="00DF3EFE"/>
    <w:rsid w:val="00DF3F24"/>
    <w:rsid w:val="00DF431B"/>
    <w:rsid w:val="00DF50BD"/>
    <w:rsid w:val="00DF50F0"/>
    <w:rsid w:val="00DF5187"/>
    <w:rsid w:val="00DF530A"/>
    <w:rsid w:val="00DF61C0"/>
    <w:rsid w:val="00DF62EE"/>
    <w:rsid w:val="00DF67A2"/>
    <w:rsid w:val="00DF7093"/>
    <w:rsid w:val="00DF74D9"/>
    <w:rsid w:val="00DF7852"/>
    <w:rsid w:val="00DF7BAB"/>
    <w:rsid w:val="00DF7E2F"/>
    <w:rsid w:val="00E001BB"/>
    <w:rsid w:val="00E00A0B"/>
    <w:rsid w:val="00E00C4B"/>
    <w:rsid w:val="00E011DB"/>
    <w:rsid w:val="00E0121B"/>
    <w:rsid w:val="00E014A9"/>
    <w:rsid w:val="00E0307B"/>
    <w:rsid w:val="00E033D6"/>
    <w:rsid w:val="00E0360B"/>
    <w:rsid w:val="00E0370E"/>
    <w:rsid w:val="00E03A96"/>
    <w:rsid w:val="00E03B72"/>
    <w:rsid w:val="00E03C77"/>
    <w:rsid w:val="00E0454E"/>
    <w:rsid w:val="00E045E9"/>
    <w:rsid w:val="00E04694"/>
    <w:rsid w:val="00E04F7D"/>
    <w:rsid w:val="00E05D56"/>
    <w:rsid w:val="00E05ECB"/>
    <w:rsid w:val="00E06AE8"/>
    <w:rsid w:val="00E0705F"/>
    <w:rsid w:val="00E079B8"/>
    <w:rsid w:val="00E105A9"/>
    <w:rsid w:val="00E109BA"/>
    <w:rsid w:val="00E11364"/>
    <w:rsid w:val="00E114E8"/>
    <w:rsid w:val="00E11B9D"/>
    <w:rsid w:val="00E12716"/>
    <w:rsid w:val="00E12A78"/>
    <w:rsid w:val="00E133AD"/>
    <w:rsid w:val="00E13407"/>
    <w:rsid w:val="00E134A4"/>
    <w:rsid w:val="00E137B0"/>
    <w:rsid w:val="00E1438B"/>
    <w:rsid w:val="00E15056"/>
    <w:rsid w:val="00E15135"/>
    <w:rsid w:val="00E15464"/>
    <w:rsid w:val="00E156F6"/>
    <w:rsid w:val="00E15981"/>
    <w:rsid w:val="00E15DB1"/>
    <w:rsid w:val="00E16244"/>
    <w:rsid w:val="00E16739"/>
    <w:rsid w:val="00E16907"/>
    <w:rsid w:val="00E16C1A"/>
    <w:rsid w:val="00E172F8"/>
    <w:rsid w:val="00E17552"/>
    <w:rsid w:val="00E20331"/>
    <w:rsid w:val="00E21021"/>
    <w:rsid w:val="00E2115E"/>
    <w:rsid w:val="00E21B03"/>
    <w:rsid w:val="00E221D7"/>
    <w:rsid w:val="00E22445"/>
    <w:rsid w:val="00E235CE"/>
    <w:rsid w:val="00E243C7"/>
    <w:rsid w:val="00E25F73"/>
    <w:rsid w:val="00E260A3"/>
    <w:rsid w:val="00E26566"/>
    <w:rsid w:val="00E26D15"/>
    <w:rsid w:val="00E26F69"/>
    <w:rsid w:val="00E27DDB"/>
    <w:rsid w:val="00E30543"/>
    <w:rsid w:val="00E305BE"/>
    <w:rsid w:val="00E30882"/>
    <w:rsid w:val="00E30A95"/>
    <w:rsid w:val="00E30AB3"/>
    <w:rsid w:val="00E3130C"/>
    <w:rsid w:val="00E3138B"/>
    <w:rsid w:val="00E31702"/>
    <w:rsid w:val="00E31737"/>
    <w:rsid w:val="00E31A53"/>
    <w:rsid w:val="00E31B75"/>
    <w:rsid w:val="00E3242E"/>
    <w:rsid w:val="00E330C9"/>
    <w:rsid w:val="00E3330E"/>
    <w:rsid w:val="00E3351F"/>
    <w:rsid w:val="00E33915"/>
    <w:rsid w:val="00E33992"/>
    <w:rsid w:val="00E33EA3"/>
    <w:rsid w:val="00E343B6"/>
    <w:rsid w:val="00E35848"/>
    <w:rsid w:val="00E35FBC"/>
    <w:rsid w:val="00E361BC"/>
    <w:rsid w:val="00E364F5"/>
    <w:rsid w:val="00E36993"/>
    <w:rsid w:val="00E36ACF"/>
    <w:rsid w:val="00E37972"/>
    <w:rsid w:val="00E40285"/>
    <w:rsid w:val="00E40844"/>
    <w:rsid w:val="00E40CD8"/>
    <w:rsid w:val="00E40DAE"/>
    <w:rsid w:val="00E40E5B"/>
    <w:rsid w:val="00E40F62"/>
    <w:rsid w:val="00E40FC1"/>
    <w:rsid w:val="00E419A6"/>
    <w:rsid w:val="00E421AC"/>
    <w:rsid w:val="00E42CE2"/>
    <w:rsid w:val="00E43217"/>
    <w:rsid w:val="00E43249"/>
    <w:rsid w:val="00E435BB"/>
    <w:rsid w:val="00E436A2"/>
    <w:rsid w:val="00E438FA"/>
    <w:rsid w:val="00E4425A"/>
    <w:rsid w:val="00E4429C"/>
    <w:rsid w:val="00E44B61"/>
    <w:rsid w:val="00E44FA2"/>
    <w:rsid w:val="00E4527F"/>
    <w:rsid w:val="00E457FA"/>
    <w:rsid w:val="00E458D8"/>
    <w:rsid w:val="00E45ED7"/>
    <w:rsid w:val="00E46784"/>
    <w:rsid w:val="00E469C6"/>
    <w:rsid w:val="00E4721E"/>
    <w:rsid w:val="00E47928"/>
    <w:rsid w:val="00E479FF"/>
    <w:rsid w:val="00E47E54"/>
    <w:rsid w:val="00E501AA"/>
    <w:rsid w:val="00E503ED"/>
    <w:rsid w:val="00E505B7"/>
    <w:rsid w:val="00E508C4"/>
    <w:rsid w:val="00E50E2F"/>
    <w:rsid w:val="00E5169F"/>
    <w:rsid w:val="00E518A7"/>
    <w:rsid w:val="00E52470"/>
    <w:rsid w:val="00E528BD"/>
    <w:rsid w:val="00E529F5"/>
    <w:rsid w:val="00E5356B"/>
    <w:rsid w:val="00E538CF"/>
    <w:rsid w:val="00E53E00"/>
    <w:rsid w:val="00E54221"/>
    <w:rsid w:val="00E547E6"/>
    <w:rsid w:val="00E549F3"/>
    <w:rsid w:val="00E55773"/>
    <w:rsid w:val="00E55A8A"/>
    <w:rsid w:val="00E55B1D"/>
    <w:rsid w:val="00E55C97"/>
    <w:rsid w:val="00E55D83"/>
    <w:rsid w:val="00E55E9D"/>
    <w:rsid w:val="00E5650A"/>
    <w:rsid w:val="00E56D22"/>
    <w:rsid w:val="00E574EC"/>
    <w:rsid w:val="00E578C7"/>
    <w:rsid w:val="00E57F9C"/>
    <w:rsid w:val="00E60172"/>
    <w:rsid w:val="00E60E3E"/>
    <w:rsid w:val="00E615F9"/>
    <w:rsid w:val="00E6193C"/>
    <w:rsid w:val="00E623B1"/>
    <w:rsid w:val="00E62BC2"/>
    <w:rsid w:val="00E63419"/>
    <w:rsid w:val="00E6357D"/>
    <w:rsid w:val="00E63914"/>
    <w:rsid w:val="00E63D4A"/>
    <w:rsid w:val="00E63DAA"/>
    <w:rsid w:val="00E64795"/>
    <w:rsid w:val="00E657A5"/>
    <w:rsid w:val="00E661F5"/>
    <w:rsid w:val="00E668A5"/>
    <w:rsid w:val="00E6730C"/>
    <w:rsid w:val="00E675A3"/>
    <w:rsid w:val="00E67A89"/>
    <w:rsid w:val="00E71543"/>
    <w:rsid w:val="00E71BD9"/>
    <w:rsid w:val="00E7221D"/>
    <w:rsid w:val="00E723D0"/>
    <w:rsid w:val="00E729D0"/>
    <w:rsid w:val="00E72C06"/>
    <w:rsid w:val="00E72EAC"/>
    <w:rsid w:val="00E73183"/>
    <w:rsid w:val="00E7383E"/>
    <w:rsid w:val="00E73961"/>
    <w:rsid w:val="00E74244"/>
    <w:rsid w:val="00E7476E"/>
    <w:rsid w:val="00E74F9D"/>
    <w:rsid w:val="00E75144"/>
    <w:rsid w:val="00E756A8"/>
    <w:rsid w:val="00E75ADF"/>
    <w:rsid w:val="00E7615F"/>
    <w:rsid w:val="00E761CA"/>
    <w:rsid w:val="00E761FF"/>
    <w:rsid w:val="00E76287"/>
    <w:rsid w:val="00E76AE0"/>
    <w:rsid w:val="00E80BD4"/>
    <w:rsid w:val="00E819FC"/>
    <w:rsid w:val="00E81A87"/>
    <w:rsid w:val="00E82FAB"/>
    <w:rsid w:val="00E83292"/>
    <w:rsid w:val="00E83403"/>
    <w:rsid w:val="00E83948"/>
    <w:rsid w:val="00E83AE9"/>
    <w:rsid w:val="00E83CF9"/>
    <w:rsid w:val="00E84C0A"/>
    <w:rsid w:val="00E84F44"/>
    <w:rsid w:val="00E8517E"/>
    <w:rsid w:val="00E86157"/>
    <w:rsid w:val="00E869ED"/>
    <w:rsid w:val="00E87169"/>
    <w:rsid w:val="00E87317"/>
    <w:rsid w:val="00E87817"/>
    <w:rsid w:val="00E87D1B"/>
    <w:rsid w:val="00E87F5D"/>
    <w:rsid w:val="00E91C14"/>
    <w:rsid w:val="00E92125"/>
    <w:rsid w:val="00E92974"/>
    <w:rsid w:val="00E92C11"/>
    <w:rsid w:val="00E92F98"/>
    <w:rsid w:val="00E9331D"/>
    <w:rsid w:val="00E9351C"/>
    <w:rsid w:val="00E935B0"/>
    <w:rsid w:val="00E941FE"/>
    <w:rsid w:val="00E952C2"/>
    <w:rsid w:val="00E95322"/>
    <w:rsid w:val="00E95490"/>
    <w:rsid w:val="00E957DB"/>
    <w:rsid w:val="00E9585E"/>
    <w:rsid w:val="00E95B08"/>
    <w:rsid w:val="00E96000"/>
    <w:rsid w:val="00E962F0"/>
    <w:rsid w:val="00E968C1"/>
    <w:rsid w:val="00E96E29"/>
    <w:rsid w:val="00E971F6"/>
    <w:rsid w:val="00E97731"/>
    <w:rsid w:val="00E97A11"/>
    <w:rsid w:val="00E97C49"/>
    <w:rsid w:val="00EA0E54"/>
    <w:rsid w:val="00EA0FBF"/>
    <w:rsid w:val="00EA1769"/>
    <w:rsid w:val="00EA1A93"/>
    <w:rsid w:val="00EA1DFA"/>
    <w:rsid w:val="00EA2011"/>
    <w:rsid w:val="00EA263A"/>
    <w:rsid w:val="00EA2C43"/>
    <w:rsid w:val="00EA2D47"/>
    <w:rsid w:val="00EA3297"/>
    <w:rsid w:val="00EA3671"/>
    <w:rsid w:val="00EA3AB7"/>
    <w:rsid w:val="00EA3D9A"/>
    <w:rsid w:val="00EA455C"/>
    <w:rsid w:val="00EA4A81"/>
    <w:rsid w:val="00EA4EE5"/>
    <w:rsid w:val="00EA52F1"/>
    <w:rsid w:val="00EA5844"/>
    <w:rsid w:val="00EA5DC8"/>
    <w:rsid w:val="00EA68A4"/>
    <w:rsid w:val="00EA69CB"/>
    <w:rsid w:val="00EA773A"/>
    <w:rsid w:val="00EA79A3"/>
    <w:rsid w:val="00EA7B68"/>
    <w:rsid w:val="00EB048E"/>
    <w:rsid w:val="00EB0BEC"/>
    <w:rsid w:val="00EB0DEA"/>
    <w:rsid w:val="00EB155B"/>
    <w:rsid w:val="00EB19AD"/>
    <w:rsid w:val="00EB19BA"/>
    <w:rsid w:val="00EB1F63"/>
    <w:rsid w:val="00EB2040"/>
    <w:rsid w:val="00EB27BC"/>
    <w:rsid w:val="00EB3211"/>
    <w:rsid w:val="00EB389E"/>
    <w:rsid w:val="00EB3CE4"/>
    <w:rsid w:val="00EB4050"/>
    <w:rsid w:val="00EB4108"/>
    <w:rsid w:val="00EB4500"/>
    <w:rsid w:val="00EB4AD8"/>
    <w:rsid w:val="00EB56A6"/>
    <w:rsid w:val="00EB5E3B"/>
    <w:rsid w:val="00EB6A32"/>
    <w:rsid w:val="00EB6F0B"/>
    <w:rsid w:val="00EB71B1"/>
    <w:rsid w:val="00EB76F9"/>
    <w:rsid w:val="00EC0AA7"/>
    <w:rsid w:val="00EC1FCA"/>
    <w:rsid w:val="00EC28AD"/>
    <w:rsid w:val="00EC33A0"/>
    <w:rsid w:val="00EC4261"/>
    <w:rsid w:val="00EC46DC"/>
    <w:rsid w:val="00EC4836"/>
    <w:rsid w:val="00EC4A93"/>
    <w:rsid w:val="00EC5088"/>
    <w:rsid w:val="00EC564F"/>
    <w:rsid w:val="00EC5E8E"/>
    <w:rsid w:val="00EC624D"/>
    <w:rsid w:val="00EC69AC"/>
    <w:rsid w:val="00EC7758"/>
    <w:rsid w:val="00EC779C"/>
    <w:rsid w:val="00ED0633"/>
    <w:rsid w:val="00ED080E"/>
    <w:rsid w:val="00ED119E"/>
    <w:rsid w:val="00ED1A98"/>
    <w:rsid w:val="00ED25CC"/>
    <w:rsid w:val="00ED309B"/>
    <w:rsid w:val="00ED3EF7"/>
    <w:rsid w:val="00ED442F"/>
    <w:rsid w:val="00ED5E38"/>
    <w:rsid w:val="00ED681A"/>
    <w:rsid w:val="00ED6F3B"/>
    <w:rsid w:val="00ED7083"/>
    <w:rsid w:val="00ED70B4"/>
    <w:rsid w:val="00EE0FA6"/>
    <w:rsid w:val="00EE1574"/>
    <w:rsid w:val="00EE1EE2"/>
    <w:rsid w:val="00EE27E4"/>
    <w:rsid w:val="00EE29B3"/>
    <w:rsid w:val="00EE325D"/>
    <w:rsid w:val="00EE327A"/>
    <w:rsid w:val="00EE3887"/>
    <w:rsid w:val="00EE3BA6"/>
    <w:rsid w:val="00EE4490"/>
    <w:rsid w:val="00EE499C"/>
    <w:rsid w:val="00EE4C2F"/>
    <w:rsid w:val="00EE4EEF"/>
    <w:rsid w:val="00EE4F89"/>
    <w:rsid w:val="00EE5208"/>
    <w:rsid w:val="00EE5B8C"/>
    <w:rsid w:val="00EE6790"/>
    <w:rsid w:val="00EE6832"/>
    <w:rsid w:val="00EE745E"/>
    <w:rsid w:val="00EE7AFE"/>
    <w:rsid w:val="00EF0609"/>
    <w:rsid w:val="00EF1755"/>
    <w:rsid w:val="00EF1BBE"/>
    <w:rsid w:val="00EF1ED0"/>
    <w:rsid w:val="00EF2083"/>
    <w:rsid w:val="00EF2670"/>
    <w:rsid w:val="00EF297F"/>
    <w:rsid w:val="00EF2EDF"/>
    <w:rsid w:val="00EF38BD"/>
    <w:rsid w:val="00EF3BD4"/>
    <w:rsid w:val="00EF3D58"/>
    <w:rsid w:val="00EF3D60"/>
    <w:rsid w:val="00EF409C"/>
    <w:rsid w:val="00EF453A"/>
    <w:rsid w:val="00EF4BB9"/>
    <w:rsid w:val="00EF4E68"/>
    <w:rsid w:val="00EF4F96"/>
    <w:rsid w:val="00EF517E"/>
    <w:rsid w:val="00EF5BC5"/>
    <w:rsid w:val="00EF668D"/>
    <w:rsid w:val="00EF7063"/>
    <w:rsid w:val="00EF7084"/>
    <w:rsid w:val="00EF712D"/>
    <w:rsid w:val="00F000E9"/>
    <w:rsid w:val="00F007A7"/>
    <w:rsid w:val="00F024C3"/>
    <w:rsid w:val="00F03B39"/>
    <w:rsid w:val="00F03DD6"/>
    <w:rsid w:val="00F04052"/>
    <w:rsid w:val="00F04852"/>
    <w:rsid w:val="00F04C21"/>
    <w:rsid w:val="00F04FED"/>
    <w:rsid w:val="00F05032"/>
    <w:rsid w:val="00F0504D"/>
    <w:rsid w:val="00F05BD9"/>
    <w:rsid w:val="00F05FC3"/>
    <w:rsid w:val="00F0622B"/>
    <w:rsid w:val="00F06673"/>
    <w:rsid w:val="00F06961"/>
    <w:rsid w:val="00F06DE1"/>
    <w:rsid w:val="00F1066F"/>
    <w:rsid w:val="00F10707"/>
    <w:rsid w:val="00F11D44"/>
    <w:rsid w:val="00F11DD8"/>
    <w:rsid w:val="00F14085"/>
    <w:rsid w:val="00F1415F"/>
    <w:rsid w:val="00F14201"/>
    <w:rsid w:val="00F14620"/>
    <w:rsid w:val="00F14717"/>
    <w:rsid w:val="00F14B56"/>
    <w:rsid w:val="00F14F97"/>
    <w:rsid w:val="00F1508C"/>
    <w:rsid w:val="00F153B7"/>
    <w:rsid w:val="00F15436"/>
    <w:rsid w:val="00F15592"/>
    <w:rsid w:val="00F156B3"/>
    <w:rsid w:val="00F1578E"/>
    <w:rsid w:val="00F164EA"/>
    <w:rsid w:val="00F172CC"/>
    <w:rsid w:val="00F175D8"/>
    <w:rsid w:val="00F17A4D"/>
    <w:rsid w:val="00F20213"/>
    <w:rsid w:val="00F20763"/>
    <w:rsid w:val="00F20F90"/>
    <w:rsid w:val="00F212EC"/>
    <w:rsid w:val="00F227C8"/>
    <w:rsid w:val="00F2292C"/>
    <w:rsid w:val="00F22DAC"/>
    <w:rsid w:val="00F233EE"/>
    <w:rsid w:val="00F237A8"/>
    <w:rsid w:val="00F238BF"/>
    <w:rsid w:val="00F239AB"/>
    <w:rsid w:val="00F23A1F"/>
    <w:rsid w:val="00F23CB7"/>
    <w:rsid w:val="00F241C9"/>
    <w:rsid w:val="00F244A1"/>
    <w:rsid w:val="00F24E22"/>
    <w:rsid w:val="00F257B5"/>
    <w:rsid w:val="00F25F27"/>
    <w:rsid w:val="00F2631A"/>
    <w:rsid w:val="00F263B3"/>
    <w:rsid w:val="00F2720E"/>
    <w:rsid w:val="00F2776D"/>
    <w:rsid w:val="00F2791A"/>
    <w:rsid w:val="00F27C66"/>
    <w:rsid w:val="00F30035"/>
    <w:rsid w:val="00F30F6D"/>
    <w:rsid w:val="00F3156D"/>
    <w:rsid w:val="00F32259"/>
    <w:rsid w:val="00F3247A"/>
    <w:rsid w:val="00F3286B"/>
    <w:rsid w:val="00F3437E"/>
    <w:rsid w:val="00F34695"/>
    <w:rsid w:val="00F346E6"/>
    <w:rsid w:val="00F34BAC"/>
    <w:rsid w:val="00F352B0"/>
    <w:rsid w:val="00F357BE"/>
    <w:rsid w:val="00F35D31"/>
    <w:rsid w:val="00F35E01"/>
    <w:rsid w:val="00F36119"/>
    <w:rsid w:val="00F36A1F"/>
    <w:rsid w:val="00F3754B"/>
    <w:rsid w:val="00F37827"/>
    <w:rsid w:val="00F37DB1"/>
    <w:rsid w:val="00F40864"/>
    <w:rsid w:val="00F408AE"/>
    <w:rsid w:val="00F40D4B"/>
    <w:rsid w:val="00F41DAC"/>
    <w:rsid w:val="00F4231B"/>
    <w:rsid w:val="00F426B7"/>
    <w:rsid w:val="00F42FCA"/>
    <w:rsid w:val="00F4306B"/>
    <w:rsid w:val="00F430F9"/>
    <w:rsid w:val="00F43236"/>
    <w:rsid w:val="00F43395"/>
    <w:rsid w:val="00F433CB"/>
    <w:rsid w:val="00F44895"/>
    <w:rsid w:val="00F448D3"/>
    <w:rsid w:val="00F448DD"/>
    <w:rsid w:val="00F44C9F"/>
    <w:rsid w:val="00F46157"/>
    <w:rsid w:val="00F468F4"/>
    <w:rsid w:val="00F46D3D"/>
    <w:rsid w:val="00F472BD"/>
    <w:rsid w:val="00F500CA"/>
    <w:rsid w:val="00F502FA"/>
    <w:rsid w:val="00F50585"/>
    <w:rsid w:val="00F512BB"/>
    <w:rsid w:val="00F515FC"/>
    <w:rsid w:val="00F516E3"/>
    <w:rsid w:val="00F51F16"/>
    <w:rsid w:val="00F52186"/>
    <w:rsid w:val="00F5231A"/>
    <w:rsid w:val="00F5235B"/>
    <w:rsid w:val="00F52408"/>
    <w:rsid w:val="00F52A3B"/>
    <w:rsid w:val="00F531E4"/>
    <w:rsid w:val="00F5322B"/>
    <w:rsid w:val="00F535E7"/>
    <w:rsid w:val="00F5381B"/>
    <w:rsid w:val="00F53C2E"/>
    <w:rsid w:val="00F54434"/>
    <w:rsid w:val="00F546FF"/>
    <w:rsid w:val="00F54832"/>
    <w:rsid w:val="00F54835"/>
    <w:rsid w:val="00F55A98"/>
    <w:rsid w:val="00F55B33"/>
    <w:rsid w:val="00F55DFE"/>
    <w:rsid w:val="00F56414"/>
    <w:rsid w:val="00F5643A"/>
    <w:rsid w:val="00F56897"/>
    <w:rsid w:val="00F56FFC"/>
    <w:rsid w:val="00F57885"/>
    <w:rsid w:val="00F6046E"/>
    <w:rsid w:val="00F609B8"/>
    <w:rsid w:val="00F60B14"/>
    <w:rsid w:val="00F60FE8"/>
    <w:rsid w:val="00F6113F"/>
    <w:rsid w:val="00F61293"/>
    <w:rsid w:val="00F614DF"/>
    <w:rsid w:val="00F61848"/>
    <w:rsid w:val="00F625CD"/>
    <w:rsid w:val="00F627E9"/>
    <w:rsid w:val="00F64604"/>
    <w:rsid w:val="00F64A2A"/>
    <w:rsid w:val="00F66144"/>
    <w:rsid w:val="00F66B8B"/>
    <w:rsid w:val="00F6713F"/>
    <w:rsid w:val="00F6731E"/>
    <w:rsid w:val="00F674B6"/>
    <w:rsid w:val="00F706E2"/>
    <w:rsid w:val="00F712DE"/>
    <w:rsid w:val="00F71382"/>
    <w:rsid w:val="00F7277E"/>
    <w:rsid w:val="00F728B5"/>
    <w:rsid w:val="00F7295D"/>
    <w:rsid w:val="00F72B75"/>
    <w:rsid w:val="00F7364F"/>
    <w:rsid w:val="00F73E08"/>
    <w:rsid w:val="00F743BA"/>
    <w:rsid w:val="00F7482F"/>
    <w:rsid w:val="00F74B51"/>
    <w:rsid w:val="00F7500D"/>
    <w:rsid w:val="00F7548D"/>
    <w:rsid w:val="00F75604"/>
    <w:rsid w:val="00F75A1B"/>
    <w:rsid w:val="00F76526"/>
    <w:rsid w:val="00F765FF"/>
    <w:rsid w:val="00F7693B"/>
    <w:rsid w:val="00F76EF7"/>
    <w:rsid w:val="00F76F71"/>
    <w:rsid w:val="00F81362"/>
    <w:rsid w:val="00F81774"/>
    <w:rsid w:val="00F81C18"/>
    <w:rsid w:val="00F824A9"/>
    <w:rsid w:val="00F82B1A"/>
    <w:rsid w:val="00F82D54"/>
    <w:rsid w:val="00F8334F"/>
    <w:rsid w:val="00F839EF"/>
    <w:rsid w:val="00F8416D"/>
    <w:rsid w:val="00F84283"/>
    <w:rsid w:val="00F84689"/>
    <w:rsid w:val="00F8485C"/>
    <w:rsid w:val="00F84AEE"/>
    <w:rsid w:val="00F85284"/>
    <w:rsid w:val="00F852AB"/>
    <w:rsid w:val="00F852C0"/>
    <w:rsid w:val="00F853A1"/>
    <w:rsid w:val="00F853B9"/>
    <w:rsid w:val="00F854EE"/>
    <w:rsid w:val="00F858F5"/>
    <w:rsid w:val="00F86603"/>
    <w:rsid w:val="00F86A95"/>
    <w:rsid w:val="00F870B9"/>
    <w:rsid w:val="00F90114"/>
    <w:rsid w:val="00F90391"/>
    <w:rsid w:val="00F90B48"/>
    <w:rsid w:val="00F91353"/>
    <w:rsid w:val="00F91935"/>
    <w:rsid w:val="00F929FD"/>
    <w:rsid w:val="00F92F22"/>
    <w:rsid w:val="00F935AE"/>
    <w:rsid w:val="00F941A8"/>
    <w:rsid w:val="00F943C4"/>
    <w:rsid w:val="00F9559F"/>
    <w:rsid w:val="00F95811"/>
    <w:rsid w:val="00F95A9D"/>
    <w:rsid w:val="00F95B52"/>
    <w:rsid w:val="00F95C01"/>
    <w:rsid w:val="00F96172"/>
    <w:rsid w:val="00F96220"/>
    <w:rsid w:val="00F9676E"/>
    <w:rsid w:val="00F9684A"/>
    <w:rsid w:val="00F96CA5"/>
    <w:rsid w:val="00FA018B"/>
    <w:rsid w:val="00FA04A6"/>
    <w:rsid w:val="00FA0825"/>
    <w:rsid w:val="00FA08AD"/>
    <w:rsid w:val="00FA0F39"/>
    <w:rsid w:val="00FA0FE5"/>
    <w:rsid w:val="00FA164C"/>
    <w:rsid w:val="00FA1841"/>
    <w:rsid w:val="00FA20AE"/>
    <w:rsid w:val="00FA2308"/>
    <w:rsid w:val="00FA261C"/>
    <w:rsid w:val="00FA2BE1"/>
    <w:rsid w:val="00FA2F27"/>
    <w:rsid w:val="00FA347B"/>
    <w:rsid w:val="00FA3B0C"/>
    <w:rsid w:val="00FA3B2F"/>
    <w:rsid w:val="00FA4150"/>
    <w:rsid w:val="00FA4B13"/>
    <w:rsid w:val="00FA5766"/>
    <w:rsid w:val="00FA58D1"/>
    <w:rsid w:val="00FA5D82"/>
    <w:rsid w:val="00FA661A"/>
    <w:rsid w:val="00FA69A1"/>
    <w:rsid w:val="00FA6A30"/>
    <w:rsid w:val="00FA7169"/>
    <w:rsid w:val="00FA790F"/>
    <w:rsid w:val="00FA79E0"/>
    <w:rsid w:val="00FA7D7D"/>
    <w:rsid w:val="00FA7DE4"/>
    <w:rsid w:val="00FB03C6"/>
    <w:rsid w:val="00FB10E2"/>
    <w:rsid w:val="00FB1117"/>
    <w:rsid w:val="00FB1160"/>
    <w:rsid w:val="00FB13C7"/>
    <w:rsid w:val="00FB1535"/>
    <w:rsid w:val="00FB1A3C"/>
    <w:rsid w:val="00FB1F09"/>
    <w:rsid w:val="00FB277F"/>
    <w:rsid w:val="00FB2849"/>
    <w:rsid w:val="00FB2864"/>
    <w:rsid w:val="00FB2A81"/>
    <w:rsid w:val="00FB37A9"/>
    <w:rsid w:val="00FB3E23"/>
    <w:rsid w:val="00FB4152"/>
    <w:rsid w:val="00FB43B4"/>
    <w:rsid w:val="00FB4903"/>
    <w:rsid w:val="00FB4912"/>
    <w:rsid w:val="00FB4F21"/>
    <w:rsid w:val="00FB55CE"/>
    <w:rsid w:val="00FB59C2"/>
    <w:rsid w:val="00FB59CD"/>
    <w:rsid w:val="00FB620D"/>
    <w:rsid w:val="00FB6B0A"/>
    <w:rsid w:val="00FB6F67"/>
    <w:rsid w:val="00FB701F"/>
    <w:rsid w:val="00FB71BA"/>
    <w:rsid w:val="00FB72E9"/>
    <w:rsid w:val="00FB7EFF"/>
    <w:rsid w:val="00FC0127"/>
    <w:rsid w:val="00FC02F3"/>
    <w:rsid w:val="00FC0491"/>
    <w:rsid w:val="00FC0AD7"/>
    <w:rsid w:val="00FC10DE"/>
    <w:rsid w:val="00FC1498"/>
    <w:rsid w:val="00FC1910"/>
    <w:rsid w:val="00FC1B7D"/>
    <w:rsid w:val="00FC1F9E"/>
    <w:rsid w:val="00FC1FB7"/>
    <w:rsid w:val="00FC2381"/>
    <w:rsid w:val="00FC2A68"/>
    <w:rsid w:val="00FC2C44"/>
    <w:rsid w:val="00FC2CB7"/>
    <w:rsid w:val="00FC2D5F"/>
    <w:rsid w:val="00FC3088"/>
    <w:rsid w:val="00FC314D"/>
    <w:rsid w:val="00FC3336"/>
    <w:rsid w:val="00FC3B59"/>
    <w:rsid w:val="00FC3E32"/>
    <w:rsid w:val="00FC3EED"/>
    <w:rsid w:val="00FC4546"/>
    <w:rsid w:val="00FC491D"/>
    <w:rsid w:val="00FC523B"/>
    <w:rsid w:val="00FC5603"/>
    <w:rsid w:val="00FC5729"/>
    <w:rsid w:val="00FC5845"/>
    <w:rsid w:val="00FC6289"/>
    <w:rsid w:val="00FC6558"/>
    <w:rsid w:val="00FC7044"/>
    <w:rsid w:val="00FC7194"/>
    <w:rsid w:val="00FC71C0"/>
    <w:rsid w:val="00FC76A5"/>
    <w:rsid w:val="00FC7ADB"/>
    <w:rsid w:val="00FC7F79"/>
    <w:rsid w:val="00FC7FE3"/>
    <w:rsid w:val="00FD0235"/>
    <w:rsid w:val="00FD03C7"/>
    <w:rsid w:val="00FD06F3"/>
    <w:rsid w:val="00FD0B28"/>
    <w:rsid w:val="00FD146B"/>
    <w:rsid w:val="00FD17BA"/>
    <w:rsid w:val="00FD1875"/>
    <w:rsid w:val="00FD1F84"/>
    <w:rsid w:val="00FD28EC"/>
    <w:rsid w:val="00FD2A70"/>
    <w:rsid w:val="00FD2A99"/>
    <w:rsid w:val="00FD2C9D"/>
    <w:rsid w:val="00FD2F74"/>
    <w:rsid w:val="00FD3B94"/>
    <w:rsid w:val="00FD3C18"/>
    <w:rsid w:val="00FD40DD"/>
    <w:rsid w:val="00FD43B3"/>
    <w:rsid w:val="00FD480A"/>
    <w:rsid w:val="00FD48EA"/>
    <w:rsid w:val="00FD4923"/>
    <w:rsid w:val="00FD51BF"/>
    <w:rsid w:val="00FD5400"/>
    <w:rsid w:val="00FD5408"/>
    <w:rsid w:val="00FD556F"/>
    <w:rsid w:val="00FD5E8B"/>
    <w:rsid w:val="00FD6295"/>
    <w:rsid w:val="00FD649A"/>
    <w:rsid w:val="00FD778B"/>
    <w:rsid w:val="00FD7A1C"/>
    <w:rsid w:val="00FD7A87"/>
    <w:rsid w:val="00FE088F"/>
    <w:rsid w:val="00FE0FE9"/>
    <w:rsid w:val="00FE1118"/>
    <w:rsid w:val="00FE27D9"/>
    <w:rsid w:val="00FE2982"/>
    <w:rsid w:val="00FE2E50"/>
    <w:rsid w:val="00FE3E45"/>
    <w:rsid w:val="00FE3F9D"/>
    <w:rsid w:val="00FE40E5"/>
    <w:rsid w:val="00FE4739"/>
    <w:rsid w:val="00FE4DB2"/>
    <w:rsid w:val="00FE4F32"/>
    <w:rsid w:val="00FE5288"/>
    <w:rsid w:val="00FE5581"/>
    <w:rsid w:val="00FE568D"/>
    <w:rsid w:val="00FE5875"/>
    <w:rsid w:val="00FE5FB7"/>
    <w:rsid w:val="00FE6158"/>
    <w:rsid w:val="00FE681D"/>
    <w:rsid w:val="00FE71BB"/>
    <w:rsid w:val="00FE74DF"/>
    <w:rsid w:val="00FE77CA"/>
    <w:rsid w:val="00FE7B2F"/>
    <w:rsid w:val="00FF028A"/>
    <w:rsid w:val="00FF0DB5"/>
    <w:rsid w:val="00FF0DBD"/>
    <w:rsid w:val="00FF1257"/>
    <w:rsid w:val="00FF1B08"/>
    <w:rsid w:val="00FF1E0B"/>
    <w:rsid w:val="00FF2100"/>
    <w:rsid w:val="00FF2EB0"/>
    <w:rsid w:val="00FF36B9"/>
    <w:rsid w:val="00FF3A07"/>
    <w:rsid w:val="00FF3FEA"/>
    <w:rsid w:val="00FF441F"/>
    <w:rsid w:val="00FF4637"/>
    <w:rsid w:val="00FF4C68"/>
    <w:rsid w:val="00FF4E90"/>
    <w:rsid w:val="00FF590B"/>
    <w:rsid w:val="00FF77CD"/>
    <w:rsid w:val="2187235F"/>
    <w:rsid w:val="25FD9398"/>
    <w:rsid w:val="261B0208"/>
    <w:rsid w:val="2D5C96DA"/>
    <w:rsid w:val="2F82ECB9"/>
    <w:rsid w:val="35D97E48"/>
    <w:rsid w:val="35F11BF8"/>
    <w:rsid w:val="38B8E4E3"/>
    <w:rsid w:val="48A96A9D"/>
    <w:rsid w:val="4B67F56E"/>
    <w:rsid w:val="5F0543A9"/>
    <w:rsid w:val="61C64E8A"/>
    <w:rsid w:val="64AD8B14"/>
    <w:rsid w:val="7021E32F"/>
    <w:rsid w:val="7BB3E78B"/>
    <w:rsid w:val="7E21D03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C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3A9"/>
    <w:pPr>
      <w:spacing w:before="120"/>
    </w:pPr>
    <w:rPr>
      <w:rFonts w:ascii="Franklin Gothic Book" w:hAnsi="Franklin Gothic Book"/>
    </w:rPr>
  </w:style>
  <w:style w:type="paragraph" w:styleId="Heading1">
    <w:name w:val="heading 1"/>
    <w:basedOn w:val="Normal"/>
    <w:next w:val="Normal"/>
    <w:link w:val="Heading1Char"/>
    <w:uiPriority w:val="9"/>
    <w:qFormat/>
    <w:rsid w:val="001531D6"/>
    <w:pPr>
      <w:keepNext/>
      <w:keepLines/>
      <w:numPr>
        <w:numId w:val="1"/>
      </w:numPr>
      <w:pBdr>
        <w:bottom w:val="single" w:sz="4" w:space="1" w:color="auto"/>
      </w:pBdr>
      <w:spacing w:before="600" w:after="480" w:line="240" w:lineRule="auto"/>
      <w:ind w:left="357" w:hanging="357"/>
      <w:outlineLvl w:val="0"/>
    </w:pPr>
    <w:rPr>
      <w:rFonts w:ascii="Franklin Gothic Medium" w:eastAsiaTheme="majorEastAsia" w:hAnsi="Franklin Gothic Medium" w:cstheme="majorBidi"/>
      <w:sz w:val="44"/>
      <w:szCs w:val="32"/>
    </w:rPr>
  </w:style>
  <w:style w:type="paragraph" w:styleId="Heading2">
    <w:name w:val="heading 2"/>
    <w:basedOn w:val="Normal"/>
    <w:next w:val="Normal"/>
    <w:link w:val="Heading2Char"/>
    <w:uiPriority w:val="9"/>
    <w:unhideWhenUsed/>
    <w:qFormat/>
    <w:rsid w:val="001531D6"/>
    <w:pPr>
      <w:keepNext/>
      <w:keepLines/>
      <w:numPr>
        <w:ilvl w:val="1"/>
        <w:numId w:val="1"/>
      </w:numPr>
      <w:spacing w:before="360" w:after="24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Normal"/>
    <w:next w:val="Normal"/>
    <w:link w:val="Heading3Char"/>
    <w:uiPriority w:val="9"/>
    <w:unhideWhenUsed/>
    <w:qFormat/>
    <w:rsid w:val="005103C5"/>
    <w:pPr>
      <w:keepNext/>
      <w:keepLines/>
      <w:tabs>
        <w:tab w:val="left" w:pos="851"/>
      </w:tabs>
      <w:spacing w:before="360" w:after="200" w:line="240" w:lineRule="auto"/>
      <w:outlineLvl w:val="2"/>
    </w:pPr>
    <w:rPr>
      <w:rFonts w:ascii="Franklin Gothic Medium" w:eastAsiaTheme="majorEastAsia" w:hAnsi="Franklin Gothic Medium" w:cstheme="majorBidi"/>
      <w:sz w:val="24"/>
      <w:szCs w:val="24"/>
    </w:rPr>
  </w:style>
  <w:style w:type="paragraph" w:styleId="Heading4">
    <w:name w:val="heading 4"/>
    <w:basedOn w:val="Heading3"/>
    <w:next w:val="Normal"/>
    <w:link w:val="Heading4Char"/>
    <w:uiPriority w:val="9"/>
    <w:unhideWhenUsed/>
    <w:qFormat/>
    <w:rsid w:val="00A776A4"/>
    <w:pPr>
      <w:outlineLvl w:val="3"/>
    </w:pPr>
    <w:rPr>
      <w:i/>
    </w:rPr>
  </w:style>
  <w:style w:type="paragraph" w:styleId="Heading5">
    <w:name w:val="heading 5"/>
    <w:basedOn w:val="Normal"/>
    <w:next w:val="Normal"/>
    <w:link w:val="Heading5Char"/>
    <w:uiPriority w:val="9"/>
    <w:unhideWhenUsed/>
    <w:qFormat/>
    <w:rsid w:val="000C6AF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C6AF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qFormat/>
    <w:rsid w:val="003E7773"/>
    <w:pPr>
      <w:spacing w:before="40" w:after="40" w:line="240" w:lineRule="auto"/>
    </w:pPr>
    <w:rPr>
      <w:rFonts w:ascii="Arial Narrow" w:hAnsi="Arial Narrow"/>
      <w:sz w:val="20"/>
    </w:rPr>
  </w:style>
  <w:style w:type="paragraph" w:customStyle="1" w:styleId="TableHeading">
    <w:name w:val="TableHeading"/>
    <w:basedOn w:val="Normal"/>
    <w:link w:val="TableHeadingChar"/>
    <w:qFormat/>
    <w:rsid w:val="00B151CF"/>
    <w:pPr>
      <w:keepNext/>
      <w:spacing w:after="60" w:line="240" w:lineRule="auto"/>
    </w:pPr>
    <w:rPr>
      <w:rFonts w:ascii="Arial Narrow" w:hAnsi="Arial Narrow"/>
      <w:b/>
      <w:sz w:val="20"/>
    </w:rPr>
  </w:style>
  <w:style w:type="paragraph" w:styleId="CommentText">
    <w:name w:val="annotation text"/>
    <w:aliases w:val="Annotationtext"/>
    <w:basedOn w:val="Normal"/>
    <w:link w:val="CommentTextChar"/>
    <w:uiPriority w:val="99"/>
    <w:unhideWhenUsed/>
    <w:rsid w:val="003E7773"/>
    <w:pPr>
      <w:spacing w:after="240" w:line="240" w:lineRule="auto"/>
    </w:pPr>
    <w:rPr>
      <w:rFonts w:ascii="Calibri" w:eastAsia="Times New Roman" w:hAnsi="Calibri" w:cs="Times New Roman"/>
      <w:color w:val="000000"/>
      <w:szCs w:val="24"/>
      <w:lang w:eastAsia="en-AU"/>
    </w:rPr>
  </w:style>
  <w:style w:type="character" w:customStyle="1" w:styleId="CommentTextChar">
    <w:name w:val="Comment Text Char"/>
    <w:aliases w:val="Annotationtext Char"/>
    <w:basedOn w:val="DefaultParagraphFont"/>
    <w:link w:val="CommentText"/>
    <w:uiPriority w:val="99"/>
    <w:rsid w:val="003E7773"/>
    <w:rPr>
      <w:rFonts w:ascii="Calibri" w:eastAsia="Times New Roman" w:hAnsi="Calibri" w:cs="Times New Roman"/>
      <w:color w:val="000000"/>
      <w:szCs w:val="24"/>
      <w:lang w:eastAsia="en-AU"/>
    </w:rPr>
  </w:style>
  <w:style w:type="character" w:styleId="CommentReference">
    <w:name w:val="annotation reference"/>
    <w:aliases w:val="Table Title,-H18"/>
    <w:basedOn w:val="DefaultParagraphFont"/>
    <w:uiPriority w:val="99"/>
    <w:unhideWhenUsed/>
    <w:qFormat/>
    <w:rsid w:val="003E7773"/>
    <w:rPr>
      <w:sz w:val="16"/>
      <w:szCs w:val="16"/>
    </w:rPr>
  </w:style>
  <w:style w:type="character" w:customStyle="1" w:styleId="TableTextChar">
    <w:name w:val="Table Text Char"/>
    <w:basedOn w:val="DefaultParagraphFont"/>
    <w:link w:val="TableText"/>
    <w:rsid w:val="003E7773"/>
    <w:rPr>
      <w:rFonts w:ascii="Arial Narrow" w:hAnsi="Arial Narrow"/>
      <w:sz w:val="20"/>
    </w:rPr>
  </w:style>
  <w:style w:type="character" w:customStyle="1" w:styleId="TableHeadingChar">
    <w:name w:val="TableHeading Char"/>
    <w:link w:val="TableHeading"/>
    <w:rsid w:val="00B151CF"/>
    <w:rPr>
      <w:rFonts w:ascii="Arial Narrow" w:hAnsi="Arial Narrow"/>
      <w:b/>
      <w:sz w:val="20"/>
    </w:rPr>
  </w:style>
  <w:style w:type="paragraph" w:styleId="BalloonText">
    <w:name w:val="Balloon Text"/>
    <w:basedOn w:val="Normal"/>
    <w:link w:val="BalloonTextChar"/>
    <w:uiPriority w:val="99"/>
    <w:semiHidden/>
    <w:unhideWhenUsed/>
    <w:rsid w:val="003E7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7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7773"/>
    <w:pPr>
      <w:spacing w:after="160"/>
    </w:pPr>
    <w:rPr>
      <w:rFonts w:asciiTheme="minorHAnsi" w:eastAsiaTheme="minorHAnsi" w:hAnsiTheme="minorHAnsi" w:cstheme="minorBidi"/>
      <w:b/>
      <w:bCs/>
      <w:color w:val="auto"/>
      <w:sz w:val="20"/>
      <w:szCs w:val="20"/>
      <w:lang w:eastAsia="en-US"/>
    </w:rPr>
  </w:style>
  <w:style w:type="character" w:customStyle="1" w:styleId="CommentSubjectChar">
    <w:name w:val="Comment Subject Char"/>
    <w:basedOn w:val="CommentTextChar"/>
    <w:link w:val="CommentSubject"/>
    <w:uiPriority w:val="99"/>
    <w:semiHidden/>
    <w:rsid w:val="003E7773"/>
    <w:rPr>
      <w:rFonts w:ascii="Calibri" w:eastAsia="Times New Roman" w:hAnsi="Calibri" w:cs="Times New Roman"/>
      <w:b/>
      <w:bCs/>
      <w:color w:val="000000"/>
      <w:sz w:val="20"/>
      <w:szCs w:val="20"/>
      <w:lang w:eastAsia="en-AU"/>
    </w:rPr>
  </w:style>
  <w:style w:type="character" w:customStyle="1" w:styleId="Heading1Char">
    <w:name w:val="Heading 1 Char"/>
    <w:basedOn w:val="DefaultParagraphFont"/>
    <w:link w:val="Heading1"/>
    <w:uiPriority w:val="9"/>
    <w:rsid w:val="001531D6"/>
    <w:rPr>
      <w:rFonts w:ascii="Franklin Gothic Medium" w:eastAsiaTheme="majorEastAsia" w:hAnsi="Franklin Gothic Medium" w:cstheme="majorBidi"/>
      <w:sz w:val="44"/>
      <w:szCs w:val="32"/>
    </w:rPr>
  </w:style>
  <w:style w:type="character" w:customStyle="1" w:styleId="Heading2Char">
    <w:name w:val="Heading 2 Char"/>
    <w:basedOn w:val="DefaultParagraphFont"/>
    <w:link w:val="Heading2"/>
    <w:uiPriority w:val="9"/>
    <w:rsid w:val="001531D6"/>
    <w:rPr>
      <w:rFonts w:ascii="Franklin Gothic Medium" w:eastAsiaTheme="majorEastAsia" w:hAnsi="Franklin Gothic Medium" w:cstheme="majorBidi"/>
      <w:color w:val="000000" w:themeColor="text1"/>
      <w:sz w:val="32"/>
      <w:szCs w:val="26"/>
    </w:rPr>
  </w:style>
  <w:style w:type="character" w:customStyle="1" w:styleId="Heading3Char">
    <w:name w:val="Heading 3 Char"/>
    <w:basedOn w:val="DefaultParagraphFont"/>
    <w:link w:val="Heading3"/>
    <w:uiPriority w:val="9"/>
    <w:rsid w:val="005103C5"/>
    <w:rPr>
      <w:rFonts w:ascii="Franklin Gothic Medium" w:eastAsiaTheme="majorEastAsia" w:hAnsi="Franklin Gothic Medium" w:cstheme="majorBidi"/>
      <w:sz w:val="24"/>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Q"/>
    <w:basedOn w:val="Normal"/>
    <w:next w:val="Normal"/>
    <w:link w:val="CaptionChar"/>
    <w:qFormat/>
    <w:rsid w:val="009A06F4"/>
    <w:pPr>
      <w:keepNext/>
      <w:spacing w:before="360" w:after="120" w:line="240" w:lineRule="auto"/>
    </w:pPr>
    <w:rPr>
      <w:rFonts w:ascii="Arial Narrow" w:eastAsia="Times New Roman" w:hAnsi="Arial Narrow" w:cs="Times New Roman"/>
      <w:b/>
      <w:bCs/>
      <w:sz w:val="20"/>
      <w:szCs w:val="20"/>
    </w:rPr>
  </w:style>
  <w:style w:type="table" w:customStyle="1" w:styleId="TableGrid1">
    <w:name w:val="Table Grid1"/>
    <w:basedOn w:val="TableNormal"/>
    <w:next w:val="TableGrid"/>
    <w:locked/>
    <w:rsid w:val="00CA528A"/>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w:hAnsi="Franklin Gothic"/>
        <w:b w:val="0"/>
        <w:sz w:val="20"/>
      </w:rPr>
    </w:tblStyle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Q Char"/>
    <w:basedOn w:val="DefaultParagraphFont"/>
    <w:link w:val="Caption"/>
    <w:rsid w:val="009A06F4"/>
    <w:rPr>
      <w:rFonts w:ascii="Arial Narrow" w:eastAsia="Times New Roman" w:hAnsi="Arial Narrow" w:cs="Times New Roman"/>
      <w:b/>
      <w:bCs/>
      <w:sz w:val="20"/>
      <w:szCs w:val="20"/>
    </w:rPr>
  </w:style>
  <w:style w:type="table" w:styleId="TableGrid">
    <w:name w:val="Table Grid"/>
    <w:aliases w:val="Summary box,Table Gridbeth,RTI AMCP Table,new style,ASD Table,HealthConsult,Centered text,HTAtableplain,Cheryl Table Grid,Legemiddelverket 3,Conclusion box,Table Grid nm"/>
    <w:basedOn w:val="TableNormal"/>
    <w:uiPriority w:val="59"/>
    <w:rsid w:val="00CA5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Note">
    <w:name w:val="TableFigNote"/>
    <w:basedOn w:val="Normal"/>
    <w:qFormat/>
    <w:rsid w:val="00CA528A"/>
    <w:pPr>
      <w:spacing w:after="360" w:line="240" w:lineRule="auto"/>
      <w:contextualSpacing/>
    </w:pPr>
    <w:rPr>
      <w:sz w:val="18"/>
    </w:rPr>
  </w:style>
  <w:style w:type="paragraph" w:styleId="ListParagraph">
    <w:name w:val="List Paragraph"/>
    <w:aliases w:val="Bullet List"/>
    <w:basedOn w:val="Normal"/>
    <w:link w:val="ListParagraphChar"/>
    <w:uiPriority w:val="34"/>
    <w:qFormat/>
    <w:rsid w:val="00724F92"/>
    <w:pPr>
      <w:ind w:left="720"/>
      <w:contextualSpacing/>
    </w:pPr>
  </w:style>
  <w:style w:type="character" w:styleId="Strong">
    <w:name w:val="Strong"/>
    <w:basedOn w:val="DefaultParagraphFont"/>
    <w:uiPriority w:val="22"/>
    <w:qFormat/>
    <w:rsid w:val="00FD17BA"/>
    <w:rPr>
      <w:b/>
      <w:bCs/>
    </w:rPr>
  </w:style>
  <w:style w:type="paragraph" w:customStyle="1" w:styleId="TableName">
    <w:name w:val="TableName"/>
    <w:basedOn w:val="Normal"/>
    <w:qFormat/>
    <w:rsid w:val="00FD17BA"/>
    <w:pPr>
      <w:keepNext/>
      <w:spacing w:after="240" w:line="240" w:lineRule="auto"/>
      <w:ind w:left="1418" w:hanging="1418"/>
    </w:pPr>
    <w:rPr>
      <w:rFonts w:ascii="Franklin Gothic Medium" w:hAnsi="Franklin Gothic Medium"/>
    </w:rPr>
  </w:style>
  <w:style w:type="paragraph" w:customStyle="1" w:styleId="TableFigNoteHangingLast">
    <w:name w:val="TableFigNoteHanging Last"/>
    <w:basedOn w:val="TableFigNote"/>
    <w:qFormat/>
    <w:rsid w:val="00FD17BA"/>
    <w:pPr>
      <w:ind w:left="142" w:hanging="142"/>
    </w:pPr>
  </w:style>
  <w:style w:type="paragraph" w:customStyle="1" w:styleId="TableTextCA">
    <w:name w:val="Table Text CA"/>
    <w:basedOn w:val="TableText"/>
    <w:qFormat/>
    <w:rsid w:val="00FD17BA"/>
    <w:pPr>
      <w:jc w:val="center"/>
    </w:pPr>
  </w:style>
  <w:style w:type="paragraph" w:customStyle="1" w:styleId="TableHeadingCA">
    <w:name w:val="Table Heading CA"/>
    <w:basedOn w:val="TableHeading0"/>
    <w:qFormat/>
    <w:rsid w:val="00FD17BA"/>
    <w:pPr>
      <w:jc w:val="center"/>
    </w:pPr>
  </w:style>
  <w:style w:type="paragraph" w:customStyle="1" w:styleId="TableHeading0">
    <w:name w:val="Table Heading"/>
    <w:basedOn w:val="Normal"/>
    <w:qFormat/>
    <w:rsid w:val="00FD17BA"/>
    <w:pPr>
      <w:spacing w:after="60" w:line="240" w:lineRule="auto"/>
    </w:pPr>
    <w:rPr>
      <w:rFonts w:ascii="Arial Narrow" w:hAnsi="Arial Narrow"/>
      <w:b/>
      <w:sz w:val="20"/>
    </w:rPr>
  </w:style>
  <w:style w:type="paragraph" w:customStyle="1" w:styleId="TableFigNoteLast">
    <w:name w:val="TableFigNote Last"/>
    <w:basedOn w:val="TableFigNote"/>
    <w:qFormat/>
    <w:rsid w:val="00FD17BA"/>
  </w:style>
  <w:style w:type="character" w:customStyle="1" w:styleId="Heading4Char">
    <w:name w:val="Heading 4 Char"/>
    <w:basedOn w:val="DefaultParagraphFont"/>
    <w:link w:val="Heading4"/>
    <w:uiPriority w:val="9"/>
    <w:rsid w:val="00A776A4"/>
    <w:rPr>
      <w:rFonts w:ascii="Franklin Gothic Medium" w:eastAsiaTheme="majorEastAsia" w:hAnsi="Franklin Gothic Medium" w:cstheme="majorBidi"/>
      <w:i/>
      <w:sz w:val="24"/>
      <w:szCs w:val="24"/>
    </w:rPr>
  </w:style>
  <w:style w:type="paragraph" w:customStyle="1" w:styleId="2ChapterText">
    <w:name w:val="2ChapterText"/>
    <w:basedOn w:val="Normal"/>
    <w:qFormat/>
    <w:rsid w:val="00004F7F"/>
    <w:rPr>
      <w:shd w:val="clear" w:color="auto" w:fill="BDD6EE" w:themeFill="accent1" w:themeFillTint="66"/>
    </w:rPr>
  </w:style>
  <w:style w:type="paragraph" w:customStyle="1" w:styleId="1ExplanatoryText">
    <w:name w:val="1ExplanatoryText"/>
    <w:basedOn w:val="Normal"/>
    <w:qFormat/>
    <w:rsid w:val="00225833"/>
    <w:pPr>
      <w:shd w:val="clear" w:color="auto" w:fill="C5E0B3" w:themeFill="accent6" w:themeFillTint="66"/>
    </w:pPr>
  </w:style>
  <w:style w:type="character" w:styleId="Hyperlink">
    <w:name w:val="Hyperlink"/>
    <w:basedOn w:val="DefaultParagraphFont"/>
    <w:uiPriority w:val="99"/>
    <w:unhideWhenUsed/>
    <w:rsid w:val="00997BA8"/>
    <w:rPr>
      <w:color w:val="0070C0"/>
      <w:u w:val="single"/>
    </w:rPr>
  </w:style>
  <w:style w:type="paragraph" w:styleId="TOC1">
    <w:name w:val="toc 1"/>
    <w:basedOn w:val="Normal"/>
    <w:next w:val="Normal"/>
    <w:autoRedefine/>
    <w:uiPriority w:val="39"/>
    <w:unhideWhenUsed/>
    <w:rsid w:val="00C91651"/>
    <w:pPr>
      <w:tabs>
        <w:tab w:val="left" w:pos="1100"/>
        <w:tab w:val="left" w:pos="1531"/>
        <w:tab w:val="right" w:leader="dot" w:pos="9010"/>
      </w:tabs>
      <w:spacing w:after="100" w:line="240" w:lineRule="auto"/>
    </w:pPr>
    <w:rPr>
      <w:rFonts w:asciiTheme="minorHAnsi" w:hAnsiTheme="minorHAnsi"/>
      <w:b/>
    </w:rPr>
  </w:style>
  <w:style w:type="paragraph" w:styleId="TOC2">
    <w:name w:val="toc 2"/>
    <w:basedOn w:val="Normal"/>
    <w:next w:val="Normal"/>
    <w:autoRedefine/>
    <w:uiPriority w:val="39"/>
    <w:unhideWhenUsed/>
    <w:rsid w:val="00944087"/>
    <w:pPr>
      <w:tabs>
        <w:tab w:val="left" w:pos="1089"/>
        <w:tab w:val="right" w:leader="dot" w:pos="9010"/>
      </w:tabs>
      <w:spacing w:after="100" w:line="240" w:lineRule="auto"/>
    </w:pPr>
    <w:rPr>
      <w:rFonts w:asciiTheme="minorHAnsi" w:hAnsiTheme="minorHAnsi"/>
    </w:rPr>
  </w:style>
  <w:style w:type="paragraph" w:styleId="TOC3">
    <w:name w:val="toc 3"/>
    <w:basedOn w:val="Normal"/>
    <w:next w:val="Normal"/>
    <w:autoRedefine/>
    <w:uiPriority w:val="39"/>
    <w:unhideWhenUsed/>
    <w:rsid w:val="0088445B"/>
    <w:pPr>
      <w:spacing w:after="100" w:line="240" w:lineRule="auto"/>
      <w:ind w:left="720"/>
    </w:pPr>
    <w:rPr>
      <w:rFonts w:asciiTheme="minorHAnsi" w:hAnsiTheme="minorHAnsi"/>
    </w:rPr>
  </w:style>
  <w:style w:type="character" w:styleId="FollowedHyperlink">
    <w:name w:val="FollowedHyperlink"/>
    <w:basedOn w:val="DefaultParagraphFont"/>
    <w:uiPriority w:val="99"/>
    <w:semiHidden/>
    <w:unhideWhenUsed/>
    <w:rsid w:val="0088445B"/>
    <w:rPr>
      <w:color w:val="954F72" w:themeColor="followedHyperlink"/>
      <w:u w:val="single"/>
    </w:rPr>
  </w:style>
  <w:style w:type="paragraph" w:styleId="TOC9">
    <w:name w:val="toc 9"/>
    <w:basedOn w:val="Normal"/>
    <w:next w:val="Normal"/>
    <w:autoRedefine/>
    <w:uiPriority w:val="39"/>
    <w:unhideWhenUsed/>
    <w:rsid w:val="00AF3D39"/>
    <w:pPr>
      <w:spacing w:after="100"/>
      <w:ind w:left="1760"/>
    </w:pPr>
  </w:style>
  <w:style w:type="paragraph" w:styleId="Date">
    <w:name w:val="Date"/>
    <w:basedOn w:val="Normal"/>
    <w:next w:val="Normal"/>
    <w:link w:val="DateChar"/>
    <w:rsid w:val="000870B6"/>
    <w:pPr>
      <w:spacing w:before="1134" w:after="800"/>
      <w:ind w:left="4536"/>
    </w:pPr>
    <w:rPr>
      <w:rFonts w:ascii="Arial" w:eastAsia="Times New Roman" w:hAnsi="Arial" w:cs="Tahoma"/>
      <w:b/>
      <w:sz w:val="36"/>
      <w:lang w:eastAsia="en-AU"/>
    </w:rPr>
  </w:style>
  <w:style w:type="character" w:customStyle="1" w:styleId="DateChar">
    <w:name w:val="Date Char"/>
    <w:basedOn w:val="DefaultParagraphFont"/>
    <w:link w:val="Date"/>
    <w:rsid w:val="000870B6"/>
    <w:rPr>
      <w:rFonts w:ascii="Arial" w:eastAsia="Times New Roman" w:hAnsi="Arial" w:cs="Tahoma"/>
      <w:b/>
      <w:sz w:val="36"/>
      <w:lang w:eastAsia="en-AU"/>
    </w:rPr>
  </w:style>
  <w:style w:type="paragraph" w:customStyle="1" w:styleId="PublicationTitle">
    <w:name w:val="PublicationTitle"/>
    <w:basedOn w:val="Normal"/>
    <w:rsid w:val="000870B6"/>
    <w:pPr>
      <w:tabs>
        <w:tab w:val="left" w:pos="4536"/>
      </w:tabs>
      <w:spacing w:before="4536" w:after="800" w:line="480" w:lineRule="exact"/>
      <w:ind w:left="4536" w:right="113"/>
      <w:jc w:val="right"/>
    </w:pPr>
    <w:rPr>
      <w:rFonts w:ascii="Arial" w:eastAsia="Times New Roman" w:hAnsi="Arial" w:cs="Tahoma"/>
      <w:b/>
      <w:i/>
      <w:sz w:val="44"/>
      <w:lang w:eastAsia="en-AU"/>
    </w:rPr>
  </w:style>
  <w:style w:type="paragraph" w:customStyle="1" w:styleId="Sub-title">
    <w:name w:val="Sub-title"/>
    <w:basedOn w:val="Normal"/>
    <w:locked/>
    <w:rsid w:val="00401DBF"/>
    <w:pPr>
      <w:spacing w:before="1701"/>
      <w:ind w:left="4536"/>
    </w:pPr>
    <w:rPr>
      <w:rFonts w:ascii="Arial" w:eastAsia="Times New Roman" w:hAnsi="Arial" w:cs="Tahoma"/>
      <w:b/>
      <w:sz w:val="32"/>
      <w:lang w:eastAsia="en-AU"/>
    </w:rPr>
  </w:style>
  <w:style w:type="paragraph" w:customStyle="1" w:styleId="Nnumberedlist">
    <w:name w:val="Nnumbered list"/>
    <w:basedOn w:val="Normal"/>
    <w:rsid w:val="00AF3D39"/>
    <w:pPr>
      <w:numPr>
        <w:numId w:val="2"/>
      </w:numPr>
      <w:jc w:val="both"/>
    </w:pPr>
    <w:rPr>
      <w:rFonts w:ascii="Calibri" w:eastAsia="Times New Roman" w:hAnsi="Calibri" w:cs="Tahoma"/>
      <w:lang w:eastAsia="en-AU"/>
    </w:rPr>
  </w:style>
  <w:style w:type="paragraph" w:styleId="TOCHeading">
    <w:name w:val="TOC Heading"/>
    <w:basedOn w:val="Heading1"/>
    <w:next w:val="Normal"/>
    <w:uiPriority w:val="39"/>
    <w:unhideWhenUsed/>
    <w:qFormat/>
    <w:rsid w:val="00DE7099"/>
    <w:pPr>
      <w:numPr>
        <w:numId w:val="0"/>
      </w:numPr>
      <w:pBdr>
        <w:bottom w:val="none" w:sz="0" w:space="0" w:color="auto"/>
      </w:pBdr>
      <w:spacing w:before="240" w:after="0" w:line="259" w:lineRule="auto"/>
      <w:outlineLvl w:val="9"/>
    </w:pPr>
    <w:rPr>
      <w:rFonts w:asciiTheme="majorHAnsi" w:hAnsiTheme="majorHAnsi"/>
      <w:color w:val="2E74B5" w:themeColor="accent1" w:themeShade="BF"/>
      <w:sz w:val="32"/>
      <w:lang w:val="en-US"/>
    </w:rPr>
  </w:style>
  <w:style w:type="paragraph" w:styleId="TOC4">
    <w:name w:val="toc 4"/>
    <w:basedOn w:val="Normal"/>
    <w:next w:val="Normal"/>
    <w:autoRedefine/>
    <w:uiPriority w:val="39"/>
    <w:unhideWhenUsed/>
    <w:rsid w:val="00DE7099"/>
    <w:pPr>
      <w:spacing w:after="100"/>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DE7099"/>
    <w:pPr>
      <w:spacing w:after="100"/>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DE7099"/>
    <w:pPr>
      <w:spacing w:after="100"/>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DE7099"/>
    <w:pPr>
      <w:spacing w:after="100"/>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DE7099"/>
    <w:pPr>
      <w:spacing w:after="100"/>
      <w:ind w:left="1540"/>
    </w:pPr>
    <w:rPr>
      <w:rFonts w:asciiTheme="minorHAnsi" w:eastAsiaTheme="minorEastAsia" w:hAnsiTheme="minorHAnsi"/>
      <w:lang w:eastAsia="en-AU"/>
    </w:rPr>
  </w:style>
  <w:style w:type="paragraph" w:customStyle="1" w:styleId="In-tableHeading">
    <w:name w:val="In-table Heading"/>
    <w:qFormat/>
    <w:rsid w:val="000472D4"/>
    <w:pPr>
      <w:keepNext/>
      <w:spacing w:after="0" w:line="240" w:lineRule="auto"/>
    </w:pPr>
    <w:rPr>
      <w:rFonts w:ascii="Arial Narrow" w:eastAsiaTheme="majorEastAsia" w:hAnsi="Arial Narrow" w:cs="Times New Roman"/>
      <w:b/>
      <w:sz w:val="20"/>
      <w:szCs w:val="24"/>
      <w:lang w:val="en-US" w:eastAsia="en-AU"/>
    </w:rPr>
  </w:style>
  <w:style w:type="paragraph" w:customStyle="1" w:styleId="TableFigureFooter">
    <w:name w:val="Table/Figure Footer"/>
    <w:basedOn w:val="Normal"/>
    <w:link w:val="TableFigureFooterChar"/>
    <w:qFormat/>
    <w:rsid w:val="009A06F4"/>
    <w:pPr>
      <w:tabs>
        <w:tab w:val="left" w:pos="284"/>
      </w:tabs>
      <w:spacing w:after="360" w:line="240" w:lineRule="auto"/>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9A06F4"/>
    <w:rPr>
      <w:rFonts w:ascii="Arial Narrow" w:eastAsia="Times New Roman" w:hAnsi="Arial Narrow" w:cs="Arial"/>
      <w:snapToGrid w:val="0"/>
      <w:sz w:val="18"/>
      <w:lang w:eastAsia="en-AU"/>
    </w:rPr>
  </w:style>
  <w:style w:type="character" w:styleId="Emphasis">
    <w:name w:val="Emphasis"/>
    <w:uiPriority w:val="20"/>
    <w:qFormat/>
    <w:rsid w:val="00566298"/>
    <w:rPr>
      <w:i/>
      <w:iCs/>
    </w:rPr>
  </w:style>
  <w:style w:type="paragraph" w:styleId="Header">
    <w:name w:val="header"/>
    <w:basedOn w:val="Normal"/>
    <w:link w:val="HeaderChar"/>
    <w:uiPriority w:val="99"/>
    <w:unhideWhenUsed/>
    <w:rsid w:val="00B62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F2"/>
    <w:rPr>
      <w:rFonts w:ascii="Franklin Gothic Book" w:hAnsi="Franklin Gothic Book"/>
    </w:rPr>
  </w:style>
  <w:style w:type="paragraph" w:styleId="Footer">
    <w:name w:val="footer"/>
    <w:basedOn w:val="Normal"/>
    <w:link w:val="FooterChar"/>
    <w:uiPriority w:val="99"/>
    <w:unhideWhenUsed/>
    <w:rsid w:val="00B62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F2"/>
    <w:rPr>
      <w:rFonts w:ascii="Franklin Gothic Book" w:hAnsi="Franklin Gothic Book"/>
    </w:rPr>
  </w:style>
  <w:style w:type="paragraph" w:customStyle="1" w:styleId="Tablenotes">
    <w:name w:val="Tablenotes"/>
    <w:basedOn w:val="Normal"/>
    <w:link w:val="TablenotesChar"/>
    <w:qFormat/>
    <w:rsid w:val="00242F4E"/>
    <w:pPr>
      <w:widowControl w:val="0"/>
      <w:spacing w:after="120" w:line="240" w:lineRule="auto"/>
      <w:contextualSpacing/>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242F4E"/>
    <w:rPr>
      <w:rFonts w:ascii="Arial Narrow" w:eastAsia="Times New Roman" w:hAnsi="Arial Narrow" w:cs="Arial"/>
      <w:snapToGrid w:val="0"/>
      <w:sz w:val="18"/>
      <w:szCs w:val="20"/>
    </w:rPr>
  </w:style>
  <w:style w:type="character" w:customStyle="1" w:styleId="ListParagraphChar">
    <w:name w:val="List Paragraph Char"/>
    <w:aliases w:val="Bullet List Char"/>
    <w:basedOn w:val="DefaultParagraphFont"/>
    <w:link w:val="ListParagraph"/>
    <w:uiPriority w:val="34"/>
    <w:rsid w:val="00A454B3"/>
    <w:rPr>
      <w:rFonts w:ascii="Franklin Gothic Book" w:hAnsi="Franklin Gothic Book"/>
    </w:rPr>
  </w:style>
  <w:style w:type="table" w:customStyle="1" w:styleId="TableGridLight1">
    <w:name w:val="Table Grid Light1"/>
    <w:basedOn w:val="TableNormal"/>
    <w:uiPriority w:val="40"/>
    <w:rsid w:val="00BA59FB"/>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Bullet">
    <w:name w:val="Bullet"/>
    <w:basedOn w:val="Normal"/>
    <w:qFormat/>
    <w:rsid w:val="00BA59FB"/>
    <w:pPr>
      <w:numPr>
        <w:numId w:val="3"/>
      </w:numPr>
      <w:spacing w:after="120" w:line="240" w:lineRule="auto"/>
    </w:pPr>
    <w:rPr>
      <w:rFonts w:asciiTheme="minorHAnsi" w:hAnsiTheme="minorHAnsi"/>
    </w:rPr>
  </w:style>
  <w:style w:type="paragraph" w:customStyle="1" w:styleId="TableFigureHeading">
    <w:name w:val="Table/Figure Heading"/>
    <w:next w:val="In-tableHeading"/>
    <w:link w:val="TableFigureHeadingChar"/>
    <w:qFormat/>
    <w:rsid w:val="00F257B5"/>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257B5"/>
    <w:rPr>
      <w:rFonts w:ascii="Arial Narrow" w:eastAsiaTheme="majorEastAsia" w:hAnsi="Arial Narrow" w:cstheme="majorBidi"/>
      <w:b/>
      <w:bCs/>
      <w:sz w:val="20"/>
      <w:szCs w:val="24"/>
      <w:lang w:eastAsia="en-AU"/>
    </w:rPr>
  </w:style>
  <w:style w:type="paragraph" w:customStyle="1" w:styleId="Tabletext0">
    <w:name w:val="Table text"/>
    <w:basedOn w:val="Normal"/>
    <w:link w:val="TabletextChar0"/>
    <w:qFormat/>
    <w:rsid w:val="001B2CD4"/>
    <w:pPr>
      <w:spacing w:before="40" w:after="40" w:line="240" w:lineRule="auto"/>
      <w:jc w:val="both"/>
    </w:pPr>
    <w:rPr>
      <w:rFonts w:ascii="Arial Narrow" w:eastAsia="Times New Roman" w:hAnsi="Arial Narrow" w:cs="Tahoma"/>
      <w:sz w:val="20"/>
      <w:szCs w:val="20"/>
      <w:lang w:eastAsia="en-AU"/>
    </w:rPr>
  </w:style>
  <w:style w:type="character" w:customStyle="1" w:styleId="TabletextChar0">
    <w:name w:val="Table text Char"/>
    <w:link w:val="Tabletext0"/>
    <w:rsid w:val="001B2CD4"/>
    <w:rPr>
      <w:rFonts w:ascii="Arial Narrow" w:eastAsia="Times New Roman" w:hAnsi="Arial Narrow" w:cs="Tahoma"/>
      <w:sz w:val="20"/>
      <w:szCs w:val="20"/>
      <w:lang w:eastAsia="en-AU"/>
    </w:rPr>
  </w:style>
  <w:style w:type="paragraph" w:customStyle="1" w:styleId="Tablenotes0">
    <w:name w:val="Table notes"/>
    <w:basedOn w:val="Normal"/>
    <w:link w:val="TablenotesChar0"/>
    <w:qFormat/>
    <w:rsid w:val="001B2CD4"/>
    <w:pPr>
      <w:spacing w:after="240"/>
      <w:contextualSpacing/>
      <w:jc w:val="both"/>
    </w:pPr>
    <w:rPr>
      <w:rFonts w:ascii="Arial Narrow" w:hAnsi="Arial Narrow" w:cs="Arial"/>
      <w:sz w:val="18"/>
    </w:rPr>
  </w:style>
  <w:style w:type="character" w:customStyle="1" w:styleId="TablenotesChar0">
    <w:name w:val="Table notes Char"/>
    <w:basedOn w:val="DefaultParagraphFont"/>
    <w:link w:val="Tablenotes0"/>
    <w:rsid w:val="001B2CD4"/>
    <w:rPr>
      <w:rFonts w:ascii="Arial Narrow" w:hAnsi="Arial Narrow" w:cs="Arial"/>
      <w:sz w:val="18"/>
    </w:rPr>
  </w:style>
  <w:style w:type="numbering" w:customStyle="1" w:styleId="ESSectionheading-numbered">
    <w:name w:val="ES. Section heading - numbered"/>
    <w:uiPriority w:val="99"/>
    <w:rsid w:val="002A4084"/>
    <w:pPr>
      <w:numPr>
        <w:numId w:val="4"/>
      </w:numPr>
    </w:pPr>
  </w:style>
  <w:style w:type="paragraph" w:customStyle="1" w:styleId="2-SectionHeading">
    <w:name w:val="2-Section Heading"/>
    <w:qFormat/>
    <w:rsid w:val="005131D3"/>
    <w:pPr>
      <w:keepNext/>
      <w:numPr>
        <w:numId w:val="5"/>
      </w:numPr>
      <w:spacing w:before="240" w:after="120" w:line="240" w:lineRule="auto"/>
      <w:outlineLvl w:val="0"/>
    </w:pPr>
    <w:rPr>
      <w:rFonts w:eastAsia="Times New Roman" w:cs="Arial"/>
      <w:b/>
      <w:snapToGrid w:val="0"/>
      <w:sz w:val="32"/>
      <w:szCs w:val="32"/>
      <w:lang w:eastAsia="en-AU"/>
    </w:rPr>
  </w:style>
  <w:style w:type="paragraph" w:customStyle="1" w:styleId="3-BodyText">
    <w:name w:val="3-Body Text"/>
    <w:basedOn w:val="ListParagraph"/>
    <w:qFormat/>
    <w:rsid w:val="005131D3"/>
    <w:pPr>
      <w:numPr>
        <w:ilvl w:val="1"/>
        <w:numId w:val="5"/>
      </w:numPr>
      <w:spacing w:after="120" w:line="240" w:lineRule="auto"/>
      <w:contextualSpacing w:val="0"/>
      <w:jc w:val="both"/>
    </w:pPr>
    <w:rPr>
      <w:rFonts w:asciiTheme="minorHAnsi" w:eastAsia="Times New Roman" w:hAnsiTheme="minorHAnsi" w:cs="Arial"/>
      <w:snapToGrid w:val="0"/>
      <w:sz w:val="24"/>
      <w:szCs w:val="24"/>
      <w:lang w:eastAsia="en-AU"/>
    </w:rPr>
  </w:style>
  <w:style w:type="paragraph" w:customStyle="1" w:styleId="BoxName">
    <w:name w:val="Box Name"/>
    <w:basedOn w:val="Normal"/>
    <w:qFormat/>
    <w:rsid w:val="002B667C"/>
    <w:pPr>
      <w:pBdr>
        <w:top w:val="single" w:sz="4" w:space="4" w:color="auto"/>
        <w:left w:val="single" w:sz="4" w:space="4" w:color="auto"/>
        <w:bottom w:val="single" w:sz="4" w:space="4" w:color="auto"/>
        <w:right w:val="single" w:sz="4" w:space="4" w:color="auto"/>
      </w:pBdr>
      <w:spacing w:after="120" w:line="240" w:lineRule="auto"/>
    </w:pPr>
    <w:rPr>
      <w:rFonts w:ascii="Franklin Gothic Medium" w:hAnsi="Franklin Gothic Medium"/>
      <w:sz w:val="21"/>
    </w:rPr>
  </w:style>
  <w:style w:type="character" w:customStyle="1" w:styleId="InstructionBulletpointChar">
    <w:name w:val="Instruction Bullet point Char"/>
    <w:basedOn w:val="DefaultParagraphFont"/>
    <w:link w:val="InstructionBulletpoint"/>
    <w:uiPriority w:val="3"/>
    <w:locked/>
    <w:rsid w:val="00107DCD"/>
    <w:rPr>
      <w:rFonts w:ascii="Calibri" w:hAnsi="Calibri" w:cs="Calibri"/>
      <w:color w:val="0070C0"/>
      <w:sz w:val="24"/>
    </w:rPr>
  </w:style>
  <w:style w:type="paragraph" w:customStyle="1" w:styleId="InstructionBulletpoint">
    <w:name w:val="Instruction Bullet point"/>
    <w:basedOn w:val="Normal"/>
    <w:link w:val="InstructionBulletpointChar"/>
    <w:uiPriority w:val="3"/>
    <w:qFormat/>
    <w:rsid w:val="00107DCD"/>
    <w:pPr>
      <w:numPr>
        <w:numId w:val="6"/>
      </w:numPr>
      <w:spacing w:after="120" w:line="240" w:lineRule="auto"/>
      <w:ind w:left="714" w:hanging="357"/>
    </w:pPr>
    <w:rPr>
      <w:rFonts w:ascii="Calibri" w:hAnsi="Calibri" w:cs="Calibri"/>
      <w:color w:val="0070C0"/>
      <w:sz w:val="24"/>
    </w:rPr>
  </w:style>
  <w:style w:type="character" w:customStyle="1" w:styleId="TableFooterChar">
    <w:name w:val="Table Footer Char"/>
    <w:link w:val="TableFooter"/>
    <w:locked/>
    <w:rsid w:val="007B0880"/>
    <w:rPr>
      <w:rFonts w:ascii="Arial Narrow" w:eastAsia="Times New Roman" w:hAnsi="Arial Narrow" w:cs="Arial"/>
      <w:sz w:val="18"/>
      <w:szCs w:val="20"/>
    </w:rPr>
  </w:style>
  <w:style w:type="paragraph" w:customStyle="1" w:styleId="TableFooter">
    <w:name w:val="Table Footer"/>
    <w:basedOn w:val="Normal"/>
    <w:link w:val="TableFooterChar"/>
    <w:qFormat/>
    <w:rsid w:val="007B0880"/>
    <w:pPr>
      <w:widowControl w:val="0"/>
      <w:snapToGrid w:val="0"/>
      <w:spacing w:after="240" w:line="240" w:lineRule="auto"/>
      <w:contextualSpacing/>
      <w:jc w:val="both"/>
    </w:pPr>
    <w:rPr>
      <w:rFonts w:ascii="Arial Narrow" w:eastAsia="Times New Roman" w:hAnsi="Arial Narrow" w:cs="Arial"/>
      <w:sz w:val="18"/>
      <w:szCs w:val="20"/>
    </w:rPr>
  </w:style>
  <w:style w:type="table" w:customStyle="1" w:styleId="PBACTableStyle">
    <w:name w:val="PBAC Table Style"/>
    <w:basedOn w:val="TableGrid10"/>
    <w:uiPriority w:val="99"/>
    <w:rsid w:val="007B0880"/>
    <w:pPr>
      <w:widowControl w:val="0"/>
      <w:spacing w:before="120" w:after="0" w:line="240" w:lineRule="auto"/>
      <w:contextualSpacing/>
      <w:jc w:val="center"/>
    </w:pPr>
    <w:rPr>
      <w:rFonts w:ascii="Arial Narrow" w:hAnsi="Arial Narrow"/>
      <w:color w:val="000000" w:themeColor="text1"/>
      <w:sz w:val="20"/>
      <w:szCs w:val="20"/>
      <w:lang w:val="en-GB"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line="240" w:lineRule="auto"/>
        <w:ind w:leftChars="0" w:left="0" w:rightChars="0" w:right="0" w:firstLineChars="0" w:firstLine="0"/>
        <w:contextualSpacing/>
        <w:jc w:val="center"/>
      </w:pPr>
      <w:rPr>
        <w:rFonts w:ascii="Franklin Gothic" w:hAnsi="Franklin Gothic" w:hint="default"/>
        <w:b/>
        <w:sz w:val="20"/>
        <w:szCs w:val="20"/>
      </w:rPr>
    </w:tblStylePr>
    <w:tblStylePr w:type="lastRow">
      <w:rPr>
        <w:i/>
        <w:iCs/>
      </w:rPr>
      <w:tblPr/>
      <w:tcPr>
        <w:tcBorders>
          <w:tl2br w:val="none" w:sz="0" w:space="0" w:color="auto"/>
          <w:tr2bl w:val="none" w:sz="0" w:space="0" w:color="auto"/>
        </w:tcBorders>
      </w:tcPr>
    </w:tblStylePr>
    <w:tblStylePr w:type="firstCol">
      <w:pPr>
        <w:wordWrap/>
        <w:spacing w:beforeLines="0" w:before="100" w:beforeAutospacing="1" w:afterLines="0" w:after="100" w:afterAutospacing="1" w:line="240" w:lineRule="auto"/>
        <w:ind w:leftChars="0" w:left="0" w:rightChars="0" w:right="0"/>
        <w:contextualSpacing/>
        <w:jc w:val="left"/>
      </w:pPr>
      <w:rPr>
        <w:rFonts w:ascii="Franklin Gothic" w:hAnsi="Franklin Gothic" w:hint="default"/>
        <w:sz w:val="20"/>
        <w:szCs w:val="20"/>
      </w:rPr>
    </w:tblStylePr>
    <w:tblStylePr w:type="lastCol">
      <w:pPr>
        <w:wordWrap/>
        <w:spacing w:beforeLines="0" w:before="100" w:beforeAutospacing="1" w:afterLines="0" w:after="100" w:afterAutospacing="1" w:line="240" w:lineRule="auto"/>
        <w:ind w:leftChars="0" w:left="0" w:rightChars="0" w:right="0" w:firstLineChars="0" w:firstLine="0"/>
        <w:contextualSpacing/>
      </w:pPr>
      <w:rPr>
        <w:rFonts w:ascii="Franklin Gothic" w:hAnsi="Franklin Gothic" w:hint="default"/>
        <w:i/>
        <w:iCs/>
        <w:sz w:val="20"/>
        <w:szCs w:val="20"/>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7B08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MSACESParagraphChar">
    <w:name w:val="MSAC ES Paragraph Char"/>
    <w:basedOn w:val="DefaultParagraphFont"/>
    <w:link w:val="MSACESParagraph"/>
    <w:uiPriority w:val="1"/>
    <w:locked/>
    <w:rsid w:val="000B720C"/>
    <w:rPr>
      <w:rFonts w:ascii="Times New Roman" w:hAnsi="Times New Roman" w:cs="Times New Roman"/>
      <w:sz w:val="24"/>
    </w:rPr>
  </w:style>
  <w:style w:type="paragraph" w:customStyle="1" w:styleId="MSACESParagraph">
    <w:name w:val="MSAC ES Paragraph"/>
    <w:link w:val="MSACESParagraphChar"/>
    <w:uiPriority w:val="1"/>
    <w:qFormat/>
    <w:rsid w:val="000B720C"/>
    <w:pPr>
      <w:spacing w:after="240" w:line="240" w:lineRule="auto"/>
    </w:pPr>
    <w:rPr>
      <w:rFonts w:ascii="Times New Roman" w:hAnsi="Times New Roman" w:cs="Times New Roman"/>
      <w:sz w:val="24"/>
    </w:rPr>
  </w:style>
  <w:style w:type="paragraph" w:styleId="FootnoteText">
    <w:name w:val="footnote text"/>
    <w:basedOn w:val="Normal"/>
    <w:link w:val="FootnoteTextChar"/>
    <w:unhideWhenUsed/>
    <w:rsid w:val="00804632"/>
    <w:pPr>
      <w:spacing w:after="0" w:line="240" w:lineRule="auto"/>
    </w:pPr>
    <w:rPr>
      <w:rFonts w:asciiTheme="minorHAnsi" w:hAnsiTheme="minorHAnsi"/>
      <w:sz w:val="18"/>
      <w:szCs w:val="20"/>
    </w:rPr>
  </w:style>
  <w:style w:type="character" w:customStyle="1" w:styleId="FootnoteTextChar">
    <w:name w:val="Footnote Text Char"/>
    <w:basedOn w:val="DefaultParagraphFont"/>
    <w:link w:val="FootnoteText"/>
    <w:rsid w:val="00804632"/>
    <w:rPr>
      <w:sz w:val="18"/>
      <w:szCs w:val="20"/>
    </w:rPr>
  </w:style>
  <w:style w:type="character" w:styleId="FootnoteReference">
    <w:name w:val="footnote reference"/>
    <w:basedOn w:val="DefaultParagraphFont"/>
    <w:unhideWhenUsed/>
    <w:rsid w:val="00804632"/>
    <w:rPr>
      <w:vertAlign w:val="superscript"/>
    </w:rPr>
  </w:style>
  <w:style w:type="paragraph" w:customStyle="1" w:styleId="TableFigNoteHanging">
    <w:name w:val="TableFigNoteHanging"/>
    <w:basedOn w:val="TableFigNoteHangingLast"/>
    <w:qFormat/>
    <w:rsid w:val="00804632"/>
    <w:pPr>
      <w:spacing w:after="0"/>
      <w:contextualSpacing w:val="0"/>
    </w:pPr>
    <w:rPr>
      <w:rFonts w:asciiTheme="minorHAnsi" w:hAnsiTheme="minorHAnsi"/>
    </w:rPr>
  </w:style>
  <w:style w:type="table" w:customStyle="1" w:styleId="TableGrid2">
    <w:name w:val="Table Grid2"/>
    <w:basedOn w:val="TableNormal"/>
    <w:next w:val="TableGrid"/>
    <w:uiPriority w:val="59"/>
    <w:rsid w:val="00804632"/>
    <w:pPr>
      <w:spacing w:after="240" w:line="240" w:lineRule="auto"/>
      <w:ind w:left="72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boxheading">
    <w:name w:val="Summary box heading"/>
    <w:basedOn w:val="Normal"/>
    <w:rsid w:val="00666A58"/>
    <w:pPr>
      <w:spacing w:after="100" w:afterAutospacing="1"/>
      <w:jc w:val="both"/>
    </w:pPr>
    <w:rPr>
      <w:rFonts w:ascii="Arial Narrow" w:eastAsia="Times New Roman" w:hAnsi="Arial Narrow" w:cs="Tahoma"/>
      <w:b/>
      <w:lang w:eastAsia="en-AU"/>
    </w:rPr>
  </w:style>
  <w:style w:type="paragraph" w:customStyle="1" w:styleId="TableText1">
    <w:name w:val="TableText"/>
    <w:basedOn w:val="Normal"/>
    <w:link w:val="TableTextChar1"/>
    <w:rsid w:val="001C2A48"/>
    <w:pPr>
      <w:keepNext/>
      <w:spacing w:before="40" w:after="40"/>
      <w:jc w:val="both"/>
    </w:pPr>
    <w:rPr>
      <w:rFonts w:ascii="Arial Narrow" w:eastAsia="Times New Roman" w:hAnsi="Arial Narrow" w:cs="Tahoma"/>
      <w:sz w:val="18"/>
      <w:lang w:eastAsia="en-AU"/>
    </w:rPr>
  </w:style>
  <w:style w:type="character" w:customStyle="1" w:styleId="TableTextChar1">
    <w:name w:val="TableText Char"/>
    <w:link w:val="TableText1"/>
    <w:rsid w:val="001C2A48"/>
    <w:rPr>
      <w:rFonts w:ascii="Arial Narrow" w:eastAsia="Times New Roman" w:hAnsi="Arial Narrow" w:cs="Tahoma"/>
      <w:sz w:val="18"/>
      <w:lang w:eastAsia="en-AU"/>
    </w:rPr>
  </w:style>
  <w:style w:type="paragraph" w:customStyle="1" w:styleId="References">
    <w:name w:val="References"/>
    <w:basedOn w:val="Normal"/>
    <w:rsid w:val="001C2A48"/>
    <w:pPr>
      <w:keepLines/>
      <w:spacing w:after="240" w:line="312" w:lineRule="auto"/>
      <w:ind w:left="1440" w:hanging="720"/>
    </w:pPr>
    <w:rPr>
      <w:rFonts w:ascii="Calibri" w:eastAsia="Times New Roman" w:hAnsi="Calibri" w:cs="Tahoma"/>
      <w:lang w:eastAsia="en-AU"/>
    </w:rPr>
  </w:style>
  <w:style w:type="paragraph" w:styleId="Title">
    <w:name w:val="Title"/>
    <w:basedOn w:val="Normal"/>
    <w:next w:val="Normal"/>
    <w:link w:val="TitleChar"/>
    <w:qFormat/>
    <w:rsid w:val="00772829"/>
    <w:pPr>
      <w:spacing w:before="480" w:after="240" w:line="240" w:lineRule="auto"/>
      <w:jc w:val="center"/>
    </w:pPr>
    <w:rPr>
      <w:rFonts w:ascii="Arial" w:eastAsia="Times New Roman" w:hAnsi="Arial" w:cs="Arial"/>
      <w:b/>
      <w:bCs/>
      <w:color w:val="000080"/>
      <w:sz w:val="36"/>
      <w:szCs w:val="36"/>
      <w:lang w:eastAsia="en-AU"/>
    </w:rPr>
  </w:style>
  <w:style w:type="character" w:customStyle="1" w:styleId="TitleChar">
    <w:name w:val="Title Char"/>
    <w:basedOn w:val="DefaultParagraphFont"/>
    <w:link w:val="Title"/>
    <w:rsid w:val="00772829"/>
    <w:rPr>
      <w:rFonts w:ascii="Arial" w:eastAsia="Times New Roman" w:hAnsi="Arial" w:cs="Arial"/>
      <w:b/>
      <w:bCs/>
      <w:color w:val="000080"/>
      <w:sz w:val="36"/>
      <w:szCs w:val="36"/>
      <w:lang w:eastAsia="en-AU"/>
    </w:rPr>
  </w:style>
  <w:style w:type="paragraph" w:styleId="Subtitle">
    <w:name w:val="Subtitle"/>
    <w:basedOn w:val="Normal"/>
    <w:next w:val="Normal"/>
    <w:link w:val="SubtitleChar"/>
    <w:qFormat/>
    <w:rsid w:val="00772829"/>
    <w:pPr>
      <w:spacing w:after="240" w:line="240" w:lineRule="auto"/>
      <w:jc w:val="center"/>
    </w:pPr>
    <w:rPr>
      <w:rFonts w:ascii="Arial" w:eastAsia="Times New Roman" w:hAnsi="Arial" w:cs="Arial"/>
      <w:b/>
      <w:bCs/>
      <w:i/>
      <w:color w:val="000080"/>
      <w:sz w:val="28"/>
      <w:szCs w:val="28"/>
      <w:lang w:eastAsia="en-AU"/>
    </w:rPr>
  </w:style>
  <w:style w:type="character" w:customStyle="1" w:styleId="SubtitleChar">
    <w:name w:val="Subtitle Char"/>
    <w:basedOn w:val="DefaultParagraphFont"/>
    <w:link w:val="Subtitle"/>
    <w:rsid w:val="00772829"/>
    <w:rPr>
      <w:rFonts w:ascii="Arial" w:eastAsia="Times New Roman" w:hAnsi="Arial" w:cs="Arial"/>
      <w:b/>
      <w:bCs/>
      <w:i/>
      <w:color w:val="000080"/>
      <w:sz w:val="28"/>
      <w:szCs w:val="28"/>
      <w:lang w:eastAsia="en-AU"/>
    </w:rPr>
  </w:style>
  <w:style w:type="paragraph" w:customStyle="1" w:styleId="ESHeading1">
    <w:name w:val="ES Heading1"/>
    <w:basedOn w:val="Heading2"/>
    <w:next w:val="Normal"/>
    <w:qFormat/>
    <w:rsid w:val="002C70CE"/>
    <w:pPr>
      <w:numPr>
        <w:ilvl w:val="0"/>
        <w:numId w:val="7"/>
      </w:numPr>
      <w:spacing w:before="240"/>
      <w:ind w:left="2154" w:hanging="357"/>
    </w:pPr>
  </w:style>
  <w:style w:type="paragraph" w:customStyle="1" w:styleId="NormalBeforeBullet">
    <w:name w:val="Normal Before Bullet"/>
    <w:basedOn w:val="Normal"/>
    <w:qFormat/>
    <w:rsid w:val="00091C59"/>
    <w:pPr>
      <w:keepNext/>
      <w:spacing w:after="120" w:line="240" w:lineRule="auto"/>
    </w:pPr>
    <w:rPr>
      <w:rFonts w:asciiTheme="minorHAnsi" w:hAnsiTheme="minorHAnsi"/>
    </w:rPr>
  </w:style>
  <w:style w:type="paragraph" w:customStyle="1" w:styleId="Dash">
    <w:name w:val="Dash"/>
    <w:basedOn w:val="Bullet"/>
    <w:qFormat/>
    <w:rsid w:val="00091C59"/>
    <w:pPr>
      <w:numPr>
        <w:numId w:val="8"/>
      </w:numPr>
      <w:spacing w:after="40"/>
      <w:ind w:left="714" w:hanging="357"/>
    </w:pPr>
  </w:style>
  <w:style w:type="paragraph" w:customStyle="1" w:styleId="Instructionaltext">
    <w:name w:val="Instructional text"/>
    <w:basedOn w:val="Normal"/>
    <w:link w:val="InstructionaltextChar"/>
    <w:qFormat/>
    <w:rsid w:val="00E436A2"/>
    <w:rPr>
      <w:color w:val="258221"/>
    </w:rPr>
  </w:style>
  <w:style w:type="character" w:customStyle="1" w:styleId="UnresolvedMention1">
    <w:name w:val="Unresolved Mention1"/>
    <w:basedOn w:val="DefaultParagraphFont"/>
    <w:uiPriority w:val="99"/>
    <w:semiHidden/>
    <w:unhideWhenUsed/>
    <w:rsid w:val="00997BA8"/>
    <w:rPr>
      <w:color w:val="605E5C"/>
      <w:shd w:val="clear" w:color="auto" w:fill="E1DFDD"/>
    </w:rPr>
  </w:style>
  <w:style w:type="character" w:customStyle="1" w:styleId="InstructionaltextChar">
    <w:name w:val="Instructional text Char"/>
    <w:basedOn w:val="DefaultParagraphFont"/>
    <w:link w:val="Instructionaltext"/>
    <w:rsid w:val="00DF39E9"/>
    <w:rPr>
      <w:rFonts w:ascii="Franklin Gothic Book" w:hAnsi="Franklin Gothic Book"/>
      <w:color w:val="258221"/>
    </w:rPr>
  </w:style>
  <w:style w:type="paragraph" w:customStyle="1" w:styleId="Instructionaltext-bullet">
    <w:name w:val="Instructional text - bullet"/>
    <w:basedOn w:val="Instructionaltext"/>
    <w:qFormat/>
    <w:rsid w:val="002463A6"/>
    <w:pPr>
      <w:numPr>
        <w:numId w:val="9"/>
      </w:numPr>
      <w:spacing w:before="0" w:after="0"/>
    </w:pPr>
  </w:style>
  <w:style w:type="paragraph" w:customStyle="1" w:styleId="Instructionaltext-afterfiguretable">
    <w:name w:val="Instructional text - after figure/table"/>
    <w:basedOn w:val="Instructionaltext"/>
    <w:qFormat/>
    <w:rsid w:val="00B151CF"/>
    <w:pPr>
      <w:spacing w:before="360"/>
    </w:pPr>
  </w:style>
  <w:style w:type="paragraph" w:customStyle="1" w:styleId="Guidelinescross-ref">
    <w:name w:val="Guidelines cross-ref"/>
    <w:basedOn w:val="Normal"/>
    <w:qFormat/>
    <w:rsid w:val="005B7D6C"/>
    <w:pPr>
      <w:spacing w:before="240" w:after="240"/>
    </w:pPr>
    <w:rPr>
      <w:b/>
      <w:color w:val="0070C0"/>
      <w:sz w:val="24"/>
    </w:rPr>
  </w:style>
  <w:style w:type="paragraph" w:styleId="Revision">
    <w:name w:val="Revision"/>
    <w:hidden/>
    <w:uiPriority w:val="99"/>
    <w:semiHidden/>
    <w:rsid w:val="00610ABA"/>
    <w:pPr>
      <w:spacing w:after="0" w:line="240" w:lineRule="auto"/>
    </w:pPr>
    <w:rPr>
      <w:rFonts w:ascii="Franklin Gothic Book" w:hAnsi="Franklin Gothic Book"/>
    </w:rPr>
  </w:style>
  <w:style w:type="character" w:customStyle="1" w:styleId="UnresolvedMention2">
    <w:name w:val="Unresolved Mention2"/>
    <w:basedOn w:val="DefaultParagraphFont"/>
    <w:uiPriority w:val="99"/>
    <w:semiHidden/>
    <w:unhideWhenUsed/>
    <w:rsid w:val="00223664"/>
    <w:rPr>
      <w:color w:val="605E5C"/>
      <w:shd w:val="clear" w:color="auto" w:fill="E1DFDD"/>
    </w:rPr>
  </w:style>
  <w:style w:type="paragraph" w:customStyle="1" w:styleId="KMC16-Caption">
    <w:name w:val="KMC16 - Caption"/>
    <w:basedOn w:val="Normal"/>
    <w:qFormat/>
    <w:rsid w:val="00D12E63"/>
    <w:pPr>
      <w:keepNext/>
      <w:tabs>
        <w:tab w:val="left" w:pos="567"/>
      </w:tabs>
      <w:spacing w:before="240" w:after="40" w:line="240" w:lineRule="auto"/>
      <w:ind w:left="992" w:hanging="992"/>
      <w:contextualSpacing/>
    </w:pPr>
    <w:rPr>
      <w:rFonts w:ascii="Arial" w:eastAsia="Times New Roman" w:hAnsi="Arial" w:cs="Times New Roman"/>
      <w:b/>
      <w:color w:val="000000"/>
      <w:sz w:val="20"/>
      <w:szCs w:val="20"/>
      <w:lang w:eastAsia="en-AU"/>
    </w:rPr>
  </w:style>
  <w:style w:type="paragraph" w:customStyle="1" w:styleId="KMC16-TFNotes">
    <w:name w:val="KMC16 - TF Notes"/>
    <w:basedOn w:val="Normal"/>
    <w:qFormat/>
    <w:rsid w:val="00D12E63"/>
    <w:pPr>
      <w:spacing w:before="45" w:after="240" w:line="240" w:lineRule="auto"/>
      <w:contextualSpacing/>
      <w:jc w:val="both"/>
    </w:pPr>
    <w:rPr>
      <w:rFonts w:ascii="Calibri" w:eastAsia="Times New Roman" w:hAnsi="Calibri" w:cs="Times New Roman"/>
      <w:color w:val="000000" w:themeColor="text1"/>
      <w:sz w:val="16"/>
      <w:szCs w:val="24"/>
      <w:lang w:eastAsia="en-GB"/>
    </w:rPr>
  </w:style>
  <w:style w:type="paragraph" w:customStyle="1" w:styleId="KMC16-Tablecontent">
    <w:name w:val="KMC16 - Table content"/>
    <w:basedOn w:val="Normal"/>
    <w:link w:val="KMC16-TablecontentChar"/>
    <w:qFormat/>
    <w:rsid w:val="00D12E63"/>
    <w:pPr>
      <w:spacing w:before="40" w:after="40" w:line="240" w:lineRule="auto"/>
    </w:pPr>
    <w:rPr>
      <w:rFonts w:ascii="Arial Narrow" w:eastAsia="Times New Roman" w:hAnsi="Arial Narrow" w:cs="Arial"/>
      <w:color w:val="000000"/>
      <w:sz w:val="20"/>
      <w:szCs w:val="24"/>
      <w:lang w:val="en-GB" w:eastAsia="en-GB"/>
    </w:rPr>
  </w:style>
  <w:style w:type="character" w:customStyle="1" w:styleId="KMC16-TablecontentChar">
    <w:name w:val="KMC16 - Table content Char"/>
    <w:basedOn w:val="DefaultParagraphFont"/>
    <w:link w:val="KMC16-Tablecontent"/>
    <w:rsid w:val="00D12E63"/>
    <w:rPr>
      <w:rFonts w:ascii="Arial Narrow" w:eastAsia="Times New Roman" w:hAnsi="Arial Narrow" w:cs="Arial"/>
      <w:color w:val="000000"/>
      <w:sz w:val="20"/>
      <w:szCs w:val="24"/>
      <w:lang w:val="en-GB" w:eastAsia="en-GB"/>
    </w:rPr>
  </w:style>
  <w:style w:type="character" w:styleId="UnresolvedMention">
    <w:name w:val="Unresolved Mention"/>
    <w:basedOn w:val="DefaultParagraphFont"/>
    <w:uiPriority w:val="99"/>
    <w:semiHidden/>
    <w:unhideWhenUsed/>
    <w:rsid w:val="005B6781"/>
    <w:rPr>
      <w:color w:val="605E5C"/>
      <w:shd w:val="clear" w:color="auto" w:fill="E1DFDD"/>
    </w:rPr>
  </w:style>
  <w:style w:type="paragraph" w:customStyle="1" w:styleId="KMC16-Text">
    <w:name w:val="KMC16 - Text"/>
    <w:basedOn w:val="Normal"/>
    <w:link w:val="KMC16-TextChar"/>
    <w:qFormat/>
    <w:rsid w:val="00D73106"/>
    <w:pPr>
      <w:spacing w:before="0" w:after="240" w:line="360" w:lineRule="auto"/>
      <w:jc w:val="both"/>
    </w:pPr>
    <w:rPr>
      <w:rFonts w:ascii="Arial" w:eastAsia="Times New Roman" w:hAnsi="Arial" w:cs="Times New Roman"/>
      <w:color w:val="000000" w:themeColor="text1"/>
      <w:sz w:val="24"/>
      <w:szCs w:val="24"/>
      <w:lang w:eastAsia="en-GB"/>
    </w:rPr>
  </w:style>
  <w:style w:type="character" w:customStyle="1" w:styleId="KMC16-TextChar">
    <w:name w:val="KMC16 - Text Char"/>
    <w:basedOn w:val="DefaultParagraphFont"/>
    <w:link w:val="KMC16-Text"/>
    <w:rsid w:val="00D73106"/>
    <w:rPr>
      <w:rFonts w:ascii="Arial" w:eastAsia="Times New Roman" w:hAnsi="Arial" w:cs="Times New Roman"/>
      <w:color w:val="000000" w:themeColor="text1"/>
      <w:sz w:val="24"/>
      <w:szCs w:val="24"/>
      <w:lang w:eastAsia="en-GB"/>
    </w:rPr>
  </w:style>
  <w:style w:type="paragraph" w:customStyle="1" w:styleId="DashEndList">
    <w:name w:val="Dash End List"/>
    <w:basedOn w:val="Normal"/>
    <w:qFormat/>
    <w:rsid w:val="00D73106"/>
    <w:pPr>
      <w:numPr>
        <w:numId w:val="14"/>
      </w:numPr>
      <w:spacing w:before="0" w:after="240" w:line="240" w:lineRule="auto"/>
      <w:ind w:left="714" w:hanging="357"/>
    </w:pPr>
    <w:rPr>
      <w:rFonts w:asciiTheme="minorHAnsi" w:hAnsiTheme="minorHAnsi"/>
    </w:rPr>
  </w:style>
  <w:style w:type="paragraph" w:customStyle="1" w:styleId="KMC16-TableHeading">
    <w:name w:val="KMC16 - Table Heading"/>
    <w:basedOn w:val="Normal"/>
    <w:qFormat/>
    <w:rsid w:val="00D73106"/>
    <w:pPr>
      <w:spacing w:before="40" w:after="40" w:line="240" w:lineRule="auto"/>
      <w:jc w:val="center"/>
    </w:pPr>
    <w:rPr>
      <w:rFonts w:ascii="Arial Narrow" w:eastAsia="Times New Roman" w:hAnsi="Arial Narrow" w:cs="Arial"/>
      <w:b/>
      <w:color w:val="000000"/>
      <w:sz w:val="20"/>
      <w:szCs w:val="24"/>
      <w:lang w:eastAsia="en-GB"/>
    </w:rPr>
  </w:style>
  <w:style w:type="character" w:customStyle="1" w:styleId="Heading5Char">
    <w:name w:val="Heading 5 Char"/>
    <w:basedOn w:val="DefaultParagraphFont"/>
    <w:link w:val="Heading5"/>
    <w:uiPriority w:val="9"/>
    <w:rsid w:val="000C6AF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0C6AF3"/>
    <w:rPr>
      <w:rFonts w:asciiTheme="majorHAnsi" w:eastAsiaTheme="majorEastAsia" w:hAnsiTheme="majorHAnsi" w:cstheme="majorBidi"/>
      <w:color w:val="1F4D78" w:themeColor="accent1" w:themeShade="7F"/>
    </w:rPr>
  </w:style>
  <w:style w:type="character" w:styleId="IntenseEmphasis">
    <w:name w:val="Intense Emphasis"/>
    <w:basedOn w:val="DefaultParagraphFont"/>
    <w:uiPriority w:val="21"/>
    <w:qFormat/>
    <w:rsid w:val="000C6AF3"/>
    <w:rPr>
      <w:i/>
      <w:iCs/>
      <w:color w:val="5B9BD5" w:themeColor="accent1"/>
    </w:rPr>
  </w:style>
  <w:style w:type="character" w:styleId="Mention">
    <w:name w:val="Mention"/>
    <w:basedOn w:val="DefaultParagraphFont"/>
    <w:uiPriority w:val="99"/>
    <w:unhideWhenUsed/>
    <w:rsid w:val="007515E7"/>
    <w:rPr>
      <w:color w:val="2B579A"/>
      <w:shd w:val="clear" w:color="auto" w:fill="E1DFDD"/>
    </w:rPr>
  </w:style>
  <w:style w:type="paragraph" w:customStyle="1" w:styleId="BulletBeforeDash">
    <w:name w:val="BulletBeforeDash"/>
    <w:basedOn w:val="Normal"/>
    <w:rsid w:val="001868D2"/>
    <w:pPr>
      <w:numPr>
        <w:numId w:val="24"/>
      </w:numPr>
      <w:spacing w:before="0" w:after="0" w:line="240" w:lineRule="auto"/>
    </w:pPr>
    <w:rPr>
      <w:rFonts w:eastAsia="Times New Roman" w:cs="Times New Roman"/>
      <w:color w:val="000000"/>
      <w:szCs w:val="20"/>
      <w:lang w:eastAsia="en-AU"/>
    </w:rPr>
  </w:style>
  <w:style w:type="paragraph" w:customStyle="1" w:styleId="BulletLast">
    <w:name w:val="BulletLast"/>
    <w:basedOn w:val="Bullet"/>
    <w:qFormat/>
    <w:rsid w:val="001868D2"/>
    <w:pPr>
      <w:numPr>
        <w:numId w:val="0"/>
      </w:numPr>
      <w:spacing w:before="0" w:after="240"/>
      <w:ind w:left="786" w:hanging="360"/>
    </w:pPr>
    <w:rPr>
      <w:rFonts w:ascii="Franklin Gothic Book" w:eastAsia="Times New Roman" w:hAnsi="Franklin Gothic Book" w:cs="Times New Roman"/>
      <w:color w:val="000000"/>
      <w:szCs w:val="20"/>
      <w:lang w:eastAsia="en-AU"/>
    </w:rPr>
  </w:style>
  <w:style w:type="paragraph" w:customStyle="1" w:styleId="NormalBeforeBullet0">
    <w:name w:val="NormalBeforeBullet"/>
    <w:basedOn w:val="Normal"/>
    <w:qFormat/>
    <w:rsid w:val="001868D2"/>
    <w:pPr>
      <w:keepNext/>
      <w:spacing w:before="0" w:after="120" w:line="240" w:lineRule="auto"/>
    </w:pPr>
    <w:rPr>
      <w:rFonts w:eastAsia="Times New Roman" w:cs="Times New Roman"/>
      <w:color w:val="000000"/>
      <w:szCs w:val="20"/>
      <w:lang w:eastAsia="en-AU"/>
    </w:rPr>
  </w:style>
  <w:style w:type="paragraph" w:customStyle="1" w:styleId="BoxName0">
    <w:name w:val="BoxName"/>
    <w:basedOn w:val="Normal"/>
    <w:rsid w:val="001868D2"/>
    <w:pPr>
      <w:keepNext/>
      <w:pBdr>
        <w:top w:val="single" w:sz="4" w:space="4" w:color="000000"/>
        <w:left w:val="single" w:sz="4" w:space="4" w:color="000000"/>
        <w:bottom w:val="single" w:sz="4" w:space="4" w:color="000000"/>
        <w:right w:val="single" w:sz="4" w:space="4" w:color="000000"/>
      </w:pBdr>
      <w:spacing w:before="240" w:after="240" w:line="240" w:lineRule="auto"/>
      <w:ind w:left="1077" w:hanging="1077"/>
    </w:pPr>
    <w:rPr>
      <w:rFonts w:eastAsia="Times New Roman" w:cs="Times New Roman"/>
      <w:b/>
      <w:bCs/>
      <w:color w:val="000000"/>
      <w:sz w:val="24"/>
      <w:szCs w:val="20"/>
      <w:lang w:eastAsia="en-AU"/>
    </w:rPr>
  </w:style>
  <w:style w:type="paragraph" w:customStyle="1" w:styleId="BoxHeading">
    <w:name w:val="BoxHeading"/>
    <w:basedOn w:val="Normal"/>
    <w:rsid w:val="001868D2"/>
    <w:pPr>
      <w:keepNext/>
      <w:pBdr>
        <w:top w:val="single" w:sz="4" w:space="4" w:color="000000"/>
        <w:left w:val="single" w:sz="4" w:space="4" w:color="000000"/>
        <w:bottom w:val="single" w:sz="4" w:space="4" w:color="000000"/>
        <w:right w:val="single" w:sz="4" w:space="4" w:color="000000"/>
      </w:pBdr>
      <w:spacing w:after="60" w:line="240" w:lineRule="auto"/>
    </w:pPr>
    <w:rPr>
      <w:rFonts w:eastAsia="Times New Roman" w:cs="Times New Roman"/>
      <w:b/>
      <w:bCs/>
      <w:color w:val="000000"/>
      <w:szCs w:val="20"/>
      <w:lang w:eastAsia="en-AU"/>
    </w:rPr>
  </w:style>
  <w:style w:type="paragraph" w:customStyle="1" w:styleId="BoxBullet">
    <w:name w:val="BoxBullet"/>
    <w:basedOn w:val="Normal"/>
    <w:rsid w:val="001868D2"/>
    <w:pPr>
      <w:numPr>
        <w:numId w:val="25"/>
      </w:numPr>
      <w:pBdr>
        <w:top w:val="single" w:sz="4" w:space="4" w:color="000000"/>
        <w:left w:val="single" w:sz="4" w:space="4" w:color="000000"/>
        <w:bottom w:val="single" w:sz="4" w:space="4" w:color="000000"/>
        <w:right w:val="single" w:sz="4" w:space="4" w:color="000000"/>
      </w:pBdr>
      <w:spacing w:before="0" w:after="120" w:line="240" w:lineRule="auto"/>
    </w:pPr>
    <w:rPr>
      <w:rFonts w:eastAsia="Times New Roman" w:cs="Times New Roman"/>
      <w:color w:val="000000"/>
      <w:szCs w:val="20"/>
      <w:lang w:eastAsia="en-AU"/>
    </w:rPr>
  </w:style>
  <w:style w:type="table" w:customStyle="1" w:styleId="Section3-footnot1">
    <w:name w:val="Section 3- footnot1"/>
    <w:basedOn w:val="TableNormal"/>
    <w:next w:val="TableGrid"/>
    <w:uiPriority w:val="59"/>
    <w:rsid w:val="003A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27B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unhideWhenUsed/>
    <w:rsid w:val="003027B3"/>
    <w:pPr>
      <w:spacing w:after="120"/>
    </w:pPr>
  </w:style>
  <w:style w:type="character" w:customStyle="1" w:styleId="BodyTextChar">
    <w:name w:val="Body Text Char"/>
    <w:basedOn w:val="DefaultParagraphFont"/>
    <w:link w:val="BodyText"/>
    <w:uiPriority w:val="99"/>
    <w:rsid w:val="003027B3"/>
    <w:rPr>
      <w:rFonts w:ascii="Franklin Gothic Book" w:hAnsi="Franklin Gothic Book"/>
    </w:rPr>
  </w:style>
  <w:style w:type="paragraph" w:customStyle="1" w:styleId="xxmsonormal">
    <w:name w:val="x_xmsonormal"/>
    <w:basedOn w:val="Normal"/>
    <w:rsid w:val="008C0658"/>
    <w:pPr>
      <w:spacing w:before="0" w:after="0" w:line="240" w:lineRule="auto"/>
    </w:pPr>
    <w:rPr>
      <w:rFonts w:ascii="Aptos" w:hAnsi="Aptos" w:cs="Apto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2275">
      <w:bodyDiv w:val="1"/>
      <w:marLeft w:val="0"/>
      <w:marRight w:val="0"/>
      <w:marTop w:val="0"/>
      <w:marBottom w:val="0"/>
      <w:divBdr>
        <w:top w:val="none" w:sz="0" w:space="0" w:color="auto"/>
        <w:left w:val="none" w:sz="0" w:space="0" w:color="auto"/>
        <w:bottom w:val="none" w:sz="0" w:space="0" w:color="auto"/>
        <w:right w:val="none" w:sz="0" w:space="0" w:color="auto"/>
      </w:divBdr>
      <w:divsChild>
        <w:div w:id="374426793">
          <w:marLeft w:val="0"/>
          <w:marRight w:val="0"/>
          <w:marTop w:val="0"/>
          <w:marBottom w:val="0"/>
          <w:divBdr>
            <w:top w:val="none" w:sz="0" w:space="0" w:color="auto"/>
            <w:left w:val="none" w:sz="0" w:space="0" w:color="auto"/>
            <w:bottom w:val="none" w:sz="0" w:space="0" w:color="auto"/>
            <w:right w:val="none" w:sz="0" w:space="0" w:color="auto"/>
          </w:divBdr>
        </w:div>
        <w:div w:id="399060094">
          <w:marLeft w:val="0"/>
          <w:marRight w:val="0"/>
          <w:marTop w:val="0"/>
          <w:marBottom w:val="0"/>
          <w:divBdr>
            <w:top w:val="none" w:sz="0" w:space="0" w:color="auto"/>
            <w:left w:val="none" w:sz="0" w:space="0" w:color="auto"/>
            <w:bottom w:val="none" w:sz="0" w:space="0" w:color="auto"/>
            <w:right w:val="none" w:sz="0" w:space="0" w:color="auto"/>
          </w:divBdr>
        </w:div>
        <w:div w:id="569734682">
          <w:marLeft w:val="0"/>
          <w:marRight w:val="0"/>
          <w:marTop w:val="0"/>
          <w:marBottom w:val="0"/>
          <w:divBdr>
            <w:top w:val="none" w:sz="0" w:space="0" w:color="auto"/>
            <w:left w:val="none" w:sz="0" w:space="0" w:color="auto"/>
            <w:bottom w:val="none" w:sz="0" w:space="0" w:color="auto"/>
            <w:right w:val="none" w:sz="0" w:space="0" w:color="auto"/>
          </w:divBdr>
        </w:div>
        <w:div w:id="1194033141">
          <w:marLeft w:val="0"/>
          <w:marRight w:val="0"/>
          <w:marTop w:val="0"/>
          <w:marBottom w:val="0"/>
          <w:divBdr>
            <w:top w:val="none" w:sz="0" w:space="0" w:color="auto"/>
            <w:left w:val="none" w:sz="0" w:space="0" w:color="auto"/>
            <w:bottom w:val="none" w:sz="0" w:space="0" w:color="auto"/>
            <w:right w:val="none" w:sz="0" w:space="0" w:color="auto"/>
          </w:divBdr>
        </w:div>
        <w:div w:id="1761561891">
          <w:marLeft w:val="0"/>
          <w:marRight w:val="0"/>
          <w:marTop w:val="0"/>
          <w:marBottom w:val="0"/>
          <w:divBdr>
            <w:top w:val="none" w:sz="0" w:space="0" w:color="auto"/>
            <w:left w:val="none" w:sz="0" w:space="0" w:color="auto"/>
            <w:bottom w:val="none" w:sz="0" w:space="0" w:color="auto"/>
            <w:right w:val="none" w:sz="0" w:space="0" w:color="auto"/>
          </w:divBdr>
        </w:div>
        <w:div w:id="2097633223">
          <w:marLeft w:val="0"/>
          <w:marRight w:val="0"/>
          <w:marTop w:val="0"/>
          <w:marBottom w:val="0"/>
          <w:divBdr>
            <w:top w:val="none" w:sz="0" w:space="0" w:color="auto"/>
            <w:left w:val="none" w:sz="0" w:space="0" w:color="auto"/>
            <w:bottom w:val="none" w:sz="0" w:space="0" w:color="auto"/>
            <w:right w:val="none" w:sz="0" w:space="0" w:color="auto"/>
          </w:divBdr>
        </w:div>
      </w:divsChild>
    </w:div>
    <w:div w:id="25765403">
      <w:bodyDiv w:val="1"/>
      <w:marLeft w:val="0"/>
      <w:marRight w:val="0"/>
      <w:marTop w:val="0"/>
      <w:marBottom w:val="0"/>
      <w:divBdr>
        <w:top w:val="none" w:sz="0" w:space="0" w:color="auto"/>
        <w:left w:val="none" w:sz="0" w:space="0" w:color="auto"/>
        <w:bottom w:val="none" w:sz="0" w:space="0" w:color="auto"/>
        <w:right w:val="none" w:sz="0" w:space="0" w:color="auto"/>
      </w:divBdr>
    </w:div>
    <w:div w:id="50269676">
      <w:bodyDiv w:val="1"/>
      <w:marLeft w:val="0"/>
      <w:marRight w:val="0"/>
      <w:marTop w:val="0"/>
      <w:marBottom w:val="0"/>
      <w:divBdr>
        <w:top w:val="none" w:sz="0" w:space="0" w:color="auto"/>
        <w:left w:val="none" w:sz="0" w:space="0" w:color="auto"/>
        <w:bottom w:val="none" w:sz="0" w:space="0" w:color="auto"/>
        <w:right w:val="none" w:sz="0" w:space="0" w:color="auto"/>
      </w:divBdr>
    </w:div>
    <w:div w:id="74130392">
      <w:bodyDiv w:val="1"/>
      <w:marLeft w:val="0"/>
      <w:marRight w:val="0"/>
      <w:marTop w:val="0"/>
      <w:marBottom w:val="0"/>
      <w:divBdr>
        <w:top w:val="none" w:sz="0" w:space="0" w:color="auto"/>
        <w:left w:val="none" w:sz="0" w:space="0" w:color="auto"/>
        <w:bottom w:val="none" w:sz="0" w:space="0" w:color="auto"/>
        <w:right w:val="none" w:sz="0" w:space="0" w:color="auto"/>
      </w:divBdr>
    </w:div>
    <w:div w:id="134028778">
      <w:bodyDiv w:val="1"/>
      <w:marLeft w:val="0"/>
      <w:marRight w:val="0"/>
      <w:marTop w:val="0"/>
      <w:marBottom w:val="0"/>
      <w:divBdr>
        <w:top w:val="none" w:sz="0" w:space="0" w:color="auto"/>
        <w:left w:val="none" w:sz="0" w:space="0" w:color="auto"/>
        <w:bottom w:val="none" w:sz="0" w:space="0" w:color="auto"/>
        <w:right w:val="none" w:sz="0" w:space="0" w:color="auto"/>
      </w:divBdr>
    </w:div>
    <w:div w:id="143351316">
      <w:bodyDiv w:val="1"/>
      <w:marLeft w:val="0"/>
      <w:marRight w:val="0"/>
      <w:marTop w:val="0"/>
      <w:marBottom w:val="0"/>
      <w:divBdr>
        <w:top w:val="none" w:sz="0" w:space="0" w:color="auto"/>
        <w:left w:val="none" w:sz="0" w:space="0" w:color="auto"/>
        <w:bottom w:val="none" w:sz="0" w:space="0" w:color="auto"/>
        <w:right w:val="none" w:sz="0" w:space="0" w:color="auto"/>
      </w:divBdr>
      <w:divsChild>
        <w:div w:id="43988790">
          <w:marLeft w:val="0"/>
          <w:marRight w:val="0"/>
          <w:marTop w:val="0"/>
          <w:marBottom w:val="0"/>
          <w:divBdr>
            <w:top w:val="none" w:sz="0" w:space="0" w:color="auto"/>
            <w:left w:val="none" w:sz="0" w:space="0" w:color="auto"/>
            <w:bottom w:val="none" w:sz="0" w:space="0" w:color="auto"/>
            <w:right w:val="none" w:sz="0" w:space="0" w:color="auto"/>
          </w:divBdr>
        </w:div>
        <w:div w:id="517815423">
          <w:marLeft w:val="0"/>
          <w:marRight w:val="0"/>
          <w:marTop w:val="0"/>
          <w:marBottom w:val="0"/>
          <w:divBdr>
            <w:top w:val="none" w:sz="0" w:space="0" w:color="auto"/>
            <w:left w:val="none" w:sz="0" w:space="0" w:color="auto"/>
            <w:bottom w:val="none" w:sz="0" w:space="0" w:color="auto"/>
            <w:right w:val="none" w:sz="0" w:space="0" w:color="auto"/>
          </w:divBdr>
        </w:div>
        <w:div w:id="1247114568">
          <w:marLeft w:val="0"/>
          <w:marRight w:val="0"/>
          <w:marTop w:val="0"/>
          <w:marBottom w:val="0"/>
          <w:divBdr>
            <w:top w:val="none" w:sz="0" w:space="0" w:color="auto"/>
            <w:left w:val="none" w:sz="0" w:space="0" w:color="auto"/>
            <w:bottom w:val="none" w:sz="0" w:space="0" w:color="auto"/>
            <w:right w:val="none" w:sz="0" w:space="0" w:color="auto"/>
          </w:divBdr>
        </w:div>
        <w:div w:id="1498185279">
          <w:marLeft w:val="0"/>
          <w:marRight w:val="0"/>
          <w:marTop w:val="0"/>
          <w:marBottom w:val="0"/>
          <w:divBdr>
            <w:top w:val="none" w:sz="0" w:space="0" w:color="auto"/>
            <w:left w:val="none" w:sz="0" w:space="0" w:color="auto"/>
            <w:bottom w:val="none" w:sz="0" w:space="0" w:color="auto"/>
            <w:right w:val="none" w:sz="0" w:space="0" w:color="auto"/>
          </w:divBdr>
        </w:div>
        <w:div w:id="1889805891">
          <w:marLeft w:val="0"/>
          <w:marRight w:val="0"/>
          <w:marTop w:val="0"/>
          <w:marBottom w:val="0"/>
          <w:divBdr>
            <w:top w:val="none" w:sz="0" w:space="0" w:color="auto"/>
            <w:left w:val="none" w:sz="0" w:space="0" w:color="auto"/>
            <w:bottom w:val="none" w:sz="0" w:space="0" w:color="auto"/>
            <w:right w:val="none" w:sz="0" w:space="0" w:color="auto"/>
          </w:divBdr>
        </w:div>
        <w:div w:id="1918784483">
          <w:marLeft w:val="0"/>
          <w:marRight w:val="0"/>
          <w:marTop w:val="0"/>
          <w:marBottom w:val="0"/>
          <w:divBdr>
            <w:top w:val="none" w:sz="0" w:space="0" w:color="auto"/>
            <w:left w:val="none" w:sz="0" w:space="0" w:color="auto"/>
            <w:bottom w:val="none" w:sz="0" w:space="0" w:color="auto"/>
            <w:right w:val="none" w:sz="0" w:space="0" w:color="auto"/>
          </w:divBdr>
        </w:div>
      </w:divsChild>
    </w:div>
    <w:div w:id="174998036">
      <w:bodyDiv w:val="1"/>
      <w:marLeft w:val="0"/>
      <w:marRight w:val="0"/>
      <w:marTop w:val="0"/>
      <w:marBottom w:val="0"/>
      <w:divBdr>
        <w:top w:val="none" w:sz="0" w:space="0" w:color="auto"/>
        <w:left w:val="none" w:sz="0" w:space="0" w:color="auto"/>
        <w:bottom w:val="none" w:sz="0" w:space="0" w:color="auto"/>
        <w:right w:val="none" w:sz="0" w:space="0" w:color="auto"/>
      </w:divBdr>
    </w:div>
    <w:div w:id="184029289">
      <w:bodyDiv w:val="1"/>
      <w:marLeft w:val="0"/>
      <w:marRight w:val="0"/>
      <w:marTop w:val="0"/>
      <w:marBottom w:val="0"/>
      <w:divBdr>
        <w:top w:val="none" w:sz="0" w:space="0" w:color="auto"/>
        <w:left w:val="none" w:sz="0" w:space="0" w:color="auto"/>
        <w:bottom w:val="none" w:sz="0" w:space="0" w:color="auto"/>
        <w:right w:val="none" w:sz="0" w:space="0" w:color="auto"/>
      </w:divBdr>
    </w:div>
    <w:div w:id="206991689">
      <w:bodyDiv w:val="1"/>
      <w:marLeft w:val="0"/>
      <w:marRight w:val="0"/>
      <w:marTop w:val="0"/>
      <w:marBottom w:val="0"/>
      <w:divBdr>
        <w:top w:val="none" w:sz="0" w:space="0" w:color="auto"/>
        <w:left w:val="none" w:sz="0" w:space="0" w:color="auto"/>
        <w:bottom w:val="none" w:sz="0" w:space="0" w:color="auto"/>
        <w:right w:val="none" w:sz="0" w:space="0" w:color="auto"/>
      </w:divBdr>
    </w:div>
    <w:div w:id="212010218">
      <w:bodyDiv w:val="1"/>
      <w:marLeft w:val="0"/>
      <w:marRight w:val="0"/>
      <w:marTop w:val="0"/>
      <w:marBottom w:val="0"/>
      <w:divBdr>
        <w:top w:val="none" w:sz="0" w:space="0" w:color="auto"/>
        <w:left w:val="none" w:sz="0" w:space="0" w:color="auto"/>
        <w:bottom w:val="none" w:sz="0" w:space="0" w:color="auto"/>
        <w:right w:val="none" w:sz="0" w:space="0" w:color="auto"/>
      </w:divBdr>
    </w:div>
    <w:div w:id="240987840">
      <w:bodyDiv w:val="1"/>
      <w:marLeft w:val="0"/>
      <w:marRight w:val="0"/>
      <w:marTop w:val="0"/>
      <w:marBottom w:val="0"/>
      <w:divBdr>
        <w:top w:val="none" w:sz="0" w:space="0" w:color="auto"/>
        <w:left w:val="none" w:sz="0" w:space="0" w:color="auto"/>
        <w:bottom w:val="none" w:sz="0" w:space="0" w:color="auto"/>
        <w:right w:val="none" w:sz="0" w:space="0" w:color="auto"/>
      </w:divBdr>
    </w:div>
    <w:div w:id="259148225">
      <w:bodyDiv w:val="1"/>
      <w:marLeft w:val="0"/>
      <w:marRight w:val="0"/>
      <w:marTop w:val="0"/>
      <w:marBottom w:val="0"/>
      <w:divBdr>
        <w:top w:val="none" w:sz="0" w:space="0" w:color="auto"/>
        <w:left w:val="none" w:sz="0" w:space="0" w:color="auto"/>
        <w:bottom w:val="none" w:sz="0" w:space="0" w:color="auto"/>
        <w:right w:val="none" w:sz="0" w:space="0" w:color="auto"/>
      </w:divBdr>
    </w:div>
    <w:div w:id="323511148">
      <w:bodyDiv w:val="1"/>
      <w:marLeft w:val="0"/>
      <w:marRight w:val="0"/>
      <w:marTop w:val="0"/>
      <w:marBottom w:val="0"/>
      <w:divBdr>
        <w:top w:val="none" w:sz="0" w:space="0" w:color="auto"/>
        <w:left w:val="none" w:sz="0" w:space="0" w:color="auto"/>
        <w:bottom w:val="none" w:sz="0" w:space="0" w:color="auto"/>
        <w:right w:val="none" w:sz="0" w:space="0" w:color="auto"/>
      </w:divBdr>
    </w:div>
    <w:div w:id="381249859">
      <w:bodyDiv w:val="1"/>
      <w:marLeft w:val="0"/>
      <w:marRight w:val="0"/>
      <w:marTop w:val="0"/>
      <w:marBottom w:val="0"/>
      <w:divBdr>
        <w:top w:val="none" w:sz="0" w:space="0" w:color="auto"/>
        <w:left w:val="none" w:sz="0" w:space="0" w:color="auto"/>
        <w:bottom w:val="none" w:sz="0" w:space="0" w:color="auto"/>
        <w:right w:val="none" w:sz="0" w:space="0" w:color="auto"/>
      </w:divBdr>
    </w:div>
    <w:div w:id="388959748">
      <w:bodyDiv w:val="1"/>
      <w:marLeft w:val="0"/>
      <w:marRight w:val="0"/>
      <w:marTop w:val="0"/>
      <w:marBottom w:val="0"/>
      <w:divBdr>
        <w:top w:val="none" w:sz="0" w:space="0" w:color="auto"/>
        <w:left w:val="none" w:sz="0" w:space="0" w:color="auto"/>
        <w:bottom w:val="none" w:sz="0" w:space="0" w:color="auto"/>
        <w:right w:val="none" w:sz="0" w:space="0" w:color="auto"/>
      </w:divBdr>
    </w:div>
    <w:div w:id="393283070">
      <w:bodyDiv w:val="1"/>
      <w:marLeft w:val="0"/>
      <w:marRight w:val="0"/>
      <w:marTop w:val="0"/>
      <w:marBottom w:val="0"/>
      <w:divBdr>
        <w:top w:val="none" w:sz="0" w:space="0" w:color="auto"/>
        <w:left w:val="none" w:sz="0" w:space="0" w:color="auto"/>
        <w:bottom w:val="none" w:sz="0" w:space="0" w:color="auto"/>
        <w:right w:val="none" w:sz="0" w:space="0" w:color="auto"/>
      </w:divBdr>
    </w:div>
    <w:div w:id="414280912">
      <w:bodyDiv w:val="1"/>
      <w:marLeft w:val="0"/>
      <w:marRight w:val="0"/>
      <w:marTop w:val="0"/>
      <w:marBottom w:val="0"/>
      <w:divBdr>
        <w:top w:val="none" w:sz="0" w:space="0" w:color="auto"/>
        <w:left w:val="none" w:sz="0" w:space="0" w:color="auto"/>
        <w:bottom w:val="none" w:sz="0" w:space="0" w:color="auto"/>
        <w:right w:val="none" w:sz="0" w:space="0" w:color="auto"/>
      </w:divBdr>
    </w:div>
    <w:div w:id="425276192">
      <w:bodyDiv w:val="1"/>
      <w:marLeft w:val="0"/>
      <w:marRight w:val="0"/>
      <w:marTop w:val="0"/>
      <w:marBottom w:val="0"/>
      <w:divBdr>
        <w:top w:val="none" w:sz="0" w:space="0" w:color="auto"/>
        <w:left w:val="none" w:sz="0" w:space="0" w:color="auto"/>
        <w:bottom w:val="none" w:sz="0" w:space="0" w:color="auto"/>
        <w:right w:val="none" w:sz="0" w:space="0" w:color="auto"/>
      </w:divBdr>
    </w:div>
    <w:div w:id="445393862">
      <w:bodyDiv w:val="1"/>
      <w:marLeft w:val="0"/>
      <w:marRight w:val="0"/>
      <w:marTop w:val="0"/>
      <w:marBottom w:val="0"/>
      <w:divBdr>
        <w:top w:val="none" w:sz="0" w:space="0" w:color="auto"/>
        <w:left w:val="none" w:sz="0" w:space="0" w:color="auto"/>
        <w:bottom w:val="none" w:sz="0" w:space="0" w:color="auto"/>
        <w:right w:val="none" w:sz="0" w:space="0" w:color="auto"/>
      </w:divBdr>
    </w:div>
    <w:div w:id="497383534">
      <w:bodyDiv w:val="1"/>
      <w:marLeft w:val="0"/>
      <w:marRight w:val="0"/>
      <w:marTop w:val="0"/>
      <w:marBottom w:val="0"/>
      <w:divBdr>
        <w:top w:val="none" w:sz="0" w:space="0" w:color="auto"/>
        <w:left w:val="none" w:sz="0" w:space="0" w:color="auto"/>
        <w:bottom w:val="none" w:sz="0" w:space="0" w:color="auto"/>
        <w:right w:val="none" w:sz="0" w:space="0" w:color="auto"/>
      </w:divBdr>
    </w:div>
    <w:div w:id="541524133">
      <w:bodyDiv w:val="1"/>
      <w:marLeft w:val="0"/>
      <w:marRight w:val="0"/>
      <w:marTop w:val="0"/>
      <w:marBottom w:val="0"/>
      <w:divBdr>
        <w:top w:val="none" w:sz="0" w:space="0" w:color="auto"/>
        <w:left w:val="none" w:sz="0" w:space="0" w:color="auto"/>
        <w:bottom w:val="none" w:sz="0" w:space="0" w:color="auto"/>
        <w:right w:val="none" w:sz="0" w:space="0" w:color="auto"/>
      </w:divBdr>
    </w:div>
    <w:div w:id="547684622">
      <w:bodyDiv w:val="1"/>
      <w:marLeft w:val="0"/>
      <w:marRight w:val="0"/>
      <w:marTop w:val="0"/>
      <w:marBottom w:val="0"/>
      <w:divBdr>
        <w:top w:val="none" w:sz="0" w:space="0" w:color="auto"/>
        <w:left w:val="none" w:sz="0" w:space="0" w:color="auto"/>
        <w:bottom w:val="none" w:sz="0" w:space="0" w:color="auto"/>
        <w:right w:val="none" w:sz="0" w:space="0" w:color="auto"/>
      </w:divBdr>
    </w:div>
    <w:div w:id="553857340">
      <w:bodyDiv w:val="1"/>
      <w:marLeft w:val="0"/>
      <w:marRight w:val="0"/>
      <w:marTop w:val="0"/>
      <w:marBottom w:val="0"/>
      <w:divBdr>
        <w:top w:val="none" w:sz="0" w:space="0" w:color="auto"/>
        <w:left w:val="none" w:sz="0" w:space="0" w:color="auto"/>
        <w:bottom w:val="none" w:sz="0" w:space="0" w:color="auto"/>
        <w:right w:val="none" w:sz="0" w:space="0" w:color="auto"/>
      </w:divBdr>
    </w:div>
    <w:div w:id="592861658">
      <w:bodyDiv w:val="1"/>
      <w:marLeft w:val="0"/>
      <w:marRight w:val="0"/>
      <w:marTop w:val="0"/>
      <w:marBottom w:val="0"/>
      <w:divBdr>
        <w:top w:val="none" w:sz="0" w:space="0" w:color="auto"/>
        <w:left w:val="none" w:sz="0" w:space="0" w:color="auto"/>
        <w:bottom w:val="none" w:sz="0" w:space="0" w:color="auto"/>
        <w:right w:val="none" w:sz="0" w:space="0" w:color="auto"/>
      </w:divBdr>
    </w:div>
    <w:div w:id="633798868">
      <w:bodyDiv w:val="1"/>
      <w:marLeft w:val="0"/>
      <w:marRight w:val="0"/>
      <w:marTop w:val="0"/>
      <w:marBottom w:val="0"/>
      <w:divBdr>
        <w:top w:val="none" w:sz="0" w:space="0" w:color="auto"/>
        <w:left w:val="none" w:sz="0" w:space="0" w:color="auto"/>
        <w:bottom w:val="none" w:sz="0" w:space="0" w:color="auto"/>
        <w:right w:val="none" w:sz="0" w:space="0" w:color="auto"/>
      </w:divBdr>
    </w:div>
    <w:div w:id="650017405">
      <w:bodyDiv w:val="1"/>
      <w:marLeft w:val="0"/>
      <w:marRight w:val="0"/>
      <w:marTop w:val="0"/>
      <w:marBottom w:val="0"/>
      <w:divBdr>
        <w:top w:val="none" w:sz="0" w:space="0" w:color="auto"/>
        <w:left w:val="none" w:sz="0" w:space="0" w:color="auto"/>
        <w:bottom w:val="none" w:sz="0" w:space="0" w:color="auto"/>
        <w:right w:val="none" w:sz="0" w:space="0" w:color="auto"/>
      </w:divBdr>
    </w:div>
    <w:div w:id="699621690">
      <w:bodyDiv w:val="1"/>
      <w:marLeft w:val="0"/>
      <w:marRight w:val="0"/>
      <w:marTop w:val="0"/>
      <w:marBottom w:val="0"/>
      <w:divBdr>
        <w:top w:val="none" w:sz="0" w:space="0" w:color="auto"/>
        <w:left w:val="none" w:sz="0" w:space="0" w:color="auto"/>
        <w:bottom w:val="none" w:sz="0" w:space="0" w:color="auto"/>
        <w:right w:val="none" w:sz="0" w:space="0" w:color="auto"/>
      </w:divBdr>
    </w:div>
    <w:div w:id="719669662">
      <w:bodyDiv w:val="1"/>
      <w:marLeft w:val="0"/>
      <w:marRight w:val="0"/>
      <w:marTop w:val="0"/>
      <w:marBottom w:val="0"/>
      <w:divBdr>
        <w:top w:val="none" w:sz="0" w:space="0" w:color="auto"/>
        <w:left w:val="none" w:sz="0" w:space="0" w:color="auto"/>
        <w:bottom w:val="none" w:sz="0" w:space="0" w:color="auto"/>
        <w:right w:val="none" w:sz="0" w:space="0" w:color="auto"/>
      </w:divBdr>
    </w:div>
    <w:div w:id="733554141">
      <w:bodyDiv w:val="1"/>
      <w:marLeft w:val="0"/>
      <w:marRight w:val="0"/>
      <w:marTop w:val="0"/>
      <w:marBottom w:val="0"/>
      <w:divBdr>
        <w:top w:val="none" w:sz="0" w:space="0" w:color="auto"/>
        <w:left w:val="none" w:sz="0" w:space="0" w:color="auto"/>
        <w:bottom w:val="none" w:sz="0" w:space="0" w:color="auto"/>
        <w:right w:val="none" w:sz="0" w:space="0" w:color="auto"/>
      </w:divBdr>
    </w:div>
    <w:div w:id="815755281">
      <w:bodyDiv w:val="1"/>
      <w:marLeft w:val="0"/>
      <w:marRight w:val="0"/>
      <w:marTop w:val="0"/>
      <w:marBottom w:val="0"/>
      <w:divBdr>
        <w:top w:val="none" w:sz="0" w:space="0" w:color="auto"/>
        <w:left w:val="none" w:sz="0" w:space="0" w:color="auto"/>
        <w:bottom w:val="none" w:sz="0" w:space="0" w:color="auto"/>
        <w:right w:val="none" w:sz="0" w:space="0" w:color="auto"/>
      </w:divBdr>
    </w:div>
    <w:div w:id="850949379">
      <w:bodyDiv w:val="1"/>
      <w:marLeft w:val="0"/>
      <w:marRight w:val="0"/>
      <w:marTop w:val="0"/>
      <w:marBottom w:val="0"/>
      <w:divBdr>
        <w:top w:val="none" w:sz="0" w:space="0" w:color="auto"/>
        <w:left w:val="none" w:sz="0" w:space="0" w:color="auto"/>
        <w:bottom w:val="none" w:sz="0" w:space="0" w:color="auto"/>
        <w:right w:val="none" w:sz="0" w:space="0" w:color="auto"/>
      </w:divBdr>
    </w:div>
    <w:div w:id="870067118">
      <w:bodyDiv w:val="1"/>
      <w:marLeft w:val="0"/>
      <w:marRight w:val="0"/>
      <w:marTop w:val="0"/>
      <w:marBottom w:val="0"/>
      <w:divBdr>
        <w:top w:val="none" w:sz="0" w:space="0" w:color="auto"/>
        <w:left w:val="none" w:sz="0" w:space="0" w:color="auto"/>
        <w:bottom w:val="none" w:sz="0" w:space="0" w:color="auto"/>
        <w:right w:val="none" w:sz="0" w:space="0" w:color="auto"/>
      </w:divBdr>
    </w:div>
    <w:div w:id="883716246">
      <w:bodyDiv w:val="1"/>
      <w:marLeft w:val="0"/>
      <w:marRight w:val="0"/>
      <w:marTop w:val="0"/>
      <w:marBottom w:val="0"/>
      <w:divBdr>
        <w:top w:val="none" w:sz="0" w:space="0" w:color="auto"/>
        <w:left w:val="none" w:sz="0" w:space="0" w:color="auto"/>
        <w:bottom w:val="none" w:sz="0" w:space="0" w:color="auto"/>
        <w:right w:val="none" w:sz="0" w:space="0" w:color="auto"/>
      </w:divBdr>
    </w:div>
    <w:div w:id="912742429">
      <w:bodyDiv w:val="1"/>
      <w:marLeft w:val="0"/>
      <w:marRight w:val="0"/>
      <w:marTop w:val="0"/>
      <w:marBottom w:val="0"/>
      <w:divBdr>
        <w:top w:val="none" w:sz="0" w:space="0" w:color="auto"/>
        <w:left w:val="none" w:sz="0" w:space="0" w:color="auto"/>
        <w:bottom w:val="none" w:sz="0" w:space="0" w:color="auto"/>
        <w:right w:val="none" w:sz="0" w:space="0" w:color="auto"/>
      </w:divBdr>
    </w:div>
    <w:div w:id="921065123">
      <w:bodyDiv w:val="1"/>
      <w:marLeft w:val="0"/>
      <w:marRight w:val="0"/>
      <w:marTop w:val="0"/>
      <w:marBottom w:val="0"/>
      <w:divBdr>
        <w:top w:val="none" w:sz="0" w:space="0" w:color="auto"/>
        <w:left w:val="none" w:sz="0" w:space="0" w:color="auto"/>
        <w:bottom w:val="none" w:sz="0" w:space="0" w:color="auto"/>
        <w:right w:val="none" w:sz="0" w:space="0" w:color="auto"/>
      </w:divBdr>
    </w:div>
    <w:div w:id="939751515">
      <w:bodyDiv w:val="1"/>
      <w:marLeft w:val="0"/>
      <w:marRight w:val="0"/>
      <w:marTop w:val="0"/>
      <w:marBottom w:val="0"/>
      <w:divBdr>
        <w:top w:val="none" w:sz="0" w:space="0" w:color="auto"/>
        <w:left w:val="none" w:sz="0" w:space="0" w:color="auto"/>
        <w:bottom w:val="none" w:sz="0" w:space="0" w:color="auto"/>
        <w:right w:val="none" w:sz="0" w:space="0" w:color="auto"/>
      </w:divBdr>
    </w:div>
    <w:div w:id="944847599">
      <w:bodyDiv w:val="1"/>
      <w:marLeft w:val="0"/>
      <w:marRight w:val="0"/>
      <w:marTop w:val="0"/>
      <w:marBottom w:val="0"/>
      <w:divBdr>
        <w:top w:val="none" w:sz="0" w:space="0" w:color="auto"/>
        <w:left w:val="none" w:sz="0" w:space="0" w:color="auto"/>
        <w:bottom w:val="none" w:sz="0" w:space="0" w:color="auto"/>
        <w:right w:val="none" w:sz="0" w:space="0" w:color="auto"/>
      </w:divBdr>
    </w:div>
    <w:div w:id="976447681">
      <w:bodyDiv w:val="1"/>
      <w:marLeft w:val="0"/>
      <w:marRight w:val="0"/>
      <w:marTop w:val="0"/>
      <w:marBottom w:val="0"/>
      <w:divBdr>
        <w:top w:val="none" w:sz="0" w:space="0" w:color="auto"/>
        <w:left w:val="none" w:sz="0" w:space="0" w:color="auto"/>
        <w:bottom w:val="none" w:sz="0" w:space="0" w:color="auto"/>
        <w:right w:val="none" w:sz="0" w:space="0" w:color="auto"/>
      </w:divBdr>
    </w:div>
    <w:div w:id="1019160309">
      <w:bodyDiv w:val="1"/>
      <w:marLeft w:val="0"/>
      <w:marRight w:val="0"/>
      <w:marTop w:val="0"/>
      <w:marBottom w:val="0"/>
      <w:divBdr>
        <w:top w:val="none" w:sz="0" w:space="0" w:color="auto"/>
        <w:left w:val="none" w:sz="0" w:space="0" w:color="auto"/>
        <w:bottom w:val="none" w:sz="0" w:space="0" w:color="auto"/>
        <w:right w:val="none" w:sz="0" w:space="0" w:color="auto"/>
      </w:divBdr>
    </w:div>
    <w:div w:id="1027682072">
      <w:bodyDiv w:val="1"/>
      <w:marLeft w:val="0"/>
      <w:marRight w:val="0"/>
      <w:marTop w:val="0"/>
      <w:marBottom w:val="0"/>
      <w:divBdr>
        <w:top w:val="none" w:sz="0" w:space="0" w:color="auto"/>
        <w:left w:val="none" w:sz="0" w:space="0" w:color="auto"/>
        <w:bottom w:val="none" w:sz="0" w:space="0" w:color="auto"/>
        <w:right w:val="none" w:sz="0" w:space="0" w:color="auto"/>
      </w:divBdr>
    </w:div>
    <w:div w:id="1034387153">
      <w:bodyDiv w:val="1"/>
      <w:marLeft w:val="0"/>
      <w:marRight w:val="0"/>
      <w:marTop w:val="0"/>
      <w:marBottom w:val="0"/>
      <w:divBdr>
        <w:top w:val="none" w:sz="0" w:space="0" w:color="auto"/>
        <w:left w:val="none" w:sz="0" w:space="0" w:color="auto"/>
        <w:bottom w:val="none" w:sz="0" w:space="0" w:color="auto"/>
        <w:right w:val="none" w:sz="0" w:space="0" w:color="auto"/>
      </w:divBdr>
    </w:div>
    <w:div w:id="1055548395">
      <w:bodyDiv w:val="1"/>
      <w:marLeft w:val="0"/>
      <w:marRight w:val="0"/>
      <w:marTop w:val="0"/>
      <w:marBottom w:val="0"/>
      <w:divBdr>
        <w:top w:val="none" w:sz="0" w:space="0" w:color="auto"/>
        <w:left w:val="none" w:sz="0" w:space="0" w:color="auto"/>
        <w:bottom w:val="none" w:sz="0" w:space="0" w:color="auto"/>
        <w:right w:val="none" w:sz="0" w:space="0" w:color="auto"/>
      </w:divBdr>
    </w:div>
    <w:div w:id="1115448293">
      <w:bodyDiv w:val="1"/>
      <w:marLeft w:val="0"/>
      <w:marRight w:val="0"/>
      <w:marTop w:val="0"/>
      <w:marBottom w:val="0"/>
      <w:divBdr>
        <w:top w:val="none" w:sz="0" w:space="0" w:color="auto"/>
        <w:left w:val="none" w:sz="0" w:space="0" w:color="auto"/>
        <w:bottom w:val="none" w:sz="0" w:space="0" w:color="auto"/>
        <w:right w:val="none" w:sz="0" w:space="0" w:color="auto"/>
      </w:divBdr>
    </w:div>
    <w:div w:id="1117408241">
      <w:bodyDiv w:val="1"/>
      <w:marLeft w:val="0"/>
      <w:marRight w:val="0"/>
      <w:marTop w:val="0"/>
      <w:marBottom w:val="0"/>
      <w:divBdr>
        <w:top w:val="none" w:sz="0" w:space="0" w:color="auto"/>
        <w:left w:val="none" w:sz="0" w:space="0" w:color="auto"/>
        <w:bottom w:val="none" w:sz="0" w:space="0" w:color="auto"/>
        <w:right w:val="none" w:sz="0" w:space="0" w:color="auto"/>
      </w:divBdr>
    </w:div>
    <w:div w:id="1140272256">
      <w:bodyDiv w:val="1"/>
      <w:marLeft w:val="0"/>
      <w:marRight w:val="0"/>
      <w:marTop w:val="0"/>
      <w:marBottom w:val="0"/>
      <w:divBdr>
        <w:top w:val="none" w:sz="0" w:space="0" w:color="auto"/>
        <w:left w:val="none" w:sz="0" w:space="0" w:color="auto"/>
        <w:bottom w:val="none" w:sz="0" w:space="0" w:color="auto"/>
        <w:right w:val="none" w:sz="0" w:space="0" w:color="auto"/>
      </w:divBdr>
    </w:div>
    <w:div w:id="1171220333">
      <w:bodyDiv w:val="1"/>
      <w:marLeft w:val="0"/>
      <w:marRight w:val="0"/>
      <w:marTop w:val="0"/>
      <w:marBottom w:val="0"/>
      <w:divBdr>
        <w:top w:val="none" w:sz="0" w:space="0" w:color="auto"/>
        <w:left w:val="none" w:sz="0" w:space="0" w:color="auto"/>
        <w:bottom w:val="none" w:sz="0" w:space="0" w:color="auto"/>
        <w:right w:val="none" w:sz="0" w:space="0" w:color="auto"/>
      </w:divBdr>
    </w:div>
    <w:div w:id="1224098787">
      <w:bodyDiv w:val="1"/>
      <w:marLeft w:val="0"/>
      <w:marRight w:val="0"/>
      <w:marTop w:val="0"/>
      <w:marBottom w:val="0"/>
      <w:divBdr>
        <w:top w:val="none" w:sz="0" w:space="0" w:color="auto"/>
        <w:left w:val="none" w:sz="0" w:space="0" w:color="auto"/>
        <w:bottom w:val="none" w:sz="0" w:space="0" w:color="auto"/>
        <w:right w:val="none" w:sz="0" w:space="0" w:color="auto"/>
      </w:divBdr>
    </w:div>
    <w:div w:id="1229151570">
      <w:bodyDiv w:val="1"/>
      <w:marLeft w:val="0"/>
      <w:marRight w:val="0"/>
      <w:marTop w:val="0"/>
      <w:marBottom w:val="0"/>
      <w:divBdr>
        <w:top w:val="none" w:sz="0" w:space="0" w:color="auto"/>
        <w:left w:val="none" w:sz="0" w:space="0" w:color="auto"/>
        <w:bottom w:val="none" w:sz="0" w:space="0" w:color="auto"/>
        <w:right w:val="none" w:sz="0" w:space="0" w:color="auto"/>
      </w:divBdr>
    </w:div>
    <w:div w:id="1244218186">
      <w:bodyDiv w:val="1"/>
      <w:marLeft w:val="0"/>
      <w:marRight w:val="0"/>
      <w:marTop w:val="0"/>
      <w:marBottom w:val="0"/>
      <w:divBdr>
        <w:top w:val="none" w:sz="0" w:space="0" w:color="auto"/>
        <w:left w:val="none" w:sz="0" w:space="0" w:color="auto"/>
        <w:bottom w:val="none" w:sz="0" w:space="0" w:color="auto"/>
        <w:right w:val="none" w:sz="0" w:space="0" w:color="auto"/>
      </w:divBdr>
    </w:div>
    <w:div w:id="1256019463">
      <w:bodyDiv w:val="1"/>
      <w:marLeft w:val="0"/>
      <w:marRight w:val="0"/>
      <w:marTop w:val="0"/>
      <w:marBottom w:val="0"/>
      <w:divBdr>
        <w:top w:val="none" w:sz="0" w:space="0" w:color="auto"/>
        <w:left w:val="none" w:sz="0" w:space="0" w:color="auto"/>
        <w:bottom w:val="none" w:sz="0" w:space="0" w:color="auto"/>
        <w:right w:val="none" w:sz="0" w:space="0" w:color="auto"/>
      </w:divBdr>
    </w:div>
    <w:div w:id="1257448350">
      <w:bodyDiv w:val="1"/>
      <w:marLeft w:val="0"/>
      <w:marRight w:val="0"/>
      <w:marTop w:val="0"/>
      <w:marBottom w:val="0"/>
      <w:divBdr>
        <w:top w:val="none" w:sz="0" w:space="0" w:color="auto"/>
        <w:left w:val="none" w:sz="0" w:space="0" w:color="auto"/>
        <w:bottom w:val="none" w:sz="0" w:space="0" w:color="auto"/>
        <w:right w:val="none" w:sz="0" w:space="0" w:color="auto"/>
      </w:divBdr>
    </w:div>
    <w:div w:id="1260408255">
      <w:bodyDiv w:val="1"/>
      <w:marLeft w:val="0"/>
      <w:marRight w:val="0"/>
      <w:marTop w:val="0"/>
      <w:marBottom w:val="0"/>
      <w:divBdr>
        <w:top w:val="none" w:sz="0" w:space="0" w:color="auto"/>
        <w:left w:val="none" w:sz="0" w:space="0" w:color="auto"/>
        <w:bottom w:val="none" w:sz="0" w:space="0" w:color="auto"/>
        <w:right w:val="none" w:sz="0" w:space="0" w:color="auto"/>
      </w:divBdr>
    </w:div>
    <w:div w:id="1261797108">
      <w:bodyDiv w:val="1"/>
      <w:marLeft w:val="0"/>
      <w:marRight w:val="0"/>
      <w:marTop w:val="0"/>
      <w:marBottom w:val="0"/>
      <w:divBdr>
        <w:top w:val="none" w:sz="0" w:space="0" w:color="auto"/>
        <w:left w:val="none" w:sz="0" w:space="0" w:color="auto"/>
        <w:bottom w:val="none" w:sz="0" w:space="0" w:color="auto"/>
        <w:right w:val="none" w:sz="0" w:space="0" w:color="auto"/>
      </w:divBdr>
    </w:div>
    <w:div w:id="1285310076">
      <w:bodyDiv w:val="1"/>
      <w:marLeft w:val="0"/>
      <w:marRight w:val="0"/>
      <w:marTop w:val="0"/>
      <w:marBottom w:val="0"/>
      <w:divBdr>
        <w:top w:val="none" w:sz="0" w:space="0" w:color="auto"/>
        <w:left w:val="none" w:sz="0" w:space="0" w:color="auto"/>
        <w:bottom w:val="none" w:sz="0" w:space="0" w:color="auto"/>
        <w:right w:val="none" w:sz="0" w:space="0" w:color="auto"/>
      </w:divBdr>
    </w:div>
    <w:div w:id="1291789928">
      <w:bodyDiv w:val="1"/>
      <w:marLeft w:val="0"/>
      <w:marRight w:val="0"/>
      <w:marTop w:val="0"/>
      <w:marBottom w:val="0"/>
      <w:divBdr>
        <w:top w:val="none" w:sz="0" w:space="0" w:color="auto"/>
        <w:left w:val="none" w:sz="0" w:space="0" w:color="auto"/>
        <w:bottom w:val="none" w:sz="0" w:space="0" w:color="auto"/>
        <w:right w:val="none" w:sz="0" w:space="0" w:color="auto"/>
      </w:divBdr>
    </w:div>
    <w:div w:id="1309745875">
      <w:bodyDiv w:val="1"/>
      <w:marLeft w:val="0"/>
      <w:marRight w:val="0"/>
      <w:marTop w:val="0"/>
      <w:marBottom w:val="0"/>
      <w:divBdr>
        <w:top w:val="none" w:sz="0" w:space="0" w:color="auto"/>
        <w:left w:val="none" w:sz="0" w:space="0" w:color="auto"/>
        <w:bottom w:val="none" w:sz="0" w:space="0" w:color="auto"/>
        <w:right w:val="none" w:sz="0" w:space="0" w:color="auto"/>
      </w:divBdr>
    </w:div>
    <w:div w:id="1320118329">
      <w:bodyDiv w:val="1"/>
      <w:marLeft w:val="0"/>
      <w:marRight w:val="0"/>
      <w:marTop w:val="0"/>
      <w:marBottom w:val="0"/>
      <w:divBdr>
        <w:top w:val="none" w:sz="0" w:space="0" w:color="auto"/>
        <w:left w:val="none" w:sz="0" w:space="0" w:color="auto"/>
        <w:bottom w:val="none" w:sz="0" w:space="0" w:color="auto"/>
        <w:right w:val="none" w:sz="0" w:space="0" w:color="auto"/>
      </w:divBdr>
    </w:div>
    <w:div w:id="1338461236">
      <w:bodyDiv w:val="1"/>
      <w:marLeft w:val="0"/>
      <w:marRight w:val="0"/>
      <w:marTop w:val="0"/>
      <w:marBottom w:val="0"/>
      <w:divBdr>
        <w:top w:val="none" w:sz="0" w:space="0" w:color="auto"/>
        <w:left w:val="none" w:sz="0" w:space="0" w:color="auto"/>
        <w:bottom w:val="none" w:sz="0" w:space="0" w:color="auto"/>
        <w:right w:val="none" w:sz="0" w:space="0" w:color="auto"/>
      </w:divBdr>
    </w:div>
    <w:div w:id="1339045467">
      <w:bodyDiv w:val="1"/>
      <w:marLeft w:val="0"/>
      <w:marRight w:val="0"/>
      <w:marTop w:val="0"/>
      <w:marBottom w:val="0"/>
      <w:divBdr>
        <w:top w:val="none" w:sz="0" w:space="0" w:color="auto"/>
        <w:left w:val="none" w:sz="0" w:space="0" w:color="auto"/>
        <w:bottom w:val="none" w:sz="0" w:space="0" w:color="auto"/>
        <w:right w:val="none" w:sz="0" w:space="0" w:color="auto"/>
      </w:divBdr>
    </w:div>
    <w:div w:id="1394498765">
      <w:bodyDiv w:val="1"/>
      <w:marLeft w:val="0"/>
      <w:marRight w:val="0"/>
      <w:marTop w:val="0"/>
      <w:marBottom w:val="0"/>
      <w:divBdr>
        <w:top w:val="none" w:sz="0" w:space="0" w:color="auto"/>
        <w:left w:val="none" w:sz="0" w:space="0" w:color="auto"/>
        <w:bottom w:val="none" w:sz="0" w:space="0" w:color="auto"/>
        <w:right w:val="none" w:sz="0" w:space="0" w:color="auto"/>
      </w:divBdr>
    </w:div>
    <w:div w:id="1411778870">
      <w:bodyDiv w:val="1"/>
      <w:marLeft w:val="0"/>
      <w:marRight w:val="0"/>
      <w:marTop w:val="0"/>
      <w:marBottom w:val="0"/>
      <w:divBdr>
        <w:top w:val="none" w:sz="0" w:space="0" w:color="auto"/>
        <w:left w:val="none" w:sz="0" w:space="0" w:color="auto"/>
        <w:bottom w:val="none" w:sz="0" w:space="0" w:color="auto"/>
        <w:right w:val="none" w:sz="0" w:space="0" w:color="auto"/>
      </w:divBdr>
    </w:div>
    <w:div w:id="1438984073">
      <w:bodyDiv w:val="1"/>
      <w:marLeft w:val="0"/>
      <w:marRight w:val="0"/>
      <w:marTop w:val="0"/>
      <w:marBottom w:val="0"/>
      <w:divBdr>
        <w:top w:val="none" w:sz="0" w:space="0" w:color="auto"/>
        <w:left w:val="none" w:sz="0" w:space="0" w:color="auto"/>
        <w:bottom w:val="none" w:sz="0" w:space="0" w:color="auto"/>
        <w:right w:val="none" w:sz="0" w:space="0" w:color="auto"/>
      </w:divBdr>
    </w:div>
    <w:div w:id="1446995807">
      <w:bodyDiv w:val="1"/>
      <w:marLeft w:val="0"/>
      <w:marRight w:val="0"/>
      <w:marTop w:val="0"/>
      <w:marBottom w:val="0"/>
      <w:divBdr>
        <w:top w:val="none" w:sz="0" w:space="0" w:color="auto"/>
        <w:left w:val="none" w:sz="0" w:space="0" w:color="auto"/>
        <w:bottom w:val="none" w:sz="0" w:space="0" w:color="auto"/>
        <w:right w:val="none" w:sz="0" w:space="0" w:color="auto"/>
      </w:divBdr>
    </w:div>
    <w:div w:id="1463307564">
      <w:bodyDiv w:val="1"/>
      <w:marLeft w:val="0"/>
      <w:marRight w:val="0"/>
      <w:marTop w:val="0"/>
      <w:marBottom w:val="0"/>
      <w:divBdr>
        <w:top w:val="none" w:sz="0" w:space="0" w:color="auto"/>
        <w:left w:val="none" w:sz="0" w:space="0" w:color="auto"/>
        <w:bottom w:val="none" w:sz="0" w:space="0" w:color="auto"/>
        <w:right w:val="none" w:sz="0" w:space="0" w:color="auto"/>
      </w:divBdr>
    </w:div>
    <w:div w:id="1483161584">
      <w:bodyDiv w:val="1"/>
      <w:marLeft w:val="0"/>
      <w:marRight w:val="0"/>
      <w:marTop w:val="0"/>
      <w:marBottom w:val="0"/>
      <w:divBdr>
        <w:top w:val="none" w:sz="0" w:space="0" w:color="auto"/>
        <w:left w:val="none" w:sz="0" w:space="0" w:color="auto"/>
        <w:bottom w:val="none" w:sz="0" w:space="0" w:color="auto"/>
        <w:right w:val="none" w:sz="0" w:space="0" w:color="auto"/>
      </w:divBdr>
    </w:div>
    <w:div w:id="1498761294">
      <w:bodyDiv w:val="1"/>
      <w:marLeft w:val="0"/>
      <w:marRight w:val="0"/>
      <w:marTop w:val="0"/>
      <w:marBottom w:val="0"/>
      <w:divBdr>
        <w:top w:val="none" w:sz="0" w:space="0" w:color="auto"/>
        <w:left w:val="none" w:sz="0" w:space="0" w:color="auto"/>
        <w:bottom w:val="none" w:sz="0" w:space="0" w:color="auto"/>
        <w:right w:val="none" w:sz="0" w:space="0" w:color="auto"/>
      </w:divBdr>
    </w:div>
    <w:div w:id="1590624353">
      <w:bodyDiv w:val="1"/>
      <w:marLeft w:val="0"/>
      <w:marRight w:val="0"/>
      <w:marTop w:val="0"/>
      <w:marBottom w:val="0"/>
      <w:divBdr>
        <w:top w:val="none" w:sz="0" w:space="0" w:color="auto"/>
        <w:left w:val="none" w:sz="0" w:space="0" w:color="auto"/>
        <w:bottom w:val="none" w:sz="0" w:space="0" w:color="auto"/>
        <w:right w:val="none" w:sz="0" w:space="0" w:color="auto"/>
      </w:divBdr>
    </w:div>
    <w:div w:id="1596087102">
      <w:bodyDiv w:val="1"/>
      <w:marLeft w:val="0"/>
      <w:marRight w:val="0"/>
      <w:marTop w:val="0"/>
      <w:marBottom w:val="0"/>
      <w:divBdr>
        <w:top w:val="none" w:sz="0" w:space="0" w:color="auto"/>
        <w:left w:val="none" w:sz="0" w:space="0" w:color="auto"/>
        <w:bottom w:val="none" w:sz="0" w:space="0" w:color="auto"/>
        <w:right w:val="none" w:sz="0" w:space="0" w:color="auto"/>
      </w:divBdr>
    </w:div>
    <w:div w:id="1606306867">
      <w:bodyDiv w:val="1"/>
      <w:marLeft w:val="0"/>
      <w:marRight w:val="0"/>
      <w:marTop w:val="0"/>
      <w:marBottom w:val="0"/>
      <w:divBdr>
        <w:top w:val="none" w:sz="0" w:space="0" w:color="auto"/>
        <w:left w:val="none" w:sz="0" w:space="0" w:color="auto"/>
        <w:bottom w:val="none" w:sz="0" w:space="0" w:color="auto"/>
        <w:right w:val="none" w:sz="0" w:space="0" w:color="auto"/>
      </w:divBdr>
    </w:div>
    <w:div w:id="1629125437">
      <w:bodyDiv w:val="1"/>
      <w:marLeft w:val="0"/>
      <w:marRight w:val="0"/>
      <w:marTop w:val="0"/>
      <w:marBottom w:val="0"/>
      <w:divBdr>
        <w:top w:val="none" w:sz="0" w:space="0" w:color="auto"/>
        <w:left w:val="none" w:sz="0" w:space="0" w:color="auto"/>
        <w:bottom w:val="none" w:sz="0" w:space="0" w:color="auto"/>
        <w:right w:val="none" w:sz="0" w:space="0" w:color="auto"/>
      </w:divBdr>
    </w:div>
    <w:div w:id="1656181121">
      <w:bodyDiv w:val="1"/>
      <w:marLeft w:val="0"/>
      <w:marRight w:val="0"/>
      <w:marTop w:val="0"/>
      <w:marBottom w:val="0"/>
      <w:divBdr>
        <w:top w:val="none" w:sz="0" w:space="0" w:color="auto"/>
        <w:left w:val="none" w:sz="0" w:space="0" w:color="auto"/>
        <w:bottom w:val="none" w:sz="0" w:space="0" w:color="auto"/>
        <w:right w:val="none" w:sz="0" w:space="0" w:color="auto"/>
      </w:divBdr>
    </w:div>
    <w:div w:id="1714963377">
      <w:bodyDiv w:val="1"/>
      <w:marLeft w:val="0"/>
      <w:marRight w:val="0"/>
      <w:marTop w:val="0"/>
      <w:marBottom w:val="0"/>
      <w:divBdr>
        <w:top w:val="none" w:sz="0" w:space="0" w:color="auto"/>
        <w:left w:val="none" w:sz="0" w:space="0" w:color="auto"/>
        <w:bottom w:val="none" w:sz="0" w:space="0" w:color="auto"/>
        <w:right w:val="none" w:sz="0" w:space="0" w:color="auto"/>
      </w:divBdr>
    </w:div>
    <w:div w:id="1763063047">
      <w:bodyDiv w:val="1"/>
      <w:marLeft w:val="0"/>
      <w:marRight w:val="0"/>
      <w:marTop w:val="0"/>
      <w:marBottom w:val="0"/>
      <w:divBdr>
        <w:top w:val="none" w:sz="0" w:space="0" w:color="auto"/>
        <w:left w:val="none" w:sz="0" w:space="0" w:color="auto"/>
        <w:bottom w:val="none" w:sz="0" w:space="0" w:color="auto"/>
        <w:right w:val="none" w:sz="0" w:space="0" w:color="auto"/>
      </w:divBdr>
    </w:div>
    <w:div w:id="1788818186">
      <w:bodyDiv w:val="1"/>
      <w:marLeft w:val="0"/>
      <w:marRight w:val="0"/>
      <w:marTop w:val="0"/>
      <w:marBottom w:val="0"/>
      <w:divBdr>
        <w:top w:val="none" w:sz="0" w:space="0" w:color="auto"/>
        <w:left w:val="none" w:sz="0" w:space="0" w:color="auto"/>
        <w:bottom w:val="none" w:sz="0" w:space="0" w:color="auto"/>
        <w:right w:val="none" w:sz="0" w:space="0" w:color="auto"/>
      </w:divBdr>
    </w:div>
    <w:div w:id="1812365276">
      <w:bodyDiv w:val="1"/>
      <w:marLeft w:val="0"/>
      <w:marRight w:val="0"/>
      <w:marTop w:val="0"/>
      <w:marBottom w:val="0"/>
      <w:divBdr>
        <w:top w:val="none" w:sz="0" w:space="0" w:color="auto"/>
        <w:left w:val="none" w:sz="0" w:space="0" w:color="auto"/>
        <w:bottom w:val="none" w:sz="0" w:space="0" w:color="auto"/>
        <w:right w:val="none" w:sz="0" w:space="0" w:color="auto"/>
      </w:divBdr>
    </w:div>
    <w:div w:id="1821579227">
      <w:bodyDiv w:val="1"/>
      <w:marLeft w:val="0"/>
      <w:marRight w:val="0"/>
      <w:marTop w:val="0"/>
      <w:marBottom w:val="0"/>
      <w:divBdr>
        <w:top w:val="none" w:sz="0" w:space="0" w:color="auto"/>
        <w:left w:val="none" w:sz="0" w:space="0" w:color="auto"/>
        <w:bottom w:val="none" w:sz="0" w:space="0" w:color="auto"/>
        <w:right w:val="none" w:sz="0" w:space="0" w:color="auto"/>
      </w:divBdr>
    </w:div>
    <w:div w:id="1823623227">
      <w:bodyDiv w:val="1"/>
      <w:marLeft w:val="0"/>
      <w:marRight w:val="0"/>
      <w:marTop w:val="0"/>
      <w:marBottom w:val="0"/>
      <w:divBdr>
        <w:top w:val="none" w:sz="0" w:space="0" w:color="auto"/>
        <w:left w:val="none" w:sz="0" w:space="0" w:color="auto"/>
        <w:bottom w:val="none" w:sz="0" w:space="0" w:color="auto"/>
        <w:right w:val="none" w:sz="0" w:space="0" w:color="auto"/>
      </w:divBdr>
    </w:div>
    <w:div w:id="1825900015">
      <w:bodyDiv w:val="1"/>
      <w:marLeft w:val="0"/>
      <w:marRight w:val="0"/>
      <w:marTop w:val="0"/>
      <w:marBottom w:val="0"/>
      <w:divBdr>
        <w:top w:val="none" w:sz="0" w:space="0" w:color="auto"/>
        <w:left w:val="none" w:sz="0" w:space="0" w:color="auto"/>
        <w:bottom w:val="none" w:sz="0" w:space="0" w:color="auto"/>
        <w:right w:val="none" w:sz="0" w:space="0" w:color="auto"/>
      </w:divBdr>
    </w:div>
    <w:div w:id="1839031648">
      <w:bodyDiv w:val="1"/>
      <w:marLeft w:val="0"/>
      <w:marRight w:val="0"/>
      <w:marTop w:val="0"/>
      <w:marBottom w:val="0"/>
      <w:divBdr>
        <w:top w:val="none" w:sz="0" w:space="0" w:color="auto"/>
        <w:left w:val="none" w:sz="0" w:space="0" w:color="auto"/>
        <w:bottom w:val="none" w:sz="0" w:space="0" w:color="auto"/>
        <w:right w:val="none" w:sz="0" w:space="0" w:color="auto"/>
      </w:divBdr>
    </w:div>
    <w:div w:id="1872720001">
      <w:bodyDiv w:val="1"/>
      <w:marLeft w:val="0"/>
      <w:marRight w:val="0"/>
      <w:marTop w:val="0"/>
      <w:marBottom w:val="0"/>
      <w:divBdr>
        <w:top w:val="none" w:sz="0" w:space="0" w:color="auto"/>
        <w:left w:val="none" w:sz="0" w:space="0" w:color="auto"/>
        <w:bottom w:val="none" w:sz="0" w:space="0" w:color="auto"/>
        <w:right w:val="none" w:sz="0" w:space="0" w:color="auto"/>
      </w:divBdr>
    </w:div>
    <w:div w:id="1897084583">
      <w:bodyDiv w:val="1"/>
      <w:marLeft w:val="0"/>
      <w:marRight w:val="0"/>
      <w:marTop w:val="0"/>
      <w:marBottom w:val="0"/>
      <w:divBdr>
        <w:top w:val="none" w:sz="0" w:space="0" w:color="auto"/>
        <w:left w:val="none" w:sz="0" w:space="0" w:color="auto"/>
        <w:bottom w:val="none" w:sz="0" w:space="0" w:color="auto"/>
        <w:right w:val="none" w:sz="0" w:space="0" w:color="auto"/>
      </w:divBdr>
    </w:div>
    <w:div w:id="1966886888">
      <w:bodyDiv w:val="1"/>
      <w:marLeft w:val="0"/>
      <w:marRight w:val="0"/>
      <w:marTop w:val="0"/>
      <w:marBottom w:val="0"/>
      <w:divBdr>
        <w:top w:val="none" w:sz="0" w:space="0" w:color="auto"/>
        <w:left w:val="none" w:sz="0" w:space="0" w:color="auto"/>
        <w:bottom w:val="none" w:sz="0" w:space="0" w:color="auto"/>
        <w:right w:val="none" w:sz="0" w:space="0" w:color="auto"/>
      </w:divBdr>
    </w:div>
    <w:div w:id="2010130949">
      <w:bodyDiv w:val="1"/>
      <w:marLeft w:val="0"/>
      <w:marRight w:val="0"/>
      <w:marTop w:val="0"/>
      <w:marBottom w:val="0"/>
      <w:divBdr>
        <w:top w:val="none" w:sz="0" w:space="0" w:color="auto"/>
        <w:left w:val="none" w:sz="0" w:space="0" w:color="auto"/>
        <w:bottom w:val="none" w:sz="0" w:space="0" w:color="auto"/>
        <w:right w:val="none" w:sz="0" w:space="0" w:color="auto"/>
      </w:divBdr>
    </w:div>
    <w:div w:id="2018920938">
      <w:bodyDiv w:val="1"/>
      <w:marLeft w:val="0"/>
      <w:marRight w:val="0"/>
      <w:marTop w:val="0"/>
      <w:marBottom w:val="0"/>
      <w:divBdr>
        <w:top w:val="none" w:sz="0" w:space="0" w:color="auto"/>
        <w:left w:val="none" w:sz="0" w:space="0" w:color="auto"/>
        <w:bottom w:val="none" w:sz="0" w:space="0" w:color="auto"/>
        <w:right w:val="none" w:sz="0" w:space="0" w:color="auto"/>
      </w:divBdr>
    </w:div>
    <w:div w:id="2068530871">
      <w:bodyDiv w:val="1"/>
      <w:marLeft w:val="0"/>
      <w:marRight w:val="0"/>
      <w:marTop w:val="0"/>
      <w:marBottom w:val="0"/>
      <w:divBdr>
        <w:top w:val="none" w:sz="0" w:space="0" w:color="auto"/>
        <w:left w:val="none" w:sz="0" w:space="0" w:color="auto"/>
        <w:bottom w:val="none" w:sz="0" w:space="0" w:color="auto"/>
        <w:right w:val="none" w:sz="0" w:space="0" w:color="auto"/>
      </w:divBdr>
    </w:div>
    <w:div w:id="2104757405">
      <w:bodyDiv w:val="1"/>
      <w:marLeft w:val="0"/>
      <w:marRight w:val="0"/>
      <w:marTop w:val="0"/>
      <w:marBottom w:val="0"/>
      <w:divBdr>
        <w:top w:val="none" w:sz="0" w:space="0" w:color="auto"/>
        <w:left w:val="none" w:sz="0" w:space="0" w:color="auto"/>
        <w:bottom w:val="none" w:sz="0" w:space="0" w:color="auto"/>
        <w:right w:val="none" w:sz="0" w:space="0" w:color="auto"/>
      </w:divBdr>
    </w:div>
    <w:div w:id="213123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sac.gov.au/applications/1663" TargetMode="External"/><Relationship Id="rId18" Type="http://schemas.openxmlformats.org/officeDocument/2006/relationships/hyperlink" Target="https://www.msac.gov.au/applications/1785"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msac.gov.au/applications/1785" TargetMode="External"/><Relationship Id="rId17" Type="http://schemas.openxmlformats.org/officeDocument/2006/relationships/hyperlink" Target="https://www.msac.gov.au/applications/1663"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msac.gov.au/internet/msac/publishing.nsf/Content/Home-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ac.gov.a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bs.gov.au/info/industry/listing/elements/pbac-meetings/psd/2021-03/semaglutide-solution-for-injection-2-mg-in-1-5-ml-pre-fil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ihw.gov.au/reports/diabetes/diabetes/contents/how-common-is-diabetes/gestational-diabetes" TargetMode="External"/><Relationship Id="rId3" Type="http://schemas.openxmlformats.org/officeDocument/2006/relationships/hyperlink" Target="https://www.msac.gov.au/sites/default/files/2025-02/1786_final_ratified_pico_-_redacted_0.pdf" TargetMode="External"/><Relationship Id="rId7" Type="http://schemas.openxmlformats.org/officeDocument/2006/relationships/hyperlink" Target="https://www.abs.gov.au/statistics/economy/price-indexes-and-inflation/consumer-price-index-australia/latest-release" TargetMode="External"/><Relationship Id="rId2" Type="http://schemas.openxmlformats.org/officeDocument/2006/relationships/hyperlink" Target="https://www.aph.gov.au/Parliamentary_Business/Committees/House/Health_Aged_Care_and_Sport/Inquiry_into_Diabetes/Report" TargetMode="External"/><Relationship Id="rId1" Type="http://schemas.openxmlformats.org/officeDocument/2006/relationships/hyperlink" Target="https://www.ema.europa.eu/en/clinical-investigation-medicinal-products-treatment-or-prevention-diabetes-mellitus-scientific-guideline" TargetMode="External"/><Relationship Id="rId6" Type="http://schemas.openxmlformats.org/officeDocument/2006/relationships/hyperlink" Target="https://www.has-sante.fr/upload/docs/application/pdf/2011-12/good_practice_-_self-monitoring_blood_glucose_type_2_diabetes.pdf" TargetMode="External"/><Relationship Id="rId5" Type="http://schemas.openxmlformats.org/officeDocument/2006/relationships/hyperlink" Target="https://www.nice.org.uk/guidance/ng28/evidence/economic-model-report-pdf-11013295213" TargetMode="External"/><Relationship Id="rId4" Type="http://schemas.openxmlformats.org/officeDocument/2006/relationships/hyperlink" Target="https://www.monash.edu/__data/assets/pdf_file/0016/3920002/adcqr-2024-annual-report.pdf" TargetMode="External"/><Relationship Id="rId9" Type="http://schemas.openxmlformats.org/officeDocument/2006/relationships/hyperlink" Target="https://www.ema.europa.eu/en/clinical-investigation-medicinal-products-treatment-or-prevention-diabetes-mellitus-scientific-guid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13b557-581c-46d3-8cc7-77c65017dc6f">
      <Terms xmlns="http://schemas.microsoft.com/office/infopath/2007/PartnerControls"/>
    </lcf76f155ced4ddcb4097134ff3c332f>
    <TaxCatchAll xmlns="e7d54a9e-4aca-451b-99db-b94fe438e98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4A37BE997BE34FBB7D5057D341D123" ma:contentTypeVersion="13" ma:contentTypeDescription="Create a new document." ma:contentTypeScope="" ma:versionID="327dcde2df62536727717cc8d6317f6f">
  <xsd:schema xmlns:xsd="http://www.w3.org/2001/XMLSchema" xmlns:xs="http://www.w3.org/2001/XMLSchema" xmlns:p="http://schemas.microsoft.com/office/2006/metadata/properties" xmlns:ns2="7513b557-581c-46d3-8cc7-77c65017dc6f" xmlns:ns3="e7d54a9e-4aca-451b-99db-b94fe438e987" targetNamespace="http://schemas.microsoft.com/office/2006/metadata/properties" ma:root="true" ma:fieldsID="60b73f69b1de7beb2094acf8eaa190c0" ns2:_="" ns3:_="">
    <xsd:import namespace="7513b557-581c-46d3-8cc7-77c65017dc6f"/>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3b557-581c-46d3-8cc7-77c65017d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094059-5103-4cd0-8820-a17a44f45f06}"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F6006-A38E-434F-B192-EF214ECDBE39}">
  <ds:schemaRefs>
    <ds:schemaRef ds:uri="http://schemas.microsoft.com/office/2006/metadata/properties"/>
    <ds:schemaRef ds:uri="http://schemas.microsoft.com/office/infopath/2007/PartnerControls"/>
    <ds:schemaRef ds:uri="7513b557-581c-46d3-8cc7-77c65017dc6f"/>
    <ds:schemaRef ds:uri="e7d54a9e-4aca-451b-99db-b94fe438e987"/>
  </ds:schemaRefs>
</ds:datastoreItem>
</file>

<file path=customXml/itemProps2.xml><?xml version="1.0" encoding="utf-8"?>
<ds:datastoreItem xmlns:ds="http://schemas.openxmlformats.org/officeDocument/2006/customXml" ds:itemID="{3FC2B864-0B3B-402D-A26E-E7853FE6E32D}">
  <ds:schemaRefs>
    <ds:schemaRef ds:uri="http://schemas.openxmlformats.org/officeDocument/2006/bibliography"/>
  </ds:schemaRefs>
</ds:datastoreItem>
</file>

<file path=customXml/itemProps3.xml><?xml version="1.0" encoding="utf-8"?>
<ds:datastoreItem xmlns:ds="http://schemas.openxmlformats.org/officeDocument/2006/customXml" ds:itemID="{B988959E-9490-4C32-B666-923D7059F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3b557-581c-46d3-8cc7-77c65017dc6f"/>
    <ds:schemaRef ds:uri="e7d54a9e-4aca-451b-99db-b94fe438e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1BBF0-4D6B-4AB6-9D80-A19938D14F3C}">
  <ds:schemaRefs>
    <ds:schemaRef ds:uri="http://schemas.microsoft.com/sharepoint/v3/contenttype/forms"/>
  </ds:schemaRefs>
</ds:datastoreItem>
</file>

<file path=docMetadata/LabelInfo.xml><?xml version="1.0" encoding="utf-8"?>
<clbl:labelList xmlns:clbl="http://schemas.microsoft.com/office/2020/mipLabelMetadata">
  <clbl:label id="{5b268d57-2a6f-4e04-b0de-6938583d5ebc}" enabled="0" method="" siteId="{5b268d57-2a6f-4e04-b0de-6938583d5eb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29222</Words>
  <Characters>166570</Characters>
  <Application>Microsoft Office Word</Application>
  <DocSecurity>4</DocSecurity>
  <Lines>1388</Lines>
  <Paragraphs>390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195402</CharactersWithSpaces>
  <SharedDoc>false</SharedDoc>
  <HyperlinkBase/>
  <HLinks>
    <vt:vector size="96" baseType="variant">
      <vt:variant>
        <vt:i4>6684716</vt:i4>
      </vt:variant>
      <vt:variant>
        <vt:i4>168</vt:i4>
      </vt:variant>
      <vt:variant>
        <vt:i4>0</vt:i4>
      </vt:variant>
      <vt:variant>
        <vt:i4>5</vt:i4>
      </vt:variant>
      <vt:variant>
        <vt:lpwstr>http://msac.gov.au/internet/msac/publishing.nsf/Content/Home-1</vt:lpwstr>
      </vt:variant>
      <vt:variant>
        <vt:lpwstr/>
      </vt:variant>
      <vt:variant>
        <vt:i4>7995503</vt:i4>
      </vt:variant>
      <vt:variant>
        <vt:i4>165</vt:i4>
      </vt:variant>
      <vt:variant>
        <vt:i4>0</vt:i4>
      </vt:variant>
      <vt:variant>
        <vt:i4>5</vt:i4>
      </vt:variant>
      <vt:variant>
        <vt:lpwstr>https://www.pbs.gov.au/info/industry/listing/elements/pbac-meetings/psd/2021-03/semaglutide-solution-for-injection-2-mg-in-1-5-ml-pre-fille</vt:lpwstr>
      </vt:variant>
      <vt:variant>
        <vt:lpwstr/>
      </vt:variant>
      <vt:variant>
        <vt:i4>1638480</vt:i4>
      </vt:variant>
      <vt:variant>
        <vt:i4>162</vt:i4>
      </vt:variant>
      <vt:variant>
        <vt:i4>0</vt:i4>
      </vt:variant>
      <vt:variant>
        <vt:i4>5</vt:i4>
      </vt:variant>
      <vt:variant>
        <vt:lpwstr>https://www.msac.gov.au/applications/1785</vt:lpwstr>
      </vt:variant>
      <vt:variant>
        <vt:lpwstr/>
      </vt:variant>
      <vt:variant>
        <vt:i4>1507409</vt:i4>
      </vt:variant>
      <vt:variant>
        <vt:i4>159</vt:i4>
      </vt:variant>
      <vt:variant>
        <vt:i4>0</vt:i4>
      </vt:variant>
      <vt:variant>
        <vt:i4>5</vt:i4>
      </vt:variant>
      <vt:variant>
        <vt:lpwstr>https://www.msac.gov.au/applications/1663</vt:lpwstr>
      </vt:variant>
      <vt:variant>
        <vt:lpwstr/>
      </vt:variant>
      <vt:variant>
        <vt:i4>1507409</vt:i4>
      </vt:variant>
      <vt:variant>
        <vt:i4>6</vt:i4>
      </vt:variant>
      <vt:variant>
        <vt:i4>0</vt:i4>
      </vt:variant>
      <vt:variant>
        <vt:i4>5</vt:i4>
      </vt:variant>
      <vt:variant>
        <vt:lpwstr>https://www.msac.gov.au/applications/1663</vt:lpwstr>
      </vt:variant>
      <vt:variant>
        <vt:lpwstr/>
      </vt:variant>
      <vt:variant>
        <vt:i4>1638480</vt:i4>
      </vt:variant>
      <vt:variant>
        <vt:i4>3</vt:i4>
      </vt:variant>
      <vt:variant>
        <vt:i4>0</vt:i4>
      </vt:variant>
      <vt:variant>
        <vt:i4>5</vt:i4>
      </vt:variant>
      <vt:variant>
        <vt:lpwstr>https://www.msac.gov.au/applications/1785</vt:lpwstr>
      </vt:variant>
      <vt:variant>
        <vt:lpwstr/>
      </vt:variant>
      <vt:variant>
        <vt:i4>3997744</vt:i4>
      </vt:variant>
      <vt:variant>
        <vt:i4>0</vt:i4>
      </vt:variant>
      <vt:variant>
        <vt:i4>0</vt:i4>
      </vt:variant>
      <vt:variant>
        <vt:i4>5</vt:i4>
      </vt:variant>
      <vt:variant>
        <vt:lpwstr>http://www.msac.gov.au/</vt:lpwstr>
      </vt:variant>
      <vt:variant>
        <vt:lpwstr/>
      </vt:variant>
      <vt:variant>
        <vt:i4>5046343</vt:i4>
      </vt:variant>
      <vt:variant>
        <vt:i4>24</vt:i4>
      </vt:variant>
      <vt:variant>
        <vt:i4>0</vt:i4>
      </vt:variant>
      <vt:variant>
        <vt:i4>5</vt:i4>
      </vt:variant>
      <vt:variant>
        <vt:lpwstr>https://www.ema.europa.eu/en/clinical-investigation-medicinal-products-treatment-or-prevention-diabetes-mellitus-scientific-guideline</vt:lpwstr>
      </vt:variant>
      <vt:variant>
        <vt:lpwstr/>
      </vt:variant>
      <vt:variant>
        <vt:i4>3670072</vt:i4>
      </vt:variant>
      <vt:variant>
        <vt:i4>21</vt:i4>
      </vt:variant>
      <vt:variant>
        <vt:i4>0</vt:i4>
      </vt:variant>
      <vt:variant>
        <vt:i4>5</vt:i4>
      </vt:variant>
      <vt:variant>
        <vt:lpwstr>https://www.aihw.gov.au/reports/diabetes/diabetes/contents/how-common-is-diabetes/gestational-diabetes</vt:lpwstr>
      </vt:variant>
      <vt:variant>
        <vt:lpwstr/>
      </vt:variant>
      <vt:variant>
        <vt:i4>6553709</vt:i4>
      </vt:variant>
      <vt:variant>
        <vt:i4>18</vt:i4>
      </vt:variant>
      <vt:variant>
        <vt:i4>0</vt:i4>
      </vt:variant>
      <vt:variant>
        <vt:i4>5</vt:i4>
      </vt:variant>
      <vt:variant>
        <vt:lpwstr>https://www.abs.gov.au/statistics/economy/price-indexes-and-inflation/consumer-price-index-australia/latest-release</vt:lpwstr>
      </vt:variant>
      <vt:variant>
        <vt:lpwstr/>
      </vt:variant>
      <vt:variant>
        <vt:i4>5177346</vt:i4>
      </vt:variant>
      <vt:variant>
        <vt:i4>15</vt:i4>
      </vt:variant>
      <vt:variant>
        <vt:i4>0</vt:i4>
      </vt:variant>
      <vt:variant>
        <vt:i4>5</vt:i4>
      </vt:variant>
      <vt:variant>
        <vt:lpwstr>https://www.has-sante.fr/upload/docs/application/pdf/2011-12/good_practice_-_self-monitoring_blood_glucose_type_2_diabetes.pdf</vt:lpwstr>
      </vt:variant>
      <vt:variant>
        <vt:lpwstr/>
      </vt:variant>
      <vt:variant>
        <vt:i4>131145</vt:i4>
      </vt:variant>
      <vt:variant>
        <vt:i4>12</vt:i4>
      </vt:variant>
      <vt:variant>
        <vt:i4>0</vt:i4>
      </vt:variant>
      <vt:variant>
        <vt:i4>5</vt:i4>
      </vt:variant>
      <vt:variant>
        <vt:lpwstr>https://www.nice.org.uk/guidance/ng28/evidence/economic-model-report-pdf-11013295213</vt:lpwstr>
      </vt:variant>
      <vt:variant>
        <vt:lpwstr/>
      </vt:variant>
      <vt:variant>
        <vt:i4>1900605</vt:i4>
      </vt:variant>
      <vt:variant>
        <vt:i4>9</vt:i4>
      </vt:variant>
      <vt:variant>
        <vt:i4>0</vt:i4>
      </vt:variant>
      <vt:variant>
        <vt:i4>5</vt:i4>
      </vt:variant>
      <vt:variant>
        <vt:lpwstr>https://www.monash.edu/__data/assets/pdf_file/0016/3920002/adcqr-2024-annual-report.pdf</vt:lpwstr>
      </vt:variant>
      <vt:variant>
        <vt:lpwstr/>
      </vt:variant>
      <vt:variant>
        <vt:i4>4915204</vt:i4>
      </vt:variant>
      <vt:variant>
        <vt:i4>6</vt:i4>
      </vt:variant>
      <vt:variant>
        <vt:i4>0</vt:i4>
      </vt:variant>
      <vt:variant>
        <vt:i4>5</vt:i4>
      </vt:variant>
      <vt:variant>
        <vt:lpwstr>https://www.msac.gov.au/sites/default/files/2025-02/1786_final_ratified_pico_-_redacted_0.pdf</vt:lpwstr>
      </vt:variant>
      <vt:variant>
        <vt:lpwstr/>
      </vt:variant>
      <vt:variant>
        <vt:i4>7929923</vt:i4>
      </vt:variant>
      <vt:variant>
        <vt:i4>3</vt:i4>
      </vt:variant>
      <vt:variant>
        <vt:i4>0</vt:i4>
      </vt:variant>
      <vt:variant>
        <vt:i4>5</vt:i4>
      </vt:variant>
      <vt:variant>
        <vt:lpwstr>https://www.aph.gov.au/Parliamentary_Business/Committees/House/Health_Aged_Care_and_Sport/Inquiry_into_Diabetes/Report</vt:lpwstr>
      </vt:variant>
      <vt:variant>
        <vt:lpwstr/>
      </vt:variant>
      <vt:variant>
        <vt:i4>5046343</vt:i4>
      </vt:variant>
      <vt:variant>
        <vt:i4>0</vt:i4>
      </vt:variant>
      <vt:variant>
        <vt:i4>0</vt:i4>
      </vt:variant>
      <vt:variant>
        <vt:i4>5</vt:i4>
      </vt:variant>
      <vt:variant>
        <vt:lpwstr>https://www.ema.europa.eu/en/clinical-investigation-medicinal-products-treatment-or-prevention-diabetes-mellitus-scientific-guideline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2025-10-15T22:35:00Z</dcterms:created>
  <dcterms:modified xsi:type="dcterms:W3CDTF">2025-10-28T22:36:00Z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0x0101005E4A37BE997BE34FBB7D5057D341D123</vt:lpwstr>
  </property>
  <property fmtid="{D5CDD505-2E9C-101B-9397-08002B2CF9AE}" pid="4" name="docLang">
    <vt:lpwstr>en</vt:lpwstr>
  </property>
  <property fmtid="{D5CDD505-2E9C-101B-9397-08002B2CF9AE}" pid="5" name="ReadytoShare">
    <vt:bool>true</vt:bool>
  </property>
</Properties>
</file>