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6997" w14:textId="0816AE8C" w:rsidR="00F9042D" w:rsidRPr="00CC5607" w:rsidRDefault="00032A09" w:rsidP="00F9042D">
      <w:pPr>
        <w:keepNext/>
        <w:keepLines/>
        <w:spacing w:before="0" w:after="360" w:line="240" w:lineRule="auto"/>
        <w:ind w:left="788"/>
        <w:jc w:val="center"/>
        <w:outlineLvl w:val="0"/>
        <w:rPr>
          <w:rFonts w:ascii="Arial" w:hAnsi="Arial" w:cs="Arial"/>
          <w:b/>
          <w:bCs/>
          <w:color w:val="000080"/>
          <w:sz w:val="36"/>
          <w:szCs w:val="36"/>
        </w:rPr>
      </w:pPr>
      <w:r>
        <w:rPr>
          <w:rFonts w:ascii="Arial" w:eastAsiaTheme="majorEastAsia" w:hAnsi="Arial" w:cs="Arial"/>
          <w:b/>
          <w:bCs/>
          <w:color w:val="000080"/>
          <w:sz w:val="36"/>
          <w:szCs w:val="36"/>
        </w:rPr>
        <w:t xml:space="preserve"> </w:t>
      </w:r>
      <w:r w:rsidR="00F9042D" w:rsidRPr="00F268B7">
        <w:rPr>
          <w:rFonts w:ascii="Arial" w:eastAsiaTheme="majorEastAsia" w:hAnsi="Arial" w:cs="Arial"/>
          <w:b/>
          <w:bCs/>
          <w:color w:val="000080"/>
          <w:sz w:val="36"/>
          <w:szCs w:val="36"/>
        </w:rPr>
        <w:t>Medical Services Advisory Committee (MSAC)</w:t>
      </w:r>
      <w:r w:rsidR="00F9042D" w:rsidRPr="00F268B7">
        <w:rPr>
          <w:rFonts w:ascii="Arial" w:eastAsiaTheme="majorEastAsia" w:hAnsi="Arial" w:cs="Arial"/>
          <w:b/>
          <w:bCs/>
          <w:color w:val="000080"/>
          <w:sz w:val="36"/>
          <w:szCs w:val="36"/>
        </w:rPr>
        <w:br/>
      </w:r>
      <w:r w:rsidR="00F9042D" w:rsidRPr="00F76D74">
        <w:rPr>
          <w:rFonts w:ascii="Arial" w:hAnsi="Arial" w:cs="Arial"/>
          <w:b/>
          <w:bCs/>
          <w:color w:val="000080"/>
          <w:sz w:val="36"/>
          <w:szCs w:val="36"/>
        </w:rPr>
        <w:t>Public Summary Document</w:t>
      </w:r>
    </w:p>
    <w:p w14:paraId="7A128FDE" w14:textId="009838DA" w:rsidR="00772829" w:rsidRPr="004C18BB" w:rsidRDefault="00772829" w:rsidP="00A82636">
      <w:pPr>
        <w:pStyle w:val="Subtitle"/>
      </w:pPr>
      <w:r w:rsidRPr="001101C7">
        <w:t xml:space="preserve">Application No. </w:t>
      </w:r>
      <w:r w:rsidR="00DF3846" w:rsidRPr="001101C7">
        <w:t>1801</w:t>
      </w:r>
      <w:r w:rsidRPr="00FF2641">
        <w:t>–</w:t>
      </w:r>
      <w:r w:rsidR="00A82636" w:rsidRPr="001101C7">
        <w:t xml:space="preserve">Autologous </w:t>
      </w:r>
      <w:r w:rsidR="004705B3">
        <w:t>s</w:t>
      </w:r>
      <w:r w:rsidR="00A82636" w:rsidRPr="00937401">
        <w:t xml:space="preserve">kin </w:t>
      </w:r>
      <w:r w:rsidR="004705B3">
        <w:t>c</w:t>
      </w:r>
      <w:r w:rsidR="00A82636" w:rsidRPr="00937401">
        <w:t xml:space="preserve">ell </w:t>
      </w:r>
      <w:r w:rsidR="004705B3">
        <w:t>s</w:t>
      </w:r>
      <w:r w:rsidR="00A82636" w:rsidRPr="001101C7">
        <w:t>uspension for</w:t>
      </w:r>
      <w:r w:rsidR="00295CC1" w:rsidRPr="00937401">
        <w:t xml:space="preserve"> </w:t>
      </w:r>
      <w:r w:rsidR="00A82636" w:rsidRPr="001101C7">
        <w:t>the treatment of acute</w:t>
      </w:r>
      <w:r w:rsidR="00A82636">
        <w:t xml:space="preserve"> burn wounds</w:t>
      </w:r>
      <w:r w:rsidR="00295CC1" w:rsidRPr="00937401">
        <w:t xml:space="preserve"> </w:t>
      </w:r>
      <w:r w:rsidR="00A82636">
        <w:t>in paediatric and adult patients</w:t>
      </w:r>
    </w:p>
    <w:p w14:paraId="35263561" w14:textId="6AC9AD01" w:rsidR="00772829" w:rsidRPr="004C18BB" w:rsidRDefault="00772829" w:rsidP="00295CC1">
      <w:pPr>
        <w:tabs>
          <w:tab w:val="left" w:pos="3686"/>
        </w:tabs>
        <w:spacing w:after="240"/>
        <w:ind w:left="3686" w:hanging="3686"/>
        <w:rPr>
          <w:rFonts w:ascii="Arial" w:hAnsi="Arial" w:cs="Arial"/>
          <w:b/>
        </w:rPr>
      </w:pPr>
      <w:r w:rsidRPr="004C18BB">
        <w:rPr>
          <w:rFonts w:ascii="Arial" w:hAnsi="Arial" w:cs="Arial"/>
          <w:b/>
        </w:rPr>
        <w:t>Applicant:</w:t>
      </w:r>
      <w:r w:rsidRPr="004C18BB">
        <w:tab/>
      </w:r>
      <w:r w:rsidR="00EB0B8F" w:rsidRPr="00EB0B8F">
        <w:rPr>
          <w:rFonts w:ascii="Arial" w:hAnsi="Arial" w:cs="Arial"/>
          <w:b/>
        </w:rPr>
        <w:t xml:space="preserve">Health Technology Analysts Pty </w:t>
      </w:r>
      <w:r w:rsidR="00EB0B8F" w:rsidRPr="00937401">
        <w:rPr>
          <w:rFonts w:ascii="Arial" w:hAnsi="Arial" w:cs="Arial"/>
          <w:b/>
        </w:rPr>
        <w:t>L</w:t>
      </w:r>
      <w:r w:rsidR="00F96E3C">
        <w:rPr>
          <w:rFonts w:ascii="Arial" w:hAnsi="Arial" w:cs="Arial"/>
          <w:b/>
        </w:rPr>
        <w:t>t</w:t>
      </w:r>
      <w:r w:rsidR="00EB0B8F" w:rsidRPr="00937401">
        <w:rPr>
          <w:rFonts w:ascii="Arial" w:hAnsi="Arial" w:cs="Arial"/>
          <w:b/>
        </w:rPr>
        <w:t xml:space="preserve">d </w:t>
      </w:r>
      <w:r w:rsidR="00EB0B8F" w:rsidRPr="00EB0B8F">
        <w:rPr>
          <w:rFonts w:ascii="Arial" w:hAnsi="Arial" w:cs="Arial"/>
          <w:b/>
        </w:rPr>
        <w:t xml:space="preserve">on behalf of AVITA Medical, </w:t>
      </w:r>
      <w:r w:rsidR="001101C7" w:rsidRPr="001101C7" w:rsidDel="00EB0B8F">
        <w:rPr>
          <w:rFonts w:ascii="Arial" w:hAnsi="Arial" w:cs="Arial"/>
          <w:b/>
        </w:rPr>
        <w:t>Inc</w:t>
      </w:r>
    </w:p>
    <w:p w14:paraId="15DA9C4A" w14:textId="155D5B85" w:rsidR="009A3778" w:rsidRPr="004C18BB" w:rsidRDefault="00772829" w:rsidP="733E05F5">
      <w:pPr>
        <w:tabs>
          <w:tab w:val="left" w:pos="3686"/>
        </w:tabs>
        <w:spacing w:after="360"/>
        <w:rPr>
          <w:rFonts w:ascii="Arial" w:hAnsi="Arial" w:cs="Arial"/>
          <w:b/>
          <w:highlight w:val="cyan"/>
        </w:rPr>
      </w:pPr>
      <w:r w:rsidRPr="004C18BB">
        <w:rPr>
          <w:rFonts w:ascii="Arial" w:hAnsi="Arial" w:cs="Arial"/>
          <w:b/>
        </w:rPr>
        <w:t xml:space="preserve">Date of </w:t>
      </w:r>
      <w:r w:rsidR="00F9042D">
        <w:rPr>
          <w:rFonts w:ascii="Arial" w:hAnsi="Arial" w:cs="Arial"/>
          <w:b/>
        </w:rPr>
        <w:t>MSA</w:t>
      </w:r>
      <w:r w:rsidR="0054173E">
        <w:rPr>
          <w:rFonts w:ascii="Arial" w:hAnsi="Arial" w:cs="Arial"/>
          <w:b/>
        </w:rPr>
        <w:t>C</w:t>
      </w:r>
      <w:r w:rsidRPr="004C18BB">
        <w:rPr>
          <w:rFonts w:ascii="Arial" w:hAnsi="Arial" w:cs="Arial"/>
          <w:b/>
        </w:rPr>
        <w:t xml:space="preserve"> consideration:</w:t>
      </w:r>
      <w:r w:rsidRPr="004C18BB">
        <w:tab/>
      </w:r>
      <w:r w:rsidR="00F9042D">
        <w:rPr>
          <w:rFonts w:ascii="Arial" w:hAnsi="Arial" w:cs="Arial"/>
          <w:b/>
        </w:rPr>
        <w:t>31 July</w:t>
      </w:r>
      <w:r w:rsidR="00E846F4" w:rsidRPr="00937401">
        <w:rPr>
          <w:rFonts w:ascii="Arial" w:hAnsi="Arial" w:cs="Arial"/>
          <w:b/>
        </w:rPr>
        <w:t xml:space="preserve"> 2025</w:t>
      </w:r>
    </w:p>
    <w:p w14:paraId="1EA24564" w14:textId="7BDDF2AE" w:rsidR="0054173E" w:rsidRPr="00D05E1F" w:rsidRDefault="00D05E1F" w:rsidP="0054173E">
      <w:pPr>
        <w:spacing w:after="240"/>
        <w:rPr>
          <w:color w:val="0000FF"/>
          <w:u w:val="single"/>
        </w:rPr>
      </w:pPr>
      <w:bookmarkStart w:id="0" w:name="_Hlk194308493"/>
      <w:bookmarkStart w:id="1" w:name="_Toc69491415"/>
      <w:r w:rsidRPr="00333EDF">
        <w:t xml:space="preserve">Context for decision: MSAC makes its advice in accordance with its Terms of Reference, </w:t>
      </w:r>
      <w:hyperlink r:id="rId8" w:tooltip="Link to Medical Services Advisory Committee website" w:history="1">
        <w:r w:rsidRPr="000D2098">
          <w:rPr>
            <w:rStyle w:val="Hyperlink"/>
            <w:color w:val="007BB8"/>
          </w:rPr>
          <w:t>visit the MSAC website</w:t>
        </w:r>
      </w:hyperlink>
      <w:bookmarkEnd w:id="0"/>
    </w:p>
    <w:p w14:paraId="7EAA7262" w14:textId="5FDD2821" w:rsidR="00772829" w:rsidRPr="004C18BB" w:rsidRDefault="00772829" w:rsidP="0000493F">
      <w:pPr>
        <w:pStyle w:val="Heading2"/>
        <w:numPr>
          <w:ilvl w:val="0"/>
          <w:numId w:val="15"/>
        </w:numPr>
      </w:pPr>
      <w:r w:rsidRPr="004C18BB">
        <w:t xml:space="preserve">Purpose </w:t>
      </w:r>
      <w:r w:rsidRPr="004C18BB">
        <w:rPr>
          <w:szCs w:val="32"/>
        </w:rPr>
        <w:t>of</w:t>
      </w:r>
      <w:r w:rsidRPr="004C18BB">
        <w:t xml:space="preserve"> application</w:t>
      </w:r>
      <w:bookmarkEnd w:id="1"/>
    </w:p>
    <w:p w14:paraId="6BF31FF2" w14:textId="72A7C45F" w:rsidR="00772829" w:rsidRDefault="00772829" w:rsidP="00366B36">
      <w:bookmarkStart w:id="2" w:name="_Hlk69734469"/>
      <w:r w:rsidRPr="004C18BB">
        <w:t xml:space="preserve">An application requesting </w:t>
      </w:r>
      <w:r w:rsidR="008720EE">
        <w:t>Medicare Benefits Schedule (</w:t>
      </w:r>
      <w:r w:rsidR="0022325A" w:rsidRPr="004C18BB">
        <w:t>MBS</w:t>
      </w:r>
      <w:r w:rsidR="008720EE">
        <w:t>)</w:t>
      </w:r>
      <w:r w:rsidR="0022325A" w:rsidRPr="004C18BB">
        <w:t xml:space="preserve"> listing of </w:t>
      </w:r>
      <w:r w:rsidR="00EC0D1D" w:rsidRPr="004C18BB">
        <w:t>autologous skin cell suspension (</w:t>
      </w:r>
      <w:r w:rsidR="0022325A" w:rsidRPr="004C18BB">
        <w:t>ASCS</w:t>
      </w:r>
      <w:r w:rsidR="00EC0D1D" w:rsidRPr="004C18BB">
        <w:t>)</w:t>
      </w:r>
      <w:r w:rsidR="0022325A" w:rsidRPr="004C18BB">
        <w:t xml:space="preserve"> prepared at the point of care (POC) for definitive closure of severe burn wounds </w:t>
      </w:r>
      <w:r w:rsidR="008C2700">
        <w:t>≥</w:t>
      </w:r>
      <w:r w:rsidR="0022325A" w:rsidRPr="004C18BB">
        <w:t xml:space="preserve">20% </w:t>
      </w:r>
      <w:r w:rsidR="00EC0D1D" w:rsidRPr="004C18BB">
        <w:t>total body surface area (</w:t>
      </w:r>
      <w:r w:rsidR="0022325A" w:rsidRPr="004C18BB">
        <w:t>TBSA</w:t>
      </w:r>
      <w:r w:rsidR="00EC0D1D" w:rsidRPr="004C18BB">
        <w:t>)</w:t>
      </w:r>
      <w:r w:rsidR="009B4877">
        <w:t xml:space="preserve"> </w:t>
      </w:r>
      <w:r w:rsidRPr="004C18BB">
        <w:t xml:space="preserve">was received from </w:t>
      </w:r>
      <w:r w:rsidR="00EB0B8F" w:rsidRPr="00EB0B8F">
        <w:t>Health Technology Analysts Pty Ltd on behalf of AVITA Medical, Inc</w:t>
      </w:r>
      <w:r w:rsidR="004B22D1">
        <w:t xml:space="preserve"> </w:t>
      </w:r>
      <w:r w:rsidRPr="004C18BB">
        <w:t>by the Department of Health</w:t>
      </w:r>
      <w:r w:rsidR="003D75C8">
        <w:t>, Disability</w:t>
      </w:r>
      <w:r w:rsidR="00F31CCB">
        <w:t xml:space="preserve"> and Age</w:t>
      </w:r>
      <w:r w:rsidR="003D75C8">
        <w:t>ing</w:t>
      </w:r>
      <w:r w:rsidRPr="004C18BB">
        <w:t>.</w:t>
      </w:r>
    </w:p>
    <w:p w14:paraId="11CC95AD" w14:textId="77777777" w:rsidR="006C0669" w:rsidRPr="00D155C0" w:rsidRDefault="006C0669" w:rsidP="00520616">
      <w:pPr>
        <w:pStyle w:val="Heading2"/>
        <w:keepNext w:val="0"/>
        <w:keepLines w:val="0"/>
        <w:numPr>
          <w:ilvl w:val="0"/>
          <w:numId w:val="15"/>
        </w:numPr>
      </w:pPr>
      <w:bookmarkStart w:id="3" w:name="_Hlk193982496"/>
      <w:bookmarkStart w:id="4" w:name="_Hlk194308564"/>
      <w:r w:rsidRPr="00D155C0">
        <w:t>MSAC’s advice to the Minister</w:t>
      </w:r>
    </w:p>
    <w:p w14:paraId="6637F425" w14:textId="09E10D38" w:rsidR="006C0669" w:rsidRDefault="00AE54F4" w:rsidP="00520616">
      <w:pPr>
        <w:pStyle w:val="TableFooter"/>
        <w:jc w:val="left"/>
        <w:rPr>
          <w:rFonts w:ascii="Franklin Gothic Book" w:hAnsi="Franklin Gothic Book"/>
          <w:sz w:val="22"/>
          <w:szCs w:val="22"/>
        </w:rPr>
      </w:pPr>
      <w:r w:rsidRPr="00333EDF">
        <w:rPr>
          <w:rFonts w:ascii="Franklin Gothic Book" w:hAnsi="Franklin Gothic Book"/>
          <w:sz w:val="22"/>
          <w:szCs w:val="22"/>
        </w:rPr>
        <w:t xml:space="preserve">After considering the strength of the available evidence in relation to comparative safety, clinical effectiveness, cost-effectiveness and total cost, </w:t>
      </w:r>
      <w:r w:rsidR="000B08D4" w:rsidRPr="104C5D6D">
        <w:rPr>
          <w:rFonts w:ascii="Franklin Gothic Book" w:hAnsi="Franklin Gothic Book"/>
          <w:sz w:val="22"/>
          <w:szCs w:val="22"/>
        </w:rPr>
        <w:t>MSAC supported the amendment</w:t>
      </w:r>
      <w:r w:rsidR="000B08D4">
        <w:rPr>
          <w:rFonts w:ascii="Franklin Gothic Book" w:hAnsi="Franklin Gothic Book"/>
          <w:sz w:val="22"/>
          <w:szCs w:val="22"/>
        </w:rPr>
        <w:t xml:space="preserve"> of </w:t>
      </w:r>
      <w:r w:rsidR="000B08D4" w:rsidRPr="104C5D6D">
        <w:rPr>
          <w:rFonts w:ascii="Franklin Gothic Book" w:hAnsi="Franklin Gothic Book"/>
          <w:sz w:val="22"/>
          <w:szCs w:val="22"/>
        </w:rPr>
        <w:t>existing</w:t>
      </w:r>
      <w:r w:rsidR="005D1070">
        <w:rPr>
          <w:rFonts w:ascii="Franklin Gothic Book" w:hAnsi="Franklin Gothic Book"/>
          <w:sz w:val="22"/>
          <w:szCs w:val="22"/>
        </w:rPr>
        <w:t xml:space="preserve"> </w:t>
      </w:r>
      <w:r w:rsidR="000B08D4" w:rsidRPr="104C5D6D">
        <w:rPr>
          <w:rFonts w:ascii="Franklin Gothic Book" w:hAnsi="Franklin Gothic Book"/>
          <w:sz w:val="22"/>
          <w:szCs w:val="22"/>
        </w:rPr>
        <w:t>MBS item</w:t>
      </w:r>
      <w:r w:rsidR="000B08D4">
        <w:rPr>
          <w:rFonts w:ascii="Franklin Gothic Book" w:hAnsi="Franklin Gothic Book"/>
          <w:sz w:val="22"/>
          <w:szCs w:val="22"/>
        </w:rPr>
        <w:t xml:space="preserve">s for immediate and delayed definitive burn wound closure to include the use of </w:t>
      </w:r>
      <w:r w:rsidR="000B08D4" w:rsidRPr="0E5795D2">
        <w:rPr>
          <w:rFonts w:ascii="Franklin Gothic Book" w:hAnsi="Franklin Gothic Book"/>
          <w:sz w:val="22"/>
          <w:szCs w:val="22"/>
        </w:rPr>
        <w:t xml:space="preserve">ASCS </w:t>
      </w:r>
      <w:r w:rsidR="000B08D4">
        <w:rPr>
          <w:rFonts w:ascii="Franklin Gothic Book" w:hAnsi="Franklin Gothic Book"/>
          <w:sz w:val="22"/>
          <w:szCs w:val="22"/>
        </w:rPr>
        <w:t>for the treatment of</w:t>
      </w:r>
      <w:r w:rsidR="000B08D4" w:rsidRPr="006F6454">
        <w:rPr>
          <w:rFonts w:ascii="Franklin Gothic Book" w:hAnsi="Franklin Gothic Book"/>
          <w:sz w:val="22"/>
          <w:szCs w:val="22"/>
        </w:rPr>
        <w:t xml:space="preserve"> full-thickness (FT) and deep-partial thickness (DPT) acute burn wounds comprising </w:t>
      </w:r>
      <w:r w:rsidR="000B08D4">
        <w:rPr>
          <w:rFonts w:ascii="Franklin Gothic Book" w:hAnsi="Franklin Gothic Book"/>
          <w:sz w:val="22"/>
          <w:szCs w:val="22"/>
        </w:rPr>
        <w:t xml:space="preserve">greater than or equal to </w:t>
      </w:r>
      <w:r w:rsidR="000B08D4" w:rsidRPr="006F6454">
        <w:rPr>
          <w:rFonts w:ascii="Franklin Gothic Book" w:hAnsi="Franklin Gothic Book"/>
          <w:sz w:val="22"/>
          <w:szCs w:val="22"/>
        </w:rPr>
        <w:t>20% TBSA</w:t>
      </w:r>
      <w:r w:rsidR="008277D8">
        <w:rPr>
          <w:rFonts w:ascii="Franklin Gothic Book" w:hAnsi="Franklin Gothic Book"/>
          <w:sz w:val="22"/>
          <w:szCs w:val="22"/>
        </w:rPr>
        <w:t xml:space="preserve"> </w:t>
      </w:r>
      <w:r w:rsidR="000B08D4">
        <w:rPr>
          <w:rFonts w:ascii="Franklin Gothic Book" w:hAnsi="Franklin Gothic Book"/>
          <w:sz w:val="22"/>
          <w:szCs w:val="22"/>
        </w:rPr>
        <w:t xml:space="preserve">in adult patients and greater than or equal to 10% TBSA in paediatric patients, as well as for whole of face burn wound closure. MSAC agreed that the fees for the existing items are adequate for the inclusion of ASCS as a treatment option. MSAC noted ASCS could be used as a stand-alone treatment or in conjunction with autologous skin grafting. MSAC did not support an additional MBS modifier </w:t>
      </w:r>
      <w:r w:rsidR="000B08D4" w:rsidRPr="03E0033B">
        <w:rPr>
          <w:rFonts w:ascii="Franklin Gothic Book" w:hAnsi="Franklin Gothic Book"/>
          <w:sz w:val="22"/>
          <w:szCs w:val="22"/>
        </w:rPr>
        <w:t>item</w:t>
      </w:r>
      <w:r w:rsidR="000B08D4">
        <w:rPr>
          <w:rFonts w:ascii="Franklin Gothic Book" w:hAnsi="Franklin Gothic Book"/>
          <w:sz w:val="22"/>
          <w:szCs w:val="22"/>
        </w:rPr>
        <w:t xml:space="preserve"> to </w:t>
      </w:r>
      <w:r w:rsidR="000B08D4" w:rsidRPr="004173F9">
        <w:rPr>
          <w:rFonts w:ascii="Franklin Gothic Book" w:hAnsi="Franklin Gothic Book"/>
          <w:sz w:val="22"/>
          <w:szCs w:val="22"/>
        </w:rPr>
        <w:t xml:space="preserve">provide additional funding for burns treatment requiring combined </w:t>
      </w:r>
      <w:r w:rsidR="000B08D4">
        <w:rPr>
          <w:rFonts w:ascii="Franklin Gothic Book" w:hAnsi="Franklin Gothic Book"/>
          <w:sz w:val="22"/>
          <w:szCs w:val="22"/>
        </w:rPr>
        <w:t xml:space="preserve">ASCS and </w:t>
      </w:r>
      <w:r w:rsidR="000B08D4" w:rsidRPr="00D77A16">
        <w:rPr>
          <w:rFonts w:ascii="Franklin Gothic Book" w:hAnsi="Franklin Gothic Book"/>
          <w:sz w:val="22"/>
          <w:szCs w:val="22"/>
        </w:rPr>
        <w:t>autologous skin grafting</w:t>
      </w:r>
      <w:r w:rsidR="000B08D4" w:rsidRPr="004173F9">
        <w:rPr>
          <w:rFonts w:ascii="Franklin Gothic Book" w:hAnsi="Franklin Gothic Book"/>
          <w:sz w:val="22"/>
          <w:szCs w:val="22"/>
        </w:rPr>
        <w:t>,</w:t>
      </w:r>
      <w:r w:rsidR="000B08D4">
        <w:rPr>
          <w:rFonts w:ascii="Franklin Gothic Book" w:hAnsi="Franklin Gothic Book"/>
          <w:sz w:val="22"/>
          <w:szCs w:val="22"/>
        </w:rPr>
        <w:t xml:space="preserve"> as the existing MBS item structure for burns treatment already </w:t>
      </w:r>
      <w:r w:rsidR="000B08D4" w:rsidRPr="03E0033B">
        <w:rPr>
          <w:rFonts w:ascii="Franklin Gothic Book" w:hAnsi="Franklin Gothic Book"/>
          <w:sz w:val="22"/>
          <w:szCs w:val="22"/>
        </w:rPr>
        <w:t>accounts for</w:t>
      </w:r>
      <w:r w:rsidR="000B08D4">
        <w:rPr>
          <w:rFonts w:ascii="Franklin Gothic Book" w:hAnsi="Franklin Gothic Book"/>
          <w:sz w:val="22"/>
          <w:szCs w:val="22"/>
        </w:rPr>
        <w:t xml:space="preserve"> </w:t>
      </w:r>
      <w:r w:rsidR="000B08D4" w:rsidRPr="00812DE3">
        <w:rPr>
          <w:rFonts w:ascii="Franklin Gothic Book" w:hAnsi="Franklin Gothic Book"/>
          <w:sz w:val="22"/>
          <w:szCs w:val="22"/>
        </w:rPr>
        <w:t>variations in procedural time and difficulty</w:t>
      </w:r>
      <w:r w:rsidR="000B08D4">
        <w:rPr>
          <w:rFonts w:ascii="Franklin Gothic Book" w:hAnsi="Franklin Gothic Book"/>
          <w:sz w:val="22"/>
          <w:szCs w:val="22"/>
        </w:rPr>
        <w:t xml:space="preserve">. MSAC considered ASCS was non-inferior for safety compared to autologous skin grafting and had superior effectiveness for donor </w:t>
      </w:r>
      <w:r w:rsidR="000B08D4" w:rsidRPr="0E5795D2">
        <w:rPr>
          <w:rFonts w:ascii="Franklin Gothic Book" w:hAnsi="Franklin Gothic Book"/>
          <w:sz w:val="22"/>
          <w:szCs w:val="22"/>
        </w:rPr>
        <w:t>site</w:t>
      </w:r>
      <w:r w:rsidR="000B08D4">
        <w:rPr>
          <w:rFonts w:ascii="Franklin Gothic Book" w:hAnsi="Franklin Gothic Book"/>
          <w:sz w:val="22"/>
          <w:szCs w:val="22"/>
        </w:rPr>
        <w:t xml:space="preserve"> sparing and reduction of autograft procedures. MSAC noted that although the costing analysis did not capture long-term patient outcomes, ASCS in combination </w:t>
      </w:r>
      <w:r w:rsidR="75023EA8" w:rsidRPr="2855807C">
        <w:rPr>
          <w:rFonts w:ascii="Franklin Gothic Book" w:hAnsi="Franklin Gothic Book"/>
          <w:sz w:val="22"/>
          <w:szCs w:val="22"/>
        </w:rPr>
        <w:t xml:space="preserve">with </w:t>
      </w:r>
      <w:r w:rsidR="75023EA8" w:rsidRPr="75BC5352">
        <w:rPr>
          <w:rFonts w:ascii="Franklin Gothic Book" w:hAnsi="Franklin Gothic Book"/>
          <w:sz w:val="22"/>
          <w:szCs w:val="22"/>
        </w:rPr>
        <w:t>autologous</w:t>
      </w:r>
      <w:r w:rsidR="75023EA8" w:rsidRPr="116A5284">
        <w:rPr>
          <w:rFonts w:ascii="Franklin Gothic Book" w:hAnsi="Franklin Gothic Book"/>
          <w:sz w:val="22"/>
          <w:szCs w:val="22"/>
        </w:rPr>
        <w:t xml:space="preserve"> </w:t>
      </w:r>
      <w:r w:rsidR="75023EA8" w:rsidRPr="2855807C">
        <w:rPr>
          <w:rFonts w:ascii="Franklin Gothic Book" w:hAnsi="Franklin Gothic Book"/>
          <w:sz w:val="22"/>
          <w:szCs w:val="22"/>
        </w:rPr>
        <w:t xml:space="preserve">skin </w:t>
      </w:r>
      <w:r w:rsidR="75023EA8" w:rsidRPr="3836B170">
        <w:rPr>
          <w:rFonts w:ascii="Franklin Gothic Book" w:hAnsi="Franklin Gothic Book"/>
          <w:sz w:val="22"/>
          <w:szCs w:val="22"/>
        </w:rPr>
        <w:t>grafting</w:t>
      </w:r>
      <w:r w:rsidR="75023EA8" w:rsidRPr="2855807C">
        <w:rPr>
          <w:rFonts w:ascii="Franklin Gothic Book" w:hAnsi="Franklin Gothic Book"/>
          <w:sz w:val="22"/>
          <w:szCs w:val="22"/>
        </w:rPr>
        <w:t xml:space="preserve"> </w:t>
      </w:r>
      <w:r w:rsidR="000B08D4">
        <w:rPr>
          <w:rFonts w:ascii="Franklin Gothic Book" w:hAnsi="Franklin Gothic Book"/>
          <w:sz w:val="22"/>
          <w:szCs w:val="22"/>
        </w:rPr>
        <w:t xml:space="preserve">was </w:t>
      </w:r>
      <w:r w:rsidR="00115D77">
        <w:rPr>
          <w:rFonts w:ascii="Franklin Gothic Book" w:hAnsi="Franklin Gothic Book"/>
          <w:sz w:val="22"/>
          <w:szCs w:val="22"/>
        </w:rPr>
        <w:t xml:space="preserve">likely to be </w:t>
      </w:r>
      <w:r w:rsidR="000B08D4">
        <w:rPr>
          <w:rFonts w:ascii="Franklin Gothic Book" w:hAnsi="Franklin Gothic Book"/>
          <w:sz w:val="22"/>
          <w:szCs w:val="22"/>
        </w:rPr>
        <w:t xml:space="preserve">cost saving for patients with burns over 30% TBSA. MSAC considered on average ASCS was likely to be at least cost-neutral compared to standard treatment for the overall population of burns over 20% TBSA. </w:t>
      </w:r>
      <w:r w:rsidR="000B08D4" w:rsidRPr="22048BB9">
        <w:rPr>
          <w:rFonts w:ascii="Franklin Gothic Book" w:eastAsia="Franklin Gothic Book" w:hAnsi="Franklin Gothic Book" w:cstheme="minorBidi"/>
          <w:color w:val="000000" w:themeColor="text1"/>
          <w:sz w:val="22"/>
          <w:szCs w:val="22"/>
        </w:rPr>
        <w:t xml:space="preserve">MSAC noted the financial impact to the MBS was likely to be minimal due to the low utilisation of current MBS items and </w:t>
      </w:r>
      <w:r w:rsidR="000B08D4" w:rsidRPr="03E0033B">
        <w:rPr>
          <w:rFonts w:ascii="Franklin Gothic Book" w:eastAsia="Franklin Gothic Book" w:hAnsi="Franklin Gothic Book" w:cstheme="minorBidi"/>
          <w:color w:val="000000" w:themeColor="text1"/>
          <w:sz w:val="22"/>
          <w:szCs w:val="22"/>
        </w:rPr>
        <w:t>because</w:t>
      </w:r>
      <w:r w:rsidR="000B08D4">
        <w:rPr>
          <w:rFonts w:ascii="Franklin Gothic Book" w:eastAsia="Franklin Gothic Book" w:hAnsi="Franklin Gothic Book" w:cstheme="minorBidi"/>
          <w:color w:val="000000" w:themeColor="text1"/>
          <w:sz w:val="22"/>
          <w:szCs w:val="22"/>
        </w:rPr>
        <w:t xml:space="preserve"> the modifier item was not</w:t>
      </w:r>
      <w:r w:rsidR="000B08D4" w:rsidRPr="22048BB9">
        <w:rPr>
          <w:rFonts w:ascii="Franklin Gothic Book" w:eastAsia="Franklin Gothic Book" w:hAnsi="Franklin Gothic Book" w:cstheme="minorBidi"/>
          <w:color w:val="000000" w:themeColor="text1"/>
          <w:sz w:val="22"/>
          <w:szCs w:val="22"/>
        </w:rPr>
        <w:t xml:space="preserve"> supported. MSAC noted the ASCS device cost ($</w:t>
      </w:r>
      <w:r w:rsidR="00E70ED5">
        <w:rPr>
          <w:rFonts w:ascii="Franklin Gothic Book" w:eastAsia="Franklin Gothic Book" w:hAnsi="Franklin Gothic Book" w:cstheme="minorBidi"/>
          <w:b/>
          <w:bCs/>
          <w:color w:val="000000" w:themeColor="text1"/>
          <w:sz w:val="22"/>
          <w:szCs w:val="22"/>
        </w:rPr>
        <w:t>redacted</w:t>
      </w:r>
      <w:r w:rsidR="000B08D4" w:rsidRPr="22048BB9">
        <w:rPr>
          <w:rFonts w:ascii="Franklin Gothic Book" w:eastAsia="Franklin Gothic Book" w:hAnsi="Franklin Gothic Book" w:cstheme="minorBidi"/>
          <w:color w:val="000000" w:themeColor="text1"/>
          <w:sz w:val="22"/>
          <w:szCs w:val="22"/>
        </w:rPr>
        <w:t xml:space="preserve"> per device, with multiple devices required per patient) could not be funded through the MBS or the Prescribed List. MSAC noted that the treatment of severe burns occurs in specialised </w:t>
      </w:r>
      <w:r w:rsidR="000B08D4" w:rsidRPr="03E0033B">
        <w:rPr>
          <w:rFonts w:ascii="Franklin Gothic Book" w:eastAsia="Franklin Gothic Book" w:hAnsi="Franklin Gothic Book" w:cstheme="minorBidi"/>
          <w:color w:val="000000" w:themeColor="text1"/>
          <w:sz w:val="22"/>
          <w:szCs w:val="22"/>
        </w:rPr>
        <w:t>burn</w:t>
      </w:r>
      <w:r w:rsidR="000B08D4" w:rsidRPr="22048BB9">
        <w:rPr>
          <w:rFonts w:ascii="Franklin Gothic Book" w:eastAsia="Franklin Gothic Book" w:hAnsi="Franklin Gothic Book" w:cstheme="minorBidi"/>
          <w:color w:val="000000" w:themeColor="text1"/>
          <w:sz w:val="22"/>
          <w:szCs w:val="22"/>
        </w:rPr>
        <w:t xml:space="preserve"> units in public hospitals. MSAC considered that </w:t>
      </w:r>
      <w:r w:rsidR="000B08D4" w:rsidRPr="03E0033B">
        <w:rPr>
          <w:rFonts w:ascii="Franklin Gothic Book" w:eastAsia="Franklin Gothic Book" w:hAnsi="Franklin Gothic Book" w:cstheme="minorBidi"/>
          <w:color w:val="000000" w:themeColor="text1"/>
          <w:sz w:val="22"/>
          <w:szCs w:val="22"/>
        </w:rPr>
        <w:t>private patients may incur out of pocket costs for the device.</w:t>
      </w:r>
      <w:r w:rsidR="000B08D4" w:rsidRPr="22048BB9">
        <w:rPr>
          <w:rFonts w:ascii="Franklin Gothic Book" w:eastAsia="Franklin Gothic Book" w:hAnsi="Franklin Gothic Book" w:cstheme="minorBidi"/>
          <w:color w:val="000000" w:themeColor="text1"/>
          <w:sz w:val="22"/>
          <w:szCs w:val="22"/>
        </w:rPr>
        <w:t xml:space="preserve"> </w:t>
      </w:r>
    </w:p>
    <w:tbl>
      <w:tblPr>
        <w:tblStyle w:val="Section3-footnot1"/>
        <w:tblW w:w="0" w:type="auto"/>
        <w:tblLook w:val="04A0" w:firstRow="1" w:lastRow="0" w:firstColumn="1" w:lastColumn="0" w:noHBand="0" w:noVBand="1"/>
        <w:tblDescription w:val="Consumer summary of MSAC consideration"/>
      </w:tblPr>
      <w:tblGrid>
        <w:gridCol w:w="9016"/>
      </w:tblGrid>
      <w:tr w:rsidR="006C0669" w:rsidRPr="00F91D6E" w14:paraId="4BF03D22" w14:textId="77777777" w:rsidTr="245F6B9C">
        <w:trPr>
          <w:tblHeader/>
        </w:trPr>
        <w:tc>
          <w:tcPr>
            <w:tcW w:w="9016" w:type="dxa"/>
          </w:tcPr>
          <w:p w14:paraId="0B9E1DF7" w14:textId="77777777" w:rsidR="006C0669" w:rsidRPr="00F91D6E" w:rsidRDefault="006C0669" w:rsidP="00274467">
            <w:pPr>
              <w:keepNext/>
              <w:keepLines/>
              <w:spacing w:after="120" w:line="259" w:lineRule="auto"/>
              <w:rPr>
                <w:rFonts w:eastAsia="Calibri"/>
                <w:b/>
                <w:bCs/>
              </w:rPr>
            </w:pPr>
            <w:r w:rsidRPr="00F91D6E">
              <w:rPr>
                <w:b/>
                <w:bCs/>
              </w:rPr>
              <w:lastRenderedPageBreak/>
              <w:t>Consumer summary</w:t>
            </w:r>
          </w:p>
        </w:tc>
      </w:tr>
      <w:tr w:rsidR="00274467" w:rsidRPr="00F91D6E" w14:paraId="52AB8ED6" w14:textId="77777777" w:rsidTr="245F6B9C">
        <w:tc>
          <w:tcPr>
            <w:tcW w:w="9016" w:type="dxa"/>
          </w:tcPr>
          <w:p w14:paraId="049C45C4" w14:textId="0620D24B" w:rsidR="00274467" w:rsidRDefault="00274467" w:rsidP="00274467">
            <w:r>
              <w:t>This is an application from Health Technology Analysts Pty Ltd on behalf of AVITA Medical, Inc requesting amendment of existing Medicare Benefits Schedule (MBS) items for immediate and delayed definit</w:t>
            </w:r>
            <w:r w:rsidR="3E8E59E0">
              <w:t>iv</w:t>
            </w:r>
            <w:r>
              <w:t>e severe burn wound closure to include autologous skill cell suspensions (ASCS), with no amendment to the current MBS fees. The application also propose</w:t>
            </w:r>
            <w:r w:rsidR="00197F17">
              <w:t>d</w:t>
            </w:r>
            <w:r>
              <w:t xml:space="preserve"> a new MBS item</w:t>
            </w:r>
            <w:r w:rsidR="00550B67">
              <w:t xml:space="preserve"> </w:t>
            </w:r>
            <w:r w:rsidR="003943E9">
              <w:t>to provide additional funding for</w:t>
            </w:r>
            <w:r w:rsidR="003D36A7">
              <w:t xml:space="preserve"> when </w:t>
            </w:r>
            <w:r w:rsidR="00A447D1">
              <w:t>ASCS is used in combination with split-thickness skin graft</w:t>
            </w:r>
            <w:r w:rsidR="00C7339D">
              <w:t>s (STS</w:t>
            </w:r>
            <w:r w:rsidR="003943E9">
              <w:t>G)</w:t>
            </w:r>
            <w:r w:rsidR="00F65E7B">
              <w:t>,</w:t>
            </w:r>
            <w:r w:rsidR="00A447D1">
              <w:t xml:space="preserve"> </w:t>
            </w:r>
            <w:r w:rsidR="007966BD">
              <w:t xml:space="preserve">to </w:t>
            </w:r>
            <w:r w:rsidR="008D4C96">
              <w:t xml:space="preserve">cover the additional time required for </w:t>
            </w:r>
            <w:r w:rsidR="008B3947">
              <w:t>prepar</w:t>
            </w:r>
            <w:r w:rsidR="00280D47">
              <w:t xml:space="preserve">ation </w:t>
            </w:r>
            <w:r w:rsidR="00890D98">
              <w:t>and application</w:t>
            </w:r>
            <w:r w:rsidR="00455317">
              <w:t xml:space="preserve">, </w:t>
            </w:r>
            <w:r>
              <w:t>compared to skin graft surgery alone.</w:t>
            </w:r>
          </w:p>
          <w:p w14:paraId="7A2D2673" w14:textId="6E91187C" w:rsidR="00274467" w:rsidRDefault="00274467" w:rsidP="00274467">
            <w:r>
              <w:t xml:space="preserve">Severe burns are those that cover more than 20% of the total body surface area. These burns can be classified as deep partial-thickness burns or full-thickness burns. Deep partial-thickness burns </w:t>
            </w:r>
            <w:r w:rsidR="00086E45">
              <w:t>(DPT)</w:t>
            </w:r>
            <w:r>
              <w:t xml:space="preserve"> result in damage to the outer layer of the skin (epidermis) and the deeper layers of the skin (dermis). Full-thickness burns result in damage to the epidermis, dermis and underlying tissue, and are also called third-degree burns. Severe burns, especially full-thickness burns</w:t>
            </w:r>
            <w:r w:rsidR="00B73E22">
              <w:t xml:space="preserve"> and many deep partial thickness burns</w:t>
            </w:r>
            <w:r>
              <w:t xml:space="preserve">, require surgery to close the wound. This usually involves removing a layer of skin from one area of the body (the donor site) and placing it on the burn wound so that it can heal. This is called a skin graft. A </w:t>
            </w:r>
            <w:r w:rsidR="00086E45">
              <w:t>Split Thickness Skin Graft (</w:t>
            </w:r>
            <w:r w:rsidR="006F674E">
              <w:t>STSG</w:t>
            </w:r>
            <w:r w:rsidR="00086E45">
              <w:t>)</w:t>
            </w:r>
            <w:r>
              <w:t xml:space="preserve"> involves the epidermis and part of the dermis. Because this procedure involves removing skin from </w:t>
            </w:r>
            <w:r w:rsidR="008247B5">
              <w:t>the</w:t>
            </w:r>
            <w:r>
              <w:t xml:space="preserve"> </w:t>
            </w:r>
            <w:r w:rsidR="00CE04F7">
              <w:t>donor site</w:t>
            </w:r>
            <w:r>
              <w:t xml:space="preserve">, it can cause extra pain and scarring and lengthy hospital stays. </w:t>
            </w:r>
            <w:r w:rsidR="6191B31D">
              <w:t>The procedure</w:t>
            </w:r>
            <w:r>
              <w:t xml:space="preserve"> may also need to be repeated to ensure the burn wound fully heals.</w:t>
            </w:r>
          </w:p>
          <w:p w14:paraId="3128F719" w14:textId="03DC8EC0" w:rsidR="00274467" w:rsidRDefault="00274467" w:rsidP="00274467">
            <w:r>
              <w:t xml:space="preserve">This application </w:t>
            </w:r>
            <w:r w:rsidR="00197F17">
              <w:t>uses a device</w:t>
            </w:r>
            <w:r>
              <w:t xml:space="preserve"> (called ReCell®) that harvests some of the patient’s own skin cells and turns them into a</w:t>
            </w:r>
            <w:r w:rsidR="00E64CD7">
              <w:t xml:space="preserve"> mixture</w:t>
            </w:r>
            <w:r>
              <w:t xml:space="preserve"> (ASCS) that can be sprayed onto burn wounds. This reduces the need to use a large donor site, so this should improve healing times, reduce pain and shorten hospital stays compared with skin graft treatments. ASCS cannot be used by itself for full-thickness burns – it must be used with a skin graft or another treatment. However, using ASCS with a skin graft reduces the size of the donor site that is needed. ASCS can be used by itself for </w:t>
            </w:r>
            <w:r w:rsidR="008479AD">
              <w:t>DPT</w:t>
            </w:r>
            <w:r>
              <w:t xml:space="preserve"> burns, especially for burns in children.</w:t>
            </w:r>
          </w:p>
          <w:p w14:paraId="0B9C5486" w14:textId="1BAC034A" w:rsidR="00274467" w:rsidRDefault="00274467" w:rsidP="00274467">
            <w:r>
              <w:t>MSAC noted that ASCS is</w:t>
            </w:r>
            <w:r w:rsidR="004D6CB0">
              <w:t xml:space="preserve"> </w:t>
            </w:r>
            <w:r w:rsidR="00FD6C1B">
              <w:t>likely</w:t>
            </w:r>
            <w:r>
              <w:t xml:space="preserve"> as safe as a skin graft, as they both have similar adverse events, infection, scar formation and delayed wound healing. ASCS is</w:t>
            </w:r>
            <w:r w:rsidR="004D6CB0">
              <w:t xml:space="preserve"> </w:t>
            </w:r>
            <w:r w:rsidR="00442161">
              <w:t>likely to be</w:t>
            </w:r>
            <w:r>
              <w:t xml:space="preserve"> as effective as a skin graft in relation to burn wound healing and pain, but results in shorter hospital stays, causes less donor site pain and potentially results in fewer procedures to cover tissue defects.</w:t>
            </w:r>
          </w:p>
          <w:p w14:paraId="07635560" w14:textId="6412880D" w:rsidR="00274467" w:rsidRDefault="00274467" w:rsidP="00274467">
            <w:r>
              <w:t>The ReCell</w:t>
            </w:r>
            <w:r w:rsidR="00651085">
              <w:t>®</w:t>
            </w:r>
            <w:r>
              <w:t xml:space="preserve"> device is ineligible for listing on the Prescribed List of Medical Devices and Human Tissue Products, which means the device cost cannot be reimbursed. MSAC </w:t>
            </w:r>
            <w:r w:rsidR="00340EB5">
              <w:t xml:space="preserve">noted </w:t>
            </w:r>
            <w:r>
              <w:t>that other devices used for burn wound treatment (such as skin graft blades) are also ineligible for the Prescribed List and are currently paid for by hospitals, and the same will likely happen with ASCS</w:t>
            </w:r>
            <w:r w:rsidR="00FA3D41">
              <w:t xml:space="preserve"> device</w:t>
            </w:r>
            <w:r>
              <w:t>. MSAC noted that</w:t>
            </w:r>
            <w:r w:rsidRPr="00AD1F08">
              <w:t xml:space="preserve"> </w:t>
            </w:r>
            <w:r w:rsidR="77AB4125" w:rsidRPr="00AD1F08">
              <w:t>the inclusion of</w:t>
            </w:r>
            <w:r>
              <w:t xml:space="preserve"> ASCS </w:t>
            </w:r>
            <w:r w:rsidR="219AFF35" w:rsidRPr="00AD1F08">
              <w:t xml:space="preserve">in the existing MBS items for severe burn wound closure treatment </w:t>
            </w:r>
            <w:r>
              <w:t>could result in a</w:t>
            </w:r>
            <w:r w:rsidR="00931DB8">
              <w:t xml:space="preserve">n </w:t>
            </w:r>
            <w:r w:rsidR="00155E0A">
              <w:t>additional</w:t>
            </w:r>
            <w:r>
              <w:t xml:space="preserve"> cost to the private health system</w:t>
            </w:r>
            <w:r w:rsidRPr="00AD1F08">
              <w:t xml:space="preserve">, </w:t>
            </w:r>
            <w:r w:rsidR="002D3A53">
              <w:t xml:space="preserve">however the </w:t>
            </w:r>
            <w:r w:rsidR="00571615" w:rsidRPr="00571615">
              <w:t>financial impact on the MBS was likely to be minimal due to the low utilisation of current MBS items.</w:t>
            </w:r>
            <w:r>
              <w:t xml:space="preserve"> </w:t>
            </w:r>
          </w:p>
          <w:p w14:paraId="07B1C0D6" w14:textId="75E7B5C9" w:rsidR="00274467" w:rsidRDefault="00274467" w:rsidP="00274467">
            <w:r>
              <w:t xml:space="preserve">Overall, MSAC was supportive of public funding of ASCS for adults with severe burns covering 20% or more of the total body surface area, and for children (aged less than 15 years) with severe burns covering 10% or more than the total body surface area. MSAC supported the smaller total body surface area </w:t>
            </w:r>
            <w:r w:rsidR="00BE39A4">
              <w:t>thresh</w:t>
            </w:r>
            <w:r w:rsidR="0063405F">
              <w:t xml:space="preserve">old </w:t>
            </w:r>
            <w:r>
              <w:t xml:space="preserve">in children because </w:t>
            </w:r>
            <w:r w:rsidR="00832F70" w:rsidRPr="00832F70">
              <w:t>children may have less skin available for grafting than adults and therefore may have greater clinical need for skin sparing techniques such as ASCS</w:t>
            </w:r>
            <w:r>
              <w:t xml:space="preserve">. MSAC did not support the modifier MBS item as </w:t>
            </w:r>
            <w:r w:rsidR="00D64044">
              <w:t>the existing</w:t>
            </w:r>
            <w:r w:rsidR="00A4203D">
              <w:t xml:space="preserve"> MBS</w:t>
            </w:r>
            <w:r w:rsidR="00D64044">
              <w:t xml:space="preserve"> item</w:t>
            </w:r>
            <w:r w:rsidR="00A4203D">
              <w:t xml:space="preserve"> structure for burns treatment already accounts for variations in procedural time and difficulty</w:t>
            </w:r>
            <w:r>
              <w:t>.</w:t>
            </w:r>
          </w:p>
          <w:p w14:paraId="493F8152" w14:textId="0AACF0DC" w:rsidR="00274467" w:rsidRDefault="00274467" w:rsidP="00274467"/>
          <w:p w14:paraId="24510DBE" w14:textId="77777777" w:rsidR="00274467" w:rsidRPr="00AF46D8" w:rsidRDefault="00274467" w:rsidP="00274467">
            <w:pPr>
              <w:pStyle w:val="Heading3"/>
              <w:spacing w:before="240" w:after="120"/>
            </w:pPr>
            <w:r w:rsidRPr="00AF46D8">
              <w:lastRenderedPageBreak/>
              <w:t>MSAC’s advice to the Commonwealth Minister for Health</w:t>
            </w:r>
            <w:r>
              <w:t>, Disability and Ageing</w:t>
            </w:r>
          </w:p>
          <w:p w14:paraId="647E0C52" w14:textId="56E3F1E1" w:rsidR="00274467" w:rsidRPr="00F91D6E" w:rsidRDefault="00274467" w:rsidP="00520616">
            <w:pPr>
              <w:spacing w:after="120"/>
            </w:pPr>
            <w:r w:rsidRPr="00AF46D8">
              <w:t>MSAC supported</w:t>
            </w:r>
            <w:r>
              <w:t xml:space="preserve"> amending existing MBS items for immediate and delayed severe burn wound closure to include ASCS for adults with burns </w:t>
            </w:r>
            <w:r w:rsidRPr="009700DE">
              <w:t xml:space="preserve">≥20% </w:t>
            </w:r>
            <w:r>
              <w:t xml:space="preserve">total body surface area and children with </w:t>
            </w:r>
            <w:r w:rsidRPr="0076521F">
              <w:t>burns ≥10% total</w:t>
            </w:r>
            <w:r>
              <w:t xml:space="preserve"> body surface area, with no amendment to the current MBS fees. MSAC considered ASCS to be just as safe and effective as skin graft treatment</w:t>
            </w:r>
            <w:r w:rsidR="00115D77">
              <w:t xml:space="preserve"> for some burns</w:t>
            </w:r>
            <w:r>
              <w:t xml:space="preserve">, but ASCS </w:t>
            </w:r>
            <w:r w:rsidR="00115D77">
              <w:t xml:space="preserve">is likely to </w:t>
            </w:r>
            <w:r>
              <w:t xml:space="preserve">shorten hospital stay, causes less donor site pain and fewer subsequent procedures. The financial impact to the MBS is expected to be minimal. Although the device cost is not covered under the Prescribed List, it is likely that it will be paid for by hospitals (as is done for other devices used for burn wound closure). MSAC did not support the modifier MBS item for </w:t>
            </w:r>
            <w:r w:rsidR="43B91059">
              <w:t xml:space="preserve">additional </w:t>
            </w:r>
            <w:r w:rsidR="6B85E179">
              <w:t>preparation</w:t>
            </w:r>
            <w:r w:rsidR="43B91059">
              <w:t xml:space="preserve"> and application processes when </w:t>
            </w:r>
            <w:r>
              <w:t xml:space="preserve">ASCS </w:t>
            </w:r>
            <w:r w:rsidR="00746FFA">
              <w:t xml:space="preserve">is combined with </w:t>
            </w:r>
            <w:r>
              <w:t>skin graft treatment.</w:t>
            </w:r>
          </w:p>
        </w:tc>
      </w:tr>
    </w:tbl>
    <w:p w14:paraId="1A939AE9" w14:textId="77777777" w:rsidR="006C0669" w:rsidRPr="00D155C0" w:rsidRDefault="006C0669" w:rsidP="0000493F">
      <w:pPr>
        <w:pStyle w:val="Heading2"/>
        <w:numPr>
          <w:ilvl w:val="0"/>
          <w:numId w:val="15"/>
        </w:numPr>
      </w:pPr>
      <w:r w:rsidRPr="003A793E">
        <w:lastRenderedPageBreak/>
        <w:t>Summary of consideration and rationale for MSAC’s advice</w:t>
      </w:r>
    </w:p>
    <w:bookmarkEnd w:id="3"/>
    <w:bookmarkEnd w:id="4"/>
    <w:p w14:paraId="3771E1F1" w14:textId="678096A5" w:rsidR="0001615B" w:rsidRDefault="0001615B" w:rsidP="0001615B">
      <w:r w:rsidRPr="00516D4E">
        <w:t>MSAC</w:t>
      </w:r>
      <w:r>
        <w:t xml:space="preserve"> noted </w:t>
      </w:r>
      <w:r w:rsidR="00001B72">
        <w:t>this was</w:t>
      </w:r>
      <w:r>
        <w:t xml:space="preserve"> an application from Health Technology Analysts Pty Ltd on behalf of AVITA Medical, Inc requesting amendment of existing MBS items for immediate (MBS items 46117–46124) and delayed (MBS items 46134–46135) definite burn wound closure to include ASCS, with no amendment to the current MBS fees. </w:t>
      </w:r>
      <w:r w:rsidR="0022014E">
        <w:t>The application a</w:t>
      </w:r>
      <w:r>
        <w:t>lso proposed a modifier MBS item for combined ASCS and STSG treatments. This submission used the expedited pathway, bypassing PASC.</w:t>
      </w:r>
    </w:p>
    <w:p w14:paraId="26F5B4EB" w14:textId="5376BD33" w:rsidR="0001615B" w:rsidRDefault="00D76F70" w:rsidP="0001615B">
      <w:r>
        <w:t xml:space="preserve">MSAC granted </w:t>
      </w:r>
      <w:r w:rsidR="6BE32D78">
        <w:t xml:space="preserve">the </w:t>
      </w:r>
      <w:r>
        <w:t xml:space="preserve">applicant request for a hearing during the MSAC meeting. </w:t>
      </w:r>
      <w:r w:rsidR="0001615B">
        <w:t>At the hearing, representatives of the applicant</w:t>
      </w:r>
      <w:r w:rsidR="2DD391D7">
        <w:t xml:space="preserve"> </w:t>
      </w:r>
      <w:r w:rsidR="004234D3">
        <w:t xml:space="preserve">stated the </w:t>
      </w:r>
      <w:r w:rsidR="527BEE76">
        <w:t>clinical effectiveness of the ASCS in treat</w:t>
      </w:r>
      <w:r w:rsidR="6BD9FB3A">
        <w:t>ing severe burn wounds and c</w:t>
      </w:r>
      <w:r w:rsidR="004234D3">
        <w:t>onfirmed</w:t>
      </w:r>
      <w:r w:rsidR="6BD9FB3A">
        <w:t xml:space="preserve"> that</w:t>
      </w:r>
      <w:r w:rsidR="0001615B">
        <w:t xml:space="preserve"> ASCS would not be used on its own for treatment of full-thickness burns but </w:t>
      </w:r>
      <w:r>
        <w:t>could</w:t>
      </w:r>
      <w:r w:rsidR="0001615B">
        <w:t xml:space="preserve"> be used alone for </w:t>
      </w:r>
      <w:r w:rsidR="00A26D9C">
        <w:t xml:space="preserve">the </w:t>
      </w:r>
      <w:r>
        <w:t xml:space="preserve">deep </w:t>
      </w:r>
      <w:r w:rsidR="0001615B">
        <w:t>partial-thickness</w:t>
      </w:r>
      <w:r w:rsidR="00A26D9C">
        <w:t xml:space="preserve"> portion of a</w:t>
      </w:r>
      <w:r w:rsidR="0001615B">
        <w:t xml:space="preserve"> burn covering </w:t>
      </w:r>
      <w:r w:rsidR="608744B6" w:rsidRPr="5F42541E">
        <w:rPr>
          <w:u w:val="single"/>
        </w:rPr>
        <w:t>&gt;</w:t>
      </w:r>
      <w:r w:rsidR="0001615B">
        <w:t>20% total body surface area (TBSA).</w:t>
      </w:r>
    </w:p>
    <w:p w14:paraId="3B2A5118" w14:textId="09B0DED4" w:rsidR="0001615B" w:rsidRDefault="0001615B" w:rsidP="0001615B">
      <w:r>
        <w:t xml:space="preserve">MSAC noted that public consultation feedback was received from 2 professional associations (the Australian and New Zealand Burn Association [ANZBA] and the Australian Society of Plastic Surgeons [ASPS]), 5 health professionals and 1 consumer. </w:t>
      </w:r>
      <w:r w:rsidR="00A26D9C">
        <w:t>MSAC noted th</w:t>
      </w:r>
      <w:r w:rsidR="00AF6569">
        <w:t>e f</w:t>
      </w:r>
      <w:r>
        <w:t xml:space="preserve">eedback was supportive of the technology and its inclusion in the MBS items. </w:t>
      </w:r>
      <w:r w:rsidR="00AF6569">
        <w:t>MSAC noted</w:t>
      </w:r>
      <w:r>
        <w:t xml:space="preserve"> </w:t>
      </w:r>
      <w:r w:rsidR="001E336A">
        <w:t xml:space="preserve">the </w:t>
      </w:r>
      <w:r>
        <w:t>ASPS stated that the results for ASCS are highly variable and dependent on the operator</w:t>
      </w:r>
      <w:r w:rsidR="00D76F70">
        <w:t xml:space="preserve"> </w:t>
      </w:r>
      <w:r>
        <w:t>but noted recent advancement in the technology may improve its reliability. The feedback also indicated that additional training would not be required, although it suggested limiting use to accredited burns units.</w:t>
      </w:r>
    </w:p>
    <w:p w14:paraId="6175E89F" w14:textId="289EE6B5" w:rsidR="0001615B" w:rsidRPr="00A912B5" w:rsidDel="00CE0942" w:rsidRDefault="0001615B" w:rsidP="0001615B">
      <w:r w:rsidDel="00CE0942">
        <w:t xml:space="preserve">MSAC noted that all 14 specialist burns units in Australia contribute to the Burns Registry of Australia and New Zealand (BRANZ), along with 4 specialist burns units in New Zealand. These facilities treat adult patients who have burns covering &gt;10%, and children with burns covering &gt;5% TBSA. According to BRANZ data, in 2022–23, 2,423 adult (2.1% mortality in hospital) and 735 paediatric (2.9% mortality in hospital) burns patients were admitted to hospital, with both </w:t>
      </w:r>
      <w:r w:rsidR="2DD391D7">
        <w:t>these</w:t>
      </w:r>
      <w:r w:rsidDel="00CE0942">
        <w:t xml:space="preserve"> numbers being a decrease from previous years. For adults, the median TBSA burned was 2.5%, and 6.1% of patients had burns covering &gt;20% TBSA. For children, the median TBSA burned was 2.0%, and 3.9% of patients had burns covering &gt;20% TBSA. For First Nations patients, 238 were admitted to hospital with burns and 8.0% of patients had burns covering &gt;20% TBSA.</w:t>
      </w:r>
    </w:p>
    <w:p w14:paraId="036A12FA" w14:textId="06F80117" w:rsidR="0001615B" w:rsidRDefault="2DD391D7" w:rsidP="0001615B">
      <w:r>
        <w:t xml:space="preserve">MSAC noted the clinical management algorithm and considered it appropriate. </w:t>
      </w:r>
      <w:r w:rsidR="15D946E4">
        <w:t>In Australia</w:t>
      </w:r>
      <w:r w:rsidR="220F7990">
        <w:t xml:space="preserve">, severe burns are typically delivered by 14 specialist burns units, all located in public hospitals. </w:t>
      </w:r>
      <w:r w:rsidR="220F7990">
        <w:lastRenderedPageBreak/>
        <w:t>These units are equipp</w:t>
      </w:r>
      <w:r w:rsidR="6B156CD4">
        <w:t>ed to manage complex cases, including surgical ex</w:t>
      </w:r>
      <w:r w:rsidR="3AFDD680">
        <w:t>cision</w:t>
      </w:r>
      <w:r w:rsidR="6B156CD4">
        <w:t>, fluid resuscitation, and wou</w:t>
      </w:r>
      <w:r w:rsidR="2799FAFC">
        <w:t>n</w:t>
      </w:r>
      <w:r w:rsidR="6B156CD4">
        <w:t xml:space="preserve">d closure using techniques like </w:t>
      </w:r>
      <w:r w:rsidR="4357C362">
        <w:t>STSG</w:t>
      </w:r>
      <w:r w:rsidR="6B156CD4">
        <w:t>.</w:t>
      </w:r>
      <w:r w:rsidR="36FF5DE7">
        <w:t xml:space="preserve"> Private </w:t>
      </w:r>
      <w:r w:rsidR="408B9D37">
        <w:t>hospitals</w:t>
      </w:r>
      <w:r w:rsidR="36FF5DE7">
        <w:t xml:space="preserve"> may provide less complex procedure such as burn contractures or tissue defect</w:t>
      </w:r>
      <w:r w:rsidR="0062153D">
        <w:t xml:space="preserve">s following excision of </w:t>
      </w:r>
      <w:r w:rsidR="7668CD2A">
        <w:t>necrotising</w:t>
      </w:r>
      <w:r w:rsidR="0062153D">
        <w:t xml:space="preserve"> </w:t>
      </w:r>
      <w:r w:rsidR="02DC7F82">
        <w:t>fasciitis</w:t>
      </w:r>
      <w:r w:rsidR="2A8CFD01">
        <w:t>. To support the evolving clinical practice</w:t>
      </w:r>
      <w:r w:rsidR="177B5BAA">
        <w:t xml:space="preserve"> for severe burn wounds closure</w:t>
      </w:r>
      <w:r w:rsidR="2A8CFD01">
        <w:t>, including the use of ASCS alongside STSG</w:t>
      </w:r>
      <w:r w:rsidR="7536128C">
        <w:t xml:space="preserve">, </w:t>
      </w:r>
      <w:r w:rsidR="59E013EE">
        <w:t>amendments to existing</w:t>
      </w:r>
      <w:r w:rsidR="7536128C">
        <w:t xml:space="preserve"> MBS items have been proposed. </w:t>
      </w:r>
    </w:p>
    <w:p w14:paraId="0EE07BDF" w14:textId="704B1284" w:rsidR="00AB0A39" w:rsidRPr="00952112" w:rsidRDefault="00AB0A39" w:rsidP="00AB0A39">
      <w:r>
        <w:t xml:space="preserve">MSAC noted the proposal from the department to consider inclusion of burns covering </w:t>
      </w:r>
      <w:r w:rsidRPr="00472940">
        <w:rPr>
          <w:u w:val="single"/>
        </w:rPr>
        <w:t>&lt;</w:t>
      </w:r>
      <w:r>
        <w:t>20% TBSA.</w:t>
      </w:r>
      <w:r w:rsidR="001D5C65">
        <w:t xml:space="preserve"> Although not included in the application, t</w:t>
      </w:r>
      <w:r w:rsidR="45AF5EA7">
        <w:t xml:space="preserve">he </w:t>
      </w:r>
      <w:r w:rsidR="095D38AC">
        <w:t xml:space="preserve">department considered that there was a risk that lengthy and complicated item descriptors would result in </w:t>
      </w:r>
      <w:r w:rsidR="46367F6C">
        <w:t>confusion and uncertainty</w:t>
      </w:r>
      <w:r w:rsidR="56FD1F86">
        <w:t xml:space="preserve"> for patients and providers. The proposal intended to simplify the item descriptors to reduce this risk. </w:t>
      </w:r>
      <w:r w:rsidR="274C8768">
        <w:t>While</w:t>
      </w:r>
      <w:r>
        <w:t xml:space="preserve"> current use of MBS items for these smaller burns </w:t>
      </w:r>
      <w:r w:rsidR="004C5D96">
        <w:t>is</w:t>
      </w:r>
      <w:r w:rsidR="001F2A7D">
        <w:t xml:space="preserve"> </w:t>
      </w:r>
      <w:r>
        <w:t xml:space="preserve">low, MSAC </w:t>
      </w:r>
      <w:r w:rsidR="0BC2895A">
        <w:t>con</w:t>
      </w:r>
      <w:r w:rsidR="36B67A0E">
        <w:t>cern</w:t>
      </w:r>
      <w:r w:rsidR="0BC2895A">
        <w:t>ed</w:t>
      </w:r>
      <w:r>
        <w:t xml:space="preserve"> that there was a risk for potential misuse if </w:t>
      </w:r>
      <w:r w:rsidR="707A2824">
        <w:t xml:space="preserve">including </w:t>
      </w:r>
      <w:r>
        <w:t>smaller burns areas for adults</w:t>
      </w:r>
      <w:r w:rsidRPr="00952112">
        <w:t xml:space="preserve">. MSAC </w:t>
      </w:r>
      <w:r w:rsidR="00B05E7B">
        <w:t>supported</w:t>
      </w:r>
      <w:r w:rsidRPr="00952112">
        <w:t xml:space="preserve"> paediatric burns ≥10% TBSA be eligible, noting that additional MBS item descriptor amendments</w:t>
      </w:r>
      <w:r w:rsidR="00831A4C">
        <w:t xml:space="preserve"> </w:t>
      </w:r>
      <w:r w:rsidR="60FB1195">
        <w:t>would</w:t>
      </w:r>
      <w:r w:rsidR="00831A4C">
        <w:t xml:space="preserve"> be</w:t>
      </w:r>
      <w:r w:rsidRPr="00952112">
        <w:t xml:space="preserve"> required if including these patients.</w:t>
      </w:r>
    </w:p>
    <w:p w14:paraId="54FCD9C6" w14:textId="316804F9" w:rsidR="00AB0A39" w:rsidRPr="00952112" w:rsidRDefault="00AB0A39" w:rsidP="00AB0A39">
      <w:r w:rsidRPr="00952112">
        <w:t xml:space="preserve">MSAC </w:t>
      </w:r>
      <w:r>
        <w:t xml:space="preserve">acknowledged that amendment of the existing MBS items </w:t>
      </w:r>
      <w:r w:rsidR="00A3390B">
        <w:t>would be complex</w:t>
      </w:r>
      <w:r>
        <w:t>. MSAC advis</w:t>
      </w:r>
      <w:r w:rsidRPr="00952112">
        <w:t xml:space="preserve">ed </w:t>
      </w:r>
      <w:r w:rsidR="00A3390B">
        <w:t>the department that for implementation of</w:t>
      </w:r>
      <w:r w:rsidRPr="00952112">
        <w:t xml:space="preserve"> any new or modified descriptors incorporating use of ASCS </w:t>
      </w:r>
      <w:r>
        <w:t xml:space="preserve">should be device-agnostic and will </w:t>
      </w:r>
      <w:r w:rsidRPr="00952112">
        <w:t>need to:</w:t>
      </w:r>
    </w:p>
    <w:p w14:paraId="033B70E0" w14:textId="77777777" w:rsidR="00AB0A39" w:rsidRPr="00BD1B04" w:rsidRDefault="00AB0A39" w:rsidP="00472940">
      <w:pPr>
        <w:pStyle w:val="ListParagraph"/>
        <w:numPr>
          <w:ilvl w:val="0"/>
          <w:numId w:val="20"/>
        </w:numPr>
      </w:pPr>
      <w:r w:rsidRPr="001D5C65">
        <w:t>apply to all adults with burns ≥20% TBSA</w:t>
      </w:r>
    </w:p>
    <w:p w14:paraId="1A660317" w14:textId="77777777" w:rsidR="00AB0A39" w:rsidRPr="00952112" w:rsidRDefault="00AB0A39" w:rsidP="00472940">
      <w:pPr>
        <w:pStyle w:val="ListParagraph"/>
        <w:numPr>
          <w:ilvl w:val="0"/>
          <w:numId w:val="20"/>
        </w:numPr>
      </w:pPr>
      <w:r w:rsidRPr="001D5C65">
        <w:t>apply to all children aged ≤15 years with burns ≥10% TBSA</w:t>
      </w:r>
    </w:p>
    <w:p w14:paraId="4A191B0C" w14:textId="6ADC8829" w:rsidR="60508D26" w:rsidRDefault="60508D26" w:rsidP="00472940">
      <w:pPr>
        <w:pStyle w:val="ListParagraph"/>
        <w:numPr>
          <w:ilvl w:val="0"/>
          <w:numId w:val="20"/>
        </w:numPr>
      </w:pPr>
      <w:r w:rsidRPr="5F42541E">
        <w:t>apply to whole of face burns</w:t>
      </w:r>
    </w:p>
    <w:p w14:paraId="5691484C" w14:textId="495961A7" w:rsidR="00AB0A39" w:rsidRPr="00BD1B04" w:rsidRDefault="00AB0A39" w:rsidP="00472940">
      <w:pPr>
        <w:pStyle w:val="ListParagraph"/>
        <w:numPr>
          <w:ilvl w:val="0"/>
          <w:numId w:val="20"/>
        </w:numPr>
      </w:pPr>
      <w:r w:rsidRPr="001D5C65">
        <w:t xml:space="preserve">apply to adults with burns ≥20% TBSA </w:t>
      </w:r>
      <w:r w:rsidR="7E731590" w:rsidRPr="5F42541E">
        <w:t xml:space="preserve">where one or more of the surgeons performing the burn closure is </w:t>
      </w:r>
      <w:r w:rsidR="5EA39453" w:rsidRPr="5F42541E">
        <w:t>treating a burn area that is less than</w:t>
      </w:r>
      <w:r w:rsidRPr="001D5C65">
        <w:t xml:space="preserve"> 20% TBSA</w:t>
      </w:r>
      <w:r w:rsidRPr="5F42541E">
        <w:t xml:space="preserve"> </w:t>
      </w:r>
      <w:r w:rsidR="3F3CF4CF" w:rsidRPr="5F42541E">
        <w:t>individually</w:t>
      </w:r>
      <w:r w:rsidR="0BC2895A" w:rsidRPr="001D5C65">
        <w:t xml:space="preserve"> </w:t>
      </w:r>
      <w:r w:rsidRPr="001D5C65">
        <w:t>(multiple surgeons rule)</w:t>
      </w:r>
    </w:p>
    <w:p w14:paraId="1E8F6C45" w14:textId="3D5E027F" w:rsidR="00AB0A39" w:rsidRPr="00BD1B04" w:rsidRDefault="00AB0A39" w:rsidP="00472940">
      <w:pPr>
        <w:pStyle w:val="ListParagraph"/>
        <w:numPr>
          <w:ilvl w:val="0"/>
          <w:numId w:val="20"/>
        </w:numPr>
      </w:pPr>
      <w:r w:rsidRPr="001D5C65">
        <w:t>include children with burns ≥10% TBSA</w:t>
      </w:r>
      <w:r w:rsidRPr="5F42541E">
        <w:t xml:space="preserve"> </w:t>
      </w:r>
      <w:r w:rsidR="0A5CDA12" w:rsidRPr="5F42541E">
        <w:t>where one or more of the surgeons performing the burn closure is treating a burn area that is less than</w:t>
      </w:r>
      <w:r w:rsidR="0BC2895A" w:rsidRPr="001D5C65">
        <w:t xml:space="preserve"> </w:t>
      </w:r>
      <w:r w:rsidRPr="001D5C65">
        <w:t xml:space="preserve">10% TBSA </w:t>
      </w:r>
      <w:r w:rsidR="71F1D23A" w:rsidRPr="5F42541E">
        <w:t xml:space="preserve">individually </w:t>
      </w:r>
      <w:r w:rsidRPr="001D5C65">
        <w:t>(multiple surgeons rule)</w:t>
      </w:r>
    </w:p>
    <w:p w14:paraId="7F3952AD" w14:textId="77777777" w:rsidR="00AB0A39" w:rsidRPr="00BD1B04" w:rsidRDefault="00AB0A39" w:rsidP="00472940">
      <w:pPr>
        <w:pStyle w:val="ListParagraph"/>
        <w:numPr>
          <w:ilvl w:val="0"/>
          <w:numId w:val="20"/>
        </w:numPr>
      </w:pPr>
      <w:r w:rsidRPr="001D5C65">
        <w:t>not change current rebates.</w:t>
      </w:r>
    </w:p>
    <w:p w14:paraId="5525BF37" w14:textId="38999C64" w:rsidR="00AB0A39" w:rsidRDefault="00AB0A39" w:rsidP="00AB0A39">
      <w:pPr>
        <w:ind w:left="53"/>
      </w:pPr>
      <w:r w:rsidRPr="003276FF">
        <w:t xml:space="preserve">MSAC supported use of ASCS </w:t>
      </w:r>
      <w:r w:rsidR="00296413">
        <w:t xml:space="preserve">in </w:t>
      </w:r>
      <w:r w:rsidR="00F67501">
        <w:t xml:space="preserve">combination with </w:t>
      </w:r>
      <w:r w:rsidR="00296413">
        <w:t xml:space="preserve">STSG, </w:t>
      </w:r>
      <w:r w:rsidR="00526495">
        <w:t xml:space="preserve">and also </w:t>
      </w:r>
      <w:r w:rsidRPr="003276FF">
        <w:t>as a sole treatment if clinicians determine it to be appropriate.</w:t>
      </w:r>
      <w:r>
        <w:t xml:space="preserve"> However, MSAC did not support the modifier item (noting that similar extra costs are already absorbed elsewhere) nor extending ASCS to all immediate and delayed burn wound closure item numbers for burns of all sizes (this was not part of the application and costs were not assessed).</w:t>
      </w:r>
    </w:p>
    <w:p w14:paraId="1766B3ED" w14:textId="7A13D4B0" w:rsidR="0001615B" w:rsidRDefault="0001615B" w:rsidP="0001615B">
      <w:r>
        <w:t xml:space="preserve">MSAC noted the clinical claim </w:t>
      </w:r>
      <w:r w:rsidR="00303336">
        <w:t>was</w:t>
      </w:r>
      <w:r>
        <w:t xml:space="preserve"> </w:t>
      </w:r>
      <w:r w:rsidRPr="00747470">
        <w:t>ASCS treatment, with or without STSG</w:t>
      </w:r>
      <w:r>
        <w:t>s</w:t>
      </w:r>
      <w:r w:rsidRPr="00747470">
        <w:t>, offers superior donor site sparing compared to STSGs alone in severe burn wounds</w:t>
      </w:r>
      <w:r>
        <w:t xml:space="preserve"> (deep partial-thickness and full-thickness burns covering ≥20% TBSA), and that it </w:t>
      </w:r>
      <w:r w:rsidRPr="00747470">
        <w:t>demonstrates non-inferior effectiveness in achieving definitive wound closure and non-inferior safety in treating patients with severe burns.</w:t>
      </w:r>
    </w:p>
    <w:p w14:paraId="61E82717" w14:textId="638714DA" w:rsidR="0001615B" w:rsidRDefault="0001615B" w:rsidP="0001615B">
      <w:r>
        <w:t xml:space="preserve">MSAC noted that the </w:t>
      </w:r>
      <w:r w:rsidR="00596251">
        <w:t xml:space="preserve">key </w:t>
      </w:r>
      <w:r>
        <w:t xml:space="preserve">evidence presented was from 2 small </w:t>
      </w:r>
      <w:r w:rsidR="00046024">
        <w:t xml:space="preserve">within-patient </w:t>
      </w:r>
      <w:r>
        <w:t xml:space="preserve">randomised controlled trials (RCTs) with a total of </w:t>
      </w:r>
      <w:r w:rsidR="2DD391D7">
        <w:t>4</w:t>
      </w:r>
      <w:r w:rsidR="7AE5DAE6">
        <w:t>2</w:t>
      </w:r>
      <w:r>
        <w:t> patient</w:t>
      </w:r>
      <w:r w:rsidR="00115D77">
        <w:t>s</w:t>
      </w:r>
      <w:r>
        <w:t xml:space="preserve">. Hospital length of stay (LOS) data </w:t>
      </w:r>
      <w:r w:rsidR="00787CEA">
        <w:t>was</w:t>
      </w:r>
      <w:r>
        <w:t xml:space="preserve"> derived from a United States retrospective study that may have limited applicability to the Australian health system. However, consultation feedback </w:t>
      </w:r>
      <w:r w:rsidR="00115D77">
        <w:t xml:space="preserve">was supportive of the claims of </w:t>
      </w:r>
      <w:r>
        <w:t>reduce</w:t>
      </w:r>
      <w:r w:rsidR="00115D77">
        <w:t>d</w:t>
      </w:r>
      <w:r>
        <w:t xml:space="preserve"> hospital LOS, and this was supplemented by findings included in the pre-MSAC response from an abstract presented at the 2025 British Burn Association Annual Meeting.</w:t>
      </w:r>
      <w:r>
        <w:rPr>
          <w:rStyle w:val="FootnoteReference"/>
        </w:rPr>
        <w:footnoteReference w:id="2"/>
      </w:r>
      <w:r>
        <w:t xml:space="preserve"> </w:t>
      </w:r>
      <w:r w:rsidR="00D05CF0">
        <w:t>MSAC noted the pre-MSAC response stated around 18,000</w:t>
      </w:r>
      <w:r w:rsidR="490B33F6">
        <w:t xml:space="preserve"> </w:t>
      </w:r>
      <w:r w:rsidR="00D05CF0">
        <w:t xml:space="preserve">ReCell® devices have been distributed since its </w:t>
      </w:r>
      <w:r w:rsidR="5866B6D2">
        <w:t xml:space="preserve">inclusion </w:t>
      </w:r>
      <w:r w:rsidR="00D05CF0">
        <w:t>on the ARTG in 2006 and ha</w:t>
      </w:r>
      <w:r w:rsidR="00B1408D">
        <w:t>d</w:t>
      </w:r>
      <w:r w:rsidR="00D05CF0">
        <w:t xml:space="preserve"> a very low complaint rate</w:t>
      </w:r>
      <w:r w:rsidR="00046024">
        <w:t>.</w:t>
      </w:r>
      <w:r w:rsidR="004D21D8">
        <w:t xml:space="preserve"> </w:t>
      </w:r>
      <w:r w:rsidR="005158CB">
        <w:t xml:space="preserve">MSAC considered ASCS </w:t>
      </w:r>
      <w:r w:rsidR="022F8826">
        <w:t>ha</w:t>
      </w:r>
      <w:r w:rsidR="005158CB">
        <w:t>d</w:t>
      </w:r>
      <w:r w:rsidR="00D055CB">
        <w:t xml:space="preserve"> non-inferior longer-term </w:t>
      </w:r>
      <w:r w:rsidR="300865A2">
        <w:t xml:space="preserve">(up to 14 months) </w:t>
      </w:r>
      <w:r w:rsidR="3F5109C0">
        <w:t>clinical outcomes</w:t>
      </w:r>
      <w:r w:rsidR="00D055CB">
        <w:t xml:space="preserve"> for healing, pain and visual appearance</w:t>
      </w:r>
      <w:r w:rsidR="2D73ADFB">
        <w:t xml:space="preserve"> at the </w:t>
      </w:r>
      <w:r w:rsidR="2D73ADFB">
        <w:lastRenderedPageBreak/>
        <w:t xml:space="preserve">treatment site. ASCS also </w:t>
      </w:r>
      <w:r w:rsidR="00773458">
        <w:t xml:space="preserve">had </w:t>
      </w:r>
      <w:r w:rsidR="00D055CB">
        <w:t>non-inferior safety in terms of adverse events (AEs) and serious AEs, device-related AEs, graft loss, infection, scar formation and delayed wound healing</w:t>
      </w:r>
      <w:r w:rsidR="0027446A">
        <w:t xml:space="preserve">. </w:t>
      </w:r>
      <w:r w:rsidR="00D114AB">
        <w:t xml:space="preserve">MSAC </w:t>
      </w:r>
      <w:r w:rsidR="00F124B9">
        <w:t>noted the</w:t>
      </w:r>
      <w:r w:rsidR="155EE862">
        <w:t xml:space="preserve"> </w:t>
      </w:r>
      <w:r w:rsidR="5D386E23">
        <w:t>external</w:t>
      </w:r>
      <w:r w:rsidR="00000C1E">
        <w:t xml:space="preserve"> validity limitations </w:t>
      </w:r>
      <w:r w:rsidR="0001342C">
        <w:t xml:space="preserve">of </w:t>
      </w:r>
      <w:r w:rsidR="00000C1E">
        <w:t>w</w:t>
      </w:r>
      <w:r w:rsidR="00F124B9" w:rsidRPr="00F124B9">
        <w:t xml:space="preserve">ithin-patient </w:t>
      </w:r>
      <w:r w:rsidR="00AD20AD">
        <w:t>RCT</w:t>
      </w:r>
      <w:r w:rsidR="00F124B9" w:rsidRPr="00F124B9">
        <w:t xml:space="preserve"> </w:t>
      </w:r>
      <w:r w:rsidR="08D98518">
        <w:t>design</w:t>
      </w:r>
      <w:r w:rsidR="00571697">
        <w:t>s</w:t>
      </w:r>
      <w:r w:rsidR="08D98518">
        <w:t xml:space="preserve"> and </w:t>
      </w:r>
      <w:r w:rsidR="4AC89F85">
        <w:t>considered</w:t>
      </w:r>
      <w:r w:rsidR="00571697">
        <w:t xml:space="preserve"> </w:t>
      </w:r>
      <w:r w:rsidR="4BCD8CA5">
        <w:t>t</w:t>
      </w:r>
      <w:r w:rsidR="36A3A42D">
        <w:t xml:space="preserve">hat </w:t>
      </w:r>
      <w:r w:rsidR="62BF7679">
        <w:t>ASCS</w:t>
      </w:r>
      <w:r w:rsidR="4BF4F7A5">
        <w:t xml:space="preserve"> </w:t>
      </w:r>
      <w:r w:rsidR="008E3B20">
        <w:t>was lik</w:t>
      </w:r>
      <w:r w:rsidR="00E615E2">
        <w:t>e</w:t>
      </w:r>
      <w:r w:rsidR="008E3B20">
        <w:t xml:space="preserve">ly to </w:t>
      </w:r>
      <w:r>
        <w:t>reduce hospital LOS, require fewer autograft procedures</w:t>
      </w:r>
      <w:r w:rsidR="636F6A18">
        <w:t>,</w:t>
      </w:r>
      <w:r>
        <w:t xml:space="preserve"> and </w:t>
      </w:r>
      <w:r w:rsidR="02C9343E">
        <w:t>us</w:t>
      </w:r>
      <w:r w:rsidR="00773458">
        <w:t>e</w:t>
      </w:r>
      <w:r w:rsidR="02C9343E">
        <w:t xml:space="preserve"> less</w:t>
      </w:r>
      <w:r>
        <w:t xml:space="preserve"> donor </w:t>
      </w:r>
      <w:r w:rsidR="2DD391D7">
        <w:t>s</w:t>
      </w:r>
      <w:r w:rsidR="63A03CFB">
        <w:t>kin, resulting in less pain and faster healing at the donor site</w:t>
      </w:r>
      <w:r w:rsidR="3CC65170">
        <w:t>.</w:t>
      </w:r>
      <w:r>
        <w:t xml:space="preserve"> </w:t>
      </w:r>
    </w:p>
    <w:p w14:paraId="6E83C2B5" w14:textId="0A0464E1" w:rsidR="00AE0929" w:rsidRDefault="0001615B" w:rsidP="00402FAB">
      <w:r>
        <w:t>MSAC noted the base</w:t>
      </w:r>
      <w:r w:rsidR="008A4270">
        <w:t>-</w:t>
      </w:r>
      <w:r>
        <w:t xml:space="preserve">case </w:t>
      </w:r>
      <w:r w:rsidR="008A4270">
        <w:t xml:space="preserve">costing </w:t>
      </w:r>
      <w:r>
        <w:t xml:space="preserve">in the applicant-developed assessment report (ADAR) </w:t>
      </w:r>
      <w:r w:rsidR="00AE0929">
        <w:t xml:space="preserve">demonstrated </w:t>
      </w:r>
      <w:r>
        <w:t>cost savings were greatest in burns covering ≥40% TBSA, meaning that 20% of the cohort contributed 70% of the savings</w:t>
      </w:r>
      <w:r w:rsidR="00A72EBA">
        <w:t>.</w:t>
      </w:r>
      <w:r w:rsidR="00B319E3">
        <w:t xml:space="preserve"> </w:t>
      </w:r>
      <w:r w:rsidR="00A72EBA">
        <w:t>H</w:t>
      </w:r>
      <w:r w:rsidR="00BC0A8C">
        <w:t>owever</w:t>
      </w:r>
      <w:r w:rsidR="00B319E3">
        <w:t>,</w:t>
      </w:r>
      <w:r w:rsidR="00736EEB">
        <w:t xml:space="preserve"> </w:t>
      </w:r>
      <w:r w:rsidR="618029A6">
        <w:t>the ADAR’s</w:t>
      </w:r>
      <w:r w:rsidR="008A4270">
        <w:t xml:space="preserve"> base-case</w:t>
      </w:r>
      <w:r w:rsidR="7E091D7F">
        <w:t xml:space="preserve"> cost </w:t>
      </w:r>
      <w:r w:rsidR="00D114AB">
        <w:t>analysis</w:t>
      </w:r>
      <w:r w:rsidR="7E091D7F">
        <w:t xml:space="preserve"> </w:t>
      </w:r>
      <w:r w:rsidR="00736EEB">
        <w:t xml:space="preserve">did not include the cost of the </w:t>
      </w:r>
      <w:r w:rsidR="00412A2B">
        <w:t xml:space="preserve">device used </w:t>
      </w:r>
      <w:r w:rsidR="00763C3D">
        <w:t xml:space="preserve">to prepare </w:t>
      </w:r>
      <w:r w:rsidR="00AE3E0C">
        <w:t xml:space="preserve">the </w:t>
      </w:r>
      <w:r w:rsidR="00763C3D">
        <w:t>ASCS</w:t>
      </w:r>
      <w:r>
        <w:t>.</w:t>
      </w:r>
      <w:r w:rsidR="004F22A4">
        <w:t xml:space="preserve"> MSAC agreed with ESC that this was not appropriate</w:t>
      </w:r>
      <w:r w:rsidR="00C560ED">
        <w:t xml:space="preserve"> </w:t>
      </w:r>
      <w:r w:rsidR="007166B6">
        <w:t xml:space="preserve">for the </w:t>
      </w:r>
      <w:r w:rsidR="00D0104B">
        <w:t>economic evaluation</w:t>
      </w:r>
      <w:r w:rsidR="00B319E3">
        <w:t>.</w:t>
      </w:r>
      <w:r w:rsidR="00D0104B">
        <w:t xml:space="preserve"> </w:t>
      </w:r>
      <w:r w:rsidR="00FF036C">
        <w:t>Including</w:t>
      </w:r>
      <w:r>
        <w:t xml:space="preserve"> device cost</w:t>
      </w:r>
      <w:r w:rsidR="00FF036C">
        <w:t>s</w:t>
      </w:r>
      <w:r>
        <w:t xml:space="preserve"> reduce</w:t>
      </w:r>
      <w:r w:rsidR="00C450AF">
        <w:t xml:space="preserve">d </w:t>
      </w:r>
      <w:r w:rsidR="00F33F11">
        <w:t xml:space="preserve">total </w:t>
      </w:r>
      <w:r w:rsidR="00C450AF">
        <w:t>cost</w:t>
      </w:r>
      <w:r>
        <w:t xml:space="preserve"> savings </w:t>
      </w:r>
      <w:r w:rsidR="00693E59">
        <w:t xml:space="preserve">per patient </w:t>
      </w:r>
      <w:r>
        <w:t>by approximately 80% (from a saving of $24,068.10 to $5,350.93)</w:t>
      </w:r>
      <w:r w:rsidR="004E7E48">
        <w:t>.</w:t>
      </w:r>
      <w:r w:rsidR="00C450AF" w:rsidRPr="00C450AF">
        <w:t xml:space="preserve"> </w:t>
      </w:r>
      <w:r w:rsidR="00C450AF">
        <w:t>MSAC noted that ASCS</w:t>
      </w:r>
      <w:r w:rsidR="00B77B16">
        <w:t xml:space="preserve"> </w:t>
      </w:r>
      <w:r w:rsidR="008E32FD">
        <w:t>only became cost saving for burns</w:t>
      </w:r>
      <w:r w:rsidR="00C450AF">
        <w:t xml:space="preserve"> covering ≥30% TBSA</w:t>
      </w:r>
      <w:r w:rsidR="00C5181A">
        <w:t>:</w:t>
      </w:r>
      <w:r w:rsidR="00EB2E76">
        <w:t xml:space="preserve"> 30–39% TBSA resulted in a cost saving of </w:t>
      </w:r>
      <w:r w:rsidR="003C596D" w:rsidRPr="003C596D">
        <w:t>$1,685</w:t>
      </w:r>
      <w:r w:rsidR="004B357F">
        <w:t>;</w:t>
      </w:r>
      <w:r w:rsidR="00EB2E76">
        <w:t xml:space="preserve"> and ≥40% TBSA resulted in a cost saving of </w:t>
      </w:r>
      <w:r w:rsidR="003C596D" w:rsidRPr="003C596D">
        <w:t>$10,755</w:t>
      </w:r>
      <w:r w:rsidR="34EF91CF">
        <w:t>.</w:t>
      </w:r>
      <w:r w:rsidR="00FB5E34">
        <w:t xml:space="preserve"> </w:t>
      </w:r>
      <w:r w:rsidR="00C5181A">
        <w:t>MSAC noted cost savings were largely driven by reduced hospital LOS and the number of definitive closure procedures required to treat severe burns.</w:t>
      </w:r>
      <w:r w:rsidR="004639ED">
        <w:t xml:space="preserve"> In an additional analysis</w:t>
      </w:r>
      <w:r w:rsidR="00B16B36">
        <w:t xml:space="preserve"> of hospital costs</w:t>
      </w:r>
      <w:r w:rsidR="004639ED">
        <w:t xml:space="preserve"> </w:t>
      </w:r>
      <w:r w:rsidR="00285A45">
        <w:t xml:space="preserve">that included the </w:t>
      </w:r>
      <w:r w:rsidR="00384099">
        <w:t xml:space="preserve">cost of the </w:t>
      </w:r>
      <w:r w:rsidR="00B16B36">
        <w:t xml:space="preserve">ASCS </w:t>
      </w:r>
      <w:r w:rsidR="00384099">
        <w:t>device and LOS offsets</w:t>
      </w:r>
      <w:r w:rsidR="00855DA5">
        <w:t xml:space="preserve"> </w:t>
      </w:r>
      <w:r w:rsidR="009A2870">
        <w:t>(</w:t>
      </w:r>
      <w:r w:rsidR="00855DA5">
        <w:fldChar w:fldCharType="begin"/>
      </w:r>
      <w:r w:rsidR="00855DA5">
        <w:instrText xml:space="preserve"> REF _Ref194592527 \h </w:instrText>
      </w:r>
      <w:r w:rsidR="00855DA5">
        <w:fldChar w:fldCharType="separate"/>
      </w:r>
      <w:r w:rsidR="00855DA5">
        <w:t xml:space="preserve">Table </w:t>
      </w:r>
      <w:r w:rsidR="00855DA5">
        <w:rPr>
          <w:noProof/>
        </w:rPr>
        <w:t>19</w:t>
      </w:r>
      <w:r w:rsidR="00855DA5">
        <w:fldChar w:fldCharType="end"/>
      </w:r>
      <w:r w:rsidR="009A2870">
        <w:t>).</w:t>
      </w:r>
      <w:r w:rsidR="00384099">
        <w:t xml:space="preserve"> MSAC noted </w:t>
      </w:r>
      <w:r w:rsidR="00B16B36">
        <w:t xml:space="preserve">that ASCS </w:t>
      </w:r>
      <w:r w:rsidR="00A670FD">
        <w:t xml:space="preserve">for </w:t>
      </w:r>
      <w:r w:rsidR="00B16B36">
        <w:t xml:space="preserve">20–29% TBSA resulted in an additional cost to </w:t>
      </w:r>
      <w:r w:rsidR="00304D0C">
        <w:t>hospitals</w:t>
      </w:r>
      <w:r w:rsidR="00B16B36">
        <w:t xml:space="preserve"> of </w:t>
      </w:r>
      <w:r w:rsidR="00B16B36" w:rsidRPr="003C596D">
        <w:t>$</w:t>
      </w:r>
      <w:r w:rsidR="00BC07D1">
        <w:t>29,81</w:t>
      </w:r>
      <w:r w:rsidR="003C6C39">
        <w:t>9</w:t>
      </w:r>
      <w:r w:rsidR="00B16B36">
        <w:t xml:space="preserve">, 30–39% TBSA resulted in a cost saving of </w:t>
      </w:r>
      <w:r w:rsidR="00B16B36" w:rsidRPr="003C596D">
        <w:t>$</w:t>
      </w:r>
      <w:r w:rsidR="004469E1">
        <w:t>33,491</w:t>
      </w:r>
      <w:r w:rsidR="00B16B36">
        <w:t xml:space="preserve">, and ≥40% TBSA resulted in a cost saving of </w:t>
      </w:r>
      <w:r w:rsidR="00B16B36" w:rsidRPr="003C596D">
        <w:t>$1</w:t>
      </w:r>
      <w:r w:rsidR="00AB2F4A">
        <w:t>68,363</w:t>
      </w:r>
      <w:r w:rsidR="0039754F">
        <w:t>.</w:t>
      </w:r>
      <w:r w:rsidR="00C5181A">
        <w:t xml:space="preserve">  </w:t>
      </w:r>
    </w:p>
    <w:p w14:paraId="71591DFA" w14:textId="656E2F8E" w:rsidR="00FD5971" w:rsidRDefault="00402FAB" w:rsidP="00402FAB">
      <w:r>
        <w:t xml:space="preserve">MSAC </w:t>
      </w:r>
      <w:r w:rsidR="000B3346">
        <w:t>noted the</w:t>
      </w:r>
      <w:r w:rsidR="00594926">
        <w:t xml:space="preserve"> financial impact</w:t>
      </w:r>
      <w:r w:rsidR="00B60633">
        <w:t xml:space="preserve"> estimated</w:t>
      </w:r>
      <w:r w:rsidR="00C57E3B">
        <w:t xml:space="preserve"> net cost to hospitals was $1.52 million in year 1 to $2.42 million by year 6</w:t>
      </w:r>
      <w:r w:rsidR="00293962">
        <w:t xml:space="preserve">, although </w:t>
      </w:r>
      <w:r w:rsidR="00830028">
        <w:t>this did not include any</w:t>
      </w:r>
      <w:r w:rsidR="002E3962">
        <w:t xml:space="preserve"> offsets</w:t>
      </w:r>
      <w:r w:rsidR="00843615">
        <w:t xml:space="preserve"> from reduc</w:t>
      </w:r>
      <w:r w:rsidR="00932254">
        <w:t>tions in</w:t>
      </w:r>
      <w:r w:rsidR="00843615">
        <w:t xml:space="preserve"> LOS</w:t>
      </w:r>
      <w:r w:rsidR="00932254">
        <w:t xml:space="preserve"> and number of definitive closure</w:t>
      </w:r>
      <w:r w:rsidR="00EB6044">
        <w:t>s</w:t>
      </w:r>
      <w:r w:rsidR="00E319B0">
        <w:t>.</w:t>
      </w:r>
      <w:r w:rsidR="00627BE4">
        <w:t xml:space="preserve"> </w:t>
      </w:r>
      <w:r w:rsidR="00E319B0">
        <w:t>T</w:t>
      </w:r>
      <w:r>
        <w:t xml:space="preserve">he pre-MSAC response provided an additional cost analysis that </w:t>
      </w:r>
      <w:r w:rsidR="00E319B0">
        <w:t>included</w:t>
      </w:r>
      <w:r>
        <w:t xml:space="preserve"> these offsets</w:t>
      </w:r>
      <w:r w:rsidR="00B44954">
        <w:t xml:space="preserve"> estimated </w:t>
      </w:r>
      <w:r>
        <w:t>ASCS would result in a</w:t>
      </w:r>
      <w:r w:rsidR="00F35E1F">
        <w:t xml:space="preserve"> net</w:t>
      </w:r>
      <w:r>
        <w:t xml:space="preserve"> cost to the MBS and private hospitals of $256,16</w:t>
      </w:r>
      <w:r w:rsidR="00C07C6D">
        <w:t>1</w:t>
      </w:r>
      <w:r>
        <w:t xml:space="preserve"> in year 1 to $403,099 in year 6.</w:t>
      </w:r>
    </w:p>
    <w:p w14:paraId="7AC34D4E" w14:textId="4A7DB62A" w:rsidR="00402FAB" w:rsidRDefault="00FD5971" w:rsidP="00402FAB">
      <w:r>
        <w:t xml:space="preserve">Overall, MSAC considered that the </w:t>
      </w:r>
      <w:r w:rsidR="00E16008">
        <w:t xml:space="preserve">financial impact to the MBS </w:t>
      </w:r>
      <w:r w:rsidR="00023811">
        <w:t>was likely to be minimal</w:t>
      </w:r>
      <w:r w:rsidR="00B0080D" w:rsidRPr="0071433F">
        <w:t xml:space="preserve">, </w:t>
      </w:r>
      <w:r w:rsidR="00B0080D">
        <w:t>as the same number of burns would be treated, using the same MBS item numbers, with the only difference being the choice of technique to be used under the amended MBS items</w:t>
      </w:r>
      <w:r w:rsidR="003E27F7">
        <w:t xml:space="preserve">. In addition, </w:t>
      </w:r>
      <w:r w:rsidR="002B623A">
        <w:t>MSAC did not support</w:t>
      </w:r>
      <w:r w:rsidR="001E41D3">
        <w:t xml:space="preserve"> the proposed modifier item, which would have </w:t>
      </w:r>
      <w:r w:rsidR="00D02678">
        <w:t>resulted in a small cost to the MBS</w:t>
      </w:r>
      <w:r w:rsidR="002B623A">
        <w:t xml:space="preserve">. </w:t>
      </w:r>
      <w:r w:rsidR="00C97CDC">
        <w:t>MSAC noted</w:t>
      </w:r>
      <w:r w:rsidR="00402FAB">
        <w:t xml:space="preserve"> current use of MBS items for burns covering ≥20% TBSA </w:t>
      </w:r>
      <w:r w:rsidR="00E31998">
        <w:t>was</w:t>
      </w:r>
      <w:r w:rsidR="00402FAB">
        <w:t xml:space="preserve"> low, and it </w:t>
      </w:r>
      <w:r w:rsidR="00E871D1">
        <w:t xml:space="preserve">was </w:t>
      </w:r>
      <w:r w:rsidR="00402FAB">
        <w:t xml:space="preserve">likely that very few patients with private health insurance will opt to be treated as a </w:t>
      </w:r>
      <w:r w:rsidR="37A14AC5">
        <w:t>private</w:t>
      </w:r>
      <w:r w:rsidR="00E871D1">
        <w:t xml:space="preserve"> </w:t>
      </w:r>
      <w:r w:rsidR="00402FAB">
        <w:t xml:space="preserve">patient. MSAC noted that large burns could require use of 3–5 ASCS devices, and the device </w:t>
      </w:r>
      <w:r w:rsidR="00E871D1">
        <w:t>was</w:t>
      </w:r>
      <w:r w:rsidR="00402FAB">
        <w:t xml:space="preserve"> not eligible for inclusion on the Prescribed List of Medical Devices and Human Tissue Products (PL). This means the cost ($</w:t>
      </w:r>
      <w:r w:rsidR="00E70ED5">
        <w:rPr>
          <w:b/>
          <w:bCs/>
        </w:rPr>
        <w:t>redacted</w:t>
      </w:r>
      <w:r w:rsidR="00402FAB">
        <w:t xml:space="preserve"> for the proposed ReCell® device) will be incurred by hospitals and/or private</w:t>
      </w:r>
      <w:r w:rsidR="53890CB9">
        <w:t>ly by</w:t>
      </w:r>
      <w:r w:rsidR="00402FAB">
        <w:t xml:space="preserve"> patients. However, MSAC noted that other devices required for treatment of severe burns (such as skin graft blades and meshers) are also ineligible for the PL and are currently </w:t>
      </w:r>
      <w:r w:rsidR="15404D1B">
        <w:t xml:space="preserve">paid for </w:t>
      </w:r>
      <w:r w:rsidR="00402FAB">
        <w:t>by hospitals (usually public hospitals with specialised burn units).</w:t>
      </w:r>
    </w:p>
    <w:p w14:paraId="6710B69D" w14:textId="01EDCE9B" w:rsidR="00772829" w:rsidRPr="004C18BB" w:rsidRDefault="00772829" w:rsidP="0000493F">
      <w:pPr>
        <w:pStyle w:val="Heading2"/>
        <w:numPr>
          <w:ilvl w:val="0"/>
          <w:numId w:val="15"/>
        </w:numPr>
      </w:pPr>
      <w:bookmarkStart w:id="5" w:name="_Toc69491416"/>
      <w:bookmarkEnd w:id="2"/>
      <w:r w:rsidRPr="004C18BB">
        <w:t>Background</w:t>
      </w:r>
      <w:bookmarkEnd w:id="5"/>
    </w:p>
    <w:p w14:paraId="4BD718F3" w14:textId="7E1917FA" w:rsidR="007A7907" w:rsidRPr="0071142B" w:rsidRDefault="00CA42D6" w:rsidP="00366B36">
      <w:bookmarkStart w:id="6" w:name="_Hlk69734494"/>
      <w:r w:rsidRPr="00B27579">
        <w:t>MSAC ha</w:t>
      </w:r>
      <w:r w:rsidR="002C12FE">
        <w:t>d</w:t>
      </w:r>
      <w:r w:rsidRPr="00B27579">
        <w:t xml:space="preserve"> not previously considered</w:t>
      </w:r>
      <w:r w:rsidR="00BE5374" w:rsidRPr="00B27579">
        <w:t xml:space="preserve"> </w:t>
      </w:r>
      <w:r w:rsidR="00547A0B" w:rsidRPr="00B27579">
        <w:t xml:space="preserve">ASCS prepared at the POC for definitive closure of severe burn wounds </w:t>
      </w:r>
      <w:r w:rsidR="00386E56">
        <w:t>≥</w:t>
      </w:r>
      <w:r w:rsidR="00547A0B" w:rsidRPr="008737A9">
        <w:t>20% TBSA</w:t>
      </w:r>
      <w:r w:rsidR="008C2700" w:rsidRPr="0071142B">
        <w:t>.</w:t>
      </w:r>
    </w:p>
    <w:p w14:paraId="101DBB84" w14:textId="6E3A953B" w:rsidR="003B10C6" w:rsidRPr="003520A6" w:rsidRDefault="00772829" w:rsidP="0000493F">
      <w:pPr>
        <w:pStyle w:val="Heading2"/>
        <w:numPr>
          <w:ilvl w:val="0"/>
          <w:numId w:val="15"/>
        </w:numPr>
      </w:pPr>
      <w:bookmarkStart w:id="7" w:name="ColumnTitle_Table1"/>
      <w:bookmarkStart w:id="8" w:name="_Toc69491417"/>
      <w:bookmarkEnd w:id="6"/>
      <w:bookmarkEnd w:id="7"/>
      <w:r w:rsidRPr="004C18BB">
        <w:t>Prerequisites to implementation of any funding advice</w:t>
      </w:r>
      <w:bookmarkEnd w:id="8"/>
    </w:p>
    <w:p w14:paraId="4720CDDD" w14:textId="10183086" w:rsidR="003B10C6" w:rsidRDefault="003B10C6" w:rsidP="00366B36">
      <w:r w:rsidRPr="008737A9">
        <w:t>The RECELL</w:t>
      </w:r>
      <w:r w:rsidRPr="00937401">
        <w:rPr>
          <w:vertAlign w:val="superscript"/>
        </w:rPr>
        <w:t>®</w:t>
      </w:r>
      <w:r w:rsidRPr="00937401">
        <w:t xml:space="preserve"> </w:t>
      </w:r>
      <w:r w:rsidR="001B60F4">
        <w:t>Autologous Cell Harvesting Device (</w:t>
      </w:r>
      <w:r w:rsidRPr="00937401">
        <w:t>ACHD</w:t>
      </w:r>
      <w:r w:rsidR="001B60F4">
        <w:t>)</w:t>
      </w:r>
      <w:r w:rsidRPr="00937401">
        <w:t xml:space="preserve"> </w:t>
      </w:r>
      <w:r w:rsidRPr="008737A9">
        <w:t xml:space="preserve">is currently registered </w:t>
      </w:r>
      <w:r w:rsidR="00D11E17">
        <w:rPr>
          <w:noProof/>
        </w:rPr>
        <w:t>on</w:t>
      </w:r>
      <w:r w:rsidR="00D11E17" w:rsidRPr="008737A9">
        <w:rPr>
          <w:noProof/>
        </w:rPr>
        <w:t xml:space="preserve"> </w:t>
      </w:r>
      <w:r w:rsidRPr="008737A9">
        <w:t xml:space="preserve">the Australian Register of Therapeutic Goods (ARTG) by the Therapeutic Goods Administration (TGA) under ARTG ID 338864 </w:t>
      </w:r>
      <w:r w:rsidR="00A601A8">
        <w:rPr>
          <w:noProof/>
        </w:rPr>
        <w:t>as a class III</w:t>
      </w:r>
      <w:r w:rsidR="00A601A8" w:rsidRPr="008737A9">
        <w:rPr>
          <w:noProof/>
        </w:rPr>
        <w:t xml:space="preserve"> </w:t>
      </w:r>
      <w:r w:rsidRPr="008737A9">
        <w:t xml:space="preserve">medical device </w:t>
      </w:r>
      <w:r w:rsidRPr="0071142B">
        <w:t>(</w:t>
      </w:r>
      <w:r w:rsidRPr="0071142B">
        <w:fldChar w:fldCharType="begin"/>
      </w:r>
      <w:r w:rsidRPr="0071142B">
        <w:instrText xml:space="preserve"> REF _Ref176184663 \h </w:instrText>
      </w:r>
      <w:r w:rsidR="0071142B" w:rsidRPr="0071142B">
        <w:instrText xml:space="preserve"> \* MERGEFORMAT </w:instrText>
      </w:r>
      <w:r w:rsidRPr="0071142B">
        <w:fldChar w:fldCharType="separate"/>
      </w:r>
      <w:r w:rsidR="00487E4A" w:rsidRPr="00184328">
        <w:t>Table </w:t>
      </w:r>
      <w:r w:rsidR="00487E4A">
        <w:t>1</w:t>
      </w:r>
      <w:r w:rsidRPr="0071142B">
        <w:fldChar w:fldCharType="end"/>
      </w:r>
      <w:r w:rsidRPr="008737A9">
        <w:t xml:space="preserve">). </w:t>
      </w:r>
    </w:p>
    <w:p w14:paraId="508681C2" w14:textId="1E6AD644" w:rsidR="003B10C6" w:rsidRPr="006527C9" w:rsidRDefault="003B10C6" w:rsidP="000A29C6">
      <w:pPr>
        <w:pStyle w:val="TableHeading0"/>
        <w:keepNext/>
        <w:keepLines/>
      </w:pPr>
      <w:bookmarkStart w:id="9" w:name="_Ref176184663"/>
      <w:bookmarkStart w:id="10" w:name="_Toc190173056"/>
      <w:r w:rsidRPr="00184328">
        <w:lastRenderedPageBreak/>
        <w:t>Table</w:t>
      </w:r>
      <w:r w:rsidR="00B02163" w:rsidRPr="00184328">
        <w:t> </w:t>
      </w:r>
      <w:r w:rsidRPr="00184328">
        <w:fldChar w:fldCharType="begin"/>
      </w:r>
      <w:r w:rsidRPr="006527C9">
        <w:instrText>SEQ Table \* ARABIC</w:instrText>
      </w:r>
      <w:r w:rsidRPr="00184328">
        <w:fldChar w:fldCharType="separate"/>
      </w:r>
      <w:r w:rsidR="00487E4A">
        <w:rPr>
          <w:noProof/>
        </w:rPr>
        <w:t>1</w:t>
      </w:r>
      <w:r w:rsidRPr="00184328">
        <w:fldChar w:fldCharType="end"/>
      </w:r>
      <w:bookmarkEnd w:id="9"/>
      <w:r w:rsidR="00B02163" w:rsidRPr="00184328">
        <w:t xml:space="preserve">: </w:t>
      </w:r>
      <w:r w:rsidRPr="00184328">
        <w:t>RECELL</w:t>
      </w:r>
      <w:r w:rsidRPr="006527C9">
        <w:rPr>
          <w:vertAlign w:val="superscript"/>
        </w:rPr>
        <w:t>®</w:t>
      </w:r>
      <w:r w:rsidRPr="006527C9">
        <w:t xml:space="preserve"> autologous cell harvesting device on the ARTG</w:t>
      </w:r>
      <w:bookmarkEnd w:id="10"/>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ulatory information for leadless pacemakers in Australia"/>
        <w:tblDescription w:val="A summary of the regulatory information for all leadless pacemakers included on the ARTG. The Micra VR and an associated consumable are the only devices included on the ARTG. A functional description of these devices and the intended purpose is shown. "/>
      </w:tblPr>
      <w:tblGrid>
        <w:gridCol w:w="2420"/>
        <w:gridCol w:w="2961"/>
        <w:gridCol w:w="3635"/>
      </w:tblGrid>
      <w:tr w:rsidR="00536A3E" w:rsidRPr="0017477B" w14:paraId="69154DE3" w14:textId="77777777" w:rsidTr="00DA1C9B">
        <w:trPr>
          <w:tblHeader/>
        </w:trPr>
        <w:tc>
          <w:tcPr>
            <w:tcW w:w="1342" w:type="pct"/>
            <w:hideMark/>
          </w:tcPr>
          <w:p w14:paraId="532CCD96" w14:textId="557CCA49" w:rsidR="003B10C6" w:rsidRPr="0017477B" w:rsidRDefault="003B10C6" w:rsidP="000A29C6">
            <w:pPr>
              <w:pStyle w:val="TableText"/>
              <w:keepNext/>
              <w:keepLines/>
              <w:rPr>
                <w:b/>
                <w:bCs/>
              </w:rPr>
            </w:pPr>
            <w:r w:rsidRPr="0017477B">
              <w:rPr>
                <w:b/>
                <w:bCs/>
              </w:rPr>
              <w:t xml:space="preserve">Product name &amp; </w:t>
            </w:r>
            <w:r w:rsidR="00D01364" w:rsidRPr="0017477B">
              <w:rPr>
                <w:b/>
                <w:bCs/>
              </w:rPr>
              <w:t>s</w:t>
            </w:r>
            <w:r w:rsidRPr="0017477B">
              <w:rPr>
                <w:b/>
                <w:bCs/>
              </w:rPr>
              <w:t>ponsor</w:t>
            </w:r>
          </w:p>
        </w:tc>
        <w:tc>
          <w:tcPr>
            <w:tcW w:w="1642" w:type="pct"/>
            <w:hideMark/>
          </w:tcPr>
          <w:p w14:paraId="78D7D2B9" w14:textId="77777777" w:rsidR="003B10C6" w:rsidRPr="0017477B" w:rsidRDefault="003B10C6" w:rsidP="000A29C6">
            <w:pPr>
              <w:pStyle w:val="TableText"/>
              <w:keepNext/>
              <w:keepLines/>
              <w:rPr>
                <w:b/>
                <w:bCs/>
              </w:rPr>
            </w:pPr>
            <w:r w:rsidRPr="0017477B">
              <w:rPr>
                <w:b/>
                <w:bCs/>
              </w:rPr>
              <w:t>ARTG summary</w:t>
            </w:r>
          </w:p>
        </w:tc>
        <w:tc>
          <w:tcPr>
            <w:tcW w:w="2016" w:type="pct"/>
            <w:hideMark/>
          </w:tcPr>
          <w:p w14:paraId="0ABBFE3E" w14:textId="77777777" w:rsidR="003B10C6" w:rsidRPr="0017477B" w:rsidRDefault="003B10C6" w:rsidP="000A29C6">
            <w:pPr>
              <w:pStyle w:val="TableText"/>
              <w:keepNext/>
              <w:keepLines/>
              <w:rPr>
                <w:b/>
                <w:bCs/>
              </w:rPr>
            </w:pPr>
            <w:r w:rsidRPr="0017477B">
              <w:rPr>
                <w:b/>
                <w:bCs/>
              </w:rPr>
              <w:t>Intended purpose</w:t>
            </w:r>
          </w:p>
        </w:tc>
      </w:tr>
      <w:tr w:rsidR="00536A3E" w:rsidRPr="0017477B" w14:paraId="4360C2A0" w14:textId="77777777" w:rsidTr="00DA1C9B">
        <w:trPr>
          <w:tblHeader/>
        </w:trPr>
        <w:tc>
          <w:tcPr>
            <w:tcW w:w="1342" w:type="pct"/>
            <w:hideMark/>
          </w:tcPr>
          <w:p w14:paraId="7159F499" w14:textId="03E3F617" w:rsidR="003B10C6" w:rsidRPr="0017477B" w:rsidRDefault="003B10C6" w:rsidP="000A29C6">
            <w:pPr>
              <w:pStyle w:val="TableText"/>
              <w:keepNext/>
              <w:keepLines/>
            </w:pPr>
            <w:r w:rsidRPr="0017477B">
              <w:t xml:space="preserve">Emergo Asia Pacific Pty Ltd T/a Emergo Australia </w:t>
            </w:r>
            <w:r w:rsidR="003C119E" w:rsidRPr="0017477B">
              <w:t xml:space="preserve">– </w:t>
            </w:r>
            <w:r w:rsidR="00A52C1A" w:rsidRPr="0017477B">
              <w:t>RECELL</w:t>
            </w:r>
            <w:r w:rsidRPr="0017477B">
              <w:t xml:space="preserve"> 1920 Autologous Cell Harvesting Device </w:t>
            </w:r>
            <w:r w:rsidR="00FD0BAE" w:rsidRPr="0017477B">
              <w:t>–</w:t>
            </w:r>
            <w:r w:rsidRPr="0017477B">
              <w:t xml:space="preserve"> </w:t>
            </w:r>
            <w:r w:rsidR="00FB0C02" w:rsidRPr="0017477B">
              <w:t>a</w:t>
            </w:r>
            <w:r w:rsidRPr="0017477B">
              <w:t>utologous skin cell grafting kit</w:t>
            </w:r>
          </w:p>
        </w:tc>
        <w:tc>
          <w:tcPr>
            <w:tcW w:w="1642" w:type="pct"/>
            <w:hideMark/>
          </w:tcPr>
          <w:p w14:paraId="23098A72" w14:textId="77777777" w:rsidR="003B10C6" w:rsidRPr="0017477B" w:rsidRDefault="003B10C6" w:rsidP="000A29C6">
            <w:pPr>
              <w:pStyle w:val="TableText"/>
              <w:keepNext/>
              <w:keepLines/>
            </w:pPr>
            <w:r w:rsidRPr="0017477B">
              <w:t>ARTG ID: 338864</w:t>
            </w:r>
          </w:p>
          <w:p w14:paraId="4010EA71" w14:textId="77777777" w:rsidR="003B10C6" w:rsidRPr="0017477B" w:rsidRDefault="003B10C6" w:rsidP="000A29C6">
            <w:pPr>
              <w:pStyle w:val="TableText"/>
              <w:keepNext/>
              <w:keepLines/>
            </w:pPr>
            <w:r w:rsidRPr="0017477B">
              <w:t>Start date: 3 July 2020</w:t>
            </w:r>
          </w:p>
          <w:p w14:paraId="63FEBF46" w14:textId="77777777" w:rsidR="003B10C6" w:rsidRPr="0017477B" w:rsidRDefault="003B10C6" w:rsidP="000A29C6">
            <w:pPr>
              <w:pStyle w:val="TableText"/>
              <w:keepNext/>
              <w:keepLines/>
            </w:pPr>
            <w:r w:rsidRPr="0017477B">
              <w:t>Category: Medical Device Class III</w:t>
            </w:r>
          </w:p>
          <w:p w14:paraId="3EFCD28C" w14:textId="17F64059" w:rsidR="003B10C6" w:rsidRPr="0017477B" w:rsidRDefault="003B10C6" w:rsidP="000A29C6">
            <w:pPr>
              <w:pStyle w:val="TableText"/>
              <w:keepNext/>
              <w:keepLines/>
            </w:pPr>
            <w:r w:rsidRPr="0017477B">
              <w:t>GMDN: 58417 Autologous skin cell grafting kit</w:t>
            </w:r>
          </w:p>
        </w:tc>
        <w:tc>
          <w:tcPr>
            <w:tcW w:w="2016" w:type="pct"/>
            <w:hideMark/>
          </w:tcPr>
          <w:p w14:paraId="042610D7" w14:textId="60336534" w:rsidR="003B10C6" w:rsidRPr="0017477B" w:rsidRDefault="00E05552" w:rsidP="000A29C6">
            <w:pPr>
              <w:pStyle w:val="TableText"/>
              <w:keepNext/>
              <w:keepLines/>
            </w:pPr>
            <w:r w:rsidRPr="0017477B">
              <w:t>T</w:t>
            </w:r>
            <w:r w:rsidR="003B10C6" w:rsidRPr="0017477B">
              <w:t>o disaggregate cells from a patient's split-thickness skin sample and collect these cells for reintroduction to the patient. The</w:t>
            </w:r>
            <w:r w:rsidR="00746D87" w:rsidRPr="0017477B">
              <w:t>se</w:t>
            </w:r>
            <w:r w:rsidR="003B10C6" w:rsidRPr="0017477B">
              <w:t xml:space="preserve"> cells can be used for autologous application to the prepared wound bed as determined by </w:t>
            </w:r>
            <w:r w:rsidR="00F42D35" w:rsidRPr="0017477B">
              <w:t xml:space="preserve">a </w:t>
            </w:r>
            <w:r w:rsidR="003B10C6" w:rsidRPr="0017477B">
              <w:t>physician for the treatment of burns or other acute wounds.</w:t>
            </w:r>
          </w:p>
        </w:tc>
      </w:tr>
    </w:tbl>
    <w:p w14:paraId="721748A4" w14:textId="15DBCFFB" w:rsidR="003B10C6" w:rsidRPr="008737A9" w:rsidRDefault="003B10C6" w:rsidP="000A29C6">
      <w:pPr>
        <w:pStyle w:val="Tablenotes0"/>
        <w:keepNext/>
        <w:keepLines/>
      </w:pPr>
      <w:r w:rsidRPr="008737A9">
        <w:t xml:space="preserve">Source: </w:t>
      </w:r>
      <w:r w:rsidR="00046947">
        <w:t>ADAR Table 1; Therapeuti</w:t>
      </w:r>
      <w:r w:rsidR="00225EEA">
        <w:t>c Goods Administration (2020)</w:t>
      </w:r>
      <w:r w:rsidR="004F6211">
        <w:rPr>
          <w:rStyle w:val="FootnoteReference"/>
        </w:rPr>
        <w:footnoteReference w:id="3"/>
      </w:r>
    </w:p>
    <w:p w14:paraId="63303A29" w14:textId="024AB797" w:rsidR="003B10C6" w:rsidRPr="008737A9" w:rsidRDefault="003B10C6" w:rsidP="00F95F00">
      <w:pPr>
        <w:pStyle w:val="Tablenotes0"/>
      </w:pPr>
      <w:r w:rsidRPr="008737A9">
        <w:t>Abbreviations: ARTG, Australian Register of Therapeutic Goods; GMDN, Global Medical Device Nomenclature</w:t>
      </w:r>
    </w:p>
    <w:p w14:paraId="44C3B242" w14:textId="2E8B42E4" w:rsidR="00772829" w:rsidRPr="004C18BB" w:rsidRDefault="00772829" w:rsidP="0000493F">
      <w:pPr>
        <w:pStyle w:val="Heading2"/>
        <w:numPr>
          <w:ilvl w:val="0"/>
          <w:numId w:val="15"/>
        </w:numPr>
      </w:pPr>
      <w:bookmarkStart w:id="11" w:name="_Toc69491418"/>
      <w:r w:rsidRPr="004C18BB">
        <w:t>Proposal for public funding</w:t>
      </w:r>
      <w:bookmarkEnd w:id="11"/>
    </w:p>
    <w:p w14:paraId="2F409143" w14:textId="6D1A1C00" w:rsidR="00BD693D" w:rsidRPr="008737A9" w:rsidRDefault="00A43D2A" w:rsidP="00366B36">
      <w:r w:rsidRPr="008737A9">
        <w:t>Th</w:t>
      </w:r>
      <w:r w:rsidR="00EC0971">
        <w:t>is</w:t>
      </w:r>
      <w:r w:rsidRPr="008737A9">
        <w:t xml:space="preserve"> </w:t>
      </w:r>
      <w:r w:rsidR="00841E77">
        <w:t>applicatio</w:t>
      </w:r>
      <w:r w:rsidR="00741E37">
        <w:t>n</w:t>
      </w:r>
      <w:r w:rsidR="00841E77" w:rsidRPr="008737A9">
        <w:t xml:space="preserve"> </w:t>
      </w:r>
      <w:r w:rsidR="007A37F5">
        <w:t>request</w:t>
      </w:r>
      <w:r w:rsidR="00EC0971">
        <w:t>s</w:t>
      </w:r>
      <w:r w:rsidRPr="008737A9" w:rsidDel="005E36A2">
        <w:t xml:space="preserve"> </w:t>
      </w:r>
      <w:r w:rsidR="00BD693D" w:rsidRPr="008737A9">
        <w:t>amendment</w:t>
      </w:r>
      <w:r w:rsidR="005E36A2">
        <w:t>s</w:t>
      </w:r>
      <w:r w:rsidR="00BD693D" w:rsidRPr="008737A9">
        <w:t xml:space="preserve"> to the </w:t>
      </w:r>
      <w:r w:rsidR="00850738">
        <w:t>existing</w:t>
      </w:r>
      <w:r w:rsidR="00850738" w:rsidRPr="008737A9">
        <w:t xml:space="preserve"> </w:t>
      </w:r>
      <w:r w:rsidR="00BD693D" w:rsidRPr="008737A9">
        <w:t>MBS items</w:t>
      </w:r>
      <w:r w:rsidRPr="008737A9">
        <w:t xml:space="preserve"> </w:t>
      </w:r>
      <w:r w:rsidR="00F41D6F">
        <w:t xml:space="preserve">for </w:t>
      </w:r>
      <w:r w:rsidR="00590B1F">
        <w:t xml:space="preserve">the </w:t>
      </w:r>
      <w:r w:rsidR="00F41D6F">
        <w:t xml:space="preserve">definitive closure </w:t>
      </w:r>
      <w:r w:rsidR="00B14E5C">
        <w:t xml:space="preserve">of burns </w:t>
      </w:r>
      <w:r w:rsidR="007824C7">
        <w:t>where th</w:t>
      </w:r>
      <w:r w:rsidR="00162628">
        <w:t>e defect area is ≥20%</w:t>
      </w:r>
      <w:r w:rsidR="00752798">
        <w:t xml:space="preserve"> of TBSA</w:t>
      </w:r>
      <w:r w:rsidR="00BE4246">
        <w:t>.</w:t>
      </w:r>
      <w:r>
        <w:t xml:space="preserve"> </w:t>
      </w:r>
      <w:r w:rsidR="00590B1F">
        <w:t>T</w:t>
      </w:r>
      <w:r w:rsidR="00724D47">
        <w:t>he applicant</w:t>
      </w:r>
      <w:r w:rsidR="0035019F">
        <w:t>-</w:t>
      </w:r>
      <w:r w:rsidR="00724D47">
        <w:t>developed assessment report (ADAR)</w:t>
      </w:r>
      <w:r w:rsidR="003569A1" w:rsidRPr="004C18BB">
        <w:t xml:space="preserve"> </w:t>
      </w:r>
      <w:r w:rsidR="00965C49">
        <w:t xml:space="preserve">indicated </w:t>
      </w:r>
      <w:r w:rsidR="00E37B35">
        <w:t>that the</w:t>
      </w:r>
      <w:r w:rsidR="003569A1" w:rsidRPr="004C18BB">
        <w:t xml:space="preserve"> method</w:t>
      </w:r>
      <w:r w:rsidR="00C80FDA" w:rsidRPr="004C18BB">
        <w:t xml:space="preserve"> used in ASCS </w:t>
      </w:r>
      <w:r w:rsidR="00035C8D">
        <w:t>differs</w:t>
      </w:r>
      <w:r w:rsidR="00BD71EB" w:rsidRPr="004C18BB">
        <w:t xml:space="preserve"> </w:t>
      </w:r>
      <w:r w:rsidR="00323B74">
        <w:t>from</w:t>
      </w:r>
      <w:r w:rsidR="00323B74" w:rsidRPr="004C18BB">
        <w:t xml:space="preserve"> </w:t>
      </w:r>
      <w:r w:rsidR="00BD71EB" w:rsidRPr="004C18BB">
        <w:t>other methods</w:t>
      </w:r>
      <w:r w:rsidR="0073027F">
        <w:t>,</w:t>
      </w:r>
      <w:r w:rsidR="00BD71EB" w:rsidRPr="004C18BB">
        <w:t xml:space="preserve"> therefore requir</w:t>
      </w:r>
      <w:r w:rsidR="0073027F">
        <w:t>ing</w:t>
      </w:r>
      <w:r w:rsidR="00BD71EB" w:rsidRPr="004C18BB">
        <w:t xml:space="preserve"> its </w:t>
      </w:r>
      <w:r w:rsidR="00BD693D" w:rsidRPr="008737A9">
        <w:t xml:space="preserve">own classification </w:t>
      </w:r>
      <w:r w:rsidR="003034BC">
        <w:t xml:space="preserve">within </w:t>
      </w:r>
      <w:r w:rsidR="00E13A93">
        <w:t>the item descriptors</w:t>
      </w:r>
      <w:r w:rsidR="00016716">
        <w:t>.</w:t>
      </w:r>
      <w:r w:rsidR="00BD693D" w:rsidRPr="008737A9">
        <w:t xml:space="preserve"> </w:t>
      </w:r>
      <w:r w:rsidR="009C5651">
        <w:t xml:space="preserve">The </w:t>
      </w:r>
      <w:r w:rsidR="0027040E">
        <w:t>ADAR</w:t>
      </w:r>
      <w:r w:rsidR="00BD693D" w:rsidRPr="008737A9">
        <w:t xml:space="preserve"> recommended that the terminology</w:t>
      </w:r>
      <w:r w:rsidR="000C6248">
        <w:t xml:space="preserve"> used in the descriptors</w:t>
      </w:r>
      <w:r w:rsidR="00BD693D" w:rsidRPr="008737A9">
        <w:t xml:space="preserve"> for both immediate and delayed burn wound closure techniques be updated to specifically mention ASCS treatment alongside existing methods</w:t>
      </w:r>
      <w:r w:rsidR="00D1633A">
        <w:t xml:space="preserve">, </w:t>
      </w:r>
      <w:r w:rsidR="00D1633A" w:rsidRPr="008737A9">
        <w:t>ensur</w:t>
      </w:r>
      <w:r w:rsidR="001050CC">
        <w:t>ing</w:t>
      </w:r>
      <w:r w:rsidR="00D1633A" w:rsidRPr="008737A9">
        <w:t xml:space="preserve"> comprehensive coverage of all available treatment options</w:t>
      </w:r>
      <w:r w:rsidR="007B7053">
        <w:t xml:space="preserve"> (</w:t>
      </w:r>
      <w:r w:rsidR="007B7053">
        <w:fldChar w:fldCharType="begin"/>
      </w:r>
      <w:r w:rsidR="007B7053">
        <w:instrText xml:space="preserve"> REF _Ref176254869 \h </w:instrText>
      </w:r>
      <w:r w:rsidR="007B7053">
        <w:fldChar w:fldCharType="separate"/>
      </w:r>
      <w:r w:rsidR="00487E4A" w:rsidRPr="004C18BB">
        <w:t>Table </w:t>
      </w:r>
      <w:r w:rsidR="00487E4A">
        <w:rPr>
          <w:noProof/>
        </w:rPr>
        <w:t>2</w:t>
      </w:r>
      <w:r w:rsidR="007B7053">
        <w:fldChar w:fldCharType="end"/>
      </w:r>
      <w:r w:rsidR="007B7053">
        <w:t xml:space="preserve"> and </w:t>
      </w:r>
      <w:r w:rsidR="007B7053">
        <w:fldChar w:fldCharType="begin"/>
      </w:r>
      <w:r w:rsidR="007B7053">
        <w:instrText xml:space="preserve"> REF _Ref183680282 \h </w:instrText>
      </w:r>
      <w:r w:rsidR="007B7053">
        <w:fldChar w:fldCharType="separate"/>
      </w:r>
      <w:r w:rsidR="00487E4A" w:rsidRPr="004C18BB">
        <w:t>Table </w:t>
      </w:r>
      <w:r w:rsidR="00487E4A">
        <w:rPr>
          <w:noProof/>
        </w:rPr>
        <w:t>3</w:t>
      </w:r>
      <w:r w:rsidR="007B7053">
        <w:fldChar w:fldCharType="end"/>
      </w:r>
      <w:r w:rsidR="007B7053">
        <w:t>)</w:t>
      </w:r>
      <w:r w:rsidR="00BD693D" w:rsidRPr="008737A9">
        <w:t>.</w:t>
      </w:r>
    </w:p>
    <w:p w14:paraId="5B118676" w14:textId="3F539100" w:rsidR="00BD693D" w:rsidRPr="008737A9" w:rsidRDefault="00BD693D" w:rsidP="00366B36">
      <w:r w:rsidRPr="008737A9">
        <w:t xml:space="preserve">The fee </w:t>
      </w:r>
      <w:r w:rsidR="004825F9">
        <w:t xml:space="preserve">proposed in the ADAR </w:t>
      </w:r>
      <w:r w:rsidRPr="008737A9">
        <w:t xml:space="preserve">for the preparation and application of ASCS alone </w:t>
      </w:r>
      <w:r w:rsidR="001050CC">
        <w:t>remains unchanged relative to the existing fees for immediate (46117 to 46124) and delayed (46134 and 46135) definitive closure items, as equivalent health professionals will perform the procedure and require</w:t>
      </w:r>
      <w:r w:rsidR="006F74AC" w:rsidRPr="004C18BB">
        <w:t xml:space="preserve"> a similar level of skill.</w:t>
      </w:r>
    </w:p>
    <w:p w14:paraId="2DEA883E" w14:textId="27CED0B0" w:rsidR="00BD693D" w:rsidRPr="008737A9" w:rsidRDefault="00BD693D" w:rsidP="00366B36">
      <w:r w:rsidRPr="008737A9">
        <w:t xml:space="preserve">While clinician time for direct substitution of </w:t>
      </w:r>
      <w:r w:rsidR="0045749F" w:rsidRPr="00937401">
        <w:t>split-thickness skin graft</w:t>
      </w:r>
      <w:r w:rsidR="0045749F" w:rsidRPr="008737A9">
        <w:t xml:space="preserve"> </w:t>
      </w:r>
      <w:r w:rsidR="0045749F">
        <w:t>(</w:t>
      </w:r>
      <w:r w:rsidRPr="008737A9">
        <w:t>STSG</w:t>
      </w:r>
      <w:r w:rsidR="0045749F">
        <w:t>)</w:t>
      </w:r>
      <w:r w:rsidRPr="008737A9">
        <w:t xml:space="preserve"> with ASCS is expected to be adequately covered by the current fees, use of STSG and ASCS in conjunction to treat </w:t>
      </w:r>
      <w:r w:rsidR="00DD51AF">
        <w:t>full thickness (</w:t>
      </w:r>
      <w:r w:rsidRPr="008737A9">
        <w:t>FT</w:t>
      </w:r>
      <w:r w:rsidR="00DD51AF">
        <w:t>)</w:t>
      </w:r>
      <w:r w:rsidRPr="008737A9">
        <w:t xml:space="preserve"> burns will require additional clinician time</w:t>
      </w:r>
      <w:r w:rsidR="00F64B86">
        <w:t>,</w:t>
      </w:r>
      <w:r w:rsidR="00540C04" w:rsidRPr="008737A9">
        <w:t xml:space="preserve"> which </w:t>
      </w:r>
      <w:r w:rsidR="00D80612">
        <w:t>the ADAR suggest</w:t>
      </w:r>
      <w:r w:rsidR="00F64B86">
        <w:t>s</w:t>
      </w:r>
      <w:r w:rsidR="00D80612">
        <w:t xml:space="preserve"> could</w:t>
      </w:r>
      <w:r w:rsidR="00540C04" w:rsidRPr="008737A9">
        <w:t xml:space="preserve"> be up to 30 </w:t>
      </w:r>
      <w:r w:rsidR="00320CAB" w:rsidRPr="004C18BB">
        <w:t>minutes.</w:t>
      </w:r>
      <w:r w:rsidRPr="008737A9">
        <w:t xml:space="preserve"> When STSG and ASCS are used in conjunction, this time will be in addition to the time needed to prepare and apply meshed STSG. Hence, a modifier item has been proposed to adjust the fee for a 15% increase </w:t>
      </w:r>
      <w:r w:rsidR="00A43654">
        <w:t>to</w:t>
      </w:r>
      <w:r w:rsidRPr="008737A9">
        <w:t xml:space="preserve"> the co-claimed definite closure item</w:t>
      </w:r>
      <w:r w:rsidR="000D393E">
        <w:t xml:space="preserve"> (</w:t>
      </w:r>
      <w:r w:rsidR="000D393E">
        <w:fldChar w:fldCharType="begin"/>
      </w:r>
      <w:r w:rsidR="000D393E">
        <w:instrText xml:space="preserve"> REF _Ref189228503 \h </w:instrText>
      </w:r>
      <w:r w:rsidR="000D393E">
        <w:fldChar w:fldCharType="separate"/>
      </w:r>
      <w:r w:rsidR="00487E4A" w:rsidRPr="004C18BB">
        <w:t>Table </w:t>
      </w:r>
      <w:r w:rsidR="00487E4A">
        <w:rPr>
          <w:noProof/>
        </w:rPr>
        <w:t>4</w:t>
      </w:r>
      <w:r w:rsidR="000D393E">
        <w:fldChar w:fldCharType="end"/>
      </w:r>
      <w:r w:rsidR="000D393E">
        <w:t>)</w:t>
      </w:r>
      <w:r w:rsidRPr="008737A9">
        <w:t>.</w:t>
      </w:r>
    </w:p>
    <w:p w14:paraId="00904353" w14:textId="410C6D30" w:rsidR="00BC270C" w:rsidRPr="004C18BB" w:rsidRDefault="00BC270C" w:rsidP="000A29C6">
      <w:pPr>
        <w:pStyle w:val="TableHeading0"/>
        <w:keepNext/>
        <w:keepLines/>
      </w:pPr>
      <w:bookmarkStart w:id="12" w:name="_Ref176254869"/>
      <w:bookmarkStart w:id="13" w:name="_Toc190173060"/>
      <w:r w:rsidRPr="004C18BB">
        <w:lastRenderedPageBreak/>
        <w:t>Table </w:t>
      </w:r>
      <w:r w:rsidRPr="004C18BB">
        <w:fldChar w:fldCharType="begin"/>
      </w:r>
      <w:r>
        <w:instrText>SEQ Table \* ARABIC</w:instrText>
      </w:r>
      <w:r w:rsidRPr="004C18BB">
        <w:fldChar w:fldCharType="separate"/>
      </w:r>
      <w:r w:rsidR="00487E4A">
        <w:rPr>
          <w:noProof/>
        </w:rPr>
        <w:t>2</w:t>
      </w:r>
      <w:r w:rsidRPr="004C18BB">
        <w:fldChar w:fldCharType="end"/>
      </w:r>
      <w:bookmarkEnd w:id="12"/>
      <w:r w:rsidR="00B02163">
        <w:t xml:space="preserve">: </w:t>
      </w:r>
      <w:r w:rsidRPr="004C18BB">
        <w:t>Proposed item descriptor for item 46117 to include autologous skin cell suspension</w:t>
      </w:r>
      <w:bookmarkEnd w:id="13"/>
      <w:r w:rsidR="00103595" w:rsidRPr="004C18BB">
        <w:t xml:space="preserve"> </w:t>
      </w:r>
      <w:r w:rsidR="007F49A4" w:rsidRPr="004C18BB">
        <w:t>–</w:t>
      </w:r>
      <w:r w:rsidR="00103595" w:rsidRPr="004C18BB">
        <w:t xml:space="preserve"> </w:t>
      </w:r>
      <w:r w:rsidR="007E33DB">
        <w:t>i</w:t>
      </w:r>
      <w:r w:rsidR="007F49A4" w:rsidRPr="004C18BB">
        <w:t xml:space="preserve">mmediate closure </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item descriptor for diagnostic testing"/>
        <w:tblDescription w:val="Proposed item descriptor for diagnostic testing"/>
      </w:tblPr>
      <w:tblGrid>
        <w:gridCol w:w="9016"/>
      </w:tblGrid>
      <w:tr w:rsidR="00BC270C" w:rsidRPr="000D4886" w14:paraId="6A40CFA1" w14:textId="77777777" w:rsidTr="006527C9">
        <w:trPr>
          <w:trHeight w:val="350"/>
        </w:trPr>
        <w:tc>
          <w:tcPr>
            <w:tcW w:w="5000" w:type="pct"/>
          </w:tcPr>
          <w:p w14:paraId="397366EC" w14:textId="7E7DFAFA" w:rsidR="00BC270C" w:rsidRPr="00EA7BAC" w:rsidRDefault="00BC270C" w:rsidP="000A29C6">
            <w:pPr>
              <w:pStyle w:val="TableText"/>
              <w:keepNext/>
              <w:keepLines/>
              <w:rPr>
                <w:b/>
              </w:rPr>
            </w:pPr>
            <w:r w:rsidRPr="00EA7BAC">
              <w:rPr>
                <w:b/>
              </w:rPr>
              <w:t>Category 3 – Therapeutic Procedures</w:t>
            </w:r>
          </w:p>
          <w:p w14:paraId="1B40462D" w14:textId="073EDE27" w:rsidR="00BC270C" w:rsidRPr="00EA7BAC" w:rsidRDefault="00BC270C" w:rsidP="000A29C6">
            <w:pPr>
              <w:pStyle w:val="TableText"/>
              <w:keepNext/>
              <w:keepLines/>
              <w:rPr>
                <w:b/>
              </w:rPr>
            </w:pPr>
            <w:r w:rsidRPr="00EA7BAC">
              <w:rPr>
                <w:b/>
              </w:rPr>
              <w:t xml:space="preserve">T8 </w:t>
            </w:r>
            <w:r w:rsidR="00DD1863">
              <w:rPr>
                <w:b/>
              </w:rPr>
              <w:t xml:space="preserve">– </w:t>
            </w:r>
            <w:r w:rsidRPr="00EA7BAC">
              <w:rPr>
                <w:b/>
              </w:rPr>
              <w:t>Surgical Operations</w:t>
            </w:r>
          </w:p>
          <w:p w14:paraId="0BD0F482" w14:textId="3951AE92" w:rsidR="00BC270C" w:rsidRPr="004C18BB" w:rsidRDefault="00BC270C" w:rsidP="000A29C6">
            <w:pPr>
              <w:pStyle w:val="TableText"/>
              <w:keepNext/>
              <w:keepLines/>
            </w:pPr>
            <w:r w:rsidRPr="00EA7BAC">
              <w:rPr>
                <w:b/>
              </w:rPr>
              <w:t xml:space="preserve">13 </w:t>
            </w:r>
            <w:r w:rsidR="00DD1863">
              <w:rPr>
                <w:b/>
              </w:rPr>
              <w:t>–</w:t>
            </w:r>
            <w:r w:rsidRPr="00EA7BAC">
              <w:rPr>
                <w:b/>
              </w:rPr>
              <w:t xml:space="preserve"> Plastic And Reconstructive Surgery</w:t>
            </w:r>
            <w:r w:rsidRPr="004C18BB">
              <w:t xml:space="preserve"> </w:t>
            </w:r>
          </w:p>
        </w:tc>
      </w:tr>
      <w:tr w:rsidR="00BC270C" w:rsidRPr="000D4886" w14:paraId="3F636057" w14:textId="77777777" w:rsidTr="00123E33">
        <w:trPr>
          <w:trHeight w:val="300"/>
        </w:trPr>
        <w:tc>
          <w:tcPr>
            <w:tcW w:w="5000" w:type="pct"/>
          </w:tcPr>
          <w:p w14:paraId="536A3A5D" w14:textId="194F4F3F" w:rsidR="00BC270C" w:rsidRPr="004C18BB" w:rsidRDefault="00BC270C" w:rsidP="000A29C6">
            <w:pPr>
              <w:pStyle w:val="TableText"/>
              <w:keepNext/>
              <w:keepLines/>
            </w:pPr>
            <w:r w:rsidRPr="004C18BB">
              <w:t>MBS item 46117</w:t>
            </w:r>
          </w:p>
          <w:p w14:paraId="2D4DEAB0" w14:textId="1BE75C00" w:rsidR="00BC270C" w:rsidRPr="004C18BB" w:rsidRDefault="00BC270C" w:rsidP="000A29C6">
            <w:pPr>
              <w:pStyle w:val="TableText"/>
              <w:keepNext/>
              <w:keepLines/>
            </w:pPr>
            <w:r w:rsidRPr="004C18BB">
              <w:t>Excised burn wound closure, if the defect area is 20% ≤ TBSA &lt; 30% of total body surface and if the service:</w:t>
            </w:r>
          </w:p>
          <w:p w14:paraId="213120CE" w14:textId="2D06BB50" w:rsidR="00BC270C" w:rsidRPr="004C18BB" w:rsidRDefault="00BC270C" w:rsidP="000A29C6">
            <w:pPr>
              <w:pStyle w:val="TableText"/>
              <w:keepNext/>
              <w:keepLines/>
            </w:pPr>
            <w:r w:rsidRPr="004C18BB">
              <w:t>(a) is performed at the same time as the procedure for the primary burn wound excision; and</w:t>
            </w:r>
          </w:p>
          <w:p w14:paraId="74C44185" w14:textId="77F83B9E" w:rsidR="00BC270C" w:rsidRPr="004C18BB" w:rsidRDefault="00BC270C" w:rsidP="000A29C6">
            <w:pPr>
              <w:pStyle w:val="TableText"/>
              <w:keepNext/>
              <w:keepLines/>
            </w:pPr>
            <w:r w:rsidRPr="004C18BB">
              <w:t xml:space="preserve">(b) involves: </w:t>
            </w:r>
          </w:p>
          <w:p w14:paraId="28127E7C" w14:textId="6063F6AD" w:rsidR="00BC270C" w:rsidRPr="004C18BB" w:rsidRDefault="00BC270C" w:rsidP="000A29C6">
            <w:pPr>
              <w:pStyle w:val="TableText"/>
              <w:keepNext/>
              <w:keepLines/>
            </w:pPr>
            <w:r w:rsidRPr="004C18BB">
              <w:t>(i) Autologous skin grafting; or</w:t>
            </w:r>
          </w:p>
          <w:p w14:paraId="688B1590" w14:textId="390C7F93" w:rsidR="00BC270C" w:rsidRPr="004626B2" w:rsidRDefault="00BC270C" w:rsidP="000A29C6">
            <w:pPr>
              <w:pStyle w:val="TableText"/>
              <w:keepNext/>
              <w:keepLines/>
              <w:rPr>
                <w:lang w:val="fr-FR"/>
              </w:rPr>
            </w:pPr>
            <w:r w:rsidRPr="004626B2">
              <w:rPr>
                <w:lang w:val="fr-FR"/>
              </w:rPr>
              <w:t xml:space="preserve">(ii) </w:t>
            </w:r>
            <w:r w:rsidRPr="004626B2">
              <w:rPr>
                <w:color w:val="ED0000"/>
                <w:lang w:val="fr-FR"/>
              </w:rPr>
              <w:t>Autologous skin cell suspension</w:t>
            </w:r>
            <w:r w:rsidRPr="004626B2">
              <w:rPr>
                <w:lang w:val="fr-FR"/>
              </w:rPr>
              <w:t>; or</w:t>
            </w:r>
          </w:p>
          <w:p w14:paraId="3AC73032" w14:textId="573E749B" w:rsidR="00BC270C" w:rsidRPr="004C18BB" w:rsidRDefault="00BC270C" w:rsidP="000A29C6">
            <w:pPr>
              <w:pStyle w:val="TableText"/>
              <w:keepNext/>
              <w:keepLines/>
            </w:pPr>
            <w:r w:rsidRPr="004C18BB">
              <w:t xml:space="preserve">(iii) </w:t>
            </w:r>
            <w:r w:rsidRPr="00EA6375">
              <w:rPr>
                <w:color w:val="ED0000"/>
              </w:rPr>
              <w:t>Autologous skin cell suspension in conjunction with autologous skin grafting</w:t>
            </w:r>
            <w:r w:rsidRPr="004C18BB">
              <w:t>; or</w:t>
            </w:r>
          </w:p>
          <w:p w14:paraId="0690C3D0" w14:textId="7D8770CC" w:rsidR="00BC270C" w:rsidRPr="004C18BB" w:rsidRDefault="00BC270C" w:rsidP="000A29C6">
            <w:pPr>
              <w:pStyle w:val="TableText"/>
              <w:keepNext/>
              <w:keepLines/>
            </w:pPr>
            <w:r w:rsidRPr="004C18BB">
              <w:t>(iv) allogenic skin grafting, or biosynthetic skin substitutes, to temporise the excised wound;</w:t>
            </w:r>
          </w:p>
          <w:p w14:paraId="7AB4A746" w14:textId="0BF96755" w:rsidR="00BC270C" w:rsidRPr="004C18BB" w:rsidRDefault="00BC270C" w:rsidP="000A29C6">
            <w:pPr>
              <w:pStyle w:val="TableText"/>
              <w:keepNext/>
              <w:keepLines/>
            </w:pPr>
            <w:r w:rsidRPr="004C18BB">
              <w:t>excluding aftercare (H)</w:t>
            </w:r>
          </w:p>
          <w:p w14:paraId="7F8228C7" w14:textId="1DD48134" w:rsidR="00BC270C" w:rsidRPr="004C18BB" w:rsidRDefault="00BC270C" w:rsidP="000A29C6">
            <w:pPr>
              <w:pStyle w:val="TableText"/>
              <w:keepNext/>
              <w:keepLines/>
            </w:pPr>
            <w:r w:rsidRPr="454F472C">
              <w:rPr>
                <w:snapToGrid w:val="0"/>
              </w:rPr>
              <w:t>(Anaes.) (Assist.)</w:t>
            </w:r>
          </w:p>
        </w:tc>
      </w:tr>
      <w:tr w:rsidR="00BC270C" w:rsidRPr="000D4886" w14:paraId="0DDE80EF" w14:textId="77777777" w:rsidTr="006527C9">
        <w:trPr>
          <w:trHeight w:val="223"/>
        </w:trPr>
        <w:tc>
          <w:tcPr>
            <w:tcW w:w="5000" w:type="pct"/>
          </w:tcPr>
          <w:p w14:paraId="6273C1CB" w14:textId="54BD0A67" w:rsidR="00BC270C" w:rsidRPr="004C18BB" w:rsidRDefault="00BC270C" w:rsidP="000A29C6">
            <w:pPr>
              <w:pStyle w:val="TableText"/>
              <w:keepNext/>
              <w:keepLines/>
            </w:pPr>
            <w:r w:rsidRPr="004C18BB">
              <w:t>Fee: $1,373.65 Benefit: 75% = $1,030.25</w:t>
            </w:r>
          </w:p>
        </w:tc>
      </w:tr>
    </w:tbl>
    <w:p w14:paraId="67909F28" w14:textId="2638AECE" w:rsidR="00E141C6" w:rsidRDefault="00BC270C" w:rsidP="000A29C6">
      <w:pPr>
        <w:pStyle w:val="Tablenotes0"/>
        <w:keepNext/>
        <w:keepLines/>
      </w:pPr>
      <w:r w:rsidRPr="004C18BB">
        <w:t>Abbreviations: TBSA</w:t>
      </w:r>
      <w:r w:rsidR="00713BD0">
        <w:t xml:space="preserve"> = </w:t>
      </w:r>
      <w:r w:rsidRPr="004C18BB">
        <w:t>total body surface area</w:t>
      </w:r>
      <w:r w:rsidR="0035086D">
        <w:t xml:space="preserve"> </w:t>
      </w:r>
    </w:p>
    <w:p w14:paraId="3FDA6F44" w14:textId="0AF7913A" w:rsidR="003D4845" w:rsidRPr="004C18BB" w:rsidRDefault="0035086D" w:rsidP="00450AC6">
      <w:pPr>
        <w:pStyle w:val="Tablenotes0"/>
      </w:pPr>
      <w:r>
        <w:t>Note:</w:t>
      </w:r>
      <w:r w:rsidR="00E141C6">
        <w:t xml:space="preserve"> </w:t>
      </w:r>
      <w:r w:rsidR="00353B08">
        <w:t>Additions</w:t>
      </w:r>
      <w:r w:rsidR="000A7F07">
        <w:t xml:space="preserve"> </w:t>
      </w:r>
      <w:r w:rsidR="00353B08">
        <w:t xml:space="preserve">to </w:t>
      </w:r>
      <w:r w:rsidR="000A7F07">
        <w:t xml:space="preserve">the </w:t>
      </w:r>
      <w:r w:rsidR="00D200A7">
        <w:t xml:space="preserve">existing MBS item </w:t>
      </w:r>
      <w:r w:rsidR="00A07AE3">
        <w:t>descriptor</w:t>
      </w:r>
      <w:r w:rsidR="00D200A7">
        <w:t xml:space="preserve"> </w:t>
      </w:r>
      <w:r w:rsidR="004547CB">
        <w:t xml:space="preserve">are shown in </w:t>
      </w:r>
      <w:r w:rsidR="004547CB" w:rsidRPr="00EA6375">
        <w:rPr>
          <w:color w:val="ED0000"/>
        </w:rPr>
        <w:t xml:space="preserve">red </w:t>
      </w:r>
    </w:p>
    <w:p w14:paraId="03E84E92" w14:textId="48CBCFED" w:rsidR="00602B75" w:rsidRPr="004C18BB" w:rsidRDefault="00602B75" w:rsidP="00AF4D46">
      <w:pPr>
        <w:pStyle w:val="TableHeading0"/>
      </w:pPr>
      <w:bookmarkStart w:id="14" w:name="_Ref183680282"/>
      <w:bookmarkStart w:id="15" w:name="_Toc190173061"/>
      <w:r w:rsidRPr="004C18BB">
        <w:t>Table</w:t>
      </w:r>
      <w:r w:rsidR="00B02163" w:rsidRPr="004C18BB">
        <w:t> </w:t>
      </w:r>
      <w:r w:rsidRPr="004C18BB">
        <w:fldChar w:fldCharType="begin"/>
      </w:r>
      <w:r>
        <w:instrText>SEQ Table \* ARABIC</w:instrText>
      </w:r>
      <w:r w:rsidRPr="004C18BB">
        <w:fldChar w:fldCharType="separate"/>
      </w:r>
      <w:r w:rsidR="00487E4A">
        <w:rPr>
          <w:noProof/>
        </w:rPr>
        <w:t>3</w:t>
      </w:r>
      <w:r w:rsidRPr="004C18BB">
        <w:fldChar w:fldCharType="end"/>
      </w:r>
      <w:bookmarkEnd w:id="14"/>
      <w:r w:rsidR="00B02163">
        <w:t xml:space="preserve">: </w:t>
      </w:r>
      <w:r w:rsidRPr="004C18BB">
        <w:t>Proposed item descriptor for item 46134 to include autologous skin cell suspension</w:t>
      </w:r>
      <w:bookmarkEnd w:id="15"/>
      <w:r w:rsidR="007F49A4" w:rsidRPr="004C18BB">
        <w:t xml:space="preserve"> – delayed closure</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item descriptor for diagnostic testing"/>
        <w:tblDescription w:val="Proposed item descriptor for diagnostic testing"/>
      </w:tblPr>
      <w:tblGrid>
        <w:gridCol w:w="9016"/>
      </w:tblGrid>
      <w:tr w:rsidR="00602B75" w:rsidRPr="000D4886" w14:paraId="161061F3" w14:textId="77777777" w:rsidTr="006527C9">
        <w:trPr>
          <w:trHeight w:val="350"/>
        </w:trPr>
        <w:tc>
          <w:tcPr>
            <w:tcW w:w="5000" w:type="pct"/>
          </w:tcPr>
          <w:p w14:paraId="021AF469" w14:textId="3CADBEBC" w:rsidR="00602B75" w:rsidRPr="00EA7BAC" w:rsidRDefault="00602B75" w:rsidP="00CD6177">
            <w:pPr>
              <w:pStyle w:val="TableText"/>
              <w:rPr>
                <w:b/>
              </w:rPr>
            </w:pPr>
            <w:r w:rsidRPr="00EA7BAC">
              <w:rPr>
                <w:b/>
              </w:rPr>
              <w:t>Category 3 – Therapeutic Procedures</w:t>
            </w:r>
          </w:p>
          <w:p w14:paraId="5F1F0A8D" w14:textId="0614A2D2" w:rsidR="00602B75" w:rsidRPr="00EA7BAC" w:rsidRDefault="00602B75" w:rsidP="00CD6177">
            <w:pPr>
              <w:pStyle w:val="TableText"/>
              <w:rPr>
                <w:b/>
              </w:rPr>
            </w:pPr>
            <w:r w:rsidRPr="00EA7BAC">
              <w:rPr>
                <w:b/>
              </w:rPr>
              <w:t xml:space="preserve">T8 </w:t>
            </w:r>
            <w:r w:rsidR="00DD1863">
              <w:rPr>
                <w:b/>
              </w:rPr>
              <w:t xml:space="preserve">– </w:t>
            </w:r>
            <w:r w:rsidRPr="00EA7BAC">
              <w:rPr>
                <w:b/>
              </w:rPr>
              <w:t>Surgical Operations</w:t>
            </w:r>
          </w:p>
          <w:p w14:paraId="44E4BC16" w14:textId="22ACF33D" w:rsidR="00602B75" w:rsidRPr="004C18BB" w:rsidRDefault="00602B75" w:rsidP="00CD6177">
            <w:pPr>
              <w:pStyle w:val="TableText"/>
            </w:pPr>
            <w:r w:rsidRPr="00EA7BAC">
              <w:rPr>
                <w:b/>
              </w:rPr>
              <w:t xml:space="preserve">13 </w:t>
            </w:r>
            <w:r w:rsidR="00DD1863">
              <w:rPr>
                <w:b/>
              </w:rPr>
              <w:t xml:space="preserve">– </w:t>
            </w:r>
            <w:r w:rsidRPr="00EA7BAC">
              <w:rPr>
                <w:b/>
              </w:rPr>
              <w:t xml:space="preserve">Plastic </w:t>
            </w:r>
            <w:r w:rsidR="001C796F">
              <w:rPr>
                <w:b/>
              </w:rPr>
              <w:t>a</w:t>
            </w:r>
            <w:r w:rsidRPr="00EA7BAC">
              <w:rPr>
                <w:b/>
              </w:rPr>
              <w:t>nd Reconstructive Surgery</w:t>
            </w:r>
            <w:r w:rsidRPr="004C18BB">
              <w:t xml:space="preserve"> </w:t>
            </w:r>
          </w:p>
        </w:tc>
      </w:tr>
      <w:tr w:rsidR="00602B75" w:rsidRPr="000D4886" w14:paraId="617B965D" w14:textId="77777777" w:rsidTr="00123E33">
        <w:trPr>
          <w:trHeight w:val="300"/>
        </w:trPr>
        <w:tc>
          <w:tcPr>
            <w:tcW w:w="5000" w:type="pct"/>
          </w:tcPr>
          <w:p w14:paraId="0D8A6579" w14:textId="0AB55703" w:rsidR="00602B75" w:rsidRPr="004C18BB" w:rsidRDefault="00602B75" w:rsidP="00CD6177">
            <w:pPr>
              <w:pStyle w:val="TableText"/>
            </w:pPr>
            <w:r w:rsidRPr="004C18BB">
              <w:t>MBS item 46134</w:t>
            </w:r>
          </w:p>
          <w:p w14:paraId="11637D4B" w14:textId="39566A37" w:rsidR="00602B75" w:rsidRPr="004C18BB" w:rsidRDefault="00602B75" w:rsidP="00CD6177">
            <w:pPr>
              <w:pStyle w:val="TableText"/>
            </w:pPr>
            <w:r w:rsidRPr="004C18BB">
              <w:t xml:space="preserve">Definitive burn wound closure, or closure of skin defect secondary to necrotising fasciitis, if the defect area involves 20% ≤ TBSA &lt; 30% of total body surface, using autologous tissue (split skin graft or </w:t>
            </w:r>
            <w:r w:rsidRPr="00EA6375">
              <w:rPr>
                <w:color w:val="ED0000"/>
              </w:rPr>
              <w:t>autologous skin cell suspension</w:t>
            </w:r>
            <w:r w:rsidRPr="004C18BB">
              <w:t xml:space="preserve"> or other) following previous procedure using non-autologous temporary wound closure, excluding aftercare (H)</w:t>
            </w:r>
          </w:p>
          <w:p w14:paraId="30CA71C6" w14:textId="7B6912CD" w:rsidR="00602B75" w:rsidRPr="004C18BB" w:rsidRDefault="00602B75" w:rsidP="00CD6177">
            <w:pPr>
              <w:pStyle w:val="TableText"/>
            </w:pPr>
            <w:r w:rsidRPr="454F472C">
              <w:rPr>
                <w:snapToGrid w:val="0"/>
              </w:rPr>
              <w:t>(Anaes.) (Assist.)</w:t>
            </w:r>
          </w:p>
        </w:tc>
      </w:tr>
      <w:tr w:rsidR="00602B75" w:rsidRPr="000D4886" w14:paraId="2265154E" w14:textId="77777777" w:rsidTr="006527C9">
        <w:trPr>
          <w:trHeight w:val="223"/>
        </w:trPr>
        <w:tc>
          <w:tcPr>
            <w:tcW w:w="5000" w:type="pct"/>
          </w:tcPr>
          <w:p w14:paraId="5D445B07" w14:textId="524C55B3" w:rsidR="00602B75" w:rsidRPr="004C18BB" w:rsidRDefault="00602B75" w:rsidP="00CD6177">
            <w:pPr>
              <w:pStyle w:val="TableText"/>
            </w:pPr>
            <w:r w:rsidRPr="004C18BB">
              <w:t>Fee: $2,260.45 Benefit: 75% = $1,695.35</w:t>
            </w:r>
          </w:p>
        </w:tc>
      </w:tr>
    </w:tbl>
    <w:p w14:paraId="1AEF0B2F" w14:textId="77C3EC76" w:rsidR="00602B75" w:rsidRPr="004C18BB" w:rsidRDefault="00602B75" w:rsidP="00450AC6">
      <w:pPr>
        <w:pStyle w:val="Tablenotes0"/>
      </w:pPr>
      <w:bookmarkStart w:id="16" w:name="_Hlk193461552"/>
      <w:r w:rsidRPr="004C18BB">
        <w:t>Abbreviations: ASCS</w:t>
      </w:r>
      <w:r w:rsidR="00713BD0">
        <w:t xml:space="preserve"> = </w:t>
      </w:r>
      <w:r w:rsidRPr="004C18BB">
        <w:t>autologous skin cell suspension; STSG</w:t>
      </w:r>
      <w:r w:rsidR="00713BD0">
        <w:t xml:space="preserve"> = </w:t>
      </w:r>
      <w:r w:rsidRPr="004C18BB">
        <w:t>split-thickness skin graft; TBSA</w:t>
      </w:r>
      <w:r w:rsidR="00713BD0">
        <w:t xml:space="preserve"> = </w:t>
      </w:r>
      <w:r w:rsidRPr="004C18BB">
        <w:t>total body surface area</w:t>
      </w:r>
    </w:p>
    <w:bookmarkEnd w:id="16"/>
    <w:p w14:paraId="2AFB5EF7" w14:textId="51D24AC7" w:rsidR="0033318E" w:rsidRPr="00882DEE" w:rsidRDefault="004547CB" w:rsidP="00450AC6">
      <w:pPr>
        <w:pStyle w:val="Tablenotes0"/>
        <w:rPr>
          <w:color w:val="ED0000"/>
        </w:rPr>
      </w:pPr>
      <w:r>
        <w:t xml:space="preserve">Note: Additions to the existing MBS item descriptor are shown in </w:t>
      </w:r>
      <w:r w:rsidRPr="00EA6375">
        <w:rPr>
          <w:color w:val="ED0000"/>
        </w:rPr>
        <w:t>red</w:t>
      </w:r>
    </w:p>
    <w:p w14:paraId="7209E129" w14:textId="756CAE89" w:rsidR="000443C5" w:rsidRPr="004C18BB" w:rsidRDefault="000443C5" w:rsidP="00AF4D46">
      <w:pPr>
        <w:pStyle w:val="TableHeading0"/>
      </w:pPr>
      <w:bookmarkStart w:id="17" w:name="_Ref189228503"/>
      <w:bookmarkStart w:id="18" w:name="_Toc190173062"/>
      <w:r w:rsidRPr="004C18BB">
        <w:t>Table</w:t>
      </w:r>
      <w:r w:rsidR="00B02163" w:rsidRPr="004C18BB">
        <w:t> </w:t>
      </w:r>
      <w:r w:rsidRPr="004C18BB">
        <w:fldChar w:fldCharType="begin"/>
      </w:r>
      <w:r>
        <w:instrText xml:space="preserve"> SEQ Table \* ARABIC </w:instrText>
      </w:r>
      <w:r w:rsidRPr="004C18BB">
        <w:fldChar w:fldCharType="separate"/>
      </w:r>
      <w:r w:rsidR="00487E4A">
        <w:rPr>
          <w:noProof/>
        </w:rPr>
        <w:t>4</w:t>
      </w:r>
      <w:r w:rsidRPr="004C18BB">
        <w:fldChar w:fldCharType="end"/>
      </w:r>
      <w:bookmarkEnd w:id="17"/>
      <w:r w:rsidR="00B02163">
        <w:t xml:space="preserve">: </w:t>
      </w:r>
      <w:r w:rsidRPr="004C18BB">
        <w:t>Proposed modifier item</w:t>
      </w:r>
      <w:bookmarkEnd w:id="18"/>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443C5" w:rsidRPr="000D4886" w14:paraId="7A7BE0C2" w14:textId="77777777" w:rsidTr="006527C9">
        <w:tc>
          <w:tcPr>
            <w:tcW w:w="5000" w:type="pct"/>
          </w:tcPr>
          <w:p w14:paraId="000FD570" w14:textId="77777777" w:rsidR="000443C5" w:rsidRPr="00EA7BAC" w:rsidRDefault="000443C5" w:rsidP="00CD6177">
            <w:pPr>
              <w:pStyle w:val="TableText"/>
              <w:rPr>
                <w:b/>
              </w:rPr>
            </w:pPr>
            <w:r w:rsidRPr="00EA7BAC">
              <w:rPr>
                <w:b/>
              </w:rPr>
              <w:t>Category 3 – Therapeutic Procedures</w:t>
            </w:r>
          </w:p>
        </w:tc>
      </w:tr>
      <w:tr w:rsidR="000443C5" w:rsidRPr="000D4886" w14:paraId="6C8128F5" w14:textId="77777777" w:rsidTr="006527C9">
        <w:tc>
          <w:tcPr>
            <w:tcW w:w="5000" w:type="pct"/>
          </w:tcPr>
          <w:p w14:paraId="7D6A5FB8" w14:textId="265F460F" w:rsidR="000443C5" w:rsidRPr="004C18BB" w:rsidRDefault="000443C5" w:rsidP="00CD6177">
            <w:pPr>
              <w:pStyle w:val="TableText"/>
              <w:rPr>
                <w:b/>
              </w:rPr>
            </w:pPr>
            <w:r w:rsidRPr="004C18BB">
              <w:rPr>
                <w:b/>
              </w:rPr>
              <w:t xml:space="preserve">Modifier Item for the preparation and application of autologous skin cell suspension burns </w:t>
            </w:r>
            <w:r w:rsidR="001A4197">
              <w:rPr>
                <w:b/>
              </w:rPr>
              <w:t xml:space="preserve">– </w:t>
            </w:r>
            <w:r w:rsidRPr="004C18BB">
              <w:rPr>
                <w:b/>
              </w:rPr>
              <w:t>(Item XXXX)</w:t>
            </w:r>
          </w:p>
          <w:p w14:paraId="74E71D63" w14:textId="77777777" w:rsidR="000443C5" w:rsidRPr="004C18BB" w:rsidRDefault="000443C5" w:rsidP="00CD6177">
            <w:pPr>
              <w:pStyle w:val="TableText"/>
            </w:pPr>
          </w:p>
          <w:p w14:paraId="615F4F6E" w14:textId="4A4666BE" w:rsidR="000443C5" w:rsidRPr="004C18BB" w:rsidRDefault="000443C5" w:rsidP="00CD6177">
            <w:pPr>
              <w:pStyle w:val="TableText"/>
            </w:pPr>
            <w:r w:rsidRPr="004C18BB">
              <w:t xml:space="preserve">Item XXXX is a modifier item that provides additional funding for burns requiring the use of split-thickness skin grafts in conjunction with autologous skin cell suspension for burns covering </w:t>
            </w:r>
            <w:r w:rsidR="00DD51AF" w:rsidRPr="00DD51AF">
              <w:t>&gt;</w:t>
            </w:r>
            <w:r w:rsidRPr="004C18BB">
              <w:t>20% total body surface area.</w:t>
            </w:r>
          </w:p>
          <w:p w14:paraId="20772187" w14:textId="77777777" w:rsidR="000443C5" w:rsidRPr="004C18BB" w:rsidRDefault="000443C5" w:rsidP="00CD6177">
            <w:pPr>
              <w:pStyle w:val="TableText"/>
            </w:pPr>
            <w:r w:rsidRPr="004C18BB">
              <w:t>The modifier item can be co-claimed with:</w:t>
            </w:r>
          </w:p>
          <w:p w14:paraId="154E0778" w14:textId="77777777" w:rsidR="000443C5" w:rsidRPr="004C18BB" w:rsidRDefault="000443C5" w:rsidP="00CD6177">
            <w:pPr>
              <w:pStyle w:val="TableText"/>
            </w:pPr>
            <w:r w:rsidRPr="004C18BB">
              <w:rPr>
                <w:b/>
              </w:rPr>
              <w:t>Immediate definitive burn wound closure items</w:t>
            </w:r>
            <w:r w:rsidRPr="004C18BB">
              <w:t xml:space="preserve"> 46117 to 46124</w:t>
            </w:r>
          </w:p>
          <w:p w14:paraId="6D814EBF" w14:textId="77777777" w:rsidR="000443C5" w:rsidRPr="004C18BB" w:rsidRDefault="000443C5" w:rsidP="00CD6177">
            <w:pPr>
              <w:pStyle w:val="TableText"/>
            </w:pPr>
            <w:r w:rsidRPr="004C18BB">
              <w:rPr>
                <w:b/>
              </w:rPr>
              <w:t>Delayed definitive burn wound closure items</w:t>
            </w:r>
            <w:r w:rsidRPr="004C18BB">
              <w:t xml:space="preserve"> 46134 to 46135</w:t>
            </w:r>
          </w:p>
          <w:p w14:paraId="14B6F285" w14:textId="77777777" w:rsidR="000443C5" w:rsidRPr="004C18BB" w:rsidRDefault="000443C5" w:rsidP="00CD6177">
            <w:pPr>
              <w:pStyle w:val="TableText"/>
            </w:pPr>
          </w:p>
          <w:p w14:paraId="498298FB" w14:textId="77777777" w:rsidR="000443C5" w:rsidRPr="004C18BB" w:rsidRDefault="000443C5" w:rsidP="00CD6177">
            <w:pPr>
              <w:pStyle w:val="TableText"/>
            </w:pPr>
            <w:r w:rsidRPr="004C18BB">
              <w:t>Claiming the Modifier Item</w:t>
            </w:r>
          </w:p>
          <w:p w14:paraId="3233A5A8" w14:textId="77777777" w:rsidR="000443C5" w:rsidRPr="004C18BB" w:rsidRDefault="000443C5" w:rsidP="00CD6177">
            <w:pPr>
              <w:pStyle w:val="TableText"/>
            </w:pPr>
            <w:r w:rsidRPr="004C18BB">
              <w:t>The modifier item (XXXX) should be claimed immediately after the burns closure item it is associated with.</w:t>
            </w:r>
          </w:p>
          <w:p w14:paraId="0266FB05" w14:textId="77777777" w:rsidR="000443C5" w:rsidRPr="004C18BB" w:rsidRDefault="000443C5" w:rsidP="00CD6177">
            <w:pPr>
              <w:pStyle w:val="TableText"/>
            </w:pPr>
          </w:p>
          <w:p w14:paraId="43B8B241" w14:textId="77777777" w:rsidR="000443C5" w:rsidRPr="004C18BB" w:rsidRDefault="000443C5" w:rsidP="00CD6177">
            <w:pPr>
              <w:pStyle w:val="TableText"/>
            </w:pPr>
            <w:r w:rsidRPr="004C18BB">
              <w:t>When claiming the modifier item with an eligible burn closure item:</w:t>
            </w:r>
          </w:p>
          <w:p w14:paraId="1F9B2D60" w14:textId="77777777" w:rsidR="000443C5" w:rsidRPr="004C18BB" w:rsidRDefault="000443C5" w:rsidP="00CD6177">
            <w:pPr>
              <w:pStyle w:val="TableText"/>
            </w:pPr>
            <w:r w:rsidRPr="004C18BB">
              <w:t>The modifier item and the associated burn closure item are treated as one service for the purpose of the Multiple Operation Rule.</w:t>
            </w:r>
          </w:p>
          <w:p w14:paraId="1F288A7A" w14:textId="77777777" w:rsidR="000443C5" w:rsidRPr="004C18BB" w:rsidRDefault="000443C5" w:rsidP="00CD6177">
            <w:pPr>
              <w:pStyle w:val="TableText"/>
            </w:pPr>
            <w:r w:rsidRPr="004C18BB">
              <w:t>The derived fee resulting from claiming the modifier item will be an additional 15% of the fee for the co-claimed service.</w:t>
            </w:r>
          </w:p>
          <w:p w14:paraId="7155328C" w14:textId="77777777" w:rsidR="000443C5" w:rsidRPr="004C18BB" w:rsidRDefault="000443C5" w:rsidP="00CD6177">
            <w:pPr>
              <w:pStyle w:val="TableText"/>
            </w:pPr>
            <w:r w:rsidRPr="004C18BB">
              <w:t>The derived fee is calculated before the Multiple Operation Rule is applied.</w:t>
            </w:r>
          </w:p>
        </w:tc>
      </w:tr>
    </w:tbl>
    <w:p w14:paraId="48A678B9" w14:textId="0D806AF6" w:rsidR="00F00E88" w:rsidRDefault="00C74E9A" w:rsidP="00450AC6">
      <w:pPr>
        <w:pStyle w:val="Tablenotes0"/>
        <w:rPr>
          <w:rFonts w:ascii="Franklin Gothic Book" w:hAnsi="Franklin Gothic Book"/>
          <w:sz w:val="22"/>
        </w:rPr>
      </w:pPr>
      <w:r w:rsidRPr="004C18BB">
        <w:t>Abbreviations: ASCS</w:t>
      </w:r>
      <w:r w:rsidR="00713BD0">
        <w:t xml:space="preserve"> = </w:t>
      </w:r>
      <w:r w:rsidRPr="004C18BB">
        <w:t>autologous skin cell suspension; STSG</w:t>
      </w:r>
      <w:r w:rsidR="00713BD0">
        <w:t xml:space="preserve"> = </w:t>
      </w:r>
      <w:r w:rsidRPr="004C18BB">
        <w:t>split-thickness skin graft; TBSA</w:t>
      </w:r>
      <w:r w:rsidR="00713BD0">
        <w:t xml:space="preserve"> = </w:t>
      </w:r>
      <w:r w:rsidRPr="004C18BB">
        <w:t>total body surface area</w:t>
      </w:r>
    </w:p>
    <w:p w14:paraId="103321C5" w14:textId="300F6BF1" w:rsidR="002D09E3" w:rsidRPr="00881CE9" w:rsidRDefault="00D971E6" w:rsidP="00366B36">
      <w:r>
        <w:lastRenderedPageBreak/>
        <w:t xml:space="preserve">The ADAR proposed amendments to the MBS items specific to </w:t>
      </w:r>
      <w:r w:rsidR="00663782">
        <w:t>≥20%</w:t>
      </w:r>
      <w:r>
        <w:t xml:space="preserve"> TBSA (items 4611</w:t>
      </w:r>
      <w:r w:rsidR="00B224EB" w:rsidRPr="67EE3014">
        <w:rPr>
          <w:b/>
          <w:bCs/>
        </w:rPr>
        <w:t>–</w:t>
      </w:r>
      <w:r>
        <w:t>46124 and 46134</w:t>
      </w:r>
      <w:r w:rsidR="00237041" w:rsidRPr="67EE3014">
        <w:rPr>
          <w:b/>
          <w:bCs/>
        </w:rPr>
        <w:t>–</w:t>
      </w:r>
      <w:r>
        <w:t>46135) as well as the creation of a new modifier item that can be co-claimed with any of these existing items. However, for a patient with ≥20% TBSA burn treated by multiple surgeons, one or more of the surgeons performing definite closure (immediate or delayed) may treat a burn area that is &lt;20% TBSA individually. As such</w:t>
      </w:r>
      <w:r w:rsidR="009C77FE">
        <w:t>,</w:t>
      </w:r>
      <w:r w:rsidR="001D1EFD">
        <w:t xml:space="preserve"> the ADAR notes</w:t>
      </w:r>
      <w:r>
        <w:t xml:space="preserve"> additional amendments of MBS items 46113</w:t>
      </w:r>
      <w:r w:rsidR="009C77FE" w:rsidRPr="67EE3014">
        <w:rPr>
          <w:b/>
          <w:bCs/>
        </w:rPr>
        <w:t>–</w:t>
      </w:r>
      <w:r>
        <w:t>46116 and 46130</w:t>
      </w:r>
      <w:r w:rsidR="009C77FE" w:rsidRPr="67EE3014">
        <w:rPr>
          <w:b/>
          <w:bCs/>
        </w:rPr>
        <w:t>–</w:t>
      </w:r>
      <w:r>
        <w:t xml:space="preserve">46133 may be required to include coverage for ASCS (the modifier item may also need to extend to these services). Based on the population requested in the application, any such amendments would need to specify that use of </w:t>
      </w:r>
      <w:r w:rsidR="00ED7FBD">
        <w:t xml:space="preserve">an </w:t>
      </w:r>
      <w:r>
        <w:t>ASCS i</w:t>
      </w:r>
      <w:r w:rsidR="00ED7FBD">
        <w:t>tem for</w:t>
      </w:r>
      <w:r>
        <w:t xml:space="preserve"> a burn area &lt;20% is only permitted when the total burn area is ≥20% TBSA.</w:t>
      </w:r>
    </w:p>
    <w:p w14:paraId="34E0B08F" w14:textId="51EB0C7D" w:rsidR="00772829" w:rsidRPr="004C18BB" w:rsidRDefault="00772829" w:rsidP="0000493F">
      <w:pPr>
        <w:pStyle w:val="Heading2"/>
        <w:numPr>
          <w:ilvl w:val="0"/>
          <w:numId w:val="15"/>
        </w:numPr>
      </w:pPr>
      <w:bookmarkStart w:id="19" w:name="_Toc69491419"/>
      <w:r w:rsidRPr="004C18BB">
        <w:t>Population</w:t>
      </w:r>
      <w:bookmarkEnd w:id="19"/>
      <w:r w:rsidRPr="004C18BB">
        <w:t xml:space="preserve"> </w:t>
      </w:r>
    </w:p>
    <w:p w14:paraId="22FE04EE" w14:textId="2087239B" w:rsidR="00946786" w:rsidRPr="004C18BB" w:rsidRDefault="00946786" w:rsidP="00366B36">
      <w:r w:rsidRPr="004C18BB">
        <w:t xml:space="preserve">One population, intervention, comparator and outcome </w:t>
      </w:r>
      <w:r w:rsidR="000810DF">
        <w:t>(PICO)</w:t>
      </w:r>
      <w:r w:rsidRPr="004C18BB">
        <w:t xml:space="preserve"> set was provided for the use of ASCS ± STSG treatment for </w:t>
      </w:r>
      <w:r w:rsidR="00E77C77" w:rsidRPr="00E77C77">
        <w:t xml:space="preserve">deep partial-thickness </w:t>
      </w:r>
      <w:r w:rsidR="00E77C77">
        <w:t>(</w:t>
      </w:r>
      <w:r w:rsidRPr="004C18BB">
        <w:t>DPT</w:t>
      </w:r>
      <w:r w:rsidR="00E77C77">
        <w:t>)</w:t>
      </w:r>
      <w:r w:rsidRPr="004C18BB">
        <w:t xml:space="preserve"> and/or FT burn wounds ≥20% TBSA</w:t>
      </w:r>
      <w:r w:rsidR="005B4383">
        <w:t xml:space="preserve"> (</w:t>
      </w:r>
      <w:r w:rsidR="00ED7FBD" w:rsidRPr="00ED7FBD">
        <w:fldChar w:fldCharType="begin"/>
      </w:r>
      <w:r w:rsidR="00ED7FBD" w:rsidRPr="00ED7FBD">
        <w:instrText xml:space="preserve"> REF _Ref194055866 \h </w:instrText>
      </w:r>
      <w:r w:rsidR="00ED7FBD" w:rsidRPr="00ED7FBD">
        <w:fldChar w:fldCharType="separate"/>
      </w:r>
      <w:r w:rsidR="00487E4A" w:rsidRPr="004C18BB">
        <w:t>Table </w:t>
      </w:r>
      <w:r w:rsidR="00487E4A">
        <w:rPr>
          <w:noProof/>
        </w:rPr>
        <w:t>5</w:t>
      </w:r>
      <w:r w:rsidR="00ED7FBD" w:rsidRPr="00ED7FBD">
        <w:fldChar w:fldCharType="end"/>
      </w:r>
      <w:r w:rsidR="005B4383" w:rsidRPr="00ED7FBD">
        <w:t>)</w:t>
      </w:r>
      <w:r w:rsidRPr="00ED7FBD">
        <w:t>.</w:t>
      </w:r>
      <w:r w:rsidRPr="004C18BB">
        <w:t xml:space="preserve"> </w:t>
      </w:r>
    </w:p>
    <w:p w14:paraId="266AC9CC" w14:textId="44C753EC" w:rsidR="002D09E3" w:rsidRPr="004C18BB" w:rsidRDefault="002D09E3" w:rsidP="0054173E">
      <w:pPr>
        <w:pStyle w:val="TableHeading0"/>
        <w:keepNext/>
        <w:keepLines/>
      </w:pPr>
      <w:bookmarkStart w:id="20" w:name="_Ref194055866"/>
      <w:r w:rsidRPr="004C18BB">
        <w:t>Table </w:t>
      </w:r>
      <w:r w:rsidRPr="000D4886">
        <w:rPr>
          <w:noProof/>
        </w:rPr>
        <w:fldChar w:fldCharType="begin"/>
      </w:r>
      <w:r w:rsidRPr="000D4886">
        <w:rPr>
          <w:noProof/>
        </w:rPr>
        <w:instrText xml:space="preserve"> SEQ Table \* ARABIC </w:instrText>
      </w:r>
      <w:r w:rsidRPr="000D4886">
        <w:rPr>
          <w:noProof/>
        </w:rPr>
        <w:fldChar w:fldCharType="separate"/>
      </w:r>
      <w:r w:rsidR="00487E4A">
        <w:rPr>
          <w:noProof/>
        </w:rPr>
        <w:t>5</w:t>
      </w:r>
      <w:r w:rsidRPr="000D4886">
        <w:rPr>
          <w:noProof/>
        </w:rPr>
        <w:fldChar w:fldCharType="end"/>
      </w:r>
      <w:bookmarkEnd w:id="20"/>
      <w:r w:rsidR="00B02163">
        <w:rPr>
          <w:noProof/>
        </w:rPr>
        <w:t xml:space="preserve">: </w:t>
      </w:r>
      <w:r w:rsidRPr="004C18BB">
        <w:t>PICO criteria for assessing ASCS ± STSG treatment for PT and DPT burn wounds ≥20% TBSA</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449"/>
        <w:gridCol w:w="4567"/>
      </w:tblGrid>
      <w:tr w:rsidR="002D09E3" w:rsidRPr="000D4886" w14:paraId="6AFB71D1" w14:textId="77777777" w:rsidTr="006527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Pr>
          <w:p w14:paraId="69CC694E" w14:textId="77777777" w:rsidR="002D09E3" w:rsidRPr="008737A9" w:rsidRDefault="002D09E3" w:rsidP="0054173E">
            <w:pPr>
              <w:pStyle w:val="TableText"/>
              <w:keepNext/>
              <w:keepLines/>
              <w:rPr>
                <w:lang w:val="en-AU"/>
              </w:rPr>
            </w:pPr>
            <w:r w:rsidRPr="00937401">
              <w:rPr>
                <w:lang w:val="en-AU"/>
              </w:rPr>
              <w:t>Component</w:t>
            </w:r>
          </w:p>
        </w:tc>
        <w:tc>
          <w:tcPr>
            <w:tcW w:w="0" w:type="pct"/>
          </w:tcPr>
          <w:p w14:paraId="61F0B924" w14:textId="77777777" w:rsidR="002D09E3" w:rsidRPr="008737A9" w:rsidRDefault="002D09E3" w:rsidP="0054173E">
            <w:pPr>
              <w:pStyle w:val="TableText"/>
              <w:keepNext/>
              <w:keepLines/>
              <w:cnfStyle w:val="100000000000" w:firstRow="1" w:lastRow="0" w:firstColumn="0" w:lastColumn="0" w:oddVBand="0" w:evenVBand="0" w:oddHBand="0" w:evenHBand="0" w:firstRowFirstColumn="0" w:firstRowLastColumn="0" w:lastRowFirstColumn="0" w:lastRowLastColumn="0"/>
              <w:rPr>
                <w:lang w:val="en-AU"/>
              </w:rPr>
            </w:pPr>
            <w:r w:rsidRPr="00937401">
              <w:rPr>
                <w:lang w:val="en-AU"/>
              </w:rPr>
              <w:t>Description</w:t>
            </w:r>
          </w:p>
        </w:tc>
      </w:tr>
      <w:tr w:rsidR="002D09E3" w:rsidRPr="000D4886" w14:paraId="12041142" w14:textId="77777777" w:rsidTr="006527C9">
        <w:tc>
          <w:tcPr>
            <w:cnfStyle w:val="001000000000" w:firstRow="0" w:lastRow="0" w:firstColumn="1" w:lastColumn="0" w:oddVBand="0" w:evenVBand="0" w:oddHBand="0" w:evenHBand="0" w:firstRowFirstColumn="0" w:firstRowLastColumn="0" w:lastRowFirstColumn="0" w:lastRowLastColumn="0"/>
            <w:tcW w:w="0" w:type="pct"/>
          </w:tcPr>
          <w:p w14:paraId="4B4A53AA" w14:textId="77777777" w:rsidR="002D09E3" w:rsidRPr="00EA7BAC" w:rsidRDefault="002D09E3" w:rsidP="0054173E">
            <w:pPr>
              <w:pStyle w:val="TableText"/>
              <w:keepNext/>
              <w:keepLines/>
              <w:rPr>
                <w:b/>
                <w:lang w:val="en-AU"/>
              </w:rPr>
            </w:pPr>
            <w:r w:rsidRPr="00EA7BAC">
              <w:rPr>
                <w:b/>
                <w:lang w:val="en-AU"/>
              </w:rPr>
              <w:t>Population</w:t>
            </w:r>
          </w:p>
        </w:tc>
        <w:tc>
          <w:tcPr>
            <w:tcW w:w="0" w:type="pct"/>
            <w:vAlign w:val="top"/>
          </w:tcPr>
          <w:p w14:paraId="7D787A98" w14:textId="5ED67658"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 xml:space="preserve">Adult and paediatric patients with </w:t>
            </w:r>
            <w:r w:rsidR="00890F67">
              <w:rPr>
                <w:lang w:val="en-AU"/>
              </w:rPr>
              <w:t>F</w:t>
            </w:r>
            <w:r w:rsidR="00890F67" w:rsidRPr="00937401">
              <w:rPr>
                <w:lang w:val="en-AU"/>
              </w:rPr>
              <w:t xml:space="preserve">T </w:t>
            </w:r>
            <w:r w:rsidRPr="00937401">
              <w:rPr>
                <w:lang w:val="en-AU"/>
              </w:rPr>
              <w:t>and</w:t>
            </w:r>
            <w:r w:rsidR="00890F67">
              <w:rPr>
                <w:lang w:val="en-AU"/>
              </w:rPr>
              <w:t>/or</w:t>
            </w:r>
            <w:r w:rsidRPr="00937401">
              <w:rPr>
                <w:lang w:val="en-AU"/>
              </w:rPr>
              <w:t xml:space="preserve"> DPT burn wounds ≥20% TBSA </w:t>
            </w:r>
          </w:p>
        </w:tc>
      </w:tr>
      <w:tr w:rsidR="002D09E3" w:rsidRPr="000D4886" w14:paraId="5D30C863" w14:textId="77777777" w:rsidTr="006527C9">
        <w:tc>
          <w:tcPr>
            <w:cnfStyle w:val="001000000000" w:firstRow="0" w:lastRow="0" w:firstColumn="1" w:lastColumn="0" w:oddVBand="0" w:evenVBand="0" w:oddHBand="0" w:evenHBand="0" w:firstRowFirstColumn="0" w:firstRowLastColumn="0" w:lastRowFirstColumn="0" w:lastRowLastColumn="0"/>
            <w:tcW w:w="0" w:type="pct"/>
          </w:tcPr>
          <w:p w14:paraId="4116C427" w14:textId="74A5A63F" w:rsidR="002D09E3" w:rsidRPr="00EA7BAC" w:rsidRDefault="002D09E3" w:rsidP="0054173E">
            <w:pPr>
              <w:pStyle w:val="TableText"/>
              <w:keepNext/>
              <w:keepLines/>
              <w:rPr>
                <w:b/>
                <w:lang w:val="en-AU"/>
              </w:rPr>
            </w:pPr>
            <w:r w:rsidRPr="00EA7BAC">
              <w:rPr>
                <w:b/>
                <w:lang w:val="en-AU"/>
              </w:rPr>
              <w:t>Prior tests</w:t>
            </w:r>
          </w:p>
        </w:tc>
        <w:tc>
          <w:tcPr>
            <w:tcW w:w="0" w:type="pct"/>
            <w:vAlign w:val="top"/>
          </w:tcPr>
          <w:p w14:paraId="216FE855"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N/A</w:t>
            </w:r>
          </w:p>
        </w:tc>
      </w:tr>
      <w:tr w:rsidR="002D09E3" w:rsidRPr="000D4886" w14:paraId="30F3F8C5" w14:textId="77777777" w:rsidTr="006527C9">
        <w:tc>
          <w:tcPr>
            <w:cnfStyle w:val="001000000000" w:firstRow="0" w:lastRow="0" w:firstColumn="1" w:lastColumn="0" w:oddVBand="0" w:evenVBand="0" w:oddHBand="0" w:evenHBand="0" w:firstRowFirstColumn="0" w:firstRowLastColumn="0" w:lastRowFirstColumn="0" w:lastRowLastColumn="0"/>
            <w:tcW w:w="0" w:type="pct"/>
          </w:tcPr>
          <w:p w14:paraId="3384710E" w14:textId="77777777" w:rsidR="002D09E3" w:rsidRPr="00EA7BAC" w:rsidRDefault="002D09E3" w:rsidP="0054173E">
            <w:pPr>
              <w:pStyle w:val="TableText"/>
              <w:keepNext/>
              <w:keepLines/>
              <w:rPr>
                <w:b/>
                <w:lang w:val="en-AU"/>
              </w:rPr>
            </w:pPr>
            <w:r w:rsidRPr="00EA7BAC">
              <w:rPr>
                <w:b/>
                <w:lang w:val="en-AU"/>
              </w:rPr>
              <w:t>Intervention</w:t>
            </w:r>
          </w:p>
        </w:tc>
        <w:tc>
          <w:tcPr>
            <w:tcW w:w="0" w:type="pct"/>
            <w:vAlign w:val="top"/>
          </w:tcPr>
          <w:p w14:paraId="7AF1FFEC" w14:textId="36803313"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ASCS</w:t>
            </w:r>
            <w:r w:rsidR="001F3332">
              <w:rPr>
                <w:lang w:val="en-AU"/>
              </w:rPr>
              <w:t xml:space="preserve"> </w:t>
            </w:r>
            <w:r w:rsidR="001F3332" w:rsidRPr="00937401">
              <w:rPr>
                <w:lang w:val="en-AU"/>
              </w:rPr>
              <w:t>± STSG</w:t>
            </w:r>
          </w:p>
        </w:tc>
      </w:tr>
      <w:tr w:rsidR="002D09E3" w:rsidRPr="000D4886" w14:paraId="668B6DF7" w14:textId="77777777" w:rsidTr="006527C9">
        <w:tc>
          <w:tcPr>
            <w:cnfStyle w:val="001000000000" w:firstRow="0" w:lastRow="0" w:firstColumn="1" w:lastColumn="0" w:oddVBand="0" w:evenVBand="0" w:oddHBand="0" w:evenHBand="0" w:firstRowFirstColumn="0" w:firstRowLastColumn="0" w:lastRowFirstColumn="0" w:lastRowLastColumn="0"/>
            <w:tcW w:w="0" w:type="pct"/>
          </w:tcPr>
          <w:p w14:paraId="1A9B771C" w14:textId="77777777" w:rsidR="002D09E3" w:rsidRPr="00EA7BAC" w:rsidRDefault="002D09E3" w:rsidP="0054173E">
            <w:pPr>
              <w:pStyle w:val="TableText"/>
              <w:keepNext/>
              <w:keepLines/>
              <w:rPr>
                <w:b/>
                <w:lang w:val="en-AU"/>
              </w:rPr>
            </w:pPr>
            <w:r w:rsidRPr="00EA7BAC">
              <w:rPr>
                <w:b/>
                <w:lang w:val="en-AU"/>
              </w:rPr>
              <w:t>Comparator</w:t>
            </w:r>
          </w:p>
        </w:tc>
        <w:tc>
          <w:tcPr>
            <w:tcW w:w="0" w:type="pct"/>
            <w:vAlign w:val="top"/>
          </w:tcPr>
          <w:p w14:paraId="593522F8" w14:textId="11E7BB32"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STSG</w:t>
            </w:r>
          </w:p>
        </w:tc>
      </w:tr>
      <w:tr w:rsidR="002D09E3" w:rsidRPr="000D4886" w14:paraId="58A1EA0D" w14:textId="77777777" w:rsidTr="006527C9">
        <w:tc>
          <w:tcPr>
            <w:cnfStyle w:val="001000000000" w:firstRow="0" w:lastRow="0" w:firstColumn="1" w:lastColumn="0" w:oddVBand="0" w:evenVBand="0" w:oddHBand="0" w:evenHBand="0" w:firstRowFirstColumn="0" w:firstRowLastColumn="0" w:lastRowFirstColumn="0" w:lastRowLastColumn="0"/>
            <w:tcW w:w="0" w:type="pct"/>
          </w:tcPr>
          <w:p w14:paraId="0E068FD3" w14:textId="77777777" w:rsidR="002D09E3" w:rsidRPr="00EA7BAC" w:rsidRDefault="002D09E3" w:rsidP="0054173E">
            <w:pPr>
              <w:pStyle w:val="TableText"/>
              <w:keepNext/>
              <w:keepLines/>
              <w:rPr>
                <w:b/>
                <w:lang w:val="en-AU"/>
              </w:rPr>
            </w:pPr>
            <w:r w:rsidRPr="00EA7BAC">
              <w:rPr>
                <w:b/>
                <w:lang w:val="en-AU"/>
              </w:rPr>
              <w:t>Outcomes</w:t>
            </w:r>
          </w:p>
        </w:tc>
        <w:tc>
          <w:tcPr>
            <w:tcW w:w="0" w:type="pct"/>
            <w:vAlign w:val="top"/>
          </w:tcPr>
          <w:p w14:paraId="2CC84521"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 xml:space="preserve">Safety: </w:t>
            </w:r>
          </w:p>
          <w:p w14:paraId="1A10D4AA"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AEs and SAEs</w:t>
            </w:r>
          </w:p>
          <w:p w14:paraId="12BB30C9"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Device-related AEs</w:t>
            </w:r>
          </w:p>
          <w:p w14:paraId="324B5D3F"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Graft loss</w:t>
            </w:r>
          </w:p>
          <w:p w14:paraId="104505A4"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Infection</w:t>
            </w:r>
          </w:p>
          <w:p w14:paraId="42F6308E"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Scar formation</w:t>
            </w:r>
          </w:p>
          <w:p w14:paraId="2D33081D" w14:textId="2BE61B52" w:rsidR="002D09E3"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Delayed healing/wound assessment</w:t>
            </w:r>
          </w:p>
          <w:p w14:paraId="3DF17203" w14:textId="77777777" w:rsidR="00AE4E91" w:rsidRPr="008737A9" w:rsidRDefault="00AE4E91"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p w14:paraId="19CB162E"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 xml:space="preserve">Effectiveness: </w:t>
            </w:r>
          </w:p>
          <w:p w14:paraId="1F1EADCB"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 xml:space="preserve">Treatment site healing </w:t>
            </w:r>
          </w:p>
          <w:p w14:paraId="76FDF85E"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 xml:space="preserve">Donor site healing and donor skin requirements </w:t>
            </w:r>
          </w:p>
          <w:p w14:paraId="082E3420"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Pain and visual appearance in recipient site and donor site</w:t>
            </w:r>
          </w:p>
          <w:p w14:paraId="6F925A68"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p>
          <w:p w14:paraId="5CA33D1E"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 xml:space="preserve">Health care system outcomes: </w:t>
            </w:r>
          </w:p>
          <w:p w14:paraId="7D6C931E" w14:textId="5D7926BA"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LOS</w:t>
            </w:r>
          </w:p>
          <w:p w14:paraId="4954E354" w14:textId="77777777" w:rsidR="002D09E3" w:rsidRPr="008737A9" w:rsidRDefault="002D09E3" w:rsidP="0054173E">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937401">
              <w:rPr>
                <w:lang w:val="en-AU"/>
              </w:rPr>
              <w:t>Number of autograft procedures</w:t>
            </w:r>
          </w:p>
        </w:tc>
      </w:tr>
      <w:tr w:rsidR="002D09E3" w:rsidRPr="000D4886" w14:paraId="78D21FAD" w14:textId="77777777" w:rsidTr="006527C9">
        <w:trPr>
          <w:trHeight w:val="1394"/>
        </w:trPr>
        <w:tc>
          <w:tcPr>
            <w:cnfStyle w:val="001000000000" w:firstRow="0" w:lastRow="0" w:firstColumn="1" w:lastColumn="0" w:oddVBand="0" w:evenVBand="0" w:oddHBand="0" w:evenHBand="0" w:firstRowFirstColumn="0" w:firstRowLastColumn="0" w:lastRowFirstColumn="0" w:lastRowLastColumn="0"/>
            <w:tcW w:w="0" w:type="pct"/>
            <w:gridSpan w:val="2"/>
          </w:tcPr>
          <w:p w14:paraId="569CDB13" w14:textId="02052DD5" w:rsidR="002D09E3" w:rsidRPr="00EA7BAC" w:rsidRDefault="002D09E3" w:rsidP="0054173E">
            <w:pPr>
              <w:pStyle w:val="TableText"/>
              <w:keepNext/>
              <w:keepLines/>
              <w:rPr>
                <w:b/>
                <w:lang w:val="en-AU"/>
              </w:rPr>
            </w:pPr>
            <w:r w:rsidRPr="00EA7BAC">
              <w:rPr>
                <w:b/>
                <w:lang w:val="en-AU"/>
              </w:rPr>
              <w:t>Systematic review question:</w:t>
            </w:r>
          </w:p>
          <w:p w14:paraId="5A8D4663" w14:textId="3D6A397E" w:rsidR="002D09E3" w:rsidRPr="008737A9" w:rsidRDefault="002D09E3" w:rsidP="0054173E">
            <w:pPr>
              <w:pStyle w:val="TableText"/>
              <w:keepNext/>
              <w:keepLines/>
              <w:rPr>
                <w:lang w:val="en-AU"/>
              </w:rPr>
            </w:pPr>
            <w:r w:rsidRPr="00937401">
              <w:rPr>
                <w:lang w:val="en-AU"/>
              </w:rPr>
              <w:t>What is the safety, effectiveness and cost-effectiveness of ASCS ± STSG compared to STSG alone in severe burn wounds ≥20% TBSA?</w:t>
            </w:r>
          </w:p>
        </w:tc>
      </w:tr>
    </w:tbl>
    <w:p w14:paraId="740441BD" w14:textId="6F9F0905" w:rsidR="002D09E3" w:rsidRPr="004C18BB" w:rsidRDefault="002D09E3" w:rsidP="0054173E">
      <w:pPr>
        <w:pStyle w:val="Tablenotes0"/>
        <w:keepNext/>
        <w:keepLines/>
      </w:pPr>
      <w:r w:rsidRPr="004C18BB">
        <w:t>Abbreviations:</w:t>
      </w:r>
      <w:r w:rsidRPr="00937401">
        <w:t xml:space="preserve"> </w:t>
      </w:r>
      <w:r w:rsidR="00242B3A" w:rsidRPr="00937401">
        <w:t>AE</w:t>
      </w:r>
      <w:r w:rsidR="00713BD0">
        <w:t xml:space="preserve"> = </w:t>
      </w:r>
      <w:r w:rsidR="00242B3A" w:rsidRPr="00937401">
        <w:t>adverse event;</w:t>
      </w:r>
      <w:r w:rsidRPr="004C18BB">
        <w:t xml:space="preserve"> </w:t>
      </w:r>
      <w:r w:rsidRPr="004C18BB">
        <w:rPr>
          <w:szCs w:val="20"/>
        </w:rPr>
        <w:t>ASCS</w:t>
      </w:r>
      <w:r w:rsidR="00713BD0">
        <w:t xml:space="preserve"> = </w:t>
      </w:r>
      <w:r w:rsidRPr="004C18BB">
        <w:t>autologous skin cell suspension; DPT</w:t>
      </w:r>
      <w:r w:rsidR="00713BD0">
        <w:t xml:space="preserve"> = </w:t>
      </w:r>
      <w:r w:rsidRPr="004C18BB">
        <w:t>deep partial-thickness; LOS</w:t>
      </w:r>
      <w:r w:rsidR="00713BD0">
        <w:t xml:space="preserve"> = </w:t>
      </w:r>
      <w:r w:rsidRPr="004C18BB">
        <w:t xml:space="preserve">length of </w:t>
      </w:r>
      <w:r w:rsidR="008844BE">
        <w:t xml:space="preserve">hospital </w:t>
      </w:r>
      <w:r w:rsidRPr="004C18BB">
        <w:t>stay; PT</w:t>
      </w:r>
      <w:r w:rsidR="00713BD0">
        <w:t xml:space="preserve"> = </w:t>
      </w:r>
      <w:r w:rsidRPr="004C18BB">
        <w:t>partial-thickness; SAE</w:t>
      </w:r>
      <w:r w:rsidR="00E0127F">
        <w:t xml:space="preserve"> = </w:t>
      </w:r>
      <w:r w:rsidRPr="004C18BB">
        <w:t>serious adverse event; STSG</w:t>
      </w:r>
      <w:r w:rsidR="00E0127F">
        <w:t xml:space="preserve"> = </w:t>
      </w:r>
      <w:r w:rsidRPr="004C18BB">
        <w:t>split-thickness skin graft; TBSA</w:t>
      </w:r>
      <w:r w:rsidR="00E0127F">
        <w:rPr>
          <w:rFonts w:cstheme="minorBidi"/>
        </w:rPr>
        <w:t xml:space="preserve"> = </w:t>
      </w:r>
      <w:r w:rsidRPr="004C18BB">
        <w:t>total body surface area</w:t>
      </w:r>
    </w:p>
    <w:p w14:paraId="0ACEEEA9" w14:textId="2359BE98" w:rsidR="0068788D" w:rsidRPr="004C18BB" w:rsidRDefault="0068788D" w:rsidP="00366B36">
      <w:r w:rsidRPr="004C18BB">
        <w:t xml:space="preserve">According to recent </w:t>
      </w:r>
      <w:r w:rsidR="00FF1DA2" w:rsidRPr="004C18BB">
        <w:t>data</w:t>
      </w:r>
      <w:r w:rsidR="007D1371">
        <w:t xml:space="preserve"> from the Burns Registry of Australia and New Zealand (BRANZ)</w:t>
      </w:r>
      <w:r w:rsidR="005B4383">
        <w:t>,</w:t>
      </w:r>
      <w:r w:rsidR="00FF1DA2" w:rsidRPr="004C18BB">
        <w:t xml:space="preserve"> 2,8</w:t>
      </w:r>
      <w:r w:rsidR="001907A6" w:rsidRPr="004C18BB">
        <w:t>96 burn cases were reported across 2022</w:t>
      </w:r>
      <w:r w:rsidR="00166FAA">
        <w:t>–</w:t>
      </w:r>
      <w:r w:rsidR="001907A6" w:rsidRPr="004C18BB">
        <w:t>2023</w:t>
      </w:r>
      <w:r w:rsidR="004E31CB">
        <w:t>,</w:t>
      </w:r>
      <w:r w:rsidR="001907A6" w:rsidRPr="004C18BB">
        <w:t xml:space="preserve"> of </w:t>
      </w:r>
      <w:r w:rsidR="004E31CB">
        <w:t>which</w:t>
      </w:r>
      <w:r w:rsidR="001907A6" w:rsidRPr="004C18BB">
        <w:t xml:space="preserve"> 6.8% </w:t>
      </w:r>
      <w:r w:rsidR="00DC1ACF" w:rsidRPr="004C18BB">
        <w:t>(n</w:t>
      </w:r>
      <w:r w:rsidR="00134AE2">
        <w:t> </w:t>
      </w:r>
      <w:r w:rsidR="00DC1ACF" w:rsidRPr="004C18BB">
        <w:t>=</w:t>
      </w:r>
      <w:r w:rsidR="00134AE2">
        <w:t> </w:t>
      </w:r>
      <w:r w:rsidR="00DC1ACF" w:rsidRPr="004C18BB">
        <w:t xml:space="preserve">151) </w:t>
      </w:r>
      <w:r w:rsidR="001907A6" w:rsidRPr="004C18BB">
        <w:t>of adult patients</w:t>
      </w:r>
      <w:r w:rsidR="00C66E5B" w:rsidRPr="004C18BB">
        <w:t xml:space="preserve"> and </w:t>
      </w:r>
      <w:r w:rsidR="00C66E5B" w:rsidRPr="004C18BB">
        <w:lastRenderedPageBreak/>
        <w:t xml:space="preserve">3.9% </w:t>
      </w:r>
      <w:r w:rsidR="00DC1ACF" w:rsidRPr="004C18BB">
        <w:t>(</w:t>
      </w:r>
      <w:r w:rsidR="00AD0F1C" w:rsidRPr="004C18BB">
        <w:t>n</w:t>
      </w:r>
      <w:r w:rsidR="00104B90">
        <w:t> </w:t>
      </w:r>
      <w:r w:rsidR="00AD0F1C" w:rsidRPr="004C18BB">
        <w:t>=</w:t>
      </w:r>
      <w:r w:rsidR="00104B90">
        <w:t> </w:t>
      </w:r>
      <w:r w:rsidR="00AD0F1C" w:rsidRPr="004C18BB">
        <w:t xml:space="preserve">29) </w:t>
      </w:r>
      <w:r w:rsidR="00C66E5B" w:rsidRPr="004C18BB">
        <w:t xml:space="preserve">of </w:t>
      </w:r>
      <w:r w:rsidR="0025275A" w:rsidRPr="004C18BB">
        <w:t>paediatric</w:t>
      </w:r>
      <w:r w:rsidR="00C66E5B" w:rsidRPr="004C18BB">
        <w:t xml:space="preserve"> </w:t>
      </w:r>
      <w:r w:rsidR="0025275A" w:rsidRPr="004C18BB">
        <w:t>patients</w:t>
      </w:r>
      <w:r w:rsidR="00C66E5B" w:rsidRPr="004C18BB">
        <w:t xml:space="preserve"> had a severe burn injury </w:t>
      </w:r>
      <w:r w:rsidR="0025275A" w:rsidRPr="00497EB5">
        <w:t>≥20% TBSA</w:t>
      </w:r>
      <w:r w:rsidR="00104B90">
        <w:t>.</w:t>
      </w:r>
      <w:bookmarkStart w:id="21" w:name="_Ref197526762"/>
      <w:r w:rsidR="003D4572">
        <w:rPr>
          <w:rStyle w:val="FootnoteReference"/>
        </w:rPr>
        <w:footnoteReference w:id="4"/>
      </w:r>
      <w:bookmarkEnd w:id="21"/>
      <w:r w:rsidR="00AD0F1C" w:rsidRPr="00497EB5">
        <w:t xml:space="preserve"> </w:t>
      </w:r>
      <w:r w:rsidR="00081BD6">
        <w:t>T</w:t>
      </w:r>
      <w:r w:rsidR="00AD0F1C" w:rsidRPr="00497EB5">
        <w:t xml:space="preserve">he majority of patients </w:t>
      </w:r>
      <w:r w:rsidR="009B29E2">
        <w:t xml:space="preserve">are </w:t>
      </w:r>
      <w:r w:rsidR="00E51209" w:rsidRPr="00497EB5">
        <w:t xml:space="preserve">transferred to a specialist </w:t>
      </w:r>
      <w:r w:rsidR="00DB57E7">
        <w:t>burn</w:t>
      </w:r>
      <w:r w:rsidR="00E51209" w:rsidRPr="00497EB5">
        <w:t xml:space="preserve"> unit</w:t>
      </w:r>
      <w:r w:rsidR="009B29E2">
        <w:t>, with</w:t>
      </w:r>
      <w:r w:rsidR="00E51209" w:rsidRPr="00497EB5">
        <w:t xml:space="preserve"> </w:t>
      </w:r>
      <w:r w:rsidR="00580A77" w:rsidRPr="00497EB5">
        <w:t xml:space="preserve">74.5% undergoing a wound </w:t>
      </w:r>
      <w:r w:rsidR="00B1765F" w:rsidRPr="00497EB5">
        <w:t xml:space="preserve">management procedure in theatre </w:t>
      </w:r>
      <w:r w:rsidR="00E51209" w:rsidRPr="00497EB5">
        <w:t>and 67</w:t>
      </w:r>
      <w:r w:rsidR="00580A77" w:rsidRPr="00497EB5">
        <w:t xml:space="preserve">.3% </w:t>
      </w:r>
      <w:r w:rsidR="00B1765F" w:rsidRPr="00497EB5">
        <w:t>of those patients receiv</w:t>
      </w:r>
      <w:r w:rsidR="009B29E2">
        <w:t>ing</w:t>
      </w:r>
      <w:r w:rsidR="00B1765F" w:rsidRPr="00497EB5">
        <w:t xml:space="preserve"> a skin graft.</w:t>
      </w:r>
      <w:r w:rsidR="0025275A" w:rsidRPr="004C18BB" w:rsidDel="00FF1DA2">
        <w:t xml:space="preserve"> </w:t>
      </w:r>
    </w:p>
    <w:p w14:paraId="060FDB62" w14:textId="5922338E" w:rsidR="00946786" w:rsidRPr="004C18BB" w:rsidRDefault="008944C3" w:rsidP="00366B36">
      <w:r>
        <w:t>D</w:t>
      </w:r>
      <w:r w:rsidRPr="004C18BB">
        <w:t>epending on the clinical needs of the patient and burn severity</w:t>
      </w:r>
      <w:r>
        <w:t>,</w:t>
      </w:r>
      <w:r w:rsidRPr="004C18BB">
        <w:t xml:space="preserve"> </w:t>
      </w:r>
      <w:r w:rsidR="00946786" w:rsidRPr="004C18BB">
        <w:t>ASCS could be used as a replacement for</w:t>
      </w:r>
      <w:r>
        <w:t>,</w:t>
      </w:r>
      <w:r w:rsidR="00946786" w:rsidRPr="004C18BB">
        <w:t xml:space="preserve"> or in conjunction with</w:t>
      </w:r>
      <w:r>
        <w:t>,</w:t>
      </w:r>
      <w:r w:rsidR="00946786" w:rsidRPr="004C18BB">
        <w:t xml:space="preserve"> STSG. </w:t>
      </w:r>
      <w:r w:rsidR="00B71BEF">
        <w:t>For</w:t>
      </w:r>
      <w:r w:rsidR="00135155" w:rsidRPr="004C18BB">
        <w:t xml:space="preserve"> DPT burns</w:t>
      </w:r>
      <w:r w:rsidR="00445E8F">
        <w:t>,</w:t>
      </w:r>
      <w:r w:rsidR="00135155" w:rsidRPr="004C18BB">
        <w:t xml:space="preserve"> </w:t>
      </w:r>
      <w:r w:rsidR="00B4142C" w:rsidRPr="004C18BB">
        <w:t xml:space="preserve">ASCS is expected to replace or be used </w:t>
      </w:r>
      <w:r w:rsidR="003960D5" w:rsidRPr="004C18BB">
        <w:t>alongside</w:t>
      </w:r>
      <w:r w:rsidR="00B4142C" w:rsidRPr="004C18BB">
        <w:t xml:space="preserve"> STSG, whereas for FT burns</w:t>
      </w:r>
      <w:r w:rsidR="0065058F">
        <w:t>,</w:t>
      </w:r>
      <w:r w:rsidR="00B4142C" w:rsidRPr="004C18BB">
        <w:t xml:space="preserve"> </w:t>
      </w:r>
      <w:r w:rsidR="003960D5" w:rsidRPr="004C18BB">
        <w:t xml:space="preserve">ASCS would be used in addition to STSG in </w:t>
      </w:r>
      <w:r w:rsidR="007311CA">
        <w:t>most</w:t>
      </w:r>
      <w:r w:rsidR="00152AEC">
        <w:t xml:space="preserve"> </w:t>
      </w:r>
      <w:r w:rsidR="003960D5" w:rsidRPr="004C18BB">
        <w:t xml:space="preserve">cases. </w:t>
      </w:r>
      <w:r w:rsidR="56466374" w:rsidRPr="76088632">
        <w:t>A</w:t>
      </w:r>
      <w:r w:rsidR="56466374" w:rsidRPr="76088632">
        <w:rPr>
          <w:rFonts w:eastAsia="Calibri"/>
        </w:rPr>
        <w:t xml:space="preserve"> modifier MBS item </w:t>
      </w:r>
      <w:r w:rsidR="00DC2EB2">
        <w:rPr>
          <w:rFonts w:eastAsia="Calibri"/>
        </w:rPr>
        <w:t>(</w:t>
      </w:r>
      <w:r w:rsidR="00DC2EB2" w:rsidRPr="00D27263">
        <w:rPr>
          <w:rFonts w:eastAsia="Calibri"/>
        </w:rPr>
        <w:fldChar w:fldCharType="begin"/>
      </w:r>
      <w:r w:rsidR="00DC2EB2">
        <w:rPr>
          <w:rFonts w:eastAsia="Calibri"/>
        </w:rPr>
        <w:instrText xml:space="preserve"> REF _Ref189228503 \h </w:instrText>
      </w:r>
      <w:r w:rsidR="00DC2EB2" w:rsidRPr="00D27263">
        <w:rPr>
          <w:rFonts w:eastAsia="Calibri"/>
        </w:rPr>
      </w:r>
      <w:r w:rsidR="00DC2EB2" w:rsidRPr="00D27263">
        <w:rPr>
          <w:rFonts w:eastAsia="Calibri"/>
        </w:rPr>
        <w:fldChar w:fldCharType="separate"/>
      </w:r>
      <w:r w:rsidR="00487E4A" w:rsidRPr="004C18BB">
        <w:t>Table </w:t>
      </w:r>
      <w:r w:rsidR="00487E4A">
        <w:rPr>
          <w:noProof/>
        </w:rPr>
        <w:t>4</w:t>
      </w:r>
      <w:r w:rsidR="00DC2EB2" w:rsidRPr="00D27263">
        <w:rPr>
          <w:rFonts w:eastAsia="Calibri"/>
        </w:rPr>
        <w:fldChar w:fldCharType="end"/>
      </w:r>
      <w:r w:rsidR="00DC2EB2">
        <w:rPr>
          <w:rFonts w:eastAsia="Calibri"/>
        </w:rPr>
        <w:t xml:space="preserve">) </w:t>
      </w:r>
      <w:r w:rsidR="56466374" w:rsidRPr="76088632">
        <w:rPr>
          <w:rFonts w:eastAsia="Calibri"/>
        </w:rPr>
        <w:t>is proposed for cases where ASCS is used in conjunction with STSG, accounting for the additional clinician time required.</w:t>
      </w:r>
    </w:p>
    <w:p w14:paraId="465051F8" w14:textId="593DE5B1" w:rsidR="00946786" w:rsidRPr="004C18BB" w:rsidRDefault="00946786" w:rsidP="00366B36">
      <w:r w:rsidRPr="004C18BB">
        <w:t>Due to the heterogen</w:t>
      </w:r>
      <w:r w:rsidR="008F6286">
        <w:t>eous nature of burn injuries, treatment and clinical management can vary significantly on a case-by-case basis, and clinical management guidelines often differ</w:t>
      </w:r>
      <w:r w:rsidRPr="004C18BB">
        <w:t xml:space="preserve"> </w:t>
      </w:r>
      <w:r w:rsidR="00BB21F5">
        <w:t>between</w:t>
      </w:r>
      <w:r w:rsidR="00BB21F5" w:rsidRPr="00937401">
        <w:t xml:space="preserve"> </w:t>
      </w:r>
      <w:r w:rsidRPr="004C18BB">
        <w:t xml:space="preserve">burn units. </w:t>
      </w:r>
      <w:r w:rsidR="005E644E" w:rsidRPr="004C18BB">
        <w:t xml:space="preserve">A summary of the </w:t>
      </w:r>
      <w:r w:rsidR="00000144" w:rsidRPr="004C18BB">
        <w:t>current and proposed clinical management guideline</w:t>
      </w:r>
      <w:r w:rsidR="008F6286">
        <w:t>s</w:t>
      </w:r>
      <w:r w:rsidR="00000144" w:rsidRPr="004C18BB">
        <w:t xml:space="preserve"> </w:t>
      </w:r>
      <w:r w:rsidR="00844E0C">
        <w:t>is presente</w:t>
      </w:r>
      <w:r w:rsidR="00000144" w:rsidRPr="004C18BB">
        <w:t xml:space="preserve">d in </w:t>
      </w:r>
      <w:r w:rsidR="00D27263" w:rsidRPr="00D27263">
        <w:fldChar w:fldCharType="begin"/>
      </w:r>
      <w:r w:rsidR="00D27263" w:rsidRPr="00D27263">
        <w:instrText xml:space="preserve"> REF _Ref194055564 \h </w:instrText>
      </w:r>
      <w:r w:rsidR="00D27263" w:rsidRPr="00D27263">
        <w:fldChar w:fldCharType="separate"/>
      </w:r>
      <w:r w:rsidR="00487E4A">
        <w:t>Figure</w:t>
      </w:r>
      <w:r w:rsidR="00487E4A" w:rsidRPr="004C18BB">
        <w:t> </w:t>
      </w:r>
      <w:r w:rsidR="00487E4A">
        <w:rPr>
          <w:noProof/>
        </w:rPr>
        <w:t>1</w:t>
      </w:r>
      <w:r w:rsidR="00D27263" w:rsidRPr="00D27263">
        <w:fldChar w:fldCharType="end"/>
      </w:r>
      <w:r w:rsidR="00811E1E" w:rsidRPr="00D27263">
        <w:t>.</w:t>
      </w:r>
      <w:r w:rsidR="7853B691" w:rsidRPr="4D56AD7A">
        <w:t xml:space="preserve"> </w:t>
      </w:r>
    </w:p>
    <w:p w14:paraId="45DC22C3" w14:textId="6F499ACA" w:rsidR="001F7730" w:rsidRDefault="00CE7A08" w:rsidP="001F7730">
      <w:r>
        <w:t xml:space="preserve">The content of the </w:t>
      </w:r>
      <w:r w:rsidR="002749FD">
        <w:t>summarised clinical management algorithm</w:t>
      </w:r>
      <w:r w:rsidR="005A0A53">
        <w:t xml:space="preserve"> </w:t>
      </w:r>
      <w:r w:rsidR="00E034C9">
        <w:t>was</w:t>
      </w:r>
      <w:r w:rsidR="00E05B05">
        <w:t xml:space="preserve"> </w:t>
      </w:r>
      <w:r>
        <w:t xml:space="preserve">appropriate and </w:t>
      </w:r>
      <w:r w:rsidR="006B5A6A">
        <w:t>consistent</w:t>
      </w:r>
      <w:r>
        <w:t xml:space="preserve"> with current clinical burn management guidelines.</w:t>
      </w:r>
    </w:p>
    <w:p w14:paraId="28765902" w14:textId="670DC144" w:rsidR="006317B2" w:rsidRDefault="006317B2" w:rsidP="000A29C6">
      <w:pPr>
        <w:pStyle w:val="TableHeading0"/>
        <w:keepNext/>
        <w:keepLines/>
      </w:pPr>
      <w:bookmarkStart w:id="22" w:name="_Ref194055564"/>
      <w:bookmarkStart w:id="23" w:name="_Ref194055556"/>
      <w:r>
        <w:lastRenderedPageBreak/>
        <w:t>Figure</w:t>
      </w:r>
      <w:r w:rsidR="00B02163" w:rsidRPr="004C18BB">
        <w:t> </w:t>
      </w:r>
      <w:r>
        <w:fldChar w:fldCharType="begin"/>
      </w:r>
      <w:r>
        <w:instrText>SEQ Figure \* ARABIC</w:instrText>
      </w:r>
      <w:r>
        <w:fldChar w:fldCharType="separate"/>
      </w:r>
      <w:r w:rsidR="00487E4A">
        <w:rPr>
          <w:noProof/>
        </w:rPr>
        <w:t>1</w:t>
      </w:r>
      <w:r>
        <w:fldChar w:fldCharType="end"/>
      </w:r>
      <w:bookmarkEnd w:id="22"/>
      <w:r w:rsidR="00B02163">
        <w:t xml:space="preserve">: </w:t>
      </w:r>
      <w:r>
        <w:t>Summarised clinical management algorithm</w:t>
      </w:r>
      <w:bookmarkEnd w:id="23"/>
    </w:p>
    <w:p w14:paraId="1753E63D" w14:textId="50421678" w:rsidR="006317B2" w:rsidRPr="000B31FF" w:rsidRDefault="006317B2" w:rsidP="000A29C6">
      <w:pPr>
        <w:pStyle w:val="Tablenotes0"/>
        <w:keepNext/>
        <w:keepLines/>
      </w:pPr>
      <w:r>
        <w:rPr>
          <w:noProof/>
        </w:rPr>
        <w:drawing>
          <wp:inline distT="0" distB="0" distL="0" distR="0" wp14:anchorId="477C3830" wp14:editId="35D09C20">
            <wp:extent cx="5419725" cy="5993848"/>
            <wp:effectExtent l="0" t="0" r="0" b="6985"/>
            <wp:docPr id="168477435" name="Picture 1" descr="Figure 1: Summari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7435" name="Picture 1" descr="Figure 1: Summarised clinical management algorithm"/>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19725" cy="5993848"/>
                    </a:xfrm>
                    <a:prstGeom prst="rect">
                      <a:avLst/>
                    </a:prstGeom>
                    <a:noFill/>
                  </pic:spPr>
                </pic:pic>
              </a:graphicData>
            </a:graphic>
          </wp:inline>
        </w:drawing>
      </w:r>
    </w:p>
    <w:p w14:paraId="27D1BC61" w14:textId="7EC970D9" w:rsidR="006F1933" w:rsidRPr="004C18BB" w:rsidRDefault="006F1933" w:rsidP="000A29C6">
      <w:pPr>
        <w:pStyle w:val="Tablenotes0"/>
        <w:keepNext/>
        <w:keepLines/>
      </w:pPr>
      <w:r w:rsidRPr="004C18BB">
        <w:t>Abbreviations:</w:t>
      </w:r>
      <w:r w:rsidR="00743E9F">
        <w:t xml:space="preserve"> </w:t>
      </w:r>
      <w:r w:rsidR="00743E9F" w:rsidRPr="00743E9F">
        <w:t>ASCS</w:t>
      </w:r>
      <w:r w:rsidR="00E0127F">
        <w:t xml:space="preserve"> = </w:t>
      </w:r>
      <w:r w:rsidR="00743E9F" w:rsidRPr="00743E9F">
        <w:t>autologous skin cell suspension; STSG</w:t>
      </w:r>
      <w:r w:rsidR="00E0127F">
        <w:t xml:space="preserve"> = </w:t>
      </w:r>
      <w:r w:rsidR="00743E9F" w:rsidRPr="00743E9F">
        <w:t>split-thickness skin graft; TBS</w:t>
      </w:r>
      <w:r w:rsidR="00E0127F">
        <w:t xml:space="preserve">A = </w:t>
      </w:r>
      <w:r w:rsidR="00743E9F" w:rsidRPr="00743E9F">
        <w:t>total body surface area</w:t>
      </w:r>
    </w:p>
    <w:p w14:paraId="10BB6EA4" w14:textId="606F2A3D" w:rsidR="002A33A4" w:rsidRDefault="006F1933" w:rsidP="000A29C6">
      <w:pPr>
        <w:pStyle w:val="Tablenotes0"/>
        <w:keepNext/>
        <w:keepLines/>
      </w:pPr>
      <w:r w:rsidRPr="004C18BB">
        <w:t xml:space="preserve">Note: </w:t>
      </w:r>
      <w:r w:rsidR="00D51F9B" w:rsidRPr="004C18BB">
        <w:t>The figure summarises the proposed and current clinical management guideline</w:t>
      </w:r>
      <w:r w:rsidR="0013661E" w:rsidRPr="004C18BB">
        <w:t>s</w:t>
      </w:r>
      <w:r w:rsidR="00B5516B">
        <w:t>;</w:t>
      </w:r>
      <w:r w:rsidR="0013661E" w:rsidRPr="004C18BB">
        <w:t xml:space="preserve"> </w:t>
      </w:r>
      <w:r w:rsidR="0013661E" w:rsidRPr="00011D25">
        <w:rPr>
          <w:b/>
        </w:rPr>
        <w:t>bolded</w:t>
      </w:r>
      <w:r w:rsidR="0013661E" w:rsidRPr="004C18BB">
        <w:t xml:space="preserve"> text </w:t>
      </w:r>
      <w:r w:rsidR="0013661E" w:rsidRPr="00937401">
        <w:t>denot</w:t>
      </w:r>
      <w:r w:rsidR="00B5516B">
        <w:t>es the</w:t>
      </w:r>
      <w:r w:rsidR="0013661E" w:rsidRPr="004C18BB">
        <w:t xml:space="preserve"> </w:t>
      </w:r>
      <w:r w:rsidR="006D2079" w:rsidRPr="004C18BB">
        <w:t xml:space="preserve">proposed intervention. </w:t>
      </w:r>
    </w:p>
    <w:p w14:paraId="5301B5DE" w14:textId="56AB3539" w:rsidR="00921091" w:rsidRDefault="00921091" w:rsidP="00366B36">
      <w:r>
        <w:t>This</w:t>
      </w:r>
      <w:r w:rsidR="00946786" w:rsidRPr="004C18BB">
        <w:t xml:space="preserve"> </w:t>
      </w:r>
      <w:r>
        <w:t>application</w:t>
      </w:r>
      <w:r w:rsidRPr="004C18BB">
        <w:t xml:space="preserve"> </w:t>
      </w:r>
      <w:r w:rsidR="002C0847">
        <w:t>progressed through</w:t>
      </w:r>
      <w:r w:rsidR="002C0847" w:rsidRPr="004C18BB">
        <w:t xml:space="preserve"> the expedited MSAC pathway</w:t>
      </w:r>
      <w:r w:rsidR="002C0847">
        <w:t xml:space="preserve"> </w:t>
      </w:r>
      <w:r w:rsidR="00946786" w:rsidRPr="004C18BB">
        <w:t xml:space="preserve">on </w:t>
      </w:r>
      <w:r w:rsidR="002C0847">
        <w:t xml:space="preserve">the </w:t>
      </w:r>
      <w:r w:rsidR="00946786" w:rsidRPr="004C18BB">
        <w:t xml:space="preserve">recommendation of the </w:t>
      </w:r>
      <w:r>
        <w:t>D</w:t>
      </w:r>
      <w:r w:rsidR="00946786" w:rsidRPr="004C18BB">
        <w:t>epartment</w:t>
      </w:r>
      <w:r w:rsidR="002C0847">
        <w:t>, t</w:t>
      </w:r>
      <w:r w:rsidR="00946786" w:rsidRPr="004C18BB">
        <w:t>hereby bypassing PASC</w:t>
      </w:r>
      <w:r>
        <w:t>. As such</w:t>
      </w:r>
      <w:r w:rsidR="00946786" w:rsidRPr="004C18BB">
        <w:t xml:space="preserve">, there </w:t>
      </w:r>
      <w:r w:rsidR="006502BF">
        <w:t>was</w:t>
      </w:r>
      <w:r w:rsidR="006502BF" w:rsidRPr="004C18BB">
        <w:t xml:space="preserve"> </w:t>
      </w:r>
      <w:r w:rsidR="00946786" w:rsidRPr="004C18BB">
        <w:t xml:space="preserve">no PICO confirmation against which to compare the PICO presented by the </w:t>
      </w:r>
      <w:r w:rsidR="004A4AED">
        <w:t>applicant</w:t>
      </w:r>
      <w:r w:rsidR="00946786" w:rsidRPr="004C18BB">
        <w:t xml:space="preserve">. </w:t>
      </w:r>
    </w:p>
    <w:p w14:paraId="68A00DF6" w14:textId="430790B2" w:rsidR="004B46BE" w:rsidRPr="00B80842" w:rsidRDefault="00F60003" w:rsidP="00366B36">
      <w:pPr>
        <w:rPr>
          <w:color w:val="000000" w:themeColor="text1"/>
        </w:rPr>
      </w:pPr>
      <w:r>
        <w:t>Throughout</w:t>
      </w:r>
      <w:r w:rsidR="078682C2" w:rsidRPr="008737A9">
        <w:rPr>
          <w:rFonts w:eastAsia="Calibri" w:cs="Arial"/>
        </w:rPr>
        <w:t xml:space="preserve"> the </w:t>
      </w:r>
      <w:r w:rsidR="00F30E84">
        <w:rPr>
          <w:rFonts w:eastAsia="Calibri" w:cs="Arial"/>
        </w:rPr>
        <w:t>ADAR</w:t>
      </w:r>
      <w:r w:rsidR="002F2F66">
        <w:rPr>
          <w:rFonts w:eastAsia="Calibri" w:cs="Arial"/>
        </w:rPr>
        <w:t>,</w:t>
      </w:r>
      <w:r w:rsidR="00F30E84" w:rsidRPr="008737A9">
        <w:rPr>
          <w:rFonts w:eastAsia="Calibri" w:cs="Arial"/>
        </w:rPr>
        <w:t xml:space="preserve"> </w:t>
      </w:r>
      <w:r w:rsidR="078682C2" w:rsidRPr="008737A9">
        <w:rPr>
          <w:rFonts w:eastAsia="Calibri" w:cs="Arial"/>
        </w:rPr>
        <w:t xml:space="preserve">the population </w:t>
      </w:r>
      <w:r w:rsidR="00550B67">
        <w:rPr>
          <w:rFonts w:eastAsia="Calibri" w:cs="Arial"/>
        </w:rPr>
        <w:t>was</w:t>
      </w:r>
      <w:r w:rsidR="078682C2" w:rsidRPr="008737A9">
        <w:rPr>
          <w:rFonts w:eastAsia="Calibri" w:cs="Arial"/>
        </w:rPr>
        <w:t xml:space="preserve"> defined as </w:t>
      </w:r>
      <w:r w:rsidR="220CE643" w:rsidRPr="008737A9">
        <w:rPr>
          <w:rFonts w:eastAsia="Calibri" w:cs="Arial"/>
        </w:rPr>
        <w:t xml:space="preserve">adult and paediatric </w:t>
      </w:r>
      <w:r>
        <w:rPr>
          <w:rFonts w:eastAsia="Calibri" w:cs="Arial"/>
        </w:rPr>
        <w:t xml:space="preserve">patients </w:t>
      </w:r>
      <w:r w:rsidR="220CE643" w:rsidRPr="008737A9">
        <w:rPr>
          <w:rFonts w:eastAsia="Calibri" w:cs="Arial"/>
        </w:rPr>
        <w:t>with FT and/or DPT burn wounds ≥20% TBSA. However</w:t>
      </w:r>
      <w:r w:rsidR="00F00080">
        <w:rPr>
          <w:rFonts w:eastAsia="Calibri" w:cs="Arial"/>
        </w:rPr>
        <w:t>,</w:t>
      </w:r>
      <w:r w:rsidR="220CE643" w:rsidRPr="008737A9">
        <w:rPr>
          <w:rFonts w:eastAsia="Calibri" w:cs="Arial"/>
        </w:rPr>
        <w:t xml:space="preserve"> i</w:t>
      </w:r>
      <w:r w:rsidR="000A1531">
        <w:rPr>
          <w:rFonts w:eastAsia="Calibri" w:cs="Arial"/>
        </w:rPr>
        <w:t>n the</w:t>
      </w:r>
      <w:r w:rsidR="220CE643" w:rsidRPr="008737A9">
        <w:rPr>
          <w:rFonts w:eastAsia="Calibri" w:cs="Arial"/>
        </w:rPr>
        <w:t xml:space="preserve"> </w:t>
      </w:r>
      <w:r w:rsidR="471956B8" w:rsidRPr="4449E5E4">
        <w:rPr>
          <w:rFonts w:eastAsia="Calibri" w:cs="Arial"/>
        </w:rPr>
        <w:t xml:space="preserve">PICO </w:t>
      </w:r>
      <w:r w:rsidR="471956B8" w:rsidRPr="09AA70E7">
        <w:rPr>
          <w:rFonts w:eastAsia="Calibri" w:cs="Arial"/>
        </w:rPr>
        <w:t xml:space="preserve">criteria </w:t>
      </w:r>
      <w:r w:rsidR="00B80842" w:rsidRPr="00B80842">
        <w:rPr>
          <w:rFonts w:eastAsia="Calibri" w:cs="Arial"/>
        </w:rPr>
        <w:t>(</w:t>
      </w:r>
      <w:r w:rsidR="00B80842" w:rsidRPr="00B80842">
        <w:rPr>
          <w:rFonts w:eastAsia="Calibri" w:cs="Arial"/>
        </w:rPr>
        <w:fldChar w:fldCharType="begin"/>
      </w:r>
      <w:r w:rsidR="00B80842" w:rsidRPr="00B80842">
        <w:rPr>
          <w:rFonts w:eastAsia="Calibri" w:cs="Arial"/>
        </w:rPr>
        <w:instrText xml:space="preserve"> REF _Ref194055866 \h </w:instrText>
      </w:r>
      <w:r w:rsidR="00B80842" w:rsidRPr="00B80842">
        <w:rPr>
          <w:rFonts w:eastAsia="Calibri" w:cs="Arial"/>
        </w:rPr>
      </w:r>
      <w:r w:rsidR="00B80842" w:rsidRPr="00B80842">
        <w:rPr>
          <w:rFonts w:eastAsia="Calibri" w:cs="Arial"/>
        </w:rPr>
        <w:fldChar w:fldCharType="separate"/>
      </w:r>
      <w:r w:rsidR="00487E4A" w:rsidRPr="004C18BB">
        <w:t>Table </w:t>
      </w:r>
      <w:r w:rsidR="00487E4A">
        <w:rPr>
          <w:noProof/>
        </w:rPr>
        <w:t>5</w:t>
      </w:r>
      <w:r w:rsidR="00B80842" w:rsidRPr="00B80842">
        <w:rPr>
          <w:rFonts w:eastAsia="Calibri" w:cs="Arial"/>
        </w:rPr>
        <w:fldChar w:fldCharType="end"/>
      </w:r>
      <w:r w:rsidR="00B80842" w:rsidRPr="00B80842">
        <w:rPr>
          <w:rFonts w:eastAsia="Calibri" w:cs="Arial"/>
        </w:rPr>
        <w:t>)</w:t>
      </w:r>
      <w:r w:rsidR="00201AF1">
        <w:rPr>
          <w:rFonts w:eastAsia="Calibri" w:cs="Arial"/>
        </w:rPr>
        <w:t>,</w:t>
      </w:r>
      <w:r w:rsidR="471956B8" w:rsidRPr="00B80842">
        <w:rPr>
          <w:rFonts w:eastAsia="Calibri" w:cs="Arial"/>
        </w:rPr>
        <w:t xml:space="preserve"> </w:t>
      </w:r>
      <w:r w:rsidR="220CE643" w:rsidRPr="008737A9">
        <w:rPr>
          <w:rFonts w:eastAsia="Calibri" w:cs="Arial"/>
        </w:rPr>
        <w:t xml:space="preserve">this </w:t>
      </w:r>
      <w:r w:rsidR="00550B67">
        <w:rPr>
          <w:rFonts w:eastAsia="Calibri" w:cs="Arial"/>
        </w:rPr>
        <w:t>was</w:t>
      </w:r>
      <w:r w:rsidR="220CE643" w:rsidRPr="008737A9">
        <w:rPr>
          <w:rFonts w:eastAsia="Calibri" w:cs="Arial"/>
        </w:rPr>
        <w:t xml:space="preserve"> </w:t>
      </w:r>
      <w:r w:rsidR="00D20203">
        <w:rPr>
          <w:rFonts w:eastAsia="Calibri" w:cs="Arial"/>
        </w:rPr>
        <w:t>stated</w:t>
      </w:r>
      <w:r w:rsidR="00D20203" w:rsidRPr="008737A9">
        <w:rPr>
          <w:rFonts w:eastAsia="Calibri" w:cs="Arial"/>
        </w:rPr>
        <w:t xml:space="preserve"> </w:t>
      </w:r>
      <w:r w:rsidR="220CE643" w:rsidRPr="008737A9">
        <w:rPr>
          <w:rFonts w:eastAsia="Calibri" w:cs="Arial"/>
        </w:rPr>
        <w:t xml:space="preserve">as </w:t>
      </w:r>
      <w:r w:rsidR="00095B2D">
        <w:rPr>
          <w:rFonts w:eastAsia="Calibri" w:cs="Arial"/>
        </w:rPr>
        <w:t>‘</w:t>
      </w:r>
      <w:r w:rsidR="000B1253">
        <w:rPr>
          <w:rFonts w:eastAsia="Calibri" w:cs="Arial"/>
        </w:rPr>
        <w:t>a</w:t>
      </w:r>
      <w:r w:rsidR="220CE643" w:rsidRPr="008737A9">
        <w:rPr>
          <w:rFonts w:eastAsia="Calibri" w:cs="Arial"/>
        </w:rPr>
        <w:t xml:space="preserve">dult and paediatric patients with FT and DPT burn wounds ≥20% </w:t>
      </w:r>
      <w:r w:rsidR="220CE643" w:rsidRPr="00497EB5">
        <w:rPr>
          <w:color w:val="000000" w:themeColor="text1"/>
        </w:rPr>
        <w:t>TBSA</w:t>
      </w:r>
      <w:r w:rsidR="00080090">
        <w:rPr>
          <w:color w:val="000000" w:themeColor="text1"/>
        </w:rPr>
        <w:t>.’</w:t>
      </w:r>
      <w:r w:rsidR="220CE643" w:rsidRPr="00497EB5">
        <w:rPr>
          <w:color w:val="000000" w:themeColor="text1"/>
        </w:rPr>
        <w:t xml:space="preserve"> </w:t>
      </w:r>
      <w:r w:rsidR="003C06DE">
        <w:rPr>
          <w:color w:val="000000" w:themeColor="text1"/>
        </w:rPr>
        <w:t xml:space="preserve">The </w:t>
      </w:r>
      <w:r w:rsidR="00550B67">
        <w:rPr>
          <w:color w:val="000000" w:themeColor="text1"/>
        </w:rPr>
        <w:t>commentary considered</w:t>
      </w:r>
      <w:r w:rsidR="003C06DE">
        <w:rPr>
          <w:color w:val="000000" w:themeColor="text1"/>
        </w:rPr>
        <w:t xml:space="preserve"> </w:t>
      </w:r>
      <w:r w:rsidR="002E6BE4">
        <w:rPr>
          <w:color w:val="000000" w:themeColor="text1"/>
        </w:rPr>
        <w:t>t</w:t>
      </w:r>
      <w:r w:rsidR="220CE643" w:rsidRPr="00497EB5">
        <w:rPr>
          <w:color w:val="000000" w:themeColor="text1"/>
        </w:rPr>
        <w:t xml:space="preserve">his definition may make the population </w:t>
      </w:r>
      <w:r w:rsidR="00971DFF" w:rsidRPr="00497EB5">
        <w:rPr>
          <w:color w:val="000000" w:themeColor="text1"/>
        </w:rPr>
        <w:t>unclear</w:t>
      </w:r>
      <w:r w:rsidR="009B7756">
        <w:rPr>
          <w:color w:val="000000" w:themeColor="text1"/>
        </w:rPr>
        <w:t>,</w:t>
      </w:r>
      <w:r w:rsidR="220CE643" w:rsidRPr="00497EB5">
        <w:rPr>
          <w:color w:val="000000" w:themeColor="text1"/>
        </w:rPr>
        <w:t xml:space="preserve"> as a patient may have either FT or DPT burns, or a combination of the </w:t>
      </w:r>
      <w:r w:rsidR="001E0DE6">
        <w:rPr>
          <w:color w:val="000000" w:themeColor="text1"/>
        </w:rPr>
        <w:t>two</w:t>
      </w:r>
      <w:r w:rsidR="220CE643" w:rsidRPr="00497EB5">
        <w:rPr>
          <w:color w:val="000000" w:themeColor="text1"/>
        </w:rPr>
        <w:t>.</w:t>
      </w:r>
      <w:r w:rsidR="00D5386B">
        <w:rPr>
          <w:color w:val="000000" w:themeColor="text1"/>
        </w:rPr>
        <w:t xml:space="preserve"> </w:t>
      </w:r>
    </w:p>
    <w:p w14:paraId="070BB33F" w14:textId="4357F8EE" w:rsidR="00BF3AC8" w:rsidRDefault="004A06C4" w:rsidP="00366B36">
      <w:pPr>
        <w:rPr>
          <w:color w:val="000000" w:themeColor="text1"/>
        </w:rPr>
      </w:pPr>
      <w:r>
        <w:rPr>
          <w:color w:val="000000" w:themeColor="text1"/>
        </w:rPr>
        <w:t xml:space="preserve">According to the ADAR, the target population was identified </w:t>
      </w:r>
      <w:r w:rsidR="00561F97">
        <w:rPr>
          <w:color w:val="000000" w:themeColor="text1"/>
        </w:rPr>
        <w:t xml:space="preserve">through consultation with key opinion leaders, who defined this </w:t>
      </w:r>
      <w:r w:rsidR="000F56A1">
        <w:rPr>
          <w:color w:val="000000" w:themeColor="text1"/>
        </w:rPr>
        <w:t xml:space="preserve">population </w:t>
      </w:r>
      <w:r w:rsidR="00561F97">
        <w:rPr>
          <w:color w:val="000000" w:themeColor="text1"/>
        </w:rPr>
        <w:t xml:space="preserve">as </w:t>
      </w:r>
      <w:r w:rsidR="0041287C">
        <w:rPr>
          <w:color w:val="000000" w:themeColor="text1"/>
        </w:rPr>
        <w:t>that</w:t>
      </w:r>
      <w:r w:rsidR="00561F97">
        <w:rPr>
          <w:color w:val="000000" w:themeColor="text1"/>
        </w:rPr>
        <w:t xml:space="preserve"> of highest clinical need for treatment with ASCS. </w:t>
      </w:r>
      <w:r w:rsidR="00D43A50">
        <w:rPr>
          <w:color w:val="000000" w:themeColor="text1"/>
        </w:rPr>
        <w:t xml:space="preserve">Consultation feedback received </w:t>
      </w:r>
      <w:r w:rsidR="009F1563">
        <w:rPr>
          <w:color w:val="000000" w:themeColor="text1"/>
        </w:rPr>
        <w:t>during development of the commentary</w:t>
      </w:r>
      <w:r w:rsidR="00BF3AC8" w:rsidRPr="00BF3AC8">
        <w:rPr>
          <w:color w:val="000000" w:themeColor="text1"/>
        </w:rPr>
        <w:t xml:space="preserve"> </w:t>
      </w:r>
      <w:r w:rsidR="00D43A50">
        <w:rPr>
          <w:color w:val="000000" w:themeColor="text1"/>
        </w:rPr>
        <w:t xml:space="preserve">identified </w:t>
      </w:r>
      <w:r w:rsidR="008E7301">
        <w:rPr>
          <w:color w:val="000000" w:themeColor="text1"/>
        </w:rPr>
        <w:t xml:space="preserve">that the </w:t>
      </w:r>
      <w:r w:rsidR="008E7301">
        <w:rPr>
          <w:color w:val="000000" w:themeColor="text1"/>
        </w:rPr>
        <w:lastRenderedPageBreak/>
        <w:t xml:space="preserve">greater the TBSA burn, the more likely </w:t>
      </w:r>
      <w:r w:rsidR="00FD2B72">
        <w:rPr>
          <w:color w:val="000000" w:themeColor="text1"/>
        </w:rPr>
        <w:t>skin grafting procedure</w:t>
      </w:r>
      <w:r w:rsidR="009928B0">
        <w:rPr>
          <w:color w:val="000000" w:themeColor="text1"/>
        </w:rPr>
        <w:t>s</w:t>
      </w:r>
      <w:r w:rsidR="00FD2B72">
        <w:rPr>
          <w:color w:val="000000" w:themeColor="text1"/>
        </w:rPr>
        <w:t xml:space="preserve"> would be required</w:t>
      </w:r>
      <w:r w:rsidR="002C5275">
        <w:rPr>
          <w:color w:val="000000" w:themeColor="text1"/>
        </w:rPr>
        <w:t>. Larger burns</w:t>
      </w:r>
      <w:r w:rsidR="00FD2B72">
        <w:rPr>
          <w:color w:val="000000" w:themeColor="text1"/>
        </w:rPr>
        <w:t xml:space="preserve"> </w:t>
      </w:r>
      <w:r w:rsidR="00BE547A">
        <w:rPr>
          <w:color w:val="000000" w:themeColor="text1"/>
        </w:rPr>
        <w:t xml:space="preserve">also </w:t>
      </w:r>
      <w:r w:rsidR="002C5275">
        <w:rPr>
          <w:color w:val="000000" w:themeColor="text1"/>
        </w:rPr>
        <w:t>have</w:t>
      </w:r>
      <w:r w:rsidR="00BE547A">
        <w:rPr>
          <w:color w:val="000000" w:themeColor="text1"/>
        </w:rPr>
        <w:t xml:space="preserve"> </w:t>
      </w:r>
      <w:r w:rsidR="00FD2B72">
        <w:rPr>
          <w:color w:val="000000" w:themeColor="text1"/>
        </w:rPr>
        <w:t>a greater impact on th</w:t>
      </w:r>
      <w:r w:rsidR="00C97BA4">
        <w:rPr>
          <w:color w:val="000000" w:themeColor="text1"/>
        </w:rPr>
        <w:t xml:space="preserve">e </w:t>
      </w:r>
      <w:r w:rsidR="00901C73">
        <w:rPr>
          <w:color w:val="000000" w:themeColor="text1"/>
        </w:rPr>
        <w:t xml:space="preserve">availability of </w:t>
      </w:r>
      <w:r w:rsidR="00C97BA4">
        <w:rPr>
          <w:color w:val="000000" w:themeColor="text1"/>
        </w:rPr>
        <w:t>donor skin</w:t>
      </w:r>
      <w:r w:rsidR="00BF3AC8" w:rsidRPr="00BF3AC8">
        <w:rPr>
          <w:color w:val="000000" w:themeColor="text1"/>
        </w:rPr>
        <w:t xml:space="preserve">, so other </w:t>
      </w:r>
      <w:r w:rsidR="00E10511">
        <w:rPr>
          <w:color w:val="000000" w:themeColor="text1"/>
        </w:rPr>
        <w:t xml:space="preserve">treatment </w:t>
      </w:r>
      <w:r w:rsidR="00BF3AC8" w:rsidRPr="00BF3AC8">
        <w:rPr>
          <w:color w:val="000000" w:themeColor="text1"/>
        </w:rPr>
        <w:t>strategies may be</w:t>
      </w:r>
      <w:r w:rsidR="001737B3">
        <w:rPr>
          <w:color w:val="000000" w:themeColor="text1"/>
        </w:rPr>
        <w:t xml:space="preserve"> </w:t>
      </w:r>
      <w:r w:rsidR="00BE547A">
        <w:rPr>
          <w:color w:val="000000" w:themeColor="text1"/>
        </w:rPr>
        <w:t>need</w:t>
      </w:r>
      <w:r w:rsidR="007467D2">
        <w:rPr>
          <w:color w:val="000000" w:themeColor="text1"/>
        </w:rPr>
        <w:t>ed</w:t>
      </w:r>
      <w:r w:rsidR="00BE547A">
        <w:rPr>
          <w:color w:val="000000" w:themeColor="text1"/>
        </w:rPr>
        <w:t xml:space="preserve"> </w:t>
      </w:r>
      <w:r w:rsidR="00BF3AC8" w:rsidRPr="00BF3AC8">
        <w:rPr>
          <w:color w:val="000000" w:themeColor="text1"/>
        </w:rPr>
        <w:t xml:space="preserve">such as wide meshing and cell supplementation or </w:t>
      </w:r>
      <w:r w:rsidR="00901C73">
        <w:rPr>
          <w:color w:val="000000" w:themeColor="text1"/>
        </w:rPr>
        <w:t xml:space="preserve">the </w:t>
      </w:r>
      <w:r w:rsidR="00BF3AC8" w:rsidRPr="00BF3AC8">
        <w:rPr>
          <w:color w:val="000000" w:themeColor="text1"/>
        </w:rPr>
        <w:t>use of a dermal substitute/cadaveric skin.</w:t>
      </w:r>
    </w:p>
    <w:p w14:paraId="01973F7A" w14:textId="146B6FF5" w:rsidR="00634F4E" w:rsidRDefault="00634F4E" w:rsidP="00366B36">
      <w:pPr>
        <w:rPr>
          <w:color w:val="000000" w:themeColor="text1"/>
        </w:rPr>
      </w:pPr>
      <w:r>
        <w:rPr>
          <w:color w:val="000000" w:themeColor="text1"/>
        </w:rPr>
        <w:t xml:space="preserve">The commentary also notes conflicting information in the literature regarding what </w:t>
      </w:r>
      <w:r w:rsidR="00F509E2">
        <w:rPr>
          <w:color w:val="000000" w:themeColor="text1"/>
        </w:rPr>
        <w:t>was</w:t>
      </w:r>
      <w:r>
        <w:rPr>
          <w:color w:val="000000" w:themeColor="text1"/>
        </w:rPr>
        <w:t xml:space="preserve"> classified as a severe burn in paediatric patients. </w:t>
      </w:r>
      <w:r w:rsidR="00F03D19">
        <w:rPr>
          <w:color w:val="000000" w:themeColor="text1"/>
        </w:rPr>
        <w:t>I</w:t>
      </w:r>
      <w:r>
        <w:rPr>
          <w:color w:val="000000" w:themeColor="text1"/>
        </w:rPr>
        <w:t>nput</w:t>
      </w:r>
      <w:r w:rsidR="00F03D19">
        <w:rPr>
          <w:color w:val="000000" w:themeColor="text1"/>
        </w:rPr>
        <w:t xml:space="preserve"> from a clinician</w:t>
      </w:r>
      <w:r>
        <w:rPr>
          <w:color w:val="000000" w:themeColor="text1"/>
        </w:rPr>
        <w:t xml:space="preserve"> suggests &gt;10% TBSA in paediatric patients can be classified as severe burn, as paediatric patients </w:t>
      </w:r>
      <w:r w:rsidR="00C96DAA">
        <w:rPr>
          <w:color w:val="000000" w:themeColor="text1"/>
        </w:rPr>
        <w:t xml:space="preserve">have a </w:t>
      </w:r>
      <w:r w:rsidR="00C96DAA" w:rsidRPr="5F42541E">
        <w:rPr>
          <w:color w:val="000000" w:themeColor="text1"/>
        </w:rPr>
        <w:t>smaller surface area than adults</w:t>
      </w:r>
      <w:r w:rsidR="00C96DAA">
        <w:rPr>
          <w:color w:val="000000" w:themeColor="text1"/>
        </w:rPr>
        <w:t xml:space="preserve">, and </w:t>
      </w:r>
      <w:r>
        <w:rPr>
          <w:color w:val="000000" w:themeColor="text1"/>
        </w:rPr>
        <w:t>require fluid resuscitation from this point onwards</w:t>
      </w:r>
      <w:r w:rsidR="52A3F7BA" w:rsidRPr="5F42541E">
        <w:rPr>
          <w:color w:val="000000" w:themeColor="text1"/>
        </w:rPr>
        <w:t xml:space="preserve"> to prevent hypovolaemic shock</w:t>
      </w:r>
      <w:r>
        <w:rPr>
          <w:color w:val="000000" w:themeColor="text1"/>
        </w:rPr>
        <w:t>.</w:t>
      </w:r>
    </w:p>
    <w:p w14:paraId="66BDFCC1" w14:textId="4D73F854" w:rsidR="00772829" w:rsidRPr="004C18BB" w:rsidRDefault="00772829" w:rsidP="0000493F">
      <w:pPr>
        <w:pStyle w:val="Heading2"/>
        <w:numPr>
          <w:ilvl w:val="0"/>
          <w:numId w:val="15"/>
        </w:numPr>
      </w:pPr>
      <w:bookmarkStart w:id="24" w:name="_Toc69491420"/>
      <w:r w:rsidRPr="004C18BB">
        <w:t>Comparator</w:t>
      </w:r>
      <w:bookmarkEnd w:id="24"/>
    </w:p>
    <w:p w14:paraId="1E7E99D5" w14:textId="2F795FCD" w:rsidR="00296641" w:rsidRPr="004C18BB" w:rsidRDefault="00296641" w:rsidP="00366B36">
      <w:r w:rsidRPr="004C18BB">
        <w:t xml:space="preserve">The comparator proposed </w:t>
      </w:r>
      <w:r w:rsidR="00E56A55">
        <w:t>in the ADAR</w:t>
      </w:r>
      <w:r w:rsidRPr="004C18BB">
        <w:t xml:space="preserve"> </w:t>
      </w:r>
      <w:r w:rsidR="00BD5438">
        <w:t>was</w:t>
      </w:r>
      <w:r w:rsidRPr="004C18BB">
        <w:t xml:space="preserve"> </w:t>
      </w:r>
      <w:r w:rsidR="00A30249" w:rsidRPr="004C18BB">
        <w:t xml:space="preserve">STSG </w:t>
      </w:r>
      <w:r w:rsidR="00712064" w:rsidRPr="004C18BB">
        <w:t>without ASCS</w:t>
      </w:r>
      <w:r w:rsidR="00084288" w:rsidRPr="004C18BB">
        <w:t xml:space="preserve">. </w:t>
      </w:r>
      <w:r w:rsidR="00084288" w:rsidRPr="00937401">
        <w:t>STSG</w:t>
      </w:r>
      <w:r w:rsidR="00BE2AB5">
        <w:t xml:space="preserve"> is</w:t>
      </w:r>
      <w:r w:rsidR="00996A8D" w:rsidRPr="004C18BB">
        <w:t xml:space="preserve"> currently the standard of care for treatment of severe burns</w:t>
      </w:r>
      <w:r w:rsidR="004B74CC" w:rsidRPr="004C18BB">
        <w:t>, therefore the</w:t>
      </w:r>
      <w:r w:rsidR="0001082C">
        <w:t xml:space="preserve"> commentary consider</w:t>
      </w:r>
      <w:r w:rsidR="00360B9F">
        <w:t>e</w:t>
      </w:r>
      <w:r w:rsidR="0001082C">
        <w:t>d</w:t>
      </w:r>
      <w:r w:rsidR="004B74CC" w:rsidRPr="004C18BB">
        <w:t xml:space="preserve"> the choice of comparator to be appropriate. </w:t>
      </w:r>
    </w:p>
    <w:p w14:paraId="146F65A9" w14:textId="7DCB018A" w:rsidR="00091BE6" w:rsidRPr="00600776" w:rsidRDefault="00223D18" w:rsidP="00366B36">
      <w:r w:rsidRPr="00600776">
        <w:t>STSG</w:t>
      </w:r>
      <w:r w:rsidR="004C7368" w:rsidRPr="00600776">
        <w:t xml:space="preserve">s involve harvesting a thin </w:t>
      </w:r>
      <w:r w:rsidR="009928B0">
        <w:t xml:space="preserve">slice </w:t>
      </w:r>
      <w:r w:rsidR="004C7368" w:rsidRPr="00600776">
        <w:t xml:space="preserve">of the </w:t>
      </w:r>
      <w:r w:rsidR="003C72E0" w:rsidRPr="00600776">
        <w:t>patient’s</w:t>
      </w:r>
      <w:r w:rsidR="004C7368" w:rsidRPr="00600776">
        <w:t xml:space="preserve"> skin from a healthy </w:t>
      </w:r>
      <w:r w:rsidR="003C72E0" w:rsidRPr="00600776">
        <w:t>donor site</w:t>
      </w:r>
      <w:r w:rsidR="07155121">
        <w:t>, including</w:t>
      </w:r>
      <w:r w:rsidR="003C72E0" w:rsidRPr="00600776">
        <w:t xml:space="preserve"> epidermal and dermal tissue. The donor skin is then placed over the burn wound and joined to the surrounding skin</w:t>
      </w:r>
      <w:r w:rsidR="00754D7F" w:rsidRPr="00600776">
        <w:t xml:space="preserve">. </w:t>
      </w:r>
      <w:r w:rsidR="00AC0E39">
        <w:t>For</w:t>
      </w:r>
      <w:r w:rsidR="00754D7F" w:rsidRPr="00600776">
        <w:t xml:space="preserve"> smaller burns</w:t>
      </w:r>
      <w:r w:rsidR="00AC0E39">
        <w:t>,</w:t>
      </w:r>
      <w:r w:rsidR="00754D7F" w:rsidRPr="00600776">
        <w:t xml:space="preserve"> </w:t>
      </w:r>
      <w:r w:rsidR="00777EF8" w:rsidRPr="00600776">
        <w:t>sheet grafts are used</w:t>
      </w:r>
      <w:r w:rsidR="00AC0E39">
        <w:t>,</w:t>
      </w:r>
      <w:r w:rsidR="00777EF8" w:rsidRPr="00600776">
        <w:t xml:space="preserve"> which require a </w:t>
      </w:r>
      <w:r w:rsidR="00AC0E39" w:rsidRPr="00937401">
        <w:t xml:space="preserve">1:1 </w:t>
      </w:r>
      <w:r w:rsidR="00777EF8" w:rsidRPr="00600776">
        <w:t xml:space="preserve">ratio of donor skin to graft site. </w:t>
      </w:r>
      <w:r w:rsidR="00AC0E39">
        <w:t>For</w:t>
      </w:r>
      <w:r w:rsidR="005828B9" w:rsidRPr="00600776">
        <w:t xml:space="preserve"> larger burns</w:t>
      </w:r>
      <w:r w:rsidR="00AC0E39">
        <w:t>,</w:t>
      </w:r>
      <w:r w:rsidR="005828B9" w:rsidRPr="00600776">
        <w:t xml:space="preserve"> </w:t>
      </w:r>
      <w:r w:rsidR="009928B0">
        <w:t>there may be insufficient donor area available</w:t>
      </w:r>
      <w:r w:rsidR="00762EF1" w:rsidRPr="00600776">
        <w:t>, in which case</w:t>
      </w:r>
      <w:r w:rsidR="00997077">
        <w:t>,</w:t>
      </w:r>
      <w:r w:rsidR="00762EF1" w:rsidRPr="00600776">
        <w:t xml:space="preserve"> </w:t>
      </w:r>
      <w:r w:rsidR="00814090" w:rsidRPr="00600776">
        <w:t>techniques</w:t>
      </w:r>
      <w:r w:rsidR="00762EF1" w:rsidRPr="00600776">
        <w:t xml:space="preserve"> </w:t>
      </w:r>
      <w:r w:rsidR="00C45073" w:rsidRPr="00600776">
        <w:t xml:space="preserve">such as meshed and meek STSGs </w:t>
      </w:r>
      <w:r w:rsidR="00762EF1" w:rsidRPr="00600776">
        <w:t>can be used to</w:t>
      </w:r>
      <w:r w:rsidR="00C45073" w:rsidRPr="00600776">
        <w:t xml:space="preserve"> expand the donor skin to cover a larger area</w:t>
      </w:r>
      <w:r w:rsidR="00FC4FF0" w:rsidRPr="00600776">
        <w:t xml:space="preserve"> without </w:t>
      </w:r>
      <w:r w:rsidR="00B76CA3">
        <w:t>harvesting</w:t>
      </w:r>
      <w:r w:rsidR="00B76CA3" w:rsidRPr="00600776">
        <w:t xml:space="preserve"> </w:t>
      </w:r>
      <w:r w:rsidR="00FC4FF0" w:rsidRPr="00600776">
        <w:t>more donor skin.</w:t>
      </w:r>
      <w:r w:rsidR="005C3DA2" w:rsidRPr="00600776">
        <w:t xml:space="preserve"> For example</w:t>
      </w:r>
      <w:r w:rsidR="00A0254E">
        <w:t>,</w:t>
      </w:r>
      <w:r w:rsidR="005C3DA2" w:rsidRPr="00600776">
        <w:t xml:space="preserve"> i</w:t>
      </w:r>
      <w:r w:rsidR="00FC4FF0" w:rsidRPr="00600776">
        <w:t xml:space="preserve">n </w:t>
      </w:r>
      <w:r w:rsidR="00B52602" w:rsidRPr="00600776">
        <w:t>large %TBSA burns</w:t>
      </w:r>
      <w:r w:rsidR="00C01B61">
        <w:t>,</w:t>
      </w:r>
      <w:r w:rsidR="00B52602" w:rsidRPr="00600776">
        <w:t xml:space="preserve"> meshed STSGs are used, </w:t>
      </w:r>
      <w:r w:rsidR="00BA1259">
        <w:t>which</w:t>
      </w:r>
      <w:r w:rsidR="00B52602" w:rsidRPr="00600776">
        <w:t xml:space="preserve"> involves making slits in the donor skin </w:t>
      </w:r>
      <w:r w:rsidR="00814090" w:rsidRPr="00600776">
        <w:t>allowing</w:t>
      </w:r>
      <w:r w:rsidR="00B52602" w:rsidRPr="00600776">
        <w:t xml:space="preserve"> the skin to extend (2</w:t>
      </w:r>
      <w:r w:rsidR="005B240D">
        <w:t>–</w:t>
      </w:r>
      <w:r w:rsidR="00F14762" w:rsidRPr="00600776">
        <w:t>3</w:t>
      </w:r>
      <w:r w:rsidR="00B52602" w:rsidRPr="00600776">
        <w:t xml:space="preserve"> </w:t>
      </w:r>
      <w:r w:rsidR="00086E45">
        <w:t>or more</w:t>
      </w:r>
      <w:r w:rsidR="00B52602" w:rsidRPr="00600776">
        <w:t xml:space="preserve"> times</w:t>
      </w:r>
      <w:r w:rsidR="00B52602" w:rsidRPr="00937401">
        <w:t>)</w:t>
      </w:r>
      <w:r w:rsidR="00E65709">
        <w:t xml:space="preserve">. </w:t>
      </w:r>
      <w:r w:rsidR="00086E45">
        <w:t>The wider the mesh, the more likely are poorer</w:t>
      </w:r>
      <w:r w:rsidR="00E65709">
        <w:t xml:space="preserve"> </w:t>
      </w:r>
      <w:r w:rsidR="00077892">
        <w:t>cosmetic outcome</w:t>
      </w:r>
      <w:r w:rsidR="00814090" w:rsidRPr="00600776">
        <w:t xml:space="preserve">s. </w:t>
      </w:r>
    </w:p>
    <w:p w14:paraId="5036BF00" w14:textId="63BCD36C" w:rsidR="00C72454" w:rsidRPr="00600776" w:rsidRDefault="00D0030E" w:rsidP="00366B36">
      <w:r w:rsidRPr="00600776">
        <w:t xml:space="preserve">In some cases </w:t>
      </w:r>
      <w:r w:rsidR="00C9279A" w:rsidRPr="00600776">
        <w:t xml:space="preserve">of delayed wound closure, </w:t>
      </w:r>
      <w:r w:rsidR="007D1E32" w:rsidRPr="00937401">
        <w:t>STSG</w:t>
      </w:r>
      <w:r w:rsidR="006A51BD">
        <w:t>s</w:t>
      </w:r>
      <w:r w:rsidR="007D1E32" w:rsidRPr="00600776">
        <w:t xml:space="preserve"> are used after </w:t>
      </w:r>
      <w:r w:rsidR="00C9279A" w:rsidRPr="00600776">
        <w:t xml:space="preserve">skin substitutes </w:t>
      </w:r>
      <w:r w:rsidR="00F210AF" w:rsidRPr="00600776">
        <w:t xml:space="preserve">have allowed for tissue regeneration. </w:t>
      </w:r>
      <w:r w:rsidR="00C72454" w:rsidRPr="00600776">
        <w:t>Skin substitutes provide coverage of avascular structures that would otherwise not sustain a graft</w:t>
      </w:r>
      <w:r w:rsidR="00825F32">
        <w:t>. S</w:t>
      </w:r>
      <w:r w:rsidR="00C72454" w:rsidRPr="00600776">
        <w:t xml:space="preserve">kin substitutes may also be used for temporary coverage to allow for staging </w:t>
      </w:r>
      <w:r w:rsidR="009E6DFB">
        <w:t>before</w:t>
      </w:r>
      <w:r w:rsidR="009E6DFB" w:rsidRPr="00937401">
        <w:t xml:space="preserve"> </w:t>
      </w:r>
      <w:r w:rsidR="00C72454" w:rsidRPr="00600776">
        <w:t xml:space="preserve">treatment for primary closure with STSGs. Therefore, STSGs are used in </w:t>
      </w:r>
      <w:r w:rsidR="00BF0BA0">
        <w:t>a</w:t>
      </w:r>
      <w:r w:rsidR="00BF0BA0" w:rsidRPr="00937401">
        <w:t xml:space="preserve"> </w:t>
      </w:r>
      <w:r w:rsidR="00C72454" w:rsidRPr="00600776">
        <w:t xml:space="preserve">delayed setting commonly for either </w:t>
      </w:r>
      <w:r w:rsidR="00516D57" w:rsidRPr="00600776">
        <w:t>regrafting after initial skin grafting fails or is insufficient</w:t>
      </w:r>
      <w:r w:rsidR="00E10241">
        <w:t>,</w:t>
      </w:r>
      <w:r w:rsidR="00516D57" w:rsidRPr="00600776">
        <w:t xml:space="preserve"> or in cases </w:t>
      </w:r>
      <w:r w:rsidR="00796F21" w:rsidRPr="00600776">
        <w:t>where</w:t>
      </w:r>
      <w:r w:rsidR="003A172E" w:rsidRPr="00600776">
        <w:t xml:space="preserve"> temporary skin substitutes have been used for initial wound </w:t>
      </w:r>
      <w:r w:rsidR="00930821" w:rsidRPr="00600776">
        <w:t>management and a f</w:t>
      </w:r>
      <w:r w:rsidR="003A172E" w:rsidRPr="00600776">
        <w:t xml:space="preserve">ollow-up procedure using STSGs </w:t>
      </w:r>
      <w:r w:rsidR="00930821" w:rsidRPr="00600776">
        <w:t xml:space="preserve">may be used for definitive wound closure. </w:t>
      </w:r>
    </w:p>
    <w:p w14:paraId="663585C5" w14:textId="08A44615" w:rsidR="00B76F50" w:rsidRPr="00600776" w:rsidRDefault="00B76F50" w:rsidP="00366B36">
      <w:r w:rsidRPr="00600776">
        <w:t xml:space="preserve">STSG </w:t>
      </w:r>
      <w:r w:rsidR="00C27780">
        <w:t>is</w:t>
      </w:r>
      <w:r w:rsidR="00C27780" w:rsidRPr="00600776">
        <w:t xml:space="preserve"> </w:t>
      </w:r>
      <w:r w:rsidRPr="00600776">
        <w:t xml:space="preserve">currently funded on the MBS for immediate </w:t>
      </w:r>
      <w:r w:rsidR="008556A1" w:rsidRPr="00600776">
        <w:t>definitive</w:t>
      </w:r>
      <w:r w:rsidRPr="00600776">
        <w:t xml:space="preserve"> </w:t>
      </w:r>
      <w:r w:rsidR="008556A1" w:rsidRPr="00600776">
        <w:t xml:space="preserve">(MBS </w:t>
      </w:r>
      <w:r w:rsidR="006F61CB">
        <w:t>items</w:t>
      </w:r>
      <w:r w:rsidR="008556A1" w:rsidRPr="00600776">
        <w:t xml:space="preserve"> 46117</w:t>
      </w:r>
      <w:r w:rsidR="00C27780">
        <w:t>–</w:t>
      </w:r>
      <w:r w:rsidR="008556A1" w:rsidRPr="00600776">
        <w:t xml:space="preserve">46124) </w:t>
      </w:r>
      <w:r w:rsidRPr="00600776">
        <w:t xml:space="preserve">and delayed definitive </w:t>
      </w:r>
      <w:r w:rsidR="008556A1" w:rsidRPr="00600776">
        <w:t>(</w:t>
      </w:r>
      <w:r w:rsidR="00040BF2" w:rsidRPr="00600776">
        <w:t xml:space="preserve">MBS </w:t>
      </w:r>
      <w:r w:rsidR="006F61CB">
        <w:t>items</w:t>
      </w:r>
      <w:r w:rsidR="00040BF2" w:rsidRPr="00600776">
        <w:t xml:space="preserve"> 46134</w:t>
      </w:r>
      <w:r w:rsidR="00C27780">
        <w:t xml:space="preserve">, </w:t>
      </w:r>
      <w:r w:rsidR="00040BF2" w:rsidRPr="00600776">
        <w:t>46135)</w:t>
      </w:r>
      <w:r w:rsidR="00221D3C" w:rsidRPr="00221D3C">
        <w:t xml:space="preserve"> </w:t>
      </w:r>
      <w:r w:rsidR="00221D3C" w:rsidRPr="00600776">
        <w:t>wound closure</w:t>
      </w:r>
      <w:r w:rsidR="00221D3C">
        <w:t xml:space="preserve"> of burns </w:t>
      </w:r>
      <w:r w:rsidR="0085600A">
        <w:t xml:space="preserve">with defect areas ≥20% </w:t>
      </w:r>
      <w:r w:rsidR="0085600A" w:rsidDel="00032D1B">
        <w:t>TBSA</w:t>
      </w:r>
      <w:r w:rsidR="00FD6E8C">
        <w:t xml:space="preserve"> (</w:t>
      </w:r>
      <w:r w:rsidR="00C825ED">
        <w:fldChar w:fldCharType="begin"/>
      </w:r>
      <w:r w:rsidR="00C825ED">
        <w:instrText xml:space="preserve"> REF _Ref194326099 \h </w:instrText>
      </w:r>
      <w:r w:rsidR="00C825ED">
        <w:fldChar w:fldCharType="separate"/>
      </w:r>
      <w:r w:rsidR="00487E4A">
        <w:t>Table</w:t>
      </w:r>
      <w:r w:rsidR="00487E4A" w:rsidRPr="004C18BB">
        <w:t> </w:t>
      </w:r>
      <w:r w:rsidR="00487E4A">
        <w:rPr>
          <w:noProof/>
        </w:rPr>
        <w:t>6</w:t>
      </w:r>
      <w:r w:rsidR="00C825ED">
        <w:fldChar w:fldCharType="end"/>
      </w:r>
      <w:r w:rsidR="00FD6E8C">
        <w:t>)</w:t>
      </w:r>
      <w:r w:rsidR="00C825ED" w:rsidRPr="006F61CB">
        <w:t>.</w:t>
      </w:r>
    </w:p>
    <w:p w14:paraId="3CD0A94C" w14:textId="62B25F86" w:rsidR="00F03D19" w:rsidRDefault="00266825" w:rsidP="0054173E">
      <w:pPr>
        <w:pStyle w:val="TableHeading0"/>
        <w:keepNext/>
        <w:keepLines/>
      </w:pPr>
      <w:bookmarkStart w:id="25" w:name="_Ref194326099"/>
      <w:bookmarkStart w:id="26" w:name="_Ref193461491"/>
      <w:r>
        <w:lastRenderedPageBreak/>
        <w:t>Table</w:t>
      </w:r>
      <w:r w:rsidR="00B02163" w:rsidRPr="004C18BB">
        <w:t> </w:t>
      </w:r>
      <w:r>
        <w:fldChar w:fldCharType="begin"/>
      </w:r>
      <w:r>
        <w:instrText>SEQ Table \* ARABIC</w:instrText>
      </w:r>
      <w:r>
        <w:fldChar w:fldCharType="separate"/>
      </w:r>
      <w:r w:rsidR="00487E4A">
        <w:rPr>
          <w:noProof/>
        </w:rPr>
        <w:t>6</w:t>
      </w:r>
      <w:r>
        <w:fldChar w:fldCharType="end"/>
      </w:r>
      <w:bookmarkEnd w:id="25"/>
      <w:r w:rsidR="00B02163">
        <w:t xml:space="preserve">: </w:t>
      </w:r>
      <w:r w:rsidR="00F14705">
        <w:t>MBS items for immediate and delayed wound closure</w:t>
      </w:r>
      <w:bookmarkEnd w:id="26"/>
      <w:r w:rsidR="00AA0A28">
        <w:t xml:space="preserve"> of burns </w:t>
      </w:r>
      <w:r w:rsidR="004F5E8B">
        <w:t>with defect areas ≥20% total body surface area</w:t>
      </w:r>
    </w:p>
    <w:tbl>
      <w:tblPr>
        <w:tblStyle w:val="TableGrid"/>
        <w:tblW w:w="5000" w:type="pct"/>
        <w:tblLayout w:type="fixed"/>
        <w:tblLook w:val="04A0" w:firstRow="1" w:lastRow="0" w:firstColumn="1" w:lastColumn="0" w:noHBand="0" w:noVBand="1"/>
      </w:tblPr>
      <w:tblGrid>
        <w:gridCol w:w="3680"/>
        <w:gridCol w:w="1077"/>
        <w:gridCol w:w="2775"/>
        <w:gridCol w:w="1484"/>
      </w:tblGrid>
      <w:tr w:rsidR="4A542532" w:rsidRPr="000D4886" w14:paraId="0ED3A8A2" w14:textId="77777777" w:rsidTr="006527C9">
        <w:trPr>
          <w:trHeight w:val="690"/>
          <w:tblHeader/>
        </w:trPr>
        <w:tc>
          <w:tcPr>
            <w:tcW w:w="2041" w:type="pct"/>
            <w:tcMar>
              <w:left w:w="108" w:type="dxa"/>
              <w:right w:w="108" w:type="dxa"/>
            </w:tcMar>
          </w:tcPr>
          <w:p w14:paraId="707B8DC5" w14:textId="39359616" w:rsidR="4A542532" w:rsidRPr="00EA7BAC" w:rsidRDefault="4A542532" w:rsidP="0054173E">
            <w:pPr>
              <w:pStyle w:val="TableText"/>
              <w:keepNext/>
              <w:keepLines/>
              <w:rPr>
                <w:b/>
              </w:rPr>
            </w:pPr>
            <w:r w:rsidRPr="00EA7BAC">
              <w:rPr>
                <w:b/>
              </w:rPr>
              <w:t>Description</w:t>
            </w:r>
          </w:p>
        </w:tc>
        <w:tc>
          <w:tcPr>
            <w:tcW w:w="597" w:type="pct"/>
            <w:tcMar>
              <w:left w:w="108" w:type="dxa"/>
              <w:right w:w="108" w:type="dxa"/>
            </w:tcMar>
          </w:tcPr>
          <w:p w14:paraId="2F762141" w14:textId="2E4FDDC4" w:rsidR="4A542532" w:rsidRPr="00750701" w:rsidRDefault="4A542532" w:rsidP="0054173E">
            <w:pPr>
              <w:pStyle w:val="TableText"/>
              <w:keepNext/>
              <w:keepLines/>
              <w:rPr>
                <w:b/>
              </w:rPr>
            </w:pPr>
            <w:r w:rsidRPr="00750701">
              <w:rPr>
                <w:b/>
              </w:rPr>
              <w:t xml:space="preserve">MBS Item </w:t>
            </w:r>
            <w:r w:rsidR="00BE29E4">
              <w:rPr>
                <w:b/>
              </w:rPr>
              <w:t>n</w:t>
            </w:r>
            <w:r w:rsidRPr="00750701">
              <w:rPr>
                <w:b/>
              </w:rPr>
              <w:t>umber</w:t>
            </w:r>
          </w:p>
        </w:tc>
        <w:tc>
          <w:tcPr>
            <w:tcW w:w="1539" w:type="pct"/>
            <w:tcMar>
              <w:left w:w="108" w:type="dxa"/>
              <w:right w:w="108" w:type="dxa"/>
            </w:tcMar>
          </w:tcPr>
          <w:p w14:paraId="5C8DC886" w14:textId="73DB301D" w:rsidR="4A542532" w:rsidRPr="00750701" w:rsidRDefault="4A542532" w:rsidP="0054173E">
            <w:pPr>
              <w:pStyle w:val="TableText"/>
              <w:keepNext/>
              <w:keepLines/>
              <w:rPr>
                <w:b/>
              </w:rPr>
            </w:pPr>
            <w:r w:rsidRPr="00750701">
              <w:rPr>
                <w:b/>
              </w:rPr>
              <w:t xml:space="preserve">Total body </w:t>
            </w:r>
            <w:r w:rsidRPr="00750701">
              <w:rPr>
                <w:rFonts w:eastAsia="Arial" w:cs="Arial"/>
                <w:b/>
                <w:szCs w:val="20"/>
              </w:rPr>
              <w:t xml:space="preserve">surface </w:t>
            </w:r>
            <w:r w:rsidR="000E1FCF" w:rsidRPr="00750701">
              <w:rPr>
                <w:rFonts w:eastAsia="Arial" w:cs="Arial"/>
                <w:b/>
                <w:szCs w:val="20"/>
              </w:rPr>
              <w:t xml:space="preserve">area </w:t>
            </w:r>
            <w:r w:rsidRPr="00750701">
              <w:rPr>
                <w:rFonts w:eastAsia="Arial" w:cs="Arial"/>
                <w:b/>
                <w:szCs w:val="20"/>
              </w:rPr>
              <w:t xml:space="preserve">of defect </w:t>
            </w:r>
          </w:p>
        </w:tc>
        <w:tc>
          <w:tcPr>
            <w:tcW w:w="823" w:type="pct"/>
            <w:tcMar>
              <w:left w:w="108" w:type="dxa"/>
              <w:right w:w="108" w:type="dxa"/>
            </w:tcMar>
          </w:tcPr>
          <w:p w14:paraId="7BCE85F3" w14:textId="3AD1BD33" w:rsidR="4A542532" w:rsidRPr="00750701" w:rsidRDefault="4A542532" w:rsidP="0054173E">
            <w:pPr>
              <w:pStyle w:val="TableText"/>
              <w:keepNext/>
              <w:keepLines/>
              <w:rPr>
                <w:b/>
              </w:rPr>
            </w:pPr>
            <w:r w:rsidRPr="00750701">
              <w:rPr>
                <w:b/>
              </w:rPr>
              <w:t xml:space="preserve">Listing </w:t>
            </w:r>
            <w:r w:rsidR="00BE29E4">
              <w:rPr>
                <w:b/>
              </w:rPr>
              <w:t>d</w:t>
            </w:r>
            <w:r w:rsidRPr="00750701">
              <w:rPr>
                <w:b/>
              </w:rPr>
              <w:t>ate</w:t>
            </w:r>
          </w:p>
        </w:tc>
      </w:tr>
      <w:tr w:rsidR="4A542532" w:rsidRPr="000D4886" w14:paraId="6C08D640" w14:textId="77777777" w:rsidTr="006527C9">
        <w:trPr>
          <w:trHeight w:val="300"/>
        </w:trPr>
        <w:tc>
          <w:tcPr>
            <w:tcW w:w="5000" w:type="pct"/>
            <w:gridSpan w:val="4"/>
            <w:shd w:val="clear" w:color="auto" w:fill="F2F2F2" w:themeFill="background1" w:themeFillShade="F2"/>
            <w:tcMar>
              <w:left w:w="108" w:type="dxa"/>
              <w:right w:w="108" w:type="dxa"/>
            </w:tcMar>
          </w:tcPr>
          <w:p w14:paraId="5AC15567" w14:textId="3C4E3CC2" w:rsidR="4A542532" w:rsidRPr="00EA7BAC" w:rsidRDefault="4A542532" w:rsidP="0054173E">
            <w:pPr>
              <w:pStyle w:val="TableText"/>
              <w:keepNext/>
              <w:keepLines/>
              <w:rPr>
                <w:b/>
              </w:rPr>
            </w:pPr>
            <w:r w:rsidRPr="00EA7BAC">
              <w:rPr>
                <w:b/>
                <w:i/>
                <w:color w:val="000000" w:themeColor="text1"/>
              </w:rPr>
              <w:t xml:space="preserve">Immediate </w:t>
            </w:r>
            <w:r w:rsidRPr="00EA7BAC">
              <w:rPr>
                <w:rFonts w:eastAsia="Arial" w:cs="Arial"/>
                <w:b/>
                <w:i/>
                <w:color w:val="000000" w:themeColor="text1"/>
                <w:szCs w:val="20"/>
              </w:rPr>
              <w:t>definitive closure items</w:t>
            </w:r>
          </w:p>
        </w:tc>
      </w:tr>
      <w:tr w:rsidR="4A542532" w:rsidRPr="000D4886" w14:paraId="6AFDC810" w14:textId="77777777" w:rsidTr="006527C9">
        <w:trPr>
          <w:trHeight w:val="540"/>
        </w:trPr>
        <w:tc>
          <w:tcPr>
            <w:tcW w:w="2041" w:type="pct"/>
            <w:vMerge w:val="restart"/>
            <w:tcMar>
              <w:left w:w="108" w:type="dxa"/>
              <w:right w:w="108" w:type="dxa"/>
            </w:tcMar>
          </w:tcPr>
          <w:p w14:paraId="4D1470A5" w14:textId="0AF4544E" w:rsidR="4A542532" w:rsidRPr="00600776" w:rsidRDefault="4A542532" w:rsidP="0054173E">
            <w:pPr>
              <w:pStyle w:val="TableText"/>
              <w:keepNext/>
              <w:keepLines/>
            </w:pPr>
            <w:r w:rsidRPr="00600776">
              <w:t>Excised burn wound closure if the service:</w:t>
            </w:r>
          </w:p>
          <w:p w14:paraId="40B4EE82" w14:textId="302E5865" w:rsidR="4A542532" w:rsidRPr="00600776" w:rsidRDefault="4A542532" w:rsidP="0054173E">
            <w:pPr>
              <w:pStyle w:val="TableText"/>
              <w:keepNext/>
              <w:keepLines/>
            </w:pPr>
            <w:r w:rsidRPr="00600776">
              <w:t xml:space="preserve"> </w:t>
            </w:r>
          </w:p>
          <w:p w14:paraId="662F0407" w14:textId="25DC3CC1" w:rsidR="4A542532" w:rsidRPr="00600776" w:rsidRDefault="4A542532" w:rsidP="0054173E">
            <w:pPr>
              <w:pStyle w:val="TableText"/>
              <w:keepNext/>
              <w:keepLines/>
            </w:pPr>
            <w:r w:rsidRPr="00600776">
              <w:t xml:space="preserve">(a) is performed at the same time as the procedure for the primary burn wound </w:t>
            </w:r>
            <w:r w:rsidRPr="00F03D19">
              <w:t>excision; and</w:t>
            </w:r>
          </w:p>
          <w:p w14:paraId="76C77D13" w14:textId="5D28A69A" w:rsidR="4A542532" w:rsidRPr="00600776" w:rsidRDefault="4A542532" w:rsidP="0054173E">
            <w:pPr>
              <w:pStyle w:val="TableText"/>
              <w:keepNext/>
              <w:keepLines/>
            </w:pPr>
            <w:r w:rsidRPr="00600776">
              <w:t>(b) involves:</w:t>
            </w:r>
          </w:p>
          <w:p w14:paraId="5BF9547B" w14:textId="3006142F" w:rsidR="4A542532" w:rsidRPr="00600776" w:rsidRDefault="4A542532" w:rsidP="0054173E">
            <w:pPr>
              <w:pStyle w:val="TableText"/>
              <w:keepNext/>
              <w:keepLines/>
            </w:pPr>
            <w:r w:rsidRPr="00600776">
              <w:t xml:space="preserve">(i) </w:t>
            </w:r>
            <w:r w:rsidRPr="00F03D19">
              <w:t>autologous skin grafting for definitive closure; or</w:t>
            </w:r>
          </w:p>
          <w:p w14:paraId="1116B06B" w14:textId="1B542053" w:rsidR="4A542532" w:rsidRPr="00600776" w:rsidRDefault="4A542532" w:rsidP="0054173E">
            <w:pPr>
              <w:pStyle w:val="TableText"/>
              <w:keepNext/>
              <w:keepLines/>
            </w:pPr>
            <w:r w:rsidRPr="00600776">
              <w:t>(ii) allogenic skin grafting, or biosynthetic skin substitutes, to tempori</w:t>
            </w:r>
            <w:r w:rsidR="00AD6EAD">
              <w:t>s</w:t>
            </w:r>
            <w:r w:rsidRPr="00600776">
              <w:t>e the excised wound;</w:t>
            </w:r>
          </w:p>
          <w:p w14:paraId="2641338A" w14:textId="5D60ECBD" w:rsidR="4A542532" w:rsidRPr="00600776" w:rsidRDefault="4A542532" w:rsidP="0054173E">
            <w:pPr>
              <w:pStyle w:val="TableText"/>
              <w:keepNext/>
              <w:keepLines/>
            </w:pPr>
            <w:r w:rsidRPr="00600776">
              <w:t xml:space="preserve"> </w:t>
            </w:r>
          </w:p>
          <w:p w14:paraId="2754E856" w14:textId="28BF82CC" w:rsidR="4A542532" w:rsidRPr="00600776" w:rsidRDefault="4A542532" w:rsidP="0054173E">
            <w:pPr>
              <w:pStyle w:val="TableText"/>
              <w:keepNext/>
              <w:keepLines/>
            </w:pPr>
            <w:r w:rsidRPr="00600776">
              <w:t>excluding aftercare (H)</w:t>
            </w:r>
          </w:p>
        </w:tc>
        <w:tc>
          <w:tcPr>
            <w:tcW w:w="597" w:type="pct"/>
            <w:tcMar>
              <w:left w:w="108" w:type="dxa"/>
              <w:right w:w="108" w:type="dxa"/>
            </w:tcMar>
          </w:tcPr>
          <w:p w14:paraId="1117370A" w14:textId="198BC61F" w:rsidR="4A542532" w:rsidRPr="00600776" w:rsidRDefault="4A542532" w:rsidP="0054173E">
            <w:pPr>
              <w:pStyle w:val="TableText"/>
              <w:keepNext/>
              <w:keepLines/>
            </w:pPr>
            <w:r w:rsidRPr="00600776">
              <w:t>46117</w:t>
            </w:r>
          </w:p>
        </w:tc>
        <w:tc>
          <w:tcPr>
            <w:tcW w:w="1539" w:type="pct"/>
            <w:tcMar>
              <w:left w:w="108" w:type="dxa"/>
              <w:right w:w="108" w:type="dxa"/>
            </w:tcMar>
          </w:tcPr>
          <w:p w14:paraId="60C682F0" w14:textId="6562E3EE" w:rsidR="4A542532" w:rsidRPr="00600776" w:rsidRDefault="4A542532" w:rsidP="0054173E">
            <w:pPr>
              <w:pStyle w:val="TableText"/>
              <w:keepNext/>
              <w:keepLines/>
            </w:pPr>
            <w:r w:rsidRPr="00600776">
              <w:t xml:space="preserve">20% or more but less than 30% </w:t>
            </w:r>
          </w:p>
        </w:tc>
        <w:tc>
          <w:tcPr>
            <w:tcW w:w="823" w:type="pct"/>
            <w:tcMar>
              <w:left w:w="108" w:type="dxa"/>
              <w:right w:w="108" w:type="dxa"/>
            </w:tcMar>
          </w:tcPr>
          <w:p w14:paraId="3D2085C7" w14:textId="307ADE22" w:rsidR="4A542532" w:rsidRPr="00600776" w:rsidRDefault="4A542532" w:rsidP="0054173E">
            <w:pPr>
              <w:pStyle w:val="TableText"/>
              <w:keepNext/>
              <w:keepLines/>
            </w:pPr>
            <w:r w:rsidRPr="00600776">
              <w:t>1</w:t>
            </w:r>
            <w:r w:rsidR="00B467A5">
              <w:t xml:space="preserve"> July </w:t>
            </w:r>
            <w:r w:rsidRPr="00600776">
              <w:t>2023</w:t>
            </w:r>
          </w:p>
        </w:tc>
      </w:tr>
      <w:tr w:rsidR="4A542532" w:rsidRPr="000D4886" w14:paraId="44491B85" w14:textId="77777777" w:rsidTr="006527C9">
        <w:trPr>
          <w:trHeight w:val="555"/>
        </w:trPr>
        <w:tc>
          <w:tcPr>
            <w:tcW w:w="2041" w:type="pct"/>
            <w:vMerge/>
            <w:vAlign w:val="center"/>
          </w:tcPr>
          <w:p w14:paraId="44FFA751" w14:textId="77777777" w:rsidR="00EF75BC" w:rsidRPr="00600776" w:rsidRDefault="00EF75BC" w:rsidP="0054173E">
            <w:pPr>
              <w:pStyle w:val="TableText"/>
              <w:keepNext/>
              <w:keepLines/>
            </w:pPr>
          </w:p>
        </w:tc>
        <w:tc>
          <w:tcPr>
            <w:tcW w:w="597" w:type="pct"/>
            <w:tcMar>
              <w:left w:w="108" w:type="dxa"/>
              <w:right w:w="108" w:type="dxa"/>
            </w:tcMar>
          </w:tcPr>
          <w:p w14:paraId="2E0D4066" w14:textId="40FE9A6D" w:rsidR="4A542532" w:rsidRPr="00600776" w:rsidRDefault="4A542532" w:rsidP="0054173E">
            <w:pPr>
              <w:pStyle w:val="TableText"/>
              <w:keepNext/>
              <w:keepLines/>
            </w:pPr>
            <w:r w:rsidRPr="00600776">
              <w:t>46118</w:t>
            </w:r>
          </w:p>
        </w:tc>
        <w:tc>
          <w:tcPr>
            <w:tcW w:w="1539" w:type="pct"/>
            <w:tcMar>
              <w:left w:w="108" w:type="dxa"/>
              <w:right w:w="108" w:type="dxa"/>
            </w:tcMar>
          </w:tcPr>
          <w:p w14:paraId="2F82E6B5" w14:textId="0616A9EA" w:rsidR="4A542532" w:rsidRPr="00600776" w:rsidRDefault="4A542532" w:rsidP="0054173E">
            <w:pPr>
              <w:pStyle w:val="TableText"/>
              <w:keepNext/>
              <w:keepLines/>
            </w:pPr>
            <w:r w:rsidRPr="00600776">
              <w:t xml:space="preserve">30% or more but less than 40% </w:t>
            </w:r>
          </w:p>
        </w:tc>
        <w:tc>
          <w:tcPr>
            <w:tcW w:w="823" w:type="pct"/>
            <w:tcMar>
              <w:left w:w="108" w:type="dxa"/>
              <w:right w:w="108" w:type="dxa"/>
            </w:tcMar>
          </w:tcPr>
          <w:p w14:paraId="50E19A6D" w14:textId="602A050B"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2807510E" w14:textId="77777777" w:rsidTr="006527C9">
        <w:trPr>
          <w:trHeight w:val="570"/>
        </w:trPr>
        <w:tc>
          <w:tcPr>
            <w:tcW w:w="2041" w:type="pct"/>
            <w:vMerge/>
            <w:vAlign w:val="center"/>
          </w:tcPr>
          <w:p w14:paraId="220D33CB" w14:textId="77777777" w:rsidR="00EF75BC" w:rsidRPr="00600776" w:rsidRDefault="00EF75BC" w:rsidP="0054173E">
            <w:pPr>
              <w:pStyle w:val="TableText"/>
              <w:keepNext/>
              <w:keepLines/>
            </w:pPr>
          </w:p>
        </w:tc>
        <w:tc>
          <w:tcPr>
            <w:tcW w:w="597" w:type="pct"/>
            <w:tcMar>
              <w:left w:w="108" w:type="dxa"/>
              <w:right w:w="108" w:type="dxa"/>
            </w:tcMar>
          </w:tcPr>
          <w:p w14:paraId="6C178247" w14:textId="57E2BC70" w:rsidR="4A542532" w:rsidRPr="00600776" w:rsidRDefault="4A542532" w:rsidP="0054173E">
            <w:pPr>
              <w:pStyle w:val="TableText"/>
              <w:keepNext/>
              <w:keepLines/>
            </w:pPr>
            <w:r w:rsidRPr="00600776">
              <w:t>46119</w:t>
            </w:r>
          </w:p>
        </w:tc>
        <w:tc>
          <w:tcPr>
            <w:tcW w:w="1539" w:type="pct"/>
            <w:tcMar>
              <w:left w:w="108" w:type="dxa"/>
              <w:right w:w="108" w:type="dxa"/>
            </w:tcMar>
          </w:tcPr>
          <w:p w14:paraId="0E6820CC" w14:textId="058E1590" w:rsidR="4A542532" w:rsidRPr="00600776" w:rsidRDefault="4A542532" w:rsidP="0054173E">
            <w:pPr>
              <w:pStyle w:val="TableText"/>
              <w:keepNext/>
              <w:keepLines/>
            </w:pPr>
            <w:r w:rsidRPr="00600776">
              <w:t xml:space="preserve">40% or more but less than 50% </w:t>
            </w:r>
          </w:p>
        </w:tc>
        <w:tc>
          <w:tcPr>
            <w:tcW w:w="823" w:type="pct"/>
            <w:tcMar>
              <w:left w:w="108" w:type="dxa"/>
              <w:right w:w="108" w:type="dxa"/>
            </w:tcMar>
          </w:tcPr>
          <w:p w14:paraId="4C0C6D9C" w14:textId="750EA302" w:rsidR="4A542532" w:rsidRPr="00600776" w:rsidRDefault="4A542532" w:rsidP="0054173E">
            <w:pPr>
              <w:pStyle w:val="TableText"/>
              <w:keepNext/>
              <w:keepLines/>
            </w:pPr>
            <w:r w:rsidRPr="00600776">
              <w:t>1</w:t>
            </w:r>
            <w:r w:rsidR="00B467A5">
              <w:t xml:space="preserve"> July </w:t>
            </w:r>
            <w:r w:rsidRPr="00600776">
              <w:t>2023</w:t>
            </w:r>
          </w:p>
        </w:tc>
      </w:tr>
      <w:tr w:rsidR="4A542532" w:rsidRPr="000D4886" w14:paraId="06E24CD6" w14:textId="77777777" w:rsidTr="006527C9">
        <w:trPr>
          <w:trHeight w:val="585"/>
        </w:trPr>
        <w:tc>
          <w:tcPr>
            <w:tcW w:w="2041" w:type="pct"/>
            <w:vMerge/>
            <w:vAlign w:val="center"/>
          </w:tcPr>
          <w:p w14:paraId="1011B5AE" w14:textId="77777777" w:rsidR="00EF75BC" w:rsidRPr="00600776" w:rsidRDefault="00EF75BC" w:rsidP="0054173E">
            <w:pPr>
              <w:pStyle w:val="TableText"/>
              <w:keepNext/>
              <w:keepLines/>
            </w:pPr>
          </w:p>
        </w:tc>
        <w:tc>
          <w:tcPr>
            <w:tcW w:w="597" w:type="pct"/>
            <w:tcMar>
              <w:left w:w="108" w:type="dxa"/>
              <w:right w:w="108" w:type="dxa"/>
            </w:tcMar>
          </w:tcPr>
          <w:p w14:paraId="4EBE2E2A" w14:textId="6327E739" w:rsidR="4A542532" w:rsidRPr="00600776" w:rsidRDefault="4A542532" w:rsidP="0054173E">
            <w:pPr>
              <w:pStyle w:val="TableText"/>
              <w:keepNext/>
              <w:keepLines/>
            </w:pPr>
            <w:r w:rsidRPr="00600776">
              <w:t>46120</w:t>
            </w:r>
          </w:p>
        </w:tc>
        <w:tc>
          <w:tcPr>
            <w:tcW w:w="1539" w:type="pct"/>
            <w:tcMar>
              <w:left w:w="108" w:type="dxa"/>
              <w:right w:w="108" w:type="dxa"/>
            </w:tcMar>
          </w:tcPr>
          <w:p w14:paraId="6B7D898B" w14:textId="191ED2F9" w:rsidR="4A542532" w:rsidRPr="00600776" w:rsidRDefault="4A542532" w:rsidP="0054173E">
            <w:pPr>
              <w:pStyle w:val="TableText"/>
              <w:keepNext/>
              <w:keepLines/>
            </w:pPr>
            <w:r w:rsidRPr="00600776">
              <w:t xml:space="preserve">50% or more but less than 60% </w:t>
            </w:r>
          </w:p>
        </w:tc>
        <w:tc>
          <w:tcPr>
            <w:tcW w:w="823" w:type="pct"/>
            <w:tcMar>
              <w:left w:w="108" w:type="dxa"/>
              <w:right w:w="108" w:type="dxa"/>
            </w:tcMar>
          </w:tcPr>
          <w:p w14:paraId="576C6A3B" w14:textId="1F507669"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07CD0C53" w14:textId="77777777" w:rsidTr="006527C9">
        <w:trPr>
          <w:trHeight w:val="570"/>
        </w:trPr>
        <w:tc>
          <w:tcPr>
            <w:tcW w:w="2041" w:type="pct"/>
            <w:vMerge/>
            <w:vAlign w:val="center"/>
          </w:tcPr>
          <w:p w14:paraId="71D208FB" w14:textId="77777777" w:rsidR="00EF75BC" w:rsidRPr="00600776" w:rsidRDefault="00EF75BC" w:rsidP="0054173E">
            <w:pPr>
              <w:pStyle w:val="TableText"/>
              <w:keepNext/>
              <w:keepLines/>
            </w:pPr>
          </w:p>
        </w:tc>
        <w:tc>
          <w:tcPr>
            <w:tcW w:w="597" w:type="pct"/>
            <w:tcMar>
              <w:left w:w="108" w:type="dxa"/>
              <w:right w:w="108" w:type="dxa"/>
            </w:tcMar>
          </w:tcPr>
          <w:p w14:paraId="0CE83EC0" w14:textId="726C35D6" w:rsidR="4A542532" w:rsidRPr="00600776" w:rsidRDefault="4A542532" w:rsidP="0054173E">
            <w:pPr>
              <w:pStyle w:val="TableText"/>
              <w:keepNext/>
              <w:keepLines/>
            </w:pPr>
            <w:r w:rsidRPr="00600776">
              <w:t>46121</w:t>
            </w:r>
          </w:p>
        </w:tc>
        <w:tc>
          <w:tcPr>
            <w:tcW w:w="1539" w:type="pct"/>
            <w:tcMar>
              <w:left w:w="108" w:type="dxa"/>
              <w:right w:w="108" w:type="dxa"/>
            </w:tcMar>
          </w:tcPr>
          <w:p w14:paraId="109D49F3" w14:textId="743842A3" w:rsidR="4A542532" w:rsidRPr="00600776" w:rsidRDefault="4A542532" w:rsidP="0054173E">
            <w:pPr>
              <w:pStyle w:val="TableText"/>
              <w:keepNext/>
              <w:keepLines/>
            </w:pPr>
            <w:r w:rsidRPr="00600776">
              <w:t xml:space="preserve">60% or more but less than 70% </w:t>
            </w:r>
          </w:p>
        </w:tc>
        <w:tc>
          <w:tcPr>
            <w:tcW w:w="823" w:type="pct"/>
            <w:tcMar>
              <w:left w:w="108" w:type="dxa"/>
              <w:right w:w="108" w:type="dxa"/>
            </w:tcMar>
          </w:tcPr>
          <w:p w14:paraId="20D16AF0" w14:textId="7C39A23E"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23563345" w14:textId="77777777" w:rsidTr="006527C9">
        <w:trPr>
          <w:trHeight w:val="570"/>
        </w:trPr>
        <w:tc>
          <w:tcPr>
            <w:tcW w:w="2041" w:type="pct"/>
            <w:vMerge/>
            <w:vAlign w:val="center"/>
          </w:tcPr>
          <w:p w14:paraId="32116E30" w14:textId="77777777" w:rsidR="00EF75BC" w:rsidRPr="00600776" w:rsidRDefault="00EF75BC" w:rsidP="0054173E">
            <w:pPr>
              <w:pStyle w:val="TableText"/>
              <w:keepNext/>
              <w:keepLines/>
            </w:pPr>
          </w:p>
        </w:tc>
        <w:tc>
          <w:tcPr>
            <w:tcW w:w="597" w:type="pct"/>
            <w:tcMar>
              <w:left w:w="108" w:type="dxa"/>
              <w:right w:w="108" w:type="dxa"/>
            </w:tcMar>
          </w:tcPr>
          <w:p w14:paraId="4AFFEA43" w14:textId="070BACF1" w:rsidR="4A542532" w:rsidRPr="00600776" w:rsidRDefault="4A542532" w:rsidP="0054173E">
            <w:pPr>
              <w:pStyle w:val="TableText"/>
              <w:keepNext/>
              <w:keepLines/>
            </w:pPr>
            <w:r w:rsidRPr="00600776">
              <w:t>46122</w:t>
            </w:r>
          </w:p>
        </w:tc>
        <w:tc>
          <w:tcPr>
            <w:tcW w:w="1539" w:type="pct"/>
            <w:tcMar>
              <w:left w:w="108" w:type="dxa"/>
              <w:right w:w="108" w:type="dxa"/>
            </w:tcMar>
          </w:tcPr>
          <w:p w14:paraId="3E14DC21" w14:textId="44000D59" w:rsidR="4A542532" w:rsidRPr="00600776" w:rsidRDefault="4A542532" w:rsidP="0054173E">
            <w:pPr>
              <w:pStyle w:val="TableText"/>
              <w:keepNext/>
              <w:keepLines/>
            </w:pPr>
            <w:r w:rsidRPr="00600776">
              <w:t xml:space="preserve">70% or more but less than 80% </w:t>
            </w:r>
          </w:p>
        </w:tc>
        <w:tc>
          <w:tcPr>
            <w:tcW w:w="823" w:type="pct"/>
            <w:tcMar>
              <w:left w:w="108" w:type="dxa"/>
              <w:right w:w="108" w:type="dxa"/>
            </w:tcMar>
          </w:tcPr>
          <w:p w14:paraId="49F8D02D" w14:textId="083F6704"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13608A70" w14:textId="77777777" w:rsidTr="006527C9">
        <w:trPr>
          <w:trHeight w:val="420"/>
        </w:trPr>
        <w:tc>
          <w:tcPr>
            <w:tcW w:w="2041" w:type="pct"/>
            <w:vMerge/>
            <w:vAlign w:val="center"/>
          </w:tcPr>
          <w:p w14:paraId="5EC84EFE" w14:textId="77777777" w:rsidR="00EF75BC" w:rsidRPr="00600776" w:rsidRDefault="00EF75BC" w:rsidP="0054173E">
            <w:pPr>
              <w:pStyle w:val="TableText"/>
              <w:keepNext/>
              <w:keepLines/>
            </w:pPr>
          </w:p>
        </w:tc>
        <w:tc>
          <w:tcPr>
            <w:tcW w:w="597" w:type="pct"/>
            <w:tcMar>
              <w:left w:w="108" w:type="dxa"/>
              <w:right w:w="108" w:type="dxa"/>
            </w:tcMar>
          </w:tcPr>
          <w:p w14:paraId="6530430A" w14:textId="42EFAEC6" w:rsidR="4A542532" w:rsidRPr="00600776" w:rsidRDefault="4A542532" w:rsidP="0054173E">
            <w:pPr>
              <w:pStyle w:val="TableText"/>
              <w:keepNext/>
              <w:keepLines/>
            </w:pPr>
            <w:r w:rsidRPr="00600776">
              <w:t>46123</w:t>
            </w:r>
          </w:p>
        </w:tc>
        <w:tc>
          <w:tcPr>
            <w:tcW w:w="1539" w:type="pct"/>
            <w:tcMar>
              <w:left w:w="108" w:type="dxa"/>
              <w:right w:w="108" w:type="dxa"/>
            </w:tcMar>
          </w:tcPr>
          <w:p w14:paraId="749CFF01" w14:textId="1EBF9926" w:rsidR="4A542532" w:rsidRPr="00600776" w:rsidRDefault="4A542532" w:rsidP="0054173E">
            <w:pPr>
              <w:pStyle w:val="TableText"/>
              <w:keepNext/>
              <w:keepLines/>
            </w:pPr>
            <w:r w:rsidRPr="00600776">
              <w:t xml:space="preserve">80% or more </w:t>
            </w:r>
          </w:p>
        </w:tc>
        <w:tc>
          <w:tcPr>
            <w:tcW w:w="823" w:type="pct"/>
            <w:tcMar>
              <w:left w:w="108" w:type="dxa"/>
              <w:right w:w="108" w:type="dxa"/>
            </w:tcMar>
          </w:tcPr>
          <w:p w14:paraId="73B579CB" w14:textId="64A082B7"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29F2E934" w14:textId="77777777" w:rsidTr="006527C9">
        <w:trPr>
          <w:trHeight w:val="900"/>
        </w:trPr>
        <w:tc>
          <w:tcPr>
            <w:tcW w:w="2041" w:type="pct"/>
            <w:tcMar>
              <w:left w:w="108" w:type="dxa"/>
              <w:right w:w="108" w:type="dxa"/>
            </w:tcMar>
          </w:tcPr>
          <w:p w14:paraId="10977D9D" w14:textId="77777777" w:rsidR="00CC25FD" w:rsidRDefault="00CC25FD" w:rsidP="0054173E">
            <w:pPr>
              <w:pStyle w:val="TableText"/>
              <w:keepNext/>
              <w:keepLines/>
            </w:pPr>
            <w:r>
              <w:t>Excised burn wound closure of whole of face, if the service:</w:t>
            </w:r>
          </w:p>
          <w:p w14:paraId="1EBABAAB" w14:textId="77777777" w:rsidR="00CC25FD" w:rsidRDefault="00CC25FD" w:rsidP="0054173E">
            <w:pPr>
              <w:pStyle w:val="TableText"/>
              <w:keepNext/>
              <w:keepLines/>
            </w:pPr>
            <w:r>
              <w:t>(a) is performed at the same time as the procedure for the primary burn wound excision; and</w:t>
            </w:r>
          </w:p>
          <w:p w14:paraId="7C97E24C" w14:textId="77777777" w:rsidR="00CC25FD" w:rsidRDefault="00CC25FD" w:rsidP="0054173E">
            <w:pPr>
              <w:pStyle w:val="TableText"/>
              <w:keepNext/>
              <w:keepLines/>
            </w:pPr>
            <w:r>
              <w:t>(b) involves:</w:t>
            </w:r>
          </w:p>
          <w:p w14:paraId="23A693F7" w14:textId="77777777" w:rsidR="00CC25FD" w:rsidRDefault="00CC25FD" w:rsidP="0054173E">
            <w:pPr>
              <w:pStyle w:val="TableText"/>
              <w:keepNext/>
              <w:keepLines/>
            </w:pPr>
            <w:r>
              <w:t>(i) autologous skin grafting for definitive closure; or</w:t>
            </w:r>
          </w:p>
          <w:p w14:paraId="48873668" w14:textId="77333639" w:rsidR="00CC25FD" w:rsidRDefault="00CC25FD" w:rsidP="0054173E">
            <w:pPr>
              <w:pStyle w:val="TableText"/>
              <w:keepNext/>
              <w:keepLines/>
            </w:pPr>
            <w:r>
              <w:t xml:space="preserve">(ii) allogenic skin grafting, or biosynthetic skin substitutes, to </w:t>
            </w:r>
            <w:r w:rsidR="00B977B2">
              <w:t xml:space="preserve">temporise </w:t>
            </w:r>
            <w:r>
              <w:t>the excised wound;</w:t>
            </w:r>
          </w:p>
          <w:p w14:paraId="063F1F28" w14:textId="77777777" w:rsidR="00CC25FD" w:rsidRDefault="00CC25FD" w:rsidP="0054173E">
            <w:pPr>
              <w:pStyle w:val="TableText"/>
              <w:keepNext/>
              <w:keepLines/>
            </w:pPr>
          </w:p>
          <w:p w14:paraId="4C89536F" w14:textId="25D0D523" w:rsidR="4A542532" w:rsidRPr="00600776" w:rsidRDefault="00CC25FD" w:rsidP="0054173E">
            <w:pPr>
              <w:pStyle w:val="TableText"/>
              <w:keepNext/>
              <w:keepLines/>
            </w:pPr>
            <w:r>
              <w:t>excluding aftercare, other than a service associated with a service to which item 46100 applies (H)</w:t>
            </w:r>
          </w:p>
        </w:tc>
        <w:tc>
          <w:tcPr>
            <w:tcW w:w="597" w:type="pct"/>
            <w:tcMar>
              <w:left w:w="108" w:type="dxa"/>
              <w:right w:w="108" w:type="dxa"/>
            </w:tcMar>
          </w:tcPr>
          <w:p w14:paraId="7FB19B01" w14:textId="2C6968BE" w:rsidR="4A542532" w:rsidRPr="00600776" w:rsidRDefault="4A542532" w:rsidP="0054173E">
            <w:pPr>
              <w:pStyle w:val="TableText"/>
              <w:keepNext/>
              <w:keepLines/>
            </w:pPr>
            <w:r w:rsidRPr="00600776">
              <w:t>46124</w:t>
            </w:r>
          </w:p>
        </w:tc>
        <w:tc>
          <w:tcPr>
            <w:tcW w:w="1539" w:type="pct"/>
            <w:tcMar>
              <w:left w:w="108" w:type="dxa"/>
              <w:right w:w="108" w:type="dxa"/>
            </w:tcMar>
          </w:tcPr>
          <w:p w14:paraId="36FCDE59" w14:textId="593DFAF8" w:rsidR="4A542532" w:rsidRPr="00600776" w:rsidRDefault="4A542532" w:rsidP="0054173E">
            <w:pPr>
              <w:pStyle w:val="TableText"/>
              <w:keepNext/>
              <w:keepLines/>
            </w:pPr>
            <w:r w:rsidRPr="00600776">
              <w:t>whole of face</w:t>
            </w:r>
          </w:p>
        </w:tc>
        <w:tc>
          <w:tcPr>
            <w:tcW w:w="823" w:type="pct"/>
            <w:tcMar>
              <w:left w:w="108" w:type="dxa"/>
              <w:right w:w="108" w:type="dxa"/>
            </w:tcMar>
          </w:tcPr>
          <w:p w14:paraId="27F1530E" w14:textId="546C3BFD"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5C302BCD" w14:textId="77777777" w:rsidTr="006527C9">
        <w:trPr>
          <w:trHeight w:val="225"/>
        </w:trPr>
        <w:tc>
          <w:tcPr>
            <w:tcW w:w="5000" w:type="pct"/>
            <w:gridSpan w:val="4"/>
            <w:shd w:val="clear" w:color="auto" w:fill="F2F2F2" w:themeFill="background1" w:themeFillShade="F2"/>
            <w:tcMar>
              <w:left w:w="108" w:type="dxa"/>
              <w:right w:w="108" w:type="dxa"/>
            </w:tcMar>
          </w:tcPr>
          <w:p w14:paraId="5197F55D" w14:textId="7FCBC2B3" w:rsidR="4A542532" w:rsidRPr="00EA7BAC" w:rsidRDefault="4A542532" w:rsidP="0054173E">
            <w:pPr>
              <w:pStyle w:val="TableText"/>
              <w:keepNext/>
              <w:keepLines/>
              <w:rPr>
                <w:b/>
              </w:rPr>
            </w:pPr>
            <w:r w:rsidRPr="00EA7BAC">
              <w:rPr>
                <w:b/>
                <w:i/>
                <w:color w:val="000000" w:themeColor="text1"/>
              </w:rPr>
              <w:t>Delayed closure Items</w:t>
            </w:r>
          </w:p>
        </w:tc>
      </w:tr>
      <w:tr w:rsidR="4A542532" w:rsidRPr="000D4886" w14:paraId="3070A28C" w14:textId="77777777" w:rsidTr="006527C9">
        <w:trPr>
          <w:trHeight w:val="750"/>
        </w:trPr>
        <w:tc>
          <w:tcPr>
            <w:tcW w:w="2041" w:type="pct"/>
            <w:vMerge w:val="restart"/>
            <w:tcMar>
              <w:left w:w="108" w:type="dxa"/>
              <w:right w:w="108" w:type="dxa"/>
            </w:tcMar>
          </w:tcPr>
          <w:p w14:paraId="18C36D4A" w14:textId="6A7C943D" w:rsidR="4A542532" w:rsidRPr="00600776" w:rsidRDefault="4A542532" w:rsidP="0054173E">
            <w:pPr>
              <w:pStyle w:val="TableText"/>
              <w:keepNext/>
              <w:keepLines/>
            </w:pPr>
            <w:r w:rsidRPr="00600776">
              <w:t xml:space="preserve">Definitive burn </w:t>
            </w:r>
            <w:r w:rsidRPr="00AD099D">
              <w:t>wound closure, or closure of skin defect secondary to necrotising fasciitis, using autologous tissue (split skin graft or other) following previous procedure using non-autologous temporary wound closure, excluding aftercare (H)</w:t>
            </w:r>
          </w:p>
        </w:tc>
        <w:tc>
          <w:tcPr>
            <w:tcW w:w="597" w:type="pct"/>
            <w:tcMar>
              <w:left w:w="108" w:type="dxa"/>
              <w:right w:w="108" w:type="dxa"/>
            </w:tcMar>
          </w:tcPr>
          <w:p w14:paraId="7329A5FC" w14:textId="7B8EE74A" w:rsidR="4A542532" w:rsidRPr="00600776" w:rsidRDefault="4A542532" w:rsidP="0054173E">
            <w:pPr>
              <w:pStyle w:val="TableText"/>
              <w:keepNext/>
              <w:keepLines/>
            </w:pPr>
            <w:r w:rsidRPr="00600776">
              <w:t>46134</w:t>
            </w:r>
          </w:p>
        </w:tc>
        <w:tc>
          <w:tcPr>
            <w:tcW w:w="1539" w:type="pct"/>
            <w:tcMar>
              <w:left w:w="108" w:type="dxa"/>
              <w:right w:w="108" w:type="dxa"/>
            </w:tcMar>
          </w:tcPr>
          <w:p w14:paraId="086C0B8B" w14:textId="0568DEFB" w:rsidR="4A542532" w:rsidRPr="00600776" w:rsidRDefault="4A542532" w:rsidP="0054173E">
            <w:pPr>
              <w:pStyle w:val="TableText"/>
              <w:keepNext/>
              <w:keepLines/>
            </w:pPr>
            <w:r w:rsidRPr="00600776">
              <w:t>20% or more but less than 30%</w:t>
            </w:r>
          </w:p>
        </w:tc>
        <w:tc>
          <w:tcPr>
            <w:tcW w:w="823" w:type="pct"/>
            <w:tcMar>
              <w:left w:w="108" w:type="dxa"/>
              <w:right w:w="108" w:type="dxa"/>
            </w:tcMar>
          </w:tcPr>
          <w:p w14:paraId="44B1464B" w14:textId="67A8EA59" w:rsidR="4A542532" w:rsidRPr="00600776" w:rsidRDefault="00B467A5" w:rsidP="0054173E">
            <w:pPr>
              <w:pStyle w:val="TableText"/>
              <w:keepNext/>
              <w:keepLines/>
            </w:pPr>
            <w:r w:rsidRPr="00600776">
              <w:t>1</w:t>
            </w:r>
            <w:r>
              <w:t xml:space="preserve"> July </w:t>
            </w:r>
            <w:r w:rsidR="4A542532" w:rsidRPr="00600776">
              <w:t>2023</w:t>
            </w:r>
          </w:p>
        </w:tc>
      </w:tr>
      <w:tr w:rsidR="4A542532" w:rsidRPr="000D4886" w14:paraId="15677EF3" w14:textId="77777777" w:rsidTr="006527C9">
        <w:trPr>
          <w:trHeight w:val="450"/>
        </w:trPr>
        <w:tc>
          <w:tcPr>
            <w:tcW w:w="2041" w:type="pct"/>
            <w:vMerge/>
            <w:vAlign w:val="center"/>
          </w:tcPr>
          <w:p w14:paraId="407AD545" w14:textId="77777777" w:rsidR="00EF75BC" w:rsidRPr="00600776" w:rsidRDefault="00EF75BC" w:rsidP="0054173E">
            <w:pPr>
              <w:pStyle w:val="TableText"/>
              <w:keepNext/>
              <w:keepLines/>
            </w:pPr>
          </w:p>
        </w:tc>
        <w:tc>
          <w:tcPr>
            <w:tcW w:w="597" w:type="pct"/>
            <w:tcMar>
              <w:left w:w="108" w:type="dxa"/>
              <w:right w:w="108" w:type="dxa"/>
            </w:tcMar>
          </w:tcPr>
          <w:p w14:paraId="31867D23" w14:textId="6EB6F136" w:rsidR="4A542532" w:rsidRPr="00600776" w:rsidRDefault="4A542532" w:rsidP="0054173E">
            <w:pPr>
              <w:pStyle w:val="TableText"/>
              <w:keepNext/>
              <w:keepLines/>
            </w:pPr>
            <w:r w:rsidRPr="00600776">
              <w:t>46135</w:t>
            </w:r>
          </w:p>
        </w:tc>
        <w:tc>
          <w:tcPr>
            <w:tcW w:w="1539" w:type="pct"/>
            <w:tcMar>
              <w:left w:w="108" w:type="dxa"/>
              <w:right w:w="108" w:type="dxa"/>
            </w:tcMar>
          </w:tcPr>
          <w:p w14:paraId="715CDB8D" w14:textId="4207FD60" w:rsidR="4A542532" w:rsidRPr="00600776" w:rsidRDefault="4A542532" w:rsidP="0054173E">
            <w:pPr>
              <w:pStyle w:val="TableText"/>
              <w:keepNext/>
              <w:keepLines/>
            </w:pPr>
            <w:r w:rsidRPr="00600776">
              <w:t>30% or more</w:t>
            </w:r>
          </w:p>
        </w:tc>
        <w:tc>
          <w:tcPr>
            <w:tcW w:w="823" w:type="pct"/>
            <w:tcMar>
              <w:left w:w="108" w:type="dxa"/>
              <w:right w:w="108" w:type="dxa"/>
            </w:tcMar>
          </w:tcPr>
          <w:p w14:paraId="7B974C45" w14:textId="6A6881C0" w:rsidR="4A542532" w:rsidRPr="00600776" w:rsidRDefault="00B467A5" w:rsidP="0054173E">
            <w:pPr>
              <w:pStyle w:val="TableText"/>
              <w:keepNext/>
              <w:keepLines/>
            </w:pPr>
            <w:r w:rsidRPr="00600776">
              <w:t>1</w:t>
            </w:r>
            <w:r>
              <w:t xml:space="preserve"> July </w:t>
            </w:r>
            <w:r w:rsidR="4A542532" w:rsidRPr="00600776">
              <w:t>2023</w:t>
            </w:r>
          </w:p>
        </w:tc>
      </w:tr>
    </w:tbl>
    <w:p w14:paraId="5001BF39" w14:textId="079F03EC" w:rsidR="00296641" w:rsidRDefault="00E865ED" w:rsidP="000A29C6">
      <w:pPr>
        <w:pStyle w:val="Tablenotes0"/>
      </w:pPr>
      <w:r>
        <w:t>Abbreviations</w:t>
      </w:r>
      <w:r w:rsidR="0084635C">
        <w:t xml:space="preserve">: H </w:t>
      </w:r>
      <w:r>
        <w:t>=</w:t>
      </w:r>
      <w:r w:rsidR="0084635C">
        <w:t xml:space="preserve"> indicates hospital-based aftercare</w:t>
      </w:r>
    </w:p>
    <w:p w14:paraId="08643A0C" w14:textId="77777777" w:rsidR="009C693D" w:rsidRDefault="009C693D" w:rsidP="000A29C6">
      <w:pPr>
        <w:pStyle w:val="Heading2"/>
        <w:numPr>
          <w:ilvl w:val="0"/>
          <w:numId w:val="15"/>
        </w:numPr>
      </w:pPr>
      <w:bookmarkStart w:id="27" w:name="_Toc69491422"/>
      <w:bookmarkStart w:id="28" w:name="_Ref194585450"/>
      <w:bookmarkStart w:id="29" w:name="_Ref194585566"/>
      <w:bookmarkStart w:id="30" w:name="_Ref196302586"/>
      <w:r w:rsidRPr="009C693D">
        <w:lastRenderedPageBreak/>
        <w:t>Summary of public consultation input</w:t>
      </w:r>
    </w:p>
    <w:p w14:paraId="070B8C3B" w14:textId="77777777" w:rsidR="00C42345" w:rsidRDefault="00C42345" w:rsidP="000A29C6">
      <w:pPr>
        <w:keepNext/>
        <w:keepLines/>
        <w:tabs>
          <w:tab w:val="left" w:pos="3686"/>
        </w:tabs>
        <w:spacing w:line="256" w:lineRule="auto"/>
        <w:rPr>
          <w:rFonts w:eastAsia="Franklin Gothic Book" w:cs="Franklin Gothic Book"/>
        </w:rPr>
      </w:pPr>
      <w:r w:rsidRPr="00C42345">
        <w:rPr>
          <w:rFonts w:eastAsia="Franklin Gothic Book" w:cs="Franklin Gothic Book"/>
        </w:rPr>
        <w:t>Consultation input was welcomed from:</w:t>
      </w:r>
    </w:p>
    <w:tbl>
      <w:tblPr>
        <w:tblW w:w="9020" w:type="dxa"/>
        <w:tblLook w:val="04A0" w:firstRow="1" w:lastRow="0" w:firstColumn="1" w:lastColumn="0" w:noHBand="0" w:noVBand="1"/>
      </w:tblPr>
      <w:tblGrid>
        <w:gridCol w:w="7800"/>
        <w:gridCol w:w="1220"/>
      </w:tblGrid>
      <w:tr w:rsidR="00E94F6C" w:rsidRPr="00E72C32" w14:paraId="00888E52" w14:textId="77777777" w:rsidTr="00097057">
        <w:trPr>
          <w:trHeight w:val="1040"/>
          <w:tblHeader/>
        </w:trPr>
        <w:tc>
          <w:tcPr>
            <w:tcW w:w="7800" w:type="dxa"/>
            <w:tcBorders>
              <w:top w:val="single" w:sz="4" w:space="0" w:color="000000" w:themeColor="text1"/>
              <w:left w:val="single" w:sz="4" w:space="0" w:color="000000" w:themeColor="text1"/>
              <w:bottom w:val="single" w:sz="8" w:space="0" w:color="auto"/>
              <w:right w:val="single" w:sz="8" w:space="0" w:color="auto"/>
            </w:tcBorders>
            <w:shd w:val="clear" w:color="auto" w:fill="D1D1D1"/>
            <w:vAlign w:val="center"/>
            <w:hideMark/>
          </w:tcPr>
          <w:p w14:paraId="1E624AB4" w14:textId="77777777" w:rsidR="00E94F6C" w:rsidRDefault="00E94F6C" w:rsidP="000A29C6">
            <w:pPr>
              <w:keepNext/>
              <w:keepLines/>
              <w:spacing w:before="0" w:after="0" w:line="240" w:lineRule="auto"/>
              <w:rPr>
                <w:rFonts w:eastAsia="Franklin Gothic Book" w:cs="Franklin Gothic Book"/>
                <w:b/>
                <w:bCs/>
                <w:color w:val="000000" w:themeColor="text1"/>
                <w:sz w:val="20"/>
                <w:szCs w:val="20"/>
              </w:rPr>
            </w:pPr>
            <w:r w:rsidRPr="33D45279">
              <w:rPr>
                <w:rFonts w:eastAsia="Franklin Gothic Book" w:cs="Franklin Gothic Book"/>
                <w:b/>
                <w:bCs/>
                <w:sz w:val="20"/>
                <w:szCs w:val="20"/>
              </w:rPr>
              <w:t>1801 – Autologous Skin Cell Suspension for the treatment of acute burn wounds in paediatric and adult patients (</w:t>
            </w:r>
            <w:r w:rsidRPr="33D45279">
              <w:rPr>
                <w:rFonts w:eastAsia="Franklin Gothic Book" w:cs="Franklin Gothic Book"/>
                <w:b/>
                <w:bCs/>
                <w:color w:val="000000" w:themeColor="text1"/>
                <w:sz w:val="20"/>
                <w:szCs w:val="20"/>
              </w:rPr>
              <w:t>Health Technology Analysts Pty Limited on behalf of AVITA Medical, Inc)</w:t>
            </w:r>
          </w:p>
        </w:tc>
        <w:tc>
          <w:tcPr>
            <w:tcW w:w="1220" w:type="dxa"/>
            <w:tcBorders>
              <w:top w:val="single" w:sz="4" w:space="0" w:color="000000" w:themeColor="text1"/>
              <w:left w:val="nil"/>
              <w:bottom w:val="single" w:sz="8" w:space="0" w:color="auto"/>
              <w:right w:val="single" w:sz="4" w:space="0" w:color="000000" w:themeColor="text1"/>
            </w:tcBorders>
            <w:shd w:val="clear" w:color="auto" w:fill="D1D1D1"/>
            <w:vAlign w:val="center"/>
            <w:hideMark/>
          </w:tcPr>
          <w:p w14:paraId="3BD8A040" w14:textId="77777777" w:rsidR="00E94F6C" w:rsidRPr="00E72C32" w:rsidRDefault="00E94F6C" w:rsidP="000A29C6">
            <w:pPr>
              <w:keepNext/>
              <w:keepLines/>
              <w:spacing w:before="0" w:after="0" w:line="240" w:lineRule="auto"/>
              <w:jc w:val="center"/>
              <w:rPr>
                <w:rFonts w:eastAsia="Franklin Gothic Book" w:cs="Franklin Gothic Book"/>
                <w:b/>
                <w:bCs/>
                <w:color w:val="000000"/>
                <w:sz w:val="20"/>
                <w:szCs w:val="20"/>
                <w:lang w:eastAsia="en-AU"/>
              </w:rPr>
            </w:pPr>
            <w:r w:rsidRPr="47A3C7E0">
              <w:rPr>
                <w:rFonts w:eastAsia="Franklin Gothic Book" w:cs="Franklin Gothic Book"/>
                <w:b/>
                <w:bCs/>
                <w:color w:val="000000" w:themeColor="text1"/>
                <w:sz w:val="20"/>
                <w:szCs w:val="20"/>
                <w:lang w:eastAsia="en-AU"/>
              </w:rPr>
              <w:t>No. of Inputs Received</w:t>
            </w:r>
            <w:r w:rsidRPr="47A3C7E0">
              <w:rPr>
                <w:rFonts w:eastAsia="Franklin Gothic Book" w:cs="Franklin Gothic Book"/>
                <w:color w:val="000000" w:themeColor="text1"/>
                <w:sz w:val="20"/>
                <w:szCs w:val="20"/>
                <w:lang w:eastAsia="en-AU"/>
              </w:rPr>
              <w:t> </w:t>
            </w:r>
          </w:p>
        </w:tc>
      </w:tr>
      <w:tr w:rsidR="00E94F6C" w:rsidRPr="00E72C32" w14:paraId="572824FA" w14:textId="77777777" w:rsidTr="00097057">
        <w:trPr>
          <w:trHeight w:val="264"/>
          <w:tblHeader/>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11C895D1" w14:textId="77777777" w:rsidR="00E94F6C" w:rsidRPr="00E72C32" w:rsidRDefault="00E94F6C" w:rsidP="000A29C6">
            <w:pPr>
              <w:keepNext/>
              <w:keepLines/>
              <w:spacing w:before="0" w:after="0" w:line="240" w:lineRule="auto"/>
              <w:rPr>
                <w:rFonts w:eastAsia="Franklin Gothic Book" w:cs="Franklin Gothic Book"/>
                <w:b/>
                <w:bCs/>
                <w:color w:val="000000"/>
                <w:sz w:val="20"/>
                <w:szCs w:val="20"/>
                <w:lang w:eastAsia="en-AU"/>
              </w:rPr>
            </w:pPr>
            <w:r w:rsidRPr="33D45279">
              <w:rPr>
                <w:rFonts w:eastAsia="Franklin Gothic Book" w:cs="Franklin Gothic Book"/>
                <w:b/>
                <w:bCs/>
                <w:color w:val="000000" w:themeColor="text1"/>
                <w:sz w:val="20"/>
                <w:szCs w:val="20"/>
                <w:lang w:eastAsia="en-AU"/>
              </w:rPr>
              <w:t>Organisations (2)</w:t>
            </w:r>
            <w:r w:rsidRPr="33D45279">
              <w:rPr>
                <w:rFonts w:eastAsia="Franklin Gothic Book" w:cs="Franklin Gothic Book"/>
                <w:color w:val="000000" w:themeColor="text1"/>
                <w:sz w:val="20"/>
                <w:szCs w:val="20"/>
                <w:lang w:eastAsia="en-AU"/>
              </w:rPr>
              <w:t> </w:t>
            </w:r>
          </w:p>
        </w:tc>
      </w:tr>
      <w:tr w:rsidR="00E94F6C" w:rsidRPr="00E72C32" w14:paraId="1F8CBF32" w14:textId="77777777" w:rsidTr="00097057">
        <w:trPr>
          <w:trHeight w:val="760"/>
          <w:tblHeader/>
        </w:trPr>
        <w:tc>
          <w:tcPr>
            <w:tcW w:w="7800" w:type="dxa"/>
            <w:tcBorders>
              <w:top w:val="nil"/>
              <w:left w:val="single" w:sz="4" w:space="0" w:color="000000" w:themeColor="text1"/>
              <w:bottom w:val="single" w:sz="8" w:space="0" w:color="auto"/>
              <w:right w:val="single" w:sz="8" w:space="0" w:color="auto"/>
            </w:tcBorders>
            <w:vAlign w:val="center"/>
            <w:hideMark/>
          </w:tcPr>
          <w:p w14:paraId="0B6469DA" w14:textId="77777777" w:rsidR="00E94F6C" w:rsidRPr="00E72C32" w:rsidRDefault="00E94F6C" w:rsidP="000A29C6">
            <w:pPr>
              <w:keepNext/>
              <w:keepLines/>
              <w:spacing w:before="0"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providing input on behalf of a medical, health, or other (non-consumer) organisation. For example, input on behalf of a group of clinicians, research organisation, professional college, or from an organisation that produces a similar service or technology. </w:t>
            </w:r>
          </w:p>
        </w:tc>
        <w:tc>
          <w:tcPr>
            <w:tcW w:w="1220" w:type="dxa"/>
            <w:tcBorders>
              <w:top w:val="nil"/>
              <w:left w:val="nil"/>
              <w:bottom w:val="single" w:sz="8" w:space="0" w:color="auto"/>
              <w:right w:val="single" w:sz="4" w:space="0" w:color="000000" w:themeColor="text1"/>
            </w:tcBorders>
            <w:vAlign w:val="center"/>
            <w:hideMark/>
          </w:tcPr>
          <w:p w14:paraId="263D7A62" w14:textId="77777777" w:rsidR="00E94F6C" w:rsidRPr="00E72C32" w:rsidRDefault="00E94F6C" w:rsidP="000A29C6">
            <w:pPr>
              <w:keepNext/>
              <w:keepLines/>
              <w:spacing w:before="0" w:after="0" w:line="240" w:lineRule="auto"/>
              <w:jc w:val="center"/>
              <w:rPr>
                <w:rFonts w:eastAsia="Franklin Gothic Book" w:cs="Franklin Gothic Book"/>
                <w:sz w:val="20"/>
                <w:szCs w:val="20"/>
                <w:lang w:eastAsia="en-AU"/>
              </w:rPr>
            </w:pPr>
            <w:r w:rsidRPr="33D45279">
              <w:rPr>
                <w:rFonts w:eastAsia="Franklin Gothic Book" w:cs="Franklin Gothic Book"/>
                <w:sz w:val="20"/>
                <w:szCs w:val="20"/>
                <w:lang w:eastAsia="en-AU"/>
              </w:rPr>
              <w:t>2</w:t>
            </w:r>
          </w:p>
        </w:tc>
      </w:tr>
      <w:tr w:rsidR="00E94F6C" w:rsidRPr="00E72C32" w14:paraId="220C54D2" w14:textId="77777777" w:rsidTr="00097057">
        <w:trPr>
          <w:trHeight w:val="300"/>
          <w:tblHeader/>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758FA07A" w14:textId="77777777" w:rsidR="00E94F6C" w:rsidRPr="00E72C32" w:rsidRDefault="00E94F6C" w:rsidP="000A29C6">
            <w:pPr>
              <w:keepNext/>
              <w:keepLines/>
              <w:spacing w:before="0" w:after="0" w:line="240" w:lineRule="auto"/>
              <w:rPr>
                <w:rFonts w:eastAsia="Franklin Gothic Book" w:cs="Franklin Gothic Book"/>
                <w:b/>
                <w:bCs/>
                <w:color w:val="000000"/>
                <w:sz w:val="20"/>
                <w:szCs w:val="20"/>
                <w:lang w:eastAsia="en-AU"/>
              </w:rPr>
            </w:pPr>
            <w:r w:rsidRPr="33D45279">
              <w:rPr>
                <w:rFonts w:eastAsia="Franklin Gothic Book" w:cs="Franklin Gothic Book"/>
                <w:b/>
                <w:bCs/>
                <w:color w:val="000000" w:themeColor="text1"/>
                <w:sz w:val="20"/>
                <w:szCs w:val="20"/>
                <w:lang w:eastAsia="en-AU"/>
              </w:rPr>
              <w:t>Health Professionals (5)</w:t>
            </w:r>
            <w:r w:rsidRPr="33D45279">
              <w:rPr>
                <w:rFonts w:eastAsia="Franklin Gothic Book" w:cs="Franklin Gothic Book"/>
                <w:color w:val="000000" w:themeColor="text1"/>
                <w:sz w:val="20"/>
                <w:szCs w:val="20"/>
                <w:lang w:eastAsia="en-AU"/>
              </w:rPr>
              <w:t> </w:t>
            </w:r>
          </w:p>
        </w:tc>
      </w:tr>
      <w:tr w:rsidR="00E94F6C" w:rsidRPr="00E72C32" w14:paraId="3D1F90E4" w14:textId="77777777" w:rsidTr="00097057">
        <w:trPr>
          <w:trHeight w:val="300"/>
          <w:tblHeader/>
        </w:trPr>
        <w:tc>
          <w:tcPr>
            <w:tcW w:w="7800" w:type="dxa"/>
            <w:tcBorders>
              <w:top w:val="nil"/>
              <w:left w:val="single" w:sz="4" w:space="0" w:color="000000" w:themeColor="text1"/>
              <w:bottom w:val="single" w:sz="8" w:space="0" w:color="auto"/>
              <w:right w:val="single" w:sz="8" w:space="0" w:color="auto"/>
            </w:tcBorders>
            <w:vAlign w:val="center"/>
            <w:hideMark/>
          </w:tcPr>
          <w:p w14:paraId="4E1EB05D" w14:textId="77777777" w:rsidR="00E94F6C" w:rsidRPr="00E72C32" w:rsidRDefault="00E94F6C" w:rsidP="000A29C6">
            <w:pPr>
              <w:keepNext/>
              <w:keepLines/>
              <w:spacing w:before="0"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am a health professional or health academic working in the area. </w:t>
            </w:r>
          </w:p>
        </w:tc>
        <w:tc>
          <w:tcPr>
            <w:tcW w:w="1220" w:type="dxa"/>
            <w:tcBorders>
              <w:top w:val="nil"/>
              <w:left w:val="nil"/>
              <w:bottom w:val="single" w:sz="8" w:space="0" w:color="auto"/>
              <w:right w:val="single" w:sz="4" w:space="0" w:color="000000" w:themeColor="text1"/>
            </w:tcBorders>
            <w:vAlign w:val="center"/>
            <w:hideMark/>
          </w:tcPr>
          <w:p w14:paraId="0A60C2D8" w14:textId="77777777" w:rsidR="00E94F6C" w:rsidRPr="00E72C32" w:rsidRDefault="00E94F6C" w:rsidP="000A29C6">
            <w:pPr>
              <w:keepNext/>
              <w:keepLines/>
              <w:spacing w:before="0" w:after="0" w:line="240" w:lineRule="auto"/>
              <w:jc w:val="center"/>
              <w:rPr>
                <w:rFonts w:eastAsia="Franklin Gothic Book" w:cs="Franklin Gothic Book"/>
                <w:sz w:val="20"/>
                <w:szCs w:val="20"/>
                <w:lang w:eastAsia="en-AU"/>
              </w:rPr>
            </w:pPr>
            <w:r w:rsidRPr="33D45279">
              <w:rPr>
                <w:rFonts w:eastAsia="Franklin Gothic Book" w:cs="Franklin Gothic Book"/>
                <w:sz w:val="20"/>
                <w:szCs w:val="20"/>
                <w:lang w:eastAsia="en-AU"/>
              </w:rPr>
              <w:t>5</w:t>
            </w:r>
          </w:p>
        </w:tc>
      </w:tr>
      <w:tr w:rsidR="00E94F6C" w:rsidRPr="00E72C32" w14:paraId="2FA064AB" w14:textId="77777777" w:rsidTr="00097057">
        <w:trPr>
          <w:trHeight w:val="300"/>
          <w:tblHeader/>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7F064C0C" w14:textId="77777777" w:rsidR="00E94F6C" w:rsidRPr="00E72C32" w:rsidRDefault="00E94F6C" w:rsidP="000A29C6">
            <w:pPr>
              <w:keepNext/>
              <w:keepLines/>
              <w:spacing w:before="0" w:after="0" w:line="240" w:lineRule="auto"/>
              <w:rPr>
                <w:rFonts w:eastAsia="Franklin Gothic Book" w:cs="Franklin Gothic Book"/>
                <w:b/>
                <w:bCs/>
                <w:color w:val="000000"/>
                <w:sz w:val="20"/>
                <w:szCs w:val="20"/>
                <w:lang w:eastAsia="en-AU"/>
              </w:rPr>
            </w:pPr>
            <w:r w:rsidRPr="33D45279">
              <w:rPr>
                <w:rFonts w:eastAsia="Franklin Gothic Book" w:cs="Franklin Gothic Book"/>
                <w:b/>
                <w:bCs/>
                <w:color w:val="000000" w:themeColor="text1"/>
                <w:sz w:val="20"/>
                <w:szCs w:val="20"/>
                <w:lang w:eastAsia="en-AU"/>
              </w:rPr>
              <w:t>Consumers (1)</w:t>
            </w:r>
            <w:r w:rsidRPr="33D45279">
              <w:rPr>
                <w:rFonts w:eastAsia="Franklin Gothic Book" w:cs="Franklin Gothic Book"/>
                <w:color w:val="000000" w:themeColor="text1"/>
                <w:sz w:val="20"/>
                <w:szCs w:val="20"/>
                <w:lang w:eastAsia="en-AU"/>
              </w:rPr>
              <w:t> </w:t>
            </w:r>
          </w:p>
        </w:tc>
      </w:tr>
      <w:tr w:rsidR="00E94F6C" w:rsidRPr="00E72C32" w14:paraId="02717930" w14:textId="77777777" w:rsidTr="00097057">
        <w:trPr>
          <w:trHeight w:val="510"/>
          <w:tblHeader/>
        </w:trPr>
        <w:tc>
          <w:tcPr>
            <w:tcW w:w="7800" w:type="dxa"/>
            <w:tcBorders>
              <w:top w:val="nil"/>
              <w:left w:val="single" w:sz="4" w:space="0" w:color="000000" w:themeColor="text1"/>
              <w:bottom w:val="single" w:sz="8" w:space="0" w:color="auto"/>
              <w:right w:val="single" w:sz="8" w:space="0" w:color="auto"/>
            </w:tcBorders>
            <w:vAlign w:val="center"/>
            <w:hideMark/>
          </w:tcPr>
          <w:p w14:paraId="10FC2D47" w14:textId="77777777" w:rsidR="00E94F6C" w:rsidRPr="00E72C32" w:rsidRDefault="00E94F6C" w:rsidP="000A29C6">
            <w:pPr>
              <w:keepNext/>
              <w:keepLines/>
              <w:spacing w:before="0" w:after="0" w:line="240" w:lineRule="auto"/>
              <w:rPr>
                <w:rFonts w:eastAsia="Franklin Gothic Book" w:cs="Franklin Gothic Book"/>
                <w:sz w:val="20"/>
                <w:szCs w:val="20"/>
                <w:lang w:eastAsia="en-AU"/>
              </w:rPr>
            </w:pPr>
            <w:r w:rsidRPr="47A3C7E0">
              <w:rPr>
                <w:rFonts w:eastAsia="Franklin Gothic Book" w:cs="Franklin Gothic Book"/>
                <w:sz w:val="20"/>
                <w:szCs w:val="20"/>
                <w:lang w:eastAsia="en-AU"/>
              </w:rPr>
              <w:t>I have the health condition that this health service or technology is for and have experience with the proposed health service or technology. </w:t>
            </w:r>
          </w:p>
        </w:tc>
        <w:tc>
          <w:tcPr>
            <w:tcW w:w="1220" w:type="dxa"/>
            <w:tcBorders>
              <w:top w:val="nil"/>
              <w:left w:val="nil"/>
              <w:bottom w:val="single" w:sz="8" w:space="0" w:color="auto"/>
              <w:right w:val="single" w:sz="4" w:space="0" w:color="000000" w:themeColor="text1"/>
            </w:tcBorders>
            <w:vAlign w:val="center"/>
            <w:hideMark/>
          </w:tcPr>
          <w:p w14:paraId="3561C28D" w14:textId="77777777" w:rsidR="00E94F6C" w:rsidRPr="00E72C32" w:rsidRDefault="00E94F6C" w:rsidP="000A29C6">
            <w:pPr>
              <w:keepNext/>
              <w:keepLines/>
              <w:spacing w:before="0" w:after="0" w:line="240" w:lineRule="auto"/>
              <w:jc w:val="center"/>
              <w:rPr>
                <w:rFonts w:eastAsia="Franklin Gothic Book" w:cs="Franklin Gothic Book"/>
                <w:sz w:val="20"/>
                <w:szCs w:val="20"/>
                <w:lang w:eastAsia="en-AU"/>
              </w:rPr>
            </w:pPr>
            <w:r w:rsidRPr="33D45279">
              <w:rPr>
                <w:rFonts w:eastAsia="Franklin Gothic Book" w:cs="Franklin Gothic Book"/>
                <w:sz w:val="20"/>
                <w:szCs w:val="20"/>
                <w:lang w:eastAsia="en-AU"/>
              </w:rPr>
              <w:t>1</w:t>
            </w:r>
          </w:p>
        </w:tc>
      </w:tr>
      <w:tr w:rsidR="00E94F6C" w:rsidRPr="00E72C32" w14:paraId="7572326C" w14:textId="77777777" w:rsidTr="00097057">
        <w:trPr>
          <w:trHeight w:val="290"/>
          <w:tblHeader/>
        </w:trPr>
        <w:tc>
          <w:tcPr>
            <w:tcW w:w="7800" w:type="dxa"/>
            <w:tcBorders>
              <w:top w:val="nil"/>
              <w:left w:val="single" w:sz="4" w:space="0" w:color="000000" w:themeColor="text1"/>
              <w:bottom w:val="single" w:sz="4" w:space="0" w:color="000000" w:themeColor="text1"/>
              <w:right w:val="single" w:sz="8" w:space="0" w:color="auto"/>
            </w:tcBorders>
            <w:vAlign w:val="center"/>
            <w:hideMark/>
          </w:tcPr>
          <w:p w14:paraId="29E58EAA" w14:textId="77777777" w:rsidR="00E94F6C" w:rsidRPr="00E72C32" w:rsidRDefault="00E94F6C" w:rsidP="000A29C6">
            <w:pPr>
              <w:keepNext/>
              <w:keepLines/>
              <w:spacing w:before="0" w:after="0" w:line="240" w:lineRule="auto"/>
              <w:rPr>
                <w:rFonts w:eastAsia="Franklin Gothic Book" w:cs="Franklin Gothic Book"/>
                <w:b/>
                <w:bCs/>
                <w:sz w:val="20"/>
                <w:szCs w:val="20"/>
                <w:lang w:eastAsia="en-AU"/>
              </w:rPr>
            </w:pPr>
            <w:r w:rsidRPr="47A3C7E0">
              <w:rPr>
                <w:rFonts w:eastAsia="Franklin Gothic Book" w:cs="Franklin Gothic Book"/>
                <w:b/>
                <w:bCs/>
                <w:sz w:val="20"/>
                <w:szCs w:val="20"/>
                <w:lang w:eastAsia="en-AU"/>
              </w:rPr>
              <w:t>Grand Total</w:t>
            </w:r>
            <w:r w:rsidRPr="47A3C7E0">
              <w:rPr>
                <w:rFonts w:eastAsia="Franklin Gothic Book" w:cs="Franklin Gothic Book"/>
                <w:sz w:val="20"/>
                <w:szCs w:val="20"/>
                <w:lang w:eastAsia="en-AU"/>
              </w:rPr>
              <w:t> </w:t>
            </w:r>
          </w:p>
        </w:tc>
        <w:tc>
          <w:tcPr>
            <w:tcW w:w="1220" w:type="dxa"/>
            <w:tcBorders>
              <w:top w:val="nil"/>
              <w:left w:val="nil"/>
              <w:bottom w:val="single" w:sz="4" w:space="0" w:color="000000" w:themeColor="text1"/>
              <w:right w:val="single" w:sz="4" w:space="0" w:color="000000" w:themeColor="text1"/>
            </w:tcBorders>
            <w:vAlign w:val="center"/>
            <w:hideMark/>
          </w:tcPr>
          <w:p w14:paraId="669ECED8" w14:textId="77777777" w:rsidR="00E94F6C" w:rsidRPr="00E72C32" w:rsidRDefault="00E94F6C" w:rsidP="000A29C6">
            <w:pPr>
              <w:keepNext/>
              <w:keepLines/>
              <w:spacing w:before="0" w:after="0" w:line="240" w:lineRule="auto"/>
              <w:jc w:val="center"/>
              <w:rPr>
                <w:rFonts w:eastAsia="Franklin Gothic Book" w:cs="Franklin Gothic Book"/>
                <w:b/>
                <w:bCs/>
                <w:sz w:val="20"/>
                <w:szCs w:val="20"/>
                <w:lang w:eastAsia="en-AU"/>
              </w:rPr>
            </w:pPr>
            <w:r w:rsidRPr="33D45279">
              <w:rPr>
                <w:rFonts w:eastAsia="Franklin Gothic Book" w:cs="Franklin Gothic Book"/>
                <w:b/>
                <w:bCs/>
                <w:sz w:val="20"/>
                <w:szCs w:val="20"/>
                <w:lang w:eastAsia="en-AU"/>
              </w:rPr>
              <w:t>8</w:t>
            </w:r>
          </w:p>
        </w:tc>
      </w:tr>
    </w:tbl>
    <w:p w14:paraId="39A9CA86" w14:textId="77777777" w:rsidR="00C951F1" w:rsidRPr="00393ED7" w:rsidRDefault="00C951F1" w:rsidP="000A29C6">
      <w:pPr>
        <w:keepNext/>
        <w:keepLines/>
        <w:tabs>
          <w:tab w:val="left" w:pos="3686"/>
        </w:tabs>
        <w:spacing w:line="257" w:lineRule="auto"/>
        <w:contextualSpacing/>
        <w:rPr>
          <w:rFonts w:eastAsia="Franklin Gothic Book" w:cs="Franklin Gothic Book"/>
        </w:rPr>
      </w:pPr>
      <w:r w:rsidRPr="47A3C7E0">
        <w:rPr>
          <w:rFonts w:eastAsia="Franklin Gothic Book" w:cs="Franklin Gothic Book"/>
        </w:rPr>
        <w:t>The organisations that submitted input were:</w:t>
      </w:r>
    </w:p>
    <w:p w14:paraId="41CB46B4" w14:textId="77777777" w:rsidR="00C951F1" w:rsidRDefault="00C951F1" w:rsidP="000A29C6">
      <w:pPr>
        <w:pStyle w:val="ListParagraph"/>
        <w:keepNext/>
        <w:keepLines/>
        <w:numPr>
          <w:ilvl w:val="0"/>
          <w:numId w:val="18"/>
        </w:numPr>
        <w:tabs>
          <w:tab w:val="left" w:pos="3686"/>
        </w:tabs>
        <w:spacing w:line="256" w:lineRule="auto"/>
        <w:rPr>
          <w:rFonts w:eastAsia="Franklin Gothic Book" w:cs="Franklin Gothic Book"/>
        </w:rPr>
      </w:pPr>
      <w:r w:rsidRPr="33D45279">
        <w:rPr>
          <w:rFonts w:eastAsia="Franklin Gothic Book" w:cs="Franklin Gothic Book"/>
        </w:rPr>
        <w:t>Australian &amp; New Zealand Burn Association (ANZBA)</w:t>
      </w:r>
    </w:p>
    <w:p w14:paraId="571BC69F" w14:textId="08D4D9BA" w:rsidR="00C951F1" w:rsidRPr="00574D84" w:rsidRDefault="00C951F1" w:rsidP="000A29C6">
      <w:pPr>
        <w:pStyle w:val="ListParagraph"/>
        <w:keepNext/>
        <w:keepLines/>
        <w:numPr>
          <w:ilvl w:val="0"/>
          <w:numId w:val="18"/>
        </w:numPr>
        <w:tabs>
          <w:tab w:val="left" w:pos="3686"/>
        </w:tabs>
        <w:spacing w:line="256" w:lineRule="auto"/>
        <w:rPr>
          <w:rFonts w:eastAsia="Franklin Gothic Book" w:cs="Franklin Gothic Book"/>
        </w:rPr>
      </w:pPr>
      <w:r w:rsidRPr="33D45279">
        <w:rPr>
          <w:rFonts w:eastAsia="Franklin Gothic Book" w:cs="Franklin Gothic Book"/>
        </w:rPr>
        <w:t>Australian Society of Plastic Surgeons (ASPS)</w:t>
      </w:r>
      <w:r>
        <w:rPr>
          <w:rFonts w:eastAsia="Franklin Gothic Book" w:cs="Franklin Gothic Book"/>
        </w:rPr>
        <w:t>.</w:t>
      </w:r>
    </w:p>
    <w:p w14:paraId="5F9FABA2" w14:textId="77777777" w:rsidR="00C951F1" w:rsidRPr="00C951F1" w:rsidRDefault="00C951F1" w:rsidP="000A29C6">
      <w:pPr>
        <w:pStyle w:val="Heading3"/>
        <w:spacing w:before="120" w:after="160"/>
        <w:contextualSpacing/>
      </w:pPr>
      <w:r w:rsidRPr="00C951F1">
        <w:t xml:space="preserve">Level of support for public funding </w:t>
      </w:r>
    </w:p>
    <w:p w14:paraId="0B8858F2" w14:textId="77777777" w:rsidR="00C951F1" w:rsidRDefault="00C951F1" w:rsidP="000A29C6">
      <w:pPr>
        <w:tabs>
          <w:tab w:val="left" w:pos="3686"/>
        </w:tabs>
        <w:spacing w:line="256" w:lineRule="auto"/>
        <w:contextualSpacing/>
        <w:rPr>
          <w:rFonts w:eastAsia="Franklin Gothic Book" w:cs="Franklin Gothic Book"/>
        </w:rPr>
      </w:pPr>
      <w:r w:rsidRPr="33D45279">
        <w:rPr>
          <w:rFonts w:eastAsia="Franklin Gothic Book" w:cs="Franklin Gothic Book"/>
        </w:rPr>
        <w:t>All respondents were supportive of the public funding of this application. ASPS noted its support on the basis that allocation of an MBS item number is the most appropriate way of supporting the adoption of this technology without endorsing a specific commercial product.</w:t>
      </w:r>
    </w:p>
    <w:p w14:paraId="08C8EF65" w14:textId="77777777" w:rsidR="00C951F1" w:rsidRPr="00C951F1" w:rsidRDefault="00C951F1" w:rsidP="000A29C6">
      <w:pPr>
        <w:pStyle w:val="Heading3"/>
        <w:spacing w:before="120" w:after="160"/>
        <w:contextualSpacing/>
      </w:pPr>
      <w:r w:rsidRPr="00C951F1">
        <w:t xml:space="preserve">Comments on PICO </w:t>
      </w:r>
    </w:p>
    <w:p w14:paraId="1F94A101"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 health professional stated that anyone with a burn of more than &gt;20% total body surface area (TSBA) would benefit from autologous cells, and noted the proposed population as not too broad, suggesting it should be used for any burns over 10% TBSA, especially children. Two other health professionals noted the proposed eligible population as appropriate.</w:t>
      </w:r>
    </w:p>
    <w:p w14:paraId="23F15664"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Four health professionals noted the proposed approach as appropriate.</w:t>
      </w:r>
    </w:p>
    <w:p w14:paraId="7C8C088D"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 health professional stated there is no comparison for autologous cells, with allografts being a temporary measure, and leading to an inflammatory response. Another stated the comparators are traditional methods of skin grafting currently used. Two others noted the comparator(s) as appropriate.</w:t>
      </w:r>
    </w:p>
    <w:p w14:paraId="2330FB57" w14:textId="70070CD5"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 health professional noted clinical outcomes as correct. Two others described them as ‘straightforward’ and ‘honest’, and ‘clear’ and ‘appropriate</w:t>
      </w:r>
      <w:r w:rsidR="00C96DAA">
        <w:rPr>
          <w:rFonts w:eastAsia="Franklin Gothic Book" w:cs="Franklin Gothic Book"/>
        </w:rPr>
        <w:t>’</w:t>
      </w:r>
      <w:r w:rsidRPr="33D45279">
        <w:rPr>
          <w:rFonts w:eastAsia="Franklin Gothic Book" w:cs="Franklin Gothic Book"/>
        </w:rPr>
        <w:t>, respectively.</w:t>
      </w:r>
    </w:p>
    <w:p w14:paraId="58EA88E1"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One health professional noted their lack of qualifications to determine costs and fees, but stated the proposed fee appeared appropriate. Another suggested the fee was reasonable and allows facilities to appropriately recover some costs for equipment, whereas other current funding schemes do not. Another health professional expressed support for the proposed fee.</w:t>
      </w:r>
    </w:p>
    <w:p w14:paraId="38921680" w14:textId="77777777" w:rsidR="00C951F1" w:rsidRPr="00C951F1" w:rsidRDefault="00C951F1" w:rsidP="000A29C6">
      <w:pPr>
        <w:pStyle w:val="Heading3"/>
        <w:spacing w:before="120" w:after="160"/>
        <w:contextualSpacing/>
      </w:pPr>
      <w:r w:rsidRPr="00C951F1">
        <w:t xml:space="preserve">Perceived Advantages </w:t>
      </w:r>
    </w:p>
    <w:p w14:paraId="57760284"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An individual with experience with this technology (with 50% TBSA) described it as ‘amazing’ in reducing scarring and the need for a skin graft, describing the areas where the technology was used as ‘almost indetectable’.</w:t>
      </w:r>
    </w:p>
    <w:p w14:paraId="654B6FDF"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lastRenderedPageBreak/>
        <w:t>A health professional noted autologous cells will heal the site quicker, produce less pain, and allow re-harvest quicker, all of which are potentially life-saving in burn victims.</w:t>
      </w:r>
    </w:p>
    <w:p w14:paraId="1A0FA9C3"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 health professional noted its use as easy, accessible, and quick.</w:t>
      </w:r>
    </w:p>
    <w:p w14:paraId="65F058F5"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Another health professional noted the introduction of this technology in their state was associated with a decrease in hospital admission length.</w:t>
      </w:r>
    </w:p>
    <w:p w14:paraId="509194E8" w14:textId="5984316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 xml:space="preserve">A health professional noted </w:t>
      </w:r>
      <w:r w:rsidR="00C96DAA" w:rsidRPr="325B3BBC">
        <w:rPr>
          <w:rFonts w:eastAsia="Franklin Gothic Book" w:cs="Franklin Gothic Book"/>
        </w:rPr>
        <w:t>smaller</w:t>
      </w:r>
      <w:r w:rsidRPr="33D45279">
        <w:rPr>
          <w:rFonts w:eastAsia="Franklin Gothic Book" w:cs="Franklin Gothic Book"/>
        </w:rPr>
        <w:t xml:space="preserve"> donor site and better colour-matched scar, and echoed the sentiments of other health professionals.</w:t>
      </w:r>
    </w:p>
    <w:p w14:paraId="7C0A6351"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 xml:space="preserve">Another health professional noted the following benefits: reduced donor </w:t>
      </w:r>
      <w:r w:rsidR="003C1C00">
        <w:rPr>
          <w:rFonts w:eastAsia="Franklin Gothic Book" w:cs="Franklin Gothic Book"/>
        </w:rPr>
        <w:t>site</w:t>
      </w:r>
      <w:r w:rsidRPr="33D45279">
        <w:rPr>
          <w:rFonts w:eastAsia="Franklin Gothic Book" w:cs="Franklin Gothic Book"/>
        </w:rPr>
        <w:t xml:space="preserve"> size; reduced donor site pain; reduced frequency of dressing changes; reduced time of wound healing; reduction in rate of secondary reconstructive procedures after acute burn surgery; improved scar quality; and improved scar pain and itch.</w:t>
      </w:r>
    </w:p>
    <w:p w14:paraId="35910EDE" w14:textId="3F681728"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 health professional noted that a significant proportion of burn inpatients are First Nations patients, or those with disabilities. Another noted that this technology is unique in its capacity to provide acute and reconstructive wound treatments which match skin colour and functionality, therefore, is applicable for all ethnicities and skin types, including First Nations people.</w:t>
      </w:r>
    </w:p>
    <w:p w14:paraId="18F4189E" w14:textId="77777777" w:rsidR="00C951F1" w:rsidRDefault="00C951F1" w:rsidP="000A29C6">
      <w:pPr>
        <w:pStyle w:val="ListParagraph"/>
        <w:numPr>
          <w:ilvl w:val="0"/>
          <w:numId w:val="16"/>
        </w:numPr>
        <w:rPr>
          <w:rFonts w:eastAsia="Franklin Gothic Book" w:cs="Franklin Gothic Book"/>
        </w:rPr>
      </w:pPr>
      <w:r w:rsidRPr="33D45279">
        <w:rPr>
          <w:rFonts w:eastAsia="Franklin Gothic Book" w:cs="Franklin Gothic Book"/>
        </w:rPr>
        <w:t>ANZBA noted the technology decreases wound healing time.</w:t>
      </w:r>
    </w:p>
    <w:p w14:paraId="14432CB2" w14:textId="77777777" w:rsidR="00C951F1" w:rsidRPr="00C951F1" w:rsidRDefault="00C951F1" w:rsidP="000A29C6">
      <w:pPr>
        <w:pStyle w:val="Heading3"/>
        <w:spacing w:before="120" w:after="160"/>
        <w:contextualSpacing/>
      </w:pPr>
      <w:r w:rsidRPr="00C951F1">
        <w:t>Perceived Disadvantages</w:t>
      </w:r>
    </w:p>
    <w:p w14:paraId="70165E9C" w14:textId="04CF68CC" w:rsidR="00C951F1" w:rsidRDefault="00C951F1" w:rsidP="000A29C6">
      <w:pPr>
        <w:pStyle w:val="ListParagraph"/>
        <w:numPr>
          <w:ilvl w:val="0"/>
          <w:numId w:val="17"/>
        </w:numPr>
        <w:rPr>
          <w:rFonts w:eastAsia="Franklin Gothic Book" w:cs="Franklin Gothic Book"/>
        </w:rPr>
      </w:pPr>
      <w:r w:rsidRPr="33D45279">
        <w:rPr>
          <w:rFonts w:eastAsia="Franklin Gothic Book" w:cs="Franklin Gothic Book"/>
        </w:rPr>
        <w:t xml:space="preserve">ASPS stated that the results for autologous skin cell suspension are highly variable and dependent on the </w:t>
      </w:r>
      <w:r w:rsidR="00612309" w:rsidRPr="33D45279">
        <w:rPr>
          <w:rFonts w:eastAsia="Franklin Gothic Book" w:cs="Franklin Gothic Book"/>
        </w:rPr>
        <w:t>operator but</w:t>
      </w:r>
      <w:r w:rsidRPr="33D45279">
        <w:rPr>
          <w:rFonts w:eastAsia="Franklin Gothic Book" w:cs="Franklin Gothic Book"/>
        </w:rPr>
        <w:t xml:space="preserve"> noted recent advancements in its technology may improve its reliability.</w:t>
      </w:r>
    </w:p>
    <w:p w14:paraId="03591F9C" w14:textId="77777777" w:rsidR="00C951F1" w:rsidRPr="00C951F1" w:rsidRDefault="00C951F1" w:rsidP="000A29C6">
      <w:pPr>
        <w:pStyle w:val="Heading3"/>
        <w:spacing w:before="120" w:after="160"/>
        <w:contextualSpacing/>
      </w:pPr>
      <w:r w:rsidRPr="00C951F1">
        <w:t xml:space="preserve">Support for Implementation and Issues </w:t>
      </w:r>
    </w:p>
    <w:p w14:paraId="0D1E5EDE" w14:textId="77777777" w:rsidR="00C951F1" w:rsidRDefault="00C951F1" w:rsidP="000A29C6">
      <w:pPr>
        <w:pStyle w:val="ListParagraph"/>
        <w:numPr>
          <w:ilvl w:val="0"/>
          <w:numId w:val="17"/>
        </w:numPr>
        <w:rPr>
          <w:rFonts w:eastAsia="Franklin Gothic Book" w:cs="Franklin Gothic Book"/>
        </w:rPr>
      </w:pPr>
      <w:r w:rsidRPr="33D45279">
        <w:rPr>
          <w:rFonts w:eastAsia="Franklin Gothic Book" w:cs="Franklin Gothic Book"/>
        </w:rPr>
        <w:t>A health professional noted there would be no issues with implementation, with training of surgeons considered ‘easy’.</w:t>
      </w:r>
    </w:p>
    <w:p w14:paraId="092DB5F2" w14:textId="7BFD7A98" w:rsidR="00C951F1" w:rsidRPr="00C951F1" w:rsidRDefault="00C951F1" w:rsidP="000A29C6">
      <w:pPr>
        <w:pStyle w:val="ListParagraph"/>
        <w:numPr>
          <w:ilvl w:val="0"/>
          <w:numId w:val="17"/>
        </w:numPr>
        <w:rPr>
          <w:rFonts w:eastAsia="Franklin Gothic Book" w:cs="Franklin Gothic Book"/>
        </w:rPr>
      </w:pPr>
      <w:r w:rsidRPr="33D45279">
        <w:rPr>
          <w:rFonts w:eastAsia="Franklin Gothic Book" w:cs="Franklin Gothic Book"/>
        </w:rPr>
        <w:t>Another health professional stated that as the technology is already in use, there would be no barriers to implementation as training, clinical, and administrative systems are already in place for its current and ongoing use.</w:t>
      </w:r>
    </w:p>
    <w:p w14:paraId="03C7A1F1" w14:textId="0353AD4F" w:rsidR="00772829" w:rsidRPr="004C18BB" w:rsidRDefault="00772829" w:rsidP="0000493F">
      <w:pPr>
        <w:pStyle w:val="Heading2"/>
        <w:numPr>
          <w:ilvl w:val="0"/>
          <w:numId w:val="15"/>
        </w:numPr>
      </w:pPr>
      <w:r w:rsidRPr="004C18BB">
        <w:t>Characteristics of the evidence base</w:t>
      </w:r>
      <w:bookmarkEnd w:id="27"/>
      <w:bookmarkEnd w:id="28"/>
      <w:bookmarkEnd w:id="29"/>
      <w:bookmarkEnd w:id="30"/>
    </w:p>
    <w:p w14:paraId="5B9B809D" w14:textId="34773D90" w:rsidR="009A3438" w:rsidRPr="00DB1A8B" w:rsidRDefault="466DD7C1" w:rsidP="008737A9">
      <w:pPr>
        <w:rPr>
          <w:sz w:val="16"/>
          <w:szCs w:val="16"/>
        </w:rPr>
      </w:pPr>
      <w:r w:rsidRPr="008737A9">
        <w:t>The</w:t>
      </w:r>
      <w:r w:rsidRPr="008737A9" w:rsidDel="00044740">
        <w:t xml:space="preserve"> </w:t>
      </w:r>
      <w:r w:rsidR="03D3269A">
        <w:t>ADAR</w:t>
      </w:r>
      <w:r w:rsidRPr="008737A9">
        <w:t xml:space="preserve"> is based on </w:t>
      </w:r>
      <w:r w:rsidR="27F662AE">
        <w:t>2</w:t>
      </w:r>
      <w:r w:rsidR="27F662AE" w:rsidRPr="00937401">
        <w:t xml:space="preserve"> </w:t>
      </w:r>
      <w:r w:rsidRPr="008737A9">
        <w:t xml:space="preserve">multicentre </w:t>
      </w:r>
      <w:r w:rsidR="00CB248D">
        <w:t>randomised controlled trials (</w:t>
      </w:r>
      <w:r w:rsidRPr="008737A9">
        <w:t>RCTs</w:t>
      </w:r>
      <w:r w:rsidR="00CB248D">
        <w:t>)</w:t>
      </w:r>
      <w:r w:rsidRPr="008737A9">
        <w:t xml:space="preserve"> (CTP001-5 and CTP001-6)</w:t>
      </w:r>
      <w:r>
        <w:rPr>
          <w:noProof/>
        </w:rPr>
        <w:t xml:space="preserve"> </w:t>
      </w:r>
      <w:r w:rsidR="77E82319">
        <w:rPr>
          <w:noProof/>
        </w:rPr>
        <w:t>(</w:t>
      </w:r>
      <w:r w:rsidR="00807AF8" w:rsidRPr="0000156F">
        <w:rPr>
          <w:rStyle w:val="InstructionaltextChar"/>
          <w:color w:val="auto"/>
        </w:rPr>
        <w:fldChar w:fldCharType="begin"/>
      </w:r>
      <w:r w:rsidR="00807AF8" w:rsidRPr="0000156F">
        <w:rPr>
          <w:rStyle w:val="InstructionaltextChar"/>
          <w:color w:val="auto"/>
        </w:rPr>
        <w:instrText xml:space="preserve"> REF _Ref194056653 \h </w:instrText>
      </w:r>
      <w:r w:rsidR="00541336" w:rsidRPr="0000156F">
        <w:rPr>
          <w:rStyle w:val="InstructionaltextChar"/>
          <w:color w:val="auto"/>
        </w:rPr>
        <w:instrText xml:space="preserve"> \* MERGEFORMAT </w:instrText>
      </w:r>
      <w:r w:rsidR="00807AF8" w:rsidRPr="0000156F">
        <w:rPr>
          <w:rStyle w:val="InstructionaltextChar"/>
          <w:color w:val="auto"/>
        </w:rPr>
      </w:r>
      <w:r w:rsidR="00807AF8" w:rsidRPr="0000156F">
        <w:rPr>
          <w:rStyle w:val="InstructionaltextChar"/>
          <w:color w:val="auto"/>
        </w:rPr>
        <w:fldChar w:fldCharType="separate"/>
      </w:r>
      <w:r w:rsidR="00487E4A" w:rsidRPr="00487E4A">
        <w:rPr>
          <w:rStyle w:val="InstructionaltextChar"/>
          <w:color w:val="auto"/>
        </w:rPr>
        <w:t>Table 7</w:t>
      </w:r>
      <w:r w:rsidR="00807AF8" w:rsidRPr="0000156F">
        <w:rPr>
          <w:rStyle w:val="InstructionaltextChar"/>
          <w:color w:val="auto"/>
        </w:rPr>
        <w:fldChar w:fldCharType="end"/>
      </w:r>
      <w:r w:rsidR="77E82319" w:rsidRPr="0000156F">
        <w:rPr>
          <w:rStyle w:val="InstructionaltextChar"/>
          <w:color w:val="auto"/>
        </w:rPr>
        <w:t>)</w:t>
      </w:r>
      <w:r>
        <w:rPr>
          <w:noProof/>
        </w:rPr>
        <w:t xml:space="preserve">. </w:t>
      </w:r>
      <w:r w:rsidR="3529013B" w:rsidRPr="6499F752">
        <w:rPr>
          <w:noProof/>
        </w:rPr>
        <w:t>B</w:t>
      </w:r>
      <w:r w:rsidR="177E7546">
        <w:rPr>
          <w:noProof/>
        </w:rPr>
        <w:t>oth</w:t>
      </w:r>
      <w:r w:rsidR="5D8EAEF7" w:rsidRPr="00937401">
        <w:rPr>
          <w:noProof/>
        </w:rPr>
        <w:t xml:space="preserve"> </w:t>
      </w:r>
      <w:r>
        <w:rPr>
          <w:noProof/>
        </w:rPr>
        <w:t>RCTs</w:t>
      </w:r>
      <w:r w:rsidRPr="00070C5A">
        <w:rPr>
          <w:noProof/>
        </w:rPr>
        <w:t xml:space="preserve"> comprise a small number of patients and do not report all the outcomes specified in the PICO criteria</w:t>
      </w:r>
      <w:r w:rsidR="114249BB" w:rsidRPr="6499F752">
        <w:rPr>
          <w:noProof/>
        </w:rPr>
        <w:t>. In addition, the included patients are only somewhat representative of the MBS</w:t>
      </w:r>
      <w:r w:rsidR="105BCCA0" w:rsidRPr="6499F752">
        <w:rPr>
          <w:noProof/>
        </w:rPr>
        <w:t xml:space="preserve"> </w:t>
      </w:r>
      <w:r w:rsidR="114249BB" w:rsidRPr="6499F752">
        <w:rPr>
          <w:noProof/>
        </w:rPr>
        <w:t xml:space="preserve">proposed population: </w:t>
      </w:r>
      <w:r w:rsidR="238FE443" w:rsidRPr="6499F752">
        <w:rPr>
          <w:noProof/>
        </w:rPr>
        <w:t>one RCT (</w:t>
      </w:r>
      <w:r w:rsidR="114249BB">
        <w:t>CTP001-5</w:t>
      </w:r>
      <w:r w:rsidR="238FE443" w:rsidRPr="6499F752">
        <w:rPr>
          <w:noProof/>
        </w:rPr>
        <w:t>)</w:t>
      </w:r>
      <w:r w:rsidR="114249BB">
        <w:t xml:space="preserve"> does not report on burn sizes relevant to the MBS</w:t>
      </w:r>
      <w:r w:rsidR="306BEFF1" w:rsidRPr="6499F752">
        <w:rPr>
          <w:noProof/>
        </w:rPr>
        <w:t xml:space="preserve"> </w:t>
      </w:r>
      <w:r w:rsidR="114249BB">
        <w:t>proposed population (≥20% TBSA)</w:t>
      </w:r>
      <w:r w:rsidR="0ABF7425">
        <w:t xml:space="preserve"> </w:t>
      </w:r>
      <w:r w:rsidR="238FE443" w:rsidRPr="6499F752">
        <w:rPr>
          <w:noProof/>
        </w:rPr>
        <w:t xml:space="preserve">and the other </w:t>
      </w:r>
      <w:r w:rsidR="04CE881E">
        <w:t>(CTP001-6) includes patients with burns covering 5</w:t>
      </w:r>
      <w:r w:rsidR="6CAC5799" w:rsidRPr="6499F752">
        <w:rPr>
          <w:noProof/>
        </w:rPr>
        <w:t>–</w:t>
      </w:r>
      <w:r w:rsidR="04CE881E">
        <w:t>50% TBSA, although it is unclear what proportion of patients have burns that match those of the MBS</w:t>
      </w:r>
      <w:r w:rsidR="7E488494">
        <w:t xml:space="preserve"> </w:t>
      </w:r>
      <w:r w:rsidR="04CE881E">
        <w:t>proposed population (≥20% TBSA).</w:t>
      </w:r>
      <w:r w:rsidR="238FE443" w:rsidRPr="6499F752">
        <w:rPr>
          <w:noProof/>
        </w:rPr>
        <w:t xml:space="preserve"> Consequently, </w:t>
      </w:r>
      <w:r>
        <w:rPr>
          <w:noProof/>
        </w:rPr>
        <w:t>additional studies were provided as s</w:t>
      </w:r>
      <w:r w:rsidRPr="005250DB">
        <w:rPr>
          <w:noProof/>
        </w:rPr>
        <w:t>upportive evidence</w:t>
      </w:r>
      <w:r>
        <w:rPr>
          <w:noProof/>
        </w:rPr>
        <w:t>. These included r</w:t>
      </w:r>
      <w:r w:rsidRPr="005250DB">
        <w:rPr>
          <w:noProof/>
        </w:rPr>
        <w:t xml:space="preserve">etrospective subgroup analyses of a single-arm compassionate use study (CTP004) and </w:t>
      </w:r>
      <w:r w:rsidR="5F4C9516">
        <w:rPr>
          <w:noProof/>
        </w:rPr>
        <w:t>2</w:t>
      </w:r>
      <w:r w:rsidR="5F4C9516" w:rsidRPr="00937401">
        <w:rPr>
          <w:noProof/>
        </w:rPr>
        <w:t xml:space="preserve"> </w:t>
      </w:r>
      <w:r w:rsidRPr="005250DB">
        <w:rPr>
          <w:noProof/>
        </w:rPr>
        <w:t xml:space="preserve">continued access protocols: an RCT (CTP001-7) that </w:t>
      </w:r>
      <w:r w:rsidR="5E973FD6">
        <w:rPr>
          <w:noProof/>
        </w:rPr>
        <w:t>continued</w:t>
      </w:r>
      <w:r w:rsidRPr="005250DB">
        <w:rPr>
          <w:noProof/>
        </w:rPr>
        <w:t xml:space="preserve"> from the CTP001-6 RCT and a single-arm study (CTP001-8) that continued from the CTP001-7 RCT</w:t>
      </w:r>
      <w:r>
        <w:rPr>
          <w:noProof/>
        </w:rPr>
        <w:t xml:space="preserve"> </w:t>
      </w:r>
      <w:r w:rsidR="77E82319">
        <w:rPr>
          <w:noProof/>
        </w:rPr>
        <w:t>(</w:t>
      </w:r>
      <w:r w:rsidR="00356C84">
        <w:rPr>
          <w:noProof/>
        </w:rPr>
        <w:fldChar w:fldCharType="begin"/>
      </w:r>
      <w:r w:rsidR="00356C84">
        <w:rPr>
          <w:noProof/>
        </w:rPr>
        <w:instrText xml:space="preserve"> REF _Ref194056721 \h </w:instrText>
      </w:r>
      <w:r w:rsidR="00541336">
        <w:rPr>
          <w:noProof/>
        </w:rPr>
        <w:instrText xml:space="preserve"> \* MERGEFORMAT </w:instrText>
      </w:r>
      <w:r w:rsidR="00356C84">
        <w:rPr>
          <w:noProof/>
        </w:rPr>
      </w:r>
      <w:r w:rsidR="00356C84">
        <w:rPr>
          <w:noProof/>
        </w:rPr>
        <w:fldChar w:fldCharType="separate"/>
      </w:r>
      <w:r w:rsidR="00487E4A" w:rsidRPr="00487E4A">
        <w:rPr>
          <w:rStyle w:val="InstructionaltextChar"/>
          <w:color w:val="auto"/>
        </w:rPr>
        <w:t>Table 8</w:t>
      </w:r>
      <w:r w:rsidR="00356C84">
        <w:rPr>
          <w:noProof/>
        </w:rPr>
        <w:fldChar w:fldCharType="end"/>
      </w:r>
      <w:r w:rsidR="77E82319" w:rsidRPr="0000156F">
        <w:rPr>
          <w:noProof/>
        </w:rPr>
        <w:t>)</w:t>
      </w:r>
      <w:r w:rsidRPr="0000156F">
        <w:rPr>
          <w:noProof/>
        </w:rPr>
        <w:t>.</w:t>
      </w:r>
      <w:r w:rsidRPr="00AB77C6">
        <w:rPr>
          <w:noProof/>
        </w:rPr>
        <w:t xml:space="preserve"> </w:t>
      </w:r>
      <w:r>
        <w:rPr>
          <w:noProof/>
        </w:rPr>
        <w:t>However</w:t>
      </w:r>
      <w:r w:rsidRPr="005250DB">
        <w:rPr>
          <w:noProof/>
        </w:rPr>
        <w:t>, the CTP001-7 RCT ha</w:t>
      </w:r>
      <w:r w:rsidR="007B4615">
        <w:rPr>
          <w:noProof/>
        </w:rPr>
        <w:t>d</w:t>
      </w:r>
      <w:r w:rsidRPr="005250DB">
        <w:rPr>
          <w:noProof/>
        </w:rPr>
        <w:t xml:space="preserve"> a patient sample somewhat representative of the MBS patient population and </w:t>
      </w:r>
      <w:r>
        <w:rPr>
          <w:noProof/>
        </w:rPr>
        <w:t>should have</w:t>
      </w:r>
      <w:r w:rsidRPr="005250DB">
        <w:rPr>
          <w:noProof/>
        </w:rPr>
        <w:t xml:space="preserve"> been included </w:t>
      </w:r>
      <w:r w:rsidR="007B4615">
        <w:rPr>
          <w:noProof/>
        </w:rPr>
        <w:t xml:space="preserve">in the ADAR </w:t>
      </w:r>
      <w:r w:rsidRPr="005250DB">
        <w:rPr>
          <w:noProof/>
        </w:rPr>
        <w:t>as primary clinical evidence alongside the CTP001-6 RCT</w:t>
      </w:r>
      <w:r>
        <w:rPr>
          <w:noProof/>
        </w:rPr>
        <w:t xml:space="preserve"> </w:t>
      </w:r>
      <w:r w:rsidR="77E82319">
        <w:rPr>
          <w:noProof/>
        </w:rPr>
        <w:t>(</w:t>
      </w:r>
      <w:r w:rsidR="00356C84" w:rsidRPr="0000156F">
        <w:rPr>
          <w:rStyle w:val="InstructionaltextChar"/>
          <w:color w:val="auto"/>
        </w:rPr>
        <w:fldChar w:fldCharType="begin"/>
      </w:r>
      <w:r w:rsidR="00356C84" w:rsidRPr="0000156F">
        <w:rPr>
          <w:rStyle w:val="InstructionaltextChar"/>
          <w:color w:val="auto"/>
        </w:rPr>
        <w:instrText xml:space="preserve"> REF _Ref194056653 \h </w:instrText>
      </w:r>
      <w:r w:rsidR="00541336" w:rsidRPr="0000156F">
        <w:rPr>
          <w:rStyle w:val="InstructionaltextChar"/>
          <w:color w:val="auto"/>
        </w:rPr>
        <w:instrText xml:space="preserve"> \* MERGEFORMAT </w:instrText>
      </w:r>
      <w:r w:rsidR="00356C84" w:rsidRPr="0000156F">
        <w:rPr>
          <w:rStyle w:val="InstructionaltextChar"/>
          <w:color w:val="auto"/>
        </w:rPr>
      </w:r>
      <w:r w:rsidR="00356C84" w:rsidRPr="0000156F">
        <w:rPr>
          <w:rStyle w:val="InstructionaltextChar"/>
          <w:color w:val="auto"/>
        </w:rPr>
        <w:fldChar w:fldCharType="separate"/>
      </w:r>
      <w:r w:rsidR="00487E4A" w:rsidRPr="00487E4A">
        <w:rPr>
          <w:rStyle w:val="InstructionaltextChar"/>
          <w:color w:val="auto"/>
        </w:rPr>
        <w:t>Table 7</w:t>
      </w:r>
      <w:r w:rsidR="00356C84" w:rsidRPr="0000156F">
        <w:rPr>
          <w:rStyle w:val="InstructionaltextChar"/>
          <w:color w:val="auto"/>
        </w:rPr>
        <w:fldChar w:fldCharType="end"/>
      </w:r>
      <w:r w:rsidR="77E82319" w:rsidRPr="0000156F">
        <w:rPr>
          <w:rStyle w:val="InstructionaltextChar"/>
          <w:color w:val="auto"/>
        </w:rPr>
        <w:t>)</w:t>
      </w:r>
      <w:r w:rsidRPr="0000156F">
        <w:rPr>
          <w:noProof/>
        </w:rPr>
        <w:t>.</w:t>
      </w:r>
      <w:r w:rsidR="009D5660">
        <w:rPr>
          <w:noProof/>
        </w:rPr>
        <w:t xml:space="preserve"> </w:t>
      </w:r>
    </w:p>
    <w:p w14:paraId="491F75A6" w14:textId="5089B0C0" w:rsidR="007F464A" w:rsidRDefault="007C01EB" w:rsidP="0054173E">
      <w:pPr>
        <w:pStyle w:val="TableHeading0"/>
        <w:keepNext/>
        <w:keepLines/>
      </w:pPr>
      <w:bookmarkStart w:id="31" w:name="_Ref194056653"/>
      <w:bookmarkStart w:id="32" w:name="_Ref193462292"/>
      <w:r>
        <w:lastRenderedPageBreak/>
        <w:t>Table</w:t>
      </w:r>
      <w:r w:rsidR="00B02163" w:rsidRPr="004C18BB">
        <w:t> </w:t>
      </w:r>
      <w:r>
        <w:fldChar w:fldCharType="begin"/>
      </w:r>
      <w:r>
        <w:instrText>SEQ Table \* ARABIC</w:instrText>
      </w:r>
      <w:r>
        <w:fldChar w:fldCharType="separate"/>
      </w:r>
      <w:r w:rsidR="00487E4A">
        <w:rPr>
          <w:noProof/>
        </w:rPr>
        <w:t>7</w:t>
      </w:r>
      <w:r>
        <w:fldChar w:fldCharType="end"/>
      </w:r>
      <w:bookmarkEnd w:id="31"/>
      <w:bookmarkEnd w:id="32"/>
      <w:r w:rsidR="00B02163">
        <w:t>:</w:t>
      </w:r>
      <w:r w:rsidR="007F464A">
        <w:t xml:space="preserve"> </w:t>
      </w:r>
      <w:r w:rsidR="007F464A" w:rsidRPr="00B43AE3">
        <w:t>Key features of direct level II evidence comparing ASCS with STSG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9"/>
        <w:gridCol w:w="387"/>
        <w:gridCol w:w="1386"/>
        <w:gridCol w:w="722"/>
        <w:gridCol w:w="2112"/>
        <w:gridCol w:w="1013"/>
        <w:gridCol w:w="1679"/>
        <w:gridCol w:w="868"/>
      </w:tblGrid>
      <w:tr w:rsidR="00DB6B33" w:rsidRPr="00CE28E3" w14:paraId="137AA85A" w14:textId="77777777" w:rsidTr="00123E33">
        <w:trPr>
          <w:cantSplit/>
          <w:tblHeader/>
        </w:trPr>
        <w:tc>
          <w:tcPr>
            <w:tcW w:w="471" w:type="pct"/>
          </w:tcPr>
          <w:p w14:paraId="77A1E0F2" w14:textId="77777777" w:rsidR="009A3438" w:rsidRPr="00EA7BAC" w:rsidRDefault="009A3438" w:rsidP="00183B5B">
            <w:pPr>
              <w:pStyle w:val="TableText"/>
              <w:keepNext/>
              <w:keepLines/>
              <w:spacing w:before="0" w:after="0"/>
              <w:rPr>
                <w:b/>
              </w:rPr>
            </w:pPr>
            <w:r w:rsidRPr="00EA7BAC">
              <w:rPr>
                <w:b/>
              </w:rPr>
              <w:t>Reference</w:t>
            </w:r>
          </w:p>
        </w:tc>
        <w:tc>
          <w:tcPr>
            <w:tcW w:w="231" w:type="pct"/>
          </w:tcPr>
          <w:p w14:paraId="183FA2EC" w14:textId="77777777" w:rsidR="009A3438" w:rsidRPr="00EA7BAC" w:rsidRDefault="009A3438" w:rsidP="00183B5B">
            <w:pPr>
              <w:pStyle w:val="TableText"/>
              <w:keepNext/>
              <w:keepLines/>
              <w:spacing w:before="0" w:after="0"/>
              <w:rPr>
                <w:b/>
              </w:rPr>
            </w:pPr>
            <w:r w:rsidRPr="00EA7BAC">
              <w:rPr>
                <w:b/>
              </w:rPr>
              <w:t>N</w:t>
            </w:r>
          </w:p>
        </w:tc>
        <w:tc>
          <w:tcPr>
            <w:tcW w:w="785" w:type="pct"/>
          </w:tcPr>
          <w:p w14:paraId="5C59E6B7" w14:textId="77777777" w:rsidR="009A3438" w:rsidRPr="00EA7BAC" w:rsidRDefault="009A3438" w:rsidP="00183B5B">
            <w:pPr>
              <w:pStyle w:val="TableText"/>
              <w:keepNext/>
              <w:keepLines/>
              <w:spacing w:before="0" w:after="0"/>
              <w:rPr>
                <w:b/>
              </w:rPr>
            </w:pPr>
            <w:r w:rsidRPr="00EA7BAC">
              <w:rPr>
                <w:b/>
              </w:rPr>
              <w:t>Design/duration/</w:t>
            </w:r>
            <w:r w:rsidRPr="00EA7BAC">
              <w:rPr>
                <w:b/>
              </w:rPr>
              <w:br/>
              <w:t>follow-up length</w:t>
            </w:r>
          </w:p>
        </w:tc>
        <w:tc>
          <w:tcPr>
            <w:tcW w:w="318" w:type="pct"/>
          </w:tcPr>
          <w:p w14:paraId="7FF4D00C" w14:textId="77777777" w:rsidR="009A3438" w:rsidRPr="00EA7BAC" w:rsidRDefault="009A3438" w:rsidP="00183B5B">
            <w:pPr>
              <w:pStyle w:val="TableText"/>
              <w:keepNext/>
              <w:keepLines/>
              <w:spacing w:before="0" w:after="0"/>
              <w:rPr>
                <w:b/>
              </w:rPr>
            </w:pPr>
            <w:r w:rsidRPr="00EA7BAC">
              <w:rPr>
                <w:b/>
              </w:rPr>
              <w:t xml:space="preserve">Risk of bias </w:t>
            </w:r>
            <w:r w:rsidRPr="00EA7BAC">
              <w:rPr>
                <w:b/>
                <w:vertAlign w:val="superscript"/>
              </w:rPr>
              <w:t>a</w:t>
            </w:r>
          </w:p>
        </w:tc>
        <w:tc>
          <w:tcPr>
            <w:tcW w:w="1188" w:type="pct"/>
          </w:tcPr>
          <w:p w14:paraId="6DDE46D4" w14:textId="77777777" w:rsidR="009A3438" w:rsidRPr="00EA7BAC" w:rsidRDefault="009A3438" w:rsidP="00183B5B">
            <w:pPr>
              <w:pStyle w:val="TableText"/>
              <w:keepNext/>
              <w:keepLines/>
              <w:spacing w:before="0" w:after="0"/>
              <w:rPr>
                <w:b/>
              </w:rPr>
            </w:pPr>
            <w:r w:rsidRPr="00EA7BAC">
              <w:rPr>
                <w:b/>
              </w:rPr>
              <w:t>Patient population</w:t>
            </w:r>
          </w:p>
        </w:tc>
        <w:tc>
          <w:tcPr>
            <w:tcW w:w="569" w:type="pct"/>
          </w:tcPr>
          <w:p w14:paraId="03503791" w14:textId="77777777" w:rsidR="009A3438" w:rsidRPr="00EA7BAC" w:rsidRDefault="009A3438" w:rsidP="00183B5B">
            <w:pPr>
              <w:pStyle w:val="TableText"/>
              <w:keepNext/>
              <w:keepLines/>
              <w:spacing w:before="0" w:after="0"/>
              <w:rPr>
                <w:b/>
              </w:rPr>
            </w:pPr>
            <w:r w:rsidRPr="00EA7BAC">
              <w:rPr>
                <w:b/>
              </w:rPr>
              <w:t>Comparison</w:t>
            </w:r>
          </w:p>
        </w:tc>
        <w:tc>
          <w:tcPr>
            <w:tcW w:w="956" w:type="pct"/>
          </w:tcPr>
          <w:p w14:paraId="37707597" w14:textId="77777777" w:rsidR="009A3438" w:rsidRPr="00EA7BAC" w:rsidRDefault="009A3438" w:rsidP="00183B5B">
            <w:pPr>
              <w:pStyle w:val="TableText"/>
              <w:keepNext/>
              <w:keepLines/>
              <w:spacing w:before="0" w:after="0"/>
              <w:rPr>
                <w:b/>
              </w:rPr>
            </w:pPr>
            <w:r w:rsidRPr="00EA7BAC">
              <w:rPr>
                <w:b/>
              </w:rPr>
              <w:t>Outcome(s)</w:t>
            </w:r>
          </w:p>
        </w:tc>
        <w:tc>
          <w:tcPr>
            <w:tcW w:w="481" w:type="pct"/>
          </w:tcPr>
          <w:p w14:paraId="705BF95F" w14:textId="77777777" w:rsidR="009A3438" w:rsidRPr="00EA7BAC" w:rsidRDefault="009A3438" w:rsidP="00183B5B">
            <w:pPr>
              <w:pStyle w:val="TableText"/>
              <w:keepNext/>
              <w:keepLines/>
              <w:spacing w:before="0" w:after="0"/>
              <w:rPr>
                <w:b/>
              </w:rPr>
            </w:pPr>
            <w:r w:rsidRPr="00EA7BAC">
              <w:rPr>
                <w:b/>
              </w:rPr>
              <w:t>Use in modelled evaluation</w:t>
            </w:r>
          </w:p>
        </w:tc>
      </w:tr>
      <w:tr w:rsidR="00DB6B33" w:rsidRPr="00CE28E3" w14:paraId="6882F30E" w14:textId="77777777" w:rsidTr="00123E33">
        <w:trPr>
          <w:cantSplit/>
        </w:trPr>
        <w:tc>
          <w:tcPr>
            <w:tcW w:w="471" w:type="pct"/>
          </w:tcPr>
          <w:p w14:paraId="63993B77" w14:textId="77777777" w:rsidR="009A3438" w:rsidRPr="00937401" w:rsidRDefault="009A3438" w:rsidP="00183B5B">
            <w:pPr>
              <w:pStyle w:val="TableText"/>
              <w:keepNext/>
              <w:keepLines/>
              <w:spacing w:before="0" w:after="0"/>
            </w:pPr>
            <w:r>
              <w:t>CTP001-5</w:t>
            </w:r>
          </w:p>
        </w:tc>
        <w:tc>
          <w:tcPr>
            <w:tcW w:w="231" w:type="pct"/>
          </w:tcPr>
          <w:p w14:paraId="088B3BF8" w14:textId="77777777" w:rsidR="009A3438" w:rsidRPr="00937401" w:rsidRDefault="009A3438" w:rsidP="00183B5B">
            <w:pPr>
              <w:pStyle w:val="TableText"/>
              <w:keepNext/>
              <w:keepLines/>
              <w:spacing w:before="0" w:after="0"/>
            </w:pPr>
            <w:r>
              <w:t>101</w:t>
            </w:r>
          </w:p>
        </w:tc>
        <w:tc>
          <w:tcPr>
            <w:tcW w:w="785" w:type="pct"/>
          </w:tcPr>
          <w:p w14:paraId="6088569C" w14:textId="77777777" w:rsidR="009A3438" w:rsidRDefault="009A3438" w:rsidP="00183B5B">
            <w:pPr>
              <w:pStyle w:val="TableText"/>
              <w:keepNext/>
              <w:keepLines/>
              <w:spacing w:before="0" w:after="0"/>
            </w:pPr>
            <w:r w:rsidRPr="00937401">
              <w:t xml:space="preserve">Within-patient controlled multicentre </w:t>
            </w:r>
            <w:r>
              <w:t xml:space="preserve">RCT </w:t>
            </w:r>
          </w:p>
          <w:p w14:paraId="696F7D61" w14:textId="7BABA5A9" w:rsidR="009A3438" w:rsidRDefault="009A3438" w:rsidP="00183B5B">
            <w:pPr>
              <w:pStyle w:val="TableText"/>
              <w:keepNext/>
              <w:keepLines/>
              <w:spacing w:before="0" w:after="0"/>
            </w:pPr>
            <w:r w:rsidRPr="00724F70">
              <w:t>21 May 2010</w:t>
            </w:r>
            <w:r w:rsidR="00610637">
              <w:t>–</w:t>
            </w:r>
            <w:r>
              <w:t>26 August 2015</w:t>
            </w:r>
          </w:p>
          <w:p w14:paraId="7529E2DA" w14:textId="77777777" w:rsidR="009A3438" w:rsidRPr="00937401" w:rsidRDefault="009A3438" w:rsidP="00183B5B">
            <w:pPr>
              <w:pStyle w:val="TableText"/>
              <w:keepNext/>
              <w:keepLines/>
              <w:spacing w:before="0" w:after="0"/>
            </w:pPr>
            <w:r w:rsidRPr="00394BA7">
              <w:rPr>
                <w:i/>
                <w:iCs/>
              </w:rPr>
              <w:t>Follow-up</w:t>
            </w:r>
            <w:r w:rsidRPr="00394BA7">
              <w:t>: 52 weeks</w:t>
            </w:r>
          </w:p>
        </w:tc>
        <w:tc>
          <w:tcPr>
            <w:tcW w:w="318" w:type="pct"/>
          </w:tcPr>
          <w:p w14:paraId="62F0C59F" w14:textId="77777777" w:rsidR="009A3438" w:rsidRPr="00937401" w:rsidRDefault="009A3438" w:rsidP="00183B5B">
            <w:pPr>
              <w:pStyle w:val="TableText"/>
              <w:keepNext/>
              <w:keepLines/>
              <w:spacing w:before="0" w:after="0"/>
            </w:pPr>
            <w:r w:rsidRPr="00937401">
              <w:t>Some concerns</w:t>
            </w:r>
          </w:p>
        </w:tc>
        <w:tc>
          <w:tcPr>
            <w:tcW w:w="1188" w:type="pct"/>
          </w:tcPr>
          <w:p w14:paraId="49DA4B7D" w14:textId="1789E13A" w:rsidR="009A3438" w:rsidRPr="00394BA7" w:rsidRDefault="009A3438" w:rsidP="00183B5B">
            <w:pPr>
              <w:pStyle w:val="TableText"/>
              <w:keepNext/>
              <w:keepLines/>
              <w:spacing w:before="0" w:after="0"/>
            </w:pPr>
            <w:r w:rsidRPr="00394BA7">
              <w:t>Adult</w:t>
            </w:r>
            <w:r>
              <w:t>s</w:t>
            </w:r>
            <w:r w:rsidRPr="00394BA7">
              <w:t xml:space="preserve"> (18</w:t>
            </w:r>
            <w:r w:rsidR="00610637">
              <w:t>–</w:t>
            </w:r>
            <w:r w:rsidRPr="00394BA7">
              <w:t>65 years) with 1</w:t>
            </w:r>
            <w:r w:rsidR="00610637">
              <w:t>–</w:t>
            </w:r>
            <w:r w:rsidRPr="00394BA7">
              <w:t>20% TBSA acute DPT thermal burns requiring autografting for definitive closure</w:t>
            </w:r>
          </w:p>
          <w:p w14:paraId="568ED55F" w14:textId="1F922692" w:rsidR="009A3438" w:rsidRPr="00937401" w:rsidRDefault="009A3438" w:rsidP="00183B5B">
            <w:pPr>
              <w:pStyle w:val="TableText"/>
              <w:keepNext/>
              <w:keepLines/>
              <w:spacing w:before="0" w:after="0"/>
            </w:pPr>
            <w:r w:rsidRPr="00394BA7">
              <w:rPr>
                <w:i/>
                <w:iCs/>
              </w:rPr>
              <w:t>Mean age (SD)</w:t>
            </w:r>
            <w:r w:rsidRPr="00394BA7">
              <w:t xml:space="preserve">: </w:t>
            </w:r>
            <w:r w:rsidRPr="00937401">
              <w:t>39.5 (13.1); range 18.2</w:t>
            </w:r>
            <w:r w:rsidR="002B5014">
              <w:t>–</w:t>
            </w:r>
            <w:r w:rsidRPr="00937401">
              <w:t>63.5</w:t>
            </w:r>
          </w:p>
          <w:p w14:paraId="409C8AFB" w14:textId="77777777" w:rsidR="009A3438" w:rsidRPr="00937401" w:rsidRDefault="009A3438" w:rsidP="00183B5B">
            <w:pPr>
              <w:pStyle w:val="TableText"/>
              <w:keepNext/>
              <w:keepLines/>
              <w:spacing w:before="0" w:after="0"/>
            </w:pPr>
            <w:r w:rsidRPr="00394BA7">
              <w:rPr>
                <w:i/>
                <w:iCs/>
              </w:rPr>
              <w:t>Male sex</w:t>
            </w:r>
            <w:r w:rsidRPr="00394BA7">
              <w:t xml:space="preserve">: </w:t>
            </w:r>
            <w:r w:rsidRPr="00937401">
              <w:t xml:space="preserve">84% </w:t>
            </w:r>
          </w:p>
          <w:p w14:paraId="508CA77C" w14:textId="44DE77DF" w:rsidR="009A3438" w:rsidRPr="00937401" w:rsidRDefault="009A3438" w:rsidP="00183B5B">
            <w:pPr>
              <w:pStyle w:val="TableText"/>
              <w:keepNext/>
              <w:keepLines/>
              <w:spacing w:before="0" w:after="0"/>
            </w:pPr>
            <w:r w:rsidRPr="00394BA7">
              <w:rPr>
                <w:i/>
                <w:iCs/>
              </w:rPr>
              <w:t>Mean TBSA (SD)</w:t>
            </w:r>
            <w:r w:rsidRPr="00394BA7">
              <w:t xml:space="preserve">: </w:t>
            </w:r>
            <w:r w:rsidRPr="00937401">
              <w:t>10.0% (SD 4.5). range 3</w:t>
            </w:r>
            <w:r w:rsidR="002B5014">
              <w:t>–</w:t>
            </w:r>
            <w:r w:rsidRPr="00937401">
              <w:t>20</w:t>
            </w:r>
          </w:p>
          <w:p w14:paraId="3F0213E4" w14:textId="25A96EC5" w:rsidR="009A3438" w:rsidRPr="00394BA7" w:rsidRDefault="009A3438" w:rsidP="00183B5B">
            <w:pPr>
              <w:pStyle w:val="TableText"/>
              <w:keepNext/>
              <w:keepLines/>
              <w:spacing w:before="0" w:after="0"/>
              <w:rPr>
                <w:highlight w:val="yellow"/>
              </w:rPr>
            </w:pPr>
            <w:r w:rsidRPr="00394BA7">
              <w:rPr>
                <w:i/>
                <w:iCs/>
              </w:rPr>
              <w:t>Mean Baux score (SD)</w:t>
            </w:r>
            <w:r w:rsidRPr="00394BA7">
              <w:t xml:space="preserve">: </w:t>
            </w:r>
            <w:r w:rsidR="00602755">
              <w:t>n</w:t>
            </w:r>
            <w:r w:rsidRPr="00394BA7">
              <w:t>ot reported</w:t>
            </w:r>
          </w:p>
        </w:tc>
        <w:tc>
          <w:tcPr>
            <w:tcW w:w="569" w:type="pct"/>
          </w:tcPr>
          <w:p w14:paraId="4DC1F57B" w14:textId="77777777" w:rsidR="009A3438" w:rsidRDefault="009A3438" w:rsidP="00183B5B">
            <w:pPr>
              <w:pStyle w:val="TableText"/>
              <w:keepNext/>
              <w:keepLines/>
              <w:spacing w:before="0" w:after="0"/>
            </w:pPr>
            <w:r w:rsidRPr="00AB0D79">
              <w:rPr>
                <w:i/>
                <w:iCs/>
              </w:rPr>
              <w:t>Intervention</w:t>
            </w:r>
            <w:r>
              <w:t>: ASCS</w:t>
            </w:r>
          </w:p>
          <w:p w14:paraId="24F35FDA" w14:textId="700B3D5A" w:rsidR="009A3438" w:rsidRPr="009A2ED4" w:rsidRDefault="009A3438" w:rsidP="00183B5B">
            <w:pPr>
              <w:pStyle w:val="TableText"/>
              <w:keepNext/>
              <w:keepLines/>
              <w:spacing w:before="0" w:after="0"/>
              <w:rPr>
                <w:b/>
                <w:bCs/>
                <w:i/>
                <w:iCs/>
              </w:rPr>
            </w:pPr>
            <w:r w:rsidRPr="00AB0D79">
              <w:rPr>
                <w:i/>
                <w:iCs/>
              </w:rPr>
              <w:t>Comparator</w:t>
            </w:r>
            <w:r>
              <w:t xml:space="preserve">: </w:t>
            </w:r>
            <w:r w:rsidR="00E43077">
              <w:t>m</w:t>
            </w:r>
            <w:r>
              <w:t>eshed STSG (2:1 ratio)</w:t>
            </w:r>
          </w:p>
        </w:tc>
        <w:tc>
          <w:tcPr>
            <w:tcW w:w="956" w:type="pct"/>
          </w:tcPr>
          <w:p w14:paraId="27B104D0" w14:textId="7A3D91F7" w:rsidR="009A3438" w:rsidRPr="009A2ED4" w:rsidRDefault="009A3438" w:rsidP="00183B5B">
            <w:pPr>
              <w:pStyle w:val="TableText"/>
              <w:keepNext/>
              <w:keepLines/>
              <w:spacing w:before="0" w:after="0"/>
            </w:pPr>
            <w:r w:rsidRPr="009A2ED4">
              <w:rPr>
                <w:b/>
                <w:bCs/>
                <w:i/>
                <w:iCs/>
              </w:rPr>
              <w:t>Primary</w:t>
            </w:r>
            <w:r w:rsidRPr="009A2ED4">
              <w:t xml:space="preserve">: </w:t>
            </w:r>
            <w:r w:rsidR="00E43077">
              <w:t>i</w:t>
            </w:r>
            <w:r w:rsidRPr="009A2ED4">
              <w:t>ncidence of wound closure (≥95% re-epithelialisation) of treated sites at 4 weeks; incidence of complete donor site healing at 1 week (100% re-epithelialisation)</w:t>
            </w:r>
          </w:p>
          <w:p w14:paraId="4D127880" w14:textId="27159CB4" w:rsidR="009A3438" w:rsidRPr="00937401" w:rsidRDefault="009A3438" w:rsidP="00183B5B">
            <w:pPr>
              <w:pStyle w:val="TableText"/>
              <w:keepNext/>
              <w:keepLines/>
              <w:spacing w:before="0" w:after="0"/>
              <w:rPr>
                <w:highlight w:val="yellow"/>
              </w:rPr>
            </w:pPr>
            <w:r w:rsidRPr="009A2ED4">
              <w:rPr>
                <w:b/>
                <w:bCs/>
                <w:i/>
                <w:iCs/>
              </w:rPr>
              <w:t>Secondary</w:t>
            </w:r>
            <w:r w:rsidRPr="009A2ED4">
              <w:t xml:space="preserve">: </w:t>
            </w:r>
            <w:r w:rsidR="00E43077">
              <w:t>p</w:t>
            </w:r>
            <w:r w:rsidRPr="009A2ED4">
              <w:t>ain</w:t>
            </w:r>
            <w:r>
              <w:t>, visual appearance, scarring at treatment and donor sites</w:t>
            </w:r>
          </w:p>
        </w:tc>
        <w:tc>
          <w:tcPr>
            <w:tcW w:w="481" w:type="pct"/>
          </w:tcPr>
          <w:p w14:paraId="58A5B7A4" w14:textId="77777777" w:rsidR="009A3438" w:rsidRPr="00937401" w:rsidRDefault="009A3438" w:rsidP="00183B5B">
            <w:pPr>
              <w:pStyle w:val="TableText"/>
              <w:keepNext/>
              <w:keepLines/>
              <w:spacing w:before="0" w:after="0"/>
            </w:pPr>
            <w:r w:rsidRPr="00937401">
              <w:t>No</w:t>
            </w:r>
          </w:p>
        </w:tc>
      </w:tr>
      <w:tr w:rsidR="00DB6B33" w:rsidRPr="00CE28E3" w14:paraId="274A6957" w14:textId="77777777" w:rsidTr="00123E33">
        <w:trPr>
          <w:cantSplit/>
        </w:trPr>
        <w:tc>
          <w:tcPr>
            <w:tcW w:w="471" w:type="pct"/>
          </w:tcPr>
          <w:p w14:paraId="02B3502F" w14:textId="77777777" w:rsidR="009A3438" w:rsidRDefault="009A3438" w:rsidP="00183B5B">
            <w:pPr>
              <w:pStyle w:val="TableText"/>
              <w:keepNext/>
              <w:keepLines/>
              <w:spacing w:before="0" w:after="0"/>
            </w:pPr>
            <w:r>
              <w:t>CTP001-6</w:t>
            </w:r>
          </w:p>
        </w:tc>
        <w:tc>
          <w:tcPr>
            <w:tcW w:w="231" w:type="pct"/>
          </w:tcPr>
          <w:p w14:paraId="3417C45C" w14:textId="77777777" w:rsidR="009A3438" w:rsidRDefault="009A3438" w:rsidP="00183B5B">
            <w:pPr>
              <w:pStyle w:val="TableText"/>
              <w:keepNext/>
              <w:keepLines/>
              <w:spacing w:before="0" w:after="0"/>
            </w:pPr>
            <w:r>
              <w:t>30</w:t>
            </w:r>
          </w:p>
        </w:tc>
        <w:tc>
          <w:tcPr>
            <w:tcW w:w="785" w:type="pct"/>
          </w:tcPr>
          <w:p w14:paraId="0ED4DA7D" w14:textId="77777777" w:rsidR="009A3438" w:rsidRDefault="009A3438" w:rsidP="00183B5B">
            <w:pPr>
              <w:pStyle w:val="TableText"/>
              <w:keepNext/>
              <w:keepLines/>
              <w:spacing w:before="0" w:after="0"/>
            </w:pPr>
            <w:r w:rsidRPr="00937401">
              <w:t xml:space="preserve">Within-patient controlled multicentre </w:t>
            </w:r>
            <w:r>
              <w:t xml:space="preserve">RCT </w:t>
            </w:r>
          </w:p>
          <w:p w14:paraId="16CEA875" w14:textId="0329757E" w:rsidR="009A3438" w:rsidRPr="00937401" w:rsidRDefault="009A3438" w:rsidP="00183B5B">
            <w:pPr>
              <w:pStyle w:val="TableText"/>
              <w:keepNext/>
              <w:keepLines/>
              <w:spacing w:before="0" w:after="0"/>
            </w:pPr>
            <w:r w:rsidRPr="00937401">
              <w:t>26 January 2015</w:t>
            </w:r>
            <w:r w:rsidR="003B640A">
              <w:t>–</w:t>
            </w:r>
            <w:r w:rsidRPr="00937401">
              <w:t>1 February 2017</w:t>
            </w:r>
          </w:p>
          <w:p w14:paraId="11214914" w14:textId="77777777" w:rsidR="009A3438" w:rsidRPr="00937401" w:rsidRDefault="009A3438" w:rsidP="00183B5B">
            <w:pPr>
              <w:pStyle w:val="TableText"/>
              <w:keepNext/>
              <w:keepLines/>
              <w:spacing w:before="0" w:after="0"/>
            </w:pPr>
            <w:r w:rsidRPr="00394BA7">
              <w:rPr>
                <w:i/>
                <w:iCs/>
              </w:rPr>
              <w:t>Follow-up</w:t>
            </w:r>
            <w:r w:rsidRPr="00394BA7">
              <w:t>: 52 weeks</w:t>
            </w:r>
          </w:p>
        </w:tc>
        <w:tc>
          <w:tcPr>
            <w:tcW w:w="318" w:type="pct"/>
          </w:tcPr>
          <w:p w14:paraId="44FD3D10" w14:textId="77777777" w:rsidR="009A3438" w:rsidRPr="00937401" w:rsidRDefault="009A3438" w:rsidP="00183B5B">
            <w:pPr>
              <w:pStyle w:val="TableText"/>
              <w:keepNext/>
              <w:keepLines/>
              <w:spacing w:before="0" w:after="0"/>
              <w:rPr>
                <w:i/>
              </w:rPr>
            </w:pPr>
            <w:r w:rsidRPr="00937401">
              <w:t>Some concerns</w:t>
            </w:r>
          </w:p>
        </w:tc>
        <w:tc>
          <w:tcPr>
            <w:tcW w:w="1188" w:type="pct"/>
          </w:tcPr>
          <w:p w14:paraId="421C5C83" w14:textId="688D1CEA" w:rsidR="009A3438" w:rsidRPr="00394BA7" w:rsidRDefault="009A3438" w:rsidP="00183B5B">
            <w:pPr>
              <w:pStyle w:val="TableText"/>
              <w:keepNext/>
              <w:keepLines/>
              <w:spacing w:before="0" w:after="0"/>
            </w:pPr>
            <w:r w:rsidRPr="00394BA7">
              <w:t>Patients aged ≥5 years with 5</w:t>
            </w:r>
            <w:r w:rsidR="00602755">
              <w:t>–</w:t>
            </w:r>
            <w:r w:rsidRPr="00394BA7">
              <w:t>50% TBSA, acute mixed-depth/full thickness burns</w:t>
            </w:r>
          </w:p>
          <w:p w14:paraId="5515F54A" w14:textId="77777777" w:rsidR="009A3438" w:rsidRPr="00937401" w:rsidRDefault="009A3438" w:rsidP="00183B5B">
            <w:pPr>
              <w:pStyle w:val="TableText"/>
              <w:keepNext/>
              <w:keepLines/>
              <w:spacing w:before="0" w:after="0"/>
            </w:pPr>
            <w:r w:rsidRPr="00667612">
              <w:rPr>
                <w:i/>
                <w:iCs/>
              </w:rPr>
              <w:t>Mean age (SD)</w:t>
            </w:r>
            <w:r w:rsidRPr="00667612">
              <w:t xml:space="preserve">: </w:t>
            </w:r>
            <w:r w:rsidRPr="00937401">
              <w:t>39.1 (15.8)</w:t>
            </w:r>
          </w:p>
          <w:p w14:paraId="467000B5" w14:textId="77777777" w:rsidR="009A3438" w:rsidRPr="00937401" w:rsidRDefault="009A3438" w:rsidP="00183B5B">
            <w:pPr>
              <w:pStyle w:val="TableText"/>
              <w:keepNext/>
              <w:keepLines/>
              <w:spacing w:before="0" w:after="0"/>
            </w:pPr>
            <w:r w:rsidRPr="00667612">
              <w:rPr>
                <w:i/>
                <w:iCs/>
              </w:rPr>
              <w:t>Male sex</w:t>
            </w:r>
            <w:r w:rsidRPr="00667612">
              <w:t xml:space="preserve">: </w:t>
            </w:r>
            <w:r w:rsidRPr="00937401">
              <w:t xml:space="preserve">83% </w:t>
            </w:r>
          </w:p>
          <w:p w14:paraId="51D7FE03" w14:textId="77777777" w:rsidR="009A3438" w:rsidRPr="00937401" w:rsidRDefault="009A3438" w:rsidP="00183B5B">
            <w:pPr>
              <w:pStyle w:val="TableText"/>
              <w:keepNext/>
              <w:keepLines/>
              <w:spacing w:before="0" w:after="0"/>
            </w:pPr>
            <w:r w:rsidRPr="00667612">
              <w:rPr>
                <w:i/>
                <w:iCs/>
              </w:rPr>
              <w:t>Mean TBSA (SD)</w:t>
            </w:r>
            <w:r w:rsidRPr="00667612">
              <w:t xml:space="preserve">: </w:t>
            </w:r>
            <w:r w:rsidRPr="00937401">
              <w:t>21.0% (SD 13)</w:t>
            </w:r>
          </w:p>
          <w:p w14:paraId="6638A642" w14:textId="089B3B6B" w:rsidR="009A3438" w:rsidRPr="00394BA7" w:rsidRDefault="009A3438" w:rsidP="00183B5B">
            <w:pPr>
              <w:pStyle w:val="TableText"/>
              <w:keepNext/>
              <w:keepLines/>
              <w:spacing w:before="0" w:after="0"/>
              <w:rPr>
                <w:highlight w:val="yellow"/>
              </w:rPr>
            </w:pPr>
            <w:r w:rsidRPr="00667612">
              <w:rPr>
                <w:i/>
                <w:iCs/>
              </w:rPr>
              <w:t>Mean Baux score (SD)</w:t>
            </w:r>
            <w:r w:rsidRPr="00667612">
              <w:t xml:space="preserve">: </w:t>
            </w:r>
            <w:r w:rsidR="00602755">
              <w:t>n</w:t>
            </w:r>
            <w:r w:rsidRPr="00667612">
              <w:t>ot reported</w:t>
            </w:r>
          </w:p>
        </w:tc>
        <w:tc>
          <w:tcPr>
            <w:tcW w:w="569" w:type="pct"/>
          </w:tcPr>
          <w:p w14:paraId="264F24C5" w14:textId="77777777" w:rsidR="009A3438" w:rsidRDefault="009A3438" w:rsidP="00183B5B">
            <w:pPr>
              <w:pStyle w:val="TableText"/>
              <w:keepNext/>
              <w:keepLines/>
              <w:spacing w:before="0" w:after="0"/>
            </w:pPr>
            <w:r w:rsidRPr="00AB0D79">
              <w:rPr>
                <w:i/>
                <w:iCs/>
              </w:rPr>
              <w:t>Intervention</w:t>
            </w:r>
            <w:r>
              <w:t xml:space="preserve">: ASCS + </w:t>
            </w:r>
            <w:r w:rsidRPr="00B20B10">
              <w:t xml:space="preserve">meshed </w:t>
            </w:r>
            <w:r>
              <w:t>STSG</w:t>
            </w:r>
          </w:p>
          <w:p w14:paraId="45425788" w14:textId="46432C65" w:rsidR="009A3438" w:rsidRPr="009A2ED4" w:rsidRDefault="009A3438" w:rsidP="00183B5B">
            <w:pPr>
              <w:pStyle w:val="TableText"/>
              <w:keepNext/>
              <w:keepLines/>
              <w:spacing w:before="0" w:after="0"/>
              <w:rPr>
                <w:b/>
                <w:bCs/>
                <w:i/>
                <w:iCs/>
              </w:rPr>
            </w:pPr>
            <w:r w:rsidRPr="00AB0D79">
              <w:rPr>
                <w:i/>
                <w:iCs/>
              </w:rPr>
              <w:t>Comparator</w:t>
            </w:r>
            <w:r>
              <w:t xml:space="preserve">: </w:t>
            </w:r>
            <w:r w:rsidR="00E43077">
              <w:t>m</w:t>
            </w:r>
            <w:r>
              <w:t>eshed STSG</w:t>
            </w:r>
          </w:p>
        </w:tc>
        <w:tc>
          <w:tcPr>
            <w:tcW w:w="956" w:type="pct"/>
          </w:tcPr>
          <w:p w14:paraId="1D24DE91" w14:textId="33D31539" w:rsidR="009A3438" w:rsidRPr="009A2ED4" w:rsidRDefault="009A3438" w:rsidP="00183B5B">
            <w:pPr>
              <w:pStyle w:val="TableText"/>
              <w:keepNext/>
              <w:keepLines/>
              <w:spacing w:before="0" w:after="0"/>
            </w:pPr>
            <w:r w:rsidRPr="009A2ED4">
              <w:rPr>
                <w:b/>
                <w:bCs/>
                <w:i/>
                <w:iCs/>
              </w:rPr>
              <w:t>Primary</w:t>
            </w:r>
            <w:r w:rsidRPr="009A2ED4">
              <w:t xml:space="preserve">: </w:t>
            </w:r>
            <w:r w:rsidR="00E43077">
              <w:t>c</w:t>
            </w:r>
            <w:r>
              <w:t xml:space="preserve">onfirmed treatment area closure prior to or at </w:t>
            </w:r>
            <w:r w:rsidR="00E43077">
              <w:t>w</w:t>
            </w:r>
            <w:r>
              <w:t>eek 8; comparison of expansion ratios</w:t>
            </w:r>
          </w:p>
          <w:p w14:paraId="2A7B1234" w14:textId="50074886" w:rsidR="009A3438" w:rsidRPr="001B7F91" w:rsidRDefault="009A3438" w:rsidP="00183B5B">
            <w:pPr>
              <w:pStyle w:val="TableText"/>
              <w:keepNext/>
              <w:keepLines/>
              <w:spacing w:before="0" w:after="0"/>
              <w:rPr>
                <w:b/>
                <w:bCs/>
                <w:i/>
                <w:iCs/>
              </w:rPr>
            </w:pPr>
            <w:r w:rsidRPr="009A2ED4">
              <w:rPr>
                <w:b/>
                <w:bCs/>
                <w:i/>
                <w:iCs/>
              </w:rPr>
              <w:t>Secondary</w:t>
            </w:r>
            <w:r w:rsidRPr="009A2ED4">
              <w:t xml:space="preserve">: </w:t>
            </w:r>
            <w:r w:rsidR="00E43077">
              <w:t>p</w:t>
            </w:r>
            <w:r>
              <w:t xml:space="preserve">atient satisfaction with </w:t>
            </w:r>
            <w:r w:rsidRPr="00937401">
              <w:t>Patient and Observer Scar Assessment Scale</w:t>
            </w:r>
          </w:p>
        </w:tc>
        <w:tc>
          <w:tcPr>
            <w:tcW w:w="481" w:type="pct"/>
          </w:tcPr>
          <w:p w14:paraId="4E763134" w14:textId="77777777" w:rsidR="009A3438" w:rsidRPr="00937401" w:rsidRDefault="009A3438" w:rsidP="00183B5B">
            <w:pPr>
              <w:pStyle w:val="TableText"/>
              <w:keepNext/>
              <w:keepLines/>
              <w:spacing w:before="0" w:after="0"/>
            </w:pPr>
            <w:r w:rsidRPr="00937401">
              <w:t>No</w:t>
            </w:r>
          </w:p>
        </w:tc>
      </w:tr>
      <w:tr w:rsidR="00DB6B33" w:rsidRPr="00CE28E3" w14:paraId="355829F7" w14:textId="77777777" w:rsidTr="00123E33">
        <w:trPr>
          <w:cantSplit/>
        </w:trPr>
        <w:tc>
          <w:tcPr>
            <w:tcW w:w="471" w:type="pct"/>
          </w:tcPr>
          <w:p w14:paraId="6CB7F316" w14:textId="77777777" w:rsidR="009A3438" w:rsidRDefault="009A3438" w:rsidP="00183B5B">
            <w:pPr>
              <w:pStyle w:val="TableText"/>
              <w:keepNext/>
              <w:keepLines/>
              <w:spacing w:before="0" w:after="0"/>
            </w:pPr>
            <w:r>
              <w:t xml:space="preserve">CTP001-7 </w:t>
            </w:r>
            <w:r>
              <w:rPr>
                <w:vertAlign w:val="superscript"/>
              </w:rPr>
              <w:t>b</w:t>
            </w:r>
          </w:p>
        </w:tc>
        <w:tc>
          <w:tcPr>
            <w:tcW w:w="231" w:type="pct"/>
          </w:tcPr>
          <w:p w14:paraId="67F593F1" w14:textId="77777777" w:rsidR="009A3438" w:rsidRDefault="009A3438" w:rsidP="00183B5B">
            <w:pPr>
              <w:pStyle w:val="TableText"/>
              <w:keepNext/>
              <w:keepLines/>
              <w:spacing w:before="0" w:after="0"/>
            </w:pPr>
            <w:r w:rsidRPr="00E9619D">
              <w:t>12</w:t>
            </w:r>
          </w:p>
        </w:tc>
        <w:tc>
          <w:tcPr>
            <w:tcW w:w="785" w:type="pct"/>
          </w:tcPr>
          <w:p w14:paraId="5339759E" w14:textId="77777777" w:rsidR="009A3438" w:rsidRPr="00667612" w:rsidRDefault="009A3438" w:rsidP="00183B5B">
            <w:pPr>
              <w:pStyle w:val="TableText"/>
              <w:keepNext/>
              <w:keepLines/>
              <w:spacing w:before="0" w:after="0"/>
            </w:pPr>
            <w:r w:rsidRPr="00937401">
              <w:t xml:space="preserve">Within-patient controlled multicentre </w:t>
            </w:r>
            <w:r w:rsidRPr="00667612">
              <w:t xml:space="preserve">RCT </w:t>
            </w:r>
          </w:p>
          <w:p w14:paraId="5E620BE8" w14:textId="42761B17" w:rsidR="009A3438" w:rsidRPr="00E9619D" w:rsidRDefault="009A3438" w:rsidP="00183B5B">
            <w:pPr>
              <w:pStyle w:val="TableText"/>
              <w:keepNext/>
              <w:keepLines/>
              <w:spacing w:before="0" w:after="0"/>
            </w:pPr>
            <w:r w:rsidRPr="00E9619D">
              <w:t>October 2016</w:t>
            </w:r>
            <w:r w:rsidR="0097430E">
              <w:t>–</w:t>
            </w:r>
            <w:r w:rsidRPr="00E9619D">
              <w:t>September 2018</w:t>
            </w:r>
          </w:p>
          <w:p w14:paraId="726FB77E" w14:textId="77777777" w:rsidR="009A3438" w:rsidRPr="00937401" w:rsidRDefault="009A3438" w:rsidP="00183B5B">
            <w:pPr>
              <w:pStyle w:val="TableText"/>
              <w:keepNext/>
              <w:keepLines/>
              <w:spacing w:before="0" w:after="0"/>
            </w:pPr>
            <w:r w:rsidRPr="00E9619D">
              <w:rPr>
                <w:i/>
                <w:iCs/>
              </w:rPr>
              <w:t>Follow-up</w:t>
            </w:r>
            <w:r w:rsidRPr="00E9619D">
              <w:t>: 52 weeks</w:t>
            </w:r>
          </w:p>
        </w:tc>
        <w:tc>
          <w:tcPr>
            <w:tcW w:w="318" w:type="pct"/>
          </w:tcPr>
          <w:p w14:paraId="42DF5269" w14:textId="77777777" w:rsidR="009A3438" w:rsidRPr="00937401" w:rsidRDefault="009A3438" w:rsidP="00183B5B">
            <w:pPr>
              <w:pStyle w:val="TableText"/>
              <w:keepNext/>
              <w:keepLines/>
              <w:spacing w:before="0" w:after="0"/>
              <w:rPr>
                <w:i/>
                <w:highlight w:val="yellow"/>
              </w:rPr>
            </w:pPr>
            <w:r w:rsidRPr="00937401">
              <w:t xml:space="preserve">Some concerns </w:t>
            </w:r>
            <w:r w:rsidRPr="00937401">
              <w:rPr>
                <w:vertAlign w:val="superscript"/>
              </w:rPr>
              <w:t>c</w:t>
            </w:r>
          </w:p>
        </w:tc>
        <w:tc>
          <w:tcPr>
            <w:tcW w:w="1188" w:type="pct"/>
          </w:tcPr>
          <w:p w14:paraId="0C6966E1" w14:textId="47FA1619" w:rsidR="009A3438" w:rsidRPr="00667612" w:rsidRDefault="009A3438" w:rsidP="00183B5B">
            <w:pPr>
              <w:pStyle w:val="TableText"/>
              <w:keepNext/>
              <w:keepLines/>
              <w:spacing w:before="0" w:after="0"/>
              <w:rPr>
                <w:highlight w:val="yellow"/>
              </w:rPr>
            </w:pPr>
            <w:r w:rsidRPr="00394BA7">
              <w:t>Patients aged ≥5 years with 5</w:t>
            </w:r>
            <w:r w:rsidR="0097430E">
              <w:t>–</w:t>
            </w:r>
            <w:r w:rsidRPr="00394BA7">
              <w:t>50% TBSA</w:t>
            </w:r>
            <w:r>
              <w:t>, acute burns requiring skin grafting</w:t>
            </w:r>
          </w:p>
          <w:p w14:paraId="429C8C52" w14:textId="77B6B25D" w:rsidR="009A3438" w:rsidRPr="00937401" w:rsidRDefault="009A3438" w:rsidP="00183B5B">
            <w:pPr>
              <w:pStyle w:val="TableText"/>
              <w:keepNext/>
              <w:keepLines/>
              <w:spacing w:before="0" w:after="0"/>
            </w:pPr>
            <w:r w:rsidRPr="00E9619D">
              <w:rPr>
                <w:i/>
                <w:iCs/>
              </w:rPr>
              <w:t>Mean age (SD)</w:t>
            </w:r>
            <w:r w:rsidRPr="00E9619D">
              <w:t xml:space="preserve">: </w:t>
            </w:r>
            <w:r w:rsidRPr="00937401">
              <w:t>43.6 (12.9)</w:t>
            </w:r>
          </w:p>
          <w:p w14:paraId="0AC003AE" w14:textId="77777777" w:rsidR="009A3438" w:rsidRPr="00937401" w:rsidRDefault="009A3438" w:rsidP="00183B5B">
            <w:pPr>
              <w:pStyle w:val="TableText"/>
              <w:keepNext/>
              <w:keepLines/>
              <w:spacing w:before="0" w:after="0"/>
            </w:pPr>
            <w:r w:rsidRPr="00E9619D">
              <w:rPr>
                <w:i/>
                <w:iCs/>
              </w:rPr>
              <w:t>Male sex</w:t>
            </w:r>
            <w:r w:rsidRPr="00E9619D">
              <w:t xml:space="preserve">: </w:t>
            </w:r>
            <w:r w:rsidRPr="00937401">
              <w:t xml:space="preserve">92% </w:t>
            </w:r>
          </w:p>
          <w:p w14:paraId="0359CE2E" w14:textId="602EA7A1" w:rsidR="009A3438" w:rsidRPr="00937401" w:rsidRDefault="009A3438" w:rsidP="00183B5B">
            <w:pPr>
              <w:pStyle w:val="TableText"/>
              <w:keepNext/>
              <w:keepLines/>
              <w:spacing w:before="0" w:after="0"/>
            </w:pPr>
            <w:r w:rsidRPr="00E9619D">
              <w:rPr>
                <w:i/>
                <w:iCs/>
              </w:rPr>
              <w:t>Mean TBSA (SD)</w:t>
            </w:r>
            <w:r w:rsidRPr="00E9619D">
              <w:t xml:space="preserve">: </w:t>
            </w:r>
            <w:r w:rsidR="00943F16">
              <w:t>n</w:t>
            </w:r>
            <w:r w:rsidRPr="00E9619D">
              <w:t>ot reported</w:t>
            </w:r>
          </w:p>
          <w:p w14:paraId="27477562" w14:textId="78E1B090" w:rsidR="009A3438" w:rsidRPr="00394BA7" w:rsidRDefault="009A3438" w:rsidP="00183B5B">
            <w:pPr>
              <w:pStyle w:val="TableText"/>
              <w:keepNext/>
              <w:keepLines/>
              <w:spacing w:before="0" w:after="0"/>
            </w:pPr>
            <w:r w:rsidRPr="00E9619D">
              <w:rPr>
                <w:i/>
                <w:iCs/>
              </w:rPr>
              <w:t>Mean Baux score (SD)</w:t>
            </w:r>
            <w:r w:rsidRPr="00E9619D">
              <w:t xml:space="preserve">: </w:t>
            </w:r>
            <w:r w:rsidR="00943F16">
              <w:t>n</w:t>
            </w:r>
            <w:r w:rsidRPr="00E9619D">
              <w:t>ot reported</w:t>
            </w:r>
          </w:p>
        </w:tc>
        <w:tc>
          <w:tcPr>
            <w:tcW w:w="569" w:type="pct"/>
          </w:tcPr>
          <w:p w14:paraId="7B6EECB1" w14:textId="77777777" w:rsidR="009A3438" w:rsidRDefault="009A3438" w:rsidP="00183B5B">
            <w:pPr>
              <w:pStyle w:val="TableText"/>
              <w:keepNext/>
              <w:keepLines/>
              <w:spacing w:before="0" w:after="0"/>
            </w:pPr>
            <w:r w:rsidRPr="00AB0D79">
              <w:rPr>
                <w:i/>
                <w:iCs/>
              </w:rPr>
              <w:t>Intervention</w:t>
            </w:r>
            <w:r>
              <w:t xml:space="preserve">: ASCS + </w:t>
            </w:r>
            <w:r w:rsidRPr="00B20B10">
              <w:t xml:space="preserve">meshed </w:t>
            </w:r>
            <w:r>
              <w:t>STSG</w:t>
            </w:r>
          </w:p>
          <w:p w14:paraId="697B3610" w14:textId="053F85CB" w:rsidR="009A3438" w:rsidRPr="00667612" w:rsidRDefault="009A3438" w:rsidP="00183B5B">
            <w:pPr>
              <w:pStyle w:val="TableText"/>
              <w:keepNext/>
              <w:keepLines/>
              <w:spacing w:before="0" w:after="0"/>
              <w:rPr>
                <w:b/>
                <w:bCs/>
                <w:i/>
                <w:iCs/>
                <w:highlight w:val="yellow"/>
              </w:rPr>
            </w:pPr>
            <w:r w:rsidRPr="00AB0D79">
              <w:rPr>
                <w:i/>
                <w:iCs/>
              </w:rPr>
              <w:t>Comparator</w:t>
            </w:r>
            <w:r>
              <w:t xml:space="preserve">: </w:t>
            </w:r>
            <w:r w:rsidR="00943F16">
              <w:t>m</w:t>
            </w:r>
            <w:r>
              <w:t>eshed STSG</w:t>
            </w:r>
          </w:p>
        </w:tc>
        <w:tc>
          <w:tcPr>
            <w:tcW w:w="956" w:type="pct"/>
          </w:tcPr>
          <w:p w14:paraId="36D5F614" w14:textId="1EB214A8" w:rsidR="009A3438" w:rsidRPr="00AB0D79" w:rsidRDefault="009A3438" w:rsidP="00183B5B">
            <w:pPr>
              <w:pStyle w:val="TableText"/>
              <w:keepNext/>
              <w:keepLines/>
              <w:spacing w:before="0" w:after="0"/>
            </w:pPr>
            <w:r w:rsidRPr="00AB0D79">
              <w:rPr>
                <w:b/>
                <w:bCs/>
                <w:i/>
                <w:iCs/>
              </w:rPr>
              <w:t>Primary</w:t>
            </w:r>
            <w:r w:rsidRPr="00AB0D79">
              <w:t xml:space="preserve">: </w:t>
            </w:r>
            <w:r w:rsidR="00943F16">
              <w:t>c</w:t>
            </w:r>
            <w:r w:rsidRPr="00AB0D79">
              <w:t xml:space="preserve">onfirmed treatment area closure prior to or at </w:t>
            </w:r>
            <w:r w:rsidR="00943F16">
              <w:t>w</w:t>
            </w:r>
            <w:r w:rsidRPr="00AB0D79">
              <w:t>eek 8; comparison of expansion ratios</w:t>
            </w:r>
          </w:p>
          <w:p w14:paraId="494E372E" w14:textId="30CF45C7" w:rsidR="009A3438" w:rsidRPr="00AB0D79" w:rsidRDefault="009A3438" w:rsidP="00183B5B">
            <w:pPr>
              <w:pStyle w:val="TableText"/>
              <w:keepNext/>
              <w:keepLines/>
              <w:spacing w:before="0" w:after="0"/>
              <w:rPr>
                <w:b/>
                <w:bCs/>
                <w:i/>
                <w:iCs/>
              </w:rPr>
            </w:pPr>
            <w:r w:rsidRPr="00AB0D79">
              <w:rPr>
                <w:b/>
                <w:bCs/>
                <w:i/>
                <w:iCs/>
              </w:rPr>
              <w:t>Secondary</w:t>
            </w:r>
            <w:r w:rsidRPr="00AB0D79">
              <w:t xml:space="preserve">: </w:t>
            </w:r>
            <w:r w:rsidR="00943F16">
              <w:t>m</w:t>
            </w:r>
            <w:r w:rsidRPr="00AB0D79">
              <w:t>ortality, adverse events</w:t>
            </w:r>
          </w:p>
        </w:tc>
        <w:tc>
          <w:tcPr>
            <w:tcW w:w="481" w:type="pct"/>
          </w:tcPr>
          <w:p w14:paraId="58A7B85A" w14:textId="77777777" w:rsidR="009A3438" w:rsidRPr="00937401" w:rsidRDefault="009A3438" w:rsidP="00183B5B">
            <w:pPr>
              <w:pStyle w:val="TableText"/>
              <w:keepNext/>
              <w:keepLines/>
              <w:spacing w:before="0" w:after="0"/>
            </w:pPr>
            <w:r w:rsidRPr="00937401">
              <w:t>No</w:t>
            </w:r>
          </w:p>
        </w:tc>
      </w:tr>
    </w:tbl>
    <w:p w14:paraId="70DC001B" w14:textId="4D3AEF23" w:rsidR="009A3438" w:rsidRDefault="009A3438" w:rsidP="0054173E">
      <w:pPr>
        <w:pStyle w:val="Tablenotes0"/>
        <w:keepNext/>
        <w:keepLines/>
        <w:spacing w:before="0" w:line="240" w:lineRule="auto"/>
        <w:rPr>
          <w:vertAlign w:val="superscript"/>
        </w:rPr>
      </w:pPr>
      <w:r w:rsidRPr="00D6277E">
        <w:t>Abbreviations</w:t>
      </w:r>
      <w:r w:rsidR="00211A7F">
        <w:t xml:space="preserve">: </w:t>
      </w:r>
      <w:r w:rsidR="004D63A1">
        <w:t xml:space="preserve">ASCS </w:t>
      </w:r>
      <w:r w:rsidR="006206C8">
        <w:t xml:space="preserve">= </w:t>
      </w:r>
      <w:r w:rsidR="007A511B" w:rsidRPr="007A511B">
        <w:t>autologous skin cell suspension</w:t>
      </w:r>
      <w:r w:rsidR="006206C8">
        <w:t xml:space="preserve">, </w:t>
      </w:r>
      <w:r>
        <w:t>DPT = deep partial-thickness,</w:t>
      </w:r>
      <w:r w:rsidRPr="00CE28E3">
        <w:t xml:space="preserve"> </w:t>
      </w:r>
      <w:r>
        <w:t>RCT = randomised controlled trial,</w:t>
      </w:r>
      <w:r w:rsidRPr="00CE28E3">
        <w:t xml:space="preserve"> </w:t>
      </w:r>
      <w:r>
        <w:t>S</w:t>
      </w:r>
      <w:r w:rsidRPr="00D6277E">
        <w:t>D</w:t>
      </w:r>
      <w:r>
        <w:t xml:space="preserve"> = standard deviation; </w:t>
      </w:r>
      <w:r w:rsidRPr="009A2072">
        <w:t>STSG</w:t>
      </w:r>
      <w:r>
        <w:t xml:space="preserve"> = split-thickness skin graft; TBSA = total body surface area.</w:t>
      </w:r>
    </w:p>
    <w:p w14:paraId="42FD0FE8" w14:textId="2EF61E75" w:rsidR="009A3438" w:rsidRPr="00D6277E" w:rsidRDefault="009A3438" w:rsidP="0054173E">
      <w:pPr>
        <w:pStyle w:val="Tablenotes0"/>
        <w:keepNext/>
        <w:keepLines/>
        <w:spacing w:line="240" w:lineRule="auto"/>
      </w:pPr>
      <w:r w:rsidRPr="00D6277E">
        <w:t>Notes</w:t>
      </w:r>
      <w:r w:rsidR="00211A7F">
        <w:t>:</w:t>
      </w:r>
    </w:p>
    <w:p w14:paraId="01581A1E" w14:textId="5D049630" w:rsidR="009A3438" w:rsidRDefault="009A3438" w:rsidP="0054173E">
      <w:pPr>
        <w:pStyle w:val="Tablenotes0"/>
        <w:keepNext/>
        <w:keepLines/>
        <w:spacing w:line="240" w:lineRule="auto"/>
      </w:pPr>
      <w:r w:rsidRPr="00D6277E">
        <w:t xml:space="preserve">a </w:t>
      </w:r>
      <w:r>
        <w:t>= Assessed with Cochrane Risk of Bias tool v2.0</w:t>
      </w:r>
    </w:p>
    <w:p w14:paraId="2BEE946A" w14:textId="77777777" w:rsidR="009A3438" w:rsidRDefault="009A3438" w:rsidP="0054173E">
      <w:pPr>
        <w:pStyle w:val="Tablenotes0"/>
        <w:keepNext/>
        <w:keepLines/>
        <w:spacing w:line="240" w:lineRule="auto"/>
      </w:pPr>
      <w:r>
        <w:t>b</w:t>
      </w:r>
      <w:r w:rsidRPr="00D6277E">
        <w:t xml:space="preserve"> </w:t>
      </w:r>
      <w:r>
        <w:t>= Included as supportive evidence by the applicant. Since the reasoning for this was not provided in the report, the study was included as primary clinical evidence by the assessment group.</w:t>
      </w:r>
    </w:p>
    <w:p w14:paraId="7AC08417" w14:textId="77777777" w:rsidR="009A3438" w:rsidRDefault="009A3438" w:rsidP="0054173E">
      <w:pPr>
        <w:pStyle w:val="Tablenotes0"/>
        <w:keepNext/>
        <w:keepLines/>
        <w:spacing w:line="240" w:lineRule="auto"/>
      </w:pPr>
      <w:r>
        <w:t>c</w:t>
      </w:r>
      <w:r w:rsidRPr="00D6277E">
        <w:t xml:space="preserve"> </w:t>
      </w:r>
      <w:r>
        <w:t>= Assessed by the assessment group</w:t>
      </w:r>
    </w:p>
    <w:p w14:paraId="609BF278" w14:textId="17A75EBB" w:rsidR="009A3438" w:rsidRPr="004626B2" w:rsidRDefault="009A3438" w:rsidP="0054173E">
      <w:pPr>
        <w:pStyle w:val="Tablenotes0"/>
        <w:keepNext/>
        <w:keepLines/>
        <w:spacing w:line="240" w:lineRule="auto"/>
        <w:rPr>
          <w:lang w:val="fr-FR"/>
        </w:rPr>
      </w:pPr>
      <w:r w:rsidRPr="004626B2">
        <w:rPr>
          <w:lang w:val="fr-FR"/>
        </w:rPr>
        <w:t>Source</w:t>
      </w:r>
      <w:r w:rsidR="009A2DFC" w:rsidRPr="004626B2">
        <w:rPr>
          <w:lang w:val="fr-FR"/>
        </w:rPr>
        <w:t xml:space="preserve">: </w:t>
      </w:r>
      <w:r w:rsidRPr="004626B2">
        <w:rPr>
          <w:lang w:val="fr-FR"/>
        </w:rPr>
        <w:t>CTP001-5: Holmes et al. (2015)</w:t>
      </w:r>
      <w:r>
        <w:rPr>
          <w:rStyle w:val="FootnoteReference"/>
        </w:rPr>
        <w:footnoteReference w:id="5"/>
      </w:r>
      <w:r w:rsidRPr="004626B2">
        <w:rPr>
          <w:lang w:val="fr-FR"/>
        </w:rPr>
        <w:t>, CTP001-6: Holmes et al. (2019)</w:t>
      </w:r>
      <w:bookmarkStart w:id="33" w:name="_Ref193313689"/>
      <w:r w:rsidRPr="00A80134">
        <w:rPr>
          <w:rStyle w:val="FootnoteReference"/>
        </w:rPr>
        <w:footnoteReference w:id="6"/>
      </w:r>
      <w:bookmarkEnd w:id="33"/>
      <w:r w:rsidRPr="004626B2">
        <w:rPr>
          <w:lang w:val="fr-FR"/>
        </w:rPr>
        <w:t>; CTP001-7:</w:t>
      </w:r>
      <w:bookmarkStart w:id="34" w:name="_Ref193313711"/>
      <w:r w:rsidR="00B53235" w:rsidRPr="004626B2">
        <w:rPr>
          <w:lang w:val="fr-FR"/>
        </w:rPr>
        <w:t xml:space="preserve"> ClinicalTrials.gov (2024)</w:t>
      </w:r>
      <w:r w:rsidRPr="00FC5DDD">
        <w:rPr>
          <w:rStyle w:val="FootnoteReference"/>
        </w:rPr>
        <w:footnoteReference w:id="7"/>
      </w:r>
      <w:bookmarkEnd w:id="34"/>
    </w:p>
    <w:p w14:paraId="217A5435" w14:textId="175A2430" w:rsidR="00634829" w:rsidRDefault="009A3438" w:rsidP="00634829">
      <w:pPr>
        <w:rPr>
          <w:noProof/>
        </w:rPr>
      </w:pPr>
      <w:r w:rsidRPr="00067205">
        <w:rPr>
          <w:noProof/>
        </w:rPr>
        <w:t>Results from the single</w:t>
      </w:r>
      <w:r w:rsidR="00782DBA">
        <w:rPr>
          <w:noProof/>
        </w:rPr>
        <w:t>-</w:t>
      </w:r>
      <w:r w:rsidRPr="00067205">
        <w:rPr>
          <w:noProof/>
        </w:rPr>
        <w:t xml:space="preserve">arm studies (CTP004 and CTP001-8) were compared with matched cohorts from the </w:t>
      </w:r>
      <w:r>
        <w:rPr>
          <w:noProof/>
        </w:rPr>
        <w:t xml:space="preserve">USA </w:t>
      </w:r>
      <w:r w:rsidRPr="00067205">
        <w:rPr>
          <w:noProof/>
        </w:rPr>
        <w:t>2012 N</w:t>
      </w:r>
      <w:r>
        <w:rPr>
          <w:noProof/>
        </w:rPr>
        <w:t xml:space="preserve">ational </w:t>
      </w:r>
      <w:r w:rsidRPr="00067205">
        <w:rPr>
          <w:noProof/>
        </w:rPr>
        <w:t>B</w:t>
      </w:r>
      <w:r>
        <w:rPr>
          <w:noProof/>
        </w:rPr>
        <w:t xml:space="preserve">urn </w:t>
      </w:r>
      <w:r w:rsidRPr="00067205">
        <w:rPr>
          <w:noProof/>
        </w:rPr>
        <w:t>R</w:t>
      </w:r>
      <w:r>
        <w:rPr>
          <w:noProof/>
        </w:rPr>
        <w:t>epository</w:t>
      </w:r>
      <w:r w:rsidRPr="00067205">
        <w:rPr>
          <w:noProof/>
        </w:rPr>
        <w:t xml:space="preserve"> </w:t>
      </w:r>
      <w:r>
        <w:rPr>
          <w:noProof/>
        </w:rPr>
        <w:t xml:space="preserve">(NBR) </w:t>
      </w:r>
      <w:r w:rsidRPr="00AE7A1D">
        <w:rPr>
          <w:noProof/>
        </w:rPr>
        <w:t xml:space="preserve">version 8.0 dataset </w:t>
      </w:r>
      <w:r w:rsidRPr="00067205">
        <w:rPr>
          <w:noProof/>
        </w:rPr>
        <w:t xml:space="preserve">and the control </w:t>
      </w:r>
      <w:r w:rsidRPr="00D177CC">
        <w:rPr>
          <w:noProof/>
        </w:rPr>
        <w:t xml:space="preserve">arm of </w:t>
      </w:r>
      <w:r w:rsidR="00AB23F9" w:rsidRPr="00937401">
        <w:rPr>
          <w:noProof/>
        </w:rPr>
        <w:t>RCT</w:t>
      </w:r>
      <w:r w:rsidRPr="00D177CC">
        <w:rPr>
          <w:noProof/>
        </w:rPr>
        <w:t xml:space="preserve"> CTP001-6. These indirect retrospective comparisons (level III-3 evidence) evaluated clinical outcomes separately for adults (≥18 years) with burn injuries &gt;50% TBSA (data from </w:t>
      </w:r>
      <w:r w:rsidRPr="00D177CC">
        <w:rPr>
          <w:noProof/>
        </w:rPr>
        <w:lastRenderedPageBreak/>
        <w:t>CTP004) and for paediatric patients (&lt;18 years) from the CTP004 and CTP001-8 studies (</w:t>
      </w:r>
      <w:r w:rsidR="00503EA3" w:rsidRPr="00D177CC">
        <w:rPr>
          <w:rStyle w:val="InstructionaltextChar"/>
          <w:color w:val="auto"/>
        </w:rPr>
        <w:fldChar w:fldCharType="begin"/>
      </w:r>
      <w:r w:rsidR="00503EA3" w:rsidRPr="00D177CC">
        <w:rPr>
          <w:rStyle w:val="InstructionaltextChar"/>
          <w:color w:val="auto"/>
        </w:rPr>
        <w:instrText xml:space="preserve"> REF _Ref194056721 \h  \* MERGEFORMAT </w:instrText>
      </w:r>
      <w:r w:rsidR="00503EA3" w:rsidRPr="00D177CC">
        <w:rPr>
          <w:rStyle w:val="InstructionaltextChar"/>
          <w:color w:val="auto"/>
        </w:rPr>
      </w:r>
      <w:r w:rsidR="00503EA3" w:rsidRPr="00D177CC">
        <w:rPr>
          <w:rStyle w:val="InstructionaltextChar"/>
          <w:color w:val="auto"/>
        </w:rPr>
        <w:fldChar w:fldCharType="separate"/>
      </w:r>
      <w:r w:rsidR="00487E4A" w:rsidRPr="00487E4A">
        <w:rPr>
          <w:rStyle w:val="InstructionaltextChar"/>
          <w:color w:val="auto"/>
        </w:rPr>
        <w:t>Table 8</w:t>
      </w:r>
      <w:r w:rsidR="00503EA3" w:rsidRPr="00D177CC">
        <w:rPr>
          <w:rStyle w:val="InstructionaltextChar"/>
          <w:color w:val="auto"/>
        </w:rPr>
        <w:fldChar w:fldCharType="end"/>
      </w:r>
      <w:r w:rsidR="00634829">
        <w:rPr>
          <w:rStyle w:val="InstructionaltextChar"/>
          <w:color w:val="auto"/>
        </w:rPr>
        <w:t>)</w:t>
      </w:r>
      <w:r w:rsidRPr="00D177CC">
        <w:rPr>
          <w:noProof/>
        </w:rPr>
        <w:t>.</w:t>
      </w:r>
    </w:p>
    <w:p w14:paraId="4121220C" w14:textId="3F02D9A8" w:rsidR="007F464A" w:rsidRDefault="00007756" w:rsidP="00747C01">
      <w:pPr>
        <w:pStyle w:val="TableHeading0"/>
      </w:pPr>
      <w:bookmarkStart w:id="35" w:name="_Ref194056721"/>
      <w:bookmarkStart w:id="36" w:name="_Ref193462312"/>
      <w:r>
        <w:t>Table</w:t>
      </w:r>
      <w:r w:rsidR="00B02163" w:rsidRPr="004C18BB">
        <w:t> </w:t>
      </w:r>
      <w:r>
        <w:fldChar w:fldCharType="begin"/>
      </w:r>
      <w:r>
        <w:instrText>SEQ Table \* ARABIC</w:instrText>
      </w:r>
      <w:r>
        <w:fldChar w:fldCharType="separate"/>
      </w:r>
      <w:r w:rsidR="00487E4A">
        <w:rPr>
          <w:noProof/>
        </w:rPr>
        <w:t>8</w:t>
      </w:r>
      <w:r>
        <w:fldChar w:fldCharType="end"/>
      </w:r>
      <w:bookmarkEnd w:id="35"/>
      <w:bookmarkEnd w:id="36"/>
      <w:r w:rsidR="00B02163">
        <w:t>:</w:t>
      </w:r>
      <w:r w:rsidR="007F464A" w:rsidDel="007C01EB">
        <w:t xml:space="preserve"> </w:t>
      </w:r>
      <w:r w:rsidR="007F464A" w:rsidRPr="000D671D">
        <w:t>Key features of supportive indirect level III evidence comparing ASCS with STSG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5"/>
        <w:gridCol w:w="1549"/>
        <w:gridCol w:w="1107"/>
        <w:gridCol w:w="1278"/>
        <w:gridCol w:w="1664"/>
        <w:gridCol w:w="1365"/>
        <w:gridCol w:w="918"/>
      </w:tblGrid>
      <w:tr w:rsidR="009A3438" w:rsidRPr="00CC147A" w14:paraId="17FE49D7" w14:textId="77777777" w:rsidTr="00123E33">
        <w:tc>
          <w:tcPr>
            <w:tcW w:w="629" w:type="pct"/>
          </w:tcPr>
          <w:p w14:paraId="21D3F27C" w14:textId="77777777" w:rsidR="009A3438" w:rsidRPr="00CC147A" w:rsidRDefault="009A3438" w:rsidP="00183B5B">
            <w:pPr>
              <w:pStyle w:val="TableText"/>
              <w:spacing w:before="0" w:after="0"/>
              <w:rPr>
                <w:b/>
                <w:sz w:val="19"/>
                <w:szCs w:val="19"/>
              </w:rPr>
            </w:pPr>
            <w:r w:rsidRPr="00CC147A">
              <w:rPr>
                <w:b/>
                <w:sz w:val="19"/>
                <w:szCs w:val="19"/>
              </w:rPr>
              <w:t xml:space="preserve">Reference </w:t>
            </w:r>
            <w:r w:rsidRPr="00CC147A">
              <w:rPr>
                <w:b/>
                <w:sz w:val="19"/>
                <w:szCs w:val="19"/>
                <w:vertAlign w:val="superscript"/>
              </w:rPr>
              <w:t>a</w:t>
            </w:r>
          </w:p>
        </w:tc>
        <w:tc>
          <w:tcPr>
            <w:tcW w:w="859" w:type="pct"/>
          </w:tcPr>
          <w:p w14:paraId="5B0A4B06" w14:textId="77777777" w:rsidR="009A3438" w:rsidRPr="00CC147A" w:rsidRDefault="009A3438" w:rsidP="00183B5B">
            <w:pPr>
              <w:pStyle w:val="TableText"/>
              <w:spacing w:before="0" w:after="0"/>
              <w:rPr>
                <w:b/>
                <w:sz w:val="19"/>
                <w:szCs w:val="19"/>
              </w:rPr>
            </w:pPr>
            <w:r w:rsidRPr="00CC147A">
              <w:rPr>
                <w:b/>
                <w:sz w:val="19"/>
                <w:szCs w:val="19"/>
              </w:rPr>
              <w:t>ASCS treated cohort</w:t>
            </w:r>
          </w:p>
        </w:tc>
        <w:tc>
          <w:tcPr>
            <w:tcW w:w="614" w:type="pct"/>
          </w:tcPr>
          <w:p w14:paraId="34ED0610" w14:textId="77777777" w:rsidR="009A3438" w:rsidRPr="00CC147A" w:rsidRDefault="009A3438" w:rsidP="00183B5B">
            <w:pPr>
              <w:pStyle w:val="TableText"/>
              <w:spacing w:before="0" w:after="0"/>
              <w:rPr>
                <w:b/>
                <w:sz w:val="19"/>
                <w:szCs w:val="19"/>
              </w:rPr>
            </w:pPr>
            <w:r w:rsidRPr="00CC147A">
              <w:rPr>
                <w:b/>
                <w:sz w:val="19"/>
                <w:szCs w:val="19"/>
              </w:rPr>
              <w:t>NBR comparator cohort</w:t>
            </w:r>
          </w:p>
        </w:tc>
        <w:tc>
          <w:tcPr>
            <w:tcW w:w="709" w:type="pct"/>
          </w:tcPr>
          <w:p w14:paraId="040E6856" w14:textId="77777777" w:rsidR="009A3438" w:rsidRPr="00CC147A" w:rsidRDefault="009A3438" w:rsidP="00183B5B">
            <w:pPr>
              <w:pStyle w:val="TableText"/>
              <w:spacing w:before="0" w:after="0"/>
              <w:rPr>
                <w:b/>
                <w:sz w:val="19"/>
                <w:szCs w:val="19"/>
              </w:rPr>
            </w:pPr>
            <w:r w:rsidRPr="00CC147A">
              <w:rPr>
                <w:b/>
                <w:sz w:val="19"/>
                <w:szCs w:val="19"/>
              </w:rPr>
              <w:t xml:space="preserve">CTP001-6 control group </w:t>
            </w:r>
          </w:p>
        </w:tc>
        <w:tc>
          <w:tcPr>
            <w:tcW w:w="923" w:type="pct"/>
          </w:tcPr>
          <w:p w14:paraId="37C55A86" w14:textId="77777777" w:rsidR="009A3438" w:rsidRPr="00CC147A" w:rsidRDefault="009A3438" w:rsidP="00183B5B">
            <w:pPr>
              <w:pStyle w:val="TableText"/>
              <w:spacing w:before="0" w:after="0"/>
              <w:rPr>
                <w:b/>
                <w:sz w:val="19"/>
                <w:szCs w:val="19"/>
              </w:rPr>
            </w:pPr>
            <w:r w:rsidRPr="00CC147A">
              <w:rPr>
                <w:b/>
                <w:sz w:val="19"/>
                <w:szCs w:val="19"/>
              </w:rPr>
              <w:t xml:space="preserve">Propensity score stratification </w:t>
            </w:r>
            <w:r w:rsidRPr="00CC147A">
              <w:rPr>
                <w:b/>
                <w:sz w:val="19"/>
                <w:szCs w:val="19"/>
                <w:vertAlign w:val="superscript"/>
              </w:rPr>
              <w:t>c</w:t>
            </w:r>
          </w:p>
        </w:tc>
        <w:tc>
          <w:tcPr>
            <w:tcW w:w="757" w:type="pct"/>
          </w:tcPr>
          <w:p w14:paraId="292E91C2" w14:textId="77777777" w:rsidR="009A3438" w:rsidRPr="00CC147A" w:rsidRDefault="009A3438" w:rsidP="00183B5B">
            <w:pPr>
              <w:pStyle w:val="TableText"/>
              <w:spacing w:before="0" w:after="0"/>
              <w:rPr>
                <w:b/>
                <w:sz w:val="19"/>
                <w:szCs w:val="19"/>
              </w:rPr>
            </w:pPr>
            <w:r w:rsidRPr="00CC147A">
              <w:rPr>
                <w:b/>
                <w:sz w:val="19"/>
                <w:szCs w:val="19"/>
              </w:rPr>
              <w:t>Outcome(s)</w:t>
            </w:r>
          </w:p>
        </w:tc>
        <w:tc>
          <w:tcPr>
            <w:tcW w:w="509" w:type="pct"/>
          </w:tcPr>
          <w:p w14:paraId="7A9A9976" w14:textId="77777777" w:rsidR="009A3438" w:rsidRPr="00CC147A" w:rsidRDefault="009A3438" w:rsidP="00183B5B">
            <w:pPr>
              <w:pStyle w:val="TableText"/>
              <w:spacing w:before="0" w:after="0"/>
              <w:rPr>
                <w:b/>
                <w:sz w:val="19"/>
                <w:szCs w:val="19"/>
              </w:rPr>
            </w:pPr>
            <w:r w:rsidRPr="00CC147A">
              <w:rPr>
                <w:b/>
                <w:sz w:val="19"/>
                <w:szCs w:val="19"/>
              </w:rPr>
              <w:t>Use in modelled evaluation</w:t>
            </w:r>
          </w:p>
        </w:tc>
      </w:tr>
      <w:tr w:rsidR="009A3438" w:rsidRPr="00CC147A" w14:paraId="568508AE" w14:textId="77777777" w:rsidTr="00123E33">
        <w:tc>
          <w:tcPr>
            <w:tcW w:w="629" w:type="pct"/>
          </w:tcPr>
          <w:p w14:paraId="11638E42" w14:textId="77777777" w:rsidR="009A3438" w:rsidRPr="00CC147A" w:rsidRDefault="009A3438" w:rsidP="00183B5B">
            <w:pPr>
              <w:pStyle w:val="TableText"/>
              <w:spacing w:before="0" w:after="0"/>
              <w:rPr>
                <w:sz w:val="19"/>
                <w:szCs w:val="19"/>
              </w:rPr>
            </w:pPr>
            <w:r w:rsidRPr="00CC147A">
              <w:rPr>
                <w:sz w:val="19"/>
                <w:szCs w:val="19"/>
              </w:rPr>
              <w:t xml:space="preserve">CTP004 retrospective analysis </w:t>
            </w:r>
          </w:p>
        </w:tc>
        <w:tc>
          <w:tcPr>
            <w:tcW w:w="859" w:type="pct"/>
          </w:tcPr>
          <w:p w14:paraId="33552297" w14:textId="32DA2181" w:rsidR="009A3438" w:rsidRPr="00CC147A" w:rsidRDefault="009A3438" w:rsidP="00183B5B">
            <w:pPr>
              <w:pStyle w:val="TableText"/>
              <w:spacing w:before="0" w:after="0"/>
              <w:rPr>
                <w:sz w:val="19"/>
                <w:szCs w:val="19"/>
              </w:rPr>
            </w:pPr>
            <w:r w:rsidRPr="00CC147A">
              <w:rPr>
                <w:sz w:val="19"/>
                <w:szCs w:val="19"/>
              </w:rPr>
              <w:t>Single</w:t>
            </w:r>
            <w:r w:rsidR="00EF3B3A" w:rsidRPr="00CC147A">
              <w:rPr>
                <w:sz w:val="19"/>
                <w:szCs w:val="19"/>
              </w:rPr>
              <w:t>-</w:t>
            </w:r>
            <w:r w:rsidRPr="00CC147A">
              <w:rPr>
                <w:sz w:val="19"/>
                <w:szCs w:val="19"/>
              </w:rPr>
              <w:t>arm study</w:t>
            </w:r>
          </w:p>
          <w:p w14:paraId="641CBF90" w14:textId="7016C998" w:rsidR="009A3438" w:rsidRPr="00CC147A" w:rsidRDefault="003358B2" w:rsidP="00183B5B">
            <w:pPr>
              <w:pStyle w:val="TableText"/>
              <w:spacing w:before="0" w:after="0"/>
              <w:rPr>
                <w:sz w:val="19"/>
                <w:szCs w:val="19"/>
              </w:rPr>
            </w:pPr>
            <w:r w:rsidRPr="00CC147A">
              <w:rPr>
                <w:sz w:val="19"/>
                <w:szCs w:val="19"/>
              </w:rPr>
              <w:t>n</w:t>
            </w:r>
            <w:r w:rsidR="009A3438" w:rsidRPr="00CC147A">
              <w:rPr>
                <w:sz w:val="19"/>
                <w:szCs w:val="19"/>
              </w:rPr>
              <w:t>=49</w:t>
            </w:r>
          </w:p>
          <w:p w14:paraId="3DEDE6CE" w14:textId="77777777" w:rsidR="009A3438" w:rsidRPr="00CC147A" w:rsidRDefault="009A3438" w:rsidP="00183B5B">
            <w:pPr>
              <w:pStyle w:val="TableText"/>
              <w:spacing w:before="0" w:after="0"/>
              <w:rPr>
                <w:sz w:val="19"/>
                <w:szCs w:val="19"/>
              </w:rPr>
            </w:pPr>
            <w:r w:rsidRPr="00CC147A">
              <w:rPr>
                <w:sz w:val="19"/>
                <w:szCs w:val="19"/>
              </w:rPr>
              <w:t>Adults (≥18 years) with burn injuries &gt;50% TBSA</w:t>
            </w:r>
          </w:p>
          <w:p w14:paraId="6ABC5176" w14:textId="77777777" w:rsidR="009A3438" w:rsidRPr="00CC147A" w:rsidRDefault="009A3438" w:rsidP="00183B5B">
            <w:pPr>
              <w:pStyle w:val="TableText"/>
              <w:spacing w:before="0" w:after="0"/>
              <w:rPr>
                <w:sz w:val="19"/>
                <w:szCs w:val="19"/>
              </w:rPr>
            </w:pPr>
            <w:r w:rsidRPr="00CC147A">
              <w:rPr>
                <w:i/>
                <w:sz w:val="19"/>
                <w:szCs w:val="19"/>
              </w:rPr>
              <w:t>Treatment</w:t>
            </w:r>
            <w:r w:rsidRPr="00CC147A">
              <w:rPr>
                <w:sz w:val="19"/>
                <w:szCs w:val="19"/>
              </w:rPr>
              <w:t>: ASCS + meshed STSG</w:t>
            </w:r>
          </w:p>
          <w:p w14:paraId="558E19E5" w14:textId="77777777" w:rsidR="009A3438" w:rsidRPr="00CC147A" w:rsidRDefault="009A3438" w:rsidP="00183B5B">
            <w:pPr>
              <w:pStyle w:val="TableText"/>
              <w:spacing w:before="0" w:after="0"/>
              <w:rPr>
                <w:sz w:val="19"/>
                <w:szCs w:val="19"/>
              </w:rPr>
            </w:pPr>
            <w:r w:rsidRPr="00CC147A">
              <w:rPr>
                <w:i/>
                <w:iCs/>
                <w:sz w:val="19"/>
                <w:szCs w:val="19"/>
              </w:rPr>
              <w:t>Mean age (SD)</w:t>
            </w:r>
            <w:r w:rsidRPr="00CC147A">
              <w:rPr>
                <w:sz w:val="19"/>
                <w:szCs w:val="19"/>
              </w:rPr>
              <w:t>: 37.9 (11.9)</w:t>
            </w:r>
          </w:p>
          <w:p w14:paraId="478453F6" w14:textId="77777777" w:rsidR="009A3438" w:rsidRPr="00CC147A" w:rsidRDefault="009A3438" w:rsidP="00183B5B">
            <w:pPr>
              <w:pStyle w:val="TableText"/>
              <w:spacing w:before="0" w:after="0"/>
              <w:rPr>
                <w:sz w:val="19"/>
                <w:szCs w:val="19"/>
              </w:rPr>
            </w:pPr>
            <w:r w:rsidRPr="00CC147A">
              <w:rPr>
                <w:i/>
                <w:iCs/>
                <w:sz w:val="19"/>
                <w:szCs w:val="19"/>
              </w:rPr>
              <w:t>Male sex</w:t>
            </w:r>
            <w:r w:rsidRPr="00CC147A">
              <w:rPr>
                <w:sz w:val="19"/>
                <w:szCs w:val="19"/>
              </w:rPr>
              <w:t xml:space="preserve">: 74% </w:t>
            </w:r>
          </w:p>
          <w:p w14:paraId="3A95E22E" w14:textId="77777777" w:rsidR="009A3438" w:rsidRPr="00CC147A" w:rsidRDefault="009A3438" w:rsidP="00183B5B">
            <w:pPr>
              <w:pStyle w:val="TableText"/>
              <w:spacing w:before="0" w:after="0"/>
              <w:rPr>
                <w:sz w:val="19"/>
                <w:szCs w:val="19"/>
              </w:rPr>
            </w:pPr>
            <w:r w:rsidRPr="00CC147A">
              <w:rPr>
                <w:i/>
                <w:iCs/>
                <w:sz w:val="19"/>
                <w:szCs w:val="19"/>
              </w:rPr>
              <w:t>Mean TBSA (SD)</w:t>
            </w:r>
            <w:r w:rsidRPr="00CC147A">
              <w:rPr>
                <w:sz w:val="19"/>
                <w:szCs w:val="19"/>
              </w:rPr>
              <w:t>: 65.6% (SD 11.2)</w:t>
            </w:r>
          </w:p>
          <w:p w14:paraId="2312C213" w14:textId="36CB2A4C" w:rsidR="009A3438" w:rsidRPr="00CC147A" w:rsidRDefault="009A3438" w:rsidP="00183B5B">
            <w:pPr>
              <w:pStyle w:val="TableText"/>
              <w:spacing w:before="0" w:after="0"/>
              <w:rPr>
                <w:sz w:val="19"/>
                <w:szCs w:val="19"/>
                <w:highlight w:val="yellow"/>
              </w:rPr>
            </w:pPr>
            <w:r w:rsidRPr="00CC147A">
              <w:rPr>
                <w:i/>
                <w:iCs/>
                <w:sz w:val="19"/>
                <w:szCs w:val="19"/>
              </w:rPr>
              <w:t xml:space="preserve">Mean Baux score (SD) </w:t>
            </w:r>
            <w:r w:rsidRPr="00CC147A">
              <w:rPr>
                <w:i/>
                <w:iCs/>
                <w:sz w:val="19"/>
                <w:szCs w:val="19"/>
                <w:vertAlign w:val="superscript"/>
              </w:rPr>
              <w:t>d</w:t>
            </w:r>
            <w:r w:rsidRPr="00CC147A">
              <w:rPr>
                <w:sz w:val="19"/>
                <w:szCs w:val="19"/>
              </w:rPr>
              <w:t>: 110.1 (19.8)</w:t>
            </w:r>
          </w:p>
        </w:tc>
        <w:tc>
          <w:tcPr>
            <w:tcW w:w="614" w:type="pct"/>
          </w:tcPr>
          <w:p w14:paraId="21AC11B2" w14:textId="77777777" w:rsidR="009A3438" w:rsidRPr="00CC147A" w:rsidRDefault="009A3438" w:rsidP="00183B5B">
            <w:pPr>
              <w:pStyle w:val="TableText"/>
              <w:spacing w:before="0" w:after="0"/>
              <w:rPr>
                <w:sz w:val="19"/>
                <w:szCs w:val="19"/>
              </w:rPr>
            </w:pPr>
            <w:r w:rsidRPr="00CC147A">
              <w:rPr>
                <w:sz w:val="19"/>
                <w:szCs w:val="19"/>
              </w:rPr>
              <w:t>Registry data</w:t>
            </w:r>
          </w:p>
          <w:p w14:paraId="612F9561" w14:textId="3540BDD0" w:rsidR="009A3438" w:rsidRPr="00CC147A" w:rsidRDefault="003358B2" w:rsidP="00183B5B">
            <w:pPr>
              <w:pStyle w:val="TableText"/>
              <w:spacing w:before="0" w:after="0"/>
              <w:rPr>
                <w:sz w:val="19"/>
                <w:szCs w:val="19"/>
              </w:rPr>
            </w:pPr>
            <w:r w:rsidRPr="00CC147A">
              <w:rPr>
                <w:sz w:val="19"/>
                <w:szCs w:val="19"/>
              </w:rPr>
              <w:t>n</w:t>
            </w:r>
            <w:r w:rsidR="009A3438" w:rsidRPr="00CC147A">
              <w:rPr>
                <w:sz w:val="19"/>
                <w:szCs w:val="19"/>
              </w:rPr>
              <w:t>=277</w:t>
            </w:r>
          </w:p>
          <w:p w14:paraId="7982A185" w14:textId="77777777" w:rsidR="009A3438" w:rsidRPr="00CC147A" w:rsidRDefault="009A3438" w:rsidP="00183B5B">
            <w:pPr>
              <w:pStyle w:val="TableText"/>
              <w:spacing w:before="0" w:after="0"/>
              <w:rPr>
                <w:sz w:val="19"/>
                <w:szCs w:val="19"/>
              </w:rPr>
            </w:pPr>
            <w:r w:rsidRPr="00CC147A">
              <w:rPr>
                <w:sz w:val="19"/>
                <w:szCs w:val="19"/>
              </w:rPr>
              <w:t>Adults (≥18 years) with burn injuries &gt;50% TBSA</w:t>
            </w:r>
          </w:p>
          <w:p w14:paraId="237B721D" w14:textId="75441885" w:rsidR="009A3438" w:rsidRPr="00CC147A" w:rsidRDefault="009A3438" w:rsidP="00183B5B">
            <w:pPr>
              <w:pStyle w:val="TableText"/>
              <w:spacing w:before="0" w:after="0"/>
              <w:rPr>
                <w:sz w:val="19"/>
                <w:szCs w:val="19"/>
              </w:rPr>
            </w:pPr>
            <w:r w:rsidRPr="00CC147A">
              <w:rPr>
                <w:i/>
                <w:sz w:val="19"/>
                <w:szCs w:val="19"/>
              </w:rPr>
              <w:t>Treatment</w:t>
            </w:r>
            <w:r w:rsidRPr="00CC147A">
              <w:rPr>
                <w:sz w:val="19"/>
                <w:szCs w:val="19"/>
              </w:rPr>
              <w:t xml:space="preserve">: </w:t>
            </w:r>
            <w:r w:rsidR="00EF3B3A" w:rsidRPr="00CC147A">
              <w:rPr>
                <w:sz w:val="19"/>
                <w:szCs w:val="19"/>
              </w:rPr>
              <w:t>s</w:t>
            </w:r>
            <w:r w:rsidRPr="00CC147A">
              <w:rPr>
                <w:sz w:val="19"/>
                <w:szCs w:val="19"/>
              </w:rPr>
              <w:t>tandard of care</w:t>
            </w:r>
          </w:p>
          <w:p w14:paraId="51D593AF" w14:textId="77777777" w:rsidR="009A3438" w:rsidRPr="00CC147A" w:rsidRDefault="009A3438" w:rsidP="00183B5B">
            <w:pPr>
              <w:pStyle w:val="TableText"/>
              <w:spacing w:before="0" w:after="0"/>
              <w:rPr>
                <w:sz w:val="19"/>
                <w:szCs w:val="19"/>
              </w:rPr>
            </w:pPr>
            <w:r w:rsidRPr="00CC147A">
              <w:rPr>
                <w:i/>
                <w:iCs/>
                <w:sz w:val="19"/>
                <w:szCs w:val="19"/>
              </w:rPr>
              <w:t>Mean age (SD)</w:t>
            </w:r>
            <w:r w:rsidRPr="00CC147A">
              <w:rPr>
                <w:sz w:val="19"/>
                <w:szCs w:val="19"/>
              </w:rPr>
              <w:t>: 39.6 (13.0)</w:t>
            </w:r>
          </w:p>
          <w:p w14:paraId="098F6F8D" w14:textId="77777777" w:rsidR="009A3438" w:rsidRPr="00CC147A" w:rsidRDefault="009A3438" w:rsidP="00183B5B">
            <w:pPr>
              <w:pStyle w:val="TableText"/>
              <w:spacing w:before="0" w:after="0"/>
              <w:rPr>
                <w:sz w:val="19"/>
                <w:szCs w:val="19"/>
              </w:rPr>
            </w:pPr>
            <w:r w:rsidRPr="00CC147A">
              <w:rPr>
                <w:i/>
                <w:iCs/>
                <w:sz w:val="19"/>
                <w:szCs w:val="19"/>
              </w:rPr>
              <w:t>Male sex</w:t>
            </w:r>
            <w:r w:rsidRPr="00CC147A">
              <w:rPr>
                <w:sz w:val="19"/>
                <w:szCs w:val="19"/>
              </w:rPr>
              <w:t xml:space="preserve">: 76% </w:t>
            </w:r>
          </w:p>
          <w:p w14:paraId="5EB738EE" w14:textId="77777777" w:rsidR="009A3438" w:rsidRPr="00CC147A" w:rsidRDefault="009A3438" w:rsidP="00183B5B">
            <w:pPr>
              <w:pStyle w:val="TableText"/>
              <w:spacing w:before="0" w:after="0"/>
              <w:rPr>
                <w:sz w:val="19"/>
                <w:szCs w:val="19"/>
              </w:rPr>
            </w:pPr>
            <w:r w:rsidRPr="00CC147A">
              <w:rPr>
                <w:i/>
                <w:iCs/>
                <w:sz w:val="19"/>
                <w:szCs w:val="19"/>
              </w:rPr>
              <w:t>Mean TBSA (SD)</w:t>
            </w:r>
            <w:r w:rsidRPr="00CC147A">
              <w:rPr>
                <w:sz w:val="19"/>
                <w:szCs w:val="19"/>
              </w:rPr>
              <w:t>: 61.9% (SD 10.1)</w:t>
            </w:r>
          </w:p>
          <w:p w14:paraId="360FF1F5" w14:textId="77971311" w:rsidR="009A3438" w:rsidRPr="00CC147A" w:rsidRDefault="009A3438" w:rsidP="00183B5B">
            <w:pPr>
              <w:pStyle w:val="TableText"/>
              <w:spacing w:before="0" w:after="0"/>
              <w:rPr>
                <w:sz w:val="19"/>
                <w:szCs w:val="19"/>
                <w:highlight w:val="yellow"/>
              </w:rPr>
            </w:pPr>
            <w:r w:rsidRPr="00CC147A">
              <w:rPr>
                <w:i/>
                <w:iCs/>
                <w:sz w:val="19"/>
                <w:szCs w:val="19"/>
              </w:rPr>
              <w:t>Mean Baux score (SD</w:t>
            </w:r>
            <w:r w:rsidR="006E68C9" w:rsidRPr="00CC147A">
              <w:rPr>
                <w:i/>
                <w:iCs/>
                <w:sz w:val="19"/>
                <w:szCs w:val="19"/>
              </w:rPr>
              <w:t>)</w:t>
            </w:r>
            <w:r w:rsidRPr="00CC147A">
              <w:rPr>
                <w:i/>
                <w:iCs/>
                <w:sz w:val="19"/>
                <w:szCs w:val="19"/>
              </w:rPr>
              <w:t xml:space="preserve"> </w:t>
            </w:r>
            <w:r w:rsidRPr="00CC147A">
              <w:rPr>
                <w:i/>
                <w:iCs/>
                <w:sz w:val="19"/>
                <w:szCs w:val="19"/>
                <w:vertAlign w:val="superscript"/>
              </w:rPr>
              <w:t>d</w:t>
            </w:r>
            <w:r w:rsidRPr="00CC147A">
              <w:rPr>
                <w:sz w:val="19"/>
                <w:szCs w:val="19"/>
              </w:rPr>
              <w:t>: 107.6 (17.4)</w:t>
            </w:r>
          </w:p>
        </w:tc>
        <w:tc>
          <w:tcPr>
            <w:tcW w:w="709" w:type="pct"/>
          </w:tcPr>
          <w:p w14:paraId="1CC20246" w14:textId="1580DD58" w:rsidR="009A3438" w:rsidRPr="00CC147A" w:rsidRDefault="009A3438" w:rsidP="00183B5B">
            <w:pPr>
              <w:pStyle w:val="TableText"/>
              <w:spacing w:before="0" w:after="0"/>
              <w:rPr>
                <w:sz w:val="19"/>
                <w:szCs w:val="19"/>
              </w:rPr>
            </w:pPr>
            <w:r w:rsidRPr="00CC147A">
              <w:rPr>
                <w:sz w:val="19"/>
                <w:szCs w:val="19"/>
              </w:rPr>
              <w:t>Control arm of RCT</w:t>
            </w:r>
          </w:p>
          <w:p w14:paraId="59DDE8BB" w14:textId="0FBE9621" w:rsidR="009A3438" w:rsidRPr="00CC147A" w:rsidRDefault="003358B2" w:rsidP="00183B5B">
            <w:pPr>
              <w:pStyle w:val="TableText"/>
              <w:spacing w:before="0" w:after="0"/>
              <w:rPr>
                <w:sz w:val="19"/>
                <w:szCs w:val="19"/>
              </w:rPr>
            </w:pPr>
            <w:r w:rsidRPr="00CC147A">
              <w:rPr>
                <w:sz w:val="19"/>
                <w:szCs w:val="19"/>
              </w:rPr>
              <w:t>n</w:t>
            </w:r>
            <w:r w:rsidR="009A3438" w:rsidRPr="00CC147A">
              <w:rPr>
                <w:sz w:val="19"/>
                <w:szCs w:val="19"/>
              </w:rPr>
              <w:t>=28</w:t>
            </w:r>
          </w:p>
          <w:p w14:paraId="31363BB4" w14:textId="20031406" w:rsidR="009A3438" w:rsidRPr="00CC147A" w:rsidRDefault="009A3438" w:rsidP="00183B5B">
            <w:pPr>
              <w:pStyle w:val="TableText"/>
              <w:spacing w:before="0" w:after="0"/>
              <w:rPr>
                <w:sz w:val="19"/>
                <w:szCs w:val="19"/>
                <w:highlight w:val="yellow"/>
              </w:rPr>
            </w:pPr>
            <w:r w:rsidRPr="00CC147A">
              <w:rPr>
                <w:sz w:val="19"/>
                <w:szCs w:val="19"/>
              </w:rPr>
              <w:t>Adults (≥18 years) with burn injuries 5</w:t>
            </w:r>
            <w:r w:rsidR="006E68C9" w:rsidRPr="00CC147A">
              <w:rPr>
                <w:sz w:val="19"/>
                <w:szCs w:val="19"/>
              </w:rPr>
              <w:t>–</w:t>
            </w:r>
            <w:r w:rsidRPr="00CC147A">
              <w:rPr>
                <w:sz w:val="19"/>
                <w:szCs w:val="19"/>
              </w:rPr>
              <w:t>50% TBSA</w:t>
            </w:r>
          </w:p>
          <w:p w14:paraId="089D4634" w14:textId="3123E8AC" w:rsidR="009A3438" w:rsidRPr="00CC147A" w:rsidRDefault="009A3438" w:rsidP="00183B5B">
            <w:pPr>
              <w:pStyle w:val="TableText"/>
              <w:spacing w:before="0" w:after="0"/>
              <w:rPr>
                <w:sz w:val="19"/>
                <w:szCs w:val="19"/>
              </w:rPr>
            </w:pPr>
            <w:r w:rsidRPr="00CC147A">
              <w:rPr>
                <w:i/>
                <w:sz w:val="19"/>
                <w:szCs w:val="19"/>
              </w:rPr>
              <w:t>Treatment</w:t>
            </w:r>
            <w:r w:rsidRPr="00CC147A">
              <w:rPr>
                <w:sz w:val="19"/>
                <w:szCs w:val="19"/>
              </w:rPr>
              <w:t xml:space="preserve">: </w:t>
            </w:r>
            <w:r w:rsidR="006E68C9" w:rsidRPr="00CC147A">
              <w:rPr>
                <w:sz w:val="19"/>
                <w:szCs w:val="19"/>
              </w:rPr>
              <w:t>m</w:t>
            </w:r>
            <w:r w:rsidRPr="00CC147A">
              <w:rPr>
                <w:sz w:val="19"/>
                <w:szCs w:val="19"/>
              </w:rPr>
              <w:t>eshed STSG</w:t>
            </w:r>
          </w:p>
          <w:p w14:paraId="149AFC41" w14:textId="77777777" w:rsidR="009A3438" w:rsidRPr="00CC147A" w:rsidRDefault="009A3438" w:rsidP="00183B5B">
            <w:pPr>
              <w:pStyle w:val="TableText"/>
              <w:spacing w:before="0" w:after="0"/>
              <w:rPr>
                <w:sz w:val="19"/>
                <w:szCs w:val="19"/>
              </w:rPr>
            </w:pPr>
            <w:r w:rsidRPr="00CC147A">
              <w:rPr>
                <w:i/>
                <w:iCs/>
                <w:sz w:val="19"/>
                <w:szCs w:val="19"/>
              </w:rPr>
              <w:t>Mean age (SD)</w:t>
            </w:r>
            <w:r w:rsidRPr="00CC147A">
              <w:rPr>
                <w:sz w:val="19"/>
                <w:szCs w:val="19"/>
              </w:rPr>
              <w:t>: 41.1 (14.3)</w:t>
            </w:r>
          </w:p>
          <w:p w14:paraId="18CC0868" w14:textId="77777777" w:rsidR="009A3438" w:rsidRPr="00CC147A" w:rsidRDefault="009A3438" w:rsidP="00183B5B">
            <w:pPr>
              <w:pStyle w:val="TableText"/>
              <w:spacing w:before="0" w:after="0"/>
              <w:rPr>
                <w:sz w:val="19"/>
                <w:szCs w:val="19"/>
              </w:rPr>
            </w:pPr>
            <w:r w:rsidRPr="00CC147A">
              <w:rPr>
                <w:i/>
                <w:iCs/>
                <w:sz w:val="19"/>
                <w:szCs w:val="19"/>
              </w:rPr>
              <w:t>Male sex</w:t>
            </w:r>
            <w:r w:rsidRPr="00CC147A">
              <w:rPr>
                <w:sz w:val="19"/>
                <w:szCs w:val="19"/>
              </w:rPr>
              <w:t xml:space="preserve">: 82% </w:t>
            </w:r>
          </w:p>
          <w:p w14:paraId="666B397F" w14:textId="77777777" w:rsidR="009A3438" w:rsidRPr="00CC147A" w:rsidRDefault="009A3438" w:rsidP="00183B5B">
            <w:pPr>
              <w:pStyle w:val="TableText"/>
              <w:spacing w:before="0" w:after="0"/>
              <w:rPr>
                <w:sz w:val="19"/>
                <w:szCs w:val="19"/>
              </w:rPr>
            </w:pPr>
            <w:r w:rsidRPr="00CC147A">
              <w:rPr>
                <w:i/>
                <w:iCs/>
                <w:sz w:val="19"/>
                <w:szCs w:val="19"/>
              </w:rPr>
              <w:t>Mean TBSA (SD)</w:t>
            </w:r>
            <w:r w:rsidRPr="00CC147A">
              <w:rPr>
                <w:sz w:val="19"/>
                <w:szCs w:val="19"/>
              </w:rPr>
              <w:t>: 20.3% (SD 12.5)</w:t>
            </w:r>
          </w:p>
          <w:p w14:paraId="3A89B46C" w14:textId="79C36CB5" w:rsidR="009A3438" w:rsidRPr="00CC147A" w:rsidRDefault="009A3438" w:rsidP="00183B5B">
            <w:pPr>
              <w:pStyle w:val="TableText"/>
              <w:spacing w:before="0" w:after="0"/>
              <w:rPr>
                <w:sz w:val="19"/>
                <w:szCs w:val="19"/>
                <w:highlight w:val="yellow"/>
              </w:rPr>
            </w:pPr>
            <w:r w:rsidRPr="00CC147A">
              <w:rPr>
                <w:i/>
                <w:iCs/>
                <w:sz w:val="19"/>
                <w:szCs w:val="19"/>
              </w:rPr>
              <w:t xml:space="preserve">Mean Baux score (SD) </w:t>
            </w:r>
            <w:r w:rsidRPr="00CC147A">
              <w:rPr>
                <w:i/>
                <w:iCs/>
                <w:sz w:val="19"/>
                <w:szCs w:val="19"/>
                <w:vertAlign w:val="superscript"/>
              </w:rPr>
              <w:t>d</w:t>
            </w:r>
            <w:r w:rsidRPr="00CC147A">
              <w:rPr>
                <w:sz w:val="19"/>
                <w:szCs w:val="19"/>
              </w:rPr>
              <w:t>: 62.0 (19.5)</w:t>
            </w:r>
          </w:p>
        </w:tc>
        <w:tc>
          <w:tcPr>
            <w:tcW w:w="923" w:type="pct"/>
          </w:tcPr>
          <w:p w14:paraId="4FDB73AB" w14:textId="4755DDB0" w:rsidR="009A3438" w:rsidRPr="00CC147A" w:rsidRDefault="009A3438" w:rsidP="00183B5B">
            <w:pPr>
              <w:pStyle w:val="TableText"/>
              <w:spacing w:before="0" w:after="0"/>
              <w:rPr>
                <w:sz w:val="19"/>
                <w:szCs w:val="19"/>
              </w:rPr>
            </w:pPr>
            <w:r w:rsidRPr="00CC147A">
              <w:rPr>
                <w:i/>
                <w:sz w:val="19"/>
                <w:szCs w:val="19"/>
              </w:rPr>
              <w:t>NBR cohort</w:t>
            </w:r>
            <w:r w:rsidRPr="00CC147A">
              <w:rPr>
                <w:sz w:val="19"/>
                <w:szCs w:val="19"/>
              </w:rPr>
              <w:t>:</w:t>
            </w:r>
            <w:r w:rsidR="00EB5E7E" w:rsidRPr="00CC147A" w:rsidDel="00EB5E7E">
              <w:rPr>
                <w:sz w:val="19"/>
                <w:szCs w:val="19"/>
              </w:rPr>
              <w:t xml:space="preserve"> </w:t>
            </w:r>
            <w:r w:rsidRPr="00CC147A">
              <w:rPr>
                <w:sz w:val="19"/>
                <w:szCs w:val="19"/>
              </w:rPr>
              <w:t xml:space="preserve">no statistically significant differences in age, gender, </w:t>
            </w:r>
            <w:r w:rsidR="00EB5E7E" w:rsidRPr="00CC147A">
              <w:rPr>
                <w:sz w:val="19"/>
                <w:szCs w:val="19"/>
              </w:rPr>
              <w:t>%</w:t>
            </w:r>
            <w:r w:rsidRPr="00CC147A">
              <w:rPr>
                <w:sz w:val="19"/>
                <w:szCs w:val="19"/>
              </w:rPr>
              <w:t>TBSA or Baux score after adjustment.</w:t>
            </w:r>
          </w:p>
          <w:p w14:paraId="30F13832" w14:textId="7D5EDF5C" w:rsidR="009A3438" w:rsidRPr="00CC147A" w:rsidRDefault="009A3438" w:rsidP="00183B5B">
            <w:pPr>
              <w:pStyle w:val="TableText"/>
              <w:spacing w:before="0" w:after="0"/>
              <w:rPr>
                <w:sz w:val="19"/>
                <w:szCs w:val="19"/>
                <w:highlight w:val="yellow"/>
              </w:rPr>
            </w:pPr>
            <w:r w:rsidRPr="00CC147A">
              <w:rPr>
                <w:i/>
                <w:iCs/>
                <w:sz w:val="19"/>
                <w:szCs w:val="19"/>
              </w:rPr>
              <w:t>CTP001-6 cohort</w:t>
            </w:r>
            <w:r w:rsidRPr="00CC147A">
              <w:rPr>
                <w:sz w:val="19"/>
                <w:szCs w:val="19"/>
              </w:rPr>
              <w:t>:</w:t>
            </w:r>
            <w:r w:rsidR="00EB5E7E" w:rsidRPr="00CC147A">
              <w:rPr>
                <w:sz w:val="19"/>
                <w:szCs w:val="19"/>
              </w:rPr>
              <w:t xml:space="preserve"> </w:t>
            </w:r>
            <w:r w:rsidRPr="00CC147A">
              <w:rPr>
                <w:sz w:val="19"/>
                <w:szCs w:val="19"/>
              </w:rPr>
              <w:t>no statistically significant differences in age or gender</w:t>
            </w:r>
            <w:r w:rsidR="00EB5E7E" w:rsidRPr="00CC147A">
              <w:rPr>
                <w:sz w:val="19"/>
                <w:szCs w:val="19"/>
              </w:rPr>
              <w:t xml:space="preserve">; </w:t>
            </w:r>
            <w:r w:rsidRPr="00CC147A">
              <w:rPr>
                <w:sz w:val="19"/>
                <w:szCs w:val="19"/>
              </w:rPr>
              <w:t xml:space="preserve">mean </w:t>
            </w:r>
            <w:r w:rsidR="00993723" w:rsidRPr="00CC147A">
              <w:rPr>
                <w:sz w:val="19"/>
                <w:szCs w:val="19"/>
              </w:rPr>
              <w:t>%</w:t>
            </w:r>
            <w:r w:rsidRPr="00CC147A">
              <w:rPr>
                <w:sz w:val="19"/>
                <w:szCs w:val="19"/>
              </w:rPr>
              <w:t>TBSA and Baux score significantly higher for ASCS cohort after adjustment (p&lt;0.0001 for both).</w:t>
            </w:r>
          </w:p>
        </w:tc>
        <w:tc>
          <w:tcPr>
            <w:tcW w:w="757" w:type="pct"/>
          </w:tcPr>
          <w:p w14:paraId="31059E2C" w14:textId="08D4111E" w:rsidR="009A3438" w:rsidRPr="00CC147A" w:rsidRDefault="009A3438" w:rsidP="00183B5B">
            <w:pPr>
              <w:pStyle w:val="TableText"/>
              <w:spacing w:before="0" w:after="0"/>
              <w:rPr>
                <w:b/>
                <w:bCs/>
                <w:i/>
                <w:iCs/>
                <w:sz w:val="19"/>
                <w:szCs w:val="19"/>
                <w:highlight w:val="yellow"/>
              </w:rPr>
            </w:pPr>
            <w:r w:rsidRPr="00CC147A">
              <w:rPr>
                <w:sz w:val="19"/>
                <w:szCs w:val="19"/>
              </w:rPr>
              <w:t xml:space="preserve">Healing by </w:t>
            </w:r>
            <w:r w:rsidR="00300038" w:rsidRPr="00CC147A">
              <w:rPr>
                <w:sz w:val="19"/>
                <w:szCs w:val="19"/>
              </w:rPr>
              <w:t>w</w:t>
            </w:r>
            <w:r w:rsidRPr="00CC147A">
              <w:rPr>
                <w:sz w:val="19"/>
                <w:szCs w:val="19"/>
              </w:rPr>
              <w:t xml:space="preserve">eek 8, incidence of specific treatment-related </w:t>
            </w:r>
            <w:r w:rsidR="006E1E4F" w:rsidRPr="00CC147A">
              <w:rPr>
                <w:sz w:val="19"/>
                <w:szCs w:val="19"/>
              </w:rPr>
              <w:t>AE</w:t>
            </w:r>
            <w:r w:rsidRPr="00CC147A">
              <w:rPr>
                <w:sz w:val="19"/>
                <w:szCs w:val="19"/>
              </w:rPr>
              <w:t>s, number of autograft treatments to achieve definitive closure, hospital length of stay, mortality.</w:t>
            </w:r>
          </w:p>
        </w:tc>
        <w:tc>
          <w:tcPr>
            <w:tcW w:w="509" w:type="pct"/>
          </w:tcPr>
          <w:p w14:paraId="3F91C6D1" w14:textId="77777777" w:rsidR="009A3438" w:rsidRPr="00CC147A" w:rsidRDefault="009A3438" w:rsidP="00183B5B">
            <w:pPr>
              <w:pStyle w:val="TableText"/>
              <w:spacing w:before="0" w:after="0"/>
              <w:rPr>
                <w:sz w:val="19"/>
                <w:szCs w:val="19"/>
              </w:rPr>
            </w:pPr>
            <w:r w:rsidRPr="00CC147A">
              <w:rPr>
                <w:sz w:val="19"/>
                <w:szCs w:val="19"/>
              </w:rPr>
              <w:t>No</w:t>
            </w:r>
          </w:p>
        </w:tc>
      </w:tr>
      <w:tr w:rsidR="009A3438" w:rsidRPr="00CC147A" w14:paraId="1F35B814" w14:textId="77777777" w:rsidTr="00123E33">
        <w:tc>
          <w:tcPr>
            <w:tcW w:w="629" w:type="pct"/>
          </w:tcPr>
          <w:p w14:paraId="48AAE35C" w14:textId="77777777" w:rsidR="009A3438" w:rsidRPr="00CC147A" w:rsidRDefault="009A3438" w:rsidP="00183B5B">
            <w:pPr>
              <w:pStyle w:val="TableText"/>
              <w:spacing w:before="0" w:after="0"/>
              <w:rPr>
                <w:sz w:val="19"/>
                <w:szCs w:val="19"/>
              </w:rPr>
            </w:pPr>
            <w:r w:rsidRPr="00CC147A">
              <w:rPr>
                <w:sz w:val="19"/>
                <w:szCs w:val="19"/>
              </w:rPr>
              <w:t>CTP004/</w:t>
            </w:r>
            <w:r w:rsidRPr="00CC147A">
              <w:rPr>
                <w:sz w:val="19"/>
                <w:szCs w:val="19"/>
              </w:rPr>
              <w:br/>
              <w:t xml:space="preserve">CTP001-8 </w:t>
            </w:r>
            <w:r w:rsidRPr="00CC147A">
              <w:rPr>
                <w:sz w:val="19"/>
                <w:szCs w:val="19"/>
                <w:vertAlign w:val="superscript"/>
              </w:rPr>
              <w:t xml:space="preserve">b </w:t>
            </w:r>
            <w:r w:rsidRPr="00CC147A">
              <w:rPr>
                <w:sz w:val="19"/>
                <w:szCs w:val="19"/>
              </w:rPr>
              <w:t xml:space="preserve">retrospective analysis </w:t>
            </w:r>
          </w:p>
        </w:tc>
        <w:tc>
          <w:tcPr>
            <w:tcW w:w="859" w:type="pct"/>
          </w:tcPr>
          <w:p w14:paraId="5EE12CB1" w14:textId="2B985A44" w:rsidR="009A3438" w:rsidRPr="00CC147A" w:rsidRDefault="009A3438" w:rsidP="00183B5B">
            <w:pPr>
              <w:pStyle w:val="TableText"/>
              <w:spacing w:before="0" w:after="0"/>
              <w:rPr>
                <w:sz w:val="19"/>
                <w:szCs w:val="19"/>
              </w:rPr>
            </w:pPr>
            <w:r w:rsidRPr="00CC147A">
              <w:rPr>
                <w:sz w:val="19"/>
                <w:szCs w:val="19"/>
              </w:rPr>
              <w:t xml:space="preserve">Combined data from </w:t>
            </w:r>
            <w:r w:rsidR="006E1E4F" w:rsidRPr="00CC147A">
              <w:rPr>
                <w:sz w:val="19"/>
                <w:szCs w:val="19"/>
              </w:rPr>
              <w:t xml:space="preserve">2 </w:t>
            </w:r>
            <w:r w:rsidRPr="00CC147A">
              <w:rPr>
                <w:sz w:val="19"/>
                <w:szCs w:val="19"/>
              </w:rPr>
              <w:t>single</w:t>
            </w:r>
            <w:r w:rsidR="006E1E4F" w:rsidRPr="00CC147A">
              <w:rPr>
                <w:sz w:val="19"/>
                <w:szCs w:val="19"/>
              </w:rPr>
              <w:t>-</w:t>
            </w:r>
            <w:r w:rsidRPr="00CC147A">
              <w:rPr>
                <w:sz w:val="19"/>
                <w:szCs w:val="19"/>
              </w:rPr>
              <w:t>arm studies</w:t>
            </w:r>
          </w:p>
          <w:p w14:paraId="7F7C6E32" w14:textId="1D9220FE" w:rsidR="009A3438" w:rsidRPr="00CC147A" w:rsidRDefault="003358B2" w:rsidP="00183B5B">
            <w:pPr>
              <w:pStyle w:val="TableText"/>
              <w:spacing w:before="0" w:after="0"/>
              <w:rPr>
                <w:sz w:val="19"/>
                <w:szCs w:val="19"/>
              </w:rPr>
            </w:pPr>
            <w:r w:rsidRPr="00CC147A">
              <w:rPr>
                <w:sz w:val="19"/>
                <w:szCs w:val="19"/>
              </w:rPr>
              <w:t>n</w:t>
            </w:r>
            <w:r w:rsidR="009A3438" w:rsidRPr="00CC147A">
              <w:rPr>
                <w:sz w:val="19"/>
                <w:szCs w:val="19"/>
              </w:rPr>
              <w:t xml:space="preserve">=39 </w:t>
            </w:r>
            <w:r w:rsidR="009A3438" w:rsidRPr="00CC147A">
              <w:rPr>
                <w:sz w:val="19"/>
                <w:szCs w:val="19"/>
              </w:rPr>
              <w:br/>
              <w:t>(29 from CTP004</w:t>
            </w:r>
            <w:r w:rsidR="006E1E4F" w:rsidRPr="00CC147A">
              <w:rPr>
                <w:sz w:val="19"/>
                <w:szCs w:val="19"/>
              </w:rPr>
              <w:t xml:space="preserve">; </w:t>
            </w:r>
            <w:r w:rsidR="009A3438" w:rsidRPr="00CC147A">
              <w:rPr>
                <w:sz w:val="19"/>
                <w:szCs w:val="19"/>
              </w:rPr>
              <w:t>10 from CTP001-8)</w:t>
            </w:r>
          </w:p>
          <w:p w14:paraId="639C6395" w14:textId="34B48438" w:rsidR="009A3438" w:rsidRPr="00CC147A" w:rsidRDefault="009A3438" w:rsidP="00183B5B">
            <w:pPr>
              <w:pStyle w:val="TableText"/>
              <w:spacing w:before="0" w:after="0"/>
              <w:rPr>
                <w:sz w:val="19"/>
                <w:szCs w:val="19"/>
              </w:rPr>
            </w:pPr>
            <w:r w:rsidRPr="00CC147A">
              <w:rPr>
                <w:i/>
                <w:iCs/>
                <w:sz w:val="19"/>
                <w:szCs w:val="19"/>
              </w:rPr>
              <w:t>CTP004</w:t>
            </w:r>
            <w:r w:rsidRPr="00CC147A">
              <w:rPr>
                <w:sz w:val="19"/>
                <w:szCs w:val="19"/>
              </w:rPr>
              <w:t xml:space="preserve">: </w:t>
            </w:r>
            <w:r w:rsidR="006E1E4F" w:rsidRPr="00CC147A">
              <w:rPr>
                <w:sz w:val="19"/>
                <w:szCs w:val="19"/>
              </w:rPr>
              <w:t>p</w:t>
            </w:r>
            <w:r w:rsidRPr="00CC147A">
              <w:rPr>
                <w:sz w:val="19"/>
                <w:szCs w:val="19"/>
              </w:rPr>
              <w:t>atients aged &lt;18 years with life-threatening burn injuries</w:t>
            </w:r>
          </w:p>
          <w:p w14:paraId="01A528DE" w14:textId="2D5270E6" w:rsidR="009A3438" w:rsidRPr="00CC147A" w:rsidRDefault="009A3438" w:rsidP="00183B5B">
            <w:pPr>
              <w:pStyle w:val="TableText"/>
              <w:spacing w:before="0" w:after="0"/>
              <w:rPr>
                <w:sz w:val="19"/>
                <w:szCs w:val="19"/>
                <w:highlight w:val="yellow"/>
              </w:rPr>
            </w:pPr>
            <w:r w:rsidRPr="00CC147A">
              <w:rPr>
                <w:i/>
                <w:iCs/>
                <w:sz w:val="19"/>
                <w:szCs w:val="19"/>
              </w:rPr>
              <w:t>CTP001-8</w:t>
            </w:r>
            <w:r w:rsidRPr="00CC147A">
              <w:rPr>
                <w:sz w:val="19"/>
                <w:szCs w:val="19"/>
              </w:rPr>
              <w:t xml:space="preserve">: </w:t>
            </w:r>
            <w:r w:rsidR="006E1E4F" w:rsidRPr="00CC147A">
              <w:rPr>
                <w:sz w:val="19"/>
                <w:szCs w:val="19"/>
              </w:rPr>
              <w:t>p</w:t>
            </w:r>
            <w:r w:rsidRPr="00CC147A">
              <w:rPr>
                <w:sz w:val="19"/>
                <w:szCs w:val="19"/>
              </w:rPr>
              <w:t>atients aged &lt;18 years with burn injuries 5-50% TBSA</w:t>
            </w:r>
          </w:p>
          <w:p w14:paraId="381D890B" w14:textId="77777777" w:rsidR="009A3438" w:rsidRPr="00CC147A" w:rsidRDefault="009A3438" w:rsidP="00183B5B">
            <w:pPr>
              <w:pStyle w:val="TableText"/>
              <w:spacing w:before="0" w:after="0"/>
              <w:rPr>
                <w:sz w:val="19"/>
                <w:szCs w:val="19"/>
              </w:rPr>
            </w:pPr>
            <w:r w:rsidRPr="00CC147A">
              <w:rPr>
                <w:i/>
                <w:sz w:val="19"/>
                <w:szCs w:val="19"/>
              </w:rPr>
              <w:t>Treatment</w:t>
            </w:r>
            <w:r w:rsidRPr="00CC147A">
              <w:rPr>
                <w:sz w:val="19"/>
                <w:szCs w:val="19"/>
              </w:rPr>
              <w:t>: ASCS + meshed STSG</w:t>
            </w:r>
          </w:p>
          <w:p w14:paraId="601F2DE8" w14:textId="77777777" w:rsidR="009A3438" w:rsidRPr="00CC147A" w:rsidRDefault="009A3438" w:rsidP="00183B5B">
            <w:pPr>
              <w:pStyle w:val="TableText"/>
              <w:spacing w:before="0" w:after="0"/>
              <w:rPr>
                <w:sz w:val="19"/>
                <w:szCs w:val="19"/>
              </w:rPr>
            </w:pPr>
            <w:r w:rsidRPr="00CC147A">
              <w:rPr>
                <w:i/>
                <w:iCs/>
                <w:sz w:val="19"/>
                <w:szCs w:val="19"/>
              </w:rPr>
              <w:t>Mean age (SD)</w:t>
            </w:r>
            <w:r w:rsidRPr="00CC147A">
              <w:rPr>
                <w:sz w:val="19"/>
                <w:szCs w:val="19"/>
              </w:rPr>
              <w:t>: 7.1 (4.9)</w:t>
            </w:r>
          </w:p>
          <w:p w14:paraId="27310A74" w14:textId="77777777" w:rsidR="009A3438" w:rsidRPr="00CC147A" w:rsidRDefault="009A3438" w:rsidP="00183B5B">
            <w:pPr>
              <w:pStyle w:val="TableText"/>
              <w:spacing w:before="0" w:after="0"/>
              <w:rPr>
                <w:sz w:val="19"/>
                <w:szCs w:val="19"/>
              </w:rPr>
            </w:pPr>
            <w:r w:rsidRPr="00CC147A">
              <w:rPr>
                <w:i/>
                <w:iCs/>
                <w:sz w:val="19"/>
                <w:szCs w:val="19"/>
              </w:rPr>
              <w:t>Male sex</w:t>
            </w:r>
            <w:r w:rsidRPr="00CC147A">
              <w:rPr>
                <w:sz w:val="19"/>
                <w:szCs w:val="19"/>
              </w:rPr>
              <w:t xml:space="preserve">: 46% </w:t>
            </w:r>
          </w:p>
          <w:p w14:paraId="1F6AD092" w14:textId="77777777" w:rsidR="009A3438" w:rsidRPr="00CC147A" w:rsidRDefault="009A3438" w:rsidP="00183B5B">
            <w:pPr>
              <w:pStyle w:val="TableText"/>
              <w:spacing w:before="0" w:after="0"/>
              <w:rPr>
                <w:sz w:val="19"/>
                <w:szCs w:val="19"/>
              </w:rPr>
            </w:pPr>
            <w:r w:rsidRPr="00CC147A">
              <w:rPr>
                <w:i/>
                <w:iCs/>
                <w:sz w:val="19"/>
                <w:szCs w:val="19"/>
              </w:rPr>
              <w:t>Mean TBSA (SD)</w:t>
            </w:r>
            <w:r w:rsidRPr="00CC147A">
              <w:rPr>
                <w:sz w:val="19"/>
                <w:szCs w:val="19"/>
              </w:rPr>
              <w:t>: 40.1% (SD 19.2)</w:t>
            </w:r>
          </w:p>
          <w:p w14:paraId="5FD02F01" w14:textId="77777777" w:rsidR="009A3438" w:rsidRPr="00CC147A" w:rsidRDefault="009A3438" w:rsidP="00183B5B">
            <w:pPr>
              <w:pStyle w:val="TableText"/>
              <w:spacing w:before="0" w:after="0"/>
              <w:rPr>
                <w:sz w:val="19"/>
                <w:szCs w:val="19"/>
                <w:highlight w:val="yellow"/>
              </w:rPr>
            </w:pPr>
            <w:r w:rsidRPr="00CC147A">
              <w:rPr>
                <w:i/>
                <w:iCs/>
                <w:sz w:val="19"/>
                <w:szCs w:val="19"/>
              </w:rPr>
              <w:t xml:space="preserve">Mean Baux score (SD) </w:t>
            </w:r>
            <w:r w:rsidRPr="00CC147A">
              <w:rPr>
                <w:i/>
                <w:iCs/>
                <w:sz w:val="19"/>
                <w:szCs w:val="19"/>
                <w:vertAlign w:val="superscript"/>
              </w:rPr>
              <w:t>d</w:t>
            </w:r>
            <w:r w:rsidRPr="00CC147A">
              <w:rPr>
                <w:sz w:val="19"/>
                <w:szCs w:val="19"/>
                <w:vertAlign w:val="superscript"/>
              </w:rPr>
              <w:t>:</w:t>
            </w:r>
            <w:r w:rsidRPr="00CC147A">
              <w:rPr>
                <w:sz w:val="19"/>
                <w:szCs w:val="19"/>
              </w:rPr>
              <w:t xml:space="preserve"> 50.3 (24.4)</w:t>
            </w:r>
          </w:p>
        </w:tc>
        <w:tc>
          <w:tcPr>
            <w:tcW w:w="614" w:type="pct"/>
          </w:tcPr>
          <w:p w14:paraId="50A81B85" w14:textId="77777777" w:rsidR="009A3438" w:rsidRPr="00CC147A" w:rsidRDefault="009A3438" w:rsidP="00183B5B">
            <w:pPr>
              <w:pStyle w:val="TableText"/>
              <w:spacing w:before="0" w:after="0"/>
              <w:rPr>
                <w:sz w:val="19"/>
                <w:szCs w:val="19"/>
              </w:rPr>
            </w:pPr>
            <w:r w:rsidRPr="00CC147A">
              <w:rPr>
                <w:sz w:val="19"/>
                <w:szCs w:val="19"/>
              </w:rPr>
              <w:t>Registry data</w:t>
            </w:r>
          </w:p>
          <w:p w14:paraId="5C349535" w14:textId="0A08822C" w:rsidR="009A3438" w:rsidRPr="00CC147A" w:rsidRDefault="003358B2" w:rsidP="00183B5B">
            <w:pPr>
              <w:pStyle w:val="TableText"/>
              <w:spacing w:before="0" w:after="0"/>
              <w:rPr>
                <w:sz w:val="19"/>
                <w:szCs w:val="19"/>
              </w:rPr>
            </w:pPr>
            <w:r w:rsidRPr="00CC147A">
              <w:rPr>
                <w:sz w:val="19"/>
                <w:szCs w:val="19"/>
              </w:rPr>
              <w:t>n</w:t>
            </w:r>
            <w:r w:rsidR="009A3438" w:rsidRPr="00CC147A">
              <w:rPr>
                <w:sz w:val="19"/>
                <w:szCs w:val="19"/>
              </w:rPr>
              <w:t>=245</w:t>
            </w:r>
          </w:p>
          <w:p w14:paraId="684CEE90" w14:textId="77777777" w:rsidR="009A3438" w:rsidRPr="00CC147A" w:rsidRDefault="009A3438" w:rsidP="00183B5B">
            <w:pPr>
              <w:pStyle w:val="TableText"/>
              <w:spacing w:before="0" w:after="0"/>
              <w:rPr>
                <w:sz w:val="19"/>
                <w:szCs w:val="19"/>
              </w:rPr>
            </w:pPr>
            <w:r w:rsidRPr="00CC147A">
              <w:rPr>
                <w:sz w:val="19"/>
                <w:szCs w:val="19"/>
              </w:rPr>
              <w:t>Patients aged ≤16 years with burn injuries ≥8% TBSA</w:t>
            </w:r>
          </w:p>
          <w:p w14:paraId="6A69021F" w14:textId="4EC1E60B" w:rsidR="009A3438" w:rsidRPr="00CC147A" w:rsidRDefault="009A3438" w:rsidP="00183B5B">
            <w:pPr>
              <w:pStyle w:val="TableText"/>
              <w:spacing w:before="0" w:after="0"/>
              <w:rPr>
                <w:sz w:val="19"/>
                <w:szCs w:val="19"/>
              </w:rPr>
            </w:pPr>
            <w:r w:rsidRPr="00CC147A">
              <w:rPr>
                <w:i/>
                <w:sz w:val="19"/>
                <w:szCs w:val="19"/>
              </w:rPr>
              <w:t>Treatment</w:t>
            </w:r>
            <w:r w:rsidRPr="00CC147A">
              <w:rPr>
                <w:sz w:val="19"/>
                <w:szCs w:val="19"/>
              </w:rPr>
              <w:t xml:space="preserve">: </w:t>
            </w:r>
            <w:r w:rsidR="006E1E4F" w:rsidRPr="00CC147A">
              <w:rPr>
                <w:sz w:val="19"/>
                <w:szCs w:val="19"/>
              </w:rPr>
              <w:t>s</w:t>
            </w:r>
            <w:r w:rsidRPr="00CC147A">
              <w:rPr>
                <w:sz w:val="19"/>
                <w:szCs w:val="19"/>
              </w:rPr>
              <w:t>tandard of care</w:t>
            </w:r>
          </w:p>
          <w:p w14:paraId="59834A1C" w14:textId="77777777" w:rsidR="009A3438" w:rsidRPr="00CC147A" w:rsidRDefault="009A3438" w:rsidP="00183B5B">
            <w:pPr>
              <w:pStyle w:val="TableText"/>
              <w:spacing w:before="0" w:after="0"/>
              <w:rPr>
                <w:sz w:val="19"/>
                <w:szCs w:val="19"/>
              </w:rPr>
            </w:pPr>
            <w:r w:rsidRPr="00CC147A">
              <w:rPr>
                <w:i/>
                <w:iCs/>
                <w:sz w:val="19"/>
                <w:szCs w:val="19"/>
              </w:rPr>
              <w:t>Mean age (SD)</w:t>
            </w:r>
            <w:r w:rsidRPr="00CC147A">
              <w:rPr>
                <w:sz w:val="19"/>
                <w:szCs w:val="19"/>
              </w:rPr>
              <w:t>: 8.7 (5.0)</w:t>
            </w:r>
          </w:p>
          <w:p w14:paraId="1CBEEEC3" w14:textId="77777777" w:rsidR="009A3438" w:rsidRPr="00CC147A" w:rsidRDefault="009A3438" w:rsidP="00183B5B">
            <w:pPr>
              <w:pStyle w:val="TableText"/>
              <w:spacing w:before="0" w:after="0"/>
              <w:rPr>
                <w:sz w:val="19"/>
                <w:szCs w:val="19"/>
              </w:rPr>
            </w:pPr>
            <w:r w:rsidRPr="00CC147A">
              <w:rPr>
                <w:i/>
                <w:iCs/>
                <w:sz w:val="19"/>
                <w:szCs w:val="19"/>
              </w:rPr>
              <w:t>Male sex</w:t>
            </w:r>
            <w:r w:rsidRPr="00CC147A">
              <w:rPr>
                <w:sz w:val="19"/>
                <w:szCs w:val="19"/>
              </w:rPr>
              <w:t xml:space="preserve">: 73% </w:t>
            </w:r>
          </w:p>
          <w:p w14:paraId="63DA7977" w14:textId="77777777" w:rsidR="009A3438" w:rsidRPr="00CC147A" w:rsidRDefault="009A3438" w:rsidP="00183B5B">
            <w:pPr>
              <w:pStyle w:val="TableText"/>
              <w:spacing w:before="0" w:after="0"/>
              <w:rPr>
                <w:sz w:val="19"/>
                <w:szCs w:val="19"/>
              </w:rPr>
            </w:pPr>
            <w:r w:rsidRPr="00CC147A">
              <w:rPr>
                <w:i/>
                <w:iCs/>
                <w:sz w:val="19"/>
                <w:szCs w:val="19"/>
              </w:rPr>
              <w:t>Mean TBSA (SD)</w:t>
            </w:r>
            <w:r w:rsidRPr="00CC147A">
              <w:rPr>
                <w:sz w:val="19"/>
                <w:szCs w:val="19"/>
              </w:rPr>
              <w:t>: 28.1% (SD 15.5)</w:t>
            </w:r>
          </w:p>
          <w:p w14:paraId="4F72C723" w14:textId="10D28723" w:rsidR="009A3438" w:rsidRPr="00CC147A" w:rsidRDefault="009A3438" w:rsidP="00183B5B">
            <w:pPr>
              <w:pStyle w:val="TableText"/>
              <w:spacing w:before="0" w:after="0"/>
              <w:rPr>
                <w:sz w:val="19"/>
                <w:szCs w:val="19"/>
                <w:highlight w:val="yellow"/>
              </w:rPr>
            </w:pPr>
            <w:r w:rsidRPr="00CC147A">
              <w:rPr>
                <w:i/>
                <w:iCs/>
                <w:sz w:val="19"/>
                <w:szCs w:val="19"/>
              </w:rPr>
              <w:t xml:space="preserve">Mean Baux score (SD) </w:t>
            </w:r>
            <w:r w:rsidRPr="00CC147A">
              <w:rPr>
                <w:i/>
                <w:iCs/>
                <w:sz w:val="19"/>
                <w:szCs w:val="19"/>
                <w:vertAlign w:val="superscript"/>
              </w:rPr>
              <w:t>d</w:t>
            </w:r>
            <w:r w:rsidRPr="00CC147A">
              <w:rPr>
                <w:sz w:val="19"/>
                <w:szCs w:val="19"/>
              </w:rPr>
              <w:t>: 39.3 (17.0)</w:t>
            </w:r>
          </w:p>
        </w:tc>
        <w:tc>
          <w:tcPr>
            <w:tcW w:w="709" w:type="pct"/>
          </w:tcPr>
          <w:p w14:paraId="014E5BB1" w14:textId="77777777" w:rsidR="009A3438" w:rsidRPr="00CC147A" w:rsidRDefault="009A3438" w:rsidP="00183B5B">
            <w:pPr>
              <w:pStyle w:val="TableText"/>
              <w:spacing w:before="0" w:after="0"/>
              <w:rPr>
                <w:sz w:val="19"/>
                <w:szCs w:val="19"/>
              </w:rPr>
            </w:pPr>
            <w:r w:rsidRPr="00CC147A">
              <w:rPr>
                <w:sz w:val="19"/>
                <w:szCs w:val="19"/>
              </w:rPr>
              <w:t>Control arm of an RCT</w:t>
            </w:r>
          </w:p>
          <w:p w14:paraId="36203DD7" w14:textId="037699EB" w:rsidR="009A3438" w:rsidRPr="00CC147A" w:rsidRDefault="003358B2" w:rsidP="00183B5B">
            <w:pPr>
              <w:pStyle w:val="TableText"/>
              <w:spacing w:before="0" w:after="0"/>
              <w:rPr>
                <w:sz w:val="19"/>
                <w:szCs w:val="19"/>
              </w:rPr>
            </w:pPr>
            <w:r w:rsidRPr="00CC147A">
              <w:rPr>
                <w:sz w:val="19"/>
                <w:szCs w:val="19"/>
              </w:rPr>
              <w:t>n</w:t>
            </w:r>
            <w:r w:rsidR="009A3438" w:rsidRPr="00CC147A">
              <w:rPr>
                <w:sz w:val="19"/>
                <w:szCs w:val="19"/>
              </w:rPr>
              <w:t>=30</w:t>
            </w:r>
          </w:p>
          <w:p w14:paraId="0DF11EDA" w14:textId="5F140378" w:rsidR="009A3438" w:rsidRPr="00CC147A" w:rsidRDefault="009A3438" w:rsidP="00183B5B">
            <w:pPr>
              <w:pStyle w:val="TableText"/>
              <w:spacing w:before="0" w:after="0"/>
              <w:rPr>
                <w:i/>
                <w:sz w:val="19"/>
                <w:szCs w:val="19"/>
              </w:rPr>
            </w:pPr>
            <w:r w:rsidRPr="00CC147A">
              <w:rPr>
                <w:sz w:val="19"/>
                <w:szCs w:val="19"/>
              </w:rPr>
              <w:t xml:space="preserve">Patients aged ≥5 years with burn injuries 5-50% TBSA (2 </w:t>
            </w:r>
            <w:r w:rsidR="00A907A1" w:rsidRPr="00CC147A">
              <w:rPr>
                <w:sz w:val="19"/>
                <w:szCs w:val="19"/>
              </w:rPr>
              <w:t xml:space="preserve">patients </w:t>
            </w:r>
            <w:r w:rsidRPr="00CC147A">
              <w:rPr>
                <w:sz w:val="19"/>
                <w:szCs w:val="19"/>
              </w:rPr>
              <w:t>&lt;18 years)</w:t>
            </w:r>
            <w:r w:rsidRPr="00CC147A">
              <w:rPr>
                <w:i/>
                <w:sz w:val="19"/>
                <w:szCs w:val="19"/>
              </w:rPr>
              <w:t xml:space="preserve"> </w:t>
            </w:r>
          </w:p>
          <w:p w14:paraId="7639438B" w14:textId="1DD606A9" w:rsidR="009A3438" w:rsidRPr="00CC147A" w:rsidRDefault="009A3438" w:rsidP="00183B5B">
            <w:pPr>
              <w:pStyle w:val="TableText"/>
              <w:spacing w:before="0" w:after="0"/>
              <w:rPr>
                <w:sz w:val="19"/>
                <w:szCs w:val="19"/>
              </w:rPr>
            </w:pPr>
            <w:r w:rsidRPr="00CC147A">
              <w:rPr>
                <w:i/>
                <w:sz w:val="19"/>
                <w:szCs w:val="19"/>
              </w:rPr>
              <w:t>Treatment</w:t>
            </w:r>
            <w:r w:rsidRPr="00CC147A">
              <w:rPr>
                <w:sz w:val="19"/>
                <w:szCs w:val="19"/>
              </w:rPr>
              <w:t xml:space="preserve">: </w:t>
            </w:r>
            <w:r w:rsidR="00AB37B8" w:rsidRPr="00CC147A">
              <w:rPr>
                <w:sz w:val="19"/>
                <w:szCs w:val="19"/>
              </w:rPr>
              <w:t>m</w:t>
            </w:r>
            <w:r w:rsidRPr="00CC147A">
              <w:rPr>
                <w:sz w:val="19"/>
                <w:szCs w:val="19"/>
              </w:rPr>
              <w:t>eshed STSG</w:t>
            </w:r>
          </w:p>
          <w:p w14:paraId="0DE12E19" w14:textId="77777777" w:rsidR="009A3438" w:rsidRPr="00CC147A" w:rsidRDefault="009A3438" w:rsidP="00183B5B">
            <w:pPr>
              <w:pStyle w:val="TableText"/>
              <w:spacing w:before="0" w:after="0"/>
              <w:rPr>
                <w:sz w:val="19"/>
                <w:szCs w:val="19"/>
              </w:rPr>
            </w:pPr>
            <w:r w:rsidRPr="00CC147A">
              <w:rPr>
                <w:i/>
                <w:iCs/>
                <w:sz w:val="19"/>
                <w:szCs w:val="19"/>
              </w:rPr>
              <w:t>Mean age (SD)</w:t>
            </w:r>
            <w:r w:rsidRPr="00CC147A">
              <w:rPr>
                <w:sz w:val="19"/>
                <w:szCs w:val="19"/>
              </w:rPr>
              <w:t>: 39.1 (15.8)</w:t>
            </w:r>
          </w:p>
          <w:p w14:paraId="12B23FA4" w14:textId="77777777" w:rsidR="009A3438" w:rsidRPr="00CC147A" w:rsidRDefault="009A3438" w:rsidP="00183B5B">
            <w:pPr>
              <w:pStyle w:val="TableText"/>
              <w:spacing w:before="0" w:after="0"/>
              <w:rPr>
                <w:sz w:val="19"/>
                <w:szCs w:val="19"/>
              </w:rPr>
            </w:pPr>
            <w:r w:rsidRPr="00CC147A">
              <w:rPr>
                <w:i/>
                <w:iCs/>
                <w:sz w:val="19"/>
                <w:szCs w:val="19"/>
              </w:rPr>
              <w:t>Male sex</w:t>
            </w:r>
            <w:r w:rsidRPr="00CC147A">
              <w:rPr>
                <w:sz w:val="19"/>
                <w:szCs w:val="19"/>
              </w:rPr>
              <w:t xml:space="preserve">: 83% </w:t>
            </w:r>
          </w:p>
          <w:p w14:paraId="5B401FCA" w14:textId="77777777" w:rsidR="009A3438" w:rsidRPr="00CC147A" w:rsidRDefault="009A3438" w:rsidP="00183B5B">
            <w:pPr>
              <w:pStyle w:val="TableText"/>
              <w:spacing w:before="0" w:after="0"/>
              <w:rPr>
                <w:sz w:val="19"/>
                <w:szCs w:val="19"/>
              </w:rPr>
            </w:pPr>
            <w:r w:rsidRPr="00CC147A">
              <w:rPr>
                <w:i/>
                <w:iCs/>
                <w:sz w:val="19"/>
                <w:szCs w:val="19"/>
              </w:rPr>
              <w:t>Mean TBSA (SD)</w:t>
            </w:r>
            <w:r w:rsidRPr="00CC147A">
              <w:rPr>
                <w:sz w:val="19"/>
                <w:szCs w:val="19"/>
              </w:rPr>
              <w:t>: 21.0% (SD 13)</w:t>
            </w:r>
          </w:p>
          <w:p w14:paraId="46105E7A" w14:textId="36CA42BC" w:rsidR="009A3438" w:rsidRPr="00CC147A" w:rsidRDefault="009A3438" w:rsidP="00183B5B">
            <w:pPr>
              <w:pStyle w:val="TableText"/>
              <w:spacing w:before="0" w:after="0"/>
              <w:rPr>
                <w:sz w:val="19"/>
                <w:szCs w:val="19"/>
                <w:highlight w:val="yellow"/>
              </w:rPr>
            </w:pPr>
            <w:r w:rsidRPr="00CC147A">
              <w:rPr>
                <w:i/>
                <w:iCs/>
                <w:sz w:val="19"/>
                <w:szCs w:val="19"/>
              </w:rPr>
              <w:t>Mean Baux score (SD)</w:t>
            </w:r>
            <w:r w:rsidRPr="00CC147A">
              <w:rPr>
                <w:sz w:val="19"/>
                <w:szCs w:val="19"/>
              </w:rPr>
              <w:t xml:space="preserve">: </w:t>
            </w:r>
            <w:r w:rsidR="00AB37B8" w:rsidRPr="00CC147A">
              <w:rPr>
                <w:sz w:val="19"/>
                <w:szCs w:val="19"/>
              </w:rPr>
              <w:t>n</w:t>
            </w:r>
            <w:r w:rsidRPr="00CC147A">
              <w:rPr>
                <w:sz w:val="19"/>
                <w:szCs w:val="19"/>
              </w:rPr>
              <w:t>ot reported</w:t>
            </w:r>
          </w:p>
        </w:tc>
        <w:tc>
          <w:tcPr>
            <w:tcW w:w="923" w:type="pct"/>
          </w:tcPr>
          <w:p w14:paraId="7D053CD7" w14:textId="23AE2B6C" w:rsidR="009A3438" w:rsidRPr="00CC147A" w:rsidRDefault="009A3438" w:rsidP="00183B5B">
            <w:pPr>
              <w:pStyle w:val="TableText"/>
              <w:spacing w:before="0" w:after="0"/>
              <w:rPr>
                <w:sz w:val="19"/>
                <w:szCs w:val="19"/>
              </w:rPr>
            </w:pPr>
            <w:r w:rsidRPr="00CC147A">
              <w:rPr>
                <w:i/>
                <w:sz w:val="19"/>
                <w:szCs w:val="19"/>
              </w:rPr>
              <w:t>NBR cohort</w:t>
            </w:r>
            <w:r w:rsidRPr="00CC147A">
              <w:rPr>
                <w:sz w:val="19"/>
                <w:szCs w:val="19"/>
              </w:rPr>
              <w:t>:</w:t>
            </w:r>
            <w:r w:rsidR="00AB37B8" w:rsidRPr="00CC147A">
              <w:rPr>
                <w:sz w:val="19"/>
                <w:szCs w:val="19"/>
              </w:rPr>
              <w:t xml:space="preserve"> </w:t>
            </w:r>
            <w:r w:rsidRPr="00CC147A">
              <w:rPr>
                <w:sz w:val="19"/>
                <w:szCs w:val="19"/>
              </w:rPr>
              <w:t>no statistically significant differences in age, gender</w:t>
            </w:r>
            <w:r w:rsidR="00AB37B8" w:rsidRPr="00CC147A">
              <w:rPr>
                <w:sz w:val="19"/>
                <w:szCs w:val="19"/>
              </w:rPr>
              <w:t>,</w:t>
            </w:r>
            <w:r w:rsidRPr="00CC147A">
              <w:rPr>
                <w:sz w:val="19"/>
                <w:szCs w:val="19"/>
              </w:rPr>
              <w:t xml:space="preserve"> Baux score</w:t>
            </w:r>
            <w:r w:rsidR="00AB37B8" w:rsidRPr="00CC147A">
              <w:rPr>
                <w:sz w:val="19"/>
                <w:szCs w:val="19"/>
              </w:rPr>
              <w:t>;</w:t>
            </w:r>
            <w:r w:rsidRPr="00CC147A">
              <w:rPr>
                <w:sz w:val="19"/>
                <w:szCs w:val="19"/>
              </w:rPr>
              <w:t xml:space="preserve"> mean </w:t>
            </w:r>
            <w:r w:rsidR="00AB37B8" w:rsidRPr="00CC147A">
              <w:rPr>
                <w:sz w:val="19"/>
                <w:szCs w:val="19"/>
              </w:rPr>
              <w:t>%</w:t>
            </w:r>
            <w:r w:rsidRPr="00CC147A">
              <w:rPr>
                <w:sz w:val="19"/>
                <w:szCs w:val="19"/>
              </w:rPr>
              <w:t>TBSA significantly higher for ASCS cohort (p=0.0439) after adjustment.</w:t>
            </w:r>
          </w:p>
          <w:p w14:paraId="4CFC1218" w14:textId="54D84292" w:rsidR="009A3438" w:rsidRPr="00CC147A" w:rsidRDefault="009A3438" w:rsidP="00183B5B">
            <w:pPr>
              <w:pStyle w:val="TableText"/>
              <w:spacing w:before="0" w:after="0"/>
              <w:rPr>
                <w:sz w:val="19"/>
                <w:szCs w:val="19"/>
              </w:rPr>
            </w:pPr>
            <w:r w:rsidRPr="00CC147A">
              <w:rPr>
                <w:i/>
                <w:iCs/>
                <w:sz w:val="19"/>
                <w:szCs w:val="19"/>
              </w:rPr>
              <w:t>CTP001-6 control group</w:t>
            </w:r>
            <w:r w:rsidRPr="00CC147A">
              <w:rPr>
                <w:sz w:val="19"/>
                <w:szCs w:val="19"/>
              </w:rPr>
              <w:t>:</w:t>
            </w:r>
            <w:r w:rsidR="0005372B" w:rsidRPr="00CC147A">
              <w:rPr>
                <w:sz w:val="19"/>
                <w:szCs w:val="19"/>
              </w:rPr>
              <w:t xml:space="preserve"> n</w:t>
            </w:r>
            <w:r w:rsidRPr="00CC147A">
              <w:rPr>
                <w:sz w:val="19"/>
                <w:szCs w:val="19"/>
              </w:rPr>
              <w:t>ot conducted as no formal comparisons performed between treatment groups.</w:t>
            </w:r>
          </w:p>
          <w:p w14:paraId="7D4F04A6" w14:textId="77777777" w:rsidR="009A3438" w:rsidRPr="00CC147A" w:rsidRDefault="009A3438" w:rsidP="00183B5B">
            <w:pPr>
              <w:pStyle w:val="TableText"/>
              <w:spacing w:before="0" w:after="0"/>
              <w:rPr>
                <w:sz w:val="19"/>
                <w:szCs w:val="19"/>
                <w:highlight w:val="yellow"/>
              </w:rPr>
            </w:pPr>
          </w:p>
          <w:p w14:paraId="5B723DA7" w14:textId="77777777" w:rsidR="009A3438" w:rsidRPr="00CC147A" w:rsidRDefault="009A3438" w:rsidP="00183B5B">
            <w:pPr>
              <w:pStyle w:val="TableText"/>
              <w:spacing w:before="0" w:after="0"/>
              <w:rPr>
                <w:sz w:val="19"/>
                <w:szCs w:val="19"/>
                <w:highlight w:val="yellow"/>
              </w:rPr>
            </w:pPr>
          </w:p>
        </w:tc>
        <w:tc>
          <w:tcPr>
            <w:tcW w:w="757" w:type="pct"/>
          </w:tcPr>
          <w:p w14:paraId="48B4187E" w14:textId="09EBFAFC" w:rsidR="009A3438" w:rsidRPr="00CC147A" w:rsidRDefault="009A3438" w:rsidP="00183B5B">
            <w:pPr>
              <w:pStyle w:val="TableText"/>
              <w:spacing w:before="0" w:after="0"/>
              <w:rPr>
                <w:b/>
                <w:bCs/>
                <w:i/>
                <w:iCs/>
                <w:sz w:val="19"/>
                <w:szCs w:val="19"/>
                <w:highlight w:val="yellow"/>
              </w:rPr>
            </w:pPr>
            <w:r w:rsidRPr="00CC147A">
              <w:rPr>
                <w:sz w:val="19"/>
                <w:szCs w:val="19"/>
              </w:rPr>
              <w:t xml:space="preserve">Healing by </w:t>
            </w:r>
            <w:r w:rsidR="006E1E4F" w:rsidRPr="00CC147A">
              <w:rPr>
                <w:sz w:val="19"/>
                <w:szCs w:val="19"/>
              </w:rPr>
              <w:t>w</w:t>
            </w:r>
            <w:r w:rsidRPr="00CC147A">
              <w:rPr>
                <w:sz w:val="19"/>
                <w:szCs w:val="19"/>
              </w:rPr>
              <w:t xml:space="preserve">eek 8, incidence of specific treatment-related </w:t>
            </w:r>
            <w:r w:rsidR="006E1E4F" w:rsidRPr="00CC147A">
              <w:rPr>
                <w:sz w:val="19"/>
                <w:szCs w:val="19"/>
              </w:rPr>
              <w:t>AE</w:t>
            </w:r>
            <w:r w:rsidRPr="00CC147A">
              <w:rPr>
                <w:sz w:val="19"/>
                <w:szCs w:val="19"/>
              </w:rPr>
              <w:t>s, number of autograft treatments to achieve definitive closure, hospital length of stay, mortality.</w:t>
            </w:r>
          </w:p>
        </w:tc>
        <w:tc>
          <w:tcPr>
            <w:tcW w:w="509" w:type="pct"/>
          </w:tcPr>
          <w:p w14:paraId="401C7809" w14:textId="77777777" w:rsidR="009A3438" w:rsidRPr="00CC147A" w:rsidRDefault="009A3438" w:rsidP="00183B5B">
            <w:pPr>
              <w:pStyle w:val="TableText"/>
              <w:spacing w:before="0" w:after="0"/>
              <w:rPr>
                <w:sz w:val="19"/>
                <w:szCs w:val="19"/>
              </w:rPr>
            </w:pPr>
            <w:r w:rsidRPr="00CC147A">
              <w:rPr>
                <w:sz w:val="19"/>
                <w:szCs w:val="19"/>
              </w:rPr>
              <w:t>No</w:t>
            </w:r>
          </w:p>
        </w:tc>
      </w:tr>
    </w:tbl>
    <w:p w14:paraId="3A0BA1A1" w14:textId="3D9C84B4" w:rsidR="009A3438" w:rsidRPr="00CC147A" w:rsidRDefault="009A3438" w:rsidP="00CC147A">
      <w:pPr>
        <w:pStyle w:val="Tablenotes0"/>
        <w:keepNext/>
        <w:spacing w:before="0" w:line="240" w:lineRule="auto"/>
      </w:pPr>
      <w:r w:rsidRPr="00D6277E">
        <w:t>Abbreviations</w:t>
      </w:r>
      <w:r w:rsidR="00CC147A">
        <w:t xml:space="preserve"> - </w:t>
      </w:r>
      <w:r w:rsidR="00300038">
        <w:t>AE</w:t>
      </w:r>
      <w:r w:rsidR="00D513F4">
        <w:t xml:space="preserve"> = adverse event</w:t>
      </w:r>
      <w:r w:rsidR="006E1E4F">
        <w:t xml:space="preserve">, </w:t>
      </w:r>
      <w:r w:rsidR="00CC25B6">
        <w:t xml:space="preserve">DPT = deep-partial thickness; </w:t>
      </w:r>
      <w:r>
        <w:t xml:space="preserve">NBR = </w:t>
      </w:r>
      <w:r w:rsidRPr="00937401">
        <w:t>National Burn Repository</w:t>
      </w:r>
      <w:r>
        <w:t>,</w:t>
      </w:r>
      <w:r w:rsidRPr="00CE28E3">
        <w:t xml:space="preserve"> </w:t>
      </w:r>
      <w:r>
        <w:t>RCT = randomised controlled trial,</w:t>
      </w:r>
      <w:r w:rsidRPr="00CE28E3">
        <w:t xml:space="preserve"> </w:t>
      </w:r>
      <w:r>
        <w:t>S</w:t>
      </w:r>
      <w:r w:rsidRPr="00D6277E">
        <w:t>D</w:t>
      </w:r>
      <w:r>
        <w:t xml:space="preserve"> = standard deviation; TBSA = total body surface area.</w:t>
      </w:r>
    </w:p>
    <w:p w14:paraId="6B447FB8" w14:textId="77777777" w:rsidR="009A3438" w:rsidRPr="00D6277E" w:rsidRDefault="009A3438" w:rsidP="0054173E">
      <w:pPr>
        <w:pStyle w:val="Tablenotes0"/>
        <w:spacing w:line="240" w:lineRule="auto"/>
      </w:pPr>
      <w:r w:rsidRPr="00D6277E">
        <w:t>Notes</w:t>
      </w:r>
    </w:p>
    <w:p w14:paraId="3DE494B4" w14:textId="77777777" w:rsidR="009A3438" w:rsidRDefault="009A3438" w:rsidP="0054173E">
      <w:pPr>
        <w:pStyle w:val="Tablenotes0"/>
        <w:spacing w:line="240" w:lineRule="auto"/>
      </w:pPr>
      <w:r w:rsidRPr="00F82A53">
        <w:t xml:space="preserve">a = </w:t>
      </w:r>
      <w:r>
        <w:t>As these studies were provided as supporting evidence, no quality appraisals were undertaken</w:t>
      </w:r>
    </w:p>
    <w:p w14:paraId="052995BC" w14:textId="77777777" w:rsidR="009A3438" w:rsidRDefault="009A3438" w:rsidP="0054173E">
      <w:pPr>
        <w:pStyle w:val="Tablenotes0"/>
        <w:spacing w:line="240" w:lineRule="auto"/>
      </w:pPr>
      <w:r>
        <w:t>b</w:t>
      </w:r>
      <w:r w:rsidRPr="00D6277E">
        <w:t xml:space="preserve"> </w:t>
      </w:r>
      <w:r>
        <w:t xml:space="preserve">= </w:t>
      </w:r>
      <w:r w:rsidRPr="00CF0256">
        <w:t xml:space="preserve">CTP001-7 evaluated the same primary endpoints as CTP001-6 but was underpowered. The study design was subsequently transitioned to a single-arm format without a comparator, leading to </w:t>
      </w:r>
      <w:r>
        <w:t>protocol</w:t>
      </w:r>
      <w:r w:rsidRPr="00CF0256">
        <w:t xml:space="preserve"> CTP001-8.</w:t>
      </w:r>
    </w:p>
    <w:p w14:paraId="276206B2" w14:textId="4E59335C" w:rsidR="009A3438" w:rsidRDefault="009A3438" w:rsidP="0054173E">
      <w:pPr>
        <w:pStyle w:val="Tablenotes0"/>
        <w:spacing w:line="240" w:lineRule="auto"/>
      </w:pPr>
      <w:r w:rsidRPr="00F82A53">
        <w:t xml:space="preserve">c = </w:t>
      </w:r>
      <w:r w:rsidRPr="0063301C">
        <w:t xml:space="preserve">Propensity scores were derived from a logistic regression model adjusting for age, gender, </w:t>
      </w:r>
      <w:r w:rsidR="00823403">
        <w:t>%</w:t>
      </w:r>
      <w:r w:rsidRPr="0063301C">
        <w:t xml:space="preserve">TBSA and Baux score. </w:t>
      </w:r>
      <w:r>
        <w:t xml:space="preserve">For the </w:t>
      </w:r>
      <w:r w:rsidRPr="009A2072">
        <w:t>CTP001-4</w:t>
      </w:r>
      <w:r>
        <w:t>/</w:t>
      </w:r>
      <w:r w:rsidRPr="009A2072">
        <w:t>CTP001-8</w:t>
      </w:r>
      <w:r w:rsidRPr="00620383">
        <w:t xml:space="preserve"> </w:t>
      </w:r>
      <w:r>
        <w:t xml:space="preserve">retrospective analysis, </w:t>
      </w:r>
      <w:r w:rsidR="00823403">
        <w:t>%</w:t>
      </w:r>
      <w:r w:rsidRPr="0063301C">
        <w:t>TBSA and Baux score were</w:t>
      </w:r>
      <w:r>
        <w:t xml:space="preserve"> </w:t>
      </w:r>
      <w:r w:rsidRPr="0063301C">
        <w:t xml:space="preserve">not included in the model </w:t>
      </w:r>
      <w:r>
        <w:t xml:space="preserve">for the </w:t>
      </w:r>
      <w:r w:rsidRPr="0063301C">
        <w:t xml:space="preserve">CTP001-6 cohort due to the lack of overlap in </w:t>
      </w:r>
      <w:r w:rsidR="0066643F">
        <w:t>%</w:t>
      </w:r>
      <w:r w:rsidRPr="0063301C">
        <w:t>TBSA between treatment groups.</w:t>
      </w:r>
    </w:p>
    <w:p w14:paraId="76A79362" w14:textId="77777777" w:rsidR="009A3438" w:rsidRDefault="009A3438" w:rsidP="0054173E">
      <w:pPr>
        <w:pStyle w:val="Tablenotes0"/>
        <w:spacing w:line="240" w:lineRule="auto"/>
      </w:pPr>
      <w:r>
        <w:t>d</w:t>
      </w:r>
      <w:r w:rsidRPr="00F82A53">
        <w:t xml:space="preserve"> =</w:t>
      </w:r>
      <w:r>
        <w:t xml:space="preserve"> Hi</w:t>
      </w:r>
      <w:r w:rsidRPr="00A80134">
        <w:t>gher scores indicat</w:t>
      </w:r>
      <w:r>
        <w:t>e</w:t>
      </w:r>
      <w:r w:rsidRPr="00A80134">
        <w:t xml:space="preserve"> a greater risk of complications and death</w:t>
      </w:r>
    </w:p>
    <w:p w14:paraId="1B70AF7D" w14:textId="1B1D4F9D" w:rsidR="009A3438" w:rsidRPr="00667612" w:rsidRDefault="009A3438" w:rsidP="0054173E">
      <w:pPr>
        <w:pStyle w:val="Tablenotes0"/>
        <w:spacing w:line="240" w:lineRule="auto"/>
      </w:pPr>
      <w:r w:rsidRPr="00D6277E">
        <w:t>Source</w:t>
      </w:r>
      <w:r w:rsidR="00CC147A">
        <w:t xml:space="preserve"> - </w:t>
      </w:r>
      <w:r w:rsidRPr="009A2072">
        <w:t>CTP001-4</w:t>
      </w:r>
      <w:r>
        <w:t xml:space="preserve"> retrospective analysis</w:t>
      </w:r>
      <w:r w:rsidRPr="009A2072">
        <w:t>: Attachment 2.4 RECELL</w:t>
      </w:r>
      <w:r w:rsidRPr="009A2072">
        <w:rPr>
          <w:vertAlign w:val="superscript"/>
        </w:rPr>
        <w:t>®</w:t>
      </w:r>
      <w:r w:rsidRPr="009A2072">
        <w:t xml:space="preserve"> For Treating Adult Patients with Greater than 50% Total Body Surface Area Burns; CTP001-4</w:t>
      </w:r>
      <w:r>
        <w:t>/</w:t>
      </w:r>
      <w:r w:rsidRPr="009A2072">
        <w:t>CTP001-8</w:t>
      </w:r>
      <w:r w:rsidRPr="00620383">
        <w:t xml:space="preserve"> </w:t>
      </w:r>
      <w:r>
        <w:t>retrospective analysis</w:t>
      </w:r>
      <w:r w:rsidRPr="009A2072">
        <w:t>: Attachment 2.5 RECELL</w:t>
      </w:r>
      <w:r w:rsidRPr="006527C9">
        <w:rPr>
          <w:vertAlign w:val="superscript"/>
        </w:rPr>
        <w:t>®</w:t>
      </w:r>
      <w:r w:rsidRPr="009A2072">
        <w:t xml:space="preserve"> For Treatment of Paediatric Patients with Acute Burn </w:t>
      </w:r>
      <w:r w:rsidR="00CC25B6" w:rsidRPr="009A2072">
        <w:t>Injuri</w:t>
      </w:r>
      <w:r w:rsidR="00CC25B6">
        <w:t>es</w:t>
      </w:r>
    </w:p>
    <w:p w14:paraId="4D09107F" w14:textId="77777777" w:rsidR="009A3438" w:rsidRDefault="009A3438" w:rsidP="009A3438">
      <w:pPr>
        <w:pStyle w:val="Heading3"/>
      </w:pPr>
      <w:r w:rsidRPr="00191DCD">
        <w:lastRenderedPageBreak/>
        <w:t xml:space="preserve">Methodological considerations </w:t>
      </w:r>
    </w:p>
    <w:p w14:paraId="6FCAB9EA" w14:textId="77777777" w:rsidR="009A3438" w:rsidRPr="004442F8" w:rsidRDefault="009A3438" w:rsidP="009A3438">
      <w:pPr>
        <w:pStyle w:val="Heading4"/>
      </w:pPr>
      <w:r>
        <w:t>Study selection and data extraction</w:t>
      </w:r>
    </w:p>
    <w:p w14:paraId="4F4B47C8" w14:textId="0E914404" w:rsidR="009A3438" w:rsidRDefault="009A3438" w:rsidP="009A3438">
      <w:r w:rsidRPr="001410EE">
        <w:t>The selection of databases searched was adequate</w:t>
      </w:r>
      <w:r w:rsidR="00F11EE9">
        <w:t>,</w:t>
      </w:r>
      <w:r w:rsidRPr="001410EE">
        <w:t xml:space="preserve"> and the search strategies were broad enough to capture any relevant published literature. However, </w:t>
      </w:r>
      <w:r>
        <w:t xml:space="preserve">it was unclear whether </w:t>
      </w:r>
      <w:r w:rsidRPr="001410EE">
        <w:t xml:space="preserve">conference proceedings and other grey literature sources (including the </w:t>
      </w:r>
      <w:r w:rsidR="00A36886">
        <w:t>International Network of Agencies for Health Technology Assessment [</w:t>
      </w:r>
      <w:r w:rsidRPr="001410EE">
        <w:t>INAHTA</w:t>
      </w:r>
      <w:r w:rsidR="00A36886">
        <w:t>]</w:t>
      </w:r>
      <w:r w:rsidRPr="001410EE">
        <w:t xml:space="preserve"> HTA database) were searched</w:t>
      </w:r>
      <w:r w:rsidR="00754747">
        <w:t>.</w:t>
      </w:r>
      <w:r w:rsidR="00754747" w:rsidRPr="001410EE">
        <w:t xml:space="preserve"> </w:t>
      </w:r>
      <w:r w:rsidR="00754747" w:rsidRPr="00754747">
        <w:t>Searches were</w:t>
      </w:r>
      <w:r w:rsidRPr="001410EE">
        <w:t xml:space="preserve"> conducted in the </w:t>
      </w:r>
      <w:r>
        <w:t>a</w:t>
      </w:r>
      <w:r w:rsidRPr="001410EE">
        <w:t xml:space="preserve">pplicant’s trials </w:t>
      </w:r>
      <w:r>
        <w:t>repository</w:t>
      </w:r>
      <w:r w:rsidR="004B33E9">
        <w:t>,</w:t>
      </w:r>
      <w:r w:rsidRPr="001410EE">
        <w:t xml:space="preserve"> and the reference lists of retrieved studies</w:t>
      </w:r>
      <w:r w:rsidR="00754747" w:rsidRPr="00754747">
        <w:t xml:space="preserve"> were hand-searched</w:t>
      </w:r>
      <w:r w:rsidRPr="001410EE">
        <w:t>.</w:t>
      </w:r>
    </w:p>
    <w:p w14:paraId="3050223C" w14:textId="33D01734" w:rsidR="009A3438" w:rsidRPr="008737A9" w:rsidRDefault="009A3438" w:rsidP="009A3438">
      <w:r>
        <w:t>V</w:t>
      </w:r>
      <w:r w:rsidRPr="005F3513">
        <w:t xml:space="preserve">ery few details </w:t>
      </w:r>
      <w:r>
        <w:t xml:space="preserve">were </w:t>
      </w:r>
      <w:r w:rsidRPr="005F3513">
        <w:t xml:space="preserve">reported </w:t>
      </w:r>
      <w:r w:rsidR="004A0E6A">
        <w:t>regarding</w:t>
      </w:r>
      <w:r w:rsidR="004A0E6A" w:rsidRPr="00937401">
        <w:t xml:space="preserve"> </w:t>
      </w:r>
      <w:r w:rsidRPr="005F3513">
        <w:t>the study selection</w:t>
      </w:r>
      <w:r>
        <w:t xml:space="preserve"> and </w:t>
      </w:r>
      <w:r w:rsidRPr="005F3513">
        <w:t xml:space="preserve">data extraction </w:t>
      </w:r>
      <w:r>
        <w:t>processes.</w:t>
      </w:r>
      <w:r w:rsidRPr="00C71AA4">
        <w:t xml:space="preserve"> </w:t>
      </w:r>
      <w:r w:rsidRPr="008737A9">
        <w:t xml:space="preserve">The publication date of the included studies was limited to those included in and published after the 2019 NICE review update. While this means that studies published prior to 2014 were not included in the ADAR, this </w:t>
      </w:r>
      <w:r w:rsidR="007B4615">
        <w:t>was</w:t>
      </w:r>
      <w:r w:rsidRPr="008737A9">
        <w:t xml:space="preserve"> appropriate</w:t>
      </w:r>
      <w:r w:rsidR="00635CBB">
        <w:t>,</w:t>
      </w:r>
      <w:r w:rsidRPr="008737A9">
        <w:t xml:space="preserve"> since the most recent iteration of RECELL</w:t>
      </w:r>
      <w:r w:rsidR="1ACDD1E7">
        <w:t xml:space="preserve">® </w:t>
      </w:r>
      <w:r>
        <w:t>(</w:t>
      </w:r>
      <w:r w:rsidRPr="008737A9">
        <w:t xml:space="preserve">ARTG ID: 338864) has been commercially available </w:t>
      </w:r>
      <w:r w:rsidR="00635CBB" w:rsidRPr="00937401">
        <w:t xml:space="preserve">only </w:t>
      </w:r>
      <w:r w:rsidRPr="008737A9">
        <w:t>since 2015</w:t>
      </w:r>
      <w:r w:rsidR="00EF0817">
        <w:t>.</w:t>
      </w:r>
    </w:p>
    <w:p w14:paraId="6DAF0C0F" w14:textId="064A1495" w:rsidR="00D748BB" w:rsidRPr="00937401" w:rsidRDefault="009A3438" w:rsidP="009A3438">
      <w:r w:rsidRPr="008737A9">
        <w:t>Limiting study eligibility to comparative studies for the effectiveness and safety outcomes is appropriate</w:t>
      </w:r>
      <w:r w:rsidR="006E4AD4">
        <w:t>,</w:t>
      </w:r>
      <w:r w:rsidRPr="008737A9">
        <w:t xml:space="preserve"> given the clinical claims of superior donor</w:t>
      </w:r>
      <w:r w:rsidR="005D3088">
        <w:t>-</w:t>
      </w:r>
      <w:r w:rsidRPr="008737A9">
        <w:t xml:space="preserve">site sparing and non-inferiority in terms of wound closure and safety, compared with conventional burn management. However, </w:t>
      </w:r>
      <w:r>
        <w:rPr>
          <w:noProof/>
        </w:rPr>
        <w:t>t</w:t>
      </w:r>
      <w:r w:rsidRPr="00240AB0">
        <w:t xml:space="preserve">he study </w:t>
      </w:r>
      <w:r w:rsidRPr="008737A9">
        <w:t>selection process was not</w:t>
      </w:r>
      <w:r w:rsidRPr="006F1764">
        <w:t xml:space="preserve"> accurately documented</w:t>
      </w:r>
      <w:r w:rsidR="00841920">
        <w:t>,</w:t>
      </w:r>
      <w:r w:rsidRPr="006F1764">
        <w:t xml:space="preserve"> and the listed study selection criteria were not uniformly applied. </w:t>
      </w:r>
      <w:r w:rsidRPr="006F1764">
        <w:rPr>
          <w:rFonts w:eastAsia="Calibri" w:cs="Times New Roman"/>
          <w:iCs/>
        </w:rPr>
        <w:t>The</w:t>
      </w:r>
      <w:r w:rsidRPr="008737A9">
        <w:rPr>
          <w:rFonts w:eastAsia="Calibri" w:cs="Times New Roman"/>
        </w:rPr>
        <w:t xml:space="preserve"> number of studies included in the review should be 10 (5 clinical and 5 economic studies) rather than 23 (18 clinical and 5 economic studies) for the following reasons:</w:t>
      </w:r>
    </w:p>
    <w:p w14:paraId="5D445EE9" w14:textId="23A56EA8" w:rsidR="009A3438" w:rsidRPr="008737A9" w:rsidRDefault="00D748BB" w:rsidP="0000493F">
      <w:pPr>
        <w:pStyle w:val="ListParagraph"/>
        <w:numPr>
          <w:ilvl w:val="0"/>
          <w:numId w:val="10"/>
        </w:numPr>
        <w:rPr>
          <w:rFonts w:eastAsia="Calibri" w:cs="Times New Roman"/>
        </w:rPr>
      </w:pPr>
      <w:r>
        <w:rPr>
          <w:rFonts w:eastAsia="Calibri" w:cs="Times New Roman"/>
        </w:rPr>
        <w:t>11</w:t>
      </w:r>
      <w:r w:rsidR="009A3438" w:rsidRPr="00B76CA3">
        <w:rPr>
          <w:rFonts w:eastAsia="Calibri" w:cs="Times New Roman"/>
        </w:rPr>
        <w:t xml:space="preserve"> of the clinical studies comprised retrospective case reports and retrospective analyses of interim data from the CTP004, CTP001-7 and CTP001-8 trials (included as supportive evidence), which would have been better listed </w:t>
      </w:r>
      <w:r w:rsidR="009A32E6">
        <w:rPr>
          <w:rFonts w:eastAsia="Calibri" w:cs="Times New Roman"/>
        </w:rPr>
        <w:t>among</w:t>
      </w:r>
      <w:r w:rsidR="009A32E6" w:rsidRPr="008737A9">
        <w:rPr>
          <w:rFonts w:eastAsia="Calibri" w:cs="Times New Roman"/>
        </w:rPr>
        <w:t xml:space="preserve"> </w:t>
      </w:r>
      <w:r w:rsidR="009A3438" w:rsidRPr="00B76CA3">
        <w:rPr>
          <w:rFonts w:eastAsia="Calibri" w:cs="Times New Roman"/>
        </w:rPr>
        <w:t>the excluded studies as duplicate or superseded publications</w:t>
      </w:r>
    </w:p>
    <w:p w14:paraId="22FA0589" w14:textId="4F9A572E" w:rsidR="009A3438" w:rsidRPr="00B76CA3" w:rsidRDefault="007750B0" w:rsidP="0000493F">
      <w:pPr>
        <w:pStyle w:val="ListParagraph"/>
        <w:numPr>
          <w:ilvl w:val="0"/>
          <w:numId w:val="10"/>
        </w:numPr>
        <w:rPr>
          <w:rFonts w:eastAsia="Calibri" w:cs="Times New Roman"/>
        </w:rPr>
      </w:pPr>
      <w:r w:rsidRPr="68DF7F41">
        <w:rPr>
          <w:rFonts w:eastAsia="Calibri" w:cs="Times New Roman"/>
        </w:rPr>
        <w:t>7</w:t>
      </w:r>
      <w:r w:rsidR="009A3438" w:rsidRPr="68DF7F41">
        <w:rPr>
          <w:rFonts w:eastAsia="Calibri" w:cs="Times New Roman"/>
        </w:rPr>
        <w:t xml:space="preserve"> publications contributed data for the </w:t>
      </w:r>
      <w:r w:rsidRPr="68DF7F41">
        <w:rPr>
          <w:rFonts w:eastAsia="Calibri" w:cs="Times New Roman"/>
        </w:rPr>
        <w:t xml:space="preserve">5 </w:t>
      </w:r>
      <w:r w:rsidR="009A3438" w:rsidRPr="68DF7F41">
        <w:rPr>
          <w:rFonts w:eastAsia="Calibri" w:cs="Times New Roman"/>
        </w:rPr>
        <w:t>studies included as primary clinical evidence</w:t>
      </w:r>
      <w:r w:rsidRPr="68DF7F41">
        <w:rPr>
          <w:rFonts w:eastAsia="Calibri" w:cs="Times New Roman"/>
        </w:rPr>
        <w:t xml:space="preserve"> (w</w:t>
      </w:r>
      <w:r w:rsidR="009A3438" w:rsidRPr="68DF7F41">
        <w:rPr>
          <w:rFonts w:eastAsia="Calibri" w:cs="Times New Roman"/>
        </w:rPr>
        <w:t>hen there are multiple publications for a single study it is advisable to note this distinction in the PRISMA diagram to avoid confusion</w:t>
      </w:r>
      <w:r w:rsidRPr="68DF7F41">
        <w:rPr>
          <w:rFonts w:eastAsia="Calibri" w:cs="Times New Roman"/>
        </w:rPr>
        <w:t>)</w:t>
      </w:r>
      <w:r w:rsidR="009A3438" w:rsidRPr="68DF7F41">
        <w:rPr>
          <w:rFonts w:eastAsia="Calibri" w:cs="Times New Roman"/>
        </w:rPr>
        <w:t>.</w:t>
      </w:r>
    </w:p>
    <w:p w14:paraId="7F10C95E" w14:textId="77777777" w:rsidR="009A3438" w:rsidRPr="004442F8" w:rsidRDefault="009A3438" w:rsidP="009A3438">
      <w:pPr>
        <w:pStyle w:val="Heading4"/>
      </w:pPr>
      <w:r w:rsidRPr="004442F8">
        <w:t>Synthesis of evidence</w:t>
      </w:r>
    </w:p>
    <w:p w14:paraId="420A15E2" w14:textId="50B157B6" w:rsidR="009A3438" w:rsidRPr="00736B5F" w:rsidRDefault="009A3438" w:rsidP="009A3438">
      <w:pPr>
        <w:pStyle w:val="Heading5"/>
        <w:rPr>
          <w:color w:val="000000" w:themeColor="text1"/>
        </w:rPr>
      </w:pPr>
      <w:r w:rsidRPr="00736B5F">
        <w:rPr>
          <w:color w:val="000000" w:themeColor="text1"/>
        </w:rPr>
        <w:t>Direct comparisons</w:t>
      </w:r>
    </w:p>
    <w:p w14:paraId="28CC9703" w14:textId="248120C2" w:rsidR="009A3438" w:rsidRPr="008737A9" w:rsidRDefault="009A3438" w:rsidP="008C7E58">
      <w:r>
        <w:t xml:space="preserve">Although </w:t>
      </w:r>
      <w:r w:rsidRPr="245F6B9C">
        <w:rPr>
          <w:rFonts w:eastAsia="Calibri" w:cs="Times New Roman"/>
        </w:rPr>
        <w:t xml:space="preserve">the PICO focuses on the treatment of severe burns with ≥20% TBSA, the </w:t>
      </w:r>
      <w:r w:rsidR="00725E4B" w:rsidRPr="245F6B9C">
        <w:rPr>
          <w:rFonts w:eastAsia="Calibri" w:cs="Times New Roman"/>
        </w:rPr>
        <w:t xml:space="preserve">ADAR </w:t>
      </w:r>
      <w:r w:rsidRPr="245F6B9C">
        <w:rPr>
          <w:rFonts w:eastAsia="Calibri" w:cs="Times New Roman"/>
        </w:rPr>
        <w:t xml:space="preserve">included </w:t>
      </w:r>
      <w:r w:rsidR="000975A8" w:rsidRPr="245F6B9C">
        <w:rPr>
          <w:rFonts w:eastAsia="Calibri" w:cs="Times New Roman"/>
        </w:rPr>
        <w:t>‘</w:t>
      </w:r>
      <w:r w:rsidRPr="245F6B9C">
        <w:rPr>
          <w:rFonts w:eastAsia="Calibri" w:cs="Times New Roman"/>
        </w:rPr>
        <w:t>broader clinical evidence on ASCS for all burn injuries</w:t>
      </w:r>
      <w:r w:rsidR="000975A8" w:rsidRPr="245F6B9C">
        <w:rPr>
          <w:rFonts w:eastAsia="Calibri" w:cs="Times New Roman"/>
        </w:rPr>
        <w:t>’</w:t>
      </w:r>
      <w:r w:rsidRPr="245F6B9C">
        <w:rPr>
          <w:rFonts w:eastAsia="Calibri" w:cs="Times New Roman"/>
        </w:rPr>
        <w:t xml:space="preserve"> because </w:t>
      </w:r>
      <w:r w:rsidR="00152ACD" w:rsidRPr="245F6B9C">
        <w:rPr>
          <w:rFonts w:eastAsia="Calibri" w:cs="Times New Roman"/>
        </w:rPr>
        <w:t>‘</w:t>
      </w:r>
      <w:r w:rsidRPr="245F6B9C">
        <w:rPr>
          <w:rFonts w:eastAsia="Calibri" w:cs="Times New Roman"/>
        </w:rPr>
        <w:t>patients with burns exceeding 20% TBSA may receive ASCS alone or in combination with STSGs, even when individual areas treated with ASCS are smaller than 20%.</w:t>
      </w:r>
      <w:r w:rsidR="00152ACD" w:rsidRPr="245F6B9C">
        <w:rPr>
          <w:rFonts w:eastAsia="Calibri" w:cs="Times New Roman"/>
        </w:rPr>
        <w:t>’</w:t>
      </w:r>
      <w:r w:rsidRPr="245F6B9C">
        <w:rPr>
          <w:rFonts w:eastAsia="Calibri" w:cs="Times New Roman"/>
        </w:rPr>
        <w:t xml:space="preserve"> </w:t>
      </w:r>
      <w:r w:rsidRPr="245F6B9C">
        <w:rPr>
          <w:noProof/>
        </w:rPr>
        <w:t>As a result, o</w:t>
      </w:r>
      <w:r>
        <w:t>n</w:t>
      </w:r>
      <w:r w:rsidR="00DB1A8B">
        <w:t>e</w:t>
      </w:r>
      <w:r>
        <w:t xml:space="preserve"> of the two included pivotal RCTs (CTP001-5) does not report on burn sizes relevant to the MBS proposed population (</w:t>
      </w:r>
      <w:r w:rsidR="00152ACD" w:rsidRPr="245F6B9C">
        <w:rPr>
          <w:noProof/>
        </w:rPr>
        <w:t>i.e.</w:t>
      </w:r>
      <w:r w:rsidRPr="245F6B9C">
        <w:rPr>
          <w:noProof/>
        </w:rPr>
        <w:t xml:space="preserve"> </w:t>
      </w:r>
      <w:r>
        <w:t>≥20% TBSA). To maintain consistency with the PICO criteria, the CTP001-5 study should have been either excluded from review or provided as supportive clinical evidence only. The other RCT (CTP001-6) includes patients with burns covering 5</w:t>
      </w:r>
      <w:r w:rsidR="0074653C">
        <w:t>–</w:t>
      </w:r>
      <w:r>
        <w:t xml:space="preserve">50% TBSA, although it </w:t>
      </w:r>
      <w:r w:rsidR="007B4615">
        <w:t>was</w:t>
      </w:r>
      <w:r>
        <w:t xml:space="preserve"> unclear what proportion of patients in this study have burns that match those of the MBS proposed population (≥20% TBSA)</w:t>
      </w:r>
      <w:r w:rsidR="00B636A8">
        <w:t>.</w:t>
      </w:r>
    </w:p>
    <w:p w14:paraId="34B60957" w14:textId="16B1D6CD" w:rsidR="009A3438" w:rsidRDefault="009A3438" w:rsidP="009A3438">
      <w:r w:rsidRPr="00864A5A">
        <w:t>Th</w:t>
      </w:r>
      <w:r w:rsidR="000A48F5">
        <w:t>e</w:t>
      </w:r>
      <w:r w:rsidRPr="00864A5A">
        <w:t xml:space="preserve"> rationale</w:t>
      </w:r>
      <w:r w:rsidRPr="008737A9">
        <w:t xml:space="preserve"> </w:t>
      </w:r>
      <w:r>
        <w:t xml:space="preserve">of including studies in patients with smaller burns (&lt;20% TBSA) than the MBS proposed population </w:t>
      </w:r>
      <w:r w:rsidRPr="008737A9">
        <w:t xml:space="preserve">disregards the fact </w:t>
      </w:r>
      <w:r w:rsidR="00A23AB1">
        <w:t xml:space="preserve">that </w:t>
      </w:r>
      <w:r w:rsidRPr="008737A9">
        <w:t xml:space="preserve">severe burns are accompanied by significant adverse systemic effects, such as hyperinflammation, immune dysfunction, metabolic </w:t>
      </w:r>
      <w:r w:rsidRPr="008737A9">
        <w:lastRenderedPageBreak/>
        <w:t>dysregulation and vasodilatory shock, some of which remain for several years after the injury.</w:t>
      </w:r>
      <w:r w:rsidR="008C18EB">
        <w:rPr>
          <w:rStyle w:val="FootnoteReference"/>
          <w:rFonts w:eastAsia="Calibri" w:cs="Times New Roman"/>
        </w:rPr>
        <w:footnoteReference w:id="8"/>
      </w:r>
      <w:r w:rsidR="00816284" w:rsidRPr="003E3288">
        <w:rPr>
          <w:vertAlign w:val="superscript"/>
        </w:rPr>
        <w:t>,</w:t>
      </w:r>
      <w:bookmarkStart w:id="37" w:name="_Ref193052682"/>
      <w:r w:rsidRPr="00670394">
        <w:rPr>
          <w:vertAlign w:val="superscript"/>
        </w:rPr>
        <w:footnoteReference w:id="9"/>
      </w:r>
      <w:bookmarkEnd w:id="37"/>
      <w:r w:rsidRPr="008737A9">
        <w:t xml:space="preserve"> These effects would likely </w:t>
      </w:r>
      <w:r w:rsidRPr="00864A5A">
        <w:t>interfere with</w:t>
      </w:r>
      <w:r w:rsidRPr="008737A9">
        <w:t xml:space="preserve"> wound healing and other outcomes in these patients, potentially even in individual areas of more superficial burns. Therefore, results from studies where </w:t>
      </w:r>
      <w:r w:rsidRPr="00864A5A">
        <w:t>most</w:t>
      </w:r>
      <w:r w:rsidRPr="008737A9">
        <w:t xml:space="preserve"> patients have burns covering </w:t>
      </w:r>
      <w:r w:rsidR="00254147">
        <w:t>&lt;</w:t>
      </w:r>
      <w:r w:rsidRPr="008737A9">
        <w:t xml:space="preserve">20% TBSA cannot be reasonably generalised to the MBS proposed population with severe burns (≥20% TBSA). </w:t>
      </w:r>
    </w:p>
    <w:p w14:paraId="46910FA5" w14:textId="76AC5A21" w:rsidR="009A3438" w:rsidRDefault="00254147" w:rsidP="009A3438">
      <w:pPr>
        <w:rPr>
          <w:noProof/>
        </w:rPr>
      </w:pPr>
      <w:r>
        <w:rPr>
          <w:noProof/>
        </w:rPr>
        <w:t>T</w:t>
      </w:r>
      <w:r w:rsidR="009A3438" w:rsidRPr="008737A9">
        <w:t>he proportion of females in the</w:t>
      </w:r>
      <w:r w:rsidR="009A3438" w:rsidRPr="00D965B5">
        <w:rPr>
          <w:noProof/>
        </w:rPr>
        <w:t xml:space="preserve"> </w:t>
      </w:r>
      <w:r w:rsidR="009A3438" w:rsidRPr="008737A9">
        <w:t>CTP001-</w:t>
      </w:r>
      <w:r w:rsidR="009A3438">
        <w:rPr>
          <w:noProof/>
        </w:rPr>
        <w:t>5,</w:t>
      </w:r>
      <w:r w:rsidR="009A3438" w:rsidRPr="008737A9">
        <w:t xml:space="preserve"> CTP001-6 </w:t>
      </w:r>
      <w:r w:rsidR="009A3438">
        <w:rPr>
          <w:noProof/>
        </w:rPr>
        <w:t xml:space="preserve">and </w:t>
      </w:r>
      <w:r w:rsidR="009A3438" w:rsidRPr="008737A9">
        <w:t>CTP001-</w:t>
      </w:r>
      <w:r w:rsidR="009A3438">
        <w:rPr>
          <w:noProof/>
        </w:rPr>
        <w:t>7</w:t>
      </w:r>
      <w:r w:rsidR="009A3438" w:rsidRPr="008737A9">
        <w:t xml:space="preserve"> stud</w:t>
      </w:r>
      <w:r w:rsidR="009A3438">
        <w:rPr>
          <w:noProof/>
        </w:rPr>
        <w:t>ies</w:t>
      </w:r>
      <w:r w:rsidR="009A3438" w:rsidRPr="008737A9">
        <w:t xml:space="preserve"> was </w:t>
      </w:r>
      <w:r w:rsidR="009A3438">
        <w:rPr>
          <w:noProof/>
        </w:rPr>
        <w:t xml:space="preserve">16%, </w:t>
      </w:r>
      <w:r w:rsidR="009A3438" w:rsidRPr="008737A9">
        <w:t>17%</w:t>
      </w:r>
      <w:r w:rsidR="009A3438">
        <w:rPr>
          <w:noProof/>
        </w:rPr>
        <w:t xml:space="preserve"> and 8%, respectively,</w:t>
      </w:r>
      <w:r w:rsidR="009A3438" w:rsidRPr="008737A9">
        <w:t xml:space="preserve"> which </w:t>
      </w:r>
      <w:r w:rsidR="009A3438">
        <w:rPr>
          <w:noProof/>
        </w:rPr>
        <w:t>is</w:t>
      </w:r>
      <w:r w:rsidR="009A3438" w:rsidRPr="008737A9">
        <w:t xml:space="preserve"> much lower than </w:t>
      </w:r>
      <w:r>
        <w:t xml:space="preserve">that </w:t>
      </w:r>
      <w:r w:rsidR="009A3438" w:rsidRPr="008737A9">
        <w:t xml:space="preserve">in the MBS proposed population. For example, the proportion of </w:t>
      </w:r>
      <w:r w:rsidR="008F3425">
        <w:t>females</w:t>
      </w:r>
      <w:r w:rsidR="009A3438" w:rsidRPr="008737A9">
        <w:t xml:space="preserve"> in the MBS proposed population who received the relevant services (MBS items 46117</w:t>
      </w:r>
      <w:r>
        <w:rPr>
          <w:noProof/>
        </w:rPr>
        <w:t>–</w:t>
      </w:r>
      <w:r w:rsidR="009A3438" w:rsidRPr="008737A9">
        <w:t>46123, 46134</w:t>
      </w:r>
      <w:r w:rsidR="007458D0">
        <w:t>,</w:t>
      </w:r>
      <w:r w:rsidR="009A3438" w:rsidRPr="008737A9">
        <w:t xml:space="preserve"> 46135) in the </w:t>
      </w:r>
      <w:r w:rsidR="007458D0">
        <w:t>2</w:t>
      </w:r>
      <w:r w:rsidR="009A3438" w:rsidRPr="008737A9">
        <w:t>-year period January 2023 to December 2024 was 45% (31/69).</w:t>
      </w:r>
      <w:r w:rsidR="009A3438" w:rsidRPr="00670394">
        <w:rPr>
          <w:vertAlign w:val="superscript"/>
        </w:rPr>
        <w:footnoteReference w:id="10"/>
      </w:r>
      <w:r w:rsidR="009A3438" w:rsidRPr="008737A9">
        <w:rPr>
          <w:vertAlign w:val="superscript"/>
        </w:rPr>
        <w:t xml:space="preserve"> </w:t>
      </w:r>
      <w:r w:rsidR="009A3438" w:rsidRPr="008737A9">
        <w:t>This is an important difference</w:t>
      </w:r>
      <w:r w:rsidR="00041BEE">
        <w:t>,</w:t>
      </w:r>
      <w:r w:rsidR="009A3438" w:rsidRPr="008737A9">
        <w:t xml:space="preserve"> given that women in Australia </w:t>
      </w:r>
      <w:r w:rsidR="009A3438">
        <w:rPr>
          <w:noProof/>
        </w:rPr>
        <w:t xml:space="preserve">are more likely to have worse outcomes and </w:t>
      </w:r>
      <w:r w:rsidR="009A3438" w:rsidRPr="008737A9">
        <w:t>are nearly 2.5 times more likely to die following a burn injury than men, independent of other risk factors.</w:t>
      </w:r>
      <w:r w:rsidR="009A3438" w:rsidRPr="00670394">
        <w:rPr>
          <w:vertAlign w:val="superscript"/>
        </w:rPr>
        <w:footnoteReference w:id="11"/>
      </w:r>
    </w:p>
    <w:p w14:paraId="4611F9E5" w14:textId="77777777" w:rsidR="009A3438" w:rsidRPr="00736B5F" w:rsidRDefault="009A3438" w:rsidP="009A3438">
      <w:pPr>
        <w:pStyle w:val="Heading5"/>
        <w:rPr>
          <w:color w:val="000000" w:themeColor="text1"/>
        </w:rPr>
      </w:pPr>
      <w:r w:rsidRPr="00736B5F">
        <w:rPr>
          <w:color w:val="000000" w:themeColor="text1"/>
        </w:rPr>
        <w:t>Indirect comparisons</w:t>
      </w:r>
    </w:p>
    <w:p w14:paraId="3AAC8E93" w14:textId="1F0A7EC3" w:rsidR="009A3438" w:rsidRPr="003A2C81" w:rsidRDefault="009A3438" w:rsidP="008C7E58">
      <w:pPr>
        <w:rPr>
          <w:rFonts w:cs="Times New Roman"/>
          <w:iCs/>
        </w:rPr>
      </w:pPr>
      <w:r w:rsidRPr="003A2C81">
        <w:t>The USA 2012 NBR version 8.0 dataset</w:t>
      </w:r>
      <w:r w:rsidR="00841920">
        <w:t>, used as the control sample for the indirect comparative analyses, was chosen because it was the most up-to-</w:t>
      </w:r>
      <w:r w:rsidRPr="003A2C81">
        <w:rPr>
          <w:rFonts w:cs="Times New Roman"/>
          <w:iCs/>
        </w:rPr>
        <w:t>date version available for analysis. However, this dataset contains data collected from 2002 to 2011. A recent report suggested that changes in burn management that have occurred since 2011 in the USA make the 2012 NBR dataset outdated</w:t>
      </w:r>
      <w:r w:rsidR="0089585F">
        <w:rPr>
          <w:rFonts w:cs="Times New Roman"/>
          <w:iCs/>
        </w:rPr>
        <w:t>. This</w:t>
      </w:r>
      <w:r w:rsidRPr="003A2C81">
        <w:rPr>
          <w:rFonts w:cs="Times New Roman"/>
          <w:iCs/>
        </w:rPr>
        <w:t xml:space="preserve"> may skew the data in favour of the intervention. For example, </w:t>
      </w:r>
      <w:r w:rsidR="00B26369" w:rsidRPr="00937401">
        <w:rPr>
          <w:rFonts w:cs="Times New Roman"/>
          <w:iCs/>
        </w:rPr>
        <w:t>since the 2012 NBR data were collected</w:t>
      </w:r>
      <w:r w:rsidR="009736E4">
        <w:rPr>
          <w:rFonts w:cs="Times New Roman"/>
          <w:iCs/>
        </w:rPr>
        <w:t>,</w:t>
      </w:r>
      <w:r w:rsidR="00B26369" w:rsidRPr="00937401">
        <w:rPr>
          <w:rFonts w:cs="Times New Roman"/>
          <w:iCs/>
        </w:rPr>
        <w:t xml:space="preserve"> </w:t>
      </w:r>
      <w:r w:rsidRPr="003A2C81">
        <w:rPr>
          <w:rFonts w:cs="Times New Roman"/>
          <w:iCs/>
        </w:rPr>
        <w:t xml:space="preserve">there has been an overall reduction in the number of autografting procedures per </w:t>
      </w:r>
      <w:r w:rsidR="001D4C08">
        <w:rPr>
          <w:rFonts w:cs="Times New Roman"/>
          <w:iCs/>
        </w:rPr>
        <w:t>%</w:t>
      </w:r>
      <w:r w:rsidRPr="003A2C81">
        <w:rPr>
          <w:rFonts w:cs="Times New Roman"/>
          <w:iCs/>
        </w:rPr>
        <w:t>TBSA burned</w:t>
      </w:r>
      <w:r w:rsidR="00912443">
        <w:rPr>
          <w:rFonts w:cs="Times New Roman"/>
          <w:iCs/>
        </w:rPr>
        <w:t>,</w:t>
      </w:r>
      <w:r w:rsidRPr="003A2C81">
        <w:rPr>
          <w:rFonts w:cs="Times New Roman"/>
          <w:iCs/>
        </w:rPr>
        <w:t xml:space="preserve"> and the average surgical time for both graft and donor sites has decreased as </w:t>
      </w:r>
      <w:r w:rsidR="001F1F78">
        <w:rPr>
          <w:rFonts w:cs="Times New Roman"/>
          <w:iCs/>
        </w:rPr>
        <w:t xml:space="preserve">the </w:t>
      </w:r>
      <w:r w:rsidRPr="003A2C81">
        <w:rPr>
          <w:rFonts w:cs="Times New Roman"/>
          <w:iCs/>
        </w:rPr>
        <w:t xml:space="preserve">burn size increased. </w:t>
      </w:r>
      <w:r w:rsidR="001F1F78">
        <w:rPr>
          <w:rFonts w:cs="Times New Roman"/>
          <w:iCs/>
        </w:rPr>
        <w:t>Additionally, burn care costs have increased significantly</w:t>
      </w:r>
      <w:r w:rsidRPr="003A2C81">
        <w:rPr>
          <w:rFonts w:cs="Times New Roman"/>
          <w:iCs/>
        </w:rPr>
        <w:t>.</w:t>
      </w:r>
      <w:bookmarkStart w:id="38" w:name="_Ref192620823"/>
      <w:r w:rsidRPr="003A2C81">
        <w:rPr>
          <w:rStyle w:val="FootnoteReference"/>
          <w:iCs/>
        </w:rPr>
        <w:footnoteReference w:id="12"/>
      </w:r>
      <w:bookmarkEnd w:id="38"/>
    </w:p>
    <w:p w14:paraId="08E662B7" w14:textId="68DA7503" w:rsidR="009A3438" w:rsidRPr="00731EE9" w:rsidRDefault="009A3438" w:rsidP="008C7E58">
      <w:pPr>
        <w:rPr>
          <w:rFonts w:cs="Times New Roman"/>
          <w:iCs/>
        </w:rPr>
      </w:pPr>
      <w:r w:rsidRPr="00731EE9">
        <w:t xml:space="preserve">Propensity score stratification was used to adjust for confounding in the retrospective analyses. The model used logistic regression, with </w:t>
      </w:r>
      <w:r w:rsidR="00B26369">
        <w:t>‘</w:t>
      </w:r>
      <w:r w:rsidRPr="00731EE9">
        <w:t>treatment group</w:t>
      </w:r>
      <w:r w:rsidR="00B26369">
        <w:t>’</w:t>
      </w:r>
      <w:r w:rsidRPr="00731EE9">
        <w:t xml:space="preserve"> as the outcome and baseline variables of age, gender, </w:t>
      </w:r>
      <w:r w:rsidR="00B26369">
        <w:t>%</w:t>
      </w:r>
      <w:r w:rsidRPr="00731EE9">
        <w:t xml:space="preserve">TBSA and Baux score as the predictors. Patients from both treatment groups were categorised into </w:t>
      </w:r>
      <w:r w:rsidR="005A00D0">
        <w:t>5</w:t>
      </w:r>
      <w:r w:rsidR="005A00D0" w:rsidRPr="00731EE9">
        <w:t xml:space="preserve"> </w:t>
      </w:r>
      <w:r w:rsidRPr="00731EE9">
        <w:t>groups based on the calculated propensity scores</w:t>
      </w:r>
      <w:r w:rsidR="0049172C">
        <w:rPr>
          <w:rFonts w:cs="Times New Roman"/>
          <w:iCs/>
        </w:rPr>
        <w:t>, and stratification was deemed adequate if p-</w:t>
      </w:r>
      <w:r w:rsidRPr="00731EE9">
        <w:rPr>
          <w:rFonts w:cs="Times New Roman"/>
          <w:iCs/>
        </w:rPr>
        <w:t xml:space="preserve">values </w:t>
      </w:r>
      <w:r>
        <w:rPr>
          <w:rFonts w:cs="Times New Roman"/>
          <w:iCs/>
        </w:rPr>
        <w:t xml:space="preserve">were </w:t>
      </w:r>
      <w:r w:rsidR="005A00D0">
        <w:rPr>
          <w:rFonts w:cs="Times New Roman"/>
          <w:iCs/>
        </w:rPr>
        <w:t>&gt;</w:t>
      </w:r>
      <w:r w:rsidRPr="00731EE9">
        <w:rPr>
          <w:rFonts w:cs="Times New Roman"/>
          <w:iCs/>
        </w:rPr>
        <w:t xml:space="preserve">0.05 for the </w:t>
      </w:r>
      <w:r w:rsidR="005A00D0">
        <w:rPr>
          <w:rFonts w:cs="Times New Roman"/>
          <w:iCs/>
        </w:rPr>
        <w:t>4</w:t>
      </w:r>
      <w:r w:rsidR="005A00D0" w:rsidRPr="00937401">
        <w:rPr>
          <w:rFonts w:cs="Times New Roman"/>
          <w:iCs/>
        </w:rPr>
        <w:t xml:space="preserve"> </w:t>
      </w:r>
      <w:r w:rsidRPr="00731EE9">
        <w:rPr>
          <w:rFonts w:cs="Times New Roman"/>
          <w:iCs/>
        </w:rPr>
        <w:t xml:space="preserve">characteristics. The use of </w:t>
      </w:r>
      <w:r w:rsidR="002A411B">
        <w:rPr>
          <w:rFonts w:cs="Times New Roman"/>
          <w:iCs/>
        </w:rPr>
        <w:t>propensity score (</w:t>
      </w:r>
      <w:r w:rsidRPr="00731EE9">
        <w:rPr>
          <w:rFonts w:cs="Times New Roman"/>
          <w:iCs/>
        </w:rPr>
        <w:t>PS</w:t>
      </w:r>
      <w:r w:rsidR="002A411B">
        <w:rPr>
          <w:rFonts w:cs="Times New Roman"/>
          <w:iCs/>
        </w:rPr>
        <w:t>)</w:t>
      </w:r>
      <w:r w:rsidRPr="00731EE9">
        <w:rPr>
          <w:rFonts w:cs="Times New Roman"/>
          <w:iCs/>
        </w:rPr>
        <w:t xml:space="preserve"> stratification </w:t>
      </w:r>
      <w:r>
        <w:rPr>
          <w:rFonts w:cs="Times New Roman"/>
          <w:iCs/>
        </w:rPr>
        <w:t>using</w:t>
      </w:r>
      <w:r w:rsidRPr="00731EE9">
        <w:rPr>
          <w:rFonts w:cs="Times New Roman"/>
          <w:iCs/>
        </w:rPr>
        <w:t xml:space="preserve"> widely recognised predictors (age, gender, </w:t>
      </w:r>
      <w:r w:rsidR="00751A67">
        <w:rPr>
          <w:rFonts w:cs="Times New Roman"/>
          <w:iCs/>
        </w:rPr>
        <w:t>%</w:t>
      </w:r>
      <w:r w:rsidRPr="00731EE9">
        <w:rPr>
          <w:rFonts w:cs="Times New Roman"/>
          <w:iCs/>
        </w:rPr>
        <w:t>TBSA</w:t>
      </w:r>
      <w:r w:rsidR="00751A67">
        <w:rPr>
          <w:rFonts w:cs="Times New Roman"/>
          <w:iCs/>
        </w:rPr>
        <w:t xml:space="preserve">, </w:t>
      </w:r>
      <w:r w:rsidRPr="00731EE9">
        <w:rPr>
          <w:rFonts w:cs="Times New Roman"/>
          <w:iCs/>
        </w:rPr>
        <w:t>Baux score) for specific burn wound outcomes was appropriate</w:t>
      </w:r>
      <w:r w:rsidR="00826535">
        <w:rPr>
          <w:rFonts w:cs="Times New Roman"/>
          <w:iCs/>
        </w:rPr>
        <w:t>,</w:t>
      </w:r>
      <w:r w:rsidRPr="00731EE9">
        <w:rPr>
          <w:rFonts w:cs="Times New Roman"/>
          <w:iCs/>
        </w:rPr>
        <w:t xml:space="preserve"> given the imbalanced and non-contemporaneous treatment groups.</w:t>
      </w:r>
    </w:p>
    <w:p w14:paraId="3B9FC2AD" w14:textId="49FDCACC" w:rsidR="00772829" w:rsidRPr="004C18BB" w:rsidRDefault="00772829" w:rsidP="0000493F">
      <w:pPr>
        <w:pStyle w:val="Heading2"/>
        <w:numPr>
          <w:ilvl w:val="0"/>
          <w:numId w:val="15"/>
        </w:numPr>
      </w:pPr>
      <w:bookmarkStart w:id="39" w:name="ColumnTitle_Table3"/>
      <w:bookmarkStart w:id="40" w:name="_Toc69491423"/>
      <w:bookmarkStart w:id="41" w:name="_Ref194061613"/>
      <w:bookmarkStart w:id="42" w:name="_Ref194663669"/>
      <w:bookmarkEnd w:id="39"/>
      <w:r w:rsidRPr="004C18BB">
        <w:t>Comparative safety</w:t>
      </w:r>
      <w:bookmarkEnd w:id="40"/>
      <w:bookmarkEnd w:id="41"/>
      <w:bookmarkEnd w:id="42"/>
    </w:p>
    <w:p w14:paraId="6B3700BB" w14:textId="712D7C84" w:rsidR="00303B67" w:rsidRDefault="00DD4242" w:rsidP="00303B67">
      <w:pPr>
        <w:rPr>
          <w:noProof/>
        </w:rPr>
      </w:pPr>
      <w:r w:rsidRPr="008737A9">
        <w:t xml:space="preserve">The </w:t>
      </w:r>
      <w:r>
        <w:t>main safety outcomes in the ADAR</w:t>
      </w:r>
      <w:r w:rsidRPr="008737A9">
        <w:t xml:space="preserve"> </w:t>
      </w:r>
      <w:r>
        <w:t>are</w:t>
      </w:r>
      <w:r w:rsidRPr="008737A9">
        <w:t xml:space="preserve"> based on </w:t>
      </w:r>
      <w:r w:rsidR="007902F2">
        <w:t>2</w:t>
      </w:r>
      <w:r w:rsidR="007902F2" w:rsidRPr="00937401">
        <w:t xml:space="preserve"> </w:t>
      </w:r>
      <w:r w:rsidRPr="008737A9">
        <w:t>multicentre RCTs (CTP001-5</w:t>
      </w:r>
      <w:r w:rsidR="007902F2">
        <w:t xml:space="preserve">, </w:t>
      </w:r>
      <w:r w:rsidRPr="008737A9">
        <w:t>CTP001-6)</w:t>
      </w:r>
      <w:r w:rsidR="00F52E08">
        <w:t>. However, as discussed in</w:t>
      </w:r>
      <w:r w:rsidR="00836827">
        <w:t xml:space="preserve"> Section</w:t>
      </w:r>
      <w:r w:rsidR="00F52E08">
        <w:t xml:space="preserve"> </w:t>
      </w:r>
      <w:r w:rsidR="00836827">
        <w:fldChar w:fldCharType="begin"/>
      </w:r>
      <w:r w:rsidR="00836827">
        <w:instrText xml:space="preserve"> REF Section_7 \h </w:instrText>
      </w:r>
      <w:r w:rsidR="00836827">
        <w:fldChar w:fldCharType="separate"/>
      </w:r>
      <w:r w:rsidR="00487E4A" w:rsidRPr="004C18BB">
        <w:t>7</w:t>
      </w:r>
      <w:r w:rsidR="00836827">
        <w:fldChar w:fldCharType="end"/>
      </w:r>
      <w:r w:rsidR="00DF24E5">
        <w:t xml:space="preserve">, </w:t>
      </w:r>
      <w:r w:rsidR="00FD2A6B">
        <w:t xml:space="preserve">patients in </w:t>
      </w:r>
      <w:r w:rsidR="00046227">
        <w:t>RCT</w:t>
      </w:r>
      <w:r w:rsidR="00046227" w:rsidRPr="00937401">
        <w:t xml:space="preserve"> </w:t>
      </w:r>
      <w:r w:rsidR="00A0433F" w:rsidRPr="008737A9">
        <w:t>CTP001-5</w:t>
      </w:r>
      <w:r w:rsidR="00A0433F">
        <w:t xml:space="preserve"> </w:t>
      </w:r>
      <w:r w:rsidR="00FD2A6B">
        <w:t xml:space="preserve">are not representative of the </w:t>
      </w:r>
      <w:r w:rsidR="009D6D71">
        <w:t>MBS proposed population</w:t>
      </w:r>
      <w:r w:rsidR="00E35BCF">
        <w:t>. Therefore, t</w:t>
      </w:r>
      <w:r w:rsidR="00303B67" w:rsidRPr="007D4F22">
        <w:t xml:space="preserve">he </w:t>
      </w:r>
      <w:r w:rsidR="00303B67">
        <w:t xml:space="preserve">main </w:t>
      </w:r>
      <w:r w:rsidR="00303B67" w:rsidRPr="007D4F22">
        <w:t xml:space="preserve">safety outcomes discussed </w:t>
      </w:r>
      <w:r w:rsidR="00C33F90">
        <w:t xml:space="preserve">in the commentary </w:t>
      </w:r>
      <w:r w:rsidR="00303B67" w:rsidRPr="007D4F22">
        <w:t xml:space="preserve">are from the </w:t>
      </w:r>
      <w:r w:rsidR="00303B67" w:rsidRPr="008737A9">
        <w:t xml:space="preserve">CTP001-6 </w:t>
      </w:r>
      <w:r w:rsidR="00303B67">
        <w:rPr>
          <w:noProof/>
        </w:rPr>
        <w:t xml:space="preserve">and </w:t>
      </w:r>
      <w:r w:rsidR="00303B67" w:rsidRPr="008737A9">
        <w:t>CTP001-</w:t>
      </w:r>
      <w:r w:rsidR="00303B67">
        <w:rPr>
          <w:noProof/>
        </w:rPr>
        <w:t>7</w:t>
      </w:r>
      <w:r w:rsidR="00303B67" w:rsidRPr="008737A9">
        <w:t xml:space="preserve"> </w:t>
      </w:r>
      <w:r w:rsidR="00303B67">
        <w:rPr>
          <w:noProof/>
        </w:rPr>
        <w:t xml:space="preserve">RCTs, which have patient samples that are partially representative of the </w:t>
      </w:r>
      <w:r w:rsidR="00303B67" w:rsidRPr="005250DB">
        <w:rPr>
          <w:noProof/>
        </w:rPr>
        <w:t>MBS patient population</w:t>
      </w:r>
      <w:r w:rsidR="00303B67">
        <w:rPr>
          <w:noProof/>
        </w:rPr>
        <w:t xml:space="preserve"> (</w:t>
      </w:r>
      <w:r w:rsidR="00300EE1">
        <w:rPr>
          <w:noProof/>
        </w:rPr>
        <w:fldChar w:fldCharType="begin"/>
      </w:r>
      <w:r w:rsidR="00300EE1">
        <w:rPr>
          <w:noProof/>
        </w:rPr>
        <w:instrText xml:space="preserve"> REF _Ref194585480 \h </w:instrText>
      </w:r>
      <w:r w:rsidR="00300EE1">
        <w:rPr>
          <w:noProof/>
        </w:rPr>
      </w:r>
      <w:r w:rsidR="00300EE1">
        <w:rPr>
          <w:noProof/>
        </w:rPr>
        <w:fldChar w:fldCharType="separate"/>
      </w:r>
      <w:r w:rsidR="00487E4A">
        <w:t>Table</w:t>
      </w:r>
      <w:r w:rsidR="00487E4A" w:rsidRPr="004C18BB">
        <w:t> </w:t>
      </w:r>
      <w:r w:rsidR="00487E4A">
        <w:rPr>
          <w:noProof/>
        </w:rPr>
        <w:t>9</w:t>
      </w:r>
      <w:r w:rsidR="00300EE1">
        <w:rPr>
          <w:noProof/>
        </w:rPr>
        <w:fldChar w:fldCharType="end"/>
      </w:r>
      <w:r w:rsidR="002E3062">
        <w:rPr>
          <w:noProof/>
        </w:rPr>
        <w:t xml:space="preserve"> and</w:t>
      </w:r>
      <w:r w:rsidR="007C0D8D">
        <w:rPr>
          <w:noProof/>
        </w:rPr>
        <w:t xml:space="preserve"> </w:t>
      </w:r>
      <w:r w:rsidR="00300EE1">
        <w:rPr>
          <w:noProof/>
        </w:rPr>
        <w:fldChar w:fldCharType="begin"/>
      </w:r>
      <w:r w:rsidR="00300EE1">
        <w:rPr>
          <w:noProof/>
        </w:rPr>
        <w:instrText xml:space="preserve"> REF _Ref194585487 \h </w:instrText>
      </w:r>
      <w:r w:rsidR="00300EE1">
        <w:rPr>
          <w:noProof/>
        </w:rPr>
      </w:r>
      <w:r w:rsidR="00300EE1">
        <w:rPr>
          <w:noProof/>
        </w:rPr>
        <w:fldChar w:fldCharType="separate"/>
      </w:r>
      <w:r w:rsidR="00487E4A">
        <w:t>Table</w:t>
      </w:r>
      <w:r w:rsidR="00487E4A" w:rsidRPr="004C18BB">
        <w:t> </w:t>
      </w:r>
      <w:r w:rsidR="00487E4A">
        <w:rPr>
          <w:noProof/>
        </w:rPr>
        <w:t>10</w:t>
      </w:r>
      <w:r w:rsidR="00300EE1">
        <w:rPr>
          <w:noProof/>
        </w:rPr>
        <w:fldChar w:fldCharType="end"/>
      </w:r>
      <w:r w:rsidR="00300EE1">
        <w:rPr>
          <w:noProof/>
        </w:rPr>
        <w:t>)</w:t>
      </w:r>
      <w:r w:rsidR="00303B67">
        <w:rPr>
          <w:noProof/>
        </w:rPr>
        <w:t>.</w:t>
      </w:r>
      <w:r w:rsidR="00E10532">
        <w:rPr>
          <w:noProof/>
        </w:rPr>
        <w:t xml:space="preserve"> </w:t>
      </w:r>
    </w:p>
    <w:p w14:paraId="2320A334" w14:textId="260981F8" w:rsidR="00007756" w:rsidRPr="00B02163" w:rsidRDefault="00303B67" w:rsidP="008C7E58">
      <w:r w:rsidRPr="0048421C">
        <w:lastRenderedPageBreak/>
        <w:t xml:space="preserve">Of the 30 patients included in CTP001-6, 17 </w:t>
      </w:r>
      <w:r>
        <w:t xml:space="preserve">patients </w:t>
      </w:r>
      <w:r w:rsidR="00046227" w:rsidRPr="0048421C">
        <w:t xml:space="preserve">(57%) </w:t>
      </w:r>
      <w:r>
        <w:t xml:space="preserve">in each treatment group </w:t>
      </w:r>
      <w:r w:rsidRPr="0048421C">
        <w:t xml:space="preserve">experienced </w:t>
      </w:r>
      <w:r>
        <w:t>adverse event</w:t>
      </w:r>
      <w:r w:rsidRPr="0048421C">
        <w:t xml:space="preserve">s, </w:t>
      </w:r>
      <w:r>
        <w:t>most of which</w:t>
      </w:r>
      <w:r w:rsidRPr="0048421C">
        <w:t xml:space="preserve"> were mild (27%) </w:t>
      </w:r>
      <w:r>
        <w:t>or</w:t>
      </w:r>
      <w:r w:rsidRPr="0048421C">
        <w:t xml:space="preserve"> moderate (37%) in severity (</w:t>
      </w:r>
      <w:r w:rsidR="00300EE1" w:rsidRPr="00300EE1">
        <w:fldChar w:fldCharType="begin"/>
      </w:r>
      <w:r w:rsidR="00300EE1" w:rsidRPr="00300EE1">
        <w:instrText xml:space="preserve"> REF _Ref194585480 \h </w:instrText>
      </w:r>
      <w:r w:rsidR="00300EE1">
        <w:instrText xml:space="preserve"> \* MERGEFORMAT </w:instrText>
      </w:r>
      <w:r w:rsidR="00300EE1" w:rsidRPr="00300EE1">
        <w:fldChar w:fldCharType="separate"/>
      </w:r>
      <w:r w:rsidR="00487E4A">
        <w:t>Table</w:t>
      </w:r>
      <w:r w:rsidR="00487E4A" w:rsidRPr="004C18BB">
        <w:t> </w:t>
      </w:r>
      <w:r w:rsidR="00487E4A">
        <w:t>9</w:t>
      </w:r>
      <w:r w:rsidR="00300EE1" w:rsidRPr="00300EE1">
        <w:fldChar w:fldCharType="end"/>
      </w:r>
      <w:r w:rsidRPr="00300EE1">
        <w:t>).</w:t>
      </w:r>
      <w:r w:rsidRPr="0048421C">
        <w:t xml:space="preserve"> There were no differences noted in the rate and severity of the prespecified safety events, which included delayed healing, infection, allergic response to trypsin (</w:t>
      </w:r>
      <w:r w:rsidR="00E47BE3">
        <w:t xml:space="preserve">a </w:t>
      </w:r>
      <w:r w:rsidRPr="0048421C">
        <w:t xml:space="preserve">component of the ASCS enzyme), wound durability or scars necessitating surgical intervention. There was one patient death reported, which was deemed to be due to the patient’s underlying condition rather than </w:t>
      </w:r>
      <w:r w:rsidR="00C95982" w:rsidRPr="0048421C">
        <w:t>treatment</w:t>
      </w:r>
      <w:r w:rsidR="00C95982">
        <w:t xml:space="preserve"> related</w:t>
      </w:r>
      <w:r w:rsidRPr="0048421C">
        <w:t>.</w:t>
      </w:r>
    </w:p>
    <w:p w14:paraId="503F1D4B" w14:textId="5A22FF93" w:rsidR="00855E6E" w:rsidRDefault="00007756" w:rsidP="00747C01">
      <w:pPr>
        <w:pStyle w:val="TableHeading0"/>
      </w:pPr>
      <w:bookmarkStart w:id="43" w:name="_Ref194058514"/>
      <w:bookmarkStart w:id="44" w:name="_Ref193463229"/>
      <w:bookmarkStart w:id="45" w:name="_Ref194585480"/>
      <w:r>
        <w:t>Table</w:t>
      </w:r>
      <w:r w:rsidR="00B02163" w:rsidRPr="004C18BB">
        <w:t> </w:t>
      </w:r>
      <w:r>
        <w:fldChar w:fldCharType="begin"/>
      </w:r>
      <w:r>
        <w:instrText>SEQ Table \* ARABIC</w:instrText>
      </w:r>
      <w:r>
        <w:fldChar w:fldCharType="separate"/>
      </w:r>
      <w:r w:rsidR="00487E4A">
        <w:rPr>
          <w:noProof/>
        </w:rPr>
        <w:t>9</w:t>
      </w:r>
      <w:r>
        <w:fldChar w:fldCharType="end"/>
      </w:r>
      <w:bookmarkEnd w:id="43"/>
      <w:bookmarkEnd w:id="44"/>
      <w:bookmarkEnd w:id="45"/>
      <w:r w:rsidR="00B02163">
        <w:t>:</w:t>
      </w:r>
      <w:r w:rsidR="00855E6E" w:rsidDel="00007756">
        <w:t xml:space="preserve"> </w:t>
      </w:r>
      <w:r w:rsidR="00855E6E" w:rsidRPr="00315340" w:rsidDel="00007756">
        <w:t>K</w:t>
      </w:r>
      <w:r w:rsidR="00855E6E" w:rsidRPr="00315340">
        <w:t>ey safety outcomes in CTP001-6 up to 52 weeks after treatment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2753"/>
        <w:gridCol w:w="2752"/>
      </w:tblGrid>
      <w:tr w:rsidR="00303B67" w:rsidRPr="0001290C" w14:paraId="1C9BCD6D" w14:textId="77777777" w:rsidTr="006527C9">
        <w:tc>
          <w:tcPr>
            <w:tcW w:w="1947" w:type="pct"/>
          </w:tcPr>
          <w:p w14:paraId="02EABF22" w14:textId="17BA1EB2" w:rsidR="00303B67" w:rsidRPr="00EA7BAC" w:rsidRDefault="00303B67" w:rsidP="00CD6177">
            <w:pPr>
              <w:pStyle w:val="TableText"/>
              <w:rPr>
                <w:b/>
              </w:rPr>
            </w:pPr>
            <w:r w:rsidRPr="00EA7BAC">
              <w:rPr>
                <w:b/>
              </w:rPr>
              <w:t>Prespecified selected safety events</w:t>
            </w:r>
          </w:p>
        </w:tc>
        <w:tc>
          <w:tcPr>
            <w:tcW w:w="1527" w:type="pct"/>
          </w:tcPr>
          <w:p w14:paraId="02B3313B" w14:textId="46603E29" w:rsidR="00303B67" w:rsidRPr="00EA7BAC" w:rsidRDefault="00303B67" w:rsidP="00CD6177">
            <w:pPr>
              <w:pStyle w:val="TableText"/>
              <w:rPr>
                <w:b/>
              </w:rPr>
            </w:pPr>
            <w:r w:rsidRPr="00EA7BAC">
              <w:rPr>
                <w:b/>
              </w:rPr>
              <w:t>ASCS + STSG</w:t>
            </w:r>
            <w:r w:rsidR="00BF4EF9">
              <w:rPr>
                <w:b/>
              </w:rPr>
              <w:t>,</w:t>
            </w:r>
            <w:r w:rsidR="00D1008A">
              <w:rPr>
                <w:b/>
              </w:rPr>
              <w:t xml:space="preserve"> </w:t>
            </w:r>
            <w:r w:rsidR="00D1008A" w:rsidRPr="00EA7BAC">
              <w:rPr>
                <w:b/>
              </w:rPr>
              <w:t>n (%)</w:t>
            </w:r>
          </w:p>
          <w:p w14:paraId="2F74488D" w14:textId="6F2AB482" w:rsidR="00303B67" w:rsidRPr="00EA7BAC" w:rsidRDefault="00916686" w:rsidP="00CD6177">
            <w:pPr>
              <w:pStyle w:val="TableText"/>
              <w:rPr>
                <w:b/>
              </w:rPr>
            </w:pPr>
            <w:r>
              <w:rPr>
                <w:b/>
              </w:rPr>
              <w:t>n</w:t>
            </w:r>
            <w:r w:rsidR="00303B67" w:rsidRPr="00EA7BAC">
              <w:rPr>
                <w:b/>
              </w:rPr>
              <w:t>=30</w:t>
            </w:r>
          </w:p>
        </w:tc>
        <w:tc>
          <w:tcPr>
            <w:tcW w:w="1526" w:type="pct"/>
          </w:tcPr>
          <w:p w14:paraId="1B1028D4" w14:textId="774A46F7" w:rsidR="00303B67" w:rsidRPr="00EA7BAC" w:rsidRDefault="00303B67" w:rsidP="00CD6177">
            <w:pPr>
              <w:pStyle w:val="TableText"/>
              <w:rPr>
                <w:b/>
              </w:rPr>
            </w:pPr>
            <w:r w:rsidRPr="00EA7BAC">
              <w:rPr>
                <w:b/>
              </w:rPr>
              <w:t>STSG (control)</w:t>
            </w:r>
            <w:r w:rsidR="00BF4EF9">
              <w:rPr>
                <w:b/>
              </w:rPr>
              <w:t>,</w:t>
            </w:r>
            <w:r w:rsidR="00D1008A" w:rsidRPr="00EA7BAC">
              <w:rPr>
                <w:b/>
              </w:rPr>
              <w:t xml:space="preserve"> n (%)</w:t>
            </w:r>
          </w:p>
          <w:p w14:paraId="55FB1685" w14:textId="545BD324" w:rsidR="00303B67" w:rsidRPr="00EA7BAC" w:rsidRDefault="00916686" w:rsidP="00CD6177">
            <w:pPr>
              <w:pStyle w:val="TableText"/>
              <w:rPr>
                <w:b/>
              </w:rPr>
            </w:pPr>
            <w:r>
              <w:rPr>
                <w:b/>
              </w:rPr>
              <w:t>n</w:t>
            </w:r>
            <w:r w:rsidR="00303B67" w:rsidRPr="00EA7BAC">
              <w:rPr>
                <w:b/>
              </w:rPr>
              <w:t>=30</w:t>
            </w:r>
          </w:p>
        </w:tc>
      </w:tr>
      <w:tr w:rsidR="00303B67" w:rsidRPr="0001290C" w14:paraId="442CC826" w14:textId="77777777" w:rsidTr="006527C9">
        <w:tc>
          <w:tcPr>
            <w:tcW w:w="1947" w:type="pct"/>
          </w:tcPr>
          <w:p w14:paraId="202491A9" w14:textId="61BFE5EA" w:rsidR="00303B67" w:rsidRDefault="00303B67" w:rsidP="00CD6177">
            <w:pPr>
              <w:pStyle w:val="TableText"/>
            </w:pPr>
            <w:r>
              <w:t xml:space="preserve">Number of subjects experiencing AE </w:t>
            </w:r>
            <w:r w:rsidRPr="00D070BE">
              <w:rPr>
                <w:vertAlign w:val="superscript"/>
              </w:rPr>
              <w:t>a</w:t>
            </w:r>
          </w:p>
        </w:tc>
        <w:tc>
          <w:tcPr>
            <w:tcW w:w="1527" w:type="pct"/>
            <w:vAlign w:val="center"/>
          </w:tcPr>
          <w:p w14:paraId="35F4C9AD" w14:textId="77777777" w:rsidR="00303B67" w:rsidRDefault="00303B67" w:rsidP="00CD6177">
            <w:pPr>
              <w:pStyle w:val="TableText"/>
            </w:pPr>
            <w:r>
              <w:t>17 (57%)</w:t>
            </w:r>
          </w:p>
        </w:tc>
        <w:tc>
          <w:tcPr>
            <w:tcW w:w="1526" w:type="pct"/>
            <w:vAlign w:val="center"/>
          </w:tcPr>
          <w:p w14:paraId="0AE9BE0E" w14:textId="77777777" w:rsidR="00303B67" w:rsidRDefault="00303B67" w:rsidP="00CD6177">
            <w:pPr>
              <w:pStyle w:val="TableText"/>
            </w:pPr>
            <w:r>
              <w:t>17 (57%)</w:t>
            </w:r>
          </w:p>
        </w:tc>
      </w:tr>
      <w:tr w:rsidR="00303B67" w:rsidRPr="0001290C" w14:paraId="524F360B" w14:textId="77777777" w:rsidTr="006527C9">
        <w:tc>
          <w:tcPr>
            <w:tcW w:w="1947" w:type="pct"/>
          </w:tcPr>
          <w:p w14:paraId="050721F7" w14:textId="77777777" w:rsidR="00303B67" w:rsidRPr="00A93A7B" w:rsidRDefault="00303B67" w:rsidP="00CD6177">
            <w:pPr>
              <w:pStyle w:val="TableText"/>
            </w:pPr>
            <w:r>
              <w:t>Delayed healing</w:t>
            </w:r>
          </w:p>
        </w:tc>
        <w:tc>
          <w:tcPr>
            <w:tcW w:w="1527" w:type="pct"/>
            <w:vAlign w:val="center"/>
          </w:tcPr>
          <w:p w14:paraId="7DAEB121" w14:textId="1DF80628" w:rsidR="00303B67" w:rsidRPr="00A93A7B" w:rsidRDefault="00303B67" w:rsidP="00CD6177">
            <w:pPr>
              <w:pStyle w:val="TableText"/>
            </w:pPr>
            <w:r>
              <w:t>1 (3.3</w:t>
            </w:r>
            <w:r w:rsidR="0014068D">
              <w:t>%</w:t>
            </w:r>
            <w:r>
              <w:t>)</w:t>
            </w:r>
          </w:p>
        </w:tc>
        <w:tc>
          <w:tcPr>
            <w:tcW w:w="1526" w:type="pct"/>
            <w:vAlign w:val="center"/>
          </w:tcPr>
          <w:p w14:paraId="31CE4C3B" w14:textId="6CC36410" w:rsidR="00303B67" w:rsidRPr="00A93A7B" w:rsidRDefault="00303B67" w:rsidP="00CD6177">
            <w:pPr>
              <w:pStyle w:val="TableText"/>
            </w:pPr>
            <w:r>
              <w:t>3 (10</w:t>
            </w:r>
            <w:r w:rsidR="0014068D">
              <w:t>%</w:t>
            </w:r>
            <w:r>
              <w:t>)</w:t>
            </w:r>
          </w:p>
        </w:tc>
      </w:tr>
      <w:tr w:rsidR="00303B67" w:rsidRPr="0001290C" w14:paraId="1024C29C" w14:textId="77777777" w:rsidTr="006527C9">
        <w:tc>
          <w:tcPr>
            <w:tcW w:w="1947" w:type="pct"/>
          </w:tcPr>
          <w:p w14:paraId="43D93031" w14:textId="77777777" w:rsidR="00303B67" w:rsidRPr="00A93A7B" w:rsidRDefault="00303B67" w:rsidP="00CD6177">
            <w:pPr>
              <w:pStyle w:val="TableText"/>
            </w:pPr>
            <w:r>
              <w:t>Infection</w:t>
            </w:r>
          </w:p>
        </w:tc>
        <w:tc>
          <w:tcPr>
            <w:tcW w:w="1527" w:type="pct"/>
            <w:vAlign w:val="center"/>
          </w:tcPr>
          <w:p w14:paraId="7E1AACBA" w14:textId="578B4BF5" w:rsidR="00303B67" w:rsidRPr="00A93A7B" w:rsidRDefault="00303B67" w:rsidP="00CD6177">
            <w:pPr>
              <w:pStyle w:val="TableText"/>
            </w:pPr>
            <w:r>
              <w:t>0 (0</w:t>
            </w:r>
            <w:r w:rsidR="0014068D">
              <w:t>%</w:t>
            </w:r>
            <w:r>
              <w:t>)</w:t>
            </w:r>
          </w:p>
        </w:tc>
        <w:tc>
          <w:tcPr>
            <w:tcW w:w="1526" w:type="pct"/>
            <w:vAlign w:val="center"/>
          </w:tcPr>
          <w:p w14:paraId="60614F1C" w14:textId="6025DB1C" w:rsidR="00303B67" w:rsidRPr="00A93A7B" w:rsidRDefault="00303B67" w:rsidP="00CD6177">
            <w:pPr>
              <w:pStyle w:val="TableText"/>
            </w:pPr>
            <w:r>
              <w:t>2 (7</w:t>
            </w:r>
            <w:r w:rsidR="0014068D">
              <w:t>%</w:t>
            </w:r>
            <w:r>
              <w:t>)</w:t>
            </w:r>
          </w:p>
        </w:tc>
      </w:tr>
      <w:tr w:rsidR="00303B67" w:rsidRPr="0001290C" w14:paraId="7F39B6BA" w14:textId="77777777" w:rsidTr="006527C9">
        <w:tc>
          <w:tcPr>
            <w:tcW w:w="1947" w:type="pct"/>
          </w:tcPr>
          <w:p w14:paraId="6D4AA18D" w14:textId="77777777" w:rsidR="00303B67" w:rsidRPr="00A93A7B" w:rsidRDefault="00303B67" w:rsidP="00CD6177">
            <w:pPr>
              <w:pStyle w:val="TableText"/>
            </w:pPr>
            <w:r>
              <w:t xml:space="preserve">Allergic response to trypsin </w:t>
            </w:r>
          </w:p>
        </w:tc>
        <w:tc>
          <w:tcPr>
            <w:tcW w:w="1527" w:type="pct"/>
            <w:vAlign w:val="center"/>
          </w:tcPr>
          <w:p w14:paraId="632497FB" w14:textId="7C6E4849" w:rsidR="00303B67" w:rsidRPr="00A93A7B" w:rsidRDefault="00303B67" w:rsidP="00CD6177">
            <w:pPr>
              <w:pStyle w:val="TableText"/>
            </w:pPr>
            <w:r>
              <w:t>0 (0</w:t>
            </w:r>
            <w:r w:rsidR="0014068D">
              <w:t>%</w:t>
            </w:r>
            <w:r>
              <w:t>)</w:t>
            </w:r>
          </w:p>
        </w:tc>
        <w:tc>
          <w:tcPr>
            <w:tcW w:w="1526" w:type="pct"/>
            <w:vAlign w:val="center"/>
          </w:tcPr>
          <w:p w14:paraId="0DE75878" w14:textId="77777777" w:rsidR="00303B67" w:rsidRPr="00A93A7B" w:rsidRDefault="00303B67" w:rsidP="00CD6177">
            <w:pPr>
              <w:pStyle w:val="TableText"/>
            </w:pPr>
            <w:r>
              <w:t>N/A</w:t>
            </w:r>
          </w:p>
        </w:tc>
      </w:tr>
      <w:tr w:rsidR="00303B67" w:rsidRPr="0001290C" w14:paraId="23743068" w14:textId="77777777" w:rsidTr="006527C9">
        <w:tc>
          <w:tcPr>
            <w:tcW w:w="1947" w:type="pct"/>
          </w:tcPr>
          <w:p w14:paraId="6423F42E" w14:textId="77777777" w:rsidR="00303B67" w:rsidRDefault="00303B67" w:rsidP="00CD6177">
            <w:pPr>
              <w:pStyle w:val="TableText"/>
            </w:pPr>
            <w:r>
              <w:t>Wound durability</w:t>
            </w:r>
            <w:r>
              <w:rPr>
                <w:vertAlign w:val="superscript"/>
              </w:rPr>
              <w:t xml:space="preserve"> b</w:t>
            </w:r>
            <w:r>
              <w:t xml:space="preserve"> </w:t>
            </w:r>
          </w:p>
        </w:tc>
        <w:tc>
          <w:tcPr>
            <w:tcW w:w="1527" w:type="pct"/>
            <w:vAlign w:val="center"/>
          </w:tcPr>
          <w:p w14:paraId="525B773B" w14:textId="12A7A6D2" w:rsidR="00303B67" w:rsidRPr="00A93A7B" w:rsidRDefault="00303B67" w:rsidP="00CD6177">
            <w:pPr>
              <w:pStyle w:val="TableText"/>
            </w:pPr>
            <w:r>
              <w:t>0 (0</w:t>
            </w:r>
            <w:r w:rsidR="0014068D">
              <w:t>%</w:t>
            </w:r>
            <w:r>
              <w:t>)</w:t>
            </w:r>
          </w:p>
        </w:tc>
        <w:tc>
          <w:tcPr>
            <w:tcW w:w="1526" w:type="pct"/>
            <w:vAlign w:val="center"/>
          </w:tcPr>
          <w:p w14:paraId="19F9E934" w14:textId="78795DBD" w:rsidR="00303B67" w:rsidRPr="00A93A7B" w:rsidRDefault="00303B67" w:rsidP="00CD6177">
            <w:pPr>
              <w:pStyle w:val="TableText"/>
            </w:pPr>
            <w:r>
              <w:t>0 (0</w:t>
            </w:r>
            <w:r w:rsidR="0014068D">
              <w:t>%</w:t>
            </w:r>
            <w:r>
              <w:t>)</w:t>
            </w:r>
          </w:p>
        </w:tc>
      </w:tr>
      <w:tr w:rsidR="00303B67" w:rsidRPr="0001290C" w14:paraId="387262A5" w14:textId="77777777" w:rsidTr="006527C9">
        <w:tc>
          <w:tcPr>
            <w:tcW w:w="1947" w:type="pct"/>
          </w:tcPr>
          <w:p w14:paraId="3B71C851" w14:textId="77777777" w:rsidR="00303B67" w:rsidRPr="00980AC2" w:rsidRDefault="00303B67" w:rsidP="00CD6177">
            <w:pPr>
              <w:pStyle w:val="TableText"/>
            </w:pPr>
            <w:r>
              <w:t>Scars necessitating surgical intervention</w:t>
            </w:r>
            <w:r>
              <w:rPr>
                <w:vertAlign w:val="superscript"/>
              </w:rPr>
              <w:t xml:space="preserve"> c</w:t>
            </w:r>
          </w:p>
        </w:tc>
        <w:tc>
          <w:tcPr>
            <w:tcW w:w="1527" w:type="pct"/>
            <w:vAlign w:val="center"/>
          </w:tcPr>
          <w:p w14:paraId="171EB0A8" w14:textId="4F8A55D3" w:rsidR="00303B67" w:rsidRPr="00A93A7B" w:rsidRDefault="00303B67" w:rsidP="00CD6177">
            <w:pPr>
              <w:pStyle w:val="TableText"/>
            </w:pPr>
            <w:r>
              <w:t>1 (3</w:t>
            </w:r>
            <w:r w:rsidR="0014068D">
              <w:t>%</w:t>
            </w:r>
            <w:r>
              <w:t>)</w:t>
            </w:r>
          </w:p>
        </w:tc>
        <w:tc>
          <w:tcPr>
            <w:tcW w:w="1526" w:type="pct"/>
            <w:vAlign w:val="center"/>
          </w:tcPr>
          <w:p w14:paraId="0F6BDFB9" w14:textId="245712EE" w:rsidR="00303B67" w:rsidRPr="00A93A7B" w:rsidRDefault="00303B67" w:rsidP="00CD6177">
            <w:pPr>
              <w:pStyle w:val="TableText"/>
            </w:pPr>
            <w:r>
              <w:t>1 (3</w:t>
            </w:r>
            <w:r w:rsidR="0014068D">
              <w:t>%</w:t>
            </w:r>
            <w:r>
              <w:t>)</w:t>
            </w:r>
          </w:p>
        </w:tc>
      </w:tr>
    </w:tbl>
    <w:p w14:paraId="173F34C0" w14:textId="7D74FCCF" w:rsidR="00303B67" w:rsidRDefault="00303B67" w:rsidP="00450AC6">
      <w:pPr>
        <w:pStyle w:val="Tablenotes0"/>
      </w:pPr>
      <w:r>
        <w:t>Abbreviations: AE</w:t>
      </w:r>
      <w:r w:rsidR="006206C8">
        <w:t xml:space="preserve"> = </w:t>
      </w:r>
      <w:r>
        <w:t>adverse event; ASCS</w:t>
      </w:r>
      <w:r w:rsidR="006206C8">
        <w:t xml:space="preserve"> = </w:t>
      </w:r>
      <w:r>
        <w:t>autologous skin cell suspension; N/A</w:t>
      </w:r>
      <w:r w:rsidR="006206C8">
        <w:t xml:space="preserve"> = </w:t>
      </w:r>
      <w:r>
        <w:t>not applicable; STSG</w:t>
      </w:r>
      <w:r w:rsidR="006206C8">
        <w:t xml:space="preserve"> = </w:t>
      </w:r>
      <w:r>
        <w:t>split-thickness skin graft.</w:t>
      </w:r>
      <w:r>
        <w:br/>
        <w:t xml:space="preserve">Source: </w:t>
      </w:r>
      <w:r w:rsidR="0098376B">
        <w:t>Holmes et al. (2019)</w:t>
      </w:r>
      <w:r w:rsidR="00FE5157" w:rsidRPr="00FE5157">
        <w:rPr>
          <w:vertAlign w:val="superscript"/>
        </w:rPr>
        <w:fldChar w:fldCharType="begin"/>
      </w:r>
      <w:r w:rsidR="00FE5157" w:rsidRPr="00FE5157">
        <w:rPr>
          <w:vertAlign w:val="superscript"/>
        </w:rPr>
        <w:instrText xml:space="preserve"> NOTEREF _Ref193313689 \h </w:instrText>
      </w:r>
      <w:r w:rsidR="00FE5157">
        <w:rPr>
          <w:vertAlign w:val="superscript"/>
        </w:rPr>
        <w:instrText xml:space="preserve"> \* MERGEFORMAT </w:instrText>
      </w:r>
      <w:r w:rsidR="00FE5157" w:rsidRPr="00FE5157">
        <w:rPr>
          <w:vertAlign w:val="superscript"/>
        </w:rPr>
      </w:r>
      <w:r w:rsidR="00FE5157" w:rsidRPr="00FE5157">
        <w:rPr>
          <w:vertAlign w:val="superscript"/>
        </w:rPr>
        <w:fldChar w:fldCharType="separate"/>
      </w:r>
      <w:r w:rsidR="00FE5157" w:rsidRPr="00FE5157">
        <w:rPr>
          <w:vertAlign w:val="superscript"/>
        </w:rPr>
        <w:t>4</w:t>
      </w:r>
      <w:r w:rsidR="00FE5157" w:rsidRPr="00FE5157">
        <w:rPr>
          <w:vertAlign w:val="superscript"/>
        </w:rPr>
        <w:fldChar w:fldCharType="end"/>
      </w:r>
      <w:r w:rsidR="00FE5157">
        <w:t xml:space="preserve"> </w:t>
      </w:r>
      <w:r>
        <w:br/>
      </w:r>
      <w:r w:rsidRPr="00944393">
        <w:rPr>
          <w:vertAlign w:val="superscript"/>
        </w:rPr>
        <w:t>a</w:t>
      </w:r>
      <w:r>
        <w:t xml:space="preserve"> Not all adverse events listed in table</w:t>
      </w:r>
      <w:r>
        <w:br/>
      </w:r>
      <w:r>
        <w:rPr>
          <w:vertAlign w:val="superscript"/>
        </w:rPr>
        <w:t>b</w:t>
      </w:r>
      <w:r>
        <w:t xml:space="preserve"> In turns of recurrent wound breakdown following initial complete closure</w:t>
      </w:r>
      <w:r>
        <w:br/>
      </w:r>
      <w:r>
        <w:rPr>
          <w:vertAlign w:val="superscript"/>
        </w:rPr>
        <w:t>c</w:t>
      </w:r>
      <w:r>
        <w:t xml:space="preserve"> Patient also underwent surgical intervention for scar at non-study sites</w:t>
      </w:r>
    </w:p>
    <w:p w14:paraId="36531494" w14:textId="02BB31BB" w:rsidR="00007756" w:rsidRDefault="0029455C" w:rsidP="00C5405D">
      <w:r>
        <w:rPr>
          <w:rFonts w:cstheme="minorHAnsi"/>
        </w:rPr>
        <w:t>Of the 12 patients enrolled in CTP001-7</w:t>
      </w:r>
      <w:r>
        <w:t>, 2 (16.7%) experienced severe adverse events (SAEs) comprising a failed skin graft (1 from ASCS</w:t>
      </w:r>
      <w:r w:rsidR="00D0496E">
        <w:t>-</w:t>
      </w:r>
      <w:r>
        <w:t xml:space="preserve">treated injury and </w:t>
      </w:r>
      <w:r w:rsidR="004A2F02">
        <w:t>1</w:t>
      </w:r>
      <w:r w:rsidR="004A2F02" w:rsidRPr="00937401">
        <w:t xml:space="preserve"> </w:t>
      </w:r>
      <w:r>
        <w:t xml:space="preserve">from STSG-treated injury) and delayed wound healing </w:t>
      </w:r>
      <w:r w:rsidRPr="0048421C">
        <w:t>(</w:t>
      </w:r>
      <w:r w:rsidR="00300EE1">
        <w:fldChar w:fldCharType="begin"/>
      </w:r>
      <w:r w:rsidR="00300EE1">
        <w:instrText xml:space="preserve"> REF _Ref194585487 \h </w:instrText>
      </w:r>
      <w:r w:rsidR="00300EE1">
        <w:fldChar w:fldCharType="separate"/>
      </w:r>
      <w:r w:rsidR="00487E4A">
        <w:t>Table</w:t>
      </w:r>
      <w:r w:rsidR="00487E4A" w:rsidRPr="004C18BB">
        <w:t> </w:t>
      </w:r>
      <w:r w:rsidR="00487E4A">
        <w:rPr>
          <w:noProof/>
        </w:rPr>
        <w:t>10</w:t>
      </w:r>
      <w:r w:rsidR="00300EE1">
        <w:fldChar w:fldCharType="end"/>
      </w:r>
      <w:r w:rsidRPr="0048421C">
        <w:t>)</w:t>
      </w:r>
      <w:r>
        <w:t xml:space="preserve">. </w:t>
      </w:r>
      <w:r>
        <w:rPr>
          <w:rFonts w:cstheme="minorHAnsi"/>
        </w:rPr>
        <w:t xml:space="preserve">Most of the other </w:t>
      </w:r>
      <w:r w:rsidR="005F4130">
        <w:rPr>
          <w:rFonts w:cstheme="minorHAnsi"/>
        </w:rPr>
        <w:t>adverse events (</w:t>
      </w:r>
      <w:r>
        <w:rPr>
          <w:rFonts w:cstheme="minorHAnsi"/>
        </w:rPr>
        <w:t>AEs</w:t>
      </w:r>
      <w:r w:rsidR="005F4130">
        <w:rPr>
          <w:rFonts w:cstheme="minorHAnsi"/>
        </w:rPr>
        <w:t>)</w:t>
      </w:r>
      <w:r>
        <w:rPr>
          <w:rFonts w:cstheme="minorHAnsi"/>
        </w:rPr>
        <w:t xml:space="preserve"> were injury or procedural complications. No patient deaths were reported.</w:t>
      </w:r>
    </w:p>
    <w:p w14:paraId="7B50E5CE" w14:textId="46BE892E" w:rsidR="005D765E" w:rsidRDefault="00B21867" w:rsidP="00747C01">
      <w:pPr>
        <w:pStyle w:val="TableHeading0"/>
      </w:pPr>
      <w:bookmarkStart w:id="46" w:name="_Ref194058515"/>
      <w:bookmarkStart w:id="47" w:name="_Ref193463475"/>
      <w:bookmarkStart w:id="48" w:name="_Ref194585487"/>
      <w:r>
        <w:t>Table</w:t>
      </w:r>
      <w:r w:rsidR="00B02163" w:rsidRPr="004C18BB">
        <w:t> </w:t>
      </w:r>
      <w:r>
        <w:fldChar w:fldCharType="begin"/>
      </w:r>
      <w:r>
        <w:instrText>SEQ Table \* ARABIC</w:instrText>
      </w:r>
      <w:r>
        <w:fldChar w:fldCharType="separate"/>
      </w:r>
      <w:r w:rsidR="00487E4A">
        <w:rPr>
          <w:noProof/>
        </w:rPr>
        <w:t>10</w:t>
      </w:r>
      <w:r>
        <w:fldChar w:fldCharType="end"/>
      </w:r>
      <w:bookmarkEnd w:id="46"/>
      <w:bookmarkEnd w:id="47"/>
      <w:bookmarkEnd w:id="48"/>
      <w:r w:rsidR="00B02163">
        <w:t>:</w:t>
      </w:r>
      <w:r w:rsidR="005D765E" w:rsidDel="00007756">
        <w:t xml:space="preserve"> </w:t>
      </w:r>
      <w:r w:rsidR="005D765E" w:rsidRPr="007A0ADB" w:rsidDel="00007756">
        <w:t>K</w:t>
      </w:r>
      <w:r w:rsidR="005D765E" w:rsidRPr="007A0ADB">
        <w:t>ey safety outcomes in CTP001-7 up to 52 weeks after treatment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2753"/>
        <w:gridCol w:w="2752"/>
      </w:tblGrid>
      <w:tr w:rsidR="0029455C" w:rsidRPr="0001290C" w14:paraId="6ECF5A5A" w14:textId="77777777" w:rsidTr="006527C9">
        <w:tc>
          <w:tcPr>
            <w:tcW w:w="1947" w:type="pct"/>
          </w:tcPr>
          <w:p w14:paraId="11AA782D" w14:textId="77777777" w:rsidR="0029455C" w:rsidRPr="00EA7BAC" w:rsidRDefault="0029455C" w:rsidP="00CD6177">
            <w:pPr>
              <w:pStyle w:val="TableText"/>
              <w:rPr>
                <w:b/>
              </w:rPr>
            </w:pPr>
            <w:r w:rsidRPr="00EA7BAC">
              <w:rPr>
                <w:b/>
              </w:rPr>
              <w:t>Prespecified selected safety events, n (%)</w:t>
            </w:r>
          </w:p>
        </w:tc>
        <w:tc>
          <w:tcPr>
            <w:tcW w:w="1527" w:type="pct"/>
          </w:tcPr>
          <w:p w14:paraId="53D11AC2" w14:textId="7A4DF490" w:rsidR="0029455C" w:rsidRPr="00EA7BAC" w:rsidRDefault="0029455C" w:rsidP="00CD6177">
            <w:pPr>
              <w:pStyle w:val="TableText"/>
              <w:rPr>
                <w:b/>
              </w:rPr>
            </w:pPr>
            <w:r w:rsidRPr="00EA7BAC">
              <w:rPr>
                <w:b/>
              </w:rPr>
              <w:t>ASCS + STSG</w:t>
            </w:r>
            <w:r w:rsidR="00317132">
              <w:rPr>
                <w:b/>
              </w:rPr>
              <w:t xml:space="preserve">, </w:t>
            </w:r>
            <w:r w:rsidR="00317132" w:rsidRPr="00EA7BAC">
              <w:rPr>
                <w:b/>
              </w:rPr>
              <w:t>n (%)</w:t>
            </w:r>
          </w:p>
          <w:p w14:paraId="17FC5819" w14:textId="66228ED0" w:rsidR="0029455C" w:rsidRPr="00EA7BAC" w:rsidRDefault="00916686" w:rsidP="00CD6177">
            <w:pPr>
              <w:pStyle w:val="TableText"/>
              <w:rPr>
                <w:b/>
              </w:rPr>
            </w:pPr>
            <w:r>
              <w:rPr>
                <w:b/>
              </w:rPr>
              <w:t>n</w:t>
            </w:r>
            <w:r w:rsidR="0029455C" w:rsidRPr="00EA7BAC">
              <w:rPr>
                <w:b/>
              </w:rPr>
              <w:t>=12</w:t>
            </w:r>
          </w:p>
        </w:tc>
        <w:tc>
          <w:tcPr>
            <w:tcW w:w="1526" w:type="pct"/>
          </w:tcPr>
          <w:p w14:paraId="46CC85D5" w14:textId="7D811D8E" w:rsidR="0029455C" w:rsidRPr="00EA7BAC" w:rsidRDefault="0029455C" w:rsidP="00CD6177">
            <w:pPr>
              <w:pStyle w:val="TableText"/>
              <w:rPr>
                <w:b/>
              </w:rPr>
            </w:pPr>
            <w:r w:rsidRPr="00EA7BAC">
              <w:rPr>
                <w:b/>
              </w:rPr>
              <w:t>STSG (control)</w:t>
            </w:r>
            <w:r w:rsidR="00317132">
              <w:rPr>
                <w:b/>
              </w:rPr>
              <w:t xml:space="preserve">, </w:t>
            </w:r>
            <w:r w:rsidR="00317132" w:rsidRPr="00EA7BAC">
              <w:rPr>
                <w:b/>
              </w:rPr>
              <w:t>n (%)</w:t>
            </w:r>
          </w:p>
          <w:p w14:paraId="2F37128C" w14:textId="56CDA810" w:rsidR="0029455C" w:rsidRPr="00EA7BAC" w:rsidRDefault="00916686" w:rsidP="00CD6177">
            <w:pPr>
              <w:pStyle w:val="TableText"/>
              <w:rPr>
                <w:b/>
              </w:rPr>
            </w:pPr>
            <w:r>
              <w:rPr>
                <w:b/>
              </w:rPr>
              <w:t>n</w:t>
            </w:r>
            <w:r w:rsidR="0029455C" w:rsidRPr="00EA7BAC">
              <w:rPr>
                <w:b/>
              </w:rPr>
              <w:t>=12</w:t>
            </w:r>
          </w:p>
        </w:tc>
      </w:tr>
      <w:tr w:rsidR="0029455C" w:rsidRPr="0001290C" w14:paraId="7E29D86E" w14:textId="77777777" w:rsidTr="006527C9">
        <w:tc>
          <w:tcPr>
            <w:tcW w:w="1947" w:type="pct"/>
          </w:tcPr>
          <w:p w14:paraId="23CA1234" w14:textId="77777777" w:rsidR="0029455C" w:rsidRDefault="0029455C" w:rsidP="00CD6177">
            <w:pPr>
              <w:pStyle w:val="TableText"/>
            </w:pPr>
            <w:r>
              <w:t xml:space="preserve">Number of subjects experiencing AEs </w:t>
            </w:r>
            <w:r w:rsidRPr="00994243">
              <w:rPr>
                <w:vertAlign w:val="superscript"/>
              </w:rPr>
              <w:t>a</w:t>
            </w:r>
          </w:p>
        </w:tc>
        <w:tc>
          <w:tcPr>
            <w:tcW w:w="1527" w:type="pct"/>
            <w:vAlign w:val="center"/>
          </w:tcPr>
          <w:p w14:paraId="1A2910C3" w14:textId="17ED7104" w:rsidR="0029455C" w:rsidRDefault="0029455C" w:rsidP="00CD6177">
            <w:pPr>
              <w:pStyle w:val="TableText"/>
            </w:pPr>
            <w:r>
              <w:t>6</w:t>
            </w:r>
            <w:r w:rsidR="00317132">
              <w:t xml:space="preserve"> (50%)</w:t>
            </w:r>
          </w:p>
        </w:tc>
        <w:tc>
          <w:tcPr>
            <w:tcW w:w="1526" w:type="pct"/>
            <w:vAlign w:val="center"/>
          </w:tcPr>
          <w:p w14:paraId="3474C156" w14:textId="68CA95AE" w:rsidR="0029455C" w:rsidRDefault="00BD494E" w:rsidP="00CD6177">
            <w:pPr>
              <w:pStyle w:val="TableText"/>
            </w:pPr>
            <w:r>
              <w:t>2 (17%)</w:t>
            </w:r>
          </w:p>
        </w:tc>
      </w:tr>
      <w:tr w:rsidR="0029455C" w:rsidRPr="0001290C" w14:paraId="2A8B4AE0" w14:textId="77777777" w:rsidTr="006527C9">
        <w:tc>
          <w:tcPr>
            <w:tcW w:w="1947" w:type="pct"/>
          </w:tcPr>
          <w:p w14:paraId="2660EC26" w14:textId="77777777" w:rsidR="0029455C" w:rsidRPr="00A93A7B" w:rsidRDefault="0029455C" w:rsidP="00CD6177">
            <w:pPr>
              <w:pStyle w:val="TableText"/>
            </w:pPr>
            <w:r>
              <w:t>Delayed healing</w:t>
            </w:r>
          </w:p>
        </w:tc>
        <w:tc>
          <w:tcPr>
            <w:tcW w:w="1527" w:type="pct"/>
            <w:vAlign w:val="center"/>
          </w:tcPr>
          <w:p w14:paraId="6F502EC4" w14:textId="5636188E" w:rsidR="0029455C" w:rsidRPr="00A93A7B" w:rsidRDefault="00BD494E" w:rsidP="00CD6177">
            <w:pPr>
              <w:pStyle w:val="TableText"/>
            </w:pPr>
            <w:r>
              <w:t>2 (17%)</w:t>
            </w:r>
          </w:p>
        </w:tc>
        <w:tc>
          <w:tcPr>
            <w:tcW w:w="1526" w:type="pct"/>
          </w:tcPr>
          <w:p w14:paraId="721F018C" w14:textId="55C1CAA2" w:rsidR="0029455C" w:rsidRPr="00A93A7B" w:rsidRDefault="00BD494E" w:rsidP="00CD6177">
            <w:pPr>
              <w:pStyle w:val="TableText"/>
            </w:pPr>
            <w:r w:rsidRPr="007D3D48">
              <w:t>0 (0%)</w:t>
            </w:r>
          </w:p>
        </w:tc>
      </w:tr>
      <w:tr w:rsidR="0029455C" w:rsidRPr="0001290C" w14:paraId="6B3DE304" w14:textId="77777777" w:rsidTr="006527C9">
        <w:tc>
          <w:tcPr>
            <w:tcW w:w="1947" w:type="pct"/>
          </w:tcPr>
          <w:p w14:paraId="3CC44652" w14:textId="77777777" w:rsidR="0029455C" w:rsidRDefault="0029455C" w:rsidP="00CD6177">
            <w:pPr>
              <w:pStyle w:val="TableText"/>
            </w:pPr>
            <w:r>
              <w:t>Failed skin graft</w:t>
            </w:r>
          </w:p>
        </w:tc>
        <w:tc>
          <w:tcPr>
            <w:tcW w:w="1527" w:type="pct"/>
            <w:vAlign w:val="center"/>
          </w:tcPr>
          <w:p w14:paraId="50CA948D" w14:textId="482DED79" w:rsidR="0029455C" w:rsidRDefault="00BD494E" w:rsidP="00CD6177">
            <w:pPr>
              <w:pStyle w:val="TableText"/>
            </w:pPr>
            <w:r>
              <w:t>2 (17%)</w:t>
            </w:r>
          </w:p>
        </w:tc>
        <w:tc>
          <w:tcPr>
            <w:tcW w:w="1526" w:type="pct"/>
          </w:tcPr>
          <w:p w14:paraId="06B1BA1F" w14:textId="16BC1CD7" w:rsidR="0029455C" w:rsidRPr="00A93A7B" w:rsidRDefault="00BD494E" w:rsidP="00CD6177">
            <w:pPr>
              <w:pStyle w:val="TableText"/>
            </w:pPr>
            <w:r w:rsidRPr="007D3D48">
              <w:t>0 (0%)</w:t>
            </w:r>
          </w:p>
        </w:tc>
      </w:tr>
      <w:tr w:rsidR="0029455C" w:rsidRPr="0001290C" w14:paraId="4902C0E2" w14:textId="77777777" w:rsidTr="006527C9">
        <w:tc>
          <w:tcPr>
            <w:tcW w:w="1947" w:type="pct"/>
          </w:tcPr>
          <w:p w14:paraId="403B13A7" w14:textId="77777777" w:rsidR="0029455C" w:rsidRDefault="0029455C" w:rsidP="00CD6177">
            <w:pPr>
              <w:pStyle w:val="TableText"/>
            </w:pPr>
            <w:r>
              <w:t>Graft loss</w:t>
            </w:r>
          </w:p>
        </w:tc>
        <w:tc>
          <w:tcPr>
            <w:tcW w:w="1527" w:type="pct"/>
            <w:vAlign w:val="center"/>
          </w:tcPr>
          <w:p w14:paraId="356DC99B" w14:textId="43DBF776" w:rsidR="0029455C" w:rsidRDefault="0029455C" w:rsidP="00CD6177">
            <w:pPr>
              <w:pStyle w:val="TableText"/>
            </w:pPr>
            <w:r>
              <w:t>1</w:t>
            </w:r>
            <w:r w:rsidR="006F5C53">
              <w:t xml:space="preserve"> (8%)</w:t>
            </w:r>
          </w:p>
        </w:tc>
        <w:tc>
          <w:tcPr>
            <w:tcW w:w="1526" w:type="pct"/>
            <w:vAlign w:val="center"/>
          </w:tcPr>
          <w:p w14:paraId="4FDC1447" w14:textId="04B436DA" w:rsidR="0029455C" w:rsidRPr="00A93A7B" w:rsidRDefault="006F5C53" w:rsidP="00CD6177">
            <w:pPr>
              <w:pStyle w:val="TableText"/>
            </w:pPr>
            <w:r>
              <w:t>1 (8%)</w:t>
            </w:r>
          </w:p>
        </w:tc>
      </w:tr>
    </w:tbl>
    <w:p w14:paraId="0957C220" w14:textId="77777777" w:rsidR="006206C8" w:rsidRDefault="0029455C" w:rsidP="00450AC6">
      <w:pPr>
        <w:pStyle w:val="Tablenotes0"/>
      </w:pPr>
      <w:r>
        <w:t xml:space="preserve">Abbreviations: </w:t>
      </w:r>
      <w:r w:rsidR="006206C8" w:rsidRPr="006206C8">
        <w:t>AE = adverse event; ASCS = autologous skin cell suspension; N/A = not applicable; STSG = split-thickness skin graft.</w:t>
      </w:r>
    </w:p>
    <w:p w14:paraId="09AE76D2" w14:textId="1AF83781" w:rsidR="0029455C" w:rsidRDefault="0029455C" w:rsidP="00450AC6">
      <w:pPr>
        <w:pStyle w:val="Tablenotes0"/>
      </w:pPr>
      <w:r w:rsidRPr="00440ABA">
        <w:t xml:space="preserve">Source: </w:t>
      </w:r>
      <w:r w:rsidRPr="00440ABA">
        <w:rPr>
          <w:rFonts w:cs="Times New Roman"/>
        </w:rPr>
        <w:t>ClinicalTrials.gov (2024)</w:t>
      </w:r>
      <w:r w:rsidR="003C0940" w:rsidRPr="008737A9">
        <w:rPr>
          <w:rFonts w:cs="Times New Roman"/>
          <w:vertAlign w:val="superscript"/>
        </w:rPr>
        <w:fldChar w:fldCharType="begin"/>
      </w:r>
      <w:r w:rsidR="003C0940" w:rsidRPr="008737A9">
        <w:rPr>
          <w:rFonts w:cs="Times New Roman"/>
          <w:vertAlign w:val="superscript"/>
        </w:rPr>
        <w:instrText xml:space="preserve"> NOTEREF _Ref193313711 \h </w:instrText>
      </w:r>
      <w:r w:rsidR="003C0940">
        <w:rPr>
          <w:rFonts w:cs="Times New Roman"/>
          <w:vertAlign w:val="superscript"/>
        </w:rPr>
        <w:instrText xml:space="preserve"> \* MERGEFORMAT </w:instrText>
      </w:r>
      <w:r w:rsidR="003C0940" w:rsidRPr="008737A9">
        <w:rPr>
          <w:rFonts w:cs="Times New Roman"/>
          <w:vertAlign w:val="superscript"/>
        </w:rPr>
      </w:r>
      <w:r w:rsidR="003C0940" w:rsidRPr="008737A9">
        <w:rPr>
          <w:rFonts w:cs="Times New Roman"/>
          <w:vertAlign w:val="superscript"/>
        </w:rPr>
        <w:fldChar w:fldCharType="separate"/>
      </w:r>
      <w:r w:rsidR="00487E4A">
        <w:rPr>
          <w:rFonts w:cs="Times New Roman"/>
          <w:vertAlign w:val="superscript"/>
        </w:rPr>
        <w:t>5</w:t>
      </w:r>
      <w:r w:rsidR="003C0940" w:rsidRPr="008737A9">
        <w:rPr>
          <w:rFonts w:cs="Times New Roman"/>
          <w:vertAlign w:val="superscript"/>
        </w:rPr>
        <w:fldChar w:fldCharType="end"/>
      </w:r>
      <w:r w:rsidRPr="00440ABA">
        <w:br/>
      </w:r>
      <w:r w:rsidRPr="00944393">
        <w:rPr>
          <w:vertAlign w:val="superscript"/>
        </w:rPr>
        <w:t>a</w:t>
      </w:r>
      <w:r>
        <w:t xml:space="preserve"> Not all adverse events listed in table</w:t>
      </w:r>
    </w:p>
    <w:p w14:paraId="05110C2B" w14:textId="09392777" w:rsidR="0029455C" w:rsidRDefault="0029455C" w:rsidP="0029455C">
      <w:r>
        <w:t>The</w:t>
      </w:r>
      <w:r w:rsidDel="00C5405D">
        <w:t xml:space="preserve"> </w:t>
      </w:r>
      <w:r w:rsidR="00C5405D">
        <w:t>ADAR</w:t>
      </w:r>
      <w:r>
        <w:t xml:space="preserve"> provided safety data from the </w:t>
      </w:r>
      <w:r w:rsidRPr="00BE5BB5">
        <w:t xml:space="preserve">CTP001-5 </w:t>
      </w:r>
      <w:r>
        <w:t xml:space="preserve">RCT that included patients with </w:t>
      </w:r>
      <w:r w:rsidRPr="00FF4FCC">
        <w:t xml:space="preserve">deep partial-thickness </w:t>
      </w:r>
      <w:r>
        <w:t xml:space="preserve">burns covering 1-20% TBSA (n=101). These results have not been tabulated in this summary because they are not generalisable to the MBS proposed population. </w:t>
      </w:r>
      <w:r w:rsidRPr="00937401">
        <w:t xml:space="preserve">In brief, </w:t>
      </w:r>
      <w:r w:rsidR="00E02194" w:rsidRPr="00937401">
        <w:t>in RCT</w:t>
      </w:r>
      <w:r w:rsidR="00E02194">
        <w:t xml:space="preserve"> </w:t>
      </w:r>
      <w:r w:rsidR="00E02194" w:rsidRPr="00937401">
        <w:t>CTP001-5</w:t>
      </w:r>
      <w:r>
        <w:t>, more AEs occurred with ASCS alone</w:t>
      </w:r>
      <w:r w:rsidR="00E02194">
        <w:t xml:space="preserve"> </w:t>
      </w:r>
      <w:r>
        <w:t>compared with STSG treatment (35.6% v</w:t>
      </w:r>
      <w:r w:rsidR="005935B4">
        <w:t>s</w:t>
      </w:r>
      <w:r>
        <w:t xml:space="preserve"> 21.8%, </w:t>
      </w:r>
      <w:r w:rsidRPr="00317132">
        <w:t>p</w:t>
      </w:r>
      <w:r>
        <w:rPr>
          <w:i/>
          <w:iCs/>
        </w:rPr>
        <w:t xml:space="preserve"> </w:t>
      </w:r>
      <w:r>
        <w:t>= 0.0013)</w:t>
      </w:r>
      <w:r w:rsidR="009C6D8B">
        <w:t>,</w:t>
      </w:r>
      <w:r>
        <w:t xml:space="preserve"> although most events </w:t>
      </w:r>
      <w:r w:rsidRPr="00AB23FC">
        <w:t>were mild in severity</w:t>
      </w:r>
      <w:r>
        <w:t>. No</w:t>
      </w:r>
      <w:r w:rsidRPr="00AB23FC">
        <w:t xml:space="preserve"> </w:t>
      </w:r>
      <w:r>
        <w:t>patient</w:t>
      </w:r>
      <w:r w:rsidRPr="00AB23FC">
        <w:t xml:space="preserve"> deaths </w:t>
      </w:r>
      <w:r>
        <w:t xml:space="preserve">were </w:t>
      </w:r>
      <w:r w:rsidRPr="00AB23FC">
        <w:t xml:space="preserve">reported. </w:t>
      </w:r>
      <w:r>
        <w:t xml:space="preserve">There were no differences in the incidence of AEs between ASCS and STSG donor sites. There were </w:t>
      </w:r>
      <w:r w:rsidR="00E02194">
        <w:t>5</w:t>
      </w:r>
      <w:r w:rsidR="00E02194" w:rsidRPr="00937401">
        <w:t xml:space="preserve"> </w:t>
      </w:r>
      <w:r>
        <w:t xml:space="preserve">device-related AEs reported (2 mild skin graft failures and hypertrophic scarring), </w:t>
      </w:r>
      <w:r w:rsidR="00E02194">
        <w:t>although</w:t>
      </w:r>
      <w:r w:rsidR="00E02194" w:rsidRPr="00937401">
        <w:t xml:space="preserve"> </w:t>
      </w:r>
      <w:r>
        <w:t>the AEs related to the scarring were not related to the study device itself.</w:t>
      </w:r>
    </w:p>
    <w:p w14:paraId="0BF45A5B" w14:textId="77777777" w:rsidR="00C8039E" w:rsidRPr="007D4F22" w:rsidRDefault="00C8039E" w:rsidP="001E5116">
      <w:pPr>
        <w:pStyle w:val="Heading3"/>
        <w:rPr>
          <w:color w:val="000000" w:themeColor="text1"/>
          <w:lang w:val="en-US"/>
        </w:rPr>
      </w:pPr>
      <w:r w:rsidRPr="00937401">
        <w:lastRenderedPageBreak/>
        <w:t>Interpretation and limitations of the safety data</w:t>
      </w:r>
    </w:p>
    <w:p w14:paraId="383B1D37" w14:textId="06FF03F4" w:rsidR="00C8039E" w:rsidRPr="00937401" w:rsidRDefault="00C8039E" w:rsidP="008C7E58">
      <w:r>
        <w:t xml:space="preserve">The main safety data </w:t>
      </w:r>
      <w:r w:rsidR="008E35C2">
        <w:t xml:space="preserve">considered in the commentary </w:t>
      </w:r>
      <w:r w:rsidR="00E02194">
        <w:t>we</w:t>
      </w:r>
      <w:r>
        <w:t xml:space="preserve">re derived from </w:t>
      </w:r>
      <w:r w:rsidR="00670D0C">
        <w:t xml:space="preserve">2 </w:t>
      </w:r>
      <w:r>
        <w:t>small RCTs (</w:t>
      </w:r>
      <w:r w:rsidR="00DC3776">
        <w:t>CTP001-6</w:t>
      </w:r>
      <w:r w:rsidR="00670D0C">
        <w:t xml:space="preserve">, </w:t>
      </w:r>
      <w:r w:rsidR="00DC3776">
        <w:t>CTP001-</w:t>
      </w:r>
      <w:r w:rsidR="00DC3776" w:rsidRPr="68DF7F41">
        <w:rPr>
          <w:noProof/>
        </w:rPr>
        <w:t>7</w:t>
      </w:r>
      <w:r w:rsidR="00DC3776">
        <w:t>)</w:t>
      </w:r>
      <w:r>
        <w:t xml:space="preserve"> (low certainty evidence) (</w:t>
      </w:r>
      <w:r>
        <w:fldChar w:fldCharType="begin"/>
      </w:r>
      <w:r>
        <w:instrText xml:space="preserve"> REF _Ref194585540 \h </w:instrText>
      </w:r>
      <w:r>
        <w:fldChar w:fldCharType="separate"/>
      </w:r>
      <w:r w:rsidR="00487E4A" w:rsidDel="00435B85">
        <w:t>Table</w:t>
      </w:r>
      <w:r w:rsidR="00487E4A" w:rsidRPr="004C18BB">
        <w:t> </w:t>
      </w:r>
      <w:r w:rsidR="00487E4A">
        <w:rPr>
          <w:noProof/>
        </w:rPr>
        <w:t>11</w:t>
      </w:r>
      <w:r>
        <w:fldChar w:fldCharType="end"/>
      </w:r>
      <w:r w:rsidR="00DE228D">
        <w:t>)</w:t>
      </w:r>
      <w:r>
        <w:t>. Both trials included patients with burns covering 5</w:t>
      </w:r>
      <w:r w:rsidR="00670D0C">
        <w:t>–</w:t>
      </w:r>
      <w:r>
        <w:t xml:space="preserve">50% TBSA (mean of 21% in the larger trial; not reported for the smaller trial), so it </w:t>
      </w:r>
      <w:r w:rsidR="00DB46FF">
        <w:t>was</w:t>
      </w:r>
      <w:r>
        <w:t xml:space="preserve"> unclear how many patients had burns </w:t>
      </w:r>
      <w:r w:rsidR="00472B41">
        <w:t>&lt;</w:t>
      </w:r>
      <w:r>
        <w:t xml:space="preserve">20% TBSA. In addition, the proportion of </w:t>
      </w:r>
      <w:r w:rsidR="009A3847">
        <w:t>females</w:t>
      </w:r>
      <w:r>
        <w:t xml:space="preserve"> included was very low (8</w:t>
      </w:r>
      <w:r w:rsidR="00CE56F2">
        <w:t>–</w:t>
      </w:r>
      <w:r>
        <w:t xml:space="preserve">17%), which is not representative of the potential MBS population. </w:t>
      </w:r>
    </w:p>
    <w:p w14:paraId="4EDC9DBF" w14:textId="48884484" w:rsidR="00C8039E" w:rsidRDefault="00C8039E" w:rsidP="008C7E58">
      <w:r w:rsidRPr="00937401">
        <w:t>Overall, the results indicate that ASCS in combination with meshed STSG i</w:t>
      </w:r>
      <w:r w:rsidR="005C7596">
        <w:t>s as safe as meshed STSG alone in this particular patient group up to one year after treatment. However, the small sample sizes and low frequency of key safety outcomes raise</w:t>
      </w:r>
      <w:r w:rsidRPr="00937401">
        <w:t xml:space="preserve"> doubts about the precision of this finding.</w:t>
      </w:r>
      <w:r w:rsidRPr="009D1E9B">
        <w:t xml:space="preserve"> </w:t>
      </w:r>
      <w:r w:rsidRPr="003C55AD">
        <w:t xml:space="preserve">None of the studies reported significant adverse events specifically attributable to </w:t>
      </w:r>
      <w:r w:rsidR="005C7596">
        <w:t xml:space="preserve">the </w:t>
      </w:r>
      <w:r w:rsidRPr="003C55AD">
        <w:t>use of the RECELL device.</w:t>
      </w:r>
    </w:p>
    <w:p w14:paraId="009C8F44" w14:textId="5DFDDFF8" w:rsidR="00C8039E" w:rsidRPr="00825861" w:rsidRDefault="00C8039E" w:rsidP="00C8039E">
      <w:r w:rsidRPr="003C55AD">
        <w:t xml:space="preserve">The </w:t>
      </w:r>
      <w:r w:rsidR="008B00FD">
        <w:t>ADAR</w:t>
      </w:r>
      <w:r w:rsidR="008B00FD" w:rsidRPr="003C55AD">
        <w:t xml:space="preserve"> </w:t>
      </w:r>
      <w:r w:rsidRPr="003C55AD">
        <w:t xml:space="preserve">also cited as primary evidence an RCT (CTP001-5; n=101) comparing ASCS and meshed STSG in patients with burns covering up to 20% TBSA. The results from this study agreed with those of the other </w:t>
      </w:r>
      <w:r w:rsidR="002D1035">
        <w:t>2</w:t>
      </w:r>
      <w:r w:rsidR="002D1035" w:rsidRPr="00937401">
        <w:t xml:space="preserve"> </w:t>
      </w:r>
      <w:r w:rsidRPr="003C55AD">
        <w:t>RCTs for safety outcomes, but they cannot be used to form any definitive conclusions with respect to the MBS proposed population.</w:t>
      </w:r>
    </w:p>
    <w:p w14:paraId="3717AA01" w14:textId="1E5DAEE9" w:rsidR="00772829" w:rsidRPr="004C18BB" w:rsidRDefault="00772829" w:rsidP="0000493F">
      <w:pPr>
        <w:pStyle w:val="Heading2"/>
        <w:numPr>
          <w:ilvl w:val="0"/>
          <w:numId w:val="15"/>
        </w:numPr>
      </w:pPr>
      <w:bookmarkStart w:id="49" w:name="_Toc69491424"/>
      <w:r w:rsidRPr="004C18BB">
        <w:t>Comparative effectiveness</w:t>
      </w:r>
      <w:bookmarkEnd w:id="49"/>
    </w:p>
    <w:p w14:paraId="4CCF5744" w14:textId="78012399" w:rsidR="004160B5" w:rsidRDefault="00BF4B0A" w:rsidP="004160B5">
      <w:pPr>
        <w:rPr>
          <w:noProof/>
        </w:rPr>
      </w:pPr>
      <w:r w:rsidRPr="008737A9">
        <w:t xml:space="preserve">The </w:t>
      </w:r>
      <w:r>
        <w:t>main effectiveness outcomes in the ADAR</w:t>
      </w:r>
      <w:r w:rsidRPr="008737A9">
        <w:t xml:space="preserve"> </w:t>
      </w:r>
      <w:r>
        <w:t>are</w:t>
      </w:r>
      <w:r w:rsidRPr="008737A9">
        <w:t xml:space="preserve"> based on </w:t>
      </w:r>
      <w:r w:rsidR="009B3C6B">
        <w:t>2</w:t>
      </w:r>
      <w:r w:rsidR="009B3C6B" w:rsidRPr="00937401">
        <w:t xml:space="preserve"> </w:t>
      </w:r>
      <w:r w:rsidRPr="008737A9">
        <w:t>multicentre RCTs (CTP001-5</w:t>
      </w:r>
      <w:r w:rsidR="009B3C6B">
        <w:t xml:space="preserve">, </w:t>
      </w:r>
      <w:r w:rsidRPr="008737A9">
        <w:t>CTP001-6)</w:t>
      </w:r>
      <w:r>
        <w:t xml:space="preserve">. However, as discussed in </w:t>
      </w:r>
      <w:r w:rsidR="00545469">
        <w:t xml:space="preserve">Section </w:t>
      </w:r>
      <w:r w:rsidR="00545469">
        <w:fldChar w:fldCharType="begin"/>
      </w:r>
      <w:r w:rsidR="00545469">
        <w:instrText xml:space="preserve"> REF Section_7 \h </w:instrText>
      </w:r>
      <w:r w:rsidR="00545469">
        <w:fldChar w:fldCharType="separate"/>
      </w:r>
      <w:r w:rsidR="00487E4A" w:rsidRPr="004C18BB">
        <w:t>7</w:t>
      </w:r>
      <w:r w:rsidR="00545469">
        <w:fldChar w:fldCharType="end"/>
      </w:r>
      <w:r>
        <w:t xml:space="preserve">, the patients in </w:t>
      </w:r>
      <w:r w:rsidR="009B3C6B">
        <w:t>RCT</w:t>
      </w:r>
      <w:r w:rsidR="009B3C6B" w:rsidRPr="00937401">
        <w:t xml:space="preserve"> </w:t>
      </w:r>
      <w:r w:rsidRPr="008737A9">
        <w:t>CTP001-5</w:t>
      </w:r>
      <w:r>
        <w:t xml:space="preserve"> are not representative of the MBS proposed population. Therefore</w:t>
      </w:r>
      <w:r w:rsidR="005B14C6">
        <w:t>,</w:t>
      </w:r>
      <w:r>
        <w:t xml:space="preserve"> t</w:t>
      </w:r>
      <w:r w:rsidR="004160B5" w:rsidRPr="007D4F22">
        <w:t xml:space="preserve">he </w:t>
      </w:r>
      <w:r w:rsidR="004160B5">
        <w:t>main</w:t>
      </w:r>
      <w:r w:rsidR="001C2819">
        <w:t xml:space="preserve"> effectiveness</w:t>
      </w:r>
      <w:r w:rsidR="004160B5" w:rsidRPr="007D4F22">
        <w:t xml:space="preserve"> outcomes discussed </w:t>
      </w:r>
      <w:r w:rsidR="00BC5721">
        <w:t>in the commentary</w:t>
      </w:r>
      <w:r w:rsidR="004160B5" w:rsidRPr="007D4F22">
        <w:t xml:space="preserve"> are from the </w:t>
      </w:r>
      <w:r w:rsidR="004160B5" w:rsidRPr="008737A9">
        <w:t xml:space="preserve">CTP001-6 </w:t>
      </w:r>
      <w:r w:rsidR="004160B5">
        <w:rPr>
          <w:noProof/>
        </w:rPr>
        <w:t xml:space="preserve">and </w:t>
      </w:r>
      <w:r w:rsidR="004160B5" w:rsidRPr="008737A9">
        <w:t>CTP001-</w:t>
      </w:r>
      <w:r w:rsidR="004160B5">
        <w:rPr>
          <w:noProof/>
        </w:rPr>
        <w:t>7</w:t>
      </w:r>
      <w:r w:rsidR="004160B5" w:rsidRPr="008737A9">
        <w:t xml:space="preserve"> </w:t>
      </w:r>
      <w:r w:rsidR="004160B5">
        <w:rPr>
          <w:noProof/>
        </w:rPr>
        <w:t xml:space="preserve">RCTs, which have patient samples partially representative of the </w:t>
      </w:r>
      <w:r w:rsidR="004160B5" w:rsidRPr="005250DB">
        <w:rPr>
          <w:noProof/>
        </w:rPr>
        <w:t>MBS patient population</w:t>
      </w:r>
      <w:r w:rsidR="004160B5">
        <w:rPr>
          <w:noProof/>
        </w:rPr>
        <w:t xml:space="preserve"> (</w:t>
      </w:r>
      <w:r w:rsidR="005B4F6C">
        <w:rPr>
          <w:noProof/>
        </w:rPr>
        <w:fldChar w:fldCharType="begin"/>
      </w:r>
      <w:r w:rsidR="005B4F6C">
        <w:rPr>
          <w:noProof/>
        </w:rPr>
        <w:instrText xml:space="preserve"> REF _Ref194056653 \h </w:instrText>
      </w:r>
      <w:r w:rsidR="005B4F6C">
        <w:rPr>
          <w:noProof/>
        </w:rPr>
      </w:r>
      <w:r w:rsidR="005B4F6C">
        <w:rPr>
          <w:noProof/>
        </w:rPr>
        <w:fldChar w:fldCharType="separate"/>
      </w:r>
      <w:r w:rsidR="00487E4A">
        <w:t>Table</w:t>
      </w:r>
      <w:r w:rsidR="00487E4A" w:rsidRPr="004C18BB">
        <w:t> </w:t>
      </w:r>
      <w:r w:rsidR="00487E4A">
        <w:rPr>
          <w:noProof/>
        </w:rPr>
        <w:t>7</w:t>
      </w:r>
      <w:r w:rsidR="005B4F6C">
        <w:rPr>
          <w:noProof/>
        </w:rPr>
        <w:fldChar w:fldCharType="end"/>
      </w:r>
      <w:r w:rsidR="005B4F6C">
        <w:rPr>
          <w:noProof/>
        </w:rPr>
        <w:t xml:space="preserve"> and </w:t>
      </w:r>
      <w:r w:rsidR="005B4F6C">
        <w:rPr>
          <w:noProof/>
        </w:rPr>
        <w:fldChar w:fldCharType="begin"/>
      </w:r>
      <w:r w:rsidR="005B4F6C">
        <w:rPr>
          <w:noProof/>
        </w:rPr>
        <w:instrText xml:space="preserve"> REF _Ref194056721 \h </w:instrText>
      </w:r>
      <w:r w:rsidR="005B4F6C">
        <w:rPr>
          <w:noProof/>
        </w:rPr>
      </w:r>
      <w:r w:rsidR="005B4F6C">
        <w:rPr>
          <w:noProof/>
        </w:rPr>
        <w:fldChar w:fldCharType="separate"/>
      </w:r>
      <w:r w:rsidR="00487E4A">
        <w:t>Table</w:t>
      </w:r>
      <w:r w:rsidR="00487E4A" w:rsidRPr="004C18BB">
        <w:t> </w:t>
      </w:r>
      <w:r w:rsidR="00487E4A">
        <w:rPr>
          <w:noProof/>
        </w:rPr>
        <w:t>8</w:t>
      </w:r>
      <w:r w:rsidR="005B4F6C">
        <w:rPr>
          <w:noProof/>
        </w:rPr>
        <w:fldChar w:fldCharType="end"/>
      </w:r>
      <w:r w:rsidR="005B4F6C">
        <w:rPr>
          <w:noProof/>
        </w:rPr>
        <w:t>)</w:t>
      </w:r>
      <w:r w:rsidR="004160B5">
        <w:rPr>
          <w:noProof/>
        </w:rPr>
        <w:t>.</w:t>
      </w:r>
    </w:p>
    <w:p w14:paraId="4953B4AD" w14:textId="77777777" w:rsidR="004160B5" w:rsidRPr="006419BB" w:rsidRDefault="004160B5" w:rsidP="004160B5">
      <w:pPr>
        <w:pStyle w:val="Heading3"/>
      </w:pPr>
      <w:bookmarkStart w:id="50" w:name="_Toc190165499"/>
      <w:r>
        <w:t>Definitive closure of treatment site</w:t>
      </w:r>
      <w:bookmarkEnd w:id="50"/>
    </w:p>
    <w:p w14:paraId="2B0BD412" w14:textId="2EB95C50" w:rsidR="000D1FDA" w:rsidRDefault="004160B5" w:rsidP="000D1FDA">
      <w:r>
        <w:t xml:space="preserve">In CTP001-6, confirmed treatment area definitive closure by </w:t>
      </w:r>
      <w:r w:rsidR="001B295F">
        <w:t>w</w:t>
      </w:r>
      <w:r>
        <w:t xml:space="preserve">eek 8 was defined as complete skin re-epithelialisation without drainage. Wound closure was evaluated from </w:t>
      </w:r>
      <w:r w:rsidR="00EB5720">
        <w:t>w</w:t>
      </w:r>
      <w:r>
        <w:t xml:space="preserve">eek 4 through </w:t>
      </w:r>
      <w:r w:rsidR="00EB5720">
        <w:t>w</w:t>
      </w:r>
      <w:r>
        <w:t>eek 12</w:t>
      </w:r>
      <w:r w:rsidR="00002435">
        <w:t>. T</w:t>
      </w:r>
      <w:r>
        <w:t xml:space="preserve">he proportion of patients with confirmed wound closure was similar between the </w:t>
      </w:r>
      <w:r>
        <w:rPr>
          <w:rFonts w:cstheme="minorHAnsi"/>
        </w:rPr>
        <w:t xml:space="preserve">ASCS plus STSG and STSG </w:t>
      </w:r>
      <w:r>
        <w:t>treatments at all time</w:t>
      </w:r>
      <w:r w:rsidR="00831719">
        <w:t xml:space="preserve"> </w:t>
      </w:r>
      <w:r>
        <w:t>points (n=26)</w:t>
      </w:r>
      <w:r w:rsidR="00795902">
        <w:t xml:space="preserve"> (</w:t>
      </w:r>
      <w:r w:rsidR="00B55B00">
        <w:fldChar w:fldCharType="begin"/>
      </w:r>
      <w:r w:rsidR="00B55B00">
        <w:instrText xml:space="preserve"> REF _Ref194585644 \h </w:instrText>
      </w:r>
      <w:r w:rsidR="00C1299A">
        <w:instrText xml:space="preserve"> \* MERGEFORMAT </w:instrText>
      </w:r>
      <w:r w:rsidR="00B55B00">
        <w:fldChar w:fldCharType="separate"/>
      </w:r>
      <w:r w:rsidR="00487E4A">
        <w:t>Figure</w:t>
      </w:r>
      <w:r w:rsidR="00487E4A" w:rsidRPr="004C18BB">
        <w:t> </w:t>
      </w:r>
      <w:r w:rsidR="00487E4A">
        <w:t>2</w:t>
      </w:r>
      <w:r w:rsidR="00B55B00">
        <w:fldChar w:fldCharType="end"/>
      </w:r>
      <w:r w:rsidR="00B55B00">
        <w:t>)</w:t>
      </w:r>
      <w:r w:rsidR="00D26330">
        <w:t>.</w:t>
      </w:r>
      <w:r w:rsidRPr="00937401">
        <w:t xml:space="preserve"> </w:t>
      </w:r>
      <w:r w:rsidR="00D26330">
        <w:t>By</w:t>
      </w:r>
      <w:r w:rsidRPr="00937401">
        <w:t xml:space="preserve"> </w:t>
      </w:r>
      <w:r w:rsidR="00D26330">
        <w:t>w</w:t>
      </w:r>
      <w:r>
        <w:t>eek 8, definitive closure had been achieved in 92% of patients in the ASCS treatment arm and in 85% in the control group. Thus,</w:t>
      </w:r>
      <w:r w:rsidRPr="002251B6">
        <w:t xml:space="preserve"> the healing of ASCS</w:t>
      </w:r>
      <w:r w:rsidR="00D26330">
        <w:t>-</w:t>
      </w:r>
      <w:r w:rsidRPr="002251B6">
        <w:t xml:space="preserve">treated sites was non-inferior to </w:t>
      </w:r>
      <w:r w:rsidRPr="00937401">
        <w:t>th</w:t>
      </w:r>
      <w:r w:rsidR="00D26330">
        <w:t xml:space="preserve">at of </w:t>
      </w:r>
      <w:r w:rsidRPr="002251B6">
        <w:t>the STSG sites</w:t>
      </w:r>
      <w:r w:rsidR="002B66E0">
        <w:t>. T</w:t>
      </w:r>
      <w:r w:rsidRPr="002251B6">
        <w:t xml:space="preserve">he difference in proportion between the two treatments was </w:t>
      </w:r>
      <w:r w:rsidR="002B66E0">
        <w:t>−</w:t>
      </w:r>
      <w:r w:rsidRPr="002251B6">
        <w:t xml:space="preserve">7.7% (97.5% </w:t>
      </w:r>
      <w:r>
        <w:t>confidence interval [</w:t>
      </w:r>
      <w:r w:rsidRPr="002251B6">
        <w:t>CI</w:t>
      </w:r>
      <w:r>
        <w:t>]</w:t>
      </w:r>
      <w:r w:rsidRPr="002251B6">
        <w:t xml:space="preserve"> 6.40%).</w:t>
      </w:r>
      <w:bookmarkStart w:id="51" w:name="_Ref194585644"/>
    </w:p>
    <w:p w14:paraId="51B40021" w14:textId="5FDD9C90" w:rsidR="00177992" w:rsidRPr="00706A8C" w:rsidDel="00177992" w:rsidRDefault="00177992" w:rsidP="0054173E">
      <w:pPr>
        <w:pStyle w:val="TableHeading0"/>
        <w:keepNext/>
        <w:keepLines/>
      </w:pPr>
      <w:r>
        <w:lastRenderedPageBreak/>
        <w:t>Figure</w:t>
      </w:r>
      <w:r w:rsidR="00B02163" w:rsidRPr="004C18BB">
        <w:t> </w:t>
      </w:r>
      <w:r>
        <w:fldChar w:fldCharType="begin"/>
      </w:r>
      <w:r>
        <w:instrText>SEQ Figure \* ARABIC</w:instrText>
      </w:r>
      <w:r>
        <w:fldChar w:fldCharType="separate"/>
      </w:r>
      <w:r w:rsidR="00487E4A">
        <w:rPr>
          <w:noProof/>
        </w:rPr>
        <w:t>2</w:t>
      </w:r>
      <w:r>
        <w:fldChar w:fldCharType="end"/>
      </w:r>
      <w:bookmarkEnd w:id="51"/>
      <w:r w:rsidR="00B02163">
        <w:t>:</w:t>
      </w:r>
      <w:r>
        <w:t xml:space="preserve"> </w:t>
      </w:r>
      <w:r w:rsidR="00D73C67">
        <w:t>Proportion</w:t>
      </w:r>
      <w:r w:rsidR="00D73C67" w:rsidRPr="00937401">
        <w:t xml:space="preserve"> </w:t>
      </w:r>
      <w:r>
        <w:t>of patients with confirmed wound closure by treatment area at weeks 4</w:t>
      </w:r>
      <w:r w:rsidR="00D73C67">
        <w:t>–</w:t>
      </w:r>
      <w:r>
        <w:t xml:space="preserve">12 in CTP001-6 </w:t>
      </w:r>
      <w:r w:rsidRPr="00FD0F61">
        <w:rPr>
          <w:vertAlign w:val="superscript"/>
        </w:rPr>
        <w:fldChar w:fldCharType="begin"/>
      </w:r>
      <w:r w:rsidRPr="00FD0F61">
        <w:rPr>
          <w:vertAlign w:val="superscript"/>
        </w:rPr>
        <w:instrText xml:space="preserve"> NOTEREF _Ref193313689 \h </w:instrText>
      </w:r>
      <w:r>
        <w:rPr>
          <w:vertAlign w:val="superscript"/>
        </w:rPr>
        <w:instrText xml:space="preserve"> \* MERGEFORMAT </w:instrText>
      </w:r>
      <w:r w:rsidRPr="00FD0F61">
        <w:rPr>
          <w:vertAlign w:val="superscript"/>
        </w:rPr>
      </w:r>
      <w:r w:rsidRPr="00FD0F61">
        <w:rPr>
          <w:vertAlign w:val="superscript"/>
        </w:rPr>
        <w:fldChar w:fldCharType="separate"/>
      </w:r>
      <w:r w:rsidR="00487E4A">
        <w:rPr>
          <w:vertAlign w:val="superscript"/>
        </w:rPr>
        <w:t>4</w:t>
      </w:r>
      <w:r w:rsidRPr="00FD0F61">
        <w:rPr>
          <w:vertAlign w:val="superscript"/>
        </w:rPr>
        <w:fldChar w:fldCharType="end"/>
      </w:r>
    </w:p>
    <w:p w14:paraId="5FBB7835" w14:textId="77777777" w:rsidR="00842603" w:rsidRDefault="004160B5" w:rsidP="0054173E">
      <w:pPr>
        <w:keepNext/>
        <w:keepLines/>
      </w:pPr>
      <w:r>
        <w:rPr>
          <w:noProof/>
        </w:rPr>
        <w:drawing>
          <wp:inline distT="0" distB="0" distL="0" distR="0" wp14:anchorId="31F81771" wp14:editId="15A808C5">
            <wp:extent cx="3372023" cy="2000353"/>
            <wp:effectExtent l="0" t="0" r="0" b="0"/>
            <wp:docPr id="1293276756" name="Picture 2" descr="A graph of a graph showing percentage of patients with confirmed wound closure by treatment areas at weeks 4, 6, 8, 10 and 12 in CTP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76756" name="Picture 2" descr="A graph of a graph showing percentage of patients with confirmed wound closure by treatment areas at weeks 4, 6, 8, 10 and 12 in CTP001-6"/>
                    <pic:cNvPicPr/>
                  </pic:nvPicPr>
                  <pic:blipFill>
                    <a:blip r:embed="rId10">
                      <a:extLst>
                        <a:ext uri="{28A0092B-C50C-407E-A947-70E740481C1C}">
                          <a14:useLocalDpi xmlns:a14="http://schemas.microsoft.com/office/drawing/2010/main" val="0"/>
                        </a:ext>
                      </a:extLst>
                    </a:blip>
                    <a:stretch>
                      <a:fillRect/>
                    </a:stretch>
                  </pic:blipFill>
                  <pic:spPr>
                    <a:xfrm>
                      <a:off x="0" y="0"/>
                      <a:ext cx="3372023" cy="2000353"/>
                    </a:xfrm>
                    <a:prstGeom prst="rect">
                      <a:avLst/>
                    </a:prstGeom>
                  </pic:spPr>
                </pic:pic>
              </a:graphicData>
            </a:graphic>
          </wp:inline>
        </w:drawing>
      </w:r>
    </w:p>
    <w:p w14:paraId="1D8915CB" w14:textId="6412C234" w:rsidR="004160B5" w:rsidRDefault="004160B5" w:rsidP="004160B5">
      <w:pPr>
        <w:rPr>
          <w:noProof/>
        </w:rPr>
      </w:pPr>
      <w:r>
        <w:t xml:space="preserve">The </w:t>
      </w:r>
      <w:r w:rsidR="00911F41">
        <w:t xml:space="preserve">ADAR </w:t>
      </w:r>
      <w:r>
        <w:t xml:space="preserve">also provided data from the </w:t>
      </w:r>
      <w:r w:rsidRPr="00BE5BB5">
        <w:t xml:space="preserve">CTP001-5 </w:t>
      </w:r>
      <w:r>
        <w:t>RCT</w:t>
      </w:r>
      <w:r w:rsidR="00AF3BDB">
        <w:t xml:space="preserve">, which </w:t>
      </w:r>
      <w:r>
        <w:t xml:space="preserve">included patients with </w:t>
      </w:r>
      <w:r w:rsidRPr="00FF4FCC">
        <w:t xml:space="preserve">deep partial-thickness </w:t>
      </w:r>
      <w:r>
        <w:t>burns covering 1</w:t>
      </w:r>
      <w:r w:rsidR="00AF3BDB">
        <w:t>–</w:t>
      </w:r>
      <w:r>
        <w:t xml:space="preserve">20% TBSA. In brief, </w:t>
      </w:r>
      <w:r w:rsidRPr="00270892">
        <w:t xml:space="preserve">definitive closure </w:t>
      </w:r>
      <w:r w:rsidR="00F83F35">
        <w:t>was achieved at 4 weeks</w:t>
      </w:r>
      <w:r>
        <w:t xml:space="preserve"> in </w:t>
      </w:r>
      <w:r w:rsidRPr="00270892">
        <w:t xml:space="preserve">97.6% (81/83) </w:t>
      </w:r>
      <w:r>
        <w:t>of</w:t>
      </w:r>
      <w:r w:rsidRPr="00270892">
        <w:t xml:space="preserve"> the ASCS-</w:t>
      </w:r>
      <w:r>
        <w:t xml:space="preserve">treated </w:t>
      </w:r>
      <w:r w:rsidRPr="00270892">
        <w:t>site</w:t>
      </w:r>
      <w:r>
        <w:t>s</w:t>
      </w:r>
      <w:r w:rsidRPr="00270892">
        <w:t xml:space="preserve"> and 100% (83/83) </w:t>
      </w:r>
      <w:r>
        <w:t>of</w:t>
      </w:r>
      <w:r w:rsidRPr="00270892">
        <w:t xml:space="preserve"> the STSG-treated </w:t>
      </w:r>
      <w:r w:rsidR="007B2DC9">
        <w:t>sites.</w:t>
      </w:r>
    </w:p>
    <w:p w14:paraId="2F15C205" w14:textId="77777777" w:rsidR="004160B5" w:rsidRPr="006419BB" w:rsidRDefault="004160B5" w:rsidP="004160B5">
      <w:pPr>
        <w:pStyle w:val="Heading3"/>
      </w:pPr>
      <w:r>
        <w:t>Reduction of donor skin harvesting</w:t>
      </w:r>
    </w:p>
    <w:p w14:paraId="70C11946" w14:textId="2DD1A9CF" w:rsidR="004160B5" w:rsidRDefault="004160B5" w:rsidP="004160B5">
      <w:r w:rsidRPr="00E76672">
        <w:t>In CTP001-6, the expansion ratios of the measured treated area to the donor site area</w:t>
      </w:r>
      <w:r>
        <w:t xml:space="preserve"> were compared for each treatment</w:t>
      </w:r>
      <w:r w:rsidRPr="00E76672">
        <w:t xml:space="preserve">, including </w:t>
      </w:r>
      <w:r w:rsidR="00F83F35">
        <w:t xml:space="preserve">both </w:t>
      </w:r>
      <w:r w:rsidRPr="00E76672">
        <w:t>initial treatments and any re</w:t>
      </w:r>
      <w:r>
        <w:t>-treatments (n=30)</w:t>
      </w:r>
      <w:r w:rsidRPr="00E76672">
        <w:t>. The average donor site area</w:t>
      </w:r>
      <w:r>
        <w:t>s</w:t>
      </w:r>
      <w:r w:rsidRPr="00E76672">
        <w:t xml:space="preserve"> </w:t>
      </w:r>
      <w:r>
        <w:t xml:space="preserve">for </w:t>
      </w:r>
      <w:r w:rsidRPr="00E76672">
        <w:t xml:space="preserve">ASCS </w:t>
      </w:r>
      <w:r>
        <w:t>plus meshed STSG and STSG alone were</w:t>
      </w:r>
      <w:r w:rsidRPr="00E76672">
        <w:t xml:space="preserve"> 264</w:t>
      </w:r>
      <w:r w:rsidR="009D0C92">
        <w:t> </w:t>
      </w:r>
      <w:r w:rsidRPr="00E76672">
        <w:t xml:space="preserve">cm² </w:t>
      </w:r>
      <w:r>
        <w:t xml:space="preserve">and </w:t>
      </w:r>
      <w:r w:rsidRPr="00E76672">
        <w:t>368</w:t>
      </w:r>
      <w:r w:rsidR="009D0C92">
        <w:t> </w:t>
      </w:r>
      <w:r w:rsidRPr="00E76672">
        <w:t>cm²</w:t>
      </w:r>
      <w:r>
        <w:t>, respectively</w:t>
      </w:r>
      <w:r w:rsidRPr="00E76672">
        <w:t>,</w:t>
      </w:r>
      <w:r>
        <w:t xml:space="preserve"> which represented</w:t>
      </w:r>
      <w:r w:rsidRPr="00E76672">
        <w:t xml:space="preserve"> a 32% reduction</w:t>
      </w:r>
      <w:r>
        <w:t xml:space="preserve"> in donor skin requirement</w:t>
      </w:r>
      <w:r w:rsidRPr="00E76672">
        <w:t xml:space="preserve"> (p&lt;0.001). A geometric mean ratio (GMR) &gt;1 was needed to establish ASCS superiority. The GMR for treatment areas compared to donor sites was 1.97 for ASCS</w:t>
      </w:r>
      <w:r>
        <w:t xml:space="preserve"> plus </w:t>
      </w:r>
      <w:r w:rsidRPr="00E76672">
        <w:t xml:space="preserve">STSG </w:t>
      </w:r>
      <w:r>
        <w:t xml:space="preserve">and </w:t>
      </w:r>
      <w:r w:rsidRPr="00E76672">
        <w:t xml:space="preserve">1.35 for STSG </w:t>
      </w:r>
      <w:r>
        <w:t>alone</w:t>
      </w:r>
      <w:r w:rsidRPr="00E76672">
        <w:t xml:space="preserve">. The GMR of the expansion ratio (ASCS:STSG) was 1.46, confirming </w:t>
      </w:r>
      <w:r w:rsidR="00D37F7C">
        <w:t xml:space="preserve">the </w:t>
      </w:r>
      <w:r w:rsidRPr="00E76672">
        <w:t xml:space="preserve">superiority </w:t>
      </w:r>
      <w:r w:rsidR="00D37F7C">
        <w:t xml:space="preserve">of </w:t>
      </w:r>
      <w:r w:rsidR="00D37F7C" w:rsidRPr="00937401">
        <w:t xml:space="preserve">ASCS </w:t>
      </w:r>
      <w:r w:rsidRPr="00E76672">
        <w:t>in reducing donor skin usage (p&lt;0.001)</w:t>
      </w:r>
      <w:r>
        <w:t>.</w:t>
      </w:r>
    </w:p>
    <w:p w14:paraId="3AF37C01" w14:textId="5A22242C" w:rsidR="004160B5" w:rsidRPr="00F46DB3" w:rsidRDefault="004160B5" w:rsidP="004160B5">
      <w:r w:rsidRPr="00F46DB3">
        <w:t xml:space="preserve">CTP001-7 RCT also reported expansion ratios for </w:t>
      </w:r>
      <w:r w:rsidRPr="00E76672">
        <w:t xml:space="preserve">ASCS </w:t>
      </w:r>
      <w:r>
        <w:t>plus meshed STSG and STSG alone (n=12)</w:t>
      </w:r>
      <w:r w:rsidRPr="00F46DB3">
        <w:t>. The GMR for treatment areas compared to donor sites was 2.11 for ASCS plus STSG and 1.65 for STSG alone, representing a GMR of the expansion ratio (ASCS:STSG) of 1.28.</w:t>
      </w:r>
      <w:r w:rsidR="00052382" w:rsidRPr="008737A9">
        <w:rPr>
          <w:vertAlign w:val="superscript"/>
        </w:rPr>
        <w:fldChar w:fldCharType="begin"/>
      </w:r>
      <w:r w:rsidR="00052382" w:rsidRPr="008737A9">
        <w:rPr>
          <w:vertAlign w:val="superscript"/>
        </w:rPr>
        <w:instrText xml:space="preserve"> NOTEREF _Ref193313711 \h </w:instrText>
      </w:r>
      <w:r w:rsidR="00052382">
        <w:rPr>
          <w:vertAlign w:val="superscript"/>
        </w:rPr>
        <w:instrText xml:space="preserve"> \* MERGEFORMAT </w:instrText>
      </w:r>
      <w:r w:rsidR="00052382" w:rsidRPr="008737A9">
        <w:rPr>
          <w:vertAlign w:val="superscript"/>
        </w:rPr>
      </w:r>
      <w:r w:rsidR="00052382" w:rsidRPr="008737A9">
        <w:rPr>
          <w:vertAlign w:val="superscript"/>
        </w:rPr>
        <w:fldChar w:fldCharType="separate"/>
      </w:r>
      <w:r w:rsidR="00487E4A">
        <w:rPr>
          <w:vertAlign w:val="superscript"/>
        </w:rPr>
        <w:t>5</w:t>
      </w:r>
      <w:r w:rsidR="00052382" w:rsidRPr="008737A9">
        <w:rPr>
          <w:vertAlign w:val="superscript"/>
        </w:rPr>
        <w:fldChar w:fldCharType="end"/>
      </w:r>
      <w:r w:rsidRPr="00F46DB3">
        <w:t xml:space="preserve"> </w:t>
      </w:r>
    </w:p>
    <w:p w14:paraId="29E909A8" w14:textId="0A3E7C68" w:rsidR="004160B5" w:rsidRDefault="004160B5" w:rsidP="004160B5">
      <w:r>
        <w:t>The</w:t>
      </w:r>
      <w:r w:rsidDel="008D4A87">
        <w:t xml:space="preserve"> </w:t>
      </w:r>
      <w:r w:rsidR="008D4A87">
        <w:t>ADAR</w:t>
      </w:r>
      <w:r>
        <w:t xml:space="preserve"> also provided data from </w:t>
      </w:r>
      <w:r w:rsidR="004435AC" w:rsidRPr="00937401">
        <w:t xml:space="preserve">RCT </w:t>
      </w:r>
      <w:r w:rsidRPr="00BE5BB5">
        <w:t xml:space="preserve">CTP001-5 </w:t>
      </w:r>
      <w:r>
        <w:t xml:space="preserve">that included patients with </w:t>
      </w:r>
      <w:r w:rsidRPr="00FF4FCC">
        <w:t xml:space="preserve">deep partial-thickness </w:t>
      </w:r>
      <w:r>
        <w:t>burns covering 1</w:t>
      </w:r>
      <w:r w:rsidR="004435AC">
        <w:t>–</w:t>
      </w:r>
      <w:r>
        <w:t xml:space="preserve">20% TBSA. </w:t>
      </w:r>
      <w:r w:rsidR="004435AC">
        <w:t>T</w:t>
      </w:r>
      <w:r>
        <w:t xml:space="preserve">he average area of the donor sites used for ASCS alone was approximately 40 times smaller than the average area used for the STSG treatment in DPT burns (4.7 </w:t>
      </w:r>
      <w:r w:rsidRPr="00E16CDF">
        <w:t>cm</w:t>
      </w:r>
      <w:r w:rsidRPr="008737A9">
        <w:rPr>
          <w:vertAlign w:val="superscript"/>
        </w:rPr>
        <w:t>2</w:t>
      </w:r>
      <w:r w:rsidRPr="00E16CDF">
        <w:t xml:space="preserve"> vs 194.1 cm</w:t>
      </w:r>
      <w:r w:rsidRPr="008737A9">
        <w:rPr>
          <w:vertAlign w:val="superscript"/>
        </w:rPr>
        <w:t>2</w:t>
      </w:r>
      <w:r w:rsidRPr="00E16CDF">
        <w:t>, p&lt;0.0001</w:t>
      </w:r>
      <w:r>
        <w:t>), which represented a donor site reduction of 97.5% (n=83).</w:t>
      </w:r>
      <w:r w:rsidRPr="00115B2C">
        <w:t xml:space="preserve"> </w:t>
      </w:r>
      <w:r w:rsidR="00372F11">
        <w:t>Consequently, a</w:t>
      </w:r>
      <w:r>
        <w:t xml:space="preserve">t </w:t>
      </w:r>
      <w:r w:rsidR="00CF172A">
        <w:t>w</w:t>
      </w:r>
      <w:r>
        <w:t xml:space="preserve">eek 2, donor wound healing was better at the ASCS donor site (90.0% vs 67.3%, </w:t>
      </w:r>
      <w:r w:rsidRPr="008737A9">
        <w:t>p</w:t>
      </w:r>
      <w:r>
        <w:t>&lt;0.001).</w:t>
      </w:r>
    </w:p>
    <w:p w14:paraId="6C243CF5" w14:textId="77777777" w:rsidR="004160B5" w:rsidRPr="006419BB" w:rsidRDefault="004160B5" w:rsidP="004160B5">
      <w:pPr>
        <w:pStyle w:val="Heading3"/>
      </w:pPr>
      <w:bookmarkStart w:id="52" w:name="_Toc190165501"/>
      <w:r>
        <w:t>Pain, visual appearance and scarring</w:t>
      </w:r>
      <w:bookmarkEnd w:id="52"/>
    </w:p>
    <w:p w14:paraId="4543756B" w14:textId="3EB13788" w:rsidR="004160B5" w:rsidRPr="00F52378" w:rsidRDefault="004160B5" w:rsidP="004160B5">
      <w:r w:rsidRPr="00E76672">
        <w:t>In CTP001-6</w:t>
      </w:r>
      <w:r>
        <w:t xml:space="preserve"> (n=30), t</w:t>
      </w:r>
      <w:r w:rsidRPr="00F52378">
        <w:t>here was no statistically significant difference in patient satisfaction regarding treatment preference</w:t>
      </w:r>
      <w:r>
        <w:t xml:space="preserve">, </w:t>
      </w:r>
      <w:r w:rsidRPr="00F52378">
        <w:t>scarring outcome</w:t>
      </w:r>
      <w:r>
        <w:t xml:space="preserve"> or Patient and Observer Scar Assessment Scale</w:t>
      </w:r>
      <w:r w:rsidRPr="00F52378">
        <w:t xml:space="preserve"> </w:t>
      </w:r>
      <w:r>
        <w:t>(</w:t>
      </w:r>
      <w:r w:rsidRPr="005841A0">
        <w:t>POSAS</w:t>
      </w:r>
      <w:r>
        <w:t xml:space="preserve">) patient and observer </w:t>
      </w:r>
      <w:r w:rsidRPr="00F52378">
        <w:t xml:space="preserve">scores </w:t>
      </w:r>
      <w:r>
        <w:t>or</w:t>
      </w:r>
      <w:r w:rsidRPr="00F52378">
        <w:t xml:space="preserve"> overall opinions. </w:t>
      </w:r>
      <w:r w:rsidRPr="005841A0">
        <w:t xml:space="preserve">Pain ratings assessed with the pain question of POSAS indicated no difference between ASCS plus meshed STSG and STSG alone in treatment area pain from </w:t>
      </w:r>
      <w:r w:rsidR="00896354">
        <w:t>w</w:t>
      </w:r>
      <w:r w:rsidRPr="005841A0">
        <w:t xml:space="preserve">eek 1 to </w:t>
      </w:r>
      <w:r w:rsidR="00896354">
        <w:t>w</w:t>
      </w:r>
      <w:r w:rsidRPr="005841A0">
        <w:t xml:space="preserve">eek 12 </w:t>
      </w:r>
      <w:r w:rsidR="00896354">
        <w:t>and</w:t>
      </w:r>
      <w:r w:rsidRPr="005841A0">
        <w:t xml:space="preserve"> at </w:t>
      </w:r>
      <w:r w:rsidR="00D9102F">
        <w:t>w</w:t>
      </w:r>
      <w:r w:rsidRPr="005841A0">
        <w:t>eek 52.</w:t>
      </w:r>
      <w:r>
        <w:t xml:space="preserve"> </w:t>
      </w:r>
      <w:r w:rsidRPr="00F52378">
        <w:t xml:space="preserve">There was also no statistically significant difference in wound healing in </w:t>
      </w:r>
      <w:r w:rsidR="00B5313C">
        <w:t xml:space="preserve">either </w:t>
      </w:r>
      <w:r w:rsidRPr="00F52378">
        <w:t>blinded and non-blinded assessments at any study visit in either the intent-to-treat or per protocol population.</w:t>
      </w:r>
    </w:p>
    <w:p w14:paraId="47FC71CC" w14:textId="5CBCF8DA" w:rsidR="004160B5" w:rsidRDefault="004160B5" w:rsidP="004160B5">
      <w:r>
        <w:t>The</w:t>
      </w:r>
      <w:r w:rsidDel="008D4A87">
        <w:t xml:space="preserve"> </w:t>
      </w:r>
      <w:r w:rsidR="008D4A87">
        <w:t>ADAR</w:t>
      </w:r>
      <w:r>
        <w:t xml:space="preserve"> also provided data from </w:t>
      </w:r>
      <w:r w:rsidR="00D9102F" w:rsidRPr="00937401">
        <w:t xml:space="preserve">RCT </w:t>
      </w:r>
      <w:r w:rsidRPr="00BE5BB5">
        <w:t xml:space="preserve">CTP001-5 </w:t>
      </w:r>
      <w:r>
        <w:t xml:space="preserve">that included patients with </w:t>
      </w:r>
      <w:r w:rsidRPr="00FF4FCC">
        <w:t xml:space="preserve">deep partial-thickness </w:t>
      </w:r>
      <w:r>
        <w:t>burns covering 1</w:t>
      </w:r>
      <w:r w:rsidR="00CD0450">
        <w:t>–</w:t>
      </w:r>
      <w:r>
        <w:t xml:space="preserve">20% TBSA. </w:t>
      </w:r>
      <w:r w:rsidR="007B642F">
        <w:t>T</w:t>
      </w:r>
      <w:r w:rsidRPr="00937401">
        <w:t>here</w:t>
      </w:r>
      <w:r>
        <w:t xml:space="preserve"> was no difference in pain between ASCS and STSG sites (15 weeks) or </w:t>
      </w:r>
      <w:r w:rsidR="007B642F">
        <w:t xml:space="preserve">in </w:t>
      </w:r>
      <w:r>
        <w:t xml:space="preserve">patient satisfaction with appearance or scarring (52 weeks). Pain at the </w:t>
      </w:r>
      <w:r>
        <w:lastRenderedPageBreak/>
        <w:t>donor site was significantly lower at the ASCS donor site</w:t>
      </w:r>
      <w:r w:rsidRPr="00111A70">
        <w:t xml:space="preserve"> </w:t>
      </w:r>
      <w:r>
        <w:t xml:space="preserve">compared with the STSG donor site through to </w:t>
      </w:r>
      <w:r w:rsidR="007738CB">
        <w:t>w</w:t>
      </w:r>
      <w:r>
        <w:t>eek 8 (</w:t>
      </w:r>
      <w:r w:rsidRPr="00111A70">
        <w:t>p≤ 0.005).</w:t>
      </w:r>
    </w:p>
    <w:p w14:paraId="3AA6767A" w14:textId="77777777" w:rsidR="004160B5" w:rsidRPr="009B0EEB" w:rsidRDefault="004160B5" w:rsidP="004160B5">
      <w:pPr>
        <w:pStyle w:val="Heading3"/>
      </w:pPr>
      <w:bookmarkStart w:id="53" w:name="_Ref189495022"/>
      <w:r w:rsidRPr="009B0EEB">
        <w:t>Number of autograft treatments to achieve definitive closure</w:t>
      </w:r>
      <w:bookmarkEnd w:id="53"/>
      <w:r w:rsidRPr="009B0EEB">
        <w:t xml:space="preserve"> </w:t>
      </w:r>
    </w:p>
    <w:p w14:paraId="1F1BF838" w14:textId="561D27BC" w:rsidR="004160B5" w:rsidRDefault="004160B5" w:rsidP="004160B5">
      <w:r>
        <w:t xml:space="preserve">A retrospective indirect comparison between adults (≥18 yrs) from a cohort of 41 patients who received ASCS plus meshed STSG (CTP004) and 277 </w:t>
      </w:r>
      <w:r w:rsidR="00B44331">
        <w:t xml:space="preserve">adults </w:t>
      </w:r>
      <w:r>
        <w:t>from the NBR who received standard care found that the former required a</w:t>
      </w:r>
      <w:r w:rsidRPr="00365A1F">
        <w:t xml:space="preserve"> median </w:t>
      </w:r>
      <w:r>
        <w:t>of</w:t>
      </w:r>
      <w:r w:rsidRPr="00365A1F">
        <w:t xml:space="preserve"> 2.0</w:t>
      </w:r>
      <w:r>
        <w:t xml:space="preserve"> </w:t>
      </w:r>
      <w:r w:rsidRPr="00365A1F">
        <w:t>(range 1.0</w:t>
      </w:r>
      <w:r w:rsidR="00841B7D">
        <w:t>–</w:t>
      </w:r>
      <w:r w:rsidRPr="00365A1F">
        <w:t>6.0)</w:t>
      </w:r>
      <w:r>
        <w:t xml:space="preserve"> autografts to achieve definitive closure, compared with a median of </w:t>
      </w:r>
      <w:r w:rsidRPr="00365A1F">
        <w:t>5.0 (range 1.0</w:t>
      </w:r>
      <w:r w:rsidR="00841B7D">
        <w:t>–</w:t>
      </w:r>
      <w:r w:rsidRPr="00365A1F">
        <w:t>32.0</w:t>
      </w:r>
      <w:r>
        <w:t xml:space="preserve">; </w:t>
      </w:r>
      <w:r w:rsidRPr="003D18DB">
        <w:t>propensity-adjusted</w:t>
      </w:r>
      <w:r w:rsidRPr="00AA60E7">
        <w:t xml:space="preserve"> </w:t>
      </w:r>
      <w:r>
        <w:t>p&lt;0.0001) in the latter group</w:t>
      </w:r>
      <w:r w:rsidRPr="00365A1F">
        <w:t>.</w:t>
      </w:r>
      <w:r>
        <w:t xml:space="preserve"> All patients had severe burns (&gt;50% TBSA).</w:t>
      </w:r>
    </w:p>
    <w:p w14:paraId="0F0E4447" w14:textId="3FF49276" w:rsidR="004160B5" w:rsidRDefault="004160B5" w:rsidP="004160B5">
      <w:r>
        <w:t xml:space="preserve">A similar comparison in paediatric patients (&lt;18 years) found that the </w:t>
      </w:r>
      <w:r w:rsidRPr="006B5EA5">
        <w:t>ASCS</w:t>
      </w:r>
      <w:r>
        <w:t xml:space="preserve"> group (CTP004</w:t>
      </w:r>
      <w:r w:rsidRPr="003C3F61">
        <w:t>/CTP001-8</w:t>
      </w:r>
      <w:r>
        <w:t xml:space="preserve">; n=39) required a </w:t>
      </w:r>
      <w:r w:rsidRPr="006B5EA5">
        <w:t>median of 1.0 treatment</w:t>
      </w:r>
      <w:r>
        <w:t>, compared with</w:t>
      </w:r>
      <w:r w:rsidRPr="006B5EA5">
        <w:t xml:space="preserve"> 2.0 </w:t>
      </w:r>
      <w:r>
        <w:t xml:space="preserve">for the NBR standard care cohort (n=245; </w:t>
      </w:r>
      <w:r w:rsidRPr="00D1784B">
        <w:t xml:space="preserve">propensity-adjusted </w:t>
      </w:r>
      <w:r w:rsidRPr="006B5EA5">
        <w:t>p&lt;0.0001).</w:t>
      </w:r>
      <w:r>
        <w:t xml:space="preserve"> </w:t>
      </w:r>
      <w:r w:rsidR="009B0BCA">
        <w:t>M</w:t>
      </w:r>
      <w:r>
        <w:t xml:space="preserve">ean </w:t>
      </w:r>
      <w:r w:rsidR="00647DC1">
        <w:t>%</w:t>
      </w:r>
      <w:r w:rsidRPr="00D1784B">
        <w:t xml:space="preserve">TBSA was significantly higher in the CTP004/CTP001-8 </w:t>
      </w:r>
      <w:r>
        <w:t xml:space="preserve">paediatric </w:t>
      </w:r>
      <w:r w:rsidRPr="00D1784B">
        <w:t>group (</w:t>
      </w:r>
      <w:r>
        <w:t xml:space="preserve">40.1% vs 28.1%, </w:t>
      </w:r>
      <w:r w:rsidRPr="00D1784B">
        <w:t>p=0.0439) compared with the NBR paediatric cohort</w:t>
      </w:r>
      <w:r>
        <w:t>.</w:t>
      </w:r>
    </w:p>
    <w:p w14:paraId="315E19A8" w14:textId="2B4A8B78" w:rsidR="004160B5" w:rsidRPr="00D1784B" w:rsidRDefault="004160B5" w:rsidP="004160B5">
      <w:r>
        <w:t>C</w:t>
      </w:r>
      <w:r w:rsidRPr="00D1784B">
        <w:t xml:space="preserve">omparing data from the CTP004 </w:t>
      </w:r>
      <w:r>
        <w:t xml:space="preserve">and </w:t>
      </w:r>
      <w:r w:rsidRPr="003C3F61">
        <w:t>CTP001-8</w:t>
      </w:r>
      <w:r>
        <w:t xml:space="preserve"> studies</w:t>
      </w:r>
      <w:r w:rsidRPr="00D1784B">
        <w:t xml:space="preserve"> with that of the 2012 NBR may favour the intervention, </w:t>
      </w:r>
      <w:r w:rsidRPr="00937401">
        <w:t>particular</w:t>
      </w:r>
      <w:r w:rsidR="009B0BCA">
        <w:t>ly</w:t>
      </w:r>
      <w:r w:rsidRPr="00D1784B">
        <w:t xml:space="preserve"> with respect to number of autografting procedures</w:t>
      </w:r>
      <w:r w:rsidR="009B0BCA">
        <w:t>,</w:t>
      </w:r>
      <w:r w:rsidRPr="00D1784B">
        <w:t xml:space="preserve"> as there has been an overall reduction in the number of these procedures per </w:t>
      </w:r>
      <w:r w:rsidR="009B0BCA">
        <w:t>%</w:t>
      </w:r>
      <w:r w:rsidRPr="00D1784B">
        <w:t xml:space="preserve">TBSA burned since </w:t>
      </w:r>
      <w:r w:rsidRPr="008737A9">
        <w:t>2011.</w:t>
      </w:r>
      <w:r w:rsidRPr="008737A9">
        <w:rPr>
          <w:vertAlign w:val="superscript"/>
        </w:rPr>
        <w:fldChar w:fldCharType="begin"/>
      </w:r>
      <w:r w:rsidRPr="008737A9">
        <w:rPr>
          <w:vertAlign w:val="superscript"/>
        </w:rPr>
        <w:instrText xml:space="preserve"> NOTEREF _Ref192620823 \h  \* MERGEFORMAT </w:instrText>
      </w:r>
      <w:r w:rsidRPr="008737A9">
        <w:rPr>
          <w:vertAlign w:val="superscript"/>
        </w:rPr>
      </w:r>
      <w:r w:rsidRPr="008737A9">
        <w:rPr>
          <w:vertAlign w:val="superscript"/>
        </w:rPr>
        <w:fldChar w:fldCharType="separate"/>
      </w:r>
      <w:r w:rsidR="00487E4A">
        <w:rPr>
          <w:vertAlign w:val="superscript"/>
        </w:rPr>
        <w:t>10</w:t>
      </w:r>
      <w:r w:rsidRPr="008737A9">
        <w:rPr>
          <w:vertAlign w:val="superscript"/>
        </w:rPr>
        <w:fldChar w:fldCharType="end"/>
      </w:r>
      <w:r w:rsidRPr="00D1784B">
        <w:t xml:space="preserve"> </w:t>
      </w:r>
      <w:r>
        <w:t xml:space="preserve">In contrast, the </w:t>
      </w:r>
      <w:r w:rsidRPr="00D1784B">
        <w:t xml:space="preserve">significantly </w:t>
      </w:r>
      <w:r>
        <w:t>higher</w:t>
      </w:r>
      <w:r w:rsidRPr="00D1784B">
        <w:t xml:space="preserve"> mean </w:t>
      </w:r>
      <w:r w:rsidR="009B0BCA">
        <w:t>%</w:t>
      </w:r>
      <w:r w:rsidRPr="00D1784B">
        <w:t xml:space="preserve">TBSA in the CTP004/CTP001-8 </w:t>
      </w:r>
      <w:r>
        <w:t xml:space="preserve">paediatric </w:t>
      </w:r>
      <w:r w:rsidRPr="00D1784B">
        <w:t xml:space="preserve">group, compared with the NBR paediatric cohort, </w:t>
      </w:r>
      <w:r>
        <w:t>likely</w:t>
      </w:r>
      <w:r w:rsidRPr="00D1784B">
        <w:t xml:space="preserve"> </w:t>
      </w:r>
      <w:r w:rsidRPr="00937401">
        <w:t>favour</w:t>
      </w:r>
      <w:r w:rsidR="009B0BCA">
        <w:t>s</w:t>
      </w:r>
      <w:r w:rsidRPr="00D1784B">
        <w:t xml:space="preserve"> the control group. It is unclear whether or to what extent these </w:t>
      </w:r>
      <w:r w:rsidR="00B66BD5">
        <w:t>2</w:t>
      </w:r>
      <w:r w:rsidR="00B66BD5" w:rsidRPr="00937401">
        <w:t xml:space="preserve"> </w:t>
      </w:r>
      <w:r w:rsidRPr="00D1784B">
        <w:t>potentially opposing confounders affected this outcome.</w:t>
      </w:r>
      <w:r>
        <w:t xml:space="preserve"> </w:t>
      </w:r>
    </w:p>
    <w:p w14:paraId="020B0EE9" w14:textId="77777777" w:rsidR="004160B5" w:rsidRDefault="004160B5" w:rsidP="004160B5">
      <w:pPr>
        <w:pStyle w:val="Heading3"/>
      </w:pPr>
      <w:r>
        <w:t>Hospital length of stay</w:t>
      </w:r>
    </w:p>
    <w:p w14:paraId="7D47C20E" w14:textId="6ADBB34A" w:rsidR="004160B5" w:rsidRDefault="004160B5" w:rsidP="004160B5">
      <w:r>
        <w:t>The CTP004</w:t>
      </w:r>
      <w:r w:rsidRPr="00D1784B">
        <w:t>/CTP001-8</w:t>
      </w:r>
      <w:r>
        <w:t xml:space="preserve"> studies and the NBR were compared </w:t>
      </w:r>
      <w:r w:rsidR="00AC2F48">
        <w:t>for</w:t>
      </w:r>
      <w:r>
        <w:t xml:space="preserve"> length of hospital stay</w:t>
      </w:r>
      <w:r w:rsidR="007540A1">
        <w:t xml:space="preserve"> (LOS)</w:t>
      </w:r>
      <w:r>
        <w:t>. In adults with</w:t>
      </w:r>
      <w:r w:rsidRPr="00D63CC6">
        <w:t xml:space="preserve"> </w:t>
      </w:r>
      <w:r>
        <w:t xml:space="preserve">severe burns (&gt;50% TBSA) the median </w:t>
      </w:r>
      <w:r w:rsidR="007540A1">
        <w:t>LOS</w:t>
      </w:r>
      <w:r>
        <w:t xml:space="preserve"> per </w:t>
      </w:r>
      <w:r w:rsidR="00CB7042">
        <w:t>%</w:t>
      </w:r>
      <w:r>
        <w:t xml:space="preserve">TBSA was 1.2 </w:t>
      </w:r>
      <w:r w:rsidR="009506C2">
        <w:t xml:space="preserve">days </w:t>
      </w:r>
      <w:r>
        <w:t xml:space="preserve">in both the ASCS plus meshed STSG (n=40; </w:t>
      </w:r>
      <w:r w:rsidRPr="00D1784B">
        <w:t>propensity-adjusted</w:t>
      </w:r>
      <w:r>
        <w:t xml:space="preserve"> p=0.602) and standard care groups (n=277). For the paediatric cohort, the median </w:t>
      </w:r>
      <w:r w:rsidR="003D04D6">
        <w:t xml:space="preserve">LOS </w:t>
      </w:r>
      <w:r>
        <w:t xml:space="preserve">per </w:t>
      </w:r>
      <w:r w:rsidR="009506C2">
        <w:t>%</w:t>
      </w:r>
      <w:r>
        <w:t xml:space="preserve">TBSA was 1.7 </w:t>
      </w:r>
      <w:r w:rsidR="009506C2">
        <w:t xml:space="preserve">days </w:t>
      </w:r>
      <w:r w:rsidR="00E57C16">
        <w:t>for</w:t>
      </w:r>
      <w:r>
        <w:t xml:space="preserve"> the ASCS cohort (n=39) and 1.2 </w:t>
      </w:r>
      <w:r w:rsidR="00E57C16">
        <w:t>days</w:t>
      </w:r>
      <w:r w:rsidRPr="00937401">
        <w:t xml:space="preserve"> </w:t>
      </w:r>
      <w:r>
        <w:t>for the NBR standard care cohort (n=245;</w:t>
      </w:r>
      <w:r w:rsidRPr="00114EF2">
        <w:t xml:space="preserve"> </w:t>
      </w:r>
      <w:r w:rsidRPr="00D1784B">
        <w:t>propensity-adjusted</w:t>
      </w:r>
      <w:r>
        <w:t xml:space="preserve"> p=0.999).</w:t>
      </w:r>
    </w:p>
    <w:p w14:paraId="44EC82E2" w14:textId="5CC2CCA1" w:rsidR="004160B5" w:rsidRDefault="004160B5" w:rsidP="004160B5">
      <w:r>
        <w:t>These data are limited by the problems noted in the previous section</w:t>
      </w:r>
      <w:r w:rsidR="00D81837">
        <w:t>,</w:t>
      </w:r>
      <w:r>
        <w:t xml:space="preserve"> as well as the various </w:t>
      </w:r>
      <w:r w:rsidRPr="00BD1ADF">
        <w:t xml:space="preserve">factors </w:t>
      </w:r>
      <w:r>
        <w:t xml:space="preserve">other than </w:t>
      </w:r>
      <w:r w:rsidRPr="00937401">
        <w:t xml:space="preserve">age, gender, </w:t>
      </w:r>
      <w:r w:rsidR="00D81837">
        <w:t>%</w:t>
      </w:r>
      <w:r w:rsidRPr="00937401">
        <w:t>TBSA</w:t>
      </w:r>
      <w:r w:rsidR="008650D1">
        <w:t xml:space="preserve"> and</w:t>
      </w:r>
      <w:r w:rsidRPr="00937401">
        <w:t xml:space="preserve"> Baux score</w:t>
      </w:r>
      <w:r>
        <w:t xml:space="preserve"> that </w:t>
      </w:r>
      <w:r w:rsidRPr="00BD1ADF">
        <w:t xml:space="preserve">can </w:t>
      </w:r>
      <w:r>
        <w:t xml:space="preserve">affect </w:t>
      </w:r>
      <w:r w:rsidR="005E2424">
        <w:t>LOS</w:t>
      </w:r>
      <w:r w:rsidRPr="00BD1ADF">
        <w:t xml:space="preserve"> in severely burned patient</w:t>
      </w:r>
      <w:r>
        <w:t>s</w:t>
      </w:r>
      <w:r w:rsidR="003E2EE4">
        <w:t xml:space="preserve">, </w:t>
      </w:r>
      <w:r w:rsidR="008650D1" w:rsidRPr="00937401">
        <w:t xml:space="preserve">such as </w:t>
      </w:r>
      <w:r w:rsidR="007E7EED">
        <w:t xml:space="preserve">the </w:t>
      </w:r>
      <w:r w:rsidR="008650D1" w:rsidRPr="00937401">
        <w:t>treating physician and local institutional protocols</w:t>
      </w:r>
      <w:r w:rsidR="008650D1">
        <w:t>. These</w:t>
      </w:r>
      <w:r w:rsidRPr="00BD1ADF">
        <w:t xml:space="preserve"> could not be controlled for in this analysis</w:t>
      </w:r>
      <w:r>
        <w:t>.</w:t>
      </w:r>
    </w:p>
    <w:p w14:paraId="4065E2F5" w14:textId="77777777" w:rsidR="004160B5" w:rsidRPr="00937401" w:rsidRDefault="004160B5" w:rsidP="001E5116">
      <w:pPr>
        <w:pStyle w:val="Heading3"/>
      </w:pPr>
      <w:r w:rsidRPr="00937401">
        <w:t>Interpretation and limitations of the effectiveness data</w:t>
      </w:r>
    </w:p>
    <w:p w14:paraId="1FC09617" w14:textId="2D43D25F" w:rsidR="004160B5" w:rsidRPr="00937401" w:rsidRDefault="004160B5" w:rsidP="008C7E58">
      <w:r>
        <w:t xml:space="preserve">The main effectiveness data </w:t>
      </w:r>
      <w:r w:rsidR="00E90E1E">
        <w:t>considered in the commentary</w:t>
      </w:r>
      <w:r>
        <w:t xml:space="preserve"> are derived from </w:t>
      </w:r>
      <w:r w:rsidR="0095379C">
        <w:t xml:space="preserve">2 </w:t>
      </w:r>
      <w:r>
        <w:t>small RCTs (</w:t>
      </w:r>
      <w:r w:rsidR="00E90E1E">
        <w:t>CTP00-6</w:t>
      </w:r>
      <w:r w:rsidR="0095379C">
        <w:t>,</w:t>
      </w:r>
      <w:r w:rsidR="00E90E1E">
        <w:t xml:space="preserve"> CTP00-7)</w:t>
      </w:r>
      <w:r>
        <w:t xml:space="preserve"> (low certainty evidence) (</w:t>
      </w:r>
      <w:r>
        <w:fldChar w:fldCharType="begin"/>
      </w:r>
      <w:r>
        <w:instrText xml:space="preserve"> REF _Ref194585540 \h </w:instrText>
      </w:r>
      <w:r>
        <w:fldChar w:fldCharType="separate"/>
      </w:r>
      <w:r w:rsidR="00487E4A" w:rsidDel="00435B85">
        <w:t>Table</w:t>
      </w:r>
      <w:r w:rsidR="00487E4A" w:rsidRPr="004C18BB">
        <w:t> </w:t>
      </w:r>
      <w:r w:rsidR="00487E4A">
        <w:rPr>
          <w:noProof/>
        </w:rPr>
        <w:t>11</w:t>
      </w:r>
      <w:r>
        <w:fldChar w:fldCharType="end"/>
      </w:r>
      <w:r>
        <w:t>). Both trials included patients with burns covering 5</w:t>
      </w:r>
      <w:r w:rsidR="0095379C">
        <w:t>–</w:t>
      </w:r>
      <w:r>
        <w:t xml:space="preserve">50% TBSA (mean of 21% in the larger trial; </w:t>
      </w:r>
      <w:r w:rsidR="0095379C">
        <w:t>un</w:t>
      </w:r>
      <w:r>
        <w:t xml:space="preserve">reported for the smaller trial), so it </w:t>
      </w:r>
      <w:r w:rsidR="00CA306A">
        <w:t>was</w:t>
      </w:r>
      <w:r w:rsidR="00BA201A">
        <w:t xml:space="preserve"> </w:t>
      </w:r>
      <w:r>
        <w:t xml:space="preserve">unclear how many patients had burns </w:t>
      </w:r>
      <w:r w:rsidR="0095379C">
        <w:t>&lt;</w:t>
      </w:r>
      <w:r>
        <w:t xml:space="preserve">20% TBSA. In addition, the proportion of </w:t>
      </w:r>
      <w:r w:rsidR="009A3847">
        <w:t xml:space="preserve">females </w:t>
      </w:r>
      <w:r>
        <w:t>included was very low (8</w:t>
      </w:r>
      <w:r w:rsidR="0095379C">
        <w:t>–</w:t>
      </w:r>
      <w:r>
        <w:t xml:space="preserve">17%), which </w:t>
      </w:r>
      <w:r w:rsidR="00CA306A">
        <w:t>was</w:t>
      </w:r>
      <w:r>
        <w:t xml:space="preserve"> not representative of the potential MBS population. </w:t>
      </w:r>
    </w:p>
    <w:p w14:paraId="3A4AB5F7" w14:textId="2E421FE4" w:rsidR="004160B5" w:rsidRDefault="004160B5" w:rsidP="004160B5">
      <w:r>
        <w:t xml:space="preserve">Overall, the results indicate that ASCS in combination with meshed STSG in this particular patient group </w:t>
      </w:r>
      <w:r w:rsidR="00CA306A">
        <w:t>was</w:t>
      </w:r>
      <w:r w:rsidR="008523EB">
        <w:t xml:space="preserve"> </w:t>
      </w:r>
      <w:r>
        <w:t>equivalent to STSG alone in achieving wound closure 8 weeks after grafting, while requiring an average 32% less donor skin for grafting and causing no differences in patient satisfaction, scarring outcome or pain over the year following treatment.</w:t>
      </w:r>
    </w:p>
    <w:p w14:paraId="5F3394C1" w14:textId="097A1446" w:rsidR="004160B5" w:rsidRDefault="004160B5" w:rsidP="004160B5">
      <w:r w:rsidRPr="0012380C">
        <w:t xml:space="preserve">Supportive clinical evidence from an indirect comparison of ASCS plus meshed STSGs and standard care in adults with burns ≥50% TBSA indicated that the former treatment required fewer autograft procedures per patient. There was also no statistically significant difference </w:t>
      </w:r>
      <w:r w:rsidRPr="0012380C">
        <w:lastRenderedPageBreak/>
        <w:t xml:space="preserve">between the treatments in median </w:t>
      </w:r>
      <w:r w:rsidR="00167E02">
        <w:t>LOS</w:t>
      </w:r>
      <w:r w:rsidRPr="0012380C">
        <w:t xml:space="preserve"> in days per %TBSA for adults (≥50% TBSA) or children. However, the data for these indirect comparisons had significant confounding that </w:t>
      </w:r>
      <w:r w:rsidR="00D10A57">
        <w:t>remained</w:t>
      </w:r>
      <w:r w:rsidRPr="0012380C">
        <w:t xml:space="preserve"> </w:t>
      </w:r>
      <w:r>
        <w:t xml:space="preserve">even </w:t>
      </w:r>
      <w:r w:rsidRPr="0012380C">
        <w:t xml:space="preserve">after propensity score adjustment </w:t>
      </w:r>
      <w:r>
        <w:t>for</w:t>
      </w:r>
      <w:r w:rsidRPr="0012380C">
        <w:t xml:space="preserve"> key prognostic </w:t>
      </w:r>
      <w:r>
        <w:t>factors</w:t>
      </w:r>
      <w:r w:rsidRPr="0012380C">
        <w:t xml:space="preserve">. </w:t>
      </w:r>
      <w:r>
        <w:t>These outcomes are also sensitive to contextual factors</w:t>
      </w:r>
      <w:r w:rsidR="00D10A57">
        <w:t>,</w:t>
      </w:r>
      <w:r>
        <w:t xml:space="preserve"> such as</w:t>
      </w:r>
      <w:r w:rsidRPr="00BD1ADF">
        <w:t xml:space="preserve"> treating physician and local institutional protocols</w:t>
      </w:r>
      <w:r w:rsidR="00D10A57">
        <w:t>,</w:t>
      </w:r>
      <w:r>
        <w:t xml:space="preserve"> that could not be accounted for in the analysis.</w:t>
      </w:r>
    </w:p>
    <w:p w14:paraId="15363A2A" w14:textId="67277B25" w:rsidR="004160B5" w:rsidRDefault="004160B5" w:rsidP="008C7E58">
      <w:pPr>
        <w:rPr>
          <w:rFonts w:eastAsia="Calibri" w:cs="Times New Roman"/>
          <w:iCs/>
        </w:rPr>
      </w:pPr>
      <w:r w:rsidRPr="003C55AD">
        <w:t xml:space="preserve">The </w:t>
      </w:r>
      <w:r w:rsidR="008D4A87">
        <w:t>ADAR</w:t>
      </w:r>
      <w:r w:rsidR="008D4A87" w:rsidRPr="003C55AD">
        <w:t xml:space="preserve"> </w:t>
      </w:r>
      <w:r w:rsidRPr="003C55AD">
        <w:t xml:space="preserve">also cited as primary evidence an RCT (CTP001-5; n=101) comparing ASCS and meshed STSGs in patients with burns covering up to 20% TBSA. The results from this study agreed with those of the other </w:t>
      </w:r>
      <w:r w:rsidR="00D10A57">
        <w:t>2</w:t>
      </w:r>
      <w:r w:rsidR="00D10A57" w:rsidRPr="00937401">
        <w:t xml:space="preserve"> </w:t>
      </w:r>
      <w:r w:rsidRPr="003C55AD">
        <w:t xml:space="preserve">RCTs </w:t>
      </w:r>
      <w:r>
        <w:t xml:space="preserve">in terms of treatment equivalence in </w:t>
      </w:r>
      <w:r w:rsidRPr="003C55AD">
        <w:t>donor site sparing</w:t>
      </w:r>
      <w:r>
        <w:t xml:space="preserve"> and</w:t>
      </w:r>
      <w:r w:rsidRPr="003C55AD">
        <w:t xml:space="preserve"> time to wound closure outcomes</w:t>
      </w:r>
      <w:r>
        <w:t xml:space="preserve">, </w:t>
      </w:r>
      <w:r w:rsidRPr="003C55AD">
        <w:t>but they cannot be used to form any definitive conclusions with respect to the MBS proposed population.</w:t>
      </w:r>
      <w:r>
        <w:t xml:space="preserve"> </w:t>
      </w:r>
    </w:p>
    <w:p w14:paraId="5C6210A8" w14:textId="77777777" w:rsidR="004160B5" w:rsidRDefault="004160B5" w:rsidP="004160B5">
      <w:pPr>
        <w:rPr>
          <w:rFonts w:eastAsia="Calibri" w:cs="Times New Roman"/>
          <w:iCs/>
        </w:rPr>
        <w:sectPr w:rsidR="004160B5" w:rsidSect="004160B5">
          <w:headerReference w:type="even" r:id="rId11"/>
          <w:headerReference w:type="default" r:id="rId12"/>
          <w:footerReference w:type="even" r:id="rId13"/>
          <w:footerReference w:type="default" r:id="rId14"/>
          <w:headerReference w:type="first" r:id="rId15"/>
          <w:footerReference w:type="first" r:id="rId16"/>
          <w:type w:val="oddPage"/>
          <w:pgSz w:w="11906" w:h="16838"/>
          <w:pgMar w:top="1440" w:right="1440" w:bottom="1440" w:left="1440" w:header="708" w:footer="708" w:gutter="0"/>
          <w:cols w:space="708"/>
          <w:docGrid w:linePitch="360"/>
        </w:sectPr>
      </w:pPr>
    </w:p>
    <w:p w14:paraId="766D9D81" w14:textId="7921B2B4" w:rsidR="004638AF" w:rsidRDefault="004638AF" w:rsidP="00747C01">
      <w:pPr>
        <w:pStyle w:val="TableHeading0"/>
      </w:pPr>
      <w:bookmarkStart w:id="54" w:name="_Ref194585540"/>
      <w:bookmarkStart w:id="55" w:name="_Ref194058872"/>
      <w:bookmarkStart w:id="56" w:name="_Ref193886346"/>
      <w:r w:rsidDel="00435B85">
        <w:lastRenderedPageBreak/>
        <w:t>Table</w:t>
      </w:r>
      <w:r w:rsidR="00B02163" w:rsidRPr="004C18BB">
        <w:t> </w:t>
      </w:r>
      <w:r>
        <w:fldChar w:fldCharType="begin"/>
      </w:r>
      <w:r>
        <w:instrText>SEQ Table \* ARABIC</w:instrText>
      </w:r>
      <w:r>
        <w:fldChar w:fldCharType="separate"/>
      </w:r>
      <w:r w:rsidR="00487E4A">
        <w:rPr>
          <w:noProof/>
        </w:rPr>
        <w:t>11</w:t>
      </w:r>
      <w:r>
        <w:fldChar w:fldCharType="end"/>
      </w:r>
      <w:bookmarkEnd w:id="54"/>
      <w:r w:rsidR="00B02163">
        <w:t>:</w:t>
      </w:r>
      <w:r w:rsidR="00B21867">
        <w:t xml:space="preserve"> </w:t>
      </w:r>
      <w:bookmarkEnd w:id="55"/>
      <w:bookmarkEnd w:id="56"/>
      <w:r w:rsidRPr="0025108B">
        <w:t xml:space="preserve">Summary of findings table for important outcomes </w:t>
      </w:r>
      <w:r w:rsidR="00D10A57">
        <w:t>for</w:t>
      </w:r>
      <w:r w:rsidRPr="0025108B">
        <w:t xml:space="preserve"> patients with burn wounds (5</w:t>
      </w:r>
      <w:r w:rsidR="00D10A57" w:rsidRPr="00D10A57">
        <w:t>–</w:t>
      </w:r>
      <w:r w:rsidRPr="0025108B">
        <w:t>50% TBSA)</w:t>
      </w:r>
    </w:p>
    <w:tbl>
      <w:tblPr>
        <w:tblStyle w:val="TableGridLight2"/>
        <w:tblW w:w="4968" w:type="pct"/>
        <w:tblLayout w:type="fixed"/>
        <w:tblLook w:val="04A0" w:firstRow="1" w:lastRow="0" w:firstColumn="1" w:lastColumn="0" w:noHBand="0" w:noVBand="1"/>
        <w:tblDescription w:val="Summary of findings table"/>
      </w:tblPr>
      <w:tblGrid>
        <w:gridCol w:w="895"/>
        <w:gridCol w:w="1800"/>
        <w:gridCol w:w="1260"/>
        <w:gridCol w:w="1170"/>
        <w:gridCol w:w="1890"/>
        <w:gridCol w:w="1890"/>
        <w:gridCol w:w="1980"/>
        <w:gridCol w:w="2520"/>
        <w:gridCol w:w="1171"/>
      </w:tblGrid>
      <w:tr w:rsidR="004160B5" w:rsidRPr="00C22439" w14:paraId="498E96E7" w14:textId="77777777">
        <w:trPr>
          <w:cnfStyle w:val="100000000000" w:firstRow="1" w:lastRow="0" w:firstColumn="0" w:lastColumn="0" w:oddVBand="0" w:evenVBand="0" w:oddHBand="0" w:evenHBand="0" w:firstRowFirstColumn="0" w:firstRowLastColumn="0" w:lastRowFirstColumn="0" w:lastRowLastColumn="0"/>
        </w:trPr>
        <w:tc>
          <w:tcPr>
            <w:tcW w:w="895" w:type="dxa"/>
            <w:vMerge w:val="restart"/>
          </w:tcPr>
          <w:p w14:paraId="7F2C1297" w14:textId="77777777" w:rsidR="004160B5" w:rsidRPr="00937401" w:rsidRDefault="004160B5" w:rsidP="00CD6177">
            <w:pPr>
              <w:pStyle w:val="TableText"/>
              <w:rPr>
                <w:lang w:val="en-AU"/>
              </w:rPr>
            </w:pPr>
            <w:r w:rsidRPr="00937401">
              <w:rPr>
                <w:lang w:val="en-AU"/>
              </w:rPr>
              <w:t>Section in report</w:t>
            </w:r>
          </w:p>
        </w:tc>
        <w:tc>
          <w:tcPr>
            <w:tcW w:w="1800" w:type="dxa"/>
            <w:vMerge w:val="restart"/>
          </w:tcPr>
          <w:p w14:paraId="58D21F11" w14:textId="4494D031" w:rsidR="004160B5" w:rsidRPr="00937401" w:rsidRDefault="004160B5" w:rsidP="00CD6177">
            <w:pPr>
              <w:pStyle w:val="TableText"/>
              <w:rPr>
                <w:lang w:val="en-AU"/>
              </w:rPr>
            </w:pPr>
            <w:r w:rsidRPr="00937401">
              <w:rPr>
                <w:lang w:val="en-AU"/>
              </w:rPr>
              <w:t>Outcome</w:t>
            </w:r>
          </w:p>
        </w:tc>
        <w:tc>
          <w:tcPr>
            <w:tcW w:w="1260" w:type="dxa"/>
            <w:vMerge w:val="restart"/>
          </w:tcPr>
          <w:p w14:paraId="0FFEC4E4" w14:textId="77777777" w:rsidR="004160B5" w:rsidRPr="00937401" w:rsidRDefault="004160B5" w:rsidP="00CD6177">
            <w:pPr>
              <w:pStyle w:val="TableText"/>
              <w:rPr>
                <w:lang w:val="en-AU"/>
              </w:rPr>
            </w:pPr>
            <w:r w:rsidRPr="00937401">
              <w:rPr>
                <w:lang w:val="en-AU"/>
              </w:rPr>
              <w:t>Participants and studies</w:t>
            </w:r>
          </w:p>
        </w:tc>
        <w:tc>
          <w:tcPr>
            <w:tcW w:w="1170" w:type="dxa"/>
            <w:vMerge w:val="restart"/>
          </w:tcPr>
          <w:p w14:paraId="3BD42004" w14:textId="77777777" w:rsidR="004160B5" w:rsidRPr="00937401" w:rsidRDefault="004160B5" w:rsidP="00CD6177">
            <w:pPr>
              <w:pStyle w:val="TableText"/>
              <w:rPr>
                <w:lang w:val="en-AU"/>
              </w:rPr>
            </w:pPr>
            <w:r w:rsidRPr="00937401">
              <w:rPr>
                <w:lang w:val="en-AU"/>
              </w:rPr>
              <w:t xml:space="preserve">Relative effect </w:t>
            </w:r>
            <w:r w:rsidRPr="00937401">
              <w:rPr>
                <w:lang w:val="en-AU"/>
              </w:rPr>
              <w:br/>
              <w:t>(95% CI)</w:t>
            </w:r>
          </w:p>
        </w:tc>
        <w:tc>
          <w:tcPr>
            <w:tcW w:w="5760" w:type="dxa"/>
            <w:gridSpan w:val="3"/>
          </w:tcPr>
          <w:p w14:paraId="53DD1457" w14:textId="77777777" w:rsidR="004160B5" w:rsidRPr="00937401" w:rsidRDefault="004160B5" w:rsidP="00CD6177">
            <w:pPr>
              <w:pStyle w:val="TableText"/>
              <w:rPr>
                <w:lang w:val="en-AU"/>
              </w:rPr>
            </w:pPr>
            <w:r w:rsidRPr="00937401">
              <w:rPr>
                <w:lang w:val="en-AU"/>
              </w:rPr>
              <w:t>Anticipated absolute effects (95% CI)</w:t>
            </w:r>
          </w:p>
        </w:tc>
        <w:tc>
          <w:tcPr>
            <w:tcW w:w="2520" w:type="dxa"/>
            <w:vMerge w:val="restart"/>
          </w:tcPr>
          <w:p w14:paraId="6362341B" w14:textId="77777777" w:rsidR="004160B5" w:rsidRPr="00937401" w:rsidRDefault="004160B5" w:rsidP="00CD6177">
            <w:pPr>
              <w:pStyle w:val="TableText"/>
              <w:rPr>
                <w:lang w:val="en-AU"/>
              </w:rPr>
            </w:pPr>
            <w:r w:rsidRPr="00937401">
              <w:rPr>
                <w:lang w:val="en-AU"/>
              </w:rPr>
              <w:t>Interpretation</w:t>
            </w:r>
          </w:p>
        </w:tc>
        <w:tc>
          <w:tcPr>
            <w:tcW w:w="1171" w:type="dxa"/>
            <w:vMerge w:val="restart"/>
          </w:tcPr>
          <w:p w14:paraId="4975DC3B" w14:textId="14498348" w:rsidR="004160B5" w:rsidRPr="00937401" w:rsidRDefault="004160B5" w:rsidP="00CD6177">
            <w:pPr>
              <w:pStyle w:val="TableText"/>
              <w:rPr>
                <w:lang w:val="en-AU"/>
              </w:rPr>
            </w:pPr>
            <w:r w:rsidRPr="00937401">
              <w:rPr>
                <w:lang w:val="en-AU"/>
              </w:rPr>
              <w:t>GRADE Certainty of evidence</w:t>
            </w:r>
          </w:p>
        </w:tc>
      </w:tr>
      <w:tr w:rsidR="004160B5" w:rsidRPr="00C22439" w14:paraId="402428A3" w14:textId="77777777">
        <w:tc>
          <w:tcPr>
            <w:tcW w:w="895" w:type="dxa"/>
            <w:vMerge/>
          </w:tcPr>
          <w:p w14:paraId="7E400317" w14:textId="77777777" w:rsidR="004160B5" w:rsidRPr="00937401" w:rsidRDefault="004160B5" w:rsidP="00CD6177">
            <w:pPr>
              <w:pStyle w:val="TableText"/>
              <w:rPr>
                <w:lang w:val="en-AU"/>
              </w:rPr>
            </w:pPr>
          </w:p>
        </w:tc>
        <w:tc>
          <w:tcPr>
            <w:tcW w:w="1800" w:type="dxa"/>
            <w:vMerge/>
            <w:vAlign w:val="center"/>
          </w:tcPr>
          <w:p w14:paraId="78C38E20" w14:textId="77777777" w:rsidR="004160B5" w:rsidRPr="00937401" w:rsidRDefault="004160B5" w:rsidP="00CD6177">
            <w:pPr>
              <w:pStyle w:val="TableText"/>
              <w:rPr>
                <w:lang w:val="en-AU"/>
              </w:rPr>
            </w:pPr>
          </w:p>
        </w:tc>
        <w:tc>
          <w:tcPr>
            <w:tcW w:w="1260" w:type="dxa"/>
            <w:vMerge/>
            <w:vAlign w:val="center"/>
          </w:tcPr>
          <w:p w14:paraId="01305CBD" w14:textId="77777777" w:rsidR="004160B5" w:rsidRPr="00937401" w:rsidRDefault="004160B5" w:rsidP="00CD6177">
            <w:pPr>
              <w:pStyle w:val="TableText"/>
              <w:rPr>
                <w:lang w:val="en-AU"/>
              </w:rPr>
            </w:pPr>
          </w:p>
        </w:tc>
        <w:tc>
          <w:tcPr>
            <w:tcW w:w="1170" w:type="dxa"/>
            <w:vMerge/>
            <w:vAlign w:val="center"/>
          </w:tcPr>
          <w:p w14:paraId="37625C8F" w14:textId="77777777" w:rsidR="004160B5" w:rsidRPr="00937401" w:rsidRDefault="004160B5" w:rsidP="00CD6177">
            <w:pPr>
              <w:pStyle w:val="TableText"/>
              <w:rPr>
                <w:lang w:val="en-AU"/>
              </w:rPr>
            </w:pPr>
          </w:p>
        </w:tc>
        <w:tc>
          <w:tcPr>
            <w:tcW w:w="1890" w:type="dxa"/>
          </w:tcPr>
          <w:p w14:paraId="53859FA2" w14:textId="77777777" w:rsidR="004160B5" w:rsidRPr="00937401" w:rsidRDefault="004160B5" w:rsidP="00CD6177">
            <w:pPr>
              <w:pStyle w:val="TableText"/>
              <w:rPr>
                <w:lang w:val="en-AU"/>
              </w:rPr>
            </w:pPr>
            <w:r w:rsidRPr="00937401">
              <w:rPr>
                <w:lang w:val="en-AU"/>
              </w:rPr>
              <w:t>ASCS + STSG</w:t>
            </w:r>
          </w:p>
        </w:tc>
        <w:tc>
          <w:tcPr>
            <w:tcW w:w="1890" w:type="dxa"/>
          </w:tcPr>
          <w:p w14:paraId="4849EC4F" w14:textId="77777777" w:rsidR="004160B5" w:rsidRPr="00937401" w:rsidRDefault="004160B5" w:rsidP="00CD6177">
            <w:pPr>
              <w:pStyle w:val="TableText"/>
              <w:rPr>
                <w:lang w:val="en-AU"/>
              </w:rPr>
            </w:pPr>
            <w:r w:rsidRPr="00937401">
              <w:rPr>
                <w:lang w:val="en-AU"/>
              </w:rPr>
              <w:t>STSG</w:t>
            </w:r>
          </w:p>
        </w:tc>
        <w:tc>
          <w:tcPr>
            <w:tcW w:w="1980" w:type="dxa"/>
          </w:tcPr>
          <w:p w14:paraId="56FB6019" w14:textId="77777777" w:rsidR="004160B5" w:rsidRPr="00937401" w:rsidRDefault="004160B5" w:rsidP="00CD6177">
            <w:pPr>
              <w:pStyle w:val="TableText"/>
              <w:rPr>
                <w:lang w:val="en-AU"/>
              </w:rPr>
            </w:pPr>
            <w:r w:rsidRPr="00937401">
              <w:rPr>
                <w:lang w:val="en-AU"/>
              </w:rPr>
              <w:t>Difference</w:t>
            </w:r>
          </w:p>
        </w:tc>
        <w:tc>
          <w:tcPr>
            <w:tcW w:w="2520" w:type="dxa"/>
            <w:vMerge/>
            <w:vAlign w:val="center"/>
          </w:tcPr>
          <w:p w14:paraId="04A29147" w14:textId="77777777" w:rsidR="004160B5" w:rsidRPr="00937401" w:rsidRDefault="004160B5" w:rsidP="00CD6177">
            <w:pPr>
              <w:pStyle w:val="TableText"/>
              <w:rPr>
                <w:lang w:val="en-AU"/>
              </w:rPr>
            </w:pPr>
          </w:p>
        </w:tc>
        <w:tc>
          <w:tcPr>
            <w:tcW w:w="1171" w:type="dxa"/>
            <w:vMerge/>
            <w:vAlign w:val="center"/>
          </w:tcPr>
          <w:p w14:paraId="6BABFD5F" w14:textId="77777777" w:rsidR="004160B5" w:rsidRPr="00937401" w:rsidRDefault="004160B5" w:rsidP="00CD6177">
            <w:pPr>
              <w:pStyle w:val="TableText"/>
              <w:rPr>
                <w:lang w:val="en-AU"/>
              </w:rPr>
            </w:pPr>
          </w:p>
        </w:tc>
      </w:tr>
      <w:tr w:rsidR="004160B5" w:rsidRPr="00C22439" w14:paraId="21C65D13" w14:textId="77777777">
        <w:trPr>
          <w:trHeight w:val="973"/>
        </w:trPr>
        <w:tc>
          <w:tcPr>
            <w:tcW w:w="895" w:type="dxa"/>
          </w:tcPr>
          <w:p w14:paraId="4637CA42" w14:textId="77777777" w:rsidR="004160B5" w:rsidRPr="00937401" w:rsidRDefault="004160B5" w:rsidP="00CD6177">
            <w:pPr>
              <w:pStyle w:val="TableText"/>
              <w:rPr>
                <w:lang w:val="en-AU"/>
              </w:rPr>
            </w:pPr>
            <w:r w:rsidRPr="00937401">
              <w:rPr>
                <w:lang w:val="en-AU"/>
              </w:rPr>
              <w:t>2.4.1</w:t>
            </w:r>
          </w:p>
        </w:tc>
        <w:tc>
          <w:tcPr>
            <w:tcW w:w="1800" w:type="dxa"/>
          </w:tcPr>
          <w:p w14:paraId="65572608" w14:textId="1C03B80D" w:rsidR="004160B5" w:rsidRPr="00937401" w:rsidRDefault="004160B5" w:rsidP="00CD6177">
            <w:pPr>
              <w:pStyle w:val="TableText"/>
              <w:rPr>
                <w:lang w:val="en-AU"/>
              </w:rPr>
            </w:pPr>
            <w:r w:rsidRPr="00937401">
              <w:rPr>
                <w:lang w:val="en-AU"/>
              </w:rPr>
              <w:t xml:space="preserve">Treatment site healing at </w:t>
            </w:r>
            <w:r w:rsidR="00D10A57">
              <w:rPr>
                <w:lang w:val="en-AU"/>
              </w:rPr>
              <w:t>w</w:t>
            </w:r>
            <w:r w:rsidRPr="00937401">
              <w:rPr>
                <w:lang w:val="en-AU"/>
              </w:rPr>
              <w:t>eek 8</w:t>
            </w:r>
          </w:p>
        </w:tc>
        <w:tc>
          <w:tcPr>
            <w:tcW w:w="1260" w:type="dxa"/>
          </w:tcPr>
          <w:p w14:paraId="5B5AFBDD" w14:textId="77777777" w:rsidR="004160B5" w:rsidRPr="00937401" w:rsidRDefault="004160B5" w:rsidP="00CD6177">
            <w:pPr>
              <w:pStyle w:val="TableText"/>
              <w:rPr>
                <w:lang w:val="en-AU"/>
              </w:rPr>
            </w:pPr>
            <w:r w:rsidRPr="00937401">
              <w:rPr>
                <w:lang w:val="en-AU"/>
              </w:rPr>
              <w:t>n=35</w:t>
            </w:r>
          </w:p>
          <w:p w14:paraId="78BD2382" w14:textId="6E3DE4A4" w:rsidR="004160B5" w:rsidRPr="00937401" w:rsidRDefault="004160B5" w:rsidP="00CD6177">
            <w:pPr>
              <w:pStyle w:val="TableText"/>
              <w:rPr>
                <w:highlight w:val="yellow"/>
                <w:lang w:val="en-AU"/>
              </w:rPr>
            </w:pPr>
            <w:r w:rsidRPr="00937401">
              <w:rPr>
                <w:lang w:val="en-AU"/>
              </w:rPr>
              <w:t>(2 RCTs</w:t>
            </w:r>
            <w:r w:rsidR="0029015F" w:rsidRPr="00937401">
              <w:rPr>
                <w:lang w:val="en-AU"/>
              </w:rPr>
              <w:t>: CTP00-6 CTP00-7</w:t>
            </w:r>
            <w:r w:rsidRPr="00937401">
              <w:rPr>
                <w:lang w:val="en-AU"/>
              </w:rPr>
              <w:t>)</w:t>
            </w:r>
          </w:p>
        </w:tc>
        <w:tc>
          <w:tcPr>
            <w:tcW w:w="1170" w:type="dxa"/>
          </w:tcPr>
          <w:p w14:paraId="0B0832F5" w14:textId="76881563" w:rsidR="004160B5" w:rsidRPr="00937401" w:rsidRDefault="004160B5" w:rsidP="00CD6177">
            <w:pPr>
              <w:pStyle w:val="TableText"/>
              <w:rPr>
                <w:lang w:val="en-AU"/>
              </w:rPr>
            </w:pPr>
            <w:r w:rsidRPr="00937401">
              <w:rPr>
                <w:lang w:val="en-AU"/>
              </w:rPr>
              <w:t>RR 1.05</w:t>
            </w:r>
            <w:r w:rsidRPr="00937401">
              <w:rPr>
                <w:lang w:val="en-AU"/>
              </w:rPr>
              <w:br/>
              <w:t>(0.91 to 1.20)</w:t>
            </w:r>
          </w:p>
        </w:tc>
        <w:tc>
          <w:tcPr>
            <w:tcW w:w="1890" w:type="dxa"/>
          </w:tcPr>
          <w:p w14:paraId="549796E0" w14:textId="77777777" w:rsidR="004160B5" w:rsidRPr="00937401" w:rsidRDefault="004160B5" w:rsidP="00CD6177">
            <w:pPr>
              <w:pStyle w:val="TableText"/>
              <w:rPr>
                <w:lang w:val="en-AU"/>
              </w:rPr>
            </w:pPr>
            <w:r w:rsidRPr="00937401">
              <w:rPr>
                <w:lang w:val="en-AU"/>
              </w:rPr>
              <w:t>94.3%</w:t>
            </w:r>
          </w:p>
        </w:tc>
        <w:tc>
          <w:tcPr>
            <w:tcW w:w="1890" w:type="dxa"/>
          </w:tcPr>
          <w:p w14:paraId="56840037" w14:textId="77777777" w:rsidR="004160B5" w:rsidRPr="00937401" w:rsidRDefault="004160B5" w:rsidP="00CD6177">
            <w:pPr>
              <w:pStyle w:val="TableText"/>
              <w:rPr>
                <w:lang w:val="en-AU"/>
              </w:rPr>
            </w:pPr>
            <w:r w:rsidRPr="00937401">
              <w:rPr>
                <w:lang w:val="en-AU"/>
              </w:rPr>
              <w:t>88.6%</w:t>
            </w:r>
          </w:p>
        </w:tc>
        <w:tc>
          <w:tcPr>
            <w:tcW w:w="1980" w:type="dxa"/>
          </w:tcPr>
          <w:p w14:paraId="21092CF4" w14:textId="77777777" w:rsidR="004160B5" w:rsidRPr="00937401" w:rsidRDefault="004160B5" w:rsidP="00CD6177">
            <w:pPr>
              <w:pStyle w:val="TableText"/>
              <w:rPr>
                <w:lang w:val="en-AU"/>
              </w:rPr>
            </w:pPr>
            <w:r w:rsidRPr="00937401">
              <w:rPr>
                <w:lang w:val="en-AU"/>
              </w:rPr>
              <w:t>44 more per 1,000</w:t>
            </w:r>
            <w:r w:rsidRPr="00937401">
              <w:rPr>
                <w:lang w:val="en-AU"/>
              </w:rPr>
              <w:br/>
              <w:t>(from 80 fewer to 177 more)</w:t>
            </w:r>
          </w:p>
        </w:tc>
        <w:tc>
          <w:tcPr>
            <w:tcW w:w="2520" w:type="dxa"/>
          </w:tcPr>
          <w:p w14:paraId="780E407D" w14:textId="77777777" w:rsidR="004160B5" w:rsidRPr="00937401" w:rsidRDefault="004160B5" w:rsidP="00CD6177">
            <w:pPr>
              <w:pStyle w:val="TableText"/>
              <w:rPr>
                <w:highlight w:val="yellow"/>
                <w:lang w:val="en-AU"/>
              </w:rPr>
            </w:pPr>
            <w:r w:rsidRPr="00937401">
              <w:rPr>
                <w:lang w:val="en-AU"/>
              </w:rPr>
              <w:t>ASCS + STSG may reduce or have no effect on treatment site healing (8 weeks)</w:t>
            </w:r>
          </w:p>
        </w:tc>
        <w:tc>
          <w:tcPr>
            <w:tcW w:w="1171" w:type="dxa"/>
          </w:tcPr>
          <w:p w14:paraId="55CCEFEC" w14:textId="77777777" w:rsidR="004160B5" w:rsidRPr="00937401" w:rsidRDefault="004160B5" w:rsidP="00CD6177">
            <w:pPr>
              <w:pStyle w:val="TableText"/>
              <w:rPr>
                <w:lang w:val="en-AU"/>
              </w:rPr>
            </w:pPr>
            <w:r w:rsidRPr="00EA6375">
              <w:rPr>
                <w:rFonts w:ascii="Cambria Math" w:hAnsi="Cambria Math"/>
                <w:color w:val="388600"/>
                <w:lang w:val="en-AU"/>
              </w:rPr>
              <w:t>⨁⨁</w:t>
            </w:r>
            <w:r w:rsidRPr="00937401">
              <w:rPr>
                <w:rFonts w:ascii="Cambria Math" w:hAnsi="Cambria Math"/>
                <w:color w:val="C00000"/>
                <w:lang w:val="en-AU"/>
              </w:rPr>
              <w:t>⨀⨀</w:t>
            </w:r>
            <w:r w:rsidRPr="00937401">
              <w:rPr>
                <w:rFonts w:eastAsia="Aptos" w:cs="Arial"/>
                <w:snapToGrid w:val="0"/>
                <w:sz w:val="14"/>
                <w:lang w:val="en-AU" w:eastAsia="en-AU"/>
              </w:rPr>
              <w:t xml:space="preserve"> </w:t>
            </w:r>
            <w:r w:rsidRPr="00937401">
              <w:rPr>
                <w:rFonts w:eastAsia="Aptos" w:cs="Arial"/>
                <w:snapToGrid w:val="0"/>
                <w:sz w:val="14"/>
                <w:lang w:val="en-AU" w:eastAsia="en-AU"/>
              </w:rPr>
              <w:br/>
            </w:r>
            <w:r w:rsidRPr="00937401">
              <w:rPr>
                <w:szCs w:val="18"/>
                <w:lang w:val="en-AU"/>
              </w:rPr>
              <w:t>Low</w:t>
            </w:r>
            <w:r w:rsidRPr="00937401">
              <w:rPr>
                <w:vertAlign w:val="superscript"/>
                <w:lang w:val="en-AU"/>
              </w:rPr>
              <w:t>a,b,c,d</w:t>
            </w:r>
          </w:p>
          <w:p w14:paraId="321D1BF5" w14:textId="77777777" w:rsidR="004160B5" w:rsidRPr="00937401" w:rsidRDefault="004160B5" w:rsidP="00CD6177">
            <w:pPr>
              <w:pStyle w:val="TableText"/>
              <w:rPr>
                <w:lang w:val="en-AU"/>
              </w:rPr>
            </w:pPr>
          </w:p>
        </w:tc>
      </w:tr>
      <w:tr w:rsidR="004160B5" w:rsidRPr="00C22439" w14:paraId="136F1004" w14:textId="77777777">
        <w:trPr>
          <w:trHeight w:val="60"/>
        </w:trPr>
        <w:tc>
          <w:tcPr>
            <w:tcW w:w="895" w:type="dxa"/>
          </w:tcPr>
          <w:p w14:paraId="51ED57ED" w14:textId="77777777" w:rsidR="004160B5" w:rsidRPr="00937401" w:rsidRDefault="004160B5" w:rsidP="00CD6177">
            <w:pPr>
              <w:pStyle w:val="TableText"/>
              <w:rPr>
                <w:highlight w:val="yellow"/>
                <w:lang w:val="en-AU"/>
              </w:rPr>
            </w:pPr>
            <w:r w:rsidRPr="00937401">
              <w:rPr>
                <w:lang w:val="en-AU"/>
              </w:rPr>
              <w:t>2.4.2</w:t>
            </w:r>
          </w:p>
        </w:tc>
        <w:tc>
          <w:tcPr>
            <w:tcW w:w="1800" w:type="dxa"/>
          </w:tcPr>
          <w:p w14:paraId="1952F784" w14:textId="77777777" w:rsidR="004160B5" w:rsidRPr="00937401" w:rsidRDefault="004160B5" w:rsidP="00CD6177">
            <w:pPr>
              <w:pStyle w:val="TableText"/>
              <w:rPr>
                <w:lang w:val="en-AU"/>
              </w:rPr>
            </w:pPr>
            <w:r w:rsidRPr="00937401">
              <w:rPr>
                <w:lang w:val="en-AU"/>
              </w:rPr>
              <w:t>Donor site reduction</w:t>
            </w:r>
          </w:p>
        </w:tc>
        <w:tc>
          <w:tcPr>
            <w:tcW w:w="1260" w:type="dxa"/>
          </w:tcPr>
          <w:p w14:paraId="1EEE4352" w14:textId="77777777" w:rsidR="004160B5" w:rsidRPr="00937401" w:rsidRDefault="004160B5" w:rsidP="00CD6177">
            <w:pPr>
              <w:pStyle w:val="TableText"/>
              <w:rPr>
                <w:lang w:val="en-AU"/>
              </w:rPr>
            </w:pPr>
            <w:r w:rsidRPr="00937401">
              <w:rPr>
                <w:lang w:val="en-AU"/>
              </w:rPr>
              <w:t>n=30</w:t>
            </w:r>
          </w:p>
          <w:p w14:paraId="35995564" w14:textId="328BB4E5" w:rsidR="004160B5" w:rsidRPr="00937401" w:rsidRDefault="004160B5" w:rsidP="00CD6177">
            <w:pPr>
              <w:pStyle w:val="TableText"/>
              <w:rPr>
                <w:lang w:val="en-AU"/>
              </w:rPr>
            </w:pPr>
            <w:r w:rsidRPr="00937401">
              <w:rPr>
                <w:lang w:val="en-AU"/>
              </w:rPr>
              <w:t>(1 RCT</w:t>
            </w:r>
            <w:r w:rsidR="00DE1DF4" w:rsidRPr="00937401">
              <w:rPr>
                <w:lang w:val="en-AU"/>
              </w:rPr>
              <w:t xml:space="preserve">: </w:t>
            </w:r>
            <w:r w:rsidR="008E4DD9" w:rsidRPr="00937401">
              <w:rPr>
                <w:lang w:val="en-AU"/>
              </w:rPr>
              <w:t>CTP00-6</w:t>
            </w:r>
            <w:r w:rsidRPr="00937401">
              <w:rPr>
                <w:lang w:val="en-AU"/>
              </w:rPr>
              <w:t>)</w:t>
            </w:r>
          </w:p>
        </w:tc>
        <w:tc>
          <w:tcPr>
            <w:tcW w:w="1170" w:type="dxa"/>
          </w:tcPr>
          <w:p w14:paraId="566DA46F" w14:textId="77777777" w:rsidR="004160B5" w:rsidRPr="00937401" w:rsidRDefault="004160B5" w:rsidP="00CD6177">
            <w:pPr>
              <w:pStyle w:val="TableText"/>
              <w:rPr>
                <w:lang w:val="en-AU"/>
              </w:rPr>
            </w:pPr>
            <w:r w:rsidRPr="00937401">
              <w:rPr>
                <w:lang w:val="en-AU"/>
              </w:rPr>
              <w:t>-</w:t>
            </w:r>
          </w:p>
        </w:tc>
        <w:tc>
          <w:tcPr>
            <w:tcW w:w="1890" w:type="dxa"/>
          </w:tcPr>
          <w:p w14:paraId="474A1EA0" w14:textId="24E4B8A3" w:rsidR="004160B5" w:rsidRPr="00937401" w:rsidRDefault="004160B5" w:rsidP="00CD6177">
            <w:pPr>
              <w:pStyle w:val="TableText"/>
              <w:rPr>
                <w:lang w:val="en-AU"/>
              </w:rPr>
            </w:pPr>
            <w:r w:rsidRPr="00937401">
              <w:rPr>
                <w:lang w:val="en-AU"/>
              </w:rPr>
              <w:t xml:space="preserve">Mean donor site size: </w:t>
            </w:r>
            <w:r w:rsidRPr="00937401">
              <w:rPr>
                <w:lang w:val="en-AU"/>
              </w:rPr>
              <w:br/>
              <w:t xml:space="preserve">264 </w:t>
            </w:r>
            <w:r w:rsidR="005A68E6" w:rsidRPr="00937401">
              <w:rPr>
                <w:lang w:val="en-AU"/>
              </w:rPr>
              <w:t>cm</w:t>
            </w:r>
            <w:r w:rsidR="005A68E6" w:rsidRPr="00937401">
              <w:rPr>
                <w:vertAlign w:val="superscript"/>
                <w:lang w:val="en-AU"/>
              </w:rPr>
              <w:t>2</w:t>
            </w:r>
            <w:r w:rsidR="005A68E6" w:rsidRPr="00937401">
              <w:rPr>
                <w:lang w:val="en-AU"/>
              </w:rPr>
              <w:t xml:space="preserve"> </w:t>
            </w:r>
            <w:r w:rsidRPr="00937401">
              <w:rPr>
                <w:lang w:val="en-AU"/>
              </w:rPr>
              <w:t xml:space="preserve">(SD 119) </w:t>
            </w:r>
          </w:p>
        </w:tc>
        <w:tc>
          <w:tcPr>
            <w:tcW w:w="1890" w:type="dxa"/>
          </w:tcPr>
          <w:p w14:paraId="0185B3F9" w14:textId="0B2BE723" w:rsidR="004160B5" w:rsidRPr="00937401" w:rsidRDefault="004160B5" w:rsidP="00CD6177">
            <w:pPr>
              <w:pStyle w:val="TableText"/>
              <w:rPr>
                <w:lang w:val="en-AU"/>
              </w:rPr>
            </w:pPr>
            <w:r w:rsidRPr="00937401">
              <w:rPr>
                <w:lang w:val="en-AU"/>
              </w:rPr>
              <w:t xml:space="preserve">Mean donor site size: </w:t>
            </w:r>
            <w:r w:rsidRPr="00937401">
              <w:rPr>
                <w:lang w:val="en-AU"/>
              </w:rPr>
              <w:br/>
              <w:t xml:space="preserve">368 </w:t>
            </w:r>
            <w:r w:rsidR="00542753" w:rsidRPr="00937401">
              <w:rPr>
                <w:lang w:val="en-AU"/>
              </w:rPr>
              <w:t>cm</w:t>
            </w:r>
            <w:r w:rsidR="00542753" w:rsidRPr="00937401">
              <w:rPr>
                <w:vertAlign w:val="superscript"/>
                <w:lang w:val="en-AU"/>
              </w:rPr>
              <w:t>2</w:t>
            </w:r>
            <w:r w:rsidR="00542753" w:rsidRPr="00937401">
              <w:rPr>
                <w:lang w:val="en-AU"/>
              </w:rPr>
              <w:t xml:space="preserve"> </w:t>
            </w:r>
            <w:r w:rsidRPr="00937401">
              <w:rPr>
                <w:lang w:val="en-AU"/>
              </w:rPr>
              <w:t xml:space="preserve">(SD 150) </w:t>
            </w:r>
          </w:p>
        </w:tc>
        <w:tc>
          <w:tcPr>
            <w:tcW w:w="1980" w:type="dxa"/>
          </w:tcPr>
          <w:p w14:paraId="015614C1" w14:textId="77777777" w:rsidR="004160B5" w:rsidRPr="00937401" w:rsidRDefault="004160B5" w:rsidP="00CD6177">
            <w:pPr>
              <w:pStyle w:val="TableText"/>
              <w:rPr>
                <w:highlight w:val="yellow"/>
                <w:lang w:val="en-AU"/>
              </w:rPr>
            </w:pPr>
            <w:r w:rsidRPr="0099628B">
              <w:rPr>
                <w:b/>
                <w:lang w:val="en-AU"/>
              </w:rPr>
              <w:t>MD 104.00 cm</w:t>
            </w:r>
            <w:r w:rsidRPr="0099628B">
              <w:rPr>
                <w:b/>
                <w:vertAlign w:val="superscript"/>
                <w:lang w:val="en-AU"/>
              </w:rPr>
              <w:t>2</w:t>
            </w:r>
            <w:r w:rsidRPr="0099628B">
              <w:rPr>
                <w:b/>
                <w:lang w:val="en-AU"/>
              </w:rPr>
              <w:t xml:space="preserve"> lower</w:t>
            </w:r>
            <w:r w:rsidRPr="00937401">
              <w:rPr>
                <w:lang w:val="en-AU"/>
              </w:rPr>
              <w:br/>
              <w:t>(172.52 to 35.48 lower)</w:t>
            </w:r>
          </w:p>
        </w:tc>
        <w:tc>
          <w:tcPr>
            <w:tcW w:w="2520" w:type="dxa"/>
          </w:tcPr>
          <w:p w14:paraId="5E66D38E" w14:textId="77777777" w:rsidR="004160B5" w:rsidRPr="00937401" w:rsidRDefault="004160B5" w:rsidP="00CD6177">
            <w:pPr>
              <w:pStyle w:val="TableText"/>
              <w:rPr>
                <w:highlight w:val="yellow"/>
                <w:lang w:val="en-AU"/>
              </w:rPr>
            </w:pPr>
            <w:r w:rsidRPr="00937401">
              <w:rPr>
                <w:lang w:val="en-AU"/>
              </w:rPr>
              <w:t>ASCS + STSG reduces donor site size</w:t>
            </w:r>
          </w:p>
        </w:tc>
        <w:tc>
          <w:tcPr>
            <w:tcW w:w="1171" w:type="dxa"/>
          </w:tcPr>
          <w:p w14:paraId="29CED0B4" w14:textId="77777777" w:rsidR="004160B5" w:rsidRPr="00937401" w:rsidRDefault="004160B5" w:rsidP="00CD6177">
            <w:pPr>
              <w:pStyle w:val="TableText"/>
              <w:rPr>
                <w:lang w:val="en-AU"/>
              </w:rPr>
            </w:pPr>
            <w:r w:rsidRPr="00EA6375">
              <w:rPr>
                <w:rFonts w:ascii="Cambria Math" w:hAnsi="Cambria Math"/>
                <w:color w:val="388600"/>
                <w:lang w:val="en-AU"/>
              </w:rPr>
              <w:t>⨁⨁</w:t>
            </w:r>
            <w:r w:rsidRPr="00937401">
              <w:rPr>
                <w:rFonts w:ascii="Cambria Math" w:hAnsi="Cambria Math"/>
                <w:color w:val="C00000"/>
                <w:lang w:val="en-AU"/>
              </w:rPr>
              <w:t>⨀⨀</w:t>
            </w:r>
            <w:r w:rsidRPr="00937401">
              <w:rPr>
                <w:rFonts w:eastAsia="Aptos" w:cs="Arial"/>
                <w:snapToGrid w:val="0"/>
                <w:sz w:val="14"/>
                <w:lang w:val="en-AU" w:eastAsia="en-AU"/>
              </w:rPr>
              <w:t xml:space="preserve"> </w:t>
            </w:r>
            <w:r w:rsidRPr="00937401">
              <w:rPr>
                <w:rFonts w:eastAsia="Aptos" w:cs="Arial"/>
                <w:snapToGrid w:val="0"/>
                <w:sz w:val="14"/>
                <w:lang w:val="en-AU" w:eastAsia="en-AU"/>
              </w:rPr>
              <w:br/>
            </w:r>
            <w:r w:rsidRPr="00937401">
              <w:rPr>
                <w:szCs w:val="18"/>
                <w:lang w:val="en-AU"/>
              </w:rPr>
              <w:t xml:space="preserve">Low </w:t>
            </w:r>
            <w:r w:rsidRPr="00937401">
              <w:rPr>
                <w:vertAlign w:val="superscript"/>
                <w:lang w:val="en-AU"/>
              </w:rPr>
              <w:t>a,c,d</w:t>
            </w:r>
          </w:p>
          <w:p w14:paraId="7E295A03" w14:textId="77777777" w:rsidR="004160B5" w:rsidRPr="00937401" w:rsidRDefault="004160B5" w:rsidP="00CD6177">
            <w:pPr>
              <w:pStyle w:val="TableText"/>
              <w:rPr>
                <w:lang w:val="en-AU"/>
              </w:rPr>
            </w:pPr>
          </w:p>
        </w:tc>
      </w:tr>
      <w:tr w:rsidR="004160B5" w:rsidRPr="00C22439" w14:paraId="59D872BC" w14:textId="77777777">
        <w:trPr>
          <w:trHeight w:val="70"/>
        </w:trPr>
        <w:tc>
          <w:tcPr>
            <w:tcW w:w="895" w:type="dxa"/>
          </w:tcPr>
          <w:p w14:paraId="26C624B9" w14:textId="77777777" w:rsidR="004160B5" w:rsidRPr="00937401" w:rsidRDefault="004160B5" w:rsidP="00CD6177">
            <w:pPr>
              <w:pStyle w:val="TableText"/>
              <w:rPr>
                <w:highlight w:val="yellow"/>
                <w:lang w:val="en-AU"/>
              </w:rPr>
            </w:pPr>
            <w:r w:rsidRPr="00937401">
              <w:rPr>
                <w:lang w:val="en-AU"/>
              </w:rPr>
              <w:t xml:space="preserve">2.3.1 </w:t>
            </w:r>
          </w:p>
        </w:tc>
        <w:tc>
          <w:tcPr>
            <w:tcW w:w="1800" w:type="dxa"/>
          </w:tcPr>
          <w:p w14:paraId="1A7B9AAF" w14:textId="77777777" w:rsidR="004160B5" w:rsidRPr="00937401" w:rsidRDefault="004160B5" w:rsidP="00CD6177">
            <w:pPr>
              <w:pStyle w:val="TableText"/>
              <w:rPr>
                <w:highlight w:val="yellow"/>
                <w:lang w:val="en-AU"/>
              </w:rPr>
            </w:pPr>
            <w:r w:rsidRPr="00937401">
              <w:rPr>
                <w:lang w:val="en-AU"/>
              </w:rPr>
              <w:t>Total AEs</w:t>
            </w:r>
          </w:p>
        </w:tc>
        <w:tc>
          <w:tcPr>
            <w:tcW w:w="1260" w:type="dxa"/>
          </w:tcPr>
          <w:p w14:paraId="12E9FE60" w14:textId="77777777" w:rsidR="004160B5" w:rsidRPr="00937401" w:rsidRDefault="004160B5" w:rsidP="00CD6177">
            <w:pPr>
              <w:pStyle w:val="TableText"/>
              <w:rPr>
                <w:lang w:val="en-AU"/>
              </w:rPr>
            </w:pPr>
            <w:r w:rsidRPr="00937401">
              <w:rPr>
                <w:lang w:val="en-AU"/>
              </w:rPr>
              <w:t>n=42</w:t>
            </w:r>
          </w:p>
          <w:p w14:paraId="35D05156" w14:textId="2FBEA1BA" w:rsidR="004160B5" w:rsidRPr="00937401" w:rsidRDefault="004160B5" w:rsidP="00CD6177">
            <w:pPr>
              <w:pStyle w:val="TableText"/>
              <w:rPr>
                <w:lang w:val="en-AU"/>
              </w:rPr>
            </w:pPr>
            <w:r w:rsidRPr="00937401">
              <w:rPr>
                <w:lang w:val="en-AU"/>
              </w:rPr>
              <w:t>(2 RCTs</w:t>
            </w:r>
            <w:r w:rsidR="00C33FE7" w:rsidRPr="00937401">
              <w:rPr>
                <w:lang w:val="en-AU"/>
              </w:rPr>
              <w:t>:</w:t>
            </w:r>
            <w:r w:rsidR="00C81714" w:rsidRPr="00937401">
              <w:rPr>
                <w:lang w:val="en-AU"/>
              </w:rPr>
              <w:t xml:space="preserve"> </w:t>
            </w:r>
            <w:r w:rsidR="00D71C5B" w:rsidRPr="00937401">
              <w:rPr>
                <w:lang w:val="en-AU"/>
              </w:rPr>
              <w:t>CTP00-</w:t>
            </w:r>
            <w:r w:rsidR="00DE1DF4" w:rsidRPr="00937401">
              <w:rPr>
                <w:lang w:val="en-AU"/>
              </w:rPr>
              <w:t>6,</w:t>
            </w:r>
            <w:r w:rsidR="00D71C5B" w:rsidRPr="00937401">
              <w:rPr>
                <w:lang w:val="en-AU"/>
              </w:rPr>
              <w:t xml:space="preserve"> CTP00-7</w:t>
            </w:r>
            <w:r w:rsidRPr="00937401">
              <w:rPr>
                <w:lang w:val="en-AU"/>
              </w:rPr>
              <w:t>)</w:t>
            </w:r>
          </w:p>
        </w:tc>
        <w:tc>
          <w:tcPr>
            <w:tcW w:w="1170" w:type="dxa"/>
          </w:tcPr>
          <w:p w14:paraId="13CD2D62" w14:textId="5DA9706C" w:rsidR="004160B5" w:rsidRPr="00937401" w:rsidRDefault="004160B5" w:rsidP="00CD6177">
            <w:pPr>
              <w:pStyle w:val="TableText"/>
              <w:rPr>
                <w:lang w:val="en-AU"/>
              </w:rPr>
            </w:pPr>
            <w:r w:rsidRPr="00937401">
              <w:rPr>
                <w:lang w:val="en-AU"/>
              </w:rPr>
              <w:t>RR 1.43</w:t>
            </w:r>
            <w:r w:rsidRPr="00937401">
              <w:rPr>
                <w:lang w:val="en-AU"/>
              </w:rPr>
              <w:br/>
              <w:t>(0.50 to 4.09)</w:t>
            </w:r>
          </w:p>
        </w:tc>
        <w:tc>
          <w:tcPr>
            <w:tcW w:w="1890" w:type="dxa"/>
          </w:tcPr>
          <w:p w14:paraId="4152B39C" w14:textId="77777777" w:rsidR="004160B5" w:rsidRPr="00937401" w:rsidRDefault="004160B5" w:rsidP="00CD6177">
            <w:pPr>
              <w:pStyle w:val="TableText"/>
              <w:rPr>
                <w:lang w:val="en-AU"/>
              </w:rPr>
            </w:pPr>
            <w:r w:rsidRPr="00937401">
              <w:rPr>
                <w:lang w:val="en-AU"/>
              </w:rPr>
              <w:t>54.8%</w:t>
            </w:r>
          </w:p>
        </w:tc>
        <w:tc>
          <w:tcPr>
            <w:tcW w:w="1890" w:type="dxa"/>
          </w:tcPr>
          <w:p w14:paraId="1CC14B8E" w14:textId="77777777" w:rsidR="004160B5" w:rsidRPr="00937401" w:rsidRDefault="004160B5" w:rsidP="00CD6177">
            <w:pPr>
              <w:pStyle w:val="TableText"/>
              <w:rPr>
                <w:lang w:val="en-AU"/>
              </w:rPr>
            </w:pPr>
            <w:r w:rsidRPr="00937401">
              <w:rPr>
                <w:lang w:val="en-AU"/>
              </w:rPr>
              <w:t>45.2%</w:t>
            </w:r>
          </w:p>
          <w:p w14:paraId="3E7C3EEF" w14:textId="77777777" w:rsidR="004160B5" w:rsidRPr="00937401" w:rsidRDefault="004160B5" w:rsidP="00CD6177">
            <w:pPr>
              <w:pStyle w:val="TableText"/>
              <w:rPr>
                <w:lang w:val="en-AU"/>
              </w:rPr>
            </w:pPr>
          </w:p>
        </w:tc>
        <w:tc>
          <w:tcPr>
            <w:tcW w:w="1980" w:type="dxa"/>
          </w:tcPr>
          <w:p w14:paraId="3F872114" w14:textId="77777777" w:rsidR="004160B5" w:rsidRPr="00937401" w:rsidRDefault="004160B5" w:rsidP="00CD6177">
            <w:pPr>
              <w:pStyle w:val="TableText"/>
              <w:rPr>
                <w:highlight w:val="yellow"/>
                <w:lang w:val="en-AU"/>
              </w:rPr>
            </w:pPr>
            <w:r w:rsidRPr="00937401">
              <w:rPr>
                <w:lang w:val="en-AU"/>
              </w:rPr>
              <w:t>195 more per 1,000</w:t>
            </w:r>
            <w:r w:rsidRPr="00937401">
              <w:rPr>
                <w:lang w:val="en-AU"/>
              </w:rPr>
              <w:br/>
              <w:t>(from 226 fewer to 1,000 more)</w:t>
            </w:r>
          </w:p>
        </w:tc>
        <w:tc>
          <w:tcPr>
            <w:tcW w:w="2520" w:type="dxa"/>
          </w:tcPr>
          <w:p w14:paraId="3E0CD654" w14:textId="77777777" w:rsidR="004160B5" w:rsidRPr="00937401" w:rsidRDefault="004160B5" w:rsidP="00CD6177">
            <w:pPr>
              <w:pStyle w:val="TableText"/>
              <w:rPr>
                <w:highlight w:val="yellow"/>
                <w:lang w:val="en-AU"/>
              </w:rPr>
            </w:pPr>
            <w:r w:rsidRPr="00937401">
              <w:rPr>
                <w:lang w:val="en-AU"/>
              </w:rPr>
              <w:t>ASCS + STSG may increase or have little to no effect on total AEs (52 weeks)</w:t>
            </w:r>
          </w:p>
        </w:tc>
        <w:tc>
          <w:tcPr>
            <w:tcW w:w="1171" w:type="dxa"/>
          </w:tcPr>
          <w:p w14:paraId="0D873B19" w14:textId="77777777" w:rsidR="004160B5" w:rsidRPr="00937401" w:rsidRDefault="004160B5" w:rsidP="00CD6177">
            <w:pPr>
              <w:pStyle w:val="TableText"/>
              <w:rPr>
                <w:lang w:val="en-AU"/>
              </w:rPr>
            </w:pPr>
            <w:r w:rsidRPr="00EA6375">
              <w:rPr>
                <w:rFonts w:ascii="Cambria Math" w:hAnsi="Cambria Math"/>
                <w:color w:val="388600"/>
                <w:lang w:val="en-AU"/>
              </w:rPr>
              <w:t>⨁⨁</w:t>
            </w:r>
            <w:r w:rsidRPr="00937401">
              <w:rPr>
                <w:rFonts w:ascii="Cambria Math" w:hAnsi="Cambria Math"/>
                <w:color w:val="C00000"/>
                <w:lang w:val="en-AU"/>
              </w:rPr>
              <w:t>⨀⨀</w:t>
            </w:r>
            <w:r w:rsidRPr="00937401">
              <w:rPr>
                <w:rFonts w:eastAsia="Aptos" w:cs="Arial"/>
                <w:snapToGrid w:val="0"/>
                <w:sz w:val="14"/>
                <w:lang w:val="en-AU" w:eastAsia="en-AU"/>
              </w:rPr>
              <w:t xml:space="preserve"> </w:t>
            </w:r>
            <w:r w:rsidRPr="00937401">
              <w:rPr>
                <w:rFonts w:eastAsia="Aptos" w:cs="Arial"/>
                <w:snapToGrid w:val="0"/>
                <w:sz w:val="14"/>
                <w:lang w:val="en-AU" w:eastAsia="en-AU"/>
              </w:rPr>
              <w:br/>
            </w:r>
            <w:r w:rsidRPr="00937401">
              <w:rPr>
                <w:szCs w:val="18"/>
                <w:lang w:val="en-AU"/>
              </w:rPr>
              <w:t xml:space="preserve">Low </w:t>
            </w:r>
            <w:r w:rsidRPr="00937401">
              <w:rPr>
                <w:vertAlign w:val="superscript"/>
                <w:lang w:val="en-AU"/>
              </w:rPr>
              <w:t>a,b,c,d</w:t>
            </w:r>
          </w:p>
          <w:p w14:paraId="17F2D4BF" w14:textId="77777777" w:rsidR="004160B5" w:rsidRPr="00937401" w:rsidRDefault="004160B5" w:rsidP="00CD6177">
            <w:pPr>
              <w:pStyle w:val="TableText"/>
              <w:rPr>
                <w:lang w:val="en-AU"/>
              </w:rPr>
            </w:pPr>
          </w:p>
        </w:tc>
      </w:tr>
    </w:tbl>
    <w:p w14:paraId="5FB67DD9" w14:textId="4F162539" w:rsidR="004160B5" w:rsidRPr="00C22439" w:rsidRDefault="004160B5" w:rsidP="00450AC6">
      <w:pPr>
        <w:pStyle w:val="Tablenotes0"/>
        <w:rPr>
          <w:snapToGrid w:val="0"/>
          <w:lang w:eastAsia="en-AU"/>
        </w:rPr>
      </w:pPr>
      <w:r w:rsidRPr="00C22439">
        <w:rPr>
          <w:snapToGrid w:val="0"/>
          <w:lang w:eastAsia="en-AU"/>
        </w:rPr>
        <w:t>Abbreviations: AE</w:t>
      </w:r>
      <w:r w:rsidR="008B7624">
        <w:rPr>
          <w:snapToGrid w:val="0"/>
          <w:lang w:eastAsia="en-AU"/>
        </w:rPr>
        <w:t xml:space="preserve"> = </w:t>
      </w:r>
      <w:r w:rsidRPr="00C22439">
        <w:rPr>
          <w:snapToGrid w:val="0"/>
          <w:lang w:eastAsia="en-AU"/>
        </w:rPr>
        <w:t>adverse event; ASCS</w:t>
      </w:r>
      <w:r w:rsidR="008B7624">
        <w:rPr>
          <w:snapToGrid w:val="0"/>
          <w:lang w:eastAsia="en-AU"/>
        </w:rPr>
        <w:t xml:space="preserve"> = </w:t>
      </w:r>
      <w:r w:rsidRPr="00C22439">
        <w:rPr>
          <w:snapToGrid w:val="0"/>
          <w:lang w:eastAsia="en-AU"/>
        </w:rPr>
        <w:t>autologous skin cell suspension; CI</w:t>
      </w:r>
      <w:r w:rsidR="001A3734">
        <w:rPr>
          <w:snapToGrid w:val="0"/>
          <w:lang w:eastAsia="en-AU"/>
        </w:rPr>
        <w:t xml:space="preserve"> = </w:t>
      </w:r>
      <w:r w:rsidRPr="00C22439">
        <w:rPr>
          <w:snapToGrid w:val="0"/>
          <w:lang w:eastAsia="en-AU"/>
        </w:rPr>
        <w:t>confidence interval; MD</w:t>
      </w:r>
      <w:r w:rsidR="001A3734">
        <w:rPr>
          <w:snapToGrid w:val="0"/>
          <w:lang w:eastAsia="en-AU"/>
        </w:rPr>
        <w:t xml:space="preserve"> = </w:t>
      </w:r>
      <w:r w:rsidRPr="00C22439">
        <w:rPr>
          <w:snapToGrid w:val="0"/>
          <w:lang w:eastAsia="en-AU"/>
        </w:rPr>
        <w:t>mean difference; RCT</w:t>
      </w:r>
      <w:r w:rsidR="001A3734">
        <w:rPr>
          <w:snapToGrid w:val="0"/>
          <w:lang w:eastAsia="en-AU"/>
        </w:rPr>
        <w:t xml:space="preserve"> = </w:t>
      </w:r>
      <w:r w:rsidRPr="00C22439">
        <w:rPr>
          <w:snapToGrid w:val="0"/>
          <w:lang w:eastAsia="en-AU"/>
        </w:rPr>
        <w:t>randomised controlled trial; RR</w:t>
      </w:r>
      <w:r w:rsidR="001A3734">
        <w:rPr>
          <w:snapToGrid w:val="0"/>
          <w:lang w:eastAsia="en-AU"/>
        </w:rPr>
        <w:t xml:space="preserve"> = </w:t>
      </w:r>
      <w:r w:rsidRPr="00C22439">
        <w:rPr>
          <w:snapToGrid w:val="0"/>
          <w:lang w:eastAsia="en-AU"/>
        </w:rPr>
        <w:t>risk ratio; SD</w:t>
      </w:r>
      <w:r w:rsidR="001A3734">
        <w:rPr>
          <w:snapToGrid w:val="0"/>
          <w:lang w:eastAsia="en-AU"/>
        </w:rPr>
        <w:t xml:space="preserve"> = </w:t>
      </w:r>
      <w:r w:rsidRPr="00C22439">
        <w:rPr>
          <w:snapToGrid w:val="0"/>
          <w:lang w:eastAsia="en-AU"/>
        </w:rPr>
        <w:t>standard deviation; STSG</w:t>
      </w:r>
      <w:r w:rsidR="001A3734">
        <w:rPr>
          <w:snapToGrid w:val="0"/>
          <w:lang w:eastAsia="en-AU"/>
        </w:rPr>
        <w:t xml:space="preserve"> = </w:t>
      </w:r>
      <w:r w:rsidRPr="00C22439">
        <w:rPr>
          <w:snapToGrid w:val="0"/>
          <w:lang w:eastAsia="en-AU"/>
        </w:rPr>
        <w:t>split-thickness skin graft</w:t>
      </w:r>
    </w:p>
    <w:p w14:paraId="7706C8B8" w14:textId="77777777" w:rsidR="004160B5" w:rsidRPr="00C22439" w:rsidRDefault="004160B5" w:rsidP="00450AC6">
      <w:pPr>
        <w:pStyle w:val="Tablenotes0"/>
        <w:rPr>
          <w:snapToGrid w:val="0"/>
          <w:lang w:eastAsia="en-AU"/>
        </w:rPr>
      </w:pPr>
      <w:r w:rsidRPr="00C22439">
        <w:rPr>
          <w:snapToGrid w:val="0"/>
          <w:lang w:eastAsia="en-AU"/>
        </w:rPr>
        <w:t xml:space="preserve">Notes: </w:t>
      </w:r>
    </w:p>
    <w:p w14:paraId="5A4F2158" w14:textId="1F9ED39A" w:rsidR="004160B5" w:rsidRPr="00C22439" w:rsidRDefault="004160B5" w:rsidP="00450AC6">
      <w:pPr>
        <w:pStyle w:val="Tablenotes0"/>
        <w:rPr>
          <w:snapToGrid w:val="0"/>
          <w:lang w:eastAsia="en-AU"/>
        </w:rPr>
      </w:pPr>
      <w:r w:rsidRPr="00C22439">
        <w:rPr>
          <w:snapToGrid w:val="0"/>
          <w:vertAlign w:val="superscript"/>
          <w:lang w:eastAsia="en-AU"/>
        </w:rPr>
        <w:t xml:space="preserve">a </w:t>
      </w:r>
      <w:r w:rsidRPr="00C22439">
        <w:rPr>
          <w:snapToGrid w:val="0"/>
          <w:lang w:eastAsia="en-AU"/>
        </w:rPr>
        <w:t>Evaluator and patient blinded but few details on random allocation process</w:t>
      </w:r>
    </w:p>
    <w:p w14:paraId="28BF1964" w14:textId="2B2870E5" w:rsidR="004160B5" w:rsidRPr="00C22439" w:rsidRDefault="004160B5" w:rsidP="00450AC6">
      <w:pPr>
        <w:pStyle w:val="Tablenotes0"/>
        <w:rPr>
          <w:snapToGrid w:val="0"/>
          <w:lang w:eastAsia="en-AU"/>
        </w:rPr>
      </w:pPr>
      <w:r w:rsidRPr="00C22439">
        <w:rPr>
          <w:snapToGrid w:val="0"/>
          <w:vertAlign w:val="superscript"/>
          <w:lang w:eastAsia="en-AU"/>
        </w:rPr>
        <w:t xml:space="preserve">b </w:t>
      </w:r>
      <w:r w:rsidRPr="00C22439">
        <w:rPr>
          <w:snapToGrid w:val="0"/>
          <w:lang w:eastAsia="en-AU"/>
        </w:rPr>
        <w:t xml:space="preserve">Consistent findings across studies </w:t>
      </w:r>
    </w:p>
    <w:p w14:paraId="463DE4CC" w14:textId="44161A67" w:rsidR="004160B5" w:rsidRPr="00C22439" w:rsidRDefault="004160B5" w:rsidP="00450AC6">
      <w:pPr>
        <w:pStyle w:val="Tablenotes0"/>
        <w:rPr>
          <w:snapToGrid w:val="0"/>
          <w:lang w:eastAsia="en-AU"/>
        </w:rPr>
      </w:pPr>
      <w:r w:rsidRPr="00C22439">
        <w:rPr>
          <w:snapToGrid w:val="0"/>
          <w:vertAlign w:val="superscript"/>
          <w:lang w:eastAsia="en-AU"/>
        </w:rPr>
        <w:t xml:space="preserve">c </w:t>
      </w:r>
      <w:r w:rsidRPr="00C22439">
        <w:rPr>
          <w:snapToGrid w:val="0"/>
          <w:lang w:eastAsia="en-AU"/>
        </w:rPr>
        <w:t>Direct comparison to standard care but population only somewhat relevant; unclear whether burn management in USA is generalisable to Australian practice</w:t>
      </w:r>
    </w:p>
    <w:p w14:paraId="4F7F4D49" w14:textId="084655E5" w:rsidR="004160B5" w:rsidRPr="00C22439" w:rsidRDefault="004160B5" w:rsidP="00450AC6">
      <w:pPr>
        <w:pStyle w:val="Tablenotes0"/>
        <w:rPr>
          <w:snapToGrid w:val="0"/>
          <w:lang w:eastAsia="en-AU"/>
        </w:rPr>
      </w:pPr>
      <w:r w:rsidRPr="00C22439">
        <w:rPr>
          <w:snapToGrid w:val="0"/>
          <w:vertAlign w:val="superscript"/>
          <w:lang w:eastAsia="en-AU"/>
        </w:rPr>
        <w:t xml:space="preserve">d </w:t>
      </w:r>
      <w:r w:rsidRPr="00C22439">
        <w:rPr>
          <w:snapToGrid w:val="0"/>
          <w:lang w:eastAsia="en-AU"/>
        </w:rPr>
        <w:t xml:space="preserve">Small sample sizes and small number of studies; wide confidence intervals </w:t>
      </w:r>
      <w:r w:rsidRPr="00C22439">
        <w:rPr>
          <w:snapToGrid w:val="0"/>
          <w:lang w:eastAsia="en-AU"/>
        </w:rPr>
        <w:br/>
      </w:r>
      <w:r w:rsidRPr="00C22439">
        <w:rPr>
          <w:b/>
          <w:snapToGrid w:val="0"/>
          <w:lang w:eastAsia="en-AU"/>
        </w:rPr>
        <w:t>Bold</w:t>
      </w:r>
      <w:r w:rsidR="00F41892">
        <w:rPr>
          <w:b/>
          <w:snapToGrid w:val="0"/>
          <w:lang w:eastAsia="en-AU"/>
        </w:rPr>
        <w:t>ing</w:t>
      </w:r>
      <w:r w:rsidR="00F41892">
        <w:rPr>
          <w:snapToGrid w:val="0"/>
          <w:lang w:eastAsia="en-AU"/>
        </w:rPr>
        <w:t xml:space="preserve"> indicates</w:t>
      </w:r>
      <w:r w:rsidRPr="00C22439">
        <w:rPr>
          <w:snapToGrid w:val="0"/>
          <w:lang w:eastAsia="en-AU"/>
        </w:rPr>
        <w:t xml:space="preserve"> </w:t>
      </w:r>
      <w:r w:rsidR="00F41892">
        <w:rPr>
          <w:snapToGrid w:val="0"/>
          <w:lang w:eastAsia="en-AU"/>
        </w:rPr>
        <w:t>s</w:t>
      </w:r>
      <w:r w:rsidRPr="00C22439">
        <w:rPr>
          <w:snapToGrid w:val="0"/>
          <w:lang w:eastAsia="en-AU"/>
        </w:rPr>
        <w:t>tatistically significant difference between groups</w:t>
      </w:r>
    </w:p>
    <w:p w14:paraId="0BC0F6D1" w14:textId="205D8AE2" w:rsidR="006B0922" w:rsidRDefault="0047371C" w:rsidP="00450AC6">
      <w:pPr>
        <w:pStyle w:val="Tablenotes0"/>
        <w:rPr>
          <w:snapToGrid w:val="0"/>
          <w:lang w:eastAsia="en-AU"/>
        </w:rPr>
      </w:pPr>
      <w:r w:rsidRPr="00497EB5">
        <w:rPr>
          <w:snapToGrid w:val="0"/>
          <w:lang w:eastAsia="en-AU"/>
        </w:rPr>
        <w:t xml:space="preserve">The GRADE assessment provided in the ADAR included </w:t>
      </w:r>
      <w:r w:rsidR="00F27C3D" w:rsidRPr="00497EB5">
        <w:rPr>
          <w:snapToGrid w:val="0"/>
          <w:lang w:eastAsia="en-AU"/>
        </w:rPr>
        <w:t>the CTP00-</w:t>
      </w:r>
      <w:r w:rsidR="00A44A26">
        <w:rPr>
          <w:snapToGrid w:val="0"/>
          <w:lang w:eastAsia="en-AU"/>
        </w:rPr>
        <w:t xml:space="preserve">5 </w:t>
      </w:r>
      <w:r w:rsidR="00A44A26" w:rsidRPr="00497EB5">
        <w:rPr>
          <w:snapToGrid w:val="0"/>
          <w:lang w:eastAsia="en-AU"/>
        </w:rPr>
        <w:t>and CTP00-</w:t>
      </w:r>
      <w:r w:rsidR="00A44A26">
        <w:rPr>
          <w:snapToGrid w:val="0"/>
          <w:lang w:eastAsia="en-AU"/>
        </w:rPr>
        <w:t>6 RCTs</w:t>
      </w:r>
      <w:r w:rsidR="00F41892">
        <w:rPr>
          <w:snapToGrid w:val="0"/>
          <w:lang w:eastAsia="en-AU"/>
        </w:rPr>
        <w:t>; h</w:t>
      </w:r>
      <w:r w:rsidR="00445D00">
        <w:rPr>
          <w:snapToGrid w:val="0"/>
          <w:lang w:eastAsia="en-AU"/>
        </w:rPr>
        <w:t>owever,</w:t>
      </w:r>
      <w:r w:rsidR="00A44A26">
        <w:rPr>
          <w:snapToGrid w:val="0"/>
          <w:lang w:eastAsia="en-AU"/>
        </w:rPr>
        <w:t xml:space="preserve"> the commentary focused on the </w:t>
      </w:r>
      <w:r w:rsidR="00A44A26" w:rsidRPr="00290298">
        <w:rPr>
          <w:snapToGrid w:val="0"/>
          <w:lang w:eastAsia="en-AU"/>
        </w:rPr>
        <w:t>CTP00-</w:t>
      </w:r>
      <w:r w:rsidR="00A44A26">
        <w:rPr>
          <w:snapToGrid w:val="0"/>
          <w:lang w:eastAsia="en-AU"/>
        </w:rPr>
        <w:t xml:space="preserve">6 </w:t>
      </w:r>
      <w:r w:rsidR="00A44A26" w:rsidRPr="00290298">
        <w:rPr>
          <w:snapToGrid w:val="0"/>
          <w:lang w:eastAsia="en-AU"/>
        </w:rPr>
        <w:t>and CTP00-</w:t>
      </w:r>
      <w:r w:rsidR="00F27C3D">
        <w:rPr>
          <w:snapToGrid w:val="0"/>
          <w:lang w:eastAsia="en-AU"/>
        </w:rPr>
        <w:t>7</w:t>
      </w:r>
      <w:r w:rsidR="00A44A26">
        <w:rPr>
          <w:snapToGrid w:val="0"/>
          <w:lang w:eastAsia="en-AU"/>
        </w:rPr>
        <w:t xml:space="preserve"> RCTs </w:t>
      </w:r>
      <w:r w:rsidR="00F96D83">
        <w:rPr>
          <w:snapToGrid w:val="0"/>
          <w:lang w:eastAsia="en-AU"/>
        </w:rPr>
        <w:t>because they</w:t>
      </w:r>
      <w:r w:rsidR="00445D00">
        <w:rPr>
          <w:snapToGrid w:val="0"/>
          <w:lang w:eastAsia="en-AU"/>
        </w:rPr>
        <w:t xml:space="preserve"> </w:t>
      </w:r>
      <w:r w:rsidR="000F6252">
        <w:rPr>
          <w:snapToGrid w:val="0"/>
          <w:lang w:eastAsia="en-AU"/>
        </w:rPr>
        <w:t>better aligned with the PICO</w:t>
      </w:r>
      <w:r w:rsidR="00445D00">
        <w:rPr>
          <w:snapToGrid w:val="0"/>
          <w:lang w:eastAsia="en-AU"/>
        </w:rPr>
        <w:t xml:space="preserve"> criteria. Consequently, this</w:t>
      </w:r>
      <w:r w:rsidR="00D14113">
        <w:rPr>
          <w:snapToGrid w:val="0"/>
          <w:lang w:eastAsia="en-AU"/>
        </w:rPr>
        <w:t xml:space="preserve"> GRADE assessment was conducted by the</w:t>
      </w:r>
      <w:r w:rsidR="003952BF">
        <w:rPr>
          <w:snapToGrid w:val="0"/>
          <w:lang w:eastAsia="en-AU"/>
        </w:rPr>
        <w:t xml:space="preserve"> </w:t>
      </w:r>
      <w:r w:rsidR="006B0922">
        <w:rPr>
          <w:snapToGrid w:val="0"/>
          <w:lang w:eastAsia="en-AU"/>
        </w:rPr>
        <w:t>assessment group.</w:t>
      </w:r>
    </w:p>
    <w:p w14:paraId="17DFCBB5" w14:textId="15025E4E" w:rsidR="004160B5" w:rsidRPr="0088128C" w:rsidRDefault="004160B5" w:rsidP="0088128C">
      <w:pPr>
        <w:pStyle w:val="Heading3"/>
        <w:rPr>
          <w:rFonts w:ascii="Arial Narrow" w:eastAsia="Aptos" w:hAnsi="Arial Narrow" w:cs="Times New Roman"/>
          <w:sz w:val="18"/>
          <w:szCs w:val="18"/>
        </w:rPr>
      </w:pPr>
      <w:r w:rsidRPr="0088128C">
        <w:rPr>
          <w:rFonts w:ascii="Cambria Math" w:eastAsia="Aptos" w:hAnsi="Cambria Math" w:cs="Cambria Math"/>
          <w:color w:val="388600"/>
          <w:sz w:val="18"/>
          <w:szCs w:val="18"/>
        </w:rPr>
        <w:t>⨁⨁⨁</w:t>
      </w:r>
      <w:r w:rsidRPr="0088128C">
        <w:rPr>
          <w:rFonts w:ascii="Arial Narrow" w:eastAsia="Aptos" w:hAnsi="Arial Narrow"/>
          <w:snapToGrid w:val="0"/>
          <w:sz w:val="18"/>
          <w:szCs w:val="18"/>
          <w:lang w:eastAsia="en-AU"/>
        </w:rPr>
        <w:t xml:space="preserve"> </w:t>
      </w:r>
      <w:r w:rsidRPr="0088128C">
        <w:rPr>
          <w:rFonts w:ascii="Arial Narrow" w:eastAsia="Aptos" w:hAnsi="Arial Narrow" w:cs="Times New Roman"/>
          <w:b/>
          <w:sz w:val="18"/>
          <w:szCs w:val="18"/>
        </w:rPr>
        <w:t>High quality:</w:t>
      </w:r>
      <w:r w:rsidRPr="0088128C">
        <w:rPr>
          <w:rFonts w:ascii="Arial Narrow" w:eastAsia="Aptos" w:hAnsi="Arial Narrow"/>
          <w:snapToGrid w:val="0"/>
          <w:sz w:val="18"/>
          <w:szCs w:val="18"/>
          <w:lang w:eastAsia="en-AU"/>
        </w:rPr>
        <w:t xml:space="preserve"> We are very confident that the true effect lies close to that of the estimate of effect. </w:t>
      </w:r>
      <w:r w:rsidRPr="0088128C">
        <w:rPr>
          <w:rFonts w:ascii="Arial Narrow" w:eastAsia="Aptos" w:hAnsi="Arial Narrow"/>
          <w:snapToGrid w:val="0"/>
          <w:sz w:val="18"/>
          <w:szCs w:val="18"/>
          <w:lang w:eastAsia="en-AU"/>
        </w:rPr>
        <w:br/>
      </w:r>
      <w:r w:rsidRPr="0088128C">
        <w:rPr>
          <w:rFonts w:ascii="Cambria Math" w:eastAsia="Aptos" w:hAnsi="Cambria Math" w:cs="Cambria Math"/>
          <w:color w:val="388600"/>
          <w:sz w:val="18"/>
          <w:szCs w:val="18"/>
        </w:rPr>
        <w:t>⨁⨁⨁</w:t>
      </w:r>
      <w:r w:rsidRPr="0088128C">
        <w:rPr>
          <w:rFonts w:ascii="Cambria Math" w:eastAsia="Aptos" w:hAnsi="Cambria Math" w:cs="Cambria Math"/>
          <w:color w:val="C00000"/>
          <w:sz w:val="18"/>
          <w:szCs w:val="18"/>
        </w:rPr>
        <w:t>⨀</w:t>
      </w:r>
      <w:r w:rsidRPr="0088128C">
        <w:rPr>
          <w:rFonts w:ascii="Arial Narrow" w:eastAsia="Aptos" w:hAnsi="Arial Narrow"/>
          <w:snapToGrid w:val="0"/>
          <w:sz w:val="18"/>
          <w:szCs w:val="18"/>
          <w:lang w:eastAsia="en-AU"/>
        </w:rPr>
        <w:t xml:space="preserve"> </w:t>
      </w:r>
      <w:r w:rsidRPr="0088128C">
        <w:rPr>
          <w:rFonts w:ascii="Arial Narrow" w:eastAsia="Aptos" w:hAnsi="Arial Narrow" w:cs="Times New Roman"/>
          <w:b/>
          <w:sz w:val="18"/>
          <w:szCs w:val="18"/>
        </w:rPr>
        <w:t>Moderate quality:</w:t>
      </w:r>
      <w:r w:rsidRPr="0088128C">
        <w:rPr>
          <w:rFonts w:ascii="Arial Narrow" w:eastAsia="Aptos" w:hAnsi="Arial Narrow"/>
          <w:snapToGrid w:val="0"/>
          <w:sz w:val="18"/>
          <w:szCs w:val="18"/>
          <w:lang w:eastAsia="en-AU"/>
        </w:rPr>
        <w:t xml:space="preserve"> We are moderately confident in the effect estimate: The true effect is likely to be close to the estimate of the effect, but there is a possibility that it is substantially different. </w:t>
      </w:r>
      <w:r w:rsidRPr="0088128C">
        <w:rPr>
          <w:rFonts w:ascii="Arial Narrow" w:eastAsia="Aptos" w:hAnsi="Arial Narrow"/>
          <w:snapToGrid w:val="0"/>
          <w:sz w:val="18"/>
          <w:szCs w:val="18"/>
          <w:lang w:eastAsia="en-AU"/>
        </w:rPr>
        <w:br/>
      </w:r>
      <w:r w:rsidRPr="0088128C">
        <w:rPr>
          <w:rFonts w:ascii="Cambria Math" w:eastAsia="Aptos" w:hAnsi="Cambria Math" w:cs="Cambria Math"/>
          <w:color w:val="388600"/>
          <w:sz w:val="18"/>
          <w:szCs w:val="18"/>
        </w:rPr>
        <w:t>⨁⨁</w:t>
      </w:r>
      <w:r w:rsidRPr="0088128C">
        <w:rPr>
          <w:rFonts w:ascii="Cambria Math" w:eastAsia="Aptos" w:hAnsi="Cambria Math" w:cs="Cambria Math"/>
          <w:color w:val="C00000"/>
          <w:sz w:val="18"/>
          <w:szCs w:val="18"/>
        </w:rPr>
        <w:t>⨀⨀</w:t>
      </w:r>
      <w:r w:rsidRPr="0088128C">
        <w:rPr>
          <w:rFonts w:ascii="Arial Narrow" w:eastAsia="Aptos" w:hAnsi="Arial Narrow"/>
          <w:snapToGrid w:val="0"/>
          <w:sz w:val="18"/>
          <w:szCs w:val="18"/>
          <w:lang w:eastAsia="en-AU"/>
        </w:rPr>
        <w:t xml:space="preserve"> </w:t>
      </w:r>
      <w:r w:rsidRPr="0088128C">
        <w:rPr>
          <w:rFonts w:ascii="Arial Narrow" w:eastAsia="Aptos" w:hAnsi="Arial Narrow" w:cs="Times New Roman"/>
          <w:b/>
          <w:sz w:val="18"/>
          <w:szCs w:val="18"/>
        </w:rPr>
        <w:t>Low quality:</w:t>
      </w:r>
      <w:r w:rsidRPr="0088128C">
        <w:rPr>
          <w:rFonts w:ascii="Arial Narrow" w:eastAsia="Aptos" w:hAnsi="Arial Narrow"/>
          <w:snapToGrid w:val="0"/>
          <w:sz w:val="18"/>
          <w:szCs w:val="18"/>
          <w:lang w:eastAsia="en-AU"/>
        </w:rPr>
        <w:t xml:space="preserve"> Our confidence in the effect estimate is limited: The true effect may be substantially different from the estimate of the effect.</w:t>
      </w:r>
      <w:r w:rsidRPr="0088128C">
        <w:rPr>
          <w:rFonts w:ascii="Arial Narrow" w:eastAsia="Aptos" w:hAnsi="Arial Narrow"/>
          <w:snapToGrid w:val="0"/>
          <w:sz w:val="18"/>
          <w:szCs w:val="18"/>
          <w:lang w:eastAsia="en-AU"/>
        </w:rPr>
        <w:br/>
      </w:r>
      <w:r w:rsidRPr="0088128C">
        <w:rPr>
          <w:rFonts w:ascii="Cambria Math" w:eastAsia="Aptos" w:hAnsi="Cambria Math" w:cs="Cambria Math"/>
          <w:color w:val="388600"/>
          <w:sz w:val="18"/>
          <w:szCs w:val="18"/>
        </w:rPr>
        <w:t>⨁</w:t>
      </w:r>
      <w:r w:rsidRPr="0088128C">
        <w:rPr>
          <w:rFonts w:ascii="Cambria Math" w:eastAsia="Aptos" w:hAnsi="Cambria Math" w:cs="Cambria Math"/>
          <w:color w:val="C00000"/>
          <w:sz w:val="18"/>
          <w:szCs w:val="18"/>
        </w:rPr>
        <w:t>⨀⨀⨀</w:t>
      </w:r>
      <w:r w:rsidRPr="0088128C">
        <w:rPr>
          <w:rFonts w:ascii="Arial Narrow" w:eastAsia="Aptos" w:hAnsi="Arial Narrow"/>
          <w:snapToGrid w:val="0"/>
          <w:sz w:val="18"/>
          <w:szCs w:val="18"/>
          <w:lang w:eastAsia="en-AU"/>
        </w:rPr>
        <w:t xml:space="preserve"> </w:t>
      </w:r>
      <w:r w:rsidRPr="0088128C">
        <w:rPr>
          <w:rFonts w:ascii="Arial Narrow" w:eastAsia="Aptos" w:hAnsi="Arial Narrow" w:cs="Times New Roman"/>
          <w:b/>
          <w:sz w:val="18"/>
          <w:szCs w:val="18"/>
        </w:rPr>
        <w:t>Very low quality:</w:t>
      </w:r>
      <w:r w:rsidRPr="0088128C">
        <w:rPr>
          <w:rFonts w:ascii="Arial Narrow" w:eastAsia="Aptos" w:hAnsi="Arial Narrow"/>
          <w:snapToGrid w:val="0"/>
          <w:sz w:val="18"/>
          <w:szCs w:val="18"/>
          <w:lang w:eastAsia="en-AU"/>
        </w:rPr>
        <w:t xml:space="preserve"> We have very little confidence in the effect estimate: The true effect is likely to be substantially different from the estimate of effect.</w:t>
      </w:r>
      <w:r w:rsidR="00526549" w:rsidRPr="0088128C">
        <w:rPr>
          <w:rFonts w:ascii="Arial Narrow" w:hAnsi="Arial Narrow"/>
          <w:sz w:val="18"/>
          <w:szCs w:val="18"/>
        </w:rPr>
        <w:t xml:space="preserve"> </w:t>
      </w:r>
    </w:p>
    <w:p w14:paraId="5536CA34" w14:textId="7789BDE7" w:rsidR="00526549" w:rsidRPr="0088128C" w:rsidRDefault="00526549" w:rsidP="00450AC6">
      <w:pPr>
        <w:pStyle w:val="Tablenotes0"/>
        <w:rPr>
          <w:rFonts w:eastAsia="Aptos" w:cs="Times New Roman"/>
          <w:szCs w:val="18"/>
        </w:rPr>
        <w:sectPr w:rsidR="00526549" w:rsidRPr="0088128C" w:rsidSect="004160B5">
          <w:headerReference w:type="even" r:id="rId17"/>
          <w:headerReference w:type="default" r:id="rId18"/>
          <w:pgSz w:w="16840" w:h="11907" w:code="9"/>
          <w:pgMar w:top="1440" w:right="1080" w:bottom="1440" w:left="1080" w:header="708" w:footer="708" w:gutter="0"/>
          <w:cols w:space="708"/>
          <w:docGrid w:linePitch="360"/>
        </w:sectPr>
      </w:pPr>
    </w:p>
    <w:p w14:paraId="213924C6" w14:textId="11D5654C" w:rsidR="00772829" w:rsidRPr="004C18BB" w:rsidRDefault="00772829" w:rsidP="001E5116">
      <w:pPr>
        <w:pStyle w:val="Heading3"/>
      </w:pPr>
      <w:r w:rsidRPr="004C18BB">
        <w:lastRenderedPageBreak/>
        <w:t>Clinical claim</w:t>
      </w:r>
    </w:p>
    <w:p w14:paraId="6B906EE0" w14:textId="52F1B97B" w:rsidR="00986213" w:rsidRPr="007F7C24" w:rsidRDefault="00986213" w:rsidP="00986213">
      <w:r w:rsidRPr="00D21EB4">
        <w:t xml:space="preserve">The </w:t>
      </w:r>
      <w:r w:rsidR="002A1205">
        <w:t>ADAR</w:t>
      </w:r>
      <w:r w:rsidR="002A1205" w:rsidRPr="00D21EB4">
        <w:t xml:space="preserve"> </w:t>
      </w:r>
      <w:r w:rsidRPr="00D21EB4">
        <w:t>claim</w:t>
      </w:r>
      <w:r w:rsidR="002A1205">
        <w:t>ed</w:t>
      </w:r>
      <w:r w:rsidRPr="00D21EB4">
        <w:t xml:space="preserve"> non-inferior safety and effectiveness </w:t>
      </w:r>
      <w:r w:rsidR="00700178">
        <w:t>for</w:t>
      </w:r>
      <w:r w:rsidRPr="00D21EB4">
        <w:t xml:space="preserve"> definitive wound closure</w:t>
      </w:r>
      <w:r w:rsidR="00B33D9E">
        <w:t>,</w:t>
      </w:r>
      <w:r w:rsidRPr="00D21EB4">
        <w:t xml:space="preserve"> and superior donor site sparing for ASCS treatment, compared with STSG alone.</w:t>
      </w:r>
    </w:p>
    <w:p w14:paraId="1EFA7D9D" w14:textId="7E3EB0A2" w:rsidR="00986213" w:rsidRDefault="00986213" w:rsidP="008C7E58">
      <w:r w:rsidRPr="005B4928">
        <w:t xml:space="preserve">The available direct evidence </w:t>
      </w:r>
      <w:r w:rsidR="00001F17">
        <w:t>(as considered in the commentary)</w:t>
      </w:r>
      <w:r w:rsidRPr="005B4928">
        <w:t xml:space="preserve"> </w:t>
      </w:r>
      <w:r w:rsidR="00DB46FF">
        <w:t>was</w:t>
      </w:r>
      <w:r w:rsidRPr="005B4928">
        <w:t xml:space="preserve"> of low certainty, comprising </w:t>
      </w:r>
      <w:r w:rsidR="00203233">
        <w:t>2</w:t>
      </w:r>
      <w:r w:rsidR="00203233" w:rsidRPr="005B4928">
        <w:t xml:space="preserve"> </w:t>
      </w:r>
      <w:r w:rsidRPr="005B4928">
        <w:t xml:space="preserve">small RCTs </w:t>
      </w:r>
      <w:r w:rsidR="004A0228">
        <w:t>(CTP00-6</w:t>
      </w:r>
      <w:r w:rsidR="00203233">
        <w:t xml:space="preserve">, </w:t>
      </w:r>
      <w:r w:rsidR="004A0228">
        <w:t>CTP00-7)</w:t>
      </w:r>
      <w:r w:rsidRPr="005B4928">
        <w:t xml:space="preserve"> </w:t>
      </w:r>
      <w:r w:rsidR="00203233">
        <w:t>of</w:t>
      </w:r>
      <w:r w:rsidR="00203233" w:rsidRPr="005B4928">
        <w:t xml:space="preserve"> </w:t>
      </w:r>
      <w:r w:rsidRPr="005B4928">
        <w:t xml:space="preserve">heterogeneous patient samples </w:t>
      </w:r>
      <w:r w:rsidR="00203233">
        <w:t>with</w:t>
      </w:r>
      <w:r w:rsidRPr="005B4928">
        <w:t xml:space="preserve"> limited applicability to the MBS proposed population. The analyses involving indirect comparisons between ASCS and STSG have more applicable populations but </w:t>
      </w:r>
      <w:r w:rsidR="00996443">
        <w:t xml:space="preserve">they </w:t>
      </w:r>
      <w:r w:rsidRPr="005B4928">
        <w:t>are limited by significant confounding and report few relevant outcomes.</w:t>
      </w:r>
    </w:p>
    <w:p w14:paraId="59C4CF4E" w14:textId="0F773BBD" w:rsidR="00C07974" w:rsidRPr="008737A9" w:rsidRDefault="00986213" w:rsidP="008737A9">
      <w:r>
        <w:t xml:space="preserve">The very limited data available suggest that ASCS in combination with meshed STSG may be at least as effective as STSG alone in achieving definitive closure by </w:t>
      </w:r>
      <w:r w:rsidR="00524385">
        <w:t>w</w:t>
      </w:r>
      <w:r>
        <w:t>eek 8 in patients with burns covering 5</w:t>
      </w:r>
      <w:r w:rsidR="008E055D">
        <w:t>–</w:t>
      </w:r>
      <w:r>
        <w:t xml:space="preserve">50% TBSA, while being no less safe. ASCS also significantly reduced the amount of healthy skin required for grafting. However, the patients </w:t>
      </w:r>
      <w:r w:rsidR="00981F49">
        <w:t xml:space="preserve">(mostly adults) </w:t>
      </w:r>
      <w:r>
        <w:t xml:space="preserve">included in these studies </w:t>
      </w:r>
      <w:r w:rsidR="00981F49">
        <w:t>we</w:t>
      </w:r>
      <w:r>
        <w:t xml:space="preserve">re heterogeneous with respect to burn size and are not entirely representative of the </w:t>
      </w:r>
      <w:r w:rsidR="7522DCC4">
        <w:t xml:space="preserve">MBS </w:t>
      </w:r>
      <w:r>
        <w:t>proposed</w:t>
      </w:r>
      <w:r w:rsidR="668492AD">
        <w:t xml:space="preserve"> </w:t>
      </w:r>
      <w:r>
        <w:t xml:space="preserve">population, since it is unclear how many of them had burns covering </w:t>
      </w:r>
      <w:r w:rsidR="008E055D">
        <w:t>&lt;</w:t>
      </w:r>
      <w:r>
        <w:t>20% TBSA. In addition, the proportion of female participants was much lower than is expected in the MBS proposed population.</w:t>
      </w:r>
    </w:p>
    <w:p w14:paraId="0D09C9E4" w14:textId="1C75CC1F" w:rsidR="00772829" w:rsidRPr="004C18BB" w:rsidRDefault="00772829" w:rsidP="0000493F">
      <w:pPr>
        <w:pStyle w:val="Heading2"/>
        <w:numPr>
          <w:ilvl w:val="0"/>
          <w:numId w:val="15"/>
        </w:numPr>
      </w:pPr>
      <w:bookmarkStart w:id="57" w:name="_Toc69491425"/>
      <w:bookmarkStart w:id="58" w:name="_Ref194583196"/>
      <w:r w:rsidRPr="004C18BB">
        <w:t>Economic evaluation</w:t>
      </w:r>
      <w:bookmarkEnd w:id="57"/>
      <w:bookmarkEnd w:id="58"/>
    </w:p>
    <w:p w14:paraId="5DDA462D" w14:textId="460A49AC" w:rsidR="00AE7C0D" w:rsidRPr="008737A9" w:rsidRDefault="002213C8" w:rsidP="008C7E58">
      <w:r w:rsidRPr="008737A9">
        <w:t xml:space="preserve">A simple costing analysis </w:t>
      </w:r>
      <w:r w:rsidR="00621BB3" w:rsidRPr="008737A9">
        <w:t xml:space="preserve">comparing </w:t>
      </w:r>
      <w:r w:rsidR="00C3025F" w:rsidRPr="008737A9">
        <w:t>total costs</w:t>
      </w:r>
      <w:r w:rsidR="00621BB3" w:rsidRPr="008737A9">
        <w:t xml:space="preserve"> of </w:t>
      </w:r>
      <w:r w:rsidR="00BE1B37" w:rsidRPr="008737A9">
        <w:t xml:space="preserve">ASCS ± STSG versus STSG alone for treating patients with severe burns (≥20% TBSA) was </w:t>
      </w:r>
      <w:r w:rsidR="00873334" w:rsidRPr="008737A9">
        <w:t>presented in the ADAR</w:t>
      </w:r>
      <w:r w:rsidR="00BE1B37" w:rsidRPr="008737A9">
        <w:t>.</w:t>
      </w:r>
      <w:r w:rsidR="00433102" w:rsidRPr="008737A9">
        <w:t xml:space="preserve"> </w:t>
      </w:r>
      <w:r w:rsidR="61AF8350">
        <w:t>Alongside this</w:t>
      </w:r>
      <w:r w:rsidR="24BF99F7">
        <w:t xml:space="preserve"> </w:t>
      </w:r>
      <w:r w:rsidR="5A3B641A">
        <w:t>t</w:t>
      </w:r>
      <w:r w:rsidR="25291599">
        <w:t>he</w:t>
      </w:r>
      <w:r w:rsidR="001E1166">
        <w:t xml:space="preserve"> systematic</w:t>
      </w:r>
      <w:r w:rsidR="00535DDE">
        <w:t xml:space="preserve"> </w:t>
      </w:r>
      <w:r w:rsidR="001E1166">
        <w:t xml:space="preserve">search </w:t>
      </w:r>
      <w:r w:rsidR="003B2061">
        <w:t>for existing economic evidence</w:t>
      </w:r>
      <w:r w:rsidR="00701C07">
        <w:t xml:space="preserve"> </w:t>
      </w:r>
      <w:r w:rsidR="00AE28FD">
        <w:t>undertaken in the</w:t>
      </w:r>
      <w:r w:rsidR="00701C07">
        <w:t xml:space="preserve"> ADAR</w:t>
      </w:r>
      <w:r w:rsidR="00AE28FD">
        <w:t xml:space="preserve"> retrieved </w:t>
      </w:r>
      <w:r w:rsidR="00113B95">
        <w:t xml:space="preserve">6 relevant studies, all of which </w:t>
      </w:r>
      <w:r w:rsidR="00E2534F">
        <w:t xml:space="preserve">reported </w:t>
      </w:r>
      <w:r w:rsidR="00113B95">
        <w:t>incremental costs</w:t>
      </w:r>
      <w:r w:rsidR="007D1A3F">
        <w:t>,</w:t>
      </w:r>
      <w:r w:rsidR="00DD605B">
        <w:t xml:space="preserve"> </w:t>
      </w:r>
      <w:r w:rsidR="007D1A3F">
        <w:t xml:space="preserve">often </w:t>
      </w:r>
      <w:r w:rsidR="00113B95">
        <w:t xml:space="preserve">alongside other incremental outcomes </w:t>
      </w:r>
      <w:r w:rsidR="00F62B89">
        <w:t xml:space="preserve">in a </w:t>
      </w:r>
      <w:r w:rsidR="00AE7E89">
        <w:t>cost</w:t>
      </w:r>
      <w:r w:rsidR="006227C9">
        <w:t>-</w:t>
      </w:r>
      <w:r w:rsidR="00AE7E89">
        <w:t>consequence analysis (</w:t>
      </w:r>
      <w:r w:rsidR="008D4DEA">
        <w:t>CCA</w:t>
      </w:r>
      <w:r w:rsidR="00AE7E89">
        <w:t>)</w:t>
      </w:r>
      <w:r w:rsidR="002B76DA">
        <w:t xml:space="preserve"> f</w:t>
      </w:r>
      <w:r w:rsidR="00BB1ECF">
        <w:t>ramework</w:t>
      </w:r>
      <w:r w:rsidR="00F62B89">
        <w:t>.</w:t>
      </w:r>
      <w:r w:rsidR="00113B95">
        <w:t xml:space="preserve"> </w:t>
      </w:r>
      <w:r w:rsidR="002C7E6C">
        <w:t>Key</w:t>
      </w:r>
      <w:r w:rsidR="00AE7C0D">
        <w:t xml:space="preserve"> clinical</w:t>
      </w:r>
      <w:r w:rsidR="00D67BA3">
        <w:t xml:space="preserve"> and </w:t>
      </w:r>
      <w:r w:rsidR="00AE7C0D">
        <w:t>resource use inputs used in the ADAR analysis</w:t>
      </w:r>
      <w:r w:rsidR="005164A7">
        <w:t xml:space="preserve"> (</w:t>
      </w:r>
      <w:r w:rsidR="005C255A">
        <w:t>LOS</w:t>
      </w:r>
      <w:r w:rsidR="005164A7">
        <w:t xml:space="preserve">; </w:t>
      </w:r>
      <w:r w:rsidR="002C7E6C">
        <w:t>number of definitive closure procedures)</w:t>
      </w:r>
      <w:r w:rsidR="00AE7C0D">
        <w:t xml:space="preserve"> were sourced from the studies retrieved via this review</w:t>
      </w:r>
      <w:r w:rsidR="005164A7">
        <w:t xml:space="preserve">, rather than from </w:t>
      </w:r>
      <w:r w:rsidR="00A81323">
        <w:t>clinical evidence review</w:t>
      </w:r>
      <w:r w:rsidR="00AE7C0D">
        <w:t>.</w:t>
      </w:r>
    </w:p>
    <w:p w14:paraId="37A0D22F" w14:textId="52DB296A" w:rsidR="00CE6843" w:rsidRPr="008737A9" w:rsidRDefault="007B6CEE" w:rsidP="00694FD4">
      <w:pPr>
        <w:pStyle w:val="Heading3"/>
      </w:pPr>
      <w:bookmarkStart w:id="59" w:name="_Ref193098900"/>
      <w:r w:rsidRPr="008737A9">
        <w:t>Overview of c</w:t>
      </w:r>
      <w:r w:rsidR="00D33A4B" w:rsidRPr="008737A9">
        <w:t>osting analysis</w:t>
      </w:r>
      <w:bookmarkEnd w:id="59"/>
    </w:p>
    <w:p w14:paraId="30830186" w14:textId="4D418BED" w:rsidR="00DF7A76" w:rsidRDefault="00061011" w:rsidP="008C7E58">
      <w:r>
        <w:t>The</w:t>
      </w:r>
      <w:r w:rsidR="00B031B7" w:rsidRPr="00937401">
        <w:t xml:space="preserve"> </w:t>
      </w:r>
      <w:r w:rsidR="00B031B7" w:rsidRPr="00670394">
        <w:t xml:space="preserve">costing analysis </w:t>
      </w:r>
      <w:r w:rsidR="00CC198A" w:rsidRPr="00670394">
        <w:t>presented in the</w:t>
      </w:r>
      <w:r w:rsidR="00CC198A" w:rsidRPr="00670394" w:rsidDel="00061011">
        <w:t xml:space="preserve"> </w:t>
      </w:r>
      <w:r>
        <w:t>ADAR</w:t>
      </w:r>
      <w:r w:rsidR="00CC198A" w:rsidRPr="00670394">
        <w:t xml:space="preserve"> compared the total cost of ASCS</w:t>
      </w:r>
      <w:r w:rsidR="00332ECA">
        <w:t xml:space="preserve"> </w:t>
      </w:r>
      <w:r w:rsidR="006725FE" w:rsidRPr="00670394">
        <w:t>±</w:t>
      </w:r>
      <w:r w:rsidR="00332ECA">
        <w:t xml:space="preserve"> </w:t>
      </w:r>
      <w:r w:rsidR="006725FE" w:rsidRPr="00670394">
        <w:t xml:space="preserve">STSG </w:t>
      </w:r>
      <w:r w:rsidR="00F93803" w:rsidRPr="00670394">
        <w:t xml:space="preserve">to </w:t>
      </w:r>
      <w:r w:rsidR="007B1882" w:rsidRPr="00670394">
        <w:t>STSG alone for the treatment of patients with severe burns (</w:t>
      </w:r>
      <w:r w:rsidR="00B55CE1" w:rsidRPr="00670394">
        <w:t xml:space="preserve">≥20% TBSA) from </w:t>
      </w:r>
      <w:r w:rsidR="00D67BA3">
        <w:t xml:space="preserve">the perspective of the </w:t>
      </w:r>
      <w:r w:rsidR="00B55CE1" w:rsidRPr="00670394">
        <w:t>Australian healthcare system</w:t>
      </w:r>
      <w:r w:rsidR="0039625A" w:rsidRPr="00670394">
        <w:t>.</w:t>
      </w:r>
      <w:r w:rsidR="00E676DE" w:rsidRPr="00670394">
        <w:t xml:space="preserve"> </w:t>
      </w:r>
      <w:r w:rsidR="00353E17" w:rsidRPr="00497EB5">
        <w:t>This approach</w:t>
      </w:r>
      <w:r w:rsidR="00B631BD">
        <w:t xml:space="preserve"> (i.e. cost</w:t>
      </w:r>
      <w:r w:rsidR="00AA0C90">
        <w:t>ing</w:t>
      </w:r>
      <w:r w:rsidR="00B631BD">
        <w:t xml:space="preserve"> analysis)</w:t>
      </w:r>
      <w:r w:rsidR="00353E17" w:rsidRPr="00497EB5">
        <w:t xml:space="preserve"> was </w:t>
      </w:r>
      <w:r w:rsidR="00D743A5" w:rsidRPr="00497EB5">
        <w:t xml:space="preserve">not fully aligned </w:t>
      </w:r>
      <w:r w:rsidR="000038F0" w:rsidRPr="00497EB5">
        <w:t>with the intended context</w:t>
      </w:r>
      <w:r w:rsidR="0038169E">
        <w:t>.</w:t>
      </w:r>
      <w:r w:rsidR="00141DD7" w:rsidRPr="00497EB5">
        <w:t xml:space="preserve"> </w:t>
      </w:r>
      <w:r w:rsidR="0033163B">
        <w:t>Given</w:t>
      </w:r>
      <w:r w:rsidR="00F44DDD" w:rsidRPr="00497EB5">
        <w:t xml:space="preserve"> </w:t>
      </w:r>
      <w:r w:rsidR="00481353" w:rsidRPr="00497EB5">
        <w:t>t</w:t>
      </w:r>
      <w:r w:rsidR="00585662">
        <w:t>hat</w:t>
      </w:r>
      <w:r w:rsidR="00F44DDD" w:rsidRPr="00497EB5">
        <w:t xml:space="preserve"> </w:t>
      </w:r>
      <w:r w:rsidR="00481353" w:rsidRPr="00497EB5">
        <w:t xml:space="preserve">the clinical </w:t>
      </w:r>
      <w:r w:rsidR="00F44DDD" w:rsidRPr="00497EB5">
        <w:t xml:space="preserve">claim </w:t>
      </w:r>
      <w:r w:rsidR="00D6100D" w:rsidRPr="00497EB5">
        <w:t>was</w:t>
      </w:r>
      <w:r w:rsidR="002F6BBD" w:rsidRPr="00497EB5">
        <w:t xml:space="preserve"> </w:t>
      </w:r>
      <w:r w:rsidR="00226AE2" w:rsidRPr="00497EB5">
        <w:t>superior</w:t>
      </w:r>
      <w:r w:rsidR="0038169E">
        <w:t>ity</w:t>
      </w:r>
      <w:r w:rsidR="00226AE2" w:rsidRPr="00497EB5">
        <w:t xml:space="preserve"> in donor site sparing and </w:t>
      </w:r>
      <w:r w:rsidR="00D6100D" w:rsidRPr="00497EB5">
        <w:t>non-inferior</w:t>
      </w:r>
      <w:r w:rsidR="0038169E">
        <w:t>ity</w:t>
      </w:r>
      <w:r w:rsidR="00D05FD9" w:rsidRPr="00497EB5">
        <w:t xml:space="preserve"> in terms of effectiveness</w:t>
      </w:r>
      <w:r w:rsidR="00D05FD9">
        <w:t xml:space="preserve"> </w:t>
      </w:r>
      <w:r w:rsidR="00EE0175">
        <w:t>(definitive wound closure)</w:t>
      </w:r>
      <w:r w:rsidR="00D05FD9" w:rsidRPr="00497EB5">
        <w:t xml:space="preserve"> and safety</w:t>
      </w:r>
      <w:r w:rsidR="00B61400">
        <w:t xml:space="preserve">, </w:t>
      </w:r>
      <w:r w:rsidR="005125FE">
        <w:t xml:space="preserve">a cost-effectiveness </w:t>
      </w:r>
      <w:r w:rsidR="00F11BF9">
        <w:t>or cost-utility</w:t>
      </w:r>
      <w:r w:rsidR="005125FE">
        <w:t xml:space="preserve"> </w:t>
      </w:r>
      <w:r w:rsidR="00480458">
        <w:t xml:space="preserve">analysis </w:t>
      </w:r>
      <w:r w:rsidR="0014569B">
        <w:t xml:space="preserve">would usually be </w:t>
      </w:r>
      <w:r w:rsidR="004F76FD">
        <w:t>recommended</w:t>
      </w:r>
      <w:r w:rsidR="00D05FD9" w:rsidRPr="00497EB5">
        <w:t>.</w:t>
      </w:r>
      <w:r w:rsidR="00D05FD9" w:rsidRPr="00670394">
        <w:t xml:space="preserve"> </w:t>
      </w:r>
      <w:r w:rsidR="005D4534">
        <w:t>Nevertheless, t</w:t>
      </w:r>
      <w:r w:rsidR="003D530A">
        <w:t xml:space="preserve">he ADAR </w:t>
      </w:r>
      <w:r w:rsidR="00F11BF9">
        <w:t xml:space="preserve">reasonably </w:t>
      </w:r>
      <w:r w:rsidR="00480458">
        <w:t>concluded</w:t>
      </w:r>
      <w:r w:rsidR="003D530A">
        <w:t xml:space="preserve"> </w:t>
      </w:r>
      <w:r w:rsidR="00E31254">
        <w:t xml:space="preserve">that </w:t>
      </w:r>
      <w:r w:rsidR="00F11BF9">
        <w:t xml:space="preserve">such </w:t>
      </w:r>
      <w:r w:rsidR="00E31254">
        <w:t>an</w:t>
      </w:r>
      <w:r w:rsidR="00F11BF9">
        <w:t xml:space="preserve"> analysis</w:t>
      </w:r>
      <w:r w:rsidR="00480458">
        <w:t xml:space="preserve"> was </w:t>
      </w:r>
      <w:r w:rsidR="00B74F42">
        <w:t xml:space="preserve">unlikely to be informative </w:t>
      </w:r>
      <w:r w:rsidR="00F11BF9">
        <w:t>due to the lack of robust data.</w:t>
      </w:r>
      <w:r w:rsidR="00D05FD9" w:rsidRPr="00670394">
        <w:t xml:space="preserve"> </w:t>
      </w:r>
      <w:r w:rsidR="00B61AC6">
        <w:t xml:space="preserve">As such, the evaluation </w:t>
      </w:r>
      <w:r w:rsidR="002C39A4">
        <w:t xml:space="preserve">for this application </w:t>
      </w:r>
      <w:r w:rsidR="00C762EC">
        <w:t>essentially amounts</w:t>
      </w:r>
      <w:r w:rsidR="002C39A4">
        <w:t xml:space="preserve"> to </w:t>
      </w:r>
      <w:r w:rsidR="00D92817">
        <w:t>an assessment of</w:t>
      </w:r>
      <w:r w:rsidR="00832858">
        <w:t xml:space="preserve"> incremental costs</w:t>
      </w:r>
      <w:r w:rsidR="000A5A79">
        <w:t xml:space="preserve">. </w:t>
      </w:r>
      <w:r w:rsidR="00933ADD">
        <w:t xml:space="preserve">While this </w:t>
      </w:r>
      <w:r w:rsidR="008B0B21">
        <w:t xml:space="preserve">approach </w:t>
      </w:r>
      <w:r w:rsidR="00933ADD">
        <w:t xml:space="preserve">may </w:t>
      </w:r>
      <w:r w:rsidR="008B0B21">
        <w:t xml:space="preserve">provide insight </w:t>
      </w:r>
      <w:r w:rsidR="008B0B21" w:rsidRPr="008B0B21">
        <w:t>into the potential re</w:t>
      </w:r>
      <w:r w:rsidR="00F903CF">
        <w:t>sourc</w:t>
      </w:r>
      <w:r w:rsidR="008B0B21" w:rsidRPr="008B0B21">
        <w:t>e use and cost implications of improved donor site sparing</w:t>
      </w:r>
      <w:r w:rsidR="008B0B21">
        <w:t>, it</w:t>
      </w:r>
      <w:r w:rsidR="008B0B21" w:rsidRPr="008B0B21">
        <w:t xml:space="preserve"> do</w:t>
      </w:r>
      <w:r w:rsidR="008B0B21">
        <w:t>es</w:t>
      </w:r>
      <w:r w:rsidR="008B0B21" w:rsidRPr="008B0B21">
        <w:t xml:space="preserve"> not account for the broader impacts on patient wellbeing</w:t>
      </w:r>
      <w:r w:rsidR="00A43649">
        <w:t xml:space="preserve"> </w:t>
      </w:r>
      <w:r w:rsidR="008B0B21" w:rsidRPr="008B0B21">
        <w:t>or long-term recovery</w:t>
      </w:r>
      <w:r w:rsidR="002A5A24">
        <w:t>,</w:t>
      </w:r>
      <w:r w:rsidR="008B0B21" w:rsidRPr="008B0B21">
        <w:t xml:space="preserve"> and</w:t>
      </w:r>
      <w:r w:rsidR="002A5A24">
        <w:t xml:space="preserve"> results</w:t>
      </w:r>
      <w:r w:rsidR="008B0B21" w:rsidRPr="008B0B21">
        <w:t xml:space="preserve"> should be interpreted with this in mind.</w:t>
      </w:r>
    </w:p>
    <w:p w14:paraId="1E8DB430" w14:textId="66A1DDAF" w:rsidR="004940EC" w:rsidRDefault="000A5A79" w:rsidP="004940EC">
      <w:r>
        <w:t>These</w:t>
      </w:r>
      <w:r w:rsidR="00DF7A76">
        <w:t xml:space="preserve"> incremental costs</w:t>
      </w:r>
      <w:r>
        <w:t xml:space="preserve"> could</w:t>
      </w:r>
      <w:r w:rsidR="00D92817">
        <w:t xml:space="preserve"> be considered </w:t>
      </w:r>
      <w:r w:rsidR="005A4C4C">
        <w:t xml:space="preserve">alongside </w:t>
      </w:r>
      <w:r w:rsidR="00235731">
        <w:t xml:space="preserve">incremental </w:t>
      </w:r>
      <w:r w:rsidR="00C15952">
        <w:t>differences</w:t>
      </w:r>
      <w:r w:rsidR="00235731">
        <w:t xml:space="preserve"> in various other outcomes in a </w:t>
      </w:r>
      <w:r w:rsidR="00DF767A">
        <w:t>disaggregated</w:t>
      </w:r>
      <w:r w:rsidR="00235731">
        <w:t xml:space="preserve"> manner (i.e. </w:t>
      </w:r>
      <w:r w:rsidR="008D4DEA">
        <w:t>CCA</w:t>
      </w:r>
      <w:r w:rsidR="00235731">
        <w:t>)</w:t>
      </w:r>
      <w:r w:rsidR="00B22FAC">
        <w:t>.</w:t>
      </w:r>
      <w:r>
        <w:t xml:space="preserve"> </w:t>
      </w:r>
      <w:r w:rsidR="00B22FAC">
        <w:t>A CCA</w:t>
      </w:r>
      <w:r>
        <w:t xml:space="preserve"> was not specifically done in the ADAR</w:t>
      </w:r>
      <w:r w:rsidR="00AF459B">
        <w:t>,</w:t>
      </w:r>
      <w:r w:rsidR="00DD016F">
        <w:t xml:space="preserve"> the</w:t>
      </w:r>
      <w:r w:rsidR="00162B5C">
        <w:t xml:space="preserve"> applicant </w:t>
      </w:r>
      <w:r w:rsidR="00EA0D78">
        <w:t xml:space="preserve">cited </w:t>
      </w:r>
      <w:r w:rsidR="0021757B">
        <w:t xml:space="preserve">differences between </w:t>
      </w:r>
      <w:r w:rsidR="00D949E1">
        <w:t xml:space="preserve">the </w:t>
      </w:r>
      <w:r w:rsidR="00D949E1" w:rsidRPr="00A26441">
        <w:t>Australian and American healthcare settings</w:t>
      </w:r>
      <w:r w:rsidR="00A26441" w:rsidRPr="00A26441">
        <w:t xml:space="preserve"> and </w:t>
      </w:r>
      <w:r w:rsidR="00A95927">
        <w:t xml:space="preserve">a </w:t>
      </w:r>
      <w:r w:rsidR="00A26441" w:rsidRPr="00A26441">
        <w:t xml:space="preserve">lack of data available to inform a </w:t>
      </w:r>
      <w:r w:rsidR="008D4DEA">
        <w:t>CCA</w:t>
      </w:r>
      <w:r w:rsidR="00AA3D33">
        <w:t xml:space="preserve"> as the </w:t>
      </w:r>
      <w:r w:rsidR="00F83E58">
        <w:t>reason</w:t>
      </w:r>
      <w:r w:rsidR="002173AC">
        <w:t xml:space="preserve"> this was </w:t>
      </w:r>
      <w:r w:rsidR="001443B9">
        <w:t>not</w:t>
      </w:r>
      <w:r w:rsidR="002173AC">
        <w:t xml:space="preserve"> done</w:t>
      </w:r>
      <w:r w:rsidR="00235731" w:rsidRPr="00A26441">
        <w:t>.</w:t>
      </w:r>
      <w:r w:rsidR="00F02E59">
        <w:t xml:space="preserve"> </w:t>
      </w:r>
      <w:r w:rsidR="006830A6">
        <w:t>Despite this</w:t>
      </w:r>
      <w:r w:rsidR="00BD5E30">
        <w:t xml:space="preserve">, clinical input data sourced from US-based studies </w:t>
      </w:r>
      <w:r w:rsidR="008D4DEA">
        <w:t xml:space="preserve">were used </w:t>
      </w:r>
      <w:r w:rsidR="00317FBD">
        <w:t>to inform the costing analysis presented in the ADAR</w:t>
      </w:r>
      <w:r w:rsidR="00695810">
        <w:t xml:space="preserve"> (</w:t>
      </w:r>
      <w:r w:rsidR="002A74D7">
        <w:fldChar w:fldCharType="begin"/>
      </w:r>
      <w:r w:rsidR="002A74D7">
        <w:instrText xml:space="preserve"> REF _Ref194304589 \h </w:instrText>
      </w:r>
      <w:r w:rsidR="002A74D7">
        <w:fldChar w:fldCharType="separate"/>
      </w:r>
      <w:r w:rsidR="00487E4A">
        <w:t xml:space="preserve">Table </w:t>
      </w:r>
      <w:r w:rsidR="00487E4A">
        <w:rPr>
          <w:noProof/>
        </w:rPr>
        <w:t>12</w:t>
      </w:r>
      <w:r w:rsidR="00487E4A" w:rsidRPr="004C18BB">
        <w:t> </w:t>
      </w:r>
      <w:r w:rsidR="002A74D7">
        <w:fldChar w:fldCharType="end"/>
      </w:r>
      <w:r w:rsidR="00695810">
        <w:t>)</w:t>
      </w:r>
      <w:r w:rsidR="005335D1" w:rsidRPr="00B02163">
        <w:t>.</w:t>
      </w:r>
    </w:p>
    <w:p w14:paraId="2F4F8B2C" w14:textId="387D2296" w:rsidR="002B3076" w:rsidRPr="00435B85" w:rsidRDefault="00ED52F1" w:rsidP="00ED52F1">
      <w:pPr>
        <w:pStyle w:val="Caption"/>
      </w:pPr>
      <w:bookmarkStart w:id="60" w:name="_Ref194304589"/>
      <w:r>
        <w:lastRenderedPageBreak/>
        <w:t xml:space="preserve">Table </w:t>
      </w:r>
      <w:r>
        <w:fldChar w:fldCharType="begin"/>
      </w:r>
      <w:r>
        <w:instrText>SEQ Table \* ARABIC</w:instrText>
      </w:r>
      <w:r>
        <w:fldChar w:fldCharType="separate"/>
      </w:r>
      <w:r w:rsidR="00487E4A">
        <w:rPr>
          <w:noProof/>
        </w:rPr>
        <w:t>12</w:t>
      </w:r>
      <w:r>
        <w:fldChar w:fldCharType="end"/>
      </w:r>
      <w:r w:rsidR="00B02163" w:rsidRPr="004C18BB">
        <w:t> </w:t>
      </w:r>
      <w:r w:rsidR="00D7649D">
        <w:fldChar w:fldCharType="begin"/>
      </w:r>
      <w:bookmarkEnd w:id="60"/>
      <w:r w:rsidR="00D7649D">
        <w:fldChar w:fldCharType="separate"/>
      </w:r>
      <w:r w:rsidR="00790548">
        <w:rPr>
          <w:noProof/>
        </w:rPr>
        <w:t>12</w:t>
      </w:r>
      <w:r w:rsidR="00D7649D">
        <w:fldChar w:fldCharType="end"/>
      </w:r>
      <w:r w:rsidR="00B02163">
        <w:t>:</w:t>
      </w:r>
      <w:bookmarkStart w:id="61" w:name="Title_Table5"/>
      <w:bookmarkStart w:id="62" w:name="_Hlk68276459"/>
      <w:bookmarkEnd w:id="61"/>
      <w:r w:rsidR="00761FC9">
        <w:t xml:space="preserve"> </w:t>
      </w:r>
      <w:r w:rsidR="002B3076" w:rsidRPr="00435B85" w:rsidDel="00B21867">
        <w:t>Su</w:t>
      </w:r>
      <w:r w:rsidR="002B3076" w:rsidRPr="00435B85">
        <w:t xml:space="preserve">mmary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economic evaluation "/>
        <w:tblDescription w:val="This table describes the key constructs of the economic evaluation that is provided in the assessment report."/>
      </w:tblPr>
      <w:tblGrid>
        <w:gridCol w:w="1729"/>
        <w:gridCol w:w="7287"/>
      </w:tblGrid>
      <w:tr w:rsidR="002B3076" w:rsidRPr="000D4886" w:rsidDel="005335D1" w14:paraId="5844845C" w14:textId="43DEA545">
        <w:trPr>
          <w:trHeight w:val="206"/>
          <w:tblHeader/>
        </w:trPr>
        <w:tc>
          <w:tcPr>
            <w:tcW w:w="959" w:type="pct"/>
          </w:tcPr>
          <w:p w14:paraId="199ADFD1" w14:textId="77777777" w:rsidR="002B3076" w:rsidRPr="000E7210" w:rsidDel="005335D1" w:rsidRDefault="002B3076" w:rsidP="0031003A">
            <w:pPr>
              <w:pStyle w:val="TableText"/>
              <w:rPr>
                <w:b/>
              </w:rPr>
            </w:pPr>
            <w:r w:rsidRPr="000E7210" w:rsidDel="005335D1">
              <w:rPr>
                <w:b/>
              </w:rPr>
              <w:t>Component</w:t>
            </w:r>
          </w:p>
        </w:tc>
        <w:tc>
          <w:tcPr>
            <w:tcW w:w="4041" w:type="pct"/>
          </w:tcPr>
          <w:p w14:paraId="65891DAE" w14:textId="77777777" w:rsidR="002B3076" w:rsidRPr="000E7210" w:rsidDel="005335D1" w:rsidRDefault="002B3076" w:rsidP="0031003A">
            <w:pPr>
              <w:pStyle w:val="TableText"/>
              <w:rPr>
                <w:b/>
                <w:szCs w:val="20"/>
              </w:rPr>
            </w:pPr>
            <w:r w:rsidRPr="000E7210" w:rsidDel="005335D1">
              <w:rPr>
                <w:b/>
                <w:szCs w:val="20"/>
              </w:rPr>
              <w:t>Description</w:t>
            </w:r>
          </w:p>
        </w:tc>
      </w:tr>
      <w:tr w:rsidR="002B3076" w:rsidRPr="000D4886" w:rsidDel="005335D1" w14:paraId="6A648895" w14:textId="330CBD75">
        <w:tc>
          <w:tcPr>
            <w:tcW w:w="959" w:type="pct"/>
          </w:tcPr>
          <w:p w14:paraId="5796A9B1" w14:textId="77777777" w:rsidR="002B3076" w:rsidRPr="000E7210" w:rsidDel="005335D1" w:rsidRDefault="002B3076" w:rsidP="0031003A">
            <w:pPr>
              <w:pStyle w:val="TableText"/>
              <w:rPr>
                <w:b/>
                <w:szCs w:val="20"/>
              </w:rPr>
            </w:pPr>
            <w:r w:rsidRPr="000E7210" w:rsidDel="005335D1">
              <w:rPr>
                <w:b/>
                <w:szCs w:val="20"/>
              </w:rPr>
              <w:t>Perspective</w:t>
            </w:r>
          </w:p>
        </w:tc>
        <w:tc>
          <w:tcPr>
            <w:tcW w:w="4041" w:type="pct"/>
          </w:tcPr>
          <w:p w14:paraId="380727DC" w14:textId="0BB18937" w:rsidR="002B3076" w:rsidRDefault="002B3076" w:rsidP="0031003A">
            <w:pPr>
              <w:pStyle w:val="TableText"/>
              <w:rPr>
                <w:szCs w:val="20"/>
              </w:rPr>
            </w:pPr>
            <w:r w:rsidRPr="008737A9" w:rsidDel="005335D1">
              <w:rPr>
                <w:szCs w:val="20"/>
              </w:rPr>
              <w:t>Australian healthcare system perspective</w:t>
            </w:r>
          </w:p>
          <w:p w14:paraId="49F8D732" w14:textId="19AD31C3" w:rsidR="002B3076" w:rsidRPr="00C23C03" w:rsidDel="005335D1" w:rsidRDefault="00AE7C0D" w:rsidP="0031003A">
            <w:pPr>
              <w:pStyle w:val="TableText"/>
              <w:rPr>
                <w:i/>
                <w:szCs w:val="20"/>
              </w:rPr>
            </w:pPr>
            <w:r>
              <w:rPr>
                <w:i/>
                <w:iCs/>
                <w:szCs w:val="20"/>
              </w:rPr>
              <w:t xml:space="preserve">While the ADAR indicated </w:t>
            </w:r>
            <w:r w:rsidR="004D227A">
              <w:rPr>
                <w:i/>
                <w:iCs/>
                <w:szCs w:val="20"/>
              </w:rPr>
              <w:t xml:space="preserve">that </w:t>
            </w:r>
            <w:r w:rsidR="00D45EBF">
              <w:rPr>
                <w:i/>
                <w:iCs/>
                <w:szCs w:val="20"/>
              </w:rPr>
              <w:t>a</w:t>
            </w:r>
            <w:r>
              <w:rPr>
                <w:i/>
                <w:iCs/>
                <w:szCs w:val="20"/>
              </w:rPr>
              <w:t xml:space="preserve"> health system perspective was adopted, the base case analysis was limited </w:t>
            </w:r>
            <w:r w:rsidR="00E57B73">
              <w:rPr>
                <w:i/>
                <w:iCs/>
                <w:szCs w:val="20"/>
              </w:rPr>
              <w:t xml:space="preserve">in its perspective to considering only a limited number of costs to the MBS and private health </w:t>
            </w:r>
            <w:r w:rsidR="00D45EBF">
              <w:rPr>
                <w:i/>
                <w:iCs/>
                <w:szCs w:val="20"/>
              </w:rPr>
              <w:t>insurance system.</w:t>
            </w:r>
          </w:p>
        </w:tc>
      </w:tr>
      <w:tr w:rsidR="002B3076" w:rsidRPr="000D4886" w:rsidDel="005335D1" w14:paraId="6FA97D04" w14:textId="22178CF3">
        <w:trPr>
          <w:tblHeader/>
        </w:trPr>
        <w:tc>
          <w:tcPr>
            <w:tcW w:w="959" w:type="pct"/>
          </w:tcPr>
          <w:p w14:paraId="2DD899CA" w14:textId="77777777" w:rsidR="002B3076" w:rsidRPr="000E7210" w:rsidDel="005335D1" w:rsidRDefault="002B3076" w:rsidP="0031003A">
            <w:pPr>
              <w:pStyle w:val="TableText"/>
              <w:rPr>
                <w:b/>
                <w:szCs w:val="20"/>
              </w:rPr>
            </w:pPr>
            <w:r w:rsidRPr="000E7210" w:rsidDel="005335D1">
              <w:rPr>
                <w:b/>
                <w:szCs w:val="20"/>
              </w:rPr>
              <w:t>Population</w:t>
            </w:r>
          </w:p>
        </w:tc>
        <w:tc>
          <w:tcPr>
            <w:tcW w:w="4041" w:type="pct"/>
          </w:tcPr>
          <w:p w14:paraId="6990B62B" w14:textId="7D1DA42C" w:rsidR="002B3076" w:rsidRPr="008737A9" w:rsidDel="005335D1" w:rsidRDefault="002B3076" w:rsidP="0031003A">
            <w:pPr>
              <w:pStyle w:val="TableText"/>
              <w:rPr>
                <w:szCs w:val="20"/>
              </w:rPr>
            </w:pPr>
            <w:r w:rsidRPr="00CB59FB" w:rsidDel="005335D1">
              <w:rPr>
                <w:color w:val="000000" w:themeColor="text1"/>
                <w:szCs w:val="20"/>
              </w:rPr>
              <w:t>Patients</w:t>
            </w:r>
            <w:r w:rsidR="00FF5643" w:rsidRPr="008737A9" w:rsidDel="005335D1">
              <w:rPr>
                <w:color w:val="000000" w:themeColor="text1"/>
                <w:szCs w:val="20"/>
              </w:rPr>
              <w:t xml:space="preserve"> </w:t>
            </w:r>
            <w:r w:rsidRPr="008737A9" w:rsidDel="005335D1">
              <w:rPr>
                <w:color w:val="000000" w:themeColor="text1"/>
                <w:szCs w:val="20"/>
              </w:rPr>
              <w:t xml:space="preserve">with severe burns covering </w:t>
            </w:r>
            <w:r w:rsidR="00B8756F">
              <w:rPr>
                <w:color w:val="000000" w:themeColor="text1"/>
                <w:szCs w:val="20"/>
              </w:rPr>
              <w:t>≥</w:t>
            </w:r>
            <w:r w:rsidRPr="008737A9" w:rsidDel="005335D1">
              <w:rPr>
                <w:color w:val="000000" w:themeColor="text1"/>
                <w:szCs w:val="20"/>
              </w:rPr>
              <w:t xml:space="preserve">20%TBSA who have sustained DPT and/or FT burns wounds that would require skin grafting. </w:t>
            </w:r>
          </w:p>
        </w:tc>
      </w:tr>
      <w:tr w:rsidR="002B3076" w:rsidRPr="000D4886" w:rsidDel="005335D1" w14:paraId="2FF31FB3" w14:textId="2D861D1D">
        <w:tc>
          <w:tcPr>
            <w:tcW w:w="959" w:type="pct"/>
          </w:tcPr>
          <w:p w14:paraId="542DE3C9" w14:textId="77777777" w:rsidR="002B3076" w:rsidRPr="000E7210" w:rsidDel="005335D1" w:rsidRDefault="002B3076" w:rsidP="0031003A">
            <w:pPr>
              <w:pStyle w:val="TableText"/>
              <w:rPr>
                <w:b/>
                <w:szCs w:val="20"/>
              </w:rPr>
            </w:pPr>
            <w:r w:rsidRPr="000E7210" w:rsidDel="005335D1">
              <w:rPr>
                <w:b/>
                <w:szCs w:val="20"/>
              </w:rPr>
              <w:t>Intervention</w:t>
            </w:r>
          </w:p>
        </w:tc>
        <w:tc>
          <w:tcPr>
            <w:tcW w:w="4041" w:type="pct"/>
          </w:tcPr>
          <w:p w14:paraId="7F886E0F" w14:textId="7D7B066D" w:rsidR="002B3076" w:rsidRPr="008737A9" w:rsidDel="005335D1" w:rsidRDefault="002B3076" w:rsidP="0031003A">
            <w:pPr>
              <w:pStyle w:val="TableText"/>
            </w:pPr>
            <w:r w:rsidRPr="008737A9" w:rsidDel="005335D1">
              <w:t>ASCS</w:t>
            </w:r>
            <w:r w:rsidR="00C9028D">
              <w:t xml:space="preserve"> </w:t>
            </w:r>
            <w:r w:rsidRPr="00937401" w:rsidDel="005335D1">
              <w:t>±</w:t>
            </w:r>
            <w:r w:rsidR="00C9028D">
              <w:t xml:space="preserve"> </w:t>
            </w:r>
            <w:r w:rsidRPr="008737A9" w:rsidDel="005335D1">
              <w:t>STSG</w:t>
            </w:r>
          </w:p>
        </w:tc>
      </w:tr>
      <w:tr w:rsidR="002B3076" w:rsidRPr="000D4886" w:rsidDel="005335D1" w14:paraId="6AB1C83B" w14:textId="339B6D00">
        <w:tc>
          <w:tcPr>
            <w:tcW w:w="959" w:type="pct"/>
          </w:tcPr>
          <w:p w14:paraId="1D13DF62" w14:textId="77777777" w:rsidR="002B3076" w:rsidRPr="000E7210" w:rsidDel="005335D1" w:rsidRDefault="002B3076" w:rsidP="0031003A">
            <w:pPr>
              <w:pStyle w:val="TableText"/>
              <w:rPr>
                <w:b/>
                <w:szCs w:val="20"/>
              </w:rPr>
            </w:pPr>
            <w:r w:rsidRPr="000E7210" w:rsidDel="005335D1">
              <w:rPr>
                <w:b/>
                <w:szCs w:val="20"/>
              </w:rPr>
              <w:t>Comparator</w:t>
            </w:r>
          </w:p>
        </w:tc>
        <w:tc>
          <w:tcPr>
            <w:tcW w:w="4041" w:type="pct"/>
          </w:tcPr>
          <w:p w14:paraId="1E6D85C6" w14:textId="77777777" w:rsidR="002B3076" w:rsidRPr="008737A9" w:rsidDel="005335D1" w:rsidRDefault="002B3076" w:rsidP="0031003A">
            <w:pPr>
              <w:pStyle w:val="TableText"/>
              <w:rPr>
                <w:szCs w:val="20"/>
              </w:rPr>
            </w:pPr>
            <w:r w:rsidRPr="008737A9" w:rsidDel="005335D1">
              <w:rPr>
                <w:szCs w:val="20"/>
              </w:rPr>
              <w:t>STSG alone</w:t>
            </w:r>
          </w:p>
        </w:tc>
      </w:tr>
      <w:tr w:rsidR="002B3076" w:rsidRPr="000D4886" w:rsidDel="005335D1" w14:paraId="1BFA8E1D" w14:textId="1C3A4810">
        <w:tc>
          <w:tcPr>
            <w:tcW w:w="959" w:type="pct"/>
          </w:tcPr>
          <w:p w14:paraId="415B6E54" w14:textId="1EF2AEA8" w:rsidR="002B3076" w:rsidRPr="000E7210" w:rsidDel="005335D1" w:rsidRDefault="002B3076" w:rsidP="0031003A">
            <w:pPr>
              <w:pStyle w:val="TableText"/>
              <w:rPr>
                <w:b/>
                <w:szCs w:val="20"/>
              </w:rPr>
            </w:pPr>
            <w:r w:rsidRPr="000E7210" w:rsidDel="005335D1">
              <w:rPr>
                <w:b/>
                <w:szCs w:val="20"/>
              </w:rPr>
              <w:t>Type of analysis</w:t>
            </w:r>
          </w:p>
        </w:tc>
        <w:tc>
          <w:tcPr>
            <w:tcW w:w="4041" w:type="pct"/>
          </w:tcPr>
          <w:p w14:paraId="6BA45FC2" w14:textId="04394C1E" w:rsidR="002B3076" w:rsidRPr="008737A9" w:rsidDel="005335D1" w:rsidRDefault="00F33C21" w:rsidP="0031003A">
            <w:pPr>
              <w:pStyle w:val="TableText"/>
              <w:rPr>
                <w:szCs w:val="20"/>
              </w:rPr>
            </w:pPr>
            <w:r w:rsidDel="005335D1">
              <w:rPr>
                <w:szCs w:val="20"/>
              </w:rPr>
              <w:t>Costing</w:t>
            </w:r>
            <w:r w:rsidR="002B3076" w:rsidRPr="008737A9" w:rsidDel="005335D1">
              <w:rPr>
                <w:szCs w:val="20"/>
              </w:rPr>
              <w:t xml:space="preserve"> analysis </w:t>
            </w:r>
          </w:p>
        </w:tc>
      </w:tr>
      <w:tr w:rsidR="002B3076" w:rsidRPr="000D4886" w:rsidDel="005335D1" w14:paraId="3CDD4773" w14:textId="193D2B6D">
        <w:tc>
          <w:tcPr>
            <w:tcW w:w="959" w:type="pct"/>
          </w:tcPr>
          <w:p w14:paraId="762AB317" w14:textId="5F231BAD" w:rsidR="002B3076" w:rsidRPr="000E7210" w:rsidDel="005335D1" w:rsidRDefault="002B3076" w:rsidP="0031003A">
            <w:pPr>
              <w:pStyle w:val="TableText"/>
              <w:rPr>
                <w:b/>
                <w:szCs w:val="20"/>
              </w:rPr>
            </w:pPr>
            <w:r w:rsidRPr="000E7210" w:rsidDel="005335D1">
              <w:rPr>
                <w:b/>
                <w:szCs w:val="20"/>
              </w:rPr>
              <w:t>Outcome</w:t>
            </w:r>
          </w:p>
        </w:tc>
        <w:tc>
          <w:tcPr>
            <w:tcW w:w="4041" w:type="pct"/>
          </w:tcPr>
          <w:p w14:paraId="5F258146" w14:textId="77777777" w:rsidR="002B3076" w:rsidRPr="008737A9" w:rsidDel="005335D1" w:rsidRDefault="002B3076" w:rsidP="0031003A">
            <w:pPr>
              <w:pStyle w:val="TableText"/>
              <w:rPr>
                <w:szCs w:val="20"/>
              </w:rPr>
            </w:pPr>
            <w:r w:rsidRPr="008737A9" w:rsidDel="005335D1">
              <w:rPr>
                <w:szCs w:val="20"/>
              </w:rPr>
              <w:t>Total cost per patient</w:t>
            </w:r>
          </w:p>
        </w:tc>
      </w:tr>
      <w:tr w:rsidR="002B3076" w:rsidRPr="000D4886" w:rsidDel="005335D1" w14:paraId="74845CDA" w14:textId="12B3DB5A">
        <w:tc>
          <w:tcPr>
            <w:tcW w:w="959" w:type="pct"/>
          </w:tcPr>
          <w:p w14:paraId="100AEBA2" w14:textId="77777777" w:rsidR="002B3076" w:rsidRPr="000E7210" w:rsidDel="005335D1" w:rsidRDefault="002B3076" w:rsidP="0031003A">
            <w:pPr>
              <w:pStyle w:val="TableText"/>
              <w:rPr>
                <w:b/>
                <w:szCs w:val="20"/>
              </w:rPr>
            </w:pPr>
            <w:r w:rsidRPr="000E7210" w:rsidDel="005335D1">
              <w:rPr>
                <w:b/>
                <w:szCs w:val="20"/>
              </w:rPr>
              <w:t>Time horizon</w:t>
            </w:r>
          </w:p>
        </w:tc>
        <w:tc>
          <w:tcPr>
            <w:tcW w:w="4041" w:type="pct"/>
          </w:tcPr>
          <w:p w14:paraId="0DFE6C10" w14:textId="69B25C7B" w:rsidR="002B3076" w:rsidRPr="008737A9" w:rsidDel="005335D1" w:rsidRDefault="00D5057B" w:rsidP="0031003A">
            <w:pPr>
              <w:pStyle w:val="TableText"/>
              <w:rPr>
                <w:szCs w:val="20"/>
              </w:rPr>
            </w:pPr>
            <w:r>
              <w:rPr>
                <w:szCs w:val="20"/>
              </w:rPr>
              <w:t>Index episode of hospital care</w:t>
            </w:r>
          </w:p>
        </w:tc>
      </w:tr>
      <w:tr w:rsidR="002B3076" w:rsidRPr="000D4886" w:rsidDel="005335D1" w14:paraId="10813A66" w14:textId="1605757F">
        <w:tc>
          <w:tcPr>
            <w:tcW w:w="959" w:type="pct"/>
          </w:tcPr>
          <w:p w14:paraId="14EB1C7F" w14:textId="77777777" w:rsidR="002B3076" w:rsidRPr="000E7210" w:rsidDel="005335D1" w:rsidRDefault="002B3076" w:rsidP="0031003A">
            <w:pPr>
              <w:pStyle w:val="TableText"/>
              <w:rPr>
                <w:b/>
                <w:szCs w:val="20"/>
              </w:rPr>
            </w:pPr>
            <w:r w:rsidRPr="000E7210" w:rsidDel="005335D1">
              <w:rPr>
                <w:b/>
                <w:szCs w:val="20"/>
              </w:rPr>
              <w:t>Generation of the base case</w:t>
            </w:r>
          </w:p>
        </w:tc>
        <w:tc>
          <w:tcPr>
            <w:tcW w:w="4041" w:type="pct"/>
          </w:tcPr>
          <w:p w14:paraId="1AB0ED03" w14:textId="2429DA22" w:rsidR="002B3076" w:rsidRPr="008737A9" w:rsidDel="005335D1" w:rsidRDefault="002B3076" w:rsidP="0031003A">
            <w:pPr>
              <w:pStyle w:val="TableText"/>
              <w:rPr>
                <w:szCs w:val="20"/>
              </w:rPr>
            </w:pPr>
            <w:r w:rsidRPr="008737A9" w:rsidDel="005335D1">
              <w:rPr>
                <w:szCs w:val="20"/>
              </w:rPr>
              <w:t xml:space="preserve">Analysed based on inputs informed by </w:t>
            </w:r>
            <w:r w:rsidRPr="00937401" w:rsidDel="005335D1">
              <w:rPr>
                <w:szCs w:val="20"/>
              </w:rPr>
              <w:t>literature</w:t>
            </w:r>
            <w:r w:rsidR="00943B84">
              <w:rPr>
                <w:szCs w:val="20"/>
              </w:rPr>
              <w:t>; c</w:t>
            </w:r>
            <w:r w:rsidRPr="00937401" w:rsidDel="005335D1">
              <w:rPr>
                <w:szCs w:val="20"/>
              </w:rPr>
              <w:t>osts</w:t>
            </w:r>
            <w:r w:rsidRPr="008737A9" w:rsidDel="005335D1">
              <w:rPr>
                <w:szCs w:val="20"/>
              </w:rPr>
              <w:t xml:space="preserve"> </w:t>
            </w:r>
            <w:r w:rsidR="004D227A">
              <w:rPr>
                <w:szCs w:val="20"/>
              </w:rPr>
              <w:t xml:space="preserve">are </w:t>
            </w:r>
            <w:r w:rsidRPr="008737A9" w:rsidDel="005335D1">
              <w:rPr>
                <w:szCs w:val="20"/>
              </w:rPr>
              <w:t>mainly driven by LOS and definitive closure procedure inputs</w:t>
            </w:r>
            <w:r w:rsidR="0083790E">
              <w:rPr>
                <w:szCs w:val="20"/>
              </w:rPr>
              <w:t>.</w:t>
            </w:r>
          </w:p>
        </w:tc>
      </w:tr>
      <w:tr w:rsidR="002B3076" w:rsidRPr="000D4886" w:rsidDel="005335D1" w14:paraId="6F4E2370" w14:textId="71F86487">
        <w:tc>
          <w:tcPr>
            <w:tcW w:w="959" w:type="pct"/>
          </w:tcPr>
          <w:p w14:paraId="48AA1845" w14:textId="77777777" w:rsidR="002B3076" w:rsidRPr="000E7210" w:rsidDel="005335D1" w:rsidRDefault="002B3076" w:rsidP="0031003A">
            <w:pPr>
              <w:pStyle w:val="TableText"/>
              <w:rPr>
                <w:b/>
                <w:szCs w:val="20"/>
              </w:rPr>
            </w:pPr>
            <w:r w:rsidRPr="000E7210" w:rsidDel="005335D1">
              <w:rPr>
                <w:b/>
                <w:szCs w:val="20"/>
              </w:rPr>
              <w:t>Treatment structure</w:t>
            </w:r>
          </w:p>
        </w:tc>
        <w:tc>
          <w:tcPr>
            <w:tcW w:w="4041" w:type="pct"/>
          </w:tcPr>
          <w:p w14:paraId="4071F844" w14:textId="40D85838" w:rsidR="002B3076" w:rsidRPr="008737A9" w:rsidDel="005335D1" w:rsidRDefault="002B3076" w:rsidP="0031003A">
            <w:pPr>
              <w:pStyle w:val="TableText"/>
              <w:rPr>
                <w:szCs w:val="20"/>
              </w:rPr>
            </w:pPr>
            <w:r w:rsidRPr="008737A9" w:rsidDel="005335D1">
              <w:rPr>
                <w:szCs w:val="20"/>
              </w:rPr>
              <w:t>General treatment pathway for patients with severe burn</w:t>
            </w:r>
            <w:r w:rsidR="00982A78">
              <w:rPr>
                <w:szCs w:val="20"/>
              </w:rPr>
              <w:t>s</w:t>
            </w:r>
            <w:r w:rsidRPr="008737A9" w:rsidDel="005335D1">
              <w:rPr>
                <w:szCs w:val="20"/>
              </w:rPr>
              <w:t xml:space="preserve"> ≥</w:t>
            </w:r>
            <w:r w:rsidRPr="008737A9" w:rsidDel="005335D1">
              <w:rPr>
                <w:color w:val="000000" w:themeColor="text1"/>
                <w:szCs w:val="20"/>
              </w:rPr>
              <w:t>20</w:t>
            </w:r>
            <w:r w:rsidRPr="00937401" w:rsidDel="005335D1">
              <w:rPr>
                <w:color w:val="000000" w:themeColor="text1"/>
                <w:szCs w:val="20"/>
              </w:rPr>
              <w:t xml:space="preserve">% </w:t>
            </w:r>
            <w:r w:rsidR="002D796F">
              <w:rPr>
                <w:color w:val="000000" w:themeColor="text1"/>
                <w:szCs w:val="20"/>
              </w:rPr>
              <w:t>TBSA</w:t>
            </w:r>
            <w:r w:rsidR="00272DC1">
              <w:rPr>
                <w:color w:val="000000" w:themeColor="text1"/>
                <w:szCs w:val="20"/>
              </w:rPr>
              <w:t>,</w:t>
            </w:r>
            <w:r w:rsidRPr="008737A9" w:rsidDel="005335D1">
              <w:rPr>
                <w:color w:val="000000" w:themeColor="text1"/>
                <w:szCs w:val="20"/>
              </w:rPr>
              <w:t xml:space="preserve"> with results presented for each TBSA interval: </w:t>
            </w:r>
            <w:r w:rsidRPr="008737A9" w:rsidDel="005335D1">
              <w:t>20</w:t>
            </w:r>
            <w:r w:rsidR="000B0461">
              <w:t>–</w:t>
            </w:r>
            <w:r w:rsidRPr="008737A9" w:rsidDel="005335D1">
              <w:t>29%, 30</w:t>
            </w:r>
            <w:r w:rsidR="000B0461">
              <w:t>–</w:t>
            </w:r>
            <w:r w:rsidRPr="008737A9" w:rsidDel="005335D1">
              <w:t>39% and 40</w:t>
            </w:r>
            <w:r w:rsidRPr="00937401" w:rsidDel="005335D1">
              <w:t>+</w:t>
            </w:r>
            <w:r w:rsidR="000B0461" w:rsidRPr="00937401" w:rsidDel="005335D1">
              <w:t>%</w:t>
            </w:r>
            <w:r w:rsidRPr="00937401" w:rsidDel="005335D1">
              <w:t>.</w:t>
            </w:r>
            <w:r w:rsidRPr="008737A9" w:rsidDel="005335D1">
              <w:t xml:space="preserve"> This treatment pathway aligns with the current MBS items and published literature used to inform LOS</w:t>
            </w:r>
            <w:bookmarkStart w:id="63" w:name="_Ref194327624"/>
            <w:bookmarkStart w:id="64" w:name="_Ref193107306"/>
            <w:r w:rsidR="00822AA8">
              <w:rPr>
                <w:rStyle w:val="FootnoteReference"/>
              </w:rPr>
              <w:footnoteReference w:id="13"/>
            </w:r>
            <w:bookmarkEnd w:id="63"/>
            <w:r w:rsidR="00822AA8">
              <w:t xml:space="preserve"> a</w:t>
            </w:r>
            <w:bookmarkEnd w:id="64"/>
            <w:r w:rsidRPr="008737A9" w:rsidDel="005335D1">
              <w:t xml:space="preserve">nd </w:t>
            </w:r>
            <w:r w:rsidR="00BF23B1">
              <w:t xml:space="preserve">the </w:t>
            </w:r>
            <w:r w:rsidRPr="008737A9" w:rsidDel="005335D1">
              <w:t xml:space="preserve">number of definitive </w:t>
            </w:r>
            <w:r w:rsidRPr="008737A9">
              <w:t>closure</w:t>
            </w:r>
            <w:r w:rsidRPr="008737A9" w:rsidDel="00822AA8">
              <w:t xml:space="preserve"> </w:t>
            </w:r>
            <w:r w:rsidRPr="008737A9" w:rsidDel="005335D1">
              <w:t>procedures</w:t>
            </w:r>
            <w:bookmarkStart w:id="65" w:name="_Ref193107351"/>
            <w:r w:rsidR="000B0461">
              <w:t>.</w:t>
            </w:r>
            <w:bookmarkStart w:id="66" w:name="_Ref194327635"/>
            <w:r w:rsidR="00D64D7A">
              <w:rPr>
                <w:rStyle w:val="FootnoteReference"/>
              </w:rPr>
              <w:footnoteReference w:id="14"/>
            </w:r>
            <w:bookmarkEnd w:id="65"/>
            <w:bookmarkEnd w:id="66"/>
          </w:p>
        </w:tc>
      </w:tr>
      <w:tr w:rsidR="002B3076" w:rsidRPr="000D4886" w:rsidDel="005335D1" w14:paraId="31DB027E" w14:textId="334F2266">
        <w:tc>
          <w:tcPr>
            <w:tcW w:w="959" w:type="pct"/>
          </w:tcPr>
          <w:p w14:paraId="23B27E9E" w14:textId="77777777" w:rsidR="002B3076" w:rsidRPr="000E7210" w:rsidDel="005335D1" w:rsidRDefault="002B3076" w:rsidP="0031003A">
            <w:pPr>
              <w:pStyle w:val="TableText"/>
              <w:rPr>
                <w:b/>
                <w:szCs w:val="20"/>
              </w:rPr>
            </w:pPr>
            <w:r w:rsidRPr="000E7210" w:rsidDel="005335D1">
              <w:rPr>
                <w:b/>
                <w:szCs w:val="20"/>
              </w:rPr>
              <w:t>Discount rate</w:t>
            </w:r>
          </w:p>
        </w:tc>
        <w:tc>
          <w:tcPr>
            <w:tcW w:w="4041" w:type="pct"/>
          </w:tcPr>
          <w:p w14:paraId="11B041DA" w14:textId="77777777" w:rsidR="002B3076" w:rsidRPr="008737A9" w:rsidDel="005335D1" w:rsidRDefault="002B3076" w:rsidP="0031003A">
            <w:pPr>
              <w:pStyle w:val="TableText"/>
              <w:rPr>
                <w:szCs w:val="20"/>
              </w:rPr>
            </w:pPr>
            <w:r w:rsidRPr="008737A9" w:rsidDel="005335D1">
              <w:rPr>
                <w:szCs w:val="20"/>
              </w:rPr>
              <w:t>Not applicable</w:t>
            </w:r>
          </w:p>
        </w:tc>
      </w:tr>
      <w:tr w:rsidR="002B3076" w:rsidRPr="000D4886" w:rsidDel="005335D1" w14:paraId="0EF7086A" w14:textId="1E830AFC">
        <w:tc>
          <w:tcPr>
            <w:tcW w:w="959" w:type="pct"/>
          </w:tcPr>
          <w:p w14:paraId="39FB5B63" w14:textId="77777777" w:rsidR="002B3076" w:rsidRPr="000E7210" w:rsidDel="005335D1" w:rsidRDefault="002B3076" w:rsidP="0031003A">
            <w:pPr>
              <w:pStyle w:val="TableText"/>
              <w:rPr>
                <w:b/>
                <w:szCs w:val="20"/>
              </w:rPr>
            </w:pPr>
            <w:r w:rsidRPr="000E7210" w:rsidDel="005335D1">
              <w:rPr>
                <w:b/>
                <w:szCs w:val="20"/>
              </w:rPr>
              <w:t>Software</w:t>
            </w:r>
          </w:p>
        </w:tc>
        <w:tc>
          <w:tcPr>
            <w:tcW w:w="4041" w:type="pct"/>
          </w:tcPr>
          <w:p w14:paraId="7AEDC6F8" w14:textId="77777777" w:rsidR="002B3076" w:rsidRPr="008737A9" w:rsidDel="005335D1" w:rsidRDefault="002B3076" w:rsidP="0031003A">
            <w:pPr>
              <w:pStyle w:val="TableText"/>
            </w:pPr>
            <w:r w:rsidRPr="008737A9" w:rsidDel="005335D1">
              <w:t>Microsoft Excel</w:t>
            </w:r>
          </w:p>
        </w:tc>
      </w:tr>
    </w:tbl>
    <w:p w14:paraId="360A88C6" w14:textId="61817CB4" w:rsidR="002B3076" w:rsidRPr="008737A9" w:rsidRDefault="002B3076" w:rsidP="00C70F89">
      <w:pPr>
        <w:pStyle w:val="Tablenotes0"/>
      </w:pPr>
      <w:r w:rsidRPr="008737A9">
        <w:t>Abbreviations: DPT</w:t>
      </w:r>
      <w:r w:rsidR="00DF6E18">
        <w:t xml:space="preserve"> </w:t>
      </w:r>
      <w:r w:rsidR="0097010D" w:rsidRPr="008737A9">
        <w:t>=</w:t>
      </w:r>
      <w:r w:rsidRPr="008737A9">
        <w:t xml:space="preserve"> deep partial-thickness; FT</w:t>
      </w:r>
      <w:r w:rsidR="00DF6E18">
        <w:t xml:space="preserve"> </w:t>
      </w:r>
      <w:r w:rsidR="0097010D" w:rsidRPr="008737A9">
        <w:t>=</w:t>
      </w:r>
      <w:r w:rsidRPr="008737A9">
        <w:t xml:space="preserve"> full-thickness; LOS</w:t>
      </w:r>
      <w:r w:rsidR="00DF6E18">
        <w:t xml:space="preserve"> </w:t>
      </w:r>
      <w:r w:rsidR="0097010D" w:rsidRPr="008737A9">
        <w:t>=</w:t>
      </w:r>
      <w:r w:rsidRPr="008737A9">
        <w:t xml:space="preserve"> length of </w:t>
      </w:r>
      <w:r w:rsidR="008844BE">
        <w:t xml:space="preserve">hospital </w:t>
      </w:r>
      <w:r w:rsidRPr="008737A9">
        <w:t>stay; STSG</w:t>
      </w:r>
      <w:r w:rsidR="00DF6E18">
        <w:t xml:space="preserve"> </w:t>
      </w:r>
      <w:r w:rsidR="0097010D" w:rsidRPr="008737A9">
        <w:t>=</w:t>
      </w:r>
      <w:r w:rsidRPr="008737A9">
        <w:t xml:space="preserve"> split-thickness skin grafts; TBSA</w:t>
      </w:r>
      <w:r w:rsidR="00DF6E18">
        <w:t xml:space="preserve"> </w:t>
      </w:r>
      <w:r w:rsidR="0097010D" w:rsidRPr="008737A9">
        <w:t>=</w:t>
      </w:r>
      <w:r w:rsidRPr="008737A9">
        <w:t xml:space="preserve"> total body surface area</w:t>
      </w:r>
    </w:p>
    <w:p w14:paraId="7F6D0BE7" w14:textId="3A70B6D4" w:rsidR="0025067F" w:rsidRPr="008737A9" w:rsidRDefault="002B3076" w:rsidP="00C70F89">
      <w:pPr>
        <w:pStyle w:val="Tablenotes0"/>
        <w:rPr>
          <w:color w:val="000000" w:themeColor="text1"/>
        </w:rPr>
      </w:pPr>
      <w:r w:rsidRPr="008737A9">
        <w:t xml:space="preserve">Source: </w:t>
      </w:r>
      <w:r w:rsidR="00845EA2">
        <w:t>ADAR</w:t>
      </w:r>
      <w:r w:rsidRPr="008737A9">
        <w:t xml:space="preserve"> Table 30 (p63).</w:t>
      </w:r>
    </w:p>
    <w:p w14:paraId="5CA4F93D" w14:textId="2E945C42" w:rsidR="001278C8" w:rsidRPr="008737A9" w:rsidRDefault="00CA6294" w:rsidP="008C7E58">
      <w:pPr>
        <w:rPr>
          <w:rFonts w:ascii="Franklin Gothic Medium" w:eastAsiaTheme="majorEastAsia" w:hAnsi="Franklin Gothic Medium" w:cstheme="majorBidi"/>
          <w:sz w:val="24"/>
          <w:szCs w:val="24"/>
        </w:rPr>
      </w:pPr>
      <w:r>
        <w:t>While the ADAR indicated a health system perspective was adopted, the base case analysis considered only a limited number of costs, which risk</w:t>
      </w:r>
      <w:r w:rsidR="00857BD4">
        <w:t>s</w:t>
      </w:r>
      <w:r>
        <w:t xml:space="preserve"> providing an incomplete picture of total costs per patient.</w:t>
      </w:r>
      <w:r w:rsidRPr="008737A9">
        <w:t xml:space="preserve"> </w:t>
      </w:r>
      <w:r>
        <w:t>Specifically, t</w:t>
      </w:r>
      <w:r w:rsidR="00CB4855" w:rsidRPr="008737A9">
        <w:t xml:space="preserve">he base case </w:t>
      </w:r>
      <w:r w:rsidR="00DA0DD3" w:rsidRPr="008737A9">
        <w:t xml:space="preserve">analysis included </w:t>
      </w:r>
      <w:r w:rsidR="00A93272">
        <w:t>MBS item costs relat</w:t>
      </w:r>
      <w:r w:rsidR="00E71D74">
        <w:t xml:space="preserve">ed </w:t>
      </w:r>
      <w:r w:rsidR="00A93272">
        <w:t>to wound closure, wound dressing and specialist visits</w:t>
      </w:r>
      <w:r w:rsidR="00F019D0">
        <w:t>,</w:t>
      </w:r>
      <w:r w:rsidR="008706AB">
        <w:t xml:space="preserve"> along with</w:t>
      </w:r>
      <w:r w:rsidR="00A93272">
        <w:t xml:space="preserve"> </w:t>
      </w:r>
      <w:r w:rsidR="00DA0DD3" w:rsidRPr="008737A9">
        <w:t xml:space="preserve">private hospital bed </w:t>
      </w:r>
      <w:r w:rsidR="008706AB">
        <w:t>costs</w:t>
      </w:r>
      <w:r w:rsidR="00872ABB">
        <w:t>,</w:t>
      </w:r>
      <w:r w:rsidR="00131B70">
        <w:t xml:space="preserve"> </w:t>
      </w:r>
      <w:r w:rsidR="00FB0DE4">
        <w:t>but</w:t>
      </w:r>
      <w:r w:rsidR="00353B25">
        <w:t xml:space="preserve"> </w:t>
      </w:r>
      <w:r w:rsidR="00131B70">
        <w:t>exclude</w:t>
      </w:r>
      <w:r w:rsidR="007B37E8">
        <w:t xml:space="preserve">d </w:t>
      </w:r>
      <w:r w:rsidR="0072285A">
        <w:t>ASCS</w:t>
      </w:r>
      <w:r w:rsidR="007B37E8">
        <w:t xml:space="preserve"> device cost</w:t>
      </w:r>
      <w:r w:rsidR="00F019D0">
        <w:t xml:space="preserve"> and </w:t>
      </w:r>
      <w:r w:rsidR="00F63904">
        <w:t xml:space="preserve">other costs associated with </w:t>
      </w:r>
      <w:r w:rsidR="001F52D0">
        <w:t>the hospital episode of care</w:t>
      </w:r>
      <w:bookmarkEnd w:id="62"/>
      <w:r w:rsidR="0072285A">
        <w:t>.</w:t>
      </w:r>
      <w:r w:rsidR="007E7E17" w:rsidRPr="008737A9">
        <w:t xml:space="preserve"> </w:t>
      </w:r>
    </w:p>
    <w:p w14:paraId="1AB01336" w14:textId="7F375905" w:rsidR="005169EC" w:rsidRPr="008737A9" w:rsidRDefault="001278C8" w:rsidP="008737A9">
      <w:pPr>
        <w:pStyle w:val="Heading3"/>
        <w:rPr>
          <w:b/>
        </w:rPr>
      </w:pPr>
      <w:r w:rsidRPr="008737A9">
        <w:t>Inputs of costing analysis</w:t>
      </w:r>
    </w:p>
    <w:p w14:paraId="2BC53EFC" w14:textId="78BDA23B" w:rsidR="00A32D86" w:rsidRPr="008737A9" w:rsidRDefault="0003745B" w:rsidP="008C7E58">
      <w:r w:rsidRPr="008737A9">
        <w:t xml:space="preserve">The </w:t>
      </w:r>
      <w:r w:rsidR="00D8769D">
        <w:t>base case</w:t>
      </w:r>
      <w:r w:rsidRPr="008737A9">
        <w:t xml:space="preserve"> costing analysis was developed to compare the total cost to the MBS and private health system of ASCS ± STSG </w:t>
      </w:r>
      <w:r w:rsidR="007E2AA2">
        <w:t>versus</w:t>
      </w:r>
      <w:r w:rsidRPr="008737A9">
        <w:t xml:space="preserve"> STSG alone for the treatment of severe burns</w:t>
      </w:r>
      <w:r w:rsidR="00687DB3">
        <w:t xml:space="preserve"> (rather than from a broader ‘health care system’ perspective)</w:t>
      </w:r>
      <w:r w:rsidRPr="008737A9">
        <w:t>. This analysis was driven largely by inputs for LOS and number of definitive closure procedures, sourced from</w:t>
      </w:r>
      <w:r w:rsidR="00062114">
        <w:t xml:space="preserve"> Carter et al. (2022)</w:t>
      </w:r>
      <w:r w:rsidR="00AF32D6" w:rsidRPr="00CB0C70">
        <w:rPr>
          <w:vertAlign w:val="superscript"/>
        </w:rPr>
        <w:fldChar w:fldCharType="begin"/>
      </w:r>
      <w:r w:rsidR="00AF32D6" w:rsidRPr="00CB0C70">
        <w:rPr>
          <w:vertAlign w:val="superscript"/>
        </w:rPr>
        <w:instrText xml:space="preserve"> NOTEREF _Ref194327624 \h </w:instrText>
      </w:r>
      <w:r w:rsidR="00AF32D6">
        <w:rPr>
          <w:vertAlign w:val="superscript"/>
        </w:rPr>
        <w:instrText xml:space="preserve"> \* MERGEFORMAT </w:instrText>
      </w:r>
      <w:r w:rsidR="00AF32D6" w:rsidRPr="00CB0C70">
        <w:rPr>
          <w:vertAlign w:val="superscript"/>
        </w:rPr>
      </w:r>
      <w:r w:rsidR="00AF32D6" w:rsidRPr="00CB0C70">
        <w:rPr>
          <w:vertAlign w:val="superscript"/>
        </w:rPr>
        <w:fldChar w:fldCharType="separate"/>
      </w:r>
      <w:r w:rsidR="00487E4A">
        <w:rPr>
          <w:vertAlign w:val="superscript"/>
        </w:rPr>
        <w:t>11</w:t>
      </w:r>
      <w:r w:rsidR="00AF32D6" w:rsidRPr="00CB0C70">
        <w:rPr>
          <w:vertAlign w:val="superscript"/>
        </w:rPr>
        <w:fldChar w:fldCharType="end"/>
      </w:r>
      <w:r w:rsidR="00062114">
        <w:t xml:space="preserve"> and Kowal et al</w:t>
      </w:r>
      <w:r w:rsidR="00035D0F">
        <w:t>.</w:t>
      </w:r>
      <w:r w:rsidR="00062114">
        <w:t xml:space="preserve"> (2019)</w:t>
      </w:r>
      <w:r w:rsidR="00AF32D6" w:rsidRPr="00CB0C70">
        <w:rPr>
          <w:vertAlign w:val="superscript"/>
        </w:rPr>
        <w:fldChar w:fldCharType="begin"/>
      </w:r>
      <w:r w:rsidR="00AF32D6" w:rsidRPr="00CB0C70">
        <w:rPr>
          <w:vertAlign w:val="superscript"/>
        </w:rPr>
        <w:instrText xml:space="preserve"> NOTEREF _Ref194327635 \h </w:instrText>
      </w:r>
      <w:r w:rsidR="00AF32D6">
        <w:rPr>
          <w:vertAlign w:val="superscript"/>
        </w:rPr>
        <w:instrText xml:space="preserve"> \* MERGEFORMAT </w:instrText>
      </w:r>
      <w:r w:rsidR="00AF32D6" w:rsidRPr="00CB0C70">
        <w:rPr>
          <w:vertAlign w:val="superscript"/>
        </w:rPr>
      </w:r>
      <w:r w:rsidR="00AF32D6" w:rsidRPr="00CB0C70">
        <w:rPr>
          <w:vertAlign w:val="superscript"/>
        </w:rPr>
        <w:fldChar w:fldCharType="separate"/>
      </w:r>
      <w:r w:rsidR="00487E4A">
        <w:rPr>
          <w:vertAlign w:val="superscript"/>
        </w:rPr>
        <w:t>12</w:t>
      </w:r>
      <w:r w:rsidR="00AF32D6" w:rsidRPr="00CB0C70">
        <w:rPr>
          <w:vertAlign w:val="superscript"/>
        </w:rPr>
        <w:fldChar w:fldCharType="end"/>
      </w:r>
      <w:r w:rsidR="007B2961">
        <w:t xml:space="preserve">, </w:t>
      </w:r>
      <w:r w:rsidRPr="008737A9">
        <w:t>respectively.</w:t>
      </w:r>
      <w:r w:rsidR="00F028AD" w:rsidRPr="008737A9">
        <w:t xml:space="preserve"> The epidemiological, clinical and cost inputs are explained </w:t>
      </w:r>
      <w:r w:rsidR="004B54FF" w:rsidRPr="008737A9">
        <w:t xml:space="preserve">in the following sections. </w:t>
      </w:r>
    </w:p>
    <w:p w14:paraId="072D6D48" w14:textId="0CCF25FA" w:rsidR="00A32D86" w:rsidRPr="001E5116" w:rsidRDefault="00CC517B" w:rsidP="00F4659C">
      <w:pPr>
        <w:pStyle w:val="Heading4"/>
        <w:rPr>
          <w:color w:val="000000" w:themeColor="text1"/>
        </w:rPr>
      </w:pPr>
      <w:r w:rsidRPr="001E5116">
        <w:rPr>
          <w:color w:val="000000" w:themeColor="text1"/>
        </w:rPr>
        <w:lastRenderedPageBreak/>
        <w:t>Epidemiological</w:t>
      </w:r>
      <w:r w:rsidR="00A32D86" w:rsidRPr="001E5116">
        <w:rPr>
          <w:color w:val="000000" w:themeColor="text1"/>
        </w:rPr>
        <w:t xml:space="preserve"> and clinical inpu</w:t>
      </w:r>
      <w:r w:rsidRPr="001E5116">
        <w:rPr>
          <w:color w:val="000000" w:themeColor="text1"/>
        </w:rPr>
        <w:t>ts</w:t>
      </w:r>
    </w:p>
    <w:p w14:paraId="0FB67848" w14:textId="1599F768" w:rsidR="005169EC" w:rsidRPr="008737A9" w:rsidRDefault="00DE2252" w:rsidP="008C7E58">
      <w:r w:rsidRPr="008737A9">
        <w:t xml:space="preserve">The </w:t>
      </w:r>
      <w:r w:rsidR="00757810" w:rsidRPr="008737A9">
        <w:t xml:space="preserve">burn </w:t>
      </w:r>
      <w:r w:rsidRPr="008737A9">
        <w:t xml:space="preserve">incidence </w:t>
      </w:r>
      <w:r w:rsidR="00757810" w:rsidRPr="008737A9">
        <w:t xml:space="preserve">by </w:t>
      </w:r>
      <w:r w:rsidR="00AE1094">
        <w:t>%</w:t>
      </w:r>
      <w:r w:rsidR="00757810" w:rsidRPr="008737A9">
        <w:t>TBSA was informed by T</w:t>
      </w:r>
      <w:r w:rsidR="00B42B67" w:rsidRPr="008737A9">
        <w:t>oppi et.al. (2019)</w:t>
      </w:r>
      <w:r w:rsidR="00AE1094">
        <w:t>,</w:t>
      </w:r>
      <w:bookmarkStart w:id="67" w:name="_Ref193107290"/>
      <w:r w:rsidR="002E5A85" w:rsidRPr="008737A9">
        <w:rPr>
          <w:rStyle w:val="FootnoteReference"/>
          <w:color w:val="000000" w:themeColor="text1"/>
        </w:rPr>
        <w:footnoteReference w:id="15"/>
      </w:r>
      <w:bookmarkEnd w:id="67"/>
      <w:r w:rsidR="00B42B67" w:rsidRPr="008737A9">
        <w:t xml:space="preserve"> based on</w:t>
      </w:r>
      <w:r w:rsidR="001D1890" w:rsidRPr="008737A9">
        <w:t xml:space="preserve"> data from BRANZ</w:t>
      </w:r>
      <w:r w:rsidR="005E3477" w:rsidRPr="008737A9">
        <w:t>. Th</w:t>
      </w:r>
      <w:r w:rsidR="005D76DF">
        <w:t>ese</w:t>
      </w:r>
      <w:r w:rsidR="005E3477" w:rsidRPr="008737A9">
        <w:t xml:space="preserve"> data </w:t>
      </w:r>
      <w:r w:rsidR="00776995" w:rsidRPr="008737A9">
        <w:t>include</w:t>
      </w:r>
      <w:r w:rsidR="005E3477" w:rsidRPr="008737A9">
        <w:t xml:space="preserve"> adult </w:t>
      </w:r>
      <w:r w:rsidR="00776995" w:rsidRPr="008737A9">
        <w:t xml:space="preserve">patients </w:t>
      </w:r>
      <w:r w:rsidR="00297FBD" w:rsidRPr="008737A9">
        <w:t xml:space="preserve">(aged </w:t>
      </w:r>
      <w:r w:rsidR="00105B8F">
        <w:t>≥</w:t>
      </w:r>
      <w:r w:rsidR="00297FBD" w:rsidRPr="008737A9">
        <w:t xml:space="preserve">18 </w:t>
      </w:r>
      <w:r w:rsidR="00105B8F">
        <w:t>years</w:t>
      </w:r>
      <w:r w:rsidR="00297FBD" w:rsidRPr="008737A9">
        <w:t xml:space="preserve">) admitted to hospital </w:t>
      </w:r>
      <w:r w:rsidR="00946126" w:rsidRPr="008737A9">
        <w:t xml:space="preserve">with severe burns </w:t>
      </w:r>
      <w:r w:rsidR="00620E65" w:rsidRPr="008737A9">
        <w:t>≥20% TBSA between August 2009 and June 2013.</w:t>
      </w:r>
      <w:r w:rsidR="00FC7988" w:rsidRPr="008737A9">
        <w:t xml:space="preserve"> </w:t>
      </w:r>
    </w:p>
    <w:p w14:paraId="486A7271" w14:textId="1E059983" w:rsidR="005523D1" w:rsidRPr="008737A9" w:rsidRDefault="00565504" w:rsidP="008C7E58">
      <w:pPr>
        <w:rPr>
          <w:color w:val="000000" w:themeColor="text1"/>
        </w:rPr>
      </w:pPr>
      <w:r>
        <w:t>The ADAR indicated that e</w:t>
      </w:r>
      <w:r w:rsidR="00941A12" w:rsidRPr="008737A9">
        <w:t xml:space="preserve">ach device </w:t>
      </w:r>
      <w:r w:rsidR="003A3C63" w:rsidRPr="008737A9">
        <w:t>has the capacity to treat up to 10% TBSA for an average</w:t>
      </w:r>
      <w:r w:rsidR="00586886">
        <w:t>-</w:t>
      </w:r>
      <w:r w:rsidR="003A3C63" w:rsidRPr="008737A9">
        <w:t xml:space="preserve">sized adult </w:t>
      </w:r>
      <w:r>
        <w:t xml:space="preserve">(as described in </w:t>
      </w:r>
      <w:r w:rsidR="007167FE" w:rsidRPr="008737A9">
        <w:t>Carter et.al.</w:t>
      </w:r>
      <w:r w:rsidR="008C1C0F" w:rsidRPr="008737A9">
        <w:t xml:space="preserve"> 2022)</w:t>
      </w:r>
      <w:r w:rsidR="00875B56" w:rsidRPr="008737A9">
        <w:rPr>
          <w:rStyle w:val="FootnoteReference"/>
        </w:rPr>
        <w:fldChar w:fldCharType="begin"/>
      </w:r>
      <w:r w:rsidR="00875B56" w:rsidRPr="008737A9">
        <w:rPr>
          <w:vertAlign w:val="superscript"/>
        </w:rPr>
        <w:instrText xml:space="preserve"> NOTEREF _Ref193107306 \h </w:instrText>
      </w:r>
      <w:r w:rsidR="00875B56" w:rsidRPr="008737A9">
        <w:rPr>
          <w:rStyle w:val="FootnoteReference"/>
        </w:rPr>
        <w:instrText xml:space="preserve"> \* MERGEFORMAT </w:instrText>
      </w:r>
      <w:r w:rsidR="00875B56" w:rsidRPr="008737A9">
        <w:rPr>
          <w:rStyle w:val="FootnoteReference"/>
        </w:rPr>
      </w:r>
      <w:r w:rsidR="00875B56" w:rsidRPr="008737A9">
        <w:rPr>
          <w:rStyle w:val="FootnoteReference"/>
        </w:rPr>
        <w:fldChar w:fldCharType="separate"/>
      </w:r>
      <w:r w:rsidR="00487E4A">
        <w:rPr>
          <w:vertAlign w:val="superscript"/>
        </w:rPr>
        <w:t>11</w:t>
      </w:r>
      <w:r w:rsidR="00875B56" w:rsidRPr="008737A9">
        <w:rPr>
          <w:rStyle w:val="FootnoteReference"/>
        </w:rPr>
        <w:fldChar w:fldCharType="end"/>
      </w:r>
      <w:r w:rsidR="008C1C0F" w:rsidRPr="008737A9">
        <w:t xml:space="preserve">. </w:t>
      </w:r>
      <w:r w:rsidR="00525266">
        <w:t>For simplicity</w:t>
      </w:r>
      <w:r w:rsidR="00476D5E" w:rsidRPr="008737A9">
        <w:t xml:space="preserve">, </w:t>
      </w:r>
      <w:r w:rsidR="00FD2565">
        <w:t xml:space="preserve">the </w:t>
      </w:r>
      <w:r w:rsidR="00544CAB">
        <w:t>ADAR</w:t>
      </w:r>
      <w:r w:rsidR="00255D82">
        <w:t xml:space="preserve"> </w:t>
      </w:r>
      <w:r w:rsidR="00476D5E" w:rsidRPr="008737A9">
        <w:t>assumed</w:t>
      </w:r>
      <w:r w:rsidR="002B05CB" w:rsidRPr="008737A9">
        <w:t xml:space="preserve"> device use based on </w:t>
      </w:r>
      <w:r w:rsidR="00D67D01">
        <w:t>an</w:t>
      </w:r>
      <w:r w:rsidR="00D67D01" w:rsidRPr="008737A9">
        <w:t xml:space="preserve"> </w:t>
      </w:r>
      <w:r w:rsidR="002B05CB" w:rsidRPr="008737A9">
        <w:t>average</w:t>
      </w:r>
      <w:r w:rsidR="007D7413">
        <w:t>-</w:t>
      </w:r>
      <w:r w:rsidR="002B05CB" w:rsidRPr="008737A9">
        <w:t>sized adult</w:t>
      </w:r>
      <w:r w:rsidR="005D2333">
        <w:t>.</w:t>
      </w:r>
      <w:r w:rsidR="005254E8" w:rsidRPr="008737A9">
        <w:t xml:space="preserve"> </w:t>
      </w:r>
    </w:p>
    <w:p w14:paraId="1516D4EC" w14:textId="57DEF59A" w:rsidR="00E525A1" w:rsidRPr="008737A9" w:rsidRDefault="00E525A1" w:rsidP="008C7E58">
      <w:r>
        <w:t xml:space="preserve">The ADAR acknowledges that while the proposed patient population includes both adult and paediatric patients, utilisation within paediatric patients is expected to be low. Several key inputs (burn incidence by %TBSA, LOS, number of definitive procedures, device capacity) are specific to adult cohorts, suggesting the costing analysis is, in essence, representative of </w:t>
      </w:r>
      <w:r w:rsidR="00586886">
        <w:t>per-</w:t>
      </w:r>
      <w:r>
        <w:t>patient costs within an adult population. While the ADAR suggested uptake among paediatric patients is expected to be low,</w:t>
      </w:r>
      <w:r w:rsidDel="003B32A9">
        <w:t xml:space="preserve"> </w:t>
      </w:r>
      <w:r>
        <w:t xml:space="preserve">generalisability of the costing analysis results to the paediatric population may be limited. </w:t>
      </w:r>
      <w:r w:rsidRPr="005C1A1C">
        <w:t>A study by Harrison and Steel (2006)</w:t>
      </w:r>
      <w:bookmarkStart w:id="68" w:name="_Ref194657083"/>
      <w:r w:rsidRPr="00937401">
        <w:rPr>
          <w:rStyle w:val="FootnoteReference"/>
          <w:noProof/>
        </w:rPr>
        <w:footnoteReference w:id="16"/>
      </w:r>
      <w:bookmarkEnd w:id="68"/>
      <w:r w:rsidRPr="005C1A1C">
        <w:t xml:space="preserve"> indicated that hospitalisation and LOS </w:t>
      </w:r>
      <w:r w:rsidR="00DD0959">
        <w:t>a</w:t>
      </w:r>
      <w:r w:rsidRPr="005C1A1C">
        <w:t>re higher for paediatric patients compared to adults.</w:t>
      </w:r>
    </w:p>
    <w:p w14:paraId="49DBDB8E" w14:textId="1F810BEF" w:rsidR="00D425E8" w:rsidRDefault="00BB0F1F" w:rsidP="008C7E58">
      <w:r w:rsidRPr="008737A9">
        <w:t>As informed by Kowal et.al. (2019)</w:t>
      </w:r>
      <w:r w:rsidR="006F3C8C" w:rsidRPr="008737A9">
        <w:rPr>
          <w:vertAlign w:val="superscript"/>
        </w:rPr>
        <w:fldChar w:fldCharType="begin"/>
      </w:r>
      <w:r w:rsidR="006F3C8C" w:rsidRPr="008737A9">
        <w:rPr>
          <w:vertAlign w:val="superscript"/>
        </w:rPr>
        <w:instrText xml:space="preserve"> NOTEREF _Ref193107351 \h  \* MERGEFORMAT </w:instrText>
      </w:r>
      <w:r w:rsidR="006F3C8C" w:rsidRPr="008737A9">
        <w:rPr>
          <w:vertAlign w:val="superscript"/>
        </w:rPr>
      </w:r>
      <w:r w:rsidR="006F3C8C" w:rsidRPr="008737A9">
        <w:rPr>
          <w:vertAlign w:val="superscript"/>
        </w:rPr>
        <w:fldChar w:fldCharType="separate"/>
      </w:r>
      <w:r w:rsidR="00487E4A">
        <w:rPr>
          <w:vertAlign w:val="superscript"/>
        </w:rPr>
        <w:t>12</w:t>
      </w:r>
      <w:r w:rsidR="006F3C8C" w:rsidRPr="008737A9">
        <w:rPr>
          <w:vertAlign w:val="superscript"/>
        </w:rPr>
        <w:fldChar w:fldCharType="end"/>
      </w:r>
      <w:r w:rsidR="00B94900">
        <w:rPr>
          <w:vertAlign w:val="superscript"/>
        </w:rPr>
        <w:t xml:space="preserve"> </w:t>
      </w:r>
      <w:r w:rsidR="00C138A7">
        <w:t>—</w:t>
      </w:r>
      <w:r w:rsidR="00096188">
        <w:t xml:space="preserve">but with further adjustments to </w:t>
      </w:r>
      <w:r w:rsidR="00096188" w:rsidRPr="008737A9">
        <w:t>more accurately reflect the treatment pathway for burns in Australian clinical practice</w:t>
      </w:r>
      <w:r w:rsidR="00C138A7">
        <w:t>—</w:t>
      </w:r>
      <w:r w:rsidRPr="008737A9">
        <w:t>t</w:t>
      </w:r>
      <w:r w:rsidR="007B7038" w:rsidRPr="008737A9">
        <w:t xml:space="preserve">he number of </w:t>
      </w:r>
      <w:r w:rsidR="00F47E58" w:rsidRPr="008737A9">
        <w:t xml:space="preserve">definitive closure </w:t>
      </w:r>
      <w:r w:rsidR="0081413A">
        <w:t>procedures</w:t>
      </w:r>
      <w:r w:rsidR="0081413A" w:rsidRPr="008737A9">
        <w:t xml:space="preserve"> </w:t>
      </w:r>
      <w:r w:rsidR="00C77A83">
        <w:t>for burns treated with ASCS</w:t>
      </w:r>
      <w:r w:rsidR="00DD0959">
        <w:t xml:space="preserve"> </w:t>
      </w:r>
      <w:r w:rsidR="00C77A83">
        <w:t>±</w:t>
      </w:r>
      <w:r w:rsidR="00DD0959">
        <w:t xml:space="preserve"> </w:t>
      </w:r>
      <w:r w:rsidR="00C77A83">
        <w:t>STSG</w:t>
      </w:r>
      <w:r w:rsidR="0081413A" w:rsidRPr="008737A9">
        <w:t xml:space="preserve"> </w:t>
      </w:r>
      <w:r w:rsidR="005C0574" w:rsidRPr="008737A9">
        <w:t xml:space="preserve">was based on </w:t>
      </w:r>
      <w:r w:rsidR="00C138A7">
        <w:t>%</w:t>
      </w:r>
      <w:r w:rsidR="005C0574" w:rsidRPr="008737A9">
        <w:t>TBSA</w:t>
      </w:r>
      <w:r w:rsidR="00C138A7">
        <w:t>. I</w:t>
      </w:r>
      <w:r w:rsidR="00C2142A">
        <w:t>t was assumed</w:t>
      </w:r>
      <w:r w:rsidR="005C0574" w:rsidRPr="008737A9">
        <w:t xml:space="preserve"> </w:t>
      </w:r>
      <w:r w:rsidR="000D40F7">
        <w:t>that</w:t>
      </w:r>
      <w:r w:rsidR="005C0574" w:rsidRPr="008737A9">
        <w:t xml:space="preserve"> </w:t>
      </w:r>
      <w:r w:rsidR="00D64EDC" w:rsidRPr="008737A9" w:rsidDel="00C138A7">
        <w:t>1</w:t>
      </w:r>
      <w:r w:rsidR="00D64EDC" w:rsidRPr="008737A9">
        <w:t xml:space="preserve"> </w:t>
      </w:r>
      <w:r w:rsidR="00042820" w:rsidRPr="008737A9">
        <w:t>definitive closure procedure would be required for burns ranging from ≥20</w:t>
      </w:r>
      <w:r w:rsidR="00C138A7">
        <w:t>–</w:t>
      </w:r>
      <w:r w:rsidR="00042820" w:rsidRPr="008737A9">
        <w:t>39% TBSA</w:t>
      </w:r>
      <w:r w:rsidR="005F429E">
        <w:t>,</w:t>
      </w:r>
      <w:r w:rsidR="00042820" w:rsidRPr="008737A9">
        <w:t xml:space="preserve"> and </w:t>
      </w:r>
      <w:r w:rsidR="00042820" w:rsidRPr="008737A9" w:rsidDel="00C138A7">
        <w:t>2</w:t>
      </w:r>
      <w:r w:rsidR="00042820" w:rsidRPr="008737A9">
        <w:t xml:space="preserve"> would be required for burns &gt;40% TBSA. </w:t>
      </w:r>
      <w:r w:rsidR="00384349">
        <w:t>For</w:t>
      </w:r>
      <w:r w:rsidR="00F8637F" w:rsidDel="00045C88">
        <w:t xml:space="preserve"> </w:t>
      </w:r>
      <w:r w:rsidR="00F8637F">
        <w:t>patients with STSG alone, the</w:t>
      </w:r>
      <w:r w:rsidR="007D6BD6">
        <w:t xml:space="preserve"> number of definitive closure procedure</w:t>
      </w:r>
      <w:r w:rsidR="00045C88">
        <w:t>s</w:t>
      </w:r>
      <w:r w:rsidR="007D6BD6">
        <w:t xml:space="preserve"> </w:t>
      </w:r>
      <w:r w:rsidR="008D4A93">
        <w:t>was</w:t>
      </w:r>
      <w:r w:rsidR="00272A27">
        <w:t xml:space="preserve"> informed by </w:t>
      </w:r>
      <w:r w:rsidR="00B83E94">
        <w:t xml:space="preserve">data from the American </w:t>
      </w:r>
      <w:r w:rsidR="007810C0">
        <w:t xml:space="preserve">Burn Association </w:t>
      </w:r>
      <w:r w:rsidR="003515C5">
        <w:t>NBR</w:t>
      </w:r>
      <w:r w:rsidR="006E24EB">
        <w:t xml:space="preserve"> 2002</w:t>
      </w:r>
      <w:r w:rsidR="00165543">
        <w:t>−2011</w:t>
      </w:r>
      <w:r w:rsidR="00983CE3">
        <w:t xml:space="preserve"> (sourced indirectly from Kowal et al. 2019)</w:t>
      </w:r>
      <w:r w:rsidR="00165543">
        <w:t>.</w:t>
      </w:r>
      <w:r w:rsidR="00F8637F">
        <w:t xml:space="preserve"> </w:t>
      </w:r>
      <w:r w:rsidR="0044779C">
        <w:t>A</w:t>
      </w:r>
      <w:r w:rsidR="0098199A">
        <w:t xml:space="preserve">verage </w:t>
      </w:r>
      <w:r w:rsidR="0059040F">
        <w:t xml:space="preserve">values </w:t>
      </w:r>
      <w:r w:rsidR="00A81736">
        <w:t>across</w:t>
      </w:r>
      <w:r w:rsidR="0059040F">
        <w:t xml:space="preserve"> both FT and DPT </w:t>
      </w:r>
      <w:r w:rsidR="00D6438C">
        <w:t xml:space="preserve">burns were used to estimate the number of definitive closure procedures for each </w:t>
      </w:r>
      <w:r w:rsidR="009C2331">
        <w:t>%</w:t>
      </w:r>
      <w:r w:rsidR="00D6438C" w:rsidRPr="00937401">
        <w:t xml:space="preserve">TBSA </w:t>
      </w:r>
      <w:r w:rsidR="0006507C">
        <w:t>category</w:t>
      </w:r>
      <w:r w:rsidR="00AA6F58">
        <w:t xml:space="preserve"> (20</w:t>
      </w:r>
      <w:r w:rsidR="0044779C">
        <w:t>–</w:t>
      </w:r>
      <w:r w:rsidR="00AA6F58">
        <w:t>29%</w:t>
      </w:r>
      <w:r w:rsidR="0044779C">
        <w:t>,</w:t>
      </w:r>
      <w:r w:rsidR="00AA6F58">
        <w:t xml:space="preserve"> 30</w:t>
      </w:r>
      <w:r w:rsidR="0044779C">
        <w:t>–</w:t>
      </w:r>
      <w:r w:rsidR="00AA6F58">
        <w:t>39%</w:t>
      </w:r>
      <w:r w:rsidR="0044779C">
        <w:t>,</w:t>
      </w:r>
      <w:r w:rsidR="00AA6F58">
        <w:t xml:space="preserve"> &gt;40%)</w:t>
      </w:r>
      <w:r w:rsidR="00D6438C">
        <w:t>.</w:t>
      </w:r>
      <w:r w:rsidR="005C3F16" w:rsidRPr="00937401">
        <w:t xml:space="preserve"> </w:t>
      </w:r>
      <w:r w:rsidR="00976F1E" w:rsidRPr="00976F1E">
        <w:t>The data indicated average values of 2.92</w:t>
      </w:r>
      <w:r w:rsidR="005E712F">
        <w:t>–</w:t>
      </w:r>
      <w:r w:rsidR="00976F1E" w:rsidRPr="00976F1E">
        <w:t>4.09 definitive closure procedures per person, depending on %TBSA.</w:t>
      </w:r>
      <w:r w:rsidR="00FB2B25">
        <w:t xml:space="preserve"> </w:t>
      </w:r>
      <w:r w:rsidR="00215CA4" w:rsidRPr="00937401">
        <w:rPr>
          <w:noProof/>
        </w:rPr>
        <w:t xml:space="preserve">An additional scenario with conservative estimates for the number of definitive procedures was applied for STSG in </w:t>
      </w:r>
      <w:r w:rsidR="00752366">
        <w:rPr>
          <w:noProof/>
        </w:rPr>
        <w:t xml:space="preserve">the </w:t>
      </w:r>
      <w:r w:rsidR="00215CA4" w:rsidRPr="00937401">
        <w:rPr>
          <w:noProof/>
        </w:rPr>
        <w:t>sensitivity analysis</w:t>
      </w:r>
      <w:r w:rsidR="00215CA4">
        <w:rPr>
          <w:noProof/>
        </w:rPr>
        <w:t xml:space="preserve"> undertaken in the ADAR (assuming 2 definitive closure procedures for burns &gt;20% TBSA).</w:t>
      </w:r>
    </w:p>
    <w:p w14:paraId="7F40D16E" w14:textId="68505528" w:rsidR="00D425E8" w:rsidRPr="008737A9" w:rsidRDefault="002E201E" w:rsidP="008C7E58">
      <w:r>
        <w:rPr>
          <w:noProof/>
        </w:rPr>
        <w:t xml:space="preserve">The base case selection may </w:t>
      </w:r>
      <w:r>
        <w:t>favour</w:t>
      </w:r>
      <w:r w:rsidRPr="00937401">
        <w:t xml:space="preserve"> </w:t>
      </w:r>
      <w:r w:rsidRPr="00937401">
        <w:rPr>
          <w:iCs/>
          <w:noProof/>
        </w:rPr>
        <w:t>ASCS ±</w:t>
      </w:r>
      <w:r w:rsidRPr="00937401">
        <w:t xml:space="preserve"> </w:t>
      </w:r>
      <w:r w:rsidRPr="00937401">
        <w:rPr>
          <w:iCs/>
          <w:noProof/>
        </w:rPr>
        <w:t>STSG</w:t>
      </w:r>
      <w:r>
        <w:rPr>
          <w:iCs/>
          <w:noProof/>
        </w:rPr>
        <w:t xml:space="preserve">, considering there has been </w:t>
      </w:r>
      <w:r w:rsidRPr="00A81538">
        <w:rPr>
          <w:iCs/>
          <w:noProof/>
        </w:rPr>
        <w:t xml:space="preserve">an overall reduction in the number of </w:t>
      </w:r>
      <w:r>
        <w:rPr>
          <w:iCs/>
          <w:noProof/>
        </w:rPr>
        <w:t>autograft</w:t>
      </w:r>
      <w:r w:rsidRPr="00A81538">
        <w:rPr>
          <w:iCs/>
          <w:noProof/>
        </w:rPr>
        <w:t xml:space="preserve"> procedures per </w:t>
      </w:r>
      <w:r>
        <w:rPr>
          <w:iCs/>
          <w:noProof/>
        </w:rPr>
        <w:t>%</w:t>
      </w:r>
      <w:r w:rsidRPr="00A81538">
        <w:rPr>
          <w:iCs/>
          <w:noProof/>
        </w:rPr>
        <w:t>TBSA burned since 2011</w:t>
      </w:r>
      <w:r w:rsidRPr="00937401">
        <w:rPr>
          <w:iCs/>
          <w:noProof/>
        </w:rPr>
        <w:t>.</w:t>
      </w:r>
      <w:r w:rsidRPr="00BA6080">
        <w:rPr>
          <w:iCs/>
          <w:noProof/>
          <w:vertAlign w:val="superscript"/>
        </w:rPr>
        <w:fldChar w:fldCharType="begin"/>
      </w:r>
      <w:r w:rsidRPr="00BA6080">
        <w:rPr>
          <w:iCs/>
          <w:noProof/>
          <w:vertAlign w:val="superscript"/>
        </w:rPr>
        <w:instrText xml:space="preserve"> NOTEREF _Ref192620823 \h </w:instrText>
      </w:r>
      <w:r>
        <w:rPr>
          <w:iCs/>
          <w:noProof/>
          <w:vertAlign w:val="superscript"/>
        </w:rPr>
        <w:instrText xml:space="preserve"> \* MERGEFORMAT </w:instrText>
      </w:r>
      <w:r w:rsidRPr="00BA6080">
        <w:rPr>
          <w:iCs/>
          <w:noProof/>
          <w:vertAlign w:val="superscript"/>
        </w:rPr>
      </w:r>
      <w:r w:rsidRPr="00BA6080">
        <w:rPr>
          <w:iCs/>
          <w:noProof/>
          <w:vertAlign w:val="superscript"/>
        </w:rPr>
        <w:fldChar w:fldCharType="separate"/>
      </w:r>
      <w:r w:rsidR="00487E4A">
        <w:rPr>
          <w:iCs/>
          <w:noProof/>
          <w:vertAlign w:val="superscript"/>
        </w:rPr>
        <w:t>10</w:t>
      </w:r>
      <w:r w:rsidRPr="00BA6080">
        <w:rPr>
          <w:iCs/>
          <w:noProof/>
          <w:vertAlign w:val="superscript"/>
        </w:rPr>
        <w:fldChar w:fldCharType="end"/>
      </w:r>
      <w:r w:rsidR="00447E4C">
        <w:t xml:space="preserve"> </w:t>
      </w:r>
      <w:r w:rsidR="00FB2B25">
        <w:t xml:space="preserve">Australian clinical input noted </w:t>
      </w:r>
      <w:r w:rsidR="00D31618">
        <w:t xml:space="preserve">that </w:t>
      </w:r>
      <w:r w:rsidR="00FB2B25">
        <w:t>the number of definitive closure procedures required for patient</w:t>
      </w:r>
      <w:r w:rsidR="00B91850">
        <w:t>s</w:t>
      </w:r>
      <w:r w:rsidR="00FB2B25">
        <w:t xml:space="preserve"> treated with STSG depend</w:t>
      </w:r>
      <w:r w:rsidR="00B91850">
        <w:t>s</w:t>
      </w:r>
      <w:r w:rsidR="00FB2B25">
        <w:t xml:space="preserve"> on </w:t>
      </w:r>
      <w:r w:rsidR="00D31618">
        <w:t xml:space="preserve">the </w:t>
      </w:r>
      <w:r w:rsidR="00FB2B25">
        <w:t>availab</w:t>
      </w:r>
      <w:r w:rsidR="00D31618">
        <w:t>ility</w:t>
      </w:r>
      <w:r w:rsidR="00FB2B25">
        <w:t xml:space="preserve"> favourable donor site</w:t>
      </w:r>
      <w:r w:rsidR="00B91850">
        <w:t>s</w:t>
      </w:r>
      <w:r w:rsidR="00FB2B25">
        <w:t xml:space="preserve">, which depends on </w:t>
      </w:r>
      <w:r w:rsidR="00D56636">
        <w:t>burn</w:t>
      </w:r>
      <w:r w:rsidR="00D56636" w:rsidDel="00D56636">
        <w:t xml:space="preserve"> </w:t>
      </w:r>
      <w:r w:rsidR="00FB2B25">
        <w:t xml:space="preserve">location. It was suggested </w:t>
      </w:r>
      <w:r w:rsidR="009435F3">
        <w:t>that</w:t>
      </w:r>
      <w:r w:rsidR="00FB2B25">
        <w:t xml:space="preserve"> a burn up to 30% TBSA could be closed in </w:t>
      </w:r>
      <w:r w:rsidR="00254272">
        <w:t xml:space="preserve">1 </w:t>
      </w:r>
      <w:r w:rsidR="00FB2B25">
        <w:t xml:space="preserve">STSG sitting, </w:t>
      </w:r>
      <w:r w:rsidR="00FB2B25" w:rsidRPr="003539B4">
        <w:t>&gt;30</w:t>
      </w:r>
      <w:r w:rsidR="005A4FB1">
        <w:t>–</w:t>
      </w:r>
      <w:r w:rsidR="00FB2B25" w:rsidRPr="003539B4">
        <w:t xml:space="preserve">50% </w:t>
      </w:r>
      <w:r w:rsidR="00FB2B25">
        <w:t>TBSA would require 2 procedures,</w:t>
      </w:r>
      <w:r w:rsidR="00FB2B25" w:rsidRPr="003539B4">
        <w:t xml:space="preserve"> 50</w:t>
      </w:r>
      <w:r w:rsidR="005A4FB1">
        <w:t>–</w:t>
      </w:r>
      <w:r w:rsidR="00FB2B25" w:rsidRPr="003539B4">
        <w:t>6</w:t>
      </w:r>
      <w:r w:rsidR="00FB2B25">
        <w:t>0% TBSA may require 3</w:t>
      </w:r>
      <w:r w:rsidR="00FB2B25" w:rsidRPr="003539B4">
        <w:t xml:space="preserve">, </w:t>
      </w:r>
      <w:r w:rsidR="00FB2B25">
        <w:t>and ≥</w:t>
      </w:r>
      <w:r w:rsidR="00FB2B25" w:rsidRPr="003539B4">
        <w:t>70</w:t>
      </w:r>
      <w:r w:rsidR="00FB2B25">
        <w:t xml:space="preserve">% TBSA may require </w:t>
      </w:r>
      <w:r w:rsidR="00FB2B25" w:rsidRPr="003539B4">
        <w:t>4 or more</w:t>
      </w:r>
      <w:r w:rsidR="00447E4C">
        <w:t xml:space="preserve"> </w:t>
      </w:r>
      <w:r w:rsidR="005A4FB1">
        <w:t xml:space="preserve">procedures </w:t>
      </w:r>
      <w:r w:rsidR="00447E4C">
        <w:t>(</w:t>
      </w:r>
      <w:r w:rsidR="00E922D6">
        <w:t>noting</w:t>
      </w:r>
      <w:r w:rsidR="00643C1B">
        <w:t xml:space="preserve"> these</w:t>
      </w:r>
      <w:r w:rsidR="00FB2B25">
        <w:t xml:space="preserve"> are arbitrary bounds</w:t>
      </w:r>
      <w:r w:rsidR="00447E4C">
        <w:t>)</w:t>
      </w:r>
      <w:r w:rsidR="00FB2B25">
        <w:t>.</w:t>
      </w:r>
      <w:r w:rsidR="00C53200">
        <w:t xml:space="preserve"> </w:t>
      </w:r>
      <w:r w:rsidR="00215CA4">
        <w:t>A further sensitivity analysis was undertaken in the commentary using input data from Foster et al. (</w:t>
      </w:r>
      <w:r w:rsidR="00FB4E02">
        <w:t>2021)</w:t>
      </w:r>
      <w:r w:rsidR="00E922D6">
        <w:t>,</w:t>
      </w:r>
      <w:bookmarkStart w:id="69" w:name="_Ref197523258"/>
      <w:r w:rsidR="00FA33F3">
        <w:rPr>
          <w:rStyle w:val="FootnoteReference"/>
        </w:rPr>
        <w:footnoteReference w:id="17"/>
      </w:r>
      <w:bookmarkEnd w:id="69"/>
      <w:r w:rsidR="00FB4E02">
        <w:t xml:space="preserve"> which reflects more updated data than that selected for the base case. </w:t>
      </w:r>
      <w:r w:rsidR="00FB4E02" w:rsidRPr="00976F1E">
        <w:t>The</w:t>
      </w:r>
      <w:r w:rsidR="00D8246F">
        <w:t>se</w:t>
      </w:r>
      <w:r w:rsidR="00FB4E02" w:rsidRPr="00976F1E">
        <w:t xml:space="preserve"> data indicated average values of 2.</w:t>
      </w:r>
      <w:r w:rsidR="00FB4E02">
        <w:t>00</w:t>
      </w:r>
      <w:r w:rsidR="00D8246F">
        <w:t>–</w:t>
      </w:r>
      <w:r w:rsidR="00FB4E02">
        <w:t>3.40</w:t>
      </w:r>
      <w:r w:rsidR="00FB4E02" w:rsidRPr="00976F1E">
        <w:t xml:space="preserve"> definitive closure procedures per person, depending on %TBSA</w:t>
      </w:r>
      <w:r w:rsidR="00FB4E02">
        <w:t>.</w:t>
      </w:r>
    </w:p>
    <w:p w14:paraId="0350C70E" w14:textId="4A5981D2" w:rsidR="00B241C7" w:rsidRDefault="00554B75" w:rsidP="00EF6AA4">
      <w:r>
        <w:t>The average LOS was sourced from a US-</w:t>
      </w:r>
      <w:r w:rsidR="0047635B" w:rsidRPr="008737A9">
        <w:t>based study</w:t>
      </w:r>
      <w:r w:rsidR="00E305AC">
        <w:t>,</w:t>
      </w:r>
      <w:r w:rsidR="00382F33" w:rsidRPr="008737A9">
        <w:rPr>
          <w:rStyle w:val="FootnoteReference"/>
        </w:rPr>
        <w:fldChar w:fldCharType="begin"/>
      </w:r>
      <w:r w:rsidR="00382F33" w:rsidRPr="008737A9">
        <w:rPr>
          <w:vertAlign w:val="superscript"/>
        </w:rPr>
        <w:instrText xml:space="preserve"> NOTEREF _Ref193107306 \h </w:instrText>
      </w:r>
      <w:r w:rsidR="00382F33" w:rsidRPr="008737A9">
        <w:rPr>
          <w:rStyle w:val="FootnoteReference"/>
        </w:rPr>
        <w:instrText xml:space="preserve"> \* MERGEFORMAT </w:instrText>
      </w:r>
      <w:r w:rsidR="00382F33" w:rsidRPr="008737A9">
        <w:rPr>
          <w:rStyle w:val="FootnoteReference"/>
        </w:rPr>
      </w:r>
      <w:r w:rsidR="00382F33" w:rsidRPr="008737A9">
        <w:rPr>
          <w:rStyle w:val="FootnoteReference"/>
        </w:rPr>
        <w:fldChar w:fldCharType="separate"/>
      </w:r>
      <w:r w:rsidR="00487E4A">
        <w:rPr>
          <w:vertAlign w:val="superscript"/>
        </w:rPr>
        <w:t>11</w:t>
      </w:r>
      <w:r w:rsidR="00382F33" w:rsidRPr="008737A9">
        <w:rPr>
          <w:rStyle w:val="FootnoteReference"/>
        </w:rPr>
        <w:fldChar w:fldCharType="end"/>
      </w:r>
      <w:r w:rsidR="00226E31" w:rsidRPr="008737A9">
        <w:t xml:space="preserve"> which </w:t>
      </w:r>
      <w:r w:rsidR="004653AD" w:rsidRPr="008737A9">
        <w:t>analysed</w:t>
      </w:r>
      <w:r w:rsidR="00427695" w:rsidRPr="008737A9">
        <w:t xml:space="preserve"> electronic medical records </w:t>
      </w:r>
      <w:r w:rsidR="00382F33" w:rsidRPr="008737A9">
        <w:t>from</w:t>
      </w:r>
      <w:r w:rsidR="00427695" w:rsidRPr="008737A9">
        <w:t xml:space="preserve"> 500 facilities </w:t>
      </w:r>
      <w:r w:rsidR="00E305AC">
        <w:t>from</w:t>
      </w:r>
      <w:r w:rsidR="00E305AC" w:rsidRPr="008737A9">
        <w:t xml:space="preserve"> </w:t>
      </w:r>
      <w:r w:rsidR="00322A81" w:rsidRPr="008737A9">
        <w:t xml:space="preserve">January 2019 to August 2020. </w:t>
      </w:r>
      <w:r w:rsidR="00061C00" w:rsidRPr="008737A9">
        <w:t>This is considered reasonable</w:t>
      </w:r>
      <w:r w:rsidR="00382F33" w:rsidRPr="008737A9">
        <w:t>,</w:t>
      </w:r>
      <w:r w:rsidR="00061C00" w:rsidRPr="008737A9">
        <w:t xml:space="preserve"> </w:t>
      </w:r>
      <w:r w:rsidR="00382F33" w:rsidRPr="008737A9">
        <w:t>as</w:t>
      </w:r>
      <w:r w:rsidR="00061C00" w:rsidRPr="008737A9">
        <w:t xml:space="preserve"> the </w:t>
      </w:r>
      <w:r w:rsidR="009D0CAE" w:rsidRPr="008737A9">
        <w:t>study assess</w:t>
      </w:r>
      <w:r w:rsidR="00382F33" w:rsidRPr="008737A9">
        <w:t>ed</w:t>
      </w:r>
      <w:r w:rsidR="009D0CAE" w:rsidRPr="008737A9">
        <w:t xml:space="preserve"> costs and LOS </w:t>
      </w:r>
      <w:r w:rsidR="00324F9E" w:rsidRPr="008737A9">
        <w:t>among patient</w:t>
      </w:r>
      <w:r w:rsidR="00382F33" w:rsidRPr="008737A9">
        <w:t>s</w:t>
      </w:r>
      <w:r w:rsidR="00324F9E" w:rsidRPr="008737A9">
        <w:t xml:space="preserve"> </w:t>
      </w:r>
      <w:r w:rsidR="00382F33" w:rsidRPr="008737A9">
        <w:t xml:space="preserve">treated </w:t>
      </w:r>
      <w:r w:rsidR="009D0CAE" w:rsidRPr="008737A9">
        <w:t xml:space="preserve">with </w:t>
      </w:r>
      <w:r w:rsidR="00324F9E" w:rsidRPr="008737A9">
        <w:t xml:space="preserve">ASCS ± STSG </w:t>
      </w:r>
      <w:r w:rsidR="00382F33" w:rsidRPr="008737A9">
        <w:t xml:space="preserve">compared to </w:t>
      </w:r>
      <w:r w:rsidR="00324F9E" w:rsidRPr="008737A9">
        <w:t xml:space="preserve">STSG </w:t>
      </w:r>
      <w:r w:rsidR="00324F9E" w:rsidRPr="008737A9">
        <w:lastRenderedPageBreak/>
        <w:t xml:space="preserve">alone. </w:t>
      </w:r>
      <w:r w:rsidR="004F6C63">
        <w:t>In the study</w:t>
      </w:r>
      <w:r w:rsidR="008907DE">
        <w:t>, patients were matched</w:t>
      </w:r>
      <w:r w:rsidR="00EF6AA4">
        <w:t xml:space="preserve"> 1:1</w:t>
      </w:r>
      <w:r w:rsidR="008907DE">
        <w:t xml:space="preserve"> </w:t>
      </w:r>
      <w:r w:rsidR="00741BEA">
        <w:t>for</w:t>
      </w:r>
      <w:r w:rsidR="00EF6AA4">
        <w:t xml:space="preserve"> age, sex and %TBSA</w:t>
      </w:r>
      <w:r w:rsidR="005B56A9">
        <w:t xml:space="preserve"> to generate comparable patient cohorts</w:t>
      </w:r>
      <w:r w:rsidR="00EF6AA4" w:rsidRPr="00EF6AA4">
        <w:t>.</w:t>
      </w:r>
      <w:r w:rsidR="005B56A9">
        <w:t xml:space="preserve"> Nevertheless, it is possible </w:t>
      </w:r>
      <w:r w:rsidR="00DE4E6F">
        <w:t xml:space="preserve">that </w:t>
      </w:r>
      <w:r w:rsidR="005B56A9">
        <w:t xml:space="preserve">other confounding factors </w:t>
      </w:r>
      <w:r w:rsidR="001E6F2A">
        <w:t>may still be present</w:t>
      </w:r>
      <w:r w:rsidR="00530598">
        <w:t>. T</w:t>
      </w:r>
      <w:r w:rsidR="005B56A9">
        <w:t>he overall confidence in the</w:t>
      </w:r>
      <w:r w:rsidR="00B241C7">
        <w:t>se relative LOS estimates based on</w:t>
      </w:r>
      <w:r w:rsidR="0089705F">
        <w:t xml:space="preserve"> th</w:t>
      </w:r>
      <w:r w:rsidR="00530598">
        <w:t>is</w:t>
      </w:r>
      <w:r w:rsidR="0089705F">
        <w:t xml:space="preserve"> retrospective review</w:t>
      </w:r>
      <w:r w:rsidR="00B241C7">
        <w:t xml:space="preserve"> is low.</w:t>
      </w:r>
      <w:r w:rsidR="002A4741">
        <w:t xml:space="preserve"> </w:t>
      </w:r>
    </w:p>
    <w:p w14:paraId="22309B16" w14:textId="7F371EE8" w:rsidR="00690C91" w:rsidRDefault="00886D0E" w:rsidP="008C7E58">
      <w:r>
        <w:t>LOS</w:t>
      </w:r>
      <w:r w:rsidR="00E45850">
        <w:t xml:space="preserve"> varies according to </w:t>
      </w:r>
      <w:r w:rsidR="00D93878">
        <w:t>%</w:t>
      </w:r>
      <w:r w:rsidR="00E45850">
        <w:t>TBSA burn</w:t>
      </w:r>
      <w:r w:rsidR="00784D25">
        <w:t>ed</w:t>
      </w:r>
      <w:r w:rsidR="00021968">
        <w:t>.</w:t>
      </w:r>
      <w:r w:rsidR="000A3CBF">
        <w:t xml:space="preserve"> </w:t>
      </w:r>
      <w:r w:rsidR="00ED211A">
        <w:t>Clinical</w:t>
      </w:r>
      <w:r w:rsidR="00990C7E">
        <w:t xml:space="preserve"> advice </w:t>
      </w:r>
      <w:r w:rsidR="00ED211A">
        <w:t xml:space="preserve">received </w:t>
      </w:r>
      <w:r w:rsidR="00492918">
        <w:t>by</w:t>
      </w:r>
      <w:r w:rsidR="00990C7E">
        <w:t xml:space="preserve"> the commentary</w:t>
      </w:r>
      <w:r w:rsidR="00ED211A">
        <w:t xml:space="preserve"> </w:t>
      </w:r>
      <w:r w:rsidR="00F903CF">
        <w:t xml:space="preserve">group </w:t>
      </w:r>
      <w:r w:rsidR="00ED211A">
        <w:t xml:space="preserve">suggested </w:t>
      </w:r>
      <w:r w:rsidR="006F0D24">
        <w:t>that, based on experience, p</w:t>
      </w:r>
      <w:r w:rsidR="000A3CBF">
        <w:t xml:space="preserve">atients </w:t>
      </w:r>
      <w:r w:rsidR="00E60B75">
        <w:t>receiving STSG</w:t>
      </w:r>
      <w:r w:rsidR="000A3CBF">
        <w:t xml:space="preserve"> with 20</w:t>
      </w:r>
      <w:r w:rsidR="00D93878">
        <w:t>–</w:t>
      </w:r>
      <w:r w:rsidR="000A3CBF">
        <w:t xml:space="preserve">30% TBSA burns are likely to be discharged </w:t>
      </w:r>
      <w:r w:rsidR="004A0747">
        <w:t xml:space="preserve">within 1 month, </w:t>
      </w:r>
      <w:r w:rsidR="000E45F5">
        <w:t xml:space="preserve">those </w:t>
      </w:r>
      <w:r w:rsidR="00D61DE6">
        <w:t>with 30</w:t>
      </w:r>
      <w:r w:rsidR="00D93878">
        <w:t>–</w:t>
      </w:r>
      <w:r w:rsidR="000E45F5">
        <w:t>40% TBSA burns are likely to</w:t>
      </w:r>
      <w:r w:rsidR="007B5DF8">
        <w:t xml:space="preserve"> be</w:t>
      </w:r>
      <w:r w:rsidR="000E45F5">
        <w:t xml:space="preserve"> discharge</w:t>
      </w:r>
      <w:r w:rsidR="007B5DF8">
        <w:t>d in 1</w:t>
      </w:r>
      <w:r w:rsidR="00B076E5">
        <w:t>–</w:t>
      </w:r>
      <w:r w:rsidR="007B5DF8">
        <w:t>2 months</w:t>
      </w:r>
      <w:r w:rsidR="0008226D">
        <w:t xml:space="preserve">, </w:t>
      </w:r>
      <w:r w:rsidR="007B5DF8">
        <w:t xml:space="preserve">patients </w:t>
      </w:r>
      <w:r w:rsidR="0008226D">
        <w:t>with</w:t>
      </w:r>
      <w:r w:rsidR="00791B26">
        <w:t xml:space="preserve"> </w:t>
      </w:r>
      <w:r w:rsidR="00B076E5">
        <w:t>&gt;</w:t>
      </w:r>
      <w:r w:rsidR="00791B26">
        <w:t xml:space="preserve">40% TBSA generally require </w:t>
      </w:r>
      <w:r w:rsidR="00B076E5">
        <w:t>&gt;</w:t>
      </w:r>
      <w:r w:rsidR="007540C4">
        <w:t xml:space="preserve">2 months and </w:t>
      </w:r>
      <w:r w:rsidR="005457EA">
        <w:t>patient</w:t>
      </w:r>
      <w:r w:rsidR="0000186E">
        <w:t xml:space="preserve">s </w:t>
      </w:r>
      <w:r w:rsidR="007540C4">
        <w:t>with 70</w:t>
      </w:r>
      <w:r w:rsidR="0008226D">
        <w:t>–</w:t>
      </w:r>
      <w:r w:rsidR="007540C4">
        <w:t xml:space="preserve">80% TBSA </w:t>
      </w:r>
      <w:r w:rsidR="0000186E">
        <w:t xml:space="preserve">burns </w:t>
      </w:r>
      <w:r w:rsidR="00E62A16">
        <w:t xml:space="preserve">may need prolonged hospitalisation, with discharge </w:t>
      </w:r>
      <w:r w:rsidR="00770C72">
        <w:t>after 3</w:t>
      </w:r>
      <w:r w:rsidR="0008226D">
        <w:t>–</w:t>
      </w:r>
      <w:r w:rsidR="00770C72">
        <w:t xml:space="preserve">4 months. </w:t>
      </w:r>
      <w:r w:rsidR="00030F2A">
        <w:t>At a high level, these</w:t>
      </w:r>
      <w:r w:rsidR="00770C72">
        <w:t xml:space="preserve"> </w:t>
      </w:r>
      <w:r w:rsidR="002D65FA">
        <w:t>timelines</w:t>
      </w:r>
      <w:r w:rsidR="00770C72">
        <w:t xml:space="preserve"> </w:t>
      </w:r>
      <w:r w:rsidR="002D65FA">
        <w:t>align with the findings of Carter et al. (20</w:t>
      </w:r>
      <w:r w:rsidR="00030F2A">
        <w:t>22</w:t>
      </w:r>
      <w:r w:rsidR="002D65FA">
        <w:t xml:space="preserve">), </w:t>
      </w:r>
      <w:r w:rsidR="000663AA">
        <w:t>indicat</w:t>
      </w:r>
      <w:r w:rsidR="00030F2A">
        <w:t>ing</w:t>
      </w:r>
      <w:r w:rsidR="000663AA">
        <w:t xml:space="preserve"> reasonable </w:t>
      </w:r>
      <w:r w:rsidR="00030F2A">
        <w:t>applicability</w:t>
      </w:r>
      <w:r w:rsidR="000663AA">
        <w:t xml:space="preserve"> to the Australian context. </w:t>
      </w:r>
      <w:r w:rsidR="00C56BC5">
        <w:t>Local</w:t>
      </w:r>
      <w:r w:rsidR="003A04E3">
        <w:t xml:space="preserve"> clinical advice</w:t>
      </w:r>
      <w:r w:rsidR="00FC049E">
        <w:t xml:space="preserve"> did not </w:t>
      </w:r>
      <w:r w:rsidR="003A04E3">
        <w:t>highlight</w:t>
      </w:r>
      <w:r w:rsidR="00FC049E">
        <w:t xml:space="preserve"> an</w:t>
      </w:r>
      <w:r w:rsidR="003A04E3">
        <w:t>y</w:t>
      </w:r>
      <w:r w:rsidR="00FC049E">
        <w:t xml:space="preserve"> key </w:t>
      </w:r>
      <w:r w:rsidR="00091810">
        <w:t xml:space="preserve">factors in </w:t>
      </w:r>
      <w:r w:rsidR="003A04E3">
        <w:t xml:space="preserve">the </w:t>
      </w:r>
      <w:r w:rsidR="00091810">
        <w:t xml:space="preserve">Australian clinical setting that might influence LOS differently from </w:t>
      </w:r>
      <w:r w:rsidR="00444F0C">
        <w:t>that of</w:t>
      </w:r>
      <w:r w:rsidR="00091810">
        <w:t xml:space="preserve"> the Carter et al. (2022) study.</w:t>
      </w:r>
      <w:r w:rsidR="003A04E3">
        <w:t xml:space="preserve"> However, it was noted that </w:t>
      </w:r>
      <w:r w:rsidR="00625707">
        <w:t>if trial cohort numbers are low, confounding factors such as poor social circumstances, age, comorbidities, mental health issues and complications could have a profound effect on LOS</w:t>
      </w:r>
      <w:r w:rsidR="006778C6">
        <w:t>.</w:t>
      </w:r>
    </w:p>
    <w:p w14:paraId="43FBCF3E" w14:textId="3CE0E9AB" w:rsidR="005335D1" w:rsidRDefault="00CC0425" w:rsidP="008C7E58">
      <w:r>
        <w:t>A</w:t>
      </w:r>
      <w:r w:rsidR="005335D1" w:rsidRPr="008737A9">
        <w:t xml:space="preserve"> summary of </w:t>
      </w:r>
      <w:r>
        <w:t>the epidemiological and clinical</w:t>
      </w:r>
      <w:r w:rsidR="005335D1" w:rsidRPr="008737A9">
        <w:t xml:space="preserve"> inputs </w:t>
      </w:r>
      <w:r>
        <w:t>used in the</w:t>
      </w:r>
      <w:r w:rsidR="005335D1" w:rsidRPr="008737A9">
        <w:t xml:space="preserve"> costing analysis are</w:t>
      </w:r>
      <w:r w:rsidR="001E6F2A" w:rsidRPr="008737A9">
        <w:t xml:space="preserve"> </w:t>
      </w:r>
      <w:r w:rsidR="005335D1" w:rsidRPr="008737A9">
        <w:t xml:space="preserve">summarised in </w:t>
      </w:r>
      <w:r w:rsidR="00FE78DA" w:rsidRPr="00733C2A">
        <w:fldChar w:fldCharType="begin"/>
      </w:r>
      <w:r w:rsidR="00FE78DA" w:rsidRPr="00733C2A">
        <w:instrText xml:space="preserve"> REF _Ref194075583 \h </w:instrText>
      </w:r>
      <w:r w:rsidR="00FE78DA" w:rsidRPr="00733C2A">
        <w:fldChar w:fldCharType="separate"/>
      </w:r>
      <w:r w:rsidR="00487E4A" w:rsidRPr="008737A9">
        <w:t>Table</w:t>
      </w:r>
      <w:r w:rsidR="00487E4A" w:rsidRPr="004C18BB">
        <w:t> </w:t>
      </w:r>
      <w:r w:rsidR="00487E4A">
        <w:rPr>
          <w:noProof/>
        </w:rPr>
        <w:t>13</w:t>
      </w:r>
      <w:r w:rsidR="00FE78DA" w:rsidRPr="00733C2A">
        <w:fldChar w:fldCharType="end"/>
      </w:r>
      <w:r w:rsidR="005335D1" w:rsidRPr="008737A9">
        <w:t xml:space="preserve">. </w:t>
      </w:r>
    </w:p>
    <w:p w14:paraId="68356025" w14:textId="70EA7529" w:rsidR="005335D1" w:rsidRPr="008737A9" w:rsidRDefault="005335D1" w:rsidP="00747C01">
      <w:pPr>
        <w:pStyle w:val="TableHeading0"/>
      </w:pPr>
      <w:bookmarkStart w:id="70" w:name="_Ref194075583"/>
      <w:r w:rsidRPr="008737A9">
        <w:t>Table</w:t>
      </w:r>
      <w:r w:rsidR="00B02163" w:rsidRPr="004C18BB">
        <w:t> </w:t>
      </w:r>
      <w:r>
        <w:fldChar w:fldCharType="begin"/>
      </w:r>
      <w:r>
        <w:instrText>SEQ Table \* ARABIC</w:instrText>
      </w:r>
      <w:r>
        <w:fldChar w:fldCharType="separate"/>
      </w:r>
      <w:r w:rsidR="00487E4A">
        <w:rPr>
          <w:noProof/>
        </w:rPr>
        <w:t>13</w:t>
      </w:r>
      <w:r>
        <w:fldChar w:fldCharType="end"/>
      </w:r>
      <w:bookmarkEnd w:id="70"/>
      <w:r w:rsidR="00B02163">
        <w:t>:</w:t>
      </w:r>
      <w:r w:rsidR="00C825ED">
        <w:t xml:space="preserve"> Summary</w:t>
      </w:r>
      <w:r w:rsidRPr="008737A9">
        <w:t xml:space="preserve"> of </w:t>
      </w:r>
      <w:r w:rsidR="007E40C0">
        <w:t>epidemiological and clinical</w:t>
      </w:r>
      <w:r w:rsidRPr="008737A9">
        <w:t xml:space="preserve"> inputs used in costing analysis</w:t>
      </w:r>
    </w:p>
    <w:tbl>
      <w:tblPr>
        <w:tblStyle w:val="TableGrid1"/>
        <w:tblpPr w:leftFromText="180" w:rightFromText="180" w:vertAnchor="text" w:tblpY="1"/>
        <w:tblW w:w="5000" w:type="pct"/>
        <w:tblLook w:val="04A0" w:firstRow="1" w:lastRow="0" w:firstColumn="1" w:lastColumn="0" w:noHBand="0" w:noVBand="1"/>
        <w:tblCaption w:val="Summary of the inputs used in the economic evaluation "/>
        <w:tblDescription w:val="Summary of the inputs used in the economic evaluation "/>
      </w:tblPr>
      <w:tblGrid>
        <w:gridCol w:w="2689"/>
        <w:gridCol w:w="3543"/>
        <w:gridCol w:w="2784"/>
      </w:tblGrid>
      <w:tr w:rsidR="005335D1" w:rsidRPr="0010590C" w14:paraId="5E9BD06C" w14:textId="77777777" w:rsidTr="006527C9">
        <w:trPr>
          <w:cnfStyle w:val="100000000000" w:firstRow="1" w:lastRow="0" w:firstColumn="0" w:lastColumn="0" w:oddVBand="0" w:evenVBand="0" w:oddHBand="0" w:evenHBand="0" w:firstRowFirstColumn="0" w:firstRowLastColumn="0" w:lastRowFirstColumn="0" w:lastRowLastColumn="0"/>
          <w:tblHeader/>
        </w:trPr>
        <w:tc>
          <w:tcPr>
            <w:tcW w:w="1491" w:type="pct"/>
          </w:tcPr>
          <w:p w14:paraId="62B660C7" w14:textId="77777777" w:rsidR="005335D1" w:rsidRPr="000E7210" w:rsidRDefault="005335D1" w:rsidP="0046408E">
            <w:pPr>
              <w:pStyle w:val="Tabletext0"/>
              <w:spacing w:before="0"/>
              <w:jc w:val="left"/>
              <w:rPr>
                <w:b/>
              </w:rPr>
            </w:pPr>
            <w:r w:rsidRPr="000E7210">
              <w:rPr>
                <w:b/>
              </w:rPr>
              <w:t>Parameter</w:t>
            </w:r>
          </w:p>
        </w:tc>
        <w:tc>
          <w:tcPr>
            <w:tcW w:w="1965" w:type="pct"/>
          </w:tcPr>
          <w:p w14:paraId="09AB9D5E" w14:textId="77777777" w:rsidR="005335D1" w:rsidRPr="000E7210" w:rsidRDefault="005335D1" w:rsidP="0046408E">
            <w:pPr>
              <w:pStyle w:val="Tabletext0"/>
              <w:spacing w:before="0"/>
              <w:jc w:val="left"/>
              <w:rPr>
                <w:b/>
              </w:rPr>
            </w:pPr>
            <w:r w:rsidRPr="000E7210">
              <w:rPr>
                <w:b/>
              </w:rPr>
              <w:t>Value</w:t>
            </w:r>
          </w:p>
        </w:tc>
        <w:tc>
          <w:tcPr>
            <w:tcW w:w="1544" w:type="pct"/>
          </w:tcPr>
          <w:p w14:paraId="17C0E848" w14:textId="77777777" w:rsidR="005335D1" w:rsidRPr="000E7210" w:rsidRDefault="005335D1" w:rsidP="0046408E">
            <w:pPr>
              <w:pStyle w:val="Tabletext0"/>
              <w:spacing w:before="0"/>
              <w:jc w:val="left"/>
              <w:rPr>
                <w:b/>
              </w:rPr>
            </w:pPr>
            <w:r w:rsidRPr="000E7210">
              <w:rPr>
                <w:b/>
              </w:rPr>
              <w:t>Source</w:t>
            </w:r>
          </w:p>
        </w:tc>
      </w:tr>
      <w:tr w:rsidR="005335D1" w:rsidRPr="0010590C" w14:paraId="79BDFB16" w14:textId="77777777" w:rsidTr="006527C9">
        <w:tc>
          <w:tcPr>
            <w:tcW w:w="1491" w:type="pct"/>
          </w:tcPr>
          <w:p w14:paraId="1A9796E7" w14:textId="77777777" w:rsidR="005335D1" w:rsidRPr="008737A9" w:rsidRDefault="005335D1" w:rsidP="0046408E">
            <w:pPr>
              <w:pStyle w:val="Tabletext0"/>
              <w:spacing w:before="0"/>
              <w:jc w:val="left"/>
            </w:pPr>
            <w:r w:rsidRPr="008737A9">
              <w:t>Incidence</w:t>
            </w:r>
          </w:p>
        </w:tc>
        <w:tc>
          <w:tcPr>
            <w:tcW w:w="1965" w:type="pct"/>
          </w:tcPr>
          <w:p w14:paraId="4484E353" w14:textId="77777777" w:rsidR="005335D1" w:rsidRPr="008737A9" w:rsidRDefault="005335D1" w:rsidP="0046408E">
            <w:pPr>
              <w:pStyle w:val="Tabletext0"/>
              <w:spacing w:before="0"/>
              <w:jc w:val="left"/>
            </w:pPr>
          </w:p>
        </w:tc>
        <w:tc>
          <w:tcPr>
            <w:tcW w:w="1544" w:type="pct"/>
          </w:tcPr>
          <w:p w14:paraId="3911C4F7" w14:textId="77777777" w:rsidR="005335D1" w:rsidRPr="008737A9" w:rsidRDefault="005335D1" w:rsidP="0046408E">
            <w:pPr>
              <w:pStyle w:val="Tabletext0"/>
              <w:spacing w:before="0"/>
              <w:jc w:val="left"/>
            </w:pPr>
          </w:p>
        </w:tc>
      </w:tr>
      <w:tr w:rsidR="005335D1" w:rsidRPr="0010590C" w14:paraId="2400B3B0" w14:textId="77777777" w:rsidTr="006527C9">
        <w:tc>
          <w:tcPr>
            <w:tcW w:w="1491" w:type="pct"/>
          </w:tcPr>
          <w:p w14:paraId="08568683" w14:textId="0FF1A67A" w:rsidR="005335D1" w:rsidRPr="008737A9" w:rsidRDefault="005335D1" w:rsidP="0046408E">
            <w:pPr>
              <w:pStyle w:val="Tabletext0"/>
              <w:spacing w:before="0"/>
              <w:jc w:val="left"/>
            </w:pPr>
            <w:r w:rsidRPr="008737A9">
              <w:t>Incidence of burns per %TBSA interval</w:t>
            </w:r>
          </w:p>
        </w:tc>
        <w:tc>
          <w:tcPr>
            <w:tcW w:w="1965" w:type="pct"/>
          </w:tcPr>
          <w:p w14:paraId="7A730B74" w14:textId="448C5928" w:rsidR="005335D1" w:rsidRPr="008737A9" w:rsidRDefault="005335D1" w:rsidP="0046408E">
            <w:pPr>
              <w:pStyle w:val="Tabletext0"/>
              <w:spacing w:before="0"/>
              <w:jc w:val="left"/>
            </w:pPr>
            <w:r w:rsidRPr="008737A9">
              <w:t>20</w:t>
            </w:r>
            <w:r w:rsidR="00571282">
              <w:t>–</w:t>
            </w:r>
            <w:r w:rsidRPr="008737A9">
              <w:t>30% TBSA: 0.5</w:t>
            </w:r>
          </w:p>
          <w:p w14:paraId="2A8B665D" w14:textId="57452E45" w:rsidR="005335D1" w:rsidRPr="008737A9" w:rsidRDefault="005335D1" w:rsidP="0046408E">
            <w:pPr>
              <w:pStyle w:val="Tabletext0"/>
              <w:spacing w:before="0"/>
              <w:jc w:val="left"/>
            </w:pPr>
            <w:r w:rsidRPr="008737A9">
              <w:t>31</w:t>
            </w:r>
            <w:r w:rsidR="00571282">
              <w:t>–</w:t>
            </w:r>
            <w:r w:rsidRPr="008737A9">
              <w:t>49% TBSA: 0.26</w:t>
            </w:r>
          </w:p>
          <w:p w14:paraId="40E2D620" w14:textId="7B89E349" w:rsidR="005335D1" w:rsidRPr="008737A9" w:rsidRDefault="005335D1" w:rsidP="0046408E">
            <w:pPr>
              <w:pStyle w:val="Tabletext0"/>
              <w:spacing w:before="0"/>
              <w:jc w:val="left"/>
            </w:pPr>
            <w:r w:rsidRPr="008737A9">
              <w:t>&gt;50% TBSA: 0.24</w:t>
            </w:r>
          </w:p>
        </w:tc>
        <w:tc>
          <w:tcPr>
            <w:tcW w:w="1544" w:type="pct"/>
          </w:tcPr>
          <w:p w14:paraId="593D6962" w14:textId="550BE0B8" w:rsidR="005335D1" w:rsidRPr="008737A9" w:rsidRDefault="005335D1" w:rsidP="0046408E">
            <w:pPr>
              <w:pStyle w:val="Tabletext0"/>
              <w:spacing w:before="0"/>
              <w:jc w:val="left"/>
            </w:pPr>
            <w:r w:rsidRPr="008737A9">
              <w:t>Toppi</w:t>
            </w:r>
            <w:r w:rsidR="00866967">
              <w:t xml:space="preserve"> et al.</w:t>
            </w:r>
            <w:r w:rsidRPr="008737A9">
              <w:t xml:space="preserve"> </w:t>
            </w:r>
            <w:r w:rsidR="00866967">
              <w:t>(</w:t>
            </w:r>
            <w:r w:rsidRPr="008737A9">
              <w:t>2019</w:t>
            </w:r>
            <w:r w:rsidR="00866967">
              <w:t>)</w:t>
            </w:r>
            <w:r w:rsidRPr="008737A9">
              <w:rPr>
                <w:rStyle w:val="FootnoteReference"/>
              </w:rPr>
              <w:fldChar w:fldCharType="begin"/>
            </w:r>
            <w:r w:rsidRPr="008737A9">
              <w:rPr>
                <w:vertAlign w:val="superscript"/>
              </w:rPr>
              <w:instrText xml:space="preserve"> NOTEREF _Ref193107290 \h </w:instrText>
            </w:r>
            <w:r w:rsidRPr="008737A9">
              <w:rPr>
                <w:rStyle w:val="FootnoteReference"/>
              </w:rPr>
              <w:instrText xml:space="preserve"> \* MERGEFORMAT </w:instrText>
            </w:r>
            <w:r w:rsidRPr="008737A9">
              <w:rPr>
                <w:rStyle w:val="FootnoteReference"/>
              </w:rPr>
            </w:r>
            <w:r w:rsidRPr="008737A9">
              <w:rPr>
                <w:rStyle w:val="FootnoteReference"/>
              </w:rPr>
              <w:fldChar w:fldCharType="separate"/>
            </w:r>
            <w:r w:rsidR="00487E4A">
              <w:rPr>
                <w:noProof/>
                <w:vertAlign w:val="superscript"/>
              </w:rPr>
              <w:t>13</w:t>
            </w:r>
            <w:r w:rsidRPr="008737A9">
              <w:rPr>
                <w:rStyle w:val="FootnoteReference"/>
              </w:rPr>
              <w:fldChar w:fldCharType="end"/>
            </w:r>
          </w:p>
        </w:tc>
      </w:tr>
      <w:tr w:rsidR="005335D1" w:rsidRPr="0010590C" w14:paraId="39AD13C8" w14:textId="77777777" w:rsidTr="006527C9">
        <w:tc>
          <w:tcPr>
            <w:tcW w:w="1491" w:type="pct"/>
          </w:tcPr>
          <w:p w14:paraId="49FA2DAB" w14:textId="77777777" w:rsidR="005335D1" w:rsidRPr="008737A9" w:rsidRDefault="005335D1" w:rsidP="0046408E">
            <w:pPr>
              <w:pStyle w:val="Tabletext0"/>
              <w:spacing w:before="0"/>
              <w:jc w:val="left"/>
            </w:pPr>
            <w:r w:rsidRPr="008737A9">
              <w:t>Utilisation inputs</w:t>
            </w:r>
          </w:p>
        </w:tc>
        <w:tc>
          <w:tcPr>
            <w:tcW w:w="1965" w:type="pct"/>
          </w:tcPr>
          <w:p w14:paraId="1DB6E4F2" w14:textId="77777777" w:rsidR="005335D1" w:rsidRPr="008737A9" w:rsidRDefault="005335D1" w:rsidP="0046408E">
            <w:pPr>
              <w:pStyle w:val="Tabletext0"/>
              <w:spacing w:before="0"/>
              <w:jc w:val="left"/>
            </w:pPr>
          </w:p>
        </w:tc>
        <w:tc>
          <w:tcPr>
            <w:tcW w:w="1544" w:type="pct"/>
          </w:tcPr>
          <w:p w14:paraId="0C79DA01" w14:textId="77777777" w:rsidR="005335D1" w:rsidRPr="008737A9" w:rsidRDefault="005335D1" w:rsidP="0046408E">
            <w:pPr>
              <w:pStyle w:val="Tabletext0"/>
              <w:spacing w:before="0"/>
              <w:jc w:val="left"/>
            </w:pPr>
          </w:p>
        </w:tc>
      </w:tr>
      <w:tr w:rsidR="005335D1" w:rsidRPr="0010590C" w14:paraId="2357A757" w14:textId="77777777" w:rsidTr="006527C9">
        <w:tc>
          <w:tcPr>
            <w:tcW w:w="1491" w:type="pct"/>
          </w:tcPr>
          <w:p w14:paraId="3FDCBB12" w14:textId="616FCA25" w:rsidR="005335D1" w:rsidRPr="008737A9" w:rsidRDefault="005335D1" w:rsidP="0046408E">
            <w:pPr>
              <w:pStyle w:val="Tabletext0"/>
              <w:spacing w:before="0"/>
              <w:jc w:val="left"/>
            </w:pPr>
            <w:r w:rsidRPr="008737A9">
              <w:t>Number of ASCS (RECELL</w:t>
            </w:r>
            <w:r w:rsidR="008519B3">
              <w:t>®</w:t>
            </w:r>
            <w:r w:rsidRPr="008737A9">
              <w:t xml:space="preserve">) devices needed </w:t>
            </w:r>
          </w:p>
        </w:tc>
        <w:tc>
          <w:tcPr>
            <w:tcW w:w="1965" w:type="pct"/>
          </w:tcPr>
          <w:p w14:paraId="12016C19" w14:textId="77777777" w:rsidR="005335D1" w:rsidRPr="008737A9" w:rsidRDefault="005335D1" w:rsidP="0046408E">
            <w:pPr>
              <w:pStyle w:val="Tabletext0"/>
              <w:spacing w:before="0"/>
              <w:jc w:val="left"/>
            </w:pPr>
            <w:r w:rsidRPr="008737A9">
              <w:t xml:space="preserve">1 device per 10% TBSA </w:t>
            </w:r>
          </w:p>
        </w:tc>
        <w:tc>
          <w:tcPr>
            <w:tcW w:w="1544" w:type="pct"/>
          </w:tcPr>
          <w:p w14:paraId="5B9CA44B" w14:textId="249F5B17" w:rsidR="005335D1" w:rsidRPr="008737A9" w:rsidRDefault="005335D1" w:rsidP="0046408E">
            <w:pPr>
              <w:pStyle w:val="Tabletext0"/>
              <w:spacing w:before="0"/>
              <w:jc w:val="left"/>
              <w:rPr>
                <w:vertAlign w:val="superscript"/>
              </w:rPr>
            </w:pPr>
            <w:r w:rsidRPr="008737A9">
              <w:t>Carter</w:t>
            </w:r>
            <w:r w:rsidR="00866967">
              <w:t xml:space="preserve"> et al.</w:t>
            </w:r>
            <w:r w:rsidRPr="008737A9">
              <w:t xml:space="preserve"> </w:t>
            </w:r>
            <w:r w:rsidR="00866967">
              <w:t>(</w:t>
            </w:r>
            <w:r w:rsidRPr="008737A9">
              <w:t>2022</w:t>
            </w:r>
            <w:r w:rsidR="00866967">
              <w:t>)</w:t>
            </w:r>
            <w:r w:rsidRPr="008737A9">
              <w:rPr>
                <w:rStyle w:val="FootnoteReference"/>
              </w:rPr>
              <w:fldChar w:fldCharType="begin"/>
            </w:r>
            <w:r w:rsidRPr="008737A9">
              <w:rPr>
                <w:vertAlign w:val="superscript"/>
              </w:rPr>
              <w:instrText xml:space="preserve"> NOTEREF _Ref193107306 \h </w:instrText>
            </w:r>
            <w:r w:rsidRPr="008737A9">
              <w:rPr>
                <w:rStyle w:val="FootnoteReference"/>
              </w:rPr>
              <w:instrText xml:space="preserve"> \* MERGEFORMAT </w:instrText>
            </w:r>
            <w:r w:rsidRPr="008737A9">
              <w:rPr>
                <w:rStyle w:val="FootnoteReference"/>
              </w:rPr>
            </w:r>
            <w:r w:rsidRPr="008737A9">
              <w:rPr>
                <w:rStyle w:val="FootnoteReference"/>
              </w:rPr>
              <w:fldChar w:fldCharType="separate"/>
            </w:r>
            <w:r w:rsidR="00487E4A">
              <w:rPr>
                <w:noProof/>
                <w:vertAlign w:val="superscript"/>
              </w:rPr>
              <w:t>11</w:t>
            </w:r>
            <w:r w:rsidRPr="008737A9">
              <w:rPr>
                <w:rStyle w:val="FootnoteReference"/>
              </w:rPr>
              <w:fldChar w:fldCharType="end"/>
            </w:r>
          </w:p>
        </w:tc>
      </w:tr>
      <w:tr w:rsidR="005335D1" w:rsidRPr="0010590C" w14:paraId="3E1725B1" w14:textId="77777777" w:rsidTr="006527C9">
        <w:tc>
          <w:tcPr>
            <w:tcW w:w="1491" w:type="pct"/>
          </w:tcPr>
          <w:p w14:paraId="74BB8321" w14:textId="140CE5A2" w:rsidR="005335D1" w:rsidRPr="008737A9" w:rsidRDefault="005335D1" w:rsidP="0046408E">
            <w:pPr>
              <w:pStyle w:val="Tabletext0"/>
              <w:spacing w:before="0"/>
              <w:jc w:val="left"/>
            </w:pPr>
            <w:r w:rsidRPr="008737A9">
              <w:t>Proportion of patients requiring temporary closure procedures (</w:t>
            </w:r>
            <w:r w:rsidR="00396C05">
              <w:t>thus</w:t>
            </w:r>
            <w:r w:rsidRPr="008737A9">
              <w:t xml:space="preserve"> delayed definitive closure procedures)</w:t>
            </w:r>
          </w:p>
        </w:tc>
        <w:tc>
          <w:tcPr>
            <w:tcW w:w="1965" w:type="pct"/>
          </w:tcPr>
          <w:p w14:paraId="58A2709D" w14:textId="4DD24627" w:rsidR="005335D1" w:rsidRPr="008737A9" w:rsidRDefault="005335D1" w:rsidP="0046408E">
            <w:pPr>
              <w:pStyle w:val="Tabletext0"/>
              <w:spacing w:before="0"/>
              <w:jc w:val="left"/>
            </w:pPr>
            <w:r w:rsidRPr="008737A9">
              <w:t>20</w:t>
            </w:r>
            <w:r w:rsidR="00396C05">
              <w:t>–</w:t>
            </w:r>
            <w:r w:rsidRPr="008737A9">
              <w:t>29% TBSA: 0.2 (ASCS), 0.3 (STSG)</w:t>
            </w:r>
          </w:p>
          <w:p w14:paraId="6AC718F7" w14:textId="47F9AAAF" w:rsidR="005335D1" w:rsidRPr="008737A9" w:rsidRDefault="005335D1" w:rsidP="0046408E">
            <w:pPr>
              <w:pStyle w:val="Tabletext0"/>
              <w:spacing w:before="0"/>
              <w:jc w:val="left"/>
            </w:pPr>
            <w:r w:rsidRPr="008737A9">
              <w:t>30</w:t>
            </w:r>
            <w:r w:rsidR="00396C05">
              <w:t>–</w:t>
            </w:r>
            <w:r w:rsidRPr="008737A9">
              <w:t>29% TBSA:0.5 (ASCS), 0.75 (STSG)</w:t>
            </w:r>
          </w:p>
          <w:p w14:paraId="7315A514" w14:textId="77777777" w:rsidR="005335D1" w:rsidRPr="008737A9" w:rsidRDefault="005335D1" w:rsidP="0046408E">
            <w:pPr>
              <w:pStyle w:val="Tabletext0"/>
              <w:spacing w:before="0"/>
              <w:jc w:val="left"/>
            </w:pPr>
            <w:r w:rsidRPr="008737A9">
              <w:t>40%+ TBSA: 1.0 (ASCS), 1.0 (STSG)</w:t>
            </w:r>
          </w:p>
        </w:tc>
        <w:tc>
          <w:tcPr>
            <w:tcW w:w="1544" w:type="pct"/>
          </w:tcPr>
          <w:p w14:paraId="206AD918" w14:textId="77777777" w:rsidR="005335D1" w:rsidRPr="008737A9" w:rsidRDefault="005335D1" w:rsidP="0046408E">
            <w:pPr>
              <w:pStyle w:val="Tabletext0"/>
              <w:spacing w:before="0"/>
              <w:jc w:val="left"/>
            </w:pPr>
            <w:r w:rsidRPr="008737A9">
              <w:t>Expert clinical opinion</w:t>
            </w:r>
          </w:p>
        </w:tc>
      </w:tr>
      <w:tr w:rsidR="005335D1" w:rsidRPr="0010590C" w14:paraId="76E4EF65" w14:textId="77777777" w:rsidTr="006527C9">
        <w:tc>
          <w:tcPr>
            <w:tcW w:w="1491" w:type="pct"/>
          </w:tcPr>
          <w:p w14:paraId="190DC514" w14:textId="77777777" w:rsidR="005335D1" w:rsidRPr="008737A9" w:rsidRDefault="005335D1" w:rsidP="0046408E">
            <w:pPr>
              <w:pStyle w:val="Tabletext0"/>
              <w:spacing w:before="0"/>
              <w:jc w:val="left"/>
            </w:pPr>
            <w:r w:rsidRPr="008737A9">
              <w:t>Proportion of patients requiring immediate definitive closure procedures</w:t>
            </w:r>
          </w:p>
        </w:tc>
        <w:tc>
          <w:tcPr>
            <w:tcW w:w="1965" w:type="pct"/>
          </w:tcPr>
          <w:p w14:paraId="404E5892" w14:textId="5015DCD5" w:rsidR="005335D1" w:rsidRPr="008737A9" w:rsidRDefault="005335D1" w:rsidP="0046408E">
            <w:pPr>
              <w:pStyle w:val="Tabletext0"/>
              <w:spacing w:before="0"/>
              <w:jc w:val="left"/>
            </w:pPr>
            <w:r w:rsidRPr="008737A9">
              <w:t>20</w:t>
            </w:r>
            <w:r w:rsidR="00396C05">
              <w:t>–</w:t>
            </w:r>
            <w:r w:rsidRPr="008737A9">
              <w:t>29% TBSA: 0.8 (ASCS), 0.7 (STSG)</w:t>
            </w:r>
          </w:p>
          <w:p w14:paraId="18A8BDBF" w14:textId="71C5A860" w:rsidR="005335D1" w:rsidRPr="008737A9" w:rsidRDefault="005335D1" w:rsidP="0046408E">
            <w:pPr>
              <w:pStyle w:val="Tabletext0"/>
              <w:spacing w:before="0"/>
              <w:jc w:val="left"/>
            </w:pPr>
            <w:r w:rsidRPr="008737A9">
              <w:t>30</w:t>
            </w:r>
            <w:r w:rsidR="00396C05">
              <w:t>–</w:t>
            </w:r>
            <w:r w:rsidRPr="008737A9">
              <w:t>29% TBSA: 0.5 (ASCS), 0.25 (STSG)</w:t>
            </w:r>
          </w:p>
          <w:p w14:paraId="1C8400A9" w14:textId="77777777" w:rsidR="005335D1" w:rsidRPr="008737A9" w:rsidRDefault="005335D1" w:rsidP="0046408E">
            <w:pPr>
              <w:pStyle w:val="Tabletext0"/>
              <w:spacing w:before="0"/>
              <w:jc w:val="left"/>
            </w:pPr>
            <w:r w:rsidRPr="008737A9">
              <w:t>40%+ TBSA: 0.0 (ASCS), 0.0 (STSG)</w:t>
            </w:r>
          </w:p>
        </w:tc>
        <w:tc>
          <w:tcPr>
            <w:tcW w:w="1544" w:type="pct"/>
          </w:tcPr>
          <w:p w14:paraId="0F1A16AF" w14:textId="77777777" w:rsidR="005335D1" w:rsidRPr="008737A9" w:rsidRDefault="005335D1" w:rsidP="0046408E">
            <w:pPr>
              <w:pStyle w:val="Tabletext0"/>
              <w:spacing w:before="0"/>
              <w:jc w:val="left"/>
            </w:pPr>
            <w:r w:rsidRPr="008737A9">
              <w:t xml:space="preserve">Expert clinical opinion </w:t>
            </w:r>
          </w:p>
        </w:tc>
      </w:tr>
      <w:tr w:rsidR="005335D1" w:rsidRPr="0010590C" w14:paraId="239D157A" w14:textId="77777777" w:rsidTr="006527C9">
        <w:tc>
          <w:tcPr>
            <w:tcW w:w="1491" w:type="pct"/>
          </w:tcPr>
          <w:p w14:paraId="47C0DBE5" w14:textId="77777777" w:rsidR="005335D1" w:rsidRPr="008737A9" w:rsidRDefault="005335D1" w:rsidP="0046408E">
            <w:pPr>
              <w:pStyle w:val="Tabletext0"/>
              <w:spacing w:before="0"/>
              <w:jc w:val="left"/>
            </w:pPr>
            <w:r w:rsidRPr="008737A9">
              <w:t>Number of dressing procedures required</w:t>
            </w:r>
          </w:p>
        </w:tc>
        <w:tc>
          <w:tcPr>
            <w:tcW w:w="1965" w:type="pct"/>
          </w:tcPr>
          <w:p w14:paraId="4CC0B0BD" w14:textId="46D95247" w:rsidR="005335D1" w:rsidRPr="008737A9" w:rsidRDefault="005335D1" w:rsidP="0046408E">
            <w:pPr>
              <w:pStyle w:val="Tabletext0"/>
              <w:spacing w:before="0"/>
              <w:jc w:val="left"/>
            </w:pPr>
            <w:r w:rsidRPr="008737A9">
              <w:t>20</w:t>
            </w:r>
            <w:r w:rsidR="00396C05">
              <w:t>–</w:t>
            </w:r>
            <w:r w:rsidRPr="008737A9">
              <w:t>29% TBSA: 1.2 (ASCS), 3.2 (STSG)</w:t>
            </w:r>
          </w:p>
          <w:p w14:paraId="1749269E" w14:textId="1A363ABF" w:rsidR="005335D1" w:rsidRPr="008737A9" w:rsidRDefault="005335D1" w:rsidP="0046408E">
            <w:pPr>
              <w:pStyle w:val="Tabletext0"/>
              <w:spacing w:before="0"/>
              <w:jc w:val="left"/>
            </w:pPr>
            <w:r w:rsidRPr="008737A9">
              <w:t>30</w:t>
            </w:r>
            <w:r w:rsidR="00396C05">
              <w:t>–</w:t>
            </w:r>
            <w:r w:rsidRPr="008737A9">
              <w:t>29% TBSA: 1.5 (ASCS), 4.2 (STSG)</w:t>
            </w:r>
          </w:p>
          <w:p w14:paraId="6C5B3AB6" w14:textId="77777777" w:rsidR="005335D1" w:rsidRPr="008737A9" w:rsidRDefault="005335D1" w:rsidP="0046408E">
            <w:pPr>
              <w:pStyle w:val="Tabletext0"/>
              <w:spacing w:before="0"/>
              <w:jc w:val="left"/>
            </w:pPr>
            <w:r w:rsidRPr="008737A9">
              <w:t>40%+ TBSA: 3.0 (ASCS), 5.1 (STSG)</w:t>
            </w:r>
          </w:p>
        </w:tc>
        <w:tc>
          <w:tcPr>
            <w:tcW w:w="1544" w:type="pct"/>
          </w:tcPr>
          <w:p w14:paraId="02E8449E" w14:textId="77777777" w:rsidR="005335D1" w:rsidRPr="008737A9" w:rsidRDefault="005335D1" w:rsidP="0046408E">
            <w:pPr>
              <w:pStyle w:val="Tabletext0"/>
              <w:spacing w:before="0"/>
              <w:jc w:val="left"/>
            </w:pPr>
            <w:r w:rsidRPr="008737A9">
              <w:t>Calculated based on clinical algorithm and usage proportions</w:t>
            </w:r>
          </w:p>
        </w:tc>
      </w:tr>
      <w:tr w:rsidR="005335D1" w:rsidRPr="0010590C" w14:paraId="6B0859A3" w14:textId="77777777" w:rsidTr="006527C9">
        <w:tc>
          <w:tcPr>
            <w:tcW w:w="1491" w:type="pct"/>
          </w:tcPr>
          <w:p w14:paraId="5C4DA603" w14:textId="77777777" w:rsidR="005335D1" w:rsidRPr="008737A9" w:rsidRDefault="005335D1" w:rsidP="0046408E">
            <w:pPr>
              <w:pStyle w:val="Tabletext0"/>
              <w:spacing w:before="0"/>
              <w:jc w:val="left"/>
            </w:pPr>
            <w:r w:rsidRPr="008737A9">
              <w:t>Number of specialist consultations required</w:t>
            </w:r>
          </w:p>
        </w:tc>
        <w:tc>
          <w:tcPr>
            <w:tcW w:w="1965" w:type="pct"/>
          </w:tcPr>
          <w:p w14:paraId="29E6B6E1" w14:textId="2D7879C5" w:rsidR="005335D1" w:rsidRPr="008737A9" w:rsidRDefault="005335D1" w:rsidP="0046408E">
            <w:pPr>
              <w:pStyle w:val="Tabletext0"/>
              <w:spacing w:before="0"/>
              <w:jc w:val="left"/>
            </w:pPr>
            <w:r w:rsidRPr="008737A9">
              <w:t>20</w:t>
            </w:r>
            <w:r w:rsidR="00396C05">
              <w:t>–</w:t>
            </w:r>
            <w:r w:rsidRPr="008737A9">
              <w:t>29% TBSA: 1.2 (ASCS), 3.2 (STSG)</w:t>
            </w:r>
          </w:p>
          <w:p w14:paraId="13029DE6" w14:textId="01E43FE1" w:rsidR="005335D1" w:rsidRPr="008737A9" w:rsidRDefault="005335D1" w:rsidP="0046408E">
            <w:pPr>
              <w:pStyle w:val="Tabletext0"/>
              <w:spacing w:before="0"/>
              <w:jc w:val="left"/>
            </w:pPr>
            <w:r w:rsidRPr="008737A9">
              <w:t>30</w:t>
            </w:r>
            <w:r w:rsidR="00396C05">
              <w:t>–</w:t>
            </w:r>
            <w:r w:rsidRPr="008737A9">
              <w:t>29% TBSA: 1.5 (ASCS), 4.2 (STSG)</w:t>
            </w:r>
          </w:p>
          <w:p w14:paraId="667030F5" w14:textId="77777777" w:rsidR="005335D1" w:rsidRPr="008737A9" w:rsidRDefault="005335D1" w:rsidP="0046408E">
            <w:pPr>
              <w:pStyle w:val="Tabletext0"/>
              <w:spacing w:before="0"/>
              <w:jc w:val="left"/>
            </w:pPr>
            <w:r w:rsidRPr="008737A9">
              <w:t>40%+ TBSA: 3.0 (ASCS), 5.1 (STSG)</w:t>
            </w:r>
          </w:p>
        </w:tc>
        <w:tc>
          <w:tcPr>
            <w:tcW w:w="1544" w:type="pct"/>
          </w:tcPr>
          <w:p w14:paraId="79130DE1" w14:textId="77777777" w:rsidR="005335D1" w:rsidRPr="008737A9" w:rsidRDefault="005335D1" w:rsidP="0046408E">
            <w:pPr>
              <w:pStyle w:val="Tabletext0"/>
              <w:spacing w:before="0"/>
              <w:jc w:val="left"/>
            </w:pPr>
            <w:r w:rsidRPr="008737A9">
              <w:t>Calculated based on clinical algorithm and usage proportions</w:t>
            </w:r>
          </w:p>
        </w:tc>
      </w:tr>
      <w:tr w:rsidR="005335D1" w:rsidRPr="0010590C" w14:paraId="350A471D" w14:textId="77777777" w:rsidTr="006527C9">
        <w:tc>
          <w:tcPr>
            <w:tcW w:w="1491" w:type="pct"/>
          </w:tcPr>
          <w:p w14:paraId="3A63A772" w14:textId="1D3CB5CF" w:rsidR="005335D1" w:rsidRPr="00BB2C12" w:rsidRDefault="005335D1" w:rsidP="0046408E">
            <w:pPr>
              <w:pStyle w:val="Tabletext0"/>
              <w:spacing w:before="0"/>
              <w:jc w:val="left"/>
            </w:pPr>
            <w:r w:rsidRPr="00BB2C12">
              <w:t>Average LOS (days)</w:t>
            </w:r>
          </w:p>
        </w:tc>
        <w:tc>
          <w:tcPr>
            <w:tcW w:w="1965" w:type="pct"/>
          </w:tcPr>
          <w:p w14:paraId="1C1B832D" w14:textId="2C734EE4" w:rsidR="005335D1" w:rsidRPr="00BB2C12" w:rsidRDefault="005335D1" w:rsidP="0046408E">
            <w:pPr>
              <w:pStyle w:val="Tabletext0"/>
              <w:spacing w:before="0"/>
              <w:jc w:val="left"/>
            </w:pPr>
            <w:r w:rsidRPr="00BB2C12">
              <w:t>20</w:t>
            </w:r>
            <w:r w:rsidR="000E169A">
              <w:t>–</w:t>
            </w:r>
            <w:r w:rsidRPr="00BB2C12">
              <w:t>29% TBSA: 31.7 (ASCS), 27.6 (STSG)</w:t>
            </w:r>
          </w:p>
          <w:p w14:paraId="6684291E" w14:textId="5EA6447D" w:rsidR="005335D1" w:rsidRPr="00BB2C12" w:rsidRDefault="005335D1" w:rsidP="0046408E">
            <w:pPr>
              <w:pStyle w:val="Tabletext0"/>
              <w:spacing w:before="0"/>
              <w:jc w:val="left"/>
            </w:pPr>
            <w:r w:rsidRPr="00BB2C12">
              <w:t>30</w:t>
            </w:r>
            <w:r w:rsidR="000E169A">
              <w:t>–</w:t>
            </w:r>
            <w:r w:rsidRPr="00BB2C12">
              <w:t>29% TBSA: 27.4 (ASCS), 42.2 (STSG)</w:t>
            </w:r>
          </w:p>
          <w:p w14:paraId="772A4095" w14:textId="77777777" w:rsidR="005335D1" w:rsidRPr="00BB2C12" w:rsidRDefault="005335D1" w:rsidP="0046408E">
            <w:pPr>
              <w:pStyle w:val="Tabletext0"/>
              <w:spacing w:before="0"/>
              <w:jc w:val="left"/>
            </w:pPr>
            <w:r w:rsidRPr="00BB2C12">
              <w:t>40%+ TBSA: 51.0 (ASCS), 104.5 (STSG)</w:t>
            </w:r>
          </w:p>
        </w:tc>
        <w:tc>
          <w:tcPr>
            <w:tcW w:w="1544" w:type="pct"/>
          </w:tcPr>
          <w:p w14:paraId="2AFC886B" w14:textId="26F46614" w:rsidR="005335D1" w:rsidRPr="00BB2C12" w:rsidRDefault="005335D1" w:rsidP="0046408E">
            <w:pPr>
              <w:pStyle w:val="Tabletext0"/>
              <w:spacing w:before="0"/>
              <w:jc w:val="left"/>
              <w:rPr>
                <w:vertAlign w:val="superscript"/>
              </w:rPr>
            </w:pPr>
            <w:r w:rsidRPr="00BB2C12">
              <w:t xml:space="preserve">Carter </w:t>
            </w:r>
            <w:r w:rsidR="00866967">
              <w:t>et al. (</w:t>
            </w:r>
            <w:r w:rsidRPr="00BB2C12">
              <w:t>2022</w:t>
            </w:r>
            <w:r w:rsidR="00866967">
              <w:t>)</w:t>
            </w:r>
            <w:r w:rsidRPr="00BB2C12">
              <w:rPr>
                <w:rStyle w:val="FootnoteReference"/>
              </w:rPr>
              <w:fldChar w:fldCharType="begin"/>
            </w:r>
            <w:r w:rsidRPr="00BB2C12">
              <w:rPr>
                <w:vertAlign w:val="superscript"/>
              </w:rPr>
              <w:instrText xml:space="preserve"> NOTEREF _Ref193107306 \h </w:instrText>
            </w:r>
            <w:r w:rsidRPr="00BB2C12">
              <w:rPr>
                <w:rStyle w:val="FootnoteReference"/>
              </w:rPr>
              <w:instrText xml:space="preserve"> \* MERGEFORMAT </w:instrText>
            </w:r>
            <w:r w:rsidRPr="00BB2C12">
              <w:rPr>
                <w:rStyle w:val="FootnoteReference"/>
              </w:rPr>
            </w:r>
            <w:r w:rsidRPr="00BB2C12">
              <w:rPr>
                <w:rStyle w:val="FootnoteReference"/>
              </w:rPr>
              <w:fldChar w:fldCharType="separate"/>
            </w:r>
            <w:r w:rsidR="00487E4A">
              <w:rPr>
                <w:noProof/>
                <w:vertAlign w:val="superscript"/>
              </w:rPr>
              <w:t>11</w:t>
            </w:r>
            <w:r w:rsidRPr="00BB2C12">
              <w:rPr>
                <w:rStyle w:val="FootnoteReference"/>
              </w:rPr>
              <w:fldChar w:fldCharType="end"/>
            </w:r>
          </w:p>
        </w:tc>
      </w:tr>
      <w:tr w:rsidR="005335D1" w:rsidRPr="0010590C" w14:paraId="7B322C9A" w14:textId="77777777" w:rsidTr="006527C9">
        <w:tc>
          <w:tcPr>
            <w:tcW w:w="1491" w:type="pct"/>
          </w:tcPr>
          <w:p w14:paraId="6656FFFF" w14:textId="77777777" w:rsidR="005335D1" w:rsidRPr="00BB2C12" w:rsidRDefault="005335D1" w:rsidP="0046408E">
            <w:pPr>
              <w:pStyle w:val="Tabletext0"/>
              <w:spacing w:before="0"/>
              <w:jc w:val="left"/>
            </w:pPr>
            <w:r w:rsidRPr="00BB2C12">
              <w:t>Number of definitive closure procedures required</w:t>
            </w:r>
          </w:p>
        </w:tc>
        <w:tc>
          <w:tcPr>
            <w:tcW w:w="1965" w:type="pct"/>
          </w:tcPr>
          <w:p w14:paraId="32A7B906" w14:textId="2B9E6114" w:rsidR="005335D1" w:rsidRPr="00BB2C12" w:rsidRDefault="005335D1" w:rsidP="0046408E">
            <w:pPr>
              <w:pStyle w:val="Tabletext0"/>
              <w:spacing w:before="0"/>
              <w:jc w:val="left"/>
            </w:pPr>
            <w:r w:rsidRPr="00BB2C12">
              <w:t>20</w:t>
            </w:r>
            <w:r w:rsidR="000E169A">
              <w:t>–</w:t>
            </w:r>
            <w:r w:rsidRPr="00BB2C12">
              <w:t>29% TBSA: 1 (ASCS), 2.9 (STSG)</w:t>
            </w:r>
          </w:p>
          <w:p w14:paraId="6771D76C" w14:textId="75FF04CB" w:rsidR="005335D1" w:rsidRPr="00BB2C12" w:rsidRDefault="005335D1" w:rsidP="0046408E">
            <w:pPr>
              <w:pStyle w:val="Tabletext0"/>
              <w:spacing w:before="0"/>
              <w:jc w:val="left"/>
            </w:pPr>
            <w:r w:rsidRPr="00BB2C12">
              <w:t>30</w:t>
            </w:r>
            <w:r w:rsidR="000E169A">
              <w:t>–</w:t>
            </w:r>
            <w:r w:rsidRPr="00BB2C12">
              <w:t>29% TBSA: 1 (ASCS), 3.5 (STSG)</w:t>
            </w:r>
          </w:p>
          <w:p w14:paraId="15622593" w14:textId="77777777" w:rsidR="005335D1" w:rsidRPr="00BB2C12" w:rsidRDefault="005335D1" w:rsidP="0046408E">
            <w:pPr>
              <w:pStyle w:val="Tabletext0"/>
              <w:spacing w:before="0"/>
              <w:jc w:val="left"/>
            </w:pPr>
            <w:r w:rsidRPr="00BB2C12">
              <w:t>40%+ TBSA: 2 (ASCS), 4.1 (STSG)</w:t>
            </w:r>
          </w:p>
        </w:tc>
        <w:tc>
          <w:tcPr>
            <w:tcW w:w="1544" w:type="pct"/>
          </w:tcPr>
          <w:p w14:paraId="71483BFC" w14:textId="69408838" w:rsidR="005335D1" w:rsidRPr="00BB2C12" w:rsidRDefault="005335D1" w:rsidP="0046408E">
            <w:pPr>
              <w:pStyle w:val="Tabletext0"/>
              <w:spacing w:before="0"/>
              <w:jc w:val="left"/>
            </w:pPr>
            <w:r w:rsidRPr="00BB2C12">
              <w:t xml:space="preserve">Kowal </w:t>
            </w:r>
            <w:r w:rsidR="00866967">
              <w:t>et al. (</w:t>
            </w:r>
            <w:r w:rsidRPr="00BB2C12">
              <w:t>2019</w:t>
            </w:r>
            <w:r w:rsidR="00866967">
              <w:t>)</w:t>
            </w:r>
            <w:r w:rsidRPr="00BB2C12">
              <w:t xml:space="preserve">, with adjustment made to 40%+ TBSA group to assume </w:t>
            </w:r>
            <w:r w:rsidR="000E169A">
              <w:t>2</w:t>
            </w:r>
            <w:r w:rsidR="000E169A" w:rsidRPr="00937401">
              <w:t xml:space="preserve"> </w:t>
            </w:r>
            <w:r w:rsidRPr="00BB2C12">
              <w:t xml:space="preserve">procedures required (instead of </w:t>
            </w:r>
            <w:r w:rsidR="000E169A">
              <w:t>1</w:t>
            </w:r>
            <w:r w:rsidR="000E169A" w:rsidRPr="00937401">
              <w:t xml:space="preserve"> </w:t>
            </w:r>
            <w:r w:rsidRPr="00BB2C12">
              <w:t xml:space="preserve">procedure as reported in Kowal </w:t>
            </w:r>
            <w:r w:rsidR="00866967">
              <w:t xml:space="preserve">et al. </w:t>
            </w:r>
            <w:r w:rsidRPr="00BB2C12">
              <w:t>2019)</w:t>
            </w:r>
            <w:r w:rsidRPr="00BB2C12">
              <w:rPr>
                <w:vertAlign w:val="superscript"/>
              </w:rPr>
              <w:fldChar w:fldCharType="begin"/>
            </w:r>
            <w:r w:rsidRPr="00BB2C12">
              <w:rPr>
                <w:vertAlign w:val="superscript"/>
              </w:rPr>
              <w:instrText xml:space="preserve"> NOTEREF _Ref193107351 \h  \* MERGEFORMAT </w:instrText>
            </w:r>
            <w:r w:rsidRPr="00BB2C12">
              <w:rPr>
                <w:vertAlign w:val="superscript"/>
              </w:rPr>
            </w:r>
            <w:r w:rsidRPr="00BB2C12">
              <w:rPr>
                <w:vertAlign w:val="superscript"/>
              </w:rPr>
              <w:fldChar w:fldCharType="separate"/>
            </w:r>
            <w:r w:rsidR="00487E4A">
              <w:rPr>
                <w:noProof/>
                <w:vertAlign w:val="superscript"/>
              </w:rPr>
              <w:t>12</w:t>
            </w:r>
            <w:r w:rsidRPr="00BB2C12">
              <w:rPr>
                <w:vertAlign w:val="superscript"/>
              </w:rPr>
              <w:fldChar w:fldCharType="end"/>
            </w:r>
          </w:p>
        </w:tc>
      </w:tr>
    </w:tbl>
    <w:p w14:paraId="4EE60C1A" w14:textId="21530A95" w:rsidR="005335D1" w:rsidRPr="008737A9" w:rsidRDefault="005335D1" w:rsidP="00C70F89">
      <w:pPr>
        <w:pStyle w:val="Tablenotes0"/>
      </w:pPr>
      <w:r w:rsidRPr="008737A9">
        <w:t>Abbreviations: ASCS</w:t>
      </w:r>
      <w:r w:rsidR="000E169A">
        <w:t xml:space="preserve"> </w:t>
      </w:r>
      <w:r w:rsidRPr="008737A9">
        <w:t>= autologous skin cell suspension; LOS</w:t>
      </w:r>
      <w:r w:rsidR="000E169A">
        <w:t xml:space="preserve"> </w:t>
      </w:r>
      <w:r w:rsidRPr="008737A9">
        <w:t xml:space="preserve">= length of </w:t>
      </w:r>
      <w:r w:rsidR="008844BE">
        <w:t xml:space="preserve">hospital </w:t>
      </w:r>
      <w:r w:rsidRPr="008737A9">
        <w:t>stay; STSG</w:t>
      </w:r>
      <w:r w:rsidR="000E169A">
        <w:t xml:space="preserve"> </w:t>
      </w:r>
      <w:r w:rsidRPr="008737A9">
        <w:t>= split-thickness skin graft; TBSA</w:t>
      </w:r>
      <w:r w:rsidR="000E169A">
        <w:t xml:space="preserve"> </w:t>
      </w:r>
      <w:r w:rsidRPr="008737A9">
        <w:t>= total body surface area</w:t>
      </w:r>
    </w:p>
    <w:p w14:paraId="2CF9F92E" w14:textId="013B398E" w:rsidR="005335D1" w:rsidRPr="00CB0C70" w:rsidRDefault="000B5020" w:rsidP="00C70F89">
      <w:pPr>
        <w:pStyle w:val="Tablenotes0"/>
        <w:rPr>
          <w:color w:val="000000" w:themeColor="text1"/>
        </w:rPr>
      </w:pPr>
      <w:r w:rsidRPr="008737A9">
        <w:rPr>
          <w:rStyle w:val="IntenseEmphasis"/>
          <w:color w:val="000000" w:themeColor="text1"/>
        </w:rPr>
        <w:t xml:space="preserve">Source: </w:t>
      </w:r>
      <w:r w:rsidR="00845EA2">
        <w:rPr>
          <w:rStyle w:val="IntenseEmphasis"/>
          <w:color w:val="000000" w:themeColor="text1"/>
        </w:rPr>
        <w:t>ADAR</w:t>
      </w:r>
      <w:r w:rsidRPr="008737A9">
        <w:rPr>
          <w:rStyle w:val="IntenseEmphasis"/>
          <w:color w:val="000000" w:themeColor="text1"/>
        </w:rPr>
        <w:t xml:space="preserve"> Table 33 (pp 68-69)</w:t>
      </w:r>
    </w:p>
    <w:p w14:paraId="1B918C2D" w14:textId="66BA5A1D" w:rsidR="00CC517B" w:rsidRPr="008737A9" w:rsidRDefault="00CC517B" w:rsidP="00497EB5">
      <w:pPr>
        <w:pStyle w:val="Heading4"/>
        <w:rPr>
          <w:b/>
          <w:i w:val="0"/>
        </w:rPr>
      </w:pPr>
      <w:r w:rsidRPr="008737A9">
        <w:lastRenderedPageBreak/>
        <w:t>Cost inputs</w:t>
      </w:r>
    </w:p>
    <w:p w14:paraId="6ACCA032" w14:textId="32B1B253" w:rsidR="00FF157F" w:rsidRPr="008737A9" w:rsidRDefault="00C846CB" w:rsidP="008C7E58">
      <w:r w:rsidRPr="008737A9">
        <w:t xml:space="preserve">The </w:t>
      </w:r>
      <w:r w:rsidR="00152504" w:rsidRPr="008737A9">
        <w:t xml:space="preserve">cost inputs </w:t>
      </w:r>
      <w:r w:rsidR="00C31C21" w:rsidRPr="008737A9">
        <w:t>considered in the analysis included MBS item costs rela</w:t>
      </w:r>
      <w:r w:rsidR="006B6749" w:rsidRPr="008737A9">
        <w:t>ted to wound closure, dressing and specialis</w:t>
      </w:r>
      <w:r w:rsidR="00A23199" w:rsidRPr="008737A9">
        <w:t>t</w:t>
      </w:r>
      <w:r w:rsidR="006B6749" w:rsidRPr="008737A9">
        <w:t xml:space="preserve"> </w:t>
      </w:r>
      <w:r w:rsidR="00A23199" w:rsidRPr="008737A9">
        <w:t>visits,</w:t>
      </w:r>
      <w:r w:rsidR="00140AF5" w:rsidRPr="008737A9">
        <w:t xml:space="preserve"> hospital costs and device costs. </w:t>
      </w:r>
      <w:r w:rsidR="003E1CD5" w:rsidRPr="008737A9">
        <w:t xml:space="preserve">The </w:t>
      </w:r>
      <w:r w:rsidR="006A21C3" w:rsidRPr="008737A9">
        <w:t xml:space="preserve">consideration of </w:t>
      </w:r>
      <w:r w:rsidR="003E1CD5" w:rsidRPr="008737A9">
        <w:t>MBS items</w:t>
      </w:r>
      <w:r w:rsidR="00014AF0">
        <w:t>, including</w:t>
      </w:r>
      <w:r w:rsidR="003E1CD5" w:rsidRPr="008737A9">
        <w:t xml:space="preserve"> costs </w:t>
      </w:r>
      <w:r w:rsidR="008E41D3" w:rsidRPr="008737A9">
        <w:t xml:space="preserve">related to wound closure, </w:t>
      </w:r>
      <w:r w:rsidR="006A21C3" w:rsidRPr="008737A9">
        <w:t>dressing</w:t>
      </w:r>
      <w:r w:rsidR="008E41D3" w:rsidRPr="008737A9">
        <w:t xml:space="preserve"> and specialist </w:t>
      </w:r>
      <w:r w:rsidR="006A21C3" w:rsidRPr="008737A9">
        <w:t xml:space="preserve">visits </w:t>
      </w:r>
      <w:r w:rsidR="0032154D">
        <w:t>was</w:t>
      </w:r>
      <w:r w:rsidR="0032154D" w:rsidRPr="00937401">
        <w:t xml:space="preserve"> </w:t>
      </w:r>
      <w:r w:rsidR="006A21C3" w:rsidRPr="008737A9">
        <w:t xml:space="preserve">reasonable. </w:t>
      </w:r>
      <w:r w:rsidR="00047BBA">
        <w:t xml:space="preserve">However, </w:t>
      </w:r>
      <w:r w:rsidR="00B20E61">
        <w:t xml:space="preserve">overall, the base case analysis considered only a limited </w:t>
      </w:r>
      <w:r w:rsidR="00F54B66">
        <w:t>number of cost items</w:t>
      </w:r>
      <w:r w:rsidR="00E96D68">
        <w:t>,</w:t>
      </w:r>
      <w:r w:rsidR="00F54B66">
        <w:t xml:space="preserve"> </w:t>
      </w:r>
      <w:r w:rsidR="00122777">
        <w:t>including the aforementioned MBS items an</w:t>
      </w:r>
      <w:r w:rsidR="00F165BC">
        <w:t xml:space="preserve">d private hospital bed costs </w:t>
      </w:r>
      <w:r w:rsidR="00285FD5">
        <w:t xml:space="preserve">of </w:t>
      </w:r>
      <w:r w:rsidR="00285FD5" w:rsidRPr="00937401">
        <w:t>$1,075</w:t>
      </w:r>
      <w:r w:rsidR="00285FD5">
        <w:t xml:space="preserve"> </w:t>
      </w:r>
      <w:r w:rsidR="00F165BC">
        <w:t xml:space="preserve">per day </w:t>
      </w:r>
      <w:r w:rsidR="00285FD5">
        <w:t>(</w:t>
      </w:r>
      <w:r w:rsidR="00F165BC">
        <w:t xml:space="preserve">informed by </w:t>
      </w:r>
      <w:r w:rsidR="00F165BC" w:rsidRPr="00937401">
        <w:t>a</w:t>
      </w:r>
      <w:r w:rsidR="00F165BC">
        <w:t xml:space="preserve"> N</w:t>
      </w:r>
      <w:r w:rsidR="002104CE">
        <w:t>ew South Wales</w:t>
      </w:r>
      <w:r w:rsidR="007F0D41">
        <w:t xml:space="preserve"> [NSW]</w:t>
      </w:r>
      <w:r w:rsidR="00F165BC">
        <w:t xml:space="preserve"> Health article</w:t>
      </w:r>
      <w:r w:rsidR="00F165BC" w:rsidRPr="00937401">
        <w:t>)</w:t>
      </w:r>
      <w:r w:rsidR="00651F9D">
        <w:t>.</w:t>
      </w:r>
      <w:r w:rsidR="001965E7">
        <w:rPr>
          <w:rStyle w:val="FootnoteReference"/>
        </w:rPr>
        <w:footnoteReference w:id="18"/>
      </w:r>
      <w:r w:rsidR="00F165BC">
        <w:t xml:space="preserve"> </w:t>
      </w:r>
      <w:r w:rsidR="003B63CB">
        <w:t xml:space="preserve">Other </w:t>
      </w:r>
      <w:r w:rsidR="001F23D0">
        <w:t>c</w:t>
      </w:r>
      <w:r w:rsidR="001F23D0" w:rsidRPr="001F23D0">
        <w:t>osts incurred by private patients</w:t>
      </w:r>
      <w:r w:rsidR="00E96D68">
        <w:t>,</w:t>
      </w:r>
      <w:r w:rsidR="001F23D0" w:rsidRPr="001F23D0">
        <w:t xml:space="preserve"> </w:t>
      </w:r>
      <w:r w:rsidR="001F23D0">
        <w:t>such as</w:t>
      </w:r>
      <w:r w:rsidR="001F23D0" w:rsidRPr="001F23D0">
        <w:t xml:space="preserve"> theatre fees, intensive care costs, drugs, </w:t>
      </w:r>
      <w:r w:rsidR="001F23D0" w:rsidRPr="00937401">
        <w:t>dressing</w:t>
      </w:r>
      <w:r w:rsidR="00285FD5">
        <w:t>s</w:t>
      </w:r>
      <w:r w:rsidR="001F23D0" w:rsidRPr="001F23D0">
        <w:t xml:space="preserve"> and other consumable</w:t>
      </w:r>
      <w:r w:rsidR="001F23D0">
        <w:t xml:space="preserve">s, and other MBS fees (e.g. for </w:t>
      </w:r>
      <w:r w:rsidR="00502E8D">
        <w:t>anaesthesia</w:t>
      </w:r>
      <w:r w:rsidR="001F23D0">
        <w:t xml:space="preserve">) </w:t>
      </w:r>
      <w:r w:rsidR="00F9257A">
        <w:t xml:space="preserve">were </w:t>
      </w:r>
      <w:r w:rsidR="007D6B76">
        <w:t>not included</w:t>
      </w:r>
      <w:r w:rsidR="00F9257A">
        <w:t>.</w:t>
      </w:r>
    </w:p>
    <w:p w14:paraId="1FE5008A" w14:textId="07DC60FD" w:rsidR="007B6CEE" w:rsidRPr="008737A9" w:rsidRDefault="00A57CC7" w:rsidP="008C7E58">
      <w:r>
        <w:t xml:space="preserve">The ADAR presented an ‘additional analysis’ </w:t>
      </w:r>
      <w:r w:rsidR="003355E2">
        <w:t>for which</w:t>
      </w:r>
      <w:r w:rsidR="00141FAD" w:rsidRPr="008737A9">
        <w:t xml:space="preserve"> </w:t>
      </w:r>
      <w:r w:rsidR="00202D97" w:rsidRPr="008737A9">
        <w:t>the</w:t>
      </w:r>
      <w:r w:rsidR="00141FAD" w:rsidRPr="008737A9">
        <w:t xml:space="preserve"> </w:t>
      </w:r>
      <w:r w:rsidR="0039389C" w:rsidRPr="008737A9">
        <w:t xml:space="preserve">total cost per day in hospital </w:t>
      </w:r>
      <w:r w:rsidR="003355E2">
        <w:t xml:space="preserve">was </w:t>
      </w:r>
      <w:r w:rsidR="0039389C" w:rsidRPr="008737A9">
        <w:t xml:space="preserve">informed by public hospital </w:t>
      </w:r>
      <w:r w:rsidR="00CA311B">
        <w:t>Australian</w:t>
      </w:r>
      <w:r w:rsidR="00483FA0">
        <w:t xml:space="preserve"> R</w:t>
      </w:r>
      <w:r w:rsidR="00CA311B">
        <w:t xml:space="preserve">efined </w:t>
      </w:r>
      <w:r w:rsidR="00E96D68">
        <w:t>Diagnosis-</w:t>
      </w:r>
      <w:r w:rsidR="00483FA0">
        <w:t>R</w:t>
      </w:r>
      <w:r w:rsidR="008E5BCC">
        <w:t>elated</w:t>
      </w:r>
      <w:r w:rsidR="00B01C02">
        <w:t xml:space="preserve"> </w:t>
      </w:r>
      <w:r w:rsidR="00483FA0">
        <w:t>G</w:t>
      </w:r>
      <w:r w:rsidR="00B01C02">
        <w:t>roup</w:t>
      </w:r>
      <w:r w:rsidR="008E5BCC">
        <w:t>s</w:t>
      </w:r>
      <w:r w:rsidR="00B01C02">
        <w:t xml:space="preserve"> (</w:t>
      </w:r>
      <w:r w:rsidR="00CA311B">
        <w:t>AR-</w:t>
      </w:r>
      <w:r w:rsidR="0039389C" w:rsidRPr="008737A9">
        <w:t>DRGs</w:t>
      </w:r>
      <w:r w:rsidR="008E5BCC">
        <w:t>)</w:t>
      </w:r>
      <w:r w:rsidR="003355E2">
        <w:t xml:space="preserve"> (</w:t>
      </w:r>
      <w:r w:rsidR="0013327D">
        <w:t xml:space="preserve">$3,670.84; </w:t>
      </w:r>
      <w:r w:rsidR="00906B68">
        <w:t>calculated as a simple</w:t>
      </w:r>
      <w:r w:rsidR="003355E2">
        <w:t xml:space="preserve"> average </w:t>
      </w:r>
      <w:r w:rsidR="00906B68">
        <w:t>across items Y01Z and Y02A-C)</w:t>
      </w:r>
      <w:r w:rsidR="003355E2">
        <w:t xml:space="preserve"> </w:t>
      </w:r>
      <w:r w:rsidR="00285FD5">
        <w:t>instead</w:t>
      </w:r>
      <w:r w:rsidR="00674DD8">
        <w:t xml:space="preserve"> of the ‘bottom</w:t>
      </w:r>
      <w:r w:rsidR="003B44EF">
        <w:t>-</w:t>
      </w:r>
      <w:r w:rsidR="00674DD8">
        <w:t>up’-like approach taken in the base case</w:t>
      </w:r>
      <w:r w:rsidR="00A14CD0" w:rsidRPr="008737A9">
        <w:t>. Th</w:t>
      </w:r>
      <w:r w:rsidR="00097B78">
        <w:t>e</w:t>
      </w:r>
      <w:r w:rsidR="00A14CD0" w:rsidRPr="008737A9">
        <w:t xml:space="preserve"> </w:t>
      </w:r>
      <w:r w:rsidR="00202D97" w:rsidRPr="008737A9">
        <w:t xml:space="preserve">approach </w:t>
      </w:r>
      <w:r w:rsidR="00097B78">
        <w:t xml:space="preserve">taken in this supplementary analysis </w:t>
      </w:r>
      <w:r w:rsidR="00BA0B03">
        <w:t xml:space="preserve">appears likely more relevant to the patient population </w:t>
      </w:r>
      <w:r w:rsidR="00BA0B03" w:rsidRPr="000B5020">
        <w:t>(</w:t>
      </w:r>
      <w:r w:rsidR="00045A1F" w:rsidRPr="00CB0C70">
        <w:t>given most specialised burn treatment services are provided in public hospitals across Australia</w:t>
      </w:r>
      <w:bookmarkStart w:id="71" w:name="_Ref194326879"/>
      <w:r w:rsidR="004A312F" w:rsidRPr="006527C9">
        <w:rPr>
          <w:vertAlign w:val="superscript"/>
        </w:rPr>
        <w:fldChar w:fldCharType="begin"/>
      </w:r>
      <w:r w:rsidR="004A312F" w:rsidRPr="006527C9">
        <w:rPr>
          <w:vertAlign w:val="superscript"/>
        </w:rPr>
        <w:instrText xml:space="preserve"> NOTEREF _Ref197526762 \h </w:instrText>
      </w:r>
      <w:r w:rsidR="004A312F">
        <w:rPr>
          <w:vertAlign w:val="superscript"/>
        </w:rPr>
        <w:instrText xml:space="preserve"> \* MERGEFORMAT </w:instrText>
      </w:r>
      <w:r w:rsidR="004A312F" w:rsidRPr="006527C9">
        <w:rPr>
          <w:vertAlign w:val="superscript"/>
        </w:rPr>
      </w:r>
      <w:r w:rsidR="004A312F" w:rsidRPr="006527C9">
        <w:rPr>
          <w:vertAlign w:val="superscript"/>
        </w:rPr>
        <w:fldChar w:fldCharType="separate"/>
      </w:r>
      <w:r w:rsidR="00487E4A">
        <w:rPr>
          <w:vertAlign w:val="superscript"/>
        </w:rPr>
        <w:t>2</w:t>
      </w:r>
      <w:r w:rsidR="004A312F" w:rsidRPr="006527C9">
        <w:rPr>
          <w:vertAlign w:val="superscript"/>
        </w:rPr>
        <w:fldChar w:fldCharType="end"/>
      </w:r>
      <w:bookmarkEnd w:id="71"/>
      <w:r w:rsidR="00852B3A" w:rsidRPr="00CB0C70">
        <w:t>)</w:t>
      </w:r>
      <w:r w:rsidR="003B44EF">
        <w:t>. Also, it</w:t>
      </w:r>
      <w:r w:rsidR="001B7A58">
        <w:t xml:space="preserve"> avoid</w:t>
      </w:r>
      <w:r w:rsidR="00F71FC8">
        <w:t>s</w:t>
      </w:r>
      <w:r w:rsidR="001B7A58">
        <w:t xml:space="preserve"> limitations in the identification of relevant cost items</w:t>
      </w:r>
      <w:r w:rsidR="00F71FC8">
        <w:t>,</w:t>
      </w:r>
      <w:r w:rsidR="001B7A58">
        <w:t xml:space="preserve"> as noted in relation to the base case</w:t>
      </w:r>
      <w:r w:rsidR="00202D97" w:rsidRPr="008737A9">
        <w:t xml:space="preserve">. </w:t>
      </w:r>
    </w:p>
    <w:p w14:paraId="1FF831CB" w14:textId="5BE28956" w:rsidR="00202D97" w:rsidRPr="008737A9" w:rsidRDefault="00CC5CE6" w:rsidP="008C7E58">
      <w:pPr>
        <w:rPr>
          <w:szCs w:val="18"/>
        </w:rPr>
      </w:pPr>
      <w:r w:rsidRPr="008737A9">
        <w:t xml:space="preserve">The </w:t>
      </w:r>
      <w:r w:rsidR="0033623B" w:rsidRPr="008737A9">
        <w:rPr>
          <w:szCs w:val="18"/>
        </w:rPr>
        <w:t>ASCS (RECELL</w:t>
      </w:r>
      <w:r w:rsidR="008E37CD">
        <w:rPr>
          <w:szCs w:val="18"/>
        </w:rPr>
        <w:t>®</w:t>
      </w:r>
      <w:r w:rsidR="006F1427">
        <w:rPr>
          <w:szCs w:val="18"/>
        </w:rPr>
        <w:t>)</w:t>
      </w:r>
      <w:r w:rsidR="0033623B" w:rsidRPr="008737A9">
        <w:rPr>
          <w:szCs w:val="18"/>
        </w:rPr>
        <w:t xml:space="preserve"> device cost </w:t>
      </w:r>
      <w:r w:rsidR="006F1427">
        <w:rPr>
          <w:szCs w:val="18"/>
        </w:rPr>
        <w:t>($</w:t>
      </w:r>
      <w:r w:rsidR="00E70ED5">
        <w:rPr>
          <w:b/>
          <w:bCs/>
          <w:szCs w:val="18"/>
        </w:rPr>
        <w:t>redacted</w:t>
      </w:r>
      <w:r w:rsidR="0033623B" w:rsidRPr="008737A9">
        <w:rPr>
          <w:szCs w:val="18"/>
        </w:rPr>
        <w:t xml:space="preserve"> informed by </w:t>
      </w:r>
      <w:r w:rsidR="00F71FC8">
        <w:rPr>
          <w:szCs w:val="18"/>
        </w:rPr>
        <w:t>AVITA</w:t>
      </w:r>
      <w:r w:rsidR="00F71FC8" w:rsidRPr="00937401">
        <w:rPr>
          <w:szCs w:val="18"/>
        </w:rPr>
        <w:t xml:space="preserve"> </w:t>
      </w:r>
      <w:r w:rsidR="00F71FC8">
        <w:rPr>
          <w:szCs w:val="18"/>
        </w:rPr>
        <w:t>M</w:t>
      </w:r>
      <w:r w:rsidR="0033623B" w:rsidRPr="00937401">
        <w:rPr>
          <w:szCs w:val="18"/>
        </w:rPr>
        <w:t>edical</w:t>
      </w:r>
      <w:r w:rsidR="00F71FC8">
        <w:rPr>
          <w:szCs w:val="18"/>
        </w:rPr>
        <w:t>)</w:t>
      </w:r>
      <w:r w:rsidR="0033623B" w:rsidRPr="008737A9">
        <w:rPr>
          <w:szCs w:val="18"/>
        </w:rPr>
        <w:t xml:space="preserve"> was applied in the </w:t>
      </w:r>
      <w:r w:rsidR="003B4651" w:rsidRPr="008737A9">
        <w:rPr>
          <w:szCs w:val="18"/>
        </w:rPr>
        <w:t>scenario analysi</w:t>
      </w:r>
      <w:r w:rsidR="004D0EEA" w:rsidRPr="008737A9">
        <w:rPr>
          <w:szCs w:val="18"/>
        </w:rPr>
        <w:t>s</w:t>
      </w:r>
      <w:r w:rsidR="00F71FC8">
        <w:rPr>
          <w:szCs w:val="18"/>
        </w:rPr>
        <w:t>;</w:t>
      </w:r>
      <w:r w:rsidR="004D0EEA" w:rsidRPr="008737A9">
        <w:rPr>
          <w:szCs w:val="18"/>
        </w:rPr>
        <w:t xml:space="preserve"> </w:t>
      </w:r>
      <w:r w:rsidR="00290C1D">
        <w:rPr>
          <w:szCs w:val="18"/>
        </w:rPr>
        <w:t>however</w:t>
      </w:r>
      <w:r w:rsidR="006E33A4">
        <w:rPr>
          <w:szCs w:val="18"/>
        </w:rPr>
        <w:t>,</w:t>
      </w:r>
      <w:r w:rsidR="00290C1D">
        <w:rPr>
          <w:szCs w:val="18"/>
        </w:rPr>
        <w:t xml:space="preserve"> </w:t>
      </w:r>
      <w:r w:rsidR="004D0EEA" w:rsidRPr="008737A9">
        <w:rPr>
          <w:szCs w:val="18"/>
        </w:rPr>
        <w:t xml:space="preserve">its exclusion </w:t>
      </w:r>
      <w:r w:rsidR="00290C1D">
        <w:rPr>
          <w:szCs w:val="18"/>
        </w:rPr>
        <w:t>from</w:t>
      </w:r>
      <w:r w:rsidR="00290C1D" w:rsidRPr="008737A9">
        <w:rPr>
          <w:szCs w:val="18"/>
        </w:rPr>
        <w:t xml:space="preserve"> </w:t>
      </w:r>
      <w:r w:rsidR="004D0EEA" w:rsidRPr="008737A9">
        <w:rPr>
          <w:szCs w:val="18"/>
        </w:rPr>
        <w:t xml:space="preserve">the base case analysis </w:t>
      </w:r>
      <w:r w:rsidR="00022291">
        <w:rPr>
          <w:szCs w:val="18"/>
        </w:rPr>
        <w:t>was</w:t>
      </w:r>
      <w:r w:rsidR="004D0EEA" w:rsidRPr="008737A9">
        <w:rPr>
          <w:szCs w:val="18"/>
        </w:rPr>
        <w:t xml:space="preserve"> </w:t>
      </w:r>
      <w:r w:rsidR="007D6B76">
        <w:rPr>
          <w:szCs w:val="18"/>
        </w:rPr>
        <w:t>inappropriate</w:t>
      </w:r>
      <w:r w:rsidR="003B4651" w:rsidRPr="008737A9">
        <w:rPr>
          <w:szCs w:val="18"/>
        </w:rPr>
        <w:t xml:space="preserve">. The device price </w:t>
      </w:r>
      <w:r w:rsidR="00022291">
        <w:rPr>
          <w:szCs w:val="18"/>
        </w:rPr>
        <w:t>was</w:t>
      </w:r>
      <w:r w:rsidR="003B4651" w:rsidRPr="008737A9">
        <w:rPr>
          <w:szCs w:val="18"/>
        </w:rPr>
        <w:t xml:space="preserve"> essential in the base case analysis</w:t>
      </w:r>
      <w:r w:rsidR="004D0EEA" w:rsidRPr="008737A9">
        <w:rPr>
          <w:szCs w:val="18"/>
        </w:rPr>
        <w:t xml:space="preserve">, as the </w:t>
      </w:r>
      <w:r w:rsidR="0083182A" w:rsidRPr="008737A9">
        <w:rPr>
          <w:szCs w:val="18"/>
        </w:rPr>
        <w:t xml:space="preserve">treatment </w:t>
      </w:r>
      <w:r w:rsidR="006217CA">
        <w:t>depen</w:t>
      </w:r>
      <w:r w:rsidR="004D0EEA">
        <w:t>ds</w:t>
      </w:r>
      <w:r w:rsidR="006217CA" w:rsidRPr="008737A9">
        <w:rPr>
          <w:szCs w:val="18"/>
        </w:rPr>
        <w:t xml:space="preserve"> </w:t>
      </w:r>
      <w:r w:rsidR="004D0EEA" w:rsidRPr="008737A9">
        <w:rPr>
          <w:szCs w:val="18"/>
        </w:rPr>
        <w:t>on</w:t>
      </w:r>
      <w:r w:rsidR="006217CA" w:rsidRPr="008737A9">
        <w:rPr>
          <w:szCs w:val="18"/>
        </w:rPr>
        <w:t xml:space="preserve"> </w:t>
      </w:r>
      <w:r w:rsidR="0083182A" w:rsidRPr="008737A9">
        <w:rPr>
          <w:szCs w:val="18"/>
        </w:rPr>
        <w:t>the device</w:t>
      </w:r>
      <w:r w:rsidR="006217CA" w:rsidRPr="008737A9">
        <w:rPr>
          <w:szCs w:val="18"/>
        </w:rPr>
        <w:t xml:space="preserve">. </w:t>
      </w:r>
    </w:p>
    <w:p w14:paraId="7B83535F" w14:textId="749FF05A" w:rsidR="00A70C3C" w:rsidRPr="00A70C3C" w:rsidRDefault="00147B9E" w:rsidP="00A70C3C">
      <w:pPr>
        <w:rPr>
          <w:color w:val="000000" w:themeColor="text1"/>
        </w:rPr>
      </w:pPr>
      <w:r w:rsidRPr="00FE5E8A">
        <w:rPr>
          <w:color w:val="000000" w:themeColor="text1"/>
        </w:rPr>
        <w:t xml:space="preserve">The </w:t>
      </w:r>
      <w:r w:rsidR="00845EA2">
        <w:rPr>
          <w:color w:val="000000" w:themeColor="text1"/>
        </w:rPr>
        <w:t>ADAR</w:t>
      </w:r>
      <w:r w:rsidRPr="00FE5E8A">
        <w:rPr>
          <w:color w:val="000000" w:themeColor="text1"/>
        </w:rPr>
        <w:t xml:space="preserve"> failed to incorporate </w:t>
      </w:r>
      <w:r w:rsidR="00CB6375">
        <w:rPr>
          <w:color w:val="000000" w:themeColor="text1"/>
        </w:rPr>
        <w:t>AEs</w:t>
      </w:r>
      <w:r w:rsidRPr="00FE5E8A">
        <w:rPr>
          <w:color w:val="000000" w:themeColor="text1"/>
        </w:rPr>
        <w:t xml:space="preserve"> associated with the ASCS</w:t>
      </w:r>
      <w:r w:rsidR="006E33A4">
        <w:rPr>
          <w:color w:val="000000" w:themeColor="text1"/>
        </w:rPr>
        <w:t xml:space="preserve"> </w:t>
      </w:r>
      <w:r w:rsidRPr="00FE5E8A">
        <w:rPr>
          <w:color w:val="000000" w:themeColor="text1"/>
        </w:rPr>
        <w:t>±</w:t>
      </w:r>
      <w:r w:rsidR="006E33A4">
        <w:rPr>
          <w:color w:val="000000" w:themeColor="text1"/>
        </w:rPr>
        <w:t xml:space="preserve"> </w:t>
      </w:r>
      <w:r w:rsidRPr="00FE5E8A">
        <w:rPr>
          <w:color w:val="000000" w:themeColor="text1"/>
        </w:rPr>
        <w:t>STSG and STSG alone arms, despite evidence from pivotal trials (CTP001-5</w:t>
      </w:r>
      <w:r w:rsidR="00CB6375">
        <w:rPr>
          <w:color w:val="000000" w:themeColor="text1"/>
        </w:rPr>
        <w:t xml:space="preserve">, </w:t>
      </w:r>
      <w:r w:rsidRPr="00FE5E8A">
        <w:rPr>
          <w:color w:val="000000" w:themeColor="text1"/>
        </w:rPr>
        <w:t>CTP001-6) reporting device</w:t>
      </w:r>
      <w:r w:rsidR="00CB6375">
        <w:rPr>
          <w:color w:val="000000" w:themeColor="text1"/>
        </w:rPr>
        <w:t>-</w:t>
      </w:r>
      <w:r w:rsidRPr="00FE5E8A">
        <w:rPr>
          <w:color w:val="000000" w:themeColor="text1"/>
        </w:rPr>
        <w:t xml:space="preserve">related </w:t>
      </w:r>
      <w:r w:rsidR="00CB6375">
        <w:rPr>
          <w:color w:val="000000" w:themeColor="text1"/>
        </w:rPr>
        <w:t>AEs</w:t>
      </w:r>
      <w:r w:rsidRPr="00FE5E8A">
        <w:rPr>
          <w:color w:val="000000" w:themeColor="text1"/>
        </w:rPr>
        <w:t xml:space="preserve"> such as skin graft failure</w:t>
      </w:r>
      <w:r w:rsidR="00110480">
        <w:rPr>
          <w:color w:val="000000" w:themeColor="text1"/>
        </w:rPr>
        <w:t xml:space="preserve"> and</w:t>
      </w:r>
      <w:r w:rsidRPr="00FE5E8A">
        <w:rPr>
          <w:color w:val="000000" w:themeColor="text1"/>
        </w:rPr>
        <w:t xml:space="preserve"> hypertrophic scarring. </w:t>
      </w:r>
      <w:r w:rsidR="005D5DBA" w:rsidRPr="00FE5E8A">
        <w:rPr>
          <w:color w:val="000000" w:themeColor="text1"/>
        </w:rPr>
        <w:t>A</w:t>
      </w:r>
      <w:r w:rsidR="009A54ED" w:rsidRPr="00FE5E8A">
        <w:rPr>
          <w:color w:val="000000" w:themeColor="text1"/>
        </w:rPr>
        <w:t xml:space="preserve">s indicated in </w:t>
      </w:r>
      <w:r w:rsidR="00CB6375">
        <w:rPr>
          <w:color w:val="000000" w:themeColor="text1"/>
        </w:rPr>
        <w:t xml:space="preserve">the </w:t>
      </w:r>
      <w:r w:rsidR="00CC53C0" w:rsidRPr="00FE5E8A">
        <w:rPr>
          <w:color w:val="000000" w:themeColor="text1"/>
        </w:rPr>
        <w:t xml:space="preserve">clinical </w:t>
      </w:r>
      <w:r w:rsidR="009A54ED" w:rsidRPr="00FE5E8A">
        <w:rPr>
          <w:color w:val="000000" w:themeColor="text1"/>
        </w:rPr>
        <w:t xml:space="preserve">section </w:t>
      </w:r>
      <w:r w:rsidR="00D26029">
        <w:rPr>
          <w:color w:val="000000" w:themeColor="text1"/>
        </w:rPr>
        <w:t xml:space="preserve">of the commentary </w:t>
      </w:r>
      <w:r w:rsidR="00872B34" w:rsidRPr="00FE5E8A">
        <w:rPr>
          <w:color w:val="000000" w:themeColor="text1"/>
        </w:rPr>
        <w:t>(</w:t>
      </w:r>
      <w:r w:rsidR="007A40A4">
        <w:rPr>
          <w:color w:val="000000" w:themeColor="text1"/>
        </w:rPr>
        <w:fldChar w:fldCharType="begin"/>
      </w:r>
      <w:r w:rsidR="007A40A4">
        <w:rPr>
          <w:color w:val="000000" w:themeColor="text1"/>
        </w:rPr>
        <w:instrText xml:space="preserve"> REF _Ref194585540 \h </w:instrText>
      </w:r>
      <w:r w:rsidR="007A40A4">
        <w:rPr>
          <w:color w:val="000000" w:themeColor="text1"/>
        </w:rPr>
      </w:r>
      <w:r w:rsidR="007A40A4">
        <w:rPr>
          <w:color w:val="000000" w:themeColor="text1"/>
        </w:rPr>
        <w:fldChar w:fldCharType="separate"/>
      </w:r>
      <w:r w:rsidR="00487E4A" w:rsidDel="00435B85">
        <w:t>Table</w:t>
      </w:r>
      <w:r w:rsidR="00487E4A" w:rsidRPr="004C18BB">
        <w:t> </w:t>
      </w:r>
      <w:r w:rsidR="00487E4A">
        <w:rPr>
          <w:noProof/>
        </w:rPr>
        <w:t>11</w:t>
      </w:r>
      <w:r w:rsidR="007A40A4">
        <w:rPr>
          <w:color w:val="000000" w:themeColor="text1"/>
        </w:rPr>
        <w:fldChar w:fldCharType="end"/>
      </w:r>
      <w:r w:rsidR="00CC53C0" w:rsidRPr="00FE5E8A">
        <w:rPr>
          <w:color w:val="000000" w:themeColor="text1"/>
        </w:rPr>
        <w:t xml:space="preserve">), </w:t>
      </w:r>
      <w:r w:rsidR="00B11D36">
        <w:rPr>
          <w:color w:val="000000" w:themeColor="text1"/>
        </w:rPr>
        <w:t xml:space="preserve">the </w:t>
      </w:r>
      <w:r w:rsidR="00603ACC">
        <w:rPr>
          <w:color w:val="000000" w:themeColor="text1"/>
        </w:rPr>
        <w:t xml:space="preserve">anticipated </w:t>
      </w:r>
      <w:r w:rsidR="00B11D36">
        <w:rPr>
          <w:color w:val="000000" w:themeColor="text1"/>
        </w:rPr>
        <w:t xml:space="preserve">absolute </w:t>
      </w:r>
      <w:r w:rsidR="00CB6375">
        <w:rPr>
          <w:color w:val="000000" w:themeColor="text1"/>
        </w:rPr>
        <w:t>AE</w:t>
      </w:r>
      <w:r w:rsidR="00BF27E5">
        <w:rPr>
          <w:color w:val="000000" w:themeColor="text1"/>
        </w:rPr>
        <w:t xml:space="preserve"> </w:t>
      </w:r>
      <w:r w:rsidR="00646768">
        <w:rPr>
          <w:color w:val="000000" w:themeColor="text1"/>
        </w:rPr>
        <w:t xml:space="preserve">rate </w:t>
      </w:r>
      <w:r w:rsidR="00BF27E5">
        <w:rPr>
          <w:color w:val="000000" w:themeColor="text1"/>
        </w:rPr>
        <w:t>for AS</w:t>
      </w:r>
      <w:r w:rsidR="0072148F">
        <w:rPr>
          <w:color w:val="000000" w:themeColor="text1"/>
        </w:rPr>
        <w:t>CS ±</w:t>
      </w:r>
      <w:r w:rsidR="00CB6375">
        <w:rPr>
          <w:color w:val="000000" w:themeColor="text1"/>
        </w:rPr>
        <w:t xml:space="preserve"> </w:t>
      </w:r>
      <w:r w:rsidR="0072148F">
        <w:rPr>
          <w:color w:val="000000" w:themeColor="text1"/>
        </w:rPr>
        <w:t xml:space="preserve">STSG </w:t>
      </w:r>
      <w:r w:rsidR="003548F3">
        <w:rPr>
          <w:color w:val="000000" w:themeColor="text1"/>
        </w:rPr>
        <w:t>(54.8</w:t>
      </w:r>
      <w:r w:rsidR="003040C2">
        <w:rPr>
          <w:color w:val="000000" w:themeColor="text1"/>
        </w:rPr>
        <w:t>%)</w:t>
      </w:r>
      <w:r w:rsidR="003548F3">
        <w:rPr>
          <w:color w:val="000000" w:themeColor="text1"/>
        </w:rPr>
        <w:t xml:space="preserve"> </w:t>
      </w:r>
      <w:r w:rsidR="0072148F">
        <w:rPr>
          <w:color w:val="000000" w:themeColor="text1"/>
        </w:rPr>
        <w:t xml:space="preserve">was </w:t>
      </w:r>
      <w:r w:rsidR="000A161A">
        <w:rPr>
          <w:color w:val="000000" w:themeColor="text1"/>
        </w:rPr>
        <w:t xml:space="preserve">10% higher compared to </w:t>
      </w:r>
      <w:r w:rsidR="003548F3">
        <w:rPr>
          <w:color w:val="000000" w:themeColor="text1"/>
        </w:rPr>
        <w:t>STSG alone (45.2</w:t>
      </w:r>
      <w:r w:rsidR="00C14216">
        <w:rPr>
          <w:color w:val="000000" w:themeColor="text1"/>
        </w:rPr>
        <w:t>%</w:t>
      </w:r>
      <w:r w:rsidR="003548F3">
        <w:rPr>
          <w:color w:val="000000" w:themeColor="text1"/>
        </w:rPr>
        <w:t>)</w:t>
      </w:r>
      <w:r w:rsidR="0088038C">
        <w:rPr>
          <w:color w:val="000000" w:themeColor="text1"/>
        </w:rPr>
        <w:t>.</w:t>
      </w:r>
      <w:r w:rsidR="00380408">
        <w:rPr>
          <w:color w:val="000000" w:themeColor="text1"/>
        </w:rPr>
        <w:t xml:space="preserve"> </w:t>
      </w:r>
      <w:r w:rsidR="0088038C">
        <w:rPr>
          <w:color w:val="000000" w:themeColor="text1"/>
        </w:rPr>
        <w:t>H</w:t>
      </w:r>
      <w:r w:rsidR="00380408">
        <w:rPr>
          <w:color w:val="000000" w:themeColor="text1"/>
        </w:rPr>
        <w:t>owever</w:t>
      </w:r>
      <w:r w:rsidR="0088038C">
        <w:rPr>
          <w:color w:val="000000" w:themeColor="text1"/>
        </w:rPr>
        <w:t>,</w:t>
      </w:r>
      <w:r w:rsidR="00380408">
        <w:rPr>
          <w:color w:val="000000" w:themeColor="text1"/>
        </w:rPr>
        <w:t xml:space="preserve"> this </w:t>
      </w:r>
      <w:r w:rsidR="00603ACC">
        <w:rPr>
          <w:color w:val="000000" w:themeColor="text1"/>
        </w:rPr>
        <w:t>finding</w:t>
      </w:r>
      <w:r w:rsidR="00380408">
        <w:rPr>
          <w:color w:val="000000" w:themeColor="text1"/>
        </w:rPr>
        <w:t xml:space="preserve"> was not significant and of low certainty </w:t>
      </w:r>
      <w:r w:rsidR="003548F3">
        <w:rPr>
          <w:color w:val="000000" w:themeColor="text1"/>
        </w:rPr>
        <w:t>(</w:t>
      </w:r>
      <w:r w:rsidR="003548F3">
        <w:rPr>
          <w:color w:val="000000" w:themeColor="text1"/>
        </w:rPr>
        <w:fldChar w:fldCharType="begin"/>
      </w:r>
      <w:r w:rsidR="003548F3">
        <w:rPr>
          <w:color w:val="000000" w:themeColor="text1"/>
        </w:rPr>
        <w:instrText xml:space="preserve"> REF _Ref194585540 \h </w:instrText>
      </w:r>
      <w:r w:rsidR="003548F3">
        <w:rPr>
          <w:color w:val="000000" w:themeColor="text1"/>
        </w:rPr>
      </w:r>
      <w:r w:rsidR="003548F3">
        <w:rPr>
          <w:color w:val="000000" w:themeColor="text1"/>
        </w:rPr>
        <w:fldChar w:fldCharType="separate"/>
      </w:r>
      <w:r w:rsidR="00487E4A" w:rsidDel="00435B85">
        <w:t>Table</w:t>
      </w:r>
      <w:r w:rsidR="00487E4A" w:rsidRPr="004C18BB">
        <w:t> </w:t>
      </w:r>
      <w:r w:rsidR="00487E4A">
        <w:rPr>
          <w:noProof/>
        </w:rPr>
        <w:t>11</w:t>
      </w:r>
      <w:r w:rsidR="003548F3">
        <w:rPr>
          <w:color w:val="000000" w:themeColor="text1"/>
        </w:rPr>
        <w:fldChar w:fldCharType="end"/>
      </w:r>
      <w:r w:rsidR="003548F3">
        <w:rPr>
          <w:color w:val="000000" w:themeColor="text1"/>
        </w:rPr>
        <w:t>).</w:t>
      </w:r>
      <w:r w:rsidR="005C626F">
        <w:rPr>
          <w:color w:val="000000" w:themeColor="text1"/>
        </w:rPr>
        <w:t xml:space="preserve"> </w:t>
      </w:r>
      <w:r w:rsidR="00380408">
        <w:rPr>
          <w:color w:val="000000" w:themeColor="text1"/>
        </w:rPr>
        <w:t xml:space="preserve">Overall, the commentary concluded </w:t>
      </w:r>
      <w:r w:rsidR="00CB6375">
        <w:rPr>
          <w:color w:val="000000" w:themeColor="text1"/>
        </w:rPr>
        <w:t xml:space="preserve">that </w:t>
      </w:r>
      <w:r w:rsidR="00A70C3C">
        <w:rPr>
          <w:color w:val="000000" w:themeColor="text1"/>
        </w:rPr>
        <w:t>ASCS ± STSG appears to be as safe as STSG alone</w:t>
      </w:r>
      <w:r w:rsidR="00CB6375">
        <w:rPr>
          <w:color w:val="000000" w:themeColor="text1"/>
        </w:rPr>
        <w:t>,</w:t>
      </w:r>
      <w:r w:rsidR="00A70C3C">
        <w:rPr>
          <w:color w:val="000000" w:themeColor="text1"/>
        </w:rPr>
        <w:t xml:space="preserve"> with no reported </w:t>
      </w:r>
      <w:r w:rsidR="00CB6375">
        <w:rPr>
          <w:color w:val="000000" w:themeColor="text1"/>
        </w:rPr>
        <w:t>SAEs</w:t>
      </w:r>
      <w:r w:rsidR="00A70C3C" w:rsidRPr="00A70C3C">
        <w:rPr>
          <w:color w:val="000000" w:themeColor="text1"/>
        </w:rPr>
        <w:t xml:space="preserve"> specifically attributable to use of the RECELL</w:t>
      </w:r>
      <w:r w:rsidR="008E7FE9">
        <w:rPr>
          <w:color w:val="000000" w:themeColor="text1"/>
        </w:rPr>
        <w:t>®</w:t>
      </w:r>
      <w:r w:rsidR="00A70C3C" w:rsidRPr="00A70C3C">
        <w:rPr>
          <w:color w:val="000000" w:themeColor="text1"/>
        </w:rPr>
        <w:t xml:space="preserve"> device and no differences in the rate and severity of the prespecified safety events reported in the CTP001-6 study.</w:t>
      </w:r>
      <w:r w:rsidR="00514CEA">
        <w:rPr>
          <w:color w:val="000000" w:themeColor="text1"/>
        </w:rPr>
        <w:t xml:space="preserve"> </w:t>
      </w:r>
      <w:r w:rsidR="00514CEA">
        <w:t xml:space="preserve">As such, the impact of this exclusion on the incremental estimates may be limited. </w:t>
      </w:r>
    </w:p>
    <w:p w14:paraId="489F819B" w14:textId="441B230B" w:rsidR="00FE5E8A" w:rsidRDefault="00CE675A" w:rsidP="008C7E58">
      <w:pPr>
        <w:rPr>
          <w:color w:val="000000" w:themeColor="text1"/>
        </w:rPr>
      </w:pPr>
      <w:r>
        <w:t>A</w:t>
      </w:r>
      <w:r w:rsidR="00E1631B">
        <w:t xml:space="preserve"> retrospective review by Elkady et al</w:t>
      </w:r>
      <w:r w:rsidR="00FC702B">
        <w:t>.</w:t>
      </w:r>
      <w:r w:rsidR="00E1631B">
        <w:t xml:space="preserve"> (2024)</w:t>
      </w:r>
      <w:r w:rsidR="00E1631B">
        <w:rPr>
          <w:rStyle w:val="FootnoteReference"/>
        </w:rPr>
        <w:footnoteReference w:id="19"/>
      </w:r>
      <w:r w:rsidR="00E1631B">
        <w:t xml:space="preserve"> (included in the ADAR’s systematic review of economic literature) demonstrated a significant reduction in postoperative complications when comparing </w:t>
      </w:r>
      <w:r w:rsidR="00E1631B">
        <w:rPr>
          <w:color w:val="000000" w:themeColor="text1"/>
        </w:rPr>
        <w:t>ASCS ± STSG to STS</w:t>
      </w:r>
      <w:r w:rsidR="00E1631B" w:rsidRPr="00BC2B06">
        <w:rPr>
          <w:color w:val="000000" w:themeColor="text1"/>
        </w:rPr>
        <w:t>G alone</w:t>
      </w:r>
      <w:r w:rsidR="00E1631B">
        <w:rPr>
          <w:color w:val="000000" w:themeColor="text1"/>
        </w:rPr>
        <w:t xml:space="preserve"> in a US cohort of patients with burns </w:t>
      </w:r>
      <w:r w:rsidR="00E1631B" w:rsidRPr="00BC2B06">
        <w:rPr>
          <w:color w:val="000000" w:themeColor="text1"/>
        </w:rPr>
        <w:t xml:space="preserve">≥10% TBSA </w:t>
      </w:r>
      <w:r w:rsidR="00E1631B">
        <w:rPr>
          <w:color w:val="000000" w:themeColor="text1"/>
        </w:rPr>
        <w:t>(median %TBSA 18.0 vs 16.3, respectively). Th</w:t>
      </w:r>
      <w:r w:rsidR="00C2286F">
        <w:rPr>
          <w:color w:val="000000" w:themeColor="text1"/>
        </w:rPr>
        <w:t>e</w:t>
      </w:r>
      <w:r w:rsidR="00E1631B">
        <w:rPr>
          <w:color w:val="000000" w:themeColor="text1"/>
        </w:rPr>
        <w:t xml:space="preserve"> study also demonstrated reductions in LOS</w:t>
      </w:r>
      <w:r w:rsidR="00CC572A">
        <w:rPr>
          <w:color w:val="000000" w:themeColor="text1"/>
        </w:rPr>
        <w:t xml:space="preserve"> and</w:t>
      </w:r>
      <w:r w:rsidR="00E1631B">
        <w:rPr>
          <w:color w:val="000000" w:themeColor="text1"/>
        </w:rPr>
        <w:t xml:space="preserve"> number of surgical procedures associated with ASCS ± STSG but is limited by its retrospective nature. </w:t>
      </w:r>
      <w:r w:rsidR="00864107">
        <w:rPr>
          <w:color w:val="000000" w:themeColor="text1"/>
        </w:rPr>
        <w:t>The a</w:t>
      </w:r>
      <w:r w:rsidR="00E1631B">
        <w:rPr>
          <w:color w:val="000000" w:themeColor="text1"/>
        </w:rPr>
        <w:t xml:space="preserve">uthors attributed the reduced complications to </w:t>
      </w:r>
      <w:r w:rsidR="00864107">
        <w:rPr>
          <w:color w:val="000000" w:themeColor="text1"/>
        </w:rPr>
        <w:t xml:space="preserve">a </w:t>
      </w:r>
      <w:r w:rsidR="00E1631B">
        <w:rPr>
          <w:color w:val="000000" w:themeColor="text1"/>
        </w:rPr>
        <w:t>reduction in</w:t>
      </w:r>
      <w:r w:rsidR="00E1631B" w:rsidDel="00865C21">
        <w:rPr>
          <w:color w:val="000000" w:themeColor="text1"/>
        </w:rPr>
        <w:t xml:space="preserve"> </w:t>
      </w:r>
      <w:r w:rsidR="003B44EF">
        <w:rPr>
          <w:color w:val="000000" w:themeColor="text1"/>
        </w:rPr>
        <w:t xml:space="preserve">the </w:t>
      </w:r>
      <w:r w:rsidR="00E1631B">
        <w:rPr>
          <w:color w:val="000000" w:themeColor="text1"/>
        </w:rPr>
        <w:t>number of surgical procedures and LOS</w:t>
      </w:r>
      <w:r w:rsidR="00865C21">
        <w:rPr>
          <w:color w:val="000000" w:themeColor="text1"/>
        </w:rPr>
        <w:t>,</w:t>
      </w:r>
      <w:r w:rsidR="00E1631B">
        <w:rPr>
          <w:color w:val="000000" w:themeColor="text1"/>
        </w:rPr>
        <w:t xml:space="preserve"> effectively minimising </w:t>
      </w:r>
      <w:r w:rsidR="007F0F43">
        <w:rPr>
          <w:color w:val="000000" w:themeColor="text1"/>
        </w:rPr>
        <w:t xml:space="preserve">the </w:t>
      </w:r>
      <w:r w:rsidR="00E1631B">
        <w:rPr>
          <w:color w:val="000000" w:themeColor="text1"/>
        </w:rPr>
        <w:t xml:space="preserve">risk of </w:t>
      </w:r>
      <w:r w:rsidR="00CC572A">
        <w:rPr>
          <w:color w:val="000000" w:themeColor="text1"/>
        </w:rPr>
        <w:t>complications</w:t>
      </w:r>
      <w:r w:rsidR="00E1631B">
        <w:rPr>
          <w:color w:val="000000" w:themeColor="text1"/>
        </w:rPr>
        <w:t>.</w:t>
      </w:r>
    </w:p>
    <w:p w14:paraId="3421F09F" w14:textId="0B460FF2" w:rsidR="001278C8" w:rsidRPr="008737A9" w:rsidRDefault="001278C8" w:rsidP="00A05663">
      <w:pPr>
        <w:pStyle w:val="Heading3"/>
      </w:pPr>
      <w:r w:rsidRPr="008737A9">
        <w:t xml:space="preserve">Results of the </w:t>
      </w:r>
      <w:r w:rsidR="00D0259B" w:rsidRPr="008737A9">
        <w:t>costing analysis</w:t>
      </w:r>
    </w:p>
    <w:p w14:paraId="12E2EED8" w14:textId="7F2BF612" w:rsidR="00955AC1" w:rsidRPr="00CB0C70" w:rsidRDefault="00A7303F" w:rsidP="008C7E58">
      <w:bookmarkStart w:id="72" w:name="_Ref194480885"/>
      <w:r w:rsidRPr="00CB0C70">
        <w:t xml:space="preserve">The </w:t>
      </w:r>
      <w:r w:rsidR="006E6427" w:rsidRPr="00CB0C70">
        <w:t xml:space="preserve">weighted </w:t>
      </w:r>
      <w:r w:rsidRPr="00CB0C70">
        <w:t>total estimated</w:t>
      </w:r>
      <w:r w:rsidR="000C2228" w:rsidRPr="00CB0C70">
        <w:t xml:space="preserve"> </w:t>
      </w:r>
      <w:r w:rsidR="006E6427" w:rsidRPr="00CB0C70">
        <w:t xml:space="preserve">cost </w:t>
      </w:r>
      <w:r w:rsidR="000C2228" w:rsidRPr="00CB0C70">
        <w:t>per patient</w:t>
      </w:r>
      <w:r w:rsidRPr="00CB0C70">
        <w:t xml:space="preserve"> </w:t>
      </w:r>
      <w:r w:rsidR="00930287">
        <w:t>from</w:t>
      </w:r>
      <w:r w:rsidRPr="00CB0C70">
        <w:t xml:space="preserve"> </w:t>
      </w:r>
      <w:r w:rsidR="00BA0036">
        <w:t>the</w:t>
      </w:r>
      <w:r w:rsidR="00BA0036" w:rsidRPr="00CB0C70">
        <w:t xml:space="preserve"> </w:t>
      </w:r>
      <w:r w:rsidR="00930287">
        <w:t>‘MBS and</w:t>
      </w:r>
      <w:r w:rsidRPr="00CB0C70">
        <w:t xml:space="preserve"> private health</w:t>
      </w:r>
      <w:r w:rsidR="00422DDE" w:rsidRPr="00CB0C70">
        <w:t>care</w:t>
      </w:r>
      <w:r w:rsidRPr="00CB0C70">
        <w:t xml:space="preserve"> system</w:t>
      </w:r>
      <w:r w:rsidR="00422DDE" w:rsidRPr="00CB0C70">
        <w:t xml:space="preserve"> perspective</w:t>
      </w:r>
      <w:r w:rsidR="00930287">
        <w:t>’ considered in the ADAR</w:t>
      </w:r>
      <w:r w:rsidRPr="00CB0C70">
        <w:t xml:space="preserve"> for ASCS ± STSG </w:t>
      </w:r>
      <w:r w:rsidR="00FA6C38" w:rsidRPr="00CB0C70">
        <w:t xml:space="preserve">and STSG </w:t>
      </w:r>
      <w:r w:rsidR="00CD7E8A" w:rsidRPr="00CB0C70">
        <w:t xml:space="preserve">was $41,898.04 </w:t>
      </w:r>
      <w:r w:rsidR="000C2228" w:rsidRPr="00CB0C70">
        <w:t xml:space="preserve">and </w:t>
      </w:r>
      <w:r w:rsidR="00FC3DAC" w:rsidRPr="00CB0C70">
        <w:t>$65,966.15</w:t>
      </w:r>
      <w:r w:rsidR="009C0DD6">
        <w:t>,</w:t>
      </w:r>
      <w:r w:rsidR="00FA6C38" w:rsidRPr="00CB0C70">
        <w:t xml:space="preserve"> respectively</w:t>
      </w:r>
      <w:r w:rsidR="00FC3DAC" w:rsidRPr="00CB0C70">
        <w:t xml:space="preserve">, with </w:t>
      </w:r>
      <w:r w:rsidR="009C0DD6">
        <w:t>a</w:t>
      </w:r>
      <w:r w:rsidR="009C0DD6" w:rsidRPr="00CB0C70">
        <w:t xml:space="preserve"> </w:t>
      </w:r>
      <w:r w:rsidR="00FC3DAC" w:rsidRPr="00CB0C70">
        <w:t xml:space="preserve">saving of </w:t>
      </w:r>
      <w:r w:rsidR="0073224A" w:rsidRPr="00CB0C70">
        <w:t>$24,068.10</w:t>
      </w:r>
      <w:r w:rsidR="0027435A" w:rsidRPr="00CB0C70">
        <w:t xml:space="preserve"> per patient</w:t>
      </w:r>
      <w:r w:rsidR="006D034A">
        <w:t xml:space="preserve"> for the combined treatment</w:t>
      </w:r>
      <w:r w:rsidR="0073224A" w:rsidRPr="00CB0C70">
        <w:t xml:space="preserve">. </w:t>
      </w:r>
      <w:r w:rsidR="00677625" w:rsidRPr="00CB0C70">
        <w:t>Th</w:t>
      </w:r>
      <w:r w:rsidR="00B00DA4" w:rsidRPr="00CB0C70">
        <w:t>is</w:t>
      </w:r>
      <w:r w:rsidR="00677625" w:rsidRPr="00CB0C70">
        <w:t xml:space="preserve"> cost</w:t>
      </w:r>
      <w:r w:rsidR="009C0DD6">
        <w:t xml:space="preserve"> </w:t>
      </w:r>
      <w:r w:rsidR="00677625" w:rsidRPr="00CB0C70">
        <w:t xml:space="preserve">saving was largely driven by </w:t>
      </w:r>
      <w:r w:rsidR="00E96F9F" w:rsidRPr="00CB0C70">
        <w:t xml:space="preserve">savings </w:t>
      </w:r>
      <w:r w:rsidR="006B1F0D" w:rsidRPr="00CB0C70">
        <w:t>in the treatment of</w:t>
      </w:r>
      <w:r w:rsidR="00677625" w:rsidRPr="00CB0C70" w:rsidDel="005B75C9">
        <w:t xml:space="preserve"> </w:t>
      </w:r>
      <w:r w:rsidR="00F451BF" w:rsidRPr="00CB0C70">
        <w:t>cases</w:t>
      </w:r>
      <w:r w:rsidR="0002376E" w:rsidRPr="00CB0C70">
        <w:t xml:space="preserve"> with high </w:t>
      </w:r>
      <w:r w:rsidR="0030036D">
        <w:t>%</w:t>
      </w:r>
      <w:r w:rsidR="0002376E" w:rsidRPr="00CB0C70">
        <w:t>TBSA</w:t>
      </w:r>
      <w:r w:rsidR="00F451BF" w:rsidRPr="00CB0C70">
        <w:t xml:space="preserve"> burn</w:t>
      </w:r>
      <w:r w:rsidR="00531C1C">
        <w:t>ed</w:t>
      </w:r>
      <w:r w:rsidR="006C55F0">
        <w:t>.</w:t>
      </w:r>
      <w:r w:rsidR="006C55F0" w:rsidRPr="00CB0C70">
        <w:t xml:space="preserve"> </w:t>
      </w:r>
      <w:r w:rsidR="006C55F0" w:rsidRPr="00CB0C70">
        <w:lastRenderedPageBreak/>
        <w:t>T</w:t>
      </w:r>
      <w:r w:rsidR="006B1F0D" w:rsidRPr="00CB0C70">
        <w:t>hose</w:t>
      </w:r>
      <w:r w:rsidR="00527FC1" w:rsidRPr="00CB0C70">
        <w:t xml:space="preserve"> with</w:t>
      </w:r>
      <w:r w:rsidR="00677625" w:rsidRPr="00CB0C70" w:rsidDel="005B75C9">
        <w:t xml:space="preserve"> </w:t>
      </w:r>
      <w:r w:rsidR="00BA2828">
        <w:t>a TBSA of≥40%, despite compris</w:t>
      </w:r>
      <w:r w:rsidR="006B1F0D" w:rsidRPr="00CB0C70">
        <w:t xml:space="preserve">ing </w:t>
      </w:r>
      <w:r w:rsidR="00531C1C">
        <w:t xml:space="preserve">only </w:t>
      </w:r>
      <w:r w:rsidR="006B1F0D" w:rsidRPr="00CB0C70">
        <w:t>20% of the total cohort,</w:t>
      </w:r>
      <w:r w:rsidR="007568A9" w:rsidRPr="00CB0C70">
        <w:t xml:space="preserve"> </w:t>
      </w:r>
      <w:r w:rsidR="00953666" w:rsidRPr="00CB0C70">
        <w:t xml:space="preserve">contributed </w:t>
      </w:r>
      <w:r w:rsidR="003F14BB" w:rsidRPr="00CB0C70">
        <w:t>70% of the total cost savings</w:t>
      </w:r>
      <w:r w:rsidR="001449B9">
        <w:t xml:space="preserve"> (</w:t>
      </w:r>
      <w:r w:rsidR="001449B9">
        <w:fldChar w:fldCharType="begin"/>
      </w:r>
      <w:r w:rsidR="001449B9">
        <w:instrText xml:space="preserve"> REF _Ref194579338 \h  \* MERGEFORMAT </w:instrText>
      </w:r>
      <w:r w:rsidR="001449B9">
        <w:fldChar w:fldCharType="separate"/>
      </w:r>
      <w:r w:rsidR="00487E4A">
        <w:t>Table</w:t>
      </w:r>
      <w:r w:rsidR="00487E4A" w:rsidRPr="004C18BB">
        <w:t> </w:t>
      </w:r>
      <w:r w:rsidR="00487E4A">
        <w:t>14</w:t>
      </w:r>
      <w:r w:rsidR="001449B9">
        <w:fldChar w:fldCharType="end"/>
      </w:r>
      <w:r w:rsidR="001449B9">
        <w:t>)</w:t>
      </w:r>
      <w:r w:rsidR="00C817FD" w:rsidRPr="00CB0C70">
        <w:t xml:space="preserve">. </w:t>
      </w:r>
      <w:r w:rsidR="003C520A" w:rsidRPr="00CB0C70">
        <w:t>For each TBSA subgroup (i.e. 20</w:t>
      </w:r>
      <w:r w:rsidR="00531C1C">
        <w:t>–</w:t>
      </w:r>
      <w:r w:rsidR="003C520A" w:rsidRPr="00CB0C70">
        <w:t>29%, 30</w:t>
      </w:r>
      <w:r w:rsidR="00531C1C">
        <w:t>–</w:t>
      </w:r>
      <w:r w:rsidR="003C520A" w:rsidRPr="00CB0C70">
        <w:t>39% and ≥40%), per</w:t>
      </w:r>
      <w:r w:rsidR="00E60E58">
        <w:t>-</w:t>
      </w:r>
      <w:r w:rsidR="003C520A" w:rsidRPr="00CB0C70">
        <w:t xml:space="preserve">patient cost savings </w:t>
      </w:r>
      <w:r w:rsidR="00ED7488" w:rsidRPr="00CB0C70">
        <w:t xml:space="preserve">under the base case assumptions </w:t>
      </w:r>
      <w:r w:rsidR="00D9219A" w:rsidRPr="00CB0C70">
        <w:t xml:space="preserve">were estimated at </w:t>
      </w:r>
      <w:r w:rsidR="00531C1C">
        <w:t>−</w:t>
      </w:r>
      <w:r w:rsidR="00D9219A" w:rsidRPr="00CB0C70">
        <w:t>$</w:t>
      </w:r>
      <w:r w:rsidR="00D97643" w:rsidRPr="00CB0C70">
        <w:t xml:space="preserve">792.66, </w:t>
      </w:r>
      <w:r w:rsidR="00531C1C">
        <w:t>−</w:t>
      </w:r>
      <w:r w:rsidR="00D97643" w:rsidRPr="00CB0C70">
        <w:t>$</w:t>
      </w:r>
      <w:r w:rsidR="00E9786B" w:rsidRPr="00CB0C70">
        <w:t xml:space="preserve">26,516.61 and </w:t>
      </w:r>
      <w:r w:rsidR="00531C1C">
        <w:t>−</w:t>
      </w:r>
      <w:r w:rsidR="00E9786B" w:rsidRPr="00CB0C70">
        <w:t>$</w:t>
      </w:r>
      <w:r w:rsidR="00DC4CEC" w:rsidRPr="00CB0C70">
        <w:t>69.364.99, respectively</w:t>
      </w:r>
      <w:r w:rsidR="00785090" w:rsidRPr="00CB0C70">
        <w:t xml:space="preserve"> (</w:t>
      </w:r>
      <w:r w:rsidR="001449B9">
        <w:fldChar w:fldCharType="begin"/>
      </w:r>
      <w:r w:rsidR="001449B9">
        <w:instrText xml:space="preserve"> REF _Ref194579338 \h  \* MERGEFORMAT </w:instrText>
      </w:r>
      <w:r w:rsidR="001449B9">
        <w:fldChar w:fldCharType="separate"/>
      </w:r>
      <w:r w:rsidR="00487E4A">
        <w:t>Table</w:t>
      </w:r>
      <w:r w:rsidR="00487E4A" w:rsidRPr="004C18BB">
        <w:t> </w:t>
      </w:r>
      <w:r w:rsidR="00487E4A">
        <w:t>14</w:t>
      </w:r>
      <w:r w:rsidR="001449B9">
        <w:fldChar w:fldCharType="end"/>
      </w:r>
      <w:bookmarkEnd w:id="72"/>
      <w:r w:rsidR="00AA3CB5" w:rsidRPr="00CB0C70">
        <w:t>)</w:t>
      </w:r>
      <w:r w:rsidR="00DC4CEC" w:rsidRPr="00CB0C70">
        <w:t>.</w:t>
      </w:r>
    </w:p>
    <w:p w14:paraId="1B770181" w14:textId="324BF2AA" w:rsidR="002F32FB" w:rsidRPr="004C18BB" w:rsidRDefault="0041116F" w:rsidP="0041116F">
      <w:pPr>
        <w:pStyle w:val="Caption"/>
      </w:pPr>
      <w:bookmarkStart w:id="73" w:name="_Ref194579338"/>
      <w:r>
        <w:t>Table</w:t>
      </w:r>
      <w:r w:rsidR="00441242" w:rsidRPr="004C18BB">
        <w:t> </w:t>
      </w:r>
      <w:r>
        <w:fldChar w:fldCharType="begin"/>
      </w:r>
      <w:r>
        <w:instrText>SEQ Table \* ARABIC</w:instrText>
      </w:r>
      <w:r>
        <w:fldChar w:fldCharType="separate"/>
      </w:r>
      <w:r w:rsidR="00487E4A">
        <w:rPr>
          <w:noProof/>
        </w:rPr>
        <w:t>14</w:t>
      </w:r>
      <w:r>
        <w:fldChar w:fldCharType="end"/>
      </w:r>
      <w:bookmarkStart w:id="74" w:name="Title_Table6"/>
      <w:bookmarkEnd w:id="73"/>
      <w:bookmarkEnd w:id="74"/>
      <w:r w:rsidR="00B02163">
        <w:t>:</w:t>
      </w:r>
      <w:r w:rsidR="00C825ED" w:rsidRPr="00937401">
        <w:t xml:space="preserve"> </w:t>
      </w:r>
      <w:r w:rsidR="00C825ED">
        <w:t>Base</w:t>
      </w:r>
      <w:r w:rsidR="002843C4" w:rsidRPr="008737A9">
        <w:t xml:space="preserve"> case r</w:t>
      </w:r>
      <w:r w:rsidR="002F32FB" w:rsidRPr="008737A9">
        <w:t>esults</w:t>
      </w:r>
      <w:r w:rsidR="0005184B" w:rsidRPr="008737A9">
        <w:t xml:space="preserve"> of cost to MBS and private health system</w:t>
      </w:r>
      <w:r w:rsidR="00285BC7">
        <w:t>, disaggregated by %TBSA</w:t>
      </w:r>
    </w:p>
    <w:tbl>
      <w:tblPr>
        <w:tblW w:w="0" w:type="auto"/>
        <w:tblLayout w:type="fixed"/>
        <w:tblLook w:val="04A0" w:firstRow="1" w:lastRow="0" w:firstColumn="1" w:lastColumn="0" w:noHBand="0" w:noVBand="1"/>
      </w:tblPr>
      <w:tblGrid>
        <w:gridCol w:w="1502"/>
        <w:gridCol w:w="1022"/>
        <w:gridCol w:w="1623"/>
        <w:gridCol w:w="1623"/>
        <w:gridCol w:w="1623"/>
        <w:gridCol w:w="1622"/>
      </w:tblGrid>
      <w:tr w:rsidR="00C17D49" w:rsidRPr="000D4886" w14:paraId="0AFFA613" w14:textId="77777777" w:rsidTr="344F0477">
        <w:trPr>
          <w:trHeight w:val="300"/>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64B1B4" w14:textId="1CEBFEFF" w:rsidR="004101A3" w:rsidRDefault="004101A3" w:rsidP="344F0477">
            <w:pPr>
              <w:spacing w:before="40" w:after="40"/>
            </w:pPr>
            <w:bookmarkStart w:id="75" w:name="_Hlk68276590"/>
            <w:r w:rsidRPr="344F0477">
              <w:rPr>
                <w:rFonts w:ascii="Arial Narrow" w:eastAsia="Arial Narrow" w:hAnsi="Arial Narrow" w:cs="Arial Narrow"/>
                <w:b/>
                <w:color w:val="000000" w:themeColor="text1"/>
                <w:sz w:val="20"/>
                <w:szCs w:val="20"/>
              </w:rPr>
              <w:t>TBSA interval</w:t>
            </w:r>
          </w:p>
        </w:tc>
        <w:tc>
          <w:tcPr>
            <w:tcW w:w="10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E0E530" w14:textId="75FD3F69" w:rsidR="00673E1A" w:rsidRDefault="00673E1A" w:rsidP="344F0477">
            <w:pPr>
              <w:spacing w:before="40" w:after="40"/>
            </w:pPr>
            <w:r w:rsidRPr="344F0477">
              <w:rPr>
                <w:rFonts w:ascii="Arial Narrow" w:eastAsia="Arial Narrow" w:hAnsi="Arial Narrow" w:cs="Arial Narrow"/>
                <w:b/>
                <w:color w:val="000000" w:themeColor="text1"/>
                <w:sz w:val="20"/>
                <w:szCs w:val="20"/>
              </w:rPr>
              <w:t>Incidence</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C7E138" w14:textId="54D163FC" w:rsidR="004101A3" w:rsidRDefault="00673E1A" w:rsidP="344F0477">
            <w:pPr>
              <w:spacing w:before="40" w:after="40"/>
            </w:pPr>
            <w:r w:rsidRPr="344F0477">
              <w:rPr>
                <w:rFonts w:ascii="Arial Narrow" w:eastAsia="Arial Narrow" w:hAnsi="Arial Narrow" w:cs="Arial Narrow"/>
                <w:b/>
                <w:color w:val="000000" w:themeColor="text1"/>
                <w:sz w:val="20"/>
                <w:szCs w:val="20"/>
              </w:rPr>
              <w:t>Cost</w:t>
            </w:r>
          </w:p>
          <w:p w14:paraId="0F301FC8" w14:textId="51155229" w:rsidR="004101A3" w:rsidRDefault="004101A3" w:rsidP="344F0477">
            <w:pPr>
              <w:spacing w:before="40" w:after="40"/>
            </w:pPr>
            <w:r w:rsidRPr="344F0477">
              <w:rPr>
                <w:rFonts w:ascii="Arial Narrow" w:eastAsia="Arial Narrow" w:hAnsi="Arial Narrow" w:cs="Arial Narrow"/>
                <w:b/>
                <w:color w:val="000000" w:themeColor="text1"/>
                <w:sz w:val="20"/>
                <w:szCs w:val="20"/>
              </w:rPr>
              <w:t>ASCS ± STSG</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31D8FEE" w14:textId="6D492722" w:rsidR="004101A3" w:rsidRDefault="00673E1A" w:rsidP="344F0477">
            <w:pPr>
              <w:spacing w:before="40" w:after="40"/>
            </w:pPr>
            <w:r w:rsidRPr="344F0477">
              <w:rPr>
                <w:rFonts w:ascii="Arial Narrow" w:eastAsia="Arial Narrow" w:hAnsi="Arial Narrow" w:cs="Arial Narrow"/>
                <w:b/>
                <w:color w:val="000000" w:themeColor="text1"/>
                <w:sz w:val="20"/>
                <w:szCs w:val="20"/>
              </w:rPr>
              <w:t>Cost</w:t>
            </w:r>
          </w:p>
          <w:p w14:paraId="40AE7F91" w14:textId="7CBC4975" w:rsidR="004101A3" w:rsidRDefault="004101A3" w:rsidP="344F0477">
            <w:pPr>
              <w:spacing w:before="40" w:after="40"/>
            </w:pPr>
            <w:r w:rsidRPr="344F0477">
              <w:rPr>
                <w:rFonts w:ascii="Arial Narrow" w:eastAsia="Arial Narrow" w:hAnsi="Arial Narrow" w:cs="Arial Narrow"/>
                <w:b/>
                <w:color w:val="000000" w:themeColor="text1"/>
                <w:sz w:val="20"/>
                <w:szCs w:val="20"/>
              </w:rPr>
              <w:t>STSG</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4C0D711" w14:textId="4F4B857E" w:rsidR="004101A3" w:rsidRDefault="004101A3" w:rsidP="344F0477">
            <w:pPr>
              <w:spacing w:before="40" w:after="40"/>
            </w:pPr>
            <w:r w:rsidRPr="344F0477">
              <w:rPr>
                <w:rFonts w:ascii="Arial Narrow" w:eastAsia="Arial Narrow" w:hAnsi="Arial Narrow" w:cs="Arial Narrow"/>
                <w:b/>
                <w:color w:val="000000" w:themeColor="text1"/>
                <w:sz w:val="20"/>
                <w:szCs w:val="20"/>
              </w:rPr>
              <w:t>Incremental cost per patient</w:t>
            </w:r>
          </w:p>
        </w:tc>
        <w:tc>
          <w:tcPr>
            <w:tcW w:w="16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60A1A1" w14:textId="0140739A" w:rsidR="004101A3" w:rsidRDefault="001B316A" w:rsidP="344F0477">
            <w:pPr>
              <w:spacing w:before="40" w:after="40"/>
            </w:pPr>
            <w:r w:rsidRPr="344F0477">
              <w:rPr>
                <w:rFonts w:ascii="Arial Narrow" w:eastAsia="Arial Narrow" w:hAnsi="Arial Narrow" w:cs="Arial Narrow"/>
                <w:b/>
                <w:color w:val="000000" w:themeColor="text1"/>
                <w:sz w:val="20"/>
                <w:szCs w:val="20"/>
              </w:rPr>
              <w:t xml:space="preserve">% of total </w:t>
            </w:r>
          </w:p>
        </w:tc>
      </w:tr>
      <w:tr w:rsidR="000D4886" w:rsidRPr="000D4886" w14:paraId="41F87DF6" w14:textId="77777777" w:rsidTr="344F0477">
        <w:trPr>
          <w:trHeight w:val="300"/>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55C4D78" w14:textId="119FD367" w:rsidR="00C4695B" w:rsidRPr="004C18BB" w:rsidRDefault="00C4695B" w:rsidP="344F0477">
            <w:pPr>
              <w:spacing w:before="40" w:after="40"/>
            </w:pPr>
            <w:r w:rsidRPr="344F0477">
              <w:rPr>
                <w:rFonts w:ascii="Arial Narrow" w:eastAsia="Arial Narrow" w:hAnsi="Arial Narrow" w:cs="Arial Narrow"/>
                <w:sz w:val="20"/>
                <w:szCs w:val="20"/>
              </w:rPr>
              <w:t>20</w:t>
            </w:r>
            <w:r w:rsidR="002C05CD" w:rsidRPr="344F0477">
              <w:rPr>
                <w:rFonts w:ascii="Arial Narrow" w:eastAsia="Arial Narrow" w:hAnsi="Arial Narrow" w:cs="Arial Narrow"/>
                <w:sz w:val="20"/>
                <w:szCs w:val="20"/>
              </w:rPr>
              <w:t>–</w:t>
            </w:r>
            <w:r w:rsidRPr="344F0477">
              <w:rPr>
                <w:rFonts w:ascii="Arial Narrow" w:eastAsia="Arial Narrow" w:hAnsi="Arial Narrow" w:cs="Arial Narrow"/>
                <w:sz w:val="20"/>
                <w:szCs w:val="20"/>
              </w:rPr>
              <w:t>29%</w:t>
            </w:r>
          </w:p>
        </w:tc>
        <w:tc>
          <w:tcPr>
            <w:tcW w:w="10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EC213C" w14:textId="1F194ECE" w:rsidR="00673E1A" w:rsidRDefault="00673E1A" w:rsidP="344F0477">
            <w:pPr>
              <w:spacing w:before="40" w:after="40"/>
            </w:pPr>
            <w:r w:rsidRPr="344F0477">
              <w:rPr>
                <w:rFonts w:ascii="Arial Narrow" w:eastAsia="Arial Narrow" w:hAnsi="Arial Narrow" w:cs="Arial Narrow"/>
                <w:sz w:val="20"/>
                <w:szCs w:val="20"/>
              </w:rPr>
              <w:t>0.5</w:t>
            </w:r>
            <w:r w:rsidR="007133C0" w:rsidRPr="344F0477">
              <w:rPr>
                <w:rFonts w:ascii="Arial Narrow" w:eastAsia="Arial Narrow" w:hAnsi="Arial Narrow" w:cs="Arial Narrow"/>
                <w:sz w:val="20"/>
                <w:szCs w:val="20"/>
              </w:rPr>
              <w:t>0</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4CFD2AD" w14:textId="17A55481" w:rsidR="00C4695B" w:rsidRPr="004C18BB" w:rsidRDefault="00C4695B" w:rsidP="344F0477">
            <w:pPr>
              <w:spacing w:before="40" w:after="40"/>
            </w:pPr>
            <w:r w:rsidRPr="344F0477">
              <w:rPr>
                <w:rFonts w:ascii="Arial Narrow" w:eastAsia="Arial Narrow" w:hAnsi="Arial Narrow" w:cs="Arial Narrow"/>
                <w:sz w:val="20"/>
                <w:szCs w:val="20"/>
              </w:rPr>
              <w:t>$18,107.13</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FB39225" w14:textId="5B7F1439" w:rsidR="00C4695B" w:rsidRPr="004C18BB" w:rsidRDefault="00C4695B" w:rsidP="344F0477">
            <w:pPr>
              <w:spacing w:before="40" w:after="40"/>
            </w:pPr>
            <w:r w:rsidRPr="344F0477">
              <w:rPr>
                <w:rFonts w:ascii="Arial Narrow" w:eastAsia="Arial Narrow" w:hAnsi="Arial Narrow" w:cs="Arial Narrow"/>
                <w:sz w:val="20"/>
                <w:szCs w:val="20"/>
              </w:rPr>
              <w:t>$18,502.66</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96222D" w14:textId="3EBC1806" w:rsidR="00C4695B" w:rsidRPr="004C18BB" w:rsidRDefault="001844E9" w:rsidP="344F0477">
            <w:pPr>
              <w:spacing w:before="40" w:after="40"/>
            </w:pPr>
            <w:r w:rsidRPr="344F0477">
              <w:rPr>
                <w:rFonts w:ascii="Arial Narrow" w:eastAsia="Arial Narrow" w:hAnsi="Arial Narrow" w:cs="Arial Narrow"/>
                <w:sz w:val="20"/>
                <w:szCs w:val="20"/>
              </w:rPr>
              <w:t>−</w:t>
            </w:r>
            <w:r w:rsidR="00C4695B" w:rsidRPr="344F0477">
              <w:rPr>
                <w:rFonts w:ascii="Arial Narrow" w:eastAsia="Arial Narrow" w:hAnsi="Arial Narrow" w:cs="Arial Narrow"/>
                <w:sz w:val="20"/>
                <w:szCs w:val="20"/>
              </w:rPr>
              <w:t>$395.53</w:t>
            </w:r>
          </w:p>
        </w:tc>
        <w:tc>
          <w:tcPr>
            <w:tcW w:w="16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7A9EF6" w14:textId="66BC391E" w:rsidR="00C4695B" w:rsidRPr="00497EB5" w:rsidRDefault="00C4695B" w:rsidP="344F0477">
            <w:pPr>
              <w:spacing w:before="40" w:after="40"/>
            </w:pPr>
            <w:r w:rsidRPr="344F0477">
              <w:rPr>
                <w:rFonts w:ascii="Arial Narrow" w:eastAsia="Arial Narrow" w:hAnsi="Arial Narrow" w:cs="Arial Narrow"/>
                <w:sz w:val="20"/>
                <w:szCs w:val="20"/>
              </w:rPr>
              <w:t>1.64%</w:t>
            </w:r>
          </w:p>
        </w:tc>
      </w:tr>
      <w:tr w:rsidR="000D4886" w:rsidRPr="000D4886" w14:paraId="6194C155" w14:textId="77777777" w:rsidTr="344F0477">
        <w:trPr>
          <w:trHeight w:val="300"/>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40B94B7" w14:textId="1C71C468" w:rsidR="00C4695B" w:rsidRPr="004C18BB" w:rsidRDefault="00C4695B" w:rsidP="344F0477">
            <w:pPr>
              <w:spacing w:before="40" w:after="40"/>
            </w:pPr>
            <w:r w:rsidRPr="344F0477">
              <w:rPr>
                <w:rFonts w:ascii="Arial Narrow" w:eastAsia="Arial Narrow" w:hAnsi="Arial Narrow" w:cs="Arial Narrow"/>
                <w:sz w:val="20"/>
                <w:szCs w:val="20"/>
              </w:rPr>
              <w:t>30</w:t>
            </w:r>
            <w:r w:rsidR="002C05CD" w:rsidRPr="344F0477">
              <w:rPr>
                <w:rFonts w:ascii="Arial Narrow" w:eastAsia="Arial Narrow" w:hAnsi="Arial Narrow" w:cs="Arial Narrow"/>
                <w:sz w:val="20"/>
                <w:szCs w:val="20"/>
              </w:rPr>
              <w:t>–</w:t>
            </w:r>
            <w:r w:rsidRPr="344F0477">
              <w:rPr>
                <w:rFonts w:ascii="Arial Narrow" w:eastAsia="Arial Narrow" w:hAnsi="Arial Narrow" w:cs="Arial Narrow"/>
                <w:sz w:val="20"/>
                <w:szCs w:val="20"/>
              </w:rPr>
              <w:t>39%</w:t>
            </w:r>
          </w:p>
        </w:tc>
        <w:tc>
          <w:tcPr>
            <w:tcW w:w="10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AF910B" w14:textId="06D104C5" w:rsidR="00673E1A" w:rsidRDefault="00673E1A" w:rsidP="344F0477">
            <w:pPr>
              <w:spacing w:before="40" w:after="40"/>
            </w:pPr>
            <w:r w:rsidRPr="344F0477">
              <w:rPr>
                <w:rFonts w:ascii="Arial Narrow" w:eastAsia="Arial Narrow" w:hAnsi="Arial Narrow" w:cs="Arial Narrow"/>
                <w:sz w:val="20"/>
                <w:szCs w:val="20"/>
              </w:rPr>
              <w:t>0.</w:t>
            </w:r>
            <w:r w:rsidR="007133C0" w:rsidRPr="344F0477">
              <w:rPr>
                <w:rFonts w:ascii="Arial Narrow" w:eastAsia="Arial Narrow" w:hAnsi="Arial Narrow" w:cs="Arial Narrow"/>
                <w:sz w:val="20"/>
                <w:szCs w:val="20"/>
              </w:rPr>
              <w:t>26</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A9F5D4" w14:textId="7B3BF401" w:rsidR="00C4695B" w:rsidRPr="004C18BB" w:rsidRDefault="00C4695B" w:rsidP="344F0477">
            <w:pPr>
              <w:spacing w:before="40" w:after="40"/>
            </w:pPr>
            <w:r w:rsidRPr="344F0477">
              <w:rPr>
                <w:rFonts w:ascii="Arial Narrow" w:eastAsia="Arial Narrow" w:hAnsi="Arial Narrow" w:cs="Arial Narrow"/>
                <w:sz w:val="20"/>
                <w:szCs w:val="20"/>
              </w:rPr>
              <w:t>$8,646.41</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45B549" w14:textId="20C29FB9" w:rsidR="00C4695B" w:rsidRPr="004C18BB" w:rsidRDefault="00C4695B" w:rsidP="344F0477">
            <w:pPr>
              <w:spacing w:before="40" w:after="40"/>
            </w:pPr>
            <w:r w:rsidRPr="344F0477">
              <w:rPr>
                <w:rFonts w:ascii="Arial Narrow" w:eastAsia="Arial Narrow" w:hAnsi="Arial Narrow" w:cs="Arial Narrow"/>
                <w:sz w:val="20"/>
                <w:szCs w:val="20"/>
              </w:rPr>
              <w:t>$15,503.23</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B069101" w14:textId="4C26FCA3" w:rsidR="00C4695B" w:rsidRPr="004C18BB" w:rsidRDefault="001844E9" w:rsidP="344F0477">
            <w:pPr>
              <w:spacing w:before="40" w:after="40"/>
            </w:pPr>
            <w:r w:rsidRPr="344F0477">
              <w:rPr>
                <w:rFonts w:ascii="Arial Narrow" w:eastAsia="Arial Narrow" w:hAnsi="Arial Narrow" w:cs="Arial Narrow"/>
                <w:sz w:val="20"/>
                <w:szCs w:val="20"/>
              </w:rPr>
              <w:t>−</w:t>
            </w:r>
            <w:r w:rsidR="00C4695B" w:rsidRPr="344F0477">
              <w:rPr>
                <w:rFonts w:ascii="Arial Narrow" w:eastAsia="Arial Narrow" w:hAnsi="Arial Narrow" w:cs="Arial Narrow"/>
                <w:sz w:val="20"/>
                <w:szCs w:val="20"/>
              </w:rPr>
              <w:t>$6,856.82</w:t>
            </w:r>
          </w:p>
        </w:tc>
        <w:tc>
          <w:tcPr>
            <w:tcW w:w="16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73920E" w14:textId="234E3A95" w:rsidR="00C4695B" w:rsidRPr="00497EB5" w:rsidRDefault="00C4695B" w:rsidP="344F0477">
            <w:pPr>
              <w:spacing w:before="40" w:after="40"/>
            </w:pPr>
            <w:r w:rsidRPr="344F0477">
              <w:rPr>
                <w:rFonts w:ascii="Arial Narrow" w:eastAsia="Arial Narrow" w:hAnsi="Arial Narrow" w:cs="Arial Narrow"/>
                <w:sz w:val="20"/>
                <w:szCs w:val="20"/>
              </w:rPr>
              <w:t>28.49%</w:t>
            </w:r>
          </w:p>
        </w:tc>
      </w:tr>
      <w:tr w:rsidR="000D4886" w:rsidRPr="000D4886" w14:paraId="4A1791D5" w14:textId="77777777" w:rsidTr="344F0477">
        <w:trPr>
          <w:trHeight w:val="300"/>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3B9042" w14:textId="203CB17E" w:rsidR="00C4695B" w:rsidRPr="004C18BB" w:rsidRDefault="00C4695B" w:rsidP="344F0477">
            <w:pPr>
              <w:spacing w:before="40" w:after="40"/>
            </w:pPr>
            <w:r w:rsidRPr="344F0477">
              <w:rPr>
                <w:rFonts w:ascii="Arial Narrow" w:eastAsia="Arial Narrow" w:hAnsi="Arial Narrow" w:cs="Arial Narrow"/>
                <w:sz w:val="20"/>
                <w:szCs w:val="20"/>
              </w:rPr>
              <w:t>40%+</w:t>
            </w:r>
          </w:p>
        </w:tc>
        <w:tc>
          <w:tcPr>
            <w:tcW w:w="10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15F555" w14:textId="7CD2E119" w:rsidR="00673E1A" w:rsidRDefault="00673E1A" w:rsidP="344F0477">
            <w:pPr>
              <w:spacing w:before="40" w:after="40"/>
            </w:pPr>
            <w:r w:rsidRPr="344F0477">
              <w:rPr>
                <w:rFonts w:ascii="Arial Narrow" w:eastAsia="Arial Narrow" w:hAnsi="Arial Narrow" w:cs="Arial Narrow"/>
                <w:sz w:val="20"/>
                <w:szCs w:val="20"/>
              </w:rPr>
              <w:t>0.2</w:t>
            </w:r>
            <w:r w:rsidR="00805410" w:rsidRPr="344F0477">
              <w:rPr>
                <w:rFonts w:ascii="Arial Narrow" w:eastAsia="Arial Narrow" w:hAnsi="Arial Narrow" w:cs="Arial Narrow"/>
                <w:sz w:val="20"/>
                <w:szCs w:val="20"/>
              </w:rPr>
              <w:t>4</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9ACAE2" w14:textId="2284446D" w:rsidR="00C4695B" w:rsidRPr="004C18BB" w:rsidRDefault="00C4695B" w:rsidP="344F0477">
            <w:pPr>
              <w:spacing w:before="40" w:after="40"/>
            </w:pPr>
            <w:r w:rsidRPr="344F0477">
              <w:rPr>
                <w:rFonts w:ascii="Arial Narrow" w:eastAsia="Arial Narrow" w:hAnsi="Arial Narrow" w:cs="Arial Narrow"/>
                <w:sz w:val="20"/>
                <w:szCs w:val="20"/>
              </w:rPr>
              <w:t>$15,144.50</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841F86" w14:textId="47827B67" w:rsidR="00C4695B" w:rsidRPr="004C18BB" w:rsidRDefault="00C4695B" w:rsidP="344F0477">
            <w:pPr>
              <w:spacing w:before="40" w:after="40"/>
            </w:pPr>
            <w:r w:rsidRPr="344F0477">
              <w:rPr>
                <w:rFonts w:ascii="Arial Narrow" w:eastAsia="Arial Narrow" w:hAnsi="Arial Narrow" w:cs="Arial Narrow"/>
                <w:sz w:val="20"/>
                <w:szCs w:val="20"/>
              </w:rPr>
              <w:t>$31,960.26</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48218B" w14:textId="746A00F7" w:rsidR="00C4695B" w:rsidRPr="004C18BB" w:rsidRDefault="001844E9" w:rsidP="344F0477">
            <w:pPr>
              <w:spacing w:before="40" w:after="40"/>
            </w:pPr>
            <w:r w:rsidRPr="344F0477">
              <w:rPr>
                <w:rFonts w:ascii="Arial Narrow" w:eastAsia="Arial Narrow" w:hAnsi="Arial Narrow" w:cs="Arial Narrow"/>
                <w:sz w:val="20"/>
                <w:szCs w:val="20"/>
              </w:rPr>
              <w:t>−</w:t>
            </w:r>
            <w:r w:rsidR="00C4695B" w:rsidRPr="344F0477">
              <w:rPr>
                <w:rFonts w:ascii="Arial Narrow" w:eastAsia="Arial Narrow" w:hAnsi="Arial Narrow" w:cs="Arial Narrow"/>
                <w:sz w:val="20"/>
                <w:szCs w:val="20"/>
              </w:rPr>
              <w:t>$16,815.76</w:t>
            </w:r>
          </w:p>
        </w:tc>
        <w:tc>
          <w:tcPr>
            <w:tcW w:w="16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9E7C11D" w14:textId="20A85C82" w:rsidR="00C4695B" w:rsidRPr="00497EB5" w:rsidRDefault="00C4695B" w:rsidP="344F0477">
            <w:pPr>
              <w:spacing w:before="40" w:after="40"/>
            </w:pPr>
            <w:r w:rsidRPr="344F0477">
              <w:rPr>
                <w:rFonts w:ascii="Arial Narrow" w:eastAsia="Arial Narrow" w:hAnsi="Arial Narrow" w:cs="Arial Narrow"/>
                <w:sz w:val="20"/>
                <w:szCs w:val="20"/>
              </w:rPr>
              <w:t>69.87%</w:t>
            </w:r>
          </w:p>
        </w:tc>
      </w:tr>
      <w:tr w:rsidR="00C4695B" w:rsidRPr="000D4886" w14:paraId="293EAFEF" w14:textId="77777777" w:rsidTr="344F0477">
        <w:trPr>
          <w:trHeight w:val="300"/>
        </w:trPr>
        <w:tc>
          <w:tcPr>
            <w:tcW w:w="15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3539B2" w14:textId="0531A9AB" w:rsidR="00C4695B" w:rsidRPr="008737A9" w:rsidRDefault="00C4695B" w:rsidP="344F0477">
            <w:pPr>
              <w:spacing w:before="40" w:after="40"/>
            </w:pPr>
            <w:r w:rsidRPr="344F0477">
              <w:rPr>
                <w:rFonts w:ascii="Arial Narrow" w:eastAsia="Arial Narrow" w:hAnsi="Arial Narrow" w:cs="Arial Narrow"/>
                <w:b/>
                <w:sz w:val="20"/>
                <w:szCs w:val="20"/>
              </w:rPr>
              <w:t>Weighted total cost</w:t>
            </w:r>
          </w:p>
        </w:tc>
        <w:tc>
          <w:tcPr>
            <w:tcW w:w="10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A6F5DE" w14:textId="44847249" w:rsidR="00673E1A" w:rsidRDefault="004323A5" w:rsidP="344F0477">
            <w:pPr>
              <w:spacing w:before="40" w:after="40"/>
            </w:pPr>
            <w:r w:rsidRPr="344F0477">
              <w:rPr>
                <w:rFonts w:ascii="Arial Narrow" w:eastAsia="Arial Narrow" w:hAnsi="Arial Narrow" w:cs="Arial Narrow"/>
                <w:b/>
                <w:sz w:val="20"/>
                <w:szCs w:val="20"/>
              </w:rPr>
              <w:t>─</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37CBBE" w14:textId="13DA845B" w:rsidR="00C4695B" w:rsidRPr="008737A9" w:rsidRDefault="00C4695B" w:rsidP="344F0477">
            <w:pPr>
              <w:spacing w:before="40" w:after="40"/>
            </w:pPr>
            <w:r w:rsidRPr="344F0477">
              <w:rPr>
                <w:rFonts w:ascii="Arial Narrow" w:eastAsia="Arial Narrow" w:hAnsi="Arial Narrow" w:cs="Arial Narrow"/>
                <w:b/>
                <w:sz w:val="20"/>
                <w:szCs w:val="20"/>
              </w:rPr>
              <w:t>$41,898.04</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E08B42" w14:textId="0E900458" w:rsidR="00C4695B" w:rsidRPr="008737A9" w:rsidRDefault="00C4695B" w:rsidP="344F0477">
            <w:pPr>
              <w:spacing w:before="40" w:after="40"/>
            </w:pPr>
            <w:r w:rsidRPr="344F0477">
              <w:rPr>
                <w:rFonts w:ascii="Arial Narrow" w:eastAsia="Arial Narrow" w:hAnsi="Arial Narrow" w:cs="Arial Narrow"/>
                <w:b/>
                <w:sz w:val="20"/>
                <w:szCs w:val="20"/>
              </w:rPr>
              <w:t>$65,966.15</w:t>
            </w:r>
          </w:p>
        </w:tc>
        <w:tc>
          <w:tcPr>
            <w:tcW w:w="162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1258BC" w14:textId="1FC9231D" w:rsidR="00C4695B" w:rsidRPr="008737A9" w:rsidRDefault="00F51A38" w:rsidP="344F0477">
            <w:pPr>
              <w:spacing w:before="40" w:after="40"/>
            </w:pPr>
            <w:r w:rsidRPr="344F0477">
              <w:rPr>
                <w:rFonts w:ascii="Arial Narrow" w:eastAsia="Arial Narrow" w:hAnsi="Arial Narrow" w:cs="Arial Narrow"/>
                <w:b/>
                <w:sz w:val="20"/>
                <w:szCs w:val="20"/>
              </w:rPr>
              <w:t>−</w:t>
            </w:r>
            <w:r w:rsidR="00C4695B" w:rsidRPr="344F0477">
              <w:rPr>
                <w:rFonts w:ascii="Arial Narrow" w:eastAsia="Arial Narrow" w:hAnsi="Arial Narrow" w:cs="Arial Narrow"/>
                <w:b/>
                <w:sz w:val="20"/>
                <w:szCs w:val="20"/>
              </w:rPr>
              <w:t>$24,068.10</w:t>
            </w:r>
          </w:p>
        </w:tc>
        <w:tc>
          <w:tcPr>
            <w:tcW w:w="16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A1C3FB" w14:textId="0C4AB48B" w:rsidR="00C4695B" w:rsidRPr="00497EB5" w:rsidRDefault="00C4695B" w:rsidP="344F0477">
            <w:pPr>
              <w:spacing w:before="40" w:after="40"/>
            </w:pPr>
            <w:r w:rsidRPr="344F0477">
              <w:rPr>
                <w:rFonts w:ascii="Arial Narrow" w:eastAsia="Arial Narrow" w:hAnsi="Arial Narrow" w:cs="Arial Narrow"/>
                <w:b/>
                <w:sz w:val="20"/>
                <w:szCs w:val="20"/>
              </w:rPr>
              <w:t>100.00%</w:t>
            </w:r>
          </w:p>
        </w:tc>
      </w:tr>
    </w:tbl>
    <w:p w14:paraId="2DDB70EA" w14:textId="175BEF74" w:rsidR="0097010D" w:rsidRPr="008737A9" w:rsidRDefault="0097010D" w:rsidP="00C70F89">
      <w:pPr>
        <w:pStyle w:val="Tablenotes0"/>
      </w:pPr>
      <w:bookmarkStart w:id="76" w:name="_Hlk68276600"/>
      <w:bookmarkEnd w:id="75"/>
      <w:r w:rsidRPr="008737A9">
        <w:t>Abbreviations:  ASCS</w:t>
      </w:r>
      <w:r w:rsidR="002C05CD">
        <w:t xml:space="preserve"> </w:t>
      </w:r>
      <w:r w:rsidRPr="008737A9">
        <w:t>= autologous skin cell suspension; STSG</w:t>
      </w:r>
      <w:r w:rsidR="002C05CD">
        <w:t xml:space="preserve"> </w:t>
      </w:r>
      <w:r w:rsidRPr="008737A9">
        <w:t>= split-thickness skin graft</w:t>
      </w:r>
    </w:p>
    <w:p w14:paraId="568779E1" w14:textId="01FDF48E" w:rsidR="0097010D" w:rsidRDefault="0097010D" w:rsidP="00C70F89">
      <w:pPr>
        <w:pStyle w:val="Tablenotes0"/>
        <w:rPr>
          <w:rStyle w:val="IntenseEmphasis"/>
          <w:rFonts w:eastAsiaTheme="majorEastAsia"/>
          <w:color w:val="000000" w:themeColor="text1"/>
        </w:rPr>
      </w:pPr>
      <w:r w:rsidRPr="008737A9">
        <w:rPr>
          <w:rStyle w:val="IntenseEmphasis"/>
          <w:rFonts w:eastAsiaTheme="majorEastAsia"/>
          <w:color w:val="000000" w:themeColor="text1"/>
        </w:rPr>
        <w:t xml:space="preserve">Source: </w:t>
      </w:r>
      <w:r w:rsidR="00845EA2">
        <w:rPr>
          <w:rStyle w:val="IntenseEmphasis"/>
          <w:rFonts w:eastAsiaTheme="majorEastAsia"/>
          <w:color w:val="000000" w:themeColor="text1"/>
        </w:rPr>
        <w:t>ADAR</w:t>
      </w:r>
      <w:r w:rsidRPr="008737A9">
        <w:rPr>
          <w:rStyle w:val="IntenseEmphasis"/>
          <w:rFonts w:eastAsiaTheme="majorEastAsia"/>
          <w:color w:val="000000" w:themeColor="text1"/>
        </w:rPr>
        <w:t xml:space="preserve"> Table 42 (p77)</w:t>
      </w:r>
    </w:p>
    <w:p w14:paraId="7F205E3C" w14:textId="380F993D" w:rsidR="00C66674" w:rsidRPr="008737A9" w:rsidRDefault="00C66674" w:rsidP="00C70F89">
      <w:pPr>
        <w:pStyle w:val="Tablenotes0"/>
        <w:rPr>
          <w:rStyle w:val="IntenseEmphasis"/>
          <w:rFonts w:eastAsiaTheme="majorEastAsia"/>
          <w:color w:val="000000" w:themeColor="text1"/>
        </w:rPr>
      </w:pPr>
      <w:r>
        <w:rPr>
          <w:rStyle w:val="IntenseEmphasis"/>
          <w:rFonts w:eastAsiaTheme="majorEastAsia"/>
          <w:color w:val="000000" w:themeColor="text1"/>
        </w:rPr>
        <w:t>Note: Unweighted incremental cost</w:t>
      </w:r>
      <w:r w:rsidR="009D54F1">
        <w:rPr>
          <w:rStyle w:val="IntenseEmphasis"/>
          <w:rFonts w:eastAsiaTheme="majorEastAsia"/>
          <w:color w:val="000000" w:themeColor="text1"/>
        </w:rPr>
        <w:t xml:space="preserve">s were −$792.66 </w:t>
      </w:r>
      <w:r>
        <w:rPr>
          <w:rStyle w:val="IntenseEmphasis"/>
          <w:rFonts w:eastAsiaTheme="majorEastAsia"/>
          <w:color w:val="000000" w:themeColor="text1"/>
        </w:rPr>
        <w:t>for</w:t>
      </w:r>
      <w:r w:rsidR="00D9145A">
        <w:rPr>
          <w:rStyle w:val="IntenseEmphasis"/>
          <w:rFonts w:eastAsiaTheme="majorEastAsia"/>
          <w:color w:val="000000" w:themeColor="text1"/>
        </w:rPr>
        <w:t xml:space="preserve"> the</w:t>
      </w:r>
      <w:r>
        <w:rPr>
          <w:rStyle w:val="IntenseEmphasis"/>
          <w:rFonts w:eastAsiaTheme="majorEastAsia"/>
          <w:color w:val="000000" w:themeColor="text1"/>
        </w:rPr>
        <w:t xml:space="preserve"> </w:t>
      </w:r>
      <w:r w:rsidR="003F021F">
        <w:rPr>
          <w:rStyle w:val="IntenseEmphasis"/>
          <w:rFonts w:eastAsiaTheme="majorEastAsia"/>
          <w:color w:val="000000" w:themeColor="text1"/>
        </w:rPr>
        <w:t>20</w:t>
      </w:r>
      <w:r w:rsidR="0097419A">
        <w:rPr>
          <w:rStyle w:val="IntenseEmphasis"/>
          <w:rFonts w:eastAsiaTheme="majorEastAsia"/>
          <w:color w:val="000000" w:themeColor="text1"/>
        </w:rPr>
        <w:t>––</w:t>
      </w:r>
      <w:r w:rsidR="003F021F">
        <w:rPr>
          <w:rStyle w:val="IntenseEmphasis"/>
          <w:rFonts w:eastAsiaTheme="majorEastAsia"/>
          <w:color w:val="000000" w:themeColor="text1"/>
        </w:rPr>
        <w:t>29%</w:t>
      </w:r>
      <w:r w:rsidR="00C71518">
        <w:rPr>
          <w:rStyle w:val="IntenseEmphasis"/>
          <w:rFonts w:eastAsiaTheme="majorEastAsia"/>
          <w:color w:val="000000" w:themeColor="text1"/>
        </w:rPr>
        <w:t xml:space="preserve"> </w:t>
      </w:r>
      <w:r w:rsidR="0059128E">
        <w:rPr>
          <w:rStyle w:val="IntenseEmphasis"/>
          <w:rFonts w:eastAsiaTheme="majorEastAsia"/>
          <w:color w:val="000000" w:themeColor="text1"/>
        </w:rPr>
        <w:t xml:space="preserve">TBSA </w:t>
      </w:r>
      <w:r w:rsidR="00D9145A">
        <w:rPr>
          <w:rStyle w:val="IntenseEmphasis"/>
          <w:rFonts w:eastAsiaTheme="majorEastAsia"/>
          <w:color w:val="000000" w:themeColor="text1"/>
        </w:rPr>
        <w:t>category</w:t>
      </w:r>
      <w:r w:rsidR="009D54F1">
        <w:rPr>
          <w:rStyle w:val="IntenseEmphasis"/>
          <w:rFonts w:eastAsiaTheme="majorEastAsia"/>
          <w:color w:val="000000" w:themeColor="text1"/>
        </w:rPr>
        <w:t xml:space="preserve">, </w:t>
      </w:r>
      <w:r w:rsidR="00D66BB2">
        <w:rPr>
          <w:rStyle w:val="IntenseEmphasis"/>
          <w:rFonts w:eastAsiaTheme="majorEastAsia"/>
          <w:color w:val="000000" w:themeColor="text1"/>
        </w:rPr>
        <w:t>−</w:t>
      </w:r>
      <w:r w:rsidR="00A368F8">
        <w:rPr>
          <w:rStyle w:val="IntenseEmphasis"/>
          <w:rFonts w:eastAsiaTheme="majorEastAsia"/>
          <w:color w:val="000000" w:themeColor="text1"/>
        </w:rPr>
        <w:t>$26,516.61</w:t>
      </w:r>
      <w:r w:rsidR="0007092B">
        <w:rPr>
          <w:rStyle w:val="IntenseEmphasis"/>
          <w:rFonts w:eastAsiaTheme="majorEastAsia"/>
          <w:color w:val="000000" w:themeColor="text1"/>
        </w:rPr>
        <w:t xml:space="preserve"> for </w:t>
      </w:r>
      <w:r w:rsidR="00D9145A">
        <w:rPr>
          <w:rStyle w:val="IntenseEmphasis"/>
          <w:rFonts w:eastAsiaTheme="majorEastAsia"/>
          <w:color w:val="000000" w:themeColor="text1"/>
        </w:rPr>
        <w:t xml:space="preserve">the </w:t>
      </w:r>
      <w:r w:rsidR="0007092B">
        <w:rPr>
          <w:rStyle w:val="IntenseEmphasis"/>
          <w:rFonts w:eastAsiaTheme="majorEastAsia"/>
          <w:color w:val="000000" w:themeColor="text1"/>
        </w:rPr>
        <w:t>30</w:t>
      </w:r>
      <w:r w:rsidR="0097419A">
        <w:rPr>
          <w:rStyle w:val="IntenseEmphasis"/>
          <w:rFonts w:eastAsiaTheme="majorEastAsia"/>
          <w:color w:val="000000" w:themeColor="text1"/>
        </w:rPr>
        <w:t>––</w:t>
      </w:r>
      <w:r w:rsidR="0007092B">
        <w:rPr>
          <w:rStyle w:val="IntenseEmphasis"/>
          <w:rFonts w:eastAsiaTheme="majorEastAsia"/>
          <w:color w:val="000000" w:themeColor="text1"/>
        </w:rPr>
        <w:t>39%</w:t>
      </w:r>
      <w:r w:rsidR="00CD171A">
        <w:rPr>
          <w:rStyle w:val="IntenseEmphasis"/>
          <w:rFonts w:eastAsiaTheme="majorEastAsia"/>
          <w:color w:val="000000" w:themeColor="text1"/>
        </w:rPr>
        <w:t xml:space="preserve"> </w:t>
      </w:r>
      <w:r w:rsidR="0059128E">
        <w:rPr>
          <w:rStyle w:val="IntenseEmphasis"/>
          <w:rFonts w:eastAsiaTheme="majorEastAsia"/>
          <w:color w:val="000000" w:themeColor="text1"/>
        </w:rPr>
        <w:t>TBSA</w:t>
      </w:r>
      <w:r w:rsidR="00D9145A">
        <w:rPr>
          <w:rStyle w:val="IntenseEmphasis"/>
          <w:rFonts w:eastAsiaTheme="majorEastAsia"/>
          <w:color w:val="000000" w:themeColor="text1"/>
        </w:rPr>
        <w:t xml:space="preserve"> category</w:t>
      </w:r>
      <w:r w:rsidR="0059128E">
        <w:rPr>
          <w:rStyle w:val="IntenseEmphasis"/>
          <w:rFonts w:eastAsiaTheme="majorEastAsia"/>
          <w:color w:val="000000" w:themeColor="text1"/>
        </w:rPr>
        <w:t xml:space="preserve"> </w:t>
      </w:r>
      <w:r w:rsidR="00CD171A">
        <w:rPr>
          <w:rStyle w:val="IntenseEmphasis"/>
          <w:rFonts w:eastAsiaTheme="majorEastAsia"/>
          <w:color w:val="000000" w:themeColor="text1"/>
        </w:rPr>
        <w:t xml:space="preserve">and </w:t>
      </w:r>
      <w:r w:rsidR="008D7CF8">
        <w:rPr>
          <w:rStyle w:val="IntenseEmphasis"/>
          <w:rFonts w:eastAsiaTheme="majorEastAsia"/>
          <w:color w:val="000000" w:themeColor="text1"/>
        </w:rPr>
        <w:t xml:space="preserve">−$69,364.99 for </w:t>
      </w:r>
      <w:r w:rsidR="004640CC">
        <w:rPr>
          <w:rStyle w:val="IntenseEmphasis"/>
          <w:rFonts w:eastAsiaTheme="majorEastAsia"/>
          <w:color w:val="000000" w:themeColor="text1"/>
        </w:rPr>
        <w:t xml:space="preserve">the </w:t>
      </w:r>
      <w:r w:rsidR="00CD171A">
        <w:rPr>
          <w:rStyle w:val="IntenseEmphasis"/>
          <w:rFonts w:eastAsiaTheme="majorEastAsia"/>
          <w:color w:val="000000" w:themeColor="text1"/>
        </w:rPr>
        <w:t>40%</w:t>
      </w:r>
      <w:r w:rsidR="00CF06EF">
        <w:rPr>
          <w:rStyle w:val="IntenseEmphasis"/>
          <w:rFonts w:eastAsiaTheme="majorEastAsia"/>
          <w:color w:val="000000" w:themeColor="text1"/>
        </w:rPr>
        <w:t>+</w:t>
      </w:r>
      <w:r w:rsidR="00CD171A">
        <w:rPr>
          <w:rStyle w:val="IntenseEmphasis"/>
          <w:rFonts w:eastAsiaTheme="majorEastAsia"/>
          <w:color w:val="000000" w:themeColor="text1"/>
        </w:rPr>
        <w:t xml:space="preserve"> </w:t>
      </w:r>
      <w:r w:rsidR="0059128E">
        <w:rPr>
          <w:rStyle w:val="IntenseEmphasis"/>
          <w:rFonts w:eastAsiaTheme="majorEastAsia"/>
          <w:color w:val="000000" w:themeColor="text1"/>
        </w:rPr>
        <w:t xml:space="preserve">TBSA </w:t>
      </w:r>
      <w:r w:rsidR="00D9145A">
        <w:rPr>
          <w:rStyle w:val="IntenseEmphasis"/>
          <w:rFonts w:eastAsiaTheme="majorEastAsia"/>
          <w:color w:val="000000" w:themeColor="text1"/>
        </w:rPr>
        <w:t>category</w:t>
      </w:r>
      <w:r w:rsidR="00D66BB2">
        <w:rPr>
          <w:rStyle w:val="IntenseEmphasis"/>
          <w:rFonts w:eastAsiaTheme="majorEastAsia"/>
          <w:color w:val="000000" w:themeColor="text1"/>
        </w:rPr>
        <w:t xml:space="preserve">. </w:t>
      </w:r>
    </w:p>
    <w:p w14:paraId="0E54CD58" w14:textId="2DB70B4D" w:rsidR="000E02B4" w:rsidRPr="008737A9" w:rsidRDefault="0001620B" w:rsidP="00CB0C70">
      <w:pPr>
        <w:rPr>
          <w:rStyle w:val="IntenseEmphasis"/>
          <w:rFonts w:eastAsiaTheme="majorEastAsia"/>
          <w:color w:val="000000" w:themeColor="text1"/>
        </w:rPr>
      </w:pPr>
      <w:r>
        <w:rPr>
          <w:rStyle w:val="IntenseEmphasis"/>
          <w:rFonts w:eastAsiaTheme="majorEastAsia"/>
          <w:color w:val="000000" w:themeColor="text1"/>
        </w:rPr>
        <w:t xml:space="preserve">Weighted total </w:t>
      </w:r>
      <w:r w:rsidRPr="00937401">
        <w:rPr>
          <w:rStyle w:val="IntenseEmphasis"/>
          <w:rFonts w:eastAsiaTheme="majorEastAsia"/>
          <w:color w:val="000000" w:themeColor="text1"/>
        </w:rPr>
        <w:t>cost</w:t>
      </w:r>
      <w:r w:rsidR="002C05CD">
        <w:rPr>
          <w:rStyle w:val="IntenseEmphasis"/>
          <w:rFonts w:eastAsiaTheme="majorEastAsia"/>
          <w:color w:val="000000" w:themeColor="text1"/>
        </w:rPr>
        <w:t>s</w:t>
      </w:r>
      <w:r>
        <w:rPr>
          <w:rStyle w:val="IntenseEmphasis"/>
          <w:rFonts w:eastAsiaTheme="majorEastAsia"/>
          <w:color w:val="000000" w:themeColor="text1"/>
        </w:rPr>
        <w:t xml:space="preserve"> (i.e. weighted across TBSA intervals) disaggregated by each costing </w:t>
      </w:r>
      <w:r w:rsidRPr="00937401">
        <w:rPr>
          <w:rStyle w:val="IntenseEmphasis"/>
          <w:rFonts w:eastAsiaTheme="majorEastAsia"/>
          <w:color w:val="000000" w:themeColor="text1"/>
        </w:rPr>
        <w:t>component</w:t>
      </w:r>
      <w:r>
        <w:rPr>
          <w:rStyle w:val="IntenseEmphasis"/>
          <w:rFonts w:eastAsiaTheme="majorEastAsia"/>
          <w:color w:val="000000" w:themeColor="text1"/>
        </w:rPr>
        <w:t xml:space="preserve"> are summarised in</w:t>
      </w:r>
      <w:r w:rsidR="00673D54">
        <w:rPr>
          <w:rStyle w:val="IntenseEmphasis"/>
          <w:rFonts w:eastAsiaTheme="majorEastAsia"/>
          <w:color w:val="000000" w:themeColor="text1"/>
        </w:rPr>
        <w:t xml:space="preserve"> </w:t>
      </w:r>
      <w:r w:rsidR="00673D54">
        <w:rPr>
          <w:rStyle w:val="IntenseEmphasis"/>
          <w:rFonts w:eastAsiaTheme="majorEastAsia"/>
          <w:color w:val="000000" w:themeColor="text1"/>
        </w:rPr>
        <w:fldChar w:fldCharType="begin"/>
      </w:r>
      <w:r w:rsidR="00673D54">
        <w:rPr>
          <w:rStyle w:val="IntenseEmphasis"/>
          <w:rFonts w:eastAsiaTheme="majorEastAsia"/>
          <w:color w:val="000000" w:themeColor="text1"/>
        </w:rPr>
        <w:instrText xml:space="preserve"> REF _Ref194074843 \h </w:instrText>
      </w:r>
      <w:r w:rsidR="00673D54">
        <w:rPr>
          <w:rStyle w:val="IntenseEmphasis"/>
          <w:rFonts w:eastAsiaTheme="majorEastAsia"/>
          <w:color w:val="000000" w:themeColor="text1"/>
        </w:rPr>
      </w:r>
      <w:r w:rsidR="00673D54">
        <w:rPr>
          <w:rStyle w:val="IntenseEmphasis"/>
          <w:rFonts w:eastAsiaTheme="majorEastAsia"/>
          <w:color w:val="000000" w:themeColor="text1"/>
        </w:rPr>
        <w:fldChar w:fldCharType="separate"/>
      </w:r>
      <w:r w:rsidR="00487E4A">
        <w:t>Table</w:t>
      </w:r>
      <w:r w:rsidR="00487E4A" w:rsidRPr="004C18BB">
        <w:t> </w:t>
      </w:r>
      <w:r w:rsidR="00487E4A">
        <w:rPr>
          <w:noProof/>
        </w:rPr>
        <w:t>15</w:t>
      </w:r>
      <w:r w:rsidR="00673D54">
        <w:rPr>
          <w:rStyle w:val="IntenseEmphasis"/>
          <w:rFonts w:eastAsiaTheme="majorEastAsia"/>
          <w:color w:val="000000" w:themeColor="text1"/>
        </w:rPr>
        <w:fldChar w:fldCharType="end"/>
      </w:r>
      <w:r w:rsidR="00673D54">
        <w:rPr>
          <w:rStyle w:val="IntenseEmphasis"/>
          <w:rFonts w:eastAsiaTheme="majorEastAsia"/>
          <w:color w:val="000000" w:themeColor="text1"/>
        </w:rPr>
        <w:t>.</w:t>
      </w:r>
    </w:p>
    <w:p w14:paraId="7561A992" w14:textId="1CAD401C" w:rsidR="00673D54" w:rsidRDefault="00673D54" w:rsidP="00747C01">
      <w:pPr>
        <w:pStyle w:val="TableHeading0"/>
      </w:pPr>
      <w:bookmarkStart w:id="77" w:name="_Ref194074843"/>
      <w:r>
        <w:t>Table</w:t>
      </w:r>
      <w:r w:rsidR="00B02163" w:rsidRPr="004C18BB">
        <w:t> </w:t>
      </w:r>
      <w:r>
        <w:fldChar w:fldCharType="begin"/>
      </w:r>
      <w:r>
        <w:instrText>SEQ Table \* ARABIC</w:instrText>
      </w:r>
      <w:r>
        <w:fldChar w:fldCharType="separate"/>
      </w:r>
      <w:r w:rsidR="00487E4A">
        <w:rPr>
          <w:noProof/>
        </w:rPr>
        <w:t>15</w:t>
      </w:r>
      <w:r>
        <w:fldChar w:fldCharType="end"/>
      </w:r>
      <w:bookmarkEnd w:id="77"/>
      <w:r w:rsidDel="00AA3CB5">
        <w:t>:</w:t>
      </w:r>
      <w:r>
        <w:t xml:space="preserve"> </w:t>
      </w:r>
      <w:r w:rsidDel="00C825ED">
        <w:t>Disaggregated</w:t>
      </w:r>
      <w:r>
        <w:t xml:space="preserve"> incremental </w:t>
      </w:r>
      <w:r w:rsidRPr="00937401">
        <w:t>costs</w:t>
      </w:r>
      <w:r w:rsidR="00C766BF">
        <w:t>, weighted across %TBSA groups</w:t>
      </w:r>
    </w:p>
    <w:tbl>
      <w:tblPr>
        <w:tblStyle w:val="TableGrid"/>
        <w:tblW w:w="5000" w:type="pct"/>
        <w:tblLook w:val="04A0" w:firstRow="1" w:lastRow="0" w:firstColumn="1" w:lastColumn="0" w:noHBand="0" w:noVBand="1"/>
      </w:tblPr>
      <w:tblGrid>
        <w:gridCol w:w="2924"/>
        <w:gridCol w:w="1524"/>
        <w:gridCol w:w="1524"/>
        <w:gridCol w:w="1522"/>
        <w:gridCol w:w="1522"/>
      </w:tblGrid>
      <w:tr w:rsidR="0086192D" w:rsidRPr="00C23C03" w14:paraId="76B1958C" w14:textId="78E2F9B5" w:rsidTr="005E563D">
        <w:trPr>
          <w:tblHeader/>
        </w:trPr>
        <w:tc>
          <w:tcPr>
            <w:tcW w:w="1622" w:type="pct"/>
            <w:vAlign w:val="center"/>
          </w:tcPr>
          <w:p w14:paraId="290D06EA" w14:textId="2A8FE47A" w:rsidR="0086192D" w:rsidRPr="000E7210" w:rsidRDefault="0086192D" w:rsidP="00C23C03">
            <w:pPr>
              <w:pStyle w:val="TableText"/>
              <w:rPr>
                <w:b/>
              </w:rPr>
            </w:pPr>
            <w:r w:rsidRPr="000E7210">
              <w:rPr>
                <w:b/>
              </w:rPr>
              <w:t>Component</w:t>
            </w:r>
          </w:p>
        </w:tc>
        <w:tc>
          <w:tcPr>
            <w:tcW w:w="845" w:type="pct"/>
            <w:vAlign w:val="center"/>
          </w:tcPr>
          <w:p w14:paraId="73CF1386" w14:textId="4096CB69" w:rsidR="0086192D" w:rsidRPr="000E7210" w:rsidRDefault="00B3255F" w:rsidP="00C23C03">
            <w:pPr>
              <w:pStyle w:val="TableText"/>
              <w:rPr>
                <w:b/>
              </w:rPr>
            </w:pPr>
            <w:r w:rsidRPr="000E7210">
              <w:rPr>
                <w:b/>
              </w:rPr>
              <w:t>ASCS ± STSG</w:t>
            </w:r>
          </w:p>
        </w:tc>
        <w:tc>
          <w:tcPr>
            <w:tcW w:w="845" w:type="pct"/>
            <w:vAlign w:val="center"/>
          </w:tcPr>
          <w:p w14:paraId="6A2CF7AF" w14:textId="326A140C" w:rsidR="0086192D" w:rsidRPr="000E7210" w:rsidRDefault="00B3255F" w:rsidP="00C23C03">
            <w:pPr>
              <w:pStyle w:val="TableText"/>
              <w:rPr>
                <w:b/>
              </w:rPr>
            </w:pPr>
            <w:r w:rsidRPr="000E7210">
              <w:rPr>
                <w:b/>
              </w:rPr>
              <w:t>STSG</w:t>
            </w:r>
          </w:p>
        </w:tc>
        <w:tc>
          <w:tcPr>
            <w:tcW w:w="844" w:type="pct"/>
            <w:vAlign w:val="center"/>
          </w:tcPr>
          <w:p w14:paraId="5A26E617" w14:textId="7FA81F71" w:rsidR="0086192D" w:rsidRPr="000E7210" w:rsidRDefault="00B3255F" w:rsidP="00C23C03">
            <w:pPr>
              <w:pStyle w:val="TableText"/>
              <w:rPr>
                <w:b/>
              </w:rPr>
            </w:pPr>
            <w:r w:rsidRPr="000E7210">
              <w:rPr>
                <w:b/>
              </w:rPr>
              <w:t>Incremental cost</w:t>
            </w:r>
          </w:p>
        </w:tc>
        <w:tc>
          <w:tcPr>
            <w:tcW w:w="844" w:type="pct"/>
            <w:vAlign w:val="center"/>
          </w:tcPr>
          <w:p w14:paraId="5FDC3C48" w14:textId="2B60B900" w:rsidR="00114C7C" w:rsidRPr="000E7210" w:rsidRDefault="00114C7C" w:rsidP="00C23C03">
            <w:pPr>
              <w:pStyle w:val="TableText"/>
              <w:rPr>
                <w:b/>
              </w:rPr>
            </w:pPr>
            <w:r w:rsidRPr="000E7210">
              <w:rPr>
                <w:b/>
              </w:rPr>
              <w:t xml:space="preserve">% of total </w:t>
            </w:r>
          </w:p>
        </w:tc>
      </w:tr>
      <w:tr w:rsidR="00BD6F8C" w14:paraId="54195584" w14:textId="0B741AF4" w:rsidTr="00C23C03">
        <w:tc>
          <w:tcPr>
            <w:tcW w:w="1622" w:type="pct"/>
            <w:vAlign w:val="center"/>
          </w:tcPr>
          <w:p w14:paraId="446B6BF1" w14:textId="1CE4119D" w:rsidR="00BD6F8C" w:rsidRPr="0086192D" w:rsidRDefault="0086192D" w:rsidP="00C23C03">
            <w:pPr>
              <w:pStyle w:val="TableText"/>
            </w:pPr>
            <w:r w:rsidRPr="0086192D">
              <w:t>Immediate temp</w:t>
            </w:r>
            <w:r>
              <w:t>orary</w:t>
            </w:r>
            <w:r w:rsidRPr="0086192D">
              <w:t xml:space="preserve"> burn wound closure ≥20% but ≤30% TBSA</w:t>
            </w:r>
          </w:p>
        </w:tc>
        <w:tc>
          <w:tcPr>
            <w:tcW w:w="845" w:type="pct"/>
            <w:vAlign w:val="center"/>
          </w:tcPr>
          <w:p w14:paraId="6818D8DC" w14:textId="1442B095" w:rsidR="00BD6F8C" w:rsidRPr="0086192D" w:rsidRDefault="000B2E95" w:rsidP="00C23C03">
            <w:pPr>
              <w:pStyle w:val="TableText"/>
            </w:pPr>
            <w:r w:rsidRPr="00497EB5">
              <w:t>$1,039.73</w:t>
            </w:r>
          </w:p>
        </w:tc>
        <w:tc>
          <w:tcPr>
            <w:tcW w:w="845" w:type="pct"/>
            <w:vAlign w:val="center"/>
          </w:tcPr>
          <w:p w14:paraId="1C4467BC" w14:textId="5D7CF129" w:rsidR="00BD6F8C" w:rsidRPr="0086192D" w:rsidRDefault="000B2E95" w:rsidP="00C23C03">
            <w:pPr>
              <w:pStyle w:val="TableText"/>
            </w:pPr>
            <w:r w:rsidRPr="00497EB5">
              <w:t>$1,219.89</w:t>
            </w:r>
          </w:p>
        </w:tc>
        <w:tc>
          <w:tcPr>
            <w:tcW w:w="844" w:type="pct"/>
            <w:vAlign w:val="center"/>
          </w:tcPr>
          <w:p w14:paraId="074C5BC9" w14:textId="5D8CD196" w:rsidR="00BD6F8C" w:rsidRPr="0086192D" w:rsidRDefault="002C05CD" w:rsidP="00C23C03">
            <w:pPr>
              <w:pStyle w:val="TableText"/>
            </w:pPr>
            <w:r>
              <w:t>−</w:t>
            </w:r>
            <w:r w:rsidR="005567F9" w:rsidRPr="00937401">
              <w:t>$</w:t>
            </w:r>
            <w:r w:rsidR="005567F9" w:rsidRPr="00497EB5">
              <w:t>180.16</w:t>
            </w:r>
          </w:p>
        </w:tc>
        <w:tc>
          <w:tcPr>
            <w:tcW w:w="844" w:type="pct"/>
            <w:vAlign w:val="center"/>
          </w:tcPr>
          <w:p w14:paraId="1440067F" w14:textId="33AEBA27" w:rsidR="00114C7C" w:rsidRPr="00497EB5" w:rsidRDefault="00114C7C" w:rsidP="00C23C03">
            <w:pPr>
              <w:pStyle w:val="TableText"/>
            </w:pPr>
            <w:r w:rsidRPr="00A2420E">
              <w:t>0.7</w:t>
            </w:r>
            <w:r w:rsidR="00C278B5">
              <w:t>5</w:t>
            </w:r>
            <w:r w:rsidRPr="00A2420E">
              <w:t>%</w:t>
            </w:r>
          </w:p>
        </w:tc>
      </w:tr>
      <w:tr w:rsidR="00BD6F8C" w14:paraId="6C348938" w14:textId="427CAED0" w:rsidTr="00C23C03">
        <w:tc>
          <w:tcPr>
            <w:tcW w:w="1622" w:type="pct"/>
            <w:vAlign w:val="center"/>
          </w:tcPr>
          <w:p w14:paraId="6AF27F7E" w14:textId="4CBDC2E1" w:rsidR="00BD6F8C" w:rsidRPr="0086192D" w:rsidRDefault="0086192D" w:rsidP="00C23C03">
            <w:pPr>
              <w:pStyle w:val="TableText"/>
            </w:pPr>
            <w:r w:rsidRPr="0086192D">
              <w:t>Immediate definitive burn wound closure ≥20% but ≤30% TBSA</w:t>
            </w:r>
          </w:p>
        </w:tc>
        <w:tc>
          <w:tcPr>
            <w:tcW w:w="845" w:type="pct"/>
            <w:vAlign w:val="center"/>
          </w:tcPr>
          <w:p w14:paraId="7411FD1B" w14:textId="1D3C921B" w:rsidR="00BD6F8C" w:rsidRPr="0086192D" w:rsidRDefault="000B2E95" w:rsidP="00C23C03">
            <w:pPr>
              <w:pStyle w:val="TableText"/>
            </w:pPr>
            <w:r w:rsidRPr="00497EB5">
              <w:t>$771.57</w:t>
            </w:r>
          </w:p>
        </w:tc>
        <w:tc>
          <w:tcPr>
            <w:tcW w:w="845" w:type="pct"/>
            <w:vAlign w:val="center"/>
          </w:tcPr>
          <w:p w14:paraId="7127EA38" w14:textId="37BDD1FA" w:rsidR="00BD6F8C" w:rsidRPr="0086192D" w:rsidRDefault="000B2E95" w:rsidP="00C23C03">
            <w:pPr>
              <w:pStyle w:val="TableText"/>
            </w:pPr>
            <w:r w:rsidRPr="00497EB5">
              <w:t>$591.42</w:t>
            </w:r>
          </w:p>
        </w:tc>
        <w:tc>
          <w:tcPr>
            <w:tcW w:w="844" w:type="pct"/>
            <w:vAlign w:val="center"/>
          </w:tcPr>
          <w:p w14:paraId="23515876" w14:textId="7DD0BD81" w:rsidR="00BD6F8C" w:rsidRPr="0086192D" w:rsidRDefault="005567F9" w:rsidP="00C23C03">
            <w:pPr>
              <w:pStyle w:val="TableText"/>
            </w:pPr>
            <w:r w:rsidRPr="00497EB5">
              <w:t>$180.16</w:t>
            </w:r>
          </w:p>
        </w:tc>
        <w:tc>
          <w:tcPr>
            <w:tcW w:w="844" w:type="pct"/>
            <w:vAlign w:val="center"/>
          </w:tcPr>
          <w:p w14:paraId="75F15718" w14:textId="7E5142FA" w:rsidR="00114C7C" w:rsidRPr="00497EB5" w:rsidRDefault="00475CE2" w:rsidP="00C23C03">
            <w:pPr>
              <w:pStyle w:val="TableText"/>
            </w:pPr>
            <w:r>
              <w:t>−</w:t>
            </w:r>
            <w:r w:rsidR="00114C7C" w:rsidRPr="00A2420E">
              <w:t>0.7</w:t>
            </w:r>
            <w:r w:rsidR="00C278B5">
              <w:t>5</w:t>
            </w:r>
            <w:r w:rsidR="00114C7C" w:rsidRPr="00A2420E">
              <w:t>%</w:t>
            </w:r>
          </w:p>
        </w:tc>
      </w:tr>
      <w:tr w:rsidR="00BD6F8C" w14:paraId="472A738E" w14:textId="30DDDD14" w:rsidTr="00C23C03">
        <w:tc>
          <w:tcPr>
            <w:tcW w:w="1622" w:type="pct"/>
            <w:vAlign w:val="center"/>
          </w:tcPr>
          <w:p w14:paraId="3681201C" w14:textId="3D08A7C9" w:rsidR="00BD6F8C" w:rsidRPr="0086192D" w:rsidRDefault="0086192D" w:rsidP="00C23C03">
            <w:pPr>
              <w:pStyle w:val="TableText"/>
            </w:pPr>
            <w:r w:rsidRPr="0086192D">
              <w:t>Delayed definitive burn wound closure</w:t>
            </w:r>
          </w:p>
        </w:tc>
        <w:tc>
          <w:tcPr>
            <w:tcW w:w="845" w:type="pct"/>
            <w:vAlign w:val="center"/>
          </w:tcPr>
          <w:p w14:paraId="12B998D5" w14:textId="082D3831" w:rsidR="00BD6F8C" w:rsidRPr="0086192D" w:rsidRDefault="000B2E95" w:rsidP="00C23C03">
            <w:pPr>
              <w:pStyle w:val="TableText"/>
            </w:pPr>
            <w:r w:rsidRPr="00497EB5">
              <w:t>$1,545.46</w:t>
            </w:r>
          </w:p>
        </w:tc>
        <w:tc>
          <w:tcPr>
            <w:tcW w:w="845" w:type="pct"/>
            <w:vAlign w:val="center"/>
          </w:tcPr>
          <w:p w14:paraId="7528E1DE" w14:textId="49D17782" w:rsidR="00BD6F8C" w:rsidRPr="0086192D" w:rsidRDefault="000B2E95" w:rsidP="00C23C03">
            <w:pPr>
              <w:pStyle w:val="TableText"/>
            </w:pPr>
            <w:r w:rsidRPr="00497EB5">
              <w:t>$8,989.59</w:t>
            </w:r>
          </w:p>
        </w:tc>
        <w:tc>
          <w:tcPr>
            <w:tcW w:w="844" w:type="pct"/>
            <w:vAlign w:val="center"/>
          </w:tcPr>
          <w:p w14:paraId="3C6DEE38" w14:textId="0E8368B5" w:rsidR="00BD6F8C" w:rsidRPr="0086192D" w:rsidRDefault="002C05CD" w:rsidP="00C23C03">
            <w:pPr>
              <w:pStyle w:val="TableText"/>
            </w:pPr>
            <w:r>
              <w:t>−</w:t>
            </w:r>
            <w:r w:rsidR="005567F9" w:rsidRPr="00937401">
              <w:t>$</w:t>
            </w:r>
            <w:r w:rsidR="005567F9" w:rsidRPr="00497EB5">
              <w:t>7,444.13</w:t>
            </w:r>
          </w:p>
        </w:tc>
        <w:tc>
          <w:tcPr>
            <w:tcW w:w="844" w:type="pct"/>
            <w:vAlign w:val="center"/>
          </w:tcPr>
          <w:p w14:paraId="431D9C74" w14:textId="62E61FE9" w:rsidR="00114C7C" w:rsidRPr="00497EB5" w:rsidRDefault="00114C7C" w:rsidP="00C23C03">
            <w:pPr>
              <w:pStyle w:val="TableText"/>
            </w:pPr>
            <w:r w:rsidRPr="00A2420E">
              <w:t>30.9</w:t>
            </w:r>
            <w:r w:rsidR="00C278B5">
              <w:t>3</w:t>
            </w:r>
            <w:r w:rsidRPr="00A2420E">
              <w:t>%</w:t>
            </w:r>
          </w:p>
        </w:tc>
      </w:tr>
      <w:tr w:rsidR="00BD6F8C" w14:paraId="27905C7F" w14:textId="02962727" w:rsidTr="00C23C03">
        <w:tc>
          <w:tcPr>
            <w:tcW w:w="1622" w:type="pct"/>
            <w:vAlign w:val="center"/>
          </w:tcPr>
          <w:p w14:paraId="429FE9A0" w14:textId="7BE4DD45" w:rsidR="00BD6F8C" w:rsidRPr="0086192D" w:rsidRDefault="0086192D" w:rsidP="00C23C03">
            <w:pPr>
              <w:pStyle w:val="TableText"/>
            </w:pPr>
            <w:r w:rsidRPr="0086192D">
              <w:t>Dressing</w:t>
            </w:r>
          </w:p>
        </w:tc>
        <w:tc>
          <w:tcPr>
            <w:tcW w:w="845" w:type="pct"/>
            <w:vAlign w:val="center"/>
          </w:tcPr>
          <w:p w14:paraId="0BD26D34" w14:textId="03E2898D" w:rsidR="00BD6F8C" w:rsidRPr="0086192D" w:rsidRDefault="000B2E95" w:rsidP="00C23C03">
            <w:pPr>
              <w:pStyle w:val="TableText"/>
            </w:pPr>
            <w:r w:rsidRPr="00497EB5">
              <w:t>$459.79</w:t>
            </w:r>
          </w:p>
        </w:tc>
        <w:tc>
          <w:tcPr>
            <w:tcW w:w="845" w:type="pct"/>
            <w:vAlign w:val="center"/>
          </w:tcPr>
          <w:p w14:paraId="22B421B5" w14:textId="24C3991A" w:rsidR="00BD6F8C" w:rsidRPr="0086192D" w:rsidRDefault="000B2E95" w:rsidP="00C23C03">
            <w:pPr>
              <w:pStyle w:val="TableText"/>
            </w:pPr>
            <w:r w:rsidRPr="00497EB5">
              <w:t>$1,006.93</w:t>
            </w:r>
          </w:p>
        </w:tc>
        <w:tc>
          <w:tcPr>
            <w:tcW w:w="844" w:type="pct"/>
            <w:vAlign w:val="center"/>
          </w:tcPr>
          <w:p w14:paraId="737DF0F8" w14:textId="6254B334" w:rsidR="00BD6F8C" w:rsidRPr="0086192D" w:rsidRDefault="002C05CD" w:rsidP="00C23C03">
            <w:pPr>
              <w:pStyle w:val="TableText"/>
            </w:pPr>
            <w:r>
              <w:t>−</w:t>
            </w:r>
            <w:r w:rsidR="005567F9" w:rsidRPr="00937401">
              <w:t>$</w:t>
            </w:r>
            <w:r w:rsidR="005567F9" w:rsidRPr="00497EB5">
              <w:t>547.13</w:t>
            </w:r>
          </w:p>
        </w:tc>
        <w:tc>
          <w:tcPr>
            <w:tcW w:w="844" w:type="pct"/>
            <w:vAlign w:val="center"/>
          </w:tcPr>
          <w:p w14:paraId="269CAEFD" w14:textId="7FC5B93E" w:rsidR="00114C7C" w:rsidRPr="00497EB5" w:rsidRDefault="00114C7C" w:rsidP="00C23C03">
            <w:pPr>
              <w:pStyle w:val="TableText"/>
            </w:pPr>
            <w:r w:rsidRPr="00A2420E">
              <w:t>2.</w:t>
            </w:r>
            <w:r w:rsidR="00174C6D">
              <w:t>27</w:t>
            </w:r>
            <w:r w:rsidRPr="00A2420E">
              <w:t>%</w:t>
            </w:r>
          </w:p>
        </w:tc>
      </w:tr>
      <w:tr w:rsidR="00BD6F8C" w14:paraId="53088756" w14:textId="7963C718" w:rsidTr="00C23C03">
        <w:tc>
          <w:tcPr>
            <w:tcW w:w="1622" w:type="pct"/>
            <w:vAlign w:val="center"/>
          </w:tcPr>
          <w:p w14:paraId="68392D3B" w14:textId="1609A119" w:rsidR="00BD6F8C" w:rsidRPr="0086192D" w:rsidRDefault="0086192D" w:rsidP="00C23C03">
            <w:pPr>
              <w:pStyle w:val="TableText"/>
            </w:pPr>
            <w:r w:rsidRPr="0086192D">
              <w:t>Specialist consultation</w:t>
            </w:r>
          </w:p>
        </w:tc>
        <w:tc>
          <w:tcPr>
            <w:tcW w:w="845" w:type="pct"/>
            <w:vAlign w:val="center"/>
          </w:tcPr>
          <w:p w14:paraId="74891A01" w14:textId="7ED53ABB" w:rsidR="00BD6F8C" w:rsidRPr="0086192D" w:rsidRDefault="000B2E95" w:rsidP="00C23C03">
            <w:pPr>
              <w:pStyle w:val="TableText"/>
            </w:pPr>
            <w:r w:rsidRPr="00497EB5">
              <w:t>$169.59</w:t>
            </w:r>
          </w:p>
        </w:tc>
        <w:tc>
          <w:tcPr>
            <w:tcW w:w="845" w:type="pct"/>
            <w:vAlign w:val="center"/>
          </w:tcPr>
          <w:p w14:paraId="4AB795F1" w14:textId="553B124A" w:rsidR="00BD6F8C" w:rsidRPr="0086192D" w:rsidRDefault="000B2E95" w:rsidP="00C23C03">
            <w:pPr>
              <w:pStyle w:val="TableText"/>
            </w:pPr>
            <w:r w:rsidRPr="00497EB5">
              <w:t>$389.21</w:t>
            </w:r>
          </w:p>
        </w:tc>
        <w:tc>
          <w:tcPr>
            <w:tcW w:w="844" w:type="pct"/>
            <w:vAlign w:val="center"/>
          </w:tcPr>
          <w:p w14:paraId="000028E1" w14:textId="666BCEB8" w:rsidR="00BD6F8C" w:rsidRPr="0086192D" w:rsidRDefault="002C05CD" w:rsidP="00C23C03">
            <w:pPr>
              <w:pStyle w:val="TableText"/>
            </w:pPr>
            <w:r>
              <w:t>−</w:t>
            </w:r>
            <w:r w:rsidR="005567F9" w:rsidRPr="00937401">
              <w:t>$</w:t>
            </w:r>
            <w:r w:rsidR="005567F9" w:rsidRPr="00497EB5">
              <w:t>219.61</w:t>
            </w:r>
          </w:p>
        </w:tc>
        <w:tc>
          <w:tcPr>
            <w:tcW w:w="844" w:type="pct"/>
            <w:vAlign w:val="center"/>
          </w:tcPr>
          <w:p w14:paraId="13D4DBFA" w14:textId="1F2C0235" w:rsidR="00114C7C" w:rsidRPr="00497EB5" w:rsidRDefault="00114C7C" w:rsidP="00C23C03">
            <w:pPr>
              <w:pStyle w:val="TableText"/>
            </w:pPr>
            <w:r w:rsidRPr="00A2420E">
              <w:t>0.9</w:t>
            </w:r>
            <w:r w:rsidR="00174C6D">
              <w:t>1</w:t>
            </w:r>
            <w:r w:rsidRPr="00A2420E">
              <w:t>%</w:t>
            </w:r>
          </w:p>
        </w:tc>
      </w:tr>
      <w:tr w:rsidR="00BD6F8C" w14:paraId="6F54E167" w14:textId="2408A9D3" w:rsidTr="00C23C03">
        <w:tc>
          <w:tcPr>
            <w:tcW w:w="1622" w:type="pct"/>
            <w:vAlign w:val="center"/>
          </w:tcPr>
          <w:p w14:paraId="093CCFF4" w14:textId="0A75E778" w:rsidR="00BD6F8C" w:rsidRPr="0086192D" w:rsidRDefault="0086192D" w:rsidP="00C23C03">
            <w:pPr>
              <w:pStyle w:val="TableText"/>
            </w:pPr>
            <w:r w:rsidRPr="0086192D">
              <w:t>Private hospital cost (based on mean LOS)</w:t>
            </w:r>
          </w:p>
        </w:tc>
        <w:tc>
          <w:tcPr>
            <w:tcW w:w="845" w:type="pct"/>
            <w:vAlign w:val="center"/>
          </w:tcPr>
          <w:p w14:paraId="7D0271B8" w14:textId="5639928C" w:rsidR="00BD6F8C" w:rsidRPr="0086192D" w:rsidRDefault="000B2E95" w:rsidP="00C23C03">
            <w:pPr>
              <w:pStyle w:val="TableText"/>
            </w:pPr>
            <w:r w:rsidRPr="00497EB5">
              <w:t>$37,911.88</w:t>
            </w:r>
          </w:p>
        </w:tc>
        <w:tc>
          <w:tcPr>
            <w:tcW w:w="845" w:type="pct"/>
            <w:vAlign w:val="center"/>
          </w:tcPr>
          <w:p w14:paraId="61D194E1" w14:textId="79B7F3C0" w:rsidR="00BD6F8C" w:rsidRPr="0086192D" w:rsidRDefault="000B2E95" w:rsidP="00C23C03">
            <w:pPr>
              <w:pStyle w:val="TableText"/>
            </w:pPr>
            <w:r w:rsidRPr="00497EB5">
              <w:t>$53,769.11</w:t>
            </w:r>
          </w:p>
        </w:tc>
        <w:tc>
          <w:tcPr>
            <w:tcW w:w="844" w:type="pct"/>
            <w:vAlign w:val="center"/>
          </w:tcPr>
          <w:p w14:paraId="40497173" w14:textId="50E65A36" w:rsidR="00BD6F8C" w:rsidRPr="0086192D" w:rsidRDefault="002C05CD" w:rsidP="00C23C03">
            <w:pPr>
              <w:pStyle w:val="TableText"/>
            </w:pPr>
            <w:r>
              <w:t>−</w:t>
            </w:r>
            <w:r w:rsidR="005567F9" w:rsidRPr="00937401">
              <w:t>$</w:t>
            </w:r>
            <w:r w:rsidR="005567F9" w:rsidRPr="00497EB5">
              <w:t>15,857.23</w:t>
            </w:r>
          </w:p>
        </w:tc>
        <w:tc>
          <w:tcPr>
            <w:tcW w:w="844" w:type="pct"/>
            <w:vAlign w:val="center"/>
          </w:tcPr>
          <w:p w14:paraId="26361192" w14:textId="43A72E9A" w:rsidR="00114C7C" w:rsidRPr="00497EB5" w:rsidRDefault="00114C7C" w:rsidP="00C23C03">
            <w:pPr>
              <w:pStyle w:val="TableText"/>
            </w:pPr>
            <w:r w:rsidRPr="00A2420E">
              <w:t>65.</w:t>
            </w:r>
            <w:r w:rsidR="00174C6D">
              <w:t>88</w:t>
            </w:r>
            <w:r w:rsidRPr="00A2420E">
              <w:t>%</w:t>
            </w:r>
          </w:p>
        </w:tc>
      </w:tr>
      <w:tr w:rsidR="00BD6F8C" w14:paraId="4FD0634B" w14:textId="094E559C" w:rsidTr="00C23C03">
        <w:trPr>
          <w:trHeight w:val="85"/>
        </w:trPr>
        <w:tc>
          <w:tcPr>
            <w:tcW w:w="1622" w:type="pct"/>
            <w:vAlign w:val="center"/>
          </w:tcPr>
          <w:p w14:paraId="265812EC" w14:textId="683DA096" w:rsidR="00BD6F8C" w:rsidRPr="00C23C03" w:rsidRDefault="0086192D" w:rsidP="00C23C03">
            <w:pPr>
              <w:pStyle w:val="TableText"/>
            </w:pPr>
            <w:r w:rsidRPr="00C23C03">
              <w:t>Total cost</w:t>
            </w:r>
          </w:p>
        </w:tc>
        <w:tc>
          <w:tcPr>
            <w:tcW w:w="845" w:type="pct"/>
            <w:vAlign w:val="center"/>
          </w:tcPr>
          <w:p w14:paraId="1BDAADCB" w14:textId="210F065C" w:rsidR="00BD6F8C" w:rsidRPr="00C23C03" w:rsidRDefault="000B2E95" w:rsidP="00C23C03">
            <w:pPr>
              <w:pStyle w:val="TableText"/>
            </w:pPr>
            <w:r w:rsidRPr="00C23C03">
              <w:t>$41,898.04</w:t>
            </w:r>
          </w:p>
        </w:tc>
        <w:tc>
          <w:tcPr>
            <w:tcW w:w="845" w:type="pct"/>
            <w:vAlign w:val="center"/>
          </w:tcPr>
          <w:p w14:paraId="2F4A1838" w14:textId="5873C9C4" w:rsidR="00BD6F8C" w:rsidRPr="00C23C03" w:rsidRDefault="000B2E95" w:rsidP="00C23C03">
            <w:pPr>
              <w:pStyle w:val="TableText"/>
            </w:pPr>
            <w:r w:rsidRPr="00C23C03">
              <w:t>$65,966.15</w:t>
            </w:r>
          </w:p>
        </w:tc>
        <w:tc>
          <w:tcPr>
            <w:tcW w:w="844" w:type="pct"/>
            <w:vAlign w:val="center"/>
          </w:tcPr>
          <w:p w14:paraId="488FDD28" w14:textId="301F9CA4" w:rsidR="00BD6F8C" w:rsidRPr="00C23C03" w:rsidRDefault="002C05CD" w:rsidP="00C23C03">
            <w:pPr>
              <w:pStyle w:val="TableText"/>
            </w:pPr>
            <w:r>
              <w:t>−</w:t>
            </w:r>
            <w:r w:rsidR="005567F9" w:rsidRPr="00C23C03">
              <w:t>$24,068.10</w:t>
            </w:r>
          </w:p>
        </w:tc>
        <w:tc>
          <w:tcPr>
            <w:tcW w:w="844" w:type="pct"/>
            <w:vAlign w:val="center"/>
          </w:tcPr>
          <w:p w14:paraId="462E8CDF" w14:textId="1B31719B" w:rsidR="00114C7C" w:rsidRPr="00C23C03" w:rsidRDefault="00114C7C" w:rsidP="00C23C03">
            <w:pPr>
              <w:pStyle w:val="TableText"/>
            </w:pPr>
            <w:r w:rsidRPr="00C23C03">
              <w:t>NA</w:t>
            </w:r>
          </w:p>
        </w:tc>
      </w:tr>
    </w:tbl>
    <w:p w14:paraId="0E3437CE" w14:textId="7EDEEA60" w:rsidR="00174C6D" w:rsidRPr="00F65B89" w:rsidRDefault="00174C6D" w:rsidP="00C70F89">
      <w:pPr>
        <w:pStyle w:val="Tablenotes0"/>
        <w:rPr>
          <w:noProof/>
        </w:rPr>
      </w:pPr>
      <w:r>
        <w:rPr>
          <w:noProof/>
        </w:rPr>
        <w:t xml:space="preserve">Abbrevations: </w:t>
      </w:r>
      <w:r w:rsidRPr="00F65B89">
        <w:rPr>
          <w:noProof/>
        </w:rPr>
        <w:t>ASCS</w:t>
      </w:r>
      <w:r w:rsidR="00475CE2">
        <w:rPr>
          <w:noProof/>
        </w:rPr>
        <w:t xml:space="preserve"> </w:t>
      </w:r>
      <w:r w:rsidRPr="00F65B89">
        <w:rPr>
          <w:noProof/>
        </w:rPr>
        <w:t>= autologous skin cell suspension</w:t>
      </w:r>
      <w:r>
        <w:rPr>
          <w:noProof/>
        </w:rPr>
        <w:t xml:space="preserve">; </w:t>
      </w:r>
      <w:r w:rsidRPr="00F65B89">
        <w:rPr>
          <w:noProof/>
        </w:rPr>
        <w:t>LOS</w:t>
      </w:r>
      <w:r w:rsidR="00475CE2">
        <w:rPr>
          <w:noProof/>
        </w:rPr>
        <w:t xml:space="preserve"> </w:t>
      </w:r>
      <w:r w:rsidRPr="00F65B89">
        <w:rPr>
          <w:noProof/>
        </w:rPr>
        <w:t>= length of</w:t>
      </w:r>
      <w:r w:rsidR="008844BE">
        <w:rPr>
          <w:noProof/>
        </w:rPr>
        <w:t xml:space="preserve"> hospital</w:t>
      </w:r>
      <w:r w:rsidRPr="00F65B89">
        <w:rPr>
          <w:noProof/>
        </w:rPr>
        <w:t xml:space="preserve"> stay; </w:t>
      </w:r>
      <w:r w:rsidR="007706EC">
        <w:rPr>
          <w:noProof/>
        </w:rPr>
        <w:t>NA</w:t>
      </w:r>
      <w:r w:rsidR="00475CE2">
        <w:rPr>
          <w:noProof/>
        </w:rPr>
        <w:t xml:space="preserve"> </w:t>
      </w:r>
      <w:r w:rsidR="007706EC">
        <w:rPr>
          <w:noProof/>
        </w:rPr>
        <w:t xml:space="preserve">= not applicable; </w:t>
      </w:r>
      <w:r w:rsidRPr="00F65B89">
        <w:rPr>
          <w:noProof/>
        </w:rPr>
        <w:t>STSG</w:t>
      </w:r>
      <w:r w:rsidR="00475CE2">
        <w:rPr>
          <w:noProof/>
        </w:rPr>
        <w:t xml:space="preserve"> </w:t>
      </w:r>
      <w:r w:rsidRPr="00F65B89">
        <w:rPr>
          <w:noProof/>
        </w:rPr>
        <w:t>= split-thickness skin graft; TBSA</w:t>
      </w:r>
      <w:r w:rsidR="00475CE2">
        <w:rPr>
          <w:noProof/>
        </w:rPr>
        <w:t xml:space="preserve"> </w:t>
      </w:r>
      <w:r w:rsidRPr="00F65B89">
        <w:rPr>
          <w:noProof/>
        </w:rPr>
        <w:t>= total body surface area</w:t>
      </w:r>
    </w:p>
    <w:p w14:paraId="30B823F7" w14:textId="353ADE25" w:rsidR="0001620B" w:rsidRPr="003A382E" w:rsidRDefault="00174C6D" w:rsidP="003A382E">
      <w:pPr>
        <w:pStyle w:val="Tablenotes0"/>
        <w:rPr>
          <w:rStyle w:val="IntenseEmphasis"/>
          <w:noProof/>
          <w:color w:val="000000" w:themeColor="text1"/>
        </w:rPr>
      </w:pPr>
      <w:r w:rsidRPr="00F65B89">
        <w:rPr>
          <w:rStyle w:val="IntenseEmphasis"/>
          <w:rFonts w:eastAsiaTheme="majorEastAsia"/>
          <w:color w:val="000000" w:themeColor="text1"/>
        </w:rPr>
        <w:t xml:space="preserve">Source: </w:t>
      </w:r>
      <w:r>
        <w:rPr>
          <w:rStyle w:val="IntenseEmphasis"/>
          <w:rFonts w:eastAsiaTheme="majorEastAsia"/>
          <w:color w:val="000000" w:themeColor="text1"/>
        </w:rPr>
        <w:t>Attachment 3.1 Costing analysis, cal</w:t>
      </w:r>
      <w:r w:rsidR="00C66455">
        <w:rPr>
          <w:rStyle w:val="IntenseEmphasis"/>
          <w:rFonts w:eastAsiaTheme="majorEastAsia"/>
          <w:color w:val="000000" w:themeColor="text1"/>
        </w:rPr>
        <w:t>culated during the commentary</w:t>
      </w:r>
    </w:p>
    <w:p w14:paraId="2142FD67" w14:textId="1BC9CACA" w:rsidR="003A382E" w:rsidRPr="003A382E" w:rsidRDefault="007503D4" w:rsidP="003A382E">
      <w:pPr>
        <w:pStyle w:val="Instructionaltext"/>
        <w:rPr>
          <w:noProof/>
          <w:color w:val="auto"/>
        </w:rPr>
      </w:pPr>
      <w:r w:rsidRPr="003D58E9">
        <w:rPr>
          <w:color w:val="auto"/>
        </w:rPr>
        <w:t xml:space="preserve">The key </w:t>
      </w:r>
      <w:r w:rsidR="00FA7A8A" w:rsidRPr="003D58E9">
        <w:rPr>
          <w:color w:val="auto"/>
        </w:rPr>
        <w:t>drivers of the costing analysis are summarised in</w:t>
      </w:r>
      <w:r w:rsidR="007675DA" w:rsidRPr="003D58E9">
        <w:rPr>
          <w:color w:val="auto"/>
        </w:rPr>
        <w:t xml:space="preserve"> </w:t>
      </w:r>
      <w:r w:rsidR="007675DA" w:rsidRPr="003D58E9">
        <w:rPr>
          <w:color w:val="auto"/>
        </w:rPr>
        <w:fldChar w:fldCharType="begin"/>
      </w:r>
      <w:r w:rsidR="007675DA" w:rsidRPr="00EB2621">
        <w:rPr>
          <w:color w:val="auto"/>
        </w:rPr>
        <w:instrText xml:space="preserve"> REF _Ref69726321 \h </w:instrText>
      </w:r>
      <w:r w:rsidR="00844146" w:rsidRPr="00EB2621">
        <w:rPr>
          <w:color w:val="auto"/>
        </w:rPr>
        <w:instrText xml:space="preserve"> \* MERGEFORMAT </w:instrText>
      </w:r>
      <w:r w:rsidR="007675DA" w:rsidRPr="003D58E9">
        <w:rPr>
          <w:color w:val="auto"/>
        </w:rPr>
      </w:r>
      <w:r w:rsidR="007675DA" w:rsidRPr="003D58E9">
        <w:rPr>
          <w:color w:val="auto"/>
        </w:rPr>
        <w:fldChar w:fldCharType="separate"/>
      </w:r>
      <w:r w:rsidR="00487E4A" w:rsidRPr="00487E4A">
        <w:rPr>
          <w:color w:val="auto"/>
        </w:rPr>
        <w:t>Table 16</w:t>
      </w:r>
      <w:r w:rsidR="007675DA" w:rsidRPr="003D58E9">
        <w:rPr>
          <w:color w:val="auto"/>
        </w:rPr>
        <w:fldChar w:fldCharType="end"/>
      </w:r>
      <w:r w:rsidR="007675DA" w:rsidRPr="003D58E9">
        <w:rPr>
          <w:noProof/>
          <w:color w:val="auto"/>
        </w:rPr>
        <w:t xml:space="preserve">. </w:t>
      </w:r>
    </w:p>
    <w:p w14:paraId="708EBBC4" w14:textId="38DCC121" w:rsidR="002F32FB" w:rsidRPr="004C18BB" w:rsidRDefault="002F32FB" w:rsidP="0088128C">
      <w:pPr>
        <w:pStyle w:val="TableHeading0"/>
        <w:keepNext/>
        <w:keepLines/>
      </w:pPr>
      <w:bookmarkStart w:id="78" w:name="_Ref69726321"/>
      <w:bookmarkEnd w:id="76"/>
      <w:r w:rsidRPr="004C18BB">
        <w:lastRenderedPageBreak/>
        <w:t>Table</w:t>
      </w:r>
      <w:r w:rsidR="003571C2" w:rsidRPr="004C18BB">
        <w:t> </w:t>
      </w:r>
      <w:r w:rsidR="0099088A" w:rsidRPr="000D4886">
        <w:fldChar w:fldCharType="begin"/>
      </w:r>
      <w:r w:rsidR="0099088A">
        <w:instrText xml:space="preserve"> SEQ Table \* ARABIC </w:instrText>
      </w:r>
      <w:r w:rsidR="0099088A" w:rsidRPr="000D4886">
        <w:fldChar w:fldCharType="separate"/>
      </w:r>
      <w:r w:rsidR="00487E4A">
        <w:rPr>
          <w:noProof/>
        </w:rPr>
        <w:t>16</w:t>
      </w:r>
      <w:r w:rsidR="0099088A" w:rsidRPr="000D4886">
        <w:rPr>
          <w:noProof/>
        </w:rPr>
        <w:fldChar w:fldCharType="end"/>
      </w:r>
      <w:bookmarkEnd w:id="78"/>
      <w:r w:rsidR="00B02163">
        <w:t>:</w:t>
      </w:r>
      <w:r w:rsidR="00C825ED">
        <w:t xml:space="preserve"> Key</w:t>
      </w:r>
      <w:r w:rsidRPr="004C18BB">
        <w:t xml:space="preserve"> drivers of the</w:t>
      </w:r>
      <w:r w:rsidR="007675DA" w:rsidRPr="004C18BB">
        <w:t xml:space="preserve"> </w:t>
      </w:r>
      <w:r w:rsidR="007675DA" w:rsidRPr="008737A9">
        <w:t>costing analysis</w:t>
      </w:r>
    </w:p>
    <w:tbl>
      <w:tblPr>
        <w:tblStyle w:val="TableGrid1"/>
        <w:tblW w:w="9016" w:type="dxa"/>
        <w:tblLayout w:type="fixed"/>
        <w:tblLook w:val="04A0" w:firstRow="1" w:lastRow="0" w:firstColumn="1" w:lastColumn="0" w:noHBand="0" w:noVBand="1"/>
      </w:tblPr>
      <w:tblGrid>
        <w:gridCol w:w="1436"/>
        <w:gridCol w:w="4042"/>
        <w:gridCol w:w="3538"/>
      </w:tblGrid>
      <w:tr w:rsidR="005415FA" w:rsidRPr="005415FA" w14:paraId="11B0BC91" w14:textId="77777777" w:rsidTr="00E73BBB">
        <w:trPr>
          <w:cnfStyle w:val="100000000000" w:firstRow="1" w:lastRow="0" w:firstColumn="0" w:lastColumn="0" w:oddVBand="0" w:evenVBand="0" w:oddHBand="0" w:evenHBand="0" w:firstRowFirstColumn="0" w:firstRowLastColumn="0" w:lastRowFirstColumn="0" w:lastRowLastColumn="0"/>
          <w:cantSplit/>
          <w:trHeight w:val="300"/>
          <w:tblHeader/>
        </w:trPr>
        <w:tc>
          <w:tcPr>
            <w:tcW w:w="1436" w:type="dxa"/>
          </w:tcPr>
          <w:p w14:paraId="2EC6365B" w14:textId="77777777" w:rsidR="002F32FB" w:rsidRPr="000E7210" w:rsidRDefault="002F32FB" w:rsidP="0088128C">
            <w:pPr>
              <w:pStyle w:val="TableText"/>
              <w:keepNext/>
              <w:keepLines/>
              <w:rPr>
                <w:b/>
              </w:rPr>
            </w:pPr>
            <w:bookmarkStart w:id="79" w:name="Title_Table10" w:colFirst="0" w:colLast="0"/>
            <w:bookmarkStart w:id="80" w:name="_Hlk68276626"/>
            <w:r w:rsidRPr="000E7210">
              <w:rPr>
                <w:b/>
              </w:rPr>
              <w:t>Description</w:t>
            </w:r>
          </w:p>
        </w:tc>
        <w:tc>
          <w:tcPr>
            <w:tcW w:w="4042" w:type="dxa"/>
          </w:tcPr>
          <w:p w14:paraId="0520071F" w14:textId="77777777" w:rsidR="002F32FB" w:rsidRPr="000E7210" w:rsidRDefault="002F32FB" w:rsidP="0088128C">
            <w:pPr>
              <w:pStyle w:val="TableText"/>
              <w:keepNext/>
              <w:keepLines/>
              <w:rPr>
                <w:b/>
              </w:rPr>
            </w:pPr>
            <w:r w:rsidRPr="000E7210">
              <w:rPr>
                <w:b/>
              </w:rPr>
              <w:t>Method/Value</w:t>
            </w:r>
          </w:p>
        </w:tc>
        <w:tc>
          <w:tcPr>
            <w:tcW w:w="3538" w:type="dxa"/>
          </w:tcPr>
          <w:p w14:paraId="38BDDD5F" w14:textId="77777777" w:rsidR="002F32FB" w:rsidRPr="008737A9" w:rsidRDefault="002F32FB" w:rsidP="0088128C">
            <w:pPr>
              <w:pStyle w:val="TableText"/>
              <w:keepNext/>
              <w:keepLines/>
            </w:pPr>
            <w:r w:rsidRPr="000E7210">
              <w:rPr>
                <w:b/>
              </w:rPr>
              <w:t>Impact</w:t>
            </w:r>
          </w:p>
          <w:p w14:paraId="66E24653" w14:textId="45CD4B69" w:rsidR="005415FA" w:rsidRPr="000E7210" w:rsidRDefault="002F32FB" w:rsidP="0088128C">
            <w:pPr>
              <w:pStyle w:val="TableText"/>
              <w:keepNext/>
              <w:keepLines/>
              <w:rPr>
                <w:rFonts w:cs="Arial"/>
                <w:b/>
              </w:rPr>
            </w:pPr>
            <w:r w:rsidRPr="000E7210">
              <w:rPr>
                <w:rFonts w:cs="Arial"/>
                <w:b/>
              </w:rPr>
              <w:t xml:space="preserve">Base case: </w:t>
            </w:r>
            <w:r w:rsidR="00812ACD" w:rsidRPr="000E7210">
              <w:rPr>
                <w:rFonts w:cs="Arial"/>
                <w:b/>
              </w:rPr>
              <w:t xml:space="preserve">cost saving </w:t>
            </w:r>
            <w:r w:rsidRPr="000E7210">
              <w:rPr>
                <w:rFonts w:cs="Arial"/>
                <w:b/>
              </w:rPr>
              <w:t>$</w:t>
            </w:r>
            <w:r w:rsidR="00C640AA" w:rsidRPr="000E7210">
              <w:rPr>
                <w:rFonts w:cs="Arial"/>
                <w:b/>
              </w:rPr>
              <w:t>24,0</w:t>
            </w:r>
            <w:r w:rsidR="00812ACD" w:rsidRPr="000E7210">
              <w:rPr>
                <w:rFonts w:cs="Arial"/>
                <w:b/>
              </w:rPr>
              <w:t>68.10 per patient</w:t>
            </w:r>
          </w:p>
        </w:tc>
      </w:tr>
      <w:bookmarkEnd w:id="79"/>
      <w:tr w:rsidR="00803D01" w:rsidRPr="000D4886" w14:paraId="65F2DB8D" w14:textId="77777777" w:rsidTr="00E73BBB">
        <w:trPr>
          <w:cantSplit/>
          <w:trHeight w:val="300"/>
        </w:trPr>
        <w:tc>
          <w:tcPr>
            <w:tcW w:w="1436" w:type="dxa"/>
          </w:tcPr>
          <w:p w14:paraId="443EB50E" w14:textId="6FD2E491" w:rsidR="002F32FB" w:rsidRPr="008737A9" w:rsidRDefault="009A4963" w:rsidP="0088128C">
            <w:pPr>
              <w:pStyle w:val="TableText"/>
              <w:keepNext/>
              <w:keepLines/>
            </w:pPr>
            <w:r w:rsidRPr="008737A9">
              <w:t>LOS</w:t>
            </w:r>
          </w:p>
        </w:tc>
        <w:tc>
          <w:tcPr>
            <w:tcW w:w="4042" w:type="dxa"/>
          </w:tcPr>
          <w:p w14:paraId="0EB50894" w14:textId="4F287873" w:rsidR="002F32FB" w:rsidRPr="008737A9" w:rsidRDefault="00ED56B1" w:rsidP="0088128C">
            <w:pPr>
              <w:pStyle w:val="TableText"/>
              <w:keepNext/>
              <w:keepLines/>
            </w:pPr>
            <w:r w:rsidRPr="008737A9">
              <w:t xml:space="preserve">Average LOS informed by </w:t>
            </w:r>
            <w:r w:rsidR="00765D3E" w:rsidRPr="008737A9">
              <w:t>Carter et.al. (2022)</w:t>
            </w:r>
            <w:r w:rsidR="00C86314" w:rsidRPr="008737A9">
              <w:rPr>
                <w:vertAlign w:val="superscript"/>
              </w:rPr>
              <w:fldChar w:fldCharType="begin"/>
            </w:r>
            <w:r w:rsidR="00C86314" w:rsidRPr="008737A9">
              <w:rPr>
                <w:vertAlign w:val="superscript"/>
              </w:rPr>
              <w:instrText xml:space="preserve"> NOTEREF _Ref193107306 \h </w:instrText>
            </w:r>
            <w:r w:rsidR="00C86314">
              <w:rPr>
                <w:noProof/>
                <w:vertAlign w:val="superscript"/>
              </w:rPr>
              <w:instrText xml:space="preserve"> \* MERGEFORMA</w:instrText>
            </w:r>
            <w:r w:rsidR="00C86314" w:rsidRPr="008737A9">
              <w:rPr>
                <w:vertAlign w:val="superscript"/>
              </w:rPr>
              <w:instrText>T</w:instrText>
            </w:r>
            <w:r w:rsidR="00C86314" w:rsidRPr="00600776">
              <w:rPr>
                <w:vertAlign w:val="superscript"/>
              </w:rPr>
              <w:instrText xml:space="preserve"> </w:instrText>
            </w:r>
            <w:r w:rsidR="00C86314" w:rsidRPr="008737A9">
              <w:rPr>
                <w:vertAlign w:val="superscript"/>
              </w:rPr>
            </w:r>
            <w:r w:rsidR="00C86314" w:rsidRPr="008737A9">
              <w:rPr>
                <w:vertAlign w:val="superscript"/>
              </w:rPr>
              <w:fldChar w:fldCharType="separate"/>
            </w:r>
            <w:r w:rsidR="00487E4A">
              <w:rPr>
                <w:noProof/>
                <w:vertAlign w:val="superscript"/>
              </w:rPr>
              <w:t>11</w:t>
            </w:r>
            <w:r w:rsidR="00C86314" w:rsidRPr="008737A9">
              <w:rPr>
                <w:vertAlign w:val="superscript"/>
              </w:rPr>
              <w:fldChar w:fldCharType="end"/>
            </w:r>
            <w:r w:rsidR="00765D3E" w:rsidRPr="008737A9">
              <w:t xml:space="preserve"> </w:t>
            </w:r>
            <w:r w:rsidR="00F51042" w:rsidRPr="008737A9">
              <w:t xml:space="preserve">applied in the </w:t>
            </w:r>
            <w:r w:rsidR="00265551" w:rsidRPr="008737A9">
              <w:t xml:space="preserve">base case </w:t>
            </w:r>
            <w:r w:rsidR="00F51042" w:rsidRPr="008737A9">
              <w:t>analysis</w:t>
            </w:r>
            <w:r w:rsidR="00163FE1">
              <w:t xml:space="preserve"> for both the intervention and comparator</w:t>
            </w:r>
            <w:r w:rsidR="00F51042" w:rsidRPr="008737A9">
              <w:t>. Th</w:t>
            </w:r>
            <w:r w:rsidR="00996022" w:rsidRPr="008737A9">
              <w:t xml:space="preserve">is </w:t>
            </w:r>
            <w:r w:rsidR="00B70812" w:rsidRPr="008737A9">
              <w:t xml:space="preserve">LOS </w:t>
            </w:r>
            <w:r w:rsidR="00996022" w:rsidRPr="008737A9">
              <w:t xml:space="preserve">was reported </w:t>
            </w:r>
            <w:r w:rsidR="00B70812" w:rsidRPr="008737A9">
              <w:t>based on e</w:t>
            </w:r>
            <w:r w:rsidR="000E4BDC" w:rsidRPr="008737A9">
              <w:t xml:space="preserve">lectronic medical record data </w:t>
            </w:r>
            <w:r w:rsidR="00CC7723">
              <w:t xml:space="preserve">collected </w:t>
            </w:r>
            <w:r w:rsidR="00897DDD">
              <w:t>from January 2019 to August 2020 at</w:t>
            </w:r>
            <w:r w:rsidR="000E4BDC" w:rsidRPr="008737A9">
              <w:t xml:space="preserve"> 500 health</w:t>
            </w:r>
            <w:r w:rsidR="00E7536E" w:rsidRPr="008737A9">
              <w:t xml:space="preserve"> </w:t>
            </w:r>
            <w:r w:rsidR="000E4BDC" w:rsidRPr="008737A9">
              <w:t xml:space="preserve">facilities. </w:t>
            </w:r>
            <w:r w:rsidR="00E70161">
              <w:rPr>
                <w:noProof/>
              </w:rPr>
              <w:t xml:space="preserve">Alternative </w:t>
            </w:r>
            <w:r w:rsidR="00E70161" w:rsidRPr="00937401">
              <w:rPr>
                <w:noProof/>
              </w:rPr>
              <w:t>sc</w:t>
            </w:r>
            <w:r w:rsidR="005D64DA">
              <w:rPr>
                <w:noProof/>
              </w:rPr>
              <w:t>e</w:t>
            </w:r>
            <w:r w:rsidR="00E70161" w:rsidRPr="00937401">
              <w:rPr>
                <w:noProof/>
              </w:rPr>
              <w:t>n</w:t>
            </w:r>
            <w:r w:rsidR="005D64DA">
              <w:rPr>
                <w:noProof/>
              </w:rPr>
              <w:t>a</w:t>
            </w:r>
            <w:r w:rsidR="00E70161" w:rsidRPr="00937401">
              <w:rPr>
                <w:noProof/>
              </w:rPr>
              <w:t>rio</w:t>
            </w:r>
            <w:r w:rsidR="00370059" w:rsidRPr="00937401">
              <w:rPr>
                <w:noProof/>
              </w:rPr>
              <w:t>s</w:t>
            </w:r>
            <w:r w:rsidR="00E70161">
              <w:rPr>
                <w:noProof/>
              </w:rPr>
              <w:t xml:space="preserve"> of</w:t>
            </w:r>
            <w:r w:rsidR="006F1979" w:rsidRPr="008737A9">
              <w:t xml:space="preserve"> </w:t>
            </w:r>
            <w:r w:rsidR="00E7536E" w:rsidRPr="008737A9">
              <w:t>±</w:t>
            </w:r>
            <w:r w:rsidR="00B730F6" w:rsidRPr="008737A9">
              <w:t xml:space="preserve">10% LOS </w:t>
            </w:r>
            <w:r w:rsidR="00E84463">
              <w:t>for</w:t>
            </w:r>
            <w:r w:rsidR="00163FE1">
              <w:t xml:space="preserve"> ASCS</w:t>
            </w:r>
            <w:r w:rsidR="00506F82">
              <w:t xml:space="preserve"> </w:t>
            </w:r>
            <w:r w:rsidR="00163FE1">
              <w:t>±</w:t>
            </w:r>
            <w:r w:rsidR="00506F82">
              <w:t xml:space="preserve"> </w:t>
            </w:r>
            <w:r w:rsidR="00163FE1">
              <w:t>STSG</w:t>
            </w:r>
            <w:r w:rsidR="00B730F6" w:rsidRPr="008737A9">
              <w:t xml:space="preserve"> </w:t>
            </w:r>
            <w:r w:rsidR="00370059" w:rsidRPr="00937401">
              <w:rPr>
                <w:noProof/>
              </w:rPr>
              <w:t xml:space="preserve">were </w:t>
            </w:r>
            <w:r w:rsidR="00E70161">
              <w:rPr>
                <w:noProof/>
              </w:rPr>
              <w:t>appl</w:t>
            </w:r>
            <w:r w:rsidR="00645B52">
              <w:rPr>
                <w:noProof/>
              </w:rPr>
              <w:t>i</w:t>
            </w:r>
            <w:r w:rsidR="00E70161">
              <w:rPr>
                <w:noProof/>
              </w:rPr>
              <w:t>ed</w:t>
            </w:r>
            <w:r w:rsidR="00E70161" w:rsidRPr="00937401">
              <w:rPr>
                <w:noProof/>
              </w:rPr>
              <w:t xml:space="preserve"> in </w:t>
            </w:r>
            <w:r w:rsidR="00043D12">
              <w:rPr>
                <w:noProof/>
              </w:rPr>
              <w:t>sensitivity analysis</w:t>
            </w:r>
            <w:r w:rsidR="00383477">
              <w:rPr>
                <w:noProof/>
              </w:rPr>
              <w:t xml:space="preserve"> undertaken in the ADAR</w:t>
            </w:r>
            <w:r w:rsidR="00313308" w:rsidRPr="008737A9">
              <w:t xml:space="preserve">. </w:t>
            </w:r>
            <w:r w:rsidR="001E5832">
              <w:rPr>
                <w:noProof/>
              </w:rPr>
              <w:t xml:space="preserve">LOS </w:t>
            </w:r>
            <w:r w:rsidR="007604B2">
              <w:rPr>
                <w:noProof/>
              </w:rPr>
              <w:t>inputs</w:t>
            </w:r>
            <w:r w:rsidR="001E5832">
              <w:rPr>
                <w:noProof/>
              </w:rPr>
              <w:t xml:space="preserve"> informed by </w:t>
            </w:r>
            <w:r w:rsidR="00F943A7">
              <w:rPr>
                <w:noProof/>
              </w:rPr>
              <w:t xml:space="preserve">Kowal et al. </w:t>
            </w:r>
            <w:r w:rsidR="00FC702B">
              <w:rPr>
                <w:noProof/>
              </w:rPr>
              <w:t>(</w:t>
            </w:r>
            <w:r w:rsidR="00F943A7">
              <w:rPr>
                <w:noProof/>
              </w:rPr>
              <w:t>2</w:t>
            </w:r>
            <w:r w:rsidR="003A6D9D">
              <w:rPr>
                <w:noProof/>
              </w:rPr>
              <w:t>019</w:t>
            </w:r>
            <w:r w:rsidR="00FC702B">
              <w:rPr>
                <w:noProof/>
              </w:rPr>
              <w:t>)</w:t>
            </w:r>
            <w:r w:rsidR="007F0BCC" w:rsidRPr="008737A9">
              <w:rPr>
                <w:vertAlign w:val="superscript"/>
              </w:rPr>
              <w:fldChar w:fldCharType="begin"/>
            </w:r>
            <w:r w:rsidR="007F0BCC" w:rsidRPr="008737A9">
              <w:rPr>
                <w:vertAlign w:val="superscript"/>
              </w:rPr>
              <w:instrText xml:space="preserve"> NOTEREF _Ref193107351 \h </w:instrText>
            </w:r>
            <w:r w:rsidR="007F0BCC">
              <w:rPr>
                <w:noProof/>
                <w:vertAlign w:val="superscript"/>
              </w:rPr>
              <w:instrText xml:space="preserve"> \* MERGEFORMAT </w:instrText>
            </w:r>
            <w:r w:rsidR="007F0BCC" w:rsidRPr="008737A9">
              <w:rPr>
                <w:vertAlign w:val="superscript"/>
              </w:rPr>
            </w:r>
            <w:r w:rsidR="007F0BCC" w:rsidRPr="008737A9">
              <w:rPr>
                <w:vertAlign w:val="superscript"/>
              </w:rPr>
              <w:fldChar w:fldCharType="separate"/>
            </w:r>
            <w:r w:rsidR="00487E4A">
              <w:rPr>
                <w:vertAlign w:val="superscript"/>
              </w:rPr>
              <w:t>12</w:t>
            </w:r>
            <w:r w:rsidR="007F0BCC" w:rsidRPr="008737A9">
              <w:rPr>
                <w:vertAlign w:val="superscript"/>
              </w:rPr>
              <w:fldChar w:fldCharType="end"/>
            </w:r>
            <w:r w:rsidR="003A6D9D">
              <w:rPr>
                <w:noProof/>
              </w:rPr>
              <w:t xml:space="preserve">/Foster et al. </w:t>
            </w:r>
            <w:r w:rsidR="00FC702B">
              <w:rPr>
                <w:noProof/>
              </w:rPr>
              <w:t>(</w:t>
            </w:r>
            <w:r w:rsidR="003A6D9D">
              <w:rPr>
                <w:noProof/>
              </w:rPr>
              <w:t>2021</w:t>
            </w:r>
            <w:r w:rsidR="00FC702B">
              <w:rPr>
                <w:noProof/>
              </w:rPr>
              <w:t>)</w:t>
            </w:r>
            <w:r w:rsidR="00866967" w:rsidRPr="006527C9">
              <w:rPr>
                <w:noProof/>
                <w:vertAlign w:val="superscript"/>
              </w:rPr>
              <w:fldChar w:fldCharType="begin"/>
            </w:r>
            <w:r w:rsidR="00866967" w:rsidRPr="006527C9">
              <w:rPr>
                <w:noProof/>
                <w:vertAlign w:val="superscript"/>
              </w:rPr>
              <w:instrText xml:space="preserve"> NOTEREF _Ref197523258 \h </w:instrText>
            </w:r>
            <w:r w:rsidR="00866967">
              <w:rPr>
                <w:noProof/>
                <w:vertAlign w:val="superscript"/>
              </w:rPr>
              <w:instrText xml:space="preserve"> \* MERGEFORMAT </w:instrText>
            </w:r>
            <w:r w:rsidR="00866967" w:rsidRPr="006527C9">
              <w:rPr>
                <w:noProof/>
                <w:vertAlign w:val="superscript"/>
              </w:rPr>
            </w:r>
            <w:r w:rsidR="00866967" w:rsidRPr="006527C9">
              <w:rPr>
                <w:noProof/>
                <w:vertAlign w:val="superscript"/>
              </w:rPr>
              <w:fldChar w:fldCharType="separate"/>
            </w:r>
            <w:r w:rsidR="00487E4A">
              <w:rPr>
                <w:noProof/>
                <w:vertAlign w:val="superscript"/>
              </w:rPr>
              <w:t>15</w:t>
            </w:r>
            <w:r w:rsidR="00866967" w:rsidRPr="006527C9">
              <w:rPr>
                <w:noProof/>
                <w:vertAlign w:val="superscript"/>
              </w:rPr>
              <w:fldChar w:fldCharType="end"/>
            </w:r>
            <w:r w:rsidR="003A6D9D">
              <w:rPr>
                <w:noProof/>
              </w:rPr>
              <w:t xml:space="preserve"> </w:t>
            </w:r>
            <w:r w:rsidR="007E5061">
              <w:rPr>
                <w:noProof/>
              </w:rPr>
              <w:t xml:space="preserve">seperately for FT and DPT </w:t>
            </w:r>
            <w:r w:rsidR="00847F10">
              <w:rPr>
                <w:noProof/>
              </w:rPr>
              <w:t xml:space="preserve">burns </w:t>
            </w:r>
            <w:r w:rsidR="003A6D9D">
              <w:rPr>
                <w:noProof/>
              </w:rPr>
              <w:t xml:space="preserve">were applied </w:t>
            </w:r>
            <w:r w:rsidR="0063309C">
              <w:rPr>
                <w:noProof/>
              </w:rPr>
              <w:t xml:space="preserve">in </w:t>
            </w:r>
            <w:r w:rsidR="00383477">
              <w:rPr>
                <w:noProof/>
              </w:rPr>
              <w:t xml:space="preserve">additional </w:t>
            </w:r>
            <w:r w:rsidR="0063309C">
              <w:rPr>
                <w:noProof/>
              </w:rPr>
              <w:t>sensitivity analysis</w:t>
            </w:r>
            <w:r w:rsidR="00383477">
              <w:rPr>
                <w:noProof/>
              </w:rPr>
              <w:t xml:space="preserve"> unde</w:t>
            </w:r>
            <w:r w:rsidR="008C7D70">
              <w:rPr>
                <w:noProof/>
              </w:rPr>
              <w:t>r</w:t>
            </w:r>
            <w:r w:rsidR="00383477">
              <w:rPr>
                <w:noProof/>
              </w:rPr>
              <w:t>taken in the commentary</w:t>
            </w:r>
            <w:r w:rsidR="0063309C">
              <w:rPr>
                <w:noProof/>
              </w:rPr>
              <w:t>.</w:t>
            </w:r>
            <w:r w:rsidR="001E5832">
              <w:rPr>
                <w:noProof/>
              </w:rPr>
              <w:t xml:space="preserve"> </w:t>
            </w:r>
          </w:p>
        </w:tc>
        <w:tc>
          <w:tcPr>
            <w:tcW w:w="3538" w:type="dxa"/>
          </w:tcPr>
          <w:p w14:paraId="02679B40" w14:textId="7ECB9B8D" w:rsidR="009058AD" w:rsidRDefault="00FA2AE3" w:rsidP="0088128C">
            <w:pPr>
              <w:pStyle w:val="TableText"/>
              <w:keepNext/>
              <w:keepLines/>
              <w:rPr>
                <w:noProof/>
              </w:rPr>
            </w:pPr>
            <w:r>
              <w:t>High impact</w:t>
            </w:r>
            <w:r w:rsidR="00E57592" w:rsidRPr="008737A9">
              <w:t xml:space="preserve"> </w:t>
            </w:r>
            <w:r w:rsidR="000D4886" w:rsidRPr="008737A9">
              <w:t xml:space="preserve">potentially favours </w:t>
            </w:r>
            <w:r w:rsidR="000D4886" w:rsidRPr="00C86314">
              <w:rPr>
                <w:iCs/>
                <w:noProof/>
              </w:rPr>
              <w:t xml:space="preserve">ASCS </w:t>
            </w:r>
            <w:r w:rsidR="00C95101">
              <w:rPr>
                <w:iCs/>
                <w:noProof/>
              </w:rPr>
              <w:t xml:space="preserve">± </w:t>
            </w:r>
            <w:r w:rsidR="000D4886" w:rsidRPr="00F65B89">
              <w:rPr>
                <w:noProof/>
              </w:rPr>
              <w:t xml:space="preserve">STSG </w:t>
            </w:r>
            <w:r w:rsidR="0074697C">
              <w:rPr>
                <w:noProof/>
              </w:rPr>
              <w:t>procedure</w:t>
            </w:r>
            <w:r w:rsidR="000D4886">
              <w:rPr>
                <w:noProof/>
              </w:rPr>
              <w:t xml:space="preserve">. </w:t>
            </w:r>
            <w:r w:rsidR="00F43150">
              <w:rPr>
                <w:noProof/>
              </w:rPr>
              <w:t>High uncertainty given</w:t>
            </w:r>
            <w:r w:rsidR="007944A6">
              <w:rPr>
                <w:noProof/>
              </w:rPr>
              <w:t xml:space="preserve"> </w:t>
            </w:r>
            <w:r w:rsidR="007A55DB">
              <w:rPr>
                <w:noProof/>
              </w:rPr>
              <w:t xml:space="preserve">comparative </w:t>
            </w:r>
            <w:r w:rsidR="007944A6">
              <w:rPr>
                <w:noProof/>
              </w:rPr>
              <w:t xml:space="preserve">LOS </w:t>
            </w:r>
            <w:r w:rsidR="00BB30EC">
              <w:rPr>
                <w:noProof/>
              </w:rPr>
              <w:t xml:space="preserve">data based on </w:t>
            </w:r>
            <w:r w:rsidR="003514BB">
              <w:rPr>
                <w:noProof/>
              </w:rPr>
              <w:t>retrospective review</w:t>
            </w:r>
            <w:r w:rsidR="00523D69">
              <w:rPr>
                <w:noProof/>
              </w:rPr>
              <w:t>.</w:t>
            </w:r>
          </w:p>
          <w:p w14:paraId="4E7B2979" w14:textId="05BA495B" w:rsidR="002F32FB" w:rsidRPr="008737A9" w:rsidRDefault="007F4C8B" w:rsidP="0088128C">
            <w:pPr>
              <w:pStyle w:val="TableText"/>
              <w:keepNext/>
              <w:keepLines/>
              <w:rPr>
                <w:i/>
              </w:rPr>
            </w:pPr>
            <w:r>
              <w:rPr>
                <w:noProof/>
              </w:rPr>
              <w:t>A</w:t>
            </w:r>
            <w:r w:rsidR="00D60AC0">
              <w:rPr>
                <w:noProof/>
              </w:rPr>
              <w:t xml:space="preserve"> 10%</w:t>
            </w:r>
            <w:r>
              <w:rPr>
                <w:noProof/>
              </w:rPr>
              <w:t xml:space="preserve"> increase in</w:t>
            </w:r>
            <w:r w:rsidR="00D60AC0">
              <w:rPr>
                <w:noProof/>
              </w:rPr>
              <w:t xml:space="preserve"> LOS </w:t>
            </w:r>
            <w:r>
              <w:rPr>
                <w:noProof/>
              </w:rPr>
              <w:t>resulted in a</w:t>
            </w:r>
            <w:r w:rsidR="00F94665">
              <w:rPr>
                <w:noProof/>
              </w:rPr>
              <w:t xml:space="preserve"> 15.8%</w:t>
            </w:r>
            <w:r w:rsidR="00D60AC0">
              <w:rPr>
                <w:noProof/>
              </w:rPr>
              <w:t xml:space="preserve"> </w:t>
            </w:r>
            <w:r w:rsidR="00626ED3">
              <w:rPr>
                <w:noProof/>
              </w:rPr>
              <w:t xml:space="preserve">reduction in </w:t>
            </w:r>
            <w:r w:rsidR="001E611F">
              <w:rPr>
                <w:noProof/>
              </w:rPr>
              <w:t>cost</w:t>
            </w:r>
            <w:r w:rsidR="00F94665">
              <w:rPr>
                <w:noProof/>
              </w:rPr>
              <w:t xml:space="preserve"> </w:t>
            </w:r>
            <w:r w:rsidR="001E611F">
              <w:rPr>
                <w:noProof/>
              </w:rPr>
              <w:t>saving</w:t>
            </w:r>
            <w:r w:rsidR="00F94665">
              <w:rPr>
                <w:noProof/>
              </w:rPr>
              <w:t>s</w:t>
            </w:r>
            <w:r w:rsidR="001E611F">
              <w:rPr>
                <w:noProof/>
              </w:rPr>
              <w:t xml:space="preserve"> </w:t>
            </w:r>
            <w:r w:rsidR="008F6FBF">
              <w:rPr>
                <w:noProof/>
              </w:rPr>
              <w:t>(incremental cost</w:t>
            </w:r>
            <w:r w:rsidR="00626ED3">
              <w:rPr>
                <w:noProof/>
              </w:rPr>
              <w:t>:</w:t>
            </w:r>
            <w:r w:rsidR="008F6FBF">
              <w:rPr>
                <w:noProof/>
              </w:rPr>
              <w:t xml:space="preserve"> </w:t>
            </w:r>
            <w:r w:rsidR="002308F0">
              <w:rPr>
                <w:noProof/>
              </w:rPr>
              <w:t>-</w:t>
            </w:r>
            <w:r w:rsidR="00D00C34">
              <w:rPr>
                <w:noProof/>
              </w:rPr>
              <w:t>$20,27</w:t>
            </w:r>
            <w:r w:rsidR="007A5C45">
              <w:rPr>
                <w:noProof/>
              </w:rPr>
              <w:t>6.92</w:t>
            </w:r>
            <w:r w:rsidR="000B521B">
              <w:rPr>
                <w:noProof/>
              </w:rPr>
              <w:t xml:space="preserve"> per patient</w:t>
            </w:r>
            <w:r w:rsidR="007A5C45">
              <w:rPr>
                <w:noProof/>
              </w:rPr>
              <w:t>)</w:t>
            </w:r>
            <w:r w:rsidR="000A1DB3">
              <w:rPr>
                <w:noProof/>
              </w:rPr>
              <w:t xml:space="preserve"> while</w:t>
            </w:r>
            <w:r w:rsidR="006A29A1">
              <w:rPr>
                <w:noProof/>
              </w:rPr>
              <w:t xml:space="preserve"> </w:t>
            </w:r>
            <w:r w:rsidR="00626ED3">
              <w:rPr>
                <w:noProof/>
              </w:rPr>
              <w:t xml:space="preserve">a </w:t>
            </w:r>
            <w:r w:rsidR="006A29A1">
              <w:rPr>
                <w:noProof/>
              </w:rPr>
              <w:t>10%</w:t>
            </w:r>
            <w:r w:rsidR="00626ED3">
              <w:rPr>
                <w:noProof/>
              </w:rPr>
              <w:t xml:space="preserve"> decrease in</w:t>
            </w:r>
            <w:r w:rsidR="006A29A1">
              <w:rPr>
                <w:noProof/>
              </w:rPr>
              <w:t xml:space="preserve"> LOS </w:t>
            </w:r>
            <w:r w:rsidR="00626ED3">
              <w:rPr>
                <w:noProof/>
              </w:rPr>
              <w:t>led to a</w:t>
            </w:r>
            <w:r w:rsidR="00A20A08">
              <w:rPr>
                <w:noProof/>
              </w:rPr>
              <w:t xml:space="preserve"> </w:t>
            </w:r>
            <w:r w:rsidR="008629E1">
              <w:rPr>
                <w:noProof/>
              </w:rPr>
              <w:t xml:space="preserve">15.8% </w:t>
            </w:r>
            <w:r w:rsidR="00626ED3">
              <w:rPr>
                <w:noProof/>
              </w:rPr>
              <w:t xml:space="preserve">increase in </w:t>
            </w:r>
            <w:r w:rsidR="00C86314">
              <w:rPr>
                <w:noProof/>
              </w:rPr>
              <w:t>cost</w:t>
            </w:r>
            <w:r w:rsidR="005238F2">
              <w:rPr>
                <w:noProof/>
              </w:rPr>
              <w:t xml:space="preserve"> </w:t>
            </w:r>
            <w:r w:rsidR="00C86314">
              <w:rPr>
                <w:noProof/>
              </w:rPr>
              <w:t>saving</w:t>
            </w:r>
            <w:r w:rsidR="008629E1">
              <w:rPr>
                <w:noProof/>
              </w:rPr>
              <w:t>s</w:t>
            </w:r>
            <w:r w:rsidR="00C86314">
              <w:rPr>
                <w:noProof/>
              </w:rPr>
              <w:t xml:space="preserve"> </w:t>
            </w:r>
            <w:r w:rsidR="007A5C45">
              <w:rPr>
                <w:noProof/>
              </w:rPr>
              <w:t>(incremental cost</w:t>
            </w:r>
            <w:r w:rsidR="000A1DB3">
              <w:rPr>
                <w:noProof/>
              </w:rPr>
              <w:t>:</w:t>
            </w:r>
            <w:r w:rsidR="007A5C45">
              <w:rPr>
                <w:noProof/>
              </w:rPr>
              <w:t xml:space="preserve"> $</w:t>
            </w:r>
            <w:r w:rsidR="000B521B">
              <w:rPr>
                <w:noProof/>
              </w:rPr>
              <w:t>27,859.29 per patient</w:t>
            </w:r>
            <w:r w:rsidR="000B521B" w:rsidRPr="00937401">
              <w:rPr>
                <w:noProof/>
              </w:rPr>
              <w:t>)</w:t>
            </w:r>
            <w:r w:rsidR="00C86314">
              <w:rPr>
                <w:noProof/>
              </w:rPr>
              <w:t xml:space="preserve">. </w:t>
            </w:r>
            <w:r w:rsidR="00DB3805" w:rsidRPr="00937401">
              <w:rPr>
                <w:noProof/>
              </w:rPr>
              <w:t>Use</w:t>
            </w:r>
            <w:r w:rsidR="00DB3805">
              <w:rPr>
                <w:noProof/>
              </w:rPr>
              <w:t xml:space="preserve"> of</w:t>
            </w:r>
            <w:r w:rsidR="0076019A">
              <w:rPr>
                <w:noProof/>
              </w:rPr>
              <w:t xml:space="preserve"> </w:t>
            </w:r>
            <w:r w:rsidR="007D1A6B">
              <w:rPr>
                <w:noProof/>
              </w:rPr>
              <w:t>the alternate</w:t>
            </w:r>
            <w:r w:rsidR="0076019A">
              <w:rPr>
                <w:noProof/>
              </w:rPr>
              <w:t xml:space="preserve"> LOS </w:t>
            </w:r>
            <w:r w:rsidR="007D1A6B">
              <w:rPr>
                <w:noProof/>
              </w:rPr>
              <w:t>inputs</w:t>
            </w:r>
            <w:r w:rsidR="0076019A">
              <w:rPr>
                <w:noProof/>
              </w:rPr>
              <w:t xml:space="preserve"> for FT </w:t>
            </w:r>
            <w:r w:rsidR="00443394">
              <w:rPr>
                <w:noProof/>
              </w:rPr>
              <w:t>and DPT</w:t>
            </w:r>
            <w:r w:rsidR="00847F10">
              <w:rPr>
                <w:noProof/>
              </w:rPr>
              <w:t xml:space="preserve"> burns</w:t>
            </w:r>
            <w:r w:rsidR="0076019A">
              <w:rPr>
                <w:noProof/>
              </w:rPr>
              <w:t xml:space="preserve"> </w:t>
            </w:r>
            <w:r w:rsidR="002A7FD9">
              <w:rPr>
                <w:noProof/>
              </w:rPr>
              <w:t xml:space="preserve">resulted in </w:t>
            </w:r>
            <w:r w:rsidR="00D47DEA">
              <w:rPr>
                <w:noProof/>
              </w:rPr>
              <w:t>33.</w:t>
            </w:r>
            <w:r w:rsidR="00DA41AA">
              <w:rPr>
                <w:noProof/>
              </w:rPr>
              <w:t xml:space="preserve">08% </w:t>
            </w:r>
            <w:r w:rsidR="00443394">
              <w:rPr>
                <w:noProof/>
              </w:rPr>
              <w:t xml:space="preserve">and </w:t>
            </w:r>
            <w:r w:rsidR="008138A0">
              <w:rPr>
                <w:noProof/>
              </w:rPr>
              <w:t xml:space="preserve">23.19% </w:t>
            </w:r>
            <w:r w:rsidR="00AD16FD">
              <w:rPr>
                <w:noProof/>
              </w:rPr>
              <w:t xml:space="preserve">lower </w:t>
            </w:r>
            <w:r w:rsidR="008138A0">
              <w:rPr>
                <w:noProof/>
              </w:rPr>
              <w:t>cost</w:t>
            </w:r>
            <w:r w:rsidR="00B9003E">
              <w:rPr>
                <w:noProof/>
              </w:rPr>
              <w:t xml:space="preserve"> </w:t>
            </w:r>
            <w:r w:rsidR="008138A0" w:rsidRPr="00937401">
              <w:rPr>
                <w:noProof/>
              </w:rPr>
              <w:t>saving</w:t>
            </w:r>
            <w:r w:rsidR="000D3BC5">
              <w:rPr>
                <w:noProof/>
              </w:rPr>
              <w:t>s</w:t>
            </w:r>
            <w:r w:rsidR="00521963">
              <w:rPr>
                <w:noProof/>
              </w:rPr>
              <w:t>, respectively,</w:t>
            </w:r>
            <w:r w:rsidR="008138A0">
              <w:rPr>
                <w:noProof/>
              </w:rPr>
              <w:t xml:space="preserve"> compared to </w:t>
            </w:r>
            <w:r w:rsidR="00AD16FD">
              <w:rPr>
                <w:noProof/>
              </w:rPr>
              <w:t xml:space="preserve">the </w:t>
            </w:r>
            <w:r w:rsidR="008138A0">
              <w:rPr>
                <w:noProof/>
              </w:rPr>
              <w:t>base case.</w:t>
            </w:r>
            <w:r w:rsidR="00DA41AA">
              <w:rPr>
                <w:noProof/>
              </w:rPr>
              <w:t xml:space="preserve"> </w:t>
            </w:r>
          </w:p>
        </w:tc>
      </w:tr>
      <w:tr w:rsidR="00803D01" w:rsidRPr="000D4886" w14:paraId="6395056A" w14:textId="77777777" w:rsidTr="00E73BBB">
        <w:trPr>
          <w:cantSplit/>
          <w:trHeight w:val="300"/>
        </w:trPr>
        <w:tc>
          <w:tcPr>
            <w:tcW w:w="1436" w:type="dxa"/>
          </w:tcPr>
          <w:p w14:paraId="30DD8CD6" w14:textId="71605F83" w:rsidR="002F32FB" w:rsidRPr="008737A9" w:rsidRDefault="009A4963" w:rsidP="0031003A">
            <w:pPr>
              <w:pStyle w:val="TableText"/>
            </w:pPr>
            <w:r w:rsidRPr="008737A9">
              <w:t xml:space="preserve">Number of </w:t>
            </w:r>
            <w:r w:rsidR="00632CCF">
              <w:t xml:space="preserve">definitive </w:t>
            </w:r>
            <w:r w:rsidRPr="008737A9">
              <w:t xml:space="preserve">closure </w:t>
            </w:r>
            <w:r w:rsidRPr="00937401">
              <w:t>procedure</w:t>
            </w:r>
            <w:r w:rsidR="000D3BC5">
              <w:t>s</w:t>
            </w:r>
          </w:p>
        </w:tc>
        <w:tc>
          <w:tcPr>
            <w:tcW w:w="4042" w:type="dxa"/>
          </w:tcPr>
          <w:p w14:paraId="3E70B4B3" w14:textId="3DC03961" w:rsidR="002F32FB" w:rsidRPr="008737A9" w:rsidRDefault="00871DA3" w:rsidP="003B61B7">
            <w:pPr>
              <w:pStyle w:val="TableText"/>
            </w:pPr>
            <w:r>
              <w:rPr>
                <w:noProof/>
              </w:rPr>
              <w:t>As informed by Kowal et</w:t>
            </w:r>
            <w:r w:rsidR="002E72D6">
              <w:rPr>
                <w:noProof/>
              </w:rPr>
              <w:t>.al. (2019)</w:t>
            </w:r>
            <w:r w:rsidR="00093290" w:rsidRPr="00937401">
              <w:rPr>
                <w:vertAlign w:val="superscript"/>
              </w:rPr>
              <w:fldChar w:fldCharType="begin"/>
            </w:r>
            <w:r w:rsidR="00093290" w:rsidRPr="008737A9">
              <w:rPr>
                <w:vertAlign w:val="superscript"/>
              </w:rPr>
              <w:instrText xml:space="preserve"> NOTEREF _Ref193107351 \h </w:instrText>
            </w:r>
            <w:r w:rsidR="00093290">
              <w:rPr>
                <w:noProof/>
                <w:vertAlign w:val="superscript"/>
              </w:rPr>
              <w:instrText xml:space="preserve"> \* MERGEFORMA</w:instrText>
            </w:r>
            <w:r w:rsidR="00093290" w:rsidRPr="008737A9">
              <w:rPr>
                <w:vertAlign w:val="superscript"/>
              </w:rPr>
              <w:instrText>T</w:instrText>
            </w:r>
            <w:r w:rsidR="00093290" w:rsidRPr="00600776">
              <w:rPr>
                <w:vertAlign w:val="superscript"/>
              </w:rPr>
              <w:instrText xml:space="preserve"> </w:instrText>
            </w:r>
            <w:r w:rsidR="00093290" w:rsidRPr="00937401">
              <w:rPr>
                <w:vertAlign w:val="superscript"/>
              </w:rPr>
            </w:r>
            <w:r w:rsidR="00093290" w:rsidRPr="00937401">
              <w:rPr>
                <w:vertAlign w:val="superscript"/>
              </w:rPr>
              <w:fldChar w:fldCharType="separate"/>
            </w:r>
            <w:r w:rsidR="00487E4A">
              <w:rPr>
                <w:noProof/>
                <w:vertAlign w:val="superscript"/>
              </w:rPr>
              <w:t>12</w:t>
            </w:r>
            <w:r w:rsidR="00093290" w:rsidRPr="00937401">
              <w:rPr>
                <w:vertAlign w:val="superscript"/>
              </w:rPr>
              <w:fldChar w:fldCharType="end"/>
            </w:r>
            <w:r w:rsidR="002E72D6">
              <w:rPr>
                <w:noProof/>
              </w:rPr>
              <w:t xml:space="preserve">, </w:t>
            </w:r>
            <w:r w:rsidR="000D3BC5">
              <w:rPr>
                <w:noProof/>
              </w:rPr>
              <w:t>1</w:t>
            </w:r>
            <w:r w:rsidR="000D3BC5" w:rsidRPr="00937401">
              <w:rPr>
                <w:noProof/>
              </w:rPr>
              <w:t xml:space="preserve"> </w:t>
            </w:r>
            <w:r w:rsidR="00151064">
              <w:rPr>
                <w:noProof/>
              </w:rPr>
              <w:t xml:space="preserve">definitive closure procedure </w:t>
            </w:r>
            <w:r w:rsidR="000B4454">
              <w:rPr>
                <w:noProof/>
              </w:rPr>
              <w:t xml:space="preserve">for </w:t>
            </w:r>
            <w:r w:rsidR="00C21AF2">
              <w:t>burns ≥20</w:t>
            </w:r>
            <w:r w:rsidR="000D3BC5">
              <w:t>–</w:t>
            </w:r>
            <w:r w:rsidR="00C21AF2">
              <w:t>39% TBSA</w:t>
            </w:r>
            <w:r w:rsidR="001E4525">
              <w:t xml:space="preserve"> and</w:t>
            </w:r>
            <w:r w:rsidR="00544D36">
              <w:t xml:space="preserve"> 2</w:t>
            </w:r>
            <w:r w:rsidR="00C21AF2">
              <w:t xml:space="preserve"> for burns &gt;40% TBSA</w:t>
            </w:r>
            <w:r w:rsidR="00C21AF2" w:rsidRPr="00C21AF2" w:rsidDel="00812ACD">
              <w:rPr>
                <w:noProof/>
              </w:rPr>
              <w:t xml:space="preserve"> </w:t>
            </w:r>
            <w:r w:rsidR="007115E5">
              <w:rPr>
                <w:noProof/>
              </w:rPr>
              <w:t xml:space="preserve">were </w:t>
            </w:r>
            <w:r w:rsidR="00434D5A">
              <w:rPr>
                <w:noProof/>
              </w:rPr>
              <w:t>applied</w:t>
            </w:r>
            <w:r w:rsidR="00BB29D8">
              <w:rPr>
                <w:noProof/>
              </w:rPr>
              <w:t xml:space="preserve"> for ASCS</w:t>
            </w:r>
            <w:r w:rsidR="004415B4">
              <w:rPr>
                <w:noProof/>
              </w:rPr>
              <w:t xml:space="preserve"> </w:t>
            </w:r>
            <w:r w:rsidR="007115E5">
              <w:rPr>
                <w:noProof/>
              </w:rPr>
              <w:t>±</w:t>
            </w:r>
            <w:r w:rsidR="004415B4">
              <w:rPr>
                <w:noProof/>
              </w:rPr>
              <w:t xml:space="preserve"> </w:t>
            </w:r>
            <w:r w:rsidR="00093290">
              <w:rPr>
                <w:noProof/>
              </w:rPr>
              <w:t>STSG</w:t>
            </w:r>
            <w:r w:rsidR="00C21AF2">
              <w:rPr>
                <w:noProof/>
              </w:rPr>
              <w:t xml:space="preserve"> in the</w:t>
            </w:r>
            <w:r w:rsidR="00A366E0">
              <w:rPr>
                <w:noProof/>
              </w:rPr>
              <w:t xml:space="preserve"> base case analysis</w:t>
            </w:r>
            <w:r w:rsidR="00C21AF2">
              <w:rPr>
                <w:noProof/>
              </w:rPr>
              <w:t xml:space="preserve">. </w:t>
            </w:r>
            <w:r w:rsidR="00170B55">
              <w:rPr>
                <w:noProof/>
              </w:rPr>
              <w:t>For STS</w:t>
            </w:r>
            <w:r w:rsidR="003A78C6">
              <w:rPr>
                <w:noProof/>
              </w:rPr>
              <w:t xml:space="preserve">G </w:t>
            </w:r>
            <w:r w:rsidR="00170B55">
              <w:rPr>
                <w:noProof/>
              </w:rPr>
              <w:t xml:space="preserve">alone, as </w:t>
            </w:r>
            <w:r w:rsidR="000D2D0B">
              <w:rPr>
                <w:noProof/>
              </w:rPr>
              <w:t xml:space="preserve">reported </w:t>
            </w:r>
            <w:r w:rsidR="00170B55">
              <w:rPr>
                <w:noProof/>
              </w:rPr>
              <w:t xml:space="preserve">by </w:t>
            </w:r>
            <w:r w:rsidR="00A50F3B">
              <w:rPr>
                <w:noProof/>
              </w:rPr>
              <w:t xml:space="preserve">the </w:t>
            </w:r>
            <w:r w:rsidR="005C2D8C">
              <w:rPr>
                <w:noProof/>
              </w:rPr>
              <w:t xml:space="preserve">American Burn </w:t>
            </w:r>
            <w:r w:rsidR="00C408EE">
              <w:rPr>
                <w:noProof/>
              </w:rPr>
              <w:t xml:space="preserve">Association </w:t>
            </w:r>
            <w:r w:rsidR="005C2D8C">
              <w:rPr>
                <w:noProof/>
              </w:rPr>
              <w:t>NBR 2002</w:t>
            </w:r>
            <w:r w:rsidR="004415B4">
              <w:t>−</w:t>
            </w:r>
            <w:r w:rsidR="005C2D8C">
              <w:rPr>
                <w:noProof/>
              </w:rPr>
              <w:t>201</w:t>
            </w:r>
            <w:r w:rsidR="000E5EBB">
              <w:rPr>
                <w:noProof/>
              </w:rPr>
              <w:t xml:space="preserve">1, average </w:t>
            </w:r>
            <w:r w:rsidR="00E70C12">
              <w:rPr>
                <w:noProof/>
              </w:rPr>
              <w:t xml:space="preserve">values for FT and DPT burns were used to </w:t>
            </w:r>
            <w:r w:rsidR="000B3CC7">
              <w:rPr>
                <w:noProof/>
              </w:rPr>
              <w:t>estimate</w:t>
            </w:r>
            <w:r w:rsidR="002B6B75">
              <w:rPr>
                <w:noProof/>
              </w:rPr>
              <w:t xml:space="preserve"> the number of definitive closure </w:t>
            </w:r>
            <w:r w:rsidR="002B6B75" w:rsidRPr="00937401">
              <w:rPr>
                <w:noProof/>
              </w:rPr>
              <w:t>procedure</w:t>
            </w:r>
            <w:r w:rsidR="004415B4">
              <w:rPr>
                <w:noProof/>
              </w:rPr>
              <w:t>s</w:t>
            </w:r>
            <w:r w:rsidR="003A78C6" w:rsidRPr="00937401">
              <w:rPr>
                <w:noProof/>
              </w:rPr>
              <w:t xml:space="preserve"> </w:t>
            </w:r>
            <w:r w:rsidR="00A50F3B">
              <w:rPr>
                <w:noProof/>
              </w:rPr>
              <w:t xml:space="preserve">per person </w:t>
            </w:r>
            <w:r w:rsidR="003A78C6">
              <w:rPr>
                <w:noProof/>
              </w:rPr>
              <w:t xml:space="preserve">for each </w:t>
            </w:r>
            <w:r w:rsidR="00A50F3B">
              <w:rPr>
                <w:noProof/>
              </w:rPr>
              <w:t>%</w:t>
            </w:r>
            <w:r w:rsidR="003A78C6">
              <w:rPr>
                <w:noProof/>
              </w:rPr>
              <w:t>TBSA category</w:t>
            </w:r>
            <w:r w:rsidR="003D0064">
              <w:rPr>
                <w:noProof/>
              </w:rPr>
              <w:t xml:space="preserve"> (</w:t>
            </w:r>
            <w:r w:rsidR="00CF611A">
              <w:rPr>
                <w:noProof/>
              </w:rPr>
              <w:t>ran</w:t>
            </w:r>
            <w:r w:rsidR="00C408EE">
              <w:rPr>
                <w:noProof/>
              </w:rPr>
              <w:t>g</w:t>
            </w:r>
            <w:r w:rsidR="00CF611A">
              <w:rPr>
                <w:noProof/>
              </w:rPr>
              <w:t xml:space="preserve">ing from </w:t>
            </w:r>
            <w:r w:rsidR="003D0064" w:rsidRPr="00976F1E">
              <w:t>2.92</w:t>
            </w:r>
            <w:r w:rsidR="00103D82">
              <w:t>−</w:t>
            </w:r>
            <w:r w:rsidR="003D0064" w:rsidRPr="00976F1E">
              <w:t>4.09 procedures, depending on %TBSA</w:t>
            </w:r>
            <w:r w:rsidR="003D0064">
              <w:t>)</w:t>
            </w:r>
            <w:r w:rsidR="003A78C6">
              <w:rPr>
                <w:noProof/>
              </w:rPr>
              <w:t xml:space="preserve">. </w:t>
            </w:r>
            <w:r w:rsidR="00C21AF2">
              <w:rPr>
                <w:noProof/>
              </w:rPr>
              <w:t xml:space="preserve">An </w:t>
            </w:r>
            <w:r w:rsidR="000259B8">
              <w:rPr>
                <w:noProof/>
              </w:rPr>
              <w:t xml:space="preserve">additional scenario </w:t>
            </w:r>
            <w:r w:rsidR="006E3F57">
              <w:rPr>
                <w:noProof/>
              </w:rPr>
              <w:t>with conservative estimates for the number of definitive procedu</w:t>
            </w:r>
            <w:r w:rsidR="0003035B">
              <w:rPr>
                <w:noProof/>
              </w:rPr>
              <w:t xml:space="preserve">res was applied </w:t>
            </w:r>
            <w:r w:rsidR="00997DC4">
              <w:rPr>
                <w:noProof/>
              </w:rPr>
              <w:t xml:space="preserve">for </w:t>
            </w:r>
            <w:r w:rsidR="00BB29D8">
              <w:rPr>
                <w:noProof/>
              </w:rPr>
              <w:t>STSG in sensitivity analysis</w:t>
            </w:r>
            <w:r w:rsidR="00D16B09">
              <w:rPr>
                <w:noProof/>
              </w:rPr>
              <w:t xml:space="preserve"> undertaken in the ADAR</w:t>
            </w:r>
            <w:r w:rsidR="000E4F46">
              <w:rPr>
                <w:noProof/>
              </w:rPr>
              <w:t xml:space="preserve"> (</w:t>
            </w:r>
            <w:r w:rsidR="00D16B09">
              <w:rPr>
                <w:noProof/>
              </w:rPr>
              <w:t xml:space="preserve">assuming </w:t>
            </w:r>
            <w:r w:rsidR="00395C98">
              <w:rPr>
                <w:noProof/>
              </w:rPr>
              <w:t>2 definitive closure procedures for</w:t>
            </w:r>
            <w:r w:rsidR="009A4530">
              <w:rPr>
                <w:noProof/>
              </w:rPr>
              <w:t xml:space="preserve"> all</w:t>
            </w:r>
            <w:r w:rsidR="00395C98">
              <w:rPr>
                <w:noProof/>
              </w:rPr>
              <w:t xml:space="preserve"> burns </w:t>
            </w:r>
            <w:r w:rsidR="009A4530">
              <w:rPr>
                <w:noProof/>
              </w:rPr>
              <w:t>≥</w:t>
            </w:r>
            <w:r w:rsidR="00395C98">
              <w:rPr>
                <w:noProof/>
              </w:rPr>
              <w:t>20% TBSA)</w:t>
            </w:r>
            <w:r w:rsidR="00BB29D8" w:rsidRPr="00937401">
              <w:rPr>
                <w:noProof/>
              </w:rPr>
              <w:t>.</w:t>
            </w:r>
            <w:r w:rsidR="009C4C26" w:rsidRPr="00937401">
              <w:rPr>
                <w:noProof/>
              </w:rPr>
              <w:t xml:space="preserve"> </w:t>
            </w:r>
            <w:r w:rsidR="00103D82">
              <w:rPr>
                <w:noProof/>
              </w:rPr>
              <w:t>N</w:t>
            </w:r>
            <w:r w:rsidR="004F6F87" w:rsidRPr="00937401">
              <w:rPr>
                <w:noProof/>
              </w:rPr>
              <w:t>umber</w:t>
            </w:r>
            <w:r w:rsidR="004F6F87">
              <w:rPr>
                <w:noProof/>
              </w:rPr>
              <w:t xml:space="preserve"> of definitive </w:t>
            </w:r>
            <w:r w:rsidR="002B3B40">
              <w:rPr>
                <w:noProof/>
              </w:rPr>
              <w:t xml:space="preserve">wound closure </w:t>
            </w:r>
            <w:r w:rsidR="002B3B40" w:rsidRPr="00937401">
              <w:rPr>
                <w:noProof/>
              </w:rPr>
              <w:t>procedure</w:t>
            </w:r>
            <w:r w:rsidR="00103D82">
              <w:rPr>
                <w:noProof/>
              </w:rPr>
              <w:t>s,</w:t>
            </w:r>
            <w:r w:rsidR="002B3B40">
              <w:rPr>
                <w:noProof/>
              </w:rPr>
              <w:t xml:space="preserve"> informed by Foster et al. </w:t>
            </w:r>
            <w:r w:rsidR="00866967">
              <w:rPr>
                <w:noProof/>
              </w:rPr>
              <w:t>(</w:t>
            </w:r>
            <w:r w:rsidR="002B3B40">
              <w:rPr>
                <w:noProof/>
              </w:rPr>
              <w:t>2021</w:t>
            </w:r>
            <w:r w:rsidR="00866967">
              <w:rPr>
                <w:noProof/>
              </w:rPr>
              <w:t>)</w:t>
            </w:r>
            <w:r w:rsidR="000D6F4E" w:rsidRPr="00804A64">
              <w:rPr>
                <w:vertAlign w:val="superscript"/>
              </w:rPr>
              <w:fldChar w:fldCharType="begin"/>
            </w:r>
            <w:r w:rsidR="000D6F4E" w:rsidRPr="00804A64">
              <w:rPr>
                <w:noProof/>
                <w:vertAlign w:val="superscript"/>
              </w:rPr>
              <w:instrText xml:space="preserve"> NOTEREF _Ref197523258 \h </w:instrText>
            </w:r>
            <w:r w:rsidR="00804A64" w:rsidRPr="00804A64">
              <w:rPr>
                <w:vertAlign w:val="superscript"/>
              </w:rPr>
              <w:instrText xml:space="preserve"> \* MERGEFORMAT </w:instrText>
            </w:r>
            <w:r w:rsidR="000D6F4E" w:rsidRPr="00804A64">
              <w:rPr>
                <w:vertAlign w:val="superscript"/>
              </w:rPr>
            </w:r>
            <w:r w:rsidR="000D6F4E" w:rsidRPr="00804A64">
              <w:rPr>
                <w:vertAlign w:val="superscript"/>
              </w:rPr>
              <w:fldChar w:fldCharType="separate"/>
            </w:r>
            <w:r w:rsidR="000D6F4E" w:rsidRPr="00804A64">
              <w:rPr>
                <w:noProof/>
                <w:vertAlign w:val="superscript"/>
              </w:rPr>
              <w:t>15</w:t>
            </w:r>
            <w:r w:rsidR="000D6F4E" w:rsidRPr="00804A64">
              <w:rPr>
                <w:vertAlign w:val="superscript"/>
              </w:rPr>
              <w:fldChar w:fldCharType="end"/>
            </w:r>
            <w:r w:rsidR="00866967" w:rsidRPr="006527C9">
              <w:t>,</w:t>
            </w:r>
            <w:r w:rsidR="002B3B40">
              <w:rPr>
                <w:noProof/>
              </w:rPr>
              <w:t xml:space="preserve"> was applied </w:t>
            </w:r>
            <w:r w:rsidR="00056F02">
              <w:rPr>
                <w:noProof/>
              </w:rPr>
              <w:t xml:space="preserve">in </w:t>
            </w:r>
            <w:r w:rsidR="00DA7BF0">
              <w:rPr>
                <w:noProof/>
              </w:rPr>
              <w:t xml:space="preserve">additional </w:t>
            </w:r>
            <w:r w:rsidR="00056F02">
              <w:rPr>
                <w:noProof/>
              </w:rPr>
              <w:t xml:space="preserve">sensitivity analysis </w:t>
            </w:r>
            <w:r w:rsidR="00A86DAC">
              <w:rPr>
                <w:noProof/>
              </w:rPr>
              <w:t xml:space="preserve">undertaken </w:t>
            </w:r>
            <w:r w:rsidR="00056F02">
              <w:rPr>
                <w:noProof/>
              </w:rPr>
              <w:t xml:space="preserve">during the </w:t>
            </w:r>
            <w:r w:rsidR="00A86DAC">
              <w:rPr>
                <w:noProof/>
              </w:rPr>
              <w:t>commentary</w:t>
            </w:r>
            <w:r w:rsidR="00056F02">
              <w:rPr>
                <w:noProof/>
              </w:rPr>
              <w:t>.</w:t>
            </w:r>
          </w:p>
        </w:tc>
        <w:tc>
          <w:tcPr>
            <w:tcW w:w="3538" w:type="dxa"/>
          </w:tcPr>
          <w:p w14:paraId="25BAB86D" w14:textId="4A9080F0" w:rsidR="003813A6" w:rsidRPr="00971A41" w:rsidRDefault="00975859" w:rsidP="00B81F38">
            <w:pPr>
              <w:pStyle w:val="TableText"/>
              <w:rPr>
                <w:iCs/>
                <w:noProof/>
              </w:rPr>
            </w:pPr>
            <w:r w:rsidRPr="00937401">
              <w:t>High</w:t>
            </w:r>
            <w:r w:rsidR="00BB30EC">
              <w:t xml:space="preserve"> impact</w:t>
            </w:r>
            <w:r w:rsidR="00A951D6" w:rsidRPr="00937401">
              <w:t xml:space="preserve">, </w:t>
            </w:r>
            <w:r w:rsidR="00D54D0D" w:rsidRPr="00937401">
              <w:t xml:space="preserve">potential </w:t>
            </w:r>
            <w:r w:rsidR="00A81538">
              <w:t>to favour</w:t>
            </w:r>
            <w:r w:rsidR="00A81538" w:rsidRPr="00937401">
              <w:t xml:space="preserve"> </w:t>
            </w:r>
            <w:r w:rsidR="00D54D0D" w:rsidRPr="00937401">
              <w:rPr>
                <w:iCs/>
                <w:noProof/>
              </w:rPr>
              <w:t>ASCS ±</w:t>
            </w:r>
            <w:r w:rsidR="00A951D6" w:rsidRPr="00937401">
              <w:t xml:space="preserve"> </w:t>
            </w:r>
            <w:r w:rsidR="00A951D6" w:rsidRPr="00937401">
              <w:rPr>
                <w:iCs/>
                <w:noProof/>
              </w:rPr>
              <w:t>STSG</w:t>
            </w:r>
            <w:r w:rsidR="00A81538">
              <w:rPr>
                <w:iCs/>
                <w:noProof/>
              </w:rPr>
              <w:t xml:space="preserve"> considering there has been </w:t>
            </w:r>
            <w:r w:rsidR="00A81538" w:rsidRPr="00A81538">
              <w:rPr>
                <w:iCs/>
                <w:noProof/>
              </w:rPr>
              <w:t xml:space="preserve">an overall reduction in the number of </w:t>
            </w:r>
            <w:r w:rsidR="00BA6080">
              <w:rPr>
                <w:iCs/>
                <w:noProof/>
              </w:rPr>
              <w:t>autograft</w:t>
            </w:r>
            <w:r w:rsidR="00A81538" w:rsidRPr="00A81538">
              <w:rPr>
                <w:iCs/>
                <w:noProof/>
              </w:rPr>
              <w:t xml:space="preserve"> procedures per </w:t>
            </w:r>
            <w:r w:rsidR="00BA6080">
              <w:rPr>
                <w:iCs/>
                <w:noProof/>
              </w:rPr>
              <w:t>%</w:t>
            </w:r>
            <w:r w:rsidR="00A81538" w:rsidRPr="00A81538">
              <w:rPr>
                <w:iCs/>
                <w:noProof/>
              </w:rPr>
              <w:t>TBSA burned since 2011</w:t>
            </w:r>
            <w:r w:rsidR="00BA6080" w:rsidRPr="00BA6080">
              <w:rPr>
                <w:iCs/>
                <w:noProof/>
                <w:vertAlign w:val="superscript"/>
              </w:rPr>
              <w:fldChar w:fldCharType="begin"/>
            </w:r>
            <w:r w:rsidR="00BA6080" w:rsidRPr="00BA6080">
              <w:rPr>
                <w:iCs/>
                <w:noProof/>
                <w:vertAlign w:val="superscript"/>
              </w:rPr>
              <w:instrText xml:space="preserve"> NOTEREF _Ref192620823 \h </w:instrText>
            </w:r>
            <w:r w:rsidR="00BA6080">
              <w:rPr>
                <w:iCs/>
                <w:noProof/>
                <w:vertAlign w:val="superscript"/>
              </w:rPr>
              <w:instrText xml:space="preserve"> \* MERGEFORMAT </w:instrText>
            </w:r>
            <w:r w:rsidR="00BA6080" w:rsidRPr="00BA6080">
              <w:rPr>
                <w:iCs/>
                <w:noProof/>
                <w:vertAlign w:val="superscript"/>
              </w:rPr>
            </w:r>
            <w:r w:rsidR="00BA6080" w:rsidRPr="00BA6080">
              <w:rPr>
                <w:iCs/>
                <w:noProof/>
                <w:vertAlign w:val="superscript"/>
              </w:rPr>
              <w:fldChar w:fldCharType="separate"/>
            </w:r>
            <w:r w:rsidR="00487E4A">
              <w:rPr>
                <w:iCs/>
                <w:noProof/>
                <w:vertAlign w:val="superscript"/>
              </w:rPr>
              <w:t>10</w:t>
            </w:r>
            <w:r w:rsidR="00BA6080" w:rsidRPr="00BA6080">
              <w:rPr>
                <w:iCs/>
                <w:noProof/>
                <w:vertAlign w:val="superscript"/>
              </w:rPr>
              <w:fldChar w:fldCharType="end"/>
            </w:r>
            <w:r w:rsidR="00BE1840">
              <w:rPr>
                <w:iCs/>
                <w:noProof/>
              </w:rPr>
              <w:t>.</w:t>
            </w:r>
          </w:p>
          <w:p w14:paraId="04D11165" w14:textId="365C5E58" w:rsidR="002F32FB" w:rsidRPr="008737A9" w:rsidRDefault="007B702B" w:rsidP="0031003A">
            <w:pPr>
              <w:pStyle w:val="TableText"/>
            </w:pPr>
            <w:r w:rsidRPr="00971A41">
              <w:rPr>
                <w:iCs/>
                <w:noProof/>
              </w:rPr>
              <w:t xml:space="preserve">Use of conservative estimates </w:t>
            </w:r>
            <w:r w:rsidR="00C678DB" w:rsidRPr="00971A41">
              <w:rPr>
                <w:iCs/>
                <w:noProof/>
              </w:rPr>
              <w:t xml:space="preserve">resulted </w:t>
            </w:r>
            <w:r w:rsidR="00E64C40">
              <w:rPr>
                <w:iCs/>
                <w:noProof/>
              </w:rPr>
              <w:t xml:space="preserve">in </w:t>
            </w:r>
            <w:r w:rsidR="00C678DB" w:rsidRPr="00971A41">
              <w:rPr>
                <w:iCs/>
                <w:noProof/>
              </w:rPr>
              <w:t>22%</w:t>
            </w:r>
            <w:r w:rsidR="009658C5">
              <w:rPr>
                <w:iCs/>
                <w:noProof/>
              </w:rPr>
              <w:t xml:space="preserve"> </w:t>
            </w:r>
            <w:r w:rsidR="00856D7A" w:rsidRPr="00971A41">
              <w:rPr>
                <w:iCs/>
                <w:noProof/>
              </w:rPr>
              <w:t>less cost</w:t>
            </w:r>
            <w:r w:rsidR="00856D7A">
              <w:rPr>
                <w:iCs/>
                <w:noProof/>
              </w:rPr>
              <w:t xml:space="preserve"> </w:t>
            </w:r>
            <w:r w:rsidR="00856D7A" w:rsidRPr="00971A41">
              <w:rPr>
                <w:iCs/>
                <w:noProof/>
              </w:rPr>
              <w:t>saving</w:t>
            </w:r>
            <w:r w:rsidR="003C1D9F">
              <w:rPr>
                <w:iCs/>
                <w:noProof/>
              </w:rPr>
              <w:t>s</w:t>
            </w:r>
            <w:r w:rsidR="00856D7A" w:rsidRPr="00971A41">
              <w:rPr>
                <w:iCs/>
                <w:noProof/>
              </w:rPr>
              <w:t xml:space="preserve"> </w:t>
            </w:r>
            <w:r w:rsidR="009658C5">
              <w:rPr>
                <w:iCs/>
                <w:noProof/>
              </w:rPr>
              <w:t>(incremental cost</w:t>
            </w:r>
            <w:r w:rsidR="003C1D9F">
              <w:rPr>
                <w:iCs/>
                <w:noProof/>
              </w:rPr>
              <w:t>:</w:t>
            </w:r>
            <w:r w:rsidR="009658C5">
              <w:rPr>
                <w:iCs/>
                <w:noProof/>
              </w:rPr>
              <w:t xml:space="preserve"> </w:t>
            </w:r>
            <w:r w:rsidR="009F1255">
              <w:rPr>
                <w:iCs/>
                <w:noProof/>
              </w:rPr>
              <w:t>-</w:t>
            </w:r>
            <w:r w:rsidR="008F6FBF">
              <w:rPr>
                <w:iCs/>
                <w:noProof/>
              </w:rPr>
              <w:t xml:space="preserve">$18,745.27 per </w:t>
            </w:r>
            <w:r w:rsidR="008F6FBF" w:rsidRPr="00937401">
              <w:rPr>
                <w:iCs/>
                <w:noProof/>
              </w:rPr>
              <w:t>pat</w:t>
            </w:r>
            <w:r w:rsidR="00103D82">
              <w:rPr>
                <w:iCs/>
                <w:noProof/>
              </w:rPr>
              <w:t>ien</w:t>
            </w:r>
            <w:r w:rsidR="008F6FBF" w:rsidRPr="00937401">
              <w:rPr>
                <w:iCs/>
                <w:noProof/>
              </w:rPr>
              <w:t>t</w:t>
            </w:r>
            <w:r w:rsidR="008F6FBF">
              <w:rPr>
                <w:iCs/>
                <w:noProof/>
              </w:rPr>
              <w:t>)</w:t>
            </w:r>
            <w:r w:rsidR="00C678DB" w:rsidRPr="00971A41">
              <w:rPr>
                <w:iCs/>
                <w:noProof/>
              </w:rPr>
              <w:t xml:space="preserve"> </w:t>
            </w:r>
            <w:r w:rsidR="00971A41" w:rsidRPr="00937401">
              <w:rPr>
                <w:iCs/>
                <w:noProof/>
              </w:rPr>
              <w:t>com</w:t>
            </w:r>
            <w:r w:rsidR="00103D82">
              <w:rPr>
                <w:iCs/>
                <w:noProof/>
              </w:rPr>
              <w:t>par</w:t>
            </w:r>
            <w:r w:rsidR="00971A41" w:rsidRPr="00937401">
              <w:rPr>
                <w:iCs/>
                <w:noProof/>
              </w:rPr>
              <w:t>ed</w:t>
            </w:r>
            <w:r w:rsidR="00971A41" w:rsidRPr="00971A41">
              <w:rPr>
                <w:iCs/>
                <w:noProof/>
              </w:rPr>
              <w:t xml:space="preserve"> to </w:t>
            </w:r>
            <w:r w:rsidR="003B3733">
              <w:rPr>
                <w:iCs/>
                <w:noProof/>
              </w:rPr>
              <w:t xml:space="preserve">the </w:t>
            </w:r>
            <w:r w:rsidR="00971A41" w:rsidRPr="00971A41">
              <w:rPr>
                <w:iCs/>
                <w:noProof/>
              </w:rPr>
              <w:t xml:space="preserve">base case. </w:t>
            </w:r>
            <w:r w:rsidR="00A742FB" w:rsidRPr="00937401">
              <w:rPr>
                <w:iCs/>
                <w:noProof/>
              </w:rPr>
              <w:t>Use</w:t>
            </w:r>
            <w:r w:rsidR="00A742FB">
              <w:rPr>
                <w:iCs/>
                <w:noProof/>
              </w:rPr>
              <w:t xml:space="preserve"> of </w:t>
            </w:r>
            <w:r w:rsidR="00D6034C">
              <w:rPr>
                <w:iCs/>
                <w:noProof/>
              </w:rPr>
              <w:t xml:space="preserve">input values from Foster et al. </w:t>
            </w:r>
            <w:r w:rsidR="00842CD1">
              <w:rPr>
                <w:iCs/>
                <w:noProof/>
              </w:rPr>
              <w:t>(</w:t>
            </w:r>
            <w:r w:rsidR="00593E1C">
              <w:rPr>
                <w:iCs/>
                <w:noProof/>
              </w:rPr>
              <w:t>2021</w:t>
            </w:r>
            <w:r w:rsidR="00842CD1">
              <w:rPr>
                <w:iCs/>
                <w:noProof/>
              </w:rPr>
              <w:t>)</w:t>
            </w:r>
            <w:r w:rsidR="00103D82">
              <w:rPr>
                <w:iCs/>
                <w:noProof/>
              </w:rPr>
              <w:t xml:space="preserve"> (</w:t>
            </w:r>
            <w:r w:rsidR="00593E1C">
              <w:rPr>
                <w:iCs/>
                <w:noProof/>
              </w:rPr>
              <w:t>based on more recent evidence than those from Kowal et al. 2019</w:t>
            </w:r>
            <w:r w:rsidR="00103D82">
              <w:rPr>
                <w:iCs/>
                <w:noProof/>
              </w:rPr>
              <w:t>)</w:t>
            </w:r>
            <w:r w:rsidR="00FA4C8A">
              <w:rPr>
                <w:iCs/>
                <w:noProof/>
              </w:rPr>
              <w:t xml:space="preserve"> </w:t>
            </w:r>
            <w:r w:rsidR="004D4C8E">
              <w:rPr>
                <w:iCs/>
                <w:noProof/>
              </w:rPr>
              <w:t>redu</w:t>
            </w:r>
            <w:r w:rsidR="00593E1C">
              <w:rPr>
                <w:iCs/>
                <w:noProof/>
              </w:rPr>
              <w:t>c</w:t>
            </w:r>
            <w:r w:rsidR="004D4C8E">
              <w:rPr>
                <w:iCs/>
                <w:noProof/>
              </w:rPr>
              <w:t>e</w:t>
            </w:r>
            <w:r w:rsidR="00593E1C">
              <w:rPr>
                <w:iCs/>
                <w:noProof/>
              </w:rPr>
              <w:t>d</w:t>
            </w:r>
            <w:r w:rsidR="004D4C8E">
              <w:rPr>
                <w:iCs/>
                <w:noProof/>
              </w:rPr>
              <w:t xml:space="preserve"> the </w:t>
            </w:r>
            <w:r w:rsidR="00593E1C">
              <w:rPr>
                <w:iCs/>
                <w:noProof/>
              </w:rPr>
              <w:t xml:space="preserve">estimated </w:t>
            </w:r>
            <w:r w:rsidR="004D4C8E">
              <w:rPr>
                <w:iCs/>
                <w:noProof/>
              </w:rPr>
              <w:t>cost</w:t>
            </w:r>
            <w:r w:rsidR="0054044F">
              <w:rPr>
                <w:iCs/>
                <w:noProof/>
              </w:rPr>
              <w:t xml:space="preserve"> </w:t>
            </w:r>
            <w:r w:rsidR="004D4C8E">
              <w:rPr>
                <w:iCs/>
                <w:noProof/>
              </w:rPr>
              <w:t>saving</w:t>
            </w:r>
            <w:r w:rsidR="00593E1C">
              <w:rPr>
                <w:iCs/>
                <w:noProof/>
              </w:rPr>
              <w:t>s</w:t>
            </w:r>
            <w:r w:rsidR="004D4C8E">
              <w:rPr>
                <w:iCs/>
                <w:noProof/>
              </w:rPr>
              <w:t xml:space="preserve"> by 11.76% compared to </w:t>
            </w:r>
            <w:r w:rsidR="00593E1C">
              <w:rPr>
                <w:iCs/>
                <w:noProof/>
              </w:rPr>
              <w:t xml:space="preserve">the </w:t>
            </w:r>
            <w:r w:rsidR="004D4C8E">
              <w:rPr>
                <w:iCs/>
                <w:noProof/>
              </w:rPr>
              <w:t xml:space="preserve">base case. </w:t>
            </w:r>
          </w:p>
        </w:tc>
      </w:tr>
      <w:tr w:rsidR="00803D01" w:rsidRPr="000D4886" w14:paraId="2AFB6EE0" w14:textId="77777777" w:rsidTr="00E73BBB">
        <w:trPr>
          <w:cantSplit/>
          <w:trHeight w:val="300"/>
        </w:trPr>
        <w:tc>
          <w:tcPr>
            <w:tcW w:w="1436" w:type="dxa"/>
          </w:tcPr>
          <w:p w14:paraId="66FD9669" w14:textId="0AA8B50C" w:rsidR="002F32FB" w:rsidRPr="008737A9" w:rsidRDefault="00D11156" w:rsidP="0031003A">
            <w:pPr>
              <w:pStyle w:val="TableText"/>
            </w:pPr>
            <w:r w:rsidRPr="008737A9">
              <w:t>Severity of burn</w:t>
            </w:r>
            <w:r w:rsidR="00290CC7" w:rsidRPr="008737A9">
              <w:t xml:space="preserve"> </w:t>
            </w:r>
          </w:p>
        </w:tc>
        <w:tc>
          <w:tcPr>
            <w:tcW w:w="4042" w:type="dxa"/>
          </w:tcPr>
          <w:p w14:paraId="2980315B" w14:textId="12660FD7" w:rsidR="002F32FB" w:rsidRPr="008737A9" w:rsidRDefault="00103D82" w:rsidP="003B61B7">
            <w:pPr>
              <w:pStyle w:val="TableText"/>
            </w:pPr>
            <w:r>
              <w:rPr>
                <w:noProof/>
              </w:rPr>
              <w:t>I</w:t>
            </w:r>
            <w:r w:rsidR="00E046E5" w:rsidRPr="00937401">
              <w:rPr>
                <w:noProof/>
              </w:rPr>
              <w:t>ncidence</w:t>
            </w:r>
            <w:r w:rsidR="00E046E5">
              <w:rPr>
                <w:noProof/>
              </w:rPr>
              <w:t xml:space="preserve"> of burn</w:t>
            </w:r>
            <w:r w:rsidR="00C14F68">
              <w:rPr>
                <w:noProof/>
              </w:rPr>
              <w:t>s</w:t>
            </w:r>
            <w:r w:rsidR="00E046E5">
              <w:rPr>
                <w:noProof/>
              </w:rPr>
              <w:t xml:space="preserve"> </w:t>
            </w:r>
            <w:r w:rsidR="00C14F68" w:rsidRPr="008737A9">
              <w:t>per %TBSA interval</w:t>
            </w:r>
            <w:r w:rsidR="00C14F68">
              <w:rPr>
                <w:noProof/>
              </w:rPr>
              <w:t xml:space="preserve"> </w:t>
            </w:r>
            <w:r w:rsidR="00E046E5">
              <w:rPr>
                <w:noProof/>
              </w:rPr>
              <w:t>was sourced from BRANZ data</w:t>
            </w:r>
            <w:r>
              <w:rPr>
                <w:noProof/>
              </w:rPr>
              <w:t>.</w:t>
            </w:r>
            <w:r w:rsidR="00A636D7" w:rsidRPr="00A636D7">
              <w:rPr>
                <w:vertAlign w:val="superscript"/>
              </w:rPr>
              <w:fldChar w:fldCharType="begin"/>
            </w:r>
            <w:r w:rsidR="00A636D7" w:rsidRPr="00A636D7">
              <w:rPr>
                <w:noProof/>
                <w:vertAlign w:val="superscript"/>
              </w:rPr>
              <w:instrText xml:space="preserve"> NOTEREF _Ref193107290 \h </w:instrText>
            </w:r>
            <w:r w:rsidR="00A636D7" w:rsidRPr="00A636D7">
              <w:rPr>
                <w:vertAlign w:val="superscript"/>
              </w:rPr>
              <w:instrText xml:space="preserve"> \* MERGEFORMAT </w:instrText>
            </w:r>
            <w:r w:rsidR="00A636D7" w:rsidRPr="00A636D7">
              <w:rPr>
                <w:vertAlign w:val="superscript"/>
              </w:rPr>
            </w:r>
            <w:r w:rsidR="00A636D7" w:rsidRPr="00A636D7">
              <w:rPr>
                <w:vertAlign w:val="superscript"/>
              </w:rPr>
              <w:fldChar w:fldCharType="separate"/>
            </w:r>
            <w:r w:rsidR="00A636D7" w:rsidRPr="00A636D7">
              <w:rPr>
                <w:noProof/>
                <w:vertAlign w:val="superscript"/>
              </w:rPr>
              <w:t>13</w:t>
            </w:r>
            <w:r w:rsidR="00A636D7" w:rsidRPr="00A636D7">
              <w:rPr>
                <w:vertAlign w:val="superscript"/>
              </w:rPr>
              <w:fldChar w:fldCharType="end"/>
            </w:r>
            <w:r w:rsidR="00EE1623" w:rsidRPr="00937401">
              <w:rPr>
                <w:noProof/>
              </w:rPr>
              <w:t xml:space="preserve"> </w:t>
            </w:r>
            <w:r>
              <w:rPr>
                <w:noProof/>
              </w:rPr>
              <w:t>P</w:t>
            </w:r>
            <w:r w:rsidR="00EE1623" w:rsidRPr="00937401">
              <w:rPr>
                <w:noProof/>
              </w:rPr>
              <w:t>roportion</w:t>
            </w:r>
            <w:r w:rsidR="00E6628D">
              <w:rPr>
                <w:noProof/>
              </w:rPr>
              <w:t>s for the</w:t>
            </w:r>
            <w:r w:rsidR="00EE1623">
              <w:rPr>
                <w:noProof/>
              </w:rPr>
              <w:t xml:space="preserve"> </w:t>
            </w:r>
            <w:r w:rsidR="00490F61">
              <w:rPr>
                <w:noProof/>
              </w:rPr>
              <w:t>20</w:t>
            </w:r>
            <w:r>
              <w:t>−</w:t>
            </w:r>
            <w:r w:rsidR="00490F61">
              <w:rPr>
                <w:noProof/>
              </w:rPr>
              <w:t>29%</w:t>
            </w:r>
            <w:r w:rsidR="005E16E7">
              <w:rPr>
                <w:noProof/>
              </w:rPr>
              <w:t xml:space="preserve"> TBSA</w:t>
            </w:r>
            <w:r w:rsidR="00490F61">
              <w:rPr>
                <w:noProof/>
              </w:rPr>
              <w:t xml:space="preserve"> </w:t>
            </w:r>
            <w:r w:rsidR="005E16E7">
              <w:rPr>
                <w:noProof/>
              </w:rPr>
              <w:t>30</w:t>
            </w:r>
            <w:r>
              <w:t>−</w:t>
            </w:r>
            <w:r w:rsidR="005E16E7">
              <w:rPr>
                <w:noProof/>
              </w:rPr>
              <w:t xml:space="preserve">39% TBSA and </w:t>
            </w:r>
            <w:r w:rsidR="009C16F1">
              <w:rPr>
                <w:noProof/>
              </w:rPr>
              <w:t>40</w:t>
            </w:r>
            <w:r w:rsidR="00335CC6">
              <w:rPr>
                <w:noProof/>
              </w:rPr>
              <w:t xml:space="preserve">%+ </w:t>
            </w:r>
            <w:r w:rsidR="005E16E7">
              <w:rPr>
                <w:noProof/>
              </w:rPr>
              <w:t xml:space="preserve">TBSA </w:t>
            </w:r>
            <w:r w:rsidR="00E6628D">
              <w:rPr>
                <w:noProof/>
              </w:rPr>
              <w:t>intervals were 0.5, 0.3 and</w:t>
            </w:r>
            <w:r w:rsidR="005E16E7">
              <w:rPr>
                <w:noProof/>
              </w:rPr>
              <w:t xml:space="preserve"> 0.2</w:t>
            </w:r>
            <w:r w:rsidR="00E6628D">
              <w:rPr>
                <w:noProof/>
              </w:rPr>
              <w:t>, respectively</w:t>
            </w:r>
            <w:r w:rsidR="00571A8C">
              <w:rPr>
                <w:noProof/>
              </w:rPr>
              <w:t>.</w:t>
            </w:r>
            <w:r w:rsidR="00771E47">
              <w:rPr>
                <w:noProof/>
              </w:rPr>
              <w:t xml:space="preserve"> T</w:t>
            </w:r>
            <w:r w:rsidR="00695C12">
              <w:rPr>
                <w:noProof/>
              </w:rPr>
              <w:t xml:space="preserve">he </w:t>
            </w:r>
            <w:r w:rsidR="00783BC1">
              <w:rPr>
                <w:noProof/>
              </w:rPr>
              <w:t xml:space="preserve">costing </w:t>
            </w:r>
            <w:r w:rsidR="00695C12">
              <w:rPr>
                <w:noProof/>
              </w:rPr>
              <w:t xml:space="preserve">analysis </w:t>
            </w:r>
            <w:r w:rsidR="00783BC1">
              <w:rPr>
                <w:noProof/>
              </w:rPr>
              <w:t xml:space="preserve">reported </w:t>
            </w:r>
            <w:r w:rsidR="00695C12">
              <w:rPr>
                <w:noProof/>
              </w:rPr>
              <w:t>higher cost saving</w:t>
            </w:r>
            <w:r w:rsidR="00783BC1">
              <w:rPr>
                <w:noProof/>
              </w:rPr>
              <w:t>s</w:t>
            </w:r>
            <w:r w:rsidR="00695C12">
              <w:rPr>
                <w:noProof/>
              </w:rPr>
              <w:t xml:space="preserve"> in</w:t>
            </w:r>
            <w:r w:rsidR="00783BC1">
              <w:rPr>
                <w:noProof/>
              </w:rPr>
              <w:t xml:space="preserve"> the</w:t>
            </w:r>
            <w:r w:rsidR="00695C12">
              <w:rPr>
                <w:noProof/>
              </w:rPr>
              <w:t xml:space="preserve"> </w:t>
            </w:r>
            <w:r w:rsidR="00F569DB">
              <w:rPr>
                <w:noProof/>
              </w:rPr>
              <w:t>40%+</w:t>
            </w:r>
            <w:r w:rsidR="00B73EFF">
              <w:rPr>
                <w:noProof/>
              </w:rPr>
              <w:t xml:space="preserve"> TBSA</w:t>
            </w:r>
            <w:r w:rsidR="00F569DB">
              <w:rPr>
                <w:noProof/>
              </w:rPr>
              <w:t xml:space="preserve"> </w:t>
            </w:r>
            <w:r w:rsidR="00783BC1">
              <w:rPr>
                <w:noProof/>
              </w:rPr>
              <w:t xml:space="preserve">interval </w:t>
            </w:r>
            <w:r w:rsidR="00F569DB">
              <w:rPr>
                <w:noProof/>
              </w:rPr>
              <w:t xml:space="preserve">compared to </w:t>
            </w:r>
            <w:r w:rsidR="00416859">
              <w:rPr>
                <w:noProof/>
              </w:rPr>
              <w:t xml:space="preserve">the </w:t>
            </w:r>
            <w:r w:rsidR="006B6381">
              <w:rPr>
                <w:noProof/>
              </w:rPr>
              <w:t>20</w:t>
            </w:r>
            <w:r>
              <w:t>−</w:t>
            </w:r>
            <w:r w:rsidR="006B6381">
              <w:rPr>
                <w:noProof/>
              </w:rPr>
              <w:t>29% and 30</w:t>
            </w:r>
            <w:r>
              <w:t>−</w:t>
            </w:r>
            <w:r w:rsidR="006B6381">
              <w:rPr>
                <w:noProof/>
              </w:rPr>
              <w:t>39%</w:t>
            </w:r>
            <w:r w:rsidR="00416859">
              <w:rPr>
                <w:noProof/>
              </w:rPr>
              <w:t xml:space="preserve"> intervals</w:t>
            </w:r>
            <w:r w:rsidR="006B6381">
              <w:rPr>
                <w:noProof/>
              </w:rPr>
              <w:t>.</w:t>
            </w:r>
          </w:p>
        </w:tc>
        <w:tc>
          <w:tcPr>
            <w:tcW w:w="3538" w:type="dxa"/>
          </w:tcPr>
          <w:p w14:paraId="09ECC065" w14:textId="3A691B27" w:rsidR="002F32FB" w:rsidRDefault="00AA14FD" w:rsidP="00A63F3C">
            <w:pPr>
              <w:pStyle w:val="TableText"/>
              <w:rPr>
                <w:noProof/>
              </w:rPr>
            </w:pPr>
            <w:r>
              <w:rPr>
                <w:noProof/>
              </w:rPr>
              <w:t>Potentially h</w:t>
            </w:r>
            <w:r w:rsidR="00013746">
              <w:rPr>
                <w:noProof/>
              </w:rPr>
              <w:t>igh</w:t>
            </w:r>
            <w:r w:rsidR="00F0018D">
              <w:rPr>
                <w:noProof/>
              </w:rPr>
              <w:t xml:space="preserve"> impact</w:t>
            </w:r>
            <w:r w:rsidR="00190966">
              <w:rPr>
                <w:noProof/>
              </w:rPr>
              <w:t>;</w:t>
            </w:r>
            <w:r w:rsidR="00013746">
              <w:rPr>
                <w:noProof/>
              </w:rPr>
              <w:t xml:space="preserve"> </w:t>
            </w:r>
            <w:r w:rsidR="00C440BE">
              <w:rPr>
                <w:noProof/>
              </w:rPr>
              <w:t xml:space="preserve">direction </w:t>
            </w:r>
            <w:r w:rsidR="005507D4">
              <w:rPr>
                <w:noProof/>
              </w:rPr>
              <w:t>of effect unclear</w:t>
            </w:r>
            <w:r w:rsidR="00190966">
              <w:rPr>
                <w:noProof/>
              </w:rPr>
              <w:t>;</w:t>
            </w:r>
            <w:r w:rsidR="005507D4">
              <w:rPr>
                <w:noProof/>
              </w:rPr>
              <w:t xml:space="preserve"> limited </w:t>
            </w:r>
            <w:r w:rsidR="006A7FD0">
              <w:rPr>
                <w:noProof/>
              </w:rPr>
              <w:t xml:space="preserve">uncertainty </w:t>
            </w:r>
            <w:r w:rsidR="00527237">
              <w:rPr>
                <w:noProof/>
              </w:rPr>
              <w:t>in the inputs.</w:t>
            </w:r>
            <w:r w:rsidR="00013746">
              <w:rPr>
                <w:noProof/>
              </w:rPr>
              <w:t xml:space="preserve"> </w:t>
            </w:r>
          </w:p>
          <w:p w14:paraId="35F24986" w14:textId="0429378A" w:rsidR="00B73EFF" w:rsidRPr="008737A9" w:rsidRDefault="00977F76" w:rsidP="008737A9">
            <w:pPr>
              <w:pStyle w:val="TableText"/>
            </w:pPr>
            <w:r>
              <w:rPr>
                <w:noProof/>
              </w:rPr>
              <w:t xml:space="preserve">%TBSA </w:t>
            </w:r>
            <w:r w:rsidR="002B6689">
              <w:rPr>
                <w:noProof/>
              </w:rPr>
              <w:t xml:space="preserve">burned </w:t>
            </w:r>
            <w:r w:rsidR="00A5248A">
              <w:rPr>
                <w:noProof/>
              </w:rPr>
              <w:t>and incremental cost</w:t>
            </w:r>
            <w:r w:rsidR="00E50693">
              <w:rPr>
                <w:noProof/>
              </w:rPr>
              <w:t>s</w:t>
            </w:r>
            <w:r w:rsidR="00A5248A">
              <w:rPr>
                <w:noProof/>
              </w:rPr>
              <w:t xml:space="preserve"> </w:t>
            </w:r>
            <w:r w:rsidR="00B16A88">
              <w:rPr>
                <w:noProof/>
              </w:rPr>
              <w:t>are directly associated</w:t>
            </w:r>
            <w:r w:rsidR="00E50693">
              <w:rPr>
                <w:noProof/>
              </w:rPr>
              <w:t xml:space="preserve"> (i.e. </w:t>
            </w:r>
            <w:r w:rsidR="00FB57B5">
              <w:rPr>
                <w:noProof/>
              </w:rPr>
              <w:t>with each increasing</w:t>
            </w:r>
            <w:r w:rsidR="00E50693">
              <w:rPr>
                <w:noProof/>
              </w:rPr>
              <w:t xml:space="preserve"> %</w:t>
            </w:r>
            <w:r w:rsidR="00ED107C">
              <w:rPr>
                <w:noProof/>
              </w:rPr>
              <w:t>TBSA burn</w:t>
            </w:r>
            <w:r w:rsidR="00127B34">
              <w:rPr>
                <w:noProof/>
              </w:rPr>
              <w:t>ed</w:t>
            </w:r>
            <w:r w:rsidR="00ED107C">
              <w:rPr>
                <w:noProof/>
              </w:rPr>
              <w:t xml:space="preserve"> </w:t>
            </w:r>
            <w:r w:rsidR="00FB57B5" w:rsidRPr="00937401">
              <w:rPr>
                <w:noProof/>
              </w:rPr>
              <w:t>cate</w:t>
            </w:r>
            <w:r w:rsidR="0001321F">
              <w:rPr>
                <w:noProof/>
              </w:rPr>
              <w:t>go</w:t>
            </w:r>
            <w:r w:rsidR="00FB57B5" w:rsidRPr="00937401">
              <w:rPr>
                <w:noProof/>
              </w:rPr>
              <w:t>ry</w:t>
            </w:r>
            <w:r w:rsidR="00FB57B5">
              <w:rPr>
                <w:noProof/>
              </w:rPr>
              <w:t>,</w:t>
            </w:r>
            <w:r w:rsidR="00ED107C">
              <w:rPr>
                <w:noProof/>
              </w:rPr>
              <w:t xml:space="preserve"> estimated </w:t>
            </w:r>
            <w:r w:rsidR="00FB57B5" w:rsidRPr="00937401">
              <w:rPr>
                <w:noProof/>
              </w:rPr>
              <w:t>increme</w:t>
            </w:r>
            <w:r w:rsidR="0001321F">
              <w:rPr>
                <w:noProof/>
              </w:rPr>
              <w:t>nt</w:t>
            </w:r>
            <w:r w:rsidR="00FB57B5" w:rsidRPr="00937401">
              <w:rPr>
                <w:noProof/>
              </w:rPr>
              <w:t>al</w:t>
            </w:r>
            <w:r w:rsidR="00FB57B5">
              <w:rPr>
                <w:noProof/>
              </w:rPr>
              <w:t xml:space="preserve"> cost savings </w:t>
            </w:r>
            <w:r w:rsidR="00FB57B5" w:rsidRPr="00937401">
              <w:rPr>
                <w:noProof/>
              </w:rPr>
              <w:t>increase</w:t>
            </w:r>
            <w:r w:rsidR="00FB57B5">
              <w:rPr>
                <w:noProof/>
              </w:rPr>
              <w:t>)</w:t>
            </w:r>
            <w:r w:rsidR="0051449C">
              <w:rPr>
                <w:noProof/>
              </w:rPr>
              <w:t>, imply</w:t>
            </w:r>
            <w:r w:rsidR="00660DB0">
              <w:rPr>
                <w:noProof/>
              </w:rPr>
              <w:t xml:space="preserve">ing weightings given to each </w:t>
            </w:r>
            <w:r w:rsidR="000663DC">
              <w:rPr>
                <w:noProof/>
              </w:rPr>
              <w:t>%</w:t>
            </w:r>
            <w:r w:rsidR="00660DB0">
              <w:rPr>
                <w:noProof/>
              </w:rPr>
              <w:t>TBSA</w:t>
            </w:r>
            <w:r w:rsidR="000663DC">
              <w:rPr>
                <w:noProof/>
              </w:rPr>
              <w:t xml:space="preserve"> category </w:t>
            </w:r>
            <w:r w:rsidR="000C0EE6">
              <w:rPr>
                <w:noProof/>
              </w:rPr>
              <w:t xml:space="preserve">could be signfiicant drivers. </w:t>
            </w:r>
            <w:r w:rsidR="00FB40CD">
              <w:rPr>
                <w:noProof/>
              </w:rPr>
              <w:t>T</w:t>
            </w:r>
            <w:r w:rsidR="000C0EE6" w:rsidRPr="00937401">
              <w:rPr>
                <w:noProof/>
              </w:rPr>
              <w:t>hese</w:t>
            </w:r>
            <w:r w:rsidR="000C0EE6">
              <w:rPr>
                <w:noProof/>
              </w:rPr>
              <w:t xml:space="preserve"> data are taken from BRANZ dat</w:t>
            </w:r>
            <w:r w:rsidR="00453891">
              <w:rPr>
                <w:noProof/>
              </w:rPr>
              <w:t xml:space="preserve">a </w:t>
            </w:r>
            <w:r w:rsidR="0076054E">
              <w:rPr>
                <w:noProof/>
              </w:rPr>
              <w:t>with high applicability to the decision context</w:t>
            </w:r>
            <w:r w:rsidR="00FB40CD">
              <w:rPr>
                <w:noProof/>
              </w:rPr>
              <w:t>.</w:t>
            </w:r>
          </w:p>
        </w:tc>
      </w:tr>
      <w:tr w:rsidR="000D4886" w:rsidRPr="000D4886" w14:paraId="760010A1" w14:textId="77777777" w:rsidTr="00E73BBB">
        <w:trPr>
          <w:cantSplit/>
          <w:trHeight w:val="300"/>
        </w:trPr>
        <w:tc>
          <w:tcPr>
            <w:tcW w:w="1436" w:type="dxa"/>
          </w:tcPr>
          <w:p w14:paraId="36D8CB87" w14:textId="0D20C1EC" w:rsidR="00A32DF3" w:rsidRPr="008737A9" w:rsidDel="00A32DF3" w:rsidRDefault="00DF21A3" w:rsidP="0031003A">
            <w:pPr>
              <w:pStyle w:val="TableText"/>
            </w:pPr>
            <w:r w:rsidRPr="008737A9">
              <w:t>Device cost</w:t>
            </w:r>
          </w:p>
        </w:tc>
        <w:tc>
          <w:tcPr>
            <w:tcW w:w="4042" w:type="dxa"/>
          </w:tcPr>
          <w:p w14:paraId="3604C0DA" w14:textId="1CBB83D8" w:rsidR="00A32DF3" w:rsidRPr="008737A9" w:rsidRDefault="001754AE" w:rsidP="003B61B7">
            <w:pPr>
              <w:pStyle w:val="TableText"/>
            </w:pPr>
            <w:r>
              <w:t>ASCS (RECELL</w:t>
            </w:r>
            <w:r w:rsidR="007B13FE">
              <w:t>®</w:t>
            </w:r>
            <w:r>
              <w:t>) device cost</w:t>
            </w:r>
            <w:r w:rsidR="00300848">
              <w:t xml:space="preserve"> </w:t>
            </w:r>
            <w:r w:rsidR="008447F0">
              <w:t xml:space="preserve">of </w:t>
            </w:r>
            <w:r w:rsidR="00300848">
              <w:t>$</w:t>
            </w:r>
            <w:r w:rsidR="00E70ED5">
              <w:rPr>
                <w:b/>
                <w:bCs/>
              </w:rPr>
              <w:t>redacted</w:t>
            </w:r>
            <w:r>
              <w:t xml:space="preserve"> </w:t>
            </w:r>
            <w:r w:rsidR="00AD7406">
              <w:t>per device</w:t>
            </w:r>
            <w:r w:rsidR="00300848">
              <w:t xml:space="preserve"> was informed by </w:t>
            </w:r>
            <w:r w:rsidR="00300848" w:rsidRPr="00937401">
              <w:t>A</w:t>
            </w:r>
            <w:r w:rsidR="008447F0">
              <w:t>VITA M</w:t>
            </w:r>
            <w:r w:rsidR="003410FF" w:rsidRPr="00937401">
              <w:t>edical</w:t>
            </w:r>
            <w:r w:rsidR="00D050E6">
              <w:t xml:space="preserve">. This cost </w:t>
            </w:r>
            <w:r w:rsidR="00176A96">
              <w:t xml:space="preserve">was excluded in the base case analysis. </w:t>
            </w:r>
            <w:r w:rsidR="00424EA3">
              <w:t xml:space="preserve">This exclusion </w:t>
            </w:r>
            <w:r w:rsidR="004902E6">
              <w:t xml:space="preserve">creates uncertainty in total </w:t>
            </w:r>
            <w:r w:rsidR="00B6512D">
              <w:t>per-</w:t>
            </w:r>
            <w:r w:rsidR="004902E6">
              <w:t xml:space="preserve">patient costs. </w:t>
            </w:r>
            <w:r w:rsidR="00A703AD">
              <w:t xml:space="preserve">An additional scenario with the </w:t>
            </w:r>
            <w:r w:rsidR="00A74AEF">
              <w:t xml:space="preserve">proposed </w:t>
            </w:r>
            <w:r w:rsidR="00A703AD">
              <w:t xml:space="preserve">device cost </w:t>
            </w:r>
            <w:r w:rsidR="00BD6407">
              <w:t xml:space="preserve">was applied in </w:t>
            </w:r>
            <w:r w:rsidR="001B315C">
              <w:t xml:space="preserve">additional </w:t>
            </w:r>
            <w:r w:rsidR="00A346A0">
              <w:t>sensitivity</w:t>
            </w:r>
            <w:r w:rsidR="00BD6407">
              <w:t xml:space="preserve"> analysis</w:t>
            </w:r>
            <w:r w:rsidR="001B315C">
              <w:t xml:space="preserve"> undertaken during the commentary</w:t>
            </w:r>
            <w:r w:rsidR="00BD6407">
              <w:t>.</w:t>
            </w:r>
          </w:p>
        </w:tc>
        <w:tc>
          <w:tcPr>
            <w:tcW w:w="3538" w:type="dxa"/>
          </w:tcPr>
          <w:p w14:paraId="7AC0E18F" w14:textId="0F16A8E6" w:rsidR="005647C2" w:rsidRDefault="00C73E69" w:rsidP="005647C2">
            <w:pPr>
              <w:pStyle w:val="TableText"/>
              <w:rPr>
                <w:noProof/>
              </w:rPr>
            </w:pPr>
            <w:r>
              <w:rPr>
                <w:noProof/>
              </w:rPr>
              <w:t>High</w:t>
            </w:r>
            <w:r w:rsidR="00182F0F">
              <w:rPr>
                <w:noProof/>
              </w:rPr>
              <w:t xml:space="preserve">, favours </w:t>
            </w:r>
            <w:r w:rsidR="005647C2" w:rsidRPr="00C86314">
              <w:rPr>
                <w:iCs/>
                <w:noProof/>
              </w:rPr>
              <w:t xml:space="preserve">ASCS </w:t>
            </w:r>
            <w:r w:rsidR="005647C2">
              <w:rPr>
                <w:iCs/>
                <w:noProof/>
              </w:rPr>
              <w:t xml:space="preserve">± </w:t>
            </w:r>
            <w:r w:rsidR="005647C2" w:rsidRPr="00F65B89">
              <w:rPr>
                <w:noProof/>
              </w:rPr>
              <w:t>STSG</w:t>
            </w:r>
            <w:r w:rsidR="005647C2">
              <w:rPr>
                <w:noProof/>
              </w:rPr>
              <w:t xml:space="preserve">. </w:t>
            </w:r>
            <w:r w:rsidR="00E03A06">
              <w:rPr>
                <w:noProof/>
              </w:rPr>
              <w:t xml:space="preserve"> </w:t>
            </w:r>
          </w:p>
          <w:p w14:paraId="6F67379F" w14:textId="73003880" w:rsidR="00A32DF3" w:rsidRPr="008737A9" w:rsidRDefault="007D6B76" w:rsidP="008737A9">
            <w:pPr>
              <w:pStyle w:val="TableText"/>
            </w:pPr>
            <w:r>
              <w:rPr>
                <w:noProof/>
              </w:rPr>
              <w:t>Inclusion</w:t>
            </w:r>
            <w:r w:rsidR="001B315C">
              <w:rPr>
                <w:noProof/>
              </w:rPr>
              <w:t xml:space="preserve"> </w:t>
            </w:r>
            <w:r w:rsidR="005647C2">
              <w:rPr>
                <w:noProof/>
              </w:rPr>
              <w:t xml:space="preserve">of device cost to the base case analysis </w:t>
            </w:r>
            <w:r w:rsidR="0050133D">
              <w:rPr>
                <w:noProof/>
              </w:rPr>
              <w:t xml:space="preserve">reduced </w:t>
            </w:r>
            <w:r w:rsidR="003E6C0D">
              <w:rPr>
                <w:noProof/>
              </w:rPr>
              <w:t xml:space="preserve">the </w:t>
            </w:r>
            <w:r w:rsidR="0050133D">
              <w:rPr>
                <w:noProof/>
              </w:rPr>
              <w:t>estimated cost sa</w:t>
            </w:r>
            <w:r w:rsidR="00651273">
              <w:rPr>
                <w:noProof/>
              </w:rPr>
              <w:t>ving</w:t>
            </w:r>
            <w:r w:rsidR="00ED3B14">
              <w:rPr>
                <w:noProof/>
              </w:rPr>
              <w:t>s</w:t>
            </w:r>
            <w:r w:rsidR="00651273">
              <w:rPr>
                <w:noProof/>
              </w:rPr>
              <w:t xml:space="preserve"> by </w:t>
            </w:r>
            <w:r w:rsidR="00DE716A">
              <w:rPr>
                <w:noProof/>
              </w:rPr>
              <w:t>77.77% compared to</w:t>
            </w:r>
            <w:r w:rsidR="00E40447">
              <w:rPr>
                <w:noProof/>
              </w:rPr>
              <w:t xml:space="preserve"> the</w:t>
            </w:r>
            <w:r w:rsidR="00DE716A">
              <w:rPr>
                <w:noProof/>
              </w:rPr>
              <w:t xml:space="preserve"> base case</w:t>
            </w:r>
            <w:r w:rsidR="00ED3B14">
              <w:rPr>
                <w:noProof/>
              </w:rPr>
              <w:t xml:space="preserve"> (incremental</w:t>
            </w:r>
            <w:r w:rsidR="00DE716A">
              <w:rPr>
                <w:noProof/>
              </w:rPr>
              <w:t xml:space="preserve"> </w:t>
            </w:r>
            <w:r w:rsidR="00981CFD" w:rsidDel="00651273">
              <w:rPr>
                <w:noProof/>
              </w:rPr>
              <w:t>cost</w:t>
            </w:r>
            <w:r w:rsidR="00ED3B14">
              <w:rPr>
                <w:noProof/>
              </w:rPr>
              <w:t xml:space="preserve">: </w:t>
            </w:r>
            <w:r w:rsidR="008447F0">
              <w:rPr>
                <w:noProof/>
              </w:rPr>
              <w:t>−</w:t>
            </w:r>
            <w:r w:rsidR="00ED3B14">
              <w:rPr>
                <w:noProof/>
              </w:rPr>
              <w:t>$5,350.93).</w:t>
            </w:r>
            <w:r w:rsidR="00DE716A">
              <w:rPr>
                <w:noProof/>
              </w:rPr>
              <w:t xml:space="preserve"> </w:t>
            </w:r>
          </w:p>
        </w:tc>
      </w:tr>
      <w:tr w:rsidR="000D4886" w:rsidRPr="000D4886" w14:paraId="7498D0DA" w14:textId="77777777" w:rsidTr="00E73BBB">
        <w:trPr>
          <w:cantSplit/>
          <w:trHeight w:val="300"/>
        </w:trPr>
        <w:tc>
          <w:tcPr>
            <w:tcW w:w="1436" w:type="dxa"/>
          </w:tcPr>
          <w:p w14:paraId="0B400992" w14:textId="440EED8E" w:rsidR="00A32DF3" w:rsidRPr="008737A9" w:rsidDel="00A32DF3" w:rsidRDefault="00803D01" w:rsidP="0031003A">
            <w:pPr>
              <w:pStyle w:val="TableText"/>
            </w:pPr>
            <w:r w:rsidRPr="008737A9">
              <w:lastRenderedPageBreak/>
              <w:t>Population</w:t>
            </w:r>
          </w:p>
        </w:tc>
        <w:tc>
          <w:tcPr>
            <w:tcW w:w="4042" w:type="dxa"/>
          </w:tcPr>
          <w:p w14:paraId="32BBD1E0" w14:textId="04A885AE" w:rsidR="00A32DF3" w:rsidRPr="008737A9" w:rsidRDefault="00211805" w:rsidP="003B61B7">
            <w:pPr>
              <w:pStyle w:val="TableText"/>
            </w:pPr>
            <w:r>
              <w:rPr>
                <w:noProof/>
              </w:rPr>
              <w:t>Several key inputs were specfic to adult</w:t>
            </w:r>
            <w:r w:rsidR="008447F0">
              <w:rPr>
                <w:noProof/>
              </w:rPr>
              <w:t>-</w:t>
            </w:r>
            <w:r>
              <w:rPr>
                <w:noProof/>
              </w:rPr>
              <w:t>only cohorts, including</w:t>
            </w:r>
            <w:r w:rsidDel="008447F0">
              <w:rPr>
                <w:noProof/>
              </w:rPr>
              <w:t xml:space="preserve"> </w:t>
            </w:r>
            <w:r>
              <w:rPr>
                <w:noProof/>
              </w:rPr>
              <w:t>i</w:t>
            </w:r>
            <w:r w:rsidR="00AB4306" w:rsidRPr="00937401">
              <w:rPr>
                <w:noProof/>
              </w:rPr>
              <w:t xml:space="preserve">ncidence </w:t>
            </w:r>
            <w:r w:rsidR="00444073" w:rsidRPr="00937401">
              <w:rPr>
                <w:noProof/>
              </w:rPr>
              <w:t xml:space="preserve">of burn </w:t>
            </w:r>
            <w:r>
              <w:rPr>
                <w:noProof/>
              </w:rPr>
              <w:t xml:space="preserve">by %TBSA </w:t>
            </w:r>
            <w:r w:rsidR="00E40447">
              <w:rPr>
                <w:noProof/>
              </w:rPr>
              <w:t>burned</w:t>
            </w:r>
            <w:r w:rsidR="00FB37A1">
              <w:rPr>
                <w:noProof/>
              </w:rPr>
              <w:t>, number of devices needed relative to %TBSA burn</w:t>
            </w:r>
            <w:r w:rsidR="00E40447">
              <w:rPr>
                <w:noProof/>
              </w:rPr>
              <w:t>ed</w:t>
            </w:r>
            <w:r w:rsidR="00FB37A1">
              <w:rPr>
                <w:noProof/>
              </w:rPr>
              <w:t xml:space="preserve">, LOS </w:t>
            </w:r>
            <w:r w:rsidR="007F6A8D">
              <w:rPr>
                <w:noProof/>
              </w:rPr>
              <w:t xml:space="preserve">and number of definitive closure procedures required. </w:t>
            </w:r>
            <w:r w:rsidR="001678CF">
              <w:t>Overall,</w:t>
            </w:r>
            <w:r w:rsidR="00305C43" w:rsidRPr="008737A9">
              <w:t xml:space="preserve"> the current analysis is likely to create uncertainty in the </w:t>
            </w:r>
            <w:r w:rsidR="00495BD4" w:rsidRPr="008737A9">
              <w:t xml:space="preserve">total </w:t>
            </w:r>
            <w:r w:rsidR="006C5AE3">
              <w:rPr>
                <w:noProof/>
              </w:rPr>
              <w:t xml:space="preserve">cost </w:t>
            </w:r>
            <w:r w:rsidR="00734917" w:rsidRPr="008737A9">
              <w:t>per pat</w:t>
            </w:r>
            <w:r w:rsidR="00B57418">
              <w:t>i</w:t>
            </w:r>
            <w:r w:rsidR="00734917" w:rsidRPr="008737A9">
              <w:t>ent</w:t>
            </w:r>
            <w:r w:rsidR="00305C43" w:rsidRPr="008737A9">
              <w:t xml:space="preserve"> of </w:t>
            </w:r>
            <w:r w:rsidR="00DF516F" w:rsidRPr="008737A9">
              <w:t xml:space="preserve">ASCS ± STSG </w:t>
            </w:r>
            <w:r w:rsidR="00305C43" w:rsidRPr="008737A9">
              <w:t xml:space="preserve">due to the absence of </w:t>
            </w:r>
            <w:r w:rsidR="00DF516F" w:rsidRPr="008737A9">
              <w:t>paediatric patients</w:t>
            </w:r>
            <w:r w:rsidR="001D78D7" w:rsidRPr="008737A9">
              <w:t xml:space="preserve">. </w:t>
            </w:r>
            <w:r w:rsidR="00383AB8" w:rsidRPr="00937401">
              <w:rPr>
                <w:noProof/>
              </w:rPr>
              <w:t>Harrison and Steel (2006)</w:t>
            </w:r>
            <w:r w:rsidR="00383AB8" w:rsidRPr="005C1A1C">
              <w:rPr>
                <w:noProof/>
                <w:vertAlign w:val="superscript"/>
              </w:rPr>
              <w:fldChar w:fldCharType="begin"/>
            </w:r>
            <w:r w:rsidR="00383AB8" w:rsidRPr="005C1A1C">
              <w:rPr>
                <w:noProof/>
                <w:vertAlign w:val="superscript"/>
              </w:rPr>
              <w:instrText xml:space="preserve"> NOTEREF _Ref194657083 \h </w:instrText>
            </w:r>
            <w:r w:rsidR="00383AB8">
              <w:rPr>
                <w:noProof/>
                <w:vertAlign w:val="superscript"/>
              </w:rPr>
              <w:instrText xml:space="preserve"> \* MERGEFORMAT </w:instrText>
            </w:r>
            <w:r w:rsidR="00383AB8" w:rsidRPr="005C1A1C">
              <w:rPr>
                <w:noProof/>
                <w:vertAlign w:val="superscript"/>
              </w:rPr>
            </w:r>
            <w:r w:rsidR="00383AB8" w:rsidRPr="005C1A1C">
              <w:rPr>
                <w:noProof/>
                <w:vertAlign w:val="superscript"/>
              </w:rPr>
              <w:fldChar w:fldCharType="separate"/>
            </w:r>
            <w:r w:rsidR="00487E4A">
              <w:rPr>
                <w:noProof/>
                <w:vertAlign w:val="superscript"/>
              </w:rPr>
              <w:t>14</w:t>
            </w:r>
            <w:r w:rsidR="00383AB8" w:rsidRPr="005C1A1C">
              <w:rPr>
                <w:noProof/>
                <w:vertAlign w:val="superscript"/>
              </w:rPr>
              <w:fldChar w:fldCharType="end"/>
            </w:r>
            <w:r w:rsidR="00383AB8" w:rsidRPr="00937401">
              <w:rPr>
                <w:noProof/>
              </w:rPr>
              <w:t xml:space="preserve"> indicated that hospitalisation</w:t>
            </w:r>
            <w:r w:rsidR="003E6946">
              <w:rPr>
                <w:noProof/>
              </w:rPr>
              <w:t>s</w:t>
            </w:r>
            <w:r w:rsidR="00383AB8" w:rsidRPr="00937401">
              <w:rPr>
                <w:noProof/>
              </w:rPr>
              <w:t xml:space="preserve"> and LOS were higher for paediatric </w:t>
            </w:r>
            <w:r w:rsidR="00383AB8">
              <w:rPr>
                <w:noProof/>
              </w:rPr>
              <w:t>patients</w:t>
            </w:r>
            <w:r w:rsidR="00383AB8" w:rsidRPr="00937401">
              <w:rPr>
                <w:noProof/>
              </w:rPr>
              <w:t xml:space="preserve"> compared to </w:t>
            </w:r>
            <w:r w:rsidR="00383AB8">
              <w:rPr>
                <w:noProof/>
              </w:rPr>
              <w:t>adults.</w:t>
            </w:r>
          </w:p>
        </w:tc>
        <w:tc>
          <w:tcPr>
            <w:tcW w:w="3538" w:type="dxa"/>
          </w:tcPr>
          <w:p w14:paraId="6A6F3BD0" w14:textId="4CC4584E" w:rsidR="00AB4EAD" w:rsidRPr="008737A9" w:rsidRDefault="00AB4EAD" w:rsidP="008737A9">
            <w:pPr>
              <w:pStyle w:val="TableText"/>
            </w:pPr>
            <w:r>
              <w:rPr>
                <w:noProof/>
              </w:rPr>
              <w:t xml:space="preserve">Low </w:t>
            </w:r>
            <w:r w:rsidR="00E24E65">
              <w:rPr>
                <w:noProof/>
              </w:rPr>
              <w:t>impact</w:t>
            </w:r>
            <w:r w:rsidR="00F307B4">
              <w:rPr>
                <w:noProof/>
              </w:rPr>
              <w:t>, based on ADAR a</w:t>
            </w:r>
            <w:r w:rsidR="003F6E5B">
              <w:rPr>
                <w:noProof/>
              </w:rPr>
              <w:t>s</w:t>
            </w:r>
            <w:r w:rsidR="00F307B4">
              <w:rPr>
                <w:noProof/>
              </w:rPr>
              <w:t>sertion</w:t>
            </w:r>
            <w:r w:rsidR="006359EA">
              <w:rPr>
                <w:noProof/>
              </w:rPr>
              <w:t xml:space="preserve"> that </w:t>
            </w:r>
            <w:r w:rsidR="009F58F1">
              <w:rPr>
                <w:noProof/>
              </w:rPr>
              <w:t xml:space="preserve">use of </w:t>
            </w:r>
            <w:r w:rsidR="00D13FA0">
              <w:rPr>
                <w:noProof/>
              </w:rPr>
              <w:t xml:space="preserve">the </w:t>
            </w:r>
            <w:r w:rsidR="009F58F1" w:rsidRPr="00937401">
              <w:rPr>
                <w:noProof/>
              </w:rPr>
              <w:t>ASCS p</w:t>
            </w:r>
            <w:r w:rsidR="008447F0">
              <w:rPr>
                <w:noProof/>
              </w:rPr>
              <w:t>roc</w:t>
            </w:r>
            <w:r w:rsidR="009F58F1" w:rsidRPr="00937401">
              <w:rPr>
                <w:noProof/>
              </w:rPr>
              <w:t>edure</w:t>
            </w:r>
            <w:r w:rsidR="009F58F1">
              <w:rPr>
                <w:noProof/>
              </w:rPr>
              <w:t xml:space="preserve"> is less likely </w:t>
            </w:r>
            <w:r w:rsidR="009F58F1" w:rsidRPr="00937401">
              <w:rPr>
                <w:noProof/>
              </w:rPr>
              <w:t>a</w:t>
            </w:r>
            <w:r w:rsidR="008447F0">
              <w:rPr>
                <w:noProof/>
              </w:rPr>
              <w:t>m</w:t>
            </w:r>
            <w:r w:rsidR="009F58F1" w:rsidRPr="00937401">
              <w:rPr>
                <w:noProof/>
              </w:rPr>
              <w:t xml:space="preserve">ong </w:t>
            </w:r>
            <w:r w:rsidR="00D13FA0">
              <w:rPr>
                <w:noProof/>
              </w:rPr>
              <w:t>paediatric</w:t>
            </w:r>
            <w:r w:rsidR="009F58F1">
              <w:rPr>
                <w:noProof/>
              </w:rPr>
              <w:t xml:space="preserve"> patients due to </w:t>
            </w:r>
            <w:r w:rsidR="004C7585">
              <w:rPr>
                <w:noProof/>
              </w:rPr>
              <w:t>l</w:t>
            </w:r>
            <w:r w:rsidR="009809C9">
              <w:rPr>
                <w:noProof/>
              </w:rPr>
              <w:t>imited</w:t>
            </w:r>
            <w:r w:rsidR="004C7585">
              <w:rPr>
                <w:noProof/>
              </w:rPr>
              <w:t xml:space="preserve"> availability of </w:t>
            </w:r>
            <w:r w:rsidR="00635C9B">
              <w:rPr>
                <w:noProof/>
              </w:rPr>
              <w:t>donor</w:t>
            </w:r>
            <w:r w:rsidR="004C7585">
              <w:rPr>
                <w:noProof/>
              </w:rPr>
              <w:t xml:space="preserve"> site</w:t>
            </w:r>
            <w:r w:rsidR="009809C9">
              <w:rPr>
                <w:noProof/>
              </w:rPr>
              <w:t>s</w:t>
            </w:r>
            <w:r w:rsidR="004C7585">
              <w:rPr>
                <w:noProof/>
              </w:rPr>
              <w:t xml:space="preserve">. </w:t>
            </w:r>
            <w:r w:rsidR="008447F0">
              <w:rPr>
                <w:noProof/>
              </w:rPr>
              <w:t>A</w:t>
            </w:r>
            <w:r w:rsidR="006B5694">
              <w:rPr>
                <w:noProof/>
              </w:rPr>
              <w:t>mo</w:t>
            </w:r>
            <w:r w:rsidR="008447F0">
              <w:rPr>
                <w:noProof/>
              </w:rPr>
              <w:t>n</w:t>
            </w:r>
            <w:r w:rsidR="006B5694">
              <w:rPr>
                <w:noProof/>
              </w:rPr>
              <w:t>g</w:t>
            </w:r>
            <w:r w:rsidR="00F22EE9">
              <w:rPr>
                <w:noProof/>
              </w:rPr>
              <w:t xml:space="preserve"> the </w:t>
            </w:r>
            <w:r w:rsidR="006B5694">
              <w:rPr>
                <w:noProof/>
              </w:rPr>
              <w:t>overall</w:t>
            </w:r>
            <w:r w:rsidR="00F22EE9">
              <w:rPr>
                <w:noProof/>
              </w:rPr>
              <w:t xml:space="preserve"> elig</w:t>
            </w:r>
            <w:r w:rsidR="003F6E5B">
              <w:rPr>
                <w:noProof/>
              </w:rPr>
              <w:t>i</w:t>
            </w:r>
            <w:r w:rsidR="00F22EE9">
              <w:rPr>
                <w:noProof/>
              </w:rPr>
              <w:t xml:space="preserve">ble population (as estimated in Section 4 of ADAR), </w:t>
            </w:r>
            <w:r w:rsidR="005C042B">
              <w:rPr>
                <w:noProof/>
              </w:rPr>
              <w:t xml:space="preserve">paediatric </w:t>
            </w:r>
            <w:r w:rsidR="00F22EE9">
              <w:rPr>
                <w:noProof/>
              </w:rPr>
              <w:t xml:space="preserve">patients comprise </w:t>
            </w:r>
            <w:r w:rsidR="006B5694">
              <w:rPr>
                <w:noProof/>
              </w:rPr>
              <w:t>only 11.7%.</w:t>
            </w:r>
          </w:p>
        </w:tc>
      </w:tr>
    </w:tbl>
    <w:p w14:paraId="677497F5" w14:textId="174A2E51" w:rsidR="006123D4" w:rsidRPr="00F65B89" w:rsidRDefault="006123D4" w:rsidP="00C70F89">
      <w:pPr>
        <w:pStyle w:val="Tablenotes0"/>
        <w:rPr>
          <w:noProof/>
        </w:rPr>
      </w:pPr>
      <w:bookmarkStart w:id="81" w:name="_Hlk68276635"/>
      <w:bookmarkEnd w:id="80"/>
      <w:r w:rsidRPr="00937401">
        <w:rPr>
          <w:noProof/>
        </w:rPr>
        <w:t>Abb</w:t>
      </w:r>
      <w:r w:rsidR="00256DE6" w:rsidRPr="00937401">
        <w:rPr>
          <w:noProof/>
        </w:rPr>
        <w:t>rev</w:t>
      </w:r>
      <w:r w:rsidR="008447F0">
        <w:rPr>
          <w:noProof/>
        </w:rPr>
        <w:t>i</w:t>
      </w:r>
      <w:r w:rsidR="00256DE6" w:rsidRPr="00937401">
        <w:rPr>
          <w:noProof/>
        </w:rPr>
        <w:t>ations</w:t>
      </w:r>
      <w:r w:rsidR="00256DE6">
        <w:rPr>
          <w:noProof/>
        </w:rPr>
        <w:t xml:space="preserve">: </w:t>
      </w:r>
      <w:r w:rsidRPr="00F65B89">
        <w:rPr>
          <w:noProof/>
        </w:rPr>
        <w:t>ASCS</w:t>
      </w:r>
      <w:r w:rsidR="008447F0">
        <w:rPr>
          <w:noProof/>
        </w:rPr>
        <w:t xml:space="preserve"> </w:t>
      </w:r>
      <w:r w:rsidRPr="00F65B89">
        <w:rPr>
          <w:noProof/>
        </w:rPr>
        <w:t>= autologous skin cell suspension</w:t>
      </w:r>
      <w:r w:rsidR="00256DE6">
        <w:rPr>
          <w:noProof/>
        </w:rPr>
        <w:t>; BRANZ</w:t>
      </w:r>
      <w:r w:rsidR="008447F0">
        <w:rPr>
          <w:noProof/>
        </w:rPr>
        <w:t xml:space="preserve"> </w:t>
      </w:r>
      <w:r w:rsidR="00256DE6" w:rsidRPr="00937401">
        <w:rPr>
          <w:noProof/>
        </w:rPr>
        <w:t>=</w:t>
      </w:r>
      <w:r w:rsidR="00D4638B" w:rsidRPr="00937401">
        <w:rPr>
          <w:noProof/>
        </w:rPr>
        <w:t xml:space="preserve"> </w:t>
      </w:r>
      <w:r w:rsidR="008447F0">
        <w:rPr>
          <w:noProof/>
        </w:rPr>
        <w:t>B</w:t>
      </w:r>
      <w:r w:rsidR="002B799B" w:rsidRPr="00937401">
        <w:rPr>
          <w:noProof/>
        </w:rPr>
        <w:t xml:space="preserve">urn </w:t>
      </w:r>
      <w:r w:rsidR="008447F0">
        <w:rPr>
          <w:noProof/>
        </w:rPr>
        <w:t>R</w:t>
      </w:r>
      <w:r w:rsidR="002B799B" w:rsidRPr="00937401">
        <w:rPr>
          <w:noProof/>
        </w:rPr>
        <w:t>egistry</w:t>
      </w:r>
      <w:r w:rsidR="002B799B">
        <w:rPr>
          <w:noProof/>
        </w:rPr>
        <w:t xml:space="preserve"> of Australia and New Zealand; </w:t>
      </w:r>
      <w:r w:rsidR="00704F4C">
        <w:rPr>
          <w:noProof/>
        </w:rPr>
        <w:t>DPT</w:t>
      </w:r>
      <w:r w:rsidR="008447F0">
        <w:rPr>
          <w:noProof/>
        </w:rPr>
        <w:t xml:space="preserve"> </w:t>
      </w:r>
      <w:r w:rsidR="00704F4C">
        <w:rPr>
          <w:noProof/>
        </w:rPr>
        <w:t xml:space="preserve">= deep partial thickness; </w:t>
      </w:r>
      <w:r w:rsidR="008138A0">
        <w:rPr>
          <w:noProof/>
        </w:rPr>
        <w:t>FT</w:t>
      </w:r>
      <w:r w:rsidR="008447F0">
        <w:rPr>
          <w:noProof/>
        </w:rPr>
        <w:t xml:space="preserve"> </w:t>
      </w:r>
      <w:r w:rsidR="00704F4C">
        <w:rPr>
          <w:noProof/>
        </w:rPr>
        <w:t xml:space="preserve">= full thickness; </w:t>
      </w:r>
      <w:r w:rsidRPr="00F65B89">
        <w:rPr>
          <w:noProof/>
        </w:rPr>
        <w:t>LOS</w:t>
      </w:r>
      <w:r w:rsidR="008447F0">
        <w:rPr>
          <w:noProof/>
        </w:rPr>
        <w:t xml:space="preserve"> </w:t>
      </w:r>
      <w:r w:rsidRPr="00F65B89">
        <w:rPr>
          <w:noProof/>
        </w:rPr>
        <w:t xml:space="preserve">= length of </w:t>
      </w:r>
      <w:r w:rsidR="008844BE">
        <w:rPr>
          <w:noProof/>
        </w:rPr>
        <w:t xml:space="preserve">hospital </w:t>
      </w:r>
      <w:r w:rsidRPr="00F65B89">
        <w:rPr>
          <w:noProof/>
        </w:rPr>
        <w:t>stay; STSG</w:t>
      </w:r>
      <w:r w:rsidR="008447F0">
        <w:rPr>
          <w:noProof/>
        </w:rPr>
        <w:t xml:space="preserve"> </w:t>
      </w:r>
      <w:r w:rsidRPr="00F65B89">
        <w:rPr>
          <w:noProof/>
        </w:rPr>
        <w:t>= split-thickness skin graft; TBSA</w:t>
      </w:r>
      <w:r w:rsidR="008447F0">
        <w:rPr>
          <w:noProof/>
        </w:rPr>
        <w:t xml:space="preserve"> </w:t>
      </w:r>
      <w:r w:rsidRPr="00F65B89">
        <w:rPr>
          <w:noProof/>
        </w:rPr>
        <w:t>= total body surface area</w:t>
      </w:r>
    </w:p>
    <w:p w14:paraId="7EF67F9F" w14:textId="66D28EE4" w:rsidR="006123D4" w:rsidRPr="00F65B89" w:rsidRDefault="006123D4" w:rsidP="00C70F89">
      <w:pPr>
        <w:pStyle w:val="Tablenotes0"/>
        <w:rPr>
          <w:iCs/>
          <w:noProof/>
          <w:color w:val="000000" w:themeColor="text1"/>
        </w:rPr>
      </w:pPr>
      <w:r w:rsidRPr="00F65B89">
        <w:rPr>
          <w:rStyle w:val="IntenseEmphasis"/>
          <w:rFonts w:eastAsiaTheme="majorEastAsia"/>
          <w:color w:val="000000" w:themeColor="text1"/>
        </w:rPr>
        <w:t xml:space="preserve">Source: </w:t>
      </w:r>
      <w:r w:rsidR="00744038">
        <w:rPr>
          <w:rStyle w:val="IntenseEmphasis"/>
          <w:rFonts w:eastAsiaTheme="majorEastAsia"/>
          <w:color w:val="000000" w:themeColor="text1"/>
        </w:rPr>
        <w:t>Compiled during the commentary</w:t>
      </w:r>
    </w:p>
    <w:p w14:paraId="7501C6AD" w14:textId="079E270D" w:rsidR="00AE2C4E" w:rsidRDefault="00292CE4" w:rsidP="008C7E58">
      <w:r>
        <w:t xml:space="preserve">An </w:t>
      </w:r>
      <w:r w:rsidR="00BA5313" w:rsidRPr="00E5208B">
        <w:t>Australian Institute of Health and Welfare</w:t>
      </w:r>
      <w:r w:rsidR="00BA5313" w:rsidRPr="008737A9">
        <w:t xml:space="preserve"> </w:t>
      </w:r>
      <w:r w:rsidR="00BA5313">
        <w:t>(</w:t>
      </w:r>
      <w:r w:rsidR="000B7066" w:rsidRPr="008737A9">
        <w:t>A</w:t>
      </w:r>
      <w:r w:rsidR="00445A40">
        <w:t>IHW</w:t>
      </w:r>
      <w:r w:rsidR="00BA5313">
        <w:t>)</w:t>
      </w:r>
      <w:r w:rsidR="00445A40">
        <w:t xml:space="preserve"> report</w:t>
      </w:r>
      <w:r w:rsidR="000B7066" w:rsidRPr="008737A9">
        <w:t xml:space="preserve"> by </w:t>
      </w:r>
      <w:r w:rsidR="0061767A" w:rsidRPr="008737A9">
        <w:t>Harrison and Steel (2006</w:t>
      </w:r>
      <w:r w:rsidR="00227968">
        <w:t>)</w:t>
      </w:r>
      <w:r w:rsidR="00227968" w:rsidRPr="006527C9">
        <w:rPr>
          <w:vertAlign w:val="superscript"/>
        </w:rPr>
        <w:fldChar w:fldCharType="begin"/>
      </w:r>
      <w:r w:rsidR="00227968" w:rsidRPr="006527C9">
        <w:rPr>
          <w:vertAlign w:val="superscript"/>
        </w:rPr>
        <w:instrText xml:space="preserve"> NOTEREF _Ref194657083 \h </w:instrText>
      </w:r>
      <w:r w:rsidR="00227968">
        <w:rPr>
          <w:vertAlign w:val="superscript"/>
        </w:rPr>
        <w:instrText xml:space="preserve"> \* MERGEFORMAT </w:instrText>
      </w:r>
      <w:r w:rsidR="00227968" w:rsidRPr="006527C9">
        <w:rPr>
          <w:vertAlign w:val="superscript"/>
        </w:rPr>
      </w:r>
      <w:r w:rsidR="00227968" w:rsidRPr="006527C9">
        <w:rPr>
          <w:vertAlign w:val="superscript"/>
        </w:rPr>
        <w:fldChar w:fldCharType="separate"/>
      </w:r>
      <w:r w:rsidR="00487E4A">
        <w:rPr>
          <w:vertAlign w:val="superscript"/>
        </w:rPr>
        <w:t>14</w:t>
      </w:r>
      <w:r w:rsidR="00227968" w:rsidRPr="006527C9">
        <w:rPr>
          <w:vertAlign w:val="superscript"/>
        </w:rPr>
        <w:fldChar w:fldCharType="end"/>
      </w:r>
      <w:r w:rsidR="0039630A" w:rsidRPr="008737A9">
        <w:t>,</w:t>
      </w:r>
      <w:r w:rsidR="0061767A" w:rsidRPr="008737A9">
        <w:t xml:space="preserve"> </w:t>
      </w:r>
      <w:r w:rsidR="003C2308" w:rsidRPr="008737A9">
        <w:t>highli</w:t>
      </w:r>
      <w:r w:rsidR="00D82781" w:rsidRPr="008737A9">
        <w:t>ghted</w:t>
      </w:r>
      <w:r w:rsidR="0061767A" w:rsidRPr="008737A9">
        <w:t xml:space="preserve"> that </w:t>
      </w:r>
      <w:r w:rsidR="00D82781" w:rsidRPr="008737A9">
        <w:t>both</w:t>
      </w:r>
      <w:r w:rsidR="0061767A" w:rsidRPr="008737A9">
        <w:t xml:space="preserve"> LOS and hospitalisation </w:t>
      </w:r>
      <w:r w:rsidR="00CE3883" w:rsidRPr="008737A9">
        <w:t xml:space="preserve">rate </w:t>
      </w:r>
      <w:r w:rsidR="005C5F49" w:rsidRPr="008737A9">
        <w:t xml:space="preserve">were higher among </w:t>
      </w:r>
      <w:r w:rsidR="00CE41C7" w:rsidRPr="008737A9">
        <w:t>child</w:t>
      </w:r>
      <w:r w:rsidR="009E66AB">
        <w:t>re</w:t>
      </w:r>
      <w:r w:rsidR="00CE41C7" w:rsidRPr="008737A9">
        <w:t xml:space="preserve">n and paediatric patients, </w:t>
      </w:r>
      <w:r w:rsidR="005E33F5" w:rsidRPr="008737A9">
        <w:t>leading to</w:t>
      </w:r>
      <w:r w:rsidR="00CE41C7" w:rsidRPr="008737A9">
        <w:t xml:space="preserve"> hig</w:t>
      </w:r>
      <w:r w:rsidR="000A34C2" w:rsidRPr="008737A9">
        <w:t>h</w:t>
      </w:r>
      <w:r w:rsidR="00CE41C7" w:rsidRPr="008737A9">
        <w:t xml:space="preserve">er </w:t>
      </w:r>
      <w:r w:rsidR="000A34C2" w:rsidRPr="008737A9">
        <w:t xml:space="preserve">associated </w:t>
      </w:r>
      <w:r w:rsidR="00CE41C7" w:rsidRPr="008737A9">
        <w:t>cost</w:t>
      </w:r>
      <w:r w:rsidR="00685065">
        <w:t>s</w:t>
      </w:r>
      <w:r w:rsidR="00CE41C7" w:rsidRPr="008737A9">
        <w:t xml:space="preserve"> compared to </w:t>
      </w:r>
      <w:r w:rsidR="00CE3883" w:rsidRPr="008737A9">
        <w:t xml:space="preserve">adults. As such, </w:t>
      </w:r>
      <w:r w:rsidR="00557B89" w:rsidRPr="008737A9">
        <w:t>the cost</w:t>
      </w:r>
      <w:r w:rsidR="006601A5">
        <w:t>ing</w:t>
      </w:r>
      <w:r w:rsidR="00557B89" w:rsidRPr="008737A9">
        <w:t xml:space="preserve"> analysis </w:t>
      </w:r>
      <w:r w:rsidR="002B2058" w:rsidRPr="008737A9">
        <w:t xml:space="preserve">based </w:t>
      </w:r>
      <w:r w:rsidR="009D6FF1">
        <w:t>largely</w:t>
      </w:r>
      <w:r w:rsidR="009D6FF1" w:rsidRPr="008737A9">
        <w:t xml:space="preserve"> </w:t>
      </w:r>
      <w:r w:rsidR="002B2058" w:rsidRPr="008737A9">
        <w:t xml:space="preserve">on </w:t>
      </w:r>
      <w:r w:rsidR="00557B89" w:rsidRPr="008737A9">
        <w:t>adult patient</w:t>
      </w:r>
      <w:r w:rsidR="009D6FF1">
        <w:t>-</w:t>
      </w:r>
      <w:r w:rsidR="00557B89" w:rsidRPr="008737A9">
        <w:t>s</w:t>
      </w:r>
      <w:r w:rsidR="009D6FF1">
        <w:t>pecific inputs</w:t>
      </w:r>
      <w:r w:rsidR="00557B89" w:rsidRPr="008737A9">
        <w:t xml:space="preserve"> may </w:t>
      </w:r>
      <w:r w:rsidR="009D6FF1">
        <w:t>not be generalisable to paediatric patients</w:t>
      </w:r>
      <w:r w:rsidR="00753A82" w:rsidRPr="008737A9">
        <w:t xml:space="preserve">. </w:t>
      </w:r>
    </w:p>
    <w:p w14:paraId="21B92580" w14:textId="237C99B4" w:rsidR="00AE2C4E" w:rsidRDefault="00177823" w:rsidP="008C7E58">
      <w:r w:rsidRPr="008737A9">
        <w:t xml:space="preserve">LOS </w:t>
      </w:r>
      <w:r w:rsidR="00172446">
        <w:t>inputs</w:t>
      </w:r>
      <w:r w:rsidRPr="008737A9">
        <w:t xml:space="preserve"> for </w:t>
      </w:r>
      <w:r w:rsidR="00172446">
        <w:t xml:space="preserve">the </w:t>
      </w:r>
      <w:r w:rsidRPr="008737A9">
        <w:t xml:space="preserve">base case analysis </w:t>
      </w:r>
      <w:r w:rsidR="00172446">
        <w:t>were</w:t>
      </w:r>
      <w:r w:rsidR="00172446" w:rsidRPr="008737A9">
        <w:t xml:space="preserve"> </w:t>
      </w:r>
      <w:r w:rsidRPr="008737A9">
        <w:t>informed by Carter et.al. (2022)</w:t>
      </w:r>
      <w:r w:rsidRPr="008737A9">
        <w:rPr>
          <w:vertAlign w:val="superscript"/>
        </w:rPr>
        <w:fldChar w:fldCharType="begin"/>
      </w:r>
      <w:r w:rsidRPr="008737A9">
        <w:rPr>
          <w:vertAlign w:val="superscript"/>
        </w:rPr>
        <w:instrText xml:space="preserve"> NOTEREF _Ref193107306 \h  \* MERGEFORMAT </w:instrText>
      </w:r>
      <w:r w:rsidRPr="008737A9">
        <w:rPr>
          <w:vertAlign w:val="superscript"/>
        </w:rPr>
      </w:r>
      <w:r w:rsidRPr="008737A9">
        <w:rPr>
          <w:vertAlign w:val="superscript"/>
        </w:rPr>
        <w:fldChar w:fldCharType="separate"/>
      </w:r>
      <w:r w:rsidR="00487E4A">
        <w:rPr>
          <w:vertAlign w:val="superscript"/>
        </w:rPr>
        <w:t>11</w:t>
      </w:r>
      <w:r w:rsidRPr="008737A9">
        <w:rPr>
          <w:vertAlign w:val="superscript"/>
        </w:rPr>
        <w:fldChar w:fldCharType="end"/>
      </w:r>
      <w:r w:rsidR="002A31D2">
        <w:t>,</w:t>
      </w:r>
      <w:r w:rsidR="007058ED" w:rsidRPr="008737A9">
        <w:t xml:space="preserve"> a US</w:t>
      </w:r>
      <w:r w:rsidR="00E802A0">
        <w:t>-</w:t>
      </w:r>
      <w:r w:rsidR="007058ED" w:rsidRPr="008737A9">
        <w:t>based study</w:t>
      </w:r>
      <w:r w:rsidR="006B7B0F" w:rsidRPr="008737A9">
        <w:t xml:space="preserve">. Some sensitivity analyses were performed </w:t>
      </w:r>
      <w:r w:rsidR="00674089">
        <w:t xml:space="preserve">in the ADAR </w:t>
      </w:r>
      <w:r w:rsidR="00616486" w:rsidRPr="008737A9">
        <w:t>using ±</w:t>
      </w:r>
      <w:r w:rsidR="00E00B17" w:rsidRPr="008737A9">
        <w:t>10%</w:t>
      </w:r>
      <w:r w:rsidR="001447A2">
        <w:t xml:space="preserve"> TBSA</w:t>
      </w:r>
      <w:r w:rsidR="00E00B17" w:rsidRPr="008737A9">
        <w:t xml:space="preserve"> in </w:t>
      </w:r>
      <w:r w:rsidR="0005061E">
        <w:t>the</w:t>
      </w:r>
      <w:r w:rsidR="00E00B17" w:rsidRPr="008737A9">
        <w:t xml:space="preserve"> ASCS± STSG arm</w:t>
      </w:r>
      <w:r w:rsidR="00DD0B87">
        <w:t>, and additional scenario</w:t>
      </w:r>
      <w:r w:rsidR="00DD5309">
        <w:t>s</w:t>
      </w:r>
      <w:r w:rsidR="002B7B57" w:rsidRPr="008737A9">
        <w:t xml:space="preserve"> </w:t>
      </w:r>
      <w:r w:rsidR="00570347" w:rsidRPr="008737A9">
        <w:t xml:space="preserve">using </w:t>
      </w:r>
      <w:r w:rsidR="00DD0B87">
        <w:t>alternative</w:t>
      </w:r>
      <w:r w:rsidR="00570347" w:rsidRPr="008737A9">
        <w:t xml:space="preserve"> </w:t>
      </w:r>
      <w:r w:rsidR="00616486" w:rsidRPr="008737A9">
        <w:t>literature-based</w:t>
      </w:r>
      <w:r w:rsidR="00570347" w:rsidRPr="008737A9">
        <w:t xml:space="preserve"> evidence</w:t>
      </w:r>
      <w:r w:rsidR="002B7B57" w:rsidRPr="008737A9">
        <w:rPr>
          <w:vertAlign w:val="superscript"/>
        </w:rPr>
        <w:fldChar w:fldCharType="begin"/>
      </w:r>
      <w:r w:rsidR="002B7B57" w:rsidRPr="008737A9">
        <w:rPr>
          <w:vertAlign w:val="superscript"/>
        </w:rPr>
        <w:instrText xml:space="preserve"> NOTEREF _Ref193107351 \h  \* MERGEFORMAT</w:instrText>
      </w:r>
      <w:r w:rsidR="002B7B57" w:rsidRPr="00600776">
        <w:rPr>
          <w:vertAlign w:val="superscript"/>
        </w:rPr>
        <w:instrText xml:space="preserve"> </w:instrText>
      </w:r>
      <w:r w:rsidR="002B7B57" w:rsidRPr="008737A9">
        <w:rPr>
          <w:vertAlign w:val="superscript"/>
        </w:rPr>
      </w:r>
      <w:r w:rsidR="002B7B57" w:rsidRPr="008737A9">
        <w:rPr>
          <w:vertAlign w:val="superscript"/>
        </w:rPr>
        <w:fldChar w:fldCharType="separate"/>
      </w:r>
      <w:r w:rsidR="00487E4A">
        <w:rPr>
          <w:vertAlign w:val="superscript"/>
        </w:rPr>
        <w:t>12</w:t>
      </w:r>
      <w:r w:rsidR="002B7B57" w:rsidRPr="008737A9">
        <w:rPr>
          <w:vertAlign w:val="superscript"/>
        </w:rPr>
        <w:fldChar w:fldCharType="end"/>
      </w:r>
      <w:r w:rsidR="002B7B57" w:rsidRPr="008737A9">
        <w:t xml:space="preserve"> </w:t>
      </w:r>
      <w:r w:rsidR="00DD5309">
        <w:t xml:space="preserve">were added </w:t>
      </w:r>
      <w:r w:rsidR="002B7B57" w:rsidRPr="008737A9">
        <w:t xml:space="preserve">during the </w:t>
      </w:r>
      <w:r w:rsidR="00DD5309">
        <w:t>commentary</w:t>
      </w:r>
      <w:r w:rsidR="006838BA">
        <w:t>. These analyses</w:t>
      </w:r>
      <w:r w:rsidR="006503F4" w:rsidRPr="008737A9">
        <w:t xml:space="preserve"> show</w:t>
      </w:r>
      <w:r w:rsidR="006838BA">
        <w:t>ed</w:t>
      </w:r>
      <w:r w:rsidR="006503F4" w:rsidRPr="008737A9">
        <w:t xml:space="preserve"> </w:t>
      </w:r>
      <w:r w:rsidR="008549F2">
        <w:t xml:space="preserve">that </w:t>
      </w:r>
      <w:r w:rsidR="006838BA">
        <w:t>variations in LOS inputs had</w:t>
      </w:r>
      <w:r w:rsidR="006503F4" w:rsidRPr="008737A9">
        <w:t xml:space="preserve"> significant effects </w:t>
      </w:r>
      <w:r w:rsidR="006838BA">
        <w:t>on the estimated</w:t>
      </w:r>
      <w:r w:rsidR="006838BA" w:rsidRPr="008737A9">
        <w:t xml:space="preserve"> </w:t>
      </w:r>
      <w:r w:rsidR="006503F4" w:rsidRPr="008737A9">
        <w:t>cost savings.</w:t>
      </w:r>
      <w:r w:rsidR="00321127">
        <w:t xml:space="preserve"> </w:t>
      </w:r>
      <w:r w:rsidR="00932171">
        <w:t>Furthermore, d</w:t>
      </w:r>
      <w:r w:rsidR="00540BEE">
        <w:t>isaggregation</w:t>
      </w:r>
      <w:r w:rsidR="00321127">
        <w:t xml:space="preserve"> of </w:t>
      </w:r>
      <w:r w:rsidR="00540BEE">
        <w:t xml:space="preserve">the total weighted cost estimates showed </w:t>
      </w:r>
      <w:r w:rsidR="008549F2">
        <w:t xml:space="preserve">that </w:t>
      </w:r>
      <w:r w:rsidR="00540BEE">
        <w:t xml:space="preserve">differences in hospital accommodation costs </w:t>
      </w:r>
      <w:r w:rsidR="008549F2">
        <w:t>(</w:t>
      </w:r>
      <w:r w:rsidR="00540BEE">
        <w:t>driven by reductions in LOS</w:t>
      </w:r>
      <w:r w:rsidR="008549F2">
        <w:t>)</w:t>
      </w:r>
      <w:r w:rsidR="00540BEE">
        <w:t xml:space="preserve"> accounted for 65</w:t>
      </w:r>
      <w:r w:rsidR="000269C1">
        <w:t>.9% of the estimated cost savings in the base case</w:t>
      </w:r>
      <w:r w:rsidR="00932171">
        <w:t xml:space="preserve"> (</w:t>
      </w:r>
      <w:r w:rsidR="0093439B">
        <w:rPr>
          <w:highlight w:val="yellow"/>
        </w:rPr>
        <w:fldChar w:fldCharType="begin"/>
      </w:r>
      <w:r w:rsidR="0093439B">
        <w:instrText xml:space="preserve"> REF _Ref69726321 \h </w:instrText>
      </w:r>
      <w:r w:rsidR="0093439B">
        <w:rPr>
          <w:highlight w:val="yellow"/>
        </w:rPr>
      </w:r>
      <w:r w:rsidR="0093439B">
        <w:rPr>
          <w:highlight w:val="yellow"/>
        </w:rPr>
        <w:fldChar w:fldCharType="separate"/>
      </w:r>
      <w:r w:rsidR="00487E4A" w:rsidRPr="004C18BB">
        <w:t>Table </w:t>
      </w:r>
      <w:r w:rsidR="00487E4A">
        <w:rPr>
          <w:noProof/>
        </w:rPr>
        <w:t>16</w:t>
      </w:r>
      <w:r w:rsidR="0093439B">
        <w:rPr>
          <w:highlight w:val="yellow"/>
        </w:rPr>
        <w:fldChar w:fldCharType="end"/>
      </w:r>
      <w:r w:rsidR="00932171" w:rsidRPr="00D839ED">
        <w:t>)</w:t>
      </w:r>
      <w:r w:rsidR="00D209D0" w:rsidRPr="00D839ED">
        <w:t>.</w:t>
      </w:r>
      <w:r w:rsidR="00932171">
        <w:t xml:space="preserve"> </w:t>
      </w:r>
    </w:p>
    <w:p w14:paraId="5D5D4E23" w14:textId="7E216168" w:rsidR="00C1127A" w:rsidRPr="008737A9" w:rsidRDefault="00932171" w:rsidP="008C7E58">
      <w:r>
        <w:t>The next biggest cost driver was differences in the number of delayed definitive closure procedures (</w:t>
      </w:r>
      <w:r w:rsidR="0095665B" w:rsidRPr="008F7859">
        <w:t>30.9</w:t>
      </w:r>
      <w:r w:rsidR="00D371D8" w:rsidRPr="008F7859">
        <w:t>%</w:t>
      </w:r>
      <w:r w:rsidR="0093439B" w:rsidRPr="008F7859">
        <w:t xml:space="preserve"> of total incremental costs; </w:t>
      </w:r>
      <w:r w:rsidR="0093439B" w:rsidRPr="008F7859">
        <w:fldChar w:fldCharType="begin"/>
      </w:r>
      <w:r w:rsidR="0093439B" w:rsidRPr="008F7859">
        <w:instrText xml:space="preserve"> REF _Ref69726321 \h </w:instrText>
      </w:r>
      <w:r w:rsidR="008F7859">
        <w:instrText xml:space="preserve"> \* MERGEFORMAT </w:instrText>
      </w:r>
      <w:r w:rsidR="0093439B" w:rsidRPr="008F7859">
        <w:fldChar w:fldCharType="separate"/>
      </w:r>
      <w:r w:rsidR="00487E4A" w:rsidRPr="004C18BB">
        <w:t>Table </w:t>
      </w:r>
      <w:r w:rsidR="00487E4A">
        <w:t>16</w:t>
      </w:r>
      <w:r w:rsidR="0093439B" w:rsidRPr="008F7859">
        <w:fldChar w:fldCharType="end"/>
      </w:r>
      <w:r w:rsidRPr="00D839ED">
        <w:t>)</w:t>
      </w:r>
      <w:r w:rsidR="00921554">
        <w:t xml:space="preserve">. </w:t>
      </w:r>
      <w:r w:rsidR="00E12962">
        <w:t>T</w:t>
      </w:r>
      <w:r w:rsidR="00E12A3F">
        <w:t>hese</w:t>
      </w:r>
      <w:r w:rsidR="002935F7">
        <w:t xml:space="preserve"> inputs </w:t>
      </w:r>
      <w:r w:rsidR="004C11CC">
        <w:t xml:space="preserve">were also sourced from historic US-based data or </w:t>
      </w:r>
      <w:r w:rsidR="00126394">
        <w:t>assumptions</w:t>
      </w:r>
      <w:r w:rsidR="005E7E36">
        <w:t>.</w:t>
      </w:r>
      <w:r w:rsidR="000F38B8" w:rsidRPr="000F38B8">
        <w:rPr>
          <w:vertAlign w:val="superscript"/>
        </w:rPr>
        <w:fldChar w:fldCharType="begin"/>
      </w:r>
      <w:r w:rsidR="000F38B8" w:rsidRPr="000F38B8">
        <w:rPr>
          <w:vertAlign w:val="superscript"/>
        </w:rPr>
        <w:instrText xml:space="preserve"> NOTEREF _Ref194327635 \h </w:instrText>
      </w:r>
      <w:r w:rsidR="000F38B8">
        <w:rPr>
          <w:vertAlign w:val="superscript"/>
        </w:rPr>
        <w:instrText xml:space="preserve"> \* MERGEFORMAT </w:instrText>
      </w:r>
      <w:r w:rsidR="000F38B8" w:rsidRPr="000F38B8">
        <w:rPr>
          <w:vertAlign w:val="superscript"/>
        </w:rPr>
      </w:r>
      <w:r w:rsidR="000F38B8" w:rsidRPr="000F38B8">
        <w:rPr>
          <w:vertAlign w:val="superscript"/>
        </w:rPr>
        <w:fldChar w:fldCharType="separate"/>
      </w:r>
      <w:r w:rsidR="00487E4A">
        <w:rPr>
          <w:vertAlign w:val="superscript"/>
        </w:rPr>
        <w:t>12</w:t>
      </w:r>
      <w:r w:rsidR="000F38B8" w:rsidRPr="000F38B8">
        <w:rPr>
          <w:vertAlign w:val="superscript"/>
        </w:rPr>
        <w:fldChar w:fldCharType="end"/>
      </w:r>
      <w:r w:rsidR="006503F4" w:rsidRPr="008737A9">
        <w:t xml:space="preserve"> </w:t>
      </w:r>
      <w:r w:rsidR="00616486" w:rsidRPr="008737A9">
        <w:t xml:space="preserve">This </w:t>
      </w:r>
      <w:r w:rsidR="00CF2743" w:rsidRPr="008737A9">
        <w:t>indicate</w:t>
      </w:r>
      <w:r w:rsidR="00CF2743">
        <w:t xml:space="preserve">s </w:t>
      </w:r>
      <w:r w:rsidR="009B4164" w:rsidRPr="008737A9">
        <w:t>uncertainty in the cost saving</w:t>
      </w:r>
      <w:r w:rsidR="002A195D">
        <w:t>s</w:t>
      </w:r>
      <w:r w:rsidR="009B4164" w:rsidRPr="008737A9">
        <w:t xml:space="preserve"> of </w:t>
      </w:r>
      <w:r w:rsidR="0041284B" w:rsidRPr="008737A9">
        <w:t>the ASCS</w:t>
      </w:r>
      <w:r w:rsidR="00921554">
        <w:t xml:space="preserve"> </w:t>
      </w:r>
      <w:r w:rsidR="0041284B" w:rsidRPr="008737A9">
        <w:t>± STSG procedure</w:t>
      </w:r>
      <w:r w:rsidR="003826F3" w:rsidRPr="008737A9">
        <w:t xml:space="preserve">, due to the </w:t>
      </w:r>
      <w:r w:rsidR="009E19E6" w:rsidRPr="008737A9">
        <w:t>absence of Australia</w:t>
      </w:r>
      <w:r w:rsidR="007428AD">
        <w:t>-</w:t>
      </w:r>
      <w:r w:rsidR="009E19E6" w:rsidRPr="008737A9">
        <w:t xml:space="preserve">based </w:t>
      </w:r>
      <w:r w:rsidR="0033233E" w:rsidRPr="008737A9">
        <w:t xml:space="preserve">LOS </w:t>
      </w:r>
      <w:r w:rsidR="002E45E0">
        <w:t xml:space="preserve">and number of </w:t>
      </w:r>
      <w:r w:rsidR="002E45E0" w:rsidRPr="00D839ED">
        <w:t>autogra</w:t>
      </w:r>
      <w:r w:rsidR="00D839ED" w:rsidRPr="00D839ED">
        <w:t>ft</w:t>
      </w:r>
      <w:r w:rsidR="002E45E0">
        <w:t xml:space="preserve"> </w:t>
      </w:r>
      <w:r w:rsidR="00A14C74">
        <w:t xml:space="preserve">procedure </w:t>
      </w:r>
      <w:r w:rsidR="00E863E8">
        <w:t>data</w:t>
      </w:r>
      <w:r w:rsidR="002B7B57" w:rsidRPr="008737A9">
        <w:t xml:space="preserve">. </w:t>
      </w:r>
    </w:p>
    <w:bookmarkEnd w:id="81"/>
    <w:p w14:paraId="4484365B" w14:textId="057BD49B" w:rsidR="00610ABA" w:rsidRPr="004C18BB" w:rsidRDefault="008B5B67" w:rsidP="00330A0A">
      <w:r w:rsidRPr="004C18BB">
        <w:t xml:space="preserve">The results of key </w:t>
      </w:r>
      <w:r w:rsidR="007E7FFC">
        <w:rPr>
          <w:noProof/>
        </w:rPr>
        <w:t xml:space="preserve">univariate </w:t>
      </w:r>
      <w:r w:rsidRPr="004C18BB">
        <w:t xml:space="preserve">sensitivity analyses are summarised </w:t>
      </w:r>
      <w:r w:rsidR="002022F2">
        <w:rPr>
          <w:noProof/>
        </w:rPr>
        <w:t xml:space="preserve">in </w:t>
      </w:r>
      <w:r w:rsidR="002022F2">
        <w:rPr>
          <w:noProof/>
        </w:rPr>
        <w:fldChar w:fldCharType="begin"/>
      </w:r>
      <w:r w:rsidR="002022F2">
        <w:rPr>
          <w:noProof/>
        </w:rPr>
        <w:instrText xml:space="preserve"> REF _Ref69726347 \h </w:instrText>
      </w:r>
      <w:r w:rsidR="002022F2">
        <w:rPr>
          <w:noProof/>
        </w:rPr>
      </w:r>
      <w:r w:rsidR="002022F2">
        <w:rPr>
          <w:noProof/>
        </w:rPr>
        <w:fldChar w:fldCharType="separate"/>
      </w:r>
      <w:r w:rsidR="00487E4A" w:rsidRPr="004C18BB">
        <w:t>Table </w:t>
      </w:r>
      <w:r w:rsidR="00487E4A">
        <w:rPr>
          <w:noProof/>
        </w:rPr>
        <w:t>17</w:t>
      </w:r>
      <w:r w:rsidR="002022F2">
        <w:rPr>
          <w:noProof/>
        </w:rPr>
        <w:fldChar w:fldCharType="end"/>
      </w:r>
      <w:r w:rsidRPr="008737A9">
        <w:t>.</w:t>
      </w:r>
      <w:r w:rsidRPr="004C18BB">
        <w:t xml:space="preserve"> </w:t>
      </w:r>
    </w:p>
    <w:p w14:paraId="2C785A4C" w14:textId="48C22673" w:rsidR="008B5B67" w:rsidRPr="004C18BB" w:rsidRDefault="008B5B67" w:rsidP="0054173E">
      <w:pPr>
        <w:pStyle w:val="TableHeading0"/>
        <w:keepNext/>
        <w:keepLines/>
      </w:pPr>
      <w:bookmarkStart w:id="82" w:name="_Ref69726347"/>
      <w:r w:rsidRPr="004C18BB">
        <w:lastRenderedPageBreak/>
        <w:t>Table</w:t>
      </w:r>
      <w:r w:rsidR="003571C2" w:rsidRPr="004C18BB">
        <w:t> </w:t>
      </w:r>
      <w:r w:rsidR="0099088A" w:rsidRPr="000D4886">
        <w:fldChar w:fldCharType="begin"/>
      </w:r>
      <w:r w:rsidR="0099088A">
        <w:instrText xml:space="preserve"> SEQ Table \* ARABIC </w:instrText>
      </w:r>
      <w:r w:rsidR="0099088A" w:rsidRPr="000D4886">
        <w:fldChar w:fldCharType="separate"/>
      </w:r>
      <w:r w:rsidR="00487E4A">
        <w:rPr>
          <w:noProof/>
        </w:rPr>
        <w:t>17</w:t>
      </w:r>
      <w:r w:rsidR="0099088A" w:rsidRPr="000D4886">
        <w:rPr>
          <w:noProof/>
        </w:rPr>
        <w:fldChar w:fldCharType="end"/>
      </w:r>
      <w:bookmarkEnd w:id="82"/>
      <w:r w:rsidR="00B903EF">
        <w:t>:</w:t>
      </w:r>
      <w:r w:rsidR="00C825ED">
        <w:t xml:space="preserve"> Sensitivity</w:t>
      </w:r>
      <w:r w:rsidRPr="004C18BB">
        <w:t xml:space="preserve">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1419"/>
        <w:gridCol w:w="1134"/>
        <w:gridCol w:w="1417"/>
        <w:gridCol w:w="1506"/>
      </w:tblGrid>
      <w:tr w:rsidR="007E3CDD" w:rsidRPr="00CF6C5B" w14:paraId="69171B90" w14:textId="62DC9D5A" w:rsidTr="0016619A">
        <w:trPr>
          <w:cantSplit/>
          <w:trHeight w:val="420"/>
          <w:tblHeader/>
        </w:trPr>
        <w:tc>
          <w:tcPr>
            <w:tcW w:w="1963" w:type="pct"/>
            <w:vAlign w:val="center"/>
          </w:tcPr>
          <w:p w14:paraId="202CD84C" w14:textId="3FC256BA" w:rsidR="00676EFE" w:rsidRPr="000E7210" w:rsidRDefault="00676EFE" w:rsidP="0054173E">
            <w:pPr>
              <w:pStyle w:val="TableText"/>
              <w:keepNext/>
              <w:keepLines/>
              <w:rPr>
                <w:b/>
              </w:rPr>
            </w:pPr>
            <w:bookmarkStart w:id="83" w:name="Title_Table11" w:colFirst="0" w:colLast="0"/>
            <w:bookmarkStart w:id="84" w:name="_Hlk68276702"/>
            <w:r w:rsidRPr="000E7210">
              <w:rPr>
                <w:b/>
              </w:rPr>
              <w:t>Analys</w:t>
            </w:r>
            <w:r w:rsidR="007428AD">
              <w:rPr>
                <w:b/>
              </w:rPr>
              <w:t>i</w:t>
            </w:r>
            <w:r w:rsidRPr="000E7210">
              <w:rPr>
                <w:b/>
              </w:rPr>
              <w:t>s</w:t>
            </w:r>
          </w:p>
        </w:tc>
        <w:tc>
          <w:tcPr>
            <w:tcW w:w="787" w:type="pct"/>
            <w:vAlign w:val="center"/>
          </w:tcPr>
          <w:p w14:paraId="7372A868" w14:textId="306B0464" w:rsidR="00676EFE" w:rsidRPr="000E7210" w:rsidRDefault="00676EFE" w:rsidP="0054173E">
            <w:pPr>
              <w:pStyle w:val="TableText"/>
              <w:keepNext/>
              <w:keepLines/>
              <w:rPr>
                <w:b/>
              </w:rPr>
            </w:pPr>
            <w:r w:rsidRPr="000E7210">
              <w:rPr>
                <w:b/>
              </w:rPr>
              <w:t>ASCS ± STSG</w:t>
            </w:r>
            <w:r w:rsidRPr="000E7210" w:rsidDel="00CF6C5B">
              <w:rPr>
                <w:b/>
              </w:rPr>
              <w:t xml:space="preserve"> </w:t>
            </w:r>
          </w:p>
        </w:tc>
        <w:tc>
          <w:tcPr>
            <w:tcW w:w="629" w:type="pct"/>
            <w:vAlign w:val="center"/>
          </w:tcPr>
          <w:p w14:paraId="10B3A4F5" w14:textId="14944D8B" w:rsidR="00676EFE" w:rsidRPr="000E7210" w:rsidRDefault="00676EFE" w:rsidP="0054173E">
            <w:pPr>
              <w:pStyle w:val="TableText"/>
              <w:keepNext/>
              <w:keepLines/>
              <w:rPr>
                <w:b/>
              </w:rPr>
            </w:pPr>
            <w:r w:rsidRPr="000E7210">
              <w:rPr>
                <w:b/>
              </w:rPr>
              <w:t>STSG</w:t>
            </w:r>
          </w:p>
        </w:tc>
        <w:tc>
          <w:tcPr>
            <w:tcW w:w="786" w:type="pct"/>
            <w:vAlign w:val="center"/>
          </w:tcPr>
          <w:p w14:paraId="56CBF231" w14:textId="186F967B" w:rsidR="00676EFE" w:rsidRPr="000E7210" w:rsidRDefault="00676EFE" w:rsidP="0054173E">
            <w:pPr>
              <w:pStyle w:val="TableText"/>
              <w:keepNext/>
              <w:keepLines/>
              <w:rPr>
                <w:b/>
              </w:rPr>
            </w:pPr>
            <w:r w:rsidRPr="000E7210">
              <w:rPr>
                <w:b/>
              </w:rPr>
              <w:t>Incremental cost</w:t>
            </w:r>
          </w:p>
        </w:tc>
        <w:tc>
          <w:tcPr>
            <w:tcW w:w="836" w:type="pct"/>
            <w:vAlign w:val="center"/>
          </w:tcPr>
          <w:p w14:paraId="448D6AB3" w14:textId="1D85EE45" w:rsidR="00676EFE" w:rsidRPr="000E7210" w:rsidRDefault="00676EFE" w:rsidP="0054173E">
            <w:pPr>
              <w:pStyle w:val="TableText"/>
              <w:keepNext/>
              <w:keepLines/>
              <w:rPr>
                <w:b/>
              </w:rPr>
            </w:pPr>
            <w:r w:rsidRPr="000E7210">
              <w:rPr>
                <w:b/>
              </w:rPr>
              <w:t>% change from base</w:t>
            </w:r>
            <w:r w:rsidR="007428AD">
              <w:rPr>
                <w:b/>
              </w:rPr>
              <w:t xml:space="preserve"> </w:t>
            </w:r>
            <w:r w:rsidRPr="000E7210">
              <w:rPr>
                <w:b/>
              </w:rPr>
              <w:t>case</w:t>
            </w:r>
          </w:p>
        </w:tc>
      </w:tr>
      <w:bookmarkEnd w:id="83"/>
      <w:tr w:rsidR="007E3CDD" w:rsidRPr="00CF6C5B" w14:paraId="451EB8ED" w14:textId="34E8CF7E" w:rsidTr="0016619A">
        <w:trPr>
          <w:cantSplit/>
        </w:trPr>
        <w:tc>
          <w:tcPr>
            <w:tcW w:w="1963" w:type="pct"/>
          </w:tcPr>
          <w:p w14:paraId="36895461" w14:textId="77777777" w:rsidR="00F229A8" w:rsidRPr="004C18BB" w:rsidRDefault="00F229A8" w:rsidP="0054173E">
            <w:pPr>
              <w:pStyle w:val="TableText"/>
              <w:keepNext/>
              <w:keepLines/>
              <w:rPr>
                <w:b/>
              </w:rPr>
            </w:pPr>
            <w:r w:rsidRPr="004C18BB">
              <w:rPr>
                <w:b/>
              </w:rPr>
              <w:t>Base case</w:t>
            </w:r>
          </w:p>
        </w:tc>
        <w:tc>
          <w:tcPr>
            <w:tcW w:w="787" w:type="pct"/>
            <w:vAlign w:val="center"/>
          </w:tcPr>
          <w:p w14:paraId="4D76EAC0" w14:textId="0F505C00" w:rsidR="00F229A8" w:rsidRPr="004C18BB" w:rsidRDefault="00F229A8" w:rsidP="0054173E">
            <w:pPr>
              <w:pStyle w:val="TableText"/>
              <w:keepNext/>
              <w:keepLines/>
              <w:rPr>
                <w:b/>
                <w:highlight w:val="black"/>
              </w:rPr>
            </w:pPr>
            <w:r w:rsidRPr="008737A9">
              <w:rPr>
                <w:b/>
              </w:rPr>
              <w:t>$41,898.04</w:t>
            </w:r>
          </w:p>
        </w:tc>
        <w:tc>
          <w:tcPr>
            <w:tcW w:w="629" w:type="pct"/>
            <w:vAlign w:val="center"/>
          </w:tcPr>
          <w:p w14:paraId="66189599" w14:textId="18E632A9" w:rsidR="00F229A8" w:rsidRPr="004C18BB" w:rsidRDefault="00F229A8" w:rsidP="0054173E">
            <w:pPr>
              <w:pStyle w:val="TableText"/>
              <w:keepNext/>
              <w:keepLines/>
              <w:rPr>
                <w:b/>
              </w:rPr>
            </w:pPr>
            <w:r w:rsidRPr="008737A9">
              <w:rPr>
                <w:b/>
              </w:rPr>
              <w:t>$65,966.15</w:t>
            </w:r>
          </w:p>
        </w:tc>
        <w:tc>
          <w:tcPr>
            <w:tcW w:w="786" w:type="pct"/>
            <w:vAlign w:val="center"/>
          </w:tcPr>
          <w:p w14:paraId="58300438" w14:textId="52323BE2" w:rsidR="00F229A8" w:rsidRPr="004C18BB" w:rsidRDefault="00F229A8" w:rsidP="0054173E">
            <w:pPr>
              <w:pStyle w:val="TableText"/>
              <w:keepNext/>
              <w:keepLines/>
              <w:rPr>
                <w:b/>
                <w:highlight w:val="black"/>
              </w:rPr>
            </w:pPr>
            <w:r w:rsidRPr="00937401">
              <w:rPr>
                <w:b/>
              </w:rPr>
              <w:t>-$</w:t>
            </w:r>
            <w:r w:rsidRPr="008737A9">
              <w:rPr>
                <w:b/>
              </w:rPr>
              <w:t>24,068.10</w:t>
            </w:r>
          </w:p>
        </w:tc>
        <w:tc>
          <w:tcPr>
            <w:tcW w:w="836" w:type="pct"/>
            <w:vAlign w:val="center"/>
          </w:tcPr>
          <w:p w14:paraId="626CD4E9" w14:textId="36129898" w:rsidR="00F229A8" w:rsidRPr="004C18BB" w:rsidRDefault="00CD353D" w:rsidP="0054173E">
            <w:pPr>
              <w:pStyle w:val="TableText"/>
              <w:keepNext/>
              <w:keepLines/>
              <w:rPr>
                <w:b/>
              </w:rPr>
            </w:pPr>
            <w:r>
              <w:rPr>
                <w:b/>
              </w:rPr>
              <w:t>─</w:t>
            </w:r>
          </w:p>
        </w:tc>
      </w:tr>
      <w:tr w:rsidR="007E3CDD" w:rsidRPr="00CF6C5B" w14:paraId="00742E59" w14:textId="6C0182A8" w:rsidTr="0016619A">
        <w:trPr>
          <w:cantSplit/>
        </w:trPr>
        <w:tc>
          <w:tcPr>
            <w:tcW w:w="1963" w:type="pct"/>
            <w:vAlign w:val="center"/>
          </w:tcPr>
          <w:p w14:paraId="648CA0C4" w14:textId="0274DCA9" w:rsidR="006A00DC" w:rsidRPr="004C18BB" w:rsidRDefault="006A00DC" w:rsidP="0054173E">
            <w:pPr>
              <w:pStyle w:val="TableText"/>
              <w:keepNext/>
              <w:keepLines/>
            </w:pPr>
            <w:r w:rsidRPr="00F024CB">
              <w:t>Conservative estimate for number of definitive closure procedures for STSG</w:t>
            </w:r>
          </w:p>
        </w:tc>
        <w:tc>
          <w:tcPr>
            <w:tcW w:w="787" w:type="pct"/>
            <w:vAlign w:val="center"/>
          </w:tcPr>
          <w:p w14:paraId="02006748" w14:textId="11215CE5" w:rsidR="006A00DC" w:rsidRPr="004C18BB" w:rsidRDefault="006A00DC" w:rsidP="0054173E">
            <w:pPr>
              <w:pStyle w:val="TableText"/>
              <w:keepNext/>
              <w:keepLines/>
              <w:rPr>
                <w:highlight w:val="black"/>
              </w:rPr>
            </w:pPr>
            <w:r w:rsidRPr="005902E1">
              <w:t>$41,898.04</w:t>
            </w:r>
          </w:p>
        </w:tc>
        <w:tc>
          <w:tcPr>
            <w:tcW w:w="629" w:type="pct"/>
            <w:vAlign w:val="center"/>
          </w:tcPr>
          <w:p w14:paraId="6486F418" w14:textId="47F575C3" w:rsidR="006A00DC" w:rsidRPr="004C18BB" w:rsidRDefault="006A00DC" w:rsidP="0054173E">
            <w:pPr>
              <w:pStyle w:val="TableText"/>
              <w:keepNext/>
              <w:keepLines/>
            </w:pPr>
            <w:r w:rsidRPr="005902E1">
              <w:t>$60,643.32</w:t>
            </w:r>
          </w:p>
        </w:tc>
        <w:tc>
          <w:tcPr>
            <w:tcW w:w="786" w:type="pct"/>
            <w:vAlign w:val="center"/>
          </w:tcPr>
          <w:p w14:paraId="284F2CBE" w14:textId="5841DFEA" w:rsidR="006A00DC" w:rsidRPr="004C18BB" w:rsidRDefault="001844E9" w:rsidP="0054173E">
            <w:pPr>
              <w:pStyle w:val="TableText"/>
              <w:keepNext/>
              <w:keepLines/>
              <w:rPr>
                <w:highlight w:val="black"/>
              </w:rPr>
            </w:pPr>
            <w:r>
              <w:t>−</w:t>
            </w:r>
            <w:r w:rsidR="006A00DC" w:rsidRPr="00937401">
              <w:t>$</w:t>
            </w:r>
            <w:r w:rsidR="006A00DC" w:rsidRPr="005902E1">
              <w:t>18,745.27</w:t>
            </w:r>
          </w:p>
        </w:tc>
        <w:tc>
          <w:tcPr>
            <w:tcW w:w="836" w:type="pct"/>
            <w:vAlign w:val="center"/>
          </w:tcPr>
          <w:p w14:paraId="10FE6896" w14:textId="7237E767" w:rsidR="006A00DC" w:rsidRPr="005902E1" w:rsidRDefault="001844E9" w:rsidP="0054173E">
            <w:pPr>
              <w:pStyle w:val="TableText"/>
              <w:keepNext/>
              <w:keepLines/>
            </w:pPr>
            <w:r>
              <w:t>−</w:t>
            </w:r>
            <w:r w:rsidR="006A00DC" w:rsidRPr="005902E1">
              <w:t>22.1</w:t>
            </w:r>
            <w:r w:rsidR="00A26BEC">
              <w:t>2</w:t>
            </w:r>
            <w:r w:rsidR="006A00DC" w:rsidRPr="005902E1">
              <w:t>%</w:t>
            </w:r>
          </w:p>
        </w:tc>
      </w:tr>
      <w:tr w:rsidR="007E3CDD" w:rsidRPr="00CF6C5B" w14:paraId="4520D3D7" w14:textId="7BE42D4F" w:rsidTr="0016619A">
        <w:trPr>
          <w:cantSplit/>
          <w:trHeight w:val="283"/>
        </w:trPr>
        <w:tc>
          <w:tcPr>
            <w:tcW w:w="1963" w:type="pct"/>
            <w:vAlign w:val="center"/>
          </w:tcPr>
          <w:p w14:paraId="0422BE17" w14:textId="3B0162B4" w:rsidR="0053111B" w:rsidRPr="004C18BB" w:rsidRDefault="0053111B" w:rsidP="0054173E">
            <w:pPr>
              <w:pStyle w:val="TableText"/>
              <w:keepNext/>
              <w:keepLines/>
            </w:pPr>
            <w:r>
              <w:t xml:space="preserve">Exclude cost of private hospital bed </w:t>
            </w:r>
          </w:p>
        </w:tc>
        <w:tc>
          <w:tcPr>
            <w:tcW w:w="787" w:type="pct"/>
            <w:vAlign w:val="center"/>
          </w:tcPr>
          <w:p w14:paraId="43E31CD9" w14:textId="3F3454BA" w:rsidR="0053111B" w:rsidRPr="004C18BB" w:rsidRDefault="0053111B" w:rsidP="0054173E">
            <w:pPr>
              <w:pStyle w:val="TableText"/>
              <w:keepNext/>
              <w:keepLines/>
              <w:rPr>
                <w:highlight w:val="black"/>
              </w:rPr>
            </w:pPr>
            <w:r w:rsidRPr="005902E1">
              <w:t>$3,986.16</w:t>
            </w:r>
          </w:p>
        </w:tc>
        <w:tc>
          <w:tcPr>
            <w:tcW w:w="629" w:type="pct"/>
            <w:vAlign w:val="center"/>
          </w:tcPr>
          <w:p w14:paraId="7AD68169" w14:textId="55A34C65" w:rsidR="0053111B" w:rsidRPr="004C18BB" w:rsidRDefault="0053111B" w:rsidP="0054173E">
            <w:pPr>
              <w:pStyle w:val="TableText"/>
              <w:keepNext/>
              <w:keepLines/>
            </w:pPr>
            <w:r w:rsidRPr="005902E1">
              <w:t>$12,197.04</w:t>
            </w:r>
          </w:p>
        </w:tc>
        <w:tc>
          <w:tcPr>
            <w:tcW w:w="786" w:type="pct"/>
            <w:vAlign w:val="center"/>
          </w:tcPr>
          <w:p w14:paraId="122F8C2A" w14:textId="65B551A0" w:rsidR="0053111B" w:rsidRPr="004C18BB" w:rsidRDefault="001844E9" w:rsidP="0054173E">
            <w:pPr>
              <w:pStyle w:val="TableText"/>
              <w:keepNext/>
              <w:keepLines/>
              <w:rPr>
                <w:highlight w:val="black"/>
              </w:rPr>
            </w:pPr>
            <w:r>
              <w:t>−</w:t>
            </w:r>
            <w:r w:rsidR="0053111B" w:rsidRPr="00937401">
              <w:t>$</w:t>
            </w:r>
            <w:r w:rsidR="0053111B" w:rsidRPr="005902E1">
              <w:t>8,210.88</w:t>
            </w:r>
          </w:p>
        </w:tc>
        <w:tc>
          <w:tcPr>
            <w:tcW w:w="836" w:type="pct"/>
            <w:vAlign w:val="center"/>
          </w:tcPr>
          <w:p w14:paraId="7BAB2F99" w14:textId="78096706" w:rsidR="0053111B" w:rsidRPr="005902E1" w:rsidRDefault="001844E9" w:rsidP="0054173E">
            <w:pPr>
              <w:pStyle w:val="TableText"/>
              <w:keepNext/>
              <w:keepLines/>
            </w:pPr>
            <w:r>
              <w:t>−</w:t>
            </w:r>
            <w:r w:rsidR="0053111B" w:rsidRPr="005902E1">
              <w:t>65.9</w:t>
            </w:r>
            <w:r w:rsidR="00E53E1C">
              <w:t>4</w:t>
            </w:r>
            <w:r w:rsidR="0053111B" w:rsidRPr="005902E1">
              <w:t>%</w:t>
            </w:r>
          </w:p>
        </w:tc>
      </w:tr>
      <w:tr w:rsidR="007E3CDD" w:rsidRPr="00CF6C5B" w14:paraId="607079A8" w14:textId="2E6EAC23" w:rsidTr="0016619A">
        <w:trPr>
          <w:cantSplit/>
          <w:trHeight w:val="283"/>
        </w:trPr>
        <w:tc>
          <w:tcPr>
            <w:tcW w:w="1963" w:type="pct"/>
            <w:vAlign w:val="center"/>
          </w:tcPr>
          <w:p w14:paraId="176BBBDF" w14:textId="5257ECCB" w:rsidR="00CA2381" w:rsidRPr="004C18BB" w:rsidRDefault="00CA2381" w:rsidP="0054173E">
            <w:pPr>
              <w:pStyle w:val="TableText"/>
              <w:keepNext/>
              <w:keepLines/>
            </w:pPr>
            <w:r w:rsidRPr="00EA19DA">
              <w:t>LOS +10% in ASCS</w:t>
            </w:r>
            <w:r w:rsidR="007428AD">
              <w:t xml:space="preserve"> </w:t>
            </w:r>
            <w:r>
              <w:t>±</w:t>
            </w:r>
            <w:r w:rsidRPr="00EA19DA">
              <w:t xml:space="preserve"> STSG arm</w:t>
            </w:r>
          </w:p>
        </w:tc>
        <w:tc>
          <w:tcPr>
            <w:tcW w:w="787" w:type="pct"/>
            <w:vAlign w:val="center"/>
          </w:tcPr>
          <w:p w14:paraId="1B13088B" w14:textId="03BC737C" w:rsidR="00CA2381" w:rsidRPr="004C18BB" w:rsidRDefault="00CA2381" w:rsidP="0054173E">
            <w:pPr>
              <w:pStyle w:val="TableText"/>
              <w:keepNext/>
              <w:keepLines/>
              <w:rPr>
                <w:rFonts w:eastAsia="Calibri"/>
                <w:szCs w:val="20"/>
              </w:rPr>
            </w:pPr>
            <w:r w:rsidRPr="005902E1">
              <w:t>$45,689.23</w:t>
            </w:r>
          </w:p>
        </w:tc>
        <w:tc>
          <w:tcPr>
            <w:tcW w:w="629" w:type="pct"/>
            <w:vAlign w:val="center"/>
          </w:tcPr>
          <w:p w14:paraId="443B8E9E" w14:textId="6FA70029" w:rsidR="00CA2381" w:rsidRPr="004C18BB" w:rsidRDefault="00CA2381" w:rsidP="0054173E">
            <w:pPr>
              <w:pStyle w:val="TableText"/>
              <w:keepNext/>
              <w:keepLines/>
              <w:rPr>
                <w:rFonts w:eastAsia="Calibri"/>
                <w:szCs w:val="20"/>
              </w:rPr>
            </w:pPr>
            <w:r w:rsidRPr="005902E1">
              <w:t>$65,966.15</w:t>
            </w:r>
          </w:p>
        </w:tc>
        <w:tc>
          <w:tcPr>
            <w:tcW w:w="786" w:type="pct"/>
            <w:vAlign w:val="center"/>
          </w:tcPr>
          <w:p w14:paraId="3BDB203C" w14:textId="1BC253B5" w:rsidR="00CA2381" w:rsidRPr="004C18BB" w:rsidRDefault="001844E9" w:rsidP="0054173E">
            <w:pPr>
              <w:pStyle w:val="TableText"/>
              <w:keepNext/>
              <w:keepLines/>
              <w:rPr>
                <w:rFonts w:eastAsia="Calibri"/>
                <w:szCs w:val="20"/>
              </w:rPr>
            </w:pPr>
            <w:r>
              <w:t>−</w:t>
            </w:r>
            <w:r w:rsidR="00CA2381" w:rsidRPr="00937401">
              <w:t>$</w:t>
            </w:r>
            <w:r w:rsidR="00CA2381" w:rsidRPr="005902E1">
              <w:t>20,276.92</w:t>
            </w:r>
          </w:p>
        </w:tc>
        <w:tc>
          <w:tcPr>
            <w:tcW w:w="836" w:type="pct"/>
            <w:vAlign w:val="center"/>
          </w:tcPr>
          <w:p w14:paraId="66CE97C6" w14:textId="09120A6B" w:rsidR="00CA2381" w:rsidRPr="005902E1" w:rsidRDefault="001844E9" w:rsidP="0054173E">
            <w:pPr>
              <w:pStyle w:val="TableText"/>
              <w:keepNext/>
              <w:keepLines/>
            </w:pPr>
            <w:r>
              <w:t>−</w:t>
            </w:r>
            <w:r w:rsidR="00CA2381" w:rsidRPr="005902E1">
              <w:t>15.8</w:t>
            </w:r>
            <w:r w:rsidR="00E53E1C">
              <w:t>8</w:t>
            </w:r>
            <w:r w:rsidR="00CA2381" w:rsidRPr="005902E1">
              <w:t>%</w:t>
            </w:r>
          </w:p>
        </w:tc>
      </w:tr>
      <w:tr w:rsidR="007E3CDD" w:rsidRPr="00CF6C5B" w14:paraId="034EF80B" w14:textId="77777777" w:rsidTr="0016619A">
        <w:trPr>
          <w:cantSplit/>
          <w:trHeight w:val="283"/>
        </w:trPr>
        <w:tc>
          <w:tcPr>
            <w:tcW w:w="1963" w:type="pct"/>
            <w:vAlign w:val="center"/>
          </w:tcPr>
          <w:p w14:paraId="6AFA5206" w14:textId="14265F2D" w:rsidR="00CA2381" w:rsidRPr="00CA2381" w:rsidRDefault="00CA2381" w:rsidP="0054173E">
            <w:pPr>
              <w:pStyle w:val="TableText"/>
              <w:keepNext/>
              <w:keepLines/>
              <w:rPr>
                <w:noProof/>
              </w:rPr>
            </w:pPr>
            <w:r w:rsidRPr="00EA19DA">
              <w:t xml:space="preserve">LOS </w:t>
            </w:r>
            <w:r w:rsidR="007428AD">
              <w:t>−</w:t>
            </w:r>
            <w:r w:rsidRPr="00EA19DA">
              <w:t>10% in ASCS</w:t>
            </w:r>
            <w:r w:rsidR="007428AD">
              <w:t xml:space="preserve"> </w:t>
            </w:r>
            <w:r>
              <w:t>±</w:t>
            </w:r>
            <w:r w:rsidRPr="00EA19DA">
              <w:t xml:space="preserve"> STSG arm</w:t>
            </w:r>
          </w:p>
        </w:tc>
        <w:tc>
          <w:tcPr>
            <w:tcW w:w="787" w:type="pct"/>
            <w:vAlign w:val="center"/>
          </w:tcPr>
          <w:p w14:paraId="2029AA51" w14:textId="6233B836" w:rsidR="00CA2381" w:rsidRPr="00CA2381" w:rsidRDefault="00CA2381" w:rsidP="0054173E">
            <w:pPr>
              <w:pStyle w:val="TableText"/>
              <w:keepNext/>
              <w:keepLines/>
              <w:rPr>
                <w:rFonts w:eastAsia="Calibri"/>
                <w:noProof/>
                <w:szCs w:val="20"/>
              </w:rPr>
            </w:pPr>
            <w:r w:rsidRPr="005902E1">
              <w:t>$38,106.85</w:t>
            </w:r>
          </w:p>
        </w:tc>
        <w:tc>
          <w:tcPr>
            <w:tcW w:w="629" w:type="pct"/>
            <w:vAlign w:val="center"/>
          </w:tcPr>
          <w:p w14:paraId="79779BE5" w14:textId="752EE254" w:rsidR="00CA2381" w:rsidRPr="00CA2381" w:rsidRDefault="00CA2381" w:rsidP="0054173E">
            <w:pPr>
              <w:pStyle w:val="TableText"/>
              <w:keepNext/>
              <w:keepLines/>
              <w:rPr>
                <w:rFonts w:eastAsia="Calibri"/>
                <w:noProof/>
                <w:szCs w:val="20"/>
              </w:rPr>
            </w:pPr>
            <w:r w:rsidRPr="005902E1">
              <w:t>$65,966.15</w:t>
            </w:r>
          </w:p>
        </w:tc>
        <w:tc>
          <w:tcPr>
            <w:tcW w:w="786" w:type="pct"/>
            <w:vAlign w:val="center"/>
          </w:tcPr>
          <w:p w14:paraId="7CA4A26A" w14:textId="1F1DEC95" w:rsidR="00CA2381" w:rsidRPr="00CA2381" w:rsidRDefault="001844E9" w:rsidP="0054173E">
            <w:pPr>
              <w:pStyle w:val="TableText"/>
              <w:keepNext/>
              <w:keepLines/>
              <w:rPr>
                <w:rFonts w:eastAsia="Calibri"/>
                <w:noProof/>
                <w:szCs w:val="20"/>
              </w:rPr>
            </w:pPr>
            <w:r>
              <w:t>−</w:t>
            </w:r>
            <w:r w:rsidR="00CA2381" w:rsidRPr="00937401">
              <w:t>$</w:t>
            </w:r>
            <w:r w:rsidR="00CA2381" w:rsidRPr="005902E1">
              <w:t>27,859.29</w:t>
            </w:r>
          </w:p>
        </w:tc>
        <w:tc>
          <w:tcPr>
            <w:tcW w:w="836" w:type="pct"/>
            <w:vAlign w:val="center"/>
          </w:tcPr>
          <w:p w14:paraId="52F7B105" w14:textId="0BC60AA5" w:rsidR="00CA2381" w:rsidRPr="00CF6C5B" w:rsidRDefault="00CA2381" w:rsidP="0054173E">
            <w:pPr>
              <w:pStyle w:val="TableText"/>
              <w:keepNext/>
              <w:keepLines/>
              <w:rPr>
                <w:rFonts w:eastAsia="Calibri"/>
                <w:noProof/>
                <w:szCs w:val="20"/>
              </w:rPr>
            </w:pPr>
            <w:r w:rsidRPr="005902E1">
              <w:t>15.8</w:t>
            </w:r>
            <w:r w:rsidR="00E53E1C">
              <w:t>8</w:t>
            </w:r>
            <w:r w:rsidRPr="005902E1">
              <w:t>%</w:t>
            </w:r>
          </w:p>
        </w:tc>
      </w:tr>
      <w:tr w:rsidR="007E3CDD" w:rsidRPr="00CF6C5B" w14:paraId="7F5053D4" w14:textId="77777777" w:rsidTr="0016619A">
        <w:trPr>
          <w:cantSplit/>
          <w:trHeight w:val="283"/>
        </w:trPr>
        <w:tc>
          <w:tcPr>
            <w:tcW w:w="1963" w:type="pct"/>
            <w:vAlign w:val="center"/>
          </w:tcPr>
          <w:p w14:paraId="48AE4751" w14:textId="7008868C" w:rsidR="00F6330E" w:rsidRPr="00D47830" w:rsidRDefault="00F77DFD" w:rsidP="0054173E">
            <w:pPr>
              <w:pStyle w:val="TableText"/>
              <w:keepNext/>
              <w:keepLines/>
              <w:rPr>
                <w:i/>
              </w:rPr>
            </w:pPr>
            <w:r w:rsidRPr="00D47830">
              <w:rPr>
                <w:i/>
              </w:rPr>
              <w:t xml:space="preserve">LOS informed by Kowal et. al. </w:t>
            </w:r>
            <w:r w:rsidR="00F97BFC">
              <w:rPr>
                <w:i/>
              </w:rPr>
              <w:t>(</w:t>
            </w:r>
            <w:r w:rsidRPr="00D47830">
              <w:rPr>
                <w:i/>
              </w:rPr>
              <w:t>2019</w:t>
            </w:r>
            <w:r w:rsidR="00F97BFC">
              <w:rPr>
                <w:i/>
              </w:rPr>
              <w:t>)</w:t>
            </w:r>
            <w:r w:rsidRPr="00D47830">
              <w:rPr>
                <w:i/>
              </w:rPr>
              <w:t xml:space="preserve"> and Foster et al. </w:t>
            </w:r>
            <w:r w:rsidR="00F97BFC">
              <w:rPr>
                <w:i/>
              </w:rPr>
              <w:t>(</w:t>
            </w:r>
            <w:r w:rsidRPr="00D47830">
              <w:rPr>
                <w:i/>
              </w:rPr>
              <w:t>2021</w:t>
            </w:r>
            <w:r w:rsidR="00F97BFC">
              <w:rPr>
                <w:i/>
              </w:rPr>
              <w:t>)</w:t>
            </w:r>
            <w:r w:rsidRPr="00D47830">
              <w:rPr>
                <w:i/>
              </w:rPr>
              <w:t xml:space="preserve"> (FT/mixed depth)</w:t>
            </w:r>
          </w:p>
        </w:tc>
        <w:tc>
          <w:tcPr>
            <w:tcW w:w="787" w:type="pct"/>
            <w:vAlign w:val="center"/>
          </w:tcPr>
          <w:p w14:paraId="60F2DB12" w14:textId="12FAF96F" w:rsidR="00F6330E" w:rsidRPr="008737A9" w:rsidRDefault="00F6330E" w:rsidP="0054173E">
            <w:pPr>
              <w:pStyle w:val="TableText"/>
              <w:keepNext/>
              <w:keepLines/>
              <w:rPr>
                <w:rFonts w:eastAsia="Calibri"/>
                <w:i/>
                <w:szCs w:val="20"/>
              </w:rPr>
            </w:pPr>
            <w:r w:rsidRPr="008737A9">
              <w:rPr>
                <w:i/>
              </w:rPr>
              <w:t>$41,460.01</w:t>
            </w:r>
          </w:p>
        </w:tc>
        <w:tc>
          <w:tcPr>
            <w:tcW w:w="629" w:type="pct"/>
            <w:vAlign w:val="center"/>
          </w:tcPr>
          <w:p w14:paraId="5FCB29EA" w14:textId="413FCA0D" w:rsidR="00F6330E" w:rsidRPr="008737A9" w:rsidRDefault="00F6330E" w:rsidP="0054173E">
            <w:pPr>
              <w:pStyle w:val="TableText"/>
              <w:keepNext/>
              <w:keepLines/>
              <w:rPr>
                <w:rFonts w:eastAsia="Calibri"/>
                <w:i/>
                <w:szCs w:val="20"/>
              </w:rPr>
            </w:pPr>
            <w:r w:rsidRPr="008737A9">
              <w:rPr>
                <w:i/>
              </w:rPr>
              <w:t>$57,565.95</w:t>
            </w:r>
          </w:p>
        </w:tc>
        <w:tc>
          <w:tcPr>
            <w:tcW w:w="786" w:type="pct"/>
            <w:vAlign w:val="center"/>
          </w:tcPr>
          <w:p w14:paraId="1013D0D3" w14:textId="5A09E28C" w:rsidR="00F6330E" w:rsidRPr="008737A9" w:rsidRDefault="001844E9" w:rsidP="0054173E">
            <w:pPr>
              <w:pStyle w:val="TableText"/>
              <w:keepNext/>
              <w:keepLines/>
              <w:rPr>
                <w:rFonts w:eastAsia="Calibri"/>
                <w:i/>
                <w:szCs w:val="20"/>
              </w:rPr>
            </w:pPr>
            <w:r w:rsidRPr="00D47830">
              <w:rPr>
                <w:i/>
                <w:iCs/>
              </w:rPr>
              <w:t>−</w:t>
            </w:r>
            <w:r w:rsidR="00F6330E" w:rsidRPr="00D47830">
              <w:rPr>
                <w:i/>
                <w:iCs/>
              </w:rPr>
              <w:t>$</w:t>
            </w:r>
            <w:r w:rsidR="00F6330E" w:rsidRPr="008737A9">
              <w:rPr>
                <w:i/>
              </w:rPr>
              <w:t>16,105.94</w:t>
            </w:r>
          </w:p>
        </w:tc>
        <w:tc>
          <w:tcPr>
            <w:tcW w:w="836" w:type="pct"/>
            <w:vAlign w:val="center"/>
          </w:tcPr>
          <w:p w14:paraId="633EE7D2" w14:textId="48450D92" w:rsidR="00F6330E" w:rsidRPr="008737A9" w:rsidRDefault="001844E9" w:rsidP="0054173E">
            <w:pPr>
              <w:pStyle w:val="TableText"/>
              <w:keepNext/>
              <w:keepLines/>
              <w:rPr>
                <w:rFonts w:eastAsia="Calibri"/>
                <w:i/>
                <w:szCs w:val="20"/>
              </w:rPr>
            </w:pPr>
            <w:r w:rsidRPr="00D47830">
              <w:rPr>
                <w:i/>
                <w:iCs/>
              </w:rPr>
              <w:t>−</w:t>
            </w:r>
            <w:r w:rsidR="00F6330E" w:rsidRPr="00AE31C8">
              <w:rPr>
                <w:i/>
              </w:rPr>
              <w:t>33.08%</w:t>
            </w:r>
          </w:p>
        </w:tc>
      </w:tr>
      <w:tr w:rsidR="007E3CDD" w:rsidRPr="00CF6C5B" w14:paraId="23C58621" w14:textId="77777777" w:rsidTr="0016619A">
        <w:trPr>
          <w:cantSplit/>
          <w:trHeight w:val="283"/>
        </w:trPr>
        <w:tc>
          <w:tcPr>
            <w:tcW w:w="1963" w:type="pct"/>
            <w:vAlign w:val="center"/>
          </w:tcPr>
          <w:p w14:paraId="35671BE3" w14:textId="38A195DF" w:rsidR="00DB05A3" w:rsidRPr="00D47830" w:rsidRDefault="00DB05A3" w:rsidP="0054173E">
            <w:pPr>
              <w:pStyle w:val="TableText"/>
              <w:keepNext/>
              <w:keepLines/>
              <w:rPr>
                <w:i/>
              </w:rPr>
            </w:pPr>
            <w:r w:rsidRPr="00D47830">
              <w:rPr>
                <w:i/>
              </w:rPr>
              <w:t xml:space="preserve">LOS informed by Kowal et. al. </w:t>
            </w:r>
            <w:r w:rsidR="00F97BFC">
              <w:rPr>
                <w:i/>
              </w:rPr>
              <w:t>(</w:t>
            </w:r>
            <w:r w:rsidRPr="00D47830">
              <w:rPr>
                <w:i/>
              </w:rPr>
              <w:t>2019</w:t>
            </w:r>
            <w:r w:rsidR="00F97BFC">
              <w:rPr>
                <w:i/>
              </w:rPr>
              <w:t>)</w:t>
            </w:r>
            <w:r w:rsidRPr="00D47830">
              <w:rPr>
                <w:i/>
              </w:rPr>
              <w:t xml:space="preserve"> and Foster et al. </w:t>
            </w:r>
            <w:r w:rsidR="00F97BFC">
              <w:rPr>
                <w:i/>
              </w:rPr>
              <w:t>(</w:t>
            </w:r>
            <w:r w:rsidRPr="00D47830">
              <w:rPr>
                <w:i/>
              </w:rPr>
              <w:t>2021</w:t>
            </w:r>
            <w:r w:rsidR="00F97BFC">
              <w:rPr>
                <w:i/>
              </w:rPr>
              <w:t>)</w:t>
            </w:r>
            <w:r w:rsidRPr="00D47830">
              <w:rPr>
                <w:i/>
              </w:rPr>
              <w:t xml:space="preserve"> (DPT)</w:t>
            </w:r>
          </w:p>
        </w:tc>
        <w:tc>
          <w:tcPr>
            <w:tcW w:w="787" w:type="pct"/>
            <w:vAlign w:val="center"/>
          </w:tcPr>
          <w:p w14:paraId="4FA5A0DD" w14:textId="7A65CE8F" w:rsidR="00DB05A3" w:rsidRPr="00DB05A3" w:rsidRDefault="00DB05A3" w:rsidP="0054173E">
            <w:pPr>
              <w:pStyle w:val="TableText"/>
              <w:keepNext/>
              <w:keepLines/>
              <w:rPr>
                <w:i/>
              </w:rPr>
            </w:pPr>
            <w:r w:rsidRPr="00D47830">
              <w:rPr>
                <w:i/>
              </w:rPr>
              <w:t>$22,536.75</w:t>
            </w:r>
          </w:p>
        </w:tc>
        <w:tc>
          <w:tcPr>
            <w:tcW w:w="629" w:type="pct"/>
            <w:vAlign w:val="center"/>
          </w:tcPr>
          <w:p w14:paraId="2019307A" w14:textId="2EB23252" w:rsidR="00DB05A3" w:rsidRPr="00DB05A3" w:rsidRDefault="00DB05A3" w:rsidP="0054173E">
            <w:pPr>
              <w:pStyle w:val="TableText"/>
              <w:keepNext/>
              <w:keepLines/>
              <w:rPr>
                <w:i/>
              </w:rPr>
            </w:pPr>
            <w:r w:rsidRPr="00D47830">
              <w:rPr>
                <w:i/>
              </w:rPr>
              <w:t>$41,022.67</w:t>
            </w:r>
          </w:p>
        </w:tc>
        <w:tc>
          <w:tcPr>
            <w:tcW w:w="786" w:type="pct"/>
            <w:vAlign w:val="center"/>
          </w:tcPr>
          <w:p w14:paraId="01658B45" w14:textId="1C26656B" w:rsidR="00DB05A3" w:rsidRPr="00DB05A3" w:rsidRDefault="001844E9" w:rsidP="0054173E">
            <w:pPr>
              <w:pStyle w:val="TableText"/>
              <w:keepNext/>
              <w:keepLines/>
              <w:rPr>
                <w:i/>
              </w:rPr>
            </w:pPr>
            <w:r w:rsidRPr="00D47830">
              <w:rPr>
                <w:i/>
                <w:iCs/>
              </w:rPr>
              <w:t>−</w:t>
            </w:r>
            <w:r w:rsidR="00DB05A3" w:rsidRPr="00D47830">
              <w:rPr>
                <w:i/>
                <w:iCs/>
              </w:rPr>
              <w:t>$</w:t>
            </w:r>
            <w:r w:rsidR="00DB05A3" w:rsidRPr="00D47830">
              <w:rPr>
                <w:i/>
              </w:rPr>
              <w:t>18,485.92</w:t>
            </w:r>
          </w:p>
        </w:tc>
        <w:tc>
          <w:tcPr>
            <w:tcW w:w="836" w:type="pct"/>
            <w:vAlign w:val="center"/>
          </w:tcPr>
          <w:p w14:paraId="2F9C8C77" w14:textId="080D8960" w:rsidR="00DB05A3" w:rsidRPr="00DB05A3" w:rsidRDefault="001844E9" w:rsidP="0054173E">
            <w:pPr>
              <w:pStyle w:val="TableText"/>
              <w:keepNext/>
              <w:keepLines/>
              <w:rPr>
                <w:i/>
              </w:rPr>
            </w:pPr>
            <w:r w:rsidRPr="00D47830">
              <w:rPr>
                <w:i/>
                <w:iCs/>
              </w:rPr>
              <w:t>−</w:t>
            </w:r>
            <w:r w:rsidR="00DB05A3" w:rsidRPr="00D47830">
              <w:rPr>
                <w:i/>
              </w:rPr>
              <w:t>23.19%</w:t>
            </w:r>
          </w:p>
        </w:tc>
      </w:tr>
      <w:tr w:rsidR="007E3CDD" w:rsidRPr="00CF6C5B" w14:paraId="4B0691F3" w14:textId="77777777" w:rsidTr="0016619A">
        <w:trPr>
          <w:cantSplit/>
          <w:trHeight w:val="283"/>
        </w:trPr>
        <w:tc>
          <w:tcPr>
            <w:tcW w:w="1963" w:type="pct"/>
            <w:vAlign w:val="center"/>
          </w:tcPr>
          <w:p w14:paraId="38BCBD44" w14:textId="135C6065" w:rsidR="004B5947" w:rsidRPr="005C555C" w:rsidRDefault="004B5947" w:rsidP="0054173E">
            <w:pPr>
              <w:pStyle w:val="TableText"/>
              <w:keepNext/>
              <w:keepLines/>
              <w:rPr>
                <w:i/>
              </w:rPr>
            </w:pPr>
            <w:r w:rsidRPr="00D47830">
              <w:rPr>
                <w:i/>
              </w:rPr>
              <w:t xml:space="preserve">Number of definitive procedures </w:t>
            </w:r>
            <w:r w:rsidR="002B1EED" w:rsidRPr="00D47830">
              <w:rPr>
                <w:i/>
              </w:rPr>
              <w:t xml:space="preserve">for STSG informed </w:t>
            </w:r>
            <w:r w:rsidRPr="00D47830">
              <w:rPr>
                <w:i/>
              </w:rPr>
              <w:t xml:space="preserve">by Foster et al. </w:t>
            </w:r>
            <w:r w:rsidR="00F97BFC">
              <w:rPr>
                <w:i/>
              </w:rPr>
              <w:t>(</w:t>
            </w:r>
            <w:r w:rsidRPr="00D47830">
              <w:rPr>
                <w:i/>
              </w:rPr>
              <w:t>2021</w:t>
            </w:r>
            <w:r w:rsidR="00F97BFC">
              <w:rPr>
                <w:i/>
              </w:rPr>
              <w:t>)</w:t>
            </w:r>
            <w:r w:rsidRPr="00D47830">
              <w:rPr>
                <w:i/>
              </w:rPr>
              <w:t xml:space="preserve"> </w:t>
            </w:r>
          </w:p>
        </w:tc>
        <w:tc>
          <w:tcPr>
            <w:tcW w:w="787" w:type="pct"/>
            <w:vAlign w:val="center"/>
          </w:tcPr>
          <w:p w14:paraId="3BB599B1" w14:textId="07DD29AA" w:rsidR="004B5947" w:rsidRPr="004B5947" w:rsidRDefault="004B5947" w:rsidP="0054173E">
            <w:pPr>
              <w:pStyle w:val="TableText"/>
              <w:keepNext/>
              <w:keepLines/>
              <w:rPr>
                <w:i/>
              </w:rPr>
            </w:pPr>
            <w:r w:rsidRPr="00D47830">
              <w:rPr>
                <w:i/>
              </w:rPr>
              <w:t>$41,898.04</w:t>
            </w:r>
          </w:p>
        </w:tc>
        <w:tc>
          <w:tcPr>
            <w:tcW w:w="629" w:type="pct"/>
            <w:vAlign w:val="center"/>
          </w:tcPr>
          <w:p w14:paraId="40D5F9C9" w14:textId="0EE97B8E" w:rsidR="004B5947" w:rsidRPr="004B5947" w:rsidRDefault="004B5947" w:rsidP="0054173E">
            <w:pPr>
              <w:pStyle w:val="TableText"/>
              <w:keepNext/>
              <w:keepLines/>
              <w:rPr>
                <w:i/>
              </w:rPr>
            </w:pPr>
            <w:r w:rsidRPr="00D47830">
              <w:rPr>
                <w:i/>
              </w:rPr>
              <w:t>$63,135.67</w:t>
            </w:r>
          </w:p>
        </w:tc>
        <w:tc>
          <w:tcPr>
            <w:tcW w:w="786" w:type="pct"/>
            <w:vAlign w:val="center"/>
          </w:tcPr>
          <w:p w14:paraId="6BDC6FBB" w14:textId="7F5FCFDB" w:rsidR="004B5947" w:rsidRPr="004B5947" w:rsidRDefault="001844E9" w:rsidP="0054173E">
            <w:pPr>
              <w:pStyle w:val="TableText"/>
              <w:keepNext/>
              <w:keepLines/>
              <w:rPr>
                <w:i/>
              </w:rPr>
            </w:pPr>
            <w:r w:rsidRPr="00D47830">
              <w:rPr>
                <w:i/>
                <w:iCs/>
              </w:rPr>
              <w:t>−</w:t>
            </w:r>
            <w:r w:rsidR="004B5947" w:rsidRPr="00D47830">
              <w:rPr>
                <w:i/>
                <w:iCs/>
              </w:rPr>
              <w:t>$</w:t>
            </w:r>
            <w:r w:rsidR="004B5947" w:rsidRPr="00D47830">
              <w:rPr>
                <w:i/>
              </w:rPr>
              <w:t>21,237.63</w:t>
            </w:r>
          </w:p>
        </w:tc>
        <w:tc>
          <w:tcPr>
            <w:tcW w:w="836" w:type="pct"/>
            <w:vAlign w:val="center"/>
          </w:tcPr>
          <w:p w14:paraId="02B73F5D" w14:textId="19B6122D" w:rsidR="004B5947" w:rsidRPr="004B5947" w:rsidDel="009D76C4" w:rsidRDefault="001844E9" w:rsidP="0054173E">
            <w:pPr>
              <w:pStyle w:val="TableText"/>
              <w:keepNext/>
              <w:keepLines/>
              <w:rPr>
                <w:i/>
              </w:rPr>
            </w:pPr>
            <w:r w:rsidRPr="00D47830">
              <w:rPr>
                <w:i/>
                <w:iCs/>
              </w:rPr>
              <w:t>−</w:t>
            </w:r>
            <w:r w:rsidR="004B5947" w:rsidRPr="00D47830">
              <w:rPr>
                <w:i/>
              </w:rPr>
              <w:t>11.76%</w:t>
            </w:r>
          </w:p>
        </w:tc>
      </w:tr>
    </w:tbl>
    <w:p w14:paraId="578A51FE" w14:textId="79617A02" w:rsidR="004033DC" w:rsidRPr="00937401" w:rsidDel="00F2434A" w:rsidRDefault="004033DC" w:rsidP="0054173E">
      <w:pPr>
        <w:pStyle w:val="Tablenotes0"/>
        <w:keepNext/>
        <w:keepLines/>
        <w:rPr>
          <w:noProof/>
        </w:rPr>
      </w:pPr>
      <w:r w:rsidRPr="00937401" w:rsidDel="00F2434A">
        <w:rPr>
          <w:noProof/>
        </w:rPr>
        <w:t>Abbrevations: ASCS</w:t>
      </w:r>
      <w:r w:rsidR="00C26930">
        <w:rPr>
          <w:noProof/>
        </w:rPr>
        <w:t xml:space="preserve"> </w:t>
      </w:r>
      <w:r w:rsidRPr="00937401" w:rsidDel="00F2434A">
        <w:rPr>
          <w:noProof/>
        </w:rPr>
        <w:t xml:space="preserve">= autologous skin cell suspension; </w:t>
      </w:r>
      <w:r w:rsidRPr="00937401">
        <w:rPr>
          <w:noProof/>
        </w:rPr>
        <w:t>DPT</w:t>
      </w:r>
      <w:r w:rsidR="00C26930">
        <w:rPr>
          <w:noProof/>
        </w:rPr>
        <w:t xml:space="preserve"> </w:t>
      </w:r>
      <w:r w:rsidRPr="00937401">
        <w:rPr>
          <w:noProof/>
        </w:rPr>
        <w:t>= deep partial thicknees; FT</w:t>
      </w:r>
      <w:r w:rsidR="00C26930">
        <w:rPr>
          <w:noProof/>
        </w:rPr>
        <w:t xml:space="preserve"> </w:t>
      </w:r>
      <w:r w:rsidRPr="00937401">
        <w:rPr>
          <w:noProof/>
        </w:rPr>
        <w:t xml:space="preserve">= full thickness; </w:t>
      </w:r>
      <w:r w:rsidRPr="00937401" w:rsidDel="00F2434A">
        <w:rPr>
          <w:noProof/>
        </w:rPr>
        <w:t>LOS</w:t>
      </w:r>
      <w:r w:rsidR="00C26930">
        <w:rPr>
          <w:noProof/>
        </w:rPr>
        <w:t xml:space="preserve"> </w:t>
      </w:r>
      <w:r w:rsidRPr="00937401" w:rsidDel="00F2434A">
        <w:rPr>
          <w:noProof/>
        </w:rPr>
        <w:t xml:space="preserve">= length of </w:t>
      </w:r>
      <w:r w:rsidR="008844BE">
        <w:rPr>
          <w:noProof/>
        </w:rPr>
        <w:t xml:space="preserve">hospital </w:t>
      </w:r>
      <w:r w:rsidRPr="00937401" w:rsidDel="00F2434A">
        <w:rPr>
          <w:noProof/>
        </w:rPr>
        <w:t>stay; STSG</w:t>
      </w:r>
      <w:r w:rsidR="00C26930">
        <w:rPr>
          <w:noProof/>
        </w:rPr>
        <w:t xml:space="preserve"> </w:t>
      </w:r>
      <w:r w:rsidRPr="00937401" w:rsidDel="00F2434A">
        <w:rPr>
          <w:noProof/>
        </w:rPr>
        <w:t>= split-thickness skin graft</w:t>
      </w:r>
    </w:p>
    <w:p w14:paraId="707858FC" w14:textId="78E40782" w:rsidR="004033DC" w:rsidRDefault="004033DC" w:rsidP="0054173E">
      <w:pPr>
        <w:pStyle w:val="Tablenotes0"/>
        <w:keepNext/>
        <w:keepLines/>
        <w:rPr>
          <w:szCs w:val="18"/>
        </w:rPr>
      </w:pPr>
      <w:r w:rsidRPr="00C905F8" w:rsidDel="00F2434A">
        <w:rPr>
          <w:szCs w:val="18"/>
        </w:rPr>
        <w:t>Source:</w:t>
      </w:r>
      <w:r w:rsidRPr="00C905F8" w:rsidDel="00F2434A">
        <w:rPr>
          <w:color w:val="000000" w:themeColor="text1"/>
          <w:szCs w:val="18"/>
        </w:rPr>
        <w:t xml:space="preserve"> </w:t>
      </w:r>
      <w:r>
        <w:rPr>
          <w:color w:val="000000" w:themeColor="text1"/>
          <w:szCs w:val="18"/>
        </w:rPr>
        <w:t>ADAR</w:t>
      </w:r>
      <w:r w:rsidRPr="00C905F8" w:rsidDel="00F2434A">
        <w:rPr>
          <w:color w:val="000000" w:themeColor="text1"/>
          <w:szCs w:val="18"/>
        </w:rPr>
        <w:t xml:space="preserve"> Table 46 (p 88); </w:t>
      </w:r>
      <w:r w:rsidRPr="008737A9" w:rsidDel="00F2434A">
        <w:rPr>
          <w:rStyle w:val="IntenseEmphasis"/>
          <w:color w:val="000000" w:themeColor="text1"/>
        </w:rPr>
        <w:t>Attachment 3.1 Costing analysis</w:t>
      </w:r>
      <w:r w:rsidDel="00F2434A">
        <w:rPr>
          <w:szCs w:val="18"/>
        </w:rPr>
        <w:t>; a</w:t>
      </w:r>
      <w:r w:rsidRPr="00C905F8" w:rsidDel="00F2434A">
        <w:rPr>
          <w:szCs w:val="18"/>
        </w:rPr>
        <w:t xml:space="preserve">dditional sensitivity analyses conducted during the </w:t>
      </w:r>
      <w:r w:rsidR="00B24A7F">
        <w:rPr>
          <w:szCs w:val="18"/>
        </w:rPr>
        <w:t>commentary</w:t>
      </w:r>
      <w:r w:rsidR="00B24A7F" w:rsidRPr="00C905F8" w:rsidDel="00F2434A">
        <w:rPr>
          <w:szCs w:val="18"/>
        </w:rPr>
        <w:t xml:space="preserve"> </w:t>
      </w:r>
      <w:r w:rsidRPr="00C905F8" w:rsidDel="00F2434A">
        <w:rPr>
          <w:szCs w:val="18"/>
        </w:rPr>
        <w:t xml:space="preserve">are presented in </w:t>
      </w:r>
      <w:r w:rsidRPr="00C905F8" w:rsidDel="00F2434A">
        <w:rPr>
          <w:i/>
          <w:szCs w:val="18"/>
        </w:rPr>
        <w:t>italics</w:t>
      </w:r>
      <w:r w:rsidRPr="00C905F8" w:rsidDel="00F2434A">
        <w:rPr>
          <w:szCs w:val="18"/>
        </w:rPr>
        <w:t>.</w:t>
      </w:r>
      <w:r>
        <w:rPr>
          <w:szCs w:val="18"/>
        </w:rPr>
        <w:t xml:space="preserve"> </w:t>
      </w:r>
    </w:p>
    <w:p w14:paraId="20037EDD" w14:textId="483AC629" w:rsidR="0095779C" w:rsidRDefault="00B4654F">
      <w:r>
        <w:t>When costs for the RECELL</w:t>
      </w:r>
      <w:r w:rsidR="00D5621B">
        <w:t>®</w:t>
      </w:r>
      <w:r>
        <w:t xml:space="preserve"> device were </w:t>
      </w:r>
      <w:r w:rsidR="00675264">
        <w:t>included in</w:t>
      </w:r>
      <w:r>
        <w:t xml:space="preserve"> the base case analyses, the resulting </w:t>
      </w:r>
      <w:r w:rsidR="006D3E37" w:rsidRPr="006D3E37">
        <w:t>cost savings</w:t>
      </w:r>
      <w:r w:rsidRPr="006D3E37">
        <w:t xml:space="preserve"> </w:t>
      </w:r>
      <w:r>
        <w:t>reduced to $</w:t>
      </w:r>
      <w:r w:rsidRPr="006D3E37">
        <w:t>5,350.93 (</w:t>
      </w:r>
      <w:r w:rsidR="006D3E37" w:rsidRPr="006D3E37">
        <w:t xml:space="preserve">i.e. incremental cost: </w:t>
      </w:r>
      <w:r w:rsidR="00C26930">
        <w:t>−</w:t>
      </w:r>
      <w:r w:rsidR="006D3E37" w:rsidRPr="006D3E37">
        <w:t>$5,350.93);</w:t>
      </w:r>
      <w:r w:rsidR="001D1DDE" w:rsidRPr="006D3E37">
        <w:t xml:space="preserve"> </w:t>
      </w:r>
      <w:r w:rsidRPr="006D3E37">
        <w:t>77.77%</w:t>
      </w:r>
      <w:r w:rsidR="009B6798" w:rsidRPr="00937401">
        <w:t xml:space="preserve"> </w:t>
      </w:r>
      <w:r w:rsidR="006D3E37" w:rsidRPr="006D3E37">
        <w:t xml:space="preserve">lower cost savings </w:t>
      </w:r>
      <w:r w:rsidR="001D1DDE" w:rsidRPr="00937401">
        <w:t xml:space="preserve">compared to </w:t>
      </w:r>
      <w:r w:rsidR="00C26930">
        <w:t>the</w:t>
      </w:r>
      <w:r w:rsidR="001D1DDE" w:rsidRPr="00937401">
        <w:t xml:space="preserve"> base case</w:t>
      </w:r>
      <w:r>
        <w:t xml:space="preserve"> </w:t>
      </w:r>
      <w:r w:rsidR="008171D2">
        <w:t>(</w:t>
      </w:r>
      <w:r w:rsidR="008171D2" w:rsidRPr="006D3E37">
        <w:fldChar w:fldCharType="begin"/>
      </w:r>
      <w:r w:rsidR="008171D2" w:rsidRPr="006D3E37">
        <w:instrText xml:space="preserve"> REF _Ref194393624 \h </w:instrText>
      </w:r>
      <w:r w:rsidR="006D3E37">
        <w:instrText xml:space="preserve"> \* MERGEFORMAT </w:instrText>
      </w:r>
      <w:r w:rsidR="008171D2" w:rsidRPr="006D3E37">
        <w:fldChar w:fldCharType="separate"/>
      </w:r>
      <w:r w:rsidR="00487E4A">
        <w:t>Table</w:t>
      </w:r>
      <w:r w:rsidR="00487E4A" w:rsidRPr="004C18BB">
        <w:t> </w:t>
      </w:r>
      <w:r w:rsidR="00487E4A">
        <w:t>18</w:t>
      </w:r>
      <w:r w:rsidR="008171D2" w:rsidRPr="006D3E37">
        <w:fldChar w:fldCharType="end"/>
      </w:r>
      <w:r w:rsidR="008171D2">
        <w:t>)</w:t>
      </w:r>
      <w:r>
        <w:t>.</w:t>
      </w:r>
    </w:p>
    <w:p w14:paraId="036766C2" w14:textId="7B217263" w:rsidR="00F2434A" w:rsidRDefault="00C70DDA" w:rsidP="00D47830">
      <w:pPr>
        <w:pStyle w:val="Caption"/>
      </w:pPr>
      <w:bookmarkStart w:id="85" w:name="_Ref194393624"/>
      <w:r>
        <w:t>Table</w:t>
      </w:r>
      <w:r w:rsidR="00B903EF" w:rsidRPr="004C18BB">
        <w:t> </w:t>
      </w:r>
      <w:r>
        <w:fldChar w:fldCharType="begin"/>
      </w:r>
      <w:r>
        <w:instrText>SEQ Table \* ARABIC</w:instrText>
      </w:r>
      <w:r>
        <w:fldChar w:fldCharType="separate"/>
      </w:r>
      <w:r w:rsidR="00487E4A">
        <w:rPr>
          <w:noProof/>
        </w:rPr>
        <w:t>18</w:t>
      </w:r>
      <w:r>
        <w:fldChar w:fldCharType="end"/>
      </w:r>
      <w:bookmarkEnd w:id="85"/>
      <w:r w:rsidR="00B903EF">
        <w:t xml:space="preserve">: </w:t>
      </w:r>
      <w:r w:rsidR="00675264">
        <w:t>Respecified</w:t>
      </w:r>
      <w:r w:rsidR="009C1007">
        <w:t xml:space="preserve"> base case </w:t>
      </w:r>
      <w:r w:rsidR="00675264">
        <w:t>that</w:t>
      </w:r>
      <w:r w:rsidR="009C1007">
        <w:t xml:space="preserve"> inclu</w:t>
      </w:r>
      <w:r w:rsidR="00675264">
        <w:t>des</w:t>
      </w:r>
      <w:r w:rsidR="009C1007">
        <w:t xml:space="preserve"> device cost</w:t>
      </w:r>
      <w:r w:rsidR="004B4BD4">
        <w:t>, disaggregated by %TBSA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92"/>
        <w:gridCol w:w="1134"/>
        <w:gridCol w:w="1134"/>
        <w:gridCol w:w="1275"/>
        <w:gridCol w:w="1136"/>
        <w:gridCol w:w="1505"/>
      </w:tblGrid>
      <w:tr w:rsidR="00F2434A" w:rsidRPr="00CF6C5B" w14:paraId="20494581" w14:textId="77777777" w:rsidTr="00D47830">
        <w:trPr>
          <w:cantSplit/>
          <w:trHeight w:val="283"/>
        </w:trPr>
        <w:tc>
          <w:tcPr>
            <w:tcW w:w="1020" w:type="pct"/>
            <w:vAlign w:val="center"/>
          </w:tcPr>
          <w:p w14:paraId="491B0FCD" w14:textId="104EFA8D" w:rsidR="00F2434A" w:rsidRPr="000E7210" w:rsidRDefault="00AE2C4E" w:rsidP="0031003A">
            <w:pPr>
              <w:pStyle w:val="TableText"/>
              <w:rPr>
                <w:b/>
                <w:i/>
              </w:rPr>
            </w:pPr>
            <w:r w:rsidRPr="00D47830">
              <w:rPr>
                <w:b/>
                <w:i/>
              </w:rPr>
              <w:t>TBSA interval</w:t>
            </w:r>
          </w:p>
        </w:tc>
        <w:tc>
          <w:tcPr>
            <w:tcW w:w="550" w:type="pct"/>
            <w:vAlign w:val="center"/>
          </w:tcPr>
          <w:p w14:paraId="11CB56C7" w14:textId="599ED035" w:rsidR="00CD53CC" w:rsidRPr="00D47830" w:rsidRDefault="00CD53CC" w:rsidP="009770B8">
            <w:pPr>
              <w:pStyle w:val="TableText"/>
              <w:rPr>
                <w:b/>
                <w:i/>
              </w:rPr>
            </w:pPr>
            <w:r w:rsidRPr="00D47830">
              <w:rPr>
                <w:b/>
                <w:i/>
              </w:rPr>
              <w:t>Incidence</w:t>
            </w:r>
          </w:p>
        </w:tc>
        <w:tc>
          <w:tcPr>
            <w:tcW w:w="629" w:type="pct"/>
            <w:vAlign w:val="center"/>
          </w:tcPr>
          <w:p w14:paraId="2E3A0709" w14:textId="7257A0AD" w:rsidR="00F2434A" w:rsidRPr="000E7210" w:rsidRDefault="00F2434A" w:rsidP="0031003A">
            <w:pPr>
              <w:pStyle w:val="TableText"/>
              <w:rPr>
                <w:b/>
                <w:i/>
              </w:rPr>
            </w:pPr>
            <w:r w:rsidRPr="00D47830">
              <w:rPr>
                <w:b/>
                <w:i/>
              </w:rPr>
              <w:t>ASCS ± STSG</w:t>
            </w:r>
            <w:r w:rsidRPr="00D47830" w:rsidDel="00CF6C5B">
              <w:rPr>
                <w:b/>
                <w:i/>
              </w:rPr>
              <w:t xml:space="preserve"> </w:t>
            </w:r>
          </w:p>
        </w:tc>
        <w:tc>
          <w:tcPr>
            <w:tcW w:w="629" w:type="pct"/>
            <w:vAlign w:val="center"/>
          </w:tcPr>
          <w:p w14:paraId="032CBCC4" w14:textId="26BC099B" w:rsidR="00F2434A" w:rsidRPr="000E7210" w:rsidRDefault="00F2434A" w:rsidP="0031003A">
            <w:pPr>
              <w:pStyle w:val="TableText"/>
              <w:rPr>
                <w:b/>
                <w:i/>
              </w:rPr>
            </w:pPr>
            <w:r w:rsidRPr="00D47830">
              <w:rPr>
                <w:b/>
                <w:i/>
              </w:rPr>
              <w:t>STSG</w:t>
            </w:r>
          </w:p>
        </w:tc>
        <w:tc>
          <w:tcPr>
            <w:tcW w:w="707" w:type="pct"/>
            <w:vAlign w:val="center"/>
          </w:tcPr>
          <w:p w14:paraId="66524C2B" w14:textId="16C9436C" w:rsidR="00F2434A" w:rsidRPr="000E7210" w:rsidRDefault="00F2434A" w:rsidP="0031003A">
            <w:pPr>
              <w:pStyle w:val="TableText"/>
              <w:rPr>
                <w:b/>
                <w:i/>
              </w:rPr>
            </w:pPr>
            <w:r w:rsidRPr="00D47830">
              <w:rPr>
                <w:b/>
                <w:i/>
              </w:rPr>
              <w:t>Incremental cost</w:t>
            </w:r>
          </w:p>
        </w:tc>
        <w:tc>
          <w:tcPr>
            <w:tcW w:w="630" w:type="pct"/>
            <w:vAlign w:val="center"/>
          </w:tcPr>
          <w:p w14:paraId="56DBD4C7" w14:textId="4AFB8250" w:rsidR="00DB599D" w:rsidRPr="00D47830" w:rsidRDefault="00DB599D" w:rsidP="009770B8">
            <w:pPr>
              <w:pStyle w:val="TableText"/>
              <w:rPr>
                <w:b/>
                <w:i/>
              </w:rPr>
            </w:pPr>
            <w:r w:rsidRPr="00D47830">
              <w:rPr>
                <w:b/>
                <w:i/>
              </w:rPr>
              <w:t>% of total</w:t>
            </w:r>
          </w:p>
        </w:tc>
        <w:tc>
          <w:tcPr>
            <w:tcW w:w="835" w:type="pct"/>
            <w:vAlign w:val="center"/>
          </w:tcPr>
          <w:p w14:paraId="7E410AD3" w14:textId="3D37D6AF" w:rsidR="00F2434A" w:rsidRPr="000E7210" w:rsidRDefault="00F2434A" w:rsidP="0031003A">
            <w:pPr>
              <w:pStyle w:val="TableText"/>
              <w:rPr>
                <w:b/>
                <w:i/>
              </w:rPr>
            </w:pPr>
            <w:r w:rsidRPr="00D47830">
              <w:rPr>
                <w:b/>
                <w:i/>
              </w:rPr>
              <w:t>% change from base-case</w:t>
            </w:r>
            <w:r w:rsidR="00E04973" w:rsidRPr="00D47830">
              <w:rPr>
                <w:b/>
                <w:i/>
              </w:rPr>
              <w:t xml:space="preserve"> (</w:t>
            </w:r>
            <w:r w:rsidR="009770B8" w:rsidRPr="00D47830">
              <w:rPr>
                <w:b/>
                <w:i/>
              </w:rPr>
              <w:t>−</w:t>
            </w:r>
            <w:r w:rsidR="00E04973" w:rsidRPr="00D47830">
              <w:rPr>
                <w:b/>
                <w:i/>
                <w:iCs/>
              </w:rPr>
              <w:t>$</w:t>
            </w:r>
            <w:r w:rsidR="00E04973" w:rsidRPr="00D47830">
              <w:rPr>
                <w:b/>
                <w:i/>
              </w:rPr>
              <w:t>24,068.10)</w:t>
            </w:r>
          </w:p>
        </w:tc>
      </w:tr>
      <w:tr w:rsidR="00F2434A" w:rsidRPr="00CF6C5B" w14:paraId="24D051E8" w14:textId="77777777" w:rsidTr="00AE2C4E">
        <w:trPr>
          <w:cantSplit/>
          <w:trHeight w:val="283"/>
        </w:trPr>
        <w:tc>
          <w:tcPr>
            <w:tcW w:w="1020" w:type="pct"/>
            <w:vAlign w:val="center"/>
          </w:tcPr>
          <w:p w14:paraId="741CEF6A" w14:textId="2233D889" w:rsidR="00F2434A" w:rsidRPr="00D47830" w:rsidRDefault="00CD53CC" w:rsidP="0031003A">
            <w:pPr>
              <w:pStyle w:val="TableText"/>
              <w:rPr>
                <w:i/>
              </w:rPr>
            </w:pPr>
            <w:r w:rsidRPr="00D47830">
              <w:rPr>
                <w:i/>
              </w:rPr>
              <w:t>20</w:t>
            </w:r>
            <w:r w:rsidR="009770B8" w:rsidRPr="00D47830">
              <w:rPr>
                <w:i/>
                <w:iCs/>
              </w:rPr>
              <w:t>–</w:t>
            </w:r>
            <w:r w:rsidRPr="00D47830">
              <w:rPr>
                <w:i/>
              </w:rPr>
              <w:t>29% TBSA</w:t>
            </w:r>
          </w:p>
        </w:tc>
        <w:tc>
          <w:tcPr>
            <w:tcW w:w="550" w:type="pct"/>
          </w:tcPr>
          <w:p w14:paraId="2D94359D" w14:textId="737124C9" w:rsidR="00CD53CC" w:rsidRPr="00D47830" w:rsidRDefault="00CD53CC" w:rsidP="00CD53CC">
            <w:pPr>
              <w:pStyle w:val="TableText"/>
              <w:rPr>
                <w:i/>
              </w:rPr>
            </w:pPr>
            <w:r w:rsidRPr="00D47830">
              <w:rPr>
                <w:i/>
              </w:rPr>
              <w:t>0.5</w:t>
            </w:r>
            <w:r w:rsidR="00FC118D" w:rsidRPr="00D47830">
              <w:rPr>
                <w:i/>
              </w:rPr>
              <w:t>0</w:t>
            </w:r>
          </w:p>
        </w:tc>
        <w:tc>
          <w:tcPr>
            <w:tcW w:w="629" w:type="pct"/>
            <w:vAlign w:val="center"/>
          </w:tcPr>
          <w:p w14:paraId="1519A0E2" w14:textId="53367C5C" w:rsidR="00F2434A" w:rsidRPr="00D47830" w:rsidRDefault="00F2434A" w:rsidP="0031003A">
            <w:pPr>
              <w:pStyle w:val="TableText"/>
              <w:rPr>
                <w:i/>
              </w:rPr>
            </w:pPr>
            <w:r w:rsidRPr="00D47830">
              <w:rPr>
                <w:i/>
              </w:rPr>
              <w:t>$</w:t>
            </w:r>
            <w:r w:rsidR="00315757" w:rsidRPr="00D47830">
              <w:rPr>
                <w:i/>
              </w:rPr>
              <w:t>25,591.98</w:t>
            </w:r>
          </w:p>
        </w:tc>
        <w:tc>
          <w:tcPr>
            <w:tcW w:w="629" w:type="pct"/>
            <w:vAlign w:val="center"/>
          </w:tcPr>
          <w:p w14:paraId="133DBCD2" w14:textId="548CE027" w:rsidR="00F2434A" w:rsidRPr="00D47830" w:rsidRDefault="00F2434A" w:rsidP="0031003A">
            <w:pPr>
              <w:pStyle w:val="TableText"/>
              <w:rPr>
                <w:i/>
              </w:rPr>
            </w:pPr>
            <w:r w:rsidRPr="00D47830">
              <w:rPr>
                <w:i/>
              </w:rPr>
              <w:t>$1</w:t>
            </w:r>
            <w:r w:rsidR="007357B1" w:rsidRPr="00D47830">
              <w:rPr>
                <w:i/>
              </w:rPr>
              <w:t>8,502.66</w:t>
            </w:r>
          </w:p>
        </w:tc>
        <w:tc>
          <w:tcPr>
            <w:tcW w:w="707" w:type="pct"/>
            <w:vAlign w:val="center"/>
          </w:tcPr>
          <w:p w14:paraId="4281790A" w14:textId="5CC5E652" w:rsidR="00F2434A" w:rsidRPr="00D47830" w:rsidRDefault="00F2434A" w:rsidP="0031003A">
            <w:pPr>
              <w:pStyle w:val="TableText"/>
              <w:rPr>
                <w:i/>
              </w:rPr>
            </w:pPr>
            <w:r w:rsidRPr="00D47830">
              <w:rPr>
                <w:i/>
              </w:rPr>
              <w:t>$</w:t>
            </w:r>
            <w:r w:rsidR="007357B1" w:rsidRPr="00D47830">
              <w:rPr>
                <w:i/>
              </w:rPr>
              <w:t>7,089.32</w:t>
            </w:r>
          </w:p>
        </w:tc>
        <w:tc>
          <w:tcPr>
            <w:tcW w:w="630" w:type="pct"/>
            <w:vAlign w:val="center"/>
          </w:tcPr>
          <w:p w14:paraId="22B30DEA" w14:textId="3A06B4E5" w:rsidR="00A47BC0" w:rsidRPr="00D47830" w:rsidRDefault="001844E9" w:rsidP="0031003A">
            <w:pPr>
              <w:pStyle w:val="TableText"/>
              <w:rPr>
                <w:i/>
                <w:vertAlign w:val="superscript"/>
              </w:rPr>
            </w:pPr>
            <w:r w:rsidRPr="00D47830">
              <w:rPr>
                <w:i/>
                <w:iCs/>
              </w:rPr>
              <w:t>−</w:t>
            </w:r>
            <w:r w:rsidR="00A47BC0" w:rsidRPr="00D47830">
              <w:rPr>
                <w:i/>
              </w:rPr>
              <w:t>132%</w:t>
            </w:r>
            <w:r w:rsidR="000C3FE5">
              <w:rPr>
                <w:i/>
                <w:iCs/>
              </w:rPr>
              <w:t xml:space="preserve"> </w:t>
            </w:r>
            <w:r w:rsidR="008E1AAE">
              <w:rPr>
                <w:i/>
                <w:iCs/>
                <w:vertAlign w:val="superscript"/>
              </w:rPr>
              <w:t>a</w:t>
            </w:r>
          </w:p>
        </w:tc>
        <w:tc>
          <w:tcPr>
            <w:tcW w:w="835" w:type="pct"/>
            <w:vAlign w:val="center"/>
          </w:tcPr>
          <w:p w14:paraId="7C0D49AC" w14:textId="122E5599" w:rsidR="00F2434A" w:rsidRPr="00B327FD" w:rsidRDefault="00CD53CC" w:rsidP="0031003A">
            <w:pPr>
              <w:pStyle w:val="TableText"/>
              <w:rPr>
                <w:i/>
                <w:vertAlign w:val="superscript"/>
              </w:rPr>
            </w:pPr>
            <w:r w:rsidRPr="00D47830">
              <w:rPr>
                <w:i/>
              </w:rPr>
              <w:t>NA</w:t>
            </w:r>
            <w:r w:rsidR="009A3B10">
              <w:rPr>
                <w:i/>
              </w:rPr>
              <w:t xml:space="preserve"> </w:t>
            </w:r>
            <w:r w:rsidR="00B327FD">
              <w:rPr>
                <w:i/>
                <w:vertAlign w:val="superscript"/>
              </w:rPr>
              <w:t>b</w:t>
            </w:r>
          </w:p>
        </w:tc>
      </w:tr>
      <w:tr w:rsidR="00F2434A" w:rsidRPr="00CF6C5B" w14:paraId="0A629EF7" w14:textId="77777777" w:rsidTr="00AE2C4E">
        <w:trPr>
          <w:cantSplit/>
          <w:trHeight w:val="283"/>
        </w:trPr>
        <w:tc>
          <w:tcPr>
            <w:tcW w:w="1020" w:type="pct"/>
            <w:vAlign w:val="center"/>
          </w:tcPr>
          <w:p w14:paraId="265E84FA" w14:textId="2E5686B7" w:rsidR="00F2434A" w:rsidRPr="00D47830" w:rsidRDefault="00CD53CC" w:rsidP="0031003A">
            <w:pPr>
              <w:pStyle w:val="TableText"/>
              <w:rPr>
                <w:i/>
              </w:rPr>
            </w:pPr>
            <w:r w:rsidRPr="00D47830">
              <w:rPr>
                <w:i/>
              </w:rPr>
              <w:t>30</w:t>
            </w:r>
            <w:r w:rsidR="009770B8" w:rsidRPr="00D47830">
              <w:rPr>
                <w:i/>
                <w:iCs/>
              </w:rPr>
              <w:t>–</w:t>
            </w:r>
            <w:r w:rsidRPr="00D47830">
              <w:rPr>
                <w:i/>
              </w:rPr>
              <w:t>39% TBSA</w:t>
            </w:r>
          </w:p>
        </w:tc>
        <w:tc>
          <w:tcPr>
            <w:tcW w:w="550" w:type="pct"/>
          </w:tcPr>
          <w:p w14:paraId="7257E307" w14:textId="487AE5EF" w:rsidR="00CD53CC" w:rsidRPr="00D47830" w:rsidRDefault="00CD53CC" w:rsidP="00CD53CC">
            <w:pPr>
              <w:pStyle w:val="TableText"/>
              <w:rPr>
                <w:i/>
              </w:rPr>
            </w:pPr>
            <w:r w:rsidRPr="00D47830">
              <w:rPr>
                <w:i/>
              </w:rPr>
              <w:t>0.</w:t>
            </w:r>
            <w:r w:rsidR="009C4CD0" w:rsidRPr="00D47830">
              <w:rPr>
                <w:i/>
                <w:iCs/>
              </w:rPr>
              <w:t>26</w:t>
            </w:r>
          </w:p>
        </w:tc>
        <w:tc>
          <w:tcPr>
            <w:tcW w:w="629" w:type="pct"/>
            <w:vAlign w:val="center"/>
          </w:tcPr>
          <w:p w14:paraId="132034DA" w14:textId="3F547C87" w:rsidR="00F2434A" w:rsidRPr="00D47830" w:rsidRDefault="00F2434A" w:rsidP="0031003A">
            <w:pPr>
              <w:pStyle w:val="TableText"/>
              <w:rPr>
                <w:i/>
              </w:rPr>
            </w:pPr>
            <w:r w:rsidRPr="00D47830">
              <w:rPr>
                <w:i/>
              </w:rPr>
              <w:t>$</w:t>
            </w:r>
            <w:r w:rsidR="009E237D" w:rsidRPr="00D47830">
              <w:rPr>
                <w:i/>
              </w:rPr>
              <w:t>13,818.13</w:t>
            </w:r>
          </w:p>
        </w:tc>
        <w:tc>
          <w:tcPr>
            <w:tcW w:w="629" w:type="pct"/>
            <w:vAlign w:val="center"/>
          </w:tcPr>
          <w:p w14:paraId="5598545A" w14:textId="37CD4EA5" w:rsidR="00F2434A" w:rsidRPr="00D47830" w:rsidRDefault="00F2434A" w:rsidP="0031003A">
            <w:pPr>
              <w:pStyle w:val="TableText"/>
              <w:rPr>
                <w:i/>
              </w:rPr>
            </w:pPr>
            <w:r w:rsidRPr="00D47830">
              <w:rPr>
                <w:i/>
              </w:rPr>
              <w:t>$1</w:t>
            </w:r>
            <w:r w:rsidR="004B28D7" w:rsidRPr="00D47830">
              <w:rPr>
                <w:i/>
              </w:rPr>
              <w:t>5,503.23</w:t>
            </w:r>
          </w:p>
        </w:tc>
        <w:tc>
          <w:tcPr>
            <w:tcW w:w="707" w:type="pct"/>
            <w:vAlign w:val="center"/>
          </w:tcPr>
          <w:p w14:paraId="4FE8F3A2" w14:textId="2DD3D84B" w:rsidR="00F2434A" w:rsidRPr="00D47830" w:rsidRDefault="009770B8" w:rsidP="0031003A">
            <w:pPr>
              <w:pStyle w:val="TableText"/>
              <w:rPr>
                <w:i/>
              </w:rPr>
            </w:pPr>
            <w:r w:rsidRPr="00D47830">
              <w:rPr>
                <w:i/>
                <w:iCs/>
              </w:rPr>
              <w:t>−</w:t>
            </w:r>
            <w:r w:rsidR="00F2434A" w:rsidRPr="00D47830">
              <w:rPr>
                <w:i/>
                <w:iCs/>
              </w:rPr>
              <w:t>$</w:t>
            </w:r>
            <w:r w:rsidR="00F2434A" w:rsidRPr="00D47830">
              <w:rPr>
                <w:i/>
              </w:rPr>
              <w:t>1</w:t>
            </w:r>
            <w:r w:rsidR="004B28D7" w:rsidRPr="00D47830">
              <w:rPr>
                <w:i/>
              </w:rPr>
              <w:t>,685.10</w:t>
            </w:r>
          </w:p>
        </w:tc>
        <w:tc>
          <w:tcPr>
            <w:tcW w:w="630" w:type="pct"/>
            <w:vAlign w:val="center"/>
          </w:tcPr>
          <w:p w14:paraId="7C9F5F42" w14:textId="3AB9C94D" w:rsidR="00A47BC0" w:rsidRPr="00D47830" w:rsidRDefault="00A47BC0" w:rsidP="0031003A">
            <w:pPr>
              <w:pStyle w:val="TableText"/>
              <w:rPr>
                <w:i/>
              </w:rPr>
            </w:pPr>
            <w:r w:rsidRPr="00D47830">
              <w:rPr>
                <w:i/>
              </w:rPr>
              <w:t>31%</w:t>
            </w:r>
          </w:p>
        </w:tc>
        <w:tc>
          <w:tcPr>
            <w:tcW w:w="835" w:type="pct"/>
            <w:vAlign w:val="center"/>
          </w:tcPr>
          <w:p w14:paraId="36D7801E" w14:textId="405198BF" w:rsidR="00F2434A" w:rsidRPr="00597D53" w:rsidRDefault="00CD53CC" w:rsidP="0031003A">
            <w:pPr>
              <w:pStyle w:val="TableText"/>
              <w:rPr>
                <w:i/>
                <w:vertAlign w:val="superscript"/>
              </w:rPr>
            </w:pPr>
            <w:r w:rsidRPr="00D47830">
              <w:rPr>
                <w:i/>
              </w:rPr>
              <w:t>NA</w:t>
            </w:r>
            <w:r w:rsidR="00ED43CF">
              <w:rPr>
                <w:i/>
              </w:rPr>
              <w:t xml:space="preserve"> </w:t>
            </w:r>
            <w:r w:rsidR="00ED43CF">
              <w:rPr>
                <w:i/>
                <w:vertAlign w:val="superscript"/>
              </w:rPr>
              <w:t>b</w:t>
            </w:r>
          </w:p>
        </w:tc>
      </w:tr>
      <w:tr w:rsidR="00F2434A" w:rsidRPr="00CF6C5B" w14:paraId="2FD32570" w14:textId="77777777" w:rsidTr="00AE2C4E">
        <w:trPr>
          <w:cantSplit/>
          <w:trHeight w:val="283"/>
        </w:trPr>
        <w:tc>
          <w:tcPr>
            <w:tcW w:w="1020" w:type="pct"/>
            <w:vAlign w:val="center"/>
          </w:tcPr>
          <w:p w14:paraId="19EA150D" w14:textId="221241BD" w:rsidR="00F2434A" w:rsidRPr="00D47830" w:rsidRDefault="00CD53CC" w:rsidP="0031003A">
            <w:pPr>
              <w:pStyle w:val="TableText"/>
              <w:rPr>
                <w:i/>
              </w:rPr>
            </w:pPr>
            <w:r w:rsidRPr="00D47830">
              <w:rPr>
                <w:i/>
              </w:rPr>
              <w:t>40%+ TBSA</w:t>
            </w:r>
          </w:p>
        </w:tc>
        <w:tc>
          <w:tcPr>
            <w:tcW w:w="550" w:type="pct"/>
          </w:tcPr>
          <w:p w14:paraId="25B125AE" w14:textId="149B22D3" w:rsidR="00CD53CC" w:rsidRPr="00D47830" w:rsidRDefault="00CD53CC" w:rsidP="00CD53CC">
            <w:pPr>
              <w:pStyle w:val="TableText"/>
              <w:rPr>
                <w:i/>
              </w:rPr>
            </w:pPr>
            <w:r w:rsidRPr="00D47830">
              <w:rPr>
                <w:i/>
              </w:rPr>
              <w:t>0.2</w:t>
            </w:r>
            <w:r w:rsidR="007133C0" w:rsidRPr="00D47830">
              <w:rPr>
                <w:i/>
              </w:rPr>
              <w:t>4</w:t>
            </w:r>
          </w:p>
        </w:tc>
        <w:tc>
          <w:tcPr>
            <w:tcW w:w="629" w:type="pct"/>
            <w:vAlign w:val="center"/>
          </w:tcPr>
          <w:p w14:paraId="44364DB8" w14:textId="3346FE3A" w:rsidR="00F2434A" w:rsidRPr="00D47830" w:rsidRDefault="00F2434A" w:rsidP="0031003A">
            <w:pPr>
              <w:pStyle w:val="TableText"/>
              <w:rPr>
                <w:i/>
              </w:rPr>
            </w:pPr>
            <w:r w:rsidRPr="00D47830">
              <w:rPr>
                <w:i/>
              </w:rPr>
              <w:t>$</w:t>
            </w:r>
            <w:r w:rsidR="00301D89" w:rsidRPr="00D47830">
              <w:rPr>
                <w:i/>
              </w:rPr>
              <w:t>21,205.11</w:t>
            </w:r>
          </w:p>
        </w:tc>
        <w:tc>
          <w:tcPr>
            <w:tcW w:w="629" w:type="pct"/>
            <w:vAlign w:val="center"/>
          </w:tcPr>
          <w:p w14:paraId="725055F2" w14:textId="28EA954F" w:rsidR="00F2434A" w:rsidRPr="00D47830" w:rsidRDefault="00F2434A" w:rsidP="0031003A">
            <w:pPr>
              <w:pStyle w:val="TableText"/>
              <w:rPr>
                <w:i/>
              </w:rPr>
            </w:pPr>
            <w:r w:rsidRPr="00D47830">
              <w:rPr>
                <w:i/>
              </w:rPr>
              <w:t>$31,</w:t>
            </w:r>
            <w:r w:rsidR="004D3225" w:rsidRPr="00D47830">
              <w:rPr>
                <w:i/>
              </w:rPr>
              <w:t>960.26</w:t>
            </w:r>
          </w:p>
        </w:tc>
        <w:tc>
          <w:tcPr>
            <w:tcW w:w="707" w:type="pct"/>
            <w:vAlign w:val="center"/>
          </w:tcPr>
          <w:p w14:paraId="0EFE1768" w14:textId="331D8040" w:rsidR="00F2434A" w:rsidRPr="00D47830" w:rsidRDefault="009770B8" w:rsidP="0031003A">
            <w:pPr>
              <w:pStyle w:val="TableText"/>
              <w:rPr>
                <w:i/>
              </w:rPr>
            </w:pPr>
            <w:r w:rsidRPr="00D47830">
              <w:rPr>
                <w:i/>
                <w:iCs/>
              </w:rPr>
              <w:t>−</w:t>
            </w:r>
            <w:r w:rsidR="00F2434A" w:rsidRPr="00D47830">
              <w:rPr>
                <w:i/>
                <w:iCs/>
              </w:rPr>
              <w:t>$</w:t>
            </w:r>
            <w:r w:rsidR="004D3225" w:rsidRPr="00D47830">
              <w:rPr>
                <w:i/>
              </w:rPr>
              <w:t>10,755.15</w:t>
            </w:r>
          </w:p>
        </w:tc>
        <w:tc>
          <w:tcPr>
            <w:tcW w:w="630" w:type="pct"/>
            <w:vAlign w:val="center"/>
          </w:tcPr>
          <w:p w14:paraId="5259F722" w14:textId="046C6F8F" w:rsidR="00A47BC0" w:rsidRPr="00D47830" w:rsidRDefault="00A47BC0" w:rsidP="0031003A">
            <w:pPr>
              <w:pStyle w:val="TableText"/>
              <w:rPr>
                <w:i/>
              </w:rPr>
            </w:pPr>
            <w:r w:rsidRPr="00D47830">
              <w:rPr>
                <w:i/>
              </w:rPr>
              <w:t>201%</w:t>
            </w:r>
          </w:p>
        </w:tc>
        <w:tc>
          <w:tcPr>
            <w:tcW w:w="835" w:type="pct"/>
            <w:vAlign w:val="center"/>
          </w:tcPr>
          <w:p w14:paraId="44D4B93D" w14:textId="4969482F" w:rsidR="00F2434A" w:rsidRPr="00597D53" w:rsidRDefault="00CD53CC" w:rsidP="0031003A">
            <w:pPr>
              <w:pStyle w:val="TableText"/>
              <w:rPr>
                <w:i/>
                <w:vertAlign w:val="superscript"/>
              </w:rPr>
            </w:pPr>
            <w:r w:rsidRPr="00D47830">
              <w:rPr>
                <w:i/>
              </w:rPr>
              <w:t>NA</w:t>
            </w:r>
            <w:r w:rsidR="00ED43CF">
              <w:rPr>
                <w:i/>
                <w:vertAlign w:val="superscript"/>
              </w:rPr>
              <w:t xml:space="preserve"> </w:t>
            </w:r>
            <w:r w:rsidR="00537D25">
              <w:rPr>
                <w:i/>
                <w:vertAlign w:val="superscript"/>
              </w:rPr>
              <w:t>b</w:t>
            </w:r>
          </w:p>
        </w:tc>
      </w:tr>
      <w:tr w:rsidR="00DB599D" w:rsidRPr="00937401" w14:paraId="2A26E266" w14:textId="77777777" w:rsidTr="00AE2C4E">
        <w:trPr>
          <w:cantSplit/>
          <w:trHeight w:val="283"/>
        </w:trPr>
        <w:tc>
          <w:tcPr>
            <w:tcW w:w="1020" w:type="pct"/>
            <w:vAlign w:val="center"/>
          </w:tcPr>
          <w:p w14:paraId="28CCF18E" w14:textId="0F377089" w:rsidR="00DB599D" w:rsidRPr="00D47830" w:rsidRDefault="00DB599D" w:rsidP="00DB599D">
            <w:pPr>
              <w:pStyle w:val="TableText"/>
              <w:rPr>
                <w:b/>
                <w:i/>
              </w:rPr>
            </w:pPr>
            <w:r w:rsidRPr="00D47830">
              <w:rPr>
                <w:b/>
                <w:i/>
              </w:rPr>
              <w:t xml:space="preserve">Weighted total cost </w:t>
            </w:r>
          </w:p>
        </w:tc>
        <w:tc>
          <w:tcPr>
            <w:tcW w:w="550" w:type="pct"/>
            <w:vAlign w:val="center"/>
          </w:tcPr>
          <w:p w14:paraId="16398D3B" w14:textId="2062ACDB" w:rsidR="00CD53CC" w:rsidRPr="00D47830" w:rsidRDefault="00AE2C4E" w:rsidP="00CD53CC">
            <w:pPr>
              <w:pStyle w:val="TableText"/>
              <w:rPr>
                <w:b/>
                <w:i/>
              </w:rPr>
            </w:pPr>
            <w:r w:rsidRPr="00D47830">
              <w:rPr>
                <w:b/>
                <w:i/>
              </w:rPr>
              <w:t>NA</w:t>
            </w:r>
          </w:p>
        </w:tc>
        <w:tc>
          <w:tcPr>
            <w:tcW w:w="629" w:type="pct"/>
            <w:vAlign w:val="center"/>
          </w:tcPr>
          <w:p w14:paraId="595B9B9E" w14:textId="3EC3E332" w:rsidR="00DB599D" w:rsidRPr="00D47830" w:rsidRDefault="00DB599D" w:rsidP="00DB599D">
            <w:pPr>
              <w:pStyle w:val="TableText"/>
              <w:rPr>
                <w:b/>
                <w:i/>
              </w:rPr>
            </w:pPr>
            <w:r w:rsidRPr="00D47830">
              <w:rPr>
                <w:b/>
                <w:i/>
              </w:rPr>
              <w:t>$60,615.21</w:t>
            </w:r>
          </w:p>
        </w:tc>
        <w:tc>
          <w:tcPr>
            <w:tcW w:w="629" w:type="pct"/>
            <w:vAlign w:val="center"/>
          </w:tcPr>
          <w:p w14:paraId="2A6DDDBB" w14:textId="7BEFC110" w:rsidR="00DB599D" w:rsidRPr="00D47830" w:rsidRDefault="00DB599D" w:rsidP="00DB599D">
            <w:pPr>
              <w:pStyle w:val="TableText"/>
              <w:rPr>
                <w:b/>
                <w:i/>
              </w:rPr>
            </w:pPr>
            <w:r w:rsidRPr="00D47830">
              <w:rPr>
                <w:b/>
                <w:i/>
              </w:rPr>
              <w:t>$65,966.15</w:t>
            </w:r>
          </w:p>
        </w:tc>
        <w:tc>
          <w:tcPr>
            <w:tcW w:w="707" w:type="pct"/>
            <w:vAlign w:val="center"/>
          </w:tcPr>
          <w:p w14:paraId="53E026E6" w14:textId="0DCDEA46" w:rsidR="00DB599D" w:rsidRPr="00D47830" w:rsidRDefault="009770B8" w:rsidP="00DB599D">
            <w:pPr>
              <w:pStyle w:val="TableText"/>
              <w:rPr>
                <w:b/>
                <w:i/>
              </w:rPr>
            </w:pPr>
            <w:r w:rsidRPr="00D47830">
              <w:rPr>
                <w:b/>
                <w:i/>
                <w:iCs/>
              </w:rPr>
              <w:t>−</w:t>
            </w:r>
            <w:r w:rsidR="00DB599D" w:rsidRPr="00D47830">
              <w:rPr>
                <w:b/>
                <w:i/>
                <w:iCs/>
              </w:rPr>
              <w:t>$</w:t>
            </w:r>
            <w:r w:rsidR="00DB599D" w:rsidRPr="00D47830">
              <w:rPr>
                <w:b/>
                <w:i/>
              </w:rPr>
              <w:t>5,350.93</w:t>
            </w:r>
          </w:p>
        </w:tc>
        <w:tc>
          <w:tcPr>
            <w:tcW w:w="630" w:type="pct"/>
            <w:vAlign w:val="center"/>
          </w:tcPr>
          <w:p w14:paraId="594128D5" w14:textId="4F007998" w:rsidR="00DB599D" w:rsidRPr="00D47830" w:rsidRDefault="00A47BC0" w:rsidP="00DB599D">
            <w:pPr>
              <w:pStyle w:val="TableText"/>
              <w:rPr>
                <w:b/>
                <w:i/>
              </w:rPr>
            </w:pPr>
            <w:r w:rsidRPr="00D47830">
              <w:rPr>
                <w:b/>
                <w:i/>
              </w:rPr>
              <w:t>100%</w:t>
            </w:r>
          </w:p>
        </w:tc>
        <w:tc>
          <w:tcPr>
            <w:tcW w:w="835" w:type="pct"/>
            <w:vAlign w:val="center"/>
          </w:tcPr>
          <w:p w14:paraId="33C86712" w14:textId="2FA13CCC" w:rsidR="00DB599D" w:rsidRPr="00D47830" w:rsidRDefault="009770B8" w:rsidP="00DB599D">
            <w:pPr>
              <w:pStyle w:val="TableText"/>
              <w:rPr>
                <w:b/>
                <w:i/>
              </w:rPr>
            </w:pPr>
            <w:r w:rsidRPr="00D47830">
              <w:rPr>
                <w:b/>
                <w:i/>
                <w:iCs/>
              </w:rPr>
              <w:t>−</w:t>
            </w:r>
            <w:r w:rsidR="00DB599D" w:rsidRPr="00D47830">
              <w:rPr>
                <w:b/>
                <w:i/>
              </w:rPr>
              <w:t>77.77%</w:t>
            </w:r>
          </w:p>
        </w:tc>
      </w:tr>
    </w:tbl>
    <w:p w14:paraId="0D934DC1" w14:textId="1E2CB0EA" w:rsidR="002022F2" w:rsidDel="00F2434A" w:rsidRDefault="002022F2" w:rsidP="00C70F89">
      <w:pPr>
        <w:pStyle w:val="Tablenotes0"/>
        <w:rPr>
          <w:noProof/>
        </w:rPr>
      </w:pPr>
      <w:bookmarkStart w:id="86" w:name="_Hlk68276759"/>
      <w:bookmarkEnd w:id="84"/>
      <w:r w:rsidDel="00F2434A">
        <w:rPr>
          <w:noProof/>
        </w:rPr>
        <w:t xml:space="preserve">Abbrevations: </w:t>
      </w:r>
      <w:r w:rsidRPr="00F65B89" w:rsidDel="00F2434A">
        <w:rPr>
          <w:noProof/>
        </w:rPr>
        <w:t>ASCS</w:t>
      </w:r>
      <w:r w:rsidR="0014591C">
        <w:rPr>
          <w:noProof/>
        </w:rPr>
        <w:t xml:space="preserve"> </w:t>
      </w:r>
      <w:r w:rsidRPr="00F65B89" w:rsidDel="00F2434A">
        <w:rPr>
          <w:noProof/>
        </w:rPr>
        <w:t>= autologous skin cell suspension</w:t>
      </w:r>
      <w:r w:rsidDel="00F2434A">
        <w:rPr>
          <w:noProof/>
        </w:rPr>
        <w:t xml:space="preserve">; </w:t>
      </w:r>
      <w:r w:rsidR="00195712">
        <w:rPr>
          <w:noProof/>
        </w:rPr>
        <w:t>NA</w:t>
      </w:r>
      <w:r w:rsidR="0014591C">
        <w:rPr>
          <w:noProof/>
        </w:rPr>
        <w:t xml:space="preserve"> </w:t>
      </w:r>
      <w:r w:rsidR="00F01F71">
        <w:rPr>
          <w:noProof/>
        </w:rPr>
        <w:t>= not applicable</w:t>
      </w:r>
      <w:r w:rsidR="004F71C7">
        <w:rPr>
          <w:noProof/>
        </w:rPr>
        <w:t>;</w:t>
      </w:r>
      <w:r w:rsidR="00F01F71">
        <w:rPr>
          <w:noProof/>
        </w:rPr>
        <w:t xml:space="preserve"> </w:t>
      </w:r>
      <w:r w:rsidRPr="00F65B89" w:rsidDel="00F2434A">
        <w:rPr>
          <w:noProof/>
        </w:rPr>
        <w:t>STSG</w:t>
      </w:r>
      <w:r w:rsidR="0014591C">
        <w:rPr>
          <w:noProof/>
        </w:rPr>
        <w:t xml:space="preserve"> </w:t>
      </w:r>
      <w:r w:rsidRPr="00F65B89" w:rsidDel="00F2434A">
        <w:rPr>
          <w:noProof/>
        </w:rPr>
        <w:t>= split-thickness skin graft</w:t>
      </w:r>
    </w:p>
    <w:p w14:paraId="3A174484" w14:textId="57A62EE2" w:rsidR="00B52464" w:rsidRDefault="00B52464" w:rsidP="00C70F89">
      <w:pPr>
        <w:pStyle w:val="Tablenotes0"/>
        <w:rPr>
          <w:szCs w:val="18"/>
        </w:rPr>
      </w:pPr>
      <w:r w:rsidRPr="00C905F8" w:rsidDel="00F2434A">
        <w:rPr>
          <w:szCs w:val="18"/>
        </w:rPr>
        <w:t>Source:</w:t>
      </w:r>
      <w:r w:rsidRPr="00C905F8" w:rsidDel="00F2434A">
        <w:rPr>
          <w:color w:val="000000" w:themeColor="text1"/>
          <w:szCs w:val="18"/>
        </w:rPr>
        <w:t xml:space="preserve"> </w:t>
      </w:r>
      <w:r w:rsidR="00845EA2">
        <w:rPr>
          <w:color w:val="000000" w:themeColor="text1"/>
          <w:szCs w:val="18"/>
        </w:rPr>
        <w:t>ADAR</w:t>
      </w:r>
      <w:r w:rsidRPr="00C905F8" w:rsidDel="00F2434A">
        <w:rPr>
          <w:color w:val="000000" w:themeColor="text1"/>
          <w:szCs w:val="18"/>
        </w:rPr>
        <w:t xml:space="preserve"> Table </w:t>
      </w:r>
      <w:r w:rsidR="00501932" w:rsidRPr="00C905F8" w:rsidDel="00F2434A">
        <w:rPr>
          <w:color w:val="000000" w:themeColor="text1"/>
          <w:szCs w:val="18"/>
        </w:rPr>
        <w:t xml:space="preserve">46 </w:t>
      </w:r>
      <w:r w:rsidRPr="00C905F8" w:rsidDel="00F2434A">
        <w:rPr>
          <w:color w:val="000000" w:themeColor="text1"/>
          <w:szCs w:val="18"/>
        </w:rPr>
        <w:t xml:space="preserve">(p </w:t>
      </w:r>
      <w:r w:rsidR="00501932" w:rsidRPr="00C905F8" w:rsidDel="00F2434A">
        <w:rPr>
          <w:color w:val="000000" w:themeColor="text1"/>
          <w:szCs w:val="18"/>
        </w:rPr>
        <w:t>88</w:t>
      </w:r>
      <w:r w:rsidRPr="00C905F8" w:rsidDel="00F2434A">
        <w:rPr>
          <w:color w:val="000000" w:themeColor="text1"/>
          <w:szCs w:val="18"/>
        </w:rPr>
        <w:t xml:space="preserve">); </w:t>
      </w:r>
      <w:r w:rsidR="00501932" w:rsidRPr="008737A9" w:rsidDel="00F2434A">
        <w:rPr>
          <w:rStyle w:val="IntenseEmphasis"/>
          <w:color w:val="000000" w:themeColor="text1"/>
        </w:rPr>
        <w:t>Attachment 3.1 Costing analysis</w:t>
      </w:r>
      <w:r w:rsidR="00C905F8" w:rsidDel="00F2434A">
        <w:rPr>
          <w:szCs w:val="18"/>
        </w:rPr>
        <w:t>; a</w:t>
      </w:r>
      <w:r w:rsidRPr="00C905F8" w:rsidDel="00F2434A">
        <w:rPr>
          <w:szCs w:val="18"/>
        </w:rPr>
        <w:t xml:space="preserve">dditional sensitivity analyses conducted during the </w:t>
      </w:r>
      <w:r w:rsidR="00B24A7F">
        <w:rPr>
          <w:szCs w:val="18"/>
        </w:rPr>
        <w:t>commentary</w:t>
      </w:r>
      <w:r w:rsidRPr="00C905F8" w:rsidDel="00B24A7F">
        <w:rPr>
          <w:szCs w:val="18"/>
        </w:rPr>
        <w:t xml:space="preserve"> </w:t>
      </w:r>
      <w:r w:rsidRPr="00C905F8" w:rsidDel="00F2434A">
        <w:rPr>
          <w:szCs w:val="18"/>
        </w:rPr>
        <w:t xml:space="preserve">are presented in </w:t>
      </w:r>
      <w:r w:rsidRPr="00C905F8" w:rsidDel="00F2434A">
        <w:rPr>
          <w:i/>
          <w:szCs w:val="18"/>
        </w:rPr>
        <w:t>italics</w:t>
      </w:r>
      <w:r w:rsidRPr="00C905F8" w:rsidDel="00F2434A">
        <w:rPr>
          <w:szCs w:val="18"/>
        </w:rPr>
        <w:t>.</w:t>
      </w:r>
      <w:r w:rsidR="00426014">
        <w:rPr>
          <w:szCs w:val="18"/>
        </w:rPr>
        <w:t xml:space="preserve"> </w:t>
      </w:r>
    </w:p>
    <w:p w14:paraId="1FF703AC" w14:textId="436F4A96" w:rsidR="00426014" w:rsidRDefault="00426014" w:rsidP="00C70F89">
      <w:pPr>
        <w:pStyle w:val="Tablenotes0"/>
        <w:rPr>
          <w:szCs w:val="18"/>
        </w:rPr>
      </w:pPr>
      <w:r>
        <w:rPr>
          <w:szCs w:val="18"/>
          <w:vertAlign w:val="superscript"/>
        </w:rPr>
        <w:t xml:space="preserve">a </w:t>
      </w:r>
      <w:r w:rsidR="00190C2F">
        <w:rPr>
          <w:szCs w:val="18"/>
        </w:rPr>
        <w:t>inverted outcomes</w:t>
      </w:r>
      <w:r w:rsidR="00793EAE">
        <w:rPr>
          <w:szCs w:val="18"/>
        </w:rPr>
        <w:t>,</w:t>
      </w:r>
      <w:r w:rsidR="00190C2F">
        <w:rPr>
          <w:szCs w:val="18"/>
        </w:rPr>
        <w:t xml:space="preserve"> which indicated </w:t>
      </w:r>
      <w:r w:rsidR="00F54497">
        <w:rPr>
          <w:szCs w:val="18"/>
        </w:rPr>
        <w:t xml:space="preserve">the </w:t>
      </w:r>
      <w:r w:rsidR="00190C2F">
        <w:rPr>
          <w:szCs w:val="18"/>
        </w:rPr>
        <w:t xml:space="preserve">procedure </w:t>
      </w:r>
      <w:r w:rsidR="00DB46FF">
        <w:rPr>
          <w:szCs w:val="18"/>
        </w:rPr>
        <w:t>was</w:t>
      </w:r>
      <w:r w:rsidR="00190C2F">
        <w:rPr>
          <w:szCs w:val="18"/>
        </w:rPr>
        <w:t xml:space="preserve"> not cost</w:t>
      </w:r>
      <w:r w:rsidR="009C1246">
        <w:rPr>
          <w:szCs w:val="18"/>
        </w:rPr>
        <w:t>-</w:t>
      </w:r>
      <w:r w:rsidR="00190C2F">
        <w:rPr>
          <w:szCs w:val="18"/>
        </w:rPr>
        <w:t xml:space="preserve">saving. </w:t>
      </w:r>
    </w:p>
    <w:p w14:paraId="5B1E6FEF" w14:textId="419D4E9D" w:rsidR="003C5C79" w:rsidRDefault="00B327FD" w:rsidP="00C70F89">
      <w:pPr>
        <w:pStyle w:val="Tablenotes0"/>
        <w:rPr>
          <w:bCs/>
          <w:szCs w:val="18"/>
        </w:rPr>
      </w:pPr>
      <w:r>
        <w:rPr>
          <w:b/>
          <w:szCs w:val="18"/>
          <w:vertAlign w:val="superscript"/>
        </w:rPr>
        <w:t xml:space="preserve">b </w:t>
      </w:r>
      <w:r w:rsidR="00F31644" w:rsidRPr="00597D53">
        <w:rPr>
          <w:szCs w:val="18"/>
        </w:rPr>
        <w:t xml:space="preserve">this percentage </w:t>
      </w:r>
      <w:r w:rsidR="00820004" w:rsidRPr="00AD2114">
        <w:rPr>
          <w:bCs/>
          <w:szCs w:val="18"/>
        </w:rPr>
        <w:t>change</w:t>
      </w:r>
      <w:r w:rsidR="00820004" w:rsidRPr="00820004">
        <w:rPr>
          <w:bCs/>
          <w:szCs w:val="18"/>
        </w:rPr>
        <w:t xml:space="preserve"> </w:t>
      </w:r>
      <w:r w:rsidR="00F31644" w:rsidRPr="00597D53">
        <w:rPr>
          <w:szCs w:val="18"/>
        </w:rPr>
        <w:t>to the base case outcome is not applicable</w:t>
      </w:r>
      <w:r w:rsidR="00DC67AC" w:rsidRPr="00597D53">
        <w:rPr>
          <w:szCs w:val="18"/>
        </w:rPr>
        <w:t xml:space="preserve">, given that these are components of </w:t>
      </w:r>
      <w:r w:rsidR="00B76518">
        <w:rPr>
          <w:bCs/>
          <w:szCs w:val="18"/>
        </w:rPr>
        <w:t xml:space="preserve">the </w:t>
      </w:r>
      <w:r w:rsidR="00DC67AC" w:rsidRPr="00597D53">
        <w:rPr>
          <w:szCs w:val="18"/>
        </w:rPr>
        <w:t xml:space="preserve">weighted total cost. </w:t>
      </w:r>
    </w:p>
    <w:p w14:paraId="3DEB567F" w14:textId="00179A12" w:rsidR="002852E6" w:rsidRPr="00310A0E" w:rsidDel="00F2434A" w:rsidRDefault="003C5C79" w:rsidP="00C70F89">
      <w:pPr>
        <w:pStyle w:val="Tablenotes0"/>
        <w:rPr>
          <w:bCs/>
          <w:szCs w:val="18"/>
        </w:rPr>
      </w:pPr>
      <w:r>
        <w:rPr>
          <w:bCs/>
          <w:szCs w:val="18"/>
        </w:rPr>
        <w:t>U</w:t>
      </w:r>
      <w:r w:rsidR="000A1FCE">
        <w:rPr>
          <w:bCs/>
          <w:szCs w:val="18"/>
        </w:rPr>
        <w:t xml:space="preserve">nweighted </w:t>
      </w:r>
      <w:r w:rsidR="00581880">
        <w:rPr>
          <w:bCs/>
          <w:szCs w:val="18"/>
        </w:rPr>
        <w:t>incremental cost</w:t>
      </w:r>
      <w:r>
        <w:rPr>
          <w:bCs/>
          <w:szCs w:val="18"/>
        </w:rPr>
        <w:t>s were $14,207.34</w:t>
      </w:r>
      <w:r w:rsidR="00581880">
        <w:rPr>
          <w:bCs/>
          <w:szCs w:val="18"/>
        </w:rPr>
        <w:t xml:space="preserve"> for 20</w:t>
      </w:r>
      <w:r w:rsidR="002A5852" w:rsidRPr="002A5852">
        <w:rPr>
          <w:bCs/>
          <w:iCs/>
          <w:szCs w:val="18"/>
        </w:rPr>
        <w:t>––</w:t>
      </w:r>
      <w:r w:rsidR="00581880">
        <w:rPr>
          <w:bCs/>
          <w:szCs w:val="18"/>
        </w:rPr>
        <w:t>29% TBSA</w:t>
      </w:r>
      <w:r>
        <w:rPr>
          <w:bCs/>
          <w:szCs w:val="18"/>
        </w:rPr>
        <w:t xml:space="preserve"> category,</w:t>
      </w:r>
      <w:r w:rsidR="00581880">
        <w:rPr>
          <w:bCs/>
          <w:szCs w:val="18"/>
        </w:rPr>
        <w:t xml:space="preserve"> </w:t>
      </w:r>
      <w:r w:rsidR="00B121AF">
        <w:rPr>
          <w:bCs/>
          <w:szCs w:val="18"/>
        </w:rPr>
        <w:t xml:space="preserve">−$6,516.61 </w:t>
      </w:r>
      <w:r w:rsidR="00ED0EC0">
        <w:rPr>
          <w:bCs/>
          <w:szCs w:val="18"/>
        </w:rPr>
        <w:t xml:space="preserve">for </w:t>
      </w:r>
      <w:r w:rsidR="004640CC">
        <w:rPr>
          <w:bCs/>
          <w:szCs w:val="18"/>
        </w:rPr>
        <w:t xml:space="preserve">the </w:t>
      </w:r>
      <w:r w:rsidR="00ED0EC0">
        <w:rPr>
          <w:bCs/>
          <w:szCs w:val="18"/>
        </w:rPr>
        <w:t>30</w:t>
      </w:r>
      <w:r w:rsidR="002A5852" w:rsidRPr="002A5852">
        <w:rPr>
          <w:bCs/>
          <w:iCs/>
          <w:szCs w:val="18"/>
        </w:rPr>
        <w:t>––</w:t>
      </w:r>
      <w:r w:rsidR="00ED0EC0">
        <w:rPr>
          <w:bCs/>
          <w:szCs w:val="18"/>
        </w:rPr>
        <w:t>39% TBSA</w:t>
      </w:r>
      <w:r>
        <w:rPr>
          <w:bCs/>
          <w:szCs w:val="18"/>
        </w:rPr>
        <w:t xml:space="preserve"> category</w:t>
      </w:r>
      <w:r w:rsidR="00ED0EC0">
        <w:rPr>
          <w:bCs/>
          <w:szCs w:val="18"/>
        </w:rPr>
        <w:t xml:space="preserve"> </w:t>
      </w:r>
      <w:r w:rsidR="00B121AF">
        <w:rPr>
          <w:bCs/>
          <w:szCs w:val="18"/>
        </w:rPr>
        <w:t>and −$</w:t>
      </w:r>
      <w:r w:rsidR="00825498">
        <w:rPr>
          <w:bCs/>
          <w:szCs w:val="18"/>
        </w:rPr>
        <w:t>44,364.99 for</w:t>
      </w:r>
      <w:r w:rsidR="004640CC">
        <w:rPr>
          <w:bCs/>
          <w:szCs w:val="18"/>
        </w:rPr>
        <w:t xml:space="preserve"> the</w:t>
      </w:r>
      <w:r w:rsidR="00825498">
        <w:rPr>
          <w:bCs/>
          <w:szCs w:val="18"/>
        </w:rPr>
        <w:t xml:space="preserve"> 40%+ TBSA </w:t>
      </w:r>
      <w:r>
        <w:rPr>
          <w:bCs/>
          <w:szCs w:val="18"/>
        </w:rPr>
        <w:t>category</w:t>
      </w:r>
      <w:r w:rsidR="00825498">
        <w:rPr>
          <w:bCs/>
          <w:szCs w:val="18"/>
        </w:rPr>
        <w:t xml:space="preserve">. </w:t>
      </w:r>
    </w:p>
    <w:p w14:paraId="40DE98CD" w14:textId="29049C6A" w:rsidR="00C73325" w:rsidRDefault="00820E41" w:rsidP="00C73325">
      <w:r>
        <w:t>The</w:t>
      </w:r>
      <w:r w:rsidR="00C73325">
        <w:t xml:space="preserve"> additional analysis presented in the ADAR</w:t>
      </w:r>
      <w:r w:rsidR="0088433F">
        <w:t>, which the applicant describes as reflect</w:t>
      </w:r>
      <w:r w:rsidR="006E1FCE">
        <w:t>ing</w:t>
      </w:r>
      <w:r w:rsidR="0088433F">
        <w:t xml:space="preserve"> the </w:t>
      </w:r>
      <w:r w:rsidR="00762E29">
        <w:t>potential cost</w:t>
      </w:r>
      <w:r w:rsidR="00B50156">
        <w:t xml:space="preserve">s </w:t>
      </w:r>
      <w:r w:rsidR="006E1FCE" w:rsidRPr="006E1FCE">
        <w:t xml:space="preserve">to hospitals </w:t>
      </w:r>
      <w:r w:rsidR="00762E29">
        <w:t xml:space="preserve">of </w:t>
      </w:r>
      <w:r w:rsidR="00CA1B74">
        <w:t xml:space="preserve">the intervention </w:t>
      </w:r>
      <w:r w:rsidR="00B50156">
        <w:t>v</w:t>
      </w:r>
      <w:r w:rsidR="006E1FCE">
        <w:t>ersu</w:t>
      </w:r>
      <w:r w:rsidR="00B50156">
        <w:t xml:space="preserve">s </w:t>
      </w:r>
      <w:r w:rsidR="004D55B7">
        <w:t>STSG alone</w:t>
      </w:r>
      <w:r w:rsidR="00A30D87">
        <w:t>,</w:t>
      </w:r>
      <w:r>
        <w:t xml:space="preserve"> considered both</w:t>
      </w:r>
      <w:r w:rsidR="006E1FCE">
        <w:t xml:space="preserve"> </w:t>
      </w:r>
      <w:r w:rsidR="00024F40">
        <w:t>hospital</w:t>
      </w:r>
      <w:r w:rsidR="00D64659">
        <w:t xml:space="preserve">isation costs </w:t>
      </w:r>
      <w:r w:rsidR="00A30D87">
        <w:t>(based on public hospital AR-DRGs)</w:t>
      </w:r>
      <w:r w:rsidR="00D00903">
        <w:t xml:space="preserve">, </w:t>
      </w:r>
      <w:r w:rsidR="00D650AC">
        <w:t xml:space="preserve">average </w:t>
      </w:r>
      <w:r w:rsidR="00D00903">
        <w:t>LOS</w:t>
      </w:r>
      <w:r w:rsidR="00A30D87">
        <w:t xml:space="preserve"> </w:t>
      </w:r>
      <w:r w:rsidR="00D64659">
        <w:t>and the cost of the RECELL</w:t>
      </w:r>
      <w:r w:rsidR="003320F3">
        <w:t>®</w:t>
      </w:r>
      <w:r w:rsidR="00D64659">
        <w:t xml:space="preserve"> device</w:t>
      </w:r>
      <w:r w:rsidR="006E1FCE">
        <w:t>.</w:t>
      </w:r>
      <w:r w:rsidR="008E2B67">
        <w:t xml:space="preserve"> </w:t>
      </w:r>
      <w:r w:rsidR="00E8217E">
        <w:t>In the 20</w:t>
      </w:r>
      <w:r w:rsidR="0002765D">
        <w:t>–</w:t>
      </w:r>
      <w:r w:rsidR="00E8217E">
        <w:t>29</w:t>
      </w:r>
      <w:r w:rsidR="00C73325">
        <w:t xml:space="preserve">% </w:t>
      </w:r>
      <w:r w:rsidR="0002765D">
        <w:t xml:space="preserve">TBSA </w:t>
      </w:r>
      <w:r w:rsidR="00E8217E">
        <w:t xml:space="preserve">subgroup, the intervention </w:t>
      </w:r>
      <w:r w:rsidR="00C73325">
        <w:t>was not cost</w:t>
      </w:r>
      <w:r w:rsidR="00F54497">
        <w:t>-</w:t>
      </w:r>
      <w:r w:rsidR="00C73325">
        <w:t>saving</w:t>
      </w:r>
      <w:r w:rsidR="006D53CF">
        <w:t xml:space="preserve"> (</w:t>
      </w:r>
      <w:r w:rsidR="00D939C2">
        <w:fldChar w:fldCharType="begin"/>
      </w:r>
      <w:r w:rsidR="00D939C2">
        <w:instrText xml:space="preserve"> REF _Ref194592527 \h </w:instrText>
      </w:r>
      <w:r w:rsidR="00D939C2">
        <w:fldChar w:fldCharType="separate"/>
      </w:r>
      <w:r w:rsidR="00487E4A">
        <w:t xml:space="preserve">Table </w:t>
      </w:r>
      <w:r w:rsidR="00487E4A">
        <w:rPr>
          <w:noProof/>
        </w:rPr>
        <w:t>19</w:t>
      </w:r>
      <w:r w:rsidR="00D939C2">
        <w:fldChar w:fldCharType="end"/>
      </w:r>
      <w:r w:rsidR="006D53CF">
        <w:t>)</w:t>
      </w:r>
      <w:r w:rsidR="00C73325">
        <w:t xml:space="preserve">. </w:t>
      </w:r>
    </w:p>
    <w:p w14:paraId="3698B57C" w14:textId="1ADC208D" w:rsidR="00C73325" w:rsidRDefault="00C73325" w:rsidP="00C73325">
      <w:pPr>
        <w:pStyle w:val="Caption"/>
      </w:pPr>
      <w:bookmarkStart w:id="87" w:name="_Ref194592527"/>
      <w:r>
        <w:lastRenderedPageBreak/>
        <w:t xml:space="preserve">Table </w:t>
      </w:r>
      <w:r>
        <w:fldChar w:fldCharType="begin"/>
      </w:r>
      <w:r>
        <w:instrText>SEQ Table \* ARABIC</w:instrText>
      </w:r>
      <w:r>
        <w:fldChar w:fldCharType="separate"/>
      </w:r>
      <w:r w:rsidR="00487E4A">
        <w:rPr>
          <w:noProof/>
        </w:rPr>
        <w:t>19</w:t>
      </w:r>
      <w:r>
        <w:fldChar w:fldCharType="end"/>
      </w:r>
      <w:bookmarkEnd w:id="87"/>
      <w:r>
        <w:t xml:space="preserve">: Additional scenario analysis </w:t>
      </w:r>
      <w:r w:rsidR="0002765D">
        <w:t>for</w:t>
      </w:r>
      <w:r>
        <w:t xml:space="preserve"> cost to hospitals</w:t>
      </w:r>
      <w:r w:rsidR="00250D69">
        <w:t xml:space="preserve"> (based on public hospital AR-DRGs</w:t>
      </w:r>
      <w:r w:rsidR="004B0CB5">
        <w:t>) and inclusive of device cost</w:t>
      </w:r>
    </w:p>
    <w:tbl>
      <w:tblPr>
        <w:tblStyle w:val="HTATableshaded"/>
        <w:tblW w:w="0" w:type="auto"/>
        <w:tblLook w:val="04A0" w:firstRow="1" w:lastRow="0" w:firstColumn="1" w:lastColumn="0" w:noHBand="0" w:noVBand="1"/>
      </w:tblPr>
      <w:tblGrid>
        <w:gridCol w:w="2175"/>
        <w:gridCol w:w="1182"/>
        <w:gridCol w:w="1037"/>
        <w:gridCol w:w="1182"/>
        <w:gridCol w:w="1129"/>
        <w:gridCol w:w="1182"/>
        <w:gridCol w:w="1129"/>
      </w:tblGrid>
      <w:tr w:rsidR="00B10905" w:rsidRPr="00964E0D" w14:paraId="120E0217" w14:textId="77777777" w:rsidTr="00276598">
        <w:trPr>
          <w:cnfStyle w:val="100000000000" w:firstRow="1" w:lastRow="0" w:firstColumn="0" w:lastColumn="0" w:oddVBand="0" w:evenVBand="0" w:oddHBand="0" w:evenHBand="0" w:firstRowFirstColumn="0" w:firstRowLastColumn="0" w:lastRowFirstColumn="0" w:lastRowLastColumn="0"/>
          <w:trHeight w:val="567"/>
          <w:tblHeader/>
        </w:trPr>
        <w:tc>
          <w:tcPr>
            <w:tcW w:w="0" w:type="auto"/>
            <w:hideMark/>
          </w:tcPr>
          <w:p w14:paraId="0E462D59" w14:textId="77777777" w:rsidR="00964E0D" w:rsidRPr="00964E0D" w:rsidRDefault="00964E0D" w:rsidP="00964E0D">
            <w:pPr>
              <w:pStyle w:val="TableText"/>
              <w:rPr>
                <w:b/>
                <w:bCs/>
              </w:rPr>
            </w:pPr>
            <w:r w:rsidRPr="00964E0D">
              <w:rPr>
                <w:b/>
                <w:bCs/>
              </w:rPr>
              <w:t>TBSA interval</w:t>
            </w:r>
          </w:p>
        </w:tc>
        <w:tc>
          <w:tcPr>
            <w:tcW w:w="0" w:type="auto"/>
            <w:gridSpan w:val="2"/>
            <w:hideMark/>
          </w:tcPr>
          <w:p w14:paraId="35466ECC" w14:textId="77777777" w:rsidR="00964E0D" w:rsidRPr="00964E0D" w:rsidRDefault="00964E0D" w:rsidP="00964E0D">
            <w:pPr>
              <w:pStyle w:val="TableText"/>
              <w:rPr>
                <w:b/>
                <w:bCs/>
              </w:rPr>
            </w:pPr>
            <w:r w:rsidRPr="00964E0D">
              <w:rPr>
                <w:b/>
                <w:bCs/>
              </w:rPr>
              <w:t>20-29% TBSA</w:t>
            </w:r>
          </w:p>
        </w:tc>
        <w:tc>
          <w:tcPr>
            <w:tcW w:w="0" w:type="auto"/>
            <w:gridSpan w:val="2"/>
            <w:hideMark/>
          </w:tcPr>
          <w:p w14:paraId="6A155C2D" w14:textId="77777777" w:rsidR="00964E0D" w:rsidRPr="00964E0D" w:rsidRDefault="00964E0D" w:rsidP="00964E0D">
            <w:pPr>
              <w:pStyle w:val="TableText"/>
              <w:rPr>
                <w:b/>
                <w:bCs/>
              </w:rPr>
            </w:pPr>
            <w:r w:rsidRPr="00964E0D">
              <w:rPr>
                <w:b/>
                <w:bCs/>
              </w:rPr>
              <w:t>30-39% TBSA</w:t>
            </w:r>
          </w:p>
        </w:tc>
        <w:tc>
          <w:tcPr>
            <w:tcW w:w="0" w:type="auto"/>
            <w:gridSpan w:val="2"/>
            <w:hideMark/>
          </w:tcPr>
          <w:p w14:paraId="507E22E8" w14:textId="77777777" w:rsidR="00964E0D" w:rsidRPr="00964E0D" w:rsidRDefault="00964E0D" w:rsidP="00964E0D">
            <w:pPr>
              <w:pStyle w:val="TableText"/>
              <w:rPr>
                <w:b/>
                <w:bCs/>
              </w:rPr>
            </w:pPr>
            <w:r w:rsidRPr="00964E0D">
              <w:rPr>
                <w:b/>
                <w:bCs/>
              </w:rPr>
              <w:t>40%+ TBSA</w:t>
            </w:r>
          </w:p>
        </w:tc>
      </w:tr>
      <w:tr w:rsidR="00964E0D" w:rsidRPr="00964E0D" w14:paraId="3E3E1AC6" w14:textId="77777777" w:rsidTr="00276598">
        <w:trPr>
          <w:cnfStyle w:val="100000000000" w:firstRow="1" w:lastRow="0" w:firstColumn="0" w:lastColumn="0" w:oddVBand="0" w:evenVBand="0" w:oddHBand="0" w:evenHBand="0" w:firstRowFirstColumn="0" w:firstRowLastColumn="0" w:lastRowFirstColumn="0" w:lastRowLastColumn="0"/>
          <w:trHeight w:val="283"/>
          <w:tblHeader/>
        </w:trPr>
        <w:tc>
          <w:tcPr>
            <w:tcW w:w="0" w:type="auto"/>
            <w:hideMark/>
          </w:tcPr>
          <w:p w14:paraId="3E72DDBC" w14:textId="77777777" w:rsidR="00964E0D" w:rsidRPr="00964E0D" w:rsidRDefault="00964E0D" w:rsidP="00964E0D">
            <w:pPr>
              <w:pStyle w:val="TableText"/>
              <w:rPr>
                <w:b/>
                <w:bCs/>
              </w:rPr>
            </w:pPr>
            <w:r w:rsidRPr="00964E0D">
              <w:rPr>
                <w:b/>
                <w:bCs/>
              </w:rPr>
              <w:t>Description</w:t>
            </w:r>
          </w:p>
        </w:tc>
        <w:tc>
          <w:tcPr>
            <w:tcW w:w="0" w:type="auto"/>
            <w:hideMark/>
          </w:tcPr>
          <w:p w14:paraId="57B143AC" w14:textId="77777777" w:rsidR="00964E0D" w:rsidRPr="00964E0D" w:rsidRDefault="00964E0D" w:rsidP="00964E0D">
            <w:pPr>
              <w:pStyle w:val="TableText"/>
            </w:pPr>
            <w:r w:rsidRPr="00964E0D">
              <w:t>ASCS± STSG</w:t>
            </w:r>
          </w:p>
        </w:tc>
        <w:tc>
          <w:tcPr>
            <w:tcW w:w="0" w:type="auto"/>
            <w:hideMark/>
          </w:tcPr>
          <w:p w14:paraId="467DF72C" w14:textId="77777777" w:rsidR="00964E0D" w:rsidRPr="00964E0D" w:rsidRDefault="00964E0D" w:rsidP="00964E0D">
            <w:pPr>
              <w:pStyle w:val="TableText"/>
            </w:pPr>
            <w:r w:rsidRPr="00964E0D">
              <w:t>STSG</w:t>
            </w:r>
          </w:p>
        </w:tc>
        <w:tc>
          <w:tcPr>
            <w:tcW w:w="0" w:type="auto"/>
            <w:hideMark/>
          </w:tcPr>
          <w:p w14:paraId="69803D15" w14:textId="77777777" w:rsidR="00964E0D" w:rsidRPr="00964E0D" w:rsidRDefault="00964E0D" w:rsidP="00964E0D">
            <w:pPr>
              <w:pStyle w:val="TableText"/>
            </w:pPr>
            <w:r w:rsidRPr="00964E0D">
              <w:t>ASCS± STSG</w:t>
            </w:r>
          </w:p>
        </w:tc>
        <w:tc>
          <w:tcPr>
            <w:tcW w:w="0" w:type="auto"/>
            <w:hideMark/>
          </w:tcPr>
          <w:p w14:paraId="77B43042" w14:textId="77777777" w:rsidR="00964E0D" w:rsidRPr="00964E0D" w:rsidRDefault="00964E0D" w:rsidP="00964E0D">
            <w:pPr>
              <w:pStyle w:val="TableText"/>
            </w:pPr>
            <w:r w:rsidRPr="00964E0D">
              <w:t>STSG</w:t>
            </w:r>
          </w:p>
        </w:tc>
        <w:tc>
          <w:tcPr>
            <w:tcW w:w="0" w:type="auto"/>
            <w:hideMark/>
          </w:tcPr>
          <w:p w14:paraId="56AC47D1" w14:textId="77777777" w:rsidR="00964E0D" w:rsidRPr="00964E0D" w:rsidRDefault="00964E0D" w:rsidP="00964E0D">
            <w:pPr>
              <w:pStyle w:val="TableText"/>
            </w:pPr>
            <w:r w:rsidRPr="00964E0D">
              <w:t>ASCS± STSG</w:t>
            </w:r>
          </w:p>
        </w:tc>
        <w:tc>
          <w:tcPr>
            <w:tcW w:w="0" w:type="auto"/>
            <w:hideMark/>
          </w:tcPr>
          <w:p w14:paraId="2A4BEFE0" w14:textId="77777777" w:rsidR="00964E0D" w:rsidRPr="00964E0D" w:rsidRDefault="00964E0D" w:rsidP="00964E0D">
            <w:pPr>
              <w:pStyle w:val="TableText"/>
            </w:pPr>
            <w:r w:rsidRPr="00964E0D">
              <w:t>STSG</w:t>
            </w:r>
          </w:p>
        </w:tc>
      </w:tr>
      <w:tr w:rsidR="00964E0D" w:rsidRPr="00964E0D" w14:paraId="64C1570B" w14:textId="77777777" w:rsidTr="00276598">
        <w:trPr>
          <w:cnfStyle w:val="100000000000" w:firstRow="1" w:lastRow="0" w:firstColumn="0" w:lastColumn="0" w:oddVBand="0" w:evenVBand="0" w:oddHBand="0" w:evenHBand="0" w:firstRowFirstColumn="0" w:firstRowLastColumn="0" w:lastRowFirstColumn="0" w:lastRowLastColumn="0"/>
          <w:trHeight w:val="283"/>
          <w:tblHeader/>
        </w:trPr>
        <w:tc>
          <w:tcPr>
            <w:tcW w:w="0" w:type="auto"/>
            <w:hideMark/>
          </w:tcPr>
          <w:p w14:paraId="6F95F2D2" w14:textId="77777777" w:rsidR="00964E0D" w:rsidRPr="00964E0D" w:rsidRDefault="00964E0D" w:rsidP="00964E0D">
            <w:pPr>
              <w:pStyle w:val="TableText"/>
              <w:rPr>
                <w:b/>
                <w:bCs/>
              </w:rPr>
            </w:pPr>
            <w:r w:rsidRPr="00964E0D">
              <w:rPr>
                <w:b/>
                <w:bCs/>
              </w:rPr>
              <w:t>Cost per day in hospital</w:t>
            </w:r>
          </w:p>
        </w:tc>
        <w:tc>
          <w:tcPr>
            <w:tcW w:w="0" w:type="auto"/>
            <w:hideMark/>
          </w:tcPr>
          <w:p w14:paraId="66915AC6" w14:textId="77777777" w:rsidR="00964E0D" w:rsidRPr="00964E0D" w:rsidRDefault="00964E0D" w:rsidP="00964E0D">
            <w:pPr>
              <w:pStyle w:val="TableText"/>
            </w:pPr>
            <w:r w:rsidRPr="00964E0D">
              <w:t>$3,614.27</w:t>
            </w:r>
          </w:p>
        </w:tc>
        <w:tc>
          <w:tcPr>
            <w:tcW w:w="0" w:type="auto"/>
            <w:hideMark/>
          </w:tcPr>
          <w:p w14:paraId="71543AC3" w14:textId="77777777" w:rsidR="00964E0D" w:rsidRPr="00964E0D" w:rsidRDefault="00964E0D" w:rsidP="00964E0D">
            <w:pPr>
              <w:pStyle w:val="TableText"/>
            </w:pPr>
            <w:r w:rsidRPr="00964E0D">
              <w:t>$3,614.27</w:t>
            </w:r>
          </w:p>
        </w:tc>
        <w:tc>
          <w:tcPr>
            <w:tcW w:w="0" w:type="auto"/>
            <w:hideMark/>
          </w:tcPr>
          <w:p w14:paraId="475F4D11" w14:textId="77777777" w:rsidR="00964E0D" w:rsidRPr="00964E0D" w:rsidRDefault="00964E0D" w:rsidP="00964E0D">
            <w:pPr>
              <w:pStyle w:val="TableText"/>
            </w:pPr>
            <w:r w:rsidRPr="00964E0D">
              <w:t>$3,614.27</w:t>
            </w:r>
          </w:p>
        </w:tc>
        <w:tc>
          <w:tcPr>
            <w:tcW w:w="0" w:type="auto"/>
            <w:hideMark/>
          </w:tcPr>
          <w:p w14:paraId="2E1C5354" w14:textId="77777777" w:rsidR="00964E0D" w:rsidRPr="00964E0D" w:rsidRDefault="00964E0D" w:rsidP="00964E0D">
            <w:pPr>
              <w:pStyle w:val="TableText"/>
            </w:pPr>
            <w:r w:rsidRPr="00964E0D">
              <w:t>$3,614.27</w:t>
            </w:r>
          </w:p>
        </w:tc>
        <w:tc>
          <w:tcPr>
            <w:tcW w:w="0" w:type="auto"/>
            <w:hideMark/>
          </w:tcPr>
          <w:p w14:paraId="0FB5824E" w14:textId="77777777" w:rsidR="00964E0D" w:rsidRPr="00964E0D" w:rsidRDefault="00964E0D" w:rsidP="00964E0D">
            <w:pPr>
              <w:pStyle w:val="TableText"/>
            </w:pPr>
            <w:r w:rsidRPr="00964E0D">
              <w:t>$3,614.27</w:t>
            </w:r>
          </w:p>
        </w:tc>
        <w:tc>
          <w:tcPr>
            <w:tcW w:w="0" w:type="auto"/>
            <w:hideMark/>
          </w:tcPr>
          <w:p w14:paraId="41549412" w14:textId="77777777" w:rsidR="00964E0D" w:rsidRPr="00964E0D" w:rsidRDefault="00964E0D" w:rsidP="00964E0D">
            <w:pPr>
              <w:pStyle w:val="TableText"/>
            </w:pPr>
            <w:r w:rsidRPr="00964E0D">
              <w:t>$3,614.27</w:t>
            </w:r>
          </w:p>
        </w:tc>
      </w:tr>
      <w:tr w:rsidR="00964E0D" w:rsidRPr="00964E0D" w14:paraId="10750D83" w14:textId="77777777" w:rsidTr="00276598">
        <w:trPr>
          <w:cnfStyle w:val="100000000000" w:firstRow="1" w:lastRow="0" w:firstColumn="0" w:lastColumn="0" w:oddVBand="0" w:evenVBand="0" w:oddHBand="0" w:evenHBand="0" w:firstRowFirstColumn="0" w:firstRowLastColumn="0" w:lastRowFirstColumn="0" w:lastRowLastColumn="0"/>
          <w:trHeight w:val="283"/>
          <w:tblHeader/>
        </w:trPr>
        <w:tc>
          <w:tcPr>
            <w:tcW w:w="0" w:type="auto"/>
            <w:hideMark/>
          </w:tcPr>
          <w:p w14:paraId="68353F66" w14:textId="77777777" w:rsidR="00964E0D" w:rsidRPr="00964E0D" w:rsidRDefault="00964E0D" w:rsidP="00964E0D">
            <w:pPr>
              <w:pStyle w:val="TableText"/>
              <w:rPr>
                <w:b/>
                <w:bCs/>
              </w:rPr>
            </w:pPr>
            <w:r w:rsidRPr="00964E0D">
              <w:rPr>
                <w:b/>
                <w:bCs/>
              </w:rPr>
              <w:t>ASCS (RECELL®) device cost</w:t>
            </w:r>
          </w:p>
        </w:tc>
        <w:tc>
          <w:tcPr>
            <w:tcW w:w="0" w:type="auto"/>
            <w:hideMark/>
          </w:tcPr>
          <w:p w14:paraId="5DCE164D" w14:textId="4A33B46D" w:rsidR="00964E0D" w:rsidRPr="00964E0D" w:rsidRDefault="00964E0D" w:rsidP="00964E0D">
            <w:pPr>
              <w:pStyle w:val="TableText"/>
            </w:pPr>
            <w:r w:rsidRPr="00964E0D">
              <w:t>$</w:t>
            </w:r>
            <w:r w:rsidR="00473D53">
              <w:rPr>
                <w:b/>
                <w:bCs/>
              </w:rPr>
              <w:t xml:space="preserve"> redacted</w:t>
            </w:r>
          </w:p>
        </w:tc>
        <w:tc>
          <w:tcPr>
            <w:tcW w:w="0" w:type="auto"/>
            <w:hideMark/>
          </w:tcPr>
          <w:p w14:paraId="463A778A" w14:textId="77777777" w:rsidR="00964E0D" w:rsidRPr="00964E0D" w:rsidRDefault="00964E0D" w:rsidP="00964E0D">
            <w:pPr>
              <w:pStyle w:val="TableText"/>
            </w:pPr>
            <w:r w:rsidRPr="00964E0D">
              <w:t>$0.00</w:t>
            </w:r>
          </w:p>
        </w:tc>
        <w:tc>
          <w:tcPr>
            <w:tcW w:w="0" w:type="auto"/>
            <w:hideMark/>
          </w:tcPr>
          <w:p w14:paraId="4C08D4BB" w14:textId="3C9DA80B" w:rsidR="00964E0D" w:rsidRPr="00964E0D" w:rsidRDefault="00964E0D" w:rsidP="00964E0D">
            <w:pPr>
              <w:pStyle w:val="TableText"/>
            </w:pPr>
            <w:r w:rsidRPr="00964E0D">
              <w:t>$</w:t>
            </w:r>
            <w:r w:rsidR="00473D53">
              <w:rPr>
                <w:b/>
                <w:bCs/>
              </w:rPr>
              <w:t xml:space="preserve"> redacted</w:t>
            </w:r>
          </w:p>
        </w:tc>
        <w:tc>
          <w:tcPr>
            <w:tcW w:w="0" w:type="auto"/>
            <w:hideMark/>
          </w:tcPr>
          <w:p w14:paraId="09D5DD7B" w14:textId="77777777" w:rsidR="00964E0D" w:rsidRPr="00964E0D" w:rsidRDefault="00964E0D" w:rsidP="00964E0D">
            <w:pPr>
              <w:pStyle w:val="TableText"/>
            </w:pPr>
            <w:r w:rsidRPr="00964E0D">
              <w:t>$0.00</w:t>
            </w:r>
          </w:p>
        </w:tc>
        <w:tc>
          <w:tcPr>
            <w:tcW w:w="0" w:type="auto"/>
            <w:hideMark/>
          </w:tcPr>
          <w:p w14:paraId="6C9E7F76" w14:textId="07447DCC" w:rsidR="00964E0D" w:rsidRPr="00964E0D" w:rsidRDefault="00964E0D" w:rsidP="00964E0D">
            <w:pPr>
              <w:pStyle w:val="TableText"/>
            </w:pPr>
            <w:r w:rsidRPr="00964E0D">
              <w:t>$</w:t>
            </w:r>
            <w:r w:rsidR="00473D53">
              <w:rPr>
                <w:b/>
                <w:bCs/>
              </w:rPr>
              <w:t xml:space="preserve"> redacted</w:t>
            </w:r>
          </w:p>
        </w:tc>
        <w:tc>
          <w:tcPr>
            <w:tcW w:w="0" w:type="auto"/>
            <w:hideMark/>
          </w:tcPr>
          <w:p w14:paraId="178CD286" w14:textId="77777777" w:rsidR="00964E0D" w:rsidRPr="00964E0D" w:rsidRDefault="00964E0D" w:rsidP="00964E0D">
            <w:pPr>
              <w:pStyle w:val="TableText"/>
            </w:pPr>
            <w:r w:rsidRPr="00964E0D">
              <w:t>$0.00</w:t>
            </w:r>
          </w:p>
        </w:tc>
      </w:tr>
      <w:tr w:rsidR="00964E0D" w:rsidRPr="00964E0D" w14:paraId="18CB8B06" w14:textId="77777777" w:rsidTr="00276598">
        <w:trPr>
          <w:cnfStyle w:val="100000000000" w:firstRow="1" w:lastRow="0" w:firstColumn="0" w:lastColumn="0" w:oddVBand="0" w:evenVBand="0" w:oddHBand="0" w:evenHBand="0" w:firstRowFirstColumn="0" w:firstRowLastColumn="0" w:lastRowFirstColumn="0" w:lastRowLastColumn="0"/>
          <w:trHeight w:val="283"/>
          <w:tblHeader/>
        </w:trPr>
        <w:tc>
          <w:tcPr>
            <w:tcW w:w="0" w:type="auto"/>
            <w:hideMark/>
          </w:tcPr>
          <w:p w14:paraId="75942238" w14:textId="77777777" w:rsidR="00964E0D" w:rsidRPr="00964E0D" w:rsidRDefault="00964E0D" w:rsidP="00964E0D">
            <w:pPr>
              <w:pStyle w:val="TableText"/>
              <w:rPr>
                <w:b/>
                <w:bCs/>
              </w:rPr>
            </w:pPr>
            <w:r w:rsidRPr="00964E0D">
              <w:rPr>
                <w:b/>
                <w:bCs/>
              </w:rPr>
              <w:t>LOS (days)</w:t>
            </w:r>
          </w:p>
        </w:tc>
        <w:tc>
          <w:tcPr>
            <w:tcW w:w="0" w:type="auto"/>
            <w:hideMark/>
          </w:tcPr>
          <w:p w14:paraId="4EF1B10F" w14:textId="77777777" w:rsidR="00964E0D" w:rsidRPr="00964E0D" w:rsidRDefault="00964E0D" w:rsidP="00964E0D">
            <w:pPr>
              <w:pStyle w:val="TableText"/>
            </w:pPr>
            <w:r w:rsidRPr="00964E0D">
              <w:t>31.7</w:t>
            </w:r>
          </w:p>
        </w:tc>
        <w:tc>
          <w:tcPr>
            <w:tcW w:w="0" w:type="auto"/>
            <w:hideMark/>
          </w:tcPr>
          <w:p w14:paraId="292269E3" w14:textId="77777777" w:rsidR="00964E0D" w:rsidRPr="00964E0D" w:rsidRDefault="00964E0D" w:rsidP="00964E0D">
            <w:pPr>
              <w:pStyle w:val="TableText"/>
            </w:pPr>
            <w:r w:rsidRPr="00964E0D">
              <w:t>27.60</w:t>
            </w:r>
          </w:p>
        </w:tc>
        <w:tc>
          <w:tcPr>
            <w:tcW w:w="0" w:type="auto"/>
            <w:hideMark/>
          </w:tcPr>
          <w:p w14:paraId="2844F059" w14:textId="77777777" w:rsidR="00964E0D" w:rsidRPr="00964E0D" w:rsidRDefault="00964E0D" w:rsidP="00964E0D">
            <w:pPr>
              <w:pStyle w:val="TableText"/>
            </w:pPr>
            <w:r w:rsidRPr="00964E0D">
              <w:t>27.40</w:t>
            </w:r>
          </w:p>
        </w:tc>
        <w:tc>
          <w:tcPr>
            <w:tcW w:w="0" w:type="auto"/>
            <w:hideMark/>
          </w:tcPr>
          <w:p w14:paraId="77C559B9" w14:textId="77777777" w:rsidR="00964E0D" w:rsidRPr="00964E0D" w:rsidRDefault="00964E0D" w:rsidP="00964E0D">
            <w:pPr>
              <w:pStyle w:val="TableText"/>
            </w:pPr>
            <w:r w:rsidRPr="00964E0D">
              <w:t>42.20</w:t>
            </w:r>
          </w:p>
        </w:tc>
        <w:tc>
          <w:tcPr>
            <w:tcW w:w="0" w:type="auto"/>
            <w:hideMark/>
          </w:tcPr>
          <w:p w14:paraId="691014C7" w14:textId="77777777" w:rsidR="00964E0D" w:rsidRPr="00964E0D" w:rsidRDefault="00964E0D" w:rsidP="00964E0D">
            <w:pPr>
              <w:pStyle w:val="TableText"/>
            </w:pPr>
            <w:r w:rsidRPr="00964E0D">
              <w:t>51.00</w:t>
            </w:r>
          </w:p>
        </w:tc>
        <w:tc>
          <w:tcPr>
            <w:tcW w:w="0" w:type="auto"/>
            <w:hideMark/>
          </w:tcPr>
          <w:p w14:paraId="28F9F8D3" w14:textId="77777777" w:rsidR="00964E0D" w:rsidRPr="00964E0D" w:rsidRDefault="00964E0D" w:rsidP="00964E0D">
            <w:pPr>
              <w:pStyle w:val="TableText"/>
            </w:pPr>
            <w:r w:rsidRPr="00964E0D">
              <w:t>104.5</w:t>
            </w:r>
          </w:p>
        </w:tc>
      </w:tr>
      <w:tr w:rsidR="00964E0D" w:rsidRPr="00964E0D" w14:paraId="550338A3" w14:textId="77777777" w:rsidTr="00276598">
        <w:trPr>
          <w:cnfStyle w:val="100000000000" w:firstRow="1" w:lastRow="0" w:firstColumn="0" w:lastColumn="0" w:oddVBand="0" w:evenVBand="0" w:oddHBand="0" w:evenHBand="0" w:firstRowFirstColumn="0" w:firstRowLastColumn="0" w:lastRowFirstColumn="0" w:lastRowLastColumn="0"/>
          <w:trHeight w:val="283"/>
          <w:tblHeader/>
        </w:trPr>
        <w:tc>
          <w:tcPr>
            <w:tcW w:w="0" w:type="auto"/>
            <w:hideMark/>
          </w:tcPr>
          <w:p w14:paraId="53A12CE3" w14:textId="77777777" w:rsidR="00964E0D" w:rsidRPr="00964E0D" w:rsidRDefault="00964E0D" w:rsidP="00964E0D">
            <w:pPr>
              <w:pStyle w:val="TableText"/>
              <w:rPr>
                <w:b/>
                <w:bCs/>
              </w:rPr>
            </w:pPr>
            <w:r w:rsidRPr="00964E0D">
              <w:rPr>
                <w:b/>
                <w:bCs/>
              </w:rPr>
              <w:t>Total cost to hospital</w:t>
            </w:r>
          </w:p>
        </w:tc>
        <w:tc>
          <w:tcPr>
            <w:tcW w:w="0" w:type="auto"/>
            <w:hideMark/>
          </w:tcPr>
          <w:p w14:paraId="6943D3C8" w14:textId="699ABFBE" w:rsidR="00964E0D" w:rsidRPr="00964E0D" w:rsidRDefault="00964E0D" w:rsidP="00964E0D">
            <w:pPr>
              <w:pStyle w:val="TableText"/>
            </w:pPr>
            <w:r w:rsidRPr="00964E0D">
              <w:t>$</w:t>
            </w:r>
            <w:r w:rsidR="00473D53">
              <w:rPr>
                <w:b/>
                <w:bCs/>
              </w:rPr>
              <w:t xml:space="preserve"> redacted</w:t>
            </w:r>
          </w:p>
        </w:tc>
        <w:tc>
          <w:tcPr>
            <w:tcW w:w="0" w:type="auto"/>
            <w:hideMark/>
          </w:tcPr>
          <w:p w14:paraId="6A209F42" w14:textId="77777777" w:rsidR="00964E0D" w:rsidRPr="00964E0D" w:rsidRDefault="00964E0D" w:rsidP="00964E0D">
            <w:pPr>
              <w:pStyle w:val="TableText"/>
            </w:pPr>
            <w:r w:rsidRPr="00964E0D">
              <w:t>$99,753.87</w:t>
            </w:r>
          </w:p>
        </w:tc>
        <w:tc>
          <w:tcPr>
            <w:tcW w:w="0" w:type="auto"/>
            <w:hideMark/>
          </w:tcPr>
          <w:p w14:paraId="008A8DA2" w14:textId="70BAC48C" w:rsidR="00964E0D" w:rsidRPr="00964E0D" w:rsidRDefault="00964E0D" w:rsidP="00964E0D">
            <w:pPr>
              <w:pStyle w:val="TableText"/>
            </w:pPr>
            <w:r w:rsidRPr="00964E0D">
              <w:t>$</w:t>
            </w:r>
            <w:r w:rsidR="00473D53">
              <w:rPr>
                <w:b/>
                <w:bCs/>
              </w:rPr>
              <w:t xml:space="preserve"> redacted</w:t>
            </w:r>
          </w:p>
        </w:tc>
        <w:tc>
          <w:tcPr>
            <w:tcW w:w="0" w:type="auto"/>
            <w:hideMark/>
          </w:tcPr>
          <w:p w14:paraId="5E682D7B" w14:textId="77777777" w:rsidR="00964E0D" w:rsidRPr="00964E0D" w:rsidRDefault="00964E0D" w:rsidP="00964E0D">
            <w:pPr>
              <w:pStyle w:val="TableText"/>
            </w:pPr>
            <w:r w:rsidRPr="00964E0D">
              <w:t>$152,522.22</w:t>
            </w:r>
          </w:p>
        </w:tc>
        <w:tc>
          <w:tcPr>
            <w:tcW w:w="0" w:type="auto"/>
            <w:hideMark/>
          </w:tcPr>
          <w:p w14:paraId="5DA5B946" w14:textId="4813179C" w:rsidR="00964E0D" w:rsidRPr="00964E0D" w:rsidRDefault="00964E0D" w:rsidP="00964E0D">
            <w:pPr>
              <w:pStyle w:val="TableText"/>
            </w:pPr>
            <w:r w:rsidRPr="00964E0D">
              <w:t>$</w:t>
            </w:r>
            <w:r w:rsidR="00473D53">
              <w:rPr>
                <w:b/>
                <w:bCs/>
              </w:rPr>
              <w:t xml:space="preserve"> redacted</w:t>
            </w:r>
          </w:p>
        </w:tc>
        <w:tc>
          <w:tcPr>
            <w:tcW w:w="0" w:type="auto"/>
            <w:hideMark/>
          </w:tcPr>
          <w:p w14:paraId="39C1A5D2" w14:textId="77777777" w:rsidR="00964E0D" w:rsidRPr="00964E0D" w:rsidRDefault="00964E0D" w:rsidP="00964E0D">
            <w:pPr>
              <w:pStyle w:val="TableText"/>
            </w:pPr>
            <w:r w:rsidRPr="00964E0D">
              <w:t>$377,691.29</w:t>
            </w:r>
          </w:p>
        </w:tc>
      </w:tr>
      <w:tr w:rsidR="009F556F" w:rsidRPr="00964E0D" w14:paraId="1A2EB6B6" w14:textId="77777777" w:rsidTr="00276598">
        <w:trPr>
          <w:cnfStyle w:val="100000000000" w:firstRow="1" w:lastRow="0" w:firstColumn="0" w:lastColumn="0" w:oddVBand="0" w:evenVBand="0" w:oddHBand="0" w:evenHBand="0" w:firstRowFirstColumn="0" w:firstRowLastColumn="0" w:lastRowFirstColumn="0" w:lastRowLastColumn="0"/>
          <w:trHeight w:val="283"/>
          <w:tblHeader/>
        </w:trPr>
        <w:tc>
          <w:tcPr>
            <w:tcW w:w="0" w:type="auto"/>
          </w:tcPr>
          <w:p w14:paraId="05E41EDA" w14:textId="669EC9CC" w:rsidR="009F556F" w:rsidRPr="00964E0D" w:rsidRDefault="009F556F" w:rsidP="00964E0D">
            <w:pPr>
              <w:pStyle w:val="TableText"/>
              <w:rPr>
                <w:b/>
                <w:bCs/>
              </w:rPr>
            </w:pPr>
            <w:r>
              <w:rPr>
                <w:b/>
                <w:bCs/>
              </w:rPr>
              <w:t>Incremental cost to hospital</w:t>
            </w:r>
          </w:p>
        </w:tc>
        <w:tc>
          <w:tcPr>
            <w:tcW w:w="0" w:type="auto"/>
            <w:gridSpan w:val="2"/>
          </w:tcPr>
          <w:p w14:paraId="22617176" w14:textId="1F7D931E" w:rsidR="009F556F" w:rsidRPr="00276598" w:rsidRDefault="009F556F" w:rsidP="00964E0D">
            <w:pPr>
              <w:pStyle w:val="TableText"/>
              <w:rPr>
                <w:b/>
                <w:bCs/>
              </w:rPr>
            </w:pPr>
            <w:r w:rsidRPr="00276598">
              <w:rPr>
                <w:b/>
                <w:bCs/>
                <w:lang w:val="en-US"/>
              </w:rPr>
              <w:t>$</w:t>
            </w:r>
            <w:r w:rsidR="00473D53">
              <w:rPr>
                <w:b/>
                <w:bCs/>
              </w:rPr>
              <w:t xml:space="preserve"> redacted</w:t>
            </w:r>
          </w:p>
        </w:tc>
        <w:tc>
          <w:tcPr>
            <w:tcW w:w="0" w:type="auto"/>
            <w:gridSpan w:val="2"/>
          </w:tcPr>
          <w:p w14:paraId="37E01AA6" w14:textId="2F819867" w:rsidR="009F556F" w:rsidRPr="00276598" w:rsidRDefault="000F38B3" w:rsidP="00964E0D">
            <w:pPr>
              <w:pStyle w:val="TableText"/>
              <w:rPr>
                <w:b/>
                <w:bCs/>
              </w:rPr>
            </w:pPr>
            <w:r w:rsidRPr="00276598">
              <w:rPr>
                <w:b/>
                <w:bCs/>
                <w:lang w:val="en-US"/>
              </w:rPr>
              <w:t>−$</w:t>
            </w:r>
            <w:r w:rsidR="00473D53">
              <w:rPr>
                <w:b/>
                <w:bCs/>
              </w:rPr>
              <w:t xml:space="preserve"> redacted</w:t>
            </w:r>
          </w:p>
        </w:tc>
        <w:tc>
          <w:tcPr>
            <w:tcW w:w="0" w:type="auto"/>
            <w:gridSpan w:val="2"/>
          </w:tcPr>
          <w:p w14:paraId="46112113" w14:textId="05DE78AD" w:rsidR="009F556F" w:rsidRPr="00276598" w:rsidRDefault="001B1568" w:rsidP="00964E0D">
            <w:pPr>
              <w:pStyle w:val="TableText"/>
              <w:rPr>
                <w:b/>
                <w:bCs/>
              </w:rPr>
            </w:pPr>
            <w:r w:rsidRPr="00276598">
              <w:rPr>
                <w:b/>
                <w:bCs/>
              </w:rPr>
              <w:t>−</w:t>
            </w:r>
            <w:r w:rsidR="00B10905">
              <w:rPr>
                <w:b/>
                <w:bCs/>
              </w:rPr>
              <w:t>$</w:t>
            </w:r>
            <w:r w:rsidR="00473D53">
              <w:rPr>
                <w:b/>
                <w:bCs/>
              </w:rPr>
              <w:t xml:space="preserve"> redacted</w:t>
            </w:r>
          </w:p>
        </w:tc>
      </w:tr>
    </w:tbl>
    <w:p w14:paraId="0530ECEC" w14:textId="77777777" w:rsidR="00FA194F" w:rsidRDefault="00FA194F" w:rsidP="00276598">
      <w:pPr>
        <w:pStyle w:val="Tablenotes"/>
      </w:pPr>
      <w:r>
        <w:t>Abbreviations: ASCS, autologous skin cell suspension; LOS, length of stay; STSG, split-thickness skin graft; TBSA, total body surface area</w:t>
      </w:r>
    </w:p>
    <w:p w14:paraId="69D4104D" w14:textId="0B18C6A3" w:rsidR="49EED961" w:rsidRDefault="00FA194F" w:rsidP="49EED961">
      <w:pPr>
        <w:pStyle w:val="Tablenotes"/>
      </w:pPr>
      <w:r>
        <w:t>Source: adapted from ADAR in-line Commentary</w:t>
      </w:r>
    </w:p>
    <w:p w14:paraId="25AE2BAC" w14:textId="34C04099" w:rsidR="00772829" w:rsidRPr="004C18BB" w:rsidRDefault="00772829" w:rsidP="0000493F">
      <w:pPr>
        <w:pStyle w:val="Heading2"/>
        <w:numPr>
          <w:ilvl w:val="0"/>
          <w:numId w:val="15"/>
        </w:numPr>
      </w:pPr>
      <w:bookmarkStart w:id="88" w:name="_Toc69491426"/>
      <w:bookmarkEnd w:id="86"/>
      <w:r w:rsidRPr="004C18BB">
        <w:t>Financial/budgetary impacts</w:t>
      </w:r>
      <w:bookmarkEnd w:id="88"/>
    </w:p>
    <w:p w14:paraId="4FA5B684" w14:textId="53A9C480" w:rsidR="00671237" w:rsidRPr="008737A9" w:rsidRDefault="00570716" w:rsidP="008C7E58">
      <w:r w:rsidRPr="008737A9">
        <w:t xml:space="preserve">The </w:t>
      </w:r>
      <w:r w:rsidR="000A309F" w:rsidRPr="008737A9">
        <w:t>financial impact analysis in the ADAR adopted an epidemiological approach</w:t>
      </w:r>
      <w:r w:rsidR="00515750" w:rsidRPr="008737A9">
        <w:t xml:space="preserve"> </w:t>
      </w:r>
      <w:r w:rsidR="005D6034" w:rsidRPr="008737A9">
        <w:t xml:space="preserve">to </w:t>
      </w:r>
      <w:r w:rsidR="00341B8A" w:rsidRPr="008737A9">
        <w:t xml:space="preserve">inform the </w:t>
      </w:r>
      <w:r w:rsidR="00304E8E" w:rsidRPr="008737A9">
        <w:t xml:space="preserve">utilisation </w:t>
      </w:r>
      <w:r w:rsidR="00341B8A" w:rsidRPr="008737A9">
        <w:t xml:space="preserve">estimates and financial </w:t>
      </w:r>
      <w:r w:rsidR="006B4594" w:rsidRPr="008737A9">
        <w:t xml:space="preserve">impacts </w:t>
      </w:r>
      <w:r w:rsidR="00304E8E" w:rsidRPr="008737A9">
        <w:t xml:space="preserve">of </w:t>
      </w:r>
      <w:r w:rsidR="003851CA">
        <w:t>the</w:t>
      </w:r>
      <w:r w:rsidR="00304E8E" w:rsidRPr="008737A9">
        <w:t xml:space="preserve"> </w:t>
      </w:r>
      <w:r w:rsidR="006B4594" w:rsidRPr="008737A9">
        <w:t xml:space="preserve">proposed listing of </w:t>
      </w:r>
      <w:r w:rsidR="00304E8E" w:rsidRPr="008737A9">
        <w:t>ASCS</w:t>
      </w:r>
      <w:r w:rsidR="006B4594" w:rsidRPr="008737A9">
        <w:t xml:space="preserve"> on the MBS</w:t>
      </w:r>
      <w:r w:rsidR="00304E8E" w:rsidRPr="008737A9">
        <w:t xml:space="preserve">. </w:t>
      </w:r>
      <w:r w:rsidR="00F639A2" w:rsidRPr="008737A9">
        <w:t xml:space="preserve">The proposed </w:t>
      </w:r>
      <w:r w:rsidR="004C212C" w:rsidRPr="008737A9">
        <w:t xml:space="preserve">population was patients with severe burns </w:t>
      </w:r>
      <w:r w:rsidR="00800D0F" w:rsidRPr="008737A9">
        <w:t xml:space="preserve">≥20% TBSA who have sustained DPT and/or FT burn </w:t>
      </w:r>
      <w:r w:rsidR="00103B82" w:rsidRPr="008737A9">
        <w:t xml:space="preserve">wounds that require skin grafting. </w:t>
      </w:r>
      <w:r w:rsidR="007B540E">
        <w:t>Estimates</w:t>
      </w:r>
      <w:r w:rsidR="00992F31" w:rsidRPr="008737A9">
        <w:t xml:space="preserve"> for the number of eligible patients were informed by BRANZ data </w:t>
      </w:r>
      <w:r w:rsidR="000F73C3" w:rsidRPr="008737A9">
        <w:t xml:space="preserve">for patients with burns ≥20% TBSA. </w:t>
      </w:r>
      <w:r w:rsidR="00017064" w:rsidRPr="008737A9">
        <w:t>In addition</w:t>
      </w:r>
      <w:r w:rsidR="001A171F" w:rsidRPr="008737A9">
        <w:t xml:space="preserve"> to these</w:t>
      </w:r>
      <w:r w:rsidR="00ED1989">
        <w:t xml:space="preserve"> data</w:t>
      </w:r>
      <w:r w:rsidR="00017064" w:rsidRPr="008737A9">
        <w:t xml:space="preserve">, </w:t>
      </w:r>
      <w:r w:rsidR="00B70439">
        <w:t>applicant</w:t>
      </w:r>
      <w:r w:rsidR="00ED1989">
        <w:t>-</w:t>
      </w:r>
      <w:r w:rsidR="00BD43D1" w:rsidRPr="008737A9">
        <w:t>estimated</w:t>
      </w:r>
      <w:r w:rsidR="003050EB" w:rsidRPr="008737A9">
        <w:t xml:space="preserve"> </w:t>
      </w:r>
      <w:r w:rsidR="00A62690" w:rsidRPr="008737A9">
        <w:t>uptake of ASCS</w:t>
      </w:r>
      <w:r w:rsidR="462BDD3F">
        <w:t xml:space="preserve"> using</w:t>
      </w:r>
      <w:r w:rsidR="00687E35">
        <w:t xml:space="preserve"> </w:t>
      </w:r>
      <w:r w:rsidR="00B0302D">
        <w:t xml:space="preserve">published data on </w:t>
      </w:r>
      <w:r w:rsidR="00BD43D1" w:rsidRPr="008737A9">
        <w:t xml:space="preserve">private health insurance </w:t>
      </w:r>
      <w:r w:rsidR="00B0302D">
        <w:t>coverage across</w:t>
      </w:r>
      <w:r w:rsidR="00BD43D1" w:rsidRPr="008737A9">
        <w:t xml:space="preserve"> Australia</w:t>
      </w:r>
      <w:r w:rsidR="007D0A4E" w:rsidRPr="008737A9">
        <w:t xml:space="preserve"> (i.e. 55%</w:t>
      </w:r>
      <w:r w:rsidR="001430D6">
        <w:t>;</w:t>
      </w:r>
      <w:r w:rsidR="00B0302D">
        <w:t xml:space="preserve"> assumed to remain stable</w:t>
      </w:r>
      <w:r w:rsidR="007D0A4E" w:rsidRPr="008737A9">
        <w:t xml:space="preserve"> from year</w:t>
      </w:r>
      <w:r w:rsidR="00A05A0A" w:rsidRPr="008737A9">
        <w:t>s 1</w:t>
      </w:r>
      <w:r w:rsidR="00ED1989">
        <w:t>–</w:t>
      </w:r>
      <w:r w:rsidR="00A05A0A" w:rsidRPr="008737A9">
        <w:t>6)</w:t>
      </w:r>
      <w:r w:rsidR="00B0302D">
        <w:t xml:space="preserve">, expert opinion on the </w:t>
      </w:r>
      <w:r w:rsidR="0044228C">
        <w:t>proportion</w:t>
      </w:r>
      <w:r w:rsidR="00B0302D">
        <w:t xml:space="preserve"> of </w:t>
      </w:r>
      <w:r w:rsidR="0044228C">
        <w:t>use of delayed definitive closure items</w:t>
      </w:r>
      <w:r w:rsidR="001B644F">
        <w:t>,</w:t>
      </w:r>
      <w:r w:rsidR="00BD43D1" w:rsidRPr="008737A9">
        <w:t xml:space="preserve"> </w:t>
      </w:r>
      <w:r w:rsidR="0090383D">
        <w:t xml:space="preserve">and a literature-derived estimate of the proportion of </w:t>
      </w:r>
      <w:r w:rsidR="007452ED">
        <w:t xml:space="preserve">ASCS </w:t>
      </w:r>
      <w:r w:rsidR="0044580C">
        <w:t>+ STSG</w:t>
      </w:r>
      <w:r w:rsidR="007452ED">
        <w:t xml:space="preserve"> </w:t>
      </w:r>
      <w:r w:rsidR="0044580C">
        <w:t>use</w:t>
      </w:r>
      <w:r w:rsidR="00777FA7" w:rsidRPr="008737A9">
        <w:t xml:space="preserve"> </w:t>
      </w:r>
      <w:r w:rsidR="00BE0ECF">
        <w:t>were</w:t>
      </w:r>
      <w:r w:rsidR="6E1E353C">
        <w:t xml:space="preserve"> also</w:t>
      </w:r>
      <w:r w:rsidR="00BE0ECF">
        <w:t xml:space="preserve"> included.</w:t>
      </w:r>
      <w:r w:rsidR="00777FA7">
        <w:t xml:space="preserve"> </w:t>
      </w:r>
      <w:r w:rsidR="001A171F" w:rsidRPr="008737A9">
        <w:t xml:space="preserve">The </w:t>
      </w:r>
      <w:r w:rsidR="00B70439">
        <w:t>applicant</w:t>
      </w:r>
      <w:r w:rsidR="00D54208">
        <w:t>-</w:t>
      </w:r>
      <w:r w:rsidR="001A171F" w:rsidRPr="008737A9">
        <w:t>estimated u</w:t>
      </w:r>
      <w:r w:rsidR="00777FA7" w:rsidRPr="008737A9">
        <w:t xml:space="preserve">ptake of ASCS was </w:t>
      </w:r>
      <w:r w:rsidR="00C72453" w:rsidRPr="008737A9">
        <w:t>50% in year 1</w:t>
      </w:r>
      <w:r w:rsidR="00764287">
        <w:t>,</w:t>
      </w:r>
      <w:r w:rsidR="00C26ABB" w:rsidRPr="008737A9">
        <w:t xml:space="preserve"> increasing to 80% in year</w:t>
      </w:r>
      <w:r w:rsidR="005165A9" w:rsidRPr="008737A9">
        <w:t>s</w:t>
      </w:r>
      <w:r w:rsidR="00C26ABB" w:rsidRPr="008737A9">
        <w:t xml:space="preserve"> 4</w:t>
      </w:r>
      <w:r w:rsidR="00D54208">
        <w:t>–</w:t>
      </w:r>
      <w:r w:rsidR="00C26ABB" w:rsidRPr="008737A9">
        <w:t>6</w:t>
      </w:r>
      <w:r w:rsidR="005165A9" w:rsidRPr="008737A9">
        <w:t xml:space="preserve">. </w:t>
      </w:r>
    </w:p>
    <w:p w14:paraId="440EBABA" w14:textId="1DC81606" w:rsidR="00044EF2" w:rsidRPr="00BD1B04" w:rsidRDefault="00DB334A" w:rsidP="00DB46FF">
      <w:pPr>
        <w:pStyle w:val="Heading3nonumbers"/>
      </w:pPr>
      <w:r w:rsidRPr="00472940">
        <w:t>Estimated use and financial impact to the MBS</w:t>
      </w:r>
    </w:p>
    <w:p w14:paraId="07EA8E2D" w14:textId="0C962FF1" w:rsidR="00BE648D" w:rsidRDefault="00055785" w:rsidP="008C7E58">
      <w:r w:rsidRPr="008737A9">
        <w:t xml:space="preserve">The </w:t>
      </w:r>
      <w:r w:rsidR="00B617AF">
        <w:t>expected</w:t>
      </w:r>
      <w:r w:rsidR="00B87370" w:rsidRPr="008737A9">
        <w:t xml:space="preserve"> use of ASCS</w:t>
      </w:r>
      <w:r w:rsidR="00D54208">
        <w:t xml:space="preserve"> </w:t>
      </w:r>
      <w:r w:rsidR="00AC0CC1">
        <w:t>±</w:t>
      </w:r>
      <w:r w:rsidR="00D54208">
        <w:t xml:space="preserve"> </w:t>
      </w:r>
      <w:r w:rsidR="00AC0CC1">
        <w:t>STSG</w:t>
      </w:r>
      <w:r w:rsidR="00956DFF" w:rsidRPr="008737A9">
        <w:t xml:space="preserve"> or STSG</w:t>
      </w:r>
      <w:r w:rsidR="00B87370" w:rsidRPr="008737A9">
        <w:t xml:space="preserve"> </w:t>
      </w:r>
      <w:r w:rsidR="00D54208">
        <w:t>alone</w:t>
      </w:r>
      <w:r w:rsidR="00B87370" w:rsidRPr="008737A9">
        <w:t xml:space="preserve"> </w:t>
      </w:r>
      <w:r w:rsidR="00ED4B66">
        <w:t>under</w:t>
      </w:r>
      <w:r w:rsidR="00437BEA" w:rsidRPr="008737A9">
        <w:t xml:space="preserve"> existing MBS items for temporary or </w:t>
      </w:r>
      <w:r w:rsidR="00086F5C" w:rsidRPr="008737A9">
        <w:t xml:space="preserve">immediate wound closure </w:t>
      </w:r>
      <w:r w:rsidR="00ED4B66">
        <w:t>(</w:t>
      </w:r>
      <w:r w:rsidR="00681D6F" w:rsidRPr="008737A9">
        <w:t>item</w:t>
      </w:r>
      <w:r w:rsidR="00ED4B66">
        <w:t>s</w:t>
      </w:r>
      <w:r w:rsidR="00681D6F" w:rsidRPr="008737A9">
        <w:t xml:space="preserve"> 46117</w:t>
      </w:r>
      <w:r w:rsidR="009F18E9">
        <w:t>–</w:t>
      </w:r>
      <w:r w:rsidR="00681D6F" w:rsidRPr="008737A9">
        <w:t>46123</w:t>
      </w:r>
      <w:r w:rsidR="00ED4B66">
        <w:t>)</w:t>
      </w:r>
      <w:r w:rsidR="00681D6F" w:rsidRPr="008737A9">
        <w:t xml:space="preserve"> and delayed definitive wound closure </w:t>
      </w:r>
      <w:r w:rsidR="00ED4B66">
        <w:t>(</w:t>
      </w:r>
      <w:r w:rsidR="003F3264" w:rsidRPr="008737A9">
        <w:t>items 46134</w:t>
      </w:r>
      <w:r w:rsidR="00D54208">
        <w:t>,</w:t>
      </w:r>
      <w:r w:rsidR="003F3264" w:rsidRPr="008737A9">
        <w:t xml:space="preserve"> 46135</w:t>
      </w:r>
      <w:r w:rsidR="00ED4B66">
        <w:t xml:space="preserve">) </w:t>
      </w:r>
      <w:r w:rsidR="00DB0ED2">
        <w:t xml:space="preserve">was </w:t>
      </w:r>
      <w:r w:rsidR="00B617AF">
        <w:t>estimated in the ADAR</w:t>
      </w:r>
      <w:r w:rsidR="003F3264" w:rsidRPr="008737A9">
        <w:t xml:space="preserve">. </w:t>
      </w:r>
      <w:r w:rsidR="00C211FC">
        <w:t>The estimated</w:t>
      </w:r>
      <w:r w:rsidR="00900D87">
        <w:t xml:space="preserve"> annual</w:t>
      </w:r>
      <w:r w:rsidR="00C211FC">
        <w:t xml:space="preserve"> number of </w:t>
      </w:r>
      <w:r w:rsidR="00CE4509">
        <w:t xml:space="preserve">private health </w:t>
      </w:r>
      <w:r w:rsidR="00942EF9">
        <w:t xml:space="preserve">insurance </w:t>
      </w:r>
      <w:r w:rsidR="00C211FC">
        <w:t>p</w:t>
      </w:r>
      <w:r w:rsidR="00AD2B5B">
        <w:t>atients</w:t>
      </w:r>
      <w:r w:rsidR="005638E2">
        <w:t xml:space="preserve"> experiencing severe burn</w:t>
      </w:r>
      <w:r w:rsidR="000200E0">
        <w:t>s</w:t>
      </w:r>
      <w:r w:rsidR="005638E2">
        <w:t xml:space="preserve"> </w:t>
      </w:r>
      <w:r w:rsidR="00F24768">
        <w:t>(≥20% TBSA burn</w:t>
      </w:r>
      <w:r w:rsidR="009C1BAD">
        <w:t>ed</w:t>
      </w:r>
      <w:r w:rsidR="00A3053F">
        <w:t>)</w:t>
      </w:r>
      <w:r w:rsidR="00F24768">
        <w:t xml:space="preserve"> </w:t>
      </w:r>
      <w:r w:rsidR="00900D87">
        <w:t>reflected the eligible population</w:t>
      </w:r>
      <w:r w:rsidR="00562DB1">
        <w:t>.</w:t>
      </w:r>
      <w:r w:rsidR="00B15AA1">
        <w:t xml:space="preserve"> </w:t>
      </w:r>
      <w:r w:rsidR="000E69B0">
        <w:t>Uptake of ASCS ± STSG was then estimated as a percent</w:t>
      </w:r>
      <w:r w:rsidR="00CD2BD9">
        <w:t>age</w:t>
      </w:r>
      <w:r w:rsidR="000E69B0">
        <w:t xml:space="preserve"> of this eligible population</w:t>
      </w:r>
      <w:r w:rsidR="00CD2BD9">
        <w:t>,</w:t>
      </w:r>
      <w:r w:rsidR="000E69B0">
        <w:t xml:space="preserve"> based on the </w:t>
      </w:r>
      <w:r w:rsidR="00B70439">
        <w:t>applicant’s</w:t>
      </w:r>
      <w:r w:rsidR="000E69B0">
        <w:t xml:space="preserve"> uptake estimates.</w:t>
      </w:r>
      <w:r w:rsidR="003F3264" w:rsidRPr="008737A9">
        <w:t xml:space="preserve"> </w:t>
      </w:r>
      <w:r w:rsidR="00F51C3B">
        <w:t xml:space="preserve">All patients incurred the cost </w:t>
      </w:r>
      <w:r w:rsidR="007B3B7D">
        <w:t xml:space="preserve">of an immediate or </w:t>
      </w:r>
      <w:r w:rsidR="00F51C3B">
        <w:t>temporary wound closure</w:t>
      </w:r>
      <w:r w:rsidR="000F6262">
        <w:t xml:space="preserve">. </w:t>
      </w:r>
      <w:r w:rsidR="003A7E29">
        <w:t xml:space="preserve">Based on </w:t>
      </w:r>
      <w:r w:rsidR="007C7A8D">
        <w:t>the</w:t>
      </w:r>
      <w:r w:rsidR="003A7E29">
        <w:t xml:space="preserve"> expert opinion </w:t>
      </w:r>
      <w:r w:rsidR="00A92A33">
        <w:t>presented in</w:t>
      </w:r>
      <w:r w:rsidR="003A7E29">
        <w:t xml:space="preserve"> the ADAR, 25% </w:t>
      </w:r>
      <w:r w:rsidR="00845550">
        <w:t xml:space="preserve">of patients </w:t>
      </w:r>
      <w:r w:rsidR="00F42D6B">
        <w:t xml:space="preserve">with </w:t>
      </w:r>
      <w:r w:rsidR="00BA2F68">
        <w:t xml:space="preserve">burns </w:t>
      </w:r>
      <w:r w:rsidR="0034173E" w:rsidRPr="00A41E43">
        <w:t>≥20%</w:t>
      </w:r>
      <w:r w:rsidR="00A6685D" w:rsidRPr="006527C9">
        <w:t xml:space="preserve"> but &lt;30%</w:t>
      </w:r>
      <w:r w:rsidR="0034173E" w:rsidRPr="00A41E43">
        <w:t xml:space="preserve"> TBSA </w:t>
      </w:r>
      <w:r w:rsidR="003A7E29" w:rsidRPr="00A41E43">
        <w:t>an</w:t>
      </w:r>
      <w:r w:rsidR="002739E8" w:rsidRPr="00A41E43">
        <w:t xml:space="preserve">d 75% of patients with </w:t>
      </w:r>
      <w:r w:rsidR="004E3065" w:rsidRPr="00A41E43">
        <w:t>burns ≥30%</w:t>
      </w:r>
      <w:r w:rsidR="00E70C9C" w:rsidRPr="00A41E43">
        <w:t xml:space="preserve"> TBSA</w:t>
      </w:r>
      <w:r w:rsidR="004E3065" w:rsidRPr="00A41E43" w:rsidDel="00E70C9C">
        <w:t>,</w:t>
      </w:r>
      <w:r w:rsidR="004E3065">
        <w:t xml:space="preserve"> were assumed to also require </w:t>
      </w:r>
      <w:r w:rsidR="00323581">
        <w:t>a delayed wou</w:t>
      </w:r>
      <w:r w:rsidR="009A675D">
        <w:t>n</w:t>
      </w:r>
      <w:r w:rsidR="00323581">
        <w:t>d closure item</w:t>
      </w:r>
      <w:r w:rsidR="00BE648D">
        <w:t>.</w:t>
      </w:r>
      <w:r w:rsidR="00F51C3B">
        <w:t xml:space="preserve"> </w:t>
      </w:r>
    </w:p>
    <w:p w14:paraId="6F73B7A6" w14:textId="4AFAACFD" w:rsidR="00671237" w:rsidRPr="008737A9" w:rsidRDefault="004A3B13" w:rsidP="008C7E58">
      <w:r>
        <w:t>E</w:t>
      </w:r>
      <w:r w:rsidR="00A34EC2">
        <w:t>xpected</w:t>
      </w:r>
      <w:r w:rsidR="00D959D3" w:rsidRPr="008737A9">
        <w:t xml:space="preserve"> </w:t>
      </w:r>
      <w:r w:rsidR="00994AC1" w:rsidRPr="008737A9">
        <w:t xml:space="preserve">utilisation of </w:t>
      </w:r>
      <w:r w:rsidR="00B37C4F" w:rsidRPr="008737A9">
        <w:t xml:space="preserve">the proposed modifier item </w:t>
      </w:r>
      <w:r w:rsidR="00CA1F30">
        <w:t xml:space="preserve">(to be claimed when </w:t>
      </w:r>
      <w:r w:rsidR="00B37C4F" w:rsidRPr="008737A9">
        <w:t xml:space="preserve">ASCS </w:t>
      </w:r>
      <w:r w:rsidR="00CA1F30">
        <w:t>is used</w:t>
      </w:r>
      <w:r w:rsidR="00B37C4F" w:rsidRPr="008737A9">
        <w:t xml:space="preserve"> in </w:t>
      </w:r>
      <w:r w:rsidR="00354CF5" w:rsidRPr="008737A9">
        <w:t>combination with STSG</w:t>
      </w:r>
      <w:r w:rsidR="00A83C63">
        <w:t>)</w:t>
      </w:r>
      <w:r w:rsidR="002C24FE">
        <w:t xml:space="preserve"> was </w:t>
      </w:r>
      <w:r w:rsidR="005D79FE">
        <w:t>also</w:t>
      </w:r>
      <w:r w:rsidR="002C24FE">
        <w:t xml:space="preserve"> estimated</w:t>
      </w:r>
      <w:r w:rsidR="005D79FE">
        <w:t xml:space="preserve"> in the ADAR</w:t>
      </w:r>
      <w:r w:rsidR="000A484F">
        <w:t xml:space="preserve"> as a proportion of estimate</w:t>
      </w:r>
      <w:r w:rsidR="005C2636">
        <w:t>d</w:t>
      </w:r>
      <w:r w:rsidR="000A484F">
        <w:t xml:space="preserve"> ASCS ± STSG use</w:t>
      </w:r>
      <w:r w:rsidR="0020248E" w:rsidRPr="008737A9">
        <w:t>.</w:t>
      </w:r>
      <w:r w:rsidR="00BA5CAE">
        <w:t xml:space="preserve"> </w:t>
      </w:r>
      <w:r w:rsidR="00721F10">
        <w:t>This modifier item</w:t>
      </w:r>
      <w:r w:rsidR="008A5F72">
        <w:t xml:space="preserve"> was valued at</w:t>
      </w:r>
      <w:r w:rsidR="00BA5CAE">
        <w:t xml:space="preserve"> </w:t>
      </w:r>
      <w:r w:rsidR="008A5F72">
        <w:t>an</w:t>
      </w:r>
      <w:r w:rsidR="00BA5CAE">
        <w:t xml:space="preserve"> </w:t>
      </w:r>
      <w:r w:rsidR="00E12A0D">
        <w:t xml:space="preserve">additional </w:t>
      </w:r>
      <w:r w:rsidR="00F775DA">
        <w:t xml:space="preserve">fee of </w:t>
      </w:r>
      <w:r w:rsidR="003046C5">
        <w:t>15% o</w:t>
      </w:r>
      <w:r w:rsidR="008074DB">
        <w:t>f</w:t>
      </w:r>
      <w:r w:rsidR="003046C5">
        <w:t xml:space="preserve"> the </w:t>
      </w:r>
      <w:r w:rsidR="00767FA8">
        <w:t>value of the</w:t>
      </w:r>
      <w:r w:rsidR="003046C5">
        <w:t xml:space="preserve"> </w:t>
      </w:r>
      <w:r w:rsidR="00E12A0D">
        <w:t>definitive wound closure item claimed</w:t>
      </w:r>
      <w:r w:rsidR="00921BC8">
        <w:t>.</w:t>
      </w:r>
      <w:r w:rsidR="003046C5">
        <w:t xml:space="preserve"> </w:t>
      </w:r>
    </w:p>
    <w:p w14:paraId="237233AB" w14:textId="256EB1B1" w:rsidR="00EB28BA" w:rsidRDefault="005C310A" w:rsidP="008C7E58">
      <w:r w:rsidRPr="008737A9">
        <w:t xml:space="preserve">The estimated total cost </w:t>
      </w:r>
      <w:r w:rsidR="003D41E2" w:rsidRPr="003D41E2">
        <w:t>to the MBS</w:t>
      </w:r>
      <w:r w:rsidRPr="008737A9">
        <w:t xml:space="preserve"> </w:t>
      </w:r>
      <w:r w:rsidR="000962F6" w:rsidRPr="008737A9">
        <w:t xml:space="preserve">of </w:t>
      </w:r>
      <w:r w:rsidR="0092189F" w:rsidRPr="008737A9">
        <w:t xml:space="preserve">the </w:t>
      </w:r>
      <w:r w:rsidR="007250E3">
        <w:t>amended MBS items</w:t>
      </w:r>
      <w:r w:rsidR="005B222C" w:rsidRPr="008737A9">
        <w:t xml:space="preserve"> at 75% </w:t>
      </w:r>
      <w:r w:rsidR="001F3B0E" w:rsidRPr="008737A9">
        <w:t>benefit</w:t>
      </w:r>
      <w:r w:rsidR="001F3B0E" w:rsidRPr="00937401">
        <w:t xml:space="preserve"> </w:t>
      </w:r>
      <w:r w:rsidR="009D50E3">
        <w:t>was</w:t>
      </w:r>
      <w:r w:rsidR="001F3B0E" w:rsidRPr="008737A9">
        <w:t xml:space="preserve"> </w:t>
      </w:r>
      <w:r w:rsidR="00730F5A" w:rsidRPr="008737A9">
        <w:t>$220,009</w:t>
      </w:r>
      <w:r w:rsidR="00EE36AC">
        <w:t>.</w:t>
      </w:r>
      <w:r w:rsidR="00730F5A" w:rsidRPr="008737A9">
        <w:t xml:space="preserve"> </w:t>
      </w:r>
      <w:r w:rsidR="00EE36AC">
        <w:t xml:space="preserve">This figure </w:t>
      </w:r>
      <w:r w:rsidR="009D50E3">
        <w:t>was</w:t>
      </w:r>
      <w:r w:rsidR="004B1ED6" w:rsidRPr="008737A9">
        <w:t xml:space="preserve"> </w:t>
      </w:r>
      <w:r w:rsidR="00EE36AC">
        <w:t>predicted</w:t>
      </w:r>
      <w:r w:rsidR="00EE36AC" w:rsidRPr="008737A9">
        <w:t xml:space="preserve"> </w:t>
      </w:r>
      <w:r w:rsidR="004B1ED6" w:rsidRPr="008737A9">
        <w:t xml:space="preserve">to </w:t>
      </w:r>
      <w:r w:rsidR="00B7431A" w:rsidRPr="008737A9">
        <w:t xml:space="preserve">be </w:t>
      </w:r>
      <w:r w:rsidR="003E0BB6" w:rsidRPr="008737A9">
        <w:t>consistent</w:t>
      </w:r>
      <w:r w:rsidR="00B7431A" w:rsidRPr="008737A9">
        <w:t xml:space="preserve"> across </w:t>
      </w:r>
      <w:r w:rsidR="000768F1" w:rsidRPr="008737A9">
        <w:t>years 1</w:t>
      </w:r>
      <w:r w:rsidR="003D41E2">
        <w:t>–</w:t>
      </w:r>
      <w:r w:rsidR="000768F1" w:rsidRPr="008737A9">
        <w:t>6</w:t>
      </w:r>
      <w:r w:rsidR="00EE36AC">
        <w:t xml:space="preserve"> of the analysis</w:t>
      </w:r>
      <w:r w:rsidR="00856F66" w:rsidRPr="008737A9">
        <w:t xml:space="preserve">, given that </w:t>
      </w:r>
      <w:r w:rsidR="00894AA8" w:rsidRPr="008737A9">
        <w:t xml:space="preserve">the number of patients </w:t>
      </w:r>
      <w:r w:rsidR="00271654">
        <w:t>with</w:t>
      </w:r>
      <w:r w:rsidR="00950D75" w:rsidRPr="008737A9">
        <w:t xml:space="preserve"> severe burns </w:t>
      </w:r>
      <w:r w:rsidR="00271654">
        <w:t>(</w:t>
      </w:r>
      <w:r w:rsidR="003E0BB6" w:rsidRPr="008737A9">
        <w:t>≥20% TBSA</w:t>
      </w:r>
      <w:r w:rsidR="00271654">
        <w:t>)</w:t>
      </w:r>
      <w:r w:rsidR="003E0BB6" w:rsidRPr="008737A9">
        <w:t xml:space="preserve"> </w:t>
      </w:r>
      <w:r w:rsidR="00E008A2">
        <w:t>is</w:t>
      </w:r>
      <w:r w:rsidR="003E0BB6" w:rsidRPr="008737A9">
        <w:t xml:space="preserve"> expected to remain relatively stable.</w:t>
      </w:r>
      <w:r w:rsidR="00D8382B" w:rsidRPr="008737A9">
        <w:t xml:space="preserve"> </w:t>
      </w:r>
      <w:r w:rsidR="00FD2816">
        <w:t>T</w:t>
      </w:r>
      <w:r w:rsidR="00FD2816" w:rsidRPr="00FD2816">
        <w:t>he estimated annual cost of $220,009 reflects the estimate</w:t>
      </w:r>
      <w:r w:rsidR="00FC4BA0">
        <w:t>d</w:t>
      </w:r>
      <w:r w:rsidR="00FD2816" w:rsidRPr="00FD2816">
        <w:t xml:space="preserve"> costs for use of MBS items 46117</w:t>
      </w:r>
      <w:r w:rsidR="00FC4BA0">
        <w:t>–</w:t>
      </w:r>
      <w:r w:rsidR="00FD2816" w:rsidRPr="00FD2816">
        <w:lastRenderedPageBreak/>
        <w:t>46135</w:t>
      </w:r>
      <w:r w:rsidR="00FC4BA0">
        <w:t>,</w:t>
      </w:r>
      <w:r w:rsidR="00FD2816" w:rsidRPr="00FD2816">
        <w:t xml:space="preserve"> irrespective of intervention type (i.e. not only for use of </w:t>
      </w:r>
      <w:r w:rsidR="004F6347">
        <w:t>the intervention [</w:t>
      </w:r>
      <w:r w:rsidR="00FD2816" w:rsidRPr="00FD2816">
        <w:t>ASCS or ASCS in combination with STSG</w:t>
      </w:r>
      <w:r w:rsidR="004F6347">
        <w:t>]</w:t>
      </w:r>
      <w:r w:rsidR="00FD2816" w:rsidRPr="00FD2816">
        <w:t xml:space="preserve">, but also </w:t>
      </w:r>
      <w:r w:rsidR="00FC4BA0">
        <w:t xml:space="preserve">for </w:t>
      </w:r>
      <w:r w:rsidR="00FD2816" w:rsidRPr="00FD2816">
        <w:t xml:space="preserve">use of </w:t>
      </w:r>
      <w:r w:rsidR="004F6347">
        <w:t>the comparator [</w:t>
      </w:r>
      <w:r w:rsidR="00FD2816" w:rsidRPr="00FD2816">
        <w:t>STSG alone</w:t>
      </w:r>
      <w:r w:rsidR="004F6347">
        <w:t>]</w:t>
      </w:r>
      <w:r w:rsidR="00FD2816" w:rsidRPr="00FD2816">
        <w:t>)</w:t>
      </w:r>
      <w:r w:rsidR="0098750D">
        <w:t>.</w:t>
      </w:r>
      <w:r w:rsidR="00FD2816" w:rsidRPr="00FD2816">
        <w:t xml:space="preserve"> </w:t>
      </w:r>
      <w:r w:rsidR="0098750D">
        <w:t xml:space="preserve">Overall, the net cost to the MBS </w:t>
      </w:r>
      <w:r w:rsidR="00791FE9">
        <w:t xml:space="preserve">for these existing MBS items </w:t>
      </w:r>
      <w:r w:rsidR="00E96967">
        <w:t>was estimated to be $0,</w:t>
      </w:r>
      <w:r w:rsidR="001D690B">
        <w:t xml:space="preserve"> </w:t>
      </w:r>
      <w:r w:rsidR="0051669A">
        <w:t>with no expected increase in the size of the eligible or treated populations</w:t>
      </w:r>
      <w:r w:rsidR="00A0407B">
        <w:t>.</w:t>
      </w:r>
      <w:r w:rsidR="00E96967">
        <w:t xml:space="preserve"> </w:t>
      </w:r>
    </w:p>
    <w:p w14:paraId="21C7B064" w14:textId="0C87E813" w:rsidR="00A15DAF" w:rsidRDefault="00EB28BA" w:rsidP="008C7E58">
      <w:r>
        <w:t>The</w:t>
      </w:r>
      <w:r w:rsidR="00512490">
        <w:t xml:space="preserve"> </w:t>
      </w:r>
      <w:r w:rsidR="00D8382B" w:rsidRPr="008737A9">
        <w:t xml:space="preserve">estimated additional cost to the MBS of the proposed </w:t>
      </w:r>
      <w:r w:rsidR="00463FE2" w:rsidRPr="008737A9">
        <w:t>modifier</w:t>
      </w:r>
      <w:r w:rsidR="00D8382B" w:rsidRPr="008737A9">
        <w:t xml:space="preserve"> item</w:t>
      </w:r>
      <w:r w:rsidR="00B03C71">
        <w:t>, as</w:t>
      </w:r>
      <w:r w:rsidR="00D8382B" w:rsidRPr="008737A9">
        <w:t xml:space="preserve"> </w:t>
      </w:r>
      <w:r w:rsidR="00285701">
        <w:t xml:space="preserve">calculated </w:t>
      </w:r>
      <w:r w:rsidR="008012DD">
        <w:t>in the ADAR</w:t>
      </w:r>
      <w:r w:rsidR="00C704FA" w:rsidRPr="008737A9">
        <w:t xml:space="preserve"> </w:t>
      </w:r>
      <w:r w:rsidR="008012DD">
        <w:t>(</w:t>
      </w:r>
      <w:r w:rsidR="00C704FA" w:rsidRPr="008737A9">
        <w:t>75% benefit</w:t>
      </w:r>
      <w:r w:rsidR="008012DD">
        <w:t>)</w:t>
      </w:r>
      <w:r w:rsidR="00285701">
        <w:t>,</w:t>
      </w:r>
      <w:r w:rsidR="00C704FA" w:rsidRPr="008737A9">
        <w:t xml:space="preserve"> </w:t>
      </w:r>
      <w:r w:rsidR="008012DD">
        <w:t>wa</w:t>
      </w:r>
      <w:r w:rsidR="00C704FA" w:rsidRPr="008737A9">
        <w:t>s $10,</w:t>
      </w:r>
      <w:r w:rsidR="003962FC" w:rsidRPr="008737A9">
        <w:t>871 in year 1</w:t>
      </w:r>
      <w:r w:rsidR="00285701">
        <w:t>,</w:t>
      </w:r>
      <w:r w:rsidR="003962FC" w:rsidRPr="008737A9">
        <w:t xml:space="preserve"> increasing to $17,260 in year 6</w:t>
      </w:r>
      <w:r w:rsidR="00E83934">
        <w:t xml:space="preserve">, </w:t>
      </w:r>
      <w:r w:rsidR="000B7A99">
        <w:t>with this increase driven by the assumed increased uptake of the intervention over time</w:t>
      </w:r>
      <w:r w:rsidR="000B7A99" w:rsidRPr="00937401">
        <w:t>.</w:t>
      </w:r>
      <w:r w:rsidR="007E41E4" w:rsidRPr="008737A9">
        <w:t xml:space="preserve"> </w:t>
      </w:r>
      <w:r w:rsidR="005F32B1" w:rsidRPr="008737A9">
        <w:t xml:space="preserve">The </w:t>
      </w:r>
      <w:r w:rsidR="007A40D2" w:rsidRPr="008737A9">
        <w:t xml:space="preserve">net financial impact </w:t>
      </w:r>
      <w:r w:rsidR="00D30E4E" w:rsidRPr="008737A9">
        <w:t xml:space="preserve">of </w:t>
      </w:r>
      <w:r w:rsidR="00202EA8" w:rsidRPr="008737A9">
        <w:t xml:space="preserve">ASCS </w:t>
      </w:r>
      <w:r w:rsidR="0043536E" w:rsidRPr="008737A9">
        <w:t xml:space="preserve">will </w:t>
      </w:r>
      <w:r w:rsidR="00A31550" w:rsidRPr="008737A9">
        <w:t xml:space="preserve">be </w:t>
      </w:r>
      <w:r w:rsidR="001652A7" w:rsidRPr="008737A9">
        <w:t xml:space="preserve">incurred due to the addition of </w:t>
      </w:r>
      <w:r w:rsidR="0051781E">
        <w:t xml:space="preserve">the </w:t>
      </w:r>
      <w:r w:rsidR="00840C2C" w:rsidRPr="008737A9">
        <w:t xml:space="preserve">modifier item when </w:t>
      </w:r>
      <w:r w:rsidR="00983CE4" w:rsidRPr="008737A9">
        <w:t xml:space="preserve">ASCS and STSG </w:t>
      </w:r>
      <w:r w:rsidR="009A0202">
        <w:t>are</w:t>
      </w:r>
      <w:r w:rsidR="00446A4D" w:rsidRPr="008737A9">
        <w:t xml:space="preserve"> used in combination</w:t>
      </w:r>
      <w:r w:rsidR="00722ADE" w:rsidRPr="008737A9">
        <w:t>. As such, the</w:t>
      </w:r>
      <w:r w:rsidR="0082501B" w:rsidRPr="008737A9">
        <w:t xml:space="preserve"> cost to </w:t>
      </w:r>
      <w:r w:rsidR="0014600C" w:rsidRPr="008737A9">
        <w:t xml:space="preserve">the MBS </w:t>
      </w:r>
      <w:r w:rsidR="00913B00" w:rsidRPr="008737A9">
        <w:t xml:space="preserve">of the proposed modifier item </w:t>
      </w:r>
      <w:r w:rsidR="00BD2BBE" w:rsidRPr="008737A9">
        <w:t xml:space="preserve">at 75% benefit is equivalent to the </w:t>
      </w:r>
      <w:r w:rsidR="00533164" w:rsidRPr="008737A9">
        <w:t>net financial impact</w:t>
      </w:r>
      <w:r w:rsidR="00414837">
        <w:t xml:space="preserve"> presented in the ADAR</w:t>
      </w:r>
      <w:r w:rsidR="00533164" w:rsidRPr="008737A9">
        <w:t xml:space="preserve">. </w:t>
      </w:r>
    </w:p>
    <w:p w14:paraId="68AE5040" w14:textId="4F3785E6" w:rsidR="00A562BE" w:rsidRDefault="00D428B9" w:rsidP="00A562BE">
      <w:r w:rsidRPr="00574CBB">
        <w:t xml:space="preserve">The financial implications to the </w:t>
      </w:r>
      <w:r w:rsidR="004A50D5" w:rsidRPr="008737A9">
        <w:t xml:space="preserve">MBS </w:t>
      </w:r>
      <w:r w:rsidRPr="00574CBB">
        <w:t xml:space="preserve">resulting from the proposed listing of </w:t>
      </w:r>
      <w:r w:rsidR="00E56546" w:rsidRPr="00574CBB">
        <w:t>ASCS</w:t>
      </w:r>
      <w:r w:rsidRPr="00574CBB">
        <w:t xml:space="preserve"> are summarised in</w:t>
      </w:r>
      <w:r w:rsidRPr="00574CBB" w:rsidDel="00B1614F">
        <w:t xml:space="preserve"> </w:t>
      </w:r>
      <w:r w:rsidR="00B1614F" w:rsidRPr="00937401">
        <w:fldChar w:fldCharType="begin"/>
      </w:r>
      <w:r w:rsidR="00B1614F" w:rsidRPr="00937401">
        <w:instrText xml:space="preserve"> REF _Ref194070447 \h </w:instrText>
      </w:r>
      <w:r w:rsidR="007555C2" w:rsidRPr="00937401">
        <w:instrText xml:space="preserve"> \* MERGEFORMAT </w:instrText>
      </w:r>
      <w:r w:rsidR="00B1614F" w:rsidRPr="00937401">
        <w:fldChar w:fldCharType="separate"/>
      </w:r>
      <w:r w:rsidR="00487E4A" w:rsidRPr="00761FC9">
        <w:t>Table </w:t>
      </w:r>
      <w:r w:rsidR="00487E4A" w:rsidRPr="00487E4A">
        <w:t>20</w:t>
      </w:r>
      <w:r w:rsidR="00B1614F" w:rsidRPr="00937401">
        <w:fldChar w:fldCharType="end"/>
      </w:r>
      <w:r w:rsidRPr="00DC0BA4">
        <w:t>.</w:t>
      </w:r>
      <w:r w:rsidRPr="00574CBB">
        <w:t xml:space="preserve"> </w:t>
      </w:r>
    </w:p>
    <w:p w14:paraId="785013D1" w14:textId="1B1635C8" w:rsidR="00731B68" w:rsidRPr="00731B68" w:rsidRDefault="00731B68" w:rsidP="00747C01">
      <w:pPr>
        <w:pStyle w:val="TableHeading0"/>
      </w:pPr>
      <w:bookmarkStart w:id="89" w:name="_Ref194070447"/>
      <w:r w:rsidRPr="00761FC9">
        <w:t>Table </w:t>
      </w:r>
      <w:r w:rsidRPr="00761FC9">
        <w:fldChar w:fldCharType="begin"/>
      </w:r>
      <w:r w:rsidRPr="00761FC9">
        <w:rPr>
          <w:szCs w:val="20"/>
        </w:rPr>
        <w:instrText xml:space="preserve"> SEQ Table \* ARABIC </w:instrText>
      </w:r>
      <w:r w:rsidRPr="00761FC9">
        <w:fldChar w:fldCharType="separate"/>
      </w:r>
      <w:r w:rsidR="00487E4A">
        <w:rPr>
          <w:noProof/>
          <w:szCs w:val="20"/>
        </w:rPr>
        <w:t>20</w:t>
      </w:r>
      <w:r w:rsidRPr="00761FC9">
        <w:fldChar w:fldCharType="end"/>
      </w:r>
      <w:bookmarkEnd w:id="89"/>
      <w:r w:rsidR="00B903EF">
        <w:t>:</w:t>
      </w:r>
      <w:r w:rsidR="00C825ED">
        <w:t xml:space="preserve"> Net</w:t>
      </w:r>
      <w:r w:rsidRPr="00F65B89">
        <w:t xml:space="preserve"> financial implications of ASCS to the MBS</w:t>
      </w:r>
    </w:p>
    <w:tbl>
      <w:tblPr>
        <w:tblStyle w:val="TableGrid1"/>
        <w:tblW w:w="5000" w:type="pct"/>
        <w:tblLook w:val="04A0" w:firstRow="1" w:lastRow="0" w:firstColumn="1" w:lastColumn="0" w:noHBand="0" w:noVBand="1"/>
      </w:tblPr>
      <w:tblGrid>
        <w:gridCol w:w="2964"/>
        <w:gridCol w:w="1008"/>
        <w:gridCol w:w="1010"/>
        <w:gridCol w:w="1010"/>
        <w:gridCol w:w="1008"/>
        <w:gridCol w:w="1010"/>
        <w:gridCol w:w="1006"/>
      </w:tblGrid>
      <w:tr w:rsidR="00A86F32" w:rsidRPr="00D76459" w14:paraId="54BC6821" w14:textId="77777777" w:rsidTr="00E44DE7">
        <w:trPr>
          <w:cnfStyle w:val="100000000000" w:firstRow="1" w:lastRow="0" w:firstColumn="0" w:lastColumn="0" w:oddVBand="0" w:evenVBand="0" w:oddHBand="0" w:evenHBand="0" w:firstRowFirstColumn="0" w:firstRowLastColumn="0" w:lastRowFirstColumn="0" w:lastRowLastColumn="0"/>
          <w:tblHeader/>
        </w:trPr>
        <w:tc>
          <w:tcPr>
            <w:tcW w:w="1644" w:type="pct"/>
          </w:tcPr>
          <w:p w14:paraId="1323BD21" w14:textId="77777777" w:rsidR="00A86F32" w:rsidRPr="000E7210" w:rsidRDefault="00A86F32" w:rsidP="001F4052">
            <w:pPr>
              <w:pStyle w:val="TableText"/>
              <w:spacing w:before="0" w:after="0"/>
              <w:rPr>
                <w:b/>
              </w:rPr>
            </w:pPr>
            <w:r w:rsidRPr="000E7210">
              <w:rPr>
                <w:b/>
              </w:rPr>
              <w:t xml:space="preserve">Parameter </w:t>
            </w:r>
          </w:p>
        </w:tc>
        <w:tc>
          <w:tcPr>
            <w:tcW w:w="559" w:type="pct"/>
            <w:hideMark/>
          </w:tcPr>
          <w:p w14:paraId="5D1B68B0" w14:textId="77777777" w:rsidR="00A86F32" w:rsidRPr="000E7210" w:rsidRDefault="00A86F32" w:rsidP="001F4052">
            <w:pPr>
              <w:pStyle w:val="TableText"/>
              <w:spacing w:before="0" w:after="0"/>
              <w:rPr>
                <w:b/>
              </w:rPr>
            </w:pPr>
            <w:r w:rsidRPr="000E7210">
              <w:rPr>
                <w:b/>
              </w:rPr>
              <w:t>Year 1</w:t>
            </w:r>
          </w:p>
        </w:tc>
        <w:tc>
          <w:tcPr>
            <w:tcW w:w="560" w:type="pct"/>
            <w:hideMark/>
          </w:tcPr>
          <w:p w14:paraId="7F8C0FA2" w14:textId="77777777" w:rsidR="00A86F32" w:rsidRPr="000E7210" w:rsidRDefault="00A86F32" w:rsidP="001F4052">
            <w:pPr>
              <w:pStyle w:val="TableText"/>
              <w:spacing w:before="0" w:after="0"/>
              <w:rPr>
                <w:b/>
              </w:rPr>
            </w:pPr>
            <w:r w:rsidRPr="000E7210">
              <w:rPr>
                <w:b/>
              </w:rPr>
              <w:t>Year 2</w:t>
            </w:r>
          </w:p>
        </w:tc>
        <w:tc>
          <w:tcPr>
            <w:tcW w:w="560" w:type="pct"/>
            <w:hideMark/>
          </w:tcPr>
          <w:p w14:paraId="3B40C90A" w14:textId="77777777" w:rsidR="00A86F32" w:rsidRPr="000E7210" w:rsidRDefault="00A86F32" w:rsidP="001F4052">
            <w:pPr>
              <w:pStyle w:val="TableText"/>
              <w:spacing w:before="0" w:after="0"/>
              <w:rPr>
                <w:b/>
              </w:rPr>
            </w:pPr>
            <w:r w:rsidRPr="000E7210">
              <w:rPr>
                <w:b/>
              </w:rPr>
              <w:t>Year 3</w:t>
            </w:r>
          </w:p>
        </w:tc>
        <w:tc>
          <w:tcPr>
            <w:tcW w:w="559" w:type="pct"/>
            <w:hideMark/>
          </w:tcPr>
          <w:p w14:paraId="3F6D62F8" w14:textId="77777777" w:rsidR="00A86F32" w:rsidRPr="000E7210" w:rsidRDefault="00A86F32" w:rsidP="001F4052">
            <w:pPr>
              <w:pStyle w:val="TableText"/>
              <w:spacing w:before="0" w:after="0"/>
              <w:rPr>
                <w:b/>
              </w:rPr>
            </w:pPr>
            <w:r w:rsidRPr="000E7210">
              <w:rPr>
                <w:b/>
              </w:rPr>
              <w:t>Year 4</w:t>
            </w:r>
          </w:p>
        </w:tc>
        <w:tc>
          <w:tcPr>
            <w:tcW w:w="560" w:type="pct"/>
            <w:hideMark/>
          </w:tcPr>
          <w:p w14:paraId="627A91DE" w14:textId="77777777" w:rsidR="00A86F32" w:rsidRPr="000E7210" w:rsidRDefault="00A86F32" w:rsidP="001F4052">
            <w:pPr>
              <w:pStyle w:val="TableText"/>
              <w:spacing w:before="0" w:after="0"/>
              <w:rPr>
                <w:b/>
              </w:rPr>
            </w:pPr>
            <w:r w:rsidRPr="000E7210">
              <w:rPr>
                <w:b/>
              </w:rPr>
              <w:t>Year 5</w:t>
            </w:r>
          </w:p>
        </w:tc>
        <w:tc>
          <w:tcPr>
            <w:tcW w:w="558" w:type="pct"/>
            <w:hideMark/>
          </w:tcPr>
          <w:p w14:paraId="133AE052" w14:textId="77777777" w:rsidR="00A86F32" w:rsidRPr="000E7210" w:rsidRDefault="00A86F32" w:rsidP="001F4052">
            <w:pPr>
              <w:pStyle w:val="TableText"/>
              <w:spacing w:before="0" w:after="0"/>
              <w:rPr>
                <w:b/>
              </w:rPr>
            </w:pPr>
            <w:r w:rsidRPr="000E7210">
              <w:rPr>
                <w:b/>
              </w:rPr>
              <w:t>Year 6</w:t>
            </w:r>
          </w:p>
        </w:tc>
      </w:tr>
      <w:tr w:rsidR="00D367DB" w:rsidRPr="00D76459" w14:paraId="4E32F569" w14:textId="77777777" w:rsidTr="00BD1418">
        <w:trPr>
          <w:trHeight w:val="206"/>
        </w:trPr>
        <w:tc>
          <w:tcPr>
            <w:tcW w:w="5000" w:type="pct"/>
            <w:gridSpan w:val="7"/>
            <w:hideMark/>
          </w:tcPr>
          <w:p w14:paraId="5AF3989F" w14:textId="77777777" w:rsidR="00A86F32" w:rsidRPr="004C18BB" w:rsidRDefault="00A86F32" w:rsidP="001F4052">
            <w:pPr>
              <w:pStyle w:val="TableText"/>
              <w:spacing w:before="0" w:after="0"/>
            </w:pPr>
            <w:r w:rsidRPr="004C18BB">
              <w:t xml:space="preserve">Estimated use and cost of </w:t>
            </w:r>
            <w:r>
              <w:t>ASCS</w:t>
            </w:r>
          </w:p>
        </w:tc>
      </w:tr>
      <w:tr w:rsidR="00A86F32" w:rsidRPr="00D76459" w14:paraId="0F698FBE" w14:textId="77777777" w:rsidTr="00E44DE7">
        <w:tc>
          <w:tcPr>
            <w:tcW w:w="1644" w:type="pct"/>
            <w:hideMark/>
          </w:tcPr>
          <w:p w14:paraId="13FD9B55" w14:textId="11671A36" w:rsidR="00A86F32" w:rsidRPr="008737A9" w:rsidRDefault="00A86F32" w:rsidP="001F4052">
            <w:pPr>
              <w:pStyle w:val="TableText"/>
              <w:spacing w:before="0" w:after="0"/>
              <w:rPr>
                <w:vertAlign w:val="superscript"/>
              </w:rPr>
            </w:pPr>
            <w:r w:rsidRPr="004C18BB">
              <w:t xml:space="preserve">Number of </w:t>
            </w:r>
            <w:r>
              <w:t>patients</w:t>
            </w:r>
            <w:r w:rsidRPr="004C18BB">
              <w:t xml:space="preserve"> eligible for </w:t>
            </w:r>
            <w:r>
              <w:t>ASCS</w:t>
            </w:r>
            <w:r w:rsidR="00072268">
              <w:t xml:space="preserve"> </w:t>
            </w:r>
            <w:r w:rsidR="00592363">
              <w:rPr>
                <w:vertAlign w:val="superscript"/>
              </w:rPr>
              <w:t>a</w:t>
            </w:r>
          </w:p>
        </w:tc>
        <w:tc>
          <w:tcPr>
            <w:tcW w:w="559" w:type="pct"/>
          </w:tcPr>
          <w:p w14:paraId="033CCBB9" w14:textId="77777777" w:rsidR="00A86F32" w:rsidRPr="004C18BB" w:rsidRDefault="00A86F32" w:rsidP="001F4052">
            <w:pPr>
              <w:pStyle w:val="TableText"/>
              <w:spacing w:before="0" w:after="0"/>
            </w:pPr>
            <w:r>
              <w:t>87</w:t>
            </w:r>
          </w:p>
        </w:tc>
        <w:tc>
          <w:tcPr>
            <w:tcW w:w="560" w:type="pct"/>
          </w:tcPr>
          <w:p w14:paraId="4E602264" w14:textId="77777777" w:rsidR="00A86F32" w:rsidRPr="004C18BB" w:rsidRDefault="00A86F32" w:rsidP="001F4052">
            <w:pPr>
              <w:pStyle w:val="TableText"/>
              <w:spacing w:before="0" w:after="0"/>
            </w:pPr>
            <w:r w:rsidRPr="00D66B66">
              <w:t>87</w:t>
            </w:r>
          </w:p>
        </w:tc>
        <w:tc>
          <w:tcPr>
            <w:tcW w:w="560" w:type="pct"/>
          </w:tcPr>
          <w:p w14:paraId="59143A49" w14:textId="77777777" w:rsidR="00A86F32" w:rsidRPr="004C18BB" w:rsidRDefault="00A86F32" w:rsidP="001F4052">
            <w:pPr>
              <w:pStyle w:val="TableText"/>
              <w:spacing w:before="0" w:after="0"/>
            </w:pPr>
            <w:r w:rsidRPr="00D66B66">
              <w:t>87</w:t>
            </w:r>
          </w:p>
        </w:tc>
        <w:tc>
          <w:tcPr>
            <w:tcW w:w="559" w:type="pct"/>
          </w:tcPr>
          <w:p w14:paraId="780CD8D5" w14:textId="77777777" w:rsidR="00A86F32" w:rsidRPr="004C18BB" w:rsidRDefault="00A86F32" w:rsidP="001F4052">
            <w:pPr>
              <w:pStyle w:val="TableText"/>
              <w:spacing w:before="0" w:after="0"/>
            </w:pPr>
            <w:r w:rsidRPr="00D66B66">
              <w:t>87</w:t>
            </w:r>
          </w:p>
        </w:tc>
        <w:tc>
          <w:tcPr>
            <w:tcW w:w="560" w:type="pct"/>
          </w:tcPr>
          <w:p w14:paraId="1FE76D2D" w14:textId="77777777" w:rsidR="00A86F32" w:rsidRPr="004C18BB" w:rsidRDefault="00A86F32" w:rsidP="001F4052">
            <w:pPr>
              <w:pStyle w:val="TableText"/>
              <w:spacing w:before="0" w:after="0"/>
            </w:pPr>
            <w:r w:rsidRPr="00D66B66">
              <w:t>87</w:t>
            </w:r>
          </w:p>
        </w:tc>
        <w:tc>
          <w:tcPr>
            <w:tcW w:w="558" w:type="pct"/>
          </w:tcPr>
          <w:p w14:paraId="0C540C53" w14:textId="77777777" w:rsidR="00A86F32" w:rsidRPr="004C18BB" w:rsidRDefault="00A86F32" w:rsidP="001F4052">
            <w:pPr>
              <w:pStyle w:val="TableText"/>
              <w:spacing w:before="0" w:after="0"/>
            </w:pPr>
            <w:r w:rsidRPr="00D66B66">
              <w:t>87</w:t>
            </w:r>
          </w:p>
        </w:tc>
      </w:tr>
      <w:tr w:rsidR="00A86F32" w:rsidRPr="002E4ADA" w14:paraId="7711DF35" w14:textId="77777777" w:rsidTr="00E44DE7">
        <w:tc>
          <w:tcPr>
            <w:tcW w:w="1644" w:type="pct"/>
          </w:tcPr>
          <w:p w14:paraId="5FBC195A" w14:textId="6E4796D1" w:rsidR="00A86F32" w:rsidRPr="008737A9" w:rsidRDefault="00A86F32" w:rsidP="001F4052">
            <w:pPr>
              <w:pStyle w:val="TableText"/>
              <w:spacing w:before="0" w:after="0"/>
              <w:rPr>
                <w:vertAlign w:val="superscript"/>
              </w:rPr>
            </w:pPr>
            <w:r w:rsidRPr="00D76459">
              <w:t>Total cost to MBS</w:t>
            </w:r>
            <w:r w:rsidR="00E94E49">
              <w:t xml:space="preserve"> at 75% benefit</w:t>
            </w:r>
            <w:r w:rsidR="00072268">
              <w:t xml:space="preserve"> </w:t>
            </w:r>
            <w:r w:rsidR="00592363">
              <w:rPr>
                <w:vertAlign w:val="superscript"/>
              </w:rPr>
              <w:t>b</w:t>
            </w:r>
          </w:p>
        </w:tc>
        <w:tc>
          <w:tcPr>
            <w:tcW w:w="559" w:type="pct"/>
          </w:tcPr>
          <w:p w14:paraId="4E258DC7" w14:textId="77777777" w:rsidR="00A86F32" w:rsidRPr="00D76459" w:rsidRDefault="00A86F32" w:rsidP="001F4052">
            <w:pPr>
              <w:pStyle w:val="TableText"/>
              <w:spacing w:before="0" w:after="0"/>
            </w:pPr>
            <w:r w:rsidRPr="00D76459">
              <w:rPr>
                <w:color w:val="000000"/>
                <w:szCs w:val="18"/>
              </w:rPr>
              <w:t>$220,009</w:t>
            </w:r>
          </w:p>
        </w:tc>
        <w:tc>
          <w:tcPr>
            <w:tcW w:w="560" w:type="pct"/>
          </w:tcPr>
          <w:p w14:paraId="11BCDD58" w14:textId="77777777" w:rsidR="00A86F32" w:rsidRPr="00D76459" w:rsidRDefault="00A86F32" w:rsidP="001F4052">
            <w:pPr>
              <w:pStyle w:val="TableText"/>
              <w:spacing w:before="0" w:after="0"/>
            </w:pPr>
            <w:r w:rsidRPr="00D76459">
              <w:rPr>
                <w:color w:val="000000"/>
                <w:szCs w:val="18"/>
              </w:rPr>
              <w:t>$220,009</w:t>
            </w:r>
          </w:p>
        </w:tc>
        <w:tc>
          <w:tcPr>
            <w:tcW w:w="560" w:type="pct"/>
          </w:tcPr>
          <w:p w14:paraId="1584287A" w14:textId="77777777" w:rsidR="00A86F32" w:rsidRPr="00D76459" w:rsidRDefault="00A86F32" w:rsidP="001F4052">
            <w:pPr>
              <w:pStyle w:val="TableText"/>
              <w:spacing w:before="0" w:after="0"/>
            </w:pPr>
            <w:r w:rsidRPr="00D76459">
              <w:rPr>
                <w:color w:val="000000"/>
                <w:szCs w:val="18"/>
              </w:rPr>
              <w:t>$220,009</w:t>
            </w:r>
          </w:p>
        </w:tc>
        <w:tc>
          <w:tcPr>
            <w:tcW w:w="559" w:type="pct"/>
          </w:tcPr>
          <w:p w14:paraId="0A1189F2" w14:textId="77777777" w:rsidR="00A86F32" w:rsidRPr="00D76459" w:rsidRDefault="00A86F32" w:rsidP="001F4052">
            <w:pPr>
              <w:pStyle w:val="TableText"/>
              <w:spacing w:before="0" w:after="0"/>
            </w:pPr>
            <w:r w:rsidRPr="00D76459">
              <w:rPr>
                <w:color w:val="000000"/>
                <w:szCs w:val="18"/>
              </w:rPr>
              <w:t>$220,009</w:t>
            </w:r>
          </w:p>
        </w:tc>
        <w:tc>
          <w:tcPr>
            <w:tcW w:w="560" w:type="pct"/>
          </w:tcPr>
          <w:p w14:paraId="5DE5B02D" w14:textId="77777777" w:rsidR="00A86F32" w:rsidRPr="00D76459" w:rsidRDefault="00A86F32" w:rsidP="001F4052">
            <w:pPr>
              <w:pStyle w:val="TableText"/>
              <w:spacing w:before="0" w:after="0"/>
            </w:pPr>
            <w:r w:rsidRPr="00D76459">
              <w:rPr>
                <w:color w:val="000000"/>
                <w:szCs w:val="18"/>
              </w:rPr>
              <w:t>$220,009</w:t>
            </w:r>
          </w:p>
        </w:tc>
        <w:tc>
          <w:tcPr>
            <w:tcW w:w="558" w:type="pct"/>
          </w:tcPr>
          <w:p w14:paraId="4FA48F14" w14:textId="77777777" w:rsidR="00A86F32" w:rsidRPr="00D76459" w:rsidRDefault="00A86F32" w:rsidP="001F4052">
            <w:pPr>
              <w:pStyle w:val="TableText"/>
              <w:spacing w:before="0" w:after="0"/>
            </w:pPr>
            <w:r w:rsidRPr="00D76459">
              <w:rPr>
                <w:color w:val="000000"/>
                <w:szCs w:val="18"/>
              </w:rPr>
              <w:t>$220,009</w:t>
            </w:r>
          </w:p>
        </w:tc>
      </w:tr>
      <w:tr w:rsidR="00A86F32" w:rsidRPr="00D76459" w14:paraId="4E739001" w14:textId="77777777" w:rsidTr="00E44DE7">
        <w:tc>
          <w:tcPr>
            <w:tcW w:w="1644" w:type="pct"/>
            <w:hideMark/>
          </w:tcPr>
          <w:p w14:paraId="03ACF882" w14:textId="49844F3F" w:rsidR="00A86F32" w:rsidRPr="008737A9" w:rsidRDefault="00A86F32" w:rsidP="001F4052">
            <w:pPr>
              <w:pStyle w:val="TableText"/>
              <w:spacing w:before="0" w:after="0"/>
              <w:rPr>
                <w:vertAlign w:val="superscript"/>
              </w:rPr>
            </w:pPr>
            <w:r w:rsidRPr="004C18BB">
              <w:t xml:space="preserve">Number of </w:t>
            </w:r>
            <w:r>
              <w:t>patients utilising ASCS</w:t>
            </w:r>
            <w:r w:rsidR="00072268">
              <w:t xml:space="preserve"> </w:t>
            </w:r>
            <w:r w:rsidR="00592363">
              <w:rPr>
                <w:vertAlign w:val="superscript"/>
              </w:rPr>
              <w:t>c</w:t>
            </w:r>
          </w:p>
        </w:tc>
        <w:tc>
          <w:tcPr>
            <w:tcW w:w="559" w:type="pct"/>
          </w:tcPr>
          <w:p w14:paraId="1DC63745" w14:textId="77777777" w:rsidR="00A86F32" w:rsidRPr="004C18BB" w:rsidRDefault="00A86F32" w:rsidP="001F4052">
            <w:pPr>
              <w:pStyle w:val="TableText"/>
              <w:spacing w:before="0" w:after="0"/>
            </w:pPr>
            <w:r>
              <w:t>44</w:t>
            </w:r>
          </w:p>
        </w:tc>
        <w:tc>
          <w:tcPr>
            <w:tcW w:w="560" w:type="pct"/>
          </w:tcPr>
          <w:p w14:paraId="584313B4" w14:textId="77777777" w:rsidR="00A86F32" w:rsidRPr="004C18BB" w:rsidRDefault="00A86F32" w:rsidP="001F4052">
            <w:pPr>
              <w:pStyle w:val="TableText"/>
              <w:spacing w:before="0" w:after="0"/>
            </w:pPr>
            <w:r>
              <w:t>52</w:t>
            </w:r>
          </w:p>
        </w:tc>
        <w:tc>
          <w:tcPr>
            <w:tcW w:w="560" w:type="pct"/>
          </w:tcPr>
          <w:p w14:paraId="2057BEBA" w14:textId="77777777" w:rsidR="00A86F32" w:rsidRPr="004C18BB" w:rsidRDefault="00A86F32" w:rsidP="001F4052">
            <w:pPr>
              <w:pStyle w:val="TableText"/>
              <w:spacing w:before="0" w:after="0"/>
            </w:pPr>
            <w:r>
              <w:t>61</w:t>
            </w:r>
          </w:p>
        </w:tc>
        <w:tc>
          <w:tcPr>
            <w:tcW w:w="559" w:type="pct"/>
          </w:tcPr>
          <w:p w14:paraId="613CB358" w14:textId="77777777" w:rsidR="00A86F32" w:rsidRPr="004C18BB" w:rsidRDefault="00A86F32" w:rsidP="001F4052">
            <w:pPr>
              <w:pStyle w:val="TableText"/>
              <w:spacing w:before="0" w:after="0"/>
            </w:pPr>
            <w:r>
              <w:t>70</w:t>
            </w:r>
          </w:p>
        </w:tc>
        <w:tc>
          <w:tcPr>
            <w:tcW w:w="560" w:type="pct"/>
          </w:tcPr>
          <w:p w14:paraId="70B925A3" w14:textId="77777777" w:rsidR="00A86F32" w:rsidRPr="004C18BB" w:rsidRDefault="00A86F32" w:rsidP="001F4052">
            <w:pPr>
              <w:pStyle w:val="TableText"/>
              <w:spacing w:before="0" w:after="0"/>
            </w:pPr>
            <w:r>
              <w:t>70</w:t>
            </w:r>
          </w:p>
        </w:tc>
        <w:tc>
          <w:tcPr>
            <w:tcW w:w="558" w:type="pct"/>
          </w:tcPr>
          <w:p w14:paraId="09E5C2EC" w14:textId="77777777" w:rsidR="00A86F32" w:rsidRPr="004C18BB" w:rsidRDefault="00A86F32" w:rsidP="001F4052">
            <w:pPr>
              <w:pStyle w:val="TableText"/>
              <w:spacing w:before="0" w:after="0"/>
            </w:pPr>
            <w:r>
              <w:t>70</w:t>
            </w:r>
          </w:p>
        </w:tc>
      </w:tr>
      <w:tr w:rsidR="00A86F32" w:rsidRPr="00911781" w14:paraId="492A5472" w14:textId="77777777" w:rsidTr="00E44DE7">
        <w:tc>
          <w:tcPr>
            <w:tcW w:w="1644" w:type="pct"/>
          </w:tcPr>
          <w:p w14:paraId="42686003" w14:textId="17394AE1" w:rsidR="00A86F32" w:rsidRPr="008737A9" w:rsidRDefault="00A86F32" w:rsidP="001F4052">
            <w:pPr>
              <w:pStyle w:val="TableText"/>
              <w:spacing w:before="0" w:after="0"/>
              <w:rPr>
                <w:vertAlign w:val="superscript"/>
              </w:rPr>
            </w:pPr>
            <w:r>
              <w:t>Cost of ASCS</w:t>
            </w:r>
            <w:r w:rsidR="00072268">
              <w:t xml:space="preserve"> </w:t>
            </w:r>
            <w:r w:rsidR="00592363">
              <w:rPr>
                <w:vertAlign w:val="superscript"/>
              </w:rPr>
              <w:t>d</w:t>
            </w:r>
          </w:p>
        </w:tc>
        <w:tc>
          <w:tcPr>
            <w:tcW w:w="559" w:type="pct"/>
          </w:tcPr>
          <w:p w14:paraId="39383147" w14:textId="77777777" w:rsidR="00A86F32" w:rsidRDefault="00A86F32" w:rsidP="001F4052">
            <w:pPr>
              <w:pStyle w:val="TableText"/>
              <w:spacing w:before="0" w:after="0"/>
            </w:pPr>
            <w:r>
              <w:rPr>
                <w:color w:val="000000"/>
                <w:szCs w:val="18"/>
              </w:rPr>
              <w:t>$110,004</w:t>
            </w:r>
          </w:p>
        </w:tc>
        <w:tc>
          <w:tcPr>
            <w:tcW w:w="560" w:type="pct"/>
          </w:tcPr>
          <w:p w14:paraId="3BC730A2" w14:textId="77777777" w:rsidR="00A86F32" w:rsidRDefault="00A86F32" w:rsidP="001F4052">
            <w:pPr>
              <w:pStyle w:val="TableText"/>
              <w:spacing w:before="0" w:after="0"/>
            </w:pPr>
            <w:r>
              <w:rPr>
                <w:color w:val="000000"/>
                <w:szCs w:val="18"/>
              </w:rPr>
              <w:t>$132,005</w:t>
            </w:r>
          </w:p>
        </w:tc>
        <w:tc>
          <w:tcPr>
            <w:tcW w:w="560" w:type="pct"/>
          </w:tcPr>
          <w:p w14:paraId="63A18766" w14:textId="77777777" w:rsidR="00A86F32" w:rsidRDefault="00A86F32" w:rsidP="001F4052">
            <w:pPr>
              <w:pStyle w:val="TableText"/>
              <w:spacing w:before="0" w:after="0"/>
            </w:pPr>
            <w:r>
              <w:rPr>
                <w:color w:val="000000"/>
                <w:szCs w:val="18"/>
              </w:rPr>
              <w:t>$154,006</w:t>
            </w:r>
          </w:p>
        </w:tc>
        <w:tc>
          <w:tcPr>
            <w:tcW w:w="559" w:type="pct"/>
          </w:tcPr>
          <w:p w14:paraId="46D43802" w14:textId="77777777" w:rsidR="00A86F32" w:rsidRDefault="00A86F32" w:rsidP="001F4052">
            <w:pPr>
              <w:pStyle w:val="TableText"/>
              <w:spacing w:before="0" w:after="0"/>
            </w:pPr>
            <w:r>
              <w:rPr>
                <w:color w:val="000000"/>
                <w:szCs w:val="18"/>
              </w:rPr>
              <w:t>$176,007</w:t>
            </w:r>
          </w:p>
        </w:tc>
        <w:tc>
          <w:tcPr>
            <w:tcW w:w="560" w:type="pct"/>
          </w:tcPr>
          <w:p w14:paraId="56758A67" w14:textId="77777777" w:rsidR="00A86F32" w:rsidRDefault="00A86F32" w:rsidP="001F4052">
            <w:pPr>
              <w:pStyle w:val="TableText"/>
              <w:spacing w:before="0" w:after="0"/>
            </w:pPr>
            <w:r>
              <w:rPr>
                <w:color w:val="000000"/>
                <w:szCs w:val="18"/>
              </w:rPr>
              <w:t>$176,007</w:t>
            </w:r>
          </w:p>
        </w:tc>
        <w:tc>
          <w:tcPr>
            <w:tcW w:w="558" w:type="pct"/>
          </w:tcPr>
          <w:p w14:paraId="764B7DE9" w14:textId="77777777" w:rsidR="00A86F32" w:rsidRDefault="00A86F32" w:rsidP="001F4052">
            <w:pPr>
              <w:pStyle w:val="TableText"/>
              <w:spacing w:before="0" w:after="0"/>
            </w:pPr>
            <w:r>
              <w:rPr>
                <w:color w:val="000000"/>
                <w:szCs w:val="18"/>
              </w:rPr>
              <w:t>$176,007</w:t>
            </w:r>
          </w:p>
        </w:tc>
      </w:tr>
      <w:tr w:rsidR="00A86F32" w:rsidRPr="00D76459" w14:paraId="349CF904" w14:textId="77777777" w:rsidTr="00E44DE7">
        <w:tc>
          <w:tcPr>
            <w:tcW w:w="1644" w:type="pct"/>
            <w:hideMark/>
          </w:tcPr>
          <w:p w14:paraId="77F67C8B" w14:textId="1DC7DF9D" w:rsidR="00A86F32" w:rsidRPr="008737A9" w:rsidRDefault="00A86F32" w:rsidP="001F4052">
            <w:pPr>
              <w:pStyle w:val="TableText"/>
              <w:spacing w:before="0" w:after="0"/>
              <w:rPr>
                <w:vertAlign w:val="superscript"/>
              </w:rPr>
            </w:pPr>
            <w:r w:rsidRPr="004C18BB">
              <w:t xml:space="preserve">Number of </w:t>
            </w:r>
            <w:r>
              <w:t>patients utilising STSG</w:t>
            </w:r>
            <w:r w:rsidR="00072268">
              <w:t xml:space="preserve"> </w:t>
            </w:r>
            <w:r w:rsidR="00592363">
              <w:rPr>
                <w:vertAlign w:val="superscript"/>
              </w:rPr>
              <w:t>e</w:t>
            </w:r>
          </w:p>
        </w:tc>
        <w:tc>
          <w:tcPr>
            <w:tcW w:w="559" w:type="pct"/>
          </w:tcPr>
          <w:p w14:paraId="4614C640" w14:textId="77777777" w:rsidR="00A86F32" w:rsidRPr="004C18BB" w:rsidRDefault="00A86F32" w:rsidP="001F4052">
            <w:pPr>
              <w:pStyle w:val="TableText"/>
              <w:spacing w:before="0" w:after="0"/>
            </w:pPr>
            <w:r>
              <w:t>43</w:t>
            </w:r>
          </w:p>
        </w:tc>
        <w:tc>
          <w:tcPr>
            <w:tcW w:w="560" w:type="pct"/>
          </w:tcPr>
          <w:p w14:paraId="26065281" w14:textId="77777777" w:rsidR="00A86F32" w:rsidRPr="004C18BB" w:rsidRDefault="00A86F32" w:rsidP="001F4052">
            <w:pPr>
              <w:pStyle w:val="TableText"/>
              <w:spacing w:before="0" w:after="0"/>
            </w:pPr>
            <w:r>
              <w:t>35</w:t>
            </w:r>
          </w:p>
        </w:tc>
        <w:tc>
          <w:tcPr>
            <w:tcW w:w="560" w:type="pct"/>
          </w:tcPr>
          <w:p w14:paraId="5B97DCC1" w14:textId="77777777" w:rsidR="00A86F32" w:rsidRPr="004C18BB" w:rsidRDefault="00A86F32" w:rsidP="001F4052">
            <w:pPr>
              <w:pStyle w:val="TableText"/>
              <w:spacing w:before="0" w:after="0"/>
            </w:pPr>
            <w:r>
              <w:t>26</w:t>
            </w:r>
          </w:p>
        </w:tc>
        <w:tc>
          <w:tcPr>
            <w:tcW w:w="559" w:type="pct"/>
          </w:tcPr>
          <w:p w14:paraId="6BFCB34C" w14:textId="77777777" w:rsidR="00A86F32" w:rsidRPr="004C18BB" w:rsidRDefault="00A86F32" w:rsidP="001F4052">
            <w:pPr>
              <w:pStyle w:val="TableText"/>
              <w:spacing w:before="0" w:after="0"/>
            </w:pPr>
            <w:r>
              <w:t>17</w:t>
            </w:r>
          </w:p>
        </w:tc>
        <w:tc>
          <w:tcPr>
            <w:tcW w:w="560" w:type="pct"/>
          </w:tcPr>
          <w:p w14:paraId="58776CFC" w14:textId="77777777" w:rsidR="00A86F32" w:rsidRPr="004C18BB" w:rsidRDefault="00A86F32" w:rsidP="001F4052">
            <w:pPr>
              <w:pStyle w:val="TableText"/>
              <w:spacing w:before="0" w:after="0"/>
            </w:pPr>
            <w:r>
              <w:t>17</w:t>
            </w:r>
          </w:p>
        </w:tc>
        <w:tc>
          <w:tcPr>
            <w:tcW w:w="558" w:type="pct"/>
          </w:tcPr>
          <w:p w14:paraId="789CDB7B" w14:textId="77777777" w:rsidR="00A86F32" w:rsidRPr="004C18BB" w:rsidRDefault="00A86F32" w:rsidP="001F4052">
            <w:pPr>
              <w:pStyle w:val="TableText"/>
              <w:spacing w:before="0" w:after="0"/>
            </w:pPr>
            <w:r>
              <w:t>17</w:t>
            </w:r>
          </w:p>
        </w:tc>
      </w:tr>
      <w:tr w:rsidR="00A86F32" w:rsidRPr="00D76459" w14:paraId="2271F940" w14:textId="77777777" w:rsidTr="00E44DE7">
        <w:tc>
          <w:tcPr>
            <w:tcW w:w="1644" w:type="pct"/>
            <w:hideMark/>
          </w:tcPr>
          <w:p w14:paraId="0509E7B2" w14:textId="68746DDE" w:rsidR="00A86F32" w:rsidRPr="008737A9" w:rsidRDefault="00A86F32" w:rsidP="001F4052">
            <w:pPr>
              <w:pStyle w:val="TableText"/>
              <w:spacing w:before="0" w:after="0"/>
              <w:rPr>
                <w:vertAlign w:val="superscript"/>
              </w:rPr>
            </w:pPr>
            <w:r w:rsidRPr="004C18BB">
              <w:t xml:space="preserve">Cost </w:t>
            </w:r>
            <w:r>
              <w:t>of</w:t>
            </w:r>
            <w:r w:rsidRPr="004C18BB">
              <w:t xml:space="preserve"> </w:t>
            </w:r>
            <w:r>
              <w:t>STSG</w:t>
            </w:r>
            <w:r w:rsidR="00072268">
              <w:t xml:space="preserve"> </w:t>
            </w:r>
            <w:r w:rsidR="00592363">
              <w:rPr>
                <w:vertAlign w:val="superscript"/>
              </w:rPr>
              <w:t>f</w:t>
            </w:r>
          </w:p>
        </w:tc>
        <w:tc>
          <w:tcPr>
            <w:tcW w:w="559" w:type="pct"/>
          </w:tcPr>
          <w:p w14:paraId="680A57F3" w14:textId="77777777" w:rsidR="00A86F32" w:rsidRPr="004C18BB" w:rsidRDefault="00A86F32" w:rsidP="001F4052">
            <w:pPr>
              <w:pStyle w:val="TableText"/>
              <w:spacing w:before="0" w:after="0"/>
            </w:pPr>
            <w:r>
              <w:rPr>
                <w:color w:val="000000"/>
                <w:szCs w:val="18"/>
              </w:rPr>
              <w:t>$110,004</w:t>
            </w:r>
          </w:p>
        </w:tc>
        <w:tc>
          <w:tcPr>
            <w:tcW w:w="560" w:type="pct"/>
          </w:tcPr>
          <w:p w14:paraId="6FDCFFA2" w14:textId="77777777" w:rsidR="00A86F32" w:rsidRPr="004C18BB" w:rsidRDefault="00A86F32" w:rsidP="001F4052">
            <w:pPr>
              <w:pStyle w:val="TableText"/>
              <w:spacing w:before="0" w:after="0"/>
            </w:pPr>
            <w:r>
              <w:rPr>
                <w:color w:val="000000"/>
                <w:szCs w:val="18"/>
              </w:rPr>
              <w:t>$88,003</w:t>
            </w:r>
          </w:p>
        </w:tc>
        <w:tc>
          <w:tcPr>
            <w:tcW w:w="560" w:type="pct"/>
          </w:tcPr>
          <w:p w14:paraId="0C47DB72" w14:textId="77777777" w:rsidR="00A86F32" w:rsidRPr="004C18BB" w:rsidRDefault="00A86F32" w:rsidP="001F4052">
            <w:pPr>
              <w:pStyle w:val="TableText"/>
              <w:spacing w:before="0" w:after="0"/>
            </w:pPr>
            <w:r>
              <w:rPr>
                <w:color w:val="000000"/>
                <w:szCs w:val="18"/>
              </w:rPr>
              <w:t>$66,003</w:t>
            </w:r>
          </w:p>
        </w:tc>
        <w:tc>
          <w:tcPr>
            <w:tcW w:w="559" w:type="pct"/>
          </w:tcPr>
          <w:p w14:paraId="3BBA65FA" w14:textId="77777777" w:rsidR="00A86F32" w:rsidRPr="004C18BB" w:rsidRDefault="00A86F32" w:rsidP="001F4052">
            <w:pPr>
              <w:pStyle w:val="TableText"/>
              <w:spacing w:before="0" w:after="0"/>
            </w:pPr>
            <w:r>
              <w:rPr>
                <w:color w:val="000000"/>
                <w:szCs w:val="18"/>
              </w:rPr>
              <w:t>$44,002</w:t>
            </w:r>
          </w:p>
        </w:tc>
        <w:tc>
          <w:tcPr>
            <w:tcW w:w="560" w:type="pct"/>
          </w:tcPr>
          <w:p w14:paraId="78E6FF2F" w14:textId="77777777" w:rsidR="00A86F32" w:rsidRPr="004C18BB" w:rsidRDefault="00A86F32" w:rsidP="001F4052">
            <w:pPr>
              <w:pStyle w:val="TableText"/>
              <w:spacing w:before="0" w:after="0"/>
            </w:pPr>
            <w:r>
              <w:rPr>
                <w:color w:val="000000"/>
                <w:szCs w:val="18"/>
              </w:rPr>
              <w:t>$44,002</w:t>
            </w:r>
          </w:p>
        </w:tc>
        <w:tc>
          <w:tcPr>
            <w:tcW w:w="558" w:type="pct"/>
          </w:tcPr>
          <w:p w14:paraId="50D8A655" w14:textId="77777777" w:rsidR="00A86F32" w:rsidRPr="004C18BB" w:rsidRDefault="00A86F32" w:rsidP="001F4052">
            <w:pPr>
              <w:pStyle w:val="TableText"/>
              <w:spacing w:before="0" w:after="0"/>
            </w:pPr>
            <w:r>
              <w:rPr>
                <w:color w:val="000000"/>
                <w:szCs w:val="18"/>
              </w:rPr>
              <w:t>$44,002</w:t>
            </w:r>
          </w:p>
        </w:tc>
      </w:tr>
      <w:tr w:rsidR="00A86F32" w:rsidRPr="00121202" w14:paraId="100CD0C0" w14:textId="77777777" w:rsidTr="00E44DE7">
        <w:tc>
          <w:tcPr>
            <w:tcW w:w="1644" w:type="pct"/>
          </w:tcPr>
          <w:p w14:paraId="0973D515" w14:textId="6EA50C97" w:rsidR="00A86F32" w:rsidRPr="008737A9" w:rsidRDefault="00A86F32" w:rsidP="001F4052">
            <w:pPr>
              <w:pStyle w:val="TableText"/>
              <w:spacing w:before="0" w:after="0"/>
              <w:rPr>
                <w:vertAlign w:val="superscript"/>
              </w:rPr>
            </w:pPr>
            <w:r w:rsidRPr="00D76459">
              <w:t>Total cost of proposed amendment</w:t>
            </w:r>
            <w:r w:rsidR="00072268">
              <w:t xml:space="preserve"> </w:t>
            </w:r>
            <w:r w:rsidR="00293111">
              <w:rPr>
                <w:vertAlign w:val="superscript"/>
              </w:rPr>
              <w:t>g</w:t>
            </w:r>
          </w:p>
        </w:tc>
        <w:tc>
          <w:tcPr>
            <w:tcW w:w="559" w:type="pct"/>
          </w:tcPr>
          <w:p w14:paraId="3BC24F63" w14:textId="77777777" w:rsidR="00A86F32" w:rsidRPr="00D76459" w:rsidRDefault="00A86F32" w:rsidP="001F4052">
            <w:pPr>
              <w:pStyle w:val="TableText"/>
              <w:spacing w:before="0" w:after="0"/>
              <w:rPr>
                <w:color w:val="000000"/>
                <w:szCs w:val="18"/>
              </w:rPr>
            </w:pPr>
            <w:r w:rsidRPr="00D76459">
              <w:rPr>
                <w:color w:val="000000"/>
                <w:szCs w:val="18"/>
              </w:rPr>
              <w:t>$220,009</w:t>
            </w:r>
          </w:p>
        </w:tc>
        <w:tc>
          <w:tcPr>
            <w:tcW w:w="560" w:type="pct"/>
          </w:tcPr>
          <w:p w14:paraId="286C4AC1" w14:textId="77777777" w:rsidR="00A86F32" w:rsidRPr="00D76459" w:rsidRDefault="00A86F32" w:rsidP="001F4052">
            <w:pPr>
              <w:pStyle w:val="TableText"/>
              <w:spacing w:before="0" w:after="0"/>
              <w:rPr>
                <w:color w:val="000000"/>
                <w:szCs w:val="18"/>
              </w:rPr>
            </w:pPr>
            <w:r w:rsidRPr="00D76459">
              <w:rPr>
                <w:color w:val="000000"/>
                <w:szCs w:val="18"/>
              </w:rPr>
              <w:t>$220,009</w:t>
            </w:r>
          </w:p>
        </w:tc>
        <w:tc>
          <w:tcPr>
            <w:tcW w:w="560" w:type="pct"/>
          </w:tcPr>
          <w:p w14:paraId="5D7C9405" w14:textId="77777777" w:rsidR="00A86F32" w:rsidRPr="00D76459" w:rsidRDefault="00A86F32" w:rsidP="001F4052">
            <w:pPr>
              <w:pStyle w:val="TableText"/>
              <w:spacing w:before="0" w:after="0"/>
              <w:rPr>
                <w:color w:val="000000"/>
                <w:szCs w:val="18"/>
              </w:rPr>
            </w:pPr>
            <w:r w:rsidRPr="00D76459">
              <w:rPr>
                <w:color w:val="000000"/>
                <w:szCs w:val="18"/>
              </w:rPr>
              <w:t>$220,009</w:t>
            </w:r>
          </w:p>
        </w:tc>
        <w:tc>
          <w:tcPr>
            <w:tcW w:w="559" w:type="pct"/>
          </w:tcPr>
          <w:p w14:paraId="0F476FB7" w14:textId="77777777" w:rsidR="00A86F32" w:rsidRPr="00D76459" w:rsidRDefault="00A86F32" w:rsidP="001F4052">
            <w:pPr>
              <w:pStyle w:val="TableText"/>
              <w:spacing w:before="0" w:after="0"/>
              <w:rPr>
                <w:color w:val="000000"/>
                <w:szCs w:val="18"/>
              </w:rPr>
            </w:pPr>
            <w:r w:rsidRPr="00D76459">
              <w:rPr>
                <w:color w:val="000000"/>
                <w:szCs w:val="18"/>
              </w:rPr>
              <w:t>$220,009</w:t>
            </w:r>
          </w:p>
        </w:tc>
        <w:tc>
          <w:tcPr>
            <w:tcW w:w="560" w:type="pct"/>
          </w:tcPr>
          <w:p w14:paraId="42958889" w14:textId="77777777" w:rsidR="00A86F32" w:rsidRPr="00D76459" w:rsidRDefault="00A86F32" w:rsidP="001F4052">
            <w:pPr>
              <w:pStyle w:val="TableText"/>
              <w:spacing w:before="0" w:after="0"/>
              <w:rPr>
                <w:color w:val="000000"/>
                <w:szCs w:val="18"/>
              </w:rPr>
            </w:pPr>
            <w:r w:rsidRPr="00D76459">
              <w:rPr>
                <w:color w:val="000000"/>
                <w:szCs w:val="18"/>
              </w:rPr>
              <w:t>$220,009</w:t>
            </w:r>
          </w:p>
        </w:tc>
        <w:tc>
          <w:tcPr>
            <w:tcW w:w="558" w:type="pct"/>
          </w:tcPr>
          <w:p w14:paraId="7DA3CD6D" w14:textId="77777777" w:rsidR="00A86F32" w:rsidRPr="00D76459" w:rsidRDefault="00A86F32" w:rsidP="001F4052">
            <w:pPr>
              <w:pStyle w:val="TableText"/>
              <w:spacing w:before="0" w:after="0"/>
              <w:rPr>
                <w:color w:val="000000"/>
                <w:szCs w:val="18"/>
              </w:rPr>
            </w:pPr>
            <w:r w:rsidRPr="00D76459">
              <w:rPr>
                <w:color w:val="000000"/>
                <w:szCs w:val="18"/>
              </w:rPr>
              <w:t>$220,009</w:t>
            </w:r>
          </w:p>
        </w:tc>
      </w:tr>
      <w:tr w:rsidR="000559BB" w:rsidRPr="00121202" w14:paraId="57F26F6C" w14:textId="77777777" w:rsidTr="000559BB">
        <w:tc>
          <w:tcPr>
            <w:tcW w:w="5000" w:type="pct"/>
            <w:gridSpan w:val="7"/>
          </w:tcPr>
          <w:p w14:paraId="51878B28" w14:textId="72CA36B9" w:rsidR="000559BB" w:rsidRPr="00F41ED9" w:rsidRDefault="000559BB" w:rsidP="001F4052">
            <w:pPr>
              <w:pStyle w:val="TableText"/>
              <w:spacing w:before="0" w:after="0"/>
              <w:rPr>
                <w:color w:val="000000"/>
                <w:szCs w:val="18"/>
              </w:rPr>
            </w:pPr>
            <w:r>
              <w:rPr>
                <w:color w:val="000000"/>
                <w:szCs w:val="18"/>
              </w:rPr>
              <w:t xml:space="preserve">Estimated use and </w:t>
            </w:r>
            <w:r w:rsidR="001459AF">
              <w:rPr>
                <w:color w:val="000000"/>
                <w:szCs w:val="18"/>
              </w:rPr>
              <w:t>cost of modifier item for ASCS</w:t>
            </w:r>
          </w:p>
        </w:tc>
      </w:tr>
      <w:tr w:rsidR="009C13B5" w:rsidRPr="00121202" w14:paraId="24AF0446" w14:textId="77777777" w:rsidTr="00E44DE7">
        <w:tc>
          <w:tcPr>
            <w:tcW w:w="1644" w:type="pct"/>
          </w:tcPr>
          <w:p w14:paraId="0AA95FAC" w14:textId="46FC585A" w:rsidR="009C13B5" w:rsidRPr="008737A9" w:rsidRDefault="009C13B5" w:rsidP="001F4052">
            <w:pPr>
              <w:pStyle w:val="TableText"/>
              <w:spacing w:before="0" w:after="0"/>
              <w:rPr>
                <w:vertAlign w:val="superscript"/>
              </w:rPr>
            </w:pPr>
            <w:r w:rsidRPr="008737A9">
              <w:t>Number of eligible patients</w:t>
            </w:r>
            <w:r w:rsidR="00072268">
              <w:t xml:space="preserve"> </w:t>
            </w:r>
            <w:r w:rsidR="00293111">
              <w:rPr>
                <w:vertAlign w:val="superscript"/>
              </w:rPr>
              <w:t>a</w:t>
            </w:r>
          </w:p>
        </w:tc>
        <w:tc>
          <w:tcPr>
            <w:tcW w:w="559" w:type="pct"/>
            <w:vAlign w:val="center"/>
          </w:tcPr>
          <w:p w14:paraId="1EC8105E" w14:textId="3CE61124" w:rsidR="009C13B5" w:rsidRPr="00F41ED9" w:rsidRDefault="009C13B5" w:rsidP="001F4052">
            <w:pPr>
              <w:pStyle w:val="TableText"/>
              <w:spacing w:before="0" w:after="0"/>
              <w:rPr>
                <w:color w:val="000000"/>
                <w:szCs w:val="18"/>
              </w:rPr>
            </w:pPr>
            <w:r>
              <w:rPr>
                <w:color w:val="000000"/>
                <w:szCs w:val="18"/>
              </w:rPr>
              <w:t>87</w:t>
            </w:r>
          </w:p>
        </w:tc>
        <w:tc>
          <w:tcPr>
            <w:tcW w:w="560" w:type="pct"/>
            <w:vAlign w:val="center"/>
          </w:tcPr>
          <w:p w14:paraId="7C28B98A" w14:textId="612C707C" w:rsidR="009C13B5" w:rsidRPr="00F41ED9" w:rsidRDefault="009C13B5" w:rsidP="001F4052">
            <w:pPr>
              <w:pStyle w:val="TableText"/>
              <w:spacing w:before="0" w:after="0"/>
              <w:rPr>
                <w:color w:val="000000"/>
                <w:szCs w:val="18"/>
              </w:rPr>
            </w:pPr>
            <w:r>
              <w:rPr>
                <w:color w:val="000000"/>
                <w:szCs w:val="18"/>
              </w:rPr>
              <w:t>87</w:t>
            </w:r>
          </w:p>
        </w:tc>
        <w:tc>
          <w:tcPr>
            <w:tcW w:w="560" w:type="pct"/>
            <w:vAlign w:val="center"/>
          </w:tcPr>
          <w:p w14:paraId="4162E9B4" w14:textId="00E44029" w:rsidR="009C13B5" w:rsidRPr="00F41ED9" w:rsidRDefault="009C13B5" w:rsidP="001F4052">
            <w:pPr>
              <w:pStyle w:val="TableText"/>
              <w:spacing w:before="0" w:after="0"/>
              <w:rPr>
                <w:color w:val="000000"/>
                <w:szCs w:val="18"/>
              </w:rPr>
            </w:pPr>
            <w:r>
              <w:rPr>
                <w:color w:val="000000"/>
                <w:szCs w:val="18"/>
              </w:rPr>
              <w:t>87</w:t>
            </w:r>
          </w:p>
        </w:tc>
        <w:tc>
          <w:tcPr>
            <w:tcW w:w="559" w:type="pct"/>
            <w:vAlign w:val="center"/>
          </w:tcPr>
          <w:p w14:paraId="0AAC80ED" w14:textId="4F7E02B7" w:rsidR="009C13B5" w:rsidRPr="00F41ED9" w:rsidRDefault="009C13B5" w:rsidP="001F4052">
            <w:pPr>
              <w:pStyle w:val="TableText"/>
              <w:spacing w:before="0" w:after="0"/>
              <w:rPr>
                <w:color w:val="000000"/>
                <w:szCs w:val="18"/>
              </w:rPr>
            </w:pPr>
            <w:r>
              <w:rPr>
                <w:color w:val="000000"/>
                <w:szCs w:val="18"/>
              </w:rPr>
              <w:t>87</w:t>
            </w:r>
          </w:p>
        </w:tc>
        <w:tc>
          <w:tcPr>
            <w:tcW w:w="560" w:type="pct"/>
            <w:vAlign w:val="center"/>
          </w:tcPr>
          <w:p w14:paraId="16DAB21B" w14:textId="303B0B90" w:rsidR="009C13B5" w:rsidRPr="00F41ED9" w:rsidRDefault="009C13B5" w:rsidP="001F4052">
            <w:pPr>
              <w:pStyle w:val="TableText"/>
              <w:spacing w:before="0" w:after="0"/>
              <w:rPr>
                <w:color w:val="000000"/>
                <w:szCs w:val="18"/>
              </w:rPr>
            </w:pPr>
            <w:r>
              <w:rPr>
                <w:color w:val="000000"/>
                <w:szCs w:val="18"/>
              </w:rPr>
              <w:t>87</w:t>
            </w:r>
          </w:p>
        </w:tc>
        <w:tc>
          <w:tcPr>
            <w:tcW w:w="558" w:type="pct"/>
            <w:vAlign w:val="center"/>
          </w:tcPr>
          <w:p w14:paraId="5EEF7D83" w14:textId="64375386" w:rsidR="009C13B5" w:rsidRPr="00F41ED9" w:rsidRDefault="009C13B5" w:rsidP="001F4052">
            <w:pPr>
              <w:pStyle w:val="TableText"/>
              <w:spacing w:before="0" w:after="0"/>
              <w:rPr>
                <w:color w:val="000000"/>
                <w:szCs w:val="18"/>
              </w:rPr>
            </w:pPr>
            <w:r>
              <w:rPr>
                <w:color w:val="000000"/>
                <w:szCs w:val="18"/>
              </w:rPr>
              <w:t>87</w:t>
            </w:r>
          </w:p>
        </w:tc>
      </w:tr>
      <w:tr w:rsidR="009C13B5" w:rsidRPr="00121202" w14:paraId="3F3CBDAE" w14:textId="77777777" w:rsidTr="00E44DE7">
        <w:tc>
          <w:tcPr>
            <w:tcW w:w="1644" w:type="pct"/>
          </w:tcPr>
          <w:p w14:paraId="6943CAAB" w14:textId="486C7EFD" w:rsidR="009C13B5" w:rsidRPr="008737A9" w:rsidRDefault="009C13B5" w:rsidP="001F4052">
            <w:pPr>
              <w:pStyle w:val="TableText"/>
              <w:spacing w:before="0" w:after="0"/>
              <w:rPr>
                <w:vertAlign w:val="superscript"/>
              </w:rPr>
            </w:pPr>
            <w:r w:rsidRPr="008737A9">
              <w:t>Number of patients utilising ASCS</w:t>
            </w:r>
            <w:r w:rsidR="00F95B90">
              <w:t xml:space="preserve"> </w:t>
            </w:r>
            <w:r w:rsidR="00F95B90">
              <w:rPr>
                <w:vertAlign w:val="superscript"/>
              </w:rPr>
              <w:t>c</w:t>
            </w:r>
          </w:p>
        </w:tc>
        <w:tc>
          <w:tcPr>
            <w:tcW w:w="559" w:type="pct"/>
            <w:vAlign w:val="center"/>
          </w:tcPr>
          <w:p w14:paraId="68C2E8C5" w14:textId="398C2F12" w:rsidR="009C13B5" w:rsidRPr="00F41ED9" w:rsidRDefault="009C13B5" w:rsidP="001F4052">
            <w:pPr>
              <w:pStyle w:val="TableText"/>
              <w:spacing w:before="0" w:after="0"/>
              <w:rPr>
                <w:color w:val="000000"/>
                <w:szCs w:val="18"/>
              </w:rPr>
            </w:pPr>
            <w:r>
              <w:rPr>
                <w:color w:val="000000"/>
                <w:szCs w:val="18"/>
              </w:rPr>
              <w:t>44</w:t>
            </w:r>
          </w:p>
        </w:tc>
        <w:tc>
          <w:tcPr>
            <w:tcW w:w="560" w:type="pct"/>
            <w:vAlign w:val="center"/>
          </w:tcPr>
          <w:p w14:paraId="1868C7ED" w14:textId="51F694E3" w:rsidR="009C13B5" w:rsidRPr="00F41ED9" w:rsidRDefault="009C13B5" w:rsidP="001F4052">
            <w:pPr>
              <w:pStyle w:val="TableText"/>
              <w:spacing w:before="0" w:after="0"/>
              <w:rPr>
                <w:color w:val="000000"/>
                <w:szCs w:val="18"/>
              </w:rPr>
            </w:pPr>
            <w:r>
              <w:rPr>
                <w:color w:val="000000"/>
                <w:szCs w:val="18"/>
              </w:rPr>
              <w:t>52</w:t>
            </w:r>
          </w:p>
        </w:tc>
        <w:tc>
          <w:tcPr>
            <w:tcW w:w="560" w:type="pct"/>
            <w:vAlign w:val="center"/>
          </w:tcPr>
          <w:p w14:paraId="06CA9A54" w14:textId="7BBAB003" w:rsidR="009C13B5" w:rsidRPr="00F41ED9" w:rsidRDefault="009C13B5" w:rsidP="001F4052">
            <w:pPr>
              <w:pStyle w:val="TableText"/>
              <w:spacing w:before="0" w:after="0"/>
              <w:rPr>
                <w:color w:val="000000"/>
                <w:szCs w:val="18"/>
              </w:rPr>
            </w:pPr>
            <w:r>
              <w:rPr>
                <w:color w:val="000000"/>
                <w:szCs w:val="18"/>
              </w:rPr>
              <w:t>61</w:t>
            </w:r>
          </w:p>
        </w:tc>
        <w:tc>
          <w:tcPr>
            <w:tcW w:w="559" w:type="pct"/>
            <w:vAlign w:val="center"/>
          </w:tcPr>
          <w:p w14:paraId="258F4A14" w14:textId="43FF6457" w:rsidR="009C13B5" w:rsidRPr="00F41ED9" w:rsidRDefault="009C13B5" w:rsidP="001F4052">
            <w:pPr>
              <w:pStyle w:val="TableText"/>
              <w:spacing w:before="0" w:after="0"/>
              <w:rPr>
                <w:color w:val="000000"/>
                <w:szCs w:val="18"/>
              </w:rPr>
            </w:pPr>
            <w:r>
              <w:rPr>
                <w:color w:val="000000"/>
                <w:szCs w:val="18"/>
              </w:rPr>
              <w:t>70</w:t>
            </w:r>
          </w:p>
        </w:tc>
        <w:tc>
          <w:tcPr>
            <w:tcW w:w="560" w:type="pct"/>
            <w:vAlign w:val="center"/>
          </w:tcPr>
          <w:p w14:paraId="0519B8A3" w14:textId="37B9442F" w:rsidR="009C13B5" w:rsidRPr="00F41ED9" w:rsidRDefault="009C13B5" w:rsidP="001F4052">
            <w:pPr>
              <w:pStyle w:val="TableText"/>
              <w:spacing w:before="0" w:after="0"/>
              <w:rPr>
                <w:color w:val="000000"/>
                <w:szCs w:val="18"/>
              </w:rPr>
            </w:pPr>
            <w:r>
              <w:rPr>
                <w:color w:val="000000"/>
                <w:szCs w:val="18"/>
              </w:rPr>
              <w:t>70</w:t>
            </w:r>
          </w:p>
        </w:tc>
        <w:tc>
          <w:tcPr>
            <w:tcW w:w="558" w:type="pct"/>
            <w:vAlign w:val="center"/>
          </w:tcPr>
          <w:p w14:paraId="46CCF0C0" w14:textId="59798C19" w:rsidR="009C13B5" w:rsidRPr="00F41ED9" w:rsidRDefault="009C13B5" w:rsidP="001F4052">
            <w:pPr>
              <w:pStyle w:val="TableText"/>
              <w:spacing w:before="0" w:after="0"/>
              <w:rPr>
                <w:color w:val="000000"/>
                <w:szCs w:val="18"/>
              </w:rPr>
            </w:pPr>
            <w:r>
              <w:rPr>
                <w:color w:val="000000"/>
                <w:szCs w:val="18"/>
              </w:rPr>
              <w:t>70</w:t>
            </w:r>
          </w:p>
        </w:tc>
      </w:tr>
      <w:tr w:rsidR="009C13B5" w:rsidRPr="00121202" w14:paraId="267B9A9A" w14:textId="77777777" w:rsidTr="00E44DE7">
        <w:tc>
          <w:tcPr>
            <w:tcW w:w="1644" w:type="pct"/>
          </w:tcPr>
          <w:p w14:paraId="1845A470" w14:textId="4333B5D1" w:rsidR="009C13B5" w:rsidRPr="008737A9" w:rsidRDefault="009C13B5" w:rsidP="001F4052">
            <w:pPr>
              <w:pStyle w:val="TableText"/>
              <w:spacing w:before="0" w:after="0"/>
              <w:rPr>
                <w:vertAlign w:val="superscript"/>
              </w:rPr>
            </w:pPr>
            <w:r w:rsidRPr="008737A9">
              <w:t>Number of patients utilising modifier ASCS items</w:t>
            </w:r>
            <w:r w:rsidR="00072268">
              <w:t xml:space="preserve"> </w:t>
            </w:r>
            <w:r w:rsidR="00F32E5B">
              <w:rPr>
                <w:vertAlign w:val="superscript"/>
              </w:rPr>
              <w:t>h</w:t>
            </w:r>
          </w:p>
        </w:tc>
        <w:tc>
          <w:tcPr>
            <w:tcW w:w="559" w:type="pct"/>
            <w:vAlign w:val="center"/>
          </w:tcPr>
          <w:p w14:paraId="42C22990" w14:textId="270090CC" w:rsidR="009C13B5" w:rsidRPr="00F41ED9" w:rsidRDefault="009C13B5" w:rsidP="001F4052">
            <w:pPr>
              <w:pStyle w:val="TableText"/>
              <w:spacing w:before="0" w:after="0"/>
              <w:rPr>
                <w:color w:val="000000"/>
                <w:szCs w:val="18"/>
              </w:rPr>
            </w:pPr>
            <w:r w:rsidRPr="00700DAE">
              <w:rPr>
                <w:color w:val="000000"/>
                <w:szCs w:val="18"/>
              </w:rPr>
              <w:t>28</w:t>
            </w:r>
          </w:p>
        </w:tc>
        <w:tc>
          <w:tcPr>
            <w:tcW w:w="560" w:type="pct"/>
            <w:vAlign w:val="center"/>
          </w:tcPr>
          <w:p w14:paraId="2DC16117" w14:textId="5BBFA34C" w:rsidR="009C13B5" w:rsidRPr="00F41ED9" w:rsidRDefault="009C13B5" w:rsidP="001F4052">
            <w:pPr>
              <w:pStyle w:val="TableText"/>
              <w:spacing w:before="0" w:after="0"/>
              <w:rPr>
                <w:color w:val="000000"/>
                <w:szCs w:val="18"/>
              </w:rPr>
            </w:pPr>
            <w:r w:rsidRPr="00700DAE">
              <w:rPr>
                <w:color w:val="000000"/>
                <w:szCs w:val="18"/>
              </w:rPr>
              <w:t>34</w:t>
            </w:r>
          </w:p>
        </w:tc>
        <w:tc>
          <w:tcPr>
            <w:tcW w:w="560" w:type="pct"/>
            <w:vAlign w:val="center"/>
          </w:tcPr>
          <w:p w14:paraId="6EB678C8" w14:textId="61E8757F" w:rsidR="009C13B5" w:rsidRPr="00F41ED9" w:rsidRDefault="009C13B5" w:rsidP="001F4052">
            <w:pPr>
              <w:pStyle w:val="TableText"/>
              <w:spacing w:before="0" w:after="0"/>
              <w:rPr>
                <w:color w:val="000000"/>
                <w:szCs w:val="18"/>
              </w:rPr>
            </w:pPr>
            <w:r w:rsidRPr="00700DAE">
              <w:rPr>
                <w:color w:val="000000"/>
                <w:szCs w:val="18"/>
              </w:rPr>
              <w:t>40</w:t>
            </w:r>
          </w:p>
        </w:tc>
        <w:tc>
          <w:tcPr>
            <w:tcW w:w="559" w:type="pct"/>
            <w:vAlign w:val="center"/>
          </w:tcPr>
          <w:p w14:paraId="69449128" w14:textId="2DF06FA4" w:rsidR="009C13B5" w:rsidRPr="00F41ED9" w:rsidRDefault="009C13B5" w:rsidP="001F4052">
            <w:pPr>
              <w:pStyle w:val="TableText"/>
              <w:spacing w:before="0" w:after="0"/>
              <w:rPr>
                <w:color w:val="000000"/>
                <w:szCs w:val="18"/>
              </w:rPr>
            </w:pPr>
            <w:r w:rsidRPr="00700DAE">
              <w:rPr>
                <w:color w:val="000000"/>
                <w:szCs w:val="18"/>
              </w:rPr>
              <w:t>45</w:t>
            </w:r>
          </w:p>
        </w:tc>
        <w:tc>
          <w:tcPr>
            <w:tcW w:w="560" w:type="pct"/>
            <w:vAlign w:val="center"/>
          </w:tcPr>
          <w:p w14:paraId="06819928" w14:textId="7BF7ACA2" w:rsidR="009C13B5" w:rsidRPr="00F41ED9" w:rsidRDefault="009C13B5" w:rsidP="001F4052">
            <w:pPr>
              <w:pStyle w:val="TableText"/>
              <w:spacing w:before="0" w:after="0"/>
              <w:rPr>
                <w:color w:val="000000"/>
                <w:szCs w:val="18"/>
              </w:rPr>
            </w:pPr>
            <w:r w:rsidRPr="00700DAE">
              <w:rPr>
                <w:color w:val="000000"/>
                <w:szCs w:val="18"/>
              </w:rPr>
              <w:t>45</w:t>
            </w:r>
          </w:p>
        </w:tc>
        <w:tc>
          <w:tcPr>
            <w:tcW w:w="558" w:type="pct"/>
            <w:vAlign w:val="center"/>
          </w:tcPr>
          <w:p w14:paraId="34DD3D0B" w14:textId="67A6BCAF" w:rsidR="009C13B5" w:rsidRPr="00F41ED9" w:rsidRDefault="009C13B5" w:rsidP="001F4052">
            <w:pPr>
              <w:pStyle w:val="TableText"/>
              <w:spacing w:before="0" w:after="0"/>
              <w:rPr>
                <w:color w:val="000000"/>
                <w:szCs w:val="18"/>
              </w:rPr>
            </w:pPr>
            <w:r w:rsidRPr="00700DAE">
              <w:rPr>
                <w:color w:val="000000"/>
                <w:szCs w:val="18"/>
              </w:rPr>
              <w:t>45</w:t>
            </w:r>
          </w:p>
        </w:tc>
      </w:tr>
      <w:tr w:rsidR="00D86180" w:rsidRPr="00121202" w14:paraId="103843E5" w14:textId="77777777" w:rsidTr="00E44DE7">
        <w:tc>
          <w:tcPr>
            <w:tcW w:w="1644" w:type="pct"/>
            <w:vAlign w:val="center"/>
          </w:tcPr>
          <w:p w14:paraId="2BB07B4C" w14:textId="441828AD" w:rsidR="00D86180" w:rsidRPr="00B01CC4" w:rsidRDefault="000670E7" w:rsidP="001F4052">
            <w:pPr>
              <w:pStyle w:val="TableText"/>
              <w:spacing w:before="0" w:after="0"/>
              <w:rPr>
                <w:i/>
              </w:rPr>
            </w:pPr>
            <w:r>
              <w:rPr>
                <w:i/>
                <w:iCs/>
              </w:rPr>
              <w:t xml:space="preserve">Commentary </w:t>
            </w:r>
            <w:r w:rsidR="004D246C">
              <w:rPr>
                <w:i/>
                <w:iCs/>
              </w:rPr>
              <w:t xml:space="preserve">alternate </w:t>
            </w:r>
            <w:r w:rsidR="00D86180">
              <w:rPr>
                <w:i/>
                <w:iCs/>
              </w:rPr>
              <w:t>estimate of patients utilising the modifier item</w:t>
            </w:r>
          </w:p>
        </w:tc>
        <w:tc>
          <w:tcPr>
            <w:tcW w:w="559" w:type="pct"/>
            <w:vAlign w:val="center"/>
          </w:tcPr>
          <w:p w14:paraId="2C76E6D5" w14:textId="2F6562D6" w:rsidR="00D86180" w:rsidRPr="00B01CC4" w:rsidRDefault="00AA0CA2" w:rsidP="001F4052">
            <w:pPr>
              <w:pStyle w:val="TableText"/>
              <w:spacing w:before="0" w:after="0"/>
              <w:rPr>
                <w:szCs w:val="18"/>
              </w:rPr>
            </w:pPr>
            <w:r w:rsidRPr="00B01CC4">
              <w:rPr>
                <w:i/>
                <w:szCs w:val="18"/>
              </w:rPr>
              <w:t>38</w:t>
            </w:r>
          </w:p>
        </w:tc>
        <w:tc>
          <w:tcPr>
            <w:tcW w:w="560" w:type="pct"/>
            <w:vAlign w:val="center"/>
          </w:tcPr>
          <w:p w14:paraId="68823325" w14:textId="5F8D6AE8" w:rsidR="00D86180" w:rsidRPr="00B01CC4" w:rsidRDefault="00AA0CA2" w:rsidP="001F4052">
            <w:pPr>
              <w:pStyle w:val="TableText"/>
              <w:spacing w:before="0" w:after="0"/>
              <w:rPr>
                <w:szCs w:val="18"/>
              </w:rPr>
            </w:pPr>
            <w:r w:rsidRPr="00B01CC4">
              <w:rPr>
                <w:i/>
                <w:szCs w:val="18"/>
              </w:rPr>
              <w:t>46</w:t>
            </w:r>
          </w:p>
        </w:tc>
        <w:tc>
          <w:tcPr>
            <w:tcW w:w="560" w:type="pct"/>
            <w:vAlign w:val="center"/>
          </w:tcPr>
          <w:p w14:paraId="65F1145D" w14:textId="4F4B24D7" w:rsidR="00D86180" w:rsidRPr="00B01CC4" w:rsidRDefault="00AA0CA2" w:rsidP="001F4052">
            <w:pPr>
              <w:pStyle w:val="TableText"/>
              <w:spacing w:before="0" w:after="0"/>
              <w:rPr>
                <w:szCs w:val="18"/>
              </w:rPr>
            </w:pPr>
            <w:r w:rsidRPr="00B01CC4">
              <w:rPr>
                <w:i/>
                <w:szCs w:val="18"/>
              </w:rPr>
              <w:t>54</w:t>
            </w:r>
          </w:p>
        </w:tc>
        <w:tc>
          <w:tcPr>
            <w:tcW w:w="559" w:type="pct"/>
            <w:vAlign w:val="center"/>
          </w:tcPr>
          <w:p w14:paraId="6CA732A3" w14:textId="10D12ECA" w:rsidR="00D86180" w:rsidRPr="00B01CC4" w:rsidRDefault="00AA0CA2" w:rsidP="001F4052">
            <w:pPr>
              <w:pStyle w:val="TableText"/>
              <w:spacing w:before="0" w:after="0"/>
              <w:rPr>
                <w:szCs w:val="18"/>
              </w:rPr>
            </w:pPr>
            <w:r w:rsidRPr="00B01CC4">
              <w:rPr>
                <w:i/>
                <w:szCs w:val="18"/>
              </w:rPr>
              <w:t>61</w:t>
            </w:r>
          </w:p>
        </w:tc>
        <w:tc>
          <w:tcPr>
            <w:tcW w:w="560" w:type="pct"/>
            <w:vAlign w:val="center"/>
          </w:tcPr>
          <w:p w14:paraId="654E84E8" w14:textId="43FCB753" w:rsidR="00D86180" w:rsidRPr="00B01CC4" w:rsidRDefault="00AA0CA2" w:rsidP="001F4052">
            <w:pPr>
              <w:pStyle w:val="TableText"/>
              <w:spacing w:before="0" w:after="0"/>
              <w:rPr>
                <w:szCs w:val="18"/>
              </w:rPr>
            </w:pPr>
            <w:r w:rsidRPr="00B01CC4">
              <w:rPr>
                <w:i/>
                <w:szCs w:val="18"/>
              </w:rPr>
              <w:t>61</w:t>
            </w:r>
          </w:p>
        </w:tc>
        <w:tc>
          <w:tcPr>
            <w:tcW w:w="558" w:type="pct"/>
            <w:vAlign w:val="center"/>
          </w:tcPr>
          <w:p w14:paraId="104DB57D" w14:textId="5111D0FB" w:rsidR="00D86180" w:rsidRPr="00B01CC4" w:rsidRDefault="00AA0CA2" w:rsidP="001F4052">
            <w:pPr>
              <w:pStyle w:val="TableText"/>
              <w:spacing w:before="0" w:after="0"/>
              <w:rPr>
                <w:szCs w:val="18"/>
              </w:rPr>
            </w:pPr>
            <w:r w:rsidRPr="00B01CC4">
              <w:rPr>
                <w:i/>
                <w:szCs w:val="18"/>
              </w:rPr>
              <w:t>61</w:t>
            </w:r>
          </w:p>
        </w:tc>
      </w:tr>
      <w:tr w:rsidR="009C13B5" w:rsidRPr="00121202" w14:paraId="3CFD42A0" w14:textId="77777777" w:rsidTr="00E44DE7">
        <w:tc>
          <w:tcPr>
            <w:tcW w:w="1644" w:type="pct"/>
            <w:vAlign w:val="center"/>
          </w:tcPr>
          <w:p w14:paraId="6EE6C3FC" w14:textId="006870DF" w:rsidR="009C13B5" w:rsidRPr="008737A9" w:rsidRDefault="009C13B5" w:rsidP="001F4052">
            <w:pPr>
              <w:pStyle w:val="TableText"/>
              <w:spacing w:before="0" w:after="0"/>
              <w:rPr>
                <w:vertAlign w:val="superscript"/>
              </w:rPr>
            </w:pPr>
            <w:r>
              <w:t>Total cost of modifier item</w:t>
            </w:r>
            <w:r w:rsidR="00072268">
              <w:t xml:space="preserve"> </w:t>
            </w:r>
            <w:r w:rsidR="00DE1F0E" w:rsidRPr="008737A9">
              <w:rPr>
                <w:vertAlign w:val="superscript"/>
              </w:rPr>
              <w:t>i</w:t>
            </w:r>
          </w:p>
        </w:tc>
        <w:tc>
          <w:tcPr>
            <w:tcW w:w="559" w:type="pct"/>
            <w:vAlign w:val="center"/>
          </w:tcPr>
          <w:p w14:paraId="25F983AC" w14:textId="02A16CE8" w:rsidR="009C13B5" w:rsidRPr="00B01CC4" w:rsidRDefault="009C13B5" w:rsidP="001F4052">
            <w:pPr>
              <w:pStyle w:val="TableText"/>
              <w:spacing w:before="0" w:after="0"/>
              <w:rPr>
                <w:szCs w:val="18"/>
              </w:rPr>
            </w:pPr>
            <w:r w:rsidRPr="00B01CC4">
              <w:rPr>
                <w:szCs w:val="18"/>
              </w:rPr>
              <w:t>$10,871</w:t>
            </w:r>
          </w:p>
        </w:tc>
        <w:tc>
          <w:tcPr>
            <w:tcW w:w="560" w:type="pct"/>
            <w:vAlign w:val="center"/>
          </w:tcPr>
          <w:p w14:paraId="703D3154" w14:textId="05DB9FE8" w:rsidR="009C13B5" w:rsidRPr="00B01CC4" w:rsidRDefault="009C13B5" w:rsidP="001F4052">
            <w:pPr>
              <w:pStyle w:val="TableText"/>
              <w:spacing w:before="0" w:after="0"/>
              <w:rPr>
                <w:szCs w:val="18"/>
              </w:rPr>
            </w:pPr>
            <w:r w:rsidRPr="00B01CC4">
              <w:rPr>
                <w:szCs w:val="18"/>
              </w:rPr>
              <w:t>$12,822</w:t>
            </w:r>
          </w:p>
        </w:tc>
        <w:tc>
          <w:tcPr>
            <w:tcW w:w="560" w:type="pct"/>
            <w:vAlign w:val="center"/>
          </w:tcPr>
          <w:p w14:paraId="769A472B" w14:textId="55922D6C" w:rsidR="009C13B5" w:rsidRPr="00B01CC4" w:rsidRDefault="009C13B5" w:rsidP="001F4052">
            <w:pPr>
              <w:pStyle w:val="TableText"/>
              <w:spacing w:before="0" w:after="0"/>
              <w:rPr>
                <w:szCs w:val="18"/>
              </w:rPr>
            </w:pPr>
            <w:r w:rsidRPr="00B01CC4">
              <w:rPr>
                <w:szCs w:val="18"/>
              </w:rPr>
              <w:t>$15,349</w:t>
            </w:r>
          </w:p>
        </w:tc>
        <w:tc>
          <w:tcPr>
            <w:tcW w:w="559" w:type="pct"/>
            <w:vAlign w:val="center"/>
          </w:tcPr>
          <w:p w14:paraId="17A92CF1" w14:textId="63E56429" w:rsidR="009C13B5" w:rsidRPr="00B01CC4" w:rsidRDefault="009C13B5" w:rsidP="001F4052">
            <w:pPr>
              <w:pStyle w:val="TableText"/>
              <w:spacing w:before="0" w:after="0"/>
              <w:rPr>
                <w:szCs w:val="18"/>
              </w:rPr>
            </w:pPr>
            <w:r w:rsidRPr="00B01CC4">
              <w:rPr>
                <w:szCs w:val="18"/>
              </w:rPr>
              <w:t>$17,260</w:t>
            </w:r>
          </w:p>
        </w:tc>
        <w:tc>
          <w:tcPr>
            <w:tcW w:w="560" w:type="pct"/>
            <w:vAlign w:val="center"/>
          </w:tcPr>
          <w:p w14:paraId="502DD7D1" w14:textId="724064F0" w:rsidR="009C13B5" w:rsidRPr="00B01CC4" w:rsidRDefault="009C13B5" w:rsidP="001F4052">
            <w:pPr>
              <w:pStyle w:val="TableText"/>
              <w:spacing w:before="0" w:after="0"/>
              <w:rPr>
                <w:szCs w:val="18"/>
              </w:rPr>
            </w:pPr>
            <w:r w:rsidRPr="00B01CC4">
              <w:rPr>
                <w:szCs w:val="18"/>
              </w:rPr>
              <w:t>$17,260</w:t>
            </w:r>
          </w:p>
        </w:tc>
        <w:tc>
          <w:tcPr>
            <w:tcW w:w="558" w:type="pct"/>
            <w:vAlign w:val="center"/>
          </w:tcPr>
          <w:p w14:paraId="09BD4498" w14:textId="2B6D488B" w:rsidR="009C13B5" w:rsidRPr="00B01CC4" w:rsidRDefault="009C13B5" w:rsidP="001F4052">
            <w:pPr>
              <w:pStyle w:val="TableText"/>
              <w:spacing w:before="0" w:after="0"/>
              <w:rPr>
                <w:szCs w:val="18"/>
              </w:rPr>
            </w:pPr>
            <w:r w:rsidRPr="00B01CC4">
              <w:rPr>
                <w:szCs w:val="18"/>
              </w:rPr>
              <w:t>$17,260</w:t>
            </w:r>
          </w:p>
        </w:tc>
      </w:tr>
      <w:tr w:rsidR="00D86180" w:rsidRPr="00121202" w14:paraId="2172E6F3" w14:textId="77777777" w:rsidTr="00E44DE7">
        <w:tc>
          <w:tcPr>
            <w:tcW w:w="1644" w:type="pct"/>
            <w:vAlign w:val="center"/>
          </w:tcPr>
          <w:p w14:paraId="4245E6CD" w14:textId="642CA95D" w:rsidR="00D86180" w:rsidRPr="00597D53" w:rsidRDefault="000670E7" w:rsidP="001F4052">
            <w:pPr>
              <w:pStyle w:val="TableText"/>
              <w:spacing w:before="0" w:after="0"/>
              <w:rPr>
                <w:i/>
              </w:rPr>
            </w:pPr>
            <w:r>
              <w:rPr>
                <w:i/>
                <w:iCs/>
              </w:rPr>
              <w:t xml:space="preserve">Commentary </w:t>
            </w:r>
            <w:r w:rsidR="004D246C">
              <w:rPr>
                <w:i/>
                <w:iCs/>
              </w:rPr>
              <w:t xml:space="preserve">alternate </w:t>
            </w:r>
            <w:r w:rsidR="00B21B51" w:rsidRPr="00597D53">
              <w:rPr>
                <w:i/>
              </w:rPr>
              <w:t>estimate for total cost of modifier item</w:t>
            </w:r>
          </w:p>
        </w:tc>
        <w:tc>
          <w:tcPr>
            <w:tcW w:w="559" w:type="pct"/>
            <w:vAlign w:val="center"/>
          </w:tcPr>
          <w:p w14:paraId="0EB41BE5" w14:textId="08FD364D" w:rsidR="00D86180" w:rsidRPr="00DC0BA4" w:rsidRDefault="00B01CC4" w:rsidP="001F4052">
            <w:pPr>
              <w:pStyle w:val="TableText"/>
              <w:spacing w:before="0" w:after="0"/>
              <w:rPr>
                <w:szCs w:val="18"/>
              </w:rPr>
            </w:pPr>
            <w:r w:rsidRPr="00DC0BA4">
              <w:rPr>
                <w:i/>
              </w:rPr>
              <w:t>$13,259</w:t>
            </w:r>
          </w:p>
        </w:tc>
        <w:tc>
          <w:tcPr>
            <w:tcW w:w="560" w:type="pct"/>
            <w:vAlign w:val="center"/>
          </w:tcPr>
          <w:p w14:paraId="2E9ED65E" w14:textId="7518E350" w:rsidR="00D86180" w:rsidRPr="00DC0BA4" w:rsidRDefault="00B01CC4" w:rsidP="001F4052">
            <w:pPr>
              <w:pStyle w:val="TableText"/>
              <w:spacing w:before="0" w:after="0"/>
              <w:rPr>
                <w:szCs w:val="18"/>
              </w:rPr>
            </w:pPr>
            <w:r w:rsidRPr="00DC0BA4">
              <w:rPr>
                <w:i/>
              </w:rPr>
              <w:t>$15,687</w:t>
            </w:r>
          </w:p>
        </w:tc>
        <w:tc>
          <w:tcPr>
            <w:tcW w:w="560" w:type="pct"/>
            <w:vAlign w:val="center"/>
          </w:tcPr>
          <w:p w14:paraId="1E929424" w14:textId="56D56EDE" w:rsidR="00D86180" w:rsidRPr="00DC0BA4" w:rsidRDefault="00B01CC4" w:rsidP="001F4052">
            <w:pPr>
              <w:pStyle w:val="TableText"/>
              <w:spacing w:before="0" w:after="0"/>
              <w:rPr>
                <w:szCs w:val="18"/>
              </w:rPr>
            </w:pPr>
            <w:r w:rsidRPr="00DC0BA4">
              <w:rPr>
                <w:i/>
              </w:rPr>
              <w:t>$18,692</w:t>
            </w:r>
          </w:p>
        </w:tc>
        <w:tc>
          <w:tcPr>
            <w:tcW w:w="559" w:type="pct"/>
            <w:vAlign w:val="center"/>
          </w:tcPr>
          <w:p w14:paraId="7849E132" w14:textId="550B2FC3" w:rsidR="00D86180" w:rsidRPr="00DC0BA4" w:rsidRDefault="00B01CC4" w:rsidP="001F4052">
            <w:pPr>
              <w:pStyle w:val="TableText"/>
              <w:spacing w:before="0" w:after="0"/>
              <w:rPr>
                <w:szCs w:val="18"/>
              </w:rPr>
            </w:pPr>
            <w:r w:rsidRPr="00DC0BA4">
              <w:rPr>
                <w:i/>
              </w:rPr>
              <w:t>$21,081</w:t>
            </w:r>
          </w:p>
        </w:tc>
        <w:tc>
          <w:tcPr>
            <w:tcW w:w="560" w:type="pct"/>
            <w:vAlign w:val="center"/>
          </w:tcPr>
          <w:p w14:paraId="45513D3D" w14:textId="29342202" w:rsidR="00D86180" w:rsidRPr="00DC0BA4" w:rsidRDefault="00B01CC4" w:rsidP="001F4052">
            <w:pPr>
              <w:pStyle w:val="TableText"/>
              <w:spacing w:before="0" w:after="0"/>
              <w:rPr>
                <w:szCs w:val="18"/>
              </w:rPr>
            </w:pPr>
            <w:r w:rsidRPr="00DC0BA4">
              <w:rPr>
                <w:i/>
              </w:rPr>
              <w:t>$21,081</w:t>
            </w:r>
          </w:p>
        </w:tc>
        <w:tc>
          <w:tcPr>
            <w:tcW w:w="558" w:type="pct"/>
            <w:vAlign w:val="center"/>
          </w:tcPr>
          <w:p w14:paraId="58A73396" w14:textId="50097C38" w:rsidR="00D86180" w:rsidRPr="00DC0BA4" w:rsidRDefault="00B01CC4" w:rsidP="001F4052">
            <w:pPr>
              <w:pStyle w:val="TableText"/>
              <w:spacing w:before="0" w:after="0"/>
              <w:rPr>
                <w:szCs w:val="18"/>
              </w:rPr>
            </w:pPr>
            <w:r w:rsidRPr="00DC0BA4">
              <w:rPr>
                <w:i/>
              </w:rPr>
              <w:t>$21,081</w:t>
            </w:r>
          </w:p>
        </w:tc>
      </w:tr>
      <w:tr w:rsidR="009C13B5" w:rsidRPr="00121202" w14:paraId="0316F877" w14:textId="77777777" w:rsidTr="00E44DE7">
        <w:tc>
          <w:tcPr>
            <w:tcW w:w="1644" w:type="pct"/>
          </w:tcPr>
          <w:p w14:paraId="5AF1D1EF" w14:textId="61CBF3C9" w:rsidR="009C13B5" w:rsidRPr="008737A9" w:rsidRDefault="009C13B5" w:rsidP="001F4052">
            <w:pPr>
              <w:pStyle w:val="TableText"/>
              <w:spacing w:before="0" w:after="0"/>
              <w:rPr>
                <w:vertAlign w:val="superscript"/>
              </w:rPr>
            </w:pPr>
            <w:r>
              <w:t>Net cost to MBS</w:t>
            </w:r>
            <w:r w:rsidR="00072268">
              <w:t xml:space="preserve"> </w:t>
            </w:r>
            <w:r w:rsidR="003E2043" w:rsidRPr="008737A9">
              <w:rPr>
                <w:vertAlign w:val="superscript"/>
              </w:rPr>
              <w:t>j</w:t>
            </w:r>
          </w:p>
        </w:tc>
        <w:tc>
          <w:tcPr>
            <w:tcW w:w="559" w:type="pct"/>
            <w:vAlign w:val="center"/>
          </w:tcPr>
          <w:p w14:paraId="0A0FA78D" w14:textId="1A84D1FE" w:rsidR="009C13B5" w:rsidRPr="009C13B5" w:rsidRDefault="009C13B5" w:rsidP="001F4052">
            <w:pPr>
              <w:pStyle w:val="TableText"/>
              <w:spacing w:before="0" w:after="0"/>
              <w:rPr>
                <w:color w:val="000000"/>
                <w:szCs w:val="18"/>
              </w:rPr>
            </w:pPr>
            <w:r w:rsidRPr="008737A9">
              <w:rPr>
                <w:color w:val="000000"/>
                <w:szCs w:val="18"/>
              </w:rPr>
              <w:t>$10,871</w:t>
            </w:r>
          </w:p>
        </w:tc>
        <w:tc>
          <w:tcPr>
            <w:tcW w:w="560" w:type="pct"/>
            <w:vAlign w:val="center"/>
          </w:tcPr>
          <w:p w14:paraId="159B8B04" w14:textId="7478BA69" w:rsidR="009C13B5" w:rsidRPr="009C13B5" w:rsidRDefault="009C13B5" w:rsidP="001F4052">
            <w:pPr>
              <w:pStyle w:val="TableText"/>
              <w:spacing w:before="0" w:after="0"/>
              <w:rPr>
                <w:color w:val="000000"/>
                <w:szCs w:val="18"/>
              </w:rPr>
            </w:pPr>
            <w:r w:rsidRPr="008737A9">
              <w:rPr>
                <w:color w:val="000000"/>
                <w:szCs w:val="18"/>
              </w:rPr>
              <w:t>$12,822</w:t>
            </w:r>
          </w:p>
        </w:tc>
        <w:tc>
          <w:tcPr>
            <w:tcW w:w="560" w:type="pct"/>
            <w:vAlign w:val="center"/>
          </w:tcPr>
          <w:p w14:paraId="0B30D42D" w14:textId="569456BD" w:rsidR="009C13B5" w:rsidRPr="009C13B5" w:rsidRDefault="009C13B5" w:rsidP="001F4052">
            <w:pPr>
              <w:pStyle w:val="TableText"/>
              <w:spacing w:before="0" w:after="0"/>
              <w:rPr>
                <w:color w:val="000000"/>
                <w:szCs w:val="18"/>
              </w:rPr>
            </w:pPr>
            <w:r w:rsidRPr="008737A9">
              <w:rPr>
                <w:color w:val="000000"/>
                <w:szCs w:val="18"/>
              </w:rPr>
              <w:t>$15,349</w:t>
            </w:r>
          </w:p>
        </w:tc>
        <w:tc>
          <w:tcPr>
            <w:tcW w:w="559" w:type="pct"/>
            <w:vAlign w:val="center"/>
          </w:tcPr>
          <w:p w14:paraId="6B486CE8" w14:textId="13D06F99" w:rsidR="009C13B5" w:rsidRPr="009C13B5" w:rsidRDefault="009C13B5" w:rsidP="001F4052">
            <w:pPr>
              <w:pStyle w:val="TableText"/>
              <w:spacing w:before="0" w:after="0"/>
              <w:rPr>
                <w:color w:val="000000"/>
                <w:szCs w:val="18"/>
              </w:rPr>
            </w:pPr>
            <w:r w:rsidRPr="008737A9">
              <w:rPr>
                <w:color w:val="000000"/>
                <w:szCs w:val="18"/>
              </w:rPr>
              <w:t>$17,260</w:t>
            </w:r>
          </w:p>
        </w:tc>
        <w:tc>
          <w:tcPr>
            <w:tcW w:w="560" w:type="pct"/>
            <w:vAlign w:val="center"/>
          </w:tcPr>
          <w:p w14:paraId="5486E0B7" w14:textId="3E55F961" w:rsidR="009C13B5" w:rsidRPr="009C13B5" w:rsidRDefault="009C13B5" w:rsidP="001F4052">
            <w:pPr>
              <w:pStyle w:val="TableText"/>
              <w:spacing w:before="0" w:after="0"/>
              <w:rPr>
                <w:color w:val="000000"/>
                <w:szCs w:val="18"/>
              </w:rPr>
            </w:pPr>
            <w:r w:rsidRPr="008737A9">
              <w:rPr>
                <w:color w:val="000000"/>
                <w:szCs w:val="18"/>
              </w:rPr>
              <w:t>$17,260</w:t>
            </w:r>
          </w:p>
        </w:tc>
        <w:tc>
          <w:tcPr>
            <w:tcW w:w="558" w:type="pct"/>
            <w:vAlign w:val="center"/>
          </w:tcPr>
          <w:p w14:paraId="55679DA0" w14:textId="034CCBF1" w:rsidR="009C13B5" w:rsidRPr="009C13B5" w:rsidRDefault="009C13B5" w:rsidP="001F4052">
            <w:pPr>
              <w:pStyle w:val="TableText"/>
              <w:spacing w:before="0" w:after="0"/>
              <w:rPr>
                <w:color w:val="000000"/>
                <w:szCs w:val="18"/>
              </w:rPr>
            </w:pPr>
            <w:r w:rsidRPr="008737A9">
              <w:rPr>
                <w:color w:val="000000"/>
                <w:szCs w:val="18"/>
              </w:rPr>
              <w:t>$17,260</w:t>
            </w:r>
          </w:p>
        </w:tc>
      </w:tr>
      <w:tr w:rsidR="00E44DE7" w:rsidRPr="00121202" w14:paraId="01274C41" w14:textId="77777777" w:rsidTr="00E44DE7">
        <w:tc>
          <w:tcPr>
            <w:tcW w:w="1644" w:type="pct"/>
          </w:tcPr>
          <w:p w14:paraId="47BCBFB3" w14:textId="0E6F446F" w:rsidR="00E44DE7" w:rsidRPr="00597D53" w:rsidRDefault="00E44DE7" w:rsidP="001F4052">
            <w:pPr>
              <w:pStyle w:val="TableText"/>
              <w:spacing w:before="0" w:after="0"/>
              <w:rPr>
                <w:i/>
                <w:vertAlign w:val="superscript"/>
              </w:rPr>
            </w:pPr>
            <w:r w:rsidRPr="00597D53">
              <w:rPr>
                <w:i/>
              </w:rPr>
              <w:t>Commentary alternative net cost to MBS</w:t>
            </w:r>
            <w:r w:rsidR="00BE30DC">
              <w:rPr>
                <w:i/>
                <w:iCs/>
              </w:rPr>
              <w:t xml:space="preserve"> </w:t>
            </w:r>
            <w:r w:rsidR="00BE30DC">
              <w:rPr>
                <w:i/>
                <w:iCs/>
                <w:vertAlign w:val="superscript"/>
              </w:rPr>
              <w:t>j</w:t>
            </w:r>
          </w:p>
        </w:tc>
        <w:tc>
          <w:tcPr>
            <w:tcW w:w="559" w:type="pct"/>
            <w:vAlign w:val="center"/>
          </w:tcPr>
          <w:p w14:paraId="2F131B2F" w14:textId="6633D075" w:rsidR="00E44DE7" w:rsidRPr="00597D53" w:rsidRDefault="00E44DE7" w:rsidP="001F4052">
            <w:pPr>
              <w:pStyle w:val="TableText"/>
              <w:spacing w:before="0" w:after="0"/>
              <w:rPr>
                <w:i/>
                <w:color w:val="000000"/>
                <w:szCs w:val="18"/>
              </w:rPr>
            </w:pPr>
            <w:r w:rsidRPr="00E44DE7">
              <w:rPr>
                <w:i/>
                <w:iCs/>
              </w:rPr>
              <w:t>$13,259</w:t>
            </w:r>
          </w:p>
        </w:tc>
        <w:tc>
          <w:tcPr>
            <w:tcW w:w="560" w:type="pct"/>
            <w:vAlign w:val="center"/>
          </w:tcPr>
          <w:p w14:paraId="0B0695CC" w14:textId="6CD112A2" w:rsidR="00E44DE7" w:rsidRPr="00597D53" w:rsidRDefault="00E44DE7" w:rsidP="001F4052">
            <w:pPr>
              <w:pStyle w:val="TableText"/>
              <w:spacing w:before="0" w:after="0"/>
              <w:rPr>
                <w:i/>
                <w:color w:val="000000"/>
                <w:szCs w:val="18"/>
              </w:rPr>
            </w:pPr>
            <w:r w:rsidRPr="00E44DE7">
              <w:rPr>
                <w:i/>
                <w:iCs/>
              </w:rPr>
              <w:t>$15,687</w:t>
            </w:r>
          </w:p>
        </w:tc>
        <w:tc>
          <w:tcPr>
            <w:tcW w:w="560" w:type="pct"/>
            <w:vAlign w:val="center"/>
          </w:tcPr>
          <w:p w14:paraId="16AD5DAC" w14:textId="2BC4D3E7" w:rsidR="00E44DE7" w:rsidRPr="00597D53" w:rsidRDefault="00E44DE7" w:rsidP="001F4052">
            <w:pPr>
              <w:pStyle w:val="TableText"/>
              <w:spacing w:before="0" w:after="0"/>
              <w:rPr>
                <w:i/>
                <w:color w:val="000000"/>
                <w:szCs w:val="18"/>
              </w:rPr>
            </w:pPr>
            <w:r w:rsidRPr="00E44DE7">
              <w:rPr>
                <w:i/>
                <w:iCs/>
              </w:rPr>
              <w:t>$18,692</w:t>
            </w:r>
          </w:p>
        </w:tc>
        <w:tc>
          <w:tcPr>
            <w:tcW w:w="559" w:type="pct"/>
            <w:vAlign w:val="center"/>
          </w:tcPr>
          <w:p w14:paraId="13EF498F" w14:textId="390212EB" w:rsidR="00E44DE7" w:rsidRPr="00597D53" w:rsidRDefault="00E44DE7" w:rsidP="001F4052">
            <w:pPr>
              <w:pStyle w:val="TableText"/>
              <w:spacing w:before="0" w:after="0"/>
              <w:rPr>
                <w:i/>
                <w:color w:val="000000"/>
                <w:szCs w:val="18"/>
              </w:rPr>
            </w:pPr>
            <w:r w:rsidRPr="00E44DE7">
              <w:rPr>
                <w:i/>
                <w:iCs/>
              </w:rPr>
              <w:t>$21,081</w:t>
            </w:r>
          </w:p>
        </w:tc>
        <w:tc>
          <w:tcPr>
            <w:tcW w:w="560" w:type="pct"/>
            <w:vAlign w:val="center"/>
          </w:tcPr>
          <w:p w14:paraId="5DE59DA8" w14:textId="1F9C9E96" w:rsidR="00E44DE7" w:rsidRPr="00597D53" w:rsidRDefault="00E44DE7" w:rsidP="001F4052">
            <w:pPr>
              <w:pStyle w:val="TableText"/>
              <w:spacing w:before="0" w:after="0"/>
              <w:rPr>
                <w:i/>
                <w:color w:val="000000"/>
                <w:szCs w:val="18"/>
              </w:rPr>
            </w:pPr>
            <w:r w:rsidRPr="00E44DE7">
              <w:rPr>
                <w:i/>
                <w:iCs/>
              </w:rPr>
              <w:t>$21,081</w:t>
            </w:r>
          </w:p>
        </w:tc>
        <w:tc>
          <w:tcPr>
            <w:tcW w:w="558" w:type="pct"/>
            <w:vAlign w:val="center"/>
          </w:tcPr>
          <w:p w14:paraId="4CDE2466" w14:textId="567C9278" w:rsidR="00E44DE7" w:rsidRPr="00597D53" w:rsidRDefault="00E44DE7" w:rsidP="001F4052">
            <w:pPr>
              <w:pStyle w:val="TableText"/>
              <w:spacing w:before="0" w:after="0"/>
              <w:rPr>
                <w:i/>
                <w:color w:val="000000"/>
                <w:szCs w:val="18"/>
              </w:rPr>
            </w:pPr>
            <w:r w:rsidRPr="00E44DE7">
              <w:rPr>
                <w:i/>
                <w:iCs/>
              </w:rPr>
              <w:t>$21,081</w:t>
            </w:r>
          </w:p>
        </w:tc>
      </w:tr>
    </w:tbl>
    <w:p w14:paraId="4F876545" w14:textId="6173E474" w:rsidR="002754A3" w:rsidRDefault="007E2D7F" w:rsidP="001F4052">
      <w:pPr>
        <w:pStyle w:val="Tablenotes0"/>
        <w:spacing w:before="0" w:line="240" w:lineRule="auto"/>
      </w:pPr>
      <w:r>
        <w:t>Abbreviations:</w:t>
      </w:r>
      <w:r w:rsidR="008436A7" w:rsidRPr="008436A7">
        <w:t xml:space="preserve"> </w:t>
      </w:r>
      <w:r w:rsidR="008436A7">
        <w:t>ASCS</w:t>
      </w:r>
      <w:r w:rsidR="002754A3">
        <w:t xml:space="preserve"> =</w:t>
      </w:r>
      <w:r w:rsidR="008436A7">
        <w:t xml:space="preserve"> autologous skin cell suspension;</w:t>
      </w:r>
      <w:r w:rsidRPr="00043686">
        <w:t xml:space="preserve"> </w:t>
      </w:r>
      <w:r>
        <w:t>MBS</w:t>
      </w:r>
      <w:r w:rsidR="002754A3">
        <w:t xml:space="preserve"> =</w:t>
      </w:r>
      <w:r>
        <w:t xml:space="preserve"> Medicare Benefits Schedule; </w:t>
      </w:r>
      <w:r w:rsidR="002754A3">
        <w:t>STSG = split-thickness skin graft</w:t>
      </w:r>
    </w:p>
    <w:p w14:paraId="7C2DA13C" w14:textId="6ABFD3B6" w:rsidR="00664222" w:rsidRDefault="00664222" w:rsidP="0054173E">
      <w:pPr>
        <w:pStyle w:val="Tablenotes0"/>
        <w:spacing w:line="240" w:lineRule="auto"/>
      </w:pPr>
      <w:r w:rsidRPr="00D76EFB">
        <w:t>Source:</w:t>
      </w:r>
      <w:r w:rsidRPr="00D715A4">
        <w:t xml:space="preserve"> </w:t>
      </w:r>
      <w:r w:rsidR="00845EA2">
        <w:t>ADAR</w:t>
      </w:r>
      <w:r w:rsidRPr="00D715A4">
        <w:t xml:space="preserve"> Tables </w:t>
      </w:r>
      <w:r>
        <w:t>60-61 (pp 102-1-3)</w:t>
      </w:r>
      <w:r w:rsidRPr="00D715A4">
        <w:t xml:space="preserve">; Attachment </w:t>
      </w:r>
      <w:r w:rsidR="00EE4BEF">
        <w:t>4.1</w:t>
      </w:r>
      <w:r w:rsidR="001E7435">
        <w:t xml:space="preserve"> BIM</w:t>
      </w:r>
    </w:p>
    <w:p w14:paraId="5B3D00F9" w14:textId="0164F8DF" w:rsidR="0094011A" w:rsidRDefault="00C90DDC" w:rsidP="0054173E">
      <w:pPr>
        <w:pStyle w:val="Tablenotes0"/>
        <w:spacing w:line="240" w:lineRule="auto"/>
      </w:pPr>
      <w:r w:rsidRPr="00C90DDC">
        <w:rPr>
          <w:vertAlign w:val="superscript"/>
        </w:rPr>
        <w:t>a</w:t>
      </w:r>
      <w:r w:rsidR="00072268">
        <w:rPr>
          <w:vertAlign w:val="superscript"/>
        </w:rPr>
        <w:t xml:space="preserve"> </w:t>
      </w:r>
      <w:r w:rsidRPr="00937401">
        <w:t>e</w:t>
      </w:r>
      <w:r w:rsidR="00D37A1A" w:rsidRPr="00937401">
        <w:t>stimate</w:t>
      </w:r>
      <w:r w:rsidR="00D37A1A">
        <w:t xml:space="preserve"> based on </w:t>
      </w:r>
      <w:r w:rsidR="000D0239">
        <w:t xml:space="preserve">average </w:t>
      </w:r>
      <w:r w:rsidR="00EC723E">
        <w:t xml:space="preserve">number of patients </w:t>
      </w:r>
      <w:r w:rsidR="009E54C4">
        <w:t xml:space="preserve">with </w:t>
      </w:r>
      <w:r w:rsidR="00F1352F">
        <w:t xml:space="preserve">burns </w:t>
      </w:r>
      <w:r w:rsidR="00BB5808">
        <w:t>≥20%</w:t>
      </w:r>
      <w:r w:rsidR="00F1352F">
        <w:t xml:space="preserve"> TBSA </w:t>
      </w:r>
      <w:r w:rsidR="00B143B6">
        <w:t xml:space="preserve">and proportion of patients </w:t>
      </w:r>
      <w:r>
        <w:t xml:space="preserve">in Australia </w:t>
      </w:r>
      <w:r w:rsidR="00B143B6">
        <w:t>that have private health insurance (55%)</w:t>
      </w:r>
      <w:r w:rsidR="0094011A">
        <w:t>.</w:t>
      </w:r>
    </w:p>
    <w:p w14:paraId="7272F93A" w14:textId="549CEA8D" w:rsidR="00731B68" w:rsidRDefault="0094011A" w:rsidP="0054173E">
      <w:pPr>
        <w:pStyle w:val="Tablenotes0"/>
        <w:spacing w:line="240" w:lineRule="auto"/>
      </w:pPr>
      <w:r>
        <w:rPr>
          <w:vertAlign w:val="superscript"/>
        </w:rPr>
        <w:t>b</w:t>
      </w:r>
      <w:r w:rsidR="00072268">
        <w:rPr>
          <w:vertAlign w:val="superscript"/>
        </w:rPr>
        <w:t xml:space="preserve"> </w:t>
      </w:r>
      <w:r w:rsidR="005C5ECB" w:rsidRPr="00937401">
        <w:t>estimate</w:t>
      </w:r>
      <w:r w:rsidR="005C5ECB">
        <w:t xml:space="preserve"> based on utilisation</w:t>
      </w:r>
      <w:r w:rsidR="006E6B30">
        <w:t xml:space="preserve"> (access to private health insurance) </w:t>
      </w:r>
      <w:r w:rsidR="00B24A7F">
        <w:t>mult</w:t>
      </w:r>
      <w:r w:rsidR="00EE0957">
        <w:t>iplied by</w:t>
      </w:r>
      <w:r w:rsidR="006E6B30">
        <w:t xml:space="preserve"> </w:t>
      </w:r>
      <w:r w:rsidR="006C7F35">
        <w:t xml:space="preserve">MBS </w:t>
      </w:r>
      <w:r w:rsidR="006C7F35" w:rsidRPr="00937401">
        <w:t>item</w:t>
      </w:r>
      <w:r w:rsidR="006C7F35">
        <w:t xml:space="preserve"> </w:t>
      </w:r>
      <w:r w:rsidR="00173A2C">
        <w:t>fee</w:t>
      </w:r>
      <w:r w:rsidR="00DE5BC1">
        <w:t>s</w:t>
      </w:r>
      <w:r w:rsidR="00173A2C">
        <w:t xml:space="preserve"> at </w:t>
      </w:r>
      <w:r w:rsidR="00C01363">
        <w:t>75% benefit</w:t>
      </w:r>
      <w:r w:rsidR="007D0D81">
        <w:t>.</w:t>
      </w:r>
    </w:p>
    <w:p w14:paraId="2B9C64CD" w14:textId="7C81D7BB" w:rsidR="004976CD" w:rsidRDefault="000B4910" w:rsidP="0054173E">
      <w:pPr>
        <w:pStyle w:val="Tablenotes0"/>
        <w:spacing w:line="240" w:lineRule="auto"/>
      </w:pPr>
      <w:r>
        <w:rPr>
          <w:vertAlign w:val="superscript"/>
        </w:rPr>
        <w:t>c</w:t>
      </w:r>
      <w:r w:rsidR="00072268">
        <w:rPr>
          <w:vertAlign w:val="superscript"/>
        </w:rPr>
        <w:t xml:space="preserve"> </w:t>
      </w:r>
      <w:r w:rsidR="00A17459" w:rsidRPr="00937401">
        <w:t>e</w:t>
      </w:r>
      <w:r w:rsidR="004976CD" w:rsidRPr="00937401">
        <w:t>s</w:t>
      </w:r>
      <w:r w:rsidR="001941B9" w:rsidRPr="00937401">
        <w:t>timate</w:t>
      </w:r>
      <w:r w:rsidR="001941B9">
        <w:t xml:space="preserve"> based on uptake percentage proposed by the </w:t>
      </w:r>
      <w:r w:rsidR="00845EA2">
        <w:t>applicant</w:t>
      </w:r>
      <w:r w:rsidR="0091569F">
        <w:t xml:space="preserve"> </w:t>
      </w:r>
      <w:r w:rsidR="00EE0957">
        <w:t>multiplied by</w:t>
      </w:r>
      <w:r w:rsidR="00B947F2">
        <w:t xml:space="preserve"> total eligible patients</w:t>
      </w:r>
      <w:r w:rsidR="00C11F22">
        <w:t xml:space="preserve"> for </w:t>
      </w:r>
      <w:r w:rsidR="005E30B2">
        <w:t>ASCS</w:t>
      </w:r>
      <w:r w:rsidR="007D0D81">
        <w:t>.</w:t>
      </w:r>
    </w:p>
    <w:p w14:paraId="545C1183" w14:textId="1C3E25A2" w:rsidR="005E30B2" w:rsidRDefault="00DE5BC1" w:rsidP="0054173E">
      <w:pPr>
        <w:pStyle w:val="Tablenotes0"/>
        <w:spacing w:line="240" w:lineRule="auto"/>
      </w:pPr>
      <w:r w:rsidRPr="008737A9">
        <w:rPr>
          <w:vertAlign w:val="superscript"/>
        </w:rPr>
        <w:t>d</w:t>
      </w:r>
      <w:r>
        <w:t xml:space="preserve"> </w:t>
      </w:r>
      <w:r w:rsidRPr="00937401">
        <w:t>e</w:t>
      </w:r>
      <w:r w:rsidR="00E15D8D" w:rsidRPr="00937401">
        <w:t>stimate</w:t>
      </w:r>
      <w:r w:rsidR="00E15D8D">
        <w:t xml:space="preserve"> based on </w:t>
      </w:r>
      <w:r w:rsidR="00150AC8">
        <w:t xml:space="preserve">number of patients utilising </w:t>
      </w:r>
      <w:r w:rsidR="00DC403B">
        <w:t xml:space="preserve">ASCS times </w:t>
      </w:r>
      <w:r w:rsidR="00CC27B9">
        <w:t>MBS items fees</w:t>
      </w:r>
      <w:r>
        <w:t xml:space="preserve"> at 75% benefit.</w:t>
      </w:r>
    </w:p>
    <w:p w14:paraId="126BD745" w14:textId="21B419AB" w:rsidR="00DA1D22" w:rsidRDefault="005E6832" w:rsidP="0054173E">
      <w:pPr>
        <w:pStyle w:val="Tablenotes0"/>
        <w:spacing w:line="240" w:lineRule="auto"/>
      </w:pPr>
      <w:r w:rsidRPr="008737A9">
        <w:rPr>
          <w:vertAlign w:val="superscript"/>
        </w:rPr>
        <w:t>e</w:t>
      </w:r>
      <w:r>
        <w:t xml:space="preserve"> </w:t>
      </w:r>
      <w:r w:rsidRPr="00937401">
        <w:t>e</w:t>
      </w:r>
      <w:r w:rsidR="003249B9" w:rsidRPr="00937401">
        <w:t>stimate</w:t>
      </w:r>
      <w:r w:rsidR="003249B9">
        <w:t xml:space="preserve"> based on </w:t>
      </w:r>
      <w:r w:rsidR="00804B9D">
        <w:t xml:space="preserve">utilisation of </w:t>
      </w:r>
      <w:r w:rsidR="00EA4C5F">
        <w:t xml:space="preserve">ASCS times </w:t>
      </w:r>
      <w:r w:rsidR="00580BF0">
        <w:t>incidence</w:t>
      </w:r>
      <w:r w:rsidR="001B7C78">
        <w:t xml:space="preserve"> of STSG</w:t>
      </w:r>
      <w:r w:rsidR="00580BF0">
        <w:t xml:space="preserve"> </w:t>
      </w:r>
      <w:r w:rsidR="00434C00">
        <w:t xml:space="preserve">as </w:t>
      </w:r>
      <w:r w:rsidR="00580BF0">
        <w:t>proposed by Toppi e</w:t>
      </w:r>
      <w:r>
        <w:t>t. al. 2019.</w:t>
      </w:r>
    </w:p>
    <w:p w14:paraId="6CD0D69C" w14:textId="3D413B9D" w:rsidR="005E6832" w:rsidRDefault="00FB2E72" w:rsidP="0054173E">
      <w:pPr>
        <w:pStyle w:val="Tablenotes0"/>
        <w:spacing w:line="240" w:lineRule="auto"/>
      </w:pPr>
      <w:r w:rsidRPr="008737A9">
        <w:rPr>
          <w:vertAlign w:val="superscript"/>
        </w:rPr>
        <w:t xml:space="preserve">f </w:t>
      </w:r>
      <w:r w:rsidRPr="00937401">
        <w:t>e</w:t>
      </w:r>
      <w:r w:rsidR="00043A1F" w:rsidRPr="00937401">
        <w:t>stimate</w:t>
      </w:r>
      <w:r w:rsidR="00043A1F">
        <w:t xml:space="preserve"> based on </w:t>
      </w:r>
      <w:r w:rsidR="00141C3B">
        <w:t xml:space="preserve">number of patients using </w:t>
      </w:r>
      <w:r w:rsidR="00E94B13">
        <w:t xml:space="preserve">STSG times </w:t>
      </w:r>
      <w:r w:rsidR="00EA56B5">
        <w:t xml:space="preserve">MBS items cost at </w:t>
      </w:r>
      <w:r w:rsidR="00F83207">
        <w:t xml:space="preserve">75% benefit. </w:t>
      </w:r>
    </w:p>
    <w:p w14:paraId="6D96C7FA" w14:textId="44FC2574" w:rsidR="00FB2E72" w:rsidRDefault="002F2F00" w:rsidP="0054173E">
      <w:pPr>
        <w:pStyle w:val="Tablenotes0"/>
        <w:spacing w:line="240" w:lineRule="auto"/>
      </w:pPr>
      <w:r>
        <w:rPr>
          <w:vertAlign w:val="superscript"/>
        </w:rPr>
        <w:t>g</w:t>
      </w:r>
      <w:r w:rsidR="00F5552F">
        <w:t xml:space="preserve"> </w:t>
      </w:r>
      <w:r>
        <w:t xml:space="preserve">total cost of ASCS plus </w:t>
      </w:r>
      <w:r w:rsidR="00061F6F">
        <w:t xml:space="preserve">total </w:t>
      </w:r>
      <w:r>
        <w:t>cost of STSG</w:t>
      </w:r>
      <w:r w:rsidR="007036F0">
        <w:t>.</w:t>
      </w:r>
    </w:p>
    <w:p w14:paraId="0D8EA901" w14:textId="5592209F" w:rsidR="002F2F00" w:rsidRDefault="002F2F00" w:rsidP="0054173E">
      <w:pPr>
        <w:pStyle w:val="Tablenotes0"/>
        <w:spacing w:line="240" w:lineRule="auto"/>
      </w:pPr>
      <w:r w:rsidRPr="008737A9">
        <w:rPr>
          <w:vertAlign w:val="superscript"/>
        </w:rPr>
        <w:t>h</w:t>
      </w:r>
      <w:r>
        <w:t xml:space="preserve"> </w:t>
      </w:r>
      <w:r w:rsidR="00EF52DD">
        <w:t>u</w:t>
      </w:r>
      <w:r w:rsidR="00734BD7">
        <w:t>tilisation of ASCS</w:t>
      </w:r>
      <w:r w:rsidR="00AD18F2">
        <w:t xml:space="preserve"> </w:t>
      </w:r>
      <w:r w:rsidR="00F84FE2">
        <w:t xml:space="preserve">times </w:t>
      </w:r>
      <w:r w:rsidR="00EF52DD">
        <w:t>proportion of use of modifier item 65%</w:t>
      </w:r>
      <w:r w:rsidR="00323B7B">
        <w:t xml:space="preserve"> as </w:t>
      </w:r>
      <w:r w:rsidR="00990016">
        <w:t xml:space="preserve">reported by Lim et.al. </w:t>
      </w:r>
      <w:r w:rsidR="002636ED">
        <w:t>2014</w:t>
      </w:r>
      <w:r w:rsidR="00EF52DD">
        <w:t xml:space="preserve">. </w:t>
      </w:r>
    </w:p>
    <w:p w14:paraId="015358A0" w14:textId="6DC31D16" w:rsidR="00EF52DD" w:rsidRDefault="006A145A" w:rsidP="0054173E">
      <w:pPr>
        <w:pStyle w:val="Tablenotes0"/>
        <w:spacing w:line="240" w:lineRule="auto"/>
      </w:pPr>
      <w:r>
        <w:rPr>
          <w:vertAlign w:val="superscript"/>
        </w:rPr>
        <w:t>i</w:t>
      </w:r>
      <w:r w:rsidR="00EF52DD">
        <w:t xml:space="preserve"> </w:t>
      </w:r>
      <w:r w:rsidR="00097239" w:rsidRPr="00937401">
        <w:t>estimate</w:t>
      </w:r>
      <w:r w:rsidR="00097239">
        <w:t xml:space="preserve"> based on number of </w:t>
      </w:r>
      <w:r w:rsidR="00F53C0F">
        <w:t>uses</w:t>
      </w:r>
      <w:r w:rsidR="004249C0">
        <w:t xml:space="preserve"> of </w:t>
      </w:r>
      <w:r w:rsidR="00097239">
        <w:t xml:space="preserve">modifier items times </w:t>
      </w:r>
      <w:r w:rsidR="00881CE9">
        <w:t xml:space="preserve">additional 15% fee of existing MBS items at 75% </w:t>
      </w:r>
      <w:r w:rsidR="00881CE9" w:rsidRPr="00937401">
        <w:t>benefit</w:t>
      </w:r>
      <w:r w:rsidR="00A670A9">
        <w:t xml:space="preserve"> (i.e. difference</w:t>
      </w:r>
      <w:r w:rsidR="00E3739F">
        <w:t xml:space="preserve"> </w:t>
      </w:r>
      <w:r w:rsidR="005A7D7A">
        <w:t>between</w:t>
      </w:r>
      <w:r w:rsidR="00FB42DB">
        <w:t xml:space="preserve"> additional 15% fee of existing MBS </w:t>
      </w:r>
      <w:r w:rsidR="00FB42DB" w:rsidRPr="00937401">
        <w:t>item</w:t>
      </w:r>
      <w:r w:rsidR="00FB42DB">
        <w:t xml:space="preserve"> at 75% benefits </w:t>
      </w:r>
      <w:r w:rsidR="005A7D7A">
        <w:t>and</w:t>
      </w:r>
      <w:r>
        <w:t xml:space="preserve"> </w:t>
      </w:r>
      <w:r w:rsidR="00A670A9">
        <w:t xml:space="preserve">existing </w:t>
      </w:r>
      <w:r w:rsidR="00864EBF">
        <w:t xml:space="preserve">MBS </w:t>
      </w:r>
      <w:r w:rsidR="00864EBF" w:rsidRPr="00937401">
        <w:t>item</w:t>
      </w:r>
      <w:r w:rsidR="00864EBF">
        <w:t xml:space="preserve"> costs</w:t>
      </w:r>
      <w:r>
        <w:t>)</w:t>
      </w:r>
    </w:p>
    <w:p w14:paraId="0F48FEB9" w14:textId="3A76DD51" w:rsidR="006A145A" w:rsidRDefault="00474962" w:rsidP="0054173E">
      <w:pPr>
        <w:pStyle w:val="Tablenotes0"/>
        <w:spacing w:line="240" w:lineRule="auto"/>
      </w:pPr>
      <w:r w:rsidRPr="008737A9">
        <w:rPr>
          <w:vertAlign w:val="superscript"/>
        </w:rPr>
        <w:t>j</w:t>
      </w:r>
      <w:r>
        <w:t xml:space="preserve"> </w:t>
      </w:r>
      <w:r w:rsidR="00A82D86">
        <w:t>a</w:t>
      </w:r>
      <w:r w:rsidR="00211450">
        <w:t xml:space="preserve">ssumed net </w:t>
      </w:r>
      <w:r w:rsidR="0066386E">
        <w:t xml:space="preserve">financial </w:t>
      </w:r>
      <w:r w:rsidR="00E017E2">
        <w:t xml:space="preserve">impact </w:t>
      </w:r>
      <w:r w:rsidR="0029135B">
        <w:t xml:space="preserve">of ASCS </w:t>
      </w:r>
      <w:r w:rsidR="00BC78DF">
        <w:t>due to additio</w:t>
      </w:r>
      <w:r w:rsidR="00567525">
        <w:t>n of modifier item</w:t>
      </w:r>
      <w:r w:rsidR="00A82D86">
        <w:t xml:space="preserve">. </w:t>
      </w:r>
    </w:p>
    <w:p w14:paraId="33FCA9D4" w14:textId="00A9DE2B" w:rsidR="00D428B9" w:rsidRPr="00A670A9" w:rsidRDefault="00B24A7F" w:rsidP="0054173E">
      <w:pPr>
        <w:pStyle w:val="Tablenotes0"/>
        <w:spacing w:line="240" w:lineRule="auto"/>
      </w:pPr>
      <w:r>
        <w:rPr>
          <w:szCs w:val="18"/>
        </w:rPr>
        <w:t xml:space="preserve">Note: </w:t>
      </w:r>
      <w:r w:rsidDel="00F2434A">
        <w:rPr>
          <w:szCs w:val="18"/>
        </w:rPr>
        <w:t>a</w:t>
      </w:r>
      <w:r w:rsidRPr="00C905F8" w:rsidDel="00F2434A">
        <w:rPr>
          <w:szCs w:val="18"/>
        </w:rPr>
        <w:t>dditional sensitivity analyses conducted during the</w:t>
      </w:r>
      <w:r>
        <w:rPr>
          <w:szCs w:val="18"/>
        </w:rPr>
        <w:t xml:space="preserve"> commentary</w:t>
      </w:r>
      <w:r w:rsidRPr="00C905F8" w:rsidDel="00F2434A">
        <w:rPr>
          <w:szCs w:val="18"/>
        </w:rPr>
        <w:t xml:space="preserve"> are presented in </w:t>
      </w:r>
      <w:r w:rsidRPr="00C905F8" w:rsidDel="00F2434A">
        <w:rPr>
          <w:i/>
          <w:szCs w:val="18"/>
        </w:rPr>
        <w:t>italics</w:t>
      </w:r>
      <w:r>
        <w:rPr>
          <w:szCs w:val="18"/>
        </w:rPr>
        <w:t>.</w:t>
      </w:r>
    </w:p>
    <w:p w14:paraId="40772B02" w14:textId="43810A68" w:rsidR="00F52500" w:rsidRDefault="00C27CE7" w:rsidP="008C7E58">
      <w:bookmarkStart w:id="90" w:name="_Hlk68276814"/>
      <w:r>
        <w:lastRenderedPageBreak/>
        <w:t>T</w:t>
      </w:r>
      <w:r w:rsidR="00F52500" w:rsidRPr="00877EA4">
        <w:t xml:space="preserve">he ADAR applied </w:t>
      </w:r>
      <w:r w:rsidR="005766A8">
        <w:t>a</w:t>
      </w:r>
      <w:r w:rsidR="00F52500" w:rsidRPr="00877EA4">
        <w:t xml:space="preserve"> 65% estimated utilisation of ASCS to predict utilisation of the proposed modifier item.</w:t>
      </w:r>
      <w:r w:rsidR="00F9530E">
        <w:t xml:space="preserve"> Upon review of the source publication (Lim et al. 2014</w:t>
      </w:r>
      <w:r w:rsidR="00F9530E" w:rsidRPr="00937401">
        <w:t>)</w:t>
      </w:r>
      <w:r w:rsidR="00434C00">
        <w:t>,</w:t>
      </w:r>
      <w:bookmarkStart w:id="91" w:name="_Ref196405559"/>
      <w:r w:rsidR="00F9530E">
        <w:rPr>
          <w:rStyle w:val="FootnoteReference"/>
        </w:rPr>
        <w:footnoteReference w:id="20"/>
      </w:r>
      <w:bookmarkEnd w:id="91"/>
      <w:r w:rsidR="0088644A">
        <w:t xml:space="preserve"> </w:t>
      </w:r>
      <w:r w:rsidR="00253B4B">
        <w:t>i</w:t>
      </w:r>
      <w:r w:rsidR="0088644A" w:rsidRPr="0088644A">
        <w:t xml:space="preserve">t would appear more appropriate to apply </w:t>
      </w:r>
      <w:r w:rsidR="00CC6001">
        <w:t>a figure of 88%</w:t>
      </w:r>
      <w:r w:rsidR="002C24DA">
        <w:t>.</w:t>
      </w:r>
      <w:r w:rsidR="00B638A7">
        <w:t xml:space="preserve"> </w:t>
      </w:r>
      <w:r w:rsidR="009318D8">
        <w:t>Within the source publication,</w:t>
      </w:r>
      <w:r w:rsidR="009318D8" w:rsidRPr="009318D8">
        <w:t xml:space="preserve"> 69 patients (9.2%) had a major burn of &gt;15% TBSA</w:t>
      </w:r>
      <w:r w:rsidR="009318D8">
        <w:t xml:space="preserve"> </w:t>
      </w:r>
      <w:r w:rsidR="00AE3217">
        <w:t>requiring a single would closure surgery</w:t>
      </w:r>
      <w:r w:rsidR="009318D8" w:rsidRPr="009318D8">
        <w:t xml:space="preserve">, of which 18 (26.1%) were treated with </w:t>
      </w:r>
      <w:r w:rsidR="00AE3217">
        <w:t>STSG</w:t>
      </w:r>
      <w:r w:rsidR="009318D8" w:rsidRPr="009318D8">
        <w:t xml:space="preserve">, 6 (8.7%) were treated with </w:t>
      </w:r>
      <w:r w:rsidR="00AE3217">
        <w:t>ASCS</w:t>
      </w:r>
      <w:r w:rsidR="009318D8" w:rsidRPr="009318D8">
        <w:t xml:space="preserve"> alone</w:t>
      </w:r>
      <w:r w:rsidR="005C236F">
        <w:t>,</w:t>
      </w:r>
      <w:r w:rsidR="009318D8" w:rsidRPr="009318D8">
        <w:t xml:space="preserve"> and 45 (65.2%) were treated with </w:t>
      </w:r>
      <w:r w:rsidR="00AE3217">
        <w:t>ASCS</w:t>
      </w:r>
      <w:r w:rsidR="009318D8" w:rsidRPr="009318D8">
        <w:t xml:space="preserve"> and STSG in combination.</w:t>
      </w:r>
      <w:r w:rsidR="00A0179E">
        <w:t xml:space="preserve"> </w:t>
      </w:r>
      <w:r w:rsidR="0002711E">
        <w:t>T</w:t>
      </w:r>
      <w:r w:rsidR="005C236F">
        <w:t>hus</w:t>
      </w:r>
      <w:r w:rsidR="0002711E">
        <w:t>,</w:t>
      </w:r>
      <w:r w:rsidR="005C236F">
        <w:t xml:space="preserve"> </w:t>
      </w:r>
      <w:r w:rsidR="0002711E">
        <w:t>i</w:t>
      </w:r>
      <w:r w:rsidR="00DE35A7">
        <w:t>t</w:t>
      </w:r>
      <w:r w:rsidR="007C2AD1">
        <w:t xml:space="preserve"> can</w:t>
      </w:r>
      <w:r w:rsidR="00DE35A7">
        <w:t xml:space="preserve"> </w:t>
      </w:r>
      <w:r w:rsidR="007C2AD1">
        <w:t xml:space="preserve">be said that </w:t>
      </w:r>
      <w:r w:rsidR="009A46F0">
        <w:t>o</w:t>
      </w:r>
      <w:r w:rsidR="0059440E">
        <w:t>f</w:t>
      </w:r>
      <w:r w:rsidR="00A0179E" w:rsidRPr="00A0179E">
        <w:t xml:space="preserve"> all patients with a major burn receiving </w:t>
      </w:r>
      <w:r w:rsidR="1649B200" w:rsidRPr="00A0179E">
        <w:t>ASCS</w:t>
      </w:r>
      <w:r w:rsidR="00A0179E" w:rsidRPr="00A0179E">
        <w:t xml:space="preserve"> (n</w:t>
      </w:r>
      <w:r w:rsidR="00434C00">
        <w:t> </w:t>
      </w:r>
      <w:r w:rsidR="00A0179E" w:rsidRPr="00937401">
        <w:t>=</w:t>
      </w:r>
      <w:r w:rsidR="00434C00">
        <w:t> </w:t>
      </w:r>
      <w:r w:rsidR="00A0179E" w:rsidRPr="00A0179E">
        <w:t xml:space="preserve">51), 6 (11.8%) received </w:t>
      </w:r>
      <w:r w:rsidR="14F45DAC" w:rsidRPr="00A0179E">
        <w:t>ASCS</w:t>
      </w:r>
      <w:r w:rsidR="00A0179E" w:rsidRPr="00A0179E">
        <w:t xml:space="preserve"> alone</w:t>
      </w:r>
      <w:r w:rsidR="002B73BE">
        <w:t>,</w:t>
      </w:r>
      <w:r w:rsidR="00A0179E" w:rsidRPr="00A0179E">
        <w:t xml:space="preserve"> while 45 (88.2%) received </w:t>
      </w:r>
      <w:r w:rsidR="5FC9FDD6" w:rsidRPr="00A0179E">
        <w:t>ASCS</w:t>
      </w:r>
      <w:r w:rsidR="00A0179E" w:rsidRPr="00A0179E">
        <w:t xml:space="preserve"> in combination with STSG</w:t>
      </w:r>
      <w:r w:rsidR="00A0179E" w:rsidRPr="00937401">
        <w:t>.</w:t>
      </w:r>
      <w:r w:rsidR="00A0179E" w:rsidRPr="00A0179E">
        <w:t xml:space="preserve"> Therefore,</w:t>
      </w:r>
      <w:r w:rsidR="00B6202F">
        <w:t xml:space="preserve"> </w:t>
      </w:r>
      <w:r w:rsidR="00B4661C">
        <w:t xml:space="preserve">it would seem more appropriate to apply </w:t>
      </w:r>
      <w:r w:rsidR="3BA2D98F">
        <w:t>th</w:t>
      </w:r>
      <w:r w:rsidR="7ABAC83D">
        <w:t>e</w:t>
      </w:r>
      <w:r w:rsidR="00A96C04" w:rsidRPr="00A0179E">
        <w:t xml:space="preserve"> </w:t>
      </w:r>
      <w:r w:rsidR="00A0179E" w:rsidRPr="00A0179E">
        <w:t xml:space="preserve">88.2% to </w:t>
      </w:r>
      <w:r w:rsidR="00581DDA">
        <w:t xml:space="preserve">the </w:t>
      </w:r>
      <w:r w:rsidR="00A0179E" w:rsidRPr="00A0179E">
        <w:t>predicted utilisation of ASCS to estimate expected use of the modifier item</w:t>
      </w:r>
      <w:r w:rsidR="00D86180">
        <w:t xml:space="preserve">. </w:t>
      </w:r>
      <w:r w:rsidR="00D86180" w:rsidRPr="00937401">
        <w:t>An alternat</w:t>
      </w:r>
      <w:r w:rsidR="004B2946">
        <w:t>ive</w:t>
      </w:r>
      <w:r w:rsidR="00D86180">
        <w:t xml:space="preserve"> scenario</w:t>
      </w:r>
      <w:r w:rsidR="00B26F8B">
        <w:t>, applying the 88.2% figure,</w:t>
      </w:r>
      <w:r w:rsidR="00D86180">
        <w:t xml:space="preserve"> was explored in the commentary (results </w:t>
      </w:r>
      <w:r w:rsidR="00B26F8B">
        <w:t xml:space="preserve">are </w:t>
      </w:r>
      <w:r w:rsidR="00D86180">
        <w:t xml:space="preserve">included in </w:t>
      </w:r>
      <w:r w:rsidR="00D86180">
        <w:fldChar w:fldCharType="begin"/>
      </w:r>
      <w:r w:rsidR="00D86180">
        <w:instrText xml:space="preserve"> REF _Ref194070447 \h  \* MERGEFORMAT </w:instrText>
      </w:r>
      <w:r w:rsidR="00D86180">
        <w:fldChar w:fldCharType="separate"/>
      </w:r>
      <w:r w:rsidR="00487E4A" w:rsidRPr="00761FC9">
        <w:t>Table </w:t>
      </w:r>
      <w:r w:rsidR="00487E4A" w:rsidRPr="00487E4A">
        <w:t>20</w:t>
      </w:r>
      <w:r w:rsidR="00D86180">
        <w:fldChar w:fldCharType="end"/>
      </w:r>
      <w:r w:rsidR="30E77363">
        <w:t>).</w:t>
      </w:r>
      <w:r w:rsidR="00B0619F">
        <w:t xml:space="preserve"> </w:t>
      </w:r>
    </w:p>
    <w:p w14:paraId="37D983CC" w14:textId="2057C265" w:rsidR="00422988" w:rsidRDefault="00FE0EF2" w:rsidP="008C7E58">
      <w:r w:rsidRPr="008737A9">
        <w:t xml:space="preserve">The </w:t>
      </w:r>
      <w:r w:rsidR="009A607D">
        <w:t>2022</w:t>
      </w:r>
      <w:r w:rsidR="004B2946">
        <w:t>–20</w:t>
      </w:r>
      <w:r w:rsidR="009A607D">
        <w:t xml:space="preserve">23 </w:t>
      </w:r>
      <w:r w:rsidR="00B04F76" w:rsidRPr="008737A9">
        <w:t xml:space="preserve">BRANZ </w:t>
      </w:r>
      <w:r w:rsidR="006870CA" w:rsidRPr="008737A9">
        <w:t xml:space="preserve">report indicated that the majority of </w:t>
      </w:r>
      <w:r w:rsidR="0057562B" w:rsidRPr="008737A9">
        <w:t xml:space="preserve">specialised </w:t>
      </w:r>
      <w:r w:rsidR="006870CA" w:rsidRPr="008737A9">
        <w:t>burn treatme</w:t>
      </w:r>
      <w:r w:rsidR="0057562B" w:rsidRPr="008737A9">
        <w:t xml:space="preserve">nt services are </w:t>
      </w:r>
      <w:r w:rsidR="002B3FDE" w:rsidRPr="008737A9">
        <w:t xml:space="preserve">provided </w:t>
      </w:r>
      <w:r w:rsidR="0057562B" w:rsidRPr="008737A9">
        <w:t xml:space="preserve">in 17 public hospitals across the </w:t>
      </w:r>
      <w:r w:rsidR="00FC0AAB" w:rsidRPr="008737A9">
        <w:t>country</w:t>
      </w:r>
      <w:r w:rsidR="00FC0AAB" w:rsidRPr="003F35F4">
        <w:t>.</w:t>
      </w:r>
      <w:r w:rsidR="00FC0AAB" w:rsidRPr="00CB0C70">
        <w:t xml:space="preserve"> </w:t>
      </w:r>
      <w:r w:rsidR="00E5208B" w:rsidRPr="00CB0C70">
        <w:t>Indeed</w:t>
      </w:r>
      <w:r w:rsidR="00E5208B">
        <w:t xml:space="preserve">, </w:t>
      </w:r>
      <w:r w:rsidR="00E5208B" w:rsidRPr="00E5208B">
        <w:t>AIHW data shows that in 2022</w:t>
      </w:r>
      <w:r w:rsidR="00E31B15">
        <w:t>–20</w:t>
      </w:r>
      <w:r w:rsidR="00E5208B" w:rsidRPr="00E5208B">
        <w:t>23, of all acute separat</w:t>
      </w:r>
      <w:r w:rsidR="007814C4">
        <w:t>ion</w:t>
      </w:r>
      <w:r w:rsidR="00E5208B" w:rsidRPr="00E5208B">
        <w:t xml:space="preserve">s for Major Diagnostic Category (MDC) </w:t>
      </w:r>
      <w:r w:rsidR="005B0A73">
        <w:t>‘</w:t>
      </w:r>
      <w:r w:rsidR="00E5208B" w:rsidRPr="00E5208B">
        <w:t>22 – Burns</w:t>
      </w:r>
      <w:r w:rsidR="005B0A73">
        <w:t>’</w:t>
      </w:r>
      <w:r w:rsidR="00E5208B" w:rsidRPr="00E5208B">
        <w:t xml:space="preserve"> items, 8,214 (97.8%) and 188 (2.2%) were in public and private hospitals, respectively</w:t>
      </w:r>
      <w:r w:rsidR="00E31B15">
        <w:t>.</w:t>
      </w:r>
      <w:r w:rsidR="00E925FA">
        <w:rPr>
          <w:rStyle w:val="FootnoteReference"/>
        </w:rPr>
        <w:footnoteReference w:id="21"/>
      </w:r>
      <w:r w:rsidR="00FC0AAB" w:rsidRPr="008737A9">
        <w:t xml:space="preserve"> </w:t>
      </w:r>
      <w:r w:rsidR="00DF3C7D">
        <w:t>In</w:t>
      </w:r>
      <w:r w:rsidR="001C6A07" w:rsidRPr="008737A9">
        <w:t xml:space="preserve"> the budget impact analysis, 55% </w:t>
      </w:r>
      <w:r w:rsidR="00E31B15">
        <w:t xml:space="preserve">of </w:t>
      </w:r>
      <w:r w:rsidR="001C6A07" w:rsidRPr="008737A9">
        <w:t>private health insur</w:t>
      </w:r>
      <w:r w:rsidR="00E31B15">
        <w:t>ance</w:t>
      </w:r>
      <w:r w:rsidR="001C6A07" w:rsidRPr="008737A9">
        <w:t xml:space="preserve"> </w:t>
      </w:r>
      <w:r w:rsidR="00E6002E" w:rsidRPr="008737A9">
        <w:t xml:space="preserve">patients each year were </w:t>
      </w:r>
      <w:r w:rsidR="00004FB5" w:rsidRPr="008737A9">
        <w:t>included,</w:t>
      </w:r>
      <w:r w:rsidR="00E6002E" w:rsidRPr="008737A9">
        <w:t xml:space="preserve"> and their cost was estimated accordingly. </w:t>
      </w:r>
      <w:r w:rsidR="00F30BB2">
        <w:t>I</w:t>
      </w:r>
      <w:r w:rsidR="00F30BB2" w:rsidRPr="00F30BB2">
        <w:t>t is correct that all patients with a severe burn and private health insurance would comprise the eligible population for ASCS funded via the MBS</w:t>
      </w:r>
      <w:r w:rsidR="007650B4">
        <w:t>.</w:t>
      </w:r>
      <w:r w:rsidR="00E6002E" w:rsidRPr="008737A9">
        <w:t xml:space="preserve"> </w:t>
      </w:r>
      <w:r w:rsidR="00422988" w:rsidRPr="00422988">
        <w:t>While those with private health insurance may elect to be treated as a private patient, available claims data for existing MBS items of relevance to this application (items 46117</w:t>
      </w:r>
      <w:r w:rsidR="00C07C0B">
        <w:t>–</w:t>
      </w:r>
      <w:r w:rsidR="00422988" w:rsidRPr="00422988">
        <w:t>46135), suggest minimal uptake of existing items (despite a large number of claims isolated to item 46123 exclusively in Victoria</w:t>
      </w:r>
      <w:r w:rsidR="002579BE">
        <w:t>). Specifically, i</w:t>
      </w:r>
      <w:r w:rsidR="00EF76A5">
        <w:t>n the 2024 calendar year</w:t>
      </w:r>
      <w:r w:rsidR="00246A65">
        <w:t>,</w:t>
      </w:r>
      <w:r w:rsidR="00EF76A5">
        <w:t xml:space="preserve"> there were </w:t>
      </w:r>
      <w:r w:rsidR="002579BE">
        <w:t xml:space="preserve">3 claims </w:t>
      </w:r>
      <w:r w:rsidR="00D275AC">
        <w:t>across</w:t>
      </w:r>
      <w:r w:rsidR="002579BE">
        <w:t xml:space="preserve"> MBS items 46117</w:t>
      </w:r>
      <w:r w:rsidR="0059362D">
        <w:t>–</w:t>
      </w:r>
      <w:r w:rsidR="002637DB">
        <w:t xml:space="preserve">46122, 60 claims for </w:t>
      </w:r>
      <w:r w:rsidR="00B156F8">
        <w:t xml:space="preserve">MBS </w:t>
      </w:r>
      <w:r w:rsidR="002637DB">
        <w:t>item 461</w:t>
      </w:r>
      <w:r w:rsidR="001A1042">
        <w:t xml:space="preserve">23 and </w:t>
      </w:r>
      <w:r w:rsidR="00D275AC">
        <w:t>1 claim across items 46</w:t>
      </w:r>
      <w:r w:rsidR="000449E5">
        <w:t>134</w:t>
      </w:r>
      <w:r w:rsidR="0059362D">
        <w:t>–</w:t>
      </w:r>
      <w:r w:rsidR="000449E5">
        <w:t>46135.</w:t>
      </w:r>
      <w:r w:rsidR="00A24C7B">
        <w:rPr>
          <w:rStyle w:val="FootnoteReference"/>
        </w:rPr>
        <w:footnoteReference w:id="22"/>
      </w:r>
      <w:r w:rsidR="00946BAD">
        <w:t xml:space="preserve"> </w:t>
      </w:r>
      <w:r w:rsidR="00946BAD" w:rsidRPr="00946BAD">
        <w:t xml:space="preserve">As such, it seems possible </w:t>
      </w:r>
      <w:r w:rsidR="0059362D">
        <w:t xml:space="preserve">that </w:t>
      </w:r>
      <w:r w:rsidR="00946BAD" w:rsidRPr="00946BAD">
        <w:t>uptake of the relevant MBS items for the definitive closure of severe burns may be overstated.</w:t>
      </w:r>
      <w:r w:rsidR="00B156F8">
        <w:t xml:space="preserve"> Alternatively, it could suggest there are </w:t>
      </w:r>
      <w:r w:rsidR="00B156F8" w:rsidRPr="00B156F8">
        <w:t>current barriers to uptake of the existing MBS items</w:t>
      </w:r>
      <w:r w:rsidR="00B156F8">
        <w:t>.</w:t>
      </w:r>
    </w:p>
    <w:p w14:paraId="0C8C956A" w14:textId="281070EF" w:rsidR="00A431A7" w:rsidRDefault="00A431A7" w:rsidP="008C7E58">
      <w:r w:rsidRPr="008737A9">
        <w:t xml:space="preserve">The ADAR assumed that uptake of </w:t>
      </w:r>
      <w:r w:rsidR="0059362D">
        <w:t xml:space="preserve">the </w:t>
      </w:r>
      <w:r w:rsidRPr="008737A9">
        <w:t>ASCS (RECELL</w:t>
      </w:r>
      <w:r w:rsidR="4DB20201">
        <w:t>®</w:t>
      </w:r>
      <w:r w:rsidR="7DEEB8D5">
        <w:t>)</w:t>
      </w:r>
      <w:r w:rsidRPr="008737A9">
        <w:t xml:space="preserve"> device </w:t>
      </w:r>
      <w:r w:rsidR="002C066D">
        <w:t>would</w:t>
      </w:r>
      <w:r w:rsidRPr="008737A9">
        <w:t xml:space="preserve"> be 50% in the first year of listing, increasing to 80% </w:t>
      </w:r>
      <w:r>
        <w:t>by year 4</w:t>
      </w:r>
      <w:r w:rsidR="00B11800">
        <w:t xml:space="preserve">. </w:t>
      </w:r>
      <w:r w:rsidR="00BF485E">
        <w:t xml:space="preserve">It </w:t>
      </w:r>
      <w:r w:rsidR="00AD3F2E">
        <w:t>is noted that 11.7% of the eligible population in the ADAR estimates are paediatric, and that the applicant has suggested use would be low among this group of patient</w:t>
      </w:r>
      <w:r w:rsidR="00B76143">
        <w:t xml:space="preserve">s. </w:t>
      </w:r>
      <w:r w:rsidR="007D02DB">
        <w:t>Therefore,</w:t>
      </w:r>
      <w:r w:rsidR="00B76143">
        <w:t xml:space="preserve"> the </w:t>
      </w:r>
      <w:r w:rsidR="001D0026">
        <w:t xml:space="preserve">high (80%) uptake rate by year 4 may be conservative. </w:t>
      </w:r>
    </w:p>
    <w:p w14:paraId="404C31E5" w14:textId="045B1558" w:rsidR="00CE7A63" w:rsidRDefault="00DD0A29" w:rsidP="008C7E58">
      <w:r>
        <w:t>In the costing analysis, ASCS was associated with a reduced number of definitive closure procedures in comparison to STSG alone</w:t>
      </w:r>
      <w:r w:rsidR="0059362D">
        <w:t>,</w:t>
      </w:r>
      <w:r w:rsidR="00601A17">
        <w:t xml:space="preserve"> which, if included in the financial estimates, would be associated with cost offsets. If realised, this reduction in procedures could be reflected in a reduction in the overall number of claims for MBS definitive closure </w:t>
      </w:r>
      <w:r w:rsidR="001D00F9">
        <w:t xml:space="preserve">items </w:t>
      </w:r>
      <w:r w:rsidR="00D23C93">
        <w:t xml:space="preserve">in the financial analysis </w:t>
      </w:r>
      <w:r w:rsidR="001D00F9">
        <w:t>(i.e. cost offsets from the perspective of the MBS</w:t>
      </w:r>
      <w:r w:rsidR="00D14164">
        <w:t>), making</w:t>
      </w:r>
      <w:r w:rsidR="00CE7A63">
        <w:t xml:space="preserve"> the </w:t>
      </w:r>
      <w:r w:rsidR="00D14164">
        <w:t>estimate presented</w:t>
      </w:r>
      <w:r w:rsidR="00CE7A63">
        <w:t xml:space="preserve"> potentially conservative.</w:t>
      </w:r>
      <w:r w:rsidR="00CE7A63" w:rsidRPr="008737A9">
        <w:t xml:space="preserve"> </w:t>
      </w:r>
    </w:p>
    <w:p w14:paraId="74B62FFB" w14:textId="354E85F2" w:rsidR="00531501" w:rsidRDefault="006147CC" w:rsidP="008C7E58">
      <w:r w:rsidRPr="008737A9">
        <w:t xml:space="preserve">The net financial impact </w:t>
      </w:r>
      <w:r w:rsidR="002F2C8C">
        <w:t xml:space="preserve">to the </w:t>
      </w:r>
      <w:r w:rsidRPr="008737A9">
        <w:t xml:space="preserve">MBS was evaluated across multiple scenarios by the ADAR and </w:t>
      </w:r>
      <w:r>
        <w:t>the commentary,</w:t>
      </w:r>
      <w:r w:rsidR="00944521">
        <w:t xml:space="preserve"> with the </w:t>
      </w:r>
      <w:r w:rsidRPr="008737A9">
        <w:t xml:space="preserve">range of financial outcomes varying between </w:t>
      </w:r>
      <w:r>
        <w:t>−</w:t>
      </w:r>
      <w:r w:rsidRPr="008737A9">
        <w:t>1</w:t>
      </w:r>
      <w:r w:rsidR="00216447">
        <w:t>0</w:t>
      </w:r>
      <w:r w:rsidRPr="008737A9">
        <w:t xml:space="preserve">% </w:t>
      </w:r>
      <w:r w:rsidR="00236420">
        <w:t xml:space="preserve">and </w:t>
      </w:r>
      <w:r w:rsidR="00216447">
        <w:t>51</w:t>
      </w:r>
      <w:r w:rsidRPr="008737A9">
        <w:t>%</w:t>
      </w:r>
      <w:r>
        <w:t xml:space="preserve"> relative to the base case</w:t>
      </w:r>
      <w:r w:rsidRPr="008737A9">
        <w:t>.</w:t>
      </w:r>
      <w:r>
        <w:t xml:space="preserve"> Overall, the variables that were most impactful to the estimate</w:t>
      </w:r>
      <w:r w:rsidR="002F4ADB">
        <w:t>d</w:t>
      </w:r>
      <w:r>
        <w:t xml:space="preserve"> net financial impact were the proportion of </w:t>
      </w:r>
      <w:r w:rsidR="0031013D">
        <w:t xml:space="preserve">the </w:t>
      </w:r>
      <w:r w:rsidR="00AF7E03">
        <w:t xml:space="preserve">population with private </w:t>
      </w:r>
      <w:r w:rsidR="00F1518B">
        <w:t>health insurance</w:t>
      </w:r>
      <w:r w:rsidR="008D49BA">
        <w:t xml:space="preserve"> (assuming 100% </w:t>
      </w:r>
      <w:r w:rsidR="00314D38">
        <w:t xml:space="preserve">coverage increased the </w:t>
      </w:r>
      <w:r w:rsidR="00E724AB">
        <w:t xml:space="preserve">annual </w:t>
      </w:r>
      <w:r w:rsidR="00314D38">
        <w:t xml:space="preserve">estimates by </w:t>
      </w:r>
      <w:r w:rsidR="00E724AB">
        <w:t>50–51%)</w:t>
      </w:r>
      <w:r w:rsidR="008A0452">
        <w:t xml:space="preserve"> and the</w:t>
      </w:r>
      <w:r w:rsidR="00F1518B">
        <w:t xml:space="preserve"> </w:t>
      </w:r>
      <w:r w:rsidR="000066EC">
        <w:t>proportion of</w:t>
      </w:r>
      <w:r w:rsidR="00F1518B">
        <w:t xml:space="preserve"> </w:t>
      </w:r>
      <w:r>
        <w:t xml:space="preserve">burns </w:t>
      </w:r>
      <w:r w:rsidR="00A4138B">
        <w:t>within each</w:t>
      </w:r>
      <w:r>
        <w:t xml:space="preserve"> </w:t>
      </w:r>
      <w:r w:rsidR="0069595F">
        <w:lastRenderedPageBreak/>
        <w:t xml:space="preserve">TBSA </w:t>
      </w:r>
      <w:r>
        <w:t>interval</w:t>
      </w:r>
      <w:r w:rsidR="00E724AB">
        <w:t xml:space="preserve"> (</w:t>
      </w:r>
      <w:r w:rsidR="000F782F">
        <w:t>use of alternat</w:t>
      </w:r>
      <w:r w:rsidR="00F23F24">
        <w:t>ive</w:t>
      </w:r>
      <w:r w:rsidR="000F782F">
        <w:t xml:space="preserve"> values</w:t>
      </w:r>
      <w:r>
        <w:t xml:space="preserve"> informed by Foster et al. (2021)</w:t>
      </w:r>
      <w:r w:rsidR="009F21B4" w:rsidRPr="009F21B4">
        <w:rPr>
          <w:vertAlign w:val="superscript"/>
        </w:rPr>
        <w:fldChar w:fldCharType="begin"/>
      </w:r>
      <w:r w:rsidR="009F21B4" w:rsidRPr="009F21B4">
        <w:rPr>
          <w:vertAlign w:val="superscript"/>
        </w:rPr>
        <w:instrText xml:space="preserve"> NOTEREF _Ref197523258 \h  \* MERGEFORMAT </w:instrText>
      </w:r>
      <w:r w:rsidR="009F21B4" w:rsidRPr="009F21B4">
        <w:rPr>
          <w:vertAlign w:val="superscript"/>
        </w:rPr>
      </w:r>
      <w:r w:rsidR="009F21B4" w:rsidRPr="009F21B4">
        <w:rPr>
          <w:vertAlign w:val="superscript"/>
        </w:rPr>
        <w:fldChar w:fldCharType="separate"/>
      </w:r>
      <w:r w:rsidR="009F21B4" w:rsidRPr="009F21B4">
        <w:rPr>
          <w:vertAlign w:val="superscript"/>
        </w:rPr>
        <w:t>15</w:t>
      </w:r>
      <w:r w:rsidR="009F21B4" w:rsidRPr="009F21B4">
        <w:rPr>
          <w:vertAlign w:val="superscript"/>
        </w:rPr>
        <w:fldChar w:fldCharType="end"/>
      </w:r>
      <w:r w:rsidR="000F782F">
        <w:t xml:space="preserve"> </w:t>
      </w:r>
      <w:r w:rsidR="00E724AB">
        <w:t xml:space="preserve">for FT or DPT burns </w:t>
      </w:r>
      <w:r w:rsidR="000F782F">
        <w:t>increas</w:t>
      </w:r>
      <w:r w:rsidR="00E724AB">
        <w:t>ed</w:t>
      </w:r>
      <w:r w:rsidR="000F782F">
        <w:t xml:space="preserve"> </w:t>
      </w:r>
      <w:r>
        <w:t xml:space="preserve">the </w:t>
      </w:r>
      <w:r w:rsidR="00E724AB">
        <w:t xml:space="preserve">annual </w:t>
      </w:r>
      <w:r>
        <w:t xml:space="preserve">net budget impact by </w:t>
      </w:r>
      <w:r w:rsidR="00933E2A">
        <w:t>10</w:t>
      </w:r>
      <w:r>
        <w:t xml:space="preserve">% and </w:t>
      </w:r>
      <w:r w:rsidR="00933E2A">
        <w:t>7</w:t>
      </w:r>
      <w:r>
        <w:t>%</w:t>
      </w:r>
      <w:r w:rsidR="00271D61">
        <w:t>,</w:t>
      </w:r>
      <w:r>
        <w:t xml:space="preserve"> respectively</w:t>
      </w:r>
      <w:r w:rsidR="00E724AB">
        <w:t>).</w:t>
      </w:r>
    </w:p>
    <w:p w14:paraId="469C2125" w14:textId="5CB5CFD7" w:rsidR="0095026A" w:rsidRDefault="0095026A" w:rsidP="00D95CE1">
      <w:pPr>
        <w:pStyle w:val="Heading3nonumbers"/>
      </w:pPr>
      <w:r>
        <w:t>Net impact to other healthcare budgets</w:t>
      </w:r>
    </w:p>
    <w:p w14:paraId="7B2C2355" w14:textId="3E772F21" w:rsidR="00910A1C" w:rsidRDefault="00165907" w:rsidP="00586C22">
      <w:r>
        <w:t>The</w:t>
      </w:r>
      <w:r w:rsidR="002C066D">
        <w:t xml:space="preserve"> ADAR</w:t>
      </w:r>
      <w:r w:rsidDel="00F23F24">
        <w:t xml:space="preserve"> </w:t>
      </w:r>
      <w:r w:rsidR="002C066D">
        <w:t>estimated the</w:t>
      </w:r>
      <w:r w:rsidR="007E419D" w:rsidRPr="008737A9" w:rsidDel="00414837">
        <w:t xml:space="preserve"> impact of ASCS on hospital budgets</w:t>
      </w:r>
      <w:r w:rsidR="00F23F24">
        <w:t>,</w:t>
      </w:r>
      <w:r w:rsidR="002C066D">
        <w:t xml:space="preserve"> </w:t>
      </w:r>
      <w:r w:rsidR="007E419D" w:rsidRPr="008737A9" w:rsidDel="00414837">
        <w:t xml:space="preserve">based on the </w:t>
      </w:r>
      <w:r>
        <w:t>ASCS</w:t>
      </w:r>
      <w:r w:rsidR="007E419D" w:rsidRPr="008737A9" w:rsidDel="00414837">
        <w:t xml:space="preserve"> device cost</w:t>
      </w:r>
      <w:r w:rsidR="007E419D" w:rsidDel="00414837">
        <w:t xml:space="preserve"> </w:t>
      </w:r>
      <w:r w:rsidR="0057466B">
        <w:t xml:space="preserve">and device capacity </w:t>
      </w:r>
      <w:r w:rsidR="007E419D" w:rsidDel="00414837">
        <w:t>(unit cost $</w:t>
      </w:r>
      <w:r w:rsidR="002B1269">
        <w:rPr>
          <w:b/>
          <w:bCs/>
        </w:rPr>
        <w:t>redacted</w:t>
      </w:r>
      <w:r w:rsidR="007E419D" w:rsidDel="00414837">
        <w:t xml:space="preserve"> each unit</w:t>
      </w:r>
      <w:r w:rsidR="007E419D" w:rsidRPr="00524024" w:rsidDel="00414837">
        <w:t xml:space="preserve"> has </w:t>
      </w:r>
      <w:r w:rsidR="00C17DE8">
        <w:t xml:space="preserve">the </w:t>
      </w:r>
      <w:r w:rsidR="007E419D" w:rsidRPr="00524024" w:rsidDel="00414837">
        <w:t>capacity to treat up to 10% TBSA</w:t>
      </w:r>
      <w:r w:rsidR="0026166E">
        <w:t>, as</w:t>
      </w:r>
      <w:r w:rsidR="006E557A">
        <w:t xml:space="preserve"> </w:t>
      </w:r>
      <w:r w:rsidR="00B243B4">
        <w:t>informed by Carter et al</w:t>
      </w:r>
      <w:r w:rsidR="00345269">
        <w:t>.</w:t>
      </w:r>
      <w:r w:rsidR="00B243B4">
        <w:t xml:space="preserve"> (2022)</w:t>
      </w:r>
      <w:r w:rsidR="00C869CB" w:rsidRPr="006527C9">
        <w:rPr>
          <w:vertAlign w:val="superscript"/>
        </w:rPr>
        <w:fldChar w:fldCharType="begin"/>
      </w:r>
      <w:r w:rsidR="00C869CB" w:rsidRPr="006527C9">
        <w:rPr>
          <w:vertAlign w:val="superscript"/>
        </w:rPr>
        <w:instrText xml:space="preserve"> NOTEREF _Ref194327624 \h </w:instrText>
      </w:r>
      <w:r w:rsidR="00C869CB">
        <w:rPr>
          <w:vertAlign w:val="superscript"/>
        </w:rPr>
        <w:instrText xml:space="preserve"> \* MERGEFORMAT </w:instrText>
      </w:r>
      <w:r w:rsidR="00C869CB" w:rsidRPr="006527C9">
        <w:rPr>
          <w:vertAlign w:val="superscript"/>
        </w:rPr>
      </w:r>
      <w:r w:rsidR="00C869CB" w:rsidRPr="006527C9">
        <w:rPr>
          <w:vertAlign w:val="superscript"/>
        </w:rPr>
        <w:fldChar w:fldCharType="separate"/>
      </w:r>
      <w:r w:rsidR="00487E4A">
        <w:rPr>
          <w:vertAlign w:val="superscript"/>
        </w:rPr>
        <w:t>11</w:t>
      </w:r>
      <w:r w:rsidR="00C869CB" w:rsidRPr="006527C9">
        <w:rPr>
          <w:vertAlign w:val="superscript"/>
        </w:rPr>
        <w:fldChar w:fldCharType="end"/>
      </w:r>
      <w:r w:rsidR="007E419D" w:rsidDel="00414837">
        <w:t>). Overall, the estimated cost to hospital budgets for the ASCS device was estimated at</w:t>
      </w:r>
      <w:r w:rsidR="007E419D" w:rsidRPr="008737A9" w:rsidDel="00414837">
        <w:t xml:space="preserve"> $1.5 million in year 1, increasing to $2.5 million in year 6. </w:t>
      </w:r>
      <w:r w:rsidR="00A422CC">
        <w:t>This estimat</w:t>
      </w:r>
      <w:r w:rsidR="00B35164">
        <w:t>e</w:t>
      </w:r>
      <w:r w:rsidR="00A422CC">
        <w:t xml:space="preserve"> considered costs for the ASCS device only</w:t>
      </w:r>
      <w:r w:rsidR="00586C22">
        <w:t>.</w:t>
      </w:r>
      <w:r w:rsidR="00A422CC">
        <w:t xml:space="preserve"> </w:t>
      </w:r>
    </w:p>
    <w:p w14:paraId="2DF6F803" w14:textId="59900325" w:rsidR="00EF00BF" w:rsidRDefault="007651E9" w:rsidP="008C7E58">
      <w:r>
        <w:t xml:space="preserve">The </w:t>
      </w:r>
      <w:r w:rsidR="00FD1764">
        <w:t xml:space="preserve">financial implications to </w:t>
      </w:r>
      <w:r w:rsidR="00CD427C">
        <w:t>hospital</w:t>
      </w:r>
      <w:r w:rsidR="008171F9">
        <w:t>s</w:t>
      </w:r>
      <w:r w:rsidR="00DE1488">
        <w:t xml:space="preserve"> from the proposed listing of ASCS</w:t>
      </w:r>
      <w:r w:rsidR="00E44046">
        <w:t>, as estimated in the ADAR,</w:t>
      </w:r>
      <w:r w:rsidR="00DE1488">
        <w:t xml:space="preserve"> are summarised in</w:t>
      </w:r>
      <w:r w:rsidR="003B1D50">
        <w:t xml:space="preserve"> </w:t>
      </w:r>
      <w:r w:rsidR="003B1D50">
        <w:fldChar w:fldCharType="begin"/>
      </w:r>
      <w:r w:rsidR="003B1D50">
        <w:instrText xml:space="preserve"> REF _Ref197545038 \h </w:instrText>
      </w:r>
      <w:r w:rsidR="003B1D50">
        <w:fldChar w:fldCharType="separate"/>
      </w:r>
      <w:r w:rsidR="00487E4A">
        <w:t xml:space="preserve">Table </w:t>
      </w:r>
      <w:r w:rsidR="00487E4A">
        <w:rPr>
          <w:noProof/>
        </w:rPr>
        <w:t>21</w:t>
      </w:r>
      <w:r w:rsidR="003B1D50">
        <w:fldChar w:fldCharType="end"/>
      </w:r>
      <w:r w:rsidR="00DE1488">
        <w:t xml:space="preserve">. </w:t>
      </w:r>
    </w:p>
    <w:p w14:paraId="6AA02ABA" w14:textId="6CA899BC" w:rsidR="00FC04F5" w:rsidRDefault="00FC04F5" w:rsidP="00FC04F5">
      <w:pPr>
        <w:pStyle w:val="Caption"/>
      </w:pPr>
      <w:bookmarkStart w:id="92" w:name="_Ref197545038"/>
      <w:r>
        <w:t xml:space="preserve">Table </w:t>
      </w:r>
      <w:r>
        <w:fldChar w:fldCharType="begin"/>
      </w:r>
      <w:r>
        <w:instrText>SEQ Table \* ARABIC</w:instrText>
      </w:r>
      <w:r>
        <w:fldChar w:fldCharType="separate"/>
      </w:r>
      <w:r w:rsidR="00487E4A">
        <w:rPr>
          <w:noProof/>
        </w:rPr>
        <w:t>21</w:t>
      </w:r>
      <w:r>
        <w:fldChar w:fldCharType="end"/>
      </w:r>
      <w:bookmarkEnd w:id="92"/>
      <w:r w:rsidR="003B1D50">
        <w:t>: Net financial implications of ASCS to hospital budgets</w:t>
      </w:r>
    </w:p>
    <w:tbl>
      <w:tblPr>
        <w:tblStyle w:val="TableGrid"/>
        <w:tblW w:w="5000" w:type="pct"/>
        <w:tblLook w:val="04A0" w:firstRow="1" w:lastRow="0" w:firstColumn="1" w:lastColumn="0" w:noHBand="0" w:noVBand="1"/>
      </w:tblPr>
      <w:tblGrid>
        <w:gridCol w:w="2794"/>
        <w:gridCol w:w="1037"/>
        <w:gridCol w:w="1037"/>
        <w:gridCol w:w="1037"/>
        <w:gridCol w:w="1037"/>
        <w:gridCol w:w="1037"/>
        <w:gridCol w:w="1037"/>
      </w:tblGrid>
      <w:tr w:rsidR="005E2ED2" w:rsidRPr="005E2ED2" w14:paraId="1AB1F7C6" w14:textId="77777777" w:rsidTr="003B1D50">
        <w:tc>
          <w:tcPr>
            <w:tcW w:w="1549" w:type="pct"/>
            <w:vAlign w:val="center"/>
          </w:tcPr>
          <w:p w14:paraId="799141A6" w14:textId="497E1A76" w:rsidR="00D947BA" w:rsidRPr="00723610" w:rsidRDefault="003B1D50" w:rsidP="003B1D50">
            <w:pPr>
              <w:pStyle w:val="TableHeading0"/>
              <w:spacing w:line="276" w:lineRule="auto"/>
              <w:rPr>
                <w:bCs/>
                <w:szCs w:val="20"/>
              </w:rPr>
            </w:pPr>
            <w:r>
              <w:t>Description</w:t>
            </w:r>
          </w:p>
        </w:tc>
        <w:tc>
          <w:tcPr>
            <w:tcW w:w="575" w:type="pct"/>
            <w:vAlign w:val="center"/>
          </w:tcPr>
          <w:p w14:paraId="5490817A" w14:textId="5D6EE5F4" w:rsidR="00D947BA" w:rsidRPr="00597D53" w:rsidRDefault="006207BF" w:rsidP="003B1D50">
            <w:pPr>
              <w:spacing w:before="0"/>
              <w:rPr>
                <w:rFonts w:ascii="Arial Narrow" w:hAnsi="Arial Narrow"/>
                <w:b/>
                <w:sz w:val="20"/>
                <w:szCs w:val="20"/>
              </w:rPr>
            </w:pPr>
            <w:r w:rsidRPr="00597D53">
              <w:rPr>
                <w:rFonts w:ascii="Arial Narrow" w:hAnsi="Arial Narrow"/>
                <w:b/>
                <w:sz w:val="20"/>
                <w:szCs w:val="20"/>
              </w:rPr>
              <w:t>Year 1</w:t>
            </w:r>
          </w:p>
        </w:tc>
        <w:tc>
          <w:tcPr>
            <w:tcW w:w="575" w:type="pct"/>
            <w:vAlign w:val="center"/>
          </w:tcPr>
          <w:p w14:paraId="46C40F0B" w14:textId="5158A899" w:rsidR="00D947BA" w:rsidRPr="00597D53" w:rsidRDefault="006207BF" w:rsidP="003B1D50">
            <w:pPr>
              <w:spacing w:before="0"/>
              <w:rPr>
                <w:rFonts w:ascii="Arial Narrow" w:hAnsi="Arial Narrow"/>
                <w:b/>
                <w:sz w:val="20"/>
                <w:szCs w:val="20"/>
              </w:rPr>
            </w:pPr>
            <w:r w:rsidRPr="00597D53">
              <w:rPr>
                <w:rFonts w:ascii="Arial Narrow" w:hAnsi="Arial Narrow"/>
                <w:b/>
                <w:sz w:val="20"/>
                <w:szCs w:val="20"/>
              </w:rPr>
              <w:t>Year 2</w:t>
            </w:r>
          </w:p>
        </w:tc>
        <w:tc>
          <w:tcPr>
            <w:tcW w:w="575" w:type="pct"/>
            <w:vAlign w:val="center"/>
          </w:tcPr>
          <w:p w14:paraId="6A81FE26" w14:textId="17DD2594" w:rsidR="00D947BA" w:rsidRPr="00597D53" w:rsidRDefault="006207BF" w:rsidP="003B1D50">
            <w:pPr>
              <w:spacing w:before="0"/>
              <w:rPr>
                <w:rFonts w:ascii="Arial Narrow" w:hAnsi="Arial Narrow"/>
                <w:b/>
                <w:sz w:val="20"/>
                <w:szCs w:val="20"/>
              </w:rPr>
            </w:pPr>
            <w:r w:rsidRPr="00597D53">
              <w:rPr>
                <w:rFonts w:ascii="Arial Narrow" w:hAnsi="Arial Narrow"/>
                <w:b/>
                <w:sz w:val="20"/>
                <w:szCs w:val="20"/>
              </w:rPr>
              <w:t>Year 3</w:t>
            </w:r>
          </w:p>
        </w:tc>
        <w:tc>
          <w:tcPr>
            <w:tcW w:w="575" w:type="pct"/>
            <w:vAlign w:val="center"/>
          </w:tcPr>
          <w:p w14:paraId="17FFD9E3" w14:textId="5DD80AA7" w:rsidR="00D947BA" w:rsidRPr="00597D53" w:rsidRDefault="006207BF" w:rsidP="003B1D50">
            <w:pPr>
              <w:spacing w:before="0"/>
              <w:rPr>
                <w:rFonts w:ascii="Arial Narrow" w:hAnsi="Arial Narrow"/>
                <w:b/>
                <w:sz w:val="20"/>
                <w:szCs w:val="20"/>
              </w:rPr>
            </w:pPr>
            <w:r w:rsidRPr="00597D53">
              <w:rPr>
                <w:rFonts w:ascii="Arial Narrow" w:hAnsi="Arial Narrow"/>
                <w:b/>
                <w:sz w:val="20"/>
                <w:szCs w:val="20"/>
              </w:rPr>
              <w:t>Year 4</w:t>
            </w:r>
          </w:p>
        </w:tc>
        <w:tc>
          <w:tcPr>
            <w:tcW w:w="575" w:type="pct"/>
            <w:vAlign w:val="center"/>
          </w:tcPr>
          <w:p w14:paraId="4D56AA63" w14:textId="5EB9402A" w:rsidR="00D947BA" w:rsidRPr="00597D53" w:rsidRDefault="006207BF" w:rsidP="003B1D50">
            <w:pPr>
              <w:spacing w:before="0"/>
              <w:rPr>
                <w:rFonts w:ascii="Arial Narrow" w:hAnsi="Arial Narrow"/>
                <w:b/>
                <w:sz w:val="20"/>
                <w:szCs w:val="20"/>
              </w:rPr>
            </w:pPr>
            <w:r w:rsidRPr="00597D53">
              <w:rPr>
                <w:rFonts w:ascii="Arial Narrow" w:hAnsi="Arial Narrow"/>
                <w:b/>
                <w:sz w:val="20"/>
                <w:szCs w:val="20"/>
              </w:rPr>
              <w:t>Year 5</w:t>
            </w:r>
          </w:p>
        </w:tc>
        <w:tc>
          <w:tcPr>
            <w:tcW w:w="575" w:type="pct"/>
            <w:vAlign w:val="center"/>
          </w:tcPr>
          <w:p w14:paraId="10D37867" w14:textId="46EEF2A3" w:rsidR="00D947BA" w:rsidRPr="00597D53" w:rsidRDefault="006207BF" w:rsidP="003B1D50">
            <w:pPr>
              <w:spacing w:before="0"/>
              <w:rPr>
                <w:rFonts w:ascii="Arial Narrow" w:hAnsi="Arial Narrow"/>
                <w:b/>
                <w:sz w:val="20"/>
                <w:szCs w:val="20"/>
              </w:rPr>
            </w:pPr>
            <w:r w:rsidRPr="00597D53">
              <w:rPr>
                <w:rFonts w:ascii="Arial Narrow" w:hAnsi="Arial Narrow"/>
                <w:b/>
                <w:sz w:val="20"/>
                <w:szCs w:val="20"/>
              </w:rPr>
              <w:t>Year 6</w:t>
            </w:r>
          </w:p>
        </w:tc>
      </w:tr>
      <w:tr w:rsidR="00263E72" w:rsidRPr="005E2ED2" w14:paraId="6EAC75A8" w14:textId="77777777" w:rsidTr="00FC04F5">
        <w:tc>
          <w:tcPr>
            <w:tcW w:w="1549" w:type="pct"/>
            <w:vAlign w:val="bottom"/>
          </w:tcPr>
          <w:p w14:paraId="0EC05DC7" w14:textId="42DEA270" w:rsidR="00263E72" w:rsidRPr="00597D53" w:rsidRDefault="00272CAE" w:rsidP="00597D53">
            <w:pPr>
              <w:spacing w:before="0"/>
              <w:rPr>
                <w:rFonts w:ascii="Arial Narrow" w:hAnsi="Arial Narrow"/>
                <w:sz w:val="20"/>
                <w:szCs w:val="20"/>
                <w:vertAlign w:val="superscript"/>
              </w:rPr>
            </w:pPr>
            <w:r w:rsidRPr="00723610">
              <w:rPr>
                <w:rFonts w:ascii="Arial Narrow" w:hAnsi="Arial Narrow"/>
                <w:sz w:val="20"/>
                <w:szCs w:val="20"/>
              </w:rPr>
              <w:t xml:space="preserve">Total </w:t>
            </w:r>
            <w:r w:rsidR="00C27DF4">
              <w:rPr>
                <w:rFonts w:ascii="Arial Narrow" w:hAnsi="Arial Narrow"/>
                <w:sz w:val="20"/>
                <w:szCs w:val="20"/>
              </w:rPr>
              <w:t xml:space="preserve">number of </w:t>
            </w:r>
            <w:r w:rsidR="00F66A0D" w:rsidRPr="00723610">
              <w:rPr>
                <w:rFonts w:ascii="Arial Narrow" w:hAnsi="Arial Narrow"/>
                <w:sz w:val="20"/>
                <w:szCs w:val="20"/>
              </w:rPr>
              <w:t>device</w:t>
            </w:r>
            <w:r w:rsidR="001F15DD">
              <w:rPr>
                <w:rFonts w:ascii="Arial Narrow" w:hAnsi="Arial Narrow"/>
                <w:sz w:val="20"/>
                <w:szCs w:val="20"/>
              </w:rPr>
              <w:t>s</w:t>
            </w:r>
            <w:r w:rsidR="00F66A0D" w:rsidRPr="00723610">
              <w:rPr>
                <w:rFonts w:ascii="Arial Narrow" w:hAnsi="Arial Narrow"/>
                <w:sz w:val="20"/>
                <w:szCs w:val="20"/>
              </w:rPr>
              <w:t xml:space="preserve"> required </w:t>
            </w:r>
            <w:r w:rsidR="00263E72" w:rsidRPr="00723610">
              <w:rPr>
                <w:rFonts w:ascii="Arial Narrow" w:hAnsi="Arial Narrow"/>
                <w:sz w:val="20"/>
                <w:szCs w:val="20"/>
              </w:rPr>
              <w:t>≥20% TBSA</w:t>
            </w:r>
            <w:r w:rsidR="00AE22C2">
              <w:rPr>
                <w:rFonts w:ascii="Arial Narrow" w:hAnsi="Arial Narrow"/>
                <w:sz w:val="20"/>
                <w:szCs w:val="20"/>
                <w:vertAlign w:val="superscript"/>
              </w:rPr>
              <w:t>a</w:t>
            </w:r>
          </w:p>
        </w:tc>
        <w:tc>
          <w:tcPr>
            <w:tcW w:w="575" w:type="pct"/>
            <w:vAlign w:val="center"/>
          </w:tcPr>
          <w:p w14:paraId="04DA6434" w14:textId="7D57D622" w:rsidR="00263E72" w:rsidRPr="00597D53" w:rsidRDefault="00483430" w:rsidP="00597D53">
            <w:pPr>
              <w:spacing w:before="0"/>
              <w:rPr>
                <w:rFonts w:ascii="Arial Narrow" w:hAnsi="Arial Narrow"/>
                <w:sz w:val="20"/>
                <w:szCs w:val="20"/>
              </w:rPr>
            </w:pPr>
            <w:r>
              <w:rPr>
                <w:rFonts w:ascii="Arial Narrow" w:hAnsi="Arial Narrow"/>
                <w:b/>
                <w:bCs/>
                <w:sz w:val="20"/>
                <w:szCs w:val="20"/>
              </w:rPr>
              <w:t>redacted</w:t>
            </w:r>
            <w:r w:rsidRPr="00723610" w:rsidDel="00483430">
              <w:rPr>
                <w:rFonts w:ascii="Arial Narrow" w:hAnsi="Arial Narrow"/>
                <w:sz w:val="20"/>
                <w:szCs w:val="20"/>
              </w:rPr>
              <w:t xml:space="preserve"> </w:t>
            </w:r>
          </w:p>
        </w:tc>
        <w:tc>
          <w:tcPr>
            <w:tcW w:w="575" w:type="pct"/>
            <w:vAlign w:val="center"/>
          </w:tcPr>
          <w:p w14:paraId="4942C840" w14:textId="2DBECBB1" w:rsidR="00263E72" w:rsidRPr="00597D53" w:rsidRDefault="00483430" w:rsidP="00597D53">
            <w:pPr>
              <w:spacing w:before="0"/>
              <w:rPr>
                <w:rFonts w:ascii="Arial Narrow" w:hAnsi="Arial Narrow"/>
                <w:sz w:val="20"/>
                <w:szCs w:val="20"/>
              </w:rPr>
            </w:pPr>
            <w:r>
              <w:rPr>
                <w:rFonts w:ascii="Arial Narrow" w:hAnsi="Arial Narrow"/>
                <w:b/>
                <w:bCs/>
                <w:sz w:val="20"/>
                <w:szCs w:val="20"/>
              </w:rPr>
              <w:t>redacted</w:t>
            </w:r>
            <w:r w:rsidRPr="00723610" w:rsidDel="00483430">
              <w:rPr>
                <w:rFonts w:ascii="Arial Narrow" w:hAnsi="Arial Narrow"/>
                <w:sz w:val="20"/>
                <w:szCs w:val="20"/>
              </w:rPr>
              <w:t xml:space="preserve"> </w:t>
            </w:r>
          </w:p>
        </w:tc>
        <w:tc>
          <w:tcPr>
            <w:tcW w:w="575" w:type="pct"/>
            <w:vAlign w:val="center"/>
          </w:tcPr>
          <w:p w14:paraId="22092348" w14:textId="0B990A2A" w:rsidR="00263E72" w:rsidRPr="00597D53" w:rsidRDefault="00483430" w:rsidP="00597D53">
            <w:pPr>
              <w:spacing w:before="0"/>
              <w:rPr>
                <w:rFonts w:ascii="Arial Narrow" w:hAnsi="Arial Narrow"/>
                <w:sz w:val="20"/>
                <w:szCs w:val="20"/>
              </w:rPr>
            </w:pPr>
            <w:r>
              <w:rPr>
                <w:rFonts w:ascii="Arial Narrow" w:hAnsi="Arial Narrow"/>
                <w:b/>
                <w:bCs/>
                <w:sz w:val="20"/>
                <w:szCs w:val="20"/>
              </w:rPr>
              <w:t>redacted</w:t>
            </w:r>
          </w:p>
        </w:tc>
        <w:tc>
          <w:tcPr>
            <w:tcW w:w="575" w:type="pct"/>
            <w:vAlign w:val="center"/>
          </w:tcPr>
          <w:p w14:paraId="539B4770" w14:textId="09279DF7" w:rsidR="00263E72" w:rsidRPr="00597D53" w:rsidRDefault="00483430" w:rsidP="00597D53">
            <w:pPr>
              <w:spacing w:before="0"/>
              <w:rPr>
                <w:rFonts w:ascii="Arial Narrow" w:hAnsi="Arial Narrow"/>
                <w:sz w:val="20"/>
                <w:szCs w:val="20"/>
              </w:rPr>
            </w:pPr>
            <w:r>
              <w:rPr>
                <w:rFonts w:ascii="Arial Narrow" w:hAnsi="Arial Narrow"/>
                <w:b/>
                <w:bCs/>
                <w:sz w:val="20"/>
                <w:szCs w:val="20"/>
              </w:rPr>
              <w:t>redacted</w:t>
            </w:r>
          </w:p>
        </w:tc>
        <w:tc>
          <w:tcPr>
            <w:tcW w:w="575" w:type="pct"/>
            <w:vAlign w:val="center"/>
          </w:tcPr>
          <w:p w14:paraId="07107C11" w14:textId="4FE3C2C1" w:rsidR="00263E72" w:rsidRPr="00597D53" w:rsidRDefault="00483430" w:rsidP="00597D53">
            <w:pPr>
              <w:spacing w:before="0"/>
              <w:rPr>
                <w:rFonts w:ascii="Arial Narrow" w:hAnsi="Arial Narrow"/>
                <w:sz w:val="20"/>
                <w:szCs w:val="20"/>
              </w:rPr>
            </w:pPr>
            <w:r>
              <w:rPr>
                <w:rFonts w:ascii="Arial Narrow" w:hAnsi="Arial Narrow"/>
                <w:b/>
                <w:bCs/>
                <w:sz w:val="20"/>
                <w:szCs w:val="20"/>
              </w:rPr>
              <w:t>redacted</w:t>
            </w:r>
          </w:p>
        </w:tc>
        <w:tc>
          <w:tcPr>
            <w:tcW w:w="575" w:type="pct"/>
            <w:vAlign w:val="center"/>
          </w:tcPr>
          <w:p w14:paraId="1E744CA1" w14:textId="6FB33E87" w:rsidR="00263E72" w:rsidRPr="00597D53" w:rsidRDefault="00483430" w:rsidP="00597D53">
            <w:pPr>
              <w:spacing w:before="0"/>
              <w:rPr>
                <w:rFonts w:ascii="Arial Narrow" w:hAnsi="Arial Narrow"/>
                <w:sz w:val="20"/>
                <w:szCs w:val="20"/>
              </w:rPr>
            </w:pPr>
            <w:r>
              <w:rPr>
                <w:rFonts w:ascii="Arial Narrow" w:hAnsi="Arial Narrow"/>
                <w:b/>
                <w:bCs/>
                <w:sz w:val="20"/>
                <w:szCs w:val="20"/>
              </w:rPr>
              <w:t>redacted</w:t>
            </w:r>
          </w:p>
        </w:tc>
      </w:tr>
      <w:tr w:rsidR="00CA2EDB" w:rsidRPr="005E2ED2" w14:paraId="1F588C98" w14:textId="77777777" w:rsidTr="00FC04F5">
        <w:tc>
          <w:tcPr>
            <w:tcW w:w="1549" w:type="pct"/>
            <w:vAlign w:val="bottom"/>
          </w:tcPr>
          <w:p w14:paraId="573FF4ED" w14:textId="056877C7" w:rsidR="00CA2EDB" w:rsidRPr="00597D53" w:rsidRDefault="00455BCE" w:rsidP="00CA2EDB">
            <w:pPr>
              <w:spacing w:before="0"/>
              <w:rPr>
                <w:rFonts w:ascii="Arial Narrow" w:hAnsi="Arial Narrow"/>
                <w:sz w:val="20"/>
                <w:szCs w:val="20"/>
                <w:vertAlign w:val="superscript"/>
              </w:rPr>
            </w:pPr>
            <w:r w:rsidRPr="00723610">
              <w:rPr>
                <w:rFonts w:ascii="Arial Narrow" w:hAnsi="Arial Narrow"/>
                <w:sz w:val="20"/>
                <w:szCs w:val="20"/>
              </w:rPr>
              <w:t>R</w:t>
            </w:r>
            <w:r w:rsidR="00476704">
              <w:rPr>
                <w:rFonts w:ascii="Arial Narrow" w:hAnsi="Arial Narrow"/>
                <w:sz w:val="20"/>
                <w:szCs w:val="20"/>
              </w:rPr>
              <w:t>ECELL</w:t>
            </w:r>
            <w:r w:rsidR="45AA72DF" w:rsidRPr="0DDDB127">
              <w:rPr>
                <w:rFonts w:ascii="Arial Narrow" w:hAnsi="Arial Narrow"/>
                <w:sz w:val="20"/>
                <w:szCs w:val="20"/>
              </w:rPr>
              <w:t>®</w:t>
            </w:r>
            <w:r w:rsidRPr="00723610">
              <w:rPr>
                <w:rFonts w:ascii="Arial Narrow" w:hAnsi="Arial Narrow"/>
                <w:sz w:val="20"/>
                <w:szCs w:val="20"/>
              </w:rPr>
              <w:t xml:space="preserve"> </w:t>
            </w:r>
            <w:r w:rsidR="00CA2EDB" w:rsidRPr="00723610">
              <w:rPr>
                <w:rFonts w:ascii="Arial Narrow" w:hAnsi="Arial Narrow"/>
                <w:sz w:val="20"/>
                <w:szCs w:val="20"/>
              </w:rPr>
              <w:t xml:space="preserve">device </w:t>
            </w:r>
            <w:r w:rsidRPr="00723610">
              <w:rPr>
                <w:rFonts w:ascii="Arial Narrow" w:hAnsi="Arial Narrow"/>
                <w:sz w:val="20"/>
                <w:szCs w:val="20"/>
              </w:rPr>
              <w:t>unit</w:t>
            </w:r>
            <w:r w:rsidR="00822754">
              <w:rPr>
                <w:rFonts w:ascii="Arial Narrow" w:hAnsi="Arial Narrow"/>
                <w:sz w:val="20"/>
                <w:szCs w:val="20"/>
              </w:rPr>
              <w:t xml:space="preserve"> </w:t>
            </w:r>
            <w:r w:rsidRPr="00723610">
              <w:rPr>
                <w:rFonts w:ascii="Arial Narrow" w:hAnsi="Arial Narrow"/>
                <w:sz w:val="20"/>
                <w:szCs w:val="20"/>
              </w:rPr>
              <w:t>cost</w:t>
            </w:r>
            <w:r w:rsidR="00AE22C2">
              <w:rPr>
                <w:rFonts w:ascii="Arial Narrow" w:hAnsi="Arial Narrow"/>
                <w:sz w:val="20"/>
                <w:szCs w:val="20"/>
                <w:vertAlign w:val="superscript"/>
              </w:rPr>
              <w:t>b</w:t>
            </w:r>
          </w:p>
        </w:tc>
        <w:tc>
          <w:tcPr>
            <w:tcW w:w="575" w:type="pct"/>
            <w:vAlign w:val="center"/>
          </w:tcPr>
          <w:p w14:paraId="4BA403BC" w14:textId="4A72A7C5" w:rsidR="00CA2EDB" w:rsidRPr="00723610" w:rsidRDefault="00CA2EDB" w:rsidP="00CA2EDB">
            <w:pPr>
              <w:spacing w:before="0"/>
              <w:rPr>
                <w:rFonts w:ascii="Arial Narrow" w:hAnsi="Arial Narrow"/>
                <w:sz w:val="20"/>
                <w:szCs w:val="20"/>
              </w:rPr>
            </w:pPr>
            <w:r w:rsidRPr="00723610">
              <w:rPr>
                <w:rFonts w:ascii="Arial Narrow" w:hAnsi="Arial Narrow"/>
                <w:sz w:val="20"/>
                <w:szCs w:val="20"/>
              </w:rPr>
              <w:t>$</w:t>
            </w:r>
            <w:r w:rsidR="002B1269">
              <w:rPr>
                <w:rFonts w:ascii="Arial Narrow" w:hAnsi="Arial Narrow"/>
                <w:b/>
                <w:bCs/>
                <w:sz w:val="20"/>
                <w:szCs w:val="20"/>
              </w:rPr>
              <w:t>redacted</w:t>
            </w:r>
          </w:p>
        </w:tc>
        <w:tc>
          <w:tcPr>
            <w:tcW w:w="575" w:type="pct"/>
          </w:tcPr>
          <w:p w14:paraId="6E3022C1" w14:textId="2B9B0B9B" w:rsidR="00CA2EDB" w:rsidRPr="00723610" w:rsidRDefault="00CA2EDB" w:rsidP="00CA2EDB">
            <w:pPr>
              <w:spacing w:before="0"/>
              <w:rPr>
                <w:rFonts w:ascii="Arial Narrow" w:hAnsi="Arial Narrow"/>
                <w:sz w:val="20"/>
                <w:szCs w:val="20"/>
              </w:rPr>
            </w:pPr>
            <w:r w:rsidRPr="00723610">
              <w:rPr>
                <w:rFonts w:ascii="Arial Narrow" w:hAnsi="Arial Narrow"/>
                <w:sz w:val="20"/>
                <w:szCs w:val="20"/>
              </w:rPr>
              <w:t>$</w:t>
            </w:r>
            <w:r w:rsidR="00483430">
              <w:rPr>
                <w:rFonts w:ascii="Arial Narrow" w:hAnsi="Arial Narrow"/>
                <w:b/>
                <w:bCs/>
                <w:sz w:val="20"/>
                <w:szCs w:val="20"/>
              </w:rPr>
              <w:t xml:space="preserve"> redacted</w:t>
            </w:r>
            <w:r w:rsidR="00483430" w:rsidRPr="00723610">
              <w:rPr>
                <w:rFonts w:ascii="Arial Narrow" w:hAnsi="Arial Narrow"/>
                <w:sz w:val="20"/>
                <w:szCs w:val="20"/>
              </w:rPr>
              <w:t xml:space="preserve"> </w:t>
            </w:r>
          </w:p>
        </w:tc>
        <w:tc>
          <w:tcPr>
            <w:tcW w:w="575" w:type="pct"/>
          </w:tcPr>
          <w:p w14:paraId="47B22FB0" w14:textId="76190762" w:rsidR="00CA2EDB" w:rsidRPr="00723610" w:rsidRDefault="00CA2EDB" w:rsidP="00CA2EDB">
            <w:pPr>
              <w:spacing w:before="0"/>
              <w:rPr>
                <w:rFonts w:ascii="Arial Narrow" w:hAnsi="Arial Narrow"/>
                <w:sz w:val="20"/>
                <w:szCs w:val="20"/>
              </w:rPr>
            </w:pPr>
            <w:r w:rsidRPr="00723610">
              <w:rPr>
                <w:rFonts w:ascii="Arial Narrow" w:hAnsi="Arial Narrow"/>
                <w:sz w:val="20"/>
                <w:szCs w:val="20"/>
              </w:rPr>
              <w:t>$</w:t>
            </w:r>
            <w:r w:rsidR="00483430">
              <w:rPr>
                <w:rFonts w:ascii="Arial Narrow" w:hAnsi="Arial Narrow"/>
                <w:b/>
                <w:bCs/>
                <w:sz w:val="20"/>
                <w:szCs w:val="20"/>
              </w:rPr>
              <w:t xml:space="preserve"> redacted</w:t>
            </w:r>
          </w:p>
        </w:tc>
        <w:tc>
          <w:tcPr>
            <w:tcW w:w="575" w:type="pct"/>
          </w:tcPr>
          <w:p w14:paraId="19DC4A3B" w14:textId="393D1EC8" w:rsidR="00CA2EDB" w:rsidRPr="00723610" w:rsidRDefault="00CA2EDB" w:rsidP="00CA2EDB">
            <w:pPr>
              <w:spacing w:before="0"/>
              <w:rPr>
                <w:rFonts w:ascii="Arial Narrow" w:hAnsi="Arial Narrow"/>
                <w:sz w:val="20"/>
                <w:szCs w:val="20"/>
              </w:rPr>
            </w:pPr>
            <w:r w:rsidRPr="00723610">
              <w:rPr>
                <w:rFonts w:ascii="Arial Narrow" w:hAnsi="Arial Narrow"/>
                <w:sz w:val="20"/>
                <w:szCs w:val="20"/>
              </w:rPr>
              <w:t>$</w:t>
            </w:r>
            <w:r w:rsidR="00483430">
              <w:rPr>
                <w:rFonts w:ascii="Arial Narrow" w:hAnsi="Arial Narrow"/>
                <w:b/>
                <w:bCs/>
                <w:sz w:val="20"/>
                <w:szCs w:val="20"/>
              </w:rPr>
              <w:t xml:space="preserve"> redacted</w:t>
            </w:r>
          </w:p>
        </w:tc>
        <w:tc>
          <w:tcPr>
            <w:tcW w:w="575" w:type="pct"/>
          </w:tcPr>
          <w:p w14:paraId="3318845D" w14:textId="78D2B2F3" w:rsidR="00CA2EDB" w:rsidRPr="00723610" w:rsidRDefault="00CA2EDB" w:rsidP="00CA2EDB">
            <w:pPr>
              <w:spacing w:before="0"/>
              <w:rPr>
                <w:rFonts w:ascii="Arial Narrow" w:hAnsi="Arial Narrow"/>
                <w:sz w:val="20"/>
                <w:szCs w:val="20"/>
              </w:rPr>
            </w:pPr>
            <w:r w:rsidRPr="00723610">
              <w:rPr>
                <w:rFonts w:ascii="Arial Narrow" w:hAnsi="Arial Narrow"/>
                <w:sz w:val="20"/>
                <w:szCs w:val="20"/>
              </w:rPr>
              <w:t>$</w:t>
            </w:r>
            <w:r w:rsidR="00483430">
              <w:rPr>
                <w:rFonts w:ascii="Arial Narrow" w:hAnsi="Arial Narrow"/>
                <w:b/>
                <w:bCs/>
                <w:sz w:val="20"/>
                <w:szCs w:val="20"/>
              </w:rPr>
              <w:t xml:space="preserve"> redacted</w:t>
            </w:r>
          </w:p>
        </w:tc>
        <w:tc>
          <w:tcPr>
            <w:tcW w:w="575" w:type="pct"/>
          </w:tcPr>
          <w:p w14:paraId="4E9AAFD6" w14:textId="4627FB61" w:rsidR="00CA2EDB" w:rsidRPr="00723610" w:rsidRDefault="00CA2EDB" w:rsidP="00CA2EDB">
            <w:pPr>
              <w:spacing w:before="0"/>
              <w:rPr>
                <w:rFonts w:ascii="Arial Narrow" w:hAnsi="Arial Narrow"/>
                <w:sz w:val="20"/>
                <w:szCs w:val="20"/>
              </w:rPr>
            </w:pPr>
            <w:r w:rsidRPr="00723610">
              <w:rPr>
                <w:rFonts w:ascii="Arial Narrow" w:hAnsi="Arial Narrow"/>
                <w:sz w:val="20"/>
                <w:szCs w:val="20"/>
              </w:rPr>
              <w:t>$</w:t>
            </w:r>
            <w:r w:rsidR="00483430">
              <w:rPr>
                <w:rFonts w:ascii="Arial Narrow" w:hAnsi="Arial Narrow"/>
                <w:b/>
                <w:bCs/>
                <w:sz w:val="20"/>
                <w:szCs w:val="20"/>
              </w:rPr>
              <w:t xml:space="preserve"> redacted</w:t>
            </w:r>
            <w:r w:rsidR="00483430" w:rsidRPr="00723610" w:rsidDel="00483430">
              <w:rPr>
                <w:rFonts w:ascii="Arial Narrow" w:hAnsi="Arial Narrow"/>
                <w:sz w:val="20"/>
                <w:szCs w:val="20"/>
              </w:rPr>
              <w:t xml:space="preserve"> </w:t>
            </w:r>
          </w:p>
        </w:tc>
      </w:tr>
      <w:tr w:rsidR="00263E72" w:rsidRPr="003B1D50" w14:paraId="20DFD898" w14:textId="77777777" w:rsidTr="00FC04F5">
        <w:tc>
          <w:tcPr>
            <w:tcW w:w="1549" w:type="pct"/>
            <w:vAlign w:val="center"/>
          </w:tcPr>
          <w:p w14:paraId="6910A78E" w14:textId="55D9433B" w:rsidR="00263E72" w:rsidRPr="003B1D50" w:rsidRDefault="002124A8" w:rsidP="00597D53">
            <w:pPr>
              <w:spacing w:before="0"/>
              <w:rPr>
                <w:rFonts w:ascii="Arial Narrow" w:hAnsi="Arial Narrow"/>
                <w:sz w:val="20"/>
                <w:szCs w:val="20"/>
                <w:vertAlign w:val="superscript"/>
              </w:rPr>
            </w:pPr>
            <w:r w:rsidRPr="003B1D50">
              <w:rPr>
                <w:rFonts w:ascii="Arial Narrow" w:hAnsi="Arial Narrow"/>
                <w:sz w:val="20"/>
                <w:szCs w:val="20"/>
              </w:rPr>
              <w:t>Total cost to hospital</w:t>
            </w:r>
            <w:r w:rsidR="00A456B3" w:rsidRPr="003B1D50">
              <w:rPr>
                <w:rFonts w:ascii="Arial Narrow" w:hAnsi="Arial Narrow"/>
                <w:sz w:val="20"/>
                <w:szCs w:val="20"/>
              </w:rPr>
              <w:t>s</w:t>
            </w:r>
            <w:r w:rsidR="00AE22C2" w:rsidRPr="003B1D50">
              <w:rPr>
                <w:rFonts w:ascii="Arial Narrow" w:hAnsi="Arial Narrow"/>
                <w:sz w:val="20"/>
                <w:szCs w:val="20"/>
                <w:vertAlign w:val="superscript"/>
              </w:rPr>
              <w:t>c</w:t>
            </w:r>
          </w:p>
        </w:tc>
        <w:tc>
          <w:tcPr>
            <w:tcW w:w="575" w:type="pct"/>
            <w:vAlign w:val="center"/>
          </w:tcPr>
          <w:p w14:paraId="3EF8DF3B" w14:textId="22F2C967" w:rsidR="00263E72" w:rsidRPr="003B1D50" w:rsidRDefault="00263E72" w:rsidP="00597D53">
            <w:pPr>
              <w:spacing w:before="0"/>
              <w:rPr>
                <w:rFonts w:ascii="Arial Narrow" w:hAnsi="Arial Narrow"/>
                <w:sz w:val="20"/>
                <w:szCs w:val="20"/>
              </w:rPr>
            </w:pPr>
            <w:r w:rsidRPr="003B1D50">
              <w:rPr>
                <w:rFonts w:ascii="Arial Narrow" w:hAnsi="Arial Narrow"/>
                <w:sz w:val="20"/>
                <w:szCs w:val="20"/>
              </w:rPr>
              <w:t>$1,519,542</w:t>
            </w:r>
          </w:p>
        </w:tc>
        <w:tc>
          <w:tcPr>
            <w:tcW w:w="575" w:type="pct"/>
            <w:vAlign w:val="center"/>
          </w:tcPr>
          <w:p w14:paraId="6C98C2CE" w14:textId="57253C33" w:rsidR="00263E72" w:rsidRPr="003B1D50" w:rsidRDefault="00263E72" w:rsidP="00597D53">
            <w:pPr>
              <w:spacing w:before="0"/>
              <w:rPr>
                <w:rFonts w:ascii="Arial Narrow" w:hAnsi="Arial Narrow"/>
                <w:sz w:val="20"/>
                <w:szCs w:val="20"/>
              </w:rPr>
            </w:pPr>
            <w:r w:rsidRPr="003B1D50">
              <w:rPr>
                <w:rFonts w:ascii="Arial Narrow" w:hAnsi="Arial Narrow"/>
                <w:sz w:val="20"/>
                <w:szCs w:val="20"/>
              </w:rPr>
              <w:t>$1,765,201</w:t>
            </w:r>
          </w:p>
        </w:tc>
        <w:tc>
          <w:tcPr>
            <w:tcW w:w="575" w:type="pct"/>
            <w:vAlign w:val="center"/>
          </w:tcPr>
          <w:p w14:paraId="3B765A03" w14:textId="4A834AD1" w:rsidR="00263E72" w:rsidRPr="003B1D50" w:rsidRDefault="00263E72" w:rsidP="00597D53">
            <w:pPr>
              <w:spacing w:before="0"/>
              <w:rPr>
                <w:rFonts w:ascii="Arial Narrow" w:hAnsi="Arial Narrow"/>
                <w:sz w:val="20"/>
                <w:szCs w:val="20"/>
              </w:rPr>
            </w:pPr>
            <w:r w:rsidRPr="003B1D50">
              <w:rPr>
                <w:rFonts w:ascii="Arial Narrow" w:hAnsi="Arial Narrow"/>
                <w:sz w:val="20"/>
                <w:szCs w:val="20"/>
              </w:rPr>
              <w:t>$2,114,609</w:t>
            </w:r>
          </w:p>
        </w:tc>
        <w:tc>
          <w:tcPr>
            <w:tcW w:w="575" w:type="pct"/>
            <w:vAlign w:val="center"/>
          </w:tcPr>
          <w:p w14:paraId="466804A0" w14:textId="29DA090C" w:rsidR="00263E72" w:rsidRPr="003B1D50" w:rsidRDefault="00263E72" w:rsidP="00597D53">
            <w:pPr>
              <w:spacing w:before="0"/>
              <w:rPr>
                <w:rFonts w:ascii="Arial Narrow" w:hAnsi="Arial Narrow"/>
                <w:sz w:val="20"/>
                <w:szCs w:val="20"/>
              </w:rPr>
            </w:pPr>
            <w:r w:rsidRPr="003B1D50">
              <w:rPr>
                <w:rFonts w:ascii="Arial Narrow" w:hAnsi="Arial Narrow"/>
                <w:sz w:val="20"/>
                <w:szCs w:val="20"/>
              </w:rPr>
              <w:t>$2,424,643</w:t>
            </w:r>
          </w:p>
        </w:tc>
        <w:tc>
          <w:tcPr>
            <w:tcW w:w="575" w:type="pct"/>
            <w:vAlign w:val="center"/>
          </w:tcPr>
          <w:p w14:paraId="1F86384E" w14:textId="2C99D206" w:rsidR="00263E72" w:rsidRPr="003B1D50" w:rsidRDefault="00263E72" w:rsidP="00597D53">
            <w:pPr>
              <w:spacing w:before="0"/>
              <w:rPr>
                <w:rFonts w:ascii="Arial Narrow" w:hAnsi="Arial Narrow"/>
                <w:sz w:val="20"/>
                <w:szCs w:val="20"/>
              </w:rPr>
            </w:pPr>
            <w:r w:rsidRPr="003B1D50">
              <w:rPr>
                <w:rFonts w:ascii="Arial Narrow" w:hAnsi="Arial Narrow"/>
                <w:sz w:val="20"/>
                <w:szCs w:val="20"/>
              </w:rPr>
              <w:t>$2,424,643</w:t>
            </w:r>
          </w:p>
        </w:tc>
        <w:tc>
          <w:tcPr>
            <w:tcW w:w="575" w:type="pct"/>
            <w:vAlign w:val="center"/>
          </w:tcPr>
          <w:p w14:paraId="7B2ADB6E" w14:textId="241B00A8" w:rsidR="00263E72" w:rsidRPr="003B1D50" w:rsidRDefault="00263E72" w:rsidP="00597D53">
            <w:pPr>
              <w:spacing w:before="0"/>
              <w:rPr>
                <w:rFonts w:ascii="Arial Narrow" w:hAnsi="Arial Narrow"/>
                <w:sz w:val="20"/>
                <w:szCs w:val="20"/>
              </w:rPr>
            </w:pPr>
            <w:r w:rsidRPr="003B1D50">
              <w:rPr>
                <w:rFonts w:ascii="Arial Narrow" w:hAnsi="Arial Narrow"/>
                <w:sz w:val="20"/>
                <w:szCs w:val="20"/>
              </w:rPr>
              <w:t>$2,424,643</w:t>
            </w:r>
          </w:p>
        </w:tc>
      </w:tr>
    </w:tbl>
    <w:p w14:paraId="3F18BAB0" w14:textId="6A858376" w:rsidR="00101863" w:rsidRDefault="00101863" w:rsidP="00101863">
      <w:pPr>
        <w:pStyle w:val="Tablenotes0"/>
      </w:pPr>
      <w:r>
        <w:t>Abbreviations:</w:t>
      </w:r>
      <w:r w:rsidRPr="008436A7">
        <w:t xml:space="preserve"> </w:t>
      </w:r>
      <w:r>
        <w:t>ASCS = autologous skin cell suspension;</w:t>
      </w:r>
      <w:r w:rsidRPr="00043686">
        <w:t xml:space="preserve"> </w:t>
      </w:r>
      <w:r w:rsidR="00B47139">
        <w:t xml:space="preserve">TBSA = </w:t>
      </w:r>
      <w:r w:rsidR="00B00805">
        <w:t>total body surface area</w:t>
      </w:r>
    </w:p>
    <w:p w14:paraId="1A5D1964" w14:textId="07FF378E" w:rsidR="00CB2684" w:rsidRDefault="00101863" w:rsidP="00101863">
      <w:pPr>
        <w:pStyle w:val="Tablenotes0"/>
      </w:pPr>
      <w:r w:rsidRPr="00D76EFB">
        <w:t>Source:</w:t>
      </w:r>
      <w:r w:rsidRPr="00D715A4">
        <w:t xml:space="preserve"> </w:t>
      </w:r>
      <w:r>
        <w:t>ADAR</w:t>
      </w:r>
      <w:r w:rsidRPr="00D715A4">
        <w:t xml:space="preserve"> Tables </w:t>
      </w:r>
      <w:r>
        <w:t>61 (p</w:t>
      </w:r>
      <w:r w:rsidR="00B00805">
        <w:t xml:space="preserve"> 108</w:t>
      </w:r>
      <w:r>
        <w:t>)</w:t>
      </w:r>
      <w:r w:rsidRPr="00D715A4">
        <w:t xml:space="preserve">; Attachment </w:t>
      </w:r>
      <w:r>
        <w:t>4.1 BIM</w:t>
      </w:r>
    </w:p>
    <w:p w14:paraId="51F983BC" w14:textId="0AF51636" w:rsidR="000E358C" w:rsidRDefault="00AE22C2" w:rsidP="00101863">
      <w:pPr>
        <w:pStyle w:val="Tablenotes0"/>
      </w:pPr>
      <w:r>
        <w:rPr>
          <w:vertAlign w:val="superscript"/>
        </w:rPr>
        <w:t xml:space="preserve">a </w:t>
      </w:r>
      <w:r>
        <w:t>t</w:t>
      </w:r>
      <w:r w:rsidR="000E358C">
        <w:t xml:space="preserve">otal number of </w:t>
      </w:r>
      <w:r>
        <w:t>devices</w:t>
      </w:r>
      <w:r w:rsidR="000E358C">
        <w:t xml:space="preserve"> was estimated </w:t>
      </w:r>
      <w:r w:rsidR="00647592">
        <w:t xml:space="preserve">based on </w:t>
      </w:r>
      <w:r w:rsidR="003B3AE6">
        <w:t>estimated number of patients expected to utilise</w:t>
      </w:r>
      <w:r w:rsidR="00FD30F6">
        <w:t xml:space="preserve"> ASCS</w:t>
      </w:r>
      <w:r>
        <w:t xml:space="preserve"> </w:t>
      </w:r>
      <w:r w:rsidR="00247B32">
        <w:t xml:space="preserve">in each </w:t>
      </w:r>
      <w:r w:rsidR="001554E8">
        <w:t>%</w:t>
      </w:r>
      <w:r w:rsidR="00247B32">
        <w:t>TBSA categor</w:t>
      </w:r>
      <w:r w:rsidR="003B3AE6">
        <w:t>y</w:t>
      </w:r>
      <w:r w:rsidR="00247B32">
        <w:t xml:space="preserve"> </w:t>
      </w:r>
      <w:r w:rsidR="00FD30F6">
        <w:t xml:space="preserve">multiplied by </w:t>
      </w:r>
      <w:r w:rsidR="00506D1A">
        <w:t xml:space="preserve">number of devices required in </w:t>
      </w:r>
      <w:r w:rsidR="003B3AE6">
        <w:t>each</w:t>
      </w:r>
      <w:r w:rsidR="003843BD">
        <w:t xml:space="preserve"> categor</w:t>
      </w:r>
      <w:r w:rsidR="003B3AE6">
        <w:t>y</w:t>
      </w:r>
      <w:r w:rsidR="003843BD">
        <w:t>.</w:t>
      </w:r>
    </w:p>
    <w:p w14:paraId="00A3D3F4" w14:textId="3E3962F9" w:rsidR="00F27FF1" w:rsidRDefault="00AE22C2" w:rsidP="00101863">
      <w:pPr>
        <w:pStyle w:val="Tablenotes0"/>
      </w:pPr>
      <w:r>
        <w:rPr>
          <w:vertAlign w:val="superscript"/>
        </w:rPr>
        <w:t xml:space="preserve">b </w:t>
      </w:r>
      <w:r w:rsidR="00F27FF1">
        <w:t>RECELL</w:t>
      </w:r>
      <w:r w:rsidR="1930F822">
        <w:t>®</w:t>
      </w:r>
      <w:r w:rsidR="00A86578">
        <w:t xml:space="preserve"> device unit cost </w:t>
      </w:r>
      <w:r w:rsidR="008431AD">
        <w:t>informed</w:t>
      </w:r>
      <w:r w:rsidR="00A86578">
        <w:t xml:space="preserve"> by AVITA </w:t>
      </w:r>
      <w:r w:rsidR="008431AD">
        <w:t>medical.</w:t>
      </w:r>
    </w:p>
    <w:p w14:paraId="27D663E7" w14:textId="5AF25019" w:rsidR="00311724" w:rsidRPr="0019083F" w:rsidRDefault="00511AA7" w:rsidP="00101863">
      <w:pPr>
        <w:pStyle w:val="Tablenotes0"/>
      </w:pPr>
      <w:r>
        <w:rPr>
          <w:vertAlign w:val="superscript"/>
        </w:rPr>
        <w:t>c</w:t>
      </w:r>
      <w:r w:rsidR="00AE22C2">
        <w:t xml:space="preserve"> </w:t>
      </w:r>
      <w:r w:rsidR="00705112" w:rsidRPr="00937401">
        <w:t>estimate</w:t>
      </w:r>
      <w:r w:rsidR="00705112">
        <w:t xml:space="preserve"> based on number of </w:t>
      </w:r>
      <w:r w:rsidR="00717B5C">
        <w:t>devices</w:t>
      </w:r>
      <w:r w:rsidR="00705112">
        <w:t xml:space="preserve"> required </w:t>
      </w:r>
      <w:r w:rsidR="00717B5C">
        <w:t>multiplied</w:t>
      </w:r>
      <w:r w:rsidR="00705112">
        <w:t xml:space="preserve"> by </w:t>
      </w:r>
      <w:r w:rsidR="00F013E2">
        <w:t>R</w:t>
      </w:r>
      <w:r w:rsidR="00465CBE">
        <w:t>ECELL</w:t>
      </w:r>
      <w:r w:rsidR="00F013E2">
        <w:t xml:space="preserve"> device unit costs</w:t>
      </w:r>
      <w:r w:rsidR="00663BB0">
        <w:t xml:space="preserve"> (i.e. </w:t>
      </w:r>
      <w:r w:rsidR="009C0A61" w:rsidRPr="00511AA7">
        <w:t xml:space="preserve">c = a </w:t>
      </w:r>
      <w:r w:rsidRPr="00597D53">
        <w:t>×</w:t>
      </w:r>
      <w:r w:rsidR="009C0A61" w:rsidRPr="00511AA7">
        <w:t xml:space="preserve"> b</w:t>
      </w:r>
      <w:r w:rsidR="009C0A61">
        <w:t>)</w:t>
      </w:r>
    </w:p>
    <w:p w14:paraId="6CD20494" w14:textId="5B64B0F5" w:rsidR="00CB2684" w:rsidRPr="008737A9" w:rsidRDefault="00160D47" w:rsidP="00CB2684">
      <w:r w:rsidDel="00CB2684">
        <w:t>Th</w:t>
      </w:r>
      <w:r w:rsidR="00AB2CA1">
        <w:t>is</w:t>
      </w:r>
      <w:r w:rsidDel="00CB2684">
        <w:t xml:space="preserve"> additional analys</w:t>
      </w:r>
      <w:r w:rsidR="00EC35BE">
        <w:t>i</w:t>
      </w:r>
      <w:r w:rsidDel="00CB2684">
        <w:t>s</w:t>
      </w:r>
      <w:r w:rsidR="00566BA4">
        <w:t>,</w:t>
      </w:r>
      <w:r w:rsidDel="00CB2684">
        <w:t xml:space="preserve"> </w:t>
      </w:r>
      <w:r w:rsidR="006E2E87">
        <w:t>considering</w:t>
      </w:r>
      <w:r w:rsidR="00EC35BE">
        <w:t xml:space="preserve"> only </w:t>
      </w:r>
      <w:r w:rsidR="006E2E87">
        <w:t xml:space="preserve">the </w:t>
      </w:r>
      <w:r w:rsidR="00EC35BE">
        <w:t>device cost</w:t>
      </w:r>
      <w:r w:rsidR="00566BA4">
        <w:t>,</w:t>
      </w:r>
      <w:r w:rsidR="00EC35BE">
        <w:t xml:space="preserve"> is</w:t>
      </w:r>
      <w:r w:rsidDel="00CB2684">
        <w:t xml:space="preserve"> </w:t>
      </w:r>
      <w:r w:rsidRPr="008737A9" w:rsidDel="00CB2684">
        <w:t xml:space="preserve">insufficient to represent total </w:t>
      </w:r>
      <w:r w:rsidDel="00CB2684">
        <w:t xml:space="preserve">costs to other budgets (including private health insurance and patient out-of-pocket expenses). Nevertheless, </w:t>
      </w:r>
      <w:r w:rsidRPr="008737A9" w:rsidDel="00CB2684">
        <w:t>LOS and</w:t>
      </w:r>
      <w:r w:rsidDel="00CB2684">
        <w:t xml:space="preserve"> the</w:t>
      </w:r>
      <w:r w:rsidRPr="008737A9" w:rsidDel="00CB2684">
        <w:t xml:space="preserve"> number of definitive closure procedures </w:t>
      </w:r>
      <w:r w:rsidDel="00CB2684">
        <w:t>were</w:t>
      </w:r>
      <w:r w:rsidRPr="008737A9" w:rsidDel="00CB2684">
        <w:t xml:space="preserve"> </w:t>
      </w:r>
      <w:r w:rsidDel="00CB2684">
        <w:t>key</w:t>
      </w:r>
      <w:r w:rsidRPr="008737A9" w:rsidDel="00CB2684">
        <w:t xml:space="preserve"> </w:t>
      </w:r>
      <w:r w:rsidDel="00CB2684">
        <w:t>drivers of cost savings</w:t>
      </w:r>
      <w:r w:rsidRPr="008737A9" w:rsidDel="00CB2684">
        <w:t xml:space="preserve"> in the </w:t>
      </w:r>
      <w:r w:rsidDel="00CB2684">
        <w:t>cost</w:t>
      </w:r>
      <w:r w:rsidR="006601A5">
        <w:t>ing</w:t>
      </w:r>
      <w:r w:rsidDel="00CB2684">
        <w:t xml:space="preserve"> </w:t>
      </w:r>
      <w:r w:rsidRPr="008737A9" w:rsidDel="00CB2684">
        <w:t>analysis</w:t>
      </w:r>
      <w:r w:rsidDel="00CB2684">
        <w:t>. If included in the financial estimates these would be considered as cost offsets</w:t>
      </w:r>
      <w:r w:rsidRPr="008737A9" w:rsidDel="00CB2684">
        <w:t>.</w:t>
      </w:r>
      <w:r w:rsidDel="00CB2684">
        <w:t xml:space="preserve"> As such, the approach presented may be conservative.</w:t>
      </w:r>
      <w:r w:rsidRPr="008737A9" w:rsidDel="00CB2684">
        <w:t xml:space="preserve"> </w:t>
      </w:r>
    </w:p>
    <w:p w14:paraId="7838A9FF" w14:textId="1423B80D" w:rsidR="00772829" w:rsidRPr="004C18BB" w:rsidRDefault="00772829" w:rsidP="0000493F">
      <w:pPr>
        <w:pStyle w:val="Heading2"/>
        <w:numPr>
          <w:ilvl w:val="0"/>
          <w:numId w:val="15"/>
        </w:numPr>
      </w:pPr>
      <w:bookmarkStart w:id="93" w:name="_Toc69491427"/>
      <w:bookmarkEnd w:id="90"/>
      <w:r w:rsidRPr="004C18BB">
        <w:t xml:space="preserve">Other relevant </w:t>
      </w:r>
      <w:bookmarkEnd w:id="93"/>
      <w:r w:rsidR="00FA5766" w:rsidRPr="004C18BB">
        <w:t>information</w:t>
      </w:r>
    </w:p>
    <w:p w14:paraId="1FA63409" w14:textId="3468FE81" w:rsidR="00EE2B97" w:rsidRPr="00EE2B97" w:rsidRDefault="00C62B81" w:rsidP="00EE2B97">
      <w:pPr>
        <w:pStyle w:val="Instructionaltext"/>
        <w:rPr>
          <w:color w:val="auto"/>
        </w:rPr>
      </w:pPr>
      <w:r w:rsidRPr="00C23C03">
        <w:rPr>
          <w:color w:val="auto"/>
        </w:rPr>
        <w:t>Nil</w:t>
      </w:r>
      <w:r w:rsidR="00DA24C8">
        <w:rPr>
          <w:color w:val="auto"/>
        </w:rPr>
        <w:t>.</w:t>
      </w:r>
      <w:r w:rsidR="00EE2B97">
        <w:rPr>
          <w:color w:val="auto"/>
        </w:rPr>
        <w:br w:type="page"/>
      </w:r>
    </w:p>
    <w:p w14:paraId="55C1476B" w14:textId="77777777" w:rsidR="00DA24C8" w:rsidRPr="00A737D1" w:rsidRDefault="00DA24C8" w:rsidP="0000493F">
      <w:pPr>
        <w:pStyle w:val="Heading2"/>
        <w:numPr>
          <w:ilvl w:val="0"/>
          <w:numId w:val="15"/>
        </w:numPr>
      </w:pPr>
      <w:bookmarkStart w:id="94" w:name="_Toc145678765"/>
      <w:bookmarkStart w:id="95" w:name="_Toc150172410"/>
      <w:bookmarkStart w:id="96" w:name="_Toc153462785"/>
      <w:r w:rsidRPr="003A793E">
        <w:lastRenderedPageBreak/>
        <w:t>Key issues from ESC to MSAC</w:t>
      </w:r>
    </w:p>
    <w:bookmarkEnd w:id="94"/>
    <w:bookmarkEnd w:id="95"/>
    <w:bookmarkEnd w:id="96"/>
    <w:p w14:paraId="042F6CC1" w14:textId="77777777" w:rsidR="00DA24C8" w:rsidRDefault="00DA24C8" w:rsidP="00DA24C8">
      <w:pPr>
        <w:pStyle w:val="BoxName0"/>
      </w:pPr>
      <w:r w:rsidRPr="00C749CB">
        <w:t>Main issues for MSAC consideration</w:t>
      </w:r>
    </w:p>
    <w:p w14:paraId="2A6BD599" w14:textId="77777777" w:rsidR="00DA24C8" w:rsidRDefault="00DA24C8" w:rsidP="00DA24C8">
      <w:pPr>
        <w:pStyle w:val="BoxName0"/>
      </w:pPr>
      <w:r>
        <w:t>Clinical issues:</w:t>
      </w:r>
    </w:p>
    <w:p w14:paraId="05EE0BE1" w14:textId="77777777" w:rsidR="00DA24C8" w:rsidRPr="006368AF" w:rsidRDefault="00DA24C8" w:rsidP="00DA24C8">
      <w:pPr>
        <w:pStyle w:val="BoxBullet"/>
        <w:rPr>
          <w:b/>
          <w:bCs/>
        </w:rPr>
      </w:pPr>
      <w:r>
        <w:t>ESC noted the intervention appears to reduce</w:t>
      </w:r>
      <w:r w:rsidRPr="004127CE">
        <w:t xml:space="preserve"> donor site</w:t>
      </w:r>
      <w:r>
        <w:t>s</w:t>
      </w:r>
      <w:r w:rsidRPr="004127CE">
        <w:t xml:space="preserve"> </w:t>
      </w:r>
      <w:r>
        <w:t>and</w:t>
      </w:r>
      <w:r w:rsidRPr="004127CE">
        <w:t xml:space="preserve"> </w:t>
      </w:r>
      <w:r>
        <w:t>reduce</w:t>
      </w:r>
      <w:r w:rsidRPr="004127CE">
        <w:t xml:space="preserve"> autograft procedures</w:t>
      </w:r>
      <w:r>
        <w:t xml:space="preserve">, but there was no </w:t>
      </w:r>
      <w:r w:rsidRPr="004127CE">
        <w:t>consistent benefit</w:t>
      </w:r>
      <w:r>
        <w:t xml:space="preserve"> shown</w:t>
      </w:r>
      <w:r w:rsidRPr="004127CE">
        <w:t xml:space="preserve"> </w:t>
      </w:r>
      <w:r>
        <w:t>for</w:t>
      </w:r>
      <w:r w:rsidRPr="004127CE">
        <w:t xml:space="preserve"> treatment site healing, pain or visual appearance</w:t>
      </w:r>
      <w:r>
        <w:t>.</w:t>
      </w:r>
    </w:p>
    <w:p w14:paraId="184A5A2F" w14:textId="55435FB7" w:rsidR="00DA24C8" w:rsidRPr="00DC1C79" w:rsidRDefault="00DA24C8" w:rsidP="00DA24C8">
      <w:pPr>
        <w:pStyle w:val="BoxBullet"/>
        <w:rPr>
          <w:b/>
          <w:bCs/>
        </w:rPr>
      </w:pPr>
      <w:r w:rsidRPr="00C042EB">
        <w:t>Evidence limitations</w:t>
      </w:r>
      <w:r>
        <w:t xml:space="preserve"> include</w:t>
      </w:r>
      <w:r w:rsidRPr="00C042EB">
        <w:t xml:space="preserve"> limited, low-quality clinical data on LOS and wound closure numbers</w:t>
      </w:r>
      <w:r>
        <w:t>.</w:t>
      </w:r>
      <w:r w:rsidRPr="00C042EB">
        <w:t xml:space="preserve"> LOS data </w:t>
      </w:r>
      <w:r>
        <w:t xml:space="preserve">are </w:t>
      </w:r>
      <w:r w:rsidRPr="00C042EB">
        <w:t xml:space="preserve">derived from a US retrospective study with potential residual confounding; closure assumptions may favour ASCS due to historical data trends. </w:t>
      </w:r>
      <w:r>
        <w:t>ESC considered that the approach used was reasonable due to the small sample sizes</w:t>
      </w:r>
      <w:r w:rsidR="007A2D83">
        <w:t>.</w:t>
      </w:r>
    </w:p>
    <w:p w14:paraId="77726D53" w14:textId="77777777" w:rsidR="00DA24C8" w:rsidRDefault="00DA24C8" w:rsidP="00DA24C8">
      <w:pPr>
        <w:pStyle w:val="BoxBullet"/>
      </w:pPr>
      <w:r>
        <w:t xml:space="preserve">ESC considered that safety appears to be non-inferior in terms of AEs </w:t>
      </w:r>
      <w:r w:rsidRPr="00BB1F35">
        <w:t xml:space="preserve">and </w:t>
      </w:r>
      <w:r>
        <w:t>S</w:t>
      </w:r>
      <w:r w:rsidRPr="00BB1F35">
        <w:t>AEs</w:t>
      </w:r>
      <w:r>
        <w:t>, d</w:t>
      </w:r>
      <w:r w:rsidRPr="00BB1F35">
        <w:t>evice-related A</w:t>
      </w:r>
      <w:r>
        <w:t>E</w:t>
      </w:r>
      <w:r w:rsidRPr="00BB1F35">
        <w:t>s</w:t>
      </w:r>
      <w:r>
        <w:t>, g</w:t>
      </w:r>
      <w:r w:rsidRPr="00BB1F35">
        <w:t>raft loss</w:t>
      </w:r>
      <w:r>
        <w:t>, i</w:t>
      </w:r>
      <w:r w:rsidRPr="00BB1F35">
        <w:t>nfection</w:t>
      </w:r>
      <w:r>
        <w:t>, s</w:t>
      </w:r>
      <w:r w:rsidRPr="00BB1F35">
        <w:t>car formation</w:t>
      </w:r>
      <w:r>
        <w:t xml:space="preserve"> and d</w:t>
      </w:r>
      <w:r w:rsidRPr="00BB1F35">
        <w:t>elayed wound healing</w:t>
      </w:r>
      <w:r>
        <w:t>.</w:t>
      </w:r>
    </w:p>
    <w:p w14:paraId="7BD90874" w14:textId="77777777" w:rsidR="00DA24C8" w:rsidRDefault="00DA24C8" w:rsidP="00DA24C8">
      <w:pPr>
        <w:pStyle w:val="BoxHeading"/>
      </w:pPr>
      <w:r>
        <w:t>Economic issues:</w:t>
      </w:r>
    </w:p>
    <w:p w14:paraId="50263B5B" w14:textId="398545D8" w:rsidR="00DA24C8" w:rsidRPr="00F46A48" w:rsidRDefault="00DA24C8" w:rsidP="00DA24C8">
      <w:pPr>
        <w:pStyle w:val="BoxBullet"/>
        <w:rPr>
          <w:b/>
          <w:bCs/>
        </w:rPr>
      </w:pPr>
      <w:r>
        <w:t>The ADAR assumes that the cost of the ReCell® device ($</w:t>
      </w:r>
      <w:r w:rsidR="007B4BAB">
        <w:rPr>
          <w:b/>
          <w:bCs/>
        </w:rPr>
        <w:t>redacted</w:t>
      </w:r>
      <w:r>
        <w:t xml:space="preserve"> will be absorbed by hospitals, but ESC was concerned that patients may need to pay out-of-pocket costs for the device if treated as a private patient was as the device is not eligible for inclusion on the Prescribed List of Medical Devices and Human Tissue Products (PL).</w:t>
      </w:r>
    </w:p>
    <w:p w14:paraId="65BFFD94" w14:textId="77777777" w:rsidR="00DA24C8" w:rsidRPr="00C042EB" w:rsidRDefault="00DA24C8" w:rsidP="00DA24C8">
      <w:pPr>
        <w:pStyle w:val="BoxBullet"/>
      </w:pPr>
      <w:r>
        <w:t>In the ADAR’s base case claimed c</w:t>
      </w:r>
      <w:r w:rsidRPr="00C042EB">
        <w:t xml:space="preserve">ost savings were greatest in burns ≥40% TBSA (20% of </w:t>
      </w:r>
      <w:r>
        <w:t xml:space="preserve">the </w:t>
      </w:r>
      <w:r w:rsidRPr="00C042EB">
        <w:t xml:space="preserve">cohort contributed 70% of </w:t>
      </w:r>
      <w:r>
        <w:t xml:space="preserve">the </w:t>
      </w:r>
      <w:r w:rsidRPr="00C042EB">
        <w:t>savings).</w:t>
      </w:r>
      <w:r>
        <w:t xml:space="preserve"> However, ESC noted that when the device cost was included in the base-case analysis</w:t>
      </w:r>
      <w:r w:rsidRPr="00C042EB">
        <w:t xml:space="preserve"> </w:t>
      </w:r>
      <w:r>
        <w:t xml:space="preserve">the overall </w:t>
      </w:r>
      <w:r w:rsidRPr="00C042EB">
        <w:t xml:space="preserve">cost savings </w:t>
      </w:r>
      <w:r>
        <w:t xml:space="preserve">reduced </w:t>
      </w:r>
      <w:r w:rsidRPr="00C042EB">
        <w:t xml:space="preserve">by ~80% (from −$24,068.10 to −$5,350.93). </w:t>
      </w:r>
      <w:r>
        <w:t>ESC also noted that</w:t>
      </w:r>
      <w:r w:rsidRPr="00C042EB">
        <w:t xml:space="preserve"> </w:t>
      </w:r>
      <w:r>
        <w:t xml:space="preserve">when the cost of the device was included </w:t>
      </w:r>
      <w:r w:rsidRPr="00C042EB">
        <w:t>ASCS was no</w:t>
      </w:r>
      <w:r>
        <w:t>t</w:t>
      </w:r>
      <w:r w:rsidRPr="00C042EB">
        <w:t xml:space="preserve"> cost-saving </w:t>
      </w:r>
      <w:r>
        <w:t>for</w:t>
      </w:r>
      <w:r w:rsidRPr="00C042EB">
        <w:t xml:space="preserve"> </w:t>
      </w:r>
      <w:r>
        <w:t>burns with a 20–29% TBSA but remained cost-saving for burns with a TBSA of</w:t>
      </w:r>
      <w:r w:rsidRPr="00C042EB">
        <w:t xml:space="preserve"> ≥30%. </w:t>
      </w:r>
    </w:p>
    <w:p w14:paraId="117009B5" w14:textId="77777777" w:rsidR="00DA24C8" w:rsidRDefault="00DA24C8" w:rsidP="00DA24C8">
      <w:pPr>
        <w:pStyle w:val="BoxBullet"/>
      </w:pPr>
      <w:r>
        <w:t>ESC noted that the m</w:t>
      </w:r>
      <w:r w:rsidRPr="00C042EB">
        <w:t>ain drivers</w:t>
      </w:r>
      <w:r>
        <w:t xml:space="preserve"> of the claimed savings with ASCS were </w:t>
      </w:r>
      <w:r w:rsidRPr="00C042EB">
        <w:t>LOS, number of delayed definitive closure procedures</w:t>
      </w:r>
      <w:r>
        <w:t>,</w:t>
      </w:r>
      <w:r w:rsidRPr="00C042EB">
        <w:t xml:space="preserve"> and device costs. </w:t>
      </w:r>
      <w:r>
        <w:t>ESC advised that additional sensitivity analyses around these parameters were required for MSAC consideration.</w:t>
      </w:r>
    </w:p>
    <w:p w14:paraId="123130A9" w14:textId="77777777" w:rsidR="00DA24C8" w:rsidRPr="001C3AA3" w:rsidRDefault="00DA24C8" w:rsidP="00DA24C8">
      <w:pPr>
        <w:pStyle w:val="BoxBullet"/>
        <w:rPr>
          <w:b/>
          <w:bCs/>
        </w:rPr>
      </w:pPr>
      <w:r>
        <w:t>ESC noted that while the costing analysis provides insight into estimated resource use for burn patients,</w:t>
      </w:r>
      <w:r w:rsidRPr="00C042EB">
        <w:t xml:space="preserve"> </w:t>
      </w:r>
      <w:r>
        <w:t>it does</w:t>
      </w:r>
      <w:r w:rsidRPr="00C042EB">
        <w:t xml:space="preserve"> not capture long-term patient outcomes. </w:t>
      </w:r>
    </w:p>
    <w:p w14:paraId="042476F3" w14:textId="77777777" w:rsidR="00DA24C8" w:rsidRDefault="00DA24C8" w:rsidP="00DA24C8">
      <w:pPr>
        <w:pStyle w:val="BoxHeading"/>
      </w:pPr>
      <w:r>
        <w:t>Financial issues:</w:t>
      </w:r>
    </w:p>
    <w:p w14:paraId="05F3FA8F" w14:textId="77777777" w:rsidR="00DA24C8" w:rsidRPr="00602322" w:rsidRDefault="00DA24C8" w:rsidP="00DA24C8">
      <w:pPr>
        <w:pStyle w:val="BoxBullet"/>
      </w:pPr>
      <w:r>
        <w:t>ESC advised that the claimed c</w:t>
      </w:r>
      <w:r w:rsidRPr="00602322">
        <w:t xml:space="preserve">ost offsets </w:t>
      </w:r>
      <w:r>
        <w:t>associated with</w:t>
      </w:r>
      <w:r w:rsidRPr="00602322">
        <w:t xml:space="preserve"> </w:t>
      </w:r>
      <w:r>
        <w:t>r</w:t>
      </w:r>
      <w:r w:rsidRPr="00602322">
        <w:t>eductions in LOS and delayed closure procedures were not reflected in the financial analysis, making estimates conservative</w:t>
      </w:r>
      <w:r>
        <w:t xml:space="preserve">. Notwithstanding the issue of who will bear the cost of the device, </w:t>
      </w:r>
      <w:r w:rsidRPr="00602322">
        <w:t xml:space="preserve">savings </w:t>
      </w:r>
      <w:r>
        <w:t xml:space="preserve">to hospitals </w:t>
      </w:r>
      <w:r w:rsidRPr="00602322">
        <w:t>may be higher</w:t>
      </w:r>
      <w:r>
        <w:t xml:space="preserve"> than presented in the base case.</w:t>
      </w:r>
    </w:p>
    <w:p w14:paraId="7BDFEEDA" w14:textId="77777777" w:rsidR="00DA24C8" w:rsidRPr="00602322" w:rsidRDefault="00DA24C8" w:rsidP="00DA24C8">
      <w:pPr>
        <w:pStyle w:val="BoxBullet"/>
      </w:pPr>
      <w:r>
        <w:t xml:space="preserve">ESC noted that </w:t>
      </w:r>
      <w:r w:rsidRPr="00602322">
        <w:t>11.7% of eligible patients are paediatric, with expected low ASCS use in this group</w:t>
      </w:r>
      <w:r>
        <w:t>. ESC advised that</w:t>
      </w:r>
      <w:r w:rsidRPr="00602322">
        <w:t xml:space="preserve"> </w:t>
      </w:r>
      <w:r>
        <w:t xml:space="preserve">the </w:t>
      </w:r>
      <w:r w:rsidRPr="00602322">
        <w:t xml:space="preserve">80% uptake estimate by year 4 may be conservative. </w:t>
      </w:r>
    </w:p>
    <w:p w14:paraId="58DB1628" w14:textId="660E8B2E" w:rsidR="00DA24C8" w:rsidRPr="000A7F3F" w:rsidRDefault="00DA24C8" w:rsidP="00DA24C8">
      <w:pPr>
        <w:pStyle w:val="BoxBullet"/>
        <w:rPr>
          <w:b/>
          <w:bCs/>
        </w:rPr>
      </w:pPr>
      <w:r>
        <w:t>ESC noted the e</w:t>
      </w:r>
      <w:r w:rsidRPr="000A7F3F">
        <w:t xml:space="preserve">ligible population </w:t>
      </w:r>
      <w:r>
        <w:t>was</w:t>
      </w:r>
      <w:r w:rsidRPr="000A7F3F">
        <w:t xml:space="preserve"> uncertain</w:t>
      </w:r>
      <w:r>
        <w:t>; however, the</w:t>
      </w:r>
      <w:r w:rsidRPr="00C7064F">
        <w:t xml:space="preserve"> current uptake of </w:t>
      </w:r>
      <w:r>
        <w:t xml:space="preserve">existing MBS items was likely </w:t>
      </w:r>
      <w:r w:rsidRPr="00C7064F">
        <w:t xml:space="preserve">the best indicator for estimating </w:t>
      </w:r>
      <w:r>
        <w:t>uptake of ASCS</w:t>
      </w:r>
      <w:r w:rsidRPr="000A7F3F">
        <w:t>.</w:t>
      </w:r>
      <w:r>
        <w:t xml:space="preserve"> ESC considered the low usage of current MBS items indicated that the financial impact may be overestimated.</w:t>
      </w:r>
      <w:r w:rsidRPr="000A7F3F">
        <w:t xml:space="preserve"> </w:t>
      </w:r>
      <w:r>
        <w:t>Additionally, since burns units are typically affiliated with public hospitals, patients with private health insurance may op</w:t>
      </w:r>
      <w:r w:rsidRPr="000A7F3F">
        <w:t>t to be treated as public patients in these circumstances.</w:t>
      </w:r>
    </w:p>
    <w:p w14:paraId="67EDEB33" w14:textId="77777777" w:rsidR="00DA24C8" w:rsidRDefault="00DA24C8" w:rsidP="00DA24C8">
      <w:pPr>
        <w:rPr>
          <w:rStyle w:val="Strong"/>
        </w:rPr>
      </w:pPr>
      <w:r w:rsidRPr="00194327">
        <w:rPr>
          <w:rStyle w:val="Strong"/>
        </w:rPr>
        <w:t>ESC discussion</w:t>
      </w:r>
    </w:p>
    <w:p w14:paraId="2D64E83C" w14:textId="77777777" w:rsidR="00DA24C8" w:rsidRDefault="00DA24C8" w:rsidP="00DA24C8">
      <w:r w:rsidRPr="003C4369">
        <w:rPr>
          <w:rStyle w:val="Strong"/>
          <w:b w:val="0"/>
          <w:bCs w:val="0"/>
        </w:rPr>
        <w:t>ESC noted this application, from Health Technology Analysts Pty Ltd</w:t>
      </w:r>
      <w:r>
        <w:rPr>
          <w:rStyle w:val="Strong"/>
          <w:b w:val="0"/>
          <w:bCs w:val="0"/>
        </w:rPr>
        <w:t xml:space="preserve"> </w:t>
      </w:r>
      <w:r w:rsidRPr="00EB0B8F">
        <w:t>on behalf of AVITA Medical Inc</w:t>
      </w:r>
      <w:r w:rsidRPr="003C4369">
        <w:rPr>
          <w:rStyle w:val="Strong"/>
          <w:b w:val="0"/>
          <w:bCs w:val="0"/>
        </w:rPr>
        <w:t xml:space="preserve">, was for the amendment of existing Medicare Benefits Schedule (MBS) items to include autologous skin cell suspension (ASCS) for the treatment of paediatric and adult patients with </w:t>
      </w:r>
      <w:r w:rsidRPr="003C4369">
        <w:rPr>
          <w:rStyle w:val="Strong"/>
          <w:b w:val="0"/>
          <w:bCs w:val="0"/>
        </w:rPr>
        <w:lastRenderedPageBreak/>
        <w:t xml:space="preserve">full-thickness (FT) and deep-partial thickness (DPT) acute burn wounds comprising ≥20% total body surface area (TBSA). The application also proposed </w:t>
      </w:r>
      <w:r w:rsidRPr="003C4369">
        <w:t>an</w:t>
      </w:r>
      <w:r w:rsidRPr="00355A9C">
        <w:t xml:space="preserve"> additional modifier item for combined ASCS and </w:t>
      </w:r>
      <w:r>
        <w:t>s</w:t>
      </w:r>
      <w:r w:rsidRPr="00496259">
        <w:t>plit-</w:t>
      </w:r>
      <w:r>
        <w:t>t</w:t>
      </w:r>
      <w:r w:rsidRPr="00496259">
        <w:t xml:space="preserve">hickness </w:t>
      </w:r>
      <w:r>
        <w:t>s</w:t>
      </w:r>
      <w:r w:rsidRPr="00496259">
        <w:t xml:space="preserve">kin </w:t>
      </w:r>
      <w:r>
        <w:t>g</w:t>
      </w:r>
      <w:r w:rsidRPr="00496259">
        <w:t xml:space="preserve">raft </w:t>
      </w:r>
      <w:r>
        <w:t>(</w:t>
      </w:r>
      <w:r w:rsidRPr="00355A9C">
        <w:t>STSG</w:t>
      </w:r>
      <w:r>
        <w:t>)</w:t>
      </w:r>
      <w:r w:rsidRPr="00355A9C">
        <w:t xml:space="preserve"> treatments.</w:t>
      </w:r>
      <w:r>
        <w:t xml:space="preserve"> The relevant existing MBS items are 46117–46124 for immediate treatment and 46134 and 46135 for delayed treatment. No MBS fee changes are requested for the existing MBS items.</w:t>
      </w:r>
    </w:p>
    <w:p w14:paraId="132DFE12" w14:textId="57390C09" w:rsidR="00DA24C8" w:rsidRDefault="00DA24C8" w:rsidP="00DA24C8">
      <w:r w:rsidRPr="003C4369">
        <w:rPr>
          <w:rStyle w:val="Strong"/>
          <w:b w:val="0"/>
          <w:bCs w:val="0"/>
        </w:rPr>
        <w:t>ESC noted that ASCS is a cell-based therapy that uses the patient's own skin cells</w:t>
      </w:r>
      <w:r w:rsidR="13CC899A" w:rsidRPr="5F7A86A0">
        <w:rPr>
          <w:rStyle w:val="Strong"/>
          <w:b w:val="0"/>
          <w:bCs w:val="0"/>
        </w:rPr>
        <w:t xml:space="preserve">, </w:t>
      </w:r>
      <w:r w:rsidR="13CC899A" w:rsidRPr="6456B603">
        <w:rPr>
          <w:rStyle w:val="Strong"/>
          <w:b w:val="0"/>
          <w:bCs w:val="0"/>
        </w:rPr>
        <w:t>turns</w:t>
      </w:r>
      <w:r w:rsidR="5D0830BE" w:rsidRPr="720A0A70">
        <w:rPr>
          <w:rStyle w:val="Strong"/>
          <w:b w:val="0"/>
          <w:bCs w:val="0"/>
        </w:rPr>
        <w:t xml:space="preserve"> </w:t>
      </w:r>
      <w:r w:rsidR="13CC899A" w:rsidRPr="53D0BF07">
        <w:rPr>
          <w:rStyle w:val="Strong"/>
          <w:b w:val="0"/>
          <w:bCs w:val="0"/>
        </w:rPr>
        <w:t xml:space="preserve">them </w:t>
      </w:r>
      <w:r w:rsidR="13CC899A" w:rsidRPr="6456B603">
        <w:rPr>
          <w:rStyle w:val="Strong"/>
          <w:b w:val="0"/>
          <w:bCs w:val="0"/>
        </w:rPr>
        <w:t xml:space="preserve">into </w:t>
      </w:r>
      <w:r w:rsidR="13CC899A" w:rsidRPr="5DD33757">
        <w:rPr>
          <w:rStyle w:val="Strong"/>
          <w:b w:val="0"/>
          <w:bCs w:val="0"/>
        </w:rPr>
        <w:t>mixture</w:t>
      </w:r>
      <w:r w:rsidR="560EF728" w:rsidRPr="5DD33757">
        <w:rPr>
          <w:rStyle w:val="Strong"/>
          <w:b w:val="0"/>
          <w:bCs w:val="0"/>
        </w:rPr>
        <w:t xml:space="preserve">, </w:t>
      </w:r>
      <w:r>
        <w:rPr>
          <w:rStyle w:val="Strong"/>
          <w:b w:val="0"/>
          <w:bCs w:val="0"/>
        </w:rPr>
        <w:t>and</w:t>
      </w:r>
      <w:r w:rsidRPr="003C4369">
        <w:rPr>
          <w:rStyle w:val="Strong"/>
          <w:b w:val="0"/>
          <w:bCs w:val="0"/>
        </w:rPr>
        <w:t xml:space="preserve"> applied to the burn wound. The treatment requires a single-use ReCell® system </w:t>
      </w:r>
      <w:r>
        <w:rPr>
          <w:rStyle w:val="Strong"/>
          <w:b w:val="0"/>
          <w:bCs w:val="0"/>
        </w:rPr>
        <w:t xml:space="preserve">with a proposed unit </w:t>
      </w:r>
      <w:r w:rsidRPr="003C4369">
        <w:rPr>
          <w:rStyle w:val="Strong"/>
          <w:b w:val="0"/>
          <w:bCs w:val="0"/>
        </w:rPr>
        <w:t>cost of $</w:t>
      </w:r>
      <w:r w:rsidR="007B4BAB">
        <w:rPr>
          <w:rStyle w:val="Strong"/>
        </w:rPr>
        <w:t>redacted</w:t>
      </w:r>
      <w:r w:rsidRPr="003C4369">
        <w:t xml:space="preserve"> The Therapeutic Goods Administration listed the therapy in 2020. The ReCell® device was rejected for inclusion on the Prescribed List of Medical Devices and Human Tissue Products</w:t>
      </w:r>
      <w:r w:rsidRPr="003C4369" w:rsidDel="00DB1AD8">
        <w:t xml:space="preserve"> </w:t>
      </w:r>
      <w:r>
        <w:t xml:space="preserve">(the PL) </w:t>
      </w:r>
      <w:r w:rsidRPr="003C4369">
        <w:t>because it is not implanted.</w:t>
      </w:r>
      <w:r>
        <w:t xml:space="preserve"> </w:t>
      </w:r>
      <w:r w:rsidRPr="003C4369">
        <w:rPr>
          <w:rStyle w:val="Strong"/>
          <w:b w:val="0"/>
          <w:bCs w:val="0"/>
        </w:rPr>
        <w:t xml:space="preserve">ESC noted that severe burns are </w:t>
      </w:r>
      <w:r>
        <w:rPr>
          <w:rStyle w:val="Strong"/>
          <w:b w:val="0"/>
          <w:bCs w:val="0"/>
        </w:rPr>
        <w:t xml:space="preserve">typically </w:t>
      </w:r>
      <w:r w:rsidRPr="003C4369">
        <w:rPr>
          <w:rStyle w:val="Strong"/>
          <w:b w:val="0"/>
          <w:bCs w:val="0"/>
        </w:rPr>
        <w:t>managed in public hospitals</w:t>
      </w:r>
      <w:r>
        <w:rPr>
          <w:rStyle w:val="Strong"/>
          <w:b w:val="0"/>
          <w:bCs w:val="0"/>
        </w:rPr>
        <w:t xml:space="preserve">. However, some patients may elect to be treated as private patients within public hospitals, </w:t>
      </w:r>
      <w:r w:rsidRPr="00967DC9">
        <w:rPr>
          <w:rStyle w:val="Strong"/>
          <w:b w:val="0"/>
          <w:bCs w:val="0"/>
        </w:rPr>
        <w:t>in which case relevant MBS items for burns treatment may be claimed, depending</w:t>
      </w:r>
      <w:r>
        <w:rPr>
          <w:rStyle w:val="Strong"/>
          <w:b w:val="0"/>
          <w:bCs w:val="0"/>
        </w:rPr>
        <w:t xml:space="preserve"> on the patient’s clinical circumstances.</w:t>
      </w:r>
    </w:p>
    <w:p w14:paraId="6678BBD3" w14:textId="7D22EC75" w:rsidR="00DA24C8" w:rsidRPr="003C4369" w:rsidRDefault="00DA24C8" w:rsidP="00DA24C8">
      <w:pPr>
        <w:rPr>
          <w:rStyle w:val="Strong"/>
          <w:b w:val="0"/>
          <w:bCs w:val="0"/>
        </w:rPr>
      </w:pPr>
      <w:r>
        <w:t>ESC discussed who would bear the cost of the ReCell</w:t>
      </w:r>
      <w:r w:rsidR="007F3964">
        <w:t>®</w:t>
      </w:r>
      <w:r>
        <w:t xml:space="preserve"> device, given that MBS items can only provide a rebate for professional services. ESC noted that the ADAR assumed that hospitals will absorb the cost of the device. ESC noted that many of the consumables used in the management of burns are not included on the PL and for private patients such consumables would be covered by arrangements between individual hospitals and private health insurers. ESC considered that the cost of the ReCell</w:t>
      </w:r>
      <w:r w:rsidR="007F3964">
        <w:t>®</w:t>
      </w:r>
      <w:r w:rsidR="002642E5">
        <w:t xml:space="preserve"> </w:t>
      </w:r>
      <w:r>
        <w:t xml:space="preserve">device may be covered by the funding mechanisms in place for these other consumables. However, ESC was concerned that as the device was not eligible for the PL there was a possibility that patients may need to contribute some or all of the cost of the device and there was uncertainty regarding the out-of-pocket costs because the amount paid by the patient could differ based on arrangements between specific hospitals and insurers.  </w:t>
      </w:r>
    </w:p>
    <w:p w14:paraId="40CA6BD6" w14:textId="77777777" w:rsidR="00DA24C8" w:rsidRDefault="00DA24C8" w:rsidP="00DA24C8">
      <w:r w:rsidRPr="003C4369">
        <w:rPr>
          <w:rStyle w:val="Strong"/>
          <w:b w:val="0"/>
          <w:bCs w:val="0"/>
        </w:rPr>
        <w:t>ESC noted the clinical management algorithm</w:t>
      </w:r>
      <w:r>
        <w:rPr>
          <w:rStyle w:val="Strong"/>
          <w:b w:val="0"/>
          <w:bCs w:val="0"/>
        </w:rPr>
        <w:t xml:space="preserve"> indicated</w:t>
      </w:r>
      <w:r w:rsidRPr="003C4369">
        <w:rPr>
          <w:rStyle w:val="Strong"/>
          <w:b w:val="0"/>
          <w:bCs w:val="0"/>
        </w:rPr>
        <w:t xml:space="preserve"> ASCS would be added to STSGs after debridement of the burn wound and temporary closure with a skin substitute (if needed)</w:t>
      </w:r>
      <w:r>
        <w:rPr>
          <w:rStyle w:val="Strong"/>
          <w:b w:val="0"/>
          <w:bCs w:val="0"/>
        </w:rPr>
        <w:t xml:space="preserve">, </w:t>
      </w:r>
      <w:r w:rsidRPr="13D89A6A">
        <w:rPr>
          <w:rStyle w:val="Strong"/>
          <w:b w:val="0"/>
          <w:bCs w:val="0"/>
        </w:rPr>
        <w:t xml:space="preserve">and in delayed definitive wound closure </w:t>
      </w:r>
      <w:r>
        <w:rPr>
          <w:rStyle w:val="Strong"/>
          <w:b w:val="0"/>
          <w:bCs w:val="0"/>
        </w:rPr>
        <w:t xml:space="preserve">ASCS would be used </w:t>
      </w:r>
      <w:r w:rsidRPr="13D89A6A">
        <w:rPr>
          <w:rStyle w:val="Strong"/>
          <w:b w:val="0"/>
          <w:bCs w:val="0"/>
        </w:rPr>
        <w:t>either on its own or in combination with STSG.</w:t>
      </w:r>
      <w:r>
        <w:rPr>
          <w:rStyle w:val="Strong"/>
          <w:b w:val="0"/>
          <w:bCs w:val="0"/>
        </w:rPr>
        <w:t xml:space="preserve"> </w:t>
      </w:r>
      <w:r w:rsidRPr="003C4369">
        <w:t>ESC noted that the clinical claim was that ASCS treatment, with or without STSGs, offers superior donor site sparing compared to STSGs alone in severe burn wounds, non-inferior effectiveness in achieving definitive wound closure</w:t>
      </w:r>
      <w:r>
        <w:t>,</w:t>
      </w:r>
      <w:r w:rsidRPr="003C4369">
        <w:t xml:space="preserve"> and non-inferior safety in treating patients with severe burns. </w:t>
      </w:r>
    </w:p>
    <w:p w14:paraId="3097D6F2" w14:textId="77777777" w:rsidR="00DA24C8" w:rsidRDefault="00DA24C8" w:rsidP="00DA24C8">
      <w:r>
        <w:t>ESC noted that the majority of the public consultation feedback was from health professionals and stakeholders who currently use the treatment and was supportive. The consultation input suggested the technology was mostly used in Western Australia, where it is standard care. ESC considered that advice from burns surgeons and other related stakeholders outside of Western Australia would be useful to determine the intervention’s current or future use in clinical practice.</w:t>
      </w:r>
    </w:p>
    <w:p w14:paraId="4C1DD276" w14:textId="49F595B0" w:rsidR="00DA24C8" w:rsidRDefault="00DA24C8" w:rsidP="00DA24C8">
      <w:r>
        <w:t xml:space="preserve">The consultation feedback indicated that ASCS results in </w:t>
      </w:r>
      <w:r w:rsidRPr="007E446E">
        <w:t>faster healing, reduce</w:t>
      </w:r>
      <w:r>
        <w:t>d</w:t>
      </w:r>
      <w:r w:rsidRPr="007E446E">
        <w:t xml:space="preserve"> LOS</w:t>
      </w:r>
      <w:r>
        <w:t>,</w:t>
      </w:r>
      <w:r w:rsidRPr="007E446E">
        <w:t xml:space="preserve"> reduced pain and level of scarring, </w:t>
      </w:r>
      <w:r>
        <w:t xml:space="preserve">and </w:t>
      </w:r>
      <w:r w:rsidRPr="007E446E">
        <w:t>better function</w:t>
      </w:r>
      <w:r>
        <w:t>al</w:t>
      </w:r>
      <w:r w:rsidRPr="007E446E">
        <w:t xml:space="preserve"> outcomes</w:t>
      </w:r>
      <w:r>
        <w:t>. Feedback was that quality of life and psychosocial impacts are positive due to less scarring and shorter LOS. One burn survivor supported the treatment, advising that the scarring is less visible from when they received the treatment.</w:t>
      </w:r>
    </w:p>
    <w:p w14:paraId="2F1FDCD3" w14:textId="77777777" w:rsidR="00DA24C8" w:rsidRDefault="00DA24C8" w:rsidP="00DA24C8">
      <w:r w:rsidRPr="003C4369">
        <w:rPr>
          <w:rStyle w:val="Strong"/>
          <w:b w:val="0"/>
          <w:bCs w:val="0"/>
        </w:rPr>
        <w:t>ESC noted that the main evidence base was from a small (</w:t>
      </w:r>
      <w:r w:rsidRPr="003C4369">
        <w:rPr>
          <w:rStyle w:val="Strong"/>
          <w:b w:val="0"/>
          <w:bCs w:val="0"/>
          <w:i/>
          <w:iCs/>
        </w:rPr>
        <w:t>N</w:t>
      </w:r>
      <w:r w:rsidRPr="003C4369">
        <w:rPr>
          <w:rStyle w:val="Strong"/>
          <w:b w:val="0"/>
          <w:bCs w:val="0"/>
        </w:rPr>
        <w:t> = 30) m</w:t>
      </w:r>
      <w:r w:rsidRPr="003C4369">
        <w:t>ulticentre, prospective, within-patient randomised controlled trial (RCT; CTP001-6). Patients comprised those aged ≥5 years with 5–50% TBSA, acute mixed-depth/FT burns. The co-primary endpoints w</w:t>
      </w:r>
      <w:r>
        <w:t>ere</w:t>
      </w:r>
      <w:r w:rsidRPr="00003205">
        <w:t xml:space="preserve"> </w:t>
      </w:r>
      <w:r>
        <w:t>c</w:t>
      </w:r>
      <w:r w:rsidRPr="00003205">
        <w:t xml:space="preserve">onfirmed treatment area closure (healing) </w:t>
      </w:r>
      <w:r>
        <w:t>before or at</w:t>
      </w:r>
      <w:r w:rsidRPr="00003205">
        <w:t xml:space="preserve"> </w:t>
      </w:r>
      <w:r>
        <w:t>w</w:t>
      </w:r>
      <w:r w:rsidRPr="00003205">
        <w:t>eek 8 and comparison of the actual expansion ratio (computed as the ratio of measured treated area to measured area of the donor site)</w:t>
      </w:r>
      <w:r>
        <w:t xml:space="preserve">. Because patients acted as their own controls, ESC noted that differences in length of stay (LOS) could not be calculated from this study. ESC acknowledged that large RCTs were rarely conducted for non-elective plastic surgery treatments. ESC noted that females comprised 17% of </w:t>
      </w:r>
      <w:r>
        <w:lastRenderedPageBreak/>
        <w:t xml:space="preserve">the study participants, but in Australia, 45% of recipients for relevant MBS items for burn treatment </w:t>
      </w:r>
      <w:r w:rsidRPr="009602C7">
        <w:t>(MBS items 46117–46123, 46134, 46135 over a 2-year period from January 2023 to December 2024)</w:t>
      </w:r>
      <w:r w:rsidRPr="00BA6B5D">
        <w:rPr>
          <w:i/>
          <w:iCs/>
        </w:rPr>
        <w:t xml:space="preserve"> </w:t>
      </w:r>
      <w:r>
        <w:t>were female. However, ESC acknowledged this may not be a concern as the</w:t>
      </w:r>
      <w:r w:rsidRPr="00123E33">
        <w:t xml:space="preserve"> higher proportion of </w:t>
      </w:r>
      <w:r>
        <w:t>females</w:t>
      </w:r>
      <w:r w:rsidRPr="00123E33">
        <w:t xml:space="preserve"> seen in MBS item utilisation data (45%) may reflect differences in service access, care pathways, or MBS coding practices </w:t>
      </w:r>
      <w:r>
        <w:t>rather than</w:t>
      </w:r>
      <w:r w:rsidRPr="00123E33">
        <w:t xml:space="preserve"> a higher incidence of severe burns in women</w:t>
      </w:r>
      <w:r>
        <w:t>.</w:t>
      </w:r>
      <w:r w:rsidRPr="00403203">
        <w:t xml:space="preserve"> It was also acknowledged that severe burns are more commonly observed in men, and no biological rationale for a gender-specific difference in response to ASCS treatment was identified.</w:t>
      </w:r>
      <w:r>
        <w:t xml:space="preserve"> </w:t>
      </w:r>
    </w:p>
    <w:p w14:paraId="746749F7" w14:textId="77777777" w:rsidR="00DA24C8" w:rsidRDefault="00DA24C8" w:rsidP="00DA24C8">
      <w:r>
        <w:t xml:space="preserve">ESC considered that, although </w:t>
      </w:r>
      <w:r w:rsidRPr="00026A8A">
        <w:t xml:space="preserve">the PICO </w:t>
      </w:r>
      <w:r>
        <w:t>population was</w:t>
      </w:r>
      <w:r w:rsidRPr="00026A8A">
        <w:t xml:space="preserve"> limited to treatment of severe burns with ≥20% TBSA, the broader clinical evidence for ASCS for all burn injuries was relevant due to the complexity of patient selection in real</w:t>
      </w:r>
      <w:r>
        <w:t>-</w:t>
      </w:r>
      <w:r w:rsidRPr="00026A8A">
        <w:t>world settings.</w:t>
      </w:r>
      <w:r>
        <w:t xml:space="preserve"> </w:t>
      </w:r>
      <w:r w:rsidRPr="00026A8A">
        <w:t xml:space="preserve">The applicant’s search strategies were not limited to the specific population of the PICO and used broader terms </w:t>
      </w:r>
      <w:r>
        <w:t>than usual. ESC considered t</w:t>
      </w:r>
      <w:r w:rsidRPr="00026A8A">
        <w:t xml:space="preserve">hese changes appropriate, given the likely small evidence base. </w:t>
      </w:r>
      <w:r>
        <w:t>This resulted in the inclusion of CTP001-7, another small RCT.</w:t>
      </w:r>
    </w:p>
    <w:p w14:paraId="398D753A" w14:textId="77777777" w:rsidR="00DA24C8" w:rsidRDefault="00DA24C8" w:rsidP="00DA24C8">
      <w:r>
        <w:t xml:space="preserve">ESC noted that </w:t>
      </w:r>
      <w:r w:rsidRPr="00474253">
        <w:t>primary clinical evidence</w:t>
      </w:r>
      <w:r>
        <w:t xml:space="preserve"> from</w:t>
      </w:r>
      <w:r w:rsidRPr="00474253">
        <w:t xml:space="preserve"> 2 small RCTs </w:t>
      </w:r>
      <w:r>
        <w:t>(</w:t>
      </w:r>
      <w:r w:rsidRPr="00474253">
        <w:t xml:space="preserve">CTP001-6 and CTP001-7; </w:t>
      </w:r>
      <w:r w:rsidRPr="00973D53">
        <w:rPr>
          <w:i/>
          <w:iCs/>
        </w:rPr>
        <w:t>n</w:t>
      </w:r>
      <w:r w:rsidRPr="00474253">
        <w:t> = 42) directly comparing ASCS plus meshed STSG and ASCS alone in patients with 5–50% TBSA burns</w:t>
      </w:r>
      <w:r>
        <w:t xml:space="preserve"> found </w:t>
      </w:r>
      <w:r w:rsidRPr="00474253">
        <w:t xml:space="preserve">no differences between ASCS plus meshed STSG and standard care in rates of adverse events, delayed healing, graft failure, infection, allergic response to trypsin (component of the ASCS enzyme), and wound durability or scars necessitating surgical intervention up to </w:t>
      </w:r>
      <w:r>
        <w:t>1 </w:t>
      </w:r>
      <w:r w:rsidRPr="00474253">
        <w:t xml:space="preserve">year after treatment. </w:t>
      </w:r>
      <w:r>
        <w:t xml:space="preserve">In addition, </w:t>
      </w:r>
      <w:r w:rsidRPr="00474253">
        <w:t>94% of patients in the ASCS treatment arm and 89% in the control arm achieved definitive wound closure 8 weeks after grafting</w:t>
      </w:r>
      <w:r>
        <w:t>. A</w:t>
      </w:r>
      <w:r w:rsidRPr="00474253">
        <w:t xml:space="preserve">n average </w:t>
      </w:r>
      <w:r>
        <w:t xml:space="preserve">of </w:t>
      </w:r>
      <w:r w:rsidRPr="00474253">
        <w:t xml:space="preserve">32% less donor skin was required (p &lt; </w:t>
      </w:r>
      <w:r>
        <w:t>0.001) for ASCS plus meshed STSG, with no differences in patient satisfaction, scarring outcomes,</w:t>
      </w:r>
      <w:r w:rsidRPr="00474253">
        <w:t xml:space="preserve"> or pain over the year </w:t>
      </w:r>
      <w:r>
        <w:t xml:space="preserve">after </w:t>
      </w:r>
      <w:r w:rsidRPr="00474253">
        <w:t>treatment</w:t>
      </w:r>
      <w:r>
        <w:t xml:space="preserve">. ESC noted </w:t>
      </w:r>
      <w:r w:rsidRPr="00474253">
        <w:t>supportive evidence</w:t>
      </w:r>
      <w:r>
        <w:t xml:space="preserve"> that included </w:t>
      </w:r>
      <w:r w:rsidRPr="00474253">
        <w:t>indirect comparison of ASCS plus meshed STSG and standard care in adults with burns &gt;50% TBSA using data from a single-arm study (</w:t>
      </w:r>
      <w:r w:rsidRPr="00474253">
        <w:rPr>
          <w:i/>
          <w:iCs/>
        </w:rPr>
        <w:t>n</w:t>
      </w:r>
      <w:r w:rsidRPr="00474253">
        <w:t xml:space="preserve"> = 49) and </w:t>
      </w:r>
      <w:r w:rsidRPr="00FE47EC">
        <w:t xml:space="preserve">Burns Registry of Australia and New Zealand (BRANZ) </w:t>
      </w:r>
      <w:r w:rsidRPr="00474253">
        <w:t>data (</w:t>
      </w:r>
      <w:r w:rsidRPr="00474253">
        <w:rPr>
          <w:i/>
          <w:iCs/>
        </w:rPr>
        <w:t>n</w:t>
      </w:r>
      <w:r w:rsidRPr="00474253">
        <w:t> = 277)</w:t>
      </w:r>
      <w:r>
        <w:t xml:space="preserve">, which resulted in </w:t>
      </w:r>
      <w:r w:rsidRPr="00474253">
        <w:t xml:space="preserve">fewer autograft procedures per patient (median 2.0 vs 5.0; </w:t>
      </w:r>
      <w:r w:rsidRPr="00705A9D">
        <w:rPr>
          <w:i/>
          <w:iCs/>
        </w:rPr>
        <w:t>P</w:t>
      </w:r>
      <w:r>
        <w:t> </w:t>
      </w:r>
      <w:r w:rsidRPr="00474253">
        <w:t>&lt;0.0001)</w:t>
      </w:r>
      <w:r>
        <w:t>. Supporting evidence also included an i</w:t>
      </w:r>
      <w:r w:rsidRPr="00474253">
        <w:t>ndirect comparison of ASCS plus meshed STSG and standard care in paediatric patients with life-threatening burn injuries or injuries ≥8% TBSA using data from 2 combined single-arm studies (</w:t>
      </w:r>
      <w:r w:rsidRPr="004C2684">
        <w:rPr>
          <w:i/>
          <w:iCs/>
        </w:rPr>
        <w:t>n</w:t>
      </w:r>
      <w:r w:rsidRPr="00474253">
        <w:t xml:space="preserve"> = 39) and </w:t>
      </w:r>
      <w:r>
        <w:t>BRANZ</w:t>
      </w:r>
      <w:r w:rsidRPr="00474253">
        <w:t xml:space="preserve"> data </w:t>
      </w:r>
      <w:r w:rsidRPr="00F517B6">
        <w:t>(</w:t>
      </w:r>
      <w:r w:rsidRPr="00DB1AD8">
        <w:rPr>
          <w:i/>
          <w:iCs/>
        </w:rPr>
        <w:t>n</w:t>
      </w:r>
      <w:r w:rsidRPr="00DB1AD8">
        <w:t> = 245</w:t>
      </w:r>
      <w:r w:rsidRPr="00043CD2">
        <w:t>).</w:t>
      </w:r>
    </w:p>
    <w:p w14:paraId="02D70C83" w14:textId="77777777" w:rsidR="00DA24C8" w:rsidRDefault="00DA24C8" w:rsidP="00DA24C8">
      <w:r>
        <w:t>ESC noted that one meta-analysis of ASCS vs standard treatments appeared to demonstrate superiority for ASCS (Obeid 2025</w:t>
      </w:r>
      <w:r>
        <w:rPr>
          <w:rStyle w:val="FootnoteReference"/>
        </w:rPr>
        <w:footnoteReference w:id="23"/>
      </w:r>
      <w:r>
        <w:t>), whereas another meta-analysis appeared to demonstrate non-inferiority (Lou et al. 2024</w:t>
      </w:r>
      <w:r>
        <w:rPr>
          <w:rStyle w:val="FootnoteReference"/>
        </w:rPr>
        <w:footnoteReference w:id="24"/>
      </w:r>
      <w:r>
        <w:t>) for the overall weighted effect size (with mixed effectiveness for the outcomes of size of donor site for treatment [superior], size of study treatment area [non-inferior], operation time [non-inferior] and pain scores [superior]). A paediatric case study (Oshima 2025</w:t>
      </w:r>
      <w:r>
        <w:rPr>
          <w:rStyle w:val="FootnoteReference"/>
        </w:rPr>
        <w:footnoteReference w:id="25"/>
      </w:r>
      <w:r>
        <w:rPr>
          <w:rStyle w:val="FootnoteReference"/>
        </w:rPr>
        <w:t xml:space="preserve">) </w:t>
      </w:r>
      <w:r w:rsidRPr="009E10BC">
        <w:rPr>
          <w:rStyle w:val="FootnoteReference"/>
          <w:vertAlign w:val="baseline"/>
        </w:rPr>
        <w:t xml:space="preserve">also suggested positive results for ASCS, and ESC considered it appropriate </w:t>
      </w:r>
      <w:r>
        <w:t xml:space="preserve">that </w:t>
      </w:r>
      <w:r w:rsidRPr="009E10BC">
        <w:rPr>
          <w:rStyle w:val="FootnoteReference"/>
          <w:vertAlign w:val="baseline"/>
        </w:rPr>
        <w:t xml:space="preserve"> the treatment </w:t>
      </w:r>
      <w:r>
        <w:t xml:space="preserve">be used </w:t>
      </w:r>
      <w:r w:rsidRPr="009E10BC">
        <w:rPr>
          <w:rStyle w:val="FootnoteReference"/>
          <w:vertAlign w:val="baseline"/>
        </w:rPr>
        <w:t>in children</w:t>
      </w:r>
      <w:r>
        <w:t xml:space="preserve">. However, </w:t>
      </w:r>
      <w:r w:rsidRPr="009E10BC">
        <w:rPr>
          <w:rStyle w:val="FootnoteReference"/>
          <w:vertAlign w:val="baseline"/>
        </w:rPr>
        <w:t>ESC considered the 20% TBSA threshold to be</w:t>
      </w:r>
      <w:r w:rsidRPr="00CE1F6B">
        <w:t xml:space="preserve"> too high for children due </w:t>
      </w:r>
      <w:r>
        <w:t>to the limited availability of donor sites compared with adults</w:t>
      </w:r>
      <w:r w:rsidRPr="00CE1F6B">
        <w:t>.</w:t>
      </w:r>
      <w:r>
        <w:t xml:space="preserve"> ESC suggested using a lower threshold of </w:t>
      </w:r>
      <w:r w:rsidRPr="00777D86">
        <w:t>≥</w:t>
      </w:r>
      <w:r>
        <w:t>1</w:t>
      </w:r>
      <w:r w:rsidRPr="00777D86">
        <w:t>0%</w:t>
      </w:r>
      <w:r>
        <w:t xml:space="preserve"> </w:t>
      </w:r>
      <w:r w:rsidRPr="00CE1F6B">
        <w:t>TBSA</w:t>
      </w:r>
      <w:r>
        <w:t xml:space="preserve"> for children aged less than 15 years, which would require additional amendments to the proposed MBS item descriptors. </w:t>
      </w:r>
    </w:p>
    <w:p w14:paraId="0F07BA49" w14:textId="77777777" w:rsidR="00DA24C8" w:rsidRDefault="00DA24C8" w:rsidP="00DA24C8">
      <w:pPr>
        <w:rPr>
          <w:rFonts w:eastAsia="Franklin Gothic Book" w:cs="Franklin Gothic Book"/>
          <w:sz w:val="24"/>
          <w:szCs w:val="24"/>
          <w:u w:val="single"/>
          <w:lang w:val="en-US"/>
        </w:rPr>
      </w:pPr>
      <w:r>
        <w:lastRenderedPageBreak/>
        <w:t>ESC noted the ADARs rationale that an additional modifier item for combined ASCS and STSG treatments was required due to the combination treatment requiring up to 30 minutes of additional procedural time. ESC noted that the MBS Review Taskforce for Plastics and Reconstructive Surgery underpinned the development of the current burns items. The MBS review recommendations used TBSA as th</w:t>
      </w:r>
      <w:r w:rsidRPr="00123E33">
        <w:rPr>
          <w:rFonts w:eastAsia="Franklin Gothic Book" w:cs="Franklin Gothic Book"/>
        </w:rPr>
        <w:t>e basis for rebate, rather than procedural time, and recognised there would be high variability in procedural time and complexity</w:t>
      </w:r>
      <w:r w:rsidRPr="16F74588">
        <w:rPr>
          <w:rFonts w:eastAsia="Franklin Gothic Book" w:cs="Franklin Gothic Book"/>
        </w:rPr>
        <w:t xml:space="preserve"> between patients and </w:t>
      </w:r>
      <w:r w:rsidRPr="00123E33">
        <w:rPr>
          <w:rFonts w:eastAsia="Franklin Gothic Book" w:cs="Franklin Gothic Book"/>
        </w:rPr>
        <w:t>each individual burn site treated. ESC noted departmental advice</w:t>
      </w:r>
      <w:r w:rsidRPr="16F74588">
        <w:rPr>
          <w:rFonts w:eastAsia="Franklin Gothic Book" w:cs="Franklin Gothic Book"/>
        </w:rPr>
        <w:t xml:space="preserve"> that </w:t>
      </w:r>
      <w:r w:rsidRPr="00123E33">
        <w:rPr>
          <w:rFonts w:eastAsia="Franklin Gothic Book" w:cs="Franklin Gothic Book"/>
        </w:rPr>
        <w:t xml:space="preserve">an additional modifier </w:t>
      </w:r>
      <w:r>
        <w:rPr>
          <w:rFonts w:eastAsia="Franklin Gothic Book" w:cs="Franklin Gothic Book"/>
        </w:rPr>
        <w:t>item</w:t>
      </w:r>
      <w:r w:rsidRPr="00123E33">
        <w:rPr>
          <w:rFonts w:eastAsia="Franklin Gothic Book" w:cs="Franklin Gothic Book"/>
        </w:rPr>
        <w:t xml:space="preserve"> w</w:t>
      </w:r>
      <w:r>
        <w:rPr>
          <w:rFonts w:eastAsia="Franklin Gothic Book" w:cs="Franklin Gothic Book"/>
        </w:rPr>
        <w:t>ould</w:t>
      </w:r>
      <w:r w:rsidRPr="00123E33">
        <w:rPr>
          <w:rFonts w:eastAsia="Franklin Gothic Book" w:cs="Franklin Gothic Book"/>
        </w:rPr>
        <w:t xml:space="preserve"> add </w:t>
      </w:r>
      <w:r>
        <w:rPr>
          <w:rFonts w:eastAsia="Franklin Gothic Book" w:cs="Franklin Gothic Book"/>
        </w:rPr>
        <w:t xml:space="preserve">further </w:t>
      </w:r>
      <w:r w:rsidRPr="00123E33">
        <w:rPr>
          <w:rFonts w:eastAsia="Franklin Gothic Book" w:cs="Franklin Gothic Book"/>
        </w:rPr>
        <w:t xml:space="preserve">complexity to </w:t>
      </w:r>
      <w:r>
        <w:rPr>
          <w:rFonts w:eastAsia="Franklin Gothic Book" w:cs="Franklin Gothic Book"/>
        </w:rPr>
        <w:t xml:space="preserve">the </w:t>
      </w:r>
      <w:r w:rsidRPr="00123E33">
        <w:rPr>
          <w:rFonts w:eastAsia="Franklin Gothic Book" w:cs="Franklin Gothic Book"/>
        </w:rPr>
        <w:t xml:space="preserve">claiming </w:t>
      </w:r>
      <w:r>
        <w:rPr>
          <w:rFonts w:eastAsia="Franklin Gothic Book" w:cs="Franklin Gothic Book"/>
        </w:rPr>
        <w:t xml:space="preserve">of </w:t>
      </w:r>
      <w:r w:rsidRPr="00123E33">
        <w:rPr>
          <w:rFonts w:eastAsia="Franklin Gothic Book" w:cs="Franklin Gothic Book"/>
        </w:rPr>
        <w:t>burns items</w:t>
      </w:r>
      <w:r w:rsidRPr="16F74588">
        <w:rPr>
          <w:rFonts w:eastAsia="Franklin Gothic Book" w:cs="Franklin Gothic Book"/>
        </w:rPr>
        <w:t xml:space="preserve">, </w:t>
      </w:r>
      <w:r>
        <w:rPr>
          <w:rFonts w:eastAsia="Franklin Gothic Book" w:cs="Franklin Gothic Book"/>
        </w:rPr>
        <w:t xml:space="preserve">would </w:t>
      </w:r>
      <w:r w:rsidRPr="00123E33">
        <w:rPr>
          <w:rFonts w:eastAsia="Franklin Gothic Book" w:cs="Franklin Gothic Book"/>
        </w:rPr>
        <w:t xml:space="preserve">require complex system upgrades to enable </w:t>
      </w:r>
      <w:r>
        <w:rPr>
          <w:rFonts w:eastAsia="Franklin Gothic Book" w:cs="Franklin Gothic Book"/>
        </w:rPr>
        <w:t xml:space="preserve">the </w:t>
      </w:r>
      <w:r w:rsidRPr="00123E33">
        <w:rPr>
          <w:rFonts w:eastAsia="Franklin Gothic Book" w:cs="Franklin Gothic Book"/>
        </w:rPr>
        <w:t xml:space="preserve">administration of the modifier </w:t>
      </w:r>
      <w:r>
        <w:rPr>
          <w:rFonts w:eastAsia="Franklin Gothic Book" w:cs="Franklin Gothic Book"/>
        </w:rPr>
        <w:t>item in addition to the existing modifier item,</w:t>
      </w:r>
      <w:r w:rsidRPr="16F74588">
        <w:rPr>
          <w:rFonts w:eastAsia="Franklin Gothic Book" w:cs="Franklin Gothic Book"/>
        </w:rPr>
        <w:t xml:space="preserve"> and </w:t>
      </w:r>
      <w:r>
        <w:rPr>
          <w:rFonts w:eastAsia="Franklin Gothic Book" w:cs="Franklin Gothic Book"/>
        </w:rPr>
        <w:t>was unlikely to</w:t>
      </w:r>
      <w:r w:rsidRPr="16F74588">
        <w:rPr>
          <w:rFonts w:eastAsia="Franklin Gothic Book" w:cs="Franklin Gothic Book"/>
        </w:rPr>
        <w:t xml:space="preserve"> result in significant </w:t>
      </w:r>
      <w:r>
        <w:rPr>
          <w:rFonts w:eastAsia="Franklin Gothic Book" w:cs="Franklin Gothic Book"/>
        </w:rPr>
        <w:t xml:space="preserve">clinical </w:t>
      </w:r>
      <w:r w:rsidRPr="16F74588">
        <w:rPr>
          <w:rFonts w:eastAsia="Franklin Gothic Book" w:cs="Franklin Gothic Book"/>
        </w:rPr>
        <w:t>benefits</w:t>
      </w:r>
      <w:r>
        <w:rPr>
          <w:rFonts w:eastAsia="Franklin Gothic Book" w:cs="Franklin Gothic Book"/>
        </w:rPr>
        <w:t xml:space="preserve"> to patients</w:t>
      </w:r>
      <w:r w:rsidRPr="16F74588">
        <w:rPr>
          <w:rFonts w:eastAsia="Franklin Gothic Book" w:cs="Franklin Gothic Book"/>
        </w:rPr>
        <w:t>.</w:t>
      </w:r>
      <w:r w:rsidRPr="00123E33">
        <w:rPr>
          <w:rFonts w:eastAsia="Franklin Gothic Book" w:cs="Franklin Gothic Book"/>
        </w:rPr>
        <w:t xml:space="preserve"> ESC </w:t>
      </w:r>
      <w:r>
        <w:rPr>
          <w:rFonts w:eastAsia="Franklin Gothic Book" w:cs="Franklin Gothic Book"/>
        </w:rPr>
        <w:t>advised that</w:t>
      </w:r>
      <w:r w:rsidRPr="00123E33">
        <w:rPr>
          <w:rFonts w:eastAsia="Franklin Gothic Book" w:cs="Franklin Gothic Book"/>
        </w:rPr>
        <w:t xml:space="preserve"> a modifier </w:t>
      </w:r>
      <w:r>
        <w:rPr>
          <w:rFonts w:eastAsia="Franklin Gothic Book" w:cs="Franklin Gothic Book"/>
        </w:rPr>
        <w:t>item</w:t>
      </w:r>
      <w:r w:rsidRPr="00123E33">
        <w:rPr>
          <w:rFonts w:eastAsia="Franklin Gothic Book" w:cs="Franklin Gothic Book"/>
        </w:rPr>
        <w:t xml:space="preserve"> to </w:t>
      </w:r>
      <w:r w:rsidRPr="00123E33">
        <w:rPr>
          <w:rFonts w:eastAsia="Franklin Gothic Book" w:cs="Franklin Gothic Book"/>
          <w:lang w:val="en-US"/>
        </w:rPr>
        <w:t xml:space="preserve">additionally fund burns treatment that require combined STSG and ASCS was unnecessary, as </w:t>
      </w:r>
      <w:r>
        <w:rPr>
          <w:rFonts w:eastAsia="Franklin Gothic Book" w:cs="Franklin Gothic Book"/>
          <w:lang w:val="en-US"/>
        </w:rPr>
        <w:t xml:space="preserve">the </w:t>
      </w:r>
      <w:r w:rsidRPr="00123E33">
        <w:rPr>
          <w:rFonts w:eastAsia="Franklin Gothic Book" w:cs="Franklin Gothic Book"/>
          <w:lang w:val="en-US"/>
        </w:rPr>
        <w:t>existing burns treatment item structure</w:t>
      </w:r>
      <w:r>
        <w:rPr>
          <w:rFonts w:eastAsia="Franklin Gothic Book" w:cs="Franklin Gothic Book"/>
          <w:lang w:val="en-US"/>
        </w:rPr>
        <w:t xml:space="preserve"> already accounts for differences in </w:t>
      </w:r>
      <w:r w:rsidRPr="00123E33">
        <w:rPr>
          <w:rFonts w:eastAsia="Franklin Gothic Book" w:cs="Franklin Gothic Book"/>
          <w:lang w:val="en-US"/>
        </w:rPr>
        <w:t>procedural time and difficulty.</w:t>
      </w:r>
    </w:p>
    <w:p w14:paraId="36823AF2" w14:textId="77777777" w:rsidR="00DA24C8" w:rsidRDefault="00DA24C8" w:rsidP="00DA24C8">
      <w:r>
        <w:t xml:space="preserve">ESC noted that the economic evaluation was a </w:t>
      </w:r>
      <w:r w:rsidRPr="009221DE">
        <w:t>costing analysis comparing the total cost of ASCS ± STSG with STSG alone for patients with severe burns ≥20% TBSA who have sustained DPT and/or FT burn wounds that would require skin grafting</w:t>
      </w:r>
      <w:r>
        <w:t>. ESC considered this to be partially appropriate but noted that the analysis did not account for regrafting costs and that it would have been more suitable to use public hospital Australian Refined Diagnosis-Related Groups (AR-DRG) costs to represent total inpatient costs (rather than the average private hospital beds used). In addition, ESC considered that the device cost should have been included in the base-case analysis, as per the MSAC guidelines which recommend a healthcare system perspective for the economic evaluation, inclusive of</w:t>
      </w:r>
      <w:r w:rsidRPr="0097799A">
        <w:t xml:space="preserve"> health and health-related resource use (costs and cost offsets), and health-related outcomes</w:t>
      </w:r>
      <w:r>
        <w:t>.  ESC noted that the model inputs were mostly from US and UK studies, including US-based LOS data rather than Australian data; however, ESC considered this reasonable due to the limited availability of alternative data.</w:t>
      </w:r>
    </w:p>
    <w:p w14:paraId="3D1C17C7" w14:textId="77777777" w:rsidR="00DA24C8" w:rsidRDefault="00DA24C8" w:rsidP="00DA24C8">
      <w:r>
        <w:t xml:space="preserve">ESC noted that the estimated total weighted cost to the MBS and health system, as specified in the ADAR, was – $24,068.10 per patient, suggesting that ASCS treatment is cost-saving. However, this weighted cost represented multiple TBSA intervals, and cost savings increased as the TBSA increases. ESC noted additional scenario analyses that included the device cost and used AR-DRG costs reduced the cost savings to hospitals to $8,389.86 per patient. However, when considering 20–29% TBSA patients only, the intervention was not cost-saving and increased costs to hospitals to $29,818.51 per patient. ESC agreed with the pre-ESC response that </w:t>
      </w:r>
      <w:r w:rsidRPr="00760FAC">
        <w:t xml:space="preserve">differences in LOS and </w:t>
      </w:r>
      <w:r>
        <w:t xml:space="preserve">the </w:t>
      </w:r>
      <w:r w:rsidRPr="00760FAC">
        <w:t>number of closure procedures required for patients with ASCS ± STSG versus STSG alone is expected to be greater for higher TBSA burns</w:t>
      </w:r>
      <w:r>
        <w:t>, which explains why the c</w:t>
      </w:r>
      <w:r w:rsidRPr="008741D2">
        <w:t>ost savings were most pronounced in burns ≥40% TBSA, representing 20% of patients but contributing 70% of total savings</w:t>
      </w:r>
      <w:r>
        <w:t>.</w:t>
      </w:r>
    </w:p>
    <w:p w14:paraId="79C8FA2B" w14:textId="77777777" w:rsidR="00DA24C8" w:rsidRDefault="00DA24C8" w:rsidP="00DA24C8">
      <w:pPr>
        <w:pStyle w:val="NormalBeforeBullet0"/>
      </w:pPr>
      <w:r>
        <w:t>Overall, ESC considered the claim of cost savings to be highly uncertain as v</w:t>
      </w:r>
      <w:r w:rsidRPr="00050095">
        <w:t>arying the primary cost drivers resulted in changes to the base-case cost savings, ranging from a 2% to a 78% difference, with both increases and decreases in cost savings observed</w:t>
      </w:r>
      <w:r>
        <w:t>. The key cost drivers included:</w:t>
      </w:r>
    </w:p>
    <w:p w14:paraId="2E322B66" w14:textId="0D50A0DF" w:rsidR="00DA24C8" w:rsidRDefault="00DA24C8" w:rsidP="0000493F">
      <w:pPr>
        <w:pStyle w:val="ListParagraph"/>
        <w:numPr>
          <w:ilvl w:val="0"/>
          <w:numId w:val="10"/>
        </w:numPr>
      </w:pPr>
      <w:r>
        <w:t xml:space="preserve">LOS, which was uncertain </w:t>
      </w:r>
      <w:r w:rsidRPr="008521DA">
        <w:t xml:space="preserve">given </w:t>
      </w:r>
      <w:r>
        <w:t xml:space="preserve">that the </w:t>
      </w:r>
      <w:r w:rsidRPr="008521DA">
        <w:t xml:space="preserve">comparative LOS data </w:t>
      </w:r>
      <w:r>
        <w:t xml:space="preserve">are </w:t>
      </w:r>
      <w:r w:rsidRPr="008521DA">
        <w:t xml:space="preserve">based on </w:t>
      </w:r>
      <w:r>
        <w:t xml:space="preserve">a </w:t>
      </w:r>
      <w:r w:rsidRPr="008521DA">
        <w:t>retrospective review</w:t>
      </w:r>
      <w:r>
        <w:t>. ESC agreed with the pre-ESC response, noted that these were the best available evidence, but noted that the low quality of data should be acknowledged</w:t>
      </w:r>
      <w:r w:rsidR="1DCC0508">
        <w:t>.</w:t>
      </w:r>
    </w:p>
    <w:p w14:paraId="55B7B18F" w14:textId="12CC9850" w:rsidR="00DA24C8" w:rsidRDefault="00DA24C8" w:rsidP="0000493F">
      <w:pPr>
        <w:pStyle w:val="ListParagraph"/>
        <w:numPr>
          <w:ilvl w:val="0"/>
          <w:numId w:val="10"/>
        </w:numPr>
      </w:pPr>
      <w:r>
        <w:t xml:space="preserve">Number of definitive closure procedures, which </w:t>
      </w:r>
      <w:r w:rsidRPr="00163EDA">
        <w:t>potential</w:t>
      </w:r>
      <w:r>
        <w:t>ly</w:t>
      </w:r>
      <w:r w:rsidRPr="00163EDA">
        <w:t xml:space="preserve"> favour</w:t>
      </w:r>
      <w:r>
        <w:t>s</w:t>
      </w:r>
      <w:r w:rsidRPr="00163EDA">
        <w:t xml:space="preserve"> ASCS ± STSG</w:t>
      </w:r>
      <w:r>
        <w:t>,</w:t>
      </w:r>
      <w:r w:rsidRPr="00163EDA">
        <w:t xml:space="preserve"> considering there has been an overall reduction in the number of autograft procedures per %TBSA burned since 2011</w:t>
      </w:r>
      <w:r>
        <w:t>. Again, the pre-ESC response noted that these were the best available evidence</w:t>
      </w:r>
      <w:r w:rsidR="4E08DE19">
        <w:t>.</w:t>
      </w:r>
    </w:p>
    <w:p w14:paraId="03239C0F" w14:textId="77777777" w:rsidR="00DA24C8" w:rsidRDefault="00DA24C8" w:rsidP="0000493F">
      <w:pPr>
        <w:pStyle w:val="ListParagraph"/>
        <w:numPr>
          <w:ilvl w:val="0"/>
          <w:numId w:val="10"/>
        </w:numPr>
      </w:pPr>
      <w:r>
        <w:t>Device cost, which was inappropriately excluded in the base case and favours the intervention. Including this in the base case reduced the cost savings by 78%.</w:t>
      </w:r>
    </w:p>
    <w:p w14:paraId="0826AE84" w14:textId="0675C85C" w:rsidR="00DA24C8" w:rsidRDefault="00DA24C8" w:rsidP="0000493F">
      <w:pPr>
        <w:pStyle w:val="ListParagraph"/>
        <w:numPr>
          <w:ilvl w:val="0"/>
          <w:numId w:val="10"/>
        </w:numPr>
      </w:pPr>
      <w:r>
        <w:lastRenderedPageBreak/>
        <w:t>Burn severity and the d</w:t>
      </w:r>
      <w:r w:rsidRPr="00771805">
        <w:t>irection of</w:t>
      </w:r>
      <w:r>
        <w:t xml:space="preserve"> its </w:t>
      </w:r>
      <w:r w:rsidRPr="00771805">
        <w:t>effect</w:t>
      </w:r>
      <w:r>
        <w:t xml:space="preserve"> on cost-savings was unclear however, the uncertainty was limited as the input data was drawn from the BRANZ, a </w:t>
      </w:r>
      <w:r w:rsidRPr="00121C7B">
        <w:rPr>
          <w:lang w:val="en"/>
        </w:rPr>
        <w:t>high-quality, context-relevant source</w:t>
      </w:r>
      <w:r>
        <w:rPr>
          <w:lang w:val="en"/>
        </w:rPr>
        <w:t xml:space="preserve">. </w:t>
      </w:r>
      <w:r>
        <w:t>The intervention only becomes cost-saving for burns of ≥30% TBSA when device costs are included</w:t>
      </w:r>
      <w:r w:rsidR="4D56FC9D">
        <w:t>.</w:t>
      </w:r>
    </w:p>
    <w:p w14:paraId="4F01A0DF" w14:textId="77777777" w:rsidR="00DA24C8" w:rsidRDefault="00DA24C8" w:rsidP="0000493F">
      <w:pPr>
        <w:pStyle w:val="ListParagraph"/>
        <w:numPr>
          <w:ilvl w:val="0"/>
          <w:numId w:val="10"/>
        </w:numPr>
      </w:pPr>
      <w:r>
        <w:t>Population, as the inputs were adults only. However, the paediatric population would likely comprise only about 11.7% of the total patient population.</w:t>
      </w:r>
    </w:p>
    <w:p w14:paraId="0C856E36" w14:textId="77777777" w:rsidR="00DA24C8" w:rsidRDefault="00DA24C8" w:rsidP="00DA24C8">
      <w:r>
        <w:t>ESC noted that altering these cost drivers results in a large change to the base case net cost – as high as –65.9% if private hospital bed costs are excluded, or +32.9% if private hospital bed costs are increased by 50%. In addition, although ESC considered the cost savings approach reasonable, it noted that this approach does not capture long-term patient outcomes.</w:t>
      </w:r>
    </w:p>
    <w:p w14:paraId="75E1C4B0" w14:textId="77777777" w:rsidR="00DA24C8" w:rsidRDefault="00DA24C8" w:rsidP="00DA24C8">
      <w:r>
        <w:t xml:space="preserve">ESC considered the epidemiological approach and the inputs to the financial impact to be appropriate. The impact on the MBS was calculated to be $10,871 in year 1, increasing to $17,260 by year 6. ESC noted that without the proposed modifier item, there was no estimated net impact on the MBS costs. </w:t>
      </w:r>
    </w:p>
    <w:p w14:paraId="7143812E" w14:textId="327F4DC3" w:rsidR="00DA24C8" w:rsidRDefault="00DA24C8" w:rsidP="00DA24C8">
      <w:r>
        <w:t>ESC noted that the net cost to hospitals was - $1.52 million in year 1 to $2.42 million by year 6, due to the assumption that hospitals would absorb the cost of the ReCell</w:t>
      </w:r>
      <w:r w:rsidR="005935C1">
        <w:t>®</w:t>
      </w:r>
      <w:r>
        <w:t xml:space="preserve"> device. However, ESC noted that potential </w:t>
      </w:r>
      <w:r w:rsidRPr="0030598D">
        <w:t>cost offsets such as reduction in LOS and reduction in definitive closure procedures required with the use of ASCS were not included</w:t>
      </w:r>
      <w:r>
        <w:t xml:space="preserve">, which may overestimate the overall costs. </w:t>
      </w:r>
    </w:p>
    <w:p w14:paraId="45BFBB9F" w14:textId="77777777" w:rsidR="00DA24C8" w:rsidRDefault="00DA24C8" w:rsidP="00DA24C8">
      <w:r>
        <w:t xml:space="preserve">Overall, ESC agreed with the commentary that the financial impact was incomplete and </w:t>
      </w:r>
      <w:r w:rsidRPr="00DF0B07">
        <w:t xml:space="preserve">that additional sensitivity analyses </w:t>
      </w:r>
      <w:r>
        <w:t xml:space="preserve">aimed at </w:t>
      </w:r>
      <w:r w:rsidRPr="002A308C">
        <w:t>refining the understanding of when the intervention might become cost-saving or more clinically justified</w:t>
      </w:r>
      <w:r>
        <w:t xml:space="preserve"> would be useful for MSAC decision making</w:t>
      </w:r>
      <w:r w:rsidRPr="00DF0B07">
        <w:t>,</w:t>
      </w:r>
      <w:r>
        <w:t xml:space="preserve"> including:</w:t>
      </w:r>
    </w:p>
    <w:p w14:paraId="678D8A9E" w14:textId="77777777" w:rsidR="00DA24C8" w:rsidRPr="00DF0B07" w:rsidRDefault="00DA24C8" w:rsidP="0000493F">
      <w:pPr>
        <w:pStyle w:val="ListParagraph"/>
        <w:numPr>
          <w:ilvl w:val="0"/>
          <w:numId w:val="14"/>
        </w:numPr>
      </w:pPr>
      <w:r w:rsidRPr="00DF0B07">
        <w:t>a threshold analysis for cost</w:t>
      </w:r>
      <w:r>
        <w:t xml:space="preserve"> </w:t>
      </w:r>
      <w:r w:rsidRPr="00DF0B07">
        <w:t>savings in 20–29% TBSA burns (</w:t>
      </w:r>
      <w:r>
        <w:t>for example,</w:t>
      </w:r>
      <w:r w:rsidRPr="00DF0B07">
        <w:t xml:space="preserve"> under what LOS reductions or device price reductions would it become cost-saving)</w:t>
      </w:r>
    </w:p>
    <w:p w14:paraId="3C0BB0A8" w14:textId="77777777" w:rsidR="00DA24C8" w:rsidRPr="00DF0B07" w:rsidRDefault="00DA24C8" w:rsidP="0000493F">
      <w:pPr>
        <w:pStyle w:val="ListParagraph"/>
        <w:numPr>
          <w:ilvl w:val="0"/>
          <w:numId w:val="14"/>
        </w:numPr>
      </w:pPr>
      <w:r>
        <w:t>the inclusion of regrafting c</w:t>
      </w:r>
      <w:r w:rsidRPr="00DF0B07">
        <w:t>osts in the base case analysis</w:t>
      </w:r>
      <w:r>
        <w:t>,</w:t>
      </w:r>
      <w:r w:rsidRPr="00DF0B07">
        <w:t xml:space="preserve"> to reflect the clinical algorithm</w:t>
      </w:r>
    </w:p>
    <w:p w14:paraId="2784EE08" w14:textId="77777777" w:rsidR="00DA24C8" w:rsidRDefault="00DA24C8" w:rsidP="0000493F">
      <w:pPr>
        <w:pStyle w:val="ListParagraph"/>
        <w:numPr>
          <w:ilvl w:val="0"/>
          <w:numId w:val="14"/>
        </w:numPr>
      </w:pPr>
      <w:r>
        <w:t xml:space="preserve">the inclusion of </w:t>
      </w:r>
      <w:r w:rsidRPr="00DF0B07">
        <w:t>cost offsets from reduced LOS and closure procedures in the financial analysis</w:t>
      </w:r>
      <w:r>
        <w:t>,</w:t>
      </w:r>
      <w:r w:rsidRPr="00DF0B07">
        <w:t xml:space="preserve"> to provide a more accurate analysis and give decision-makers visibility of the likely impact</w:t>
      </w:r>
    </w:p>
    <w:p w14:paraId="31AC69F2" w14:textId="77777777" w:rsidR="00DA24C8" w:rsidRPr="00A44FD3" w:rsidRDefault="00DA24C8" w:rsidP="0000493F">
      <w:pPr>
        <w:pStyle w:val="ListParagraph"/>
        <w:numPr>
          <w:ilvl w:val="0"/>
          <w:numId w:val="14"/>
        </w:numPr>
        <w:rPr>
          <w:rStyle w:val="Strong"/>
          <w:b w:val="0"/>
          <w:bCs w:val="0"/>
        </w:rPr>
      </w:pPr>
      <w:r>
        <w:t>varying the</w:t>
      </w:r>
      <w:r w:rsidRPr="00DF0B07">
        <w:t xml:space="preserve"> cost of the ASCS (R</w:t>
      </w:r>
      <w:r>
        <w:t>e</w:t>
      </w:r>
      <w:r w:rsidRPr="00DF0B07">
        <w:t>C</w:t>
      </w:r>
      <w:r>
        <w:t>ell</w:t>
      </w:r>
      <w:r w:rsidRPr="00DF0B07">
        <w:t>®) device as well as the %TBSA for the average</w:t>
      </w:r>
      <w:r>
        <w:t>-</w:t>
      </w:r>
      <w:r w:rsidRPr="00DF0B07">
        <w:t>sized adult</w:t>
      </w:r>
      <w:r>
        <w:t xml:space="preserve">, as </w:t>
      </w:r>
      <w:r w:rsidRPr="00DF0B07">
        <w:t xml:space="preserve">one device was estimated to treat within a </w:t>
      </w:r>
      <w:r>
        <w:t>sensitivity analysis</w:t>
      </w:r>
      <w:r w:rsidRPr="00DF0B07">
        <w:t xml:space="preserve"> in the financial modelling.</w:t>
      </w:r>
    </w:p>
    <w:p w14:paraId="2C93EBF8" w14:textId="77777777" w:rsidR="00196E65" w:rsidRPr="00A737D1" w:rsidRDefault="00196E65" w:rsidP="0000493F">
      <w:pPr>
        <w:pStyle w:val="Heading2"/>
        <w:numPr>
          <w:ilvl w:val="0"/>
          <w:numId w:val="15"/>
        </w:numPr>
      </w:pPr>
      <w:bookmarkStart w:id="97" w:name="_Hlk193984667"/>
      <w:r w:rsidRPr="003A793E">
        <w:t>Applicant comments on MSAC’s Public Summary Document</w:t>
      </w:r>
    </w:p>
    <w:p w14:paraId="1F08BCE1" w14:textId="2651CE71" w:rsidR="009132CC" w:rsidRDefault="001C5A6A" w:rsidP="001633A1">
      <w:r>
        <w:t>The applicant welcomes MSAC’s support for amending selected existing MBS items for immediate and delayed definitive burn wound closure, acknowledging the demonstrated superiority of ASCS in donor site sparing and reducing the need for autograft procedures compared with traditional autologous skin grafting</w:t>
      </w:r>
      <w:r w:rsidR="001633A1">
        <w:t>.</w:t>
      </w:r>
      <w:r w:rsidR="00B0501D">
        <w:t xml:space="preserve"> </w:t>
      </w:r>
    </w:p>
    <w:p w14:paraId="45526197" w14:textId="268463C4" w:rsidR="00B352E5" w:rsidRPr="00DD5B72" w:rsidRDefault="001C5A6A" w:rsidP="001C5A6A">
      <w:r>
        <w:t xml:space="preserve">In Western Australia, the use of ASCS </w:t>
      </w:r>
      <w:r w:rsidR="008B0A9C">
        <w:t xml:space="preserve">is </w:t>
      </w:r>
      <w:r>
        <w:t xml:space="preserve">considered standard of care in burn treatment. Following this comprehensive assessment, the applicant hopes that ASCS will be more broadly </w:t>
      </w:r>
      <w:r w:rsidR="00A82A24">
        <w:t>considered</w:t>
      </w:r>
      <w:r>
        <w:t xml:space="preserve"> and adopted as a treatment option across the rest of Australia when clinically appropriate.</w:t>
      </w:r>
      <w:r w:rsidR="002E6B3F">
        <w:t xml:space="preserve"> </w:t>
      </w:r>
      <w:r w:rsidR="009C4F16">
        <w:t xml:space="preserve"> </w:t>
      </w:r>
    </w:p>
    <w:bookmarkEnd w:id="97"/>
    <w:p w14:paraId="3A86F196" w14:textId="177B75D2" w:rsidR="00404D19" w:rsidRPr="00A737D1" w:rsidRDefault="00404D19" w:rsidP="0000493F">
      <w:pPr>
        <w:pStyle w:val="Heading2"/>
        <w:numPr>
          <w:ilvl w:val="0"/>
          <w:numId w:val="15"/>
        </w:numPr>
      </w:pPr>
      <w:r w:rsidRPr="003A793E">
        <w:lastRenderedPageBreak/>
        <w:t>Further information on MSAC</w:t>
      </w:r>
    </w:p>
    <w:p w14:paraId="00DE3335" w14:textId="75F4E411" w:rsidR="00FE6FBE" w:rsidRPr="0088128C" w:rsidRDefault="00404D19" w:rsidP="0088128C">
      <w:pPr>
        <w:pStyle w:val="BodyText"/>
        <w:rPr>
          <w:rFonts w:ascii="Franklin Gothic Book" w:hAnsi="Franklin Gothic Book"/>
          <w:b/>
          <w:bCs/>
          <w:i/>
          <w:iCs/>
        </w:rPr>
      </w:pPr>
      <w:r w:rsidRPr="00FE6FBE">
        <w:rPr>
          <w:rFonts w:ascii="Franklin Gothic Book" w:eastAsiaTheme="minorHAnsi" w:hAnsi="Franklin Gothic Book" w:cstheme="minorBidi"/>
          <w:sz w:val="22"/>
          <w:szCs w:val="22"/>
        </w:rPr>
        <w:t xml:space="preserve">MSAC Terms of Reference and other information are available on the MSAC Website: </w:t>
      </w:r>
      <w:hyperlink r:id="rId19" w:tooltip="Link to the MSAC website" w:history="1">
        <w:r w:rsidRPr="00FE6FBE">
          <w:rPr>
            <w:rStyle w:val="Hyperlink"/>
            <w:rFonts w:ascii="Franklin Gothic Book" w:hAnsi="Franklin Gothic Book"/>
            <w:iCs/>
            <w:color w:val="007BB8"/>
            <w:sz w:val="22"/>
            <w:szCs w:val="22"/>
          </w:rPr>
          <w:t>visit the MSAC website</w:t>
        </w:r>
      </w:hyperlink>
    </w:p>
    <w:sectPr w:rsidR="00FE6FBE" w:rsidRPr="0088128C" w:rsidSect="00F300F2">
      <w:headerReference w:type="even" r:id="rId20"/>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83BB" w14:textId="77777777" w:rsidR="00221415" w:rsidRDefault="00221415" w:rsidP="00B62DF2">
      <w:pPr>
        <w:spacing w:after="0" w:line="240" w:lineRule="auto"/>
      </w:pPr>
      <w:r>
        <w:separator/>
      </w:r>
    </w:p>
  </w:endnote>
  <w:endnote w:type="continuationSeparator" w:id="0">
    <w:p w14:paraId="3B351D59" w14:textId="77777777" w:rsidR="00221415" w:rsidRDefault="00221415" w:rsidP="00B62DF2">
      <w:pPr>
        <w:spacing w:after="0" w:line="240" w:lineRule="auto"/>
      </w:pPr>
      <w:r>
        <w:continuationSeparator/>
      </w:r>
    </w:p>
  </w:endnote>
  <w:endnote w:type="continuationNotice" w:id="1">
    <w:p w14:paraId="2AEAF4A5" w14:textId="77777777" w:rsidR="00221415" w:rsidRDefault="002214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15FA" w14:textId="42354761" w:rsidR="005947B5" w:rsidRDefault="00E16940" w:rsidP="0054173E">
    <w:pPr>
      <w:pStyle w:val="Footer"/>
      <w:jc w:val="right"/>
    </w:pPr>
    <w:r>
      <w:rPr>
        <w:noProof/>
      </w:rPr>
      <mc:AlternateContent>
        <mc:Choice Requires="wps">
          <w:drawing>
            <wp:anchor distT="0" distB="0" distL="0" distR="0" simplePos="0" relativeHeight="251658248" behindDoc="0" locked="0" layoutInCell="1" allowOverlap="1" wp14:anchorId="67647150" wp14:editId="2AB6B6B8">
              <wp:simplePos x="635" y="635"/>
              <wp:positionH relativeFrom="page">
                <wp:align>center</wp:align>
              </wp:positionH>
              <wp:positionV relativeFrom="page">
                <wp:align>bottom</wp:align>
              </wp:positionV>
              <wp:extent cx="609600" cy="476250"/>
              <wp:effectExtent l="0" t="0" r="0" b="0"/>
              <wp:wrapNone/>
              <wp:docPr id="40823084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1DB70DB" w14:textId="3A85666A"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47150" id="_x0000_t202" coordsize="21600,21600" o:spt="202" path="m,l,21600r21600,l21600,xe">
              <v:stroke joinstyle="miter"/>
              <v:path gradientshapeok="t" o:connecttype="rect"/>
            </v:shapetype>
            <v:shape id="Text Box 9" o:spid="_x0000_s1028" type="#_x0000_t202" alt="OFFICIAL" style="position:absolute;left:0;text-align:left;margin-left:0;margin-top:0;width:48pt;height:37.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61DB70DB" w14:textId="3A85666A"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7647" w14:textId="3DCF28B9" w:rsidR="005947B5" w:rsidRDefault="00E16940" w:rsidP="00052DD3">
    <w:pPr>
      <w:pStyle w:val="Footer"/>
      <w:jc w:val="right"/>
    </w:pPr>
    <w:r>
      <w:rPr>
        <w:noProof/>
      </w:rPr>
      <mc:AlternateContent>
        <mc:Choice Requires="wps">
          <w:drawing>
            <wp:anchor distT="0" distB="0" distL="0" distR="0" simplePos="0" relativeHeight="251658249" behindDoc="0" locked="0" layoutInCell="1" allowOverlap="1" wp14:anchorId="0D15A238" wp14:editId="3698EF84">
              <wp:simplePos x="635" y="635"/>
              <wp:positionH relativeFrom="page">
                <wp:align>center</wp:align>
              </wp:positionH>
              <wp:positionV relativeFrom="page">
                <wp:align>bottom</wp:align>
              </wp:positionV>
              <wp:extent cx="609600" cy="476250"/>
              <wp:effectExtent l="0" t="0" r="0" b="0"/>
              <wp:wrapNone/>
              <wp:docPr id="55054297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1157277" w14:textId="5ED543DA"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5A238" id="_x0000_t202" coordsize="21600,21600" o:spt="202" path="m,l,21600r21600,l21600,xe">
              <v:stroke joinstyle="miter"/>
              <v:path gradientshapeok="t" o:connecttype="rect"/>
            </v:shapetype>
            <v:shape id="Text Box 10" o:spid="_x0000_s1029" type="#_x0000_t202" alt="OFFICIAL" style="position:absolute;left:0;text-align:left;margin-left:0;margin-top:0;width:48pt;height:37.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1157277" w14:textId="5ED543DA"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399F" w14:textId="02ED4298" w:rsidR="0033069D" w:rsidRDefault="00E16940">
    <w:pPr>
      <w:pStyle w:val="Footer"/>
    </w:pPr>
    <w:r>
      <w:rPr>
        <w:noProof/>
      </w:rPr>
      <mc:AlternateContent>
        <mc:Choice Requires="wps">
          <w:drawing>
            <wp:anchor distT="0" distB="0" distL="0" distR="0" simplePos="0" relativeHeight="251658247" behindDoc="0" locked="0" layoutInCell="1" allowOverlap="1" wp14:anchorId="20E40304" wp14:editId="430A7128">
              <wp:simplePos x="635" y="635"/>
              <wp:positionH relativeFrom="page">
                <wp:align>center</wp:align>
              </wp:positionH>
              <wp:positionV relativeFrom="page">
                <wp:align>bottom</wp:align>
              </wp:positionV>
              <wp:extent cx="609600" cy="476250"/>
              <wp:effectExtent l="0" t="0" r="0" b="0"/>
              <wp:wrapNone/>
              <wp:docPr id="16793267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90FA74B" w14:textId="38918E3C"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40304" id="_x0000_t202" coordsize="21600,21600" o:spt="202" path="m,l,21600r21600,l21600,xe">
              <v:stroke joinstyle="miter"/>
              <v:path gradientshapeok="t" o:connecttype="rect"/>
            </v:shapetype>
            <v:shape id="Text Box 8" o:spid="_x0000_s1031" type="#_x0000_t202" alt="OFFICIAL" style="position:absolute;margin-left:0;margin-top:0;width:48pt;height:37.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090FA74B" w14:textId="38918E3C"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2AC1" w14:textId="77777777" w:rsidR="00221415" w:rsidRDefault="00221415" w:rsidP="00B62DF2">
      <w:pPr>
        <w:spacing w:after="0" w:line="240" w:lineRule="auto"/>
      </w:pPr>
      <w:r>
        <w:separator/>
      </w:r>
    </w:p>
  </w:footnote>
  <w:footnote w:type="continuationSeparator" w:id="0">
    <w:p w14:paraId="758814A0" w14:textId="77777777" w:rsidR="00221415" w:rsidRDefault="00221415" w:rsidP="00B62DF2">
      <w:pPr>
        <w:spacing w:after="0" w:line="240" w:lineRule="auto"/>
      </w:pPr>
      <w:r>
        <w:continuationSeparator/>
      </w:r>
    </w:p>
  </w:footnote>
  <w:footnote w:type="continuationNotice" w:id="1">
    <w:p w14:paraId="1D34C5CD" w14:textId="77777777" w:rsidR="00221415" w:rsidRDefault="00221415">
      <w:pPr>
        <w:spacing w:before="0" w:after="0" w:line="240" w:lineRule="auto"/>
      </w:pPr>
    </w:p>
  </w:footnote>
  <w:footnote w:id="2">
    <w:p w14:paraId="4E39C39C" w14:textId="77777777" w:rsidR="0001615B" w:rsidRDefault="0001615B" w:rsidP="0001615B">
      <w:pPr>
        <w:pStyle w:val="FootnoteText"/>
      </w:pPr>
      <w:r>
        <w:rPr>
          <w:rStyle w:val="FootnoteReference"/>
        </w:rPr>
        <w:footnoteRef/>
      </w:r>
      <w:r>
        <w:t xml:space="preserve"> </w:t>
      </w:r>
      <w:r w:rsidRPr="008747AD">
        <w:t>Carter JE</w:t>
      </w:r>
      <w:r>
        <w:t xml:space="preserve"> and Phillips B</w:t>
      </w:r>
      <w:r w:rsidRPr="008747AD">
        <w:t xml:space="preserve"> (2025) </w:t>
      </w:r>
      <w:r>
        <w:t>‘</w:t>
      </w:r>
      <w:hyperlink r:id="rId1" w:history="1">
        <w:r w:rsidRPr="006D54E7">
          <w:rPr>
            <w:rStyle w:val="Hyperlink"/>
          </w:rPr>
          <w:t>The clinical impact of skin cell suspension autograft from a national registry perspective</w:t>
        </w:r>
      </w:hyperlink>
      <w:r>
        <w:t>’, abstract presented at the</w:t>
      </w:r>
      <w:r w:rsidRPr="008747AD">
        <w:t xml:space="preserve"> British Burn Association Annual Conference</w:t>
      </w:r>
      <w:r>
        <w:t xml:space="preserve">, Brighton, </w:t>
      </w:r>
      <w:r w:rsidRPr="008747AD">
        <w:t>4</w:t>
      </w:r>
      <w:r>
        <w:t>–</w:t>
      </w:r>
      <w:r w:rsidRPr="008747AD">
        <w:t>6 June 2025.</w:t>
      </w:r>
    </w:p>
  </w:footnote>
  <w:footnote w:id="3">
    <w:p w14:paraId="2CC68B74" w14:textId="0D01E730" w:rsidR="004F6211" w:rsidRPr="004F6211" w:rsidRDefault="004F6211">
      <w:pPr>
        <w:pStyle w:val="FootnoteText"/>
        <w:rPr>
          <w:lang w:val="en-US"/>
        </w:rPr>
      </w:pPr>
      <w:r w:rsidRPr="00BA4BD3">
        <w:rPr>
          <w:rFonts w:ascii="Franklin Gothic Book" w:hAnsi="Franklin Gothic Book"/>
          <w:iCs/>
          <w:sz w:val="16"/>
          <w:szCs w:val="16"/>
          <w:vertAlign w:val="superscript"/>
        </w:rPr>
        <w:footnoteRef/>
      </w:r>
      <w:r w:rsidRPr="00BA4BD3">
        <w:rPr>
          <w:rFonts w:ascii="Franklin Gothic Book" w:hAnsi="Franklin Gothic Book"/>
          <w:iCs/>
          <w:sz w:val="16"/>
          <w:szCs w:val="16"/>
          <w:vertAlign w:val="superscript"/>
        </w:rPr>
        <w:t xml:space="preserve"> </w:t>
      </w:r>
      <w:r w:rsidRPr="00BA4BD3">
        <w:rPr>
          <w:rFonts w:ascii="Franklin Gothic Book" w:hAnsi="Franklin Gothic Book"/>
          <w:iCs/>
          <w:sz w:val="16"/>
          <w:szCs w:val="16"/>
        </w:rPr>
        <w:t>Therapeutic Goods Administration</w:t>
      </w:r>
      <w:r w:rsidR="00BA4BD3" w:rsidRPr="00BA4BD3">
        <w:rPr>
          <w:rFonts w:ascii="Franklin Gothic Book" w:hAnsi="Franklin Gothic Book"/>
          <w:iCs/>
          <w:sz w:val="16"/>
          <w:szCs w:val="16"/>
        </w:rPr>
        <w:t xml:space="preserve"> </w:t>
      </w:r>
      <w:r w:rsidRPr="00BA4BD3">
        <w:rPr>
          <w:rFonts w:ascii="Franklin Gothic Book" w:hAnsi="Franklin Gothic Book"/>
          <w:iCs/>
          <w:sz w:val="16"/>
          <w:szCs w:val="16"/>
        </w:rPr>
        <w:t xml:space="preserve">2020 </w:t>
      </w:r>
      <w:r w:rsidR="00BA4BD3" w:rsidRPr="00BA4BD3">
        <w:rPr>
          <w:rFonts w:ascii="Franklin Gothic Book" w:hAnsi="Franklin Gothic Book"/>
          <w:iCs/>
          <w:sz w:val="16"/>
          <w:szCs w:val="16"/>
        </w:rPr>
        <w:t>‘</w:t>
      </w:r>
      <w:r w:rsidRPr="00BA4BD3">
        <w:rPr>
          <w:rFonts w:ascii="Franklin Gothic Book" w:hAnsi="Franklin Gothic Book"/>
          <w:iCs/>
          <w:sz w:val="16"/>
          <w:szCs w:val="16"/>
        </w:rPr>
        <w:t>Emergo Asia Pacific Pty Ltd T/a Emergo Australia - ReCell 1920 Autologous Cell Harvesting Device - Autologous skin cell grafting kit (338864)</w:t>
      </w:r>
      <w:r w:rsidR="00BA4BD3" w:rsidRPr="00BA4BD3">
        <w:rPr>
          <w:rFonts w:ascii="Franklin Gothic Book" w:hAnsi="Franklin Gothic Book"/>
          <w:iCs/>
          <w:sz w:val="16"/>
          <w:szCs w:val="16"/>
        </w:rPr>
        <w:t>’</w:t>
      </w:r>
      <w:r w:rsidR="00BA4BD3">
        <w:rPr>
          <w:rFonts w:ascii="Franklin Gothic Book" w:hAnsi="Franklin Gothic Book"/>
          <w:iCs/>
          <w:sz w:val="16"/>
          <w:szCs w:val="16"/>
        </w:rPr>
        <w:t>,</w:t>
      </w:r>
      <w:r w:rsidR="00BA4BD3" w:rsidRPr="00BA4BD3">
        <w:rPr>
          <w:rFonts w:ascii="Franklin Gothic Book" w:hAnsi="Franklin Gothic Book"/>
          <w:iCs/>
          <w:sz w:val="16"/>
          <w:szCs w:val="16"/>
        </w:rPr>
        <w:t xml:space="preserve"> viewed 7 May 2025</w:t>
      </w:r>
      <w:r w:rsidRPr="00BA4BD3">
        <w:rPr>
          <w:rFonts w:ascii="Franklin Gothic Book" w:hAnsi="Franklin Gothic Book"/>
          <w:iCs/>
          <w:sz w:val="16"/>
          <w:szCs w:val="16"/>
        </w:rPr>
        <w:t xml:space="preserve"> </w:t>
      </w:r>
      <w:hyperlink r:id="rId2" w:history="1">
        <w:r w:rsidR="00BA4BD3" w:rsidRPr="00AC2AEC">
          <w:rPr>
            <w:rStyle w:val="Hyperlink"/>
            <w:rFonts w:ascii="Franklin Gothic Book" w:hAnsi="Franklin Gothic Book"/>
            <w:iCs/>
            <w:sz w:val="16"/>
            <w:szCs w:val="16"/>
          </w:rPr>
          <w:t>https://www.tga.gov.au/resources/artg/338864</w:t>
        </w:r>
      </w:hyperlink>
      <w:r w:rsidR="00BA4BD3">
        <w:t xml:space="preserve"> </w:t>
      </w:r>
    </w:p>
  </w:footnote>
  <w:footnote w:id="4">
    <w:p w14:paraId="05970DF5" w14:textId="7172BC5B" w:rsidR="003D4572" w:rsidRPr="001744AE" w:rsidRDefault="003D4572" w:rsidP="001744AE">
      <w:pPr>
        <w:pStyle w:val="EndNoteBibliography"/>
        <w:spacing w:after="0"/>
        <w:ind w:left="720" w:hanging="720"/>
        <w:rPr>
          <w:color w:val="auto"/>
          <w:lang w:val="en-AU"/>
        </w:rPr>
      </w:pPr>
      <w:r w:rsidRPr="00301C15">
        <w:rPr>
          <w:rFonts w:ascii="Franklin Gothic Book" w:hAnsi="Franklin Gothic Book"/>
          <w:color w:val="auto"/>
          <w:sz w:val="16"/>
          <w:szCs w:val="16"/>
          <w:vertAlign w:val="superscript"/>
        </w:rPr>
        <w:footnoteRef/>
      </w:r>
      <w:r w:rsidRPr="001744AE">
        <w:rPr>
          <w:rFonts w:ascii="Franklin Gothic Book" w:hAnsi="Franklin Gothic Book"/>
          <w:color w:val="auto"/>
          <w:sz w:val="16"/>
          <w:szCs w:val="16"/>
        </w:rPr>
        <w:t xml:space="preserve"> Burns Registry of Australia and New Zealand</w:t>
      </w:r>
      <w:r w:rsidR="00697902" w:rsidRPr="001744AE">
        <w:rPr>
          <w:rFonts w:ascii="Franklin Gothic Book" w:hAnsi="Franklin Gothic Book"/>
          <w:color w:val="auto"/>
          <w:sz w:val="16"/>
          <w:szCs w:val="16"/>
        </w:rPr>
        <w:t>,</w:t>
      </w:r>
      <w:r w:rsidRPr="001744AE">
        <w:rPr>
          <w:rFonts w:ascii="Franklin Gothic Book" w:hAnsi="Franklin Gothic Book"/>
          <w:color w:val="auto"/>
          <w:sz w:val="16"/>
          <w:szCs w:val="16"/>
        </w:rPr>
        <w:t xml:space="preserve"> 2024, Annual Report 2022</w:t>
      </w:r>
      <w:r w:rsidR="00050866" w:rsidRPr="00050866">
        <w:rPr>
          <w:rFonts w:ascii="Franklin Gothic Book" w:hAnsi="Franklin Gothic Book"/>
          <w:color w:val="auto"/>
          <w:sz w:val="16"/>
          <w:szCs w:val="16"/>
          <w:lang w:val="en-AU"/>
        </w:rPr>
        <w:t>–</w:t>
      </w:r>
      <w:r w:rsidRPr="001744AE">
        <w:rPr>
          <w:rFonts w:ascii="Franklin Gothic Book" w:hAnsi="Franklin Gothic Book"/>
          <w:color w:val="auto"/>
          <w:sz w:val="16"/>
          <w:szCs w:val="16"/>
        </w:rPr>
        <w:t>2023.</w:t>
      </w:r>
    </w:p>
  </w:footnote>
  <w:footnote w:id="5">
    <w:p w14:paraId="0965BAA2" w14:textId="18A78491" w:rsidR="009A3438" w:rsidRPr="008A2A8E" w:rsidRDefault="009A3438" w:rsidP="008B6C2C">
      <w:pPr>
        <w:pStyle w:val="FootnoteText"/>
        <w:rPr>
          <w:rFonts w:ascii="Franklin Gothic Book" w:hAnsi="Franklin Gothic Book"/>
          <w:sz w:val="16"/>
          <w:szCs w:val="16"/>
        </w:rPr>
      </w:pPr>
      <w:r w:rsidRPr="008A2A8E">
        <w:rPr>
          <w:rStyle w:val="FootnoteReference"/>
          <w:rFonts w:ascii="Franklin Gothic Book" w:hAnsi="Franklin Gothic Book"/>
          <w:sz w:val="16"/>
          <w:szCs w:val="16"/>
        </w:rPr>
        <w:footnoteRef/>
      </w:r>
      <w:r w:rsidR="008B6C2C" w:rsidRPr="006527C9">
        <w:rPr>
          <w:rFonts w:ascii="Franklin Gothic Book" w:hAnsi="Franklin Gothic Book"/>
          <w:sz w:val="16"/>
          <w:szCs w:val="16"/>
        </w:rPr>
        <w:t xml:space="preserve">Holmes Iv, JH, Molnar, JA, Carter, JE, Hwang, J, Cairns, BA, King, BT, Smith, DJ, Cruse, CW, Foster, KN, Peck, MD, Sood, R, Feldman, MJ, Jordan, MH, Mozingo, DW, Greenhalgh, DG, Palmieri, TL, Griswold, JA, Dissanaike, S &amp; Hickerson, WL 2018, 'A Comparative Study of the ReCell® Device and Autologous Spit-Thickness Meshed Skin Graft in the Treatment of Acute Burn Injuries', </w:t>
      </w:r>
      <w:r w:rsidR="008B6C2C" w:rsidRPr="006527C9">
        <w:rPr>
          <w:rFonts w:ascii="Franklin Gothic Book" w:hAnsi="Franklin Gothic Book"/>
          <w:i/>
          <w:iCs/>
          <w:sz w:val="16"/>
          <w:szCs w:val="16"/>
        </w:rPr>
        <w:t>J Burn Care Res</w:t>
      </w:r>
      <w:r w:rsidR="008B6C2C" w:rsidRPr="006527C9">
        <w:rPr>
          <w:rFonts w:ascii="Franklin Gothic Book" w:hAnsi="Franklin Gothic Book"/>
          <w:sz w:val="16"/>
          <w:szCs w:val="16"/>
        </w:rPr>
        <w:t>, vol. 39, no. 5, pp. 694-702.</w:t>
      </w:r>
    </w:p>
  </w:footnote>
  <w:footnote w:id="6">
    <w:p w14:paraId="1EB59C84" w14:textId="01A07300" w:rsidR="009A3438" w:rsidRPr="006527C9" w:rsidRDefault="009A3438" w:rsidP="009A3438">
      <w:pPr>
        <w:pStyle w:val="FootnoteText"/>
        <w:rPr>
          <w:rFonts w:ascii="Franklin Gothic Book" w:hAnsi="Franklin Gothic Book"/>
          <w:sz w:val="16"/>
          <w:szCs w:val="16"/>
        </w:rPr>
      </w:pPr>
      <w:r w:rsidRPr="008A2A8E">
        <w:rPr>
          <w:rStyle w:val="FootnoteReference"/>
          <w:rFonts w:ascii="Franklin Gothic Book" w:hAnsi="Franklin Gothic Book"/>
          <w:sz w:val="16"/>
          <w:szCs w:val="16"/>
        </w:rPr>
        <w:footnoteRef/>
      </w:r>
      <w:r w:rsidRPr="006527C9">
        <w:rPr>
          <w:rFonts w:ascii="Franklin Gothic Book" w:hAnsi="Franklin Gothic Book"/>
          <w:sz w:val="16"/>
          <w:szCs w:val="16"/>
        </w:rPr>
        <w:t xml:space="preserve"> </w:t>
      </w:r>
      <w:r w:rsidR="005E2E99" w:rsidRPr="006527C9">
        <w:rPr>
          <w:rFonts w:ascii="Franklin Gothic Book" w:hAnsi="Franklin Gothic Book"/>
          <w:sz w:val="16"/>
          <w:szCs w:val="16"/>
        </w:rPr>
        <w:t>Holmes, JH</w:t>
      </w:r>
      <w:r w:rsidR="001B0249">
        <w:rPr>
          <w:rFonts w:ascii="Franklin Gothic Book" w:hAnsi="Franklin Gothic Book"/>
          <w:sz w:val="16"/>
          <w:szCs w:val="16"/>
        </w:rPr>
        <w:t xml:space="preserve"> 4</w:t>
      </w:r>
      <w:r w:rsidR="005E2E99" w:rsidRPr="006527C9">
        <w:rPr>
          <w:rFonts w:ascii="Franklin Gothic Book" w:hAnsi="Franklin Gothic Book"/>
          <w:sz w:val="16"/>
          <w:szCs w:val="16"/>
        </w:rPr>
        <w:t>t</w:t>
      </w:r>
      <w:r w:rsidR="001B0249">
        <w:rPr>
          <w:rFonts w:ascii="Franklin Gothic Book" w:hAnsi="Franklin Gothic Book"/>
          <w:sz w:val="16"/>
          <w:szCs w:val="16"/>
        </w:rPr>
        <w:t>h</w:t>
      </w:r>
      <w:r w:rsidR="005E2E99" w:rsidRPr="006527C9">
        <w:rPr>
          <w:rFonts w:ascii="Franklin Gothic Book" w:hAnsi="Franklin Gothic Book"/>
          <w:sz w:val="16"/>
          <w:szCs w:val="16"/>
        </w:rPr>
        <w:t>, Molnar, JA, Shupp, JW, Hickerson, WL, King, BT, Foster, KN, Cairns, BA &amp; Carter, JE 2019, 'Demonstration of the safety and effectiveness of the RECELL(®) System combined with split-thickness meshed autografts for the reduction of donor skin to treat mixed-depth burn injuries',</w:t>
      </w:r>
      <w:r w:rsidR="005E2E99" w:rsidRPr="006527C9">
        <w:rPr>
          <w:rFonts w:ascii="Franklin Gothic Book" w:hAnsi="Franklin Gothic Book"/>
          <w:i/>
          <w:sz w:val="16"/>
          <w:szCs w:val="16"/>
        </w:rPr>
        <w:t xml:space="preserve"> Burns,</w:t>
      </w:r>
      <w:r w:rsidR="005E2E99" w:rsidRPr="006527C9">
        <w:rPr>
          <w:rFonts w:ascii="Franklin Gothic Book" w:hAnsi="Franklin Gothic Book"/>
          <w:sz w:val="16"/>
          <w:szCs w:val="16"/>
        </w:rPr>
        <w:t xml:space="preserve"> vol. 45, no. 4, pp. 772-82</w:t>
      </w:r>
      <w:r w:rsidRPr="006527C9">
        <w:rPr>
          <w:rFonts w:ascii="Franklin Gothic Book" w:hAnsi="Franklin Gothic Book"/>
          <w:sz w:val="16"/>
          <w:szCs w:val="16"/>
        </w:rPr>
        <w:t>.</w:t>
      </w:r>
    </w:p>
  </w:footnote>
  <w:footnote w:id="7">
    <w:p w14:paraId="38422841" w14:textId="688C2453" w:rsidR="009A3438" w:rsidRPr="00A80134" w:rsidRDefault="009A3438" w:rsidP="009A3438">
      <w:pPr>
        <w:pStyle w:val="FootnoteText"/>
        <w:rPr>
          <w:lang w:val="en-US"/>
        </w:rPr>
      </w:pPr>
      <w:r w:rsidRPr="008A2A8E">
        <w:rPr>
          <w:rStyle w:val="FootnoteReference"/>
          <w:rFonts w:ascii="Franklin Gothic Book" w:hAnsi="Franklin Gothic Book"/>
          <w:sz w:val="16"/>
          <w:szCs w:val="16"/>
        </w:rPr>
        <w:footnoteRef/>
      </w:r>
      <w:r w:rsidRPr="008A2A8E">
        <w:rPr>
          <w:rFonts w:ascii="Franklin Gothic Book" w:hAnsi="Franklin Gothic Book"/>
          <w:sz w:val="16"/>
          <w:szCs w:val="16"/>
        </w:rPr>
        <w:t xml:space="preserve"> </w:t>
      </w:r>
      <w:r w:rsidR="00D3028F">
        <w:rPr>
          <w:rFonts w:ascii="Franklin Gothic Book" w:hAnsi="Franklin Gothic Book"/>
          <w:sz w:val="16"/>
          <w:szCs w:val="16"/>
        </w:rPr>
        <w:t>ClinicalTrials.gov</w:t>
      </w:r>
      <w:r w:rsidR="000166BF">
        <w:rPr>
          <w:rFonts w:ascii="Franklin Gothic Book" w:hAnsi="Franklin Gothic Book"/>
          <w:sz w:val="16"/>
          <w:szCs w:val="16"/>
        </w:rPr>
        <w:t xml:space="preserve"> 2024. ‘</w:t>
      </w:r>
      <w:r w:rsidRPr="006527C9">
        <w:rPr>
          <w:rFonts w:ascii="Franklin Gothic Book" w:hAnsi="Franklin Gothic Book"/>
          <w:iCs/>
          <w:sz w:val="16"/>
          <w:szCs w:val="16"/>
        </w:rPr>
        <w:t xml:space="preserve">CONTINUED ACCESS PROTOCOL: Demonstration of the Safety and Effectiveness of ReCell® Combined </w:t>
      </w:r>
      <w:r w:rsidR="005E2A3A" w:rsidRPr="006527C9">
        <w:rPr>
          <w:rFonts w:ascii="Franklin Gothic Book" w:hAnsi="Franklin Gothic Book"/>
          <w:iCs/>
          <w:sz w:val="16"/>
          <w:szCs w:val="16"/>
        </w:rPr>
        <w:t>w</w:t>
      </w:r>
      <w:r w:rsidRPr="006527C9">
        <w:rPr>
          <w:rFonts w:ascii="Franklin Gothic Book" w:hAnsi="Franklin Gothic Book"/>
          <w:iCs/>
          <w:sz w:val="16"/>
          <w:szCs w:val="16"/>
        </w:rPr>
        <w:t>ith Meshed Skin Graft for Reduction of Donor Area in the Treatment of Acute Burn Injuries</w:t>
      </w:r>
      <w:r w:rsidR="00B53235">
        <w:rPr>
          <w:rFonts w:ascii="Franklin Gothic Book" w:hAnsi="Franklin Gothic Book"/>
          <w:iCs/>
          <w:sz w:val="16"/>
          <w:szCs w:val="16"/>
        </w:rPr>
        <w:t>’,</w:t>
      </w:r>
      <w:r w:rsidR="008841E3" w:rsidRPr="008A2A8E">
        <w:rPr>
          <w:rFonts w:ascii="Franklin Gothic Book" w:hAnsi="Franklin Gothic Book"/>
          <w:iCs/>
          <w:sz w:val="16"/>
          <w:szCs w:val="16"/>
        </w:rPr>
        <w:t xml:space="preserve"> viewed 16 March 2025 </w:t>
      </w:r>
      <w:hyperlink r:id="rId3" w:history="1">
        <w:r w:rsidR="004E2B43" w:rsidRPr="008A2A8E">
          <w:rPr>
            <w:rStyle w:val="Hyperlink"/>
            <w:rFonts w:ascii="Franklin Gothic Book" w:hAnsi="Franklin Gothic Book"/>
            <w:iCs/>
            <w:sz w:val="16"/>
            <w:szCs w:val="16"/>
          </w:rPr>
          <w:t>https://clinicaltrials.gov/study/NCT02994654</w:t>
        </w:r>
      </w:hyperlink>
      <w:r w:rsidR="004E2B43" w:rsidRPr="008A2A8E">
        <w:rPr>
          <w:rFonts w:ascii="Franklin Gothic Book" w:hAnsi="Franklin Gothic Book"/>
          <w:iCs/>
          <w:sz w:val="16"/>
          <w:szCs w:val="16"/>
        </w:rPr>
        <w:t>.</w:t>
      </w:r>
      <w:r w:rsidR="004E2B43">
        <w:rPr>
          <w:rFonts w:ascii="Franklin Gothic Book" w:hAnsi="Franklin Gothic Book"/>
          <w:iCs/>
          <w:sz w:val="16"/>
          <w:szCs w:val="16"/>
        </w:rPr>
        <w:t xml:space="preserve"> </w:t>
      </w:r>
    </w:p>
  </w:footnote>
  <w:footnote w:id="8">
    <w:p w14:paraId="1C09E787" w14:textId="6F57BD94" w:rsidR="008C18EB" w:rsidRPr="00A42C00" w:rsidRDefault="008C18EB">
      <w:pPr>
        <w:pStyle w:val="FootnoteText"/>
        <w:rPr>
          <w:rStyle w:val="FootnoteReference"/>
          <w:rFonts w:ascii="Franklin Gothic Book" w:hAnsi="Franklin Gothic Book"/>
          <w:sz w:val="16"/>
          <w:szCs w:val="16"/>
          <w:vertAlign w:val="baseline"/>
        </w:rPr>
      </w:pPr>
      <w:r w:rsidRPr="006527C9">
        <w:rPr>
          <w:rStyle w:val="FootnoteReference"/>
          <w:rFonts w:ascii="Franklin Gothic Book" w:hAnsi="Franklin Gothic Book"/>
          <w:sz w:val="16"/>
          <w:szCs w:val="16"/>
        </w:rPr>
        <w:footnoteRef/>
      </w:r>
      <w:r w:rsidRPr="00A42C00">
        <w:rPr>
          <w:rStyle w:val="FootnoteReference"/>
          <w:rFonts w:ascii="Franklin Gothic Book" w:hAnsi="Franklin Gothic Book"/>
          <w:sz w:val="16"/>
          <w:szCs w:val="16"/>
          <w:vertAlign w:val="baseline"/>
        </w:rPr>
        <w:t xml:space="preserve"> Jeschke, MG, van Baar, ME, Choudhry, MA, Chung, KK, Gibran, NS &amp; Logsetty, S 2020, 'Burn injury',</w:t>
      </w:r>
      <w:r w:rsidRPr="00497EB5">
        <w:rPr>
          <w:rStyle w:val="FootnoteReference"/>
          <w:rFonts w:ascii="Franklin Gothic Book" w:hAnsi="Franklin Gothic Book"/>
          <w:i/>
          <w:sz w:val="16"/>
          <w:szCs w:val="16"/>
          <w:vertAlign w:val="baseline"/>
        </w:rPr>
        <w:t xml:space="preserve"> Nat Rev Dis Primers</w:t>
      </w:r>
      <w:r w:rsidRPr="00A42C00">
        <w:rPr>
          <w:rStyle w:val="FootnoteReference"/>
          <w:rFonts w:ascii="Franklin Gothic Book" w:hAnsi="Franklin Gothic Book"/>
          <w:sz w:val="16"/>
          <w:szCs w:val="16"/>
          <w:vertAlign w:val="baseline"/>
        </w:rPr>
        <w:t>, vol. 6, no. 1, p. 11.</w:t>
      </w:r>
    </w:p>
  </w:footnote>
  <w:footnote w:id="9">
    <w:p w14:paraId="5D0F1735" w14:textId="69072D33" w:rsidR="009A3438" w:rsidRPr="00A42C00" w:rsidRDefault="009A3438" w:rsidP="00A42C00">
      <w:pPr>
        <w:rPr>
          <w:rStyle w:val="FootnoteReference"/>
          <w:sz w:val="16"/>
          <w:szCs w:val="16"/>
          <w:vertAlign w:val="baseline"/>
        </w:rPr>
      </w:pPr>
      <w:r w:rsidRPr="006527C9">
        <w:rPr>
          <w:rStyle w:val="FootnoteReference"/>
          <w:sz w:val="16"/>
          <w:szCs w:val="16"/>
        </w:rPr>
        <w:footnoteRef/>
      </w:r>
      <w:r w:rsidRPr="00A42C00">
        <w:rPr>
          <w:rStyle w:val="FootnoteReference"/>
          <w:sz w:val="16"/>
          <w:szCs w:val="16"/>
          <w:vertAlign w:val="baseline"/>
        </w:rPr>
        <w:t xml:space="preserve"> </w:t>
      </w:r>
      <w:r w:rsidR="0044230C" w:rsidRPr="00A42C00">
        <w:rPr>
          <w:rStyle w:val="FootnoteReference"/>
          <w:sz w:val="16"/>
          <w:szCs w:val="16"/>
          <w:vertAlign w:val="baseline"/>
        </w:rPr>
        <w:t xml:space="preserve">Nielson, CB, Duethman, NC, Howard, JM, Moncure, M &amp; Wood, JG 2017, 'Burns: Pathophysiology of Systemic Complications and Current Management', </w:t>
      </w:r>
      <w:r w:rsidR="0044230C" w:rsidRPr="00497EB5">
        <w:rPr>
          <w:rStyle w:val="FootnoteReference"/>
          <w:i/>
          <w:sz w:val="16"/>
          <w:szCs w:val="16"/>
          <w:vertAlign w:val="baseline"/>
        </w:rPr>
        <w:t>J Burn Care Res</w:t>
      </w:r>
      <w:r w:rsidR="0044230C" w:rsidRPr="00A42C00">
        <w:rPr>
          <w:rStyle w:val="FootnoteReference"/>
          <w:sz w:val="16"/>
          <w:szCs w:val="16"/>
          <w:vertAlign w:val="baseline"/>
        </w:rPr>
        <w:t>, vol. 38, no. 1, pp. e469-e81.</w:t>
      </w:r>
    </w:p>
  </w:footnote>
  <w:footnote w:id="10">
    <w:p w14:paraId="26FA450A" w14:textId="1F32DBCB" w:rsidR="009A3438" w:rsidRPr="006527C9" w:rsidRDefault="009A3438" w:rsidP="009A3438">
      <w:pPr>
        <w:pStyle w:val="FootnoteText"/>
        <w:rPr>
          <w:rStyle w:val="FootnoteReference"/>
          <w:vertAlign w:val="baseline"/>
          <w:lang w:val="en-US"/>
        </w:rPr>
      </w:pPr>
      <w:r w:rsidRPr="006527C9">
        <w:rPr>
          <w:rStyle w:val="FootnoteReference"/>
          <w:rFonts w:ascii="Franklin Gothic Book" w:hAnsi="Franklin Gothic Book"/>
          <w:sz w:val="16"/>
          <w:szCs w:val="16"/>
        </w:rPr>
        <w:footnoteRef/>
      </w:r>
      <w:r w:rsidRPr="00A42C00">
        <w:rPr>
          <w:rStyle w:val="FootnoteReference"/>
          <w:rFonts w:ascii="Franklin Gothic Book" w:hAnsi="Franklin Gothic Book"/>
          <w:sz w:val="16"/>
          <w:szCs w:val="16"/>
          <w:vertAlign w:val="baseline"/>
        </w:rPr>
        <w:t xml:space="preserve"> </w:t>
      </w:r>
      <w:r w:rsidR="003A7BD4">
        <w:rPr>
          <w:rStyle w:val="FootnoteReference"/>
          <w:rFonts w:ascii="Franklin Gothic Book" w:hAnsi="Franklin Gothic Book"/>
          <w:sz w:val="16"/>
          <w:szCs w:val="16"/>
          <w:vertAlign w:val="baseline"/>
        </w:rPr>
        <w:t>S</w:t>
      </w:r>
      <w:r w:rsidR="003A7BD4">
        <w:rPr>
          <w:rFonts w:ascii="Franklin Gothic Book" w:hAnsi="Franklin Gothic Book"/>
          <w:sz w:val="16"/>
          <w:szCs w:val="16"/>
        </w:rPr>
        <w:t>ervices Australia</w:t>
      </w:r>
      <w:r w:rsidR="00534F42" w:rsidRPr="00A42C00">
        <w:rPr>
          <w:rStyle w:val="FootnoteReference"/>
          <w:rFonts w:ascii="Franklin Gothic Book" w:hAnsi="Franklin Gothic Book"/>
          <w:sz w:val="16"/>
          <w:szCs w:val="16"/>
          <w:vertAlign w:val="baseline"/>
        </w:rPr>
        <w:t xml:space="preserve"> 2025, </w:t>
      </w:r>
      <w:r w:rsidR="00534F42" w:rsidRPr="00497EB5">
        <w:rPr>
          <w:rStyle w:val="FootnoteReference"/>
          <w:rFonts w:ascii="Franklin Gothic Book" w:hAnsi="Franklin Gothic Book"/>
          <w:i/>
          <w:sz w:val="16"/>
          <w:szCs w:val="16"/>
          <w:vertAlign w:val="baseline"/>
        </w:rPr>
        <w:t xml:space="preserve">Medicare </w:t>
      </w:r>
      <w:r w:rsidR="003A7BD4">
        <w:rPr>
          <w:rFonts w:ascii="Franklin Gothic Book" w:hAnsi="Franklin Gothic Book"/>
          <w:i/>
          <w:sz w:val="16"/>
          <w:szCs w:val="16"/>
        </w:rPr>
        <w:t>I</w:t>
      </w:r>
      <w:r w:rsidR="00534F42" w:rsidRPr="00497EB5">
        <w:rPr>
          <w:rStyle w:val="FootnoteReference"/>
          <w:rFonts w:ascii="Franklin Gothic Book" w:hAnsi="Franklin Gothic Book"/>
          <w:i/>
          <w:sz w:val="16"/>
          <w:szCs w:val="16"/>
          <w:vertAlign w:val="baseline"/>
        </w:rPr>
        <w:t xml:space="preserve">tem </w:t>
      </w:r>
      <w:r w:rsidR="003A7BD4">
        <w:rPr>
          <w:rFonts w:ascii="Franklin Gothic Book" w:hAnsi="Franklin Gothic Book"/>
          <w:i/>
          <w:sz w:val="16"/>
          <w:szCs w:val="16"/>
        </w:rPr>
        <w:t>R</w:t>
      </w:r>
      <w:r w:rsidR="00534F42" w:rsidRPr="00497EB5">
        <w:rPr>
          <w:rStyle w:val="FootnoteReference"/>
          <w:rFonts w:ascii="Franklin Gothic Book" w:hAnsi="Franklin Gothic Book"/>
          <w:i/>
          <w:sz w:val="16"/>
          <w:szCs w:val="16"/>
          <w:vertAlign w:val="baseline"/>
        </w:rPr>
        <w:t>eports</w:t>
      </w:r>
      <w:r w:rsidR="00534F42" w:rsidRPr="00A42C00">
        <w:rPr>
          <w:rStyle w:val="FootnoteReference"/>
          <w:rFonts w:ascii="Franklin Gothic Book" w:hAnsi="Franklin Gothic Book"/>
          <w:sz w:val="16"/>
          <w:szCs w:val="16"/>
          <w:vertAlign w:val="baseline"/>
        </w:rPr>
        <w:t xml:space="preserve">, viewed 13 March 2025, </w:t>
      </w:r>
      <w:hyperlink r:id="rId4" w:history="1">
        <w:r w:rsidR="003A7BD4" w:rsidRPr="00986C59">
          <w:rPr>
            <w:rStyle w:val="Hyperlink"/>
            <w:rFonts w:ascii="Franklin Gothic Book" w:hAnsi="Franklin Gothic Book"/>
            <w:sz w:val="16"/>
            <w:szCs w:val="16"/>
          </w:rPr>
          <w:t>https://medicarestatistics.humanservices.gov.au/statistics/mbs_item.html</w:t>
        </w:r>
      </w:hyperlink>
      <w:r w:rsidR="003A7BD4" w:rsidRPr="00986C59">
        <w:rPr>
          <w:rFonts w:ascii="Franklin Gothic Book" w:hAnsi="Franklin Gothic Book"/>
          <w:sz w:val="16"/>
          <w:szCs w:val="16"/>
        </w:rPr>
        <w:t>.</w:t>
      </w:r>
      <w:r w:rsidR="003A7BD4">
        <w:rPr>
          <w:rFonts w:ascii="Franklin Gothic Book" w:hAnsi="Franklin Gothic Book"/>
          <w:sz w:val="16"/>
          <w:szCs w:val="16"/>
          <w:lang w:val="fr-CH"/>
        </w:rPr>
        <w:t xml:space="preserve"> </w:t>
      </w:r>
    </w:p>
  </w:footnote>
  <w:footnote w:id="11">
    <w:p w14:paraId="6A3762FA" w14:textId="34C55432" w:rsidR="009A3438" w:rsidRPr="00AF1A19" w:rsidRDefault="009A3438" w:rsidP="009A3438">
      <w:pPr>
        <w:pStyle w:val="FootnoteText"/>
        <w:rPr>
          <w:rStyle w:val="FootnoteReference"/>
          <w:rFonts w:ascii="Franklin Gothic Book" w:hAnsi="Franklin Gothic Book"/>
          <w:sz w:val="16"/>
          <w:szCs w:val="16"/>
          <w:vertAlign w:val="baseline"/>
        </w:rPr>
      </w:pPr>
      <w:r w:rsidRPr="006527C9">
        <w:rPr>
          <w:rStyle w:val="FootnoteReference"/>
          <w:rFonts w:ascii="Franklin Gothic Book" w:hAnsi="Franklin Gothic Book"/>
          <w:sz w:val="16"/>
          <w:szCs w:val="16"/>
        </w:rPr>
        <w:footnoteRef/>
      </w:r>
      <w:r w:rsidRPr="00A42C00">
        <w:rPr>
          <w:rStyle w:val="FootnoteReference"/>
          <w:rFonts w:ascii="Franklin Gothic Book" w:hAnsi="Franklin Gothic Book"/>
          <w:sz w:val="16"/>
          <w:szCs w:val="16"/>
          <w:vertAlign w:val="baseline"/>
        </w:rPr>
        <w:t xml:space="preserve"> </w:t>
      </w:r>
      <w:r w:rsidR="00520FA3" w:rsidRPr="00A42C00">
        <w:rPr>
          <w:rStyle w:val="FootnoteReference"/>
          <w:rFonts w:ascii="Franklin Gothic Book" w:hAnsi="Franklin Gothic Book"/>
          <w:sz w:val="16"/>
          <w:szCs w:val="16"/>
          <w:vertAlign w:val="baseline"/>
        </w:rPr>
        <w:t xml:space="preserve">Moore, EC, Pilcher, D, Bailey, M &amp; Cleland, H 2014, 'Women are more than twice as likely to die from burns as men in Australia and New Zealand: an unexpected finding of the Burns Evaluation And Mortality (BEAM) Study', </w:t>
      </w:r>
      <w:r w:rsidR="00520FA3" w:rsidRPr="00497EB5">
        <w:rPr>
          <w:rStyle w:val="FootnoteReference"/>
          <w:rFonts w:ascii="Franklin Gothic Book" w:hAnsi="Franklin Gothic Book"/>
          <w:i/>
          <w:sz w:val="16"/>
          <w:szCs w:val="16"/>
          <w:vertAlign w:val="baseline"/>
        </w:rPr>
        <w:t>J Crit Care</w:t>
      </w:r>
      <w:r w:rsidR="00520FA3" w:rsidRPr="00A42C00">
        <w:rPr>
          <w:rStyle w:val="FootnoteReference"/>
          <w:rFonts w:ascii="Franklin Gothic Book" w:hAnsi="Franklin Gothic Book"/>
          <w:sz w:val="16"/>
          <w:szCs w:val="16"/>
          <w:vertAlign w:val="baseline"/>
        </w:rPr>
        <w:t>, vol. 29, no. 4, pp. 594-8.</w:t>
      </w:r>
      <w:r w:rsidRPr="00AF1A19">
        <w:rPr>
          <w:rStyle w:val="FootnoteReference"/>
          <w:rFonts w:ascii="Franklin Gothic Book" w:hAnsi="Franklin Gothic Book"/>
          <w:sz w:val="16"/>
          <w:szCs w:val="16"/>
          <w:vertAlign w:val="baseline"/>
        </w:rPr>
        <w:t>.</w:t>
      </w:r>
    </w:p>
  </w:footnote>
  <w:footnote w:id="12">
    <w:p w14:paraId="69DD028F" w14:textId="44120192" w:rsidR="009A3438" w:rsidRPr="006F5875" w:rsidRDefault="009A3438" w:rsidP="009A3438">
      <w:pPr>
        <w:pStyle w:val="FootnoteText"/>
      </w:pPr>
      <w:r w:rsidRPr="006527C9">
        <w:rPr>
          <w:rStyle w:val="FootnoteReference"/>
          <w:rFonts w:ascii="Franklin Gothic Book" w:hAnsi="Franklin Gothic Book"/>
          <w:sz w:val="16"/>
          <w:szCs w:val="16"/>
        </w:rPr>
        <w:footnoteRef/>
      </w:r>
      <w:r w:rsidR="008F178A" w:rsidRPr="00A42C00">
        <w:rPr>
          <w:rStyle w:val="FootnoteReference"/>
          <w:rFonts w:ascii="Franklin Gothic Book" w:hAnsi="Franklin Gothic Book"/>
          <w:sz w:val="16"/>
          <w:szCs w:val="16"/>
          <w:vertAlign w:val="baseline"/>
        </w:rPr>
        <w:t xml:space="preserve"> Carter, JE, Amani, H, Carter, D, Foster, KN, Griswold, JA, Hickerson, WL, Holmes, JH, Jones, S, Khandelwal, A, Kopari, N, Litt, JS, Savetamal, A, Shupp, JW, Sood, R, Ferrufino, CP, Vadagam, P, Kowal, S, Walsh, T &amp; Sparks, J 2022, 'Evaluating Real-World National and Regional Trends in Definitive Closure in U.S. Burn Care: A Survey of U.S. Burn Centers', </w:t>
      </w:r>
      <w:r w:rsidR="008F178A" w:rsidRPr="00497EB5">
        <w:rPr>
          <w:rStyle w:val="FootnoteReference"/>
          <w:rFonts w:ascii="Franklin Gothic Book" w:hAnsi="Franklin Gothic Book"/>
          <w:i/>
          <w:sz w:val="16"/>
          <w:szCs w:val="16"/>
          <w:vertAlign w:val="baseline"/>
        </w:rPr>
        <w:t>J Burn Care Res</w:t>
      </w:r>
      <w:r w:rsidR="008F178A" w:rsidRPr="00A42C00">
        <w:rPr>
          <w:rStyle w:val="FootnoteReference"/>
          <w:rFonts w:ascii="Franklin Gothic Book" w:hAnsi="Franklin Gothic Book"/>
          <w:sz w:val="16"/>
          <w:szCs w:val="16"/>
          <w:vertAlign w:val="baseline"/>
        </w:rPr>
        <w:t>, vol. 43, no. 1, pp. 141-8.</w:t>
      </w:r>
    </w:p>
  </w:footnote>
  <w:footnote w:id="13">
    <w:p w14:paraId="0D38FFBD" w14:textId="77777777" w:rsidR="00822AA8" w:rsidRPr="006527C9" w:rsidRDefault="00822AA8" w:rsidP="00822AA8">
      <w:pPr>
        <w:pStyle w:val="FootnoteText"/>
        <w:rPr>
          <w:rFonts w:ascii="Franklin Gothic Book" w:hAnsi="Franklin Gothic Book"/>
          <w:sz w:val="16"/>
          <w:szCs w:val="16"/>
          <w:lang w:val="en-US"/>
        </w:rPr>
      </w:pPr>
      <w:r w:rsidRPr="009A3E18">
        <w:rPr>
          <w:rFonts w:ascii="Franklin Gothic Book" w:hAnsi="Franklin Gothic Book"/>
          <w:sz w:val="16"/>
          <w:szCs w:val="16"/>
          <w:vertAlign w:val="superscript"/>
          <w:lang w:val="en-US"/>
        </w:rPr>
        <w:footnoteRef/>
      </w:r>
      <w:r w:rsidRPr="006527C9">
        <w:rPr>
          <w:rFonts w:ascii="Franklin Gothic Book" w:hAnsi="Franklin Gothic Book"/>
          <w:sz w:val="16"/>
          <w:szCs w:val="16"/>
          <w:lang w:val="en-US"/>
        </w:rPr>
        <w:t xml:space="preserve"> Carter, JE, Carson, JS, Hickerson, WL, Rae, L, Saquib, SF, Wibbenmeyer, LA, Becker, RV, Walsh, TP &amp; Sparks, JA 2022, 'Length of Stay and Costs with Autologous Skin Cell Suspension Versus Split-Thickness Skin Grafts: Burn Care Data from US Centers', </w:t>
      </w:r>
      <w:r w:rsidRPr="006527C9">
        <w:rPr>
          <w:rFonts w:ascii="Franklin Gothic Book" w:hAnsi="Franklin Gothic Book"/>
          <w:i/>
          <w:iCs/>
          <w:sz w:val="16"/>
          <w:szCs w:val="16"/>
          <w:lang w:val="en-US"/>
        </w:rPr>
        <w:t>Adv Ther</w:t>
      </w:r>
      <w:r w:rsidRPr="006527C9">
        <w:rPr>
          <w:rFonts w:ascii="Franklin Gothic Book" w:hAnsi="Franklin Gothic Book"/>
          <w:sz w:val="16"/>
          <w:szCs w:val="16"/>
          <w:lang w:val="en-US"/>
        </w:rPr>
        <w:t>, vol. 39, no. 11, pp. 5191-202.</w:t>
      </w:r>
    </w:p>
  </w:footnote>
  <w:footnote w:id="14">
    <w:p w14:paraId="5E943FA3" w14:textId="0B1761F2" w:rsidR="00D64D7A" w:rsidRDefault="00D64D7A">
      <w:pPr>
        <w:pStyle w:val="FootnoteText"/>
      </w:pPr>
      <w:r w:rsidRPr="009A3E18">
        <w:rPr>
          <w:rFonts w:ascii="Franklin Gothic Book" w:hAnsi="Franklin Gothic Book"/>
          <w:sz w:val="16"/>
          <w:szCs w:val="16"/>
          <w:vertAlign w:val="superscript"/>
          <w:lang w:val="en-US"/>
        </w:rPr>
        <w:footnoteRef/>
      </w:r>
      <w:r w:rsidRPr="009A3E18">
        <w:rPr>
          <w:rFonts w:ascii="Franklin Gothic Book" w:hAnsi="Franklin Gothic Book"/>
          <w:sz w:val="16"/>
          <w:szCs w:val="16"/>
          <w:vertAlign w:val="superscript"/>
          <w:lang w:val="en-US"/>
        </w:rPr>
        <w:t xml:space="preserve"> </w:t>
      </w:r>
      <w:r w:rsidR="00723C22" w:rsidRPr="006527C9">
        <w:rPr>
          <w:rFonts w:ascii="Franklin Gothic Book" w:hAnsi="Franklin Gothic Book"/>
          <w:sz w:val="16"/>
          <w:szCs w:val="16"/>
          <w:lang w:val="en-US"/>
        </w:rPr>
        <w:t xml:space="preserve">Kowal, S, Kruger, E, Bilir, P, Holmes, JH, Hickerson, W, Foster, K, Nystrom, S, Sparks, J, Iyer, N, Bush, K &amp; Quick, A 2019, 'Cost-Effectiveness of the Use of Autologous Cell Harvesting Device Compared to Standard of Care for Treatment of Severe Burns in the United States', </w:t>
      </w:r>
      <w:r w:rsidR="00723C22" w:rsidRPr="006527C9">
        <w:rPr>
          <w:rFonts w:ascii="Franklin Gothic Book" w:hAnsi="Franklin Gothic Book"/>
          <w:i/>
          <w:iCs/>
          <w:sz w:val="16"/>
          <w:szCs w:val="16"/>
          <w:lang w:val="en-US"/>
        </w:rPr>
        <w:t>Adv Ther</w:t>
      </w:r>
      <w:r w:rsidR="00723C22" w:rsidRPr="006527C9">
        <w:rPr>
          <w:rFonts w:ascii="Franklin Gothic Book" w:hAnsi="Franklin Gothic Book"/>
          <w:sz w:val="16"/>
          <w:szCs w:val="16"/>
          <w:lang w:val="en-US"/>
        </w:rPr>
        <w:t>, vol. 36, no. 7, pp. 1715-29.</w:t>
      </w:r>
    </w:p>
  </w:footnote>
  <w:footnote w:id="15">
    <w:p w14:paraId="1B0D492A" w14:textId="533B4BC1" w:rsidR="002E5A85" w:rsidRPr="006527C9" w:rsidRDefault="002E5A85" w:rsidP="003D58E9">
      <w:pPr>
        <w:pStyle w:val="FootnoteText"/>
        <w:rPr>
          <w:rFonts w:ascii="Franklin Gothic Book" w:hAnsi="Franklin Gothic Book"/>
          <w:sz w:val="16"/>
          <w:szCs w:val="16"/>
        </w:rPr>
      </w:pPr>
      <w:r w:rsidRPr="009A3E18">
        <w:rPr>
          <w:rFonts w:ascii="Franklin Gothic Book" w:hAnsi="Franklin Gothic Book"/>
          <w:sz w:val="16"/>
          <w:szCs w:val="16"/>
          <w:vertAlign w:val="superscript"/>
        </w:rPr>
        <w:footnoteRef/>
      </w:r>
      <w:r w:rsidR="009A3E18">
        <w:rPr>
          <w:rFonts w:ascii="Franklin Gothic Book" w:hAnsi="Franklin Gothic Book"/>
          <w:sz w:val="16"/>
          <w:szCs w:val="16"/>
          <w:vertAlign w:val="superscript"/>
        </w:rPr>
        <w:t xml:space="preserve"> </w:t>
      </w:r>
      <w:r w:rsidR="00914F5F" w:rsidRPr="006527C9">
        <w:rPr>
          <w:rFonts w:ascii="Franklin Gothic Book" w:hAnsi="Franklin Gothic Book"/>
          <w:sz w:val="16"/>
          <w:szCs w:val="16"/>
        </w:rPr>
        <w:t xml:space="preserve">Toppi, J, Cleland, H &amp; Gabbe, B 2019, 'Severe burns in Australian and New Zealand adults: Epidemiology and burn centre care', </w:t>
      </w:r>
      <w:r w:rsidR="00914F5F" w:rsidRPr="006527C9">
        <w:rPr>
          <w:rFonts w:ascii="Franklin Gothic Book" w:hAnsi="Franklin Gothic Book"/>
          <w:i/>
          <w:iCs/>
          <w:sz w:val="16"/>
          <w:szCs w:val="16"/>
        </w:rPr>
        <w:t>Burns</w:t>
      </w:r>
      <w:r w:rsidR="00914F5F" w:rsidRPr="006527C9">
        <w:rPr>
          <w:rFonts w:ascii="Franklin Gothic Book" w:hAnsi="Franklin Gothic Book"/>
          <w:sz w:val="16"/>
          <w:szCs w:val="16"/>
        </w:rPr>
        <w:t>, vol. 45, no. 6, pp. 1456-61.</w:t>
      </w:r>
    </w:p>
  </w:footnote>
  <w:footnote w:id="16">
    <w:p w14:paraId="370B018D" w14:textId="4FF69261" w:rsidR="00E525A1" w:rsidRPr="006527C9" w:rsidRDefault="00E525A1" w:rsidP="00E525A1">
      <w:pPr>
        <w:pStyle w:val="FootnoteText"/>
      </w:pPr>
      <w:r w:rsidRPr="009A3E18">
        <w:rPr>
          <w:rFonts w:ascii="Franklin Gothic Book" w:hAnsi="Franklin Gothic Book"/>
          <w:sz w:val="16"/>
          <w:szCs w:val="16"/>
          <w:vertAlign w:val="superscript"/>
        </w:rPr>
        <w:footnoteRef/>
      </w:r>
      <w:r w:rsidRPr="009A3E18">
        <w:rPr>
          <w:rFonts w:ascii="Franklin Gothic Book" w:hAnsi="Franklin Gothic Book"/>
          <w:sz w:val="16"/>
          <w:szCs w:val="16"/>
          <w:vertAlign w:val="superscript"/>
        </w:rPr>
        <w:t xml:space="preserve"> </w:t>
      </w:r>
      <w:r w:rsidR="00E422BF" w:rsidRPr="00E422BF">
        <w:rPr>
          <w:rFonts w:ascii="Franklin Gothic Book" w:hAnsi="Franklin Gothic Book"/>
          <w:sz w:val="16"/>
          <w:szCs w:val="16"/>
        </w:rPr>
        <w:t xml:space="preserve">Harrison, J &amp; Steel, D 2006, 'Burns and scalds', </w:t>
      </w:r>
      <w:r w:rsidR="00E422BF" w:rsidRPr="006527C9">
        <w:rPr>
          <w:rFonts w:ascii="Franklin Gothic Book" w:hAnsi="Franklin Gothic Book"/>
          <w:i/>
          <w:iCs/>
          <w:sz w:val="16"/>
          <w:szCs w:val="16"/>
        </w:rPr>
        <w:t>NISU Briefing</w:t>
      </w:r>
      <w:r w:rsidR="00E422BF" w:rsidRPr="00E422BF">
        <w:rPr>
          <w:rFonts w:ascii="Franklin Gothic Book" w:hAnsi="Franklin Gothic Book"/>
          <w:sz w:val="16"/>
          <w:szCs w:val="16"/>
        </w:rPr>
        <w:t>, vol. 7, pp. 15pp.</w:t>
      </w:r>
    </w:p>
  </w:footnote>
  <w:footnote w:id="17">
    <w:p w14:paraId="1217A88E" w14:textId="4F070A8D" w:rsidR="00FA33F3" w:rsidRPr="004626B2" w:rsidRDefault="00FA33F3">
      <w:pPr>
        <w:pStyle w:val="FootnoteText"/>
        <w:rPr>
          <w:rFonts w:ascii="Franklin Gothic Book" w:hAnsi="Franklin Gothic Book"/>
          <w:sz w:val="16"/>
          <w:szCs w:val="16"/>
          <w:lang w:val="en-US"/>
        </w:rPr>
      </w:pPr>
      <w:r w:rsidRPr="00487E4A">
        <w:rPr>
          <w:rFonts w:ascii="Franklin Gothic Book" w:hAnsi="Franklin Gothic Book"/>
          <w:sz w:val="16"/>
          <w:szCs w:val="16"/>
          <w:vertAlign w:val="superscript"/>
        </w:rPr>
        <w:footnoteRef/>
      </w:r>
      <w:r w:rsidRPr="006527C9">
        <w:rPr>
          <w:rFonts w:ascii="Franklin Gothic Book" w:hAnsi="Franklin Gothic Book"/>
          <w:sz w:val="16"/>
          <w:szCs w:val="16"/>
        </w:rPr>
        <w:t xml:space="preserve"> </w:t>
      </w:r>
      <w:r w:rsidR="00B53673" w:rsidRPr="006527C9">
        <w:rPr>
          <w:rFonts w:ascii="Franklin Gothic Book" w:hAnsi="Franklin Gothic Book"/>
          <w:sz w:val="16"/>
          <w:szCs w:val="16"/>
        </w:rPr>
        <w:t xml:space="preserve">Foster, K, Amani, A, Carter, D, Carter, J, Griswold, J, Hickerson, B, Holmes, J, Jones, S, Khandelwal, A, Kopari, N, Litt, J, Savetamal, A, Shupp, J, Sood, R, Vadagam, P, Kowal, S, Walsh, T, Sparks, J &amp; Ferrufino, C 2021, 'Evaluating Health Economic Outcomes of Autologous Skin Cell Suspension (ASCS) For Definitive Closure in US Burn Care Using Contemporary Real-World Burn Center Data', </w:t>
      </w:r>
      <w:r w:rsidR="00707A38">
        <w:rPr>
          <w:rFonts w:ascii="Franklin Gothic Book" w:hAnsi="Franklin Gothic Book"/>
          <w:i/>
          <w:iCs/>
          <w:sz w:val="16"/>
          <w:szCs w:val="16"/>
        </w:rPr>
        <w:t>J</w:t>
      </w:r>
      <w:r w:rsidR="00B53673" w:rsidRPr="006527C9">
        <w:rPr>
          <w:rFonts w:ascii="Franklin Gothic Book" w:hAnsi="Franklin Gothic Book"/>
          <w:i/>
          <w:iCs/>
          <w:sz w:val="16"/>
          <w:szCs w:val="16"/>
        </w:rPr>
        <w:t xml:space="preserve"> Current Med Res Opinion</w:t>
      </w:r>
      <w:r w:rsidR="00B53673" w:rsidRPr="006527C9">
        <w:rPr>
          <w:rFonts w:ascii="Franklin Gothic Book" w:hAnsi="Franklin Gothic Book"/>
          <w:sz w:val="16"/>
          <w:szCs w:val="16"/>
        </w:rPr>
        <w:t>, vol. 4, no. 11, pp. 1042-54.</w:t>
      </w:r>
    </w:p>
  </w:footnote>
  <w:footnote w:id="18">
    <w:p w14:paraId="7C52BBB0" w14:textId="4A72A6D0" w:rsidR="001965E7" w:rsidRPr="006527C9" w:rsidRDefault="001965E7">
      <w:pPr>
        <w:pStyle w:val="FootnoteText"/>
        <w:rPr>
          <w:rFonts w:ascii="Franklin Gothic Book" w:hAnsi="Franklin Gothic Book"/>
          <w:sz w:val="16"/>
          <w:szCs w:val="16"/>
        </w:rPr>
      </w:pPr>
      <w:r w:rsidRPr="009A3E18">
        <w:rPr>
          <w:rFonts w:ascii="Franklin Gothic Book" w:hAnsi="Franklin Gothic Book"/>
          <w:sz w:val="16"/>
          <w:szCs w:val="16"/>
          <w:vertAlign w:val="superscript"/>
        </w:rPr>
        <w:footnoteRef/>
      </w:r>
      <w:r w:rsidRPr="009A3E18">
        <w:rPr>
          <w:rFonts w:ascii="Franklin Gothic Book" w:hAnsi="Franklin Gothic Book"/>
          <w:sz w:val="16"/>
          <w:szCs w:val="16"/>
          <w:vertAlign w:val="superscript"/>
        </w:rPr>
        <w:t xml:space="preserve"> </w:t>
      </w:r>
      <w:r w:rsidR="002330BA" w:rsidRPr="006527C9">
        <w:rPr>
          <w:rFonts w:ascii="Franklin Gothic Book" w:hAnsi="Franklin Gothic Book"/>
          <w:sz w:val="16"/>
          <w:szCs w:val="16"/>
        </w:rPr>
        <w:t>NSW</w:t>
      </w:r>
      <w:r w:rsidR="007E4E94" w:rsidRPr="006527C9">
        <w:rPr>
          <w:rFonts w:ascii="Franklin Gothic Book" w:hAnsi="Franklin Gothic Book"/>
          <w:sz w:val="16"/>
          <w:szCs w:val="16"/>
        </w:rPr>
        <w:t xml:space="preserve"> Health</w:t>
      </w:r>
      <w:r w:rsidR="00A6106A" w:rsidRPr="006527C9">
        <w:rPr>
          <w:rFonts w:ascii="Franklin Gothic Book" w:hAnsi="Franklin Gothic Book"/>
          <w:sz w:val="16"/>
          <w:szCs w:val="16"/>
        </w:rPr>
        <w:t xml:space="preserve">, </w:t>
      </w:r>
      <w:r w:rsidR="000A6480" w:rsidRPr="006527C9">
        <w:rPr>
          <w:rFonts w:ascii="Franklin Gothic Book" w:hAnsi="Franklin Gothic Book"/>
          <w:sz w:val="16"/>
          <w:szCs w:val="16"/>
        </w:rPr>
        <w:t xml:space="preserve">2024, </w:t>
      </w:r>
      <w:r w:rsidR="00D3243E" w:rsidRPr="006527C9">
        <w:rPr>
          <w:rFonts w:ascii="Franklin Gothic Book" w:hAnsi="Franklin Gothic Book"/>
          <w:i/>
          <w:iCs/>
          <w:sz w:val="16"/>
          <w:szCs w:val="16"/>
        </w:rPr>
        <w:t>Health insurers rorting public hospital beds</w:t>
      </w:r>
      <w:r w:rsidR="00903424" w:rsidRPr="006527C9">
        <w:rPr>
          <w:rFonts w:ascii="Franklin Gothic Book" w:hAnsi="Franklin Gothic Book"/>
          <w:i/>
          <w:iCs/>
          <w:sz w:val="16"/>
          <w:szCs w:val="16"/>
        </w:rPr>
        <w:t xml:space="preserve"> [Online]</w:t>
      </w:r>
      <w:r w:rsidR="00903424" w:rsidRPr="006527C9">
        <w:rPr>
          <w:rFonts w:ascii="Franklin Gothic Book" w:hAnsi="Franklin Gothic Book"/>
          <w:sz w:val="16"/>
          <w:szCs w:val="16"/>
        </w:rPr>
        <w:t>. NSW Government</w:t>
      </w:r>
      <w:r w:rsidR="00AE5409" w:rsidRPr="006527C9">
        <w:rPr>
          <w:rFonts w:ascii="Franklin Gothic Book" w:hAnsi="Franklin Gothic Book"/>
          <w:sz w:val="16"/>
          <w:szCs w:val="16"/>
        </w:rPr>
        <w:t xml:space="preserve">, viewed 7 May 2025, </w:t>
      </w:r>
      <w:hyperlink r:id="rId5" w:history="1">
        <w:r w:rsidR="00C42E97" w:rsidRPr="006527C9">
          <w:rPr>
            <w:rStyle w:val="Hyperlink"/>
            <w:rFonts w:ascii="Franklin Gothic Book" w:hAnsi="Franklin Gothic Book"/>
            <w:sz w:val="16"/>
            <w:szCs w:val="16"/>
          </w:rPr>
          <w:t>https://www.nsw.gov.au/media-releases/health-insurers-rorting-public-hospital-beds</w:t>
        </w:r>
      </w:hyperlink>
      <w:r w:rsidR="00C42E97" w:rsidRPr="006527C9">
        <w:rPr>
          <w:rFonts w:ascii="Franklin Gothic Book" w:hAnsi="Franklin Gothic Book"/>
          <w:sz w:val="16"/>
          <w:szCs w:val="16"/>
        </w:rPr>
        <w:t>.</w:t>
      </w:r>
      <w:r w:rsidR="00E8471F" w:rsidRPr="006527C9">
        <w:rPr>
          <w:rFonts w:ascii="Franklin Gothic Book" w:hAnsi="Franklin Gothic Book"/>
          <w:sz w:val="16"/>
          <w:szCs w:val="16"/>
        </w:rPr>
        <w:t xml:space="preserve"> </w:t>
      </w:r>
    </w:p>
  </w:footnote>
  <w:footnote w:id="19">
    <w:p w14:paraId="707E906D" w14:textId="7991D9C0" w:rsidR="00E1631B" w:rsidRPr="00DA244D" w:rsidRDefault="00E1631B">
      <w:pPr>
        <w:pStyle w:val="FootnoteText"/>
        <w:rPr>
          <w:lang w:val="en-US"/>
        </w:rPr>
      </w:pPr>
      <w:r w:rsidRPr="009A3E18">
        <w:rPr>
          <w:rFonts w:ascii="Franklin Gothic Book" w:hAnsi="Franklin Gothic Book"/>
          <w:sz w:val="16"/>
          <w:szCs w:val="16"/>
          <w:vertAlign w:val="superscript"/>
        </w:rPr>
        <w:footnoteRef/>
      </w:r>
      <w:r w:rsidRPr="006527C9">
        <w:rPr>
          <w:rFonts w:ascii="Franklin Gothic Book" w:hAnsi="Franklin Gothic Book"/>
          <w:sz w:val="16"/>
          <w:szCs w:val="16"/>
        </w:rPr>
        <w:t xml:space="preserve"> </w:t>
      </w:r>
      <w:r w:rsidR="00D576A2" w:rsidRPr="006527C9">
        <w:rPr>
          <w:rFonts w:ascii="Franklin Gothic Book" w:hAnsi="Franklin Gothic Book"/>
          <w:sz w:val="16"/>
          <w:szCs w:val="16"/>
        </w:rPr>
        <w:t>Elkady, D</w:t>
      </w:r>
      <w:r w:rsidR="00A359AC" w:rsidRPr="006527C9">
        <w:rPr>
          <w:rFonts w:ascii="Franklin Gothic Book" w:hAnsi="Franklin Gothic Book"/>
          <w:sz w:val="16"/>
          <w:szCs w:val="16"/>
        </w:rPr>
        <w:t>,</w:t>
      </w:r>
      <w:r w:rsidR="00D576A2" w:rsidRPr="006527C9">
        <w:rPr>
          <w:rFonts w:ascii="Franklin Gothic Book" w:hAnsi="Franklin Gothic Book"/>
          <w:sz w:val="16"/>
          <w:szCs w:val="16"/>
        </w:rPr>
        <w:t xml:space="preserve"> Larson, </w:t>
      </w:r>
      <w:r w:rsidR="00A359AC" w:rsidRPr="006527C9">
        <w:rPr>
          <w:rFonts w:ascii="Franklin Gothic Book" w:hAnsi="Franklin Gothic Book"/>
          <w:sz w:val="16"/>
          <w:szCs w:val="16"/>
        </w:rPr>
        <w:t>BM,</w:t>
      </w:r>
      <w:r w:rsidR="00D576A2" w:rsidRPr="006527C9">
        <w:rPr>
          <w:rFonts w:ascii="Franklin Gothic Book" w:hAnsi="Franklin Gothic Book"/>
          <w:sz w:val="16"/>
          <w:szCs w:val="16"/>
        </w:rPr>
        <w:t xml:space="preserve"> Sharma, S</w:t>
      </w:r>
      <w:r w:rsidR="00A359AC" w:rsidRPr="006527C9">
        <w:rPr>
          <w:rFonts w:ascii="Franklin Gothic Book" w:hAnsi="Franklin Gothic Book"/>
          <w:sz w:val="16"/>
          <w:szCs w:val="16"/>
        </w:rPr>
        <w:t>,</w:t>
      </w:r>
      <w:r w:rsidR="00D576A2" w:rsidRPr="006527C9">
        <w:rPr>
          <w:rFonts w:ascii="Franklin Gothic Book" w:hAnsi="Franklin Gothic Book"/>
          <w:sz w:val="16"/>
          <w:szCs w:val="16"/>
        </w:rPr>
        <w:t xml:space="preserve"> McNinch, </w:t>
      </w:r>
      <w:r w:rsidR="00A359AC" w:rsidRPr="006527C9">
        <w:rPr>
          <w:rFonts w:ascii="Franklin Gothic Book" w:hAnsi="Franklin Gothic Book"/>
          <w:sz w:val="16"/>
          <w:szCs w:val="16"/>
        </w:rPr>
        <w:t>NL,</w:t>
      </w:r>
      <w:r w:rsidR="00D576A2" w:rsidRPr="006527C9">
        <w:rPr>
          <w:rFonts w:ascii="Franklin Gothic Book" w:hAnsi="Franklin Gothic Book"/>
          <w:sz w:val="16"/>
          <w:szCs w:val="16"/>
        </w:rPr>
        <w:t xml:space="preserve"> Beaucock, B</w:t>
      </w:r>
      <w:r w:rsidR="00A359AC" w:rsidRPr="006527C9">
        <w:rPr>
          <w:rFonts w:ascii="Franklin Gothic Book" w:hAnsi="Franklin Gothic Book"/>
          <w:sz w:val="16"/>
          <w:szCs w:val="16"/>
        </w:rPr>
        <w:t>,</w:t>
      </w:r>
      <w:r w:rsidR="00D576A2" w:rsidRPr="006527C9">
        <w:rPr>
          <w:rFonts w:ascii="Franklin Gothic Book" w:hAnsi="Franklin Gothic Book"/>
          <w:sz w:val="16"/>
          <w:szCs w:val="16"/>
        </w:rPr>
        <w:t xml:space="preserve"> Richard, </w:t>
      </w:r>
      <w:r w:rsidR="00A359AC" w:rsidRPr="006527C9">
        <w:rPr>
          <w:rFonts w:ascii="Franklin Gothic Book" w:hAnsi="Franklin Gothic Book"/>
          <w:sz w:val="16"/>
          <w:szCs w:val="16"/>
        </w:rPr>
        <w:t>BL</w:t>
      </w:r>
      <w:r w:rsidR="00D576A2" w:rsidRPr="006527C9">
        <w:rPr>
          <w:rFonts w:ascii="Franklin Gothic Book" w:hAnsi="Franklin Gothic Book"/>
          <w:sz w:val="16"/>
          <w:szCs w:val="16"/>
        </w:rPr>
        <w:t xml:space="preserve"> &amp; Khandelwal, A</w:t>
      </w:r>
      <w:r w:rsidR="00A359AC" w:rsidRPr="006527C9">
        <w:rPr>
          <w:rFonts w:ascii="Franklin Gothic Book" w:hAnsi="Franklin Gothic Book"/>
          <w:sz w:val="16"/>
          <w:szCs w:val="16"/>
        </w:rPr>
        <w:t xml:space="preserve"> </w:t>
      </w:r>
      <w:r w:rsidR="00D576A2" w:rsidRPr="006527C9">
        <w:rPr>
          <w:rFonts w:ascii="Franklin Gothic Book" w:hAnsi="Franklin Gothic Book"/>
          <w:sz w:val="16"/>
          <w:szCs w:val="16"/>
        </w:rPr>
        <w:t>2024</w:t>
      </w:r>
      <w:r w:rsidR="00A359AC" w:rsidRPr="006527C9">
        <w:rPr>
          <w:rFonts w:ascii="Franklin Gothic Book" w:hAnsi="Franklin Gothic Book"/>
          <w:sz w:val="16"/>
          <w:szCs w:val="16"/>
        </w:rPr>
        <w:t>, 'Effectiveness</w:t>
      </w:r>
      <w:r w:rsidR="00D576A2" w:rsidRPr="006527C9">
        <w:rPr>
          <w:rFonts w:ascii="Franklin Gothic Book" w:hAnsi="Franklin Gothic Book"/>
          <w:sz w:val="16"/>
          <w:szCs w:val="16"/>
        </w:rPr>
        <w:t xml:space="preserve"> of Autologous Skin Cell Suspension in Large Total Body Surface Area Burns: Analysis of Clinical Outcomes and Patient </w:t>
      </w:r>
      <w:r w:rsidR="00A359AC" w:rsidRPr="006527C9">
        <w:rPr>
          <w:rFonts w:ascii="Franklin Gothic Book" w:hAnsi="Franklin Gothic Book"/>
          <w:sz w:val="16"/>
          <w:szCs w:val="16"/>
        </w:rPr>
        <w:t>Charges',</w:t>
      </w:r>
      <w:r w:rsidR="00D576A2" w:rsidRPr="006527C9">
        <w:rPr>
          <w:rFonts w:ascii="Franklin Gothic Book" w:hAnsi="Franklin Gothic Book"/>
          <w:sz w:val="16"/>
          <w:szCs w:val="16"/>
        </w:rPr>
        <w:t xml:space="preserve"> </w:t>
      </w:r>
      <w:r w:rsidR="00D576A2" w:rsidRPr="006527C9">
        <w:rPr>
          <w:rFonts w:ascii="Franklin Gothic Book" w:hAnsi="Franklin Gothic Book"/>
          <w:i/>
          <w:iCs/>
          <w:sz w:val="16"/>
          <w:szCs w:val="16"/>
        </w:rPr>
        <w:t>J Burn Care Res</w:t>
      </w:r>
      <w:r w:rsidR="00D576A2" w:rsidRPr="006527C9">
        <w:rPr>
          <w:rFonts w:ascii="Franklin Gothic Book" w:hAnsi="Franklin Gothic Book"/>
          <w:sz w:val="16"/>
          <w:szCs w:val="16"/>
        </w:rPr>
        <w:t xml:space="preserve">, </w:t>
      </w:r>
      <w:r w:rsidR="00A359AC" w:rsidRPr="006527C9">
        <w:rPr>
          <w:rFonts w:ascii="Franklin Gothic Book" w:hAnsi="Franklin Gothic Book"/>
          <w:sz w:val="16"/>
          <w:szCs w:val="16"/>
        </w:rPr>
        <w:t xml:space="preserve">vol. </w:t>
      </w:r>
      <w:r w:rsidR="00D576A2" w:rsidRPr="006527C9">
        <w:rPr>
          <w:rFonts w:ascii="Franklin Gothic Book" w:hAnsi="Franklin Gothic Book"/>
          <w:sz w:val="16"/>
          <w:szCs w:val="16"/>
        </w:rPr>
        <w:t>45</w:t>
      </w:r>
      <w:r w:rsidR="00A359AC" w:rsidRPr="006527C9">
        <w:rPr>
          <w:rFonts w:ascii="Franklin Gothic Book" w:hAnsi="Franklin Gothic Book"/>
          <w:sz w:val="16"/>
          <w:szCs w:val="16"/>
        </w:rPr>
        <w:t xml:space="preserve">, no. </w:t>
      </w:r>
      <w:r w:rsidR="00D576A2" w:rsidRPr="006527C9">
        <w:rPr>
          <w:rFonts w:ascii="Franklin Gothic Book" w:hAnsi="Franklin Gothic Book"/>
          <w:sz w:val="16"/>
          <w:szCs w:val="16"/>
        </w:rPr>
        <w:t>6</w:t>
      </w:r>
      <w:r w:rsidR="00A359AC" w:rsidRPr="006527C9">
        <w:rPr>
          <w:rFonts w:ascii="Franklin Gothic Book" w:hAnsi="Franklin Gothic Book"/>
          <w:sz w:val="16"/>
          <w:szCs w:val="16"/>
        </w:rPr>
        <w:t>, pp.</w:t>
      </w:r>
      <w:r w:rsidR="00D576A2" w:rsidRPr="006527C9">
        <w:rPr>
          <w:rFonts w:ascii="Franklin Gothic Book" w:hAnsi="Franklin Gothic Book"/>
          <w:sz w:val="16"/>
          <w:szCs w:val="16"/>
        </w:rPr>
        <w:t xml:space="preserve"> 1489-</w:t>
      </w:r>
      <w:r w:rsidR="00A359AC" w:rsidRPr="006527C9">
        <w:rPr>
          <w:rFonts w:ascii="Franklin Gothic Book" w:hAnsi="Franklin Gothic Book"/>
          <w:sz w:val="16"/>
          <w:szCs w:val="16"/>
        </w:rPr>
        <w:t>98.</w:t>
      </w:r>
    </w:p>
  </w:footnote>
  <w:footnote w:id="20">
    <w:p w14:paraId="1CF63BEA" w14:textId="249DEC55" w:rsidR="00F9530E" w:rsidRPr="00B01CC4" w:rsidRDefault="00F9530E">
      <w:pPr>
        <w:pStyle w:val="FootnoteText"/>
        <w:rPr>
          <w:lang w:val="en-US"/>
        </w:rPr>
      </w:pPr>
      <w:r w:rsidRPr="009A3E18">
        <w:rPr>
          <w:rFonts w:ascii="Franklin Gothic Book" w:hAnsi="Franklin Gothic Book"/>
          <w:sz w:val="16"/>
          <w:szCs w:val="16"/>
          <w:vertAlign w:val="superscript"/>
          <w:lang w:val="fr-CH"/>
        </w:rPr>
        <w:footnoteRef/>
      </w:r>
      <w:r w:rsidRPr="004626B2">
        <w:rPr>
          <w:rFonts w:ascii="Franklin Gothic Book" w:hAnsi="Franklin Gothic Book"/>
          <w:sz w:val="16"/>
          <w:szCs w:val="16"/>
          <w:lang w:val="en-US"/>
        </w:rPr>
        <w:t xml:space="preserve"> </w:t>
      </w:r>
      <w:r w:rsidR="006500FD" w:rsidRPr="004626B2">
        <w:rPr>
          <w:rFonts w:ascii="Franklin Gothic Book" w:hAnsi="Franklin Gothic Book"/>
          <w:sz w:val="16"/>
          <w:szCs w:val="16"/>
          <w:lang w:val="en-US"/>
        </w:rPr>
        <w:t xml:space="preserve">Lim, J, Liew, S, Chan, H, Jackson, T, Burrows, S, Edgar, DW &amp; Wood, FM 2014, 'Is the length of time in acute burn surgery associated with poorer outcomes?', </w:t>
      </w:r>
      <w:r w:rsidR="006500FD" w:rsidRPr="004626B2">
        <w:rPr>
          <w:rFonts w:ascii="Franklin Gothic Book" w:hAnsi="Franklin Gothic Book"/>
          <w:i/>
          <w:iCs/>
          <w:sz w:val="16"/>
          <w:szCs w:val="16"/>
          <w:lang w:val="en-US"/>
        </w:rPr>
        <w:t>Burns</w:t>
      </w:r>
      <w:r w:rsidR="006500FD" w:rsidRPr="004626B2">
        <w:rPr>
          <w:rFonts w:ascii="Franklin Gothic Book" w:hAnsi="Franklin Gothic Book"/>
          <w:sz w:val="16"/>
          <w:szCs w:val="16"/>
          <w:lang w:val="en-US"/>
        </w:rPr>
        <w:t>, vol. 40, no. 2, pp. 235-40.</w:t>
      </w:r>
    </w:p>
  </w:footnote>
  <w:footnote w:id="21">
    <w:p w14:paraId="032DFCE7" w14:textId="76810F9A" w:rsidR="00E925FA" w:rsidRPr="006527C9" w:rsidRDefault="00E925FA">
      <w:pPr>
        <w:pStyle w:val="FootnoteText"/>
        <w:rPr>
          <w:rFonts w:ascii="Franklin Gothic Book" w:hAnsi="Franklin Gothic Book"/>
          <w:sz w:val="16"/>
          <w:szCs w:val="16"/>
        </w:rPr>
      </w:pPr>
      <w:r w:rsidRPr="009A3E18">
        <w:rPr>
          <w:rFonts w:ascii="Franklin Gothic Book" w:hAnsi="Franklin Gothic Book"/>
          <w:sz w:val="16"/>
          <w:szCs w:val="16"/>
          <w:vertAlign w:val="superscript"/>
        </w:rPr>
        <w:footnoteRef/>
      </w:r>
      <w:r w:rsidRPr="009A3E18">
        <w:rPr>
          <w:rFonts w:ascii="Franklin Gothic Book" w:hAnsi="Franklin Gothic Book"/>
          <w:sz w:val="16"/>
          <w:szCs w:val="16"/>
          <w:vertAlign w:val="superscript"/>
        </w:rPr>
        <w:t xml:space="preserve"> </w:t>
      </w:r>
      <w:r w:rsidR="00E85803" w:rsidRPr="006527C9">
        <w:rPr>
          <w:rFonts w:ascii="Franklin Gothic Book" w:hAnsi="Franklin Gothic Book"/>
          <w:sz w:val="16"/>
          <w:szCs w:val="16"/>
        </w:rPr>
        <w:t>Australian Institute of Health and Welfare (</w:t>
      </w:r>
      <w:r w:rsidRPr="006527C9">
        <w:rPr>
          <w:rFonts w:ascii="Franklin Gothic Book" w:hAnsi="Franklin Gothic Book"/>
          <w:sz w:val="16"/>
          <w:szCs w:val="16"/>
        </w:rPr>
        <w:t>AIHW</w:t>
      </w:r>
      <w:r w:rsidR="00E85803" w:rsidRPr="006527C9">
        <w:rPr>
          <w:rFonts w:ascii="Franklin Gothic Book" w:hAnsi="Franklin Gothic Book"/>
          <w:sz w:val="16"/>
          <w:szCs w:val="16"/>
        </w:rPr>
        <w:t>)</w:t>
      </w:r>
      <w:r w:rsidR="003C4CFF">
        <w:rPr>
          <w:rFonts w:ascii="Franklin Gothic Book" w:hAnsi="Franklin Gothic Book"/>
          <w:sz w:val="16"/>
          <w:szCs w:val="16"/>
        </w:rPr>
        <w:t xml:space="preserve"> 2024</w:t>
      </w:r>
      <w:r w:rsidR="003D0B4D" w:rsidRPr="006527C9">
        <w:rPr>
          <w:rFonts w:ascii="Franklin Gothic Book" w:hAnsi="Franklin Gothic Book"/>
          <w:sz w:val="16"/>
          <w:szCs w:val="16"/>
        </w:rPr>
        <w:t>.</w:t>
      </w:r>
      <w:r w:rsidRPr="006527C9">
        <w:rPr>
          <w:rFonts w:ascii="Franklin Gothic Book" w:hAnsi="Franklin Gothic Book"/>
          <w:sz w:val="16"/>
          <w:szCs w:val="16"/>
        </w:rPr>
        <w:t xml:space="preserve"> </w:t>
      </w:r>
      <w:r w:rsidRPr="006527C9">
        <w:rPr>
          <w:rFonts w:ascii="Franklin Gothic Book" w:hAnsi="Franklin Gothic Book"/>
          <w:i/>
          <w:iCs/>
          <w:sz w:val="16"/>
          <w:szCs w:val="16"/>
        </w:rPr>
        <w:t>Admitted patients</w:t>
      </w:r>
      <w:r w:rsidR="00975148" w:rsidRPr="006527C9">
        <w:rPr>
          <w:rFonts w:ascii="Franklin Gothic Book" w:hAnsi="Franklin Gothic Book"/>
          <w:i/>
          <w:iCs/>
          <w:sz w:val="16"/>
          <w:szCs w:val="16"/>
        </w:rPr>
        <w:t xml:space="preserve"> care 2022</w:t>
      </w:r>
      <w:r w:rsidR="00E04BF7" w:rsidRPr="006527C9">
        <w:rPr>
          <w:rFonts w:ascii="Franklin Gothic Book" w:hAnsi="Franklin Gothic Book"/>
          <w:i/>
          <w:iCs/>
          <w:sz w:val="16"/>
          <w:szCs w:val="16"/>
        </w:rPr>
        <w:t xml:space="preserve">-23 </w:t>
      </w:r>
      <w:r w:rsidR="003D0B4D" w:rsidRPr="006527C9">
        <w:rPr>
          <w:rFonts w:ascii="Franklin Gothic Book" w:hAnsi="Franklin Gothic Book"/>
          <w:i/>
          <w:iCs/>
          <w:sz w:val="16"/>
          <w:szCs w:val="16"/>
        </w:rPr>
        <w:t xml:space="preserve">– </w:t>
      </w:r>
      <w:r w:rsidRPr="006527C9" w:rsidDel="00A3609F">
        <w:rPr>
          <w:rFonts w:ascii="Franklin Gothic Book" w:hAnsi="Franklin Gothic Book"/>
          <w:i/>
          <w:iCs/>
          <w:sz w:val="16"/>
          <w:szCs w:val="16"/>
        </w:rPr>
        <w:t xml:space="preserve">Table 5.3 Acute separations by </w:t>
      </w:r>
      <w:r w:rsidRPr="006527C9" w:rsidDel="00741D79">
        <w:rPr>
          <w:rFonts w:ascii="Franklin Gothic Book" w:hAnsi="Franklin Gothic Book"/>
          <w:i/>
          <w:iCs/>
          <w:sz w:val="16"/>
          <w:szCs w:val="16"/>
        </w:rPr>
        <w:t xml:space="preserve">Major Diagnostic Category </w:t>
      </w:r>
      <w:r w:rsidR="002B5C7A" w:rsidRPr="006527C9">
        <w:rPr>
          <w:rFonts w:ascii="Franklin Gothic Book" w:hAnsi="Franklin Gothic Book"/>
          <w:i/>
          <w:iCs/>
          <w:sz w:val="16"/>
          <w:szCs w:val="16"/>
        </w:rPr>
        <w:t>v</w:t>
      </w:r>
      <w:r w:rsidRPr="006527C9">
        <w:rPr>
          <w:rFonts w:ascii="Franklin Gothic Book" w:hAnsi="Franklin Gothic Book"/>
          <w:i/>
          <w:iCs/>
          <w:sz w:val="16"/>
          <w:szCs w:val="16"/>
        </w:rPr>
        <w:t>ersion 10.0 and medical/surgical/other partition, public and private hospitals, 2022–23</w:t>
      </w:r>
      <w:r w:rsidR="00AF1F22" w:rsidRPr="006527C9">
        <w:rPr>
          <w:rFonts w:ascii="Franklin Gothic Book" w:hAnsi="Franklin Gothic Book"/>
          <w:sz w:val="16"/>
          <w:szCs w:val="16"/>
        </w:rPr>
        <w:t xml:space="preserve">, viewed </w:t>
      </w:r>
      <w:r w:rsidR="00DC0CF0" w:rsidRPr="006527C9">
        <w:rPr>
          <w:rFonts w:ascii="Franklin Gothic Book" w:hAnsi="Franklin Gothic Book"/>
          <w:sz w:val="16"/>
          <w:szCs w:val="16"/>
        </w:rPr>
        <w:t>2</w:t>
      </w:r>
      <w:r w:rsidR="00AF1F22" w:rsidRPr="006527C9">
        <w:rPr>
          <w:rFonts w:ascii="Franklin Gothic Book" w:hAnsi="Franklin Gothic Book"/>
          <w:sz w:val="16"/>
          <w:szCs w:val="16"/>
        </w:rPr>
        <w:t xml:space="preserve">5 </w:t>
      </w:r>
      <w:r w:rsidR="00DC0CF0" w:rsidRPr="006527C9">
        <w:rPr>
          <w:rFonts w:ascii="Franklin Gothic Book" w:hAnsi="Franklin Gothic Book"/>
          <w:sz w:val="16"/>
          <w:szCs w:val="16"/>
        </w:rPr>
        <w:t>March</w:t>
      </w:r>
      <w:r w:rsidR="00AF1F22" w:rsidRPr="006527C9">
        <w:rPr>
          <w:rFonts w:ascii="Franklin Gothic Book" w:hAnsi="Franklin Gothic Book"/>
          <w:sz w:val="16"/>
          <w:szCs w:val="16"/>
        </w:rPr>
        <w:t xml:space="preserve"> 2025</w:t>
      </w:r>
      <w:r w:rsidR="002B5C7A" w:rsidRPr="006527C9">
        <w:rPr>
          <w:rFonts w:ascii="Franklin Gothic Book" w:hAnsi="Franklin Gothic Book"/>
          <w:sz w:val="16"/>
          <w:szCs w:val="16"/>
        </w:rPr>
        <w:t xml:space="preserve"> </w:t>
      </w:r>
      <w:hyperlink r:id="rId6" w:history="1">
        <w:r w:rsidR="00DC0CF0" w:rsidRPr="006527C9">
          <w:rPr>
            <w:rStyle w:val="Hyperlink"/>
            <w:rFonts w:ascii="Franklin Gothic Book" w:hAnsi="Franklin Gothic Book"/>
            <w:sz w:val="16"/>
            <w:szCs w:val="16"/>
          </w:rPr>
          <w:t>https://www.aihw.gov.au/hospitals/topics/admitted-patient-care</w:t>
        </w:r>
      </w:hyperlink>
      <w:r w:rsidR="00DC0CF0" w:rsidRPr="006527C9">
        <w:rPr>
          <w:rFonts w:ascii="Franklin Gothic Book" w:hAnsi="Franklin Gothic Book"/>
          <w:sz w:val="16"/>
          <w:szCs w:val="16"/>
        </w:rPr>
        <w:t>.</w:t>
      </w:r>
    </w:p>
  </w:footnote>
  <w:footnote w:id="22">
    <w:p w14:paraId="387B3967" w14:textId="594200DE" w:rsidR="00A24C7B" w:rsidRPr="00012964" w:rsidRDefault="00A24C7B">
      <w:pPr>
        <w:pStyle w:val="FootnoteText"/>
        <w:rPr>
          <w:lang w:val="en-US"/>
        </w:rPr>
      </w:pPr>
      <w:r w:rsidRPr="009A3E18">
        <w:rPr>
          <w:rFonts w:ascii="Franklin Gothic Book" w:hAnsi="Franklin Gothic Book"/>
          <w:sz w:val="16"/>
          <w:szCs w:val="16"/>
          <w:vertAlign w:val="superscript"/>
        </w:rPr>
        <w:footnoteRef/>
      </w:r>
      <w:r w:rsidRPr="006527C9">
        <w:rPr>
          <w:rFonts w:ascii="Franklin Gothic Book" w:hAnsi="Franklin Gothic Book"/>
          <w:sz w:val="16"/>
          <w:szCs w:val="16"/>
        </w:rPr>
        <w:t xml:space="preserve"> </w:t>
      </w:r>
      <w:r w:rsidR="005674E8" w:rsidRPr="006527C9">
        <w:rPr>
          <w:rFonts w:ascii="Franklin Gothic Book" w:hAnsi="Franklin Gothic Book"/>
          <w:sz w:val="16"/>
          <w:szCs w:val="16"/>
        </w:rPr>
        <w:t>Servies Australia</w:t>
      </w:r>
      <w:r w:rsidR="003C4CFF">
        <w:rPr>
          <w:rFonts w:ascii="Franklin Gothic Book" w:hAnsi="Franklin Gothic Book"/>
          <w:sz w:val="16"/>
          <w:szCs w:val="16"/>
        </w:rPr>
        <w:t xml:space="preserve"> 2025</w:t>
      </w:r>
      <w:r w:rsidR="005674E8" w:rsidRPr="006527C9">
        <w:rPr>
          <w:rFonts w:ascii="Franklin Gothic Book" w:hAnsi="Franklin Gothic Book"/>
          <w:sz w:val="16"/>
          <w:szCs w:val="16"/>
        </w:rPr>
        <w:t xml:space="preserve">, </w:t>
      </w:r>
      <w:r w:rsidR="005674E8" w:rsidRPr="006527C9">
        <w:rPr>
          <w:rFonts w:ascii="Franklin Gothic Book" w:hAnsi="Franklin Gothic Book"/>
          <w:i/>
          <w:iCs/>
          <w:sz w:val="16"/>
          <w:szCs w:val="16"/>
        </w:rPr>
        <w:t>Medicare Item Reports</w:t>
      </w:r>
      <w:r w:rsidR="004042B5" w:rsidRPr="006527C9">
        <w:rPr>
          <w:rFonts w:ascii="Franklin Gothic Book" w:hAnsi="Franklin Gothic Book"/>
          <w:sz w:val="16"/>
          <w:szCs w:val="16"/>
        </w:rPr>
        <w:t>,</w:t>
      </w:r>
      <w:r w:rsidR="00E95DE7" w:rsidRPr="006527C9">
        <w:rPr>
          <w:rFonts w:ascii="Franklin Gothic Book" w:hAnsi="Franklin Gothic Book"/>
          <w:sz w:val="16"/>
          <w:szCs w:val="16"/>
        </w:rPr>
        <w:t xml:space="preserve"> </w:t>
      </w:r>
      <w:r w:rsidR="004042B5" w:rsidRPr="006527C9">
        <w:rPr>
          <w:rFonts w:ascii="Franklin Gothic Book" w:hAnsi="Franklin Gothic Book"/>
          <w:sz w:val="16"/>
          <w:szCs w:val="16"/>
        </w:rPr>
        <w:t>v</w:t>
      </w:r>
      <w:r w:rsidR="00E95DE7" w:rsidRPr="006527C9">
        <w:rPr>
          <w:rFonts w:ascii="Franklin Gothic Book" w:hAnsi="Franklin Gothic Book"/>
          <w:sz w:val="16"/>
          <w:szCs w:val="16"/>
        </w:rPr>
        <w:t xml:space="preserve">iewed </w:t>
      </w:r>
      <w:r w:rsidR="00A5188F" w:rsidRPr="006527C9">
        <w:rPr>
          <w:rFonts w:ascii="Franklin Gothic Book" w:hAnsi="Franklin Gothic Book"/>
          <w:sz w:val="16"/>
          <w:szCs w:val="16"/>
        </w:rPr>
        <w:t>2</w:t>
      </w:r>
      <w:r w:rsidR="007D4E51" w:rsidRPr="006527C9">
        <w:rPr>
          <w:rFonts w:ascii="Franklin Gothic Book" w:hAnsi="Franklin Gothic Book"/>
          <w:sz w:val="16"/>
          <w:szCs w:val="16"/>
        </w:rPr>
        <w:t>5</w:t>
      </w:r>
      <w:r w:rsidR="00E95DE7" w:rsidRPr="006527C9">
        <w:rPr>
          <w:rFonts w:ascii="Franklin Gothic Book" w:hAnsi="Franklin Gothic Book"/>
          <w:sz w:val="16"/>
          <w:szCs w:val="16"/>
        </w:rPr>
        <w:t xml:space="preserve"> March </w:t>
      </w:r>
      <w:r w:rsidR="00A5188F" w:rsidRPr="006527C9">
        <w:rPr>
          <w:rFonts w:ascii="Franklin Gothic Book" w:hAnsi="Franklin Gothic Book"/>
          <w:sz w:val="16"/>
          <w:szCs w:val="16"/>
        </w:rPr>
        <w:t>2</w:t>
      </w:r>
      <w:r w:rsidR="00E95DE7" w:rsidRPr="006527C9">
        <w:rPr>
          <w:rFonts w:ascii="Franklin Gothic Book" w:hAnsi="Franklin Gothic Book"/>
          <w:sz w:val="16"/>
          <w:szCs w:val="16"/>
        </w:rPr>
        <w:t>02</w:t>
      </w:r>
      <w:r w:rsidR="00A5188F" w:rsidRPr="006527C9">
        <w:rPr>
          <w:rFonts w:ascii="Franklin Gothic Book" w:hAnsi="Franklin Gothic Book"/>
          <w:sz w:val="16"/>
          <w:szCs w:val="16"/>
        </w:rPr>
        <w:t>5</w:t>
      </w:r>
      <w:r w:rsidR="00E95DE7" w:rsidRPr="006527C9">
        <w:rPr>
          <w:rFonts w:ascii="Franklin Gothic Book" w:hAnsi="Franklin Gothic Book"/>
          <w:sz w:val="16"/>
          <w:szCs w:val="16"/>
        </w:rPr>
        <w:t xml:space="preserve"> </w:t>
      </w:r>
      <w:hyperlink r:id="rId7" w:history="1">
        <w:r w:rsidR="00E95DE7" w:rsidRPr="006527C9">
          <w:rPr>
            <w:rStyle w:val="Hyperlink"/>
            <w:rFonts w:ascii="Franklin Gothic Book" w:hAnsi="Franklin Gothic Book"/>
            <w:sz w:val="16"/>
            <w:szCs w:val="16"/>
          </w:rPr>
          <w:t>https://medicarestatistics.humanservices.gov.au/statistics/mbs_item.html</w:t>
        </w:r>
      </w:hyperlink>
      <w:r w:rsidR="00E95DE7" w:rsidRPr="006527C9">
        <w:rPr>
          <w:rFonts w:ascii="Franklin Gothic Book" w:hAnsi="Franklin Gothic Book"/>
          <w:sz w:val="16"/>
          <w:szCs w:val="16"/>
        </w:rPr>
        <w:t>.</w:t>
      </w:r>
      <w:r w:rsidR="00E95DE7" w:rsidRPr="004626B2">
        <w:rPr>
          <w:rFonts w:ascii="Franklin Gothic Book" w:hAnsi="Franklin Gothic Book"/>
          <w:sz w:val="16"/>
          <w:szCs w:val="16"/>
          <w:lang w:val="en-US"/>
        </w:rPr>
        <w:t xml:space="preserve"> </w:t>
      </w:r>
    </w:p>
  </w:footnote>
  <w:footnote w:id="23">
    <w:p w14:paraId="3E6935DE" w14:textId="77777777" w:rsidR="00DA24C8" w:rsidRPr="00D57963" w:rsidRDefault="00DA24C8" w:rsidP="00DA24C8">
      <w:pPr>
        <w:pStyle w:val="FootnoteText"/>
        <w:rPr>
          <w:lang w:val="en-US"/>
        </w:rPr>
      </w:pPr>
      <w:r>
        <w:rPr>
          <w:rStyle w:val="FootnoteReference"/>
        </w:rPr>
        <w:footnoteRef/>
      </w:r>
      <w:r>
        <w:t xml:space="preserve"> </w:t>
      </w:r>
      <w:r w:rsidRPr="00D57963">
        <w:t>Obeid, FM</w:t>
      </w:r>
      <w:r>
        <w:t>,</w:t>
      </w:r>
      <w:r w:rsidRPr="00D57963">
        <w:t xml:space="preserve"> Effect of </w:t>
      </w:r>
      <w:r>
        <w:t>a</w:t>
      </w:r>
      <w:r w:rsidRPr="00D57963">
        <w:t xml:space="preserve">utologous </w:t>
      </w:r>
      <w:r>
        <w:t>s</w:t>
      </w:r>
      <w:r w:rsidRPr="00D57963">
        <w:t xml:space="preserve">kin </w:t>
      </w:r>
      <w:r>
        <w:t>c</w:t>
      </w:r>
      <w:r w:rsidRPr="00D57963">
        <w:t xml:space="preserve">ell </w:t>
      </w:r>
      <w:r>
        <w:t>s</w:t>
      </w:r>
      <w:r w:rsidRPr="00D57963">
        <w:t xml:space="preserve">uspensions </w:t>
      </w:r>
      <w:r>
        <w:t>v</w:t>
      </w:r>
      <w:r w:rsidRPr="00D57963">
        <w:t xml:space="preserve">ersus </w:t>
      </w:r>
      <w:r>
        <w:t>s</w:t>
      </w:r>
      <w:r w:rsidRPr="00D57963">
        <w:t xml:space="preserve">tandard </w:t>
      </w:r>
      <w:r>
        <w:t>t</w:t>
      </w:r>
      <w:r w:rsidRPr="00D57963">
        <w:t xml:space="preserve">reatment on </w:t>
      </w:r>
      <w:r>
        <w:t>r</w:t>
      </w:r>
      <w:r w:rsidRPr="00D57963">
        <w:t>e-</w:t>
      </w:r>
      <w:r>
        <w:t>e</w:t>
      </w:r>
      <w:r w:rsidRPr="00D57963">
        <w:t xml:space="preserve">pithelialization in </w:t>
      </w:r>
      <w:r>
        <w:t>b</w:t>
      </w:r>
      <w:r w:rsidRPr="00D57963">
        <w:t xml:space="preserve">urn </w:t>
      </w:r>
      <w:r>
        <w:t>i</w:t>
      </w:r>
      <w:r w:rsidRPr="00D57963">
        <w:t xml:space="preserve">njuries: </w:t>
      </w:r>
      <w:r>
        <w:t>a</w:t>
      </w:r>
      <w:r w:rsidRPr="00D57963">
        <w:t xml:space="preserve"> </w:t>
      </w:r>
      <w:r>
        <w:t>m</w:t>
      </w:r>
      <w:r w:rsidRPr="00D57963">
        <w:t>eta-</w:t>
      </w:r>
      <w:r>
        <w:t>a</w:t>
      </w:r>
      <w:r w:rsidRPr="00D57963">
        <w:t>nalysis of RCTs. </w:t>
      </w:r>
      <w:r w:rsidRPr="00760AED">
        <w:rPr>
          <w:i/>
          <w:iCs/>
        </w:rPr>
        <w:t>Medicina</w:t>
      </w:r>
      <w:r w:rsidRPr="00D57963">
        <w:t> </w:t>
      </w:r>
      <w:r w:rsidRPr="00D57963">
        <w:rPr>
          <w:bCs/>
        </w:rPr>
        <w:t>2025</w:t>
      </w:r>
      <w:r>
        <w:rPr>
          <w:bCs/>
        </w:rPr>
        <w:t xml:space="preserve"> 61(</w:t>
      </w:r>
      <w:r w:rsidRPr="00D57963">
        <w:t>529</w:t>
      </w:r>
      <w:r>
        <w:t>)</w:t>
      </w:r>
      <w:r w:rsidRPr="00D57963">
        <w:t>. https://doi.org/10.3390/medicina61030529</w:t>
      </w:r>
    </w:p>
  </w:footnote>
  <w:footnote w:id="24">
    <w:p w14:paraId="65444E07" w14:textId="77777777" w:rsidR="00DA24C8" w:rsidRPr="004626B2" w:rsidRDefault="00DA24C8" w:rsidP="00DA24C8">
      <w:pPr>
        <w:pStyle w:val="FootnoteText"/>
        <w:rPr>
          <w:lang w:val="fr-FR"/>
        </w:rPr>
      </w:pPr>
      <w:r>
        <w:rPr>
          <w:rStyle w:val="FootnoteReference"/>
        </w:rPr>
        <w:footnoteRef/>
      </w:r>
      <w:r>
        <w:t xml:space="preserve"> </w:t>
      </w:r>
      <w:r w:rsidRPr="00DB19FA">
        <w:rPr>
          <w:lang w:val="en-US"/>
        </w:rPr>
        <w:t>Lou</w:t>
      </w:r>
      <w:r>
        <w:rPr>
          <w:lang w:val="en-US"/>
        </w:rPr>
        <w:t>, J</w:t>
      </w:r>
      <w:r w:rsidRPr="00DB19FA">
        <w:rPr>
          <w:lang w:val="en-US"/>
        </w:rPr>
        <w:t xml:space="preserve"> et al</w:t>
      </w:r>
      <w:r>
        <w:rPr>
          <w:lang w:val="en-US"/>
        </w:rPr>
        <w:t xml:space="preserve">., </w:t>
      </w:r>
      <w:r w:rsidRPr="004109D5">
        <w:rPr>
          <w:lang w:val="en-US"/>
        </w:rPr>
        <w:t>The efficacy and safety of autologous epidermal cell suspensions for re-epithelialization of skin lesions: A systematic review and meta-analysis of randomized trials</w:t>
      </w:r>
      <w:r>
        <w:rPr>
          <w:lang w:val="en-US"/>
        </w:rPr>
        <w:t xml:space="preserve">. </w:t>
      </w:r>
      <w:r w:rsidRPr="004626B2">
        <w:rPr>
          <w:i/>
          <w:iCs/>
          <w:lang w:val="fr-FR"/>
        </w:rPr>
        <w:t>Skin Res Technol</w:t>
      </w:r>
      <w:r w:rsidRPr="004626B2">
        <w:rPr>
          <w:lang w:val="fr-FR"/>
        </w:rPr>
        <w:t xml:space="preserve"> 2024 30(6):e13820. doi: 10.1111/srt.13820</w:t>
      </w:r>
    </w:p>
  </w:footnote>
  <w:footnote w:id="25">
    <w:p w14:paraId="08724E38" w14:textId="77777777" w:rsidR="00DA24C8" w:rsidRDefault="00DA24C8" w:rsidP="00DA24C8">
      <w:pPr>
        <w:pStyle w:val="FootnoteText"/>
      </w:pPr>
      <w:r>
        <w:rPr>
          <w:rStyle w:val="FootnoteReference"/>
        </w:rPr>
        <w:footnoteRef/>
      </w:r>
      <w:r w:rsidRPr="004626B2">
        <w:rPr>
          <w:lang w:val="fr-FR"/>
        </w:rPr>
        <w:t xml:space="preserve"> Oshima J, Inoue Y, Sasaki K, et al. </w:t>
      </w:r>
      <w:r w:rsidRPr="00E91E03">
        <w:t xml:space="preserve">Autologous Skin Cell Suspension Monotherapy Without Split-Thickness Skin Grafting for Deep Dermal Burns in Pediatric Patients: A Case Series. </w:t>
      </w:r>
      <w:r w:rsidRPr="009E10BC">
        <w:rPr>
          <w:i/>
          <w:iCs/>
        </w:rPr>
        <w:t>Cureus</w:t>
      </w:r>
      <w:r w:rsidRPr="00E91E03">
        <w:t xml:space="preserve"> 2025</w:t>
      </w:r>
      <w:r>
        <w:t xml:space="preserve"> </w:t>
      </w:r>
      <w:r w:rsidRPr="00E91E03">
        <w:t>17(4): e83210. DOI 10.7759/cureus.83210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3DDF" w14:textId="3F239DF0" w:rsidR="0033069D" w:rsidRDefault="00E16940">
    <w:pPr>
      <w:pStyle w:val="Header"/>
    </w:pPr>
    <w:r>
      <w:rPr>
        <w:noProof/>
      </w:rPr>
      <mc:AlternateContent>
        <mc:Choice Requires="wps">
          <w:drawing>
            <wp:anchor distT="0" distB="0" distL="0" distR="0" simplePos="0" relativeHeight="251658241" behindDoc="0" locked="0" layoutInCell="1" allowOverlap="1" wp14:anchorId="7682B6B8" wp14:editId="4F0A59B8">
              <wp:simplePos x="635" y="635"/>
              <wp:positionH relativeFrom="page">
                <wp:align>center</wp:align>
              </wp:positionH>
              <wp:positionV relativeFrom="page">
                <wp:align>top</wp:align>
              </wp:positionV>
              <wp:extent cx="609600" cy="476250"/>
              <wp:effectExtent l="0" t="0" r="0" b="0"/>
              <wp:wrapNone/>
              <wp:docPr id="13893900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CD052E7" w14:textId="6F093385"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2B6B8"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4CD052E7" w14:textId="6F093385"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F5D" w14:textId="546EDC03" w:rsidR="0033069D" w:rsidRDefault="00E16940">
    <w:pPr>
      <w:pStyle w:val="Header"/>
    </w:pPr>
    <w:r>
      <w:rPr>
        <w:noProof/>
      </w:rPr>
      <mc:AlternateContent>
        <mc:Choice Requires="wps">
          <w:drawing>
            <wp:anchor distT="0" distB="0" distL="0" distR="0" simplePos="0" relativeHeight="251658242" behindDoc="0" locked="0" layoutInCell="1" allowOverlap="1" wp14:anchorId="5E3833F8" wp14:editId="1E689DD1">
              <wp:simplePos x="635" y="635"/>
              <wp:positionH relativeFrom="page">
                <wp:align>center</wp:align>
              </wp:positionH>
              <wp:positionV relativeFrom="page">
                <wp:align>top</wp:align>
              </wp:positionV>
              <wp:extent cx="609600" cy="476250"/>
              <wp:effectExtent l="0" t="0" r="0" b="0"/>
              <wp:wrapNone/>
              <wp:docPr id="416618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E5B18EF" w14:textId="57D841FE"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833F8"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0E5B18EF" w14:textId="57D841FE"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3423" w14:textId="7EB50E29" w:rsidR="0033069D" w:rsidRDefault="00E16940">
    <w:pPr>
      <w:pStyle w:val="Header"/>
    </w:pPr>
    <w:r>
      <w:rPr>
        <w:noProof/>
      </w:rPr>
      <mc:AlternateContent>
        <mc:Choice Requires="wps">
          <w:drawing>
            <wp:anchor distT="0" distB="0" distL="0" distR="0" simplePos="0" relativeHeight="251658240" behindDoc="0" locked="0" layoutInCell="1" allowOverlap="1" wp14:anchorId="5AD3205E" wp14:editId="2BB7363A">
              <wp:simplePos x="635" y="635"/>
              <wp:positionH relativeFrom="page">
                <wp:align>center</wp:align>
              </wp:positionH>
              <wp:positionV relativeFrom="page">
                <wp:align>top</wp:align>
              </wp:positionV>
              <wp:extent cx="609600" cy="476250"/>
              <wp:effectExtent l="0" t="0" r="0" b="0"/>
              <wp:wrapNone/>
              <wp:docPr id="14163945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D6716AE" w14:textId="26DDF2C5"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3205E"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6D6716AE" w14:textId="26DDF2C5"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C402" w14:textId="74A4CD44" w:rsidR="4B4E4ECE" w:rsidRDefault="00E16940" w:rsidP="4B4E4ECE">
    <w:pPr>
      <w:pStyle w:val="Header"/>
    </w:pPr>
    <w:r>
      <w:rPr>
        <w:noProof/>
      </w:rPr>
      <mc:AlternateContent>
        <mc:Choice Requires="wps">
          <w:drawing>
            <wp:anchor distT="0" distB="0" distL="0" distR="0" simplePos="0" relativeHeight="251658243" behindDoc="0" locked="0" layoutInCell="1" allowOverlap="1" wp14:anchorId="3800749B" wp14:editId="11D13268">
              <wp:simplePos x="635" y="635"/>
              <wp:positionH relativeFrom="page">
                <wp:align>center</wp:align>
              </wp:positionH>
              <wp:positionV relativeFrom="page">
                <wp:align>top</wp:align>
              </wp:positionV>
              <wp:extent cx="609600" cy="476250"/>
              <wp:effectExtent l="0" t="0" r="0" b="0"/>
              <wp:wrapNone/>
              <wp:docPr id="214284358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D7038E2" w14:textId="2542E17D"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0749B" id="_x0000_t202" coordsize="21600,21600" o:spt="202" path="m,l,21600r21600,l21600,xe">
              <v:stroke joinstyle="miter"/>
              <v:path gradientshapeok="t" o:connecttype="rect"/>
            </v:shapetype>
            <v:shape id="Text Box 4" o:spid="_x0000_s1032"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d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GmScfgfViZbycOY7OLluqPVGBHwWngimaUm0&#10;+ESHNtCVHAaLsxr8j7/5Yz7hTlHOOhJMyS0pmjPzzRIfUVvJmN7mNxEMP7p3o2EP7T2QDKf0IpxM&#10;ZsxDM5raQ/tKcl7FRhQSVlK7kuNo3uNZufQcpFqtUhLJyAnc2K2TsXSEK2L50r8K7wbAkZh6hFFN&#10;oniD+zk33gxudUBCP5ESoT0DOSBOEkxcDc8lavzX/5R1fdTLn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kvj8HQ0CAAAcBAAA&#10;DgAAAAAAAAAAAAAAAAAuAgAAZHJzL2Uyb0RvYy54bWxQSwECLQAUAAYACAAAACEAEyewLNkAAAAD&#10;AQAADwAAAAAAAAAAAAAAAABnBAAAZHJzL2Rvd25yZXYueG1sUEsFBgAAAAAEAAQA8wAAAG0FAAAA&#10;AA==&#10;" filled="f" stroked="f">
              <v:textbox style="mso-fit-shape-to-text:t" inset="0,15pt,0,0">
                <w:txbxContent>
                  <w:p w14:paraId="0D7038E2" w14:textId="2542E17D"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186" w14:textId="49327813" w:rsidR="4B4E4ECE" w:rsidRDefault="00E16940" w:rsidP="4B4E4ECE">
    <w:pPr>
      <w:pStyle w:val="Header"/>
    </w:pPr>
    <w:r>
      <w:rPr>
        <w:noProof/>
      </w:rPr>
      <mc:AlternateContent>
        <mc:Choice Requires="wps">
          <w:drawing>
            <wp:anchor distT="0" distB="0" distL="0" distR="0" simplePos="0" relativeHeight="251658244" behindDoc="0" locked="0" layoutInCell="1" allowOverlap="1" wp14:anchorId="0894B0AE" wp14:editId="261BFE99">
              <wp:simplePos x="635" y="635"/>
              <wp:positionH relativeFrom="page">
                <wp:align>center</wp:align>
              </wp:positionH>
              <wp:positionV relativeFrom="page">
                <wp:align>top</wp:align>
              </wp:positionV>
              <wp:extent cx="609600" cy="476250"/>
              <wp:effectExtent l="0" t="0" r="0" b="0"/>
              <wp:wrapNone/>
              <wp:docPr id="7567114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1E50ED9" w14:textId="2B779857"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4B0AE" id="_x0000_t202" coordsize="21600,21600" o:spt="202" path="m,l,21600r21600,l21600,xe">
              <v:stroke joinstyle="miter"/>
              <v:path gradientshapeok="t" o:connecttype="rect"/>
            </v:shapetype>
            <v:shape id="Text Box 5" o:spid="_x0000_s1033"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" filled="f" stroked="f">
              <v:textbox style="mso-fit-shape-to-text:t" inset="0,15pt,0,0">
                <w:txbxContent>
                  <w:p w14:paraId="61E50ED9" w14:textId="2B779857"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7653" w14:textId="3AA139E5" w:rsidR="4B4E4ECE" w:rsidRDefault="00E16940" w:rsidP="4B4E4ECE">
    <w:pPr>
      <w:pStyle w:val="Header"/>
    </w:pPr>
    <w:r>
      <w:rPr>
        <w:noProof/>
      </w:rPr>
      <mc:AlternateContent>
        <mc:Choice Requires="wps">
          <w:drawing>
            <wp:anchor distT="0" distB="0" distL="0" distR="0" simplePos="0" relativeHeight="251658245" behindDoc="0" locked="0" layoutInCell="1" allowOverlap="1" wp14:anchorId="0B5C36C4" wp14:editId="40131450">
              <wp:simplePos x="635" y="635"/>
              <wp:positionH relativeFrom="page">
                <wp:align>center</wp:align>
              </wp:positionH>
              <wp:positionV relativeFrom="page">
                <wp:align>top</wp:align>
              </wp:positionV>
              <wp:extent cx="609600" cy="476250"/>
              <wp:effectExtent l="0" t="0" r="0" b="0"/>
              <wp:wrapNone/>
              <wp:docPr id="200012940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AE35AFD" w14:textId="3F266C3C"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C36C4" id="_x0000_t202" coordsize="21600,21600" o:spt="202" path="m,l,21600r21600,l21600,xe">
              <v:stroke joinstyle="miter"/>
              <v:path gradientshapeok="t" o:connecttype="rect"/>
            </v:shapetype>
            <v:shape id="Text Box 6" o:spid="_x0000_s1034" type="#_x0000_t202" alt="OFFICIAL" style="position:absolute;margin-left:0;margin-top:0;width:48pt;height:37.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" filled="f" stroked="f">
              <v:textbox style="mso-fit-shape-to-text:t" inset="0,15pt,0,0">
                <w:txbxContent>
                  <w:p w14:paraId="3AE35AFD" w14:textId="3F266C3C"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7DD5" w14:textId="62C88029" w:rsidR="4B4E4ECE" w:rsidRDefault="00E16940" w:rsidP="4B4E4ECE">
    <w:pPr>
      <w:pStyle w:val="Header"/>
    </w:pPr>
    <w:r>
      <w:rPr>
        <w:noProof/>
      </w:rPr>
      <mc:AlternateContent>
        <mc:Choice Requires="wps">
          <w:drawing>
            <wp:anchor distT="0" distB="0" distL="0" distR="0" simplePos="0" relativeHeight="251658246" behindDoc="0" locked="0" layoutInCell="1" allowOverlap="1" wp14:anchorId="6EEBC79B" wp14:editId="4877E1B0">
              <wp:simplePos x="635" y="635"/>
              <wp:positionH relativeFrom="page">
                <wp:align>center</wp:align>
              </wp:positionH>
              <wp:positionV relativeFrom="page">
                <wp:align>top</wp:align>
              </wp:positionV>
              <wp:extent cx="609600" cy="476250"/>
              <wp:effectExtent l="0" t="0" r="0" b="0"/>
              <wp:wrapNone/>
              <wp:docPr id="6814963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7576E51" w14:textId="002FE52F"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EBC79B" id="_x0000_t202" coordsize="21600,21600" o:spt="202" path="m,l,21600r21600,l21600,xe">
              <v:stroke joinstyle="miter"/>
              <v:path gradientshapeok="t" o:connecttype="rect"/>
            </v:shapetype>
            <v:shape id="Text Box 7" o:spid="_x0000_s1035"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uDkFmw0CAAAcBAAA&#10;DgAAAAAAAAAAAAAAAAAuAgAAZHJzL2Uyb0RvYy54bWxQSwECLQAUAAYACAAAACEAEyewLNkAAAAD&#10;AQAADwAAAAAAAAAAAAAAAABnBAAAZHJzL2Rvd25yZXYueG1sUEsFBgAAAAAEAAQA8wAAAG0FAAAA&#10;AA==&#10;" filled="f" stroked="f">
              <v:textbox style="mso-fit-shape-to-text:t" inset="0,15pt,0,0">
                <w:txbxContent>
                  <w:p w14:paraId="47576E51" w14:textId="002FE52F" w:rsidR="00E16940" w:rsidRPr="00097057" w:rsidRDefault="00E16940" w:rsidP="00097057">
                    <w:pPr>
                      <w:spacing w:after="0"/>
                      <w:rPr>
                        <w:rFonts w:ascii="Aptos" w:eastAsia="Aptos" w:hAnsi="Aptos" w:cs="Aptos"/>
                        <w:noProof/>
                        <w:color w:val="FF0000"/>
                        <w:sz w:val="24"/>
                        <w:szCs w:val="24"/>
                      </w:rPr>
                    </w:pPr>
                    <w:r w:rsidRPr="0009705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176"/>
    <w:multiLevelType w:val="hybridMultilevel"/>
    <w:tmpl w:val="7A5229FA"/>
    <w:lvl w:ilvl="0" w:tplc="D75EB9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47AEC"/>
    <w:multiLevelType w:val="hybridMultilevel"/>
    <w:tmpl w:val="E66C3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B414F"/>
    <w:multiLevelType w:val="hybridMultilevel"/>
    <w:tmpl w:val="7D242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5A7691"/>
    <w:multiLevelType w:val="hybridMultilevel"/>
    <w:tmpl w:val="DF7052EC"/>
    <w:lvl w:ilvl="0" w:tplc="3D90510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4212FE"/>
    <w:multiLevelType w:val="hybridMultilevel"/>
    <w:tmpl w:val="830E11B6"/>
    <w:styleLink w:val="ESSectionheading-numbered"/>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F0515"/>
    <w:multiLevelType w:val="hybridMultilevel"/>
    <w:tmpl w:val="561E4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095746"/>
    <w:multiLevelType w:val="hybridMultilevel"/>
    <w:tmpl w:val="28BC0FCE"/>
    <w:lvl w:ilvl="0" w:tplc="FFFFFFFF">
      <w:start w:val="1"/>
      <w:numFmt w:val="bullet"/>
      <w:pStyle w:val="Instructionaltext-bullet"/>
      <w:lvlText w:val="-"/>
      <w:lvlJc w:val="left"/>
      <w:pPr>
        <w:ind w:left="720" w:hanging="360"/>
      </w:pPr>
      <w:rPr>
        <w:rFonts w:ascii="Garamond" w:hAnsi="Garamond" w:hint="default"/>
      </w:rPr>
    </w:lvl>
    <w:lvl w:ilvl="1" w:tplc="FFFFFFFF" w:tentative="1">
      <w:start w:val="1"/>
      <w:numFmt w:val="bullet"/>
      <w:lvlText w:val="-"/>
      <w:lvlJc w:val="left"/>
      <w:pPr>
        <w:ind w:left="1440" w:hanging="360"/>
      </w:pPr>
      <w:rPr>
        <w:rFonts w:ascii="Garamond" w:hAnsi="Garamond"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8B218F1"/>
    <w:multiLevelType w:val="hybridMultilevel"/>
    <w:tmpl w:val="A238ACA0"/>
    <w:lvl w:ilvl="0" w:tplc="8B282944">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997187"/>
    <w:multiLevelType w:val="hybridMultilevel"/>
    <w:tmpl w:val="CC020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09324A"/>
    <w:multiLevelType w:val="hybridMultilevel"/>
    <w:tmpl w:val="D7128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749109160">
    <w:abstractNumId w:val="9"/>
  </w:num>
  <w:num w:numId="2" w16cid:durableId="1270162788">
    <w:abstractNumId w:val="19"/>
  </w:num>
  <w:num w:numId="3" w16cid:durableId="1754930659">
    <w:abstractNumId w:val="1"/>
  </w:num>
  <w:num w:numId="4" w16cid:durableId="1821774551">
    <w:abstractNumId w:val="17"/>
  </w:num>
  <w:num w:numId="5" w16cid:durableId="758334604">
    <w:abstractNumId w:val="5"/>
  </w:num>
  <w:num w:numId="6" w16cid:durableId="1414619933">
    <w:abstractNumId w:val="7"/>
  </w:num>
  <w:num w:numId="7" w16cid:durableId="747844684">
    <w:abstractNumId w:val="8"/>
  </w:num>
  <w:num w:numId="8" w16cid:durableId="1180662619">
    <w:abstractNumId w:val="12"/>
  </w:num>
  <w:num w:numId="9" w16cid:durableId="404036336">
    <w:abstractNumId w:val="10"/>
  </w:num>
  <w:num w:numId="10" w16cid:durableId="1519854322">
    <w:abstractNumId w:val="14"/>
  </w:num>
  <w:num w:numId="11" w16cid:durableId="836460951">
    <w:abstractNumId w:val="16"/>
  </w:num>
  <w:num w:numId="12" w16cid:durableId="1246303243">
    <w:abstractNumId w:val="18"/>
  </w:num>
  <w:num w:numId="13" w16cid:durableId="1689479852">
    <w:abstractNumId w:val="3"/>
  </w:num>
  <w:num w:numId="14" w16cid:durableId="1387073718">
    <w:abstractNumId w:val="15"/>
  </w:num>
  <w:num w:numId="15" w16cid:durableId="664630073">
    <w:abstractNumId w:val="6"/>
  </w:num>
  <w:num w:numId="16" w16cid:durableId="998770964">
    <w:abstractNumId w:val="0"/>
  </w:num>
  <w:num w:numId="17" w16cid:durableId="184904280">
    <w:abstractNumId w:val="2"/>
  </w:num>
  <w:num w:numId="18" w16cid:durableId="908927443">
    <w:abstractNumId w:val="13"/>
  </w:num>
  <w:num w:numId="19" w16cid:durableId="1288002689">
    <w:abstractNumId w:val="4"/>
  </w:num>
  <w:num w:numId="20" w16cid:durableId="149070824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144"/>
    <w:rsid w:val="00000153"/>
    <w:rsid w:val="0000029B"/>
    <w:rsid w:val="000004A6"/>
    <w:rsid w:val="0000059C"/>
    <w:rsid w:val="000009AE"/>
    <w:rsid w:val="000009B9"/>
    <w:rsid w:val="00000C1E"/>
    <w:rsid w:val="00000C86"/>
    <w:rsid w:val="00000CE1"/>
    <w:rsid w:val="0000109A"/>
    <w:rsid w:val="0000156F"/>
    <w:rsid w:val="0000164B"/>
    <w:rsid w:val="0000186E"/>
    <w:rsid w:val="00001A4D"/>
    <w:rsid w:val="00001AE6"/>
    <w:rsid w:val="00001B72"/>
    <w:rsid w:val="00001D55"/>
    <w:rsid w:val="00001F15"/>
    <w:rsid w:val="00001F17"/>
    <w:rsid w:val="000022E2"/>
    <w:rsid w:val="00002331"/>
    <w:rsid w:val="00002435"/>
    <w:rsid w:val="000025CC"/>
    <w:rsid w:val="0000288F"/>
    <w:rsid w:val="000028D9"/>
    <w:rsid w:val="0000296B"/>
    <w:rsid w:val="00002985"/>
    <w:rsid w:val="00002FDE"/>
    <w:rsid w:val="000030F5"/>
    <w:rsid w:val="0000384B"/>
    <w:rsid w:val="000038F0"/>
    <w:rsid w:val="00003960"/>
    <w:rsid w:val="0000397C"/>
    <w:rsid w:val="00003C97"/>
    <w:rsid w:val="00003E8D"/>
    <w:rsid w:val="00003FDE"/>
    <w:rsid w:val="0000442F"/>
    <w:rsid w:val="0000485B"/>
    <w:rsid w:val="0000493F"/>
    <w:rsid w:val="00004CAE"/>
    <w:rsid w:val="00004D69"/>
    <w:rsid w:val="00004E9A"/>
    <w:rsid w:val="00004F7F"/>
    <w:rsid w:val="00004FB5"/>
    <w:rsid w:val="00005325"/>
    <w:rsid w:val="000054C9"/>
    <w:rsid w:val="00005576"/>
    <w:rsid w:val="000056F7"/>
    <w:rsid w:val="00005868"/>
    <w:rsid w:val="00005AB5"/>
    <w:rsid w:val="00005AC1"/>
    <w:rsid w:val="00006242"/>
    <w:rsid w:val="000066EC"/>
    <w:rsid w:val="00006C3E"/>
    <w:rsid w:val="00007270"/>
    <w:rsid w:val="000073B8"/>
    <w:rsid w:val="000074F7"/>
    <w:rsid w:val="00007756"/>
    <w:rsid w:val="000077E7"/>
    <w:rsid w:val="000079B8"/>
    <w:rsid w:val="00007B55"/>
    <w:rsid w:val="00010041"/>
    <w:rsid w:val="000104AA"/>
    <w:rsid w:val="000107CB"/>
    <w:rsid w:val="0001082C"/>
    <w:rsid w:val="00011091"/>
    <w:rsid w:val="000113E9"/>
    <w:rsid w:val="00011568"/>
    <w:rsid w:val="000115C5"/>
    <w:rsid w:val="00011738"/>
    <w:rsid w:val="00011B3F"/>
    <w:rsid w:val="00011D25"/>
    <w:rsid w:val="00012136"/>
    <w:rsid w:val="000122E6"/>
    <w:rsid w:val="0001270F"/>
    <w:rsid w:val="0001281A"/>
    <w:rsid w:val="00012964"/>
    <w:rsid w:val="0001299C"/>
    <w:rsid w:val="00012FF3"/>
    <w:rsid w:val="0001321F"/>
    <w:rsid w:val="000133F7"/>
    <w:rsid w:val="0001342C"/>
    <w:rsid w:val="00013746"/>
    <w:rsid w:val="00013A3A"/>
    <w:rsid w:val="00013D7C"/>
    <w:rsid w:val="00013FD3"/>
    <w:rsid w:val="00014635"/>
    <w:rsid w:val="0001480E"/>
    <w:rsid w:val="00014974"/>
    <w:rsid w:val="0001498D"/>
    <w:rsid w:val="000149F6"/>
    <w:rsid w:val="00014AF0"/>
    <w:rsid w:val="00014B0A"/>
    <w:rsid w:val="00014E0C"/>
    <w:rsid w:val="00014E99"/>
    <w:rsid w:val="00015208"/>
    <w:rsid w:val="00015551"/>
    <w:rsid w:val="0001590D"/>
    <w:rsid w:val="00015C2C"/>
    <w:rsid w:val="00015F80"/>
    <w:rsid w:val="0001615B"/>
    <w:rsid w:val="0001620B"/>
    <w:rsid w:val="000164F4"/>
    <w:rsid w:val="000166B8"/>
    <w:rsid w:val="000166BF"/>
    <w:rsid w:val="00016716"/>
    <w:rsid w:val="00016730"/>
    <w:rsid w:val="00017064"/>
    <w:rsid w:val="00017AC1"/>
    <w:rsid w:val="00017E11"/>
    <w:rsid w:val="00017F31"/>
    <w:rsid w:val="000200E0"/>
    <w:rsid w:val="000202D7"/>
    <w:rsid w:val="000205A1"/>
    <w:rsid w:val="00020926"/>
    <w:rsid w:val="00020C2D"/>
    <w:rsid w:val="00020D5D"/>
    <w:rsid w:val="0002106C"/>
    <w:rsid w:val="00021875"/>
    <w:rsid w:val="00021968"/>
    <w:rsid w:val="00021F26"/>
    <w:rsid w:val="00022291"/>
    <w:rsid w:val="0002278B"/>
    <w:rsid w:val="000228B8"/>
    <w:rsid w:val="00022DC7"/>
    <w:rsid w:val="00022E8E"/>
    <w:rsid w:val="00023018"/>
    <w:rsid w:val="000230C8"/>
    <w:rsid w:val="0002376E"/>
    <w:rsid w:val="00023811"/>
    <w:rsid w:val="0002381B"/>
    <w:rsid w:val="00023E7C"/>
    <w:rsid w:val="0002461F"/>
    <w:rsid w:val="00024EA5"/>
    <w:rsid w:val="00024EDA"/>
    <w:rsid w:val="00024F40"/>
    <w:rsid w:val="0002527C"/>
    <w:rsid w:val="000259B8"/>
    <w:rsid w:val="00026372"/>
    <w:rsid w:val="00026418"/>
    <w:rsid w:val="00026485"/>
    <w:rsid w:val="00026605"/>
    <w:rsid w:val="00026617"/>
    <w:rsid w:val="00026666"/>
    <w:rsid w:val="000269C1"/>
    <w:rsid w:val="00026AE0"/>
    <w:rsid w:val="00026BD5"/>
    <w:rsid w:val="00026D8A"/>
    <w:rsid w:val="0002711E"/>
    <w:rsid w:val="0002755F"/>
    <w:rsid w:val="00027629"/>
    <w:rsid w:val="0002765D"/>
    <w:rsid w:val="00027B67"/>
    <w:rsid w:val="0003035B"/>
    <w:rsid w:val="000306FD"/>
    <w:rsid w:val="000307EB"/>
    <w:rsid w:val="00030BC9"/>
    <w:rsid w:val="00030D0F"/>
    <w:rsid w:val="00030E37"/>
    <w:rsid w:val="00030EFD"/>
    <w:rsid w:val="00030F2A"/>
    <w:rsid w:val="0003112F"/>
    <w:rsid w:val="000316C1"/>
    <w:rsid w:val="000318D4"/>
    <w:rsid w:val="0003255A"/>
    <w:rsid w:val="00032610"/>
    <w:rsid w:val="00032794"/>
    <w:rsid w:val="0003280D"/>
    <w:rsid w:val="00032936"/>
    <w:rsid w:val="000329D7"/>
    <w:rsid w:val="00032A09"/>
    <w:rsid w:val="00032D1B"/>
    <w:rsid w:val="00033112"/>
    <w:rsid w:val="0003399A"/>
    <w:rsid w:val="00033C57"/>
    <w:rsid w:val="000340BD"/>
    <w:rsid w:val="0003423A"/>
    <w:rsid w:val="00034683"/>
    <w:rsid w:val="0003477F"/>
    <w:rsid w:val="000348C8"/>
    <w:rsid w:val="0003511C"/>
    <w:rsid w:val="000356CE"/>
    <w:rsid w:val="00035AC3"/>
    <w:rsid w:val="00035C8D"/>
    <w:rsid w:val="00035D0F"/>
    <w:rsid w:val="00036089"/>
    <w:rsid w:val="00036469"/>
    <w:rsid w:val="000364C7"/>
    <w:rsid w:val="00036668"/>
    <w:rsid w:val="00036A56"/>
    <w:rsid w:val="00036AD8"/>
    <w:rsid w:val="00036DA1"/>
    <w:rsid w:val="00037037"/>
    <w:rsid w:val="00037128"/>
    <w:rsid w:val="00037302"/>
    <w:rsid w:val="0003735A"/>
    <w:rsid w:val="0003745B"/>
    <w:rsid w:val="0004005D"/>
    <w:rsid w:val="000400CE"/>
    <w:rsid w:val="000401C6"/>
    <w:rsid w:val="0004024C"/>
    <w:rsid w:val="00040864"/>
    <w:rsid w:val="000408C3"/>
    <w:rsid w:val="00040ADF"/>
    <w:rsid w:val="00040BF2"/>
    <w:rsid w:val="00040CCD"/>
    <w:rsid w:val="00040FB4"/>
    <w:rsid w:val="00041063"/>
    <w:rsid w:val="00041078"/>
    <w:rsid w:val="0004178C"/>
    <w:rsid w:val="00041A8E"/>
    <w:rsid w:val="00041BEE"/>
    <w:rsid w:val="00041C06"/>
    <w:rsid w:val="00041F5D"/>
    <w:rsid w:val="00042177"/>
    <w:rsid w:val="00042820"/>
    <w:rsid w:val="00042C81"/>
    <w:rsid w:val="00043A1F"/>
    <w:rsid w:val="00043BC9"/>
    <w:rsid w:val="00043D12"/>
    <w:rsid w:val="00043DBA"/>
    <w:rsid w:val="000441FB"/>
    <w:rsid w:val="000443A6"/>
    <w:rsid w:val="000443C5"/>
    <w:rsid w:val="00044444"/>
    <w:rsid w:val="000445DE"/>
    <w:rsid w:val="00044740"/>
    <w:rsid w:val="000449D1"/>
    <w:rsid w:val="000449E5"/>
    <w:rsid w:val="00044BF2"/>
    <w:rsid w:val="00044D07"/>
    <w:rsid w:val="00044D33"/>
    <w:rsid w:val="00044EF2"/>
    <w:rsid w:val="000452EB"/>
    <w:rsid w:val="000454F8"/>
    <w:rsid w:val="00045677"/>
    <w:rsid w:val="00045867"/>
    <w:rsid w:val="0004595A"/>
    <w:rsid w:val="00045A1F"/>
    <w:rsid w:val="00045B8D"/>
    <w:rsid w:val="00045C88"/>
    <w:rsid w:val="00045CC5"/>
    <w:rsid w:val="00046024"/>
    <w:rsid w:val="000460B8"/>
    <w:rsid w:val="000461E3"/>
    <w:rsid w:val="0004621F"/>
    <w:rsid w:val="00046227"/>
    <w:rsid w:val="000462AD"/>
    <w:rsid w:val="000462FC"/>
    <w:rsid w:val="00046447"/>
    <w:rsid w:val="0004669C"/>
    <w:rsid w:val="00046947"/>
    <w:rsid w:val="000469CC"/>
    <w:rsid w:val="00046B6A"/>
    <w:rsid w:val="00046D2D"/>
    <w:rsid w:val="00046DCD"/>
    <w:rsid w:val="0004702E"/>
    <w:rsid w:val="00047129"/>
    <w:rsid w:val="000472D4"/>
    <w:rsid w:val="00047546"/>
    <w:rsid w:val="0004787B"/>
    <w:rsid w:val="00047902"/>
    <w:rsid w:val="00047952"/>
    <w:rsid w:val="00047A80"/>
    <w:rsid w:val="00047BBA"/>
    <w:rsid w:val="00047D3A"/>
    <w:rsid w:val="00047DBF"/>
    <w:rsid w:val="00050095"/>
    <w:rsid w:val="00050131"/>
    <w:rsid w:val="0005061E"/>
    <w:rsid w:val="00050866"/>
    <w:rsid w:val="000511D4"/>
    <w:rsid w:val="00051659"/>
    <w:rsid w:val="0005184B"/>
    <w:rsid w:val="00051AD1"/>
    <w:rsid w:val="00051D90"/>
    <w:rsid w:val="0005208E"/>
    <w:rsid w:val="00052382"/>
    <w:rsid w:val="00052481"/>
    <w:rsid w:val="000524F5"/>
    <w:rsid w:val="000525C1"/>
    <w:rsid w:val="0005288E"/>
    <w:rsid w:val="00052B1A"/>
    <w:rsid w:val="00052DB7"/>
    <w:rsid w:val="00052DD3"/>
    <w:rsid w:val="00053105"/>
    <w:rsid w:val="0005326D"/>
    <w:rsid w:val="0005351D"/>
    <w:rsid w:val="00053725"/>
    <w:rsid w:val="0005372B"/>
    <w:rsid w:val="00053C48"/>
    <w:rsid w:val="00053C96"/>
    <w:rsid w:val="00053DD7"/>
    <w:rsid w:val="00053F6C"/>
    <w:rsid w:val="000540FC"/>
    <w:rsid w:val="00054CD1"/>
    <w:rsid w:val="00054E11"/>
    <w:rsid w:val="00054F4D"/>
    <w:rsid w:val="000554BF"/>
    <w:rsid w:val="00055785"/>
    <w:rsid w:val="000559BB"/>
    <w:rsid w:val="00055A6F"/>
    <w:rsid w:val="00056DA9"/>
    <w:rsid w:val="00056F02"/>
    <w:rsid w:val="000573D5"/>
    <w:rsid w:val="00057500"/>
    <w:rsid w:val="00057D31"/>
    <w:rsid w:val="00057D91"/>
    <w:rsid w:val="00057F0E"/>
    <w:rsid w:val="000605F9"/>
    <w:rsid w:val="00060616"/>
    <w:rsid w:val="00060A4B"/>
    <w:rsid w:val="00060AE4"/>
    <w:rsid w:val="00060DAE"/>
    <w:rsid w:val="00061011"/>
    <w:rsid w:val="00061303"/>
    <w:rsid w:val="000613CD"/>
    <w:rsid w:val="00061C00"/>
    <w:rsid w:val="00061C17"/>
    <w:rsid w:val="00061E9A"/>
    <w:rsid w:val="00061F6F"/>
    <w:rsid w:val="00062114"/>
    <w:rsid w:val="000628CD"/>
    <w:rsid w:val="000629DB"/>
    <w:rsid w:val="00062E14"/>
    <w:rsid w:val="00062E54"/>
    <w:rsid w:val="00063014"/>
    <w:rsid w:val="00063118"/>
    <w:rsid w:val="00063251"/>
    <w:rsid w:val="0006339C"/>
    <w:rsid w:val="00063611"/>
    <w:rsid w:val="00063837"/>
    <w:rsid w:val="00063D8C"/>
    <w:rsid w:val="00063E8E"/>
    <w:rsid w:val="0006420E"/>
    <w:rsid w:val="00064343"/>
    <w:rsid w:val="0006436B"/>
    <w:rsid w:val="00064783"/>
    <w:rsid w:val="000647C2"/>
    <w:rsid w:val="00064C18"/>
    <w:rsid w:val="00064C85"/>
    <w:rsid w:val="00064DED"/>
    <w:rsid w:val="00064F6E"/>
    <w:rsid w:val="0006507C"/>
    <w:rsid w:val="000651AB"/>
    <w:rsid w:val="0006530D"/>
    <w:rsid w:val="00065868"/>
    <w:rsid w:val="00065B79"/>
    <w:rsid w:val="00065E39"/>
    <w:rsid w:val="000663AA"/>
    <w:rsid w:val="000663DB"/>
    <w:rsid w:val="000663DC"/>
    <w:rsid w:val="000664B2"/>
    <w:rsid w:val="00066693"/>
    <w:rsid w:val="000666E1"/>
    <w:rsid w:val="000670E7"/>
    <w:rsid w:val="000670FB"/>
    <w:rsid w:val="00067154"/>
    <w:rsid w:val="0006715A"/>
    <w:rsid w:val="0006746E"/>
    <w:rsid w:val="0006755D"/>
    <w:rsid w:val="0006797F"/>
    <w:rsid w:val="000679EA"/>
    <w:rsid w:val="00067E96"/>
    <w:rsid w:val="0007021F"/>
    <w:rsid w:val="0007049B"/>
    <w:rsid w:val="000707C7"/>
    <w:rsid w:val="0007092B"/>
    <w:rsid w:val="000709A0"/>
    <w:rsid w:val="000709C8"/>
    <w:rsid w:val="00070CF6"/>
    <w:rsid w:val="00070DAA"/>
    <w:rsid w:val="00071B33"/>
    <w:rsid w:val="00071E4F"/>
    <w:rsid w:val="00071F2C"/>
    <w:rsid w:val="0007219A"/>
    <w:rsid w:val="00072268"/>
    <w:rsid w:val="0007227D"/>
    <w:rsid w:val="000726A5"/>
    <w:rsid w:val="00072B00"/>
    <w:rsid w:val="00072C94"/>
    <w:rsid w:val="00072ED7"/>
    <w:rsid w:val="00073670"/>
    <w:rsid w:val="000737EC"/>
    <w:rsid w:val="00073B2D"/>
    <w:rsid w:val="00074136"/>
    <w:rsid w:val="00074199"/>
    <w:rsid w:val="00074B76"/>
    <w:rsid w:val="00074C03"/>
    <w:rsid w:val="00074C13"/>
    <w:rsid w:val="00074E00"/>
    <w:rsid w:val="00074E78"/>
    <w:rsid w:val="00074E8F"/>
    <w:rsid w:val="000750B2"/>
    <w:rsid w:val="00075280"/>
    <w:rsid w:val="000753AF"/>
    <w:rsid w:val="000754A8"/>
    <w:rsid w:val="000754E5"/>
    <w:rsid w:val="000757A5"/>
    <w:rsid w:val="000757D7"/>
    <w:rsid w:val="000763E7"/>
    <w:rsid w:val="000766BB"/>
    <w:rsid w:val="000768F1"/>
    <w:rsid w:val="00076BE3"/>
    <w:rsid w:val="00076BF2"/>
    <w:rsid w:val="00076CE4"/>
    <w:rsid w:val="00076E90"/>
    <w:rsid w:val="0007754B"/>
    <w:rsid w:val="00077892"/>
    <w:rsid w:val="00077BC0"/>
    <w:rsid w:val="00077C40"/>
    <w:rsid w:val="00077EFE"/>
    <w:rsid w:val="00080090"/>
    <w:rsid w:val="00080241"/>
    <w:rsid w:val="00080366"/>
    <w:rsid w:val="00080C00"/>
    <w:rsid w:val="00080C88"/>
    <w:rsid w:val="00080DF2"/>
    <w:rsid w:val="000810DF"/>
    <w:rsid w:val="0008111D"/>
    <w:rsid w:val="00081778"/>
    <w:rsid w:val="000819AE"/>
    <w:rsid w:val="00081BD6"/>
    <w:rsid w:val="00081D47"/>
    <w:rsid w:val="0008226D"/>
    <w:rsid w:val="00082B76"/>
    <w:rsid w:val="00082C5C"/>
    <w:rsid w:val="00082CB6"/>
    <w:rsid w:val="00083297"/>
    <w:rsid w:val="00083320"/>
    <w:rsid w:val="0008366C"/>
    <w:rsid w:val="00083720"/>
    <w:rsid w:val="00083973"/>
    <w:rsid w:val="00083C0F"/>
    <w:rsid w:val="00083D4A"/>
    <w:rsid w:val="00083E49"/>
    <w:rsid w:val="00083E4C"/>
    <w:rsid w:val="00083FBE"/>
    <w:rsid w:val="00084014"/>
    <w:rsid w:val="00084061"/>
    <w:rsid w:val="00084095"/>
    <w:rsid w:val="00084288"/>
    <w:rsid w:val="000844A9"/>
    <w:rsid w:val="00084B25"/>
    <w:rsid w:val="00084CF6"/>
    <w:rsid w:val="00084F30"/>
    <w:rsid w:val="000853CB"/>
    <w:rsid w:val="00085431"/>
    <w:rsid w:val="00085502"/>
    <w:rsid w:val="000857B5"/>
    <w:rsid w:val="00085D80"/>
    <w:rsid w:val="000860C1"/>
    <w:rsid w:val="0008642C"/>
    <w:rsid w:val="0008658C"/>
    <w:rsid w:val="00086C65"/>
    <w:rsid w:val="00086E45"/>
    <w:rsid w:val="00086F5C"/>
    <w:rsid w:val="0008703C"/>
    <w:rsid w:val="000870B6"/>
    <w:rsid w:val="00087134"/>
    <w:rsid w:val="0008718A"/>
    <w:rsid w:val="0008730D"/>
    <w:rsid w:val="0008733F"/>
    <w:rsid w:val="00087443"/>
    <w:rsid w:val="0008774B"/>
    <w:rsid w:val="00087B34"/>
    <w:rsid w:val="00087C79"/>
    <w:rsid w:val="00087D73"/>
    <w:rsid w:val="000901CB"/>
    <w:rsid w:val="00090613"/>
    <w:rsid w:val="0009097D"/>
    <w:rsid w:val="00090BD1"/>
    <w:rsid w:val="00090C7B"/>
    <w:rsid w:val="00091810"/>
    <w:rsid w:val="00091857"/>
    <w:rsid w:val="00091955"/>
    <w:rsid w:val="00091BE6"/>
    <w:rsid w:val="00091C59"/>
    <w:rsid w:val="00091EE7"/>
    <w:rsid w:val="00091F08"/>
    <w:rsid w:val="00092363"/>
    <w:rsid w:val="0009251D"/>
    <w:rsid w:val="0009256E"/>
    <w:rsid w:val="00092A21"/>
    <w:rsid w:val="00092A25"/>
    <w:rsid w:val="00093066"/>
    <w:rsid w:val="00093290"/>
    <w:rsid w:val="000932AB"/>
    <w:rsid w:val="000935D8"/>
    <w:rsid w:val="00093985"/>
    <w:rsid w:val="00093C36"/>
    <w:rsid w:val="00093D9A"/>
    <w:rsid w:val="00094294"/>
    <w:rsid w:val="00094371"/>
    <w:rsid w:val="00094656"/>
    <w:rsid w:val="00094C13"/>
    <w:rsid w:val="00094ECE"/>
    <w:rsid w:val="000952EE"/>
    <w:rsid w:val="00095444"/>
    <w:rsid w:val="000956BF"/>
    <w:rsid w:val="000956F2"/>
    <w:rsid w:val="00095716"/>
    <w:rsid w:val="0009580D"/>
    <w:rsid w:val="00095B2D"/>
    <w:rsid w:val="00095D87"/>
    <w:rsid w:val="00096090"/>
    <w:rsid w:val="00096188"/>
    <w:rsid w:val="000962F6"/>
    <w:rsid w:val="00096549"/>
    <w:rsid w:val="0009676C"/>
    <w:rsid w:val="00096A4C"/>
    <w:rsid w:val="00096B52"/>
    <w:rsid w:val="00096D3D"/>
    <w:rsid w:val="00096E1E"/>
    <w:rsid w:val="0009703D"/>
    <w:rsid w:val="00097057"/>
    <w:rsid w:val="00097138"/>
    <w:rsid w:val="000971B5"/>
    <w:rsid w:val="00097239"/>
    <w:rsid w:val="000975A8"/>
    <w:rsid w:val="0009763D"/>
    <w:rsid w:val="000977BA"/>
    <w:rsid w:val="0009795B"/>
    <w:rsid w:val="00097A1A"/>
    <w:rsid w:val="00097B78"/>
    <w:rsid w:val="00097C5D"/>
    <w:rsid w:val="00097EBB"/>
    <w:rsid w:val="000A0237"/>
    <w:rsid w:val="000A047B"/>
    <w:rsid w:val="000A0707"/>
    <w:rsid w:val="000A0802"/>
    <w:rsid w:val="000A09BD"/>
    <w:rsid w:val="000A0D2C"/>
    <w:rsid w:val="000A0EF9"/>
    <w:rsid w:val="000A0EFF"/>
    <w:rsid w:val="000A10BF"/>
    <w:rsid w:val="000A1531"/>
    <w:rsid w:val="000A161A"/>
    <w:rsid w:val="000A1ACA"/>
    <w:rsid w:val="000A1BFE"/>
    <w:rsid w:val="000A1D31"/>
    <w:rsid w:val="000A1DB3"/>
    <w:rsid w:val="000A1FB3"/>
    <w:rsid w:val="000A1FCE"/>
    <w:rsid w:val="000A214F"/>
    <w:rsid w:val="000A2436"/>
    <w:rsid w:val="000A25F2"/>
    <w:rsid w:val="000A29C6"/>
    <w:rsid w:val="000A29CF"/>
    <w:rsid w:val="000A2ACD"/>
    <w:rsid w:val="000A2B65"/>
    <w:rsid w:val="000A2C0C"/>
    <w:rsid w:val="000A2C1E"/>
    <w:rsid w:val="000A2DA8"/>
    <w:rsid w:val="000A306A"/>
    <w:rsid w:val="000A309F"/>
    <w:rsid w:val="000A312B"/>
    <w:rsid w:val="000A34C2"/>
    <w:rsid w:val="000A36A0"/>
    <w:rsid w:val="000A3B9A"/>
    <w:rsid w:val="000A3BB0"/>
    <w:rsid w:val="000A3CBF"/>
    <w:rsid w:val="000A3FF8"/>
    <w:rsid w:val="000A4393"/>
    <w:rsid w:val="000A484F"/>
    <w:rsid w:val="000A48D5"/>
    <w:rsid w:val="000A48F5"/>
    <w:rsid w:val="000A4978"/>
    <w:rsid w:val="000A4A35"/>
    <w:rsid w:val="000A4D0B"/>
    <w:rsid w:val="000A4F18"/>
    <w:rsid w:val="000A535B"/>
    <w:rsid w:val="000A536B"/>
    <w:rsid w:val="000A5398"/>
    <w:rsid w:val="000A5451"/>
    <w:rsid w:val="000A5A79"/>
    <w:rsid w:val="000A5C47"/>
    <w:rsid w:val="000A61E5"/>
    <w:rsid w:val="000A6294"/>
    <w:rsid w:val="000A629E"/>
    <w:rsid w:val="000A6480"/>
    <w:rsid w:val="000A67E5"/>
    <w:rsid w:val="000A6B30"/>
    <w:rsid w:val="000A6D58"/>
    <w:rsid w:val="000A74BF"/>
    <w:rsid w:val="000A752E"/>
    <w:rsid w:val="000A7A45"/>
    <w:rsid w:val="000A7BCA"/>
    <w:rsid w:val="000A7C37"/>
    <w:rsid w:val="000A7F07"/>
    <w:rsid w:val="000B029E"/>
    <w:rsid w:val="000B02F9"/>
    <w:rsid w:val="000B0461"/>
    <w:rsid w:val="000B084B"/>
    <w:rsid w:val="000B089A"/>
    <w:rsid w:val="000B08D4"/>
    <w:rsid w:val="000B0F8F"/>
    <w:rsid w:val="000B11CE"/>
    <w:rsid w:val="000B1253"/>
    <w:rsid w:val="000B13EB"/>
    <w:rsid w:val="000B1C95"/>
    <w:rsid w:val="000B1D61"/>
    <w:rsid w:val="000B1E0C"/>
    <w:rsid w:val="000B1FDD"/>
    <w:rsid w:val="000B208F"/>
    <w:rsid w:val="000B2685"/>
    <w:rsid w:val="000B2A78"/>
    <w:rsid w:val="000B2E95"/>
    <w:rsid w:val="000B3330"/>
    <w:rsid w:val="000B3346"/>
    <w:rsid w:val="000B3352"/>
    <w:rsid w:val="000B35CC"/>
    <w:rsid w:val="000B3766"/>
    <w:rsid w:val="000B37B4"/>
    <w:rsid w:val="000B3CC7"/>
    <w:rsid w:val="000B3DD1"/>
    <w:rsid w:val="000B3E67"/>
    <w:rsid w:val="000B4154"/>
    <w:rsid w:val="000B43B0"/>
    <w:rsid w:val="000B4454"/>
    <w:rsid w:val="000B4586"/>
    <w:rsid w:val="000B4910"/>
    <w:rsid w:val="000B5020"/>
    <w:rsid w:val="000B502F"/>
    <w:rsid w:val="000B5194"/>
    <w:rsid w:val="000B521B"/>
    <w:rsid w:val="000B567D"/>
    <w:rsid w:val="000B5AB2"/>
    <w:rsid w:val="000B5F94"/>
    <w:rsid w:val="000B6185"/>
    <w:rsid w:val="000B6601"/>
    <w:rsid w:val="000B6895"/>
    <w:rsid w:val="000B6B76"/>
    <w:rsid w:val="000B6C57"/>
    <w:rsid w:val="000B6CF0"/>
    <w:rsid w:val="000B6EC6"/>
    <w:rsid w:val="000B7066"/>
    <w:rsid w:val="000B720C"/>
    <w:rsid w:val="000B7665"/>
    <w:rsid w:val="000B7784"/>
    <w:rsid w:val="000B7A99"/>
    <w:rsid w:val="000C01A4"/>
    <w:rsid w:val="000C0708"/>
    <w:rsid w:val="000C08CC"/>
    <w:rsid w:val="000C0EE6"/>
    <w:rsid w:val="000C1448"/>
    <w:rsid w:val="000C1631"/>
    <w:rsid w:val="000C1823"/>
    <w:rsid w:val="000C1C4F"/>
    <w:rsid w:val="000C20AE"/>
    <w:rsid w:val="000C2228"/>
    <w:rsid w:val="000C2CEE"/>
    <w:rsid w:val="000C2F12"/>
    <w:rsid w:val="000C341D"/>
    <w:rsid w:val="000C3A60"/>
    <w:rsid w:val="000C3D30"/>
    <w:rsid w:val="000C3DCA"/>
    <w:rsid w:val="000C3FE5"/>
    <w:rsid w:val="000C4568"/>
    <w:rsid w:val="000C45BB"/>
    <w:rsid w:val="000C4713"/>
    <w:rsid w:val="000C4743"/>
    <w:rsid w:val="000C47B8"/>
    <w:rsid w:val="000C47CB"/>
    <w:rsid w:val="000C4EA6"/>
    <w:rsid w:val="000C4F90"/>
    <w:rsid w:val="000C5144"/>
    <w:rsid w:val="000C56C9"/>
    <w:rsid w:val="000C5903"/>
    <w:rsid w:val="000C6248"/>
    <w:rsid w:val="000C67E2"/>
    <w:rsid w:val="000C7165"/>
    <w:rsid w:val="000C7397"/>
    <w:rsid w:val="000C74D1"/>
    <w:rsid w:val="000C7764"/>
    <w:rsid w:val="000C7C46"/>
    <w:rsid w:val="000C7CCC"/>
    <w:rsid w:val="000C7D1E"/>
    <w:rsid w:val="000C7EA3"/>
    <w:rsid w:val="000D0239"/>
    <w:rsid w:val="000D08B0"/>
    <w:rsid w:val="000D093D"/>
    <w:rsid w:val="000D0AFF"/>
    <w:rsid w:val="000D0CCC"/>
    <w:rsid w:val="000D0D18"/>
    <w:rsid w:val="000D11BD"/>
    <w:rsid w:val="000D1B52"/>
    <w:rsid w:val="000D1FDA"/>
    <w:rsid w:val="000D2083"/>
    <w:rsid w:val="000D239D"/>
    <w:rsid w:val="000D2C7C"/>
    <w:rsid w:val="000D2C9F"/>
    <w:rsid w:val="000D2D0B"/>
    <w:rsid w:val="000D2D29"/>
    <w:rsid w:val="000D2DD0"/>
    <w:rsid w:val="000D2F8F"/>
    <w:rsid w:val="000D31FA"/>
    <w:rsid w:val="000D383E"/>
    <w:rsid w:val="000D393E"/>
    <w:rsid w:val="000D3BC5"/>
    <w:rsid w:val="000D3BC7"/>
    <w:rsid w:val="000D40F7"/>
    <w:rsid w:val="000D432D"/>
    <w:rsid w:val="000D4405"/>
    <w:rsid w:val="000D450B"/>
    <w:rsid w:val="000D4613"/>
    <w:rsid w:val="000D4886"/>
    <w:rsid w:val="000D4B15"/>
    <w:rsid w:val="000D4C1B"/>
    <w:rsid w:val="000D4DB7"/>
    <w:rsid w:val="000D5523"/>
    <w:rsid w:val="000D5D89"/>
    <w:rsid w:val="000D5D8C"/>
    <w:rsid w:val="000D5DC8"/>
    <w:rsid w:val="000D637F"/>
    <w:rsid w:val="000D63BC"/>
    <w:rsid w:val="000D63DE"/>
    <w:rsid w:val="000D648B"/>
    <w:rsid w:val="000D6E1E"/>
    <w:rsid w:val="000D6F4E"/>
    <w:rsid w:val="000D7131"/>
    <w:rsid w:val="000E02B4"/>
    <w:rsid w:val="000E03DC"/>
    <w:rsid w:val="000E049E"/>
    <w:rsid w:val="000E0669"/>
    <w:rsid w:val="000E0796"/>
    <w:rsid w:val="000E0C2B"/>
    <w:rsid w:val="000E1124"/>
    <w:rsid w:val="000E1130"/>
    <w:rsid w:val="000E1148"/>
    <w:rsid w:val="000E14D4"/>
    <w:rsid w:val="000E169A"/>
    <w:rsid w:val="000E1AC6"/>
    <w:rsid w:val="000E1D15"/>
    <w:rsid w:val="000E1E3E"/>
    <w:rsid w:val="000E1EC1"/>
    <w:rsid w:val="000E1FCF"/>
    <w:rsid w:val="000E203E"/>
    <w:rsid w:val="000E22A5"/>
    <w:rsid w:val="000E259F"/>
    <w:rsid w:val="000E286F"/>
    <w:rsid w:val="000E2F6B"/>
    <w:rsid w:val="000E3500"/>
    <w:rsid w:val="000E350C"/>
    <w:rsid w:val="000E358C"/>
    <w:rsid w:val="000E3606"/>
    <w:rsid w:val="000E3877"/>
    <w:rsid w:val="000E3893"/>
    <w:rsid w:val="000E3CF2"/>
    <w:rsid w:val="000E4277"/>
    <w:rsid w:val="000E45F5"/>
    <w:rsid w:val="000E4917"/>
    <w:rsid w:val="000E4BDC"/>
    <w:rsid w:val="000E4F46"/>
    <w:rsid w:val="000E4F4C"/>
    <w:rsid w:val="000E5150"/>
    <w:rsid w:val="000E5531"/>
    <w:rsid w:val="000E5792"/>
    <w:rsid w:val="000E5CD6"/>
    <w:rsid w:val="000E5DC4"/>
    <w:rsid w:val="000E5EBB"/>
    <w:rsid w:val="000E6410"/>
    <w:rsid w:val="000E6590"/>
    <w:rsid w:val="000E66F6"/>
    <w:rsid w:val="000E678B"/>
    <w:rsid w:val="000E69B0"/>
    <w:rsid w:val="000E6D0C"/>
    <w:rsid w:val="000E6F6F"/>
    <w:rsid w:val="000E7210"/>
    <w:rsid w:val="000E7631"/>
    <w:rsid w:val="000E7AA1"/>
    <w:rsid w:val="000E7AD2"/>
    <w:rsid w:val="000E7C87"/>
    <w:rsid w:val="000F0127"/>
    <w:rsid w:val="000F0405"/>
    <w:rsid w:val="000F0E6A"/>
    <w:rsid w:val="000F0FA6"/>
    <w:rsid w:val="000F13E2"/>
    <w:rsid w:val="000F145B"/>
    <w:rsid w:val="000F1ED2"/>
    <w:rsid w:val="000F1F08"/>
    <w:rsid w:val="000F204C"/>
    <w:rsid w:val="000F215B"/>
    <w:rsid w:val="000F2A3C"/>
    <w:rsid w:val="000F2B83"/>
    <w:rsid w:val="000F2E01"/>
    <w:rsid w:val="000F2F79"/>
    <w:rsid w:val="000F3085"/>
    <w:rsid w:val="000F30D7"/>
    <w:rsid w:val="000F35E4"/>
    <w:rsid w:val="000F3832"/>
    <w:rsid w:val="000F386C"/>
    <w:rsid w:val="000F38B3"/>
    <w:rsid w:val="000F38B8"/>
    <w:rsid w:val="000F3C64"/>
    <w:rsid w:val="000F3FDF"/>
    <w:rsid w:val="000F3FFC"/>
    <w:rsid w:val="000F410D"/>
    <w:rsid w:val="000F42E1"/>
    <w:rsid w:val="000F4508"/>
    <w:rsid w:val="000F456D"/>
    <w:rsid w:val="000F45F9"/>
    <w:rsid w:val="000F476B"/>
    <w:rsid w:val="000F4B05"/>
    <w:rsid w:val="000F4C7B"/>
    <w:rsid w:val="000F56A1"/>
    <w:rsid w:val="000F58E6"/>
    <w:rsid w:val="000F5959"/>
    <w:rsid w:val="000F5A54"/>
    <w:rsid w:val="000F5F8E"/>
    <w:rsid w:val="000F60F8"/>
    <w:rsid w:val="000F6252"/>
    <w:rsid w:val="000F6262"/>
    <w:rsid w:val="000F6625"/>
    <w:rsid w:val="000F67D4"/>
    <w:rsid w:val="000F6C67"/>
    <w:rsid w:val="000F70A1"/>
    <w:rsid w:val="000F73C3"/>
    <w:rsid w:val="000F7503"/>
    <w:rsid w:val="000F782F"/>
    <w:rsid w:val="000F7987"/>
    <w:rsid w:val="000F7B07"/>
    <w:rsid w:val="000F7B3E"/>
    <w:rsid w:val="000F7CF9"/>
    <w:rsid w:val="000F7D41"/>
    <w:rsid w:val="000F7DE1"/>
    <w:rsid w:val="00100022"/>
    <w:rsid w:val="001001D4"/>
    <w:rsid w:val="001004F4"/>
    <w:rsid w:val="0010051C"/>
    <w:rsid w:val="001008C8"/>
    <w:rsid w:val="00100947"/>
    <w:rsid w:val="00101863"/>
    <w:rsid w:val="00101B70"/>
    <w:rsid w:val="001026F1"/>
    <w:rsid w:val="00102DC0"/>
    <w:rsid w:val="00103233"/>
    <w:rsid w:val="0010330E"/>
    <w:rsid w:val="00103595"/>
    <w:rsid w:val="001036DE"/>
    <w:rsid w:val="0010378B"/>
    <w:rsid w:val="0010379C"/>
    <w:rsid w:val="00103838"/>
    <w:rsid w:val="00103B82"/>
    <w:rsid w:val="00103D82"/>
    <w:rsid w:val="00103DBC"/>
    <w:rsid w:val="00103FC2"/>
    <w:rsid w:val="0010415D"/>
    <w:rsid w:val="001042DD"/>
    <w:rsid w:val="0010448B"/>
    <w:rsid w:val="0010474C"/>
    <w:rsid w:val="0010482F"/>
    <w:rsid w:val="001048E7"/>
    <w:rsid w:val="0010493F"/>
    <w:rsid w:val="00104957"/>
    <w:rsid w:val="001049A1"/>
    <w:rsid w:val="001049C3"/>
    <w:rsid w:val="00104B8F"/>
    <w:rsid w:val="00104B90"/>
    <w:rsid w:val="001050CC"/>
    <w:rsid w:val="0010521F"/>
    <w:rsid w:val="0010526A"/>
    <w:rsid w:val="00105290"/>
    <w:rsid w:val="001052C5"/>
    <w:rsid w:val="001056FF"/>
    <w:rsid w:val="00105709"/>
    <w:rsid w:val="0010590C"/>
    <w:rsid w:val="00105B8F"/>
    <w:rsid w:val="0010625A"/>
    <w:rsid w:val="001064FA"/>
    <w:rsid w:val="001065C1"/>
    <w:rsid w:val="00106C88"/>
    <w:rsid w:val="001071ED"/>
    <w:rsid w:val="001073D1"/>
    <w:rsid w:val="00107524"/>
    <w:rsid w:val="0010752C"/>
    <w:rsid w:val="00107812"/>
    <w:rsid w:val="001078D6"/>
    <w:rsid w:val="00107C43"/>
    <w:rsid w:val="00107DCD"/>
    <w:rsid w:val="00107E0C"/>
    <w:rsid w:val="00107EF0"/>
    <w:rsid w:val="00110026"/>
    <w:rsid w:val="001101C7"/>
    <w:rsid w:val="001102CC"/>
    <w:rsid w:val="001102D8"/>
    <w:rsid w:val="0011038C"/>
    <w:rsid w:val="00110480"/>
    <w:rsid w:val="001105C9"/>
    <w:rsid w:val="00110934"/>
    <w:rsid w:val="00110948"/>
    <w:rsid w:val="00110B6F"/>
    <w:rsid w:val="00110CC3"/>
    <w:rsid w:val="00110DDB"/>
    <w:rsid w:val="00110E0B"/>
    <w:rsid w:val="00110E18"/>
    <w:rsid w:val="00110E8E"/>
    <w:rsid w:val="00110F2C"/>
    <w:rsid w:val="00111083"/>
    <w:rsid w:val="00111417"/>
    <w:rsid w:val="001114BD"/>
    <w:rsid w:val="00112E0B"/>
    <w:rsid w:val="00113374"/>
    <w:rsid w:val="001135B5"/>
    <w:rsid w:val="0011386D"/>
    <w:rsid w:val="00113A12"/>
    <w:rsid w:val="00113B95"/>
    <w:rsid w:val="00113C60"/>
    <w:rsid w:val="00113E3F"/>
    <w:rsid w:val="001144E1"/>
    <w:rsid w:val="00114C3B"/>
    <w:rsid w:val="00114C7C"/>
    <w:rsid w:val="00114D28"/>
    <w:rsid w:val="00115083"/>
    <w:rsid w:val="00115488"/>
    <w:rsid w:val="00115691"/>
    <w:rsid w:val="00115C5A"/>
    <w:rsid w:val="00115D77"/>
    <w:rsid w:val="0011646B"/>
    <w:rsid w:val="0011690B"/>
    <w:rsid w:val="0011698F"/>
    <w:rsid w:val="001169B8"/>
    <w:rsid w:val="00116E2C"/>
    <w:rsid w:val="00116F00"/>
    <w:rsid w:val="00117039"/>
    <w:rsid w:val="001175A1"/>
    <w:rsid w:val="00117618"/>
    <w:rsid w:val="00117F04"/>
    <w:rsid w:val="00120214"/>
    <w:rsid w:val="00120285"/>
    <w:rsid w:val="001202F1"/>
    <w:rsid w:val="001203BB"/>
    <w:rsid w:val="00120450"/>
    <w:rsid w:val="00120922"/>
    <w:rsid w:val="00120BD3"/>
    <w:rsid w:val="00120E21"/>
    <w:rsid w:val="00121202"/>
    <w:rsid w:val="001217CA"/>
    <w:rsid w:val="00121950"/>
    <w:rsid w:val="00121C7B"/>
    <w:rsid w:val="001221FB"/>
    <w:rsid w:val="00122452"/>
    <w:rsid w:val="00122777"/>
    <w:rsid w:val="00122AE3"/>
    <w:rsid w:val="00122DE8"/>
    <w:rsid w:val="00122E71"/>
    <w:rsid w:val="00122EC5"/>
    <w:rsid w:val="00122EE1"/>
    <w:rsid w:val="0012358F"/>
    <w:rsid w:val="00123658"/>
    <w:rsid w:val="001237AF"/>
    <w:rsid w:val="00123ADD"/>
    <w:rsid w:val="00123B25"/>
    <w:rsid w:val="00123DD1"/>
    <w:rsid w:val="00123E33"/>
    <w:rsid w:val="00123EF8"/>
    <w:rsid w:val="00124134"/>
    <w:rsid w:val="00124331"/>
    <w:rsid w:val="0012463A"/>
    <w:rsid w:val="001247EB"/>
    <w:rsid w:val="00124AF1"/>
    <w:rsid w:val="00124F09"/>
    <w:rsid w:val="00124F3C"/>
    <w:rsid w:val="001259AF"/>
    <w:rsid w:val="00125B61"/>
    <w:rsid w:val="00125DEB"/>
    <w:rsid w:val="00126122"/>
    <w:rsid w:val="00126394"/>
    <w:rsid w:val="001267D7"/>
    <w:rsid w:val="00126D9D"/>
    <w:rsid w:val="00126F5F"/>
    <w:rsid w:val="00126FB2"/>
    <w:rsid w:val="00127181"/>
    <w:rsid w:val="001272A5"/>
    <w:rsid w:val="00127327"/>
    <w:rsid w:val="00127542"/>
    <w:rsid w:val="001278C8"/>
    <w:rsid w:val="00127B34"/>
    <w:rsid w:val="00127B82"/>
    <w:rsid w:val="00127FC3"/>
    <w:rsid w:val="00130239"/>
    <w:rsid w:val="00130DC4"/>
    <w:rsid w:val="001310C8"/>
    <w:rsid w:val="00131274"/>
    <w:rsid w:val="00131B70"/>
    <w:rsid w:val="00131D45"/>
    <w:rsid w:val="00131D5D"/>
    <w:rsid w:val="00131EB2"/>
    <w:rsid w:val="001320F0"/>
    <w:rsid w:val="0013239F"/>
    <w:rsid w:val="00132466"/>
    <w:rsid w:val="001325FB"/>
    <w:rsid w:val="00132BD6"/>
    <w:rsid w:val="00132DF1"/>
    <w:rsid w:val="00132E80"/>
    <w:rsid w:val="00132F91"/>
    <w:rsid w:val="0013327D"/>
    <w:rsid w:val="001335FE"/>
    <w:rsid w:val="001336D1"/>
    <w:rsid w:val="001336E0"/>
    <w:rsid w:val="0013396B"/>
    <w:rsid w:val="00133E5D"/>
    <w:rsid w:val="00133F34"/>
    <w:rsid w:val="00133F54"/>
    <w:rsid w:val="00134172"/>
    <w:rsid w:val="001341E7"/>
    <w:rsid w:val="0013442C"/>
    <w:rsid w:val="0013448B"/>
    <w:rsid w:val="00134777"/>
    <w:rsid w:val="0013485D"/>
    <w:rsid w:val="0013495E"/>
    <w:rsid w:val="00134AE2"/>
    <w:rsid w:val="0013506C"/>
    <w:rsid w:val="00135155"/>
    <w:rsid w:val="00135273"/>
    <w:rsid w:val="00135882"/>
    <w:rsid w:val="0013595E"/>
    <w:rsid w:val="00135ED7"/>
    <w:rsid w:val="00135FC9"/>
    <w:rsid w:val="0013625D"/>
    <w:rsid w:val="0013625F"/>
    <w:rsid w:val="0013661E"/>
    <w:rsid w:val="00136ED7"/>
    <w:rsid w:val="00137521"/>
    <w:rsid w:val="001376C4"/>
    <w:rsid w:val="001376DE"/>
    <w:rsid w:val="00140193"/>
    <w:rsid w:val="0014068D"/>
    <w:rsid w:val="00140AF5"/>
    <w:rsid w:val="00141001"/>
    <w:rsid w:val="001414E2"/>
    <w:rsid w:val="001416BF"/>
    <w:rsid w:val="001419C6"/>
    <w:rsid w:val="00141C3B"/>
    <w:rsid w:val="00141C61"/>
    <w:rsid w:val="00141DD7"/>
    <w:rsid w:val="00141E53"/>
    <w:rsid w:val="00141E7D"/>
    <w:rsid w:val="00141FAD"/>
    <w:rsid w:val="001420AF"/>
    <w:rsid w:val="0014212C"/>
    <w:rsid w:val="001423C8"/>
    <w:rsid w:val="0014253E"/>
    <w:rsid w:val="001425FD"/>
    <w:rsid w:val="001430D6"/>
    <w:rsid w:val="0014315B"/>
    <w:rsid w:val="00143413"/>
    <w:rsid w:val="00143478"/>
    <w:rsid w:val="00143783"/>
    <w:rsid w:val="0014387A"/>
    <w:rsid w:val="00143BF4"/>
    <w:rsid w:val="00143CE1"/>
    <w:rsid w:val="00143DD9"/>
    <w:rsid w:val="00143F2F"/>
    <w:rsid w:val="00144305"/>
    <w:rsid w:val="001443B9"/>
    <w:rsid w:val="0014474A"/>
    <w:rsid w:val="0014474F"/>
    <w:rsid w:val="001447A2"/>
    <w:rsid w:val="00144977"/>
    <w:rsid w:val="001449B9"/>
    <w:rsid w:val="00144A3F"/>
    <w:rsid w:val="001450B1"/>
    <w:rsid w:val="0014569B"/>
    <w:rsid w:val="0014591C"/>
    <w:rsid w:val="00145924"/>
    <w:rsid w:val="001459AF"/>
    <w:rsid w:val="001459F3"/>
    <w:rsid w:val="00145A1F"/>
    <w:rsid w:val="00145CDC"/>
    <w:rsid w:val="00145D70"/>
    <w:rsid w:val="00145DC9"/>
    <w:rsid w:val="0014600C"/>
    <w:rsid w:val="0014607B"/>
    <w:rsid w:val="00146352"/>
    <w:rsid w:val="00146624"/>
    <w:rsid w:val="0014662C"/>
    <w:rsid w:val="001467C4"/>
    <w:rsid w:val="00146944"/>
    <w:rsid w:val="00146A8B"/>
    <w:rsid w:val="001477BF"/>
    <w:rsid w:val="00147899"/>
    <w:rsid w:val="001479B3"/>
    <w:rsid w:val="00147B9E"/>
    <w:rsid w:val="00147CAA"/>
    <w:rsid w:val="001500A9"/>
    <w:rsid w:val="001500DB"/>
    <w:rsid w:val="00150169"/>
    <w:rsid w:val="001502A9"/>
    <w:rsid w:val="00150376"/>
    <w:rsid w:val="001503A4"/>
    <w:rsid w:val="001505D8"/>
    <w:rsid w:val="0015082E"/>
    <w:rsid w:val="001508E2"/>
    <w:rsid w:val="00150AC8"/>
    <w:rsid w:val="00150B95"/>
    <w:rsid w:val="00150D96"/>
    <w:rsid w:val="00151064"/>
    <w:rsid w:val="001518D0"/>
    <w:rsid w:val="00151C1D"/>
    <w:rsid w:val="00151D8D"/>
    <w:rsid w:val="00151D98"/>
    <w:rsid w:val="00151DBD"/>
    <w:rsid w:val="00151E5E"/>
    <w:rsid w:val="00151ECB"/>
    <w:rsid w:val="00152504"/>
    <w:rsid w:val="00152553"/>
    <w:rsid w:val="00152707"/>
    <w:rsid w:val="00152ACD"/>
    <w:rsid w:val="00152AEC"/>
    <w:rsid w:val="001531D6"/>
    <w:rsid w:val="0015339F"/>
    <w:rsid w:val="00153441"/>
    <w:rsid w:val="001537A1"/>
    <w:rsid w:val="00153899"/>
    <w:rsid w:val="001539B2"/>
    <w:rsid w:val="00153A44"/>
    <w:rsid w:val="00153B0E"/>
    <w:rsid w:val="00153CAB"/>
    <w:rsid w:val="00153CEF"/>
    <w:rsid w:val="00153F63"/>
    <w:rsid w:val="0015424D"/>
    <w:rsid w:val="001547CE"/>
    <w:rsid w:val="001551F1"/>
    <w:rsid w:val="00155434"/>
    <w:rsid w:val="00155455"/>
    <w:rsid w:val="001554E8"/>
    <w:rsid w:val="001555BD"/>
    <w:rsid w:val="0015570F"/>
    <w:rsid w:val="00155BDA"/>
    <w:rsid w:val="00155E0A"/>
    <w:rsid w:val="00156567"/>
    <w:rsid w:val="00156FA7"/>
    <w:rsid w:val="001571BE"/>
    <w:rsid w:val="001578E1"/>
    <w:rsid w:val="00157D6D"/>
    <w:rsid w:val="00157F90"/>
    <w:rsid w:val="0016023A"/>
    <w:rsid w:val="00160D47"/>
    <w:rsid w:val="001613DA"/>
    <w:rsid w:val="00161440"/>
    <w:rsid w:val="00161499"/>
    <w:rsid w:val="001614BF"/>
    <w:rsid w:val="00161623"/>
    <w:rsid w:val="00161C1E"/>
    <w:rsid w:val="001621BB"/>
    <w:rsid w:val="00162280"/>
    <w:rsid w:val="001623D4"/>
    <w:rsid w:val="0016251E"/>
    <w:rsid w:val="00162628"/>
    <w:rsid w:val="001627E9"/>
    <w:rsid w:val="00162B5C"/>
    <w:rsid w:val="00162DBF"/>
    <w:rsid w:val="0016309A"/>
    <w:rsid w:val="001633A1"/>
    <w:rsid w:val="0016363A"/>
    <w:rsid w:val="001639F3"/>
    <w:rsid w:val="00163A0F"/>
    <w:rsid w:val="00163F86"/>
    <w:rsid w:val="00163FE1"/>
    <w:rsid w:val="001642C0"/>
    <w:rsid w:val="00164790"/>
    <w:rsid w:val="00164990"/>
    <w:rsid w:val="00164CF8"/>
    <w:rsid w:val="001652A7"/>
    <w:rsid w:val="001653AE"/>
    <w:rsid w:val="00165448"/>
    <w:rsid w:val="00165494"/>
    <w:rsid w:val="00165543"/>
    <w:rsid w:val="00165907"/>
    <w:rsid w:val="00165944"/>
    <w:rsid w:val="00165ED6"/>
    <w:rsid w:val="0016619A"/>
    <w:rsid w:val="0016692A"/>
    <w:rsid w:val="00166EB4"/>
    <w:rsid w:val="00166F01"/>
    <w:rsid w:val="00166FAA"/>
    <w:rsid w:val="00167064"/>
    <w:rsid w:val="001673C9"/>
    <w:rsid w:val="001678CF"/>
    <w:rsid w:val="00167BAE"/>
    <w:rsid w:val="00167E02"/>
    <w:rsid w:val="0017010A"/>
    <w:rsid w:val="0017020C"/>
    <w:rsid w:val="0017082B"/>
    <w:rsid w:val="0017095D"/>
    <w:rsid w:val="00170AB9"/>
    <w:rsid w:val="00170B55"/>
    <w:rsid w:val="00170D5B"/>
    <w:rsid w:val="00170E47"/>
    <w:rsid w:val="00171060"/>
    <w:rsid w:val="00171283"/>
    <w:rsid w:val="00171E77"/>
    <w:rsid w:val="0017201B"/>
    <w:rsid w:val="00172054"/>
    <w:rsid w:val="00172446"/>
    <w:rsid w:val="0017270D"/>
    <w:rsid w:val="00172837"/>
    <w:rsid w:val="0017287D"/>
    <w:rsid w:val="00172B8F"/>
    <w:rsid w:val="0017308E"/>
    <w:rsid w:val="0017343B"/>
    <w:rsid w:val="001736F8"/>
    <w:rsid w:val="001737B3"/>
    <w:rsid w:val="00173A2C"/>
    <w:rsid w:val="00173AF6"/>
    <w:rsid w:val="00173D76"/>
    <w:rsid w:val="00173D85"/>
    <w:rsid w:val="00173E6C"/>
    <w:rsid w:val="00174209"/>
    <w:rsid w:val="001744AE"/>
    <w:rsid w:val="00174637"/>
    <w:rsid w:val="0017477B"/>
    <w:rsid w:val="00174BB7"/>
    <w:rsid w:val="00174C25"/>
    <w:rsid w:val="00174C6D"/>
    <w:rsid w:val="00174E9A"/>
    <w:rsid w:val="00174F20"/>
    <w:rsid w:val="00174FD4"/>
    <w:rsid w:val="00175010"/>
    <w:rsid w:val="001754AE"/>
    <w:rsid w:val="00175783"/>
    <w:rsid w:val="00175C1C"/>
    <w:rsid w:val="00175E8C"/>
    <w:rsid w:val="00176295"/>
    <w:rsid w:val="001762A0"/>
    <w:rsid w:val="0017661E"/>
    <w:rsid w:val="001766CA"/>
    <w:rsid w:val="00176A96"/>
    <w:rsid w:val="00176B2A"/>
    <w:rsid w:val="00176B6E"/>
    <w:rsid w:val="00177719"/>
    <w:rsid w:val="0017774B"/>
    <w:rsid w:val="00177823"/>
    <w:rsid w:val="00177992"/>
    <w:rsid w:val="00177CD6"/>
    <w:rsid w:val="00180062"/>
    <w:rsid w:val="001801D9"/>
    <w:rsid w:val="0018024D"/>
    <w:rsid w:val="00180E69"/>
    <w:rsid w:val="0018122A"/>
    <w:rsid w:val="00181424"/>
    <w:rsid w:val="001817AF"/>
    <w:rsid w:val="001819CF"/>
    <w:rsid w:val="00182A7A"/>
    <w:rsid w:val="00182AA1"/>
    <w:rsid w:val="00182F0F"/>
    <w:rsid w:val="00183322"/>
    <w:rsid w:val="00183745"/>
    <w:rsid w:val="00183938"/>
    <w:rsid w:val="00183B5B"/>
    <w:rsid w:val="001842AC"/>
    <w:rsid w:val="00184328"/>
    <w:rsid w:val="001844E9"/>
    <w:rsid w:val="0018467E"/>
    <w:rsid w:val="00184685"/>
    <w:rsid w:val="0018483D"/>
    <w:rsid w:val="00184AF7"/>
    <w:rsid w:val="00184BAE"/>
    <w:rsid w:val="00184E33"/>
    <w:rsid w:val="00184E7D"/>
    <w:rsid w:val="001853C6"/>
    <w:rsid w:val="00185729"/>
    <w:rsid w:val="0018583D"/>
    <w:rsid w:val="001858DC"/>
    <w:rsid w:val="00186070"/>
    <w:rsid w:val="001865A9"/>
    <w:rsid w:val="001865AC"/>
    <w:rsid w:val="001865FB"/>
    <w:rsid w:val="001867C6"/>
    <w:rsid w:val="00186917"/>
    <w:rsid w:val="001869BF"/>
    <w:rsid w:val="00186A40"/>
    <w:rsid w:val="00186EC8"/>
    <w:rsid w:val="00187206"/>
    <w:rsid w:val="0018729B"/>
    <w:rsid w:val="00187514"/>
    <w:rsid w:val="00187814"/>
    <w:rsid w:val="00187AFE"/>
    <w:rsid w:val="00187D4C"/>
    <w:rsid w:val="00187E4A"/>
    <w:rsid w:val="0019072B"/>
    <w:rsid w:val="001907A6"/>
    <w:rsid w:val="0019083F"/>
    <w:rsid w:val="00190966"/>
    <w:rsid w:val="00190C2F"/>
    <w:rsid w:val="0019133A"/>
    <w:rsid w:val="001913EC"/>
    <w:rsid w:val="001918E4"/>
    <w:rsid w:val="00191938"/>
    <w:rsid w:val="00191983"/>
    <w:rsid w:val="001919C2"/>
    <w:rsid w:val="00191A15"/>
    <w:rsid w:val="00191CA8"/>
    <w:rsid w:val="00191F03"/>
    <w:rsid w:val="00192064"/>
    <w:rsid w:val="00192169"/>
    <w:rsid w:val="00192195"/>
    <w:rsid w:val="001921B8"/>
    <w:rsid w:val="0019250B"/>
    <w:rsid w:val="0019264A"/>
    <w:rsid w:val="00192ECC"/>
    <w:rsid w:val="00193084"/>
    <w:rsid w:val="001930AD"/>
    <w:rsid w:val="001934CC"/>
    <w:rsid w:val="0019362A"/>
    <w:rsid w:val="00193BC1"/>
    <w:rsid w:val="0019406D"/>
    <w:rsid w:val="0019415C"/>
    <w:rsid w:val="0019416A"/>
    <w:rsid w:val="001941B9"/>
    <w:rsid w:val="00194372"/>
    <w:rsid w:val="001943A7"/>
    <w:rsid w:val="001943D6"/>
    <w:rsid w:val="00194549"/>
    <w:rsid w:val="00194640"/>
    <w:rsid w:val="0019474E"/>
    <w:rsid w:val="001948BC"/>
    <w:rsid w:val="00194EDC"/>
    <w:rsid w:val="0019503D"/>
    <w:rsid w:val="00195712"/>
    <w:rsid w:val="00195728"/>
    <w:rsid w:val="0019596D"/>
    <w:rsid w:val="00195EF0"/>
    <w:rsid w:val="00196349"/>
    <w:rsid w:val="0019643B"/>
    <w:rsid w:val="00196578"/>
    <w:rsid w:val="001965E7"/>
    <w:rsid w:val="00196D2E"/>
    <w:rsid w:val="00196E5E"/>
    <w:rsid w:val="00196E65"/>
    <w:rsid w:val="001970B5"/>
    <w:rsid w:val="001970C0"/>
    <w:rsid w:val="0019787E"/>
    <w:rsid w:val="00197AE1"/>
    <w:rsid w:val="00197F17"/>
    <w:rsid w:val="001A0981"/>
    <w:rsid w:val="001A0B8F"/>
    <w:rsid w:val="001A1042"/>
    <w:rsid w:val="001A107E"/>
    <w:rsid w:val="001A138C"/>
    <w:rsid w:val="001A142F"/>
    <w:rsid w:val="001A15E6"/>
    <w:rsid w:val="001A171F"/>
    <w:rsid w:val="001A172F"/>
    <w:rsid w:val="001A18AD"/>
    <w:rsid w:val="001A1CB7"/>
    <w:rsid w:val="001A2277"/>
    <w:rsid w:val="001A247F"/>
    <w:rsid w:val="001A254B"/>
    <w:rsid w:val="001A269C"/>
    <w:rsid w:val="001A2706"/>
    <w:rsid w:val="001A2CD0"/>
    <w:rsid w:val="001A2EBF"/>
    <w:rsid w:val="001A2FC7"/>
    <w:rsid w:val="001A3734"/>
    <w:rsid w:val="001A3C73"/>
    <w:rsid w:val="001A4197"/>
    <w:rsid w:val="001A420B"/>
    <w:rsid w:val="001A42D9"/>
    <w:rsid w:val="001A4475"/>
    <w:rsid w:val="001A4629"/>
    <w:rsid w:val="001A4712"/>
    <w:rsid w:val="001A4B97"/>
    <w:rsid w:val="001A4F7D"/>
    <w:rsid w:val="001A516E"/>
    <w:rsid w:val="001A56E8"/>
    <w:rsid w:val="001A5C2E"/>
    <w:rsid w:val="001A5F61"/>
    <w:rsid w:val="001A5F67"/>
    <w:rsid w:val="001A61C3"/>
    <w:rsid w:val="001A62C9"/>
    <w:rsid w:val="001A6625"/>
    <w:rsid w:val="001A66D6"/>
    <w:rsid w:val="001A6B58"/>
    <w:rsid w:val="001A6BEF"/>
    <w:rsid w:val="001A6C17"/>
    <w:rsid w:val="001A6E4D"/>
    <w:rsid w:val="001A6EAB"/>
    <w:rsid w:val="001A7134"/>
    <w:rsid w:val="001A73BA"/>
    <w:rsid w:val="001A7749"/>
    <w:rsid w:val="001A799F"/>
    <w:rsid w:val="001A7B42"/>
    <w:rsid w:val="001A7D8F"/>
    <w:rsid w:val="001B0249"/>
    <w:rsid w:val="001B02B7"/>
    <w:rsid w:val="001B06F2"/>
    <w:rsid w:val="001B0AF2"/>
    <w:rsid w:val="001B0C5E"/>
    <w:rsid w:val="001B0F71"/>
    <w:rsid w:val="001B1568"/>
    <w:rsid w:val="001B1900"/>
    <w:rsid w:val="001B1AE8"/>
    <w:rsid w:val="001B1F93"/>
    <w:rsid w:val="001B20CE"/>
    <w:rsid w:val="001B22B4"/>
    <w:rsid w:val="001B234A"/>
    <w:rsid w:val="001B2513"/>
    <w:rsid w:val="001B26B1"/>
    <w:rsid w:val="001B295F"/>
    <w:rsid w:val="001B2978"/>
    <w:rsid w:val="001B2A97"/>
    <w:rsid w:val="001B2AC2"/>
    <w:rsid w:val="001B2CD4"/>
    <w:rsid w:val="001B315C"/>
    <w:rsid w:val="001B316A"/>
    <w:rsid w:val="001B34B7"/>
    <w:rsid w:val="001B3AD2"/>
    <w:rsid w:val="001B3BD4"/>
    <w:rsid w:val="001B3CDE"/>
    <w:rsid w:val="001B46F3"/>
    <w:rsid w:val="001B4D42"/>
    <w:rsid w:val="001B52F1"/>
    <w:rsid w:val="001B5788"/>
    <w:rsid w:val="001B5BEB"/>
    <w:rsid w:val="001B60B6"/>
    <w:rsid w:val="001B60F4"/>
    <w:rsid w:val="001B61F3"/>
    <w:rsid w:val="001B629B"/>
    <w:rsid w:val="001B644F"/>
    <w:rsid w:val="001B676F"/>
    <w:rsid w:val="001B7152"/>
    <w:rsid w:val="001B72B4"/>
    <w:rsid w:val="001B7329"/>
    <w:rsid w:val="001B794C"/>
    <w:rsid w:val="001B7A58"/>
    <w:rsid w:val="001B7C78"/>
    <w:rsid w:val="001B7EA9"/>
    <w:rsid w:val="001C00DD"/>
    <w:rsid w:val="001C022E"/>
    <w:rsid w:val="001C0450"/>
    <w:rsid w:val="001C077F"/>
    <w:rsid w:val="001C0963"/>
    <w:rsid w:val="001C0DA0"/>
    <w:rsid w:val="001C1140"/>
    <w:rsid w:val="001C154F"/>
    <w:rsid w:val="001C174A"/>
    <w:rsid w:val="001C1BAD"/>
    <w:rsid w:val="001C1C94"/>
    <w:rsid w:val="001C1CDD"/>
    <w:rsid w:val="001C1D05"/>
    <w:rsid w:val="001C1D83"/>
    <w:rsid w:val="001C1F36"/>
    <w:rsid w:val="001C1F87"/>
    <w:rsid w:val="001C2665"/>
    <w:rsid w:val="001C2819"/>
    <w:rsid w:val="001C2A48"/>
    <w:rsid w:val="001C2C1F"/>
    <w:rsid w:val="001C2DA1"/>
    <w:rsid w:val="001C3838"/>
    <w:rsid w:val="001C3925"/>
    <w:rsid w:val="001C3A0E"/>
    <w:rsid w:val="001C3AA3"/>
    <w:rsid w:val="001C4573"/>
    <w:rsid w:val="001C4D9C"/>
    <w:rsid w:val="001C4F09"/>
    <w:rsid w:val="001C5A6A"/>
    <w:rsid w:val="001C61E7"/>
    <w:rsid w:val="001C688F"/>
    <w:rsid w:val="001C6890"/>
    <w:rsid w:val="001C69E3"/>
    <w:rsid w:val="001C6A07"/>
    <w:rsid w:val="001C6AAB"/>
    <w:rsid w:val="001C6DFD"/>
    <w:rsid w:val="001C6ED6"/>
    <w:rsid w:val="001C6F97"/>
    <w:rsid w:val="001C73C1"/>
    <w:rsid w:val="001C7626"/>
    <w:rsid w:val="001C7716"/>
    <w:rsid w:val="001C7827"/>
    <w:rsid w:val="001C78A5"/>
    <w:rsid w:val="001C796F"/>
    <w:rsid w:val="001C7976"/>
    <w:rsid w:val="001C7B8A"/>
    <w:rsid w:val="001D0026"/>
    <w:rsid w:val="001D00F9"/>
    <w:rsid w:val="001D012F"/>
    <w:rsid w:val="001D0246"/>
    <w:rsid w:val="001D062C"/>
    <w:rsid w:val="001D0A7E"/>
    <w:rsid w:val="001D0CCD"/>
    <w:rsid w:val="001D130E"/>
    <w:rsid w:val="001D1890"/>
    <w:rsid w:val="001D18DC"/>
    <w:rsid w:val="001D1DDE"/>
    <w:rsid w:val="001D1EFD"/>
    <w:rsid w:val="001D1F4E"/>
    <w:rsid w:val="001D2DD6"/>
    <w:rsid w:val="001D30BA"/>
    <w:rsid w:val="001D3236"/>
    <w:rsid w:val="001D32C0"/>
    <w:rsid w:val="001D34FA"/>
    <w:rsid w:val="001D3A64"/>
    <w:rsid w:val="001D3AAC"/>
    <w:rsid w:val="001D4001"/>
    <w:rsid w:val="001D447D"/>
    <w:rsid w:val="001D44FE"/>
    <w:rsid w:val="001D4C08"/>
    <w:rsid w:val="001D5407"/>
    <w:rsid w:val="001D5565"/>
    <w:rsid w:val="001D56C9"/>
    <w:rsid w:val="001D5793"/>
    <w:rsid w:val="001D5959"/>
    <w:rsid w:val="001D5BD1"/>
    <w:rsid w:val="001D5C65"/>
    <w:rsid w:val="001D5EA8"/>
    <w:rsid w:val="001D6183"/>
    <w:rsid w:val="001D64B2"/>
    <w:rsid w:val="001D690B"/>
    <w:rsid w:val="001D6B8C"/>
    <w:rsid w:val="001D74A7"/>
    <w:rsid w:val="001D755F"/>
    <w:rsid w:val="001D78D7"/>
    <w:rsid w:val="001D79AD"/>
    <w:rsid w:val="001D7A6E"/>
    <w:rsid w:val="001D7C63"/>
    <w:rsid w:val="001E0061"/>
    <w:rsid w:val="001E042B"/>
    <w:rsid w:val="001E0B39"/>
    <w:rsid w:val="001E0DE6"/>
    <w:rsid w:val="001E0F92"/>
    <w:rsid w:val="001E0FAC"/>
    <w:rsid w:val="001E1166"/>
    <w:rsid w:val="001E1363"/>
    <w:rsid w:val="001E15F2"/>
    <w:rsid w:val="001E1611"/>
    <w:rsid w:val="001E17DB"/>
    <w:rsid w:val="001E1CCB"/>
    <w:rsid w:val="001E22F7"/>
    <w:rsid w:val="001E246A"/>
    <w:rsid w:val="001E24A5"/>
    <w:rsid w:val="001E292C"/>
    <w:rsid w:val="001E313A"/>
    <w:rsid w:val="001E336A"/>
    <w:rsid w:val="001E3A95"/>
    <w:rsid w:val="001E41D3"/>
    <w:rsid w:val="001E44F4"/>
    <w:rsid w:val="001E44FE"/>
    <w:rsid w:val="001E4525"/>
    <w:rsid w:val="001E465F"/>
    <w:rsid w:val="001E4C5B"/>
    <w:rsid w:val="001E4C6C"/>
    <w:rsid w:val="001E4F73"/>
    <w:rsid w:val="001E5116"/>
    <w:rsid w:val="001E56D5"/>
    <w:rsid w:val="001E5832"/>
    <w:rsid w:val="001E58B7"/>
    <w:rsid w:val="001E5C27"/>
    <w:rsid w:val="001E5E92"/>
    <w:rsid w:val="001E5EA3"/>
    <w:rsid w:val="001E611F"/>
    <w:rsid w:val="001E64EF"/>
    <w:rsid w:val="001E661E"/>
    <w:rsid w:val="001E6ADC"/>
    <w:rsid w:val="001E6C9A"/>
    <w:rsid w:val="001E6CEC"/>
    <w:rsid w:val="001E6D7E"/>
    <w:rsid w:val="001E6F2A"/>
    <w:rsid w:val="001E7047"/>
    <w:rsid w:val="001E71F2"/>
    <w:rsid w:val="001E7435"/>
    <w:rsid w:val="001E78EE"/>
    <w:rsid w:val="001E79DF"/>
    <w:rsid w:val="001E7A4B"/>
    <w:rsid w:val="001F0000"/>
    <w:rsid w:val="001F0903"/>
    <w:rsid w:val="001F0960"/>
    <w:rsid w:val="001F0C6F"/>
    <w:rsid w:val="001F0E8B"/>
    <w:rsid w:val="001F0FBB"/>
    <w:rsid w:val="001F118B"/>
    <w:rsid w:val="001F1424"/>
    <w:rsid w:val="001F15DD"/>
    <w:rsid w:val="001F1735"/>
    <w:rsid w:val="001F182C"/>
    <w:rsid w:val="001F19D1"/>
    <w:rsid w:val="001F1F78"/>
    <w:rsid w:val="001F23D0"/>
    <w:rsid w:val="001F2497"/>
    <w:rsid w:val="001F2902"/>
    <w:rsid w:val="001F2A7D"/>
    <w:rsid w:val="001F2DF2"/>
    <w:rsid w:val="001F2F24"/>
    <w:rsid w:val="001F31EF"/>
    <w:rsid w:val="001F3332"/>
    <w:rsid w:val="001F35DE"/>
    <w:rsid w:val="001F3783"/>
    <w:rsid w:val="001F3B0E"/>
    <w:rsid w:val="001F3F31"/>
    <w:rsid w:val="001F3F36"/>
    <w:rsid w:val="001F4052"/>
    <w:rsid w:val="001F421C"/>
    <w:rsid w:val="001F434A"/>
    <w:rsid w:val="001F435B"/>
    <w:rsid w:val="001F47E1"/>
    <w:rsid w:val="001F489A"/>
    <w:rsid w:val="001F4ED0"/>
    <w:rsid w:val="001F516A"/>
    <w:rsid w:val="001F52D0"/>
    <w:rsid w:val="001F60BB"/>
    <w:rsid w:val="001F643A"/>
    <w:rsid w:val="001F658C"/>
    <w:rsid w:val="001F6605"/>
    <w:rsid w:val="001F675C"/>
    <w:rsid w:val="001F6BE6"/>
    <w:rsid w:val="001F6D13"/>
    <w:rsid w:val="001F6E41"/>
    <w:rsid w:val="001F6F44"/>
    <w:rsid w:val="001F6F4D"/>
    <w:rsid w:val="001F7266"/>
    <w:rsid w:val="001F727B"/>
    <w:rsid w:val="001F7375"/>
    <w:rsid w:val="001F7563"/>
    <w:rsid w:val="001F7637"/>
    <w:rsid w:val="001F7730"/>
    <w:rsid w:val="001F776F"/>
    <w:rsid w:val="001F79FB"/>
    <w:rsid w:val="001F7D50"/>
    <w:rsid w:val="001F7FEF"/>
    <w:rsid w:val="00200085"/>
    <w:rsid w:val="002000D1"/>
    <w:rsid w:val="002000F4"/>
    <w:rsid w:val="00200302"/>
    <w:rsid w:val="002005C4"/>
    <w:rsid w:val="002007B5"/>
    <w:rsid w:val="002008DA"/>
    <w:rsid w:val="00200F86"/>
    <w:rsid w:val="00200FC3"/>
    <w:rsid w:val="002010CC"/>
    <w:rsid w:val="00201AF1"/>
    <w:rsid w:val="002022F2"/>
    <w:rsid w:val="0020248E"/>
    <w:rsid w:val="00202AEB"/>
    <w:rsid w:val="00202D97"/>
    <w:rsid w:val="00202E8E"/>
    <w:rsid w:val="00202EA8"/>
    <w:rsid w:val="002030D1"/>
    <w:rsid w:val="002030DB"/>
    <w:rsid w:val="00203233"/>
    <w:rsid w:val="0020377D"/>
    <w:rsid w:val="00203AFF"/>
    <w:rsid w:val="00203BBF"/>
    <w:rsid w:val="00204215"/>
    <w:rsid w:val="00204343"/>
    <w:rsid w:val="002044AA"/>
    <w:rsid w:val="002048A7"/>
    <w:rsid w:val="00204920"/>
    <w:rsid w:val="00204A80"/>
    <w:rsid w:val="00205334"/>
    <w:rsid w:val="002056BE"/>
    <w:rsid w:val="00205D3F"/>
    <w:rsid w:val="00206235"/>
    <w:rsid w:val="002077A9"/>
    <w:rsid w:val="00207A46"/>
    <w:rsid w:val="00207D62"/>
    <w:rsid w:val="00207F59"/>
    <w:rsid w:val="0021015D"/>
    <w:rsid w:val="002102DF"/>
    <w:rsid w:val="002103E5"/>
    <w:rsid w:val="002104CE"/>
    <w:rsid w:val="00210558"/>
    <w:rsid w:val="00210623"/>
    <w:rsid w:val="00210BF7"/>
    <w:rsid w:val="00211030"/>
    <w:rsid w:val="00211060"/>
    <w:rsid w:val="00211283"/>
    <w:rsid w:val="00211450"/>
    <w:rsid w:val="00211496"/>
    <w:rsid w:val="00211695"/>
    <w:rsid w:val="0021175C"/>
    <w:rsid w:val="00211805"/>
    <w:rsid w:val="0021185A"/>
    <w:rsid w:val="00211A7F"/>
    <w:rsid w:val="00211C4D"/>
    <w:rsid w:val="00211D05"/>
    <w:rsid w:val="00211D3B"/>
    <w:rsid w:val="00211D87"/>
    <w:rsid w:val="00211DC3"/>
    <w:rsid w:val="00212488"/>
    <w:rsid w:val="002124A8"/>
    <w:rsid w:val="002124FD"/>
    <w:rsid w:val="002125DB"/>
    <w:rsid w:val="00212A20"/>
    <w:rsid w:val="00212D60"/>
    <w:rsid w:val="00212EFB"/>
    <w:rsid w:val="0021325C"/>
    <w:rsid w:val="0021378C"/>
    <w:rsid w:val="0021398F"/>
    <w:rsid w:val="00213C4D"/>
    <w:rsid w:val="00213D44"/>
    <w:rsid w:val="00213DA6"/>
    <w:rsid w:val="00213FC8"/>
    <w:rsid w:val="00214236"/>
    <w:rsid w:val="0021423E"/>
    <w:rsid w:val="00214870"/>
    <w:rsid w:val="002149C0"/>
    <w:rsid w:val="00214E22"/>
    <w:rsid w:val="00214ECF"/>
    <w:rsid w:val="002151D2"/>
    <w:rsid w:val="00215290"/>
    <w:rsid w:val="002155B6"/>
    <w:rsid w:val="002157E4"/>
    <w:rsid w:val="00215AB7"/>
    <w:rsid w:val="00215AFB"/>
    <w:rsid w:val="00215CA4"/>
    <w:rsid w:val="00215DEA"/>
    <w:rsid w:val="0021636B"/>
    <w:rsid w:val="00216447"/>
    <w:rsid w:val="002167B9"/>
    <w:rsid w:val="00216C06"/>
    <w:rsid w:val="002171F6"/>
    <w:rsid w:val="002173AC"/>
    <w:rsid w:val="0021746F"/>
    <w:rsid w:val="0021757B"/>
    <w:rsid w:val="00217FE8"/>
    <w:rsid w:val="002200D8"/>
    <w:rsid w:val="0022014E"/>
    <w:rsid w:val="002201C9"/>
    <w:rsid w:val="0022022D"/>
    <w:rsid w:val="002204BE"/>
    <w:rsid w:val="0022096D"/>
    <w:rsid w:val="00220AC5"/>
    <w:rsid w:val="00221003"/>
    <w:rsid w:val="002213C8"/>
    <w:rsid w:val="00221415"/>
    <w:rsid w:val="0022153B"/>
    <w:rsid w:val="00221A95"/>
    <w:rsid w:val="00221D3C"/>
    <w:rsid w:val="00222258"/>
    <w:rsid w:val="0022258D"/>
    <w:rsid w:val="00222924"/>
    <w:rsid w:val="00222BE9"/>
    <w:rsid w:val="00222D4B"/>
    <w:rsid w:val="00222F9D"/>
    <w:rsid w:val="0022325A"/>
    <w:rsid w:val="002235C0"/>
    <w:rsid w:val="00223664"/>
    <w:rsid w:val="00223A56"/>
    <w:rsid w:val="00223D18"/>
    <w:rsid w:val="00223E61"/>
    <w:rsid w:val="002240A0"/>
    <w:rsid w:val="00224162"/>
    <w:rsid w:val="002241B6"/>
    <w:rsid w:val="00224898"/>
    <w:rsid w:val="00225127"/>
    <w:rsid w:val="00225833"/>
    <w:rsid w:val="00225DBF"/>
    <w:rsid w:val="00225EEA"/>
    <w:rsid w:val="00226095"/>
    <w:rsid w:val="0022630C"/>
    <w:rsid w:val="002263BA"/>
    <w:rsid w:val="002268CF"/>
    <w:rsid w:val="00226AE2"/>
    <w:rsid w:val="00226B29"/>
    <w:rsid w:val="00226E31"/>
    <w:rsid w:val="0022712E"/>
    <w:rsid w:val="00227966"/>
    <w:rsid w:val="00227968"/>
    <w:rsid w:val="00227A3C"/>
    <w:rsid w:val="00227B89"/>
    <w:rsid w:val="00227C77"/>
    <w:rsid w:val="00227D23"/>
    <w:rsid w:val="00227EE7"/>
    <w:rsid w:val="00227F43"/>
    <w:rsid w:val="00230180"/>
    <w:rsid w:val="002308F0"/>
    <w:rsid w:val="00231207"/>
    <w:rsid w:val="00231746"/>
    <w:rsid w:val="00231836"/>
    <w:rsid w:val="002318CC"/>
    <w:rsid w:val="00231A7D"/>
    <w:rsid w:val="00231AC0"/>
    <w:rsid w:val="00232044"/>
    <w:rsid w:val="0023235F"/>
    <w:rsid w:val="0023256D"/>
    <w:rsid w:val="002327CE"/>
    <w:rsid w:val="0023296D"/>
    <w:rsid w:val="00232AAF"/>
    <w:rsid w:val="00232B2B"/>
    <w:rsid w:val="002330BA"/>
    <w:rsid w:val="002333D3"/>
    <w:rsid w:val="00233686"/>
    <w:rsid w:val="00233A2E"/>
    <w:rsid w:val="00233A76"/>
    <w:rsid w:val="00233A8A"/>
    <w:rsid w:val="00233AC5"/>
    <w:rsid w:val="0023416E"/>
    <w:rsid w:val="0023437E"/>
    <w:rsid w:val="00234640"/>
    <w:rsid w:val="00234BCA"/>
    <w:rsid w:val="0023523F"/>
    <w:rsid w:val="00235731"/>
    <w:rsid w:val="00235A47"/>
    <w:rsid w:val="00235BF2"/>
    <w:rsid w:val="00236360"/>
    <w:rsid w:val="00236420"/>
    <w:rsid w:val="00236782"/>
    <w:rsid w:val="002368DF"/>
    <w:rsid w:val="00236BBF"/>
    <w:rsid w:val="00237041"/>
    <w:rsid w:val="0023719A"/>
    <w:rsid w:val="00237519"/>
    <w:rsid w:val="00237539"/>
    <w:rsid w:val="00240106"/>
    <w:rsid w:val="002404D4"/>
    <w:rsid w:val="00240754"/>
    <w:rsid w:val="00240C5F"/>
    <w:rsid w:val="002411C7"/>
    <w:rsid w:val="002418A6"/>
    <w:rsid w:val="00241D1B"/>
    <w:rsid w:val="0024234D"/>
    <w:rsid w:val="002423D2"/>
    <w:rsid w:val="00242480"/>
    <w:rsid w:val="00242B3A"/>
    <w:rsid w:val="00242BF7"/>
    <w:rsid w:val="00242F4E"/>
    <w:rsid w:val="00243484"/>
    <w:rsid w:val="00243506"/>
    <w:rsid w:val="002436B8"/>
    <w:rsid w:val="00243B17"/>
    <w:rsid w:val="0024435B"/>
    <w:rsid w:val="002443E3"/>
    <w:rsid w:val="00244684"/>
    <w:rsid w:val="002449A8"/>
    <w:rsid w:val="002452A0"/>
    <w:rsid w:val="0024568C"/>
    <w:rsid w:val="00245979"/>
    <w:rsid w:val="00245CAF"/>
    <w:rsid w:val="00245ED2"/>
    <w:rsid w:val="00245EFF"/>
    <w:rsid w:val="002463A6"/>
    <w:rsid w:val="002467C5"/>
    <w:rsid w:val="00246815"/>
    <w:rsid w:val="002469DE"/>
    <w:rsid w:val="00246A65"/>
    <w:rsid w:val="00246ADB"/>
    <w:rsid w:val="00246CC0"/>
    <w:rsid w:val="00246D3A"/>
    <w:rsid w:val="00247105"/>
    <w:rsid w:val="00247A36"/>
    <w:rsid w:val="00247B32"/>
    <w:rsid w:val="00247F70"/>
    <w:rsid w:val="0025067F"/>
    <w:rsid w:val="002509C7"/>
    <w:rsid w:val="00250CB9"/>
    <w:rsid w:val="00250D69"/>
    <w:rsid w:val="0025104C"/>
    <w:rsid w:val="002517A5"/>
    <w:rsid w:val="00251A6F"/>
    <w:rsid w:val="00251F6C"/>
    <w:rsid w:val="0025208B"/>
    <w:rsid w:val="0025240D"/>
    <w:rsid w:val="0025249C"/>
    <w:rsid w:val="0025275A"/>
    <w:rsid w:val="002527CC"/>
    <w:rsid w:val="00252838"/>
    <w:rsid w:val="00252967"/>
    <w:rsid w:val="00252971"/>
    <w:rsid w:val="00252C7C"/>
    <w:rsid w:val="00253495"/>
    <w:rsid w:val="0025361C"/>
    <w:rsid w:val="0025362C"/>
    <w:rsid w:val="002539ED"/>
    <w:rsid w:val="00253AB6"/>
    <w:rsid w:val="00253AEF"/>
    <w:rsid w:val="00253B4B"/>
    <w:rsid w:val="00253DFD"/>
    <w:rsid w:val="00253EA5"/>
    <w:rsid w:val="00254147"/>
    <w:rsid w:val="00254272"/>
    <w:rsid w:val="0025440D"/>
    <w:rsid w:val="002544C1"/>
    <w:rsid w:val="0025450E"/>
    <w:rsid w:val="00254A3A"/>
    <w:rsid w:val="00254A5F"/>
    <w:rsid w:val="00254AAC"/>
    <w:rsid w:val="00254B7E"/>
    <w:rsid w:val="00254FAF"/>
    <w:rsid w:val="00255152"/>
    <w:rsid w:val="00255331"/>
    <w:rsid w:val="0025554E"/>
    <w:rsid w:val="00255D82"/>
    <w:rsid w:val="002561A4"/>
    <w:rsid w:val="002562D9"/>
    <w:rsid w:val="002563A6"/>
    <w:rsid w:val="00256581"/>
    <w:rsid w:val="0025675A"/>
    <w:rsid w:val="0025689D"/>
    <w:rsid w:val="00256D04"/>
    <w:rsid w:val="00256D1E"/>
    <w:rsid w:val="00256DE6"/>
    <w:rsid w:val="002579BE"/>
    <w:rsid w:val="00260165"/>
    <w:rsid w:val="0026031E"/>
    <w:rsid w:val="00260873"/>
    <w:rsid w:val="002609C1"/>
    <w:rsid w:val="00260A45"/>
    <w:rsid w:val="00260AE9"/>
    <w:rsid w:val="00261257"/>
    <w:rsid w:val="0026140E"/>
    <w:rsid w:val="0026166E"/>
    <w:rsid w:val="00261FBB"/>
    <w:rsid w:val="00262134"/>
    <w:rsid w:val="002635B5"/>
    <w:rsid w:val="00263602"/>
    <w:rsid w:val="00263647"/>
    <w:rsid w:val="002636ED"/>
    <w:rsid w:val="002637DB"/>
    <w:rsid w:val="00263876"/>
    <w:rsid w:val="002638F4"/>
    <w:rsid w:val="00263E72"/>
    <w:rsid w:val="002642E5"/>
    <w:rsid w:val="00264565"/>
    <w:rsid w:val="00264816"/>
    <w:rsid w:val="00264EEC"/>
    <w:rsid w:val="00265307"/>
    <w:rsid w:val="0026532A"/>
    <w:rsid w:val="00265551"/>
    <w:rsid w:val="002659AE"/>
    <w:rsid w:val="002663A4"/>
    <w:rsid w:val="00266454"/>
    <w:rsid w:val="00266477"/>
    <w:rsid w:val="002666EA"/>
    <w:rsid w:val="00266727"/>
    <w:rsid w:val="00266825"/>
    <w:rsid w:val="00266B9C"/>
    <w:rsid w:val="00266C17"/>
    <w:rsid w:val="00266CB0"/>
    <w:rsid w:val="00267502"/>
    <w:rsid w:val="002678B7"/>
    <w:rsid w:val="0026790D"/>
    <w:rsid w:val="00267DAD"/>
    <w:rsid w:val="00267F7F"/>
    <w:rsid w:val="0027040E"/>
    <w:rsid w:val="0027088B"/>
    <w:rsid w:val="00270964"/>
    <w:rsid w:val="00271132"/>
    <w:rsid w:val="002714D7"/>
    <w:rsid w:val="0027160C"/>
    <w:rsid w:val="00271654"/>
    <w:rsid w:val="00271959"/>
    <w:rsid w:val="00271D10"/>
    <w:rsid w:val="00271D61"/>
    <w:rsid w:val="00271D96"/>
    <w:rsid w:val="00271DAB"/>
    <w:rsid w:val="002723D5"/>
    <w:rsid w:val="002727D3"/>
    <w:rsid w:val="00272A27"/>
    <w:rsid w:val="00272C79"/>
    <w:rsid w:val="00272CAE"/>
    <w:rsid w:val="00272D83"/>
    <w:rsid w:val="00272DC1"/>
    <w:rsid w:val="00273703"/>
    <w:rsid w:val="002739E8"/>
    <w:rsid w:val="00273D3B"/>
    <w:rsid w:val="00273D6E"/>
    <w:rsid w:val="0027400D"/>
    <w:rsid w:val="0027435A"/>
    <w:rsid w:val="00274467"/>
    <w:rsid w:val="0027446A"/>
    <w:rsid w:val="002749C8"/>
    <w:rsid w:val="002749FD"/>
    <w:rsid w:val="00274C70"/>
    <w:rsid w:val="0027506A"/>
    <w:rsid w:val="002751D1"/>
    <w:rsid w:val="00275209"/>
    <w:rsid w:val="0027532D"/>
    <w:rsid w:val="0027538D"/>
    <w:rsid w:val="00275465"/>
    <w:rsid w:val="002754A3"/>
    <w:rsid w:val="002757B3"/>
    <w:rsid w:val="00275D6B"/>
    <w:rsid w:val="00276598"/>
    <w:rsid w:val="00277096"/>
    <w:rsid w:val="0027734B"/>
    <w:rsid w:val="00277520"/>
    <w:rsid w:val="00277BC0"/>
    <w:rsid w:val="002800DB"/>
    <w:rsid w:val="00280479"/>
    <w:rsid w:val="00280B44"/>
    <w:rsid w:val="00280B4D"/>
    <w:rsid w:val="00280B7D"/>
    <w:rsid w:val="00280C25"/>
    <w:rsid w:val="00280D26"/>
    <w:rsid w:val="00280D47"/>
    <w:rsid w:val="00280D82"/>
    <w:rsid w:val="00280F16"/>
    <w:rsid w:val="00281245"/>
    <w:rsid w:val="0028132D"/>
    <w:rsid w:val="002813EA"/>
    <w:rsid w:val="00281618"/>
    <w:rsid w:val="002816F0"/>
    <w:rsid w:val="00281947"/>
    <w:rsid w:val="00281B80"/>
    <w:rsid w:val="00281BBF"/>
    <w:rsid w:val="0028236F"/>
    <w:rsid w:val="0028259F"/>
    <w:rsid w:val="00283001"/>
    <w:rsid w:val="00283206"/>
    <w:rsid w:val="002832DD"/>
    <w:rsid w:val="00283B3F"/>
    <w:rsid w:val="00283E6C"/>
    <w:rsid w:val="00284340"/>
    <w:rsid w:val="002843C4"/>
    <w:rsid w:val="00284402"/>
    <w:rsid w:val="002847EB"/>
    <w:rsid w:val="00284854"/>
    <w:rsid w:val="00284B82"/>
    <w:rsid w:val="00284BFE"/>
    <w:rsid w:val="00285059"/>
    <w:rsid w:val="002852E6"/>
    <w:rsid w:val="002855D3"/>
    <w:rsid w:val="00285701"/>
    <w:rsid w:val="00285806"/>
    <w:rsid w:val="00285A3C"/>
    <w:rsid w:val="00285A45"/>
    <w:rsid w:val="00285BC7"/>
    <w:rsid w:val="00285D5A"/>
    <w:rsid w:val="00285E1B"/>
    <w:rsid w:val="00285FD5"/>
    <w:rsid w:val="00285FF7"/>
    <w:rsid w:val="002860B2"/>
    <w:rsid w:val="0028615C"/>
    <w:rsid w:val="00286439"/>
    <w:rsid w:val="00286EEB"/>
    <w:rsid w:val="00287256"/>
    <w:rsid w:val="00287595"/>
    <w:rsid w:val="00287E78"/>
    <w:rsid w:val="00287EB8"/>
    <w:rsid w:val="00290056"/>
    <w:rsid w:val="0029015F"/>
    <w:rsid w:val="00290676"/>
    <w:rsid w:val="002909A1"/>
    <w:rsid w:val="00290B03"/>
    <w:rsid w:val="00290B2A"/>
    <w:rsid w:val="00290C1D"/>
    <w:rsid w:val="00290CC7"/>
    <w:rsid w:val="00290D16"/>
    <w:rsid w:val="0029135B"/>
    <w:rsid w:val="00291462"/>
    <w:rsid w:val="00291572"/>
    <w:rsid w:val="002919DC"/>
    <w:rsid w:val="00291A3E"/>
    <w:rsid w:val="00291A59"/>
    <w:rsid w:val="00291E45"/>
    <w:rsid w:val="002923D0"/>
    <w:rsid w:val="00292510"/>
    <w:rsid w:val="00292950"/>
    <w:rsid w:val="00292B7C"/>
    <w:rsid w:val="00292BD8"/>
    <w:rsid w:val="00292CE4"/>
    <w:rsid w:val="00292E80"/>
    <w:rsid w:val="0029303C"/>
    <w:rsid w:val="00293111"/>
    <w:rsid w:val="00293140"/>
    <w:rsid w:val="0029357D"/>
    <w:rsid w:val="002935F7"/>
    <w:rsid w:val="00293718"/>
    <w:rsid w:val="00293962"/>
    <w:rsid w:val="002939F4"/>
    <w:rsid w:val="00293AE5"/>
    <w:rsid w:val="00293B0B"/>
    <w:rsid w:val="00293B43"/>
    <w:rsid w:val="00294512"/>
    <w:rsid w:val="0029455C"/>
    <w:rsid w:val="0029499F"/>
    <w:rsid w:val="00294BDC"/>
    <w:rsid w:val="00295264"/>
    <w:rsid w:val="002952A2"/>
    <w:rsid w:val="00295468"/>
    <w:rsid w:val="00295CC1"/>
    <w:rsid w:val="002960C4"/>
    <w:rsid w:val="00296274"/>
    <w:rsid w:val="00296413"/>
    <w:rsid w:val="002964BD"/>
    <w:rsid w:val="00296641"/>
    <w:rsid w:val="00296728"/>
    <w:rsid w:val="002968EA"/>
    <w:rsid w:val="00296AE0"/>
    <w:rsid w:val="00296C90"/>
    <w:rsid w:val="0029704E"/>
    <w:rsid w:val="0029706B"/>
    <w:rsid w:val="00297D1E"/>
    <w:rsid w:val="00297EDB"/>
    <w:rsid w:val="00297FBD"/>
    <w:rsid w:val="002A047B"/>
    <w:rsid w:val="002A04B4"/>
    <w:rsid w:val="002A04BD"/>
    <w:rsid w:val="002A0622"/>
    <w:rsid w:val="002A08EF"/>
    <w:rsid w:val="002A0A35"/>
    <w:rsid w:val="002A0F66"/>
    <w:rsid w:val="002A1205"/>
    <w:rsid w:val="002A134F"/>
    <w:rsid w:val="002A145B"/>
    <w:rsid w:val="002A18BE"/>
    <w:rsid w:val="002A195D"/>
    <w:rsid w:val="002A19A1"/>
    <w:rsid w:val="002A1CE7"/>
    <w:rsid w:val="002A21E8"/>
    <w:rsid w:val="002A308C"/>
    <w:rsid w:val="002A31D2"/>
    <w:rsid w:val="002A33A4"/>
    <w:rsid w:val="002A36F6"/>
    <w:rsid w:val="002A3A14"/>
    <w:rsid w:val="002A4084"/>
    <w:rsid w:val="002A411B"/>
    <w:rsid w:val="002A4741"/>
    <w:rsid w:val="002A487C"/>
    <w:rsid w:val="002A4911"/>
    <w:rsid w:val="002A4AD6"/>
    <w:rsid w:val="002A4B3A"/>
    <w:rsid w:val="002A4D5E"/>
    <w:rsid w:val="002A4EF2"/>
    <w:rsid w:val="002A4F8F"/>
    <w:rsid w:val="002A5852"/>
    <w:rsid w:val="002A5A24"/>
    <w:rsid w:val="002A5A39"/>
    <w:rsid w:val="002A5E10"/>
    <w:rsid w:val="002A63F4"/>
    <w:rsid w:val="002A6D0F"/>
    <w:rsid w:val="002A7196"/>
    <w:rsid w:val="002A7479"/>
    <w:rsid w:val="002A74D7"/>
    <w:rsid w:val="002A76AE"/>
    <w:rsid w:val="002A7EE0"/>
    <w:rsid w:val="002A7FD9"/>
    <w:rsid w:val="002B0000"/>
    <w:rsid w:val="002B05CB"/>
    <w:rsid w:val="002B0C2C"/>
    <w:rsid w:val="002B1044"/>
    <w:rsid w:val="002B122D"/>
    <w:rsid w:val="002B1269"/>
    <w:rsid w:val="002B1384"/>
    <w:rsid w:val="002B192A"/>
    <w:rsid w:val="002B1AD8"/>
    <w:rsid w:val="002B1D3F"/>
    <w:rsid w:val="002B1EED"/>
    <w:rsid w:val="002B2058"/>
    <w:rsid w:val="002B23DB"/>
    <w:rsid w:val="002B2789"/>
    <w:rsid w:val="002B2867"/>
    <w:rsid w:val="002B295B"/>
    <w:rsid w:val="002B2CAC"/>
    <w:rsid w:val="002B3076"/>
    <w:rsid w:val="002B30EE"/>
    <w:rsid w:val="002B3681"/>
    <w:rsid w:val="002B3B40"/>
    <w:rsid w:val="002B3FDE"/>
    <w:rsid w:val="002B4137"/>
    <w:rsid w:val="002B419C"/>
    <w:rsid w:val="002B45B1"/>
    <w:rsid w:val="002B4A5B"/>
    <w:rsid w:val="002B4DA1"/>
    <w:rsid w:val="002B5014"/>
    <w:rsid w:val="002B573A"/>
    <w:rsid w:val="002B5B7D"/>
    <w:rsid w:val="002B5C7A"/>
    <w:rsid w:val="002B602F"/>
    <w:rsid w:val="002B603D"/>
    <w:rsid w:val="002B6117"/>
    <w:rsid w:val="002B623A"/>
    <w:rsid w:val="002B667C"/>
    <w:rsid w:val="002B6689"/>
    <w:rsid w:val="002B6692"/>
    <w:rsid w:val="002B66E0"/>
    <w:rsid w:val="002B6B75"/>
    <w:rsid w:val="002B6DCC"/>
    <w:rsid w:val="002B6F51"/>
    <w:rsid w:val="002B6F5C"/>
    <w:rsid w:val="002B6FB0"/>
    <w:rsid w:val="002B73BE"/>
    <w:rsid w:val="002B75DD"/>
    <w:rsid w:val="002B76DA"/>
    <w:rsid w:val="002B777D"/>
    <w:rsid w:val="002B799B"/>
    <w:rsid w:val="002B7B57"/>
    <w:rsid w:val="002B7C8B"/>
    <w:rsid w:val="002B7DA6"/>
    <w:rsid w:val="002B7EBF"/>
    <w:rsid w:val="002B7FE9"/>
    <w:rsid w:val="002C0347"/>
    <w:rsid w:val="002C05CD"/>
    <w:rsid w:val="002C064C"/>
    <w:rsid w:val="002C066D"/>
    <w:rsid w:val="002C0847"/>
    <w:rsid w:val="002C0D3C"/>
    <w:rsid w:val="002C0F1B"/>
    <w:rsid w:val="002C11CA"/>
    <w:rsid w:val="002C1245"/>
    <w:rsid w:val="002C12C2"/>
    <w:rsid w:val="002C12F3"/>
    <w:rsid w:val="002C12FE"/>
    <w:rsid w:val="002C142E"/>
    <w:rsid w:val="002C147B"/>
    <w:rsid w:val="002C24DA"/>
    <w:rsid w:val="002C24FE"/>
    <w:rsid w:val="002C2643"/>
    <w:rsid w:val="002C28B5"/>
    <w:rsid w:val="002C2A74"/>
    <w:rsid w:val="002C2EBA"/>
    <w:rsid w:val="002C3715"/>
    <w:rsid w:val="002C375B"/>
    <w:rsid w:val="002C38E2"/>
    <w:rsid w:val="002C39A4"/>
    <w:rsid w:val="002C3C4F"/>
    <w:rsid w:val="002C3FE1"/>
    <w:rsid w:val="002C43CE"/>
    <w:rsid w:val="002C45E8"/>
    <w:rsid w:val="002C4729"/>
    <w:rsid w:val="002C47EE"/>
    <w:rsid w:val="002C4AF9"/>
    <w:rsid w:val="002C4F06"/>
    <w:rsid w:val="002C51B0"/>
    <w:rsid w:val="002C5275"/>
    <w:rsid w:val="002C54AF"/>
    <w:rsid w:val="002C5652"/>
    <w:rsid w:val="002C58D2"/>
    <w:rsid w:val="002C59E6"/>
    <w:rsid w:val="002C63B4"/>
    <w:rsid w:val="002C69E5"/>
    <w:rsid w:val="002C6C28"/>
    <w:rsid w:val="002C6EC2"/>
    <w:rsid w:val="002C70CE"/>
    <w:rsid w:val="002C73AF"/>
    <w:rsid w:val="002C74E8"/>
    <w:rsid w:val="002C7728"/>
    <w:rsid w:val="002C7B0B"/>
    <w:rsid w:val="002C7B69"/>
    <w:rsid w:val="002C7E6C"/>
    <w:rsid w:val="002C7FF4"/>
    <w:rsid w:val="002D02D0"/>
    <w:rsid w:val="002D0500"/>
    <w:rsid w:val="002D055A"/>
    <w:rsid w:val="002D060E"/>
    <w:rsid w:val="002D0774"/>
    <w:rsid w:val="002D0848"/>
    <w:rsid w:val="002D09E3"/>
    <w:rsid w:val="002D09F6"/>
    <w:rsid w:val="002D0DA1"/>
    <w:rsid w:val="002D1035"/>
    <w:rsid w:val="002D1105"/>
    <w:rsid w:val="002D12D2"/>
    <w:rsid w:val="002D154A"/>
    <w:rsid w:val="002D1AC8"/>
    <w:rsid w:val="002D1B35"/>
    <w:rsid w:val="002D1F17"/>
    <w:rsid w:val="002D23EC"/>
    <w:rsid w:val="002D2477"/>
    <w:rsid w:val="002D2614"/>
    <w:rsid w:val="002D28BE"/>
    <w:rsid w:val="002D2AD9"/>
    <w:rsid w:val="002D35CE"/>
    <w:rsid w:val="002D3901"/>
    <w:rsid w:val="002D3A53"/>
    <w:rsid w:val="002D3E9A"/>
    <w:rsid w:val="002D3ECC"/>
    <w:rsid w:val="002D409B"/>
    <w:rsid w:val="002D4654"/>
    <w:rsid w:val="002D4A2E"/>
    <w:rsid w:val="002D4C59"/>
    <w:rsid w:val="002D5097"/>
    <w:rsid w:val="002D5408"/>
    <w:rsid w:val="002D55E4"/>
    <w:rsid w:val="002D5745"/>
    <w:rsid w:val="002D57A3"/>
    <w:rsid w:val="002D592C"/>
    <w:rsid w:val="002D5DB7"/>
    <w:rsid w:val="002D620C"/>
    <w:rsid w:val="002D62E9"/>
    <w:rsid w:val="002D65FA"/>
    <w:rsid w:val="002D67BB"/>
    <w:rsid w:val="002D68A1"/>
    <w:rsid w:val="002D690D"/>
    <w:rsid w:val="002D694C"/>
    <w:rsid w:val="002D6ED8"/>
    <w:rsid w:val="002D72D7"/>
    <w:rsid w:val="002D76A7"/>
    <w:rsid w:val="002D7888"/>
    <w:rsid w:val="002D78E4"/>
    <w:rsid w:val="002D796F"/>
    <w:rsid w:val="002D7A72"/>
    <w:rsid w:val="002D7D72"/>
    <w:rsid w:val="002D7E89"/>
    <w:rsid w:val="002E02FC"/>
    <w:rsid w:val="002E033C"/>
    <w:rsid w:val="002E0F8E"/>
    <w:rsid w:val="002E118A"/>
    <w:rsid w:val="002E1BA4"/>
    <w:rsid w:val="002E1BE2"/>
    <w:rsid w:val="002E1D96"/>
    <w:rsid w:val="002E1FBB"/>
    <w:rsid w:val="002E201E"/>
    <w:rsid w:val="002E207B"/>
    <w:rsid w:val="002E20E8"/>
    <w:rsid w:val="002E240F"/>
    <w:rsid w:val="002E2A07"/>
    <w:rsid w:val="002E2BEC"/>
    <w:rsid w:val="002E3062"/>
    <w:rsid w:val="002E31FC"/>
    <w:rsid w:val="002E3457"/>
    <w:rsid w:val="002E3962"/>
    <w:rsid w:val="002E3AED"/>
    <w:rsid w:val="002E45E0"/>
    <w:rsid w:val="002E4ADA"/>
    <w:rsid w:val="002E54B2"/>
    <w:rsid w:val="002E54DD"/>
    <w:rsid w:val="002E574C"/>
    <w:rsid w:val="002E5A85"/>
    <w:rsid w:val="002E5B0D"/>
    <w:rsid w:val="002E5B31"/>
    <w:rsid w:val="002E5ECF"/>
    <w:rsid w:val="002E5F33"/>
    <w:rsid w:val="002E63BE"/>
    <w:rsid w:val="002E6720"/>
    <w:rsid w:val="002E69CD"/>
    <w:rsid w:val="002E6A06"/>
    <w:rsid w:val="002E6B3F"/>
    <w:rsid w:val="002E6BE4"/>
    <w:rsid w:val="002E6EAD"/>
    <w:rsid w:val="002E6FAB"/>
    <w:rsid w:val="002E70CB"/>
    <w:rsid w:val="002E711F"/>
    <w:rsid w:val="002E71CA"/>
    <w:rsid w:val="002E72D6"/>
    <w:rsid w:val="002E76B9"/>
    <w:rsid w:val="002E7761"/>
    <w:rsid w:val="002E7775"/>
    <w:rsid w:val="002E7AD2"/>
    <w:rsid w:val="002E7BB0"/>
    <w:rsid w:val="002E7E74"/>
    <w:rsid w:val="002E94D6"/>
    <w:rsid w:val="002F00AD"/>
    <w:rsid w:val="002F0196"/>
    <w:rsid w:val="002F0562"/>
    <w:rsid w:val="002F0661"/>
    <w:rsid w:val="002F09EE"/>
    <w:rsid w:val="002F1399"/>
    <w:rsid w:val="002F1681"/>
    <w:rsid w:val="002F16D3"/>
    <w:rsid w:val="002F1DD7"/>
    <w:rsid w:val="002F1F55"/>
    <w:rsid w:val="002F25BC"/>
    <w:rsid w:val="002F2B93"/>
    <w:rsid w:val="002F2C8C"/>
    <w:rsid w:val="002F2E70"/>
    <w:rsid w:val="002F2F00"/>
    <w:rsid w:val="002F2F66"/>
    <w:rsid w:val="002F32FB"/>
    <w:rsid w:val="002F3356"/>
    <w:rsid w:val="002F4290"/>
    <w:rsid w:val="002F44A6"/>
    <w:rsid w:val="002F44D7"/>
    <w:rsid w:val="002F4ADB"/>
    <w:rsid w:val="002F4E66"/>
    <w:rsid w:val="002F4F05"/>
    <w:rsid w:val="002F5048"/>
    <w:rsid w:val="002F5221"/>
    <w:rsid w:val="002F52C3"/>
    <w:rsid w:val="002F5464"/>
    <w:rsid w:val="002F5611"/>
    <w:rsid w:val="002F5707"/>
    <w:rsid w:val="002F57E6"/>
    <w:rsid w:val="002F5A0B"/>
    <w:rsid w:val="002F5EBB"/>
    <w:rsid w:val="002F5F5E"/>
    <w:rsid w:val="002F5F85"/>
    <w:rsid w:val="002F6140"/>
    <w:rsid w:val="002F61CE"/>
    <w:rsid w:val="002F63E6"/>
    <w:rsid w:val="002F64AE"/>
    <w:rsid w:val="002F693F"/>
    <w:rsid w:val="002F6BBD"/>
    <w:rsid w:val="002F6EE6"/>
    <w:rsid w:val="002F7407"/>
    <w:rsid w:val="002F7803"/>
    <w:rsid w:val="002F7885"/>
    <w:rsid w:val="002F7A74"/>
    <w:rsid w:val="00300038"/>
    <w:rsid w:val="00300295"/>
    <w:rsid w:val="0030036D"/>
    <w:rsid w:val="00300406"/>
    <w:rsid w:val="00300848"/>
    <w:rsid w:val="003008CC"/>
    <w:rsid w:val="00300B2E"/>
    <w:rsid w:val="00300BAA"/>
    <w:rsid w:val="00300BEF"/>
    <w:rsid w:val="00300D0C"/>
    <w:rsid w:val="00300EE1"/>
    <w:rsid w:val="003010B6"/>
    <w:rsid w:val="003013D0"/>
    <w:rsid w:val="00301498"/>
    <w:rsid w:val="0030158C"/>
    <w:rsid w:val="00301763"/>
    <w:rsid w:val="00301C15"/>
    <w:rsid w:val="00301D89"/>
    <w:rsid w:val="00301E61"/>
    <w:rsid w:val="00302019"/>
    <w:rsid w:val="0030219E"/>
    <w:rsid w:val="00302252"/>
    <w:rsid w:val="00302381"/>
    <w:rsid w:val="003030EC"/>
    <w:rsid w:val="00303336"/>
    <w:rsid w:val="003034BC"/>
    <w:rsid w:val="003035FC"/>
    <w:rsid w:val="00303861"/>
    <w:rsid w:val="003039DF"/>
    <w:rsid w:val="00303B67"/>
    <w:rsid w:val="00303C60"/>
    <w:rsid w:val="003040C2"/>
    <w:rsid w:val="00304166"/>
    <w:rsid w:val="003045C0"/>
    <w:rsid w:val="003046C5"/>
    <w:rsid w:val="003049E7"/>
    <w:rsid w:val="003049FF"/>
    <w:rsid w:val="00304D0C"/>
    <w:rsid w:val="00304E8E"/>
    <w:rsid w:val="00304FB8"/>
    <w:rsid w:val="003050AD"/>
    <w:rsid w:val="003050EB"/>
    <w:rsid w:val="0030517B"/>
    <w:rsid w:val="00305653"/>
    <w:rsid w:val="00305675"/>
    <w:rsid w:val="00305A40"/>
    <w:rsid w:val="00305C43"/>
    <w:rsid w:val="00305F6A"/>
    <w:rsid w:val="00305F91"/>
    <w:rsid w:val="003061F5"/>
    <w:rsid w:val="003062D5"/>
    <w:rsid w:val="003063A9"/>
    <w:rsid w:val="0030663F"/>
    <w:rsid w:val="00306913"/>
    <w:rsid w:val="00306EFE"/>
    <w:rsid w:val="00306FEF"/>
    <w:rsid w:val="003070CC"/>
    <w:rsid w:val="00307299"/>
    <w:rsid w:val="003075A8"/>
    <w:rsid w:val="0031003A"/>
    <w:rsid w:val="0031013D"/>
    <w:rsid w:val="003104FF"/>
    <w:rsid w:val="003108BD"/>
    <w:rsid w:val="00310A0E"/>
    <w:rsid w:val="00310B9B"/>
    <w:rsid w:val="00310C0C"/>
    <w:rsid w:val="00310C3F"/>
    <w:rsid w:val="00310ECA"/>
    <w:rsid w:val="00310F23"/>
    <w:rsid w:val="00310F30"/>
    <w:rsid w:val="0031158A"/>
    <w:rsid w:val="00311724"/>
    <w:rsid w:val="00311B58"/>
    <w:rsid w:val="00312150"/>
    <w:rsid w:val="003125BA"/>
    <w:rsid w:val="0031265B"/>
    <w:rsid w:val="0031294B"/>
    <w:rsid w:val="0031299C"/>
    <w:rsid w:val="00312DFC"/>
    <w:rsid w:val="00312F31"/>
    <w:rsid w:val="00313308"/>
    <w:rsid w:val="003135BC"/>
    <w:rsid w:val="00313A53"/>
    <w:rsid w:val="003140D2"/>
    <w:rsid w:val="003143F9"/>
    <w:rsid w:val="003145BE"/>
    <w:rsid w:val="00314BE0"/>
    <w:rsid w:val="00314C3F"/>
    <w:rsid w:val="00314D38"/>
    <w:rsid w:val="00314EB9"/>
    <w:rsid w:val="00314F63"/>
    <w:rsid w:val="00315144"/>
    <w:rsid w:val="00315179"/>
    <w:rsid w:val="003151E0"/>
    <w:rsid w:val="003156B3"/>
    <w:rsid w:val="00315757"/>
    <w:rsid w:val="00315CAD"/>
    <w:rsid w:val="003167D5"/>
    <w:rsid w:val="00317132"/>
    <w:rsid w:val="0031722F"/>
    <w:rsid w:val="0031757A"/>
    <w:rsid w:val="00317714"/>
    <w:rsid w:val="00317C5F"/>
    <w:rsid w:val="00317FBD"/>
    <w:rsid w:val="00320073"/>
    <w:rsid w:val="003204A3"/>
    <w:rsid w:val="0032054D"/>
    <w:rsid w:val="00320687"/>
    <w:rsid w:val="00320794"/>
    <w:rsid w:val="00320862"/>
    <w:rsid w:val="00320976"/>
    <w:rsid w:val="00320A17"/>
    <w:rsid w:val="00320CAB"/>
    <w:rsid w:val="00320F87"/>
    <w:rsid w:val="00320FFE"/>
    <w:rsid w:val="00321127"/>
    <w:rsid w:val="003214A4"/>
    <w:rsid w:val="0032154D"/>
    <w:rsid w:val="003215EB"/>
    <w:rsid w:val="003217A1"/>
    <w:rsid w:val="00322041"/>
    <w:rsid w:val="003222BC"/>
    <w:rsid w:val="003224A6"/>
    <w:rsid w:val="003224ED"/>
    <w:rsid w:val="003227AF"/>
    <w:rsid w:val="00322860"/>
    <w:rsid w:val="00322901"/>
    <w:rsid w:val="00322A81"/>
    <w:rsid w:val="00322C34"/>
    <w:rsid w:val="00322C5F"/>
    <w:rsid w:val="00322DA9"/>
    <w:rsid w:val="00322E5E"/>
    <w:rsid w:val="00323581"/>
    <w:rsid w:val="00323616"/>
    <w:rsid w:val="00323AF6"/>
    <w:rsid w:val="00323B74"/>
    <w:rsid w:val="00323B7B"/>
    <w:rsid w:val="00323BF1"/>
    <w:rsid w:val="00323C4A"/>
    <w:rsid w:val="00323FF6"/>
    <w:rsid w:val="003240D2"/>
    <w:rsid w:val="003245D8"/>
    <w:rsid w:val="003247CA"/>
    <w:rsid w:val="003249B9"/>
    <w:rsid w:val="00324AE5"/>
    <w:rsid w:val="00324CB6"/>
    <w:rsid w:val="00324CD4"/>
    <w:rsid w:val="00324F9E"/>
    <w:rsid w:val="00324FFD"/>
    <w:rsid w:val="00325163"/>
    <w:rsid w:val="003251C2"/>
    <w:rsid w:val="003252B6"/>
    <w:rsid w:val="003252E3"/>
    <w:rsid w:val="003253D3"/>
    <w:rsid w:val="00325BB6"/>
    <w:rsid w:val="00325C54"/>
    <w:rsid w:val="00325F6D"/>
    <w:rsid w:val="00325FA0"/>
    <w:rsid w:val="0032609A"/>
    <w:rsid w:val="0032646B"/>
    <w:rsid w:val="0032670D"/>
    <w:rsid w:val="0032695B"/>
    <w:rsid w:val="00326B07"/>
    <w:rsid w:val="00326F1C"/>
    <w:rsid w:val="00326FEC"/>
    <w:rsid w:val="00327162"/>
    <w:rsid w:val="003277F7"/>
    <w:rsid w:val="003278FD"/>
    <w:rsid w:val="0032792D"/>
    <w:rsid w:val="00327D2A"/>
    <w:rsid w:val="00327F6F"/>
    <w:rsid w:val="00330178"/>
    <w:rsid w:val="003301F6"/>
    <w:rsid w:val="00330459"/>
    <w:rsid w:val="0033069D"/>
    <w:rsid w:val="003306DB"/>
    <w:rsid w:val="00330A0A"/>
    <w:rsid w:val="00330B05"/>
    <w:rsid w:val="00330DBC"/>
    <w:rsid w:val="00331192"/>
    <w:rsid w:val="0033148E"/>
    <w:rsid w:val="003314E7"/>
    <w:rsid w:val="0033163B"/>
    <w:rsid w:val="00331E17"/>
    <w:rsid w:val="00331F7C"/>
    <w:rsid w:val="003320F3"/>
    <w:rsid w:val="0033233E"/>
    <w:rsid w:val="00332361"/>
    <w:rsid w:val="0033266C"/>
    <w:rsid w:val="003328A9"/>
    <w:rsid w:val="00332ECA"/>
    <w:rsid w:val="0033317B"/>
    <w:rsid w:val="0033318E"/>
    <w:rsid w:val="0033340D"/>
    <w:rsid w:val="0033344A"/>
    <w:rsid w:val="003334D6"/>
    <w:rsid w:val="00333508"/>
    <w:rsid w:val="00333944"/>
    <w:rsid w:val="00333959"/>
    <w:rsid w:val="00334743"/>
    <w:rsid w:val="00334D30"/>
    <w:rsid w:val="00335210"/>
    <w:rsid w:val="003355B6"/>
    <w:rsid w:val="003355E2"/>
    <w:rsid w:val="003358B2"/>
    <w:rsid w:val="00335997"/>
    <w:rsid w:val="00335BFE"/>
    <w:rsid w:val="00335CC6"/>
    <w:rsid w:val="00336071"/>
    <w:rsid w:val="0033618B"/>
    <w:rsid w:val="0033618F"/>
    <w:rsid w:val="0033623B"/>
    <w:rsid w:val="003365EA"/>
    <w:rsid w:val="00336908"/>
    <w:rsid w:val="00336C3B"/>
    <w:rsid w:val="00336ED8"/>
    <w:rsid w:val="003371B5"/>
    <w:rsid w:val="0033751D"/>
    <w:rsid w:val="003375CE"/>
    <w:rsid w:val="00337778"/>
    <w:rsid w:val="00337B82"/>
    <w:rsid w:val="00337BAF"/>
    <w:rsid w:val="003401C9"/>
    <w:rsid w:val="00340329"/>
    <w:rsid w:val="00340341"/>
    <w:rsid w:val="00340346"/>
    <w:rsid w:val="00340C18"/>
    <w:rsid w:val="00340CCD"/>
    <w:rsid w:val="00340D81"/>
    <w:rsid w:val="00340EB5"/>
    <w:rsid w:val="003410FF"/>
    <w:rsid w:val="003413EB"/>
    <w:rsid w:val="0034173E"/>
    <w:rsid w:val="003417CB"/>
    <w:rsid w:val="00341B8A"/>
    <w:rsid w:val="00341C74"/>
    <w:rsid w:val="00342041"/>
    <w:rsid w:val="00342316"/>
    <w:rsid w:val="00342A65"/>
    <w:rsid w:val="00342C56"/>
    <w:rsid w:val="00342D79"/>
    <w:rsid w:val="00342E4F"/>
    <w:rsid w:val="00342E78"/>
    <w:rsid w:val="003430BB"/>
    <w:rsid w:val="003435A9"/>
    <w:rsid w:val="00343D26"/>
    <w:rsid w:val="00343DCE"/>
    <w:rsid w:val="00343E5E"/>
    <w:rsid w:val="00344027"/>
    <w:rsid w:val="00344649"/>
    <w:rsid w:val="00344694"/>
    <w:rsid w:val="00344702"/>
    <w:rsid w:val="00344A24"/>
    <w:rsid w:val="00345269"/>
    <w:rsid w:val="00345458"/>
    <w:rsid w:val="00345496"/>
    <w:rsid w:val="00345BCF"/>
    <w:rsid w:val="0034634D"/>
    <w:rsid w:val="003466F9"/>
    <w:rsid w:val="0034670C"/>
    <w:rsid w:val="0034676C"/>
    <w:rsid w:val="00347182"/>
    <w:rsid w:val="00347E0A"/>
    <w:rsid w:val="00347F27"/>
    <w:rsid w:val="00350092"/>
    <w:rsid w:val="0035019F"/>
    <w:rsid w:val="0035058F"/>
    <w:rsid w:val="00350750"/>
    <w:rsid w:val="0035079F"/>
    <w:rsid w:val="0035086D"/>
    <w:rsid w:val="00350AD7"/>
    <w:rsid w:val="003514BB"/>
    <w:rsid w:val="003515C5"/>
    <w:rsid w:val="003519AD"/>
    <w:rsid w:val="00351B01"/>
    <w:rsid w:val="00351E0E"/>
    <w:rsid w:val="00352001"/>
    <w:rsid w:val="003520A6"/>
    <w:rsid w:val="00352580"/>
    <w:rsid w:val="0035265F"/>
    <w:rsid w:val="00352842"/>
    <w:rsid w:val="003529AF"/>
    <w:rsid w:val="00352CFF"/>
    <w:rsid w:val="00352FA1"/>
    <w:rsid w:val="003530A5"/>
    <w:rsid w:val="003539AE"/>
    <w:rsid w:val="003539B4"/>
    <w:rsid w:val="00353B08"/>
    <w:rsid w:val="00353B25"/>
    <w:rsid w:val="00353B3A"/>
    <w:rsid w:val="00353C64"/>
    <w:rsid w:val="00353E17"/>
    <w:rsid w:val="00353E87"/>
    <w:rsid w:val="0035453B"/>
    <w:rsid w:val="00354608"/>
    <w:rsid w:val="003548F3"/>
    <w:rsid w:val="003549B6"/>
    <w:rsid w:val="003549E4"/>
    <w:rsid w:val="00354CF5"/>
    <w:rsid w:val="00354EB4"/>
    <w:rsid w:val="00355D1B"/>
    <w:rsid w:val="00356485"/>
    <w:rsid w:val="00356756"/>
    <w:rsid w:val="003569A1"/>
    <w:rsid w:val="00356C84"/>
    <w:rsid w:val="00356D29"/>
    <w:rsid w:val="003571C2"/>
    <w:rsid w:val="0035758E"/>
    <w:rsid w:val="00357721"/>
    <w:rsid w:val="00357871"/>
    <w:rsid w:val="00357A29"/>
    <w:rsid w:val="00360282"/>
    <w:rsid w:val="0036038F"/>
    <w:rsid w:val="00360620"/>
    <w:rsid w:val="0036076C"/>
    <w:rsid w:val="00360A73"/>
    <w:rsid w:val="00360A86"/>
    <w:rsid w:val="00360A9B"/>
    <w:rsid w:val="00360B9F"/>
    <w:rsid w:val="00360F50"/>
    <w:rsid w:val="0036159E"/>
    <w:rsid w:val="0036172F"/>
    <w:rsid w:val="003618DE"/>
    <w:rsid w:val="00361C68"/>
    <w:rsid w:val="003621A6"/>
    <w:rsid w:val="003624F1"/>
    <w:rsid w:val="00362563"/>
    <w:rsid w:val="00362E8F"/>
    <w:rsid w:val="00362F4D"/>
    <w:rsid w:val="0036329C"/>
    <w:rsid w:val="003637B9"/>
    <w:rsid w:val="003638CC"/>
    <w:rsid w:val="003640A7"/>
    <w:rsid w:val="00364728"/>
    <w:rsid w:val="00364827"/>
    <w:rsid w:val="003649AE"/>
    <w:rsid w:val="00364E43"/>
    <w:rsid w:val="00364EC4"/>
    <w:rsid w:val="00365447"/>
    <w:rsid w:val="0036594B"/>
    <w:rsid w:val="00365EC8"/>
    <w:rsid w:val="003665C6"/>
    <w:rsid w:val="00366B36"/>
    <w:rsid w:val="00366C2E"/>
    <w:rsid w:val="00366DEC"/>
    <w:rsid w:val="00366F1D"/>
    <w:rsid w:val="0036712C"/>
    <w:rsid w:val="003672C4"/>
    <w:rsid w:val="003674CE"/>
    <w:rsid w:val="003676DC"/>
    <w:rsid w:val="00367870"/>
    <w:rsid w:val="00367918"/>
    <w:rsid w:val="0036794E"/>
    <w:rsid w:val="00370059"/>
    <w:rsid w:val="0037010A"/>
    <w:rsid w:val="003702E8"/>
    <w:rsid w:val="00370C26"/>
    <w:rsid w:val="00370CB5"/>
    <w:rsid w:val="00370E70"/>
    <w:rsid w:val="003715F6"/>
    <w:rsid w:val="0037161F"/>
    <w:rsid w:val="00371827"/>
    <w:rsid w:val="00371B5D"/>
    <w:rsid w:val="00371BE2"/>
    <w:rsid w:val="00371E6C"/>
    <w:rsid w:val="003721F5"/>
    <w:rsid w:val="00372728"/>
    <w:rsid w:val="00372800"/>
    <w:rsid w:val="00372D29"/>
    <w:rsid w:val="00372F11"/>
    <w:rsid w:val="003730F2"/>
    <w:rsid w:val="00373739"/>
    <w:rsid w:val="00373D21"/>
    <w:rsid w:val="003740A1"/>
    <w:rsid w:val="00374316"/>
    <w:rsid w:val="00374789"/>
    <w:rsid w:val="003748FD"/>
    <w:rsid w:val="003749CA"/>
    <w:rsid w:val="00374BB5"/>
    <w:rsid w:val="00374BC5"/>
    <w:rsid w:val="003752B4"/>
    <w:rsid w:val="00375433"/>
    <w:rsid w:val="0037572F"/>
    <w:rsid w:val="00375884"/>
    <w:rsid w:val="00375A3B"/>
    <w:rsid w:val="00375F39"/>
    <w:rsid w:val="00376108"/>
    <w:rsid w:val="00376455"/>
    <w:rsid w:val="00376528"/>
    <w:rsid w:val="00376626"/>
    <w:rsid w:val="00376773"/>
    <w:rsid w:val="00376951"/>
    <w:rsid w:val="00376C72"/>
    <w:rsid w:val="00376D01"/>
    <w:rsid w:val="00377254"/>
    <w:rsid w:val="003778E0"/>
    <w:rsid w:val="00377F6C"/>
    <w:rsid w:val="00380408"/>
    <w:rsid w:val="003808F9"/>
    <w:rsid w:val="00380AC2"/>
    <w:rsid w:val="00380ECC"/>
    <w:rsid w:val="00381116"/>
    <w:rsid w:val="00381234"/>
    <w:rsid w:val="003813A6"/>
    <w:rsid w:val="0038146C"/>
    <w:rsid w:val="003814F5"/>
    <w:rsid w:val="00381655"/>
    <w:rsid w:val="0038169E"/>
    <w:rsid w:val="00381F7B"/>
    <w:rsid w:val="0038213A"/>
    <w:rsid w:val="00382192"/>
    <w:rsid w:val="00382597"/>
    <w:rsid w:val="00382609"/>
    <w:rsid w:val="003826F3"/>
    <w:rsid w:val="00382F33"/>
    <w:rsid w:val="00382FF5"/>
    <w:rsid w:val="00383477"/>
    <w:rsid w:val="00383539"/>
    <w:rsid w:val="00383A53"/>
    <w:rsid w:val="00383AB8"/>
    <w:rsid w:val="00383BA2"/>
    <w:rsid w:val="00383D9B"/>
    <w:rsid w:val="00384099"/>
    <w:rsid w:val="00384339"/>
    <w:rsid w:val="00384349"/>
    <w:rsid w:val="003843BD"/>
    <w:rsid w:val="0038451D"/>
    <w:rsid w:val="003846EC"/>
    <w:rsid w:val="00384AA8"/>
    <w:rsid w:val="00384E8D"/>
    <w:rsid w:val="0038503C"/>
    <w:rsid w:val="00385199"/>
    <w:rsid w:val="003851CA"/>
    <w:rsid w:val="00385B49"/>
    <w:rsid w:val="00385BE5"/>
    <w:rsid w:val="00385E27"/>
    <w:rsid w:val="00386124"/>
    <w:rsid w:val="003862C7"/>
    <w:rsid w:val="003864D5"/>
    <w:rsid w:val="003867DA"/>
    <w:rsid w:val="0038682D"/>
    <w:rsid w:val="00386D32"/>
    <w:rsid w:val="00386E56"/>
    <w:rsid w:val="00386FA4"/>
    <w:rsid w:val="00387191"/>
    <w:rsid w:val="00387B79"/>
    <w:rsid w:val="00390296"/>
    <w:rsid w:val="003902DB"/>
    <w:rsid w:val="00390567"/>
    <w:rsid w:val="00390CCC"/>
    <w:rsid w:val="00391BF6"/>
    <w:rsid w:val="00391D0C"/>
    <w:rsid w:val="00392722"/>
    <w:rsid w:val="00392759"/>
    <w:rsid w:val="003927EC"/>
    <w:rsid w:val="00392CF8"/>
    <w:rsid w:val="0039300E"/>
    <w:rsid w:val="003937BD"/>
    <w:rsid w:val="0039389C"/>
    <w:rsid w:val="00393E91"/>
    <w:rsid w:val="003943A8"/>
    <w:rsid w:val="003943E9"/>
    <w:rsid w:val="00394824"/>
    <w:rsid w:val="00394B1C"/>
    <w:rsid w:val="00394B61"/>
    <w:rsid w:val="0039522A"/>
    <w:rsid w:val="003952A5"/>
    <w:rsid w:val="003952BF"/>
    <w:rsid w:val="00395341"/>
    <w:rsid w:val="0039589F"/>
    <w:rsid w:val="00395A1A"/>
    <w:rsid w:val="00395BA1"/>
    <w:rsid w:val="00395BF2"/>
    <w:rsid w:val="00395C98"/>
    <w:rsid w:val="00395F46"/>
    <w:rsid w:val="003960D5"/>
    <w:rsid w:val="0039625A"/>
    <w:rsid w:val="003962FC"/>
    <w:rsid w:val="0039630A"/>
    <w:rsid w:val="003966F6"/>
    <w:rsid w:val="0039677D"/>
    <w:rsid w:val="00396BD3"/>
    <w:rsid w:val="00396BF9"/>
    <w:rsid w:val="00396C05"/>
    <w:rsid w:val="0039754F"/>
    <w:rsid w:val="0039780A"/>
    <w:rsid w:val="003978C5"/>
    <w:rsid w:val="003A01E1"/>
    <w:rsid w:val="003A0344"/>
    <w:rsid w:val="003A04E3"/>
    <w:rsid w:val="003A0660"/>
    <w:rsid w:val="003A06EB"/>
    <w:rsid w:val="003A0C0C"/>
    <w:rsid w:val="003A0D52"/>
    <w:rsid w:val="003A0ED5"/>
    <w:rsid w:val="003A12D3"/>
    <w:rsid w:val="003A172E"/>
    <w:rsid w:val="003A191B"/>
    <w:rsid w:val="003A23D0"/>
    <w:rsid w:val="003A2682"/>
    <w:rsid w:val="003A2A21"/>
    <w:rsid w:val="003A2A89"/>
    <w:rsid w:val="003A2D5F"/>
    <w:rsid w:val="003A2ED1"/>
    <w:rsid w:val="003A307D"/>
    <w:rsid w:val="003A3395"/>
    <w:rsid w:val="003A369B"/>
    <w:rsid w:val="003A382E"/>
    <w:rsid w:val="003A3C63"/>
    <w:rsid w:val="003A3E8A"/>
    <w:rsid w:val="003A3EF0"/>
    <w:rsid w:val="003A448E"/>
    <w:rsid w:val="003A4C47"/>
    <w:rsid w:val="003A4D25"/>
    <w:rsid w:val="003A4D43"/>
    <w:rsid w:val="003A5156"/>
    <w:rsid w:val="003A5333"/>
    <w:rsid w:val="003A65F6"/>
    <w:rsid w:val="003A6724"/>
    <w:rsid w:val="003A678D"/>
    <w:rsid w:val="003A68EC"/>
    <w:rsid w:val="003A690E"/>
    <w:rsid w:val="003A6D9D"/>
    <w:rsid w:val="003A6E1A"/>
    <w:rsid w:val="003A71E7"/>
    <w:rsid w:val="003A73A0"/>
    <w:rsid w:val="003A78C6"/>
    <w:rsid w:val="003A7BD4"/>
    <w:rsid w:val="003A7CA0"/>
    <w:rsid w:val="003A7D4E"/>
    <w:rsid w:val="003A7D6C"/>
    <w:rsid w:val="003A7E29"/>
    <w:rsid w:val="003B0006"/>
    <w:rsid w:val="003B0150"/>
    <w:rsid w:val="003B0BA1"/>
    <w:rsid w:val="003B0D7A"/>
    <w:rsid w:val="003B10C6"/>
    <w:rsid w:val="003B12FA"/>
    <w:rsid w:val="003B1D50"/>
    <w:rsid w:val="003B2061"/>
    <w:rsid w:val="003B23AE"/>
    <w:rsid w:val="003B2A06"/>
    <w:rsid w:val="003B32A9"/>
    <w:rsid w:val="003B3733"/>
    <w:rsid w:val="003B37B0"/>
    <w:rsid w:val="003B3AE6"/>
    <w:rsid w:val="003B3DE2"/>
    <w:rsid w:val="003B3E8F"/>
    <w:rsid w:val="003B40BA"/>
    <w:rsid w:val="003B422D"/>
    <w:rsid w:val="003B44EF"/>
    <w:rsid w:val="003B4599"/>
    <w:rsid w:val="003B4651"/>
    <w:rsid w:val="003B48E9"/>
    <w:rsid w:val="003B609C"/>
    <w:rsid w:val="003B61B7"/>
    <w:rsid w:val="003B63CB"/>
    <w:rsid w:val="003B640A"/>
    <w:rsid w:val="003B6D7D"/>
    <w:rsid w:val="003B7676"/>
    <w:rsid w:val="003B7A75"/>
    <w:rsid w:val="003B7CCA"/>
    <w:rsid w:val="003B7EAE"/>
    <w:rsid w:val="003C0398"/>
    <w:rsid w:val="003C04D8"/>
    <w:rsid w:val="003C06DE"/>
    <w:rsid w:val="003C0701"/>
    <w:rsid w:val="003C0940"/>
    <w:rsid w:val="003C095C"/>
    <w:rsid w:val="003C0A65"/>
    <w:rsid w:val="003C0D79"/>
    <w:rsid w:val="003C0EB0"/>
    <w:rsid w:val="003C119E"/>
    <w:rsid w:val="003C18D3"/>
    <w:rsid w:val="003C1950"/>
    <w:rsid w:val="003C1AC6"/>
    <w:rsid w:val="003C1AD5"/>
    <w:rsid w:val="003C1AE2"/>
    <w:rsid w:val="003C1C00"/>
    <w:rsid w:val="003C1D04"/>
    <w:rsid w:val="003C1D9F"/>
    <w:rsid w:val="003C1F23"/>
    <w:rsid w:val="003C2308"/>
    <w:rsid w:val="003C26D4"/>
    <w:rsid w:val="003C2F2A"/>
    <w:rsid w:val="003C3086"/>
    <w:rsid w:val="003C319A"/>
    <w:rsid w:val="003C3852"/>
    <w:rsid w:val="003C38F0"/>
    <w:rsid w:val="003C3BD5"/>
    <w:rsid w:val="003C3E44"/>
    <w:rsid w:val="003C4369"/>
    <w:rsid w:val="003C4516"/>
    <w:rsid w:val="003C47FA"/>
    <w:rsid w:val="003C4A71"/>
    <w:rsid w:val="003C4CFF"/>
    <w:rsid w:val="003C4D22"/>
    <w:rsid w:val="003C4F8F"/>
    <w:rsid w:val="003C520A"/>
    <w:rsid w:val="003C52C7"/>
    <w:rsid w:val="003C5381"/>
    <w:rsid w:val="003C5475"/>
    <w:rsid w:val="003C5644"/>
    <w:rsid w:val="003C596D"/>
    <w:rsid w:val="003C5C79"/>
    <w:rsid w:val="003C5CE4"/>
    <w:rsid w:val="003C5DBF"/>
    <w:rsid w:val="003C5EEF"/>
    <w:rsid w:val="003C6237"/>
    <w:rsid w:val="003C6658"/>
    <w:rsid w:val="003C68CA"/>
    <w:rsid w:val="003C698A"/>
    <w:rsid w:val="003C6B59"/>
    <w:rsid w:val="003C6C39"/>
    <w:rsid w:val="003C72E0"/>
    <w:rsid w:val="003C75D5"/>
    <w:rsid w:val="003C7775"/>
    <w:rsid w:val="003C7D16"/>
    <w:rsid w:val="003D0064"/>
    <w:rsid w:val="003D01F3"/>
    <w:rsid w:val="003D04D6"/>
    <w:rsid w:val="003D07A9"/>
    <w:rsid w:val="003D0829"/>
    <w:rsid w:val="003D0B4D"/>
    <w:rsid w:val="003D0B82"/>
    <w:rsid w:val="003D0CB3"/>
    <w:rsid w:val="003D0EC4"/>
    <w:rsid w:val="003D1CDA"/>
    <w:rsid w:val="003D1E32"/>
    <w:rsid w:val="003D1ED5"/>
    <w:rsid w:val="003D299E"/>
    <w:rsid w:val="003D2C0E"/>
    <w:rsid w:val="003D2C7C"/>
    <w:rsid w:val="003D2DF9"/>
    <w:rsid w:val="003D30B7"/>
    <w:rsid w:val="003D36A7"/>
    <w:rsid w:val="003D3907"/>
    <w:rsid w:val="003D3C35"/>
    <w:rsid w:val="003D41E2"/>
    <w:rsid w:val="003D43A1"/>
    <w:rsid w:val="003D4572"/>
    <w:rsid w:val="003D4845"/>
    <w:rsid w:val="003D4CAA"/>
    <w:rsid w:val="003D4E5C"/>
    <w:rsid w:val="003D50F4"/>
    <w:rsid w:val="003D530A"/>
    <w:rsid w:val="003D5370"/>
    <w:rsid w:val="003D5478"/>
    <w:rsid w:val="003D55E1"/>
    <w:rsid w:val="003D57F6"/>
    <w:rsid w:val="003D57FA"/>
    <w:rsid w:val="003D58E9"/>
    <w:rsid w:val="003D63DF"/>
    <w:rsid w:val="003D641A"/>
    <w:rsid w:val="003D71EB"/>
    <w:rsid w:val="003D74F7"/>
    <w:rsid w:val="003D75C8"/>
    <w:rsid w:val="003D7F9E"/>
    <w:rsid w:val="003E034D"/>
    <w:rsid w:val="003E0A41"/>
    <w:rsid w:val="003E0BB6"/>
    <w:rsid w:val="003E1AF3"/>
    <w:rsid w:val="003E1CD5"/>
    <w:rsid w:val="003E1D33"/>
    <w:rsid w:val="003E202C"/>
    <w:rsid w:val="003E2043"/>
    <w:rsid w:val="003E22CB"/>
    <w:rsid w:val="003E2343"/>
    <w:rsid w:val="003E2615"/>
    <w:rsid w:val="003E27F7"/>
    <w:rsid w:val="003E2C21"/>
    <w:rsid w:val="003E2E7D"/>
    <w:rsid w:val="003E2EE4"/>
    <w:rsid w:val="003E2FB8"/>
    <w:rsid w:val="003E3288"/>
    <w:rsid w:val="003E3591"/>
    <w:rsid w:val="003E37DC"/>
    <w:rsid w:val="003E406B"/>
    <w:rsid w:val="003E4075"/>
    <w:rsid w:val="003E444E"/>
    <w:rsid w:val="003E4AB4"/>
    <w:rsid w:val="003E4D09"/>
    <w:rsid w:val="003E4F96"/>
    <w:rsid w:val="003E5612"/>
    <w:rsid w:val="003E58D6"/>
    <w:rsid w:val="003E5A70"/>
    <w:rsid w:val="003E5A81"/>
    <w:rsid w:val="003E5C5C"/>
    <w:rsid w:val="003E5CCA"/>
    <w:rsid w:val="003E5D5B"/>
    <w:rsid w:val="003E5D9E"/>
    <w:rsid w:val="003E61AF"/>
    <w:rsid w:val="003E6618"/>
    <w:rsid w:val="003E6715"/>
    <w:rsid w:val="003E6800"/>
    <w:rsid w:val="003E6946"/>
    <w:rsid w:val="003E6C0D"/>
    <w:rsid w:val="003E7059"/>
    <w:rsid w:val="003E73CE"/>
    <w:rsid w:val="003E7773"/>
    <w:rsid w:val="003E7987"/>
    <w:rsid w:val="003F021F"/>
    <w:rsid w:val="003F064D"/>
    <w:rsid w:val="003F097C"/>
    <w:rsid w:val="003F0AD5"/>
    <w:rsid w:val="003F0EF3"/>
    <w:rsid w:val="003F115E"/>
    <w:rsid w:val="003F129D"/>
    <w:rsid w:val="003F14BB"/>
    <w:rsid w:val="003F14C2"/>
    <w:rsid w:val="003F1687"/>
    <w:rsid w:val="003F1869"/>
    <w:rsid w:val="003F1B08"/>
    <w:rsid w:val="003F1B48"/>
    <w:rsid w:val="003F1BBD"/>
    <w:rsid w:val="003F1CAC"/>
    <w:rsid w:val="003F1FB3"/>
    <w:rsid w:val="003F2210"/>
    <w:rsid w:val="003F287C"/>
    <w:rsid w:val="003F2B24"/>
    <w:rsid w:val="003F2C0B"/>
    <w:rsid w:val="003F2F2D"/>
    <w:rsid w:val="003F3264"/>
    <w:rsid w:val="003F351A"/>
    <w:rsid w:val="003F35F4"/>
    <w:rsid w:val="003F3617"/>
    <w:rsid w:val="003F3AA9"/>
    <w:rsid w:val="003F47BF"/>
    <w:rsid w:val="003F535C"/>
    <w:rsid w:val="003F5457"/>
    <w:rsid w:val="003F580D"/>
    <w:rsid w:val="003F5AF9"/>
    <w:rsid w:val="003F5BFB"/>
    <w:rsid w:val="003F5C14"/>
    <w:rsid w:val="003F5D67"/>
    <w:rsid w:val="003F5E80"/>
    <w:rsid w:val="003F60AA"/>
    <w:rsid w:val="003F65AA"/>
    <w:rsid w:val="003F65BB"/>
    <w:rsid w:val="003F6BFB"/>
    <w:rsid w:val="003F6D42"/>
    <w:rsid w:val="003F6E5B"/>
    <w:rsid w:val="003F70B4"/>
    <w:rsid w:val="003F7196"/>
    <w:rsid w:val="003F73C0"/>
    <w:rsid w:val="003F7A40"/>
    <w:rsid w:val="003F7AAD"/>
    <w:rsid w:val="004000B7"/>
    <w:rsid w:val="004002ED"/>
    <w:rsid w:val="00400459"/>
    <w:rsid w:val="004008AF"/>
    <w:rsid w:val="00400B5F"/>
    <w:rsid w:val="004012B9"/>
    <w:rsid w:val="0040166A"/>
    <w:rsid w:val="00401D4F"/>
    <w:rsid w:val="00401DBF"/>
    <w:rsid w:val="004024DD"/>
    <w:rsid w:val="00402D6C"/>
    <w:rsid w:val="00402DE7"/>
    <w:rsid w:val="00402FAB"/>
    <w:rsid w:val="00403203"/>
    <w:rsid w:val="004033D9"/>
    <w:rsid w:val="004033DC"/>
    <w:rsid w:val="00403D3A"/>
    <w:rsid w:val="004042B5"/>
    <w:rsid w:val="004048F2"/>
    <w:rsid w:val="00404929"/>
    <w:rsid w:val="00404A92"/>
    <w:rsid w:val="00404A94"/>
    <w:rsid w:val="00404C50"/>
    <w:rsid w:val="00404D19"/>
    <w:rsid w:val="004051C4"/>
    <w:rsid w:val="004052C1"/>
    <w:rsid w:val="0040551F"/>
    <w:rsid w:val="00405C13"/>
    <w:rsid w:val="004065B3"/>
    <w:rsid w:val="004068F9"/>
    <w:rsid w:val="00406AA6"/>
    <w:rsid w:val="0040723D"/>
    <w:rsid w:val="004073DD"/>
    <w:rsid w:val="0040771F"/>
    <w:rsid w:val="00407D93"/>
    <w:rsid w:val="004101A3"/>
    <w:rsid w:val="00410965"/>
    <w:rsid w:val="00410D49"/>
    <w:rsid w:val="00410EC3"/>
    <w:rsid w:val="0041116F"/>
    <w:rsid w:val="004111F7"/>
    <w:rsid w:val="00411579"/>
    <w:rsid w:val="0041217D"/>
    <w:rsid w:val="00412272"/>
    <w:rsid w:val="004125C6"/>
    <w:rsid w:val="0041275F"/>
    <w:rsid w:val="0041284B"/>
    <w:rsid w:val="0041287C"/>
    <w:rsid w:val="00412A2B"/>
    <w:rsid w:val="00412D5D"/>
    <w:rsid w:val="0041393A"/>
    <w:rsid w:val="00413A2A"/>
    <w:rsid w:val="004140D1"/>
    <w:rsid w:val="00414837"/>
    <w:rsid w:val="0041527A"/>
    <w:rsid w:val="00415420"/>
    <w:rsid w:val="004154D1"/>
    <w:rsid w:val="0041601F"/>
    <w:rsid w:val="004160B5"/>
    <w:rsid w:val="00416153"/>
    <w:rsid w:val="0041651B"/>
    <w:rsid w:val="004166FC"/>
    <w:rsid w:val="00416859"/>
    <w:rsid w:val="00416C94"/>
    <w:rsid w:val="00416C9F"/>
    <w:rsid w:val="004171F9"/>
    <w:rsid w:val="00417841"/>
    <w:rsid w:val="00417A32"/>
    <w:rsid w:val="00417AAA"/>
    <w:rsid w:val="00417E18"/>
    <w:rsid w:val="0042053F"/>
    <w:rsid w:val="004206E9"/>
    <w:rsid w:val="00420EE6"/>
    <w:rsid w:val="004214A1"/>
    <w:rsid w:val="0042174A"/>
    <w:rsid w:val="00421A89"/>
    <w:rsid w:val="00421CB7"/>
    <w:rsid w:val="00421D76"/>
    <w:rsid w:val="00421E12"/>
    <w:rsid w:val="00421EBC"/>
    <w:rsid w:val="00421F61"/>
    <w:rsid w:val="00422032"/>
    <w:rsid w:val="00422069"/>
    <w:rsid w:val="00422196"/>
    <w:rsid w:val="004221EF"/>
    <w:rsid w:val="0042272F"/>
    <w:rsid w:val="00422988"/>
    <w:rsid w:val="00422B83"/>
    <w:rsid w:val="00422DDE"/>
    <w:rsid w:val="00422E67"/>
    <w:rsid w:val="0042304B"/>
    <w:rsid w:val="00423130"/>
    <w:rsid w:val="004234D3"/>
    <w:rsid w:val="0042354A"/>
    <w:rsid w:val="00423715"/>
    <w:rsid w:val="0042384C"/>
    <w:rsid w:val="00423D73"/>
    <w:rsid w:val="00423D75"/>
    <w:rsid w:val="00424007"/>
    <w:rsid w:val="00424084"/>
    <w:rsid w:val="004240F0"/>
    <w:rsid w:val="00424172"/>
    <w:rsid w:val="0042460F"/>
    <w:rsid w:val="004249C0"/>
    <w:rsid w:val="00424D15"/>
    <w:rsid w:val="00424EA3"/>
    <w:rsid w:val="00424F20"/>
    <w:rsid w:val="004251A0"/>
    <w:rsid w:val="0042528B"/>
    <w:rsid w:val="004253DE"/>
    <w:rsid w:val="00425422"/>
    <w:rsid w:val="0042578C"/>
    <w:rsid w:val="00425795"/>
    <w:rsid w:val="00425B05"/>
    <w:rsid w:val="00425C34"/>
    <w:rsid w:val="00426014"/>
    <w:rsid w:val="0042627F"/>
    <w:rsid w:val="004264C3"/>
    <w:rsid w:val="004264DA"/>
    <w:rsid w:val="00426E8C"/>
    <w:rsid w:val="004271AC"/>
    <w:rsid w:val="004272F2"/>
    <w:rsid w:val="004273AD"/>
    <w:rsid w:val="00427657"/>
    <w:rsid w:val="00427695"/>
    <w:rsid w:val="00427AD5"/>
    <w:rsid w:val="00427B95"/>
    <w:rsid w:val="00427BE6"/>
    <w:rsid w:val="00427F4C"/>
    <w:rsid w:val="00427FBF"/>
    <w:rsid w:val="004305AE"/>
    <w:rsid w:val="0043069A"/>
    <w:rsid w:val="0043122F"/>
    <w:rsid w:val="00431755"/>
    <w:rsid w:val="00431800"/>
    <w:rsid w:val="00431C49"/>
    <w:rsid w:val="004320BA"/>
    <w:rsid w:val="00432343"/>
    <w:rsid w:val="004323A5"/>
    <w:rsid w:val="004323DB"/>
    <w:rsid w:val="00432764"/>
    <w:rsid w:val="00432940"/>
    <w:rsid w:val="0043308B"/>
    <w:rsid w:val="00433102"/>
    <w:rsid w:val="00433541"/>
    <w:rsid w:val="00433770"/>
    <w:rsid w:val="0043395B"/>
    <w:rsid w:val="00433D36"/>
    <w:rsid w:val="00433E76"/>
    <w:rsid w:val="004346AF"/>
    <w:rsid w:val="004347A8"/>
    <w:rsid w:val="00434AC8"/>
    <w:rsid w:val="00434BB1"/>
    <w:rsid w:val="00434C00"/>
    <w:rsid w:val="00434C1A"/>
    <w:rsid w:val="00434D5A"/>
    <w:rsid w:val="004351CC"/>
    <w:rsid w:val="0043536E"/>
    <w:rsid w:val="00435B3C"/>
    <w:rsid w:val="00435B85"/>
    <w:rsid w:val="00435BC4"/>
    <w:rsid w:val="0043600F"/>
    <w:rsid w:val="0043607F"/>
    <w:rsid w:val="00436514"/>
    <w:rsid w:val="00436A07"/>
    <w:rsid w:val="00436A6B"/>
    <w:rsid w:val="00436BC1"/>
    <w:rsid w:val="004374F5"/>
    <w:rsid w:val="004377D1"/>
    <w:rsid w:val="004379A7"/>
    <w:rsid w:val="00437B87"/>
    <w:rsid w:val="00437BEA"/>
    <w:rsid w:val="00437E8C"/>
    <w:rsid w:val="00440241"/>
    <w:rsid w:val="004403DE"/>
    <w:rsid w:val="00440828"/>
    <w:rsid w:val="00440BE3"/>
    <w:rsid w:val="00441170"/>
    <w:rsid w:val="00441187"/>
    <w:rsid w:val="00441242"/>
    <w:rsid w:val="004415B4"/>
    <w:rsid w:val="00441D32"/>
    <w:rsid w:val="00442161"/>
    <w:rsid w:val="0044228C"/>
    <w:rsid w:val="0044230C"/>
    <w:rsid w:val="004423F7"/>
    <w:rsid w:val="0044271F"/>
    <w:rsid w:val="0044288B"/>
    <w:rsid w:val="00442956"/>
    <w:rsid w:val="00442A49"/>
    <w:rsid w:val="00442AFA"/>
    <w:rsid w:val="00442C4C"/>
    <w:rsid w:val="00442C5B"/>
    <w:rsid w:val="00442E9C"/>
    <w:rsid w:val="0044301D"/>
    <w:rsid w:val="00443394"/>
    <w:rsid w:val="004435AC"/>
    <w:rsid w:val="00443B95"/>
    <w:rsid w:val="00444073"/>
    <w:rsid w:val="0044487B"/>
    <w:rsid w:val="004448DB"/>
    <w:rsid w:val="00444AC6"/>
    <w:rsid w:val="00444C70"/>
    <w:rsid w:val="00444F0C"/>
    <w:rsid w:val="004455EC"/>
    <w:rsid w:val="0044580C"/>
    <w:rsid w:val="00445A40"/>
    <w:rsid w:val="00445A6D"/>
    <w:rsid w:val="00445D00"/>
    <w:rsid w:val="00445D87"/>
    <w:rsid w:val="00445E8F"/>
    <w:rsid w:val="0044608D"/>
    <w:rsid w:val="0044642D"/>
    <w:rsid w:val="0044690B"/>
    <w:rsid w:val="004469E1"/>
    <w:rsid w:val="00446A4D"/>
    <w:rsid w:val="00446AF7"/>
    <w:rsid w:val="00446BBE"/>
    <w:rsid w:val="0044707D"/>
    <w:rsid w:val="004470A2"/>
    <w:rsid w:val="004470DE"/>
    <w:rsid w:val="0044723E"/>
    <w:rsid w:val="00447647"/>
    <w:rsid w:val="004476BB"/>
    <w:rsid w:val="0044779C"/>
    <w:rsid w:val="0044782C"/>
    <w:rsid w:val="004478C1"/>
    <w:rsid w:val="0044797F"/>
    <w:rsid w:val="0044799E"/>
    <w:rsid w:val="00447E4C"/>
    <w:rsid w:val="004500FA"/>
    <w:rsid w:val="004502DA"/>
    <w:rsid w:val="0045093D"/>
    <w:rsid w:val="00450AC6"/>
    <w:rsid w:val="00450C4C"/>
    <w:rsid w:val="00451645"/>
    <w:rsid w:val="0045217B"/>
    <w:rsid w:val="00452201"/>
    <w:rsid w:val="004534C0"/>
    <w:rsid w:val="0045358B"/>
    <w:rsid w:val="00453725"/>
    <w:rsid w:val="00453891"/>
    <w:rsid w:val="004539F4"/>
    <w:rsid w:val="00453B8C"/>
    <w:rsid w:val="004547CB"/>
    <w:rsid w:val="00454A9C"/>
    <w:rsid w:val="00454B20"/>
    <w:rsid w:val="00454F8E"/>
    <w:rsid w:val="00455013"/>
    <w:rsid w:val="00455052"/>
    <w:rsid w:val="0045529D"/>
    <w:rsid w:val="00455317"/>
    <w:rsid w:val="0045563B"/>
    <w:rsid w:val="00455BCE"/>
    <w:rsid w:val="0045617E"/>
    <w:rsid w:val="00456DAD"/>
    <w:rsid w:val="00456E88"/>
    <w:rsid w:val="00456F1D"/>
    <w:rsid w:val="00456F8C"/>
    <w:rsid w:val="0045715F"/>
    <w:rsid w:val="0045721A"/>
    <w:rsid w:val="0045749F"/>
    <w:rsid w:val="00457567"/>
    <w:rsid w:val="00457F96"/>
    <w:rsid w:val="00460149"/>
    <w:rsid w:val="004601EE"/>
    <w:rsid w:val="00460511"/>
    <w:rsid w:val="00460581"/>
    <w:rsid w:val="004608EC"/>
    <w:rsid w:val="00460956"/>
    <w:rsid w:val="004609E5"/>
    <w:rsid w:val="00461133"/>
    <w:rsid w:val="004619C9"/>
    <w:rsid w:val="00461EA9"/>
    <w:rsid w:val="0046251B"/>
    <w:rsid w:val="004626B2"/>
    <w:rsid w:val="00462778"/>
    <w:rsid w:val="00462D94"/>
    <w:rsid w:val="00462E78"/>
    <w:rsid w:val="00462F6B"/>
    <w:rsid w:val="0046302B"/>
    <w:rsid w:val="0046376A"/>
    <w:rsid w:val="004637E0"/>
    <w:rsid w:val="0046380D"/>
    <w:rsid w:val="004638AF"/>
    <w:rsid w:val="004639ED"/>
    <w:rsid w:val="00463B2E"/>
    <w:rsid w:val="00463C3E"/>
    <w:rsid w:val="00463C9D"/>
    <w:rsid w:val="00463DB9"/>
    <w:rsid w:val="00463FE2"/>
    <w:rsid w:val="0046408E"/>
    <w:rsid w:val="004640CC"/>
    <w:rsid w:val="0046465E"/>
    <w:rsid w:val="00464F6C"/>
    <w:rsid w:val="00465115"/>
    <w:rsid w:val="00465183"/>
    <w:rsid w:val="004651B8"/>
    <w:rsid w:val="004651D3"/>
    <w:rsid w:val="004653AD"/>
    <w:rsid w:val="004655F5"/>
    <w:rsid w:val="00465CBE"/>
    <w:rsid w:val="0046685D"/>
    <w:rsid w:val="004670CB"/>
    <w:rsid w:val="0046727F"/>
    <w:rsid w:val="00467359"/>
    <w:rsid w:val="00467C56"/>
    <w:rsid w:val="00467D47"/>
    <w:rsid w:val="00467E28"/>
    <w:rsid w:val="00470069"/>
    <w:rsid w:val="0047045E"/>
    <w:rsid w:val="0047047D"/>
    <w:rsid w:val="0047055D"/>
    <w:rsid w:val="004705B3"/>
    <w:rsid w:val="004707EF"/>
    <w:rsid w:val="0047091A"/>
    <w:rsid w:val="0047094D"/>
    <w:rsid w:val="00470AA7"/>
    <w:rsid w:val="0047114A"/>
    <w:rsid w:val="00471487"/>
    <w:rsid w:val="00471A5D"/>
    <w:rsid w:val="00471C17"/>
    <w:rsid w:val="00471D0D"/>
    <w:rsid w:val="00472283"/>
    <w:rsid w:val="00472940"/>
    <w:rsid w:val="0047298C"/>
    <w:rsid w:val="00472B41"/>
    <w:rsid w:val="00472FB4"/>
    <w:rsid w:val="004730F4"/>
    <w:rsid w:val="00473102"/>
    <w:rsid w:val="00473173"/>
    <w:rsid w:val="00473183"/>
    <w:rsid w:val="00473347"/>
    <w:rsid w:val="00473421"/>
    <w:rsid w:val="004735F5"/>
    <w:rsid w:val="0047371C"/>
    <w:rsid w:val="00473D53"/>
    <w:rsid w:val="00473DEB"/>
    <w:rsid w:val="00474415"/>
    <w:rsid w:val="00474628"/>
    <w:rsid w:val="004746B5"/>
    <w:rsid w:val="00474962"/>
    <w:rsid w:val="00474C81"/>
    <w:rsid w:val="00474E01"/>
    <w:rsid w:val="00474E3A"/>
    <w:rsid w:val="0047509A"/>
    <w:rsid w:val="004755AF"/>
    <w:rsid w:val="00475A04"/>
    <w:rsid w:val="00475A40"/>
    <w:rsid w:val="00475CE2"/>
    <w:rsid w:val="004760B7"/>
    <w:rsid w:val="0047635B"/>
    <w:rsid w:val="00476704"/>
    <w:rsid w:val="00476798"/>
    <w:rsid w:val="00476B25"/>
    <w:rsid w:val="00476D5E"/>
    <w:rsid w:val="00477901"/>
    <w:rsid w:val="00477A7B"/>
    <w:rsid w:val="00480458"/>
    <w:rsid w:val="00480568"/>
    <w:rsid w:val="00480F15"/>
    <w:rsid w:val="0048132F"/>
    <w:rsid w:val="00481353"/>
    <w:rsid w:val="0048184A"/>
    <w:rsid w:val="0048199E"/>
    <w:rsid w:val="004819AF"/>
    <w:rsid w:val="00481EA2"/>
    <w:rsid w:val="00482434"/>
    <w:rsid w:val="0048255A"/>
    <w:rsid w:val="004825F9"/>
    <w:rsid w:val="00482804"/>
    <w:rsid w:val="00482B47"/>
    <w:rsid w:val="0048323E"/>
    <w:rsid w:val="0048326A"/>
    <w:rsid w:val="004832A6"/>
    <w:rsid w:val="00483353"/>
    <w:rsid w:val="00483430"/>
    <w:rsid w:val="004835F9"/>
    <w:rsid w:val="00483739"/>
    <w:rsid w:val="004838DB"/>
    <w:rsid w:val="0048392E"/>
    <w:rsid w:val="00483BEF"/>
    <w:rsid w:val="00483C96"/>
    <w:rsid w:val="00483DAE"/>
    <w:rsid w:val="00483FA0"/>
    <w:rsid w:val="00484442"/>
    <w:rsid w:val="004846FC"/>
    <w:rsid w:val="0048479F"/>
    <w:rsid w:val="004849B6"/>
    <w:rsid w:val="004849D0"/>
    <w:rsid w:val="00484B3C"/>
    <w:rsid w:val="00484DC5"/>
    <w:rsid w:val="00484F28"/>
    <w:rsid w:val="00484FAF"/>
    <w:rsid w:val="0048508F"/>
    <w:rsid w:val="00485675"/>
    <w:rsid w:val="004856B6"/>
    <w:rsid w:val="004857D5"/>
    <w:rsid w:val="00485BFB"/>
    <w:rsid w:val="00486403"/>
    <w:rsid w:val="00486518"/>
    <w:rsid w:val="0048652D"/>
    <w:rsid w:val="00486ADF"/>
    <w:rsid w:val="00487381"/>
    <w:rsid w:val="004874E3"/>
    <w:rsid w:val="00487C85"/>
    <w:rsid w:val="00487E22"/>
    <w:rsid w:val="00487E4A"/>
    <w:rsid w:val="00487F58"/>
    <w:rsid w:val="00487FD8"/>
    <w:rsid w:val="004902E6"/>
    <w:rsid w:val="004903DD"/>
    <w:rsid w:val="00490633"/>
    <w:rsid w:val="00490A5F"/>
    <w:rsid w:val="00490DC4"/>
    <w:rsid w:val="00490F61"/>
    <w:rsid w:val="00491410"/>
    <w:rsid w:val="0049172C"/>
    <w:rsid w:val="00491B59"/>
    <w:rsid w:val="00491F47"/>
    <w:rsid w:val="00491F48"/>
    <w:rsid w:val="00492017"/>
    <w:rsid w:val="004920DD"/>
    <w:rsid w:val="004921A3"/>
    <w:rsid w:val="00492918"/>
    <w:rsid w:val="0049307C"/>
    <w:rsid w:val="0049307E"/>
    <w:rsid w:val="00493096"/>
    <w:rsid w:val="00493410"/>
    <w:rsid w:val="00493A30"/>
    <w:rsid w:val="00493BB4"/>
    <w:rsid w:val="00494063"/>
    <w:rsid w:val="004940EC"/>
    <w:rsid w:val="0049464B"/>
    <w:rsid w:val="00494871"/>
    <w:rsid w:val="00494F64"/>
    <w:rsid w:val="0049538C"/>
    <w:rsid w:val="00495440"/>
    <w:rsid w:val="00495516"/>
    <w:rsid w:val="00495BD4"/>
    <w:rsid w:val="00495ED1"/>
    <w:rsid w:val="0049685D"/>
    <w:rsid w:val="00496970"/>
    <w:rsid w:val="00496A30"/>
    <w:rsid w:val="00496EBE"/>
    <w:rsid w:val="00497101"/>
    <w:rsid w:val="004974F8"/>
    <w:rsid w:val="004976CD"/>
    <w:rsid w:val="004978C3"/>
    <w:rsid w:val="00497B9F"/>
    <w:rsid w:val="00497BB3"/>
    <w:rsid w:val="00497C50"/>
    <w:rsid w:val="00497EB5"/>
    <w:rsid w:val="00497EDB"/>
    <w:rsid w:val="004A0228"/>
    <w:rsid w:val="004A0515"/>
    <w:rsid w:val="004A06C4"/>
    <w:rsid w:val="004A0747"/>
    <w:rsid w:val="004A0E6A"/>
    <w:rsid w:val="004A122E"/>
    <w:rsid w:val="004A2084"/>
    <w:rsid w:val="004A2937"/>
    <w:rsid w:val="004A29A1"/>
    <w:rsid w:val="004A2CD4"/>
    <w:rsid w:val="004A2F02"/>
    <w:rsid w:val="004A3076"/>
    <w:rsid w:val="004A312F"/>
    <w:rsid w:val="004A339A"/>
    <w:rsid w:val="004A33B1"/>
    <w:rsid w:val="004A3504"/>
    <w:rsid w:val="004A3898"/>
    <w:rsid w:val="004A3989"/>
    <w:rsid w:val="004A3A40"/>
    <w:rsid w:val="004A3B13"/>
    <w:rsid w:val="004A3EA2"/>
    <w:rsid w:val="004A4077"/>
    <w:rsid w:val="004A4354"/>
    <w:rsid w:val="004A4430"/>
    <w:rsid w:val="004A44AA"/>
    <w:rsid w:val="004A4AED"/>
    <w:rsid w:val="004A4AFF"/>
    <w:rsid w:val="004A4BB2"/>
    <w:rsid w:val="004A4D84"/>
    <w:rsid w:val="004A4FD6"/>
    <w:rsid w:val="004A4FDF"/>
    <w:rsid w:val="004A50D5"/>
    <w:rsid w:val="004A51C8"/>
    <w:rsid w:val="004A5300"/>
    <w:rsid w:val="004A5489"/>
    <w:rsid w:val="004A5665"/>
    <w:rsid w:val="004A58DB"/>
    <w:rsid w:val="004A598C"/>
    <w:rsid w:val="004A5E73"/>
    <w:rsid w:val="004A622F"/>
    <w:rsid w:val="004A6354"/>
    <w:rsid w:val="004A641D"/>
    <w:rsid w:val="004A64A3"/>
    <w:rsid w:val="004A6BF9"/>
    <w:rsid w:val="004A6CC5"/>
    <w:rsid w:val="004A6DB8"/>
    <w:rsid w:val="004A6E6C"/>
    <w:rsid w:val="004A707F"/>
    <w:rsid w:val="004A70BA"/>
    <w:rsid w:val="004A736F"/>
    <w:rsid w:val="004A7435"/>
    <w:rsid w:val="004A748A"/>
    <w:rsid w:val="004A7A52"/>
    <w:rsid w:val="004A7D07"/>
    <w:rsid w:val="004A7E56"/>
    <w:rsid w:val="004B03D3"/>
    <w:rsid w:val="004B05DE"/>
    <w:rsid w:val="004B0A3B"/>
    <w:rsid w:val="004B0BF3"/>
    <w:rsid w:val="004B0CB5"/>
    <w:rsid w:val="004B17FB"/>
    <w:rsid w:val="004B18F8"/>
    <w:rsid w:val="004B195A"/>
    <w:rsid w:val="004B19FE"/>
    <w:rsid w:val="004B1C6E"/>
    <w:rsid w:val="004B1ED6"/>
    <w:rsid w:val="004B206F"/>
    <w:rsid w:val="004B2182"/>
    <w:rsid w:val="004B22D1"/>
    <w:rsid w:val="004B28D7"/>
    <w:rsid w:val="004B2946"/>
    <w:rsid w:val="004B2A4D"/>
    <w:rsid w:val="004B2F06"/>
    <w:rsid w:val="004B2F45"/>
    <w:rsid w:val="004B33C2"/>
    <w:rsid w:val="004B33E9"/>
    <w:rsid w:val="004B357F"/>
    <w:rsid w:val="004B391B"/>
    <w:rsid w:val="004B3AD7"/>
    <w:rsid w:val="004B3C1C"/>
    <w:rsid w:val="004B3EAA"/>
    <w:rsid w:val="004B4214"/>
    <w:rsid w:val="004B4338"/>
    <w:rsid w:val="004B45E0"/>
    <w:rsid w:val="004B45E7"/>
    <w:rsid w:val="004B46BE"/>
    <w:rsid w:val="004B4BD4"/>
    <w:rsid w:val="004B4C2E"/>
    <w:rsid w:val="004B4DC7"/>
    <w:rsid w:val="004B4F8D"/>
    <w:rsid w:val="004B54FF"/>
    <w:rsid w:val="004B57DA"/>
    <w:rsid w:val="004B5919"/>
    <w:rsid w:val="004B5947"/>
    <w:rsid w:val="004B5D85"/>
    <w:rsid w:val="004B67E7"/>
    <w:rsid w:val="004B689D"/>
    <w:rsid w:val="004B6AF8"/>
    <w:rsid w:val="004B6C00"/>
    <w:rsid w:val="004B6C59"/>
    <w:rsid w:val="004B714A"/>
    <w:rsid w:val="004B74CC"/>
    <w:rsid w:val="004B7921"/>
    <w:rsid w:val="004B7D0D"/>
    <w:rsid w:val="004C05D1"/>
    <w:rsid w:val="004C0947"/>
    <w:rsid w:val="004C0A06"/>
    <w:rsid w:val="004C0D53"/>
    <w:rsid w:val="004C0DE4"/>
    <w:rsid w:val="004C0E97"/>
    <w:rsid w:val="004C1110"/>
    <w:rsid w:val="004C11CC"/>
    <w:rsid w:val="004C126D"/>
    <w:rsid w:val="004C178E"/>
    <w:rsid w:val="004C18BB"/>
    <w:rsid w:val="004C1F15"/>
    <w:rsid w:val="004C212C"/>
    <w:rsid w:val="004C21B2"/>
    <w:rsid w:val="004C2486"/>
    <w:rsid w:val="004C2ED1"/>
    <w:rsid w:val="004C2FAE"/>
    <w:rsid w:val="004C320A"/>
    <w:rsid w:val="004C33F8"/>
    <w:rsid w:val="004C471E"/>
    <w:rsid w:val="004C47D8"/>
    <w:rsid w:val="004C48C8"/>
    <w:rsid w:val="004C4990"/>
    <w:rsid w:val="004C4C59"/>
    <w:rsid w:val="004C4FC0"/>
    <w:rsid w:val="004C4FD5"/>
    <w:rsid w:val="004C5004"/>
    <w:rsid w:val="004C5284"/>
    <w:rsid w:val="004C52DE"/>
    <w:rsid w:val="004C55C5"/>
    <w:rsid w:val="004C578A"/>
    <w:rsid w:val="004C598D"/>
    <w:rsid w:val="004C5B03"/>
    <w:rsid w:val="004C5D96"/>
    <w:rsid w:val="004C5F7B"/>
    <w:rsid w:val="004C600D"/>
    <w:rsid w:val="004C60CB"/>
    <w:rsid w:val="004C6280"/>
    <w:rsid w:val="004C65C2"/>
    <w:rsid w:val="004C65CF"/>
    <w:rsid w:val="004C68D1"/>
    <w:rsid w:val="004C6B24"/>
    <w:rsid w:val="004C7266"/>
    <w:rsid w:val="004C72D4"/>
    <w:rsid w:val="004C7368"/>
    <w:rsid w:val="004C7435"/>
    <w:rsid w:val="004C7585"/>
    <w:rsid w:val="004C7A63"/>
    <w:rsid w:val="004D0B05"/>
    <w:rsid w:val="004D0EEA"/>
    <w:rsid w:val="004D117F"/>
    <w:rsid w:val="004D12EB"/>
    <w:rsid w:val="004D1333"/>
    <w:rsid w:val="004D1379"/>
    <w:rsid w:val="004D1509"/>
    <w:rsid w:val="004D21D8"/>
    <w:rsid w:val="004D227A"/>
    <w:rsid w:val="004D2307"/>
    <w:rsid w:val="004D246C"/>
    <w:rsid w:val="004D2563"/>
    <w:rsid w:val="004D2F0C"/>
    <w:rsid w:val="004D3225"/>
    <w:rsid w:val="004D343F"/>
    <w:rsid w:val="004D3522"/>
    <w:rsid w:val="004D37C5"/>
    <w:rsid w:val="004D3897"/>
    <w:rsid w:val="004D3935"/>
    <w:rsid w:val="004D39EA"/>
    <w:rsid w:val="004D3A1C"/>
    <w:rsid w:val="004D3DFA"/>
    <w:rsid w:val="004D411C"/>
    <w:rsid w:val="004D4240"/>
    <w:rsid w:val="004D43FC"/>
    <w:rsid w:val="004D4425"/>
    <w:rsid w:val="004D4536"/>
    <w:rsid w:val="004D482E"/>
    <w:rsid w:val="004D4C09"/>
    <w:rsid w:val="004D4C8E"/>
    <w:rsid w:val="004D55B7"/>
    <w:rsid w:val="004D5689"/>
    <w:rsid w:val="004D5828"/>
    <w:rsid w:val="004D5AFC"/>
    <w:rsid w:val="004D5D42"/>
    <w:rsid w:val="004D63A1"/>
    <w:rsid w:val="004D66BE"/>
    <w:rsid w:val="004D6CB0"/>
    <w:rsid w:val="004D6E5B"/>
    <w:rsid w:val="004D7203"/>
    <w:rsid w:val="004D7216"/>
    <w:rsid w:val="004D733F"/>
    <w:rsid w:val="004D738A"/>
    <w:rsid w:val="004D795C"/>
    <w:rsid w:val="004D7B34"/>
    <w:rsid w:val="004E0002"/>
    <w:rsid w:val="004E0747"/>
    <w:rsid w:val="004E106A"/>
    <w:rsid w:val="004E172B"/>
    <w:rsid w:val="004E1CF0"/>
    <w:rsid w:val="004E21FD"/>
    <w:rsid w:val="004E23B4"/>
    <w:rsid w:val="004E28A8"/>
    <w:rsid w:val="004E2B43"/>
    <w:rsid w:val="004E2BD6"/>
    <w:rsid w:val="004E2CAF"/>
    <w:rsid w:val="004E2ECD"/>
    <w:rsid w:val="004E3065"/>
    <w:rsid w:val="004E31CB"/>
    <w:rsid w:val="004E4C68"/>
    <w:rsid w:val="004E4D87"/>
    <w:rsid w:val="004E5620"/>
    <w:rsid w:val="004E587C"/>
    <w:rsid w:val="004E5974"/>
    <w:rsid w:val="004E5BD3"/>
    <w:rsid w:val="004E5D25"/>
    <w:rsid w:val="004E5E62"/>
    <w:rsid w:val="004E5FA7"/>
    <w:rsid w:val="004E5FF8"/>
    <w:rsid w:val="004E6182"/>
    <w:rsid w:val="004E643B"/>
    <w:rsid w:val="004E6738"/>
    <w:rsid w:val="004E680A"/>
    <w:rsid w:val="004E6F03"/>
    <w:rsid w:val="004E7389"/>
    <w:rsid w:val="004E782E"/>
    <w:rsid w:val="004E7A17"/>
    <w:rsid w:val="004E7E48"/>
    <w:rsid w:val="004F0067"/>
    <w:rsid w:val="004F031B"/>
    <w:rsid w:val="004F031D"/>
    <w:rsid w:val="004F03D5"/>
    <w:rsid w:val="004F0958"/>
    <w:rsid w:val="004F0B03"/>
    <w:rsid w:val="004F1246"/>
    <w:rsid w:val="004F1401"/>
    <w:rsid w:val="004F1621"/>
    <w:rsid w:val="004F1643"/>
    <w:rsid w:val="004F1A18"/>
    <w:rsid w:val="004F1BB3"/>
    <w:rsid w:val="004F1C2B"/>
    <w:rsid w:val="004F1DB2"/>
    <w:rsid w:val="004F22A4"/>
    <w:rsid w:val="004F2DAC"/>
    <w:rsid w:val="004F39A4"/>
    <w:rsid w:val="004F4B8B"/>
    <w:rsid w:val="004F500D"/>
    <w:rsid w:val="004F50FC"/>
    <w:rsid w:val="004F5138"/>
    <w:rsid w:val="004F5781"/>
    <w:rsid w:val="004F594F"/>
    <w:rsid w:val="004F59E6"/>
    <w:rsid w:val="004F5DF5"/>
    <w:rsid w:val="004F5E8B"/>
    <w:rsid w:val="004F5F89"/>
    <w:rsid w:val="004F60F5"/>
    <w:rsid w:val="004F6211"/>
    <w:rsid w:val="004F6347"/>
    <w:rsid w:val="004F643F"/>
    <w:rsid w:val="004F64ED"/>
    <w:rsid w:val="004F666F"/>
    <w:rsid w:val="004F69CD"/>
    <w:rsid w:val="004F6A0B"/>
    <w:rsid w:val="004F6AD3"/>
    <w:rsid w:val="004F6C63"/>
    <w:rsid w:val="004F6F87"/>
    <w:rsid w:val="004F71C7"/>
    <w:rsid w:val="004F7217"/>
    <w:rsid w:val="004F7284"/>
    <w:rsid w:val="004F739C"/>
    <w:rsid w:val="004F76FD"/>
    <w:rsid w:val="004F77B6"/>
    <w:rsid w:val="004F7AE5"/>
    <w:rsid w:val="004F7B0F"/>
    <w:rsid w:val="005006DD"/>
    <w:rsid w:val="005009E3"/>
    <w:rsid w:val="00500DE4"/>
    <w:rsid w:val="00500E15"/>
    <w:rsid w:val="00500F25"/>
    <w:rsid w:val="00500F88"/>
    <w:rsid w:val="0050133D"/>
    <w:rsid w:val="00501386"/>
    <w:rsid w:val="00501390"/>
    <w:rsid w:val="0050169B"/>
    <w:rsid w:val="00501932"/>
    <w:rsid w:val="00501BD9"/>
    <w:rsid w:val="00501C25"/>
    <w:rsid w:val="00501CFC"/>
    <w:rsid w:val="00501EFC"/>
    <w:rsid w:val="00502035"/>
    <w:rsid w:val="005021D5"/>
    <w:rsid w:val="005022BB"/>
    <w:rsid w:val="005024DA"/>
    <w:rsid w:val="0050262F"/>
    <w:rsid w:val="005027A6"/>
    <w:rsid w:val="0050292F"/>
    <w:rsid w:val="00502BE2"/>
    <w:rsid w:val="00502DAE"/>
    <w:rsid w:val="00502E8D"/>
    <w:rsid w:val="00502F7E"/>
    <w:rsid w:val="00502FFB"/>
    <w:rsid w:val="005036CD"/>
    <w:rsid w:val="005037B5"/>
    <w:rsid w:val="005038A0"/>
    <w:rsid w:val="00503BCD"/>
    <w:rsid w:val="00503EA3"/>
    <w:rsid w:val="005043B4"/>
    <w:rsid w:val="00504A82"/>
    <w:rsid w:val="00504F73"/>
    <w:rsid w:val="00505425"/>
    <w:rsid w:val="0050579C"/>
    <w:rsid w:val="0050595E"/>
    <w:rsid w:val="00505E19"/>
    <w:rsid w:val="0050693C"/>
    <w:rsid w:val="00506D1A"/>
    <w:rsid w:val="00506F82"/>
    <w:rsid w:val="00507747"/>
    <w:rsid w:val="0050790F"/>
    <w:rsid w:val="005079C9"/>
    <w:rsid w:val="00507A07"/>
    <w:rsid w:val="00507A12"/>
    <w:rsid w:val="00510134"/>
    <w:rsid w:val="005103C5"/>
    <w:rsid w:val="005104A6"/>
    <w:rsid w:val="005105DE"/>
    <w:rsid w:val="005107F6"/>
    <w:rsid w:val="0051082D"/>
    <w:rsid w:val="00510CB4"/>
    <w:rsid w:val="00511242"/>
    <w:rsid w:val="005113E6"/>
    <w:rsid w:val="00511723"/>
    <w:rsid w:val="00511AA7"/>
    <w:rsid w:val="00511C5A"/>
    <w:rsid w:val="005120D0"/>
    <w:rsid w:val="0051243F"/>
    <w:rsid w:val="00512490"/>
    <w:rsid w:val="005125A9"/>
    <w:rsid w:val="005125FE"/>
    <w:rsid w:val="00512A4A"/>
    <w:rsid w:val="00512BF7"/>
    <w:rsid w:val="00512D54"/>
    <w:rsid w:val="00512EC5"/>
    <w:rsid w:val="005131D3"/>
    <w:rsid w:val="005133A5"/>
    <w:rsid w:val="005134C7"/>
    <w:rsid w:val="0051352C"/>
    <w:rsid w:val="00513C93"/>
    <w:rsid w:val="00514066"/>
    <w:rsid w:val="0051449C"/>
    <w:rsid w:val="005146EF"/>
    <w:rsid w:val="00514711"/>
    <w:rsid w:val="00514A1A"/>
    <w:rsid w:val="00514CCA"/>
    <w:rsid w:val="00514CEA"/>
    <w:rsid w:val="00514FC2"/>
    <w:rsid w:val="0051517A"/>
    <w:rsid w:val="0051529F"/>
    <w:rsid w:val="00515314"/>
    <w:rsid w:val="00515750"/>
    <w:rsid w:val="0051585E"/>
    <w:rsid w:val="005158BD"/>
    <w:rsid w:val="005158CB"/>
    <w:rsid w:val="00515990"/>
    <w:rsid w:val="00515BFA"/>
    <w:rsid w:val="00515D02"/>
    <w:rsid w:val="00515F04"/>
    <w:rsid w:val="00516175"/>
    <w:rsid w:val="0051628B"/>
    <w:rsid w:val="005162BA"/>
    <w:rsid w:val="005163F7"/>
    <w:rsid w:val="005164A7"/>
    <w:rsid w:val="005165A9"/>
    <w:rsid w:val="0051669A"/>
    <w:rsid w:val="005166D9"/>
    <w:rsid w:val="005169EC"/>
    <w:rsid w:val="00516AE0"/>
    <w:rsid w:val="00516C1C"/>
    <w:rsid w:val="00516D57"/>
    <w:rsid w:val="005171D3"/>
    <w:rsid w:val="00517463"/>
    <w:rsid w:val="0051781E"/>
    <w:rsid w:val="00517A86"/>
    <w:rsid w:val="00517B44"/>
    <w:rsid w:val="00517F1F"/>
    <w:rsid w:val="00520274"/>
    <w:rsid w:val="00520340"/>
    <w:rsid w:val="00520616"/>
    <w:rsid w:val="00520727"/>
    <w:rsid w:val="00520CAE"/>
    <w:rsid w:val="00520E20"/>
    <w:rsid w:val="00520E3E"/>
    <w:rsid w:val="00520FA3"/>
    <w:rsid w:val="00521777"/>
    <w:rsid w:val="00521779"/>
    <w:rsid w:val="00521963"/>
    <w:rsid w:val="00521A02"/>
    <w:rsid w:val="00521C49"/>
    <w:rsid w:val="00522140"/>
    <w:rsid w:val="005222C0"/>
    <w:rsid w:val="00522E4E"/>
    <w:rsid w:val="00522F23"/>
    <w:rsid w:val="0052349D"/>
    <w:rsid w:val="005238F2"/>
    <w:rsid w:val="0052392D"/>
    <w:rsid w:val="00523B27"/>
    <w:rsid w:val="00523B55"/>
    <w:rsid w:val="00523C5F"/>
    <w:rsid w:val="00523D69"/>
    <w:rsid w:val="00524024"/>
    <w:rsid w:val="0052414B"/>
    <w:rsid w:val="00524385"/>
    <w:rsid w:val="005247C4"/>
    <w:rsid w:val="00524BE8"/>
    <w:rsid w:val="00524EE8"/>
    <w:rsid w:val="00525086"/>
    <w:rsid w:val="00525266"/>
    <w:rsid w:val="005253FB"/>
    <w:rsid w:val="005254E8"/>
    <w:rsid w:val="0052575D"/>
    <w:rsid w:val="005258F2"/>
    <w:rsid w:val="0052592B"/>
    <w:rsid w:val="00525956"/>
    <w:rsid w:val="00526374"/>
    <w:rsid w:val="00526495"/>
    <w:rsid w:val="00526549"/>
    <w:rsid w:val="00526B2A"/>
    <w:rsid w:val="00526C92"/>
    <w:rsid w:val="00526ED4"/>
    <w:rsid w:val="00526FF7"/>
    <w:rsid w:val="00527015"/>
    <w:rsid w:val="00527237"/>
    <w:rsid w:val="005275FC"/>
    <w:rsid w:val="0052768C"/>
    <w:rsid w:val="0052784C"/>
    <w:rsid w:val="00527ADB"/>
    <w:rsid w:val="00527BDD"/>
    <w:rsid w:val="00527E88"/>
    <w:rsid w:val="00527FC1"/>
    <w:rsid w:val="005301BA"/>
    <w:rsid w:val="0053032B"/>
    <w:rsid w:val="00530598"/>
    <w:rsid w:val="0053076D"/>
    <w:rsid w:val="00530896"/>
    <w:rsid w:val="005310AF"/>
    <w:rsid w:val="0053111B"/>
    <w:rsid w:val="00531386"/>
    <w:rsid w:val="00531473"/>
    <w:rsid w:val="00531501"/>
    <w:rsid w:val="00531703"/>
    <w:rsid w:val="005317C0"/>
    <w:rsid w:val="00531C1C"/>
    <w:rsid w:val="00532652"/>
    <w:rsid w:val="005326D8"/>
    <w:rsid w:val="005327C5"/>
    <w:rsid w:val="00532B50"/>
    <w:rsid w:val="00532DD5"/>
    <w:rsid w:val="00533164"/>
    <w:rsid w:val="00533525"/>
    <w:rsid w:val="005335D1"/>
    <w:rsid w:val="005339F8"/>
    <w:rsid w:val="00533D2C"/>
    <w:rsid w:val="0053405D"/>
    <w:rsid w:val="00534291"/>
    <w:rsid w:val="005342C3"/>
    <w:rsid w:val="005344E8"/>
    <w:rsid w:val="005345AC"/>
    <w:rsid w:val="005347A4"/>
    <w:rsid w:val="00534A7D"/>
    <w:rsid w:val="00534E87"/>
    <w:rsid w:val="00534F42"/>
    <w:rsid w:val="00535320"/>
    <w:rsid w:val="00535332"/>
    <w:rsid w:val="00535527"/>
    <w:rsid w:val="00535B6D"/>
    <w:rsid w:val="00535BC8"/>
    <w:rsid w:val="00535C97"/>
    <w:rsid w:val="00535CCB"/>
    <w:rsid w:val="00535DDE"/>
    <w:rsid w:val="005360E2"/>
    <w:rsid w:val="005362F5"/>
    <w:rsid w:val="00536748"/>
    <w:rsid w:val="0053690F"/>
    <w:rsid w:val="00536A3E"/>
    <w:rsid w:val="00536BE0"/>
    <w:rsid w:val="00536C9C"/>
    <w:rsid w:val="00536DD4"/>
    <w:rsid w:val="00536F10"/>
    <w:rsid w:val="00537145"/>
    <w:rsid w:val="0053725B"/>
    <w:rsid w:val="0053731B"/>
    <w:rsid w:val="005376E5"/>
    <w:rsid w:val="00537873"/>
    <w:rsid w:val="00537D25"/>
    <w:rsid w:val="0054044F"/>
    <w:rsid w:val="005407B1"/>
    <w:rsid w:val="00540BEE"/>
    <w:rsid w:val="00540C04"/>
    <w:rsid w:val="00540C57"/>
    <w:rsid w:val="00540E68"/>
    <w:rsid w:val="00540EC1"/>
    <w:rsid w:val="00540EC8"/>
    <w:rsid w:val="00540F7F"/>
    <w:rsid w:val="00541336"/>
    <w:rsid w:val="005415FA"/>
    <w:rsid w:val="0054173E"/>
    <w:rsid w:val="00541FDF"/>
    <w:rsid w:val="00542069"/>
    <w:rsid w:val="005421A8"/>
    <w:rsid w:val="005421D4"/>
    <w:rsid w:val="00542753"/>
    <w:rsid w:val="00542F0D"/>
    <w:rsid w:val="005432FE"/>
    <w:rsid w:val="00543C5F"/>
    <w:rsid w:val="00543EF9"/>
    <w:rsid w:val="00544265"/>
    <w:rsid w:val="00544445"/>
    <w:rsid w:val="00544861"/>
    <w:rsid w:val="00544B13"/>
    <w:rsid w:val="00544C6E"/>
    <w:rsid w:val="00544CAB"/>
    <w:rsid w:val="00544D36"/>
    <w:rsid w:val="00544DF2"/>
    <w:rsid w:val="00544F90"/>
    <w:rsid w:val="00545469"/>
    <w:rsid w:val="005455F6"/>
    <w:rsid w:val="005457EA"/>
    <w:rsid w:val="0054582E"/>
    <w:rsid w:val="00545993"/>
    <w:rsid w:val="005465F5"/>
    <w:rsid w:val="00546D2F"/>
    <w:rsid w:val="005470D1"/>
    <w:rsid w:val="00547153"/>
    <w:rsid w:val="0054746A"/>
    <w:rsid w:val="0054790A"/>
    <w:rsid w:val="00547940"/>
    <w:rsid w:val="00547A0B"/>
    <w:rsid w:val="00547ACC"/>
    <w:rsid w:val="00547CDC"/>
    <w:rsid w:val="00547EEB"/>
    <w:rsid w:val="00550201"/>
    <w:rsid w:val="0055059A"/>
    <w:rsid w:val="005506C8"/>
    <w:rsid w:val="005507D4"/>
    <w:rsid w:val="0055081C"/>
    <w:rsid w:val="00550B67"/>
    <w:rsid w:val="00550CD2"/>
    <w:rsid w:val="00550D5F"/>
    <w:rsid w:val="005511A8"/>
    <w:rsid w:val="00551784"/>
    <w:rsid w:val="0055188B"/>
    <w:rsid w:val="00551BE5"/>
    <w:rsid w:val="00551C3E"/>
    <w:rsid w:val="005523D1"/>
    <w:rsid w:val="005528DC"/>
    <w:rsid w:val="00552ABD"/>
    <w:rsid w:val="00552AE0"/>
    <w:rsid w:val="00552D6C"/>
    <w:rsid w:val="005531BD"/>
    <w:rsid w:val="0055353C"/>
    <w:rsid w:val="00553A18"/>
    <w:rsid w:val="00553AF6"/>
    <w:rsid w:val="0055409B"/>
    <w:rsid w:val="005541A1"/>
    <w:rsid w:val="00554B75"/>
    <w:rsid w:val="00554F29"/>
    <w:rsid w:val="005552BD"/>
    <w:rsid w:val="00555642"/>
    <w:rsid w:val="00555B78"/>
    <w:rsid w:val="00555E7B"/>
    <w:rsid w:val="00555E95"/>
    <w:rsid w:val="005560CD"/>
    <w:rsid w:val="0055616F"/>
    <w:rsid w:val="0055642F"/>
    <w:rsid w:val="005566EF"/>
    <w:rsid w:val="0055671C"/>
    <w:rsid w:val="005567B2"/>
    <w:rsid w:val="005567F9"/>
    <w:rsid w:val="00556831"/>
    <w:rsid w:val="005569A2"/>
    <w:rsid w:val="00557065"/>
    <w:rsid w:val="00557533"/>
    <w:rsid w:val="00557870"/>
    <w:rsid w:val="00557B89"/>
    <w:rsid w:val="00557E1C"/>
    <w:rsid w:val="00557EFA"/>
    <w:rsid w:val="005600C9"/>
    <w:rsid w:val="0056021A"/>
    <w:rsid w:val="00560277"/>
    <w:rsid w:val="0056039E"/>
    <w:rsid w:val="005606EE"/>
    <w:rsid w:val="00560938"/>
    <w:rsid w:val="00560AF1"/>
    <w:rsid w:val="00561031"/>
    <w:rsid w:val="005610CA"/>
    <w:rsid w:val="005613EF"/>
    <w:rsid w:val="005614CB"/>
    <w:rsid w:val="00561562"/>
    <w:rsid w:val="00561F97"/>
    <w:rsid w:val="0056252B"/>
    <w:rsid w:val="00562D56"/>
    <w:rsid w:val="00562DB1"/>
    <w:rsid w:val="0056347C"/>
    <w:rsid w:val="00563643"/>
    <w:rsid w:val="0056366D"/>
    <w:rsid w:val="005638E2"/>
    <w:rsid w:val="005639BC"/>
    <w:rsid w:val="00563C91"/>
    <w:rsid w:val="00563DE6"/>
    <w:rsid w:val="00564300"/>
    <w:rsid w:val="0056455D"/>
    <w:rsid w:val="005647C2"/>
    <w:rsid w:val="00564D18"/>
    <w:rsid w:val="005651E4"/>
    <w:rsid w:val="0056528D"/>
    <w:rsid w:val="0056533A"/>
    <w:rsid w:val="00565504"/>
    <w:rsid w:val="00565745"/>
    <w:rsid w:val="00566059"/>
    <w:rsid w:val="0056628B"/>
    <w:rsid w:val="00566298"/>
    <w:rsid w:val="00566A58"/>
    <w:rsid w:val="00566BA4"/>
    <w:rsid w:val="00566DD4"/>
    <w:rsid w:val="005673F6"/>
    <w:rsid w:val="005674E8"/>
    <w:rsid w:val="00567525"/>
    <w:rsid w:val="005678BE"/>
    <w:rsid w:val="00567976"/>
    <w:rsid w:val="00567A3A"/>
    <w:rsid w:val="00567B28"/>
    <w:rsid w:val="00570347"/>
    <w:rsid w:val="005705D1"/>
    <w:rsid w:val="005705E8"/>
    <w:rsid w:val="00570716"/>
    <w:rsid w:val="0057091E"/>
    <w:rsid w:val="00570B22"/>
    <w:rsid w:val="00570E40"/>
    <w:rsid w:val="0057104C"/>
    <w:rsid w:val="00571062"/>
    <w:rsid w:val="00571282"/>
    <w:rsid w:val="005712C3"/>
    <w:rsid w:val="00571615"/>
    <w:rsid w:val="00571697"/>
    <w:rsid w:val="00571A8C"/>
    <w:rsid w:val="00571BA0"/>
    <w:rsid w:val="00571C5F"/>
    <w:rsid w:val="005723D6"/>
    <w:rsid w:val="005726E2"/>
    <w:rsid w:val="00572AD3"/>
    <w:rsid w:val="00572F0B"/>
    <w:rsid w:val="005731D1"/>
    <w:rsid w:val="00573C19"/>
    <w:rsid w:val="00573CD3"/>
    <w:rsid w:val="0057466B"/>
    <w:rsid w:val="00574904"/>
    <w:rsid w:val="00574A6E"/>
    <w:rsid w:val="00574B36"/>
    <w:rsid w:val="00574CBB"/>
    <w:rsid w:val="00574D84"/>
    <w:rsid w:val="00575061"/>
    <w:rsid w:val="00575214"/>
    <w:rsid w:val="0057562B"/>
    <w:rsid w:val="00575865"/>
    <w:rsid w:val="00575BA1"/>
    <w:rsid w:val="00575C78"/>
    <w:rsid w:val="00575EDD"/>
    <w:rsid w:val="005764F9"/>
    <w:rsid w:val="00576604"/>
    <w:rsid w:val="005766A8"/>
    <w:rsid w:val="005768F7"/>
    <w:rsid w:val="005769C7"/>
    <w:rsid w:val="00576D32"/>
    <w:rsid w:val="00577145"/>
    <w:rsid w:val="005773BE"/>
    <w:rsid w:val="00577597"/>
    <w:rsid w:val="005778CF"/>
    <w:rsid w:val="0057799D"/>
    <w:rsid w:val="005779C8"/>
    <w:rsid w:val="00577E85"/>
    <w:rsid w:val="00580169"/>
    <w:rsid w:val="00580194"/>
    <w:rsid w:val="005805A1"/>
    <w:rsid w:val="0058064B"/>
    <w:rsid w:val="005806B9"/>
    <w:rsid w:val="00580A77"/>
    <w:rsid w:val="00580BF0"/>
    <w:rsid w:val="00580D9E"/>
    <w:rsid w:val="0058109F"/>
    <w:rsid w:val="005810C7"/>
    <w:rsid w:val="005812D7"/>
    <w:rsid w:val="00581880"/>
    <w:rsid w:val="00581B27"/>
    <w:rsid w:val="00581DDA"/>
    <w:rsid w:val="00582365"/>
    <w:rsid w:val="005825AA"/>
    <w:rsid w:val="005828B4"/>
    <w:rsid w:val="005828B9"/>
    <w:rsid w:val="00582B9F"/>
    <w:rsid w:val="00582D1A"/>
    <w:rsid w:val="00582FFC"/>
    <w:rsid w:val="00583321"/>
    <w:rsid w:val="00583322"/>
    <w:rsid w:val="005834C8"/>
    <w:rsid w:val="00583542"/>
    <w:rsid w:val="0058399D"/>
    <w:rsid w:val="005843FC"/>
    <w:rsid w:val="00584641"/>
    <w:rsid w:val="00584919"/>
    <w:rsid w:val="00584B60"/>
    <w:rsid w:val="0058544A"/>
    <w:rsid w:val="0058544C"/>
    <w:rsid w:val="00585662"/>
    <w:rsid w:val="00585BB5"/>
    <w:rsid w:val="00585C1B"/>
    <w:rsid w:val="00586085"/>
    <w:rsid w:val="005860CB"/>
    <w:rsid w:val="0058657E"/>
    <w:rsid w:val="005867D2"/>
    <w:rsid w:val="00586886"/>
    <w:rsid w:val="005869CB"/>
    <w:rsid w:val="00586C22"/>
    <w:rsid w:val="00586F96"/>
    <w:rsid w:val="00587205"/>
    <w:rsid w:val="00587266"/>
    <w:rsid w:val="00587639"/>
    <w:rsid w:val="00587CCD"/>
    <w:rsid w:val="0059004E"/>
    <w:rsid w:val="00590051"/>
    <w:rsid w:val="005900A2"/>
    <w:rsid w:val="005903E7"/>
    <w:rsid w:val="0059040F"/>
    <w:rsid w:val="005905C0"/>
    <w:rsid w:val="0059098F"/>
    <w:rsid w:val="00590B1F"/>
    <w:rsid w:val="00590DDA"/>
    <w:rsid w:val="00590E36"/>
    <w:rsid w:val="00590EC2"/>
    <w:rsid w:val="0059109A"/>
    <w:rsid w:val="00591105"/>
    <w:rsid w:val="0059128E"/>
    <w:rsid w:val="00591330"/>
    <w:rsid w:val="005913E9"/>
    <w:rsid w:val="005915B3"/>
    <w:rsid w:val="005915FD"/>
    <w:rsid w:val="005916EA"/>
    <w:rsid w:val="00591718"/>
    <w:rsid w:val="0059174D"/>
    <w:rsid w:val="0059191B"/>
    <w:rsid w:val="00591CCF"/>
    <w:rsid w:val="00591FD3"/>
    <w:rsid w:val="005922FC"/>
    <w:rsid w:val="00592363"/>
    <w:rsid w:val="00592638"/>
    <w:rsid w:val="005928A9"/>
    <w:rsid w:val="00592C03"/>
    <w:rsid w:val="00592F46"/>
    <w:rsid w:val="00592F65"/>
    <w:rsid w:val="00593138"/>
    <w:rsid w:val="0059329B"/>
    <w:rsid w:val="005935B4"/>
    <w:rsid w:val="005935C1"/>
    <w:rsid w:val="0059362D"/>
    <w:rsid w:val="00593A33"/>
    <w:rsid w:val="00593AF1"/>
    <w:rsid w:val="00593AFB"/>
    <w:rsid w:val="00593E1C"/>
    <w:rsid w:val="00593F16"/>
    <w:rsid w:val="005942DE"/>
    <w:rsid w:val="00594373"/>
    <w:rsid w:val="0059440E"/>
    <w:rsid w:val="0059473F"/>
    <w:rsid w:val="005947B5"/>
    <w:rsid w:val="00594926"/>
    <w:rsid w:val="00594D4D"/>
    <w:rsid w:val="00595735"/>
    <w:rsid w:val="00595946"/>
    <w:rsid w:val="00595B11"/>
    <w:rsid w:val="00595B39"/>
    <w:rsid w:val="00595C68"/>
    <w:rsid w:val="005960BB"/>
    <w:rsid w:val="00596251"/>
    <w:rsid w:val="00596474"/>
    <w:rsid w:val="00596A03"/>
    <w:rsid w:val="005971EA"/>
    <w:rsid w:val="00597407"/>
    <w:rsid w:val="00597562"/>
    <w:rsid w:val="0059760C"/>
    <w:rsid w:val="005978D1"/>
    <w:rsid w:val="00597A2E"/>
    <w:rsid w:val="00597D53"/>
    <w:rsid w:val="005A00D0"/>
    <w:rsid w:val="005A0496"/>
    <w:rsid w:val="005A0A53"/>
    <w:rsid w:val="005A1087"/>
    <w:rsid w:val="005A1D14"/>
    <w:rsid w:val="005A1DC1"/>
    <w:rsid w:val="005A2268"/>
    <w:rsid w:val="005A27F5"/>
    <w:rsid w:val="005A28A2"/>
    <w:rsid w:val="005A2FE6"/>
    <w:rsid w:val="005A33BA"/>
    <w:rsid w:val="005A381F"/>
    <w:rsid w:val="005A38E2"/>
    <w:rsid w:val="005A3B88"/>
    <w:rsid w:val="005A3E1B"/>
    <w:rsid w:val="005A4047"/>
    <w:rsid w:val="005A4312"/>
    <w:rsid w:val="005A4384"/>
    <w:rsid w:val="005A4834"/>
    <w:rsid w:val="005A4909"/>
    <w:rsid w:val="005A4B95"/>
    <w:rsid w:val="005A4C4C"/>
    <w:rsid w:val="005A4F1B"/>
    <w:rsid w:val="005A4FB1"/>
    <w:rsid w:val="005A51BF"/>
    <w:rsid w:val="005A5272"/>
    <w:rsid w:val="005A5761"/>
    <w:rsid w:val="005A5C82"/>
    <w:rsid w:val="005A642B"/>
    <w:rsid w:val="005A68E6"/>
    <w:rsid w:val="005A6D15"/>
    <w:rsid w:val="005A7012"/>
    <w:rsid w:val="005A70CD"/>
    <w:rsid w:val="005A7200"/>
    <w:rsid w:val="005A788B"/>
    <w:rsid w:val="005A7A5E"/>
    <w:rsid w:val="005A7A6F"/>
    <w:rsid w:val="005A7AC2"/>
    <w:rsid w:val="005A7C1E"/>
    <w:rsid w:val="005A7D7A"/>
    <w:rsid w:val="005B0370"/>
    <w:rsid w:val="005B0645"/>
    <w:rsid w:val="005B076D"/>
    <w:rsid w:val="005B0954"/>
    <w:rsid w:val="005B0A73"/>
    <w:rsid w:val="005B1480"/>
    <w:rsid w:val="005B14C6"/>
    <w:rsid w:val="005B14F7"/>
    <w:rsid w:val="005B1C07"/>
    <w:rsid w:val="005B1DD4"/>
    <w:rsid w:val="005B1DEE"/>
    <w:rsid w:val="005B1FF8"/>
    <w:rsid w:val="005B222C"/>
    <w:rsid w:val="005B22B1"/>
    <w:rsid w:val="005B2402"/>
    <w:rsid w:val="005B240D"/>
    <w:rsid w:val="005B25CF"/>
    <w:rsid w:val="005B2DC9"/>
    <w:rsid w:val="005B3406"/>
    <w:rsid w:val="005B3432"/>
    <w:rsid w:val="005B375E"/>
    <w:rsid w:val="005B3AAD"/>
    <w:rsid w:val="005B3BD6"/>
    <w:rsid w:val="005B3C06"/>
    <w:rsid w:val="005B42B7"/>
    <w:rsid w:val="005B4383"/>
    <w:rsid w:val="005B4A18"/>
    <w:rsid w:val="005B4F6C"/>
    <w:rsid w:val="005B4FC3"/>
    <w:rsid w:val="005B56A9"/>
    <w:rsid w:val="005B58EF"/>
    <w:rsid w:val="005B5BF9"/>
    <w:rsid w:val="005B5C45"/>
    <w:rsid w:val="005B683C"/>
    <w:rsid w:val="005B68BC"/>
    <w:rsid w:val="005B6BE0"/>
    <w:rsid w:val="005B6C80"/>
    <w:rsid w:val="005B7395"/>
    <w:rsid w:val="005B7512"/>
    <w:rsid w:val="005B75C9"/>
    <w:rsid w:val="005B75CE"/>
    <w:rsid w:val="005B7676"/>
    <w:rsid w:val="005B7756"/>
    <w:rsid w:val="005B7A2A"/>
    <w:rsid w:val="005B7A40"/>
    <w:rsid w:val="005B7D6C"/>
    <w:rsid w:val="005C041F"/>
    <w:rsid w:val="005C042B"/>
    <w:rsid w:val="005C046A"/>
    <w:rsid w:val="005C04CB"/>
    <w:rsid w:val="005C0554"/>
    <w:rsid w:val="005C0574"/>
    <w:rsid w:val="005C0622"/>
    <w:rsid w:val="005C0A46"/>
    <w:rsid w:val="005C0E24"/>
    <w:rsid w:val="005C0E9F"/>
    <w:rsid w:val="005C15A8"/>
    <w:rsid w:val="005C17F3"/>
    <w:rsid w:val="005C18FC"/>
    <w:rsid w:val="005C1A1C"/>
    <w:rsid w:val="005C1F3D"/>
    <w:rsid w:val="005C1F93"/>
    <w:rsid w:val="005C236F"/>
    <w:rsid w:val="005C23F2"/>
    <w:rsid w:val="005C255A"/>
    <w:rsid w:val="005C2636"/>
    <w:rsid w:val="005C2D8C"/>
    <w:rsid w:val="005C2EF2"/>
    <w:rsid w:val="005C310A"/>
    <w:rsid w:val="005C352F"/>
    <w:rsid w:val="005C38DF"/>
    <w:rsid w:val="005C3B54"/>
    <w:rsid w:val="005C3D22"/>
    <w:rsid w:val="005C3DA2"/>
    <w:rsid w:val="005C3F16"/>
    <w:rsid w:val="005C4277"/>
    <w:rsid w:val="005C44B0"/>
    <w:rsid w:val="005C4AF1"/>
    <w:rsid w:val="005C5340"/>
    <w:rsid w:val="005C53CC"/>
    <w:rsid w:val="005C5600"/>
    <w:rsid w:val="005C566F"/>
    <w:rsid w:val="005C59FD"/>
    <w:rsid w:val="005C5ECB"/>
    <w:rsid w:val="005C5F49"/>
    <w:rsid w:val="005C626F"/>
    <w:rsid w:val="005C6BD0"/>
    <w:rsid w:val="005C6EB7"/>
    <w:rsid w:val="005C7215"/>
    <w:rsid w:val="005C73C4"/>
    <w:rsid w:val="005C7596"/>
    <w:rsid w:val="005C75DC"/>
    <w:rsid w:val="005C795A"/>
    <w:rsid w:val="005C7C76"/>
    <w:rsid w:val="005D00AD"/>
    <w:rsid w:val="005D00EA"/>
    <w:rsid w:val="005D023B"/>
    <w:rsid w:val="005D02C4"/>
    <w:rsid w:val="005D069F"/>
    <w:rsid w:val="005D07AB"/>
    <w:rsid w:val="005D093C"/>
    <w:rsid w:val="005D0B0B"/>
    <w:rsid w:val="005D0D66"/>
    <w:rsid w:val="005D0FFE"/>
    <w:rsid w:val="005D1070"/>
    <w:rsid w:val="005D1535"/>
    <w:rsid w:val="005D1754"/>
    <w:rsid w:val="005D1793"/>
    <w:rsid w:val="005D1B65"/>
    <w:rsid w:val="005D1F89"/>
    <w:rsid w:val="005D2304"/>
    <w:rsid w:val="005D2333"/>
    <w:rsid w:val="005D247E"/>
    <w:rsid w:val="005D2AB9"/>
    <w:rsid w:val="005D2AC6"/>
    <w:rsid w:val="005D2B37"/>
    <w:rsid w:val="005D2B5C"/>
    <w:rsid w:val="005D3088"/>
    <w:rsid w:val="005D3435"/>
    <w:rsid w:val="005D360C"/>
    <w:rsid w:val="005D371F"/>
    <w:rsid w:val="005D37EF"/>
    <w:rsid w:val="005D3A04"/>
    <w:rsid w:val="005D4392"/>
    <w:rsid w:val="005D4534"/>
    <w:rsid w:val="005D48FE"/>
    <w:rsid w:val="005D4C20"/>
    <w:rsid w:val="005D4ED4"/>
    <w:rsid w:val="005D58B6"/>
    <w:rsid w:val="005D5B0C"/>
    <w:rsid w:val="005D5DBA"/>
    <w:rsid w:val="005D6034"/>
    <w:rsid w:val="005D617D"/>
    <w:rsid w:val="005D64DA"/>
    <w:rsid w:val="005D6881"/>
    <w:rsid w:val="005D68EA"/>
    <w:rsid w:val="005D6C12"/>
    <w:rsid w:val="005D6EA6"/>
    <w:rsid w:val="005D7471"/>
    <w:rsid w:val="005D749D"/>
    <w:rsid w:val="005D7509"/>
    <w:rsid w:val="005D765E"/>
    <w:rsid w:val="005D76DF"/>
    <w:rsid w:val="005D771E"/>
    <w:rsid w:val="005D786E"/>
    <w:rsid w:val="005D79FE"/>
    <w:rsid w:val="005E012D"/>
    <w:rsid w:val="005E035E"/>
    <w:rsid w:val="005E0627"/>
    <w:rsid w:val="005E0697"/>
    <w:rsid w:val="005E07F1"/>
    <w:rsid w:val="005E0E7D"/>
    <w:rsid w:val="005E104D"/>
    <w:rsid w:val="005E1084"/>
    <w:rsid w:val="005E1248"/>
    <w:rsid w:val="005E16E7"/>
    <w:rsid w:val="005E1B1B"/>
    <w:rsid w:val="005E1C2A"/>
    <w:rsid w:val="005E1CFA"/>
    <w:rsid w:val="005E1EAB"/>
    <w:rsid w:val="005E1EB7"/>
    <w:rsid w:val="005E1F27"/>
    <w:rsid w:val="005E211D"/>
    <w:rsid w:val="005E2424"/>
    <w:rsid w:val="005E255B"/>
    <w:rsid w:val="005E2702"/>
    <w:rsid w:val="005E280D"/>
    <w:rsid w:val="005E28FA"/>
    <w:rsid w:val="005E2A3A"/>
    <w:rsid w:val="005E2CBC"/>
    <w:rsid w:val="005E2D4C"/>
    <w:rsid w:val="005E2E99"/>
    <w:rsid w:val="005E2ED2"/>
    <w:rsid w:val="005E30B2"/>
    <w:rsid w:val="005E33F5"/>
    <w:rsid w:val="005E3477"/>
    <w:rsid w:val="005E36A2"/>
    <w:rsid w:val="005E46F5"/>
    <w:rsid w:val="005E48C7"/>
    <w:rsid w:val="005E4C15"/>
    <w:rsid w:val="005E52A3"/>
    <w:rsid w:val="005E563D"/>
    <w:rsid w:val="005E5655"/>
    <w:rsid w:val="005E577F"/>
    <w:rsid w:val="005E5874"/>
    <w:rsid w:val="005E5B98"/>
    <w:rsid w:val="005E5C11"/>
    <w:rsid w:val="005E5D9F"/>
    <w:rsid w:val="005E622E"/>
    <w:rsid w:val="005E6381"/>
    <w:rsid w:val="005E644E"/>
    <w:rsid w:val="005E6832"/>
    <w:rsid w:val="005E6C4D"/>
    <w:rsid w:val="005E712F"/>
    <w:rsid w:val="005E74A3"/>
    <w:rsid w:val="005E75D5"/>
    <w:rsid w:val="005E76DE"/>
    <w:rsid w:val="005E782E"/>
    <w:rsid w:val="005E78A4"/>
    <w:rsid w:val="005E78F5"/>
    <w:rsid w:val="005E7E36"/>
    <w:rsid w:val="005F02AB"/>
    <w:rsid w:val="005F0459"/>
    <w:rsid w:val="005F0482"/>
    <w:rsid w:val="005F1193"/>
    <w:rsid w:val="005F1555"/>
    <w:rsid w:val="005F1BE7"/>
    <w:rsid w:val="005F22F1"/>
    <w:rsid w:val="005F2504"/>
    <w:rsid w:val="005F2581"/>
    <w:rsid w:val="005F2978"/>
    <w:rsid w:val="005F2B10"/>
    <w:rsid w:val="005F32B1"/>
    <w:rsid w:val="005F34B8"/>
    <w:rsid w:val="005F3D5A"/>
    <w:rsid w:val="005F3F7D"/>
    <w:rsid w:val="005F4130"/>
    <w:rsid w:val="005F429E"/>
    <w:rsid w:val="005F4671"/>
    <w:rsid w:val="005F4705"/>
    <w:rsid w:val="005F4721"/>
    <w:rsid w:val="005F4778"/>
    <w:rsid w:val="005F4B5C"/>
    <w:rsid w:val="005F600B"/>
    <w:rsid w:val="005F6561"/>
    <w:rsid w:val="005F6838"/>
    <w:rsid w:val="005F720A"/>
    <w:rsid w:val="005F795E"/>
    <w:rsid w:val="005F7F75"/>
    <w:rsid w:val="006001E1"/>
    <w:rsid w:val="006002EE"/>
    <w:rsid w:val="00600560"/>
    <w:rsid w:val="00600707"/>
    <w:rsid w:val="00600776"/>
    <w:rsid w:val="006007D2"/>
    <w:rsid w:val="00600B16"/>
    <w:rsid w:val="00600B1C"/>
    <w:rsid w:val="00600C0D"/>
    <w:rsid w:val="00601092"/>
    <w:rsid w:val="006016CB"/>
    <w:rsid w:val="00601960"/>
    <w:rsid w:val="006019C4"/>
    <w:rsid w:val="00601A17"/>
    <w:rsid w:val="00601B00"/>
    <w:rsid w:val="00601FB8"/>
    <w:rsid w:val="00602755"/>
    <w:rsid w:val="00602940"/>
    <w:rsid w:val="00602B75"/>
    <w:rsid w:val="00602C46"/>
    <w:rsid w:val="00602D97"/>
    <w:rsid w:val="00602F43"/>
    <w:rsid w:val="00603421"/>
    <w:rsid w:val="0060359A"/>
    <w:rsid w:val="006035D7"/>
    <w:rsid w:val="00603ACC"/>
    <w:rsid w:val="00603B08"/>
    <w:rsid w:val="00604358"/>
    <w:rsid w:val="00604581"/>
    <w:rsid w:val="00604623"/>
    <w:rsid w:val="006048CE"/>
    <w:rsid w:val="00604B47"/>
    <w:rsid w:val="00605397"/>
    <w:rsid w:val="00605776"/>
    <w:rsid w:val="00605AF9"/>
    <w:rsid w:val="00605CDC"/>
    <w:rsid w:val="0060659A"/>
    <w:rsid w:val="00606A32"/>
    <w:rsid w:val="0060726A"/>
    <w:rsid w:val="00607276"/>
    <w:rsid w:val="006075F3"/>
    <w:rsid w:val="006079E6"/>
    <w:rsid w:val="00607A4A"/>
    <w:rsid w:val="00607DBF"/>
    <w:rsid w:val="00610162"/>
    <w:rsid w:val="00610474"/>
    <w:rsid w:val="006104A1"/>
    <w:rsid w:val="0061057D"/>
    <w:rsid w:val="00610637"/>
    <w:rsid w:val="00610691"/>
    <w:rsid w:val="00610756"/>
    <w:rsid w:val="00610ABA"/>
    <w:rsid w:val="00610AF3"/>
    <w:rsid w:val="00610FBC"/>
    <w:rsid w:val="0061106C"/>
    <w:rsid w:val="00611493"/>
    <w:rsid w:val="00611794"/>
    <w:rsid w:val="00612309"/>
    <w:rsid w:val="006123D4"/>
    <w:rsid w:val="00612413"/>
    <w:rsid w:val="006126A3"/>
    <w:rsid w:val="00613037"/>
    <w:rsid w:val="006130DE"/>
    <w:rsid w:val="00613387"/>
    <w:rsid w:val="006135AB"/>
    <w:rsid w:val="00613672"/>
    <w:rsid w:val="00613728"/>
    <w:rsid w:val="00613841"/>
    <w:rsid w:val="006138E4"/>
    <w:rsid w:val="00613901"/>
    <w:rsid w:val="0061392C"/>
    <w:rsid w:val="00613ABF"/>
    <w:rsid w:val="00613BEA"/>
    <w:rsid w:val="00613E07"/>
    <w:rsid w:val="00613E8D"/>
    <w:rsid w:val="00613F69"/>
    <w:rsid w:val="006144F6"/>
    <w:rsid w:val="006147CC"/>
    <w:rsid w:val="006149AE"/>
    <w:rsid w:val="00614B91"/>
    <w:rsid w:val="00614F08"/>
    <w:rsid w:val="006153C8"/>
    <w:rsid w:val="00615980"/>
    <w:rsid w:val="00615B60"/>
    <w:rsid w:val="00615CE3"/>
    <w:rsid w:val="00616407"/>
    <w:rsid w:val="00616486"/>
    <w:rsid w:val="006166A2"/>
    <w:rsid w:val="006169D2"/>
    <w:rsid w:val="00616B70"/>
    <w:rsid w:val="00616EF0"/>
    <w:rsid w:val="00617168"/>
    <w:rsid w:val="00617541"/>
    <w:rsid w:val="0061767A"/>
    <w:rsid w:val="00620481"/>
    <w:rsid w:val="006206C8"/>
    <w:rsid w:val="006207BF"/>
    <w:rsid w:val="0062087B"/>
    <w:rsid w:val="006208A1"/>
    <w:rsid w:val="00620E5A"/>
    <w:rsid w:val="00620E65"/>
    <w:rsid w:val="00620EF0"/>
    <w:rsid w:val="006211AE"/>
    <w:rsid w:val="006211DB"/>
    <w:rsid w:val="0062153D"/>
    <w:rsid w:val="00621602"/>
    <w:rsid w:val="006217CA"/>
    <w:rsid w:val="00621BB3"/>
    <w:rsid w:val="006226E4"/>
    <w:rsid w:val="006227C9"/>
    <w:rsid w:val="0062306E"/>
    <w:rsid w:val="00623116"/>
    <w:rsid w:val="006232A5"/>
    <w:rsid w:val="006232FC"/>
    <w:rsid w:val="0062368E"/>
    <w:rsid w:val="006239C9"/>
    <w:rsid w:val="00623B1B"/>
    <w:rsid w:val="006249B3"/>
    <w:rsid w:val="0062507B"/>
    <w:rsid w:val="0062509C"/>
    <w:rsid w:val="006250E9"/>
    <w:rsid w:val="0062549A"/>
    <w:rsid w:val="006255A0"/>
    <w:rsid w:val="00625707"/>
    <w:rsid w:val="00625A12"/>
    <w:rsid w:val="0062617C"/>
    <w:rsid w:val="00626772"/>
    <w:rsid w:val="0062694C"/>
    <w:rsid w:val="00626ED3"/>
    <w:rsid w:val="00626F14"/>
    <w:rsid w:val="00626FC3"/>
    <w:rsid w:val="0062705A"/>
    <w:rsid w:val="006272CF"/>
    <w:rsid w:val="006274D7"/>
    <w:rsid w:val="00627653"/>
    <w:rsid w:val="00627657"/>
    <w:rsid w:val="00627761"/>
    <w:rsid w:val="006277D0"/>
    <w:rsid w:val="00627BE4"/>
    <w:rsid w:val="00627C7B"/>
    <w:rsid w:val="00627E50"/>
    <w:rsid w:val="006302C4"/>
    <w:rsid w:val="00630718"/>
    <w:rsid w:val="006307E5"/>
    <w:rsid w:val="00630C61"/>
    <w:rsid w:val="00630EF5"/>
    <w:rsid w:val="006311A1"/>
    <w:rsid w:val="006317B2"/>
    <w:rsid w:val="00632140"/>
    <w:rsid w:val="006323F3"/>
    <w:rsid w:val="00632482"/>
    <w:rsid w:val="0063260E"/>
    <w:rsid w:val="00632820"/>
    <w:rsid w:val="00632BB7"/>
    <w:rsid w:val="00632CCF"/>
    <w:rsid w:val="0063309C"/>
    <w:rsid w:val="00633206"/>
    <w:rsid w:val="00633551"/>
    <w:rsid w:val="00633B2F"/>
    <w:rsid w:val="0063405F"/>
    <w:rsid w:val="00634119"/>
    <w:rsid w:val="006341D7"/>
    <w:rsid w:val="00634308"/>
    <w:rsid w:val="00634323"/>
    <w:rsid w:val="006345DE"/>
    <w:rsid w:val="00634829"/>
    <w:rsid w:val="00634B67"/>
    <w:rsid w:val="00634C51"/>
    <w:rsid w:val="00634F4E"/>
    <w:rsid w:val="006352ED"/>
    <w:rsid w:val="006355D9"/>
    <w:rsid w:val="006359EA"/>
    <w:rsid w:val="00635C9B"/>
    <w:rsid w:val="00635CBB"/>
    <w:rsid w:val="00635D31"/>
    <w:rsid w:val="00636147"/>
    <w:rsid w:val="006368AF"/>
    <w:rsid w:val="00636B15"/>
    <w:rsid w:val="00636C20"/>
    <w:rsid w:val="00636C67"/>
    <w:rsid w:val="00636D18"/>
    <w:rsid w:val="00636D97"/>
    <w:rsid w:val="006372BA"/>
    <w:rsid w:val="006373C3"/>
    <w:rsid w:val="00637658"/>
    <w:rsid w:val="00637778"/>
    <w:rsid w:val="0064051F"/>
    <w:rsid w:val="00640C31"/>
    <w:rsid w:val="00640D23"/>
    <w:rsid w:val="00640DA1"/>
    <w:rsid w:val="00641363"/>
    <w:rsid w:val="0064153B"/>
    <w:rsid w:val="006421CA"/>
    <w:rsid w:val="00642291"/>
    <w:rsid w:val="006422C6"/>
    <w:rsid w:val="00642320"/>
    <w:rsid w:val="0064268D"/>
    <w:rsid w:val="006428BA"/>
    <w:rsid w:val="0064304E"/>
    <w:rsid w:val="006430C4"/>
    <w:rsid w:val="006431D4"/>
    <w:rsid w:val="00643226"/>
    <w:rsid w:val="006436F8"/>
    <w:rsid w:val="00643A30"/>
    <w:rsid w:val="00643C1B"/>
    <w:rsid w:val="0064446B"/>
    <w:rsid w:val="00644521"/>
    <w:rsid w:val="00644D68"/>
    <w:rsid w:val="00644D82"/>
    <w:rsid w:val="00644E9E"/>
    <w:rsid w:val="006459EF"/>
    <w:rsid w:val="00645B52"/>
    <w:rsid w:val="00645B65"/>
    <w:rsid w:val="0064623E"/>
    <w:rsid w:val="0064641E"/>
    <w:rsid w:val="006465F3"/>
    <w:rsid w:val="00646768"/>
    <w:rsid w:val="00646EEC"/>
    <w:rsid w:val="00647473"/>
    <w:rsid w:val="00647592"/>
    <w:rsid w:val="0064759A"/>
    <w:rsid w:val="00647B27"/>
    <w:rsid w:val="00647DC1"/>
    <w:rsid w:val="006500F5"/>
    <w:rsid w:val="006500FD"/>
    <w:rsid w:val="006501ED"/>
    <w:rsid w:val="006502BF"/>
    <w:rsid w:val="006503F4"/>
    <w:rsid w:val="0065058F"/>
    <w:rsid w:val="006509FE"/>
    <w:rsid w:val="00650BD8"/>
    <w:rsid w:val="00651085"/>
    <w:rsid w:val="00651273"/>
    <w:rsid w:val="0065199A"/>
    <w:rsid w:val="00651DD7"/>
    <w:rsid w:val="00651F9D"/>
    <w:rsid w:val="0065220F"/>
    <w:rsid w:val="006524B1"/>
    <w:rsid w:val="006527C9"/>
    <w:rsid w:val="00652C21"/>
    <w:rsid w:val="00652ED4"/>
    <w:rsid w:val="006534BF"/>
    <w:rsid w:val="006537D7"/>
    <w:rsid w:val="00653E3B"/>
    <w:rsid w:val="00653E52"/>
    <w:rsid w:val="00653EA0"/>
    <w:rsid w:val="00654005"/>
    <w:rsid w:val="0065404F"/>
    <w:rsid w:val="0065444A"/>
    <w:rsid w:val="00654D4B"/>
    <w:rsid w:val="00654F68"/>
    <w:rsid w:val="00655CF9"/>
    <w:rsid w:val="00655D45"/>
    <w:rsid w:val="00656832"/>
    <w:rsid w:val="0065685E"/>
    <w:rsid w:val="0065694B"/>
    <w:rsid w:val="00656E3F"/>
    <w:rsid w:val="00656E77"/>
    <w:rsid w:val="0065714C"/>
    <w:rsid w:val="00657521"/>
    <w:rsid w:val="00657615"/>
    <w:rsid w:val="006578C0"/>
    <w:rsid w:val="006601A5"/>
    <w:rsid w:val="006603A8"/>
    <w:rsid w:val="0066058C"/>
    <w:rsid w:val="006605A5"/>
    <w:rsid w:val="00660A74"/>
    <w:rsid w:val="00660DB0"/>
    <w:rsid w:val="00660E68"/>
    <w:rsid w:val="0066160B"/>
    <w:rsid w:val="006618DF"/>
    <w:rsid w:val="00661975"/>
    <w:rsid w:val="00661F9D"/>
    <w:rsid w:val="006621C3"/>
    <w:rsid w:val="006628FA"/>
    <w:rsid w:val="00662E5F"/>
    <w:rsid w:val="0066323B"/>
    <w:rsid w:val="00663775"/>
    <w:rsid w:val="00663782"/>
    <w:rsid w:val="0066386E"/>
    <w:rsid w:val="00663A8F"/>
    <w:rsid w:val="00663BB0"/>
    <w:rsid w:val="00663F98"/>
    <w:rsid w:val="00664005"/>
    <w:rsid w:val="00664222"/>
    <w:rsid w:val="00664434"/>
    <w:rsid w:val="006645FC"/>
    <w:rsid w:val="0066466D"/>
    <w:rsid w:val="0066472B"/>
    <w:rsid w:val="00664EFC"/>
    <w:rsid w:val="006650A2"/>
    <w:rsid w:val="00665384"/>
    <w:rsid w:val="006653C3"/>
    <w:rsid w:val="006654FC"/>
    <w:rsid w:val="0066561F"/>
    <w:rsid w:val="00665629"/>
    <w:rsid w:val="00665656"/>
    <w:rsid w:val="00665B22"/>
    <w:rsid w:val="0066612E"/>
    <w:rsid w:val="006661A3"/>
    <w:rsid w:val="006661D8"/>
    <w:rsid w:val="0066630C"/>
    <w:rsid w:val="0066643F"/>
    <w:rsid w:val="00666A58"/>
    <w:rsid w:val="00666DD3"/>
    <w:rsid w:val="0066740C"/>
    <w:rsid w:val="0066743C"/>
    <w:rsid w:val="00670394"/>
    <w:rsid w:val="00670457"/>
    <w:rsid w:val="006705DB"/>
    <w:rsid w:val="00670650"/>
    <w:rsid w:val="00670790"/>
    <w:rsid w:val="006708A3"/>
    <w:rsid w:val="00670A5A"/>
    <w:rsid w:val="00670D0C"/>
    <w:rsid w:val="006710ED"/>
    <w:rsid w:val="00671237"/>
    <w:rsid w:val="006712C0"/>
    <w:rsid w:val="00671A53"/>
    <w:rsid w:val="00671BCB"/>
    <w:rsid w:val="00671C90"/>
    <w:rsid w:val="00671D6F"/>
    <w:rsid w:val="0067206E"/>
    <w:rsid w:val="0067211B"/>
    <w:rsid w:val="006723B9"/>
    <w:rsid w:val="006725FE"/>
    <w:rsid w:val="006728BA"/>
    <w:rsid w:val="00672BDE"/>
    <w:rsid w:val="00672E16"/>
    <w:rsid w:val="00672E56"/>
    <w:rsid w:val="00672EA6"/>
    <w:rsid w:val="00672EAB"/>
    <w:rsid w:val="00672F9E"/>
    <w:rsid w:val="006733FF"/>
    <w:rsid w:val="006734E5"/>
    <w:rsid w:val="00673B83"/>
    <w:rsid w:val="00673BEF"/>
    <w:rsid w:val="00673D54"/>
    <w:rsid w:val="00673E1A"/>
    <w:rsid w:val="00673F57"/>
    <w:rsid w:val="00674089"/>
    <w:rsid w:val="006744AC"/>
    <w:rsid w:val="00674B58"/>
    <w:rsid w:val="00674C7D"/>
    <w:rsid w:val="00674DD8"/>
    <w:rsid w:val="00674DD9"/>
    <w:rsid w:val="00674E7D"/>
    <w:rsid w:val="00675264"/>
    <w:rsid w:val="00675446"/>
    <w:rsid w:val="00675658"/>
    <w:rsid w:val="00675662"/>
    <w:rsid w:val="006759BE"/>
    <w:rsid w:val="00675A43"/>
    <w:rsid w:val="00675C38"/>
    <w:rsid w:val="00675CD1"/>
    <w:rsid w:val="00675D51"/>
    <w:rsid w:val="00675E96"/>
    <w:rsid w:val="00675EB0"/>
    <w:rsid w:val="006761A9"/>
    <w:rsid w:val="00676977"/>
    <w:rsid w:val="00676EFE"/>
    <w:rsid w:val="00676F87"/>
    <w:rsid w:val="00677464"/>
    <w:rsid w:val="00677625"/>
    <w:rsid w:val="00677849"/>
    <w:rsid w:val="006778C6"/>
    <w:rsid w:val="00677DC2"/>
    <w:rsid w:val="00677ECC"/>
    <w:rsid w:val="00680188"/>
    <w:rsid w:val="0068068F"/>
    <w:rsid w:val="00680859"/>
    <w:rsid w:val="006809D1"/>
    <w:rsid w:val="00680B40"/>
    <w:rsid w:val="00681232"/>
    <w:rsid w:val="0068141C"/>
    <w:rsid w:val="00681512"/>
    <w:rsid w:val="00681630"/>
    <w:rsid w:val="006816B3"/>
    <w:rsid w:val="00681D29"/>
    <w:rsid w:val="00681D6F"/>
    <w:rsid w:val="00681EC9"/>
    <w:rsid w:val="006822FA"/>
    <w:rsid w:val="00682310"/>
    <w:rsid w:val="0068288C"/>
    <w:rsid w:val="00682DD8"/>
    <w:rsid w:val="00682E57"/>
    <w:rsid w:val="006830A6"/>
    <w:rsid w:val="0068313E"/>
    <w:rsid w:val="00683388"/>
    <w:rsid w:val="006838BA"/>
    <w:rsid w:val="00683F36"/>
    <w:rsid w:val="00684090"/>
    <w:rsid w:val="00684892"/>
    <w:rsid w:val="00684945"/>
    <w:rsid w:val="00684E50"/>
    <w:rsid w:val="00685065"/>
    <w:rsid w:val="006854B5"/>
    <w:rsid w:val="00685589"/>
    <w:rsid w:val="00685864"/>
    <w:rsid w:val="00685E21"/>
    <w:rsid w:val="0068639A"/>
    <w:rsid w:val="00686444"/>
    <w:rsid w:val="00686462"/>
    <w:rsid w:val="006865BA"/>
    <w:rsid w:val="0068682C"/>
    <w:rsid w:val="00686854"/>
    <w:rsid w:val="0068693F"/>
    <w:rsid w:val="00686AD1"/>
    <w:rsid w:val="00686C12"/>
    <w:rsid w:val="006870CA"/>
    <w:rsid w:val="0068763E"/>
    <w:rsid w:val="0068788D"/>
    <w:rsid w:val="00687908"/>
    <w:rsid w:val="00687C8C"/>
    <w:rsid w:val="00687DB3"/>
    <w:rsid w:val="00687E35"/>
    <w:rsid w:val="00687EF6"/>
    <w:rsid w:val="00690012"/>
    <w:rsid w:val="00690085"/>
    <w:rsid w:val="00690305"/>
    <w:rsid w:val="006903C4"/>
    <w:rsid w:val="00690A97"/>
    <w:rsid w:val="00690C91"/>
    <w:rsid w:val="00690D8F"/>
    <w:rsid w:val="006911CB"/>
    <w:rsid w:val="00691687"/>
    <w:rsid w:val="00691C14"/>
    <w:rsid w:val="00691E42"/>
    <w:rsid w:val="00692945"/>
    <w:rsid w:val="00692D6E"/>
    <w:rsid w:val="006933DD"/>
    <w:rsid w:val="00693526"/>
    <w:rsid w:val="006935F5"/>
    <w:rsid w:val="00693759"/>
    <w:rsid w:val="006938AA"/>
    <w:rsid w:val="00693A3C"/>
    <w:rsid w:val="00693B61"/>
    <w:rsid w:val="00693E59"/>
    <w:rsid w:val="006944E0"/>
    <w:rsid w:val="00694504"/>
    <w:rsid w:val="0069468D"/>
    <w:rsid w:val="00694742"/>
    <w:rsid w:val="0069474B"/>
    <w:rsid w:val="0069475D"/>
    <w:rsid w:val="006947BA"/>
    <w:rsid w:val="006949CD"/>
    <w:rsid w:val="006949FE"/>
    <w:rsid w:val="00694D7B"/>
    <w:rsid w:val="00694FD4"/>
    <w:rsid w:val="00695011"/>
    <w:rsid w:val="00695285"/>
    <w:rsid w:val="00695810"/>
    <w:rsid w:val="0069595F"/>
    <w:rsid w:val="00695B2D"/>
    <w:rsid w:val="00695C12"/>
    <w:rsid w:val="00695DF0"/>
    <w:rsid w:val="00696344"/>
    <w:rsid w:val="00696E57"/>
    <w:rsid w:val="006971D9"/>
    <w:rsid w:val="00697902"/>
    <w:rsid w:val="0069793E"/>
    <w:rsid w:val="00697966"/>
    <w:rsid w:val="00697BB9"/>
    <w:rsid w:val="006A00DC"/>
    <w:rsid w:val="006A02A3"/>
    <w:rsid w:val="006A03FB"/>
    <w:rsid w:val="006A07A9"/>
    <w:rsid w:val="006A0AA3"/>
    <w:rsid w:val="006A0DF4"/>
    <w:rsid w:val="006A12F8"/>
    <w:rsid w:val="006A1351"/>
    <w:rsid w:val="006A145A"/>
    <w:rsid w:val="006A15C0"/>
    <w:rsid w:val="006A164C"/>
    <w:rsid w:val="006A1914"/>
    <w:rsid w:val="006A21C3"/>
    <w:rsid w:val="006A297C"/>
    <w:rsid w:val="006A29A1"/>
    <w:rsid w:val="006A30A6"/>
    <w:rsid w:val="006A33D0"/>
    <w:rsid w:val="006A33F9"/>
    <w:rsid w:val="006A3A2B"/>
    <w:rsid w:val="006A3BD5"/>
    <w:rsid w:val="006A436C"/>
    <w:rsid w:val="006A4373"/>
    <w:rsid w:val="006A4A5C"/>
    <w:rsid w:val="006A511B"/>
    <w:rsid w:val="006A51BD"/>
    <w:rsid w:val="006A51DF"/>
    <w:rsid w:val="006A59C0"/>
    <w:rsid w:val="006A5D70"/>
    <w:rsid w:val="006A6A09"/>
    <w:rsid w:val="006A6BF1"/>
    <w:rsid w:val="006A6E2A"/>
    <w:rsid w:val="006A721D"/>
    <w:rsid w:val="006A722C"/>
    <w:rsid w:val="006A7273"/>
    <w:rsid w:val="006A749A"/>
    <w:rsid w:val="006A77C4"/>
    <w:rsid w:val="006A7928"/>
    <w:rsid w:val="006A7A98"/>
    <w:rsid w:val="006A7C3A"/>
    <w:rsid w:val="006A7FD0"/>
    <w:rsid w:val="006B00A0"/>
    <w:rsid w:val="006B0167"/>
    <w:rsid w:val="006B01EC"/>
    <w:rsid w:val="006B06AA"/>
    <w:rsid w:val="006B0922"/>
    <w:rsid w:val="006B0977"/>
    <w:rsid w:val="006B10D8"/>
    <w:rsid w:val="006B1115"/>
    <w:rsid w:val="006B17B9"/>
    <w:rsid w:val="006B1A89"/>
    <w:rsid w:val="006B1C3E"/>
    <w:rsid w:val="006B1C97"/>
    <w:rsid w:val="006B1E11"/>
    <w:rsid w:val="006B1F0D"/>
    <w:rsid w:val="006B2A47"/>
    <w:rsid w:val="006B2B8D"/>
    <w:rsid w:val="006B2DD3"/>
    <w:rsid w:val="006B2DF6"/>
    <w:rsid w:val="006B3032"/>
    <w:rsid w:val="006B303B"/>
    <w:rsid w:val="006B3087"/>
    <w:rsid w:val="006B3487"/>
    <w:rsid w:val="006B4517"/>
    <w:rsid w:val="006B4594"/>
    <w:rsid w:val="006B4772"/>
    <w:rsid w:val="006B4B4A"/>
    <w:rsid w:val="006B4D65"/>
    <w:rsid w:val="006B5694"/>
    <w:rsid w:val="006B5A1A"/>
    <w:rsid w:val="006B5A6A"/>
    <w:rsid w:val="006B5EC0"/>
    <w:rsid w:val="006B5FB5"/>
    <w:rsid w:val="006B61DC"/>
    <w:rsid w:val="006B62BE"/>
    <w:rsid w:val="006B6381"/>
    <w:rsid w:val="006B6749"/>
    <w:rsid w:val="006B6B7E"/>
    <w:rsid w:val="006B7079"/>
    <w:rsid w:val="006B7142"/>
    <w:rsid w:val="006B7539"/>
    <w:rsid w:val="006B75C6"/>
    <w:rsid w:val="006B7645"/>
    <w:rsid w:val="006B769C"/>
    <w:rsid w:val="006B7B0F"/>
    <w:rsid w:val="006B7E88"/>
    <w:rsid w:val="006B7FDE"/>
    <w:rsid w:val="006C0073"/>
    <w:rsid w:val="006C01E1"/>
    <w:rsid w:val="006C049D"/>
    <w:rsid w:val="006C0669"/>
    <w:rsid w:val="006C095E"/>
    <w:rsid w:val="006C0D3D"/>
    <w:rsid w:val="006C134F"/>
    <w:rsid w:val="006C158A"/>
    <w:rsid w:val="006C16D4"/>
    <w:rsid w:val="006C1F3D"/>
    <w:rsid w:val="006C1F6D"/>
    <w:rsid w:val="006C1F7F"/>
    <w:rsid w:val="006C20F4"/>
    <w:rsid w:val="006C261E"/>
    <w:rsid w:val="006C2A0F"/>
    <w:rsid w:val="006C2E4D"/>
    <w:rsid w:val="006C3140"/>
    <w:rsid w:val="006C3529"/>
    <w:rsid w:val="006C354C"/>
    <w:rsid w:val="006C3950"/>
    <w:rsid w:val="006C3B76"/>
    <w:rsid w:val="006C3BB2"/>
    <w:rsid w:val="006C3CA7"/>
    <w:rsid w:val="006C3CBC"/>
    <w:rsid w:val="006C3CF2"/>
    <w:rsid w:val="006C412F"/>
    <w:rsid w:val="006C43F1"/>
    <w:rsid w:val="006C4572"/>
    <w:rsid w:val="006C4604"/>
    <w:rsid w:val="006C47FF"/>
    <w:rsid w:val="006C4E37"/>
    <w:rsid w:val="006C5282"/>
    <w:rsid w:val="006C55F0"/>
    <w:rsid w:val="006C5AE3"/>
    <w:rsid w:val="006C680A"/>
    <w:rsid w:val="006C6923"/>
    <w:rsid w:val="006C6B91"/>
    <w:rsid w:val="006C6EFB"/>
    <w:rsid w:val="006C6F9A"/>
    <w:rsid w:val="006C754F"/>
    <w:rsid w:val="006C75FA"/>
    <w:rsid w:val="006C7B03"/>
    <w:rsid w:val="006C7C32"/>
    <w:rsid w:val="006C7DDA"/>
    <w:rsid w:val="006C7F35"/>
    <w:rsid w:val="006D021D"/>
    <w:rsid w:val="006D034A"/>
    <w:rsid w:val="006D0628"/>
    <w:rsid w:val="006D0670"/>
    <w:rsid w:val="006D069E"/>
    <w:rsid w:val="006D06D2"/>
    <w:rsid w:val="006D079E"/>
    <w:rsid w:val="006D0956"/>
    <w:rsid w:val="006D0EC2"/>
    <w:rsid w:val="006D10B6"/>
    <w:rsid w:val="006D14C7"/>
    <w:rsid w:val="006D16D3"/>
    <w:rsid w:val="006D1B2D"/>
    <w:rsid w:val="006D1B81"/>
    <w:rsid w:val="006D1D82"/>
    <w:rsid w:val="006D1F13"/>
    <w:rsid w:val="006D2079"/>
    <w:rsid w:val="006D21C5"/>
    <w:rsid w:val="006D264B"/>
    <w:rsid w:val="006D2768"/>
    <w:rsid w:val="006D27CC"/>
    <w:rsid w:val="006D2A8B"/>
    <w:rsid w:val="006D3086"/>
    <w:rsid w:val="006D3E37"/>
    <w:rsid w:val="006D4381"/>
    <w:rsid w:val="006D4486"/>
    <w:rsid w:val="006D47F5"/>
    <w:rsid w:val="006D4800"/>
    <w:rsid w:val="006D4C72"/>
    <w:rsid w:val="006D4E4C"/>
    <w:rsid w:val="006D53CF"/>
    <w:rsid w:val="006D5585"/>
    <w:rsid w:val="006D5653"/>
    <w:rsid w:val="006D5C90"/>
    <w:rsid w:val="006D5F76"/>
    <w:rsid w:val="006D62A5"/>
    <w:rsid w:val="006D658D"/>
    <w:rsid w:val="006D66A2"/>
    <w:rsid w:val="006D6D96"/>
    <w:rsid w:val="006D7211"/>
    <w:rsid w:val="006D7278"/>
    <w:rsid w:val="006D75C8"/>
    <w:rsid w:val="006D7D27"/>
    <w:rsid w:val="006E01C1"/>
    <w:rsid w:val="006E01F5"/>
    <w:rsid w:val="006E0498"/>
    <w:rsid w:val="006E0DAB"/>
    <w:rsid w:val="006E10E9"/>
    <w:rsid w:val="006E1273"/>
    <w:rsid w:val="006E13ED"/>
    <w:rsid w:val="006E15D9"/>
    <w:rsid w:val="006E17CD"/>
    <w:rsid w:val="006E1E4F"/>
    <w:rsid w:val="006E1F58"/>
    <w:rsid w:val="006E1FCE"/>
    <w:rsid w:val="006E202B"/>
    <w:rsid w:val="006E234B"/>
    <w:rsid w:val="006E24EB"/>
    <w:rsid w:val="006E294D"/>
    <w:rsid w:val="006E2CBF"/>
    <w:rsid w:val="006E2E87"/>
    <w:rsid w:val="006E2F68"/>
    <w:rsid w:val="006E3132"/>
    <w:rsid w:val="006E33A4"/>
    <w:rsid w:val="006E36BF"/>
    <w:rsid w:val="006E3700"/>
    <w:rsid w:val="006E3904"/>
    <w:rsid w:val="006E3BA8"/>
    <w:rsid w:val="006E3ED3"/>
    <w:rsid w:val="006E3F57"/>
    <w:rsid w:val="006E4781"/>
    <w:rsid w:val="006E47E8"/>
    <w:rsid w:val="006E4AD4"/>
    <w:rsid w:val="006E4D00"/>
    <w:rsid w:val="006E4DD0"/>
    <w:rsid w:val="006E553A"/>
    <w:rsid w:val="006E557A"/>
    <w:rsid w:val="006E5584"/>
    <w:rsid w:val="006E577C"/>
    <w:rsid w:val="006E58C1"/>
    <w:rsid w:val="006E5DF4"/>
    <w:rsid w:val="006E6427"/>
    <w:rsid w:val="006E66B7"/>
    <w:rsid w:val="006E68C9"/>
    <w:rsid w:val="006E6A97"/>
    <w:rsid w:val="006E6B30"/>
    <w:rsid w:val="006E700D"/>
    <w:rsid w:val="006E7756"/>
    <w:rsid w:val="006E7B24"/>
    <w:rsid w:val="006E7BBB"/>
    <w:rsid w:val="006F0290"/>
    <w:rsid w:val="006F03BE"/>
    <w:rsid w:val="006F03DA"/>
    <w:rsid w:val="006F05BE"/>
    <w:rsid w:val="006F0D24"/>
    <w:rsid w:val="006F0D46"/>
    <w:rsid w:val="006F0EDF"/>
    <w:rsid w:val="006F0FA9"/>
    <w:rsid w:val="006F0FE5"/>
    <w:rsid w:val="006F0FF6"/>
    <w:rsid w:val="006F1268"/>
    <w:rsid w:val="006F1427"/>
    <w:rsid w:val="006F1933"/>
    <w:rsid w:val="006F1979"/>
    <w:rsid w:val="006F1D0E"/>
    <w:rsid w:val="006F23DD"/>
    <w:rsid w:val="006F2426"/>
    <w:rsid w:val="006F32FD"/>
    <w:rsid w:val="006F356C"/>
    <w:rsid w:val="006F35D0"/>
    <w:rsid w:val="006F367B"/>
    <w:rsid w:val="006F3C8C"/>
    <w:rsid w:val="006F3F6D"/>
    <w:rsid w:val="006F40D7"/>
    <w:rsid w:val="006F4312"/>
    <w:rsid w:val="006F46A4"/>
    <w:rsid w:val="006F49BD"/>
    <w:rsid w:val="006F49C8"/>
    <w:rsid w:val="006F4D6F"/>
    <w:rsid w:val="006F4E00"/>
    <w:rsid w:val="006F4E19"/>
    <w:rsid w:val="006F5158"/>
    <w:rsid w:val="006F5294"/>
    <w:rsid w:val="006F5596"/>
    <w:rsid w:val="006F5600"/>
    <w:rsid w:val="006F561D"/>
    <w:rsid w:val="006F5685"/>
    <w:rsid w:val="006F5C53"/>
    <w:rsid w:val="006F6004"/>
    <w:rsid w:val="006F61CB"/>
    <w:rsid w:val="006F6363"/>
    <w:rsid w:val="006F6729"/>
    <w:rsid w:val="006F674E"/>
    <w:rsid w:val="006F6BF3"/>
    <w:rsid w:val="006F70F8"/>
    <w:rsid w:val="006F7429"/>
    <w:rsid w:val="006F74AC"/>
    <w:rsid w:val="006F7502"/>
    <w:rsid w:val="006F76A5"/>
    <w:rsid w:val="006F7949"/>
    <w:rsid w:val="006F7A2B"/>
    <w:rsid w:val="006F7B83"/>
    <w:rsid w:val="00700178"/>
    <w:rsid w:val="00700589"/>
    <w:rsid w:val="00700594"/>
    <w:rsid w:val="00700950"/>
    <w:rsid w:val="00700C93"/>
    <w:rsid w:val="00700CCF"/>
    <w:rsid w:val="00701136"/>
    <w:rsid w:val="00701940"/>
    <w:rsid w:val="007019D7"/>
    <w:rsid w:val="00701C07"/>
    <w:rsid w:val="00701FDE"/>
    <w:rsid w:val="0070258A"/>
    <w:rsid w:val="00702873"/>
    <w:rsid w:val="0070287B"/>
    <w:rsid w:val="00702939"/>
    <w:rsid w:val="00702EC2"/>
    <w:rsid w:val="0070319A"/>
    <w:rsid w:val="0070348D"/>
    <w:rsid w:val="007035AF"/>
    <w:rsid w:val="007036F0"/>
    <w:rsid w:val="0070393C"/>
    <w:rsid w:val="00703CB4"/>
    <w:rsid w:val="00703DFE"/>
    <w:rsid w:val="00703F6F"/>
    <w:rsid w:val="007046C3"/>
    <w:rsid w:val="00704854"/>
    <w:rsid w:val="00704CC8"/>
    <w:rsid w:val="00704F4C"/>
    <w:rsid w:val="00704FBD"/>
    <w:rsid w:val="00705112"/>
    <w:rsid w:val="007056A7"/>
    <w:rsid w:val="00705760"/>
    <w:rsid w:val="007058ED"/>
    <w:rsid w:val="00705CC3"/>
    <w:rsid w:val="00705CF7"/>
    <w:rsid w:val="00705D0B"/>
    <w:rsid w:val="00706363"/>
    <w:rsid w:val="0070654B"/>
    <w:rsid w:val="007065D8"/>
    <w:rsid w:val="00706B8D"/>
    <w:rsid w:val="00706F47"/>
    <w:rsid w:val="00707211"/>
    <w:rsid w:val="00707359"/>
    <w:rsid w:val="0070787A"/>
    <w:rsid w:val="007078F2"/>
    <w:rsid w:val="0070794E"/>
    <w:rsid w:val="00707A38"/>
    <w:rsid w:val="00707A4F"/>
    <w:rsid w:val="00707B25"/>
    <w:rsid w:val="00707C18"/>
    <w:rsid w:val="00707E27"/>
    <w:rsid w:val="007102C2"/>
    <w:rsid w:val="007103A9"/>
    <w:rsid w:val="0071069C"/>
    <w:rsid w:val="0071093C"/>
    <w:rsid w:val="00710ABE"/>
    <w:rsid w:val="00710CFD"/>
    <w:rsid w:val="00710E33"/>
    <w:rsid w:val="0071105D"/>
    <w:rsid w:val="0071121B"/>
    <w:rsid w:val="007112E9"/>
    <w:rsid w:val="0071142B"/>
    <w:rsid w:val="0071150E"/>
    <w:rsid w:val="007115E5"/>
    <w:rsid w:val="0071176E"/>
    <w:rsid w:val="00711A6E"/>
    <w:rsid w:val="00711BC7"/>
    <w:rsid w:val="00712064"/>
    <w:rsid w:val="00712369"/>
    <w:rsid w:val="00712624"/>
    <w:rsid w:val="0071273B"/>
    <w:rsid w:val="007128FA"/>
    <w:rsid w:val="00712C6E"/>
    <w:rsid w:val="00712D52"/>
    <w:rsid w:val="00712E3B"/>
    <w:rsid w:val="00712EDE"/>
    <w:rsid w:val="00712F28"/>
    <w:rsid w:val="007131FF"/>
    <w:rsid w:val="007133C0"/>
    <w:rsid w:val="00713435"/>
    <w:rsid w:val="007134AA"/>
    <w:rsid w:val="00713AAC"/>
    <w:rsid w:val="00713BD0"/>
    <w:rsid w:val="00713CBD"/>
    <w:rsid w:val="00713F76"/>
    <w:rsid w:val="00713F9F"/>
    <w:rsid w:val="00713FDE"/>
    <w:rsid w:val="00714117"/>
    <w:rsid w:val="00714265"/>
    <w:rsid w:val="0071433F"/>
    <w:rsid w:val="007147EC"/>
    <w:rsid w:val="00714828"/>
    <w:rsid w:val="00714838"/>
    <w:rsid w:val="0071506A"/>
    <w:rsid w:val="007157F7"/>
    <w:rsid w:val="007158C2"/>
    <w:rsid w:val="00715B10"/>
    <w:rsid w:val="00715C7A"/>
    <w:rsid w:val="007166B6"/>
    <w:rsid w:val="007167FE"/>
    <w:rsid w:val="007168F2"/>
    <w:rsid w:val="00716AD2"/>
    <w:rsid w:val="00716BDD"/>
    <w:rsid w:val="00716E27"/>
    <w:rsid w:val="00717243"/>
    <w:rsid w:val="00717406"/>
    <w:rsid w:val="007174C4"/>
    <w:rsid w:val="0071786B"/>
    <w:rsid w:val="0071789E"/>
    <w:rsid w:val="00717B5C"/>
    <w:rsid w:val="00717D8D"/>
    <w:rsid w:val="007203CA"/>
    <w:rsid w:val="00720455"/>
    <w:rsid w:val="0072050B"/>
    <w:rsid w:val="007206E3"/>
    <w:rsid w:val="00720A20"/>
    <w:rsid w:val="00720B70"/>
    <w:rsid w:val="00720FCB"/>
    <w:rsid w:val="00721168"/>
    <w:rsid w:val="0072148F"/>
    <w:rsid w:val="0072196B"/>
    <w:rsid w:val="00721C60"/>
    <w:rsid w:val="00721F10"/>
    <w:rsid w:val="007226F5"/>
    <w:rsid w:val="007227C7"/>
    <w:rsid w:val="0072285A"/>
    <w:rsid w:val="00722ADE"/>
    <w:rsid w:val="00722C36"/>
    <w:rsid w:val="00722DA7"/>
    <w:rsid w:val="00722F2B"/>
    <w:rsid w:val="00723610"/>
    <w:rsid w:val="007238BA"/>
    <w:rsid w:val="00723AF4"/>
    <w:rsid w:val="00723B2C"/>
    <w:rsid w:val="00723C22"/>
    <w:rsid w:val="00723C53"/>
    <w:rsid w:val="007240B6"/>
    <w:rsid w:val="00724119"/>
    <w:rsid w:val="00724B12"/>
    <w:rsid w:val="00724B4F"/>
    <w:rsid w:val="00724D47"/>
    <w:rsid w:val="00724ED0"/>
    <w:rsid w:val="00724F92"/>
    <w:rsid w:val="007250E3"/>
    <w:rsid w:val="0072516B"/>
    <w:rsid w:val="007251BB"/>
    <w:rsid w:val="007253D6"/>
    <w:rsid w:val="0072578A"/>
    <w:rsid w:val="0072597A"/>
    <w:rsid w:val="00725D53"/>
    <w:rsid w:val="00725E4B"/>
    <w:rsid w:val="0072667E"/>
    <w:rsid w:val="0072669F"/>
    <w:rsid w:val="00726894"/>
    <w:rsid w:val="00726E50"/>
    <w:rsid w:val="00726F7C"/>
    <w:rsid w:val="0072710B"/>
    <w:rsid w:val="007272B6"/>
    <w:rsid w:val="0072774B"/>
    <w:rsid w:val="00727A94"/>
    <w:rsid w:val="00730172"/>
    <w:rsid w:val="00730188"/>
    <w:rsid w:val="0073027F"/>
    <w:rsid w:val="007306C0"/>
    <w:rsid w:val="007306CB"/>
    <w:rsid w:val="00730F5A"/>
    <w:rsid w:val="007310DD"/>
    <w:rsid w:val="00731177"/>
    <w:rsid w:val="00731189"/>
    <w:rsid w:val="007311CA"/>
    <w:rsid w:val="00731444"/>
    <w:rsid w:val="00731AA1"/>
    <w:rsid w:val="00731B68"/>
    <w:rsid w:val="00731E00"/>
    <w:rsid w:val="00731FE7"/>
    <w:rsid w:val="0073224A"/>
    <w:rsid w:val="0073226C"/>
    <w:rsid w:val="00733684"/>
    <w:rsid w:val="00733685"/>
    <w:rsid w:val="007337C7"/>
    <w:rsid w:val="00733880"/>
    <w:rsid w:val="00733C2A"/>
    <w:rsid w:val="00733FC6"/>
    <w:rsid w:val="0073469F"/>
    <w:rsid w:val="00734812"/>
    <w:rsid w:val="0073489F"/>
    <w:rsid w:val="00734917"/>
    <w:rsid w:val="00734BD7"/>
    <w:rsid w:val="007357B1"/>
    <w:rsid w:val="007358C9"/>
    <w:rsid w:val="00735FFB"/>
    <w:rsid w:val="007365C8"/>
    <w:rsid w:val="00736685"/>
    <w:rsid w:val="00736B5F"/>
    <w:rsid w:val="00736EEB"/>
    <w:rsid w:val="00737391"/>
    <w:rsid w:val="0073785C"/>
    <w:rsid w:val="0073792C"/>
    <w:rsid w:val="00737A02"/>
    <w:rsid w:val="00740262"/>
    <w:rsid w:val="007404F5"/>
    <w:rsid w:val="0074078B"/>
    <w:rsid w:val="00740F4A"/>
    <w:rsid w:val="00741607"/>
    <w:rsid w:val="007418EF"/>
    <w:rsid w:val="00741B09"/>
    <w:rsid w:val="00741BEA"/>
    <w:rsid w:val="00741D79"/>
    <w:rsid w:val="00741DFC"/>
    <w:rsid w:val="00741E37"/>
    <w:rsid w:val="0074257A"/>
    <w:rsid w:val="007425E1"/>
    <w:rsid w:val="00742805"/>
    <w:rsid w:val="007428AD"/>
    <w:rsid w:val="00742B39"/>
    <w:rsid w:val="00742F48"/>
    <w:rsid w:val="007431DF"/>
    <w:rsid w:val="00743252"/>
    <w:rsid w:val="007436EB"/>
    <w:rsid w:val="00743E9F"/>
    <w:rsid w:val="00744001"/>
    <w:rsid w:val="00744038"/>
    <w:rsid w:val="00744111"/>
    <w:rsid w:val="007443C5"/>
    <w:rsid w:val="00744BA9"/>
    <w:rsid w:val="00744EE6"/>
    <w:rsid w:val="0074511E"/>
    <w:rsid w:val="00745273"/>
    <w:rsid w:val="007452ED"/>
    <w:rsid w:val="007453D5"/>
    <w:rsid w:val="007455C6"/>
    <w:rsid w:val="007458D0"/>
    <w:rsid w:val="00745E8C"/>
    <w:rsid w:val="0074600D"/>
    <w:rsid w:val="00746405"/>
    <w:rsid w:val="0074653C"/>
    <w:rsid w:val="0074662F"/>
    <w:rsid w:val="007467AB"/>
    <w:rsid w:val="007467D2"/>
    <w:rsid w:val="0074697C"/>
    <w:rsid w:val="00746B93"/>
    <w:rsid w:val="00746D87"/>
    <w:rsid w:val="00746FFA"/>
    <w:rsid w:val="007471C5"/>
    <w:rsid w:val="00747434"/>
    <w:rsid w:val="007477C4"/>
    <w:rsid w:val="00747868"/>
    <w:rsid w:val="0074788B"/>
    <w:rsid w:val="00747C01"/>
    <w:rsid w:val="00747C53"/>
    <w:rsid w:val="00747D02"/>
    <w:rsid w:val="00747D69"/>
    <w:rsid w:val="00747E06"/>
    <w:rsid w:val="0075034E"/>
    <w:rsid w:val="007503D4"/>
    <w:rsid w:val="00750701"/>
    <w:rsid w:val="00750A05"/>
    <w:rsid w:val="0075137C"/>
    <w:rsid w:val="00751A03"/>
    <w:rsid w:val="00751A67"/>
    <w:rsid w:val="00751ECA"/>
    <w:rsid w:val="00752240"/>
    <w:rsid w:val="00752366"/>
    <w:rsid w:val="00752798"/>
    <w:rsid w:val="0075295C"/>
    <w:rsid w:val="00752D7A"/>
    <w:rsid w:val="00753A82"/>
    <w:rsid w:val="00753BD8"/>
    <w:rsid w:val="007540A1"/>
    <w:rsid w:val="007540C4"/>
    <w:rsid w:val="0075418A"/>
    <w:rsid w:val="00754482"/>
    <w:rsid w:val="00754747"/>
    <w:rsid w:val="00754A3F"/>
    <w:rsid w:val="00754D7F"/>
    <w:rsid w:val="007555C2"/>
    <w:rsid w:val="00755761"/>
    <w:rsid w:val="00755861"/>
    <w:rsid w:val="0075589D"/>
    <w:rsid w:val="007558D4"/>
    <w:rsid w:val="00755923"/>
    <w:rsid w:val="00755A8C"/>
    <w:rsid w:val="00755DA1"/>
    <w:rsid w:val="00756325"/>
    <w:rsid w:val="007568A9"/>
    <w:rsid w:val="00756B4B"/>
    <w:rsid w:val="00756C8B"/>
    <w:rsid w:val="0075744B"/>
    <w:rsid w:val="00757489"/>
    <w:rsid w:val="00757810"/>
    <w:rsid w:val="00757A77"/>
    <w:rsid w:val="00757CDE"/>
    <w:rsid w:val="00757E47"/>
    <w:rsid w:val="0076019A"/>
    <w:rsid w:val="00760494"/>
    <w:rsid w:val="007604B2"/>
    <w:rsid w:val="0076054E"/>
    <w:rsid w:val="00760680"/>
    <w:rsid w:val="0076133E"/>
    <w:rsid w:val="007618C9"/>
    <w:rsid w:val="007618D0"/>
    <w:rsid w:val="007618F3"/>
    <w:rsid w:val="0076190F"/>
    <w:rsid w:val="00761C97"/>
    <w:rsid w:val="00761FC9"/>
    <w:rsid w:val="00762104"/>
    <w:rsid w:val="00762320"/>
    <w:rsid w:val="007623CE"/>
    <w:rsid w:val="0076260D"/>
    <w:rsid w:val="00762AF9"/>
    <w:rsid w:val="00762E29"/>
    <w:rsid w:val="00762EF1"/>
    <w:rsid w:val="00763130"/>
    <w:rsid w:val="00763345"/>
    <w:rsid w:val="00763B77"/>
    <w:rsid w:val="00763C3D"/>
    <w:rsid w:val="00763DCB"/>
    <w:rsid w:val="0076417B"/>
    <w:rsid w:val="007641DA"/>
    <w:rsid w:val="00764287"/>
    <w:rsid w:val="007642A5"/>
    <w:rsid w:val="00764AA9"/>
    <w:rsid w:val="00764C81"/>
    <w:rsid w:val="0076502B"/>
    <w:rsid w:val="0076505F"/>
    <w:rsid w:val="007650B4"/>
    <w:rsid w:val="007651E9"/>
    <w:rsid w:val="00765AD0"/>
    <w:rsid w:val="00765CC2"/>
    <w:rsid w:val="00765D0C"/>
    <w:rsid w:val="00765D3E"/>
    <w:rsid w:val="0076653C"/>
    <w:rsid w:val="0076662C"/>
    <w:rsid w:val="00766674"/>
    <w:rsid w:val="00766739"/>
    <w:rsid w:val="007669F4"/>
    <w:rsid w:val="0076702C"/>
    <w:rsid w:val="00767051"/>
    <w:rsid w:val="007673AD"/>
    <w:rsid w:val="007675DA"/>
    <w:rsid w:val="00767D15"/>
    <w:rsid w:val="00767F6C"/>
    <w:rsid w:val="00767FA8"/>
    <w:rsid w:val="00770027"/>
    <w:rsid w:val="007700C2"/>
    <w:rsid w:val="007700D1"/>
    <w:rsid w:val="007703FA"/>
    <w:rsid w:val="007706B0"/>
    <w:rsid w:val="007706EC"/>
    <w:rsid w:val="00770A2F"/>
    <w:rsid w:val="00770C72"/>
    <w:rsid w:val="00770DA2"/>
    <w:rsid w:val="00771C44"/>
    <w:rsid w:val="00771DBF"/>
    <w:rsid w:val="00771E47"/>
    <w:rsid w:val="00772283"/>
    <w:rsid w:val="00772612"/>
    <w:rsid w:val="0077274F"/>
    <w:rsid w:val="00772829"/>
    <w:rsid w:val="007728E6"/>
    <w:rsid w:val="00773458"/>
    <w:rsid w:val="007734CD"/>
    <w:rsid w:val="00773892"/>
    <w:rsid w:val="007738CB"/>
    <w:rsid w:val="0077419A"/>
    <w:rsid w:val="007742D0"/>
    <w:rsid w:val="0077458D"/>
    <w:rsid w:val="007746BA"/>
    <w:rsid w:val="00774B69"/>
    <w:rsid w:val="00774DE0"/>
    <w:rsid w:val="007750B0"/>
    <w:rsid w:val="00775193"/>
    <w:rsid w:val="0077536C"/>
    <w:rsid w:val="007754D1"/>
    <w:rsid w:val="007759CF"/>
    <w:rsid w:val="00775EBC"/>
    <w:rsid w:val="007765B6"/>
    <w:rsid w:val="007766F5"/>
    <w:rsid w:val="00776773"/>
    <w:rsid w:val="007768B9"/>
    <w:rsid w:val="00776995"/>
    <w:rsid w:val="00776B10"/>
    <w:rsid w:val="00776F81"/>
    <w:rsid w:val="007772DB"/>
    <w:rsid w:val="00777433"/>
    <w:rsid w:val="00777848"/>
    <w:rsid w:val="00777893"/>
    <w:rsid w:val="00777A8D"/>
    <w:rsid w:val="00777D86"/>
    <w:rsid w:val="00777EF8"/>
    <w:rsid w:val="00777FA7"/>
    <w:rsid w:val="00780161"/>
    <w:rsid w:val="00780183"/>
    <w:rsid w:val="007802FA"/>
    <w:rsid w:val="00780394"/>
    <w:rsid w:val="007806DD"/>
    <w:rsid w:val="00780738"/>
    <w:rsid w:val="0078076C"/>
    <w:rsid w:val="0078084C"/>
    <w:rsid w:val="007808BB"/>
    <w:rsid w:val="007809F1"/>
    <w:rsid w:val="00780CD8"/>
    <w:rsid w:val="007810C0"/>
    <w:rsid w:val="007812D6"/>
    <w:rsid w:val="007814C4"/>
    <w:rsid w:val="007815A2"/>
    <w:rsid w:val="00781F6D"/>
    <w:rsid w:val="0078205E"/>
    <w:rsid w:val="007824C7"/>
    <w:rsid w:val="007824C9"/>
    <w:rsid w:val="00782519"/>
    <w:rsid w:val="00782848"/>
    <w:rsid w:val="00782AC7"/>
    <w:rsid w:val="00782BD4"/>
    <w:rsid w:val="00782D1C"/>
    <w:rsid w:val="00782DBA"/>
    <w:rsid w:val="00783060"/>
    <w:rsid w:val="0078333A"/>
    <w:rsid w:val="0078390A"/>
    <w:rsid w:val="00783A0E"/>
    <w:rsid w:val="00783B29"/>
    <w:rsid w:val="00783BC1"/>
    <w:rsid w:val="00784341"/>
    <w:rsid w:val="00784AB6"/>
    <w:rsid w:val="00784ABB"/>
    <w:rsid w:val="00784D25"/>
    <w:rsid w:val="00784F55"/>
    <w:rsid w:val="00784F80"/>
    <w:rsid w:val="00785090"/>
    <w:rsid w:val="007852D7"/>
    <w:rsid w:val="007852E9"/>
    <w:rsid w:val="0078649D"/>
    <w:rsid w:val="00786539"/>
    <w:rsid w:val="0078653C"/>
    <w:rsid w:val="007869C7"/>
    <w:rsid w:val="007869F7"/>
    <w:rsid w:val="00786B48"/>
    <w:rsid w:val="00786E7D"/>
    <w:rsid w:val="00787364"/>
    <w:rsid w:val="0078759A"/>
    <w:rsid w:val="007875DA"/>
    <w:rsid w:val="00787701"/>
    <w:rsid w:val="0078784E"/>
    <w:rsid w:val="00787CEA"/>
    <w:rsid w:val="00787F02"/>
    <w:rsid w:val="007902F2"/>
    <w:rsid w:val="007903CD"/>
    <w:rsid w:val="00790533"/>
    <w:rsid w:val="00790548"/>
    <w:rsid w:val="007907DC"/>
    <w:rsid w:val="00790A38"/>
    <w:rsid w:val="00790B15"/>
    <w:rsid w:val="00790C51"/>
    <w:rsid w:val="00790F49"/>
    <w:rsid w:val="0079103B"/>
    <w:rsid w:val="00791B26"/>
    <w:rsid w:val="00791FE9"/>
    <w:rsid w:val="0079205B"/>
    <w:rsid w:val="00792269"/>
    <w:rsid w:val="00792B4B"/>
    <w:rsid w:val="00792CAB"/>
    <w:rsid w:val="00792DFC"/>
    <w:rsid w:val="007931CB"/>
    <w:rsid w:val="007934E3"/>
    <w:rsid w:val="007935E5"/>
    <w:rsid w:val="0079360A"/>
    <w:rsid w:val="00793675"/>
    <w:rsid w:val="007936B0"/>
    <w:rsid w:val="00793C64"/>
    <w:rsid w:val="00793EAE"/>
    <w:rsid w:val="007940CD"/>
    <w:rsid w:val="007944A6"/>
    <w:rsid w:val="00794953"/>
    <w:rsid w:val="00794C37"/>
    <w:rsid w:val="007951D4"/>
    <w:rsid w:val="00795337"/>
    <w:rsid w:val="00795902"/>
    <w:rsid w:val="00795B8B"/>
    <w:rsid w:val="00795F04"/>
    <w:rsid w:val="00796647"/>
    <w:rsid w:val="007966BD"/>
    <w:rsid w:val="00796862"/>
    <w:rsid w:val="00796F21"/>
    <w:rsid w:val="00797471"/>
    <w:rsid w:val="0079768D"/>
    <w:rsid w:val="0079784C"/>
    <w:rsid w:val="00797C0C"/>
    <w:rsid w:val="00797C46"/>
    <w:rsid w:val="00797D60"/>
    <w:rsid w:val="00797E83"/>
    <w:rsid w:val="00797EF1"/>
    <w:rsid w:val="007A00B1"/>
    <w:rsid w:val="007A032F"/>
    <w:rsid w:val="007A04A1"/>
    <w:rsid w:val="007A0799"/>
    <w:rsid w:val="007A0BAD"/>
    <w:rsid w:val="007A0C67"/>
    <w:rsid w:val="007A0EE6"/>
    <w:rsid w:val="007A0FDF"/>
    <w:rsid w:val="007A19A6"/>
    <w:rsid w:val="007A19F6"/>
    <w:rsid w:val="007A1B79"/>
    <w:rsid w:val="007A206D"/>
    <w:rsid w:val="007A22BF"/>
    <w:rsid w:val="007A2B65"/>
    <w:rsid w:val="007A2D83"/>
    <w:rsid w:val="007A2ECC"/>
    <w:rsid w:val="007A2F3C"/>
    <w:rsid w:val="007A360E"/>
    <w:rsid w:val="007A37F5"/>
    <w:rsid w:val="007A38E3"/>
    <w:rsid w:val="007A3A3B"/>
    <w:rsid w:val="007A4019"/>
    <w:rsid w:val="007A40A4"/>
    <w:rsid w:val="007A40D2"/>
    <w:rsid w:val="007A43FE"/>
    <w:rsid w:val="007A44D5"/>
    <w:rsid w:val="007A4FA6"/>
    <w:rsid w:val="007A511B"/>
    <w:rsid w:val="007A5517"/>
    <w:rsid w:val="007A55DB"/>
    <w:rsid w:val="007A5617"/>
    <w:rsid w:val="007A5C45"/>
    <w:rsid w:val="007A6131"/>
    <w:rsid w:val="007A634B"/>
    <w:rsid w:val="007A6E27"/>
    <w:rsid w:val="007A6F12"/>
    <w:rsid w:val="007A7309"/>
    <w:rsid w:val="007A7907"/>
    <w:rsid w:val="007A7CFD"/>
    <w:rsid w:val="007A7E34"/>
    <w:rsid w:val="007B006F"/>
    <w:rsid w:val="007B0245"/>
    <w:rsid w:val="007B077B"/>
    <w:rsid w:val="007B083F"/>
    <w:rsid w:val="007B0880"/>
    <w:rsid w:val="007B0AA4"/>
    <w:rsid w:val="007B0B24"/>
    <w:rsid w:val="007B0D01"/>
    <w:rsid w:val="007B1087"/>
    <w:rsid w:val="007B111F"/>
    <w:rsid w:val="007B11A6"/>
    <w:rsid w:val="007B12E1"/>
    <w:rsid w:val="007B13FE"/>
    <w:rsid w:val="007B1466"/>
    <w:rsid w:val="007B15D8"/>
    <w:rsid w:val="007B184F"/>
    <w:rsid w:val="007B1882"/>
    <w:rsid w:val="007B1F2A"/>
    <w:rsid w:val="007B1FAA"/>
    <w:rsid w:val="007B2085"/>
    <w:rsid w:val="007B209E"/>
    <w:rsid w:val="007B2123"/>
    <w:rsid w:val="007B2138"/>
    <w:rsid w:val="007B2961"/>
    <w:rsid w:val="007B2B2D"/>
    <w:rsid w:val="007B2CF0"/>
    <w:rsid w:val="007B2DC9"/>
    <w:rsid w:val="007B2FDC"/>
    <w:rsid w:val="007B306A"/>
    <w:rsid w:val="007B3327"/>
    <w:rsid w:val="007B356D"/>
    <w:rsid w:val="007B37E8"/>
    <w:rsid w:val="007B38A0"/>
    <w:rsid w:val="007B38B7"/>
    <w:rsid w:val="007B3B7D"/>
    <w:rsid w:val="007B3FA1"/>
    <w:rsid w:val="007B40B9"/>
    <w:rsid w:val="007B42F2"/>
    <w:rsid w:val="007B4615"/>
    <w:rsid w:val="007B4A7B"/>
    <w:rsid w:val="007B4BAB"/>
    <w:rsid w:val="007B4F17"/>
    <w:rsid w:val="007B4F18"/>
    <w:rsid w:val="007B4F7B"/>
    <w:rsid w:val="007B51C0"/>
    <w:rsid w:val="007B5316"/>
    <w:rsid w:val="007B540E"/>
    <w:rsid w:val="007B55A9"/>
    <w:rsid w:val="007B5769"/>
    <w:rsid w:val="007B583D"/>
    <w:rsid w:val="007B58D4"/>
    <w:rsid w:val="007B5A7B"/>
    <w:rsid w:val="007B5BC1"/>
    <w:rsid w:val="007B5DF8"/>
    <w:rsid w:val="007B610A"/>
    <w:rsid w:val="007B6152"/>
    <w:rsid w:val="007B642F"/>
    <w:rsid w:val="007B65B2"/>
    <w:rsid w:val="007B6684"/>
    <w:rsid w:val="007B67B4"/>
    <w:rsid w:val="007B6881"/>
    <w:rsid w:val="007B6903"/>
    <w:rsid w:val="007B6B21"/>
    <w:rsid w:val="007B6CEE"/>
    <w:rsid w:val="007B6E58"/>
    <w:rsid w:val="007B7024"/>
    <w:rsid w:val="007B702B"/>
    <w:rsid w:val="007B7038"/>
    <w:rsid w:val="007B7053"/>
    <w:rsid w:val="007B70B6"/>
    <w:rsid w:val="007B70E9"/>
    <w:rsid w:val="007B71B3"/>
    <w:rsid w:val="007B7A1F"/>
    <w:rsid w:val="007C01EB"/>
    <w:rsid w:val="007C0367"/>
    <w:rsid w:val="007C0390"/>
    <w:rsid w:val="007C03F9"/>
    <w:rsid w:val="007C055E"/>
    <w:rsid w:val="007C0B1A"/>
    <w:rsid w:val="007C0CAA"/>
    <w:rsid w:val="007C0D8D"/>
    <w:rsid w:val="007C1319"/>
    <w:rsid w:val="007C14A2"/>
    <w:rsid w:val="007C1B00"/>
    <w:rsid w:val="007C1FAD"/>
    <w:rsid w:val="007C21E9"/>
    <w:rsid w:val="007C2238"/>
    <w:rsid w:val="007C2512"/>
    <w:rsid w:val="007C2598"/>
    <w:rsid w:val="007C2AD1"/>
    <w:rsid w:val="007C2F72"/>
    <w:rsid w:val="007C300E"/>
    <w:rsid w:val="007C31BA"/>
    <w:rsid w:val="007C328D"/>
    <w:rsid w:val="007C336F"/>
    <w:rsid w:val="007C3979"/>
    <w:rsid w:val="007C41B1"/>
    <w:rsid w:val="007C480A"/>
    <w:rsid w:val="007C4953"/>
    <w:rsid w:val="007C4D98"/>
    <w:rsid w:val="007C5378"/>
    <w:rsid w:val="007C549B"/>
    <w:rsid w:val="007C5977"/>
    <w:rsid w:val="007C5B88"/>
    <w:rsid w:val="007C5D26"/>
    <w:rsid w:val="007C5DB6"/>
    <w:rsid w:val="007C6B2A"/>
    <w:rsid w:val="007C6F91"/>
    <w:rsid w:val="007C7A8D"/>
    <w:rsid w:val="007C7B39"/>
    <w:rsid w:val="007D02DB"/>
    <w:rsid w:val="007D0390"/>
    <w:rsid w:val="007D066E"/>
    <w:rsid w:val="007D067D"/>
    <w:rsid w:val="007D087B"/>
    <w:rsid w:val="007D0A4E"/>
    <w:rsid w:val="007D0D18"/>
    <w:rsid w:val="007D0D81"/>
    <w:rsid w:val="007D0EDB"/>
    <w:rsid w:val="007D0FF6"/>
    <w:rsid w:val="007D1371"/>
    <w:rsid w:val="007D167A"/>
    <w:rsid w:val="007D16AB"/>
    <w:rsid w:val="007D16C4"/>
    <w:rsid w:val="007D174C"/>
    <w:rsid w:val="007D1824"/>
    <w:rsid w:val="007D1856"/>
    <w:rsid w:val="007D1A3F"/>
    <w:rsid w:val="007D1A6B"/>
    <w:rsid w:val="007D1E32"/>
    <w:rsid w:val="007D2098"/>
    <w:rsid w:val="007D20D4"/>
    <w:rsid w:val="007D216C"/>
    <w:rsid w:val="007D26D7"/>
    <w:rsid w:val="007D3013"/>
    <w:rsid w:val="007D3089"/>
    <w:rsid w:val="007D30B7"/>
    <w:rsid w:val="007D3241"/>
    <w:rsid w:val="007D35DD"/>
    <w:rsid w:val="007D379C"/>
    <w:rsid w:val="007D37F5"/>
    <w:rsid w:val="007D394A"/>
    <w:rsid w:val="007D3A31"/>
    <w:rsid w:val="007D3B2F"/>
    <w:rsid w:val="007D3B5C"/>
    <w:rsid w:val="007D40D2"/>
    <w:rsid w:val="007D4102"/>
    <w:rsid w:val="007D446C"/>
    <w:rsid w:val="007D48C0"/>
    <w:rsid w:val="007D4D32"/>
    <w:rsid w:val="007D4D7C"/>
    <w:rsid w:val="007D4E51"/>
    <w:rsid w:val="007D503A"/>
    <w:rsid w:val="007D527A"/>
    <w:rsid w:val="007D57A5"/>
    <w:rsid w:val="007D5980"/>
    <w:rsid w:val="007D5B69"/>
    <w:rsid w:val="007D5FF5"/>
    <w:rsid w:val="007D6A07"/>
    <w:rsid w:val="007D6ADC"/>
    <w:rsid w:val="007D6B76"/>
    <w:rsid w:val="007D6BD6"/>
    <w:rsid w:val="007D6EF4"/>
    <w:rsid w:val="007D7247"/>
    <w:rsid w:val="007D724F"/>
    <w:rsid w:val="007D7297"/>
    <w:rsid w:val="007D7413"/>
    <w:rsid w:val="007D7B6D"/>
    <w:rsid w:val="007E002A"/>
    <w:rsid w:val="007E0216"/>
    <w:rsid w:val="007E0A94"/>
    <w:rsid w:val="007E15AD"/>
    <w:rsid w:val="007E1795"/>
    <w:rsid w:val="007E25ED"/>
    <w:rsid w:val="007E2AA2"/>
    <w:rsid w:val="007E2BC0"/>
    <w:rsid w:val="007E2D7F"/>
    <w:rsid w:val="007E2E7D"/>
    <w:rsid w:val="007E2F0B"/>
    <w:rsid w:val="007E31EE"/>
    <w:rsid w:val="007E33DB"/>
    <w:rsid w:val="007E35C1"/>
    <w:rsid w:val="007E3CDD"/>
    <w:rsid w:val="007E3DA9"/>
    <w:rsid w:val="007E40C0"/>
    <w:rsid w:val="007E419D"/>
    <w:rsid w:val="007E419E"/>
    <w:rsid w:val="007E41E4"/>
    <w:rsid w:val="007E44E0"/>
    <w:rsid w:val="007E46F1"/>
    <w:rsid w:val="007E4C26"/>
    <w:rsid w:val="007E4E94"/>
    <w:rsid w:val="007E5061"/>
    <w:rsid w:val="007E5A29"/>
    <w:rsid w:val="007E5ADB"/>
    <w:rsid w:val="007E5D79"/>
    <w:rsid w:val="007E5E11"/>
    <w:rsid w:val="007E6351"/>
    <w:rsid w:val="007E6CFC"/>
    <w:rsid w:val="007E6DA5"/>
    <w:rsid w:val="007E6EF8"/>
    <w:rsid w:val="007E71DF"/>
    <w:rsid w:val="007E755C"/>
    <w:rsid w:val="007E79F3"/>
    <w:rsid w:val="007E7A6C"/>
    <w:rsid w:val="007E7C15"/>
    <w:rsid w:val="007E7C78"/>
    <w:rsid w:val="007E7D31"/>
    <w:rsid w:val="007E7E17"/>
    <w:rsid w:val="007E7EED"/>
    <w:rsid w:val="007E7F17"/>
    <w:rsid w:val="007E7FA0"/>
    <w:rsid w:val="007E7FFC"/>
    <w:rsid w:val="007F069B"/>
    <w:rsid w:val="007F06ED"/>
    <w:rsid w:val="007F097C"/>
    <w:rsid w:val="007F0BCC"/>
    <w:rsid w:val="007F0D37"/>
    <w:rsid w:val="007F0D3C"/>
    <w:rsid w:val="007F0D41"/>
    <w:rsid w:val="007F0F24"/>
    <w:rsid w:val="007F0F43"/>
    <w:rsid w:val="007F0F7C"/>
    <w:rsid w:val="007F105D"/>
    <w:rsid w:val="007F1831"/>
    <w:rsid w:val="007F1CF1"/>
    <w:rsid w:val="007F1E93"/>
    <w:rsid w:val="007F1EE9"/>
    <w:rsid w:val="007F229E"/>
    <w:rsid w:val="007F2384"/>
    <w:rsid w:val="007F2A5D"/>
    <w:rsid w:val="007F2CB8"/>
    <w:rsid w:val="007F2F7E"/>
    <w:rsid w:val="007F3148"/>
    <w:rsid w:val="007F3964"/>
    <w:rsid w:val="007F464A"/>
    <w:rsid w:val="007F49A4"/>
    <w:rsid w:val="007F4C8B"/>
    <w:rsid w:val="007F5651"/>
    <w:rsid w:val="007F5B7F"/>
    <w:rsid w:val="007F67E9"/>
    <w:rsid w:val="007F69D8"/>
    <w:rsid w:val="007F6A8D"/>
    <w:rsid w:val="007F6B4C"/>
    <w:rsid w:val="007F6CFA"/>
    <w:rsid w:val="007F6D8C"/>
    <w:rsid w:val="007F7571"/>
    <w:rsid w:val="007F7C7B"/>
    <w:rsid w:val="00800345"/>
    <w:rsid w:val="00800B1B"/>
    <w:rsid w:val="00800D0F"/>
    <w:rsid w:val="008011BE"/>
    <w:rsid w:val="008012D3"/>
    <w:rsid w:val="008012DD"/>
    <w:rsid w:val="008013DF"/>
    <w:rsid w:val="00801412"/>
    <w:rsid w:val="00802396"/>
    <w:rsid w:val="00802406"/>
    <w:rsid w:val="00802D76"/>
    <w:rsid w:val="00802D98"/>
    <w:rsid w:val="008038A3"/>
    <w:rsid w:val="00803BEA"/>
    <w:rsid w:val="00803D01"/>
    <w:rsid w:val="00803D50"/>
    <w:rsid w:val="008040A2"/>
    <w:rsid w:val="008044CB"/>
    <w:rsid w:val="00804632"/>
    <w:rsid w:val="0080463B"/>
    <w:rsid w:val="00804743"/>
    <w:rsid w:val="008049CE"/>
    <w:rsid w:val="00804A64"/>
    <w:rsid w:val="00804B9D"/>
    <w:rsid w:val="00804F9A"/>
    <w:rsid w:val="008052AF"/>
    <w:rsid w:val="00805410"/>
    <w:rsid w:val="008054D9"/>
    <w:rsid w:val="0080550F"/>
    <w:rsid w:val="00805948"/>
    <w:rsid w:val="00805B66"/>
    <w:rsid w:val="00805DCB"/>
    <w:rsid w:val="008061FA"/>
    <w:rsid w:val="0080658E"/>
    <w:rsid w:val="00806688"/>
    <w:rsid w:val="00807311"/>
    <w:rsid w:val="008074B4"/>
    <w:rsid w:val="008074DB"/>
    <w:rsid w:val="008076C6"/>
    <w:rsid w:val="00807A3E"/>
    <w:rsid w:val="00807AF8"/>
    <w:rsid w:val="00807B3C"/>
    <w:rsid w:val="00807FEB"/>
    <w:rsid w:val="008100FF"/>
    <w:rsid w:val="00810338"/>
    <w:rsid w:val="0081064E"/>
    <w:rsid w:val="00810821"/>
    <w:rsid w:val="00810D44"/>
    <w:rsid w:val="00811470"/>
    <w:rsid w:val="008115BC"/>
    <w:rsid w:val="0081195C"/>
    <w:rsid w:val="00811CD1"/>
    <w:rsid w:val="00811E1E"/>
    <w:rsid w:val="00811F50"/>
    <w:rsid w:val="00812282"/>
    <w:rsid w:val="00812ACD"/>
    <w:rsid w:val="00812C2D"/>
    <w:rsid w:val="00812F63"/>
    <w:rsid w:val="008137CB"/>
    <w:rsid w:val="00813876"/>
    <w:rsid w:val="008138A0"/>
    <w:rsid w:val="00813ACE"/>
    <w:rsid w:val="00814090"/>
    <w:rsid w:val="0081413A"/>
    <w:rsid w:val="008141BB"/>
    <w:rsid w:val="0081475D"/>
    <w:rsid w:val="008148E4"/>
    <w:rsid w:val="00814DB8"/>
    <w:rsid w:val="0081511E"/>
    <w:rsid w:val="00815474"/>
    <w:rsid w:val="008155E1"/>
    <w:rsid w:val="00815676"/>
    <w:rsid w:val="008157F1"/>
    <w:rsid w:val="00815830"/>
    <w:rsid w:val="00815D91"/>
    <w:rsid w:val="0081618B"/>
    <w:rsid w:val="00816284"/>
    <w:rsid w:val="00816610"/>
    <w:rsid w:val="00816A75"/>
    <w:rsid w:val="00816EC2"/>
    <w:rsid w:val="0081702A"/>
    <w:rsid w:val="008171D2"/>
    <w:rsid w:val="008171F9"/>
    <w:rsid w:val="00817C95"/>
    <w:rsid w:val="00820004"/>
    <w:rsid w:val="0082073A"/>
    <w:rsid w:val="0082083F"/>
    <w:rsid w:val="00820E41"/>
    <w:rsid w:val="00821187"/>
    <w:rsid w:val="008214FB"/>
    <w:rsid w:val="00821B81"/>
    <w:rsid w:val="00821C30"/>
    <w:rsid w:val="00821F24"/>
    <w:rsid w:val="0082228B"/>
    <w:rsid w:val="00822754"/>
    <w:rsid w:val="00822A45"/>
    <w:rsid w:val="00822AA8"/>
    <w:rsid w:val="00822B42"/>
    <w:rsid w:val="00822BC8"/>
    <w:rsid w:val="00822D09"/>
    <w:rsid w:val="008231B2"/>
    <w:rsid w:val="008231E0"/>
    <w:rsid w:val="00823403"/>
    <w:rsid w:val="00823537"/>
    <w:rsid w:val="008236E1"/>
    <w:rsid w:val="00823B8D"/>
    <w:rsid w:val="00823EC6"/>
    <w:rsid w:val="00824458"/>
    <w:rsid w:val="0082469B"/>
    <w:rsid w:val="008247B5"/>
    <w:rsid w:val="00824821"/>
    <w:rsid w:val="008248AB"/>
    <w:rsid w:val="008249F7"/>
    <w:rsid w:val="00824A23"/>
    <w:rsid w:val="00824B74"/>
    <w:rsid w:val="0082501B"/>
    <w:rsid w:val="00825385"/>
    <w:rsid w:val="0082546D"/>
    <w:rsid w:val="00825498"/>
    <w:rsid w:val="008257A2"/>
    <w:rsid w:val="00825926"/>
    <w:rsid w:val="00825BF7"/>
    <w:rsid w:val="00825DC2"/>
    <w:rsid w:val="00825F32"/>
    <w:rsid w:val="0082619B"/>
    <w:rsid w:val="00826535"/>
    <w:rsid w:val="0082695B"/>
    <w:rsid w:val="00826F79"/>
    <w:rsid w:val="00826F98"/>
    <w:rsid w:val="00827027"/>
    <w:rsid w:val="008277D8"/>
    <w:rsid w:val="00827814"/>
    <w:rsid w:val="00830028"/>
    <w:rsid w:val="0083012E"/>
    <w:rsid w:val="008304AE"/>
    <w:rsid w:val="0083154E"/>
    <w:rsid w:val="00831719"/>
    <w:rsid w:val="00831733"/>
    <w:rsid w:val="00831761"/>
    <w:rsid w:val="0083182A"/>
    <w:rsid w:val="008318A1"/>
    <w:rsid w:val="00831A4C"/>
    <w:rsid w:val="00831EEA"/>
    <w:rsid w:val="00832858"/>
    <w:rsid w:val="0083291B"/>
    <w:rsid w:val="00832F70"/>
    <w:rsid w:val="00832FAB"/>
    <w:rsid w:val="0083397A"/>
    <w:rsid w:val="00833E1B"/>
    <w:rsid w:val="00833F8F"/>
    <w:rsid w:val="0083414C"/>
    <w:rsid w:val="00834BE6"/>
    <w:rsid w:val="008350CB"/>
    <w:rsid w:val="00835107"/>
    <w:rsid w:val="00835498"/>
    <w:rsid w:val="00835621"/>
    <w:rsid w:val="00835966"/>
    <w:rsid w:val="00835A35"/>
    <w:rsid w:val="00835EC9"/>
    <w:rsid w:val="00836173"/>
    <w:rsid w:val="00836827"/>
    <w:rsid w:val="00836A85"/>
    <w:rsid w:val="00836AB9"/>
    <w:rsid w:val="00836AEB"/>
    <w:rsid w:val="00836D8F"/>
    <w:rsid w:val="00836D91"/>
    <w:rsid w:val="00836EC2"/>
    <w:rsid w:val="00837260"/>
    <w:rsid w:val="008378A9"/>
    <w:rsid w:val="0083790C"/>
    <w:rsid w:val="0083790E"/>
    <w:rsid w:val="00837E92"/>
    <w:rsid w:val="00840090"/>
    <w:rsid w:val="008400DE"/>
    <w:rsid w:val="00840244"/>
    <w:rsid w:val="00840507"/>
    <w:rsid w:val="008405FD"/>
    <w:rsid w:val="00840730"/>
    <w:rsid w:val="00840A63"/>
    <w:rsid w:val="00840B58"/>
    <w:rsid w:val="00840BBE"/>
    <w:rsid w:val="00840C2C"/>
    <w:rsid w:val="00841282"/>
    <w:rsid w:val="00841388"/>
    <w:rsid w:val="0084142B"/>
    <w:rsid w:val="00841920"/>
    <w:rsid w:val="00841B7D"/>
    <w:rsid w:val="00841E77"/>
    <w:rsid w:val="00841E7E"/>
    <w:rsid w:val="00841EFB"/>
    <w:rsid w:val="00841F44"/>
    <w:rsid w:val="008421DA"/>
    <w:rsid w:val="00842603"/>
    <w:rsid w:val="008429C7"/>
    <w:rsid w:val="00842AD6"/>
    <w:rsid w:val="00842C82"/>
    <w:rsid w:val="00842CD1"/>
    <w:rsid w:val="008431AD"/>
    <w:rsid w:val="00843379"/>
    <w:rsid w:val="0084359B"/>
    <w:rsid w:val="00843607"/>
    <w:rsid w:val="00843615"/>
    <w:rsid w:val="008436A7"/>
    <w:rsid w:val="008436D7"/>
    <w:rsid w:val="0084370B"/>
    <w:rsid w:val="008439A3"/>
    <w:rsid w:val="00843D74"/>
    <w:rsid w:val="00843F99"/>
    <w:rsid w:val="00844036"/>
    <w:rsid w:val="008440FE"/>
    <w:rsid w:val="00844146"/>
    <w:rsid w:val="008447F0"/>
    <w:rsid w:val="008448A9"/>
    <w:rsid w:val="00844B27"/>
    <w:rsid w:val="00844C50"/>
    <w:rsid w:val="00844D01"/>
    <w:rsid w:val="00844E0C"/>
    <w:rsid w:val="008451B2"/>
    <w:rsid w:val="00845319"/>
    <w:rsid w:val="00845483"/>
    <w:rsid w:val="00845550"/>
    <w:rsid w:val="00845EA2"/>
    <w:rsid w:val="00845FD6"/>
    <w:rsid w:val="00845FE5"/>
    <w:rsid w:val="00846119"/>
    <w:rsid w:val="0084635C"/>
    <w:rsid w:val="008465EE"/>
    <w:rsid w:val="00846920"/>
    <w:rsid w:val="00846AC9"/>
    <w:rsid w:val="00846EA3"/>
    <w:rsid w:val="008474E3"/>
    <w:rsid w:val="00847566"/>
    <w:rsid w:val="008475F4"/>
    <w:rsid w:val="008479AD"/>
    <w:rsid w:val="00847C9C"/>
    <w:rsid w:val="00847F10"/>
    <w:rsid w:val="00850091"/>
    <w:rsid w:val="008502BF"/>
    <w:rsid w:val="00850693"/>
    <w:rsid w:val="00850738"/>
    <w:rsid w:val="00850951"/>
    <w:rsid w:val="008509C1"/>
    <w:rsid w:val="00850A5C"/>
    <w:rsid w:val="00851391"/>
    <w:rsid w:val="00851475"/>
    <w:rsid w:val="00851598"/>
    <w:rsid w:val="008516C5"/>
    <w:rsid w:val="00851724"/>
    <w:rsid w:val="008519B3"/>
    <w:rsid w:val="008523EB"/>
    <w:rsid w:val="00852648"/>
    <w:rsid w:val="008527ED"/>
    <w:rsid w:val="008529F9"/>
    <w:rsid w:val="00852B3A"/>
    <w:rsid w:val="00852DB8"/>
    <w:rsid w:val="00852EC7"/>
    <w:rsid w:val="008530C1"/>
    <w:rsid w:val="00853138"/>
    <w:rsid w:val="008537F7"/>
    <w:rsid w:val="00853DE7"/>
    <w:rsid w:val="0085407A"/>
    <w:rsid w:val="008543DC"/>
    <w:rsid w:val="0085440A"/>
    <w:rsid w:val="008546BE"/>
    <w:rsid w:val="008549F2"/>
    <w:rsid w:val="00854CE6"/>
    <w:rsid w:val="0085527C"/>
    <w:rsid w:val="0085543D"/>
    <w:rsid w:val="008556A1"/>
    <w:rsid w:val="0085570C"/>
    <w:rsid w:val="00855A74"/>
    <w:rsid w:val="00855B56"/>
    <w:rsid w:val="00855D91"/>
    <w:rsid w:val="00855DA5"/>
    <w:rsid w:val="00855E6E"/>
    <w:rsid w:val="0085600A"/>
    <w:rsid w:val="00856074"/>
    <w:rsid w:val="00856193"/>
    <w:rsid w:val="008563D5"/>
    <w:rsid w:val="00856942"/>
    <w:rsid w:val="00856D7A"/>
    <w:rsid w:val="00856F18"/>
    <w:rsid w:val="00856F66"/>
    <w:rsid w:val="008576C7"/>
    <w:rsid w:val="00857835"/>
    <w:rsid w:val="00857949"/>
    <w:rsid w:val="00857A2D"/>
    <w:rsid w:val="00857BD0"/>
    <w:rsid w:val="00857BD4"/>
    <w:rsid w:val="00857FD9"/>
    <w:rsid w:val="0086026A"/>
    <w:rsid w:val="008604C6"/>
    <w:rsid w:val="00860972"/>
    <w:rsid w:val="00860992"/>
    <w:rsid w:val="008610E2"/>
    <w:rsid w:val="00861149"/>
    <w:rsid w:val="008611BD"/>
    <w:rsid w:val="0086148A"/>
    <w:rsid w:val="0086192D"/>
    <w:rsid w:val="0086198C"/>
    <w:rsid w:val="00861D07"/>
    <w:rsid w:val="008623A2"/>
    <w:rsid w:val="008624A3"/>
    <w:rsid w:val="008624B8"/>
    <w:rsid w:val="008629E1"/>
    <w:rsid w:val="00862B79"/>
    <w:rsid w:val="00862D90"/>
    <w:rsid w:val="00862DA8"/>
    <w:rsid w:val="008630ED"/>
    <w:rsid w:val="008637AA"/>
    <w:rsid w:val="008639CA"/>
    <w:rsid w:val="00863FBC"/>
    <w:rsid w:val="008640A2"/>
    <w:rsid w:val="00864107"/>
    <w:rsid w:val="00864AF1"/>
    <w:rsid w:val="00864CAA"/>
    <w:rsid w:val="00864E06"/>
    <w:rsid w:val="00864EBF"/>
    <w:rsid w:val="008650D1"/>
    <w:rsid w:val="0086518D"/>
    <w:rsid w:val="0086549F"/>
    <w:rsid w:val="008654AF"/>
    <w:rsid w:val="008654DA"/>
    <w:rsid w:val="008656F2"/>
    <w:rsid w:val="00865826"/>
    <w:rsid w:val="008659F6"/>
    <w:rsid w:val="00865B3C"/>
    <w:rsid w:val="00865C21"/>
    <w:rsid w:val="00865CDA"/>
    <w:rsid w:val="0086617B"/>
    <w:rsid w:val="008667EC"/>
    <w:rsid w:val="00866967"/>
    <w:rsid w:val="00866C52"/>
    <w:rsid w:val="00866CE9"/>
    <w:rsid w:val="00867166"/>
    <w:rsid w:val="00867570"/>
    <w:rsid w:val="0086758D"/>
    <w:rsid w:val="00867742"/>
    <w:rsid w:val="00867E77"/>
    <w:rsid w:val="00867FBE"/>
    <w:rsid w:val="008706AB"/>
    <w:rsid w:val="00870824"/>
    <w:rsid w:val="00870F4E"/>
    <w:rsid w:val="0087107B"/>
    <w:rsid w:val="0087143B"/>
    <w:rsid w:val="0087145D"/>
    <w:rsid w:val="0087163A"/>
    <w:rsid w:val="008716BE"/>
    <w:rsid w:val="008716F3"/>
    <w:rsid w:val="008719C2"/>
    <w:rsid w:val="00871CC3"/>
    <w:rsid w:val="00871DA3"/>
    <w:rsid w:val="008720EE"/>
    <w:rsid w:val="0087219B"/>
    <w:rsid w:val="00872386"/>
    <w:rsid w:val="0087257B"/>
    <w:rsid w:val="00872721"/>
    <w:rsid w:val="0087277A"/>
    <w:rsid w:val="00872A47"/>
    <w:rsid w:val="00872ABB"/>
    <w:rsid w:val="00872B34"/>
    <w:rsid w:val="00872CE1"/>
    <w:rsid w:val="00872D38"/>
    <w:rsid w:val="00872D3F"/>
    <w:rsid w:val="00872FF4"/>
    <w:rsid w:val="00873334"/>
    <w:rsid w:val="008733C5"/>
    <w:rsid w:val="008736A6"/>
    <w:rsid w:val="008736E2"/>
    <w:rsid w:val="00873780"/>
    <w:rsid w:val="00873799"/>
    <w:rsid w:val="008737A9"/>
    <w:rsid w:val="00873BAB"/>
    <w:rsid w:val="00874565"/>
    <w:rsid w:val="008749AB"/>
    <w:rsid w:val="00874B88"/>
    <w:rsid w:val="00874D8A"/>
    <w:rsid w:val="00874E5A"/>
    <w:rsid w:val="00874FE0"/>
    <w:rsid w:val="0087509C"/>
    <w:rsid w:val="0087517D"/>
    <w:rsid w:val="00875597"/>
    <w:rsid w:val="0087596C"/>
    <w:rsid w:val="00875B56"/>
    <w:rsid w:val="00875D4B"/>
    <w:rsid w:val="0087699A"/>
    <w:rsid w:val="00877247"/>
    <w:rsid w:val="00877EA4"/>
    <w:rsid w:val="008801AE"/>
    <w:rsid w:val="0088038C"/>
    <w:rsid w:val="00880642"/>
    <w:rsid w:val="00880AA3"/>
    <w:rsid w:val="00880B4A"/>
    <w:rsid w:val="00881055"/>
    <w:rsid w:val="00881067"/>
    <w:rsid w:val="00881098"/>
    <w:rsid w:val="008810AE"/>
    <w:rsid w:val="0088128C"/>
    <w:rsid w:val="00881344"/>
    <w:rsid w:val="00881540"/>
    <w:rsid w:val="008816F3"/>
    <w:rsid w:val="008818F0"/>
    <w:rsid w:val="00881CE9"/>
    <w:rsid w:val="00881D4B"/>
    <w:rsid w:val="008823F9"/>
    <w:rsid w:val="008826D6"/>
    <w:rsid w:val="00882707"/>
    <w:rsid w:val="0088292A"/>
    <w:rsid w:val="00882D9E"/>
    <w:rsid w:val="00882DEE"/>
    <w:rsid w:val="00883502"/>
    <w:rsid w:val="008837E9"/>
    <w:rsid w:val="00883999"/>
    <w:rsid w:val="008841E3"/>
    <w:rsid w:val="0088421C"/>
    <w:rsid w:val="0088433F"/>
    <w:rsid w:val="0088445B"/>
    <w:rsid w:val="008844BE"/>
    <w:rsid w:val="00884557"/>
    <w:rsid w:val="00884746"/>
    <w:rsid w:val="00884A67"/>
    <w:rsid w:val="00884CE1"/>
    <w:rsid w:val="00884CF3"/>
    <w:rsid w:val="00884E6F"/>
    <w:rsid w:val="00885291"/>
    <w:rsid w:val="00885408"/>
    <w:rsid w:val="00885BA5"/>
    <w:rsid w:val="008860E5"/>
    <w:rsid w:val="0088644A"/>
    <w:rsid w:val="008868EE"/>
    <w:rsid w:val="00886D0E"/>
    <w:rsid w:val="0088723C"/>
    <w:rsid w:val="00887C01"/>
    <w:rsid w:val="00887EE7"/>
    <w:rsid w:val="00890270"/>
    <w:rsid w:val="0089031C"/>
    <w:rsid w:val="008904B9"/>
    <w:rsid w:val="008907DE"/>
    <w:rsid w:val="00890D98"/>
    <w:rsid w:val="00890F12"/>
    <w:rsid w:val="00890F67"/>
    <w:rsid w:val="008919A6"/>
    <w:rsid w:val="00891A23"/>
    <w:rsid w:val="00891AF6"/>
    <w:rsid w:val="00891BC3"/>
    <w:rsid w:val="00891F23"/>
    <w:rsid w:val="00891FA4"/>
    <w:rsid w:val="00892509"/>
    <w:rsid w:val="00892801"/>
    <w:rsid w:val="00892895"/>
    <w:rsid w:val="00892A59"/>
    <w:rsid w:val="00892DF8"/>
    <w:rsid w:val="00893662"/>
    <w:rsid w:val="008936B0"/>
    <w:rsid w:val="008937C8"/>
    <w:rsid w:val="008938A3"/>
    <w:rsid w:val="00893CBD"/>
    <w:rsid w:val="00893D55"/>
    <w:rsid w:val="00893EF3"/>
    <w:rsid w:val="008941F0"/>
    <w:rsid w:val="008942C3"/>
    <w:rsid w:val="008944C3"/>
    <w:rsid w:val="00894578"/>
    <w:rsid w:val="00894AA8"/>
    <w:rsid w:val="00894CC6"/>
    <w:rsid w:val="00894DAA"/>
    <w:rsid w:val="0089507A"/>
    <w:rsid w:val="00895340"/>
    <w:rsid w:val="00895765"/>
    <w:rsid w:val="008957BF"/>
    <w:rsid w:val="0089585F"/>
    <w:rsid w:val="008958A5"/>
    <w:rsid w:val="00895B53"/>
    <w:rsid w:val="00895C04"/>
    <w:rsid w:val="0089633C"/>
    <w:rsid w:val="00896354"/>
    <w:rsid w:val="008964E9"/>
    <w:rsid w:val="008966B3"/>
    <w:rsid w:val="008967C4"/>
    <w:rsid w:val="00896991"/>
    <w:rsid w:val="00896A93"/>
    <w:rsid w:val="00896AB3"/>
    <w:rsid w:val="00897022"/>
    <w:rsid w:val="0089705F"/>
    <w:rsid w:val="008973B0"/>
    <w:rsid w:val="00897814"/>
    <w:rsid w:val="00897DDD"/>
    <w:rsid w:val="008A03D5"/>
    <w:rsid w:val="008A0452"/>
    <w:rsid w:val="008A0D2A"/>
    <w:rsid w:val="008A0E0C"/>
    <w:rsid w:val="008A1693"/>
    <w:rsid w:val="008A1875"/>
    <w:rsid w:val="008A1EEA"/>
    <w:rsid w:val="008A254F"/>
    <w:rsid w:val="008A2630"/>
    <w:rsid w:val="008A2822"/>
    <w:rsid w:val="008A2A8E"/>
    <w:rsid w:val="008A2D89"/>
    <w:rsid w:val="008A2E70"/>
    <w:rsid w:val="008A4270"/>
    <w:rsid w:val="008A4A46"/>
    <w:rsid w:val="008A4AC1"/>
    <w:rsid w:val="008A4C89"/>
    <w:rsid w:val="008A4FF0"/>
    <w:rsid w:val="008A5418"/>
    <w:rsid w:val="008A5833"/>
    <w:rsid w:val="008A58DC"/>
    <w:rsid w:val="008A5B5F"/>
    <w:rsid w:val="008A5E12"/>
    <w:rsid w:val="008A5F72"/>
    <w:rsid w:val="008A6333"/>
    <w:rsid w:val="008A637B"/>
    <w:rsid w:val="008A65D9"/>
    <w:rsid w:val="008A6AC8"/>
    <w:rsid w:val="008A6FB0"/>
    <w:rsid w:val="008A7021"/>
    <w:rsid w:val="008A733A"/>
    <w:rsid w:val="008A7363"/>
    <w:rsid w:val="008A7440"/>
    <w:rsid w:val="008A745C"/>
    <w:rsid w:val="008A75D8"/>
    <w:rsid w:val="008A77E8"/>
    <w:rsid w:val="008A7E64"/>
    <w:rsid w:val="008B00FD"/>
    <w:rsid w:val="008B097F"/>
    <w:rsid w:val="008B0A9C"/>
    <w:rsid w:val="008B0B21"/>
    <w:rsid w:val="008B0C13"/>
    <w:rsid w:val="008B0EFD"/>
    <w:rsid w:val="008B1133"/>
    <w:rsid w:val="008B11EA"/>
    <w:rsid w:val="008B12FA"/>
    <w:rsid w:val="008B1439"/>
    <w:rsid w:val="008B15CC"/>
    <w:rsid w:val="008B27EF"/>
    <w:rsid w:val="008B2B70"/>
    <w:rsid w:val="008B2E67"/>
    <w:rsid w:val="008B2EAB"/>
    <w:rsid w:val="008B325D"/>
    <w:rsid w:val="008B3475"/>
    <w:rsid w:val="008B3928"/>
    <w:rsid w:val="008B3947"/>
    <w:rsid w:val="008B3A88"/>
    <w:rsid w:val="008B3AFD"/>
    <w:rsid w:val="008B3C80"/>
    <w:rsid w:val="008B3F60"/>
    <w:rsid w:val="008B4010"/>
    <w:rsid w:val="008B413E"/>
    <w:rsid w:val="008B4295"/>
    <w:rsid w:val="008B42CC"/>
    <w:rsid w:val="008B4851"/>
    <w:rsid w:val="008B4BFC"/>
    <w:rsid w:val="008B51B4"/>
    <w:rsid w:val="008B56D2"/>
    <w:rsid w:val="008B5794"/>
    <w:rsid w:val="008B5B4A"/>
    <w:rsid w:val="008B5B67"/>
    <w:rsid w:val="008B5B72"/>
    <w:rsid w:val="008B5C56"/>
    <w:rsid w:val="008B5D7A"/>
    <w:rsid w:val="008B66E3"/>
    <w:rsid w:val="008B68D9"/>
    <w:rsid w:val="008B6C2C"/>
    <w:rsid w:val="008B6D0A"/>
    <w:rsid w:val="008B6E61"/>
    <w:rsid w:val="008B6F36"/>
    <w:rsid w:val="008B711F"/>
    <w:rsid w:val="008B74FA"/>
    <w:rsid w:val="008B7624"/>
    <w:rsid w:val="008B7848"/>
    <w:rsid w:val="008C018A"/>
    <w:rsid w:val="008C038D"/>
    <w:rsid w:val="008C0AD8"/>
    <w:rsid w:val="008C0CE5"/>
    <w:rsid w:val="008C0CFE"/>
    <w:rsid w:val="008C12ED"/>
    <w:rsid w:val="008C1484"/>
    <w:rsid w:val="008C18EB"/>
    <w:rsid w:val="008C18F9"/>
    <w:rsid w:val="008C1C0F"/>
    <w:rsid w:val="008C1D20"/>
    <w:rsid w:val="008C1E05"/>
    <w:rsid w:val="008C23D2"/>
    <w:rsid w:val="008C248E"/>
    <w:rsid w:val="008C2581"/>
    <w:rsid w:val="008C260F"/>
    <w:rsid w:val="008C2700"/>
    <w:rsid w:val="008C2929"/>
    <w:rsid w:val="008C2938"/>
    <w:rsid w:val="008C2AB9"/>
    <w:rsid w:val="008C2AD5"/>
    <w:rsid w:val="008C2D41"/>
    <w:rsid w:val="008C3447"/>
    <w:rsid w:val="008C34BB"/>
    <w:rsid w:val="008C38DC"/>
    <w:rsid w:val="008C3B4A"/>
    <w:rsid w:val="008C3B4B"/>
    <w:rsid w:val="008C3E72"/>
    <w:rsid w:val="008C45D4"/>
    <w:rsid w:val="008C45E2"/>
    <w:rsid w:val="008C4D06"/>
    <w:rsid w:val="008C4EFA"/>
    <w:rsid w:val="008C53C4"/>
    <w:rsid w:val="008C58FA"/>
    <w:rsid w:val="008C5971"/>
    <w:rsid w:val="008C59AE"/>
    <w:rsid w:val="008C6056"/>
    <w:rsid w:val="008C6777"/>
    <w:rsid w:val="008C6B4D"/>
    <w:rsid w:val="008C6D7D"/>
    <w:rsid w:val="008C6D88"/>
    <w:rsid w:val="008C6E4E"/>
    <w:rsid w:val="008C7866"/>
    <w:rsid w:val="008C7A47"/>
    <w:rsid w:val="008C7C15"/>
    <w:rsid w:val="008C7D70"/>
    <w:rsid w:val="008C7E58"/>
    <w:rsid w:val="008D0428"/>
    <w:rsid w:val="008D0571"/>
    <w:rsid w:val="008D082F"/>
    <w:rsid w:val="008D0B13"/>
    <w:rsid w:val="008D0F33"/>
    <w:rsid w:val="008D1741"/>
    <w:rsid w:val="008D1E60"/>
    <w:rsid w:val="008D2104"/>
    <w:rsid w:val="008D21BF"/>
    <w:rsid w:val="008D229B"/>
    <w:rsid w:val="008D2304"/>
    <w:rsid w:val="008D25F2"/>
    <w:rsid w:val="008D2AAD"/>
    <w:rsid w:val="008D2EB5"/>
    <w:rsid w:val="008D3726"/>
    <w:rsid w:val="008D3A61"/>
    <w:rsid w:val="008D3C73"/>
    <w:rsid w:val="008D4228"/>
    <w:rsid w:val="008D482D"/>
    <w:rsid w:val="008D4930"/>
    <w:rsid w:val="008D49BA"/>
    <w:rsid w:val="008D4A87"/>
    <w:rsid w:val="008D4A93"/>
    <w:rsid w:val="008D4B5F"/>
    <w:rsid w:val="008D4BA3"/>
    <w:rsid w:val="008D4C7E"/>
    <w:rsid w:val="008D4C96"/>
    <w:rsid w:val="008D4CB0"/>
    <w:rsid w:val="008D4DEA"/>
    <w:rsid w:val="008D5394"/>
    <w:rsid w:val="008D55F7"/>
    <w:rsid w:val="008D58E9"/>
    <w:rsid w:val="008D5B2E"/>
    <w:rsid w:val="008D5E4D"/>
    <w:rsid w:val="008D60D2"/>
    <w:rsid w:val="008D6397"/>
    <w:rsid w:val="008D6551"/>
    <w:rsid w:val="008D69FB"/>
    <w:rsid w:val="008D71E2"/>
    <w:rsid w:val="008D73C9"/>
    <w:rsid w:val="008D7CF8"/>
    <w:rsid w:val="008D7E6B"/>
    <w:rsid w:val="008E055D"/>
    <w:rsid w:val="008E083E"/>
    <w:rsid w:val="008E0946"/>
    <w:rsid w:val="008E098A"/>
    <w:rsid w:val="008E0A21"/>
    <w:rsid w:val="008E0E99"/>
    <w:rsid w:val="008E0F0E"/>
    <w:rsid w:val="008E0F81"/>
    <w:rsid w:val="008E13C3"/>
    <w:rsid w:val="008E1554"/>
    <w:rsid w:val="008E16BF"/>
    <w:rsid w:val="008E183B"/>
    <w:rsid w:val="008E19FE"/>
    <w:rsid w:val="008E1AAE"/>
    <w:rsid w:val="008E1F3D"/>
    <w:rsid w:val="008E1FF1"/>
    <w:rsid w:val="008E2136"/>
    <w:rsid w:val="008E298F"/>
    <w:rsid w:val="008E29A3"/>
    <w:rsid w:val="008E2B67"/>
    <w:rsid w:val="008E3049"/>
    <w:rsid w:val="008E32FD"/>
    <w:rsid w:val="008E33C8"/>
    <w:rsid w:val="008E35A3"/>
    <w:rsid w:val="008E35C2"/>
    <w:rsid w:val="008E37CD"/>
    <w:rsid w:val="008E3B0E"/>
    <w:rsid w:val="008E3B20"/>
    <w:rsid w:val="008E41D3"/>
    <w:rsid w:val="008E4B53"/>
    <w:rsid w:val="008E4DD9"/>
    <w:rsid w:val="008E55C0"/>
    <w:rsid w:val="008E568E"/>
    <w:rsid w:val="008E5779"/>
    <w:rsid w:val="008E5908"/>
    <w:rsid w:val="008E596B"/>
    <w:rsid w:val="008E5BCC"/>
    <w:rsid w:val="008E5C59"/>
    <w:rsid w:val="008E6227"/>
    <w:rsid w:val="008E6464"/>
    <w:rsid w:val="008E664D"/>
    <w:rsid w:val="008E68CE"/>
    <w:rsid w:val="008E7232"/>
    <w:rsid w:val="008E7274"/>
    <w:rsid w:val="008E7301"/>
    <w:rsid w:val="008E73FD"/>
    <w:rsid w:val="008E7424"/>
    <w:rsid w:val="008E7AF0"/>
    <w:rsid w:val="008E7CC3"/>
    <w:rsid w:val="008E7FE9"/>
    <w:rsid w:val="008F00FA"/>
    <w:rsid w:val="008F0552"/>
    <w:rsid w:val="008F0562"/>
    <w:rsid w:val="008F127D"/>
    <w:rsid w:val="008F178A"/>
    <w:rsid w:val="008F1A9B"/>
    <w:rsid w:val="008F1AA5"/>
    <w:rsid w:val="008F1BB4"/>
    <w:rsid w:val="008F260B"/>
    <w:rsid w:val="008F2881"/>
    <w:rsid w:val="008F2957"/>
    <w:rsid w:val="008F2A81"/>
    <w:rsid w:val="008F3321"/>
    <w:rsid w:val="008F3425"/>
    <w:rsid w:val="008F37C7"/>
    <w:rsid w:val="008F39DA"/>
    <w:rsid w:val="008F3BBA"/>
    <w:rsid w:val="008F4191"/>
    <w:rsid w:val="008F4280"/>
    <w:rsid w:val="008F43F8"/>
    <w:rsid w:val="008F4681"/>
    <w:rsid w:val="008F4868"/>
    <w:rsid w:val="008F4E92"/>
    <w:rsid w:val="008F4F9F"/>
    <w:rsid w:val="008F50BC"/>
    <w:rsid w:val="008F50E3"/>
    <w:rsid w:val="008F554E"/>
    <w:rsid w:val="008F56B1"/>
    <w:rsid w:val="008F57CC"/>
    <w:rsid w:val="008F5DB7"/>
    <w:rsid w:val="008F5E1E"/>
    <w:rsid w:val="008F6286"/>
    <w:rsid w:val="008F660D"/>
    <w:rsid w:val="008F68CB"/>
    <w:rsid w:val="008F6A0D"/>
    <w:rsid w:val="008F6FBF"/>
    <w:rsid w:val="008F7112"/>
    <w:rsid w:val="008F727C"/>
    <w:rsid w:val="008F76EF"/>
    <w:rsid w:val="008F7859"/>
    <w:rsid w:val="008F7E1D"/>
    <w:rsid w:val="008F7F55"/>
    <w:rsid w:val="0090018C"/>
    <w:rsid w:val="009001A2"/>
    <w:rsid w:val="00900203"/>
    <w:rsid w:val="00900311"/>
    <w:rsid w:val="009003DC"/>
    <w:rsid w:val="0090054B"/>
    <w:rsid w:val="00900553"/>
    <w:rsid w:val="009005CD"/>
    <w:rsid w:val="00900768"/>
    <w:rsid w:val="00900D87"/>
    <w:rsid w:val="00900E2A"/>
    <w:rsid w:val="00901717"/>
    <w:rsid w:val="0090197F"/>
    <w:rsid w:val="00901C73"/>
    <w:rsid w:val="00901CEE"/>
    <w:rsid w:val="00901CFA"/>
    <w:rsid w:val="00901E15"/>
    <w:rsid w:val="009022CC"/>
    <w:rsid w:val="00902769"/>
    <w:rsid w:val="0090318E"/>
    <w:rsid w:val="00903424"/>
    <w:rsid w:val="0090346A"/>
    <w:rsid w:val="00903556"/>
    <w:rsid w:val="0090360C"/>
    <w:rsid w:val="009037D8"/>
    <w:rsid w:val="0090383D"/>
    <w:rsid w:val="00903B43"/>
    <w:rsid w:val="00903CA9"/>
    <w:rsid w:val="009043D1"/>
    <w:rsid w:val="00904610"/>
    <w:rsid w:val="00904B6A"/>
    <w:rsid w:val="00904F8C"/>
    <w:rsid w:val="00905659"/>
    <w:rsid w:val="009058AD"/>
    <w:rsid w:val="00905CC2"/>
    <w:rsid w:val="0090608C"/>
    <w:rsid w:val="00906622"/>
    <w:rsid w:val="009066AC"/>
    <w:rsid w:val="009066BA"/>
    <w:rsid w:val="009067FF"/>
    <w:rsid w:val="00906821"/>
    <w:rsid w:val="00906A65"/>
    <w:rsid w:val="00906B68"/>
    <w:rsid w:val="00906D81"/>
    <w:rsid w:val="00906E65"/>
    <w:rsid w:val="00906FE8"/>
    <w:rsid w:val="00907519"/>
    <w:rsid w:val="009075D4"/>
    <w:rsid w:val="00907841"/>
    <w:rsid w:val="009079F8"/>
    <w:rsid w:val="00910155"/>
    <w:rsid w:val="009109BE"/>
    <w:rsid w:val="009109DC"/>
    <w:rsid w:val="00910A1C"/>
    <w:rsid w:val="00910C8F"/>
    <w:rsid w:val="0091143C"/>
    <w:rsid w:val="00911726"/>
    <w:rsid w:val="00911781"/>
    <w:rsid w:val="0091182A"/>
    <w:rsid w:val="00911857"/>
    <w:rsid w:val="00911D5A"/>
    <w:rsid w:val="00911F41"/>
    <w:rsid w:val="00912150"/>
    <w:rsid w:val="00912443"/>
    <w:rsid w:val="00912AB1"/>
    <w:rsid w:val="0091317A"/>
    <w:rsid w:val="009132CC"/>
    <w:rsid w:val="00913B00"/>
    <w:rsid w:val="00913BFE"/>
    <w:rsid w:val="0091422E"/>
    <w:rsid w:val="00914418"/>
    <w:rsid w:val="0091445C"/>
    <w:rsid w:val="009144D5"/>
    <w:rsid w:val="009145DA"/>
    <w:rsid w:val="00914650"/>
    <w:rsid w:val="009147F7"/>
    <w:rsid w:val="00914F1E"/>
    <w:rsid w:val="00914F5F"/>
    <w:rsid w:val="0091569F"/>
    <w:rsid w:val="00915AAF"/>
    <w:rsid w:val="00915F94"/>
    <w:rsid w:val="00915F98"/>
    <w:rsid w:val="00915FA3"/>
    <w:rsid w:val="009164DC"/>
    <w:rsid w:val="009164FB"/>
    <w:rsid w:val="00916686"/>
    <w:rsid w:val="009167D8"/>
    <w:rsid w:val="00916C5B"/>
    <w:rsid w:val="00916CE0"/>
    <w:rsid w:val="00916FCC"/>
    <w:rsid w:val="00917325"/>
    <w:rsid w:val="00917B7D"/>
    <w:rsid w:val="00917F67"/>
    <w:rsid w:val="009204E3"/>
    <w:rsid w:val="009207DA"/>
    <w:rsid w:val="0092099D"/>
    <w:rsid w:val="00920C4B"/>
    <w:rsid w:val="00920E86"/>
    <w:rsid w:val="00921091"/>
    <w:rsid w:val="00921554"/>
    <w:rsid w:val="00921573"/>
    <w:rsid w:val="0092178F"/>
    <w:rsid w:val="009217E4"/>
    <w:rsid w:val="009217F8"/>
    <w:rsid w:val="0092183B"/>
    <w:rsid w:val="0092189F"/>
    <w:rsid w:val="00921993"/>
    <w:rsid w:val="00921BC8"/>
    <w:rsid w:val="00921DF7"/>
    <w:rsid w:val="009220AF"/>
    <w:rsid w:val="00922456"/>
    <w:rsid w:val="00922517"/>
    <w:rsid w:val="00922843"/>
    <w:rsid w:val="00922B41"/>
    <w:rsid w:val="00922C82"/>
    <w:rsid w:val="00922D44"/>
    <w:rsid w:val="0092342B"/>
    <w:rsid w:val="0092365C"/>
    <w:rsid w:val="00923948"/>
    <w:rsid w:val="00923D5C"/>
    <w:rsid w:val="00923FD5"/>
    <w:rsid w:val="00924367"/>
    <w:rsid w:val="00924520"/>
    <w:rsid w:val="0092470E"/>
    <w:rsid w:val="009247AD"/>
    <w:rsid w:val="00924CAC"/>
    <w:rsid w:val="00925187"/>
    <w:rsid w:val="009255F7"/>
    <w:rsid w:val="00925703"/>
    <w:rsid w:val="00925EE5"/>
    <w:rsid w:val="00926003"/>
    <w:rsid w:val="00926267"/>
    <w:rsid w:val="009264D6"/>
    <w:rsid w:val="0092680C"/>
    <w:rsid w:val="009268D8"/>
    <w:rsid w:val="00926B46"/>
    <w:rsid w:val="00926CB4"/>
    <w:rsid w:val="00926D5F"/>
    <w:rsid w:val="00926DD0"/>
    <w:rsid w:val="00926E78"/>
    <w:rsid w:val="00926FD7"/>
    <w:rsid w:val="0092709C"/>
    <w:rsid w:val="0092717F"/>
    <w:rsid w:val="0092745F"/>
    <w:rsid w:val="009275D8"/>
    <w:rsid w:val="00927636"/>
    <w:rsid w:val="00927744"/>
    <w:rsid w:val="00927B05"/>
    <w:rsid w:val="00927C3A"/>
    <w:rsid w:val="00927F9B"/>
    <w:rsid w:val="0093007E"/>
    <w:rsid w:val="00930287"/>
    <w:rsid w:val="00930821"/>
    <w:rsid w:val="00930D4E"/>
    <w:rsid w:val="00930F4E"/>
    <w:rsid w:val="0093142E"/>
    <w:rsid w:val="00931867"/>
    <w:rsid w:val="009318D8"/>
    <w:rsid w:val="009319A1"/>
    <w:rsid w:val="009319DA"/>
    <w:rsid w:val="00931DB8"/>
    <w:rsid w:val="00932132"/>
    <w:rsid w:val="00932171"/>
    <w:rsid w:val="00932254"/>
    <w:rsid w:val="009330F9"/>
    <w:rsid w:val="009331E2"/>
    <w:rsid w:val="0093335D"/>
    <w:rsid w:val="00933441"/>
    <w:rsid w:val="009339ED"/>
    <w:rsid w:val="00933AC4"/>
    <w:rsid w:val="00933ADD"/>
    <w:rsid w:val="00933C53"/>
    <w:rsid w:val="00933D46"/>
    <w:rsid w:val="00933E2A"/>
    <w:rsid w:val="0093439B"/>
    <w:rsid w:val="009344EB"/>
    <w:rsid w:val="00934555"/>
    <w:rsid w:val="009348AF"/>
    <w:rsid w:val="00934B7E"/>
    <w:rsid w:val="00934C36"/>
    <w:rsid w:val="00934FDD"/>
    <w:rsid w:val="00935B8C"/>
    <w:rsid w:val="00935F8A"/>
    <w:rsid w:val="00936050"/>
    <w:rsid w:val="00936062"/>
    <w:rsid w:val="00936143"/>
    <w:rsid w:val="00936673"/>
    <w:rsid w:val="00936F22"/>
    <w:rsid w:val="0093735F"/>
    <w:rsid w:val="00937401"/>
    <w:rsid w:val="0093749F"/>
    <w:rsid w:val="00937CBE"/>
    <w:rsid w:val="009400D6"/>
    <w:rsid w:val="0094011A"/>
    <w:rsid w:val="0094030D"/>
    <w:rsid w:val="00940785"/>
    <w:rsid w:val="00941295"/>
    <w:rsid w:val="009415F0"/>
    <w:rsid w:val="00941A0C"/>
    <w:rsid w:val="00941A12"/>
    <w:rsid w:val="0094222C"/>
    <w:rsid w:val="009422B9"/>
    <w:rsid w:val="009424AB"/>
    <w:rsid w:val="00942624"/>
    <w:rsid w:val="0094271A"/>
    <w:rsid w:val="00942900"/>
    <w:rsid w:val="00942EF9"/>
    <w:rsid w:val="00943494"/>
    <w:rsid w:val="009435F3"/>
    <w:rsid w:val="00943B84"/>
    <w:rsid w:val="00943F16"/>
    <w:rsid w:val="0094404A"/>
    <w:rsid w:val="00944087"/>
    <w:rsid w:val="00944521"/>
    <w:rsid w:val="0094467C"/>
    <w:rsid w:val="00944A35"/>
    <w:rsid w:val="00944BA9"/>
    <w:rsid w:val="00944E74"/>
    <w:rsid w:val="00944FA9"/>
    <w:rsid w:val="00945128"/>
    <w:rsid w:val="0094563F"/>
    <w:rsid w:val="00945A2B"/>
    <w:rsid w:val="00945A55"/>
    <w:rsid w:val="00945AF9"/>
    <w:rsid w:val="00945B2C"/>
    <w:rsid w:val="00945C14"/>
    <w:rsid w:val="00945D8B"/>
    <w:rsid w:val="00946126"/>
    <w:rsid w:val="00946327"/>
    <w:rsid w:val="00946655"/>
    <w:rsid w:val="009466A1"/>
    <w:rsid w:val="00946786"/>
    <w:rsid w:val="00946899"/>
    <w:rsid w:val="00946BAD"/>
    <w:rsid w:val="00946C6B"/>
    <w:rsid w:val="00946D74"/>
    <w:rsid w:val="00946F1B"/>
    <w:rsid w:val="00946F71"/>
    <w:rsid w:val="00947823"/>
    <w:rsid w:val="00947A1D"/>
    <w:rsid w:val="00947BBF"/>
    <w:rsid w:val="0095012E"/>
    <w:rsid w:val="009501B6"/>
    <w:rsid w:val="0095026A"/>
    <w:rsid w:val="009506C2"/>
    <w:rsid w:val="0095091D"/>
    <w:rsid w:val="00950996"/>
    <w:rsid w:val="009509B8"/>
    <w:rsid w:val="00950A72"/>
    <w:rsid w:val="00950C8C"/>
    <w:rsid w:val="00950D75"/>
    <w:rsid w:val="00950F14"/>
    <w:rsid w:val="00951259"/>
    <w:rsid w:val="00951781"/>
    <w:rsid w:val="009518AB"/>
    <w:rsid w:val="00951934"/>
    <w:rsid w:val="00951B72"/>
    <w:rsid w:val="00951F45"/>
    <w:rsid w:val="00951FBB"/>
    <w:rsid w:val="0095207B"/>
    <w:rsid w:val="00952097"/>
    <w:rsid w:val="0095210A"/>
    <w:rsid w:val="009521A5"/>
    <w:rsid w:val="00952417"/>
    <w:rsid w:val="009524EB"/>
    <w:rsid w:val="0095254E"/>
    <w:rsid w:val="00952AE6"/>
    <w:rsid w:val="00952BF3"/>
    <w:rsid w:val="009534BC"/>
    <w:rsid w:val="00953550"/>
    <w:rsid w:val="00953666"/>
    <w:rsid w:val="0095379C"/>
    <w:rsid w:val="00953C5F"/>
    <w:rsid w:val="00953ED3"/>
    <w:rsid w:val="00953FA0"/>
    <w:rsid w:val="009548C7"/>
    <w:rsid w:val="00954A0E"/>
    <w:rsid w:val="00954A28"/>
    <w:rsid w:val="00954C8C"/>
    <w:rsid w:val="00955151"/>
    <w:rsid w:val="0095515F"/>
    <w:rsid w:val="0095534B"/>
    <w:rsid w:val="009559C5"/>
    <w:rsid w:val="00955AC1"/>
    <w:rsid w:val="00955DD4"/>
    <w:rsid w:val="00955EEF"/>
    <w:rsid w:val="009562E1"/>
    <w:rsid w:val="0095636A"/>
    <w:rsid w:val="009563CD"/>
    <w:rsid w:val="0095665B"/>
    <w:rsid w:val="00956ACE"/>
    <w:rsid w:val="00956DFF"/>
    <w:rsid w:val="009570E5"/>
    <w:rsid w:val="009572A0"/>
    <w:rsid w:val="00957410"/>
    <w:rsid w:val="0095779C"/>
    <w:rsid w:val="00957A1A"/>
    <w:rsid w:val="00957D24"/>
    <w:rsid w:val="00957E4E"/>
    <w:rsid w:val="009602C7"/>
    <w:rsid w:val="00960308"/>
    <w:rsid w:val="00960A50"/>
    <w:rsid w:val="00960A72"/>
    <w:rsid w:val="00960B4E"/>
    <w:rsid w:val="00960DCF"/>
    <w:rsid w:val="00960DE2"/>
    <w:rsid w:val="00960F76"/>
    <w:rsid w:val="00961B53"/>
    <w:rsid w:val="00962018"/>
    <w:rsid w:val="00962044"/>
    <w:rsid w:val="0096207E"/>
    <w:rsid w:val="0096278C"/>
    <w:rsid w:val="009629E7"/>
    <w:rsid w:val="00962A84"/>
    <w:rsid w:val="00962AEE"/>
    <w:rsid w:val="00962CB4"/>
    <w:rsid w:val="00963264"/>
    <w:rsid w:val="00963300"/>
    <w:rsid w:val="009634B6"/>
    <w:rsid w:val="0096358F"/>
    <w:rsid w:val="0096385D"/>
    <w:rsid w:val="00963886"/>
    <w:rsid w:val="0096389D"/>
    <w:rsid w:val="009638F1"/>
    <w:rsid w:val="00963C07"/>
    <w:rsid w:val="00963F8C"/>
    <w:rsid w:val="00964694"/>
    <w:rsid w:val="00964C83"/>
    <w:rsid w:val="00964E0D"/>
    <w:rsid w:val="0096508A"/>
    <w:rsid w:val="00965709"/>
    <w:rsid w:val="009658C5"/>
    <w:rsid w:val="00965AD4"/>
    <w:rsid w:val="00965C49"/>
    <w:rsid w:val="00965DA0"/>
    <w:rsid w:val="0096625B"/>
    <w:rsid w:val="009662C5"/>
    <w:rsid w:val="00966A29"/>
    <w:rsid w:val="00966AE9"/>
    <w:rsid w:val="00966E3C"/>
    <w:rsid w:val="00967039"/>
    <w:rsid w:val="00967213"/>
    <w:rsid w:val="00967239"/>
    <w:rsid w:val="0096724B"/>
    <w:rsid w:val="0096752E"/>
    <w:rsid w:val="009676C0"/>
    <w:rsid w:val="00967DC9"/>
    <w:rsid w:val="00967F7E"/>
    <w:rsid w:val="00970022"/>
    <w:rsid w:val="0097010D"/>
    <w:rsid w:val="0097044F"/>
    <w:rsid w:val="009708AE"/>
    <w:rsid w:val="00970913"/>
    <w:rsid w:val="00970D5D"/>
    <w:rsid w:val="00971425"/>
    <w:rsid w:val="00971A41"/>
    <w:rsid w:val="00971DFC"/>
    <w:rsid w:val="00971DFF"/>
    <w:rsid w:val="00972520"/>
    <w:rsid w:val="0097286A"/>
    <w:rsid w:val="00972B91"/>
    <w:rsid w:val="00972C60"/>
    <w:rsid w:val="009732CD"/>
    <w:rsid w:val="009733F1"/>
    <w:rsid w:val="00973679"/>
    <w:rsid w:val="00973694"/>
    <w:rsid w:val="009736E4"/>
    <w:rsid w:val="0097419A"/>
    <w:rsid w:val="0097430E"/>
    <w:rsid w:val="00974500"/>
    <w:rsid w:val="00974B74"/>
    <w:rsid w:val="00974E9A"/>
    <w:rsid w:val="00975148"/>
    <w:rsid w:val="0097557E"/>
    <w:rsid w:val="009755E3"/>
    <w:rsid w:val="00975624"/>
    <w:rsid w:val="0097562C"/>
    <w:rsid w:val="0097566E"/>
    <w:rsid w:val="00975746"/>
    <w:rsid w:val="00975859"/>
    <w:rsid w:val="00975C6E"/>
    <w:rsid w:val="00975EDC"/>
    <w:rsid w:val="00976AE8"/>
    <w:rsid w:val="00976C09"/>
    <w:rsid w:val="00976F1E"/>
    <w:rsid w:val="00976FF3"/>
    <w:rsid w:val="009770B8"/>
    <w:rsid w:val="00977150"/>
    <w:rsid w:val="009771D2"/>
    <w:rsid w:val="00977209"/>
    <w:rsid w:val="0097799A"/>
    <w:rsid w:val="00977AA5"/>
    <w:rsid w:val="00977AF7"/>
    <w:rsid w:val="00977EA9"/>
    <w:rsid w:val="00977F76"/>
    <w:rsid w:val="00977F8F"/>
    <w:rsid w:val="009803A9"/>
    <w:rsid w:val="009803CB"/>
    <w:rsid w:val="009803D4"/>
    <w:rsid w:val="009807A2"/>
    <w:rsid w:val="00980984"/>
    <w:rsid w:val="009809C9"/>
    <w:rsid w:val="00980F16"/>
    <w:rsid w:val="0098154A"/>
    <w:rsid w:val="009815DF"/>
    <w:rsid w:val="0098161F"/>
    <w:rsid w:val="009816BB"/>
    <w:rsid w:val="009816C8"/>
    <w:rsid w:val="0098186B"/>
    <w:rsid w:val="0098199A"/>
    <w:rsid w:val="0098199C"/>
    <w:rsid w:val="00981A67"/>
    <w:rsid w:val="00981CFD"/>
    <w:rsid w:val="00981DB2"/>
    <w:rsid w:val="00981F49"/>
    <w:rsid w:val="009822E9"/>
    <w:rsid w:val="00982592"/>
    <w:rsid w:val="00982A78"/>
    <w:rsid w:val="00982C9F"/>
    <w:rsid w:val="009830C6"/>
    <w:rsid w:val="009836B0"/>
    <w:rsid w:val="0098376B"/>
    <w:rsid w:val="009838DC"/>
    <w:rsid w:val="00983994"/>
    <w:rsid w:val="00983A71"/>
    <w:rsid w:val="00983CE3"/>
    <w:rsid w:val="00983CE4"/>
    <w:rsid w:val="00983DE2"/>
    <w:rsid w:val="00983EC2"/>
    <w:rsid w:val="00983F2C"/>
    <w:rsid w:val="00984AB4"/>
    <w:rsid w:val="00984DDD"/>
    <w:rsid w:val="00984DF3"/>
    <w:rsid w:val="00984F91"/>
    <w:rsid w:val="00985489"/>
    <w:rsid w:val="00985582"/>
    <w:rsid w:val="00985849"/>
    <w:rsid w:val="00986213"/>
    <w:rsid w:val="00986E13"/>
    <w:rsid w:val="0098725C"/>
    <w:rsid w:val="00987399"/>
    <w:rsid w:val="009873F3"/>
    <w:rsid w:val="0098750D"/>
    <w:rsid w:val="0098752D"/>
    <w:rsid w:val="00987DE0"/>
    <w:rsid w:val="00990016"/>
    <w:rsid w:val="0099021E"/>
    <w:rsid w:val="0099088A"/>
    <w:rsid w:val="00990A08"/>
    <w:rsid w:val="00990A24"/>
    <w:rsid w:val="00990C7E"/>
    <w:rsid w:val="00990F4A"/>
    <w:rsid w:val="0099123A"/>
    <w:rsid w:val="009913AF"/>
    <w:rsid w:val="009916A6"/>
    <w:rsid w:val="00991A38"/>
    <w:rsid w:val="00991CD1"/>
    <w:rsid w:val="009928B0"/>
    <w:rsid w:val="00992BE1"/>
    <w:rsid w:val="00992F31"/>
    <w:rsid w:val="00992FC1"/>
    <w:rsid w:val="00993723"/>
    <w:rsid w:val="009937C7"/>
    <w:rsid w:val="0099380F"/>
    <w:rsid w:val="0099383E"/>
    <w:rsid w:val="00993EDD"/>
    <w:rsid w:val="00994087"/>
    <w:rsid w:val="009942BC"/>
    <w:rsid w:val="009946D2"/>
    <w:rsid w:val="009948DB"/>
    <w:rsid w:val="00994AB2"/>
    <w:rsid w:val="00994AC1"/>
    <w:rsid w:val="00994BCE"/>
    <w:rsid w:val="009952B0"/>
    <w:rsid w:val="0099541E"/>
    <w:rsid w:val="009954C8"/>
    <w:rsid w:val="009955BD"/>
    <w:rsid w:val="009956AD"/>
    <w:rsid w:val="00995E98"/>
    <w:rsid w:val="00996022"/>
    <w:rsid w:val="0099628B"/>
    <w:rsid w:val="00996443"/>
    <w:rsid w:val="009964DE"/>
    <w:rsid w:val="0099664E"/>
    <w:rsid w:val="009969BE"/>
    <w:rsid w:val="00996A8D"/>
    <w:rsid w:val="00996E67"/>
    <w:rsid w:val="00996F15"/>
    <w:rsid w:val="00996F74"/>
    <w:rsid w:val="00997077"/>
    <w:rsid w:val="009972EA"/>
    <w:rsid w:val="0099795A"/>
    <w:rsid w:val="00997ACD"/>
    <w:rsid w:val="00997BA8"/>
    <w:rsid w:val="00997D52"/>
    <w:rsid w:val="00997DC4"/>
    <w:rsid w:val="00997E8C"/>
    <w:rsid w:val="009A0202"/>
    <w:rsid w:val="009A0692"/>
    <w:rsid w:val="009A06F4"/>
    <w:rsid w:val="009A06FB"/>
    <w:rsid w:val="009A0939"/>
    <w:rsid w:val="009A0CD9"/>
    <w:rsid w:val="009A144F"/>
    <w:rsid w:val="009A173C"/>
    <w:rsid w:val="009A2016"/>
    <w:rsid w:val="009A2442"/>
    <w:rsid w:val="009A2546"/>
    <w:rsid w:val="009A254F"/>
    <w:rsid w:val="009A25F2"/>
    <w:rsid w:val="009A2821"/>
    <w:rsid w:val="009A2846"/>
    <w:rsid w:val="009A2870"/>
    <w:rsid w:val="009A2BD1"/>
    <w:rsid w:val="009A2DFC"/>
    <w:rsid w:val="009A2FCD"/>
    <w:rsid w:val="009A32E6"/>
    <w:rsid w:val="009A3438"/>
    <w:rsid w:val="009A3655"/>
    <w:rsid w:val="009A3778"/>
    <w:rsid w:val="009A3847"/>
    <w:rsid w:val="009A386E"/>
    <w:rsid w:val="009A3937"/>
    <w:rsid w:val="009A3B10"/>
    <w:rsid w:val="009A3D5C"/>
    <w:rsid w:val="009A3E18"/>
    <w:rsid w:val="009A3E2E"/>
    <w:rsid w:val="009A4256"/>
    <w:rsid w:val="009A4499"/>
    <w:rsid w:val="009A4530"/>
    <w:rsid w:val="009A46F0"/>
    <w:rsid w:val="009A4925"/>
    <w:rsid w:val="009A4963"/>
    <w:rsid w:val="009A4B89"/>
    <w:rsid w:val="009A5135"/>
    <w:rsid w:val="009A54ED"/>
    <w:rsid w:val="009A552E"/>
    <w:rsid w:val="009A55BE"/>
    <w:rsid w:val="009A57F7"/>
    <w:rsid w:val="009A58F9"/>
    <w:rsid w:val="009A59E7"/>
    <w:rsid w:val="009A5A47"/>
    <w:rsid w:val="009A5AB6"/>
    <w:rsid w:val="009A607D"/>
    <w:rsid w:val="009A637C"/>
    <w:rsid w:val="009A675D"/>
    <w:rsid w:val="009A67B9"/>
    <w:rsid w:val="009A695A"/>
    <w:rsid w:val="009A6AA5"/>
    <w:rsid w:val="009A6D69"/>
    <w:rsid w:val="009A7031"/>
    <w:rsid w:val="009A7A55"/>
    <w:rsid w:val="009A7AC7"/>
    <w:rsid w:val="009A7B9E"/>
    <w:rsid w:val="009A7F34"/>
    <w:rsid w:val="009B01EA"/>
    <w:rsid w:val="009B02AB"/>
    <w:rsid w:val="009B0307"/>
    <w:rsid w:val="009B0361"/>
    <w:rsid w:val="009B03DE"/>
    <w:rsid w:val="009B0403"/>
    <w:rsid w:val="009B04B8"/>
    <w:rsid w:val="009B06AE"/>
    <w:rsid w:val="009B06B9"/>
    <w:rsid w:val="009B0BCA"/>
    <w:rsid w:val="009B13FF"/>
    <w:rsid w:val="009B16B0"/>
    <w:rsid w:val="009B1EF9"/>
    <w:rsid w:val="009B2245"/>
    <w:rsid w:val="009B258E"/>
    <w:rsid w:val="009B2720"/>
    <w:rsid w:val="009B29E2"/>
    <w:rsid w:val="009B2B92"/>
    <w:rsid w:val="009B3214"/>
    <w:rsid w:val="009B33C3"/>
    <w:rsid w:val="009B3A52"/>
    <w:rsid w:val="009B3C1C"/>
    <w:rsid w:val="009B3C6B"/>
    <w:rsid w:val="009B3EBA"/>
    <w:rsid w:val="009B3F12"/>
    <w:rsid w:val="009B3FDC"/>
    <w:rsid w:val="009B4164"/>
    <w:rsid w:val="009B4165"/>
    <w:rsid w:val="009B47CD"/>
    <w:rsid w:val="009B4877"/>
    <w:rsid w:val="009B48E5"/>
    <w:rsid w:val="009B4CD1"/>
    <w:rsid w:val="009B5235"/>
    <w:rsid w:val="009B53CF"/>
    <w:rsid w:val="009B54E9"/>
    <w:rsid w:val="009B5509"/>
    <w:rsid w:val="009B5997"/>
    <w:rsid w:val="009B5AE3"/>
    <w:rsid w:val="009B5DA0"/>
    <w:rsid w:val="009B6750"/>
    <w:rsid w:val="009B6798"/>
    <w:rsid w:val="009B6B23"/>
    <w:rsid w:val="009B6B76"/>
    <w:rsid w:val="009B6E76"/>
    <w:rsid w:val="009B6F4C"/>
    <w:rsid w:val="009B7756"/>
    <w:rsid w:val="009B7ABD"/>
    <w:rsid w:val="009B7B0D"/>
    <w:rsid w:val="009B7C01"/>
    <w:rsid w:val="009B7EF3"/>
    <w:rsid w:val="009C00A0"/>
    <w:rsid w:val="009C019D"/>
    <w:rsid w:val="009C02AF"/>
    <w:rsid w:val="009C0321"/>
    <w:rsid w:val="009C07D6"/>
    <w:rsid w:val="009C0A61"/>
    <w:rsid w:val="009C0DD6"/>
    <w:rsid w:val="009C1007"/>
    <w:rsid w:val="009C10C0"/>
    <w:rsid w:val="009C1246"/>
    <w:rsid w:val="009C1360"/>
    <w:rsid w:val="009C13B5"/>
    <w:rsid w:val="009C15C9"/>
    <w:rsid w:val="009C16F1"/>
    <w:rsid w:val="009C1BAD"/>
    <w:rsid w:val="009C1D27"/>
    <w:rsid w:val="009C1FA5"/>
    <w:rsid w:val="009C200A"/>
    <w:rsid w:val="009C2331"/>
    <w:rsid w:val="009C2946"/>
    <w:rsid w:val="009C2980"/>
    <w:rsid w:val="009C2D3D"/>
    <w:rsid w:val="009C2F36"/>
    <w:rsid w:val="009C3249"/>
    <w:rsid w:val="009C3BD9"/>
    <w:rsid w:val="009C430F"/>
    <w:rsid w:val="009C45E4"/>
    <w:rsid w:val="009C4825"/>
    <w:rsid w:val="009C4BF8"/>
    <w:rsid w:val="009C4C26"/>
    <w:rsid w:val="009C4CD0"/>
    <w:rsid w:val="009C4DF4"/>
    <w:rsid w:val="009C4EC7"/>
    <w:rsid w:val="009C4F16"/>
    <w:rsid w:val="009C5222"/>
    <w:rsid w:val="009C5651"/>
    <w:rsid w:val="009C59D2"/>
    <w:rsid w:val="009C59E8"/>
    <w:rsid w:val="009C5A20"/>
    <w:rsid w:val="009C5B82"/>
    <w:rsid w:val="009C5D2C"/>
    <w:rsid w:val="009C5E51"/>
    <w:rsid w:val="009C6719"/>
    <w:rsid w:val="009C693D"/>
    <w:rsid w:val="009C6A56"/>
    <w:rsid w:val="009C6D8B"/>
    <w:rsid w:val="009C6DE0"/>
    <w:rsid w:val="009C6EA4"/>
    <w:rsid w:val="009C70EE"/>
    <w:rsid w:val="009C756E"/>
    <w:rsid w:val="009C7699"/>
    <w:rsid w:val="009C76D1"/>
    <w:rsid w:val="009C77FE"/>
    <w:rsid w:val="009C7890"/>
    <w:rsid w:val="009C7F8C"/>
    <w:rsid w:val="009D00BC"/>
    <w:rsid w:val="009D0305"/>
    <w:rsid w:val="009D0558"/>
    <w:rsid w:val="009D0C8A"/>
    <w:rsid w:val="009D0C92"/>
    <w:rsid w:val="009D0CAE"/>
    <w:rsid w:val="009D0CC9"/>
    <w:rsid w:val="009D0DBF"/>
    <w:rsid w:val="009D0E8B"/>
    <w:rsid w:val="009D1728"/>
    <w:rsid w:val="009D1C83"/>
    <w:rsid w:val="009D1E49"/>
    <w:rsid w:val="009D1F6E"/>
    <w:rsid w:val="009D21BE"/>
    <w:rsid w:val="009D220C"/>
    <w:rsid w:val="009D22D9"/>
    <w:rsid w:val="009D235C"/>
    <w:rsid w:val="009D24B0"/>
    <w:rsid w:val="009D292B"/>
    <w:rsid w:val="009D29FA"/>
    <w:rsid w:val="009D3490"/>
    <w:rsid w:val="009D3A85"/>
    <w:rsid w:val="009D3B51"/>
    <w:rsid w:val="009D3C3D"/>
    <w:rsid w:val="009D3E2E"/>
    <w:rsid w:val="009D3E43"/>
    <w:rsid w:val="009D429C"/>
    <w:rsid w:val="009D4565"/>
    <w:rsid w:val="009D4777"/>
    <w:rsid w:val="009D4E29"/>
    <w:rsid w:val="009D5052"/>
    <w:rsid w:val="009D50E3"/>
    <w:rsid w:val="009D5288"/>
    <w:rsid w:val="009D5454"/>
    <w:rsid w:val="009D54F1"/>
    <w:rsid w:val="009D55D6"/>
    <w:rsid w:val="009D5660"/>
    <w:rsid w:val="009D58AD"/>
    <w:rsid w:val="009D58F6"/>
    <w:rsid w:val="009D5C51"/>
    <w:rsid w:val="009D6050"/>
    <w:rsid w:val="009D6D71"/>
    <w:rsid w:val="009D6FF1"/>
    <w:rsid w:val="009D740A"/>
    <w:rsid w:val="009D76C4"/>
    <w:rsid w:val="009D7C8B"/>
    <w:rsid w:val="009E0107"/>
    <w:rsid w:val="009E0473"/>
    <w:rsid w:val="009E04A1"/>
    <w:rsid w:val="009E0638"/>
    <w:rsid w:val="009E08F1"/>
    <w:rsid w:val="009E0FF7"/>
    <w:rsid w:val="009E10BC"/>
    <w:rsid w:val="009E113A"/>
    <w:rsid w:val="009E1938"/>
    <w:rsid w:val="009E19E6"/>
    <w:rsid w:val="009E227A"/>
    <w:rsid w:val="009E237D"/>
    <w:rsid w:val="009E2AD3"/>
    <w:rsid w:val="009E2B0F"/>
    <w:rsid w:val="009E2D73"/>
    <w:rsid w:val="009E2D94"/>
    <w:rsid w:val="009E2EB9"/>
    <w:rsid w:val="009E31B4"/>
    <w:rsid w:val="009E380F"/>
    <w:rsid w:val="009E3AB2"/>
    <w:rsid w:val="009E3DB7"/>
    <w:rsid w:val="009E3E2D"/>
    <w:rsid w:val="009E3E64"/>
    <w:rsid w:val="009E4155"/>
    <w:rsid w:val="009E4284"/>
    <w:rsid w:val="009E47E5"/>
    <w:rsid w:val="009E484D"/>
    <w:rsid w:val="009E4C95"/>
    <w:rsid w:val="009E4EB7"/>
    <w:rsid w:val="009E4F04"/>
    <w:rsid w:val="009E4F38"/>
    <w:rsid w:val="009E5324"/>
    <w:rsid w:val="009E54C4"/>
    <w:rsid w:val="009E66AB"/>
    <w:rsid w:val="009E67B5"/>
    <w:rsid w:val="009E6DFB"/>
    <w:rsid w:val="009E6F3D"/>
    <w:rsid w:val="009E70D0"/>
    <w:rsid w:val="009E72F0"/>
    <w:rsid w:val="009E7852"/>
    <w:rsid w:val="009E7960"/>
    <w:rsid w:val="009E7D76"/>
    <w:rsid w:val="009E7EC4"/>
    <w:rsid w:val="009F0400"/>
    <w:rsid w:val="009F0503"/>
    <w:rsid w:val="009F092A"/>
    <w:rsid w:val="009F0E73"/>
    <w:rsid w:val="009F11BD"/>
    <w:rsid w:val="009F1255"/>
    <w:rsid w:val="009F146F"/>
    <w:rsid w:val="009F1563"/>
    <w:rsid w:val="009F169C"/>
    <w:rsid w:val="009F16ED"/>
    <w:rsid w:val="009F18E9"/>
    <w:rsid w:val="009F1BF1"/>
    <w:rsid w:val="009F1D8F"/>
    <w:rsid w:val="009F1EDD"/>
    <w:rsid w:val="009F21B4"/>
    <w:rsid w:val="009F241C"/>
    <w:rsid w:val="009F266A"/>
    <w:rsid w:val="009F2849"/>
    <w:rsid w:val="009F2C3C"/>
    <w:rsid w:val="009F3679"/>
    <w:rsid w:val="009F3809"/>
    <w:rsid w:val="009F3C06"/>
    <w:rsid w:val="009F3C75"/>
    <w:rsid w:val="009F3CE8"/>
    <w:rsid w:val="009F3F5C"/>
    <w:rsid w:val="009F41BC"/>
    <w:rsid w:val="009F4286"/>
    <w:rsid w:val="009F43A4"/>
    <w:rsid w:val="009F492E"/>
    <w:rsid w:val="009F49D7"/>
    <w:rsid w:val="009F4A93"/>
    <w:rsid w:val="009F5186"/>
    <w:rsid w:val="009F556F"/>
    <w:rsid w:val="009F58F1"/>
    <w:rsid w:val="009F5FBA"/>
    <w:rsid w:val="009F6A76"/>
    <w:rsid w:val="009F6E7A"/>
    <w:rsid w:val="009F6FAF"/>
    <w:rsid w:val="009F770C"/>
    <w:rsid w:val="009F78DA"/>
    <w:rsid w:val="00A000FD"/>
    <w:rsid w:val="00A0037E"/>
    <w:rsid w:val="00A0079A"/>
    <w:rsid w:val="00A00E4C"/>
    <w:rsid w:val="00A01026"/>
    <w:rsid w:val="00A0110A"/>
    <w:rsid w:val="00A01303"/>
    <w:rsid w:val="00A0142E"/>
    <w:rsid w:val="00A0156B"/>
    <w:rsid w:val="00A01748"/>
    <w:rsid w:val="00A0179E"/>
    <w:rsid w:val="00A01980"/>
    <w:rsid w:val="00A01D57"/>
    <w:rsid w:val="00A0219A"/>
    <w:rsid w:val="00A0254E"/>
    <w:rsid w:val="00A02568"/>
    <w:rsid w:val="00A028A3"/>
    <w:rsid w:val="00A02C4F"/>
    <w:rsid w:val="00A02EC9"/>
    <w:rsid w:val="00A03388"/>
    <w:rsid w:val="00A03697"/>
    <w:rsid w:val="00A0386D"/>
    <w:rsid w:val="00A03B8B"/>
    <w:rsid w:val="00A03CA5"/>
    <w:rsid w:val="00A03EDC"/>
    <w:rsid w:val="00A0407B"/>
    <w:rsid w:val="00A0433F"/>
    <w:rsid w:val="00A043E7"/>
    <w:rsid w:val="00A04A09"/>
    <w:rsid w:val="00A04D6A"/>
    <w:rsid w:val="00A04ECA"/>
    <w:rsid w:val="00A05663"/>
    <w:rsid w:val="00A05821"/>
    <w:rsid w:val="00A05A0A"/>
    <w:rsid w:val="00A05AF6"/>
    <w:rsid w:val="00A05B81"/>
    <w:rsid w:val="00A05B84"/>
    <w:rsid w:val="00A05D1D"/>
    <w:rsid w:val="00A05E8D"/>
    <w:rsid w:val="00A05EA2"/>
    <w:rsid w:val="00A05F2C"/>
    <w:rsid w:val="00A060F8"/>
    <w:rsid w:val="00A06212"/>
    <w:rsid w:val="00A0671A"/>
    <w:rsid w:val="00A06B9B"/>
    <w:rsid w:val="00A06D27"/>
    <w:rsid w:val="00A0765E"/>
    <w:rsid w:val="00A076CC"/>
    <w:rsid w:val="00A078F0"/>
    <w:rsid w:val="00A07956"/>
    <w:rsid w:val="00A07AE3"/>
    <w:rsid w:val="00A10808"/>
    <w:rsid w:val="00A108A8"/>
    <w:rsid w:val="00A10F27"/>
    <w:rsid w:val="00A11274"/>
    <w:rsid w:val="00A114F7"/>
    <w:rsid w:val="00A1165C"/>
    <w:rsid w:val="00A11A3B"/>
    <w:rsid w:val="00A11DB9"/>
    <w:rsid w:val="00A1205C"/>
    <w:rsid w:val="00A125D6"/>
    <w:rsid w:val="00A12F08"/>
    <w:rsid w:val="00A131E0"/>
    <w:rsid w:val="00A13DD8"/>
    <w:rsid w:val="00A14342"/>
    <w:rsid w:val="00A1476B"/>
    <w:rsid w:val="00A14C5F"/>
    <w:rsid w:val="00A14C74"/>
    <w:rsid w:val="00A14C78"/>
    <w:rsid w:val="00A14CD0"/>
    <w:rsid w:val="00A14E53"/>
    <w:rsid w:val="00A1529C"/>
    <w:rsid w:val="00A15429"/>
    <w:rsid w:val="00A15483"/>
    <w:rsid w:val="00A15496"/>
    <w:rsid w:val="00A15580"/>
    <w:rsid w:val="00A158BF"/>
    <w:rsid w:val="00A15B0D"/>
    <w:rsid w:val="00A15C91"/>
    <w:rsid w:val="00A15DAF"/>
    <w:rsid w:val="00A15DC2"/>
    <w:rsid w:val="00A15E82"/>
    <w:rsid w:val="00A16107"/>
    <w:rsid w:val="00A16449"/>
    <w:rsid w:val="00A16B59"/>
    <w:rsid w:val="00A16D06"/>
    <w:rsid w:val="00A16E5D"/>
    <w:rsid w:val="00A16F93"/>
    <w:rsid w:val="00A17459"/>
    <w:rsid w:val="00A2012F"/>
    <w:rsid w:val="00A20227"/>
    <w:rsid w:val="00A20A08"/>
    <w:rsid w:val="00A20AD7"/>
    <w:rsid w:val="00A2194D"/>
    <w:rsid w:val="00A21A0F"/>
    <w:rsid w:val="00A21C4C"/>
    <w:rsid w:val="00A22E49"/>
    <w:rsid w:val="00A22EFC"/>
    <w:rsid w:val="00A23187"/>
    <w:rsid w:val="00A23199"/>
    <w:rsid w:val="00A2319D"/>
    <w:rsid w:val="00A23AB1"/>
    <w:rsid w:val="00A2411A"/>
    <w:rsid w:val="00A2420E"/>
    <w:rsid w:val="00A242B3"/>
    <w:rsid w:val="00A242F3"/>
    <w:rsid w:val="00A249C5"/>
    <w:rsid w:val="00A24C7B"/>
    <w:rsid w:val="00A24E59"/>
    <w:rsid w:val="00A24E9B"/>
    <w:rsid w:val="00A24EEE"/>
    <w:rsid w:val="00A25454"/>
    <w:rsid w:val="00A2548C"/>
    <w:rsid w:val="00A255A9"/>
    <w:rsid w:val="00A2561B"/>
    <w:rsid w:val="00A25726"/>
    <w:rsid w:val="00A2587F"/>
    <w:rsid w:val="00A26245"/>
    <w:rsid w:val="00A26389"/>
    <w:rsid w:val="00A263C8"/>
    <w:rsid w:val="00A26441"/>
    <w:rsid w:val="00A26541"/>
    <w:rsid w:val="00A2664E"/>
    <w:rsid w:val="00A26BEC"/>
    <w:rsid w:val="00A26D9C"/>
    <w:rsid w:val="00A2701B"/>
    <w:rsid w:val="00A2710B"/>
    <w:rsid w:val="00A27644"/>
    <w:rsid w:val="00A277A3"/>
    <w:rsid w:val="00A27C01"/>
    <w:rsid w:val="00A300E7"/>
    <w:rsid w:val="00A30249"/>
    <w:rsid w:val="00A303B8"/>
    <w:rsid w:val="00A3053F"/>
    <w:rsid w:val="00A305BF"/>
    <w:rsid w:val="00A3083B"/>
    <w:rsid w:val="00A30A6B"/>
    <w:rsid w:val="00A30D87"/>
    <w:rsid w:val="00A30F1E"/>
    <w:rsid w:val="00A31280"/>
    <w:rsid w:val="00A31550"/>
    <w:rsid w:val="00A315F5"/>
    <w:rsid w:val="00A31652"/>
    <w:rsid w:val="00A316AD"/>
    <w:rsid w:val="00A32199"/>
    <w:rsid w:val="00A324EA"/>
    <w:rsid w:val="00A327B6"/>
    <w:rsid w:val="00A3282C"/>
    <w:rsid w:val="00A32889"/>
    <w:rsid w:val="00A32D86"/>
    <w:rsid w:val="00A32DF3"/>
    <w:rsid w:val="00A333C6"/>
    <w:rsid w:val="00A333CF"/>
    <w:rsid w:val="00A3354B"/>
    <w:rsid w:val="00A33599"/>
    <w:rsid w:val="00A3390B"/>
    <w:rsid w:val="00A33DB8"/>
    <w:rsid w:val="00A34065"/>
    <w:rsid w:val="00A341E0"/>
    <w:rsid w:val="00A3428C"/>
    <w:rsid w:val="00A34623"/>
    <w:rsid w:val="00A346A0"/>
    <w:rsid w:val="00A34735"/>
    <w:rsid w:val="00A34D4D"/>
    <w:rsid w:val="00A34EC2"/>
    <w:rsid w:val="00A35793"/>
    <w:rsid w:val="00A359AC"/>
    <w:rsid w:val="00A3609F"/>
    <w:rsid w:val="00A361C3"/>
    <w:rsid w:val="00A36406"/>
    <w:rsid w:val="00A366E0"/>
    <w:rsid w:val="00A36886"/>
    <w:rsid w:val="00A368F8"/>
    <w:rsid w:val="00A36F2C"/>
    <w:rsid w:val="00A377B6"/>
    <w:rsid w:val="00A3781C"/>
    <w:rsid w:val="00A37DA5"/>
    <w:rsid w:val="00A40227"/>
    <w:rsid w:val="00A40417"/>
    <w:rsid w:val="00A40453"/>
    <w:rsid w:val="00A404F6"/>
    <w:rsid w:val="00A404F9"/>
    <w:rsid w:val="00A40AF5"/>
    <w:rsid w:val="00A40B1C"/>
    <w:rsid w:val="00A40B35"/>
    <w:rsid w:val="00A41161"/>
    <w:rsid w:val="00A411FA"/>
    <w:rsid w:val="00A4138B"/>
    <w:rsid w:val="00A4198B"/>
    <w:rsid w:val="00A41BD4"/>
    <w:rsid w:val="00A41E43"/>
    <w:rsid w:val="00A41EEC"/>
    <w:rsid w:val="00A4203D"/>
    <w:rsid w:val="00A4214D"/>
    <w:rsid w:val="00A422CC"/>
    <w:rsid w:val="00A42566"/>
    <w:rsid w:val="00A42802"/>
    <w:rsid w:val="00A42914"/>
    <w:rsid w:val="00A42984"/>
    <w:rsid w:val="00A42998"/>
    <w:rsid w:val="00A42C00"/>
    <w:rsid w:val="00A42D33"/>
    <w:rsid w:val="00A42D5A"/>
    <w:rsid w:val="00A42F7C"/>
    <w:rsid w:val="00A431A7"/>
    <w:rsid w:val="00A43617"/>
    <w:rsid w:val="00A43649"/>
    <w:rsid w:val="00A43654"/>
    <w:rsid w:val="00A4374F"/>
    <w:rsid w:val="00A43755"/>
    <w:rsid w:val="00A4384F"/>
    <w:rsid w:val="00A43D2A"/>
    <w:rsid w:val="00A43FD6"/>
    <w:rsid w:val="00A44228"/>
    <w:rsid w:val="00A442E3"/>
    <w:rsid w:val="00A445C5"/>
    <w:rsid w:val="00A447D1"/>
    <w:rsid w:val="00A44A26"/>
    <w:rsid w:val="00A44EC1"/>
    <w:rsid w:val="00A44FD3"/>
    <w:rsid w:val="00A454B3"/>
    <w:rsid w:val="00A454E1"/>
    <w:rsid w:val="00A456B3"/>
    <w:rsid w:val="00A456DB"/>
    <w:rsid w:val="00A45E52"/>
    <w:rsid w:val="00A46652"/>
    <w:rsid w:val="00A4686D"/>
    <w:rsid w:val="00A46D15"/>
    <w:rsid w:val="00A4713D"/>
    <w:rsid w:val="00A47631"/>
    <w:rsid w:val="00A47A0B"/>
    <w:rsid w:val="00A47BC0"/>
    <w:rsid w:val="00A47E3E"/>
    <w:rsid w:val="00A50290"/>
    <w:rsid w:val="00A50748"/>
    <w:rsid w:val="00A5077D"/>
    <w:rsid w:val="00A507AD"/>
    <w:rsid w:val="00A50941"/>
    <w:rsid w:val="00A509E4"/>
    <w:rsid w:val="00A50F3B"/>
    <w:rsid w:val="00A51023"/>
    <w:rsid w:val="00A512A1"/>
    <w:rsid w:val="00A5138B"/>
    <w:rsid w:val="00A5140A"/>
    <w:rsid w:val="00A516B5"/>
    <w:rsid w:val="00A5188F"/>
    <w:rsid w:val="00A51931"/>
    <w:rsid w:val="00A51D62"/>
    <w:rsid w:val="00A51FBF"/>
    <w:rsid w:val="00A52338"/>
    <w:rsid w:val="00A5248A"/>
    <w:rsid w:val="00A52910"/>
    <w:rsid w:val="00A52C04"/>
    <w:rsid w:val="00A52C1A"/>
    <w:rsid w:val="00A52D1B"/>
    <w:rsid w:val="00A5323B"/>
    <w:rsid w:val="00A53413"/>
    <w:rsid w:val="00A53831"/>
    <w:rsid w:val="00A53837"/>
    <w:rsid w:val="00A542ED"/>
    <w:rsid w:val="00A5452C"/>
    <w:rsid w:val="00A545F7"/>
    <w:rsid w:val="00A546E2"/>
    <w:rsid w:val="00A5494F"/>
    <w:rsid w:val="00A54A0B"/>
    <w:rsid w:val="00A54C4F"/>
    <w:rsid w:val="00A54FB4"/>
    <w:rsid w:val="00A55107"/>
    <w:rsid w:val="00A5580A"/>
    <w:rsid w:val="00A5622F"/>
    <w:rsid w:val="00A562BE"/>
    <w:rsid w:val="00A564B3"/>
    <w:rsid w:val="00A56579"/>
    <w:rsid w:val="00A565DF"/>
    <w:rsid w:val="00A56B16"/>
    <w:rsid w:val="00A56BB2"/>
    <w:rsid w:val="00A56DE0"/>
    <w:rsid w:val="00A57104"/>
    <w:rsid w:val="00A57417"/>
    <w:rsid w:val="00A57617"/>
    <w:rsid w:val="00A57CC7"/>
    <w:rsid w:val="00A601A8"/>
    <w:rsid w:val="00A60728"/>
    <w:rsid w:val="00A6096D"/>
    <w:rsid w:val="00A6106A"/>
    <w:rsid w:val="00A6119C"/>
    <w:rsid w:val="00A61521"/>
    <w:rsid w:val="00A61712"/>
    <w:rsid w:val="00A621BF"/>
    <w:rsid w:val="00A6231A"/>
    <w:rsid w:val="00A6235B"/>
    <w:rsid w:val="00A623BF"/>
    <w:rsid w:val="00A62690"/>
    <w:rsid w:val="00A62AA5"/>
    <w:rsid w:val="00A62BCB"/>
    <w:rsid w:val="00A62C21"/>
    <w:rsid w:val="00A62ED2"/>
    <w:rsid w:val="00A63244"/>
    <w:rsid w:val="00A632EC"/>
    <w:rsid w:val="00A6363E"/>
    <w:rsid w:val="00A636D7"/>
    <w:rsid w:val="00A6387F"/>
    <w:rsid w:val="00A63B1A"/>
    <w:rsid w:val="00A63C18"/>
    <w:rsid w:val="00A63F3C"/>
    <w:rsid w:val="00A64372"/>
    <w:rsid w:val="00A64526"/>
    <w:rsid w:val="00A64569"/>
    <w:rsid w:val="00A6465B"/>
    <w:rsid w:val="00A64AA7"/>
    <w:rsid w:val="00A652F4"/>
    <w:rsid w:val="00A6547E"/>
    <w:rsid w:val="00A6551A"/>
    <w:rsid w:val="00A6561B"/>
    <w:rsid w:val="00A656DE"/>
    <w:rsid w:val="00A656F5"/>
    <w:rsid w:val="00A658AC"/>
    <w:rsid w:val="00A658CE"/>
    <w:rsid w:val="00A65BE2"/>
    <w:rsid w:val="00A65CAA"/>
    <w:rsid w:val="00A65F36"/>
    <w:rsid w:val="00A662C9"/>
    <w:rsid w:val="00A662DC"/>
    <w:rsid w:val="00A666E6"/>
    <w:rsid w:val="00A6685D"/>
    <w:rsid w:val="00A6698F"/>
    <w:rsid w:val="00A66FF3"/>
    <w:rsid w:val="00A670A9"/>
    <w:rsid w:val="00A670FD"/>
    <w:rsid w:val="00A67129"/>
    <w:rsid w:val="00A6741B"/>
    <w:rsid w:val="00A6745E"/>
    <w:rsid w:val="00A703AD"/>
    <w:rsid w:val="00A70A93"/>
    <w:rsid w:val="00A70C3C"/>
    <w:rsid w:val="00A710CD"/>
    <w:rsid w:val="00A7119B"/>
    <w:rsid w:val="00A71463"/>
    <w:rsid w:val="00A727E1"/>
    <w:rsid w:val="00A72B82"/>
    <w:rsid w:val="00A72C5D"/>
    <w:rsid w:val="00A72D60"/>
    <w:rsid w:val="00A72EBA"/>
    <w:rsid w:val="00A7303F"/>
    <w:rsid w:val="00A7395E"/>
    <w:rsid w:val="00A73F42"/>
    <w:rsid w:val="00A741A1"/>
    <w:rsid w:val="00A74226"/>
    <w:rsid w:val="00A742FB"/>
    <w:rsid w:val="00A74499"/>
    <w:rsid w:val="00A748C9"/>
    <w:rsid w:val="00A74AEF"/>
    <w:rsid w:val="00A75094"/>
    <w:rsid w:val="00A75149"/>
    <w:rsid w:val="00A75255"/>
    <w:rsid w:val="00A754A0"/>
    <w:rsid w:val="00A754A1"/>
    <w:rsid w:val="00A757B0"/>
    <w:rsid w:val="00A75A43"/>
    <w:rsid w:val="00A75A55"/>
    <w:rsid w:val="00A75B3E"/>
    <w:rsid w:val="00A7676F"/>
    <w:rsid w:val="00A76907"/>
    <w:rsid w:val="00A76E1C"/>
    <w:rsid w:val="00A770FE"/>
    <w:rsid w:val="00A776A4"/>
    <w:rsid w:val="00A77E0C"/>
    <w:rsid w:val="00A800A6"/>
    <w:rsid w:val="00A801D6"/>
    <w:rsid w:val="00A802D1"/>
    <w:rsid w:val="00A8049D"/>
    <w:rsid w:val="00A80978"/>
    <w:rsid w:val="00A80AF3"/>
    <w:rsid w:val="00A80C7A"/>
    <w:rsid w:val="00A81295"/>
    <w:rsid w:val="00A81323"/>
    <w:rsid w:val="00A81538"/>
    <w:rsid w:val="00A81736"/>
    <w:rsid w:val="00A822C2"/>
    <w:rsid w:val="00A82534"/>
    <w:rsid w:val="00A82636"/>
    <w:rsid w:val="00A82990"/>
    <w:rsid w:val="00A82A24"/>
    <w:rsid w:val="00A82B57"/>
    <w:rsid w:val="00A82BB7"/>
    <w:rsid w:val="00A82D86"/>
    <w:rsid w:val="00A82F42"/>
    <w:rsid w:val="00A83137"/>
    <w:rsid w:val="00A83172"/>
    <w:rsid w:val="00A835AA"/>
    <w:rsid w:val="00A837DB"/>
    <w:rsid w:val="00A83C63"/>
    <w:rsid w:val="00A83F14"/>
    <w:rsid w:val="00A84010"/>
    <w:rsid w:val="00A8431C"/>
    <w:rsid w:val="00A8557F"/>
    <w:rsid w:val="00A857D7"/>
    <w:rsid w:val="00A858FE"/>
    <w:rsid w:val="00A85978"/>
    <w:rsid w:val="00A859C2"/>
    <w:rsid w:val="00A85A33"/>
    <w:rsid w:val="00A85AF1"/>
    <w:rsid w:val="00A85B3D"/>
    <w:rsid w:val="00A85F00"/>
    <w:rsid w:val="00A85F90"/>
    <w:rsid w:val="00A86243"/>
    <w:rsid w:val="00A86578"/>
    <w:rsid w:val="00A867BA"/>
    <w:rsid w:val="00A86B4C"/>
    <w:rsid w:val="00A86DAC"/>
    <w:rsid w:val="00A86EBB"/>
    <w:rsid w:val="00A86EE0"/>
    <w:rsid w:val="00A86F32"/>
    <w:rsid w:val="00A87175"/>
    <w:rsid w:val="00A87ABF"/>
    <w:rsid w:val="00A87B47"/>
    <w:rsid w:val="00A87B99"/>
    <w:rsid w:val="00A87E96"/>
    <w:rsid w:val="00A87FF0"/>
    <w:rsid w:val="00A901DE"/>
    <w:rsid w:val="00A9025F"/>
    <w:rsid w:val="00A90401"/>
    <w:rsid w:val="00A906C6"/>
    <w:rsid w:val="00A907A1"/>
    <w:rsid w:val="00A9083F"/>
    <w:rsid w:val="00A90A53"/>
    <w:rsid w:val="00A90FCA"/>
    <w:rsid w:val="00A9153C"/>
    <w:rsid w:val="00A9169B"/>
    <w:rsid w:val="00A91746"/>
    <w:rsid w:val="00A91B88"/>
    <w:rsid w:val="00A921E3"/>
    <w:rsid w:val="00A925C0"/>
    <w:rsid w:val="00A929E4"/>
    <w:rsid w:val="00A92A33"/>
    <w:rsid w:val="00A92CE7"/>
    <w:rsid w:val="00A93272"/>
    <w:rsid w:val="00A935B7"/>
    <w:rsid w:val="00A9397B"/>
    <w:rsid w:val="00A93B23"/>
    <w:rsid w:val="00A93E19"/>
    <w:rsid w:val="00A94291"/>
    <w:rsid w:val="00A9450A"/>
    <w:rsid w:val="00A949A4"/>
    <w:rsid w:val="00A94CB9"/>
    <w:rsid w:val="00A94D20"/>
    <w:rsid w:val="00A95151"/>
    <w:rsid w:val="00A951D6"/>
    <w:rsid w:val="00A952E1"/>
    <w:rsid w:val="00A955DE"/>
    <w:rsid w:val="00A95927"/>
    <w:rsid w:val="00A95992"/>
    <w:rsid w:val="00A95DD7"/>
    <w:rsid w:val="00A95EC8"/>
    <w:rsid w:val="00A96407"/>
    <w:rsid w:val="00A967C3"/>
    <w:rsid w:val="00A96C04"/>
    <w:rsid w:val="00A96E87"/>
    <w:rsid w:val="00A970E5"/>
    <w:rsid w:val="00A97234"/>
    <w:rsid w:val="00A9752B"/>
    <w:rsid w:val="00A976F2"/>
    <w:rsid w:val="00A97B1F"/>
    <w:rsid w:val="00A97D49"/>
    <w:rsid w:val="00AA03DB"/>
    <w:rsid w:val="00AA0A28"/>
    <w:rsid w:val="00AA0A77"/>
    <w:rsid w:val="00AA0C75"/>
    <w:rsid w:val="00AA0C90"/>
    <w:rsid w:val="00AA0CA2"/>
    <w:rsid w:val="00AA1441"/>
    <w:rsid w:val="00AA14FD"/>
    <w:rsid w:val="00AA1819"/>
    <w:rsid w:val="00AA21D9"/>
    <w:rsid w:val="00AA240D"/>
    <w:rsid w:val="00AA2461"/>
    <w:rsid w:val="00AA2574"/>
    <w:rsid w:val="00AA25CF"/>
    <w:rsid w:val="00AA2865"/>
    <w:rsid w:val="00AA2933"/>
    <w:rsid w:val="00AA2B83"/>
    <w:rsid w:val="00AA2CD3"/>
    <w:rsid w:val="00AA2F50"/>
    <w:rsid w:val="00AA3402"/>
    <w:rsid w:val="00AA37A8"/>
    <w:rsid w:val="00AA3A9B"/>
    <w:rsid w:val="00AA3BF1"/>
    <w:rsid w:val="00AA3CB5"/>
    <w:rsid w:val="00AA3D1C"/>
    <w:rsid w:val="00AA3D33"/>
    <w:rsid w:val="00AA3F82"/>
    <w:rsid w:val="00AA44D4"/>
    <w:rsid w:val="00AA4565"/>
    <w:rsid w:val="00AA4B91"/>
    <w:rsid w:val="00AA50EA"/>
    <w:rsid w:val="00AA5329"/>
    <w:rsid w:val="00AA536C"/>
    <w:rsid w:val="00AA5410"/>
    <w:rsid w:val="00AA5808"/>
    <w:rsid w:val="00AA62FE"/>
    <w:rsid w:val="00AA635E"/>
    <w:rsid w:val="00AA66E7"/>
    <w:rsid w:val="00AA677A"/>
    <w:rsid w:val="00AA6F58"/>
    <w:rsid w:val="00AA6FBA"/>
    <w:rsid w:val="00AA7045"/>
    <w:rsid w:val="00AA7201"/>
    <w:rsid w:val="00AA758E"/>
    <w:rsid w:val="00AA7706"/>
    <w:rsid w:val="00AA7AA2"/>
    <w:rsid w:val="00AA7CD4"/>
    <w:rsid w:val="00AB0365"/>
    <w:rsid w:val="00AB0518"/>
    <w:rsid w:val="00AB05CC"/>
    <w:rsid w:val="00AB0A39"/>
    <w:rsid w:val="00AB0A92"/>
    <w:rsid w:val="00AB0B24"/>
    <w:rsid w:val="00AB0BDB"/>
    <w:rsid w:val="00AB0C8A"/>
    <w:rsid w:val="00AB0D06"/>
    <w:rsid w:val="00AB0F42"/>
    <w:rsid w:val="00AB1A8E"/>
    <w:rsid w:val="00AB1B8C"/>
    <w:rsid w:val="00AB1DC1"/>
    <w:rsid w:val="00AB1EAF"/>
    <w:rsid w:val="00AB21C6"/>
    <w:rsid w:val="00AB23F9"/>
    <w:rsid w:val="00AB26F0"/>
    <w:rsid w:val="00AB27FB"/>
    <w:rsid w:val="00AB2841"/>
    <w:rsid w:val="00AB2CA1"/>
    <w:rsid w:val="00AB2F4A"/>
    <w:rsid w:val="00AB3557"/>
    <w:rsid w:val="00AB37B8"/>
    <w:rsid w:val="00AB38BC"/>
    <w:rsid w:val="00AB4306"/>
    <w:rsid w:val="00AB451F"/>
    <w:rsid w:val="00AB48A6"/>
    <w:rsid w:val="00AB4EAD"/>
    <w:rsid w:val="00AB52FA"/>
    <w:rsid w:val="00AB5A9F"/>
    <w:rsid w:val="00AB5B03"/>
    <w:rsid w:val="00AB5CAB"/>
    <w:rsid w:val="00AB5EE2"/>
    <w:rsid w:val="00AB657C"/>
    <w:rsid w:val="00AB6932"/>
    <w:rsid w:val="00AB6C55"/>
    <w:rsid w:val="00AB7605"/>
    <w:rsid w:val="00AB77A1"/>
    <w:rsid w:val="00AB7942"/>
    <w:rsid w:val="00AC0060"/>
    <w:rsid w:val="00AC044D"/>
    <w:rsid w:val="00AC0732"/>
    <w:rsid w:val="00AC0768"/>
    <w:rsid w:val="00AC0CC1"/>
    <w:rsid w:val="00AC0E14"/>
    <w:rsid w:val="00AC0E39"/>
    <w:rsid w:val="00AC0E97"/>
    <w:rsid w:val="00AC10C3"/>
    <w:rsid w:val="00AC10F4"/>
    <w:rsid w:val="00AC1F25"/>
    <w:rsid w:val="00AC2019"/>
    <w:rsid w:val="00AC2344"/>
    <w:rsid w:val="00AC255A"/>
    <w:rsid w:val="00AC260A"/>
    <w:rsid w:val="00AC2694"/>
    <w:rsid w:val="00AC2A74"/>
    <w:rsid w:val="00AC2F48"/>
    <w:rsid w:val="00AC2F87"/>
    <w:rsid w:val="00AC2FC3"/>
    <w:rsid w:val="00AC30CB"/>
    <w:rsid w:val="00AC3206"/>
    <w:rsid w:val="00AC3285"/>
    <w:rsid w:val="00AC3618"/>
    <w:rsid w:val="00AC3A0D"/>
    <w:rsid w:val="00AC3A2B"/>
    <w:rsid w:val="00AC3B3D"/>
    <w:rsid w:val="00AC3C76"/>
    <w:rsid w:val="00AC406D"/>
    <w:rsid w:val="00AC4A90"/>
    <w:rsid w:val="00AC4DEE"/>
    <w:rsid w:val="00AC50E4"/>
    <w:rsid w:val="00AC5357"/>
    <w:rsid w:val="00AC53A7"/>
    <w:rsid w:val="00AC54BE"/>
    <w:rsid w:val="00AC5507"/>
    <w:rsid w:val="00AC571D"/>
    <w:rsid w:val="00AC5870"/>
    <w:rsid w:val="00AC5A66"/>
    <w:rsid w:val="00AC5BFB"/>
    <w:rsid w:val="00AC608C"/>
    <w:rsid w:val="00AC64B2"/>
    <w:rsid w:val="00AC670D"/>
    <w:rsid w:val="00AC6884"/>
    <w:rsid w:val="00AC69E5"/>
    <w:rsid w:val="00AC6F7D"/>
    <w:rsid w:val="00AC6F90"/>
    <w:rsid w:val="00AC700E"/>
    <w:rsid w:val="00AC720A"/>
    <w:rsid w:val="00AC75FF"/>
    <w:rsid w:val="00AC7966"/>
    <w:rsid w:val="00AC79B7"/>
    <w:rsid w:val="00AC7C1A"/>
    <w:rsid w:val="00AD0463"/>
    <w:rsid w:val="00AD099D"/>
    <w:rsid w:val="00AD0E49"/>
    <w:rsid w:val="00AD0F1C"/>
    <w:rsid w:val="00AD0FE9"/>
    <w:rsid w:val="00AD116B"/>
    <w:rsid w:val="00AD11F7"/>
    <w:rsid w:val="00AD13DE"/>
    <w:rsid w:val="00AD16FD"/>
    <w:rsid w:val="00AD18C5"/>
    <w:rsid w:val="00AD18F2"/>
    <w:rsid w:val="00AD1F08"/>
    <w:rsid w:val="00AD20AD"/>
    <w:rsid w:val="00AD2782"/>
    <w:rsid w:val="00AD2A58"/>
    <w:rsid w:val="00AD2B5B"/>
    <w:rsid w:val="00AD2BC9"/>
    <w:rsid w:val="00AD2EA1"/>
    <w:rsid w:val="00AD3112"/>
    <w:rsid w:val="00AD33B4"/>
    <w:rsid w:val="00AD3908"/>
    <w:rsid w:val="00AD3ADF"/>
    <w:rsid w:val="00AD3F2E"/>
    <w:rsid w:val="00AD400C"/>
    <w:rsid w:val="00AD421B"/>
    <w:rsid w:val="00AD4339"/>
    <w:rsid w:val="00AD4375"/>
    <w:rsid w:val="00AD4811"/>
    <w:rsid w:val="00AD4856"/>
    <w:rsid w:val="00AD4B9E"/>
    <w:rsid w:val="00AD4DCE"/>
    <w:rsid w:val="00AD5839"/>
    <w:rsid w:val="00AD58DF"/>
    <w:rsid w:val="00AD58E4"/>
    <w:rsid w:val="00AD5911"/>
    <w:rsid w:val="00AD60EA"/>
    <w:rsid w:val="00AD61A3"/>
    <w:rsid w:val="00AD67D4"/>
    <w:rsid w:val="00AD6D6E"/>
    <w:rsid w:val="00AD6EAD"/>
    <w:rsid w:val="00AD6EAF"/>
    <w:rsid w:val="00AD7406"/>
    <w:rsid w:val="00AD7CD0"/>
    <w:rsid w:val="00AE0493"/>
    <w:rsid w:val="00AE04CD"/>
    <w:rsid w:val="00AE0719"/>
    <w:rsid w:val="00AE0929"/>
    <w:rsid w:val="00AE0AF2"/>
    <w:rsid w:val="00AE0B2A"/>
    <w:rsid w:val="00AE0D3D"/>
    <w:rsid w:val="00AE0FAD"/>
    <w:rsid w:val="00AE1094"/>
    <w:rsid w:val="00AE14B0"/>
    <w:rsid w:val="00AE15DF"/>
    <w:rsid w:val="00AE18BD"/>
    <w:rsid w:val="00AE1936"/>
    <w:rsid w:val="00AE1C66"/>
    <w:rsid w:val="00AE2025"/>
    <w:rsid w:val="00AE22C2"/>
    <w:rsid w:val="00AE23F7"/>
    <w:rsid w:val="00AE28FD"/>
    <w:rsid w:val="00AE29AD"/>
    <w:rsid w:val="00AE29D4"/>
    <w:rsid w:val="00AE2A39"/>
    <w:rsid w:val="00AE2A6B"/>
    <w:rsid w:val="00AE2BC0"/>
    <w:rsid w:val="00AE2C4E"/>
    <w:rsid w:val="00AE2E72"/>
    <w:rsid w:val="00AE31AA"/>
    <w:rsid w:val="00AE31C8"/>
    <w:rsid w:val="00AE3217"/>
    <w:rsid w:val="00AE34EA"/>
    <w:rsid w:val="00AE39AA"/>
    <w:rsid w:val="00AE3AA4"/>
    <w:rsid w:val="00AE3E0C"/>
    <w:rsid w:val="00AE4331"/>
    <w:rsid w:val="00AE452D"/>
    <w:rsid w:val="00AE4548"/>
    <w:rsid w:val="00AE47B1"/>
    <w:rsid w:val="00AE4AE0"/>
    <w:rsid w:val="00AE4E15"/>
    <w:rsid w:val="00AE4E91"/>
    <w:rsid w:val="00AE5409"/>
    <w:rsid w:val="00AE54F4"/>
    <w:rsid w:val="00AE561F"/>
    <w:rsid w:val="00AE5D80"/>
    <w:rsid w:val="00AE614D"/>
    <w:rsid w:val="00AE639B"/>
    <w:rsid w:val="00AE65B8"/>
    <w:rsid w:val="00AE6C7B"/>
    <w:rsid w:val="00AE6E1E"/>
    <w:rsid w:val="00AE720C"/>
    <w:rsid w:val="00AE7358"/>
    <w:rsid w:val="00AE73CC"/>
    <w:rsid w:val="00AE7802"/>
    <w:rsid w:val="00AE7849"/>
    <w:rsid w:val="00AE786E"/>
    <w:rsid w:val="00AE7977"/>
    <w:rsid w:val="00AE7C0D"/>
    <w:rsid w:val="00AE7D36"/>
    <w:rsid w:val="00AE7E89"/>
    <w:rsid w:val="00AE7ECD"/>
    <w:rsid w:val="00AF00DE"/>
    <w:rsid w:val="00AF0147"/>
    <w:rsid w:val="00AF05B5"/>
    <w:rsid w:val="00AF0BFF"/>
    <w:rsid w:val="00AF0C65"/>
    <w:rsid w:val="00AF0EAD"/>
    <w:rsid w:val="00AF12AC"/>
    <w:rsid w:val="00AF1A19"/>
    <w:rsid w:val="00AF1F10"/>
    <w:rsid w:val="00AF1F22"/>
    <w:rsid w:val="00AF2390"/>
    <w:rsid w:val="00AF2448"/>
    <w:rsid w:val="00AF24CB"/>
    <w:rsid w:val="00AF261E"/>
    <w:rsid w:val="00AF2788"/>
    <w:rsid w:val="00AF2DB4"/>
    <w:rsid w:val="00AF32D6"/>
    <w:rsid w:val="00AF3554"/>
    <w:rsid w:val="00AF359D"/>
    <w:rsid w:val="00AF36FD"/>
    <w:rsid w:val="00AF3BDB"/>
    <w:rsid w:val="00AF3D39"/>
    <w:rsid w:val="00AF411C"/>
    <w:rsid w:val="00AF4346"/>
    <w:rsid w:val="00AF44AA"/>
    <w:rsid w:val="00AF459B"/>
    <w:rsid w:val="00AF497B"/>
    <w:rsid w:val="00AF4A56"/>
    <w:rsid w:val="00AF4AF0"/>
    <w:rsid w:val="00AF4D46"/>
    <w:rsid w:val="00AF4EF2"/>
    <w:rsid w:val="00AF50F2"/>
    <w:rsid w:val="00AF52C9"/>
    <w:rsid w:val="00AF53A3"/>
    <w:rsid w:val="00AF5495"/>
    <w:rsid w:val="00AF57C8"/>
    <w:rsid w:val="00AF58C8"/>
    <w:rsid w:val="00AF5988"/>
    <w:rsid w:val="00AF61B1"/>
    <w:rsid w:val="00AF6338"/>
    <w:rsid w:val="00AF6569"/>
    <w:rsid w:val="00AF66C5"/>
    <w:rsid w:val="00AF67F3"/>
    <w:rsid w:val="00AF6A4C"/>
    <w:rsid w:val="00AF6EFF"/>
    <w:rsid w:val="00AF7127"/>
    <w:rsid w:val="00AF73A8"/>
    <w:rsid w:val="00AF761F"/>
    <w:rsid w:val="00AF7A1D"/>
    <w:rsid w:val="00AF7BBA"/>
    <w:rsid w:val="00AF7E03"/>
    <w:rsid w:val="00AF7E49"/>
    <w:rsid w:val="00B0020B"/>
    <w:rsid w:val="00B00333"/>
    <w:rsid w:val="00B007D5"/>
    <w:rsid w:val="00B00805"/>
    <w:rsid w:val="00B0080D"/>
    <w:rsid w:val="00B00DA4"/>
    <w:rsid w:val="00B01115"/>
    <w:rsid w:val="00B01141"/>
    <w:rsid w:val="00B012D9"/>
    <w:rsid w:val="00B01535"/>
    <w:rsid w:val="00B01706"/>
    <w:rsid w:val="00B01872"/>
    <w:rsid w:val="00B01AF1"/>
    <w:rsid w:val="00B01C02"/>
    <w:rsid w:val="00B01C31"/>
    <w:rsid w:val="00B01CC4"/>
    <w:rsid w:val="00B01ED1"/>
    <w:rsid w:val="00B02163"/>
    <w:rsid w:val="00B02183"/>
    <w:rsid w:val="00B02348"/>
    <w:rsid w:val="00B0242C"/>
    <w:rsid w:val="00B024B1"/>
    <w:rsid w:val="00B02717"/>
    <w:rsid w:val="00B02D70"/>
    <w:rsid w:val="00B02FB7"/>
    <w:rsid w:val="00B0302D"/>
    <w:rsid w:val="00B031B7"/>
    <w:rsid w:val="00B038D1"/>
    <w:rsid w:val="00B03B84"/>
    <w:rsid w:val="00B03C71"/>
    <w:rsid w:val="00B03D7A"/>
    <w:rsid w:val="00B03DB5"/>
    <w:rsid w:val="00B03ED0"/>
    <w:rsid w:val="00B047C2"/>
    <w:rsid w:val="00B04ADB"/>
    <w:rsid w:val="00B04CB1"/>
    <w:rsid w:val="00B04F76"/>
    <w:rsid w:val="00B0501D"/>
    <w:rsid w:val="00B050BB"/>
    <w:rsid w:val="00B05216"/>
    <w:rsid w:val="00B0542D"/>
    <w:rsid w:val="00B05635"/>
    <w:rsid w:val="00B056A0"/>
    <w:rsid w:val="00B056F7"/>
    <w:rsid w:val="00B05946"/>
    <w:rsid w:val="00B05E7B"/>
    <w:rsid w:val="00B0619F"/>
    <w:rsid w:val="00B07257"/>
    <w:rsid w:val="00B07620"/>
    <w:rsid w:val="00B076A8"/>
    <w:rsid w:val="00B076E5"/>
    <w:rsid w:val="00B07941"/>
    <w:rsid w:val="00B07BDC"/>
    <w:rsid w:val="00B102BC"/>
    <w:rsid w:val="00B1038F"/>
    <w:rsid w:val="00B10589"/>
    <w:rsid w:val="00B10740"/>
    <w:rsid w:val="00B10905"/>
    <w:rsid w:val="00B10C6B"/>
    <w:rsid w:val="00B10D89"/>
    <w:rsid w:val="00B10E1B"/>
    <w:rsid w:val="00B10F50"/>
    <w:rsid w:val="00B111E8"/>
    <w:rsid w:val="00B11205"/>
    <w:rsid w:val="00B11800"/>
    <w:rsid w:val="00B119FB"/>
    <w:rsid w:val="00B11A29"/>
    <w:rsid w:val="00B11B69"/>
    <w:rsid w:val="00B11BE7"/>
    <w:rsid w:val="00B11D36"/>
    <w:rsid w:val="00B11D4D"/>
    <w:rsid w:val="00B121AF"/>
    <w:rsid w:val="00B125E9"/>
    <w:rsid w:val="00B12CEA"/>
    <w:rsid w:val="00B13037"/>
    <w:rsid w:val="00B1314F"/>
    <w:rsid w:val="00B13630"/>
    <w:rsid w:val="00B13A42"/>
    <w:rsid w:val="00B1408D"/>
    <w:rsid w:val="00B143B6"/>
    <w:rsid w:val="00B14E5C"/>
    <w:rsid w:val="00B15038"/>
    <w:rsid w:val="00B15045"/>
    <w:rsid w:val="00B151CF"/>
    <w:rsid w:val="00B156F8"/>
    <w:rsid w:val="00B157E1"/>
    <w:rsid w:val="00B15AA1"/>
    <w:rsid w:val="00B15C14"/>
    <w:rsid w:val="00B15C15"/>
    <w:rsid w:val="00B15C40"/>
    <w:rsid w:val="00B160F6"/>
    <w:rsid w:val="00B1614F"/>
    <w:rsid w:val="00B161B5"/>
    <w:rsid w:val="00B162B9"/>
    <w:rsid w:val="00B169E4"/>
    <w:rsid w:val="00B16A5C"/>
    <w:rsid w:val="00B16A88"/>
    <w:rsid w:val="00B16B36"/>
    <w:rsid w:val="00B16C59"/>
    <w:rsid w:val="00B16E4B"/>
    <w:rsid w:val="00B171A3"/>
    <w:rsid w:val="00B175B7"/>
    <w:rsid w:val="00B1765F"/>
    <w:rsid w:val="00B200C0"/>
    <w:rsid w:val="00B20445"/>
    <w:rsid w:val="00B207CE"/>
    <w:rsid w:val="00B20E61"/>
    <w:rsid w:val="00B20E77"/>
    <w:rsid w:val="00B21311"/>
    <w:rsid w:val="00B213D4"/>
    <w:rsid w:val="00B21559"/>
    <w:rsid w:val="00B21867"/>
    <w:rsid w:val="00B21B51"/>
    <w:rsid w:val="00B220F5"/>
    <w:rsid w:val="00B22146"/>
    <w:rsid w:val="00B224EB"/>
    <w:rsid w:val="00B22756"/>
    <w:rsid w:val="00B22925"/>
    <w:rsid w:val="00B22991"/>
    <w:rsid w:val="00B229D0"/>
    <w:rsid w:val="00B22B39"/>
    <w:rsid w:val="00B22FAC"/>
    <w:rsid w:val="00B23103"/>
    <w:rsid w:val="00B231CA"/>
    <w:rsid w:val="00B2322D"/>
    <w:rsid w:val="00B2368D"/>
    <w:rsid w:val="00B2374D"/>
    <w:rsid w:val="00B238FB"/>
    <w:rsid w:val="00B23B5D"/>
    <w:rsid w:val="00B23C8F"/>
    <w:rsid w:val="00B23DB3"/>
    <w:rsid w:val="00B24067"/>
    <w:rsid w:val="00B241C7"/>
    <w:rsid w:val="00B243B4"/>
    <w:rsid w:val="00B24529"/>
    <w:rsid w:val="00B247AD"/>
    <w:rsid w:val="00B248A7"/>
    <w:rsid w:val="00B248EB"/>
    <w:rsid w:val="00B24A49"/>
    <w:rsid w:val="00B24A7F"/>
    <w:rsid w:val="00B25191"/>
    <w:rsid w:val="00B2535D"/>
    <w:rsid w:val="00B25D05"/>
    <w:rsid w:val="00B25E48"/>
    <w:rsid w:val="00B26298"/>
    <w:rsid w:val="00B26369"/>
    <w:rsid w:val="00B2637C"/>
    <w:rsid w:val="00B26596"/>
    <w:rsid w:val="00B26622"/>
    <w:rsid w:val="00B26669"/>
    <w:rsid w:val="00B26B35"/>
    <w:rsid w:val="00B26B4F"/>
    <w:rsid w:val="00B26F5B"/>
    <w:rsid w:val="00B26F8B"/>
    <w:rsid w:val="00B27579"/>
    <w:rsid w:val="00B276B4"/>
    <w:rsid w:val="00B27795"/>
    <w:rsid w:val="00B27D11"/>
    <w:rsid w:val="00B3027F"/>
    <w:rsid w:val="00B303F6"/>
    <w:rsid w:val="00B30433"/>
    <w:rsid w:val="00B3054D"/>
    <w:rsid w:val="00B3055A"/>
    <w:rsid w:val="00B305EC"/>
    <w:rsid w:val="00B307B7"/>
    <w:rsid w:val="00B30A64"/>
    <w:rsid w:val="00B30B3C"/>
    <w:rsid w:val="00B30D79"/>
    <w:rsid w:val="00B30DFF"/>
    <w:rsid w:val="00B30F49"/>
    <w:rsid w:val="00B31293"/>
    <w:rsid w:val="00B312C0"/>
    <w:rsid w:val="00B314FB"/>
    <w:rsid w:val="00B315F5"/>
    <w:rsid w:val="00B316ED"/>
    <w:rsid w:val="00B319E3"/>
    <w:rsid w:val="00B31EEB"/>
    <w:rsid w:val="00B32299"/>
    <w:rsid w:val="00B3255F"/>
    <w:rsid w:val="00B327FD"/>
    <w:rsid w:val="00B32B6D"/>
    <w:rsid w:val="00B32DE9"/>
    <w:rsid w:val="00B3321E"/>
    <w:rsid w:val="00B3325C"/>
    <w:rsid w:val="00B33415"/>
    <w:rsid w:val="00B33584"/>
    <w:rsid w:val="00B33877"/>
    <w:rsid w:val="00B33D9E"/>
    <w:rsid w:val="00B344AF"/>
    <w:rsid w:val="00B34BF6"/>
    <w:rsid w:val="00B3514A"/>
    <w:rsid w:val="00B35164"/>
    <w:rsid w:val="00B352E5"/>
    <w:rsid w:val="00B3549E"/>
    <w:rsid w:val="00B3592D"/>
    <w:rsid w:val="00B36028"/>
    <w:rsid w:val="00B3676F"/>
    <w:rsid w:val="00B368BF"/>
    <w:rsid w:val="00B36BB2"/>
    <w:rsid w:val="00B3709B"/>
    <w:rsid w:val="00B37130"/>
    <w:rsid w:val="00B377CF"/>
    <w:rsid w:val="00B37C4F"/>
    <w:rsid w:val="00B37D8C"/>
    <w:rsid w:val="00B40064"/>
    <w:rsid w:val="00B402AB"/>
    <w:rsid w:val="00B411E9"/>
    <w:rsid w:val="00B4142C"/>
    <w:rsid w:val="00B41D15"/>
    <w:rsid w:val="00B42083"/>
    <w:rsid w:val="00B42125"/>
    <w:rsid w:val="00B42A55"/>
    <w:rsid w:val="00B42B67"/>
    <w:rsid w:val="00B42BCB"/>
    <w:rsid w:val="00B42F85"/>
    <w:rsid w:val="00B436B0"/>
    <w:rsid w:val="00B4390A"/>
    <w:rsid w:val="00B43BC0"/>
    <w:rsid w:val="00B43F2B"/>
    <w:rsid w:val="00B440C4"/>
    <w:rsid w:val="00B44331"/>
    <w:rsid w:val="00B446B6"/>
    <w:rsid w:val="00B44749"/>
    <w:rsid w:val="00B44897"/>
    <w:rsid w:val="00B44954"/>
    <w:rsid w:val="00B45304"/>
    <w:rsid w:val="00B45874"/>
    <w:rsid w:val="00B45EA7"/>
    <w:rsid w:val="00B46339"/>
    <w:rsid w:val="00B4654F"/>
    <w:rsid w:val="00B4661C"/>
    <w:rsid w:val="00B4669B"/>
    <w:rsid w:val="00B467A5"/>
    <w:rsid w:val="00B46848"/>
    <w:rsid w:val="00B46B84"/>
    <w:rsid w:val="00B46C6B"/>
    <w:rsid w:val="00B46D05"/>
    <w:rsid w:val="00B46FD4"/>
    <w:rsid w:val="00B470B4"/>
    <w:rsid w:val="00B47139"/>
    <w:rsid w:val="00B4795A"/>
    <w:rsid w:val="00B47D79"/>
    <w:rsid w:val="00B47EDA"/>
    <w:rsid w:val="00B50156"/>
    <w:rsid w:val="00B50A44"/>
    <w:rsid w:val="00B50AD8"/>
    <w:rsid w:val="00B50BE4"/>
    <w:rsid w:val="00B50D48"/>
    <w:rsid w:val="00B50E39"/>
    <w:rsid w:val="00B512C2"/>
    <w:rsid w:val="00B51679"/>
    <w:rsid w:val="00B51B7B"/>
    <w:rsid w:val="00B51C58"/>
    <w:rsid w:val="00B51DEF"/>
    <w:rsid w:val="00B51F79"/>
    <w:rsid w:val="00B521D0"/>
    <w:rsid w:val="00B52464"/>
    <w:rsid w:val="00B52602"/>
    <w:rsid w:val="00B53098"/>
    <w:rsid w:val="00B5313C"/>
    <w:rsid w:val="00B53235"/>
    <w:rsid w:val="00B534B1"/>
    <w:rsid w:val="00B53673"/>
    <w:rsid w:val="00B53D97"/>
    <w:rsid w:val="00B545EC"/>
    <w:rsid w:val="00B547D0"/>
    <w:rsid w:val="00B54AEB"/>
    <w:rsid w:val="00B54B25"/>
    <w:rsid w:val="00B54E2B"/>
    <w:rsid w:val="00B55162"/>
    <w:rsid w:val="00B5516B"/>
    <w:rsid w:val="00B55524"/>
    <w:rsid w:val="00B555ED"/>
    <w:rsid w:val="00B55625"/>
    <w:rsid w:val="00B55685"/>
    <w:rsid w:val="00B55B00"/>
    <w:rsid w:val="00B55BF0"/>
    <w:rsid w:val="00B55CE1"/>
    <w:rsid w:val="00B55CF2"/>
    <w:rsid w:val="00B5620C"/>
    <w:rsid w:val="00B56516"/>
    <w:rsid w:val="00B565E6"/>
    <w:rsid w:val="00B56764"/>
    <w:rsid w:val="00B56869"/>
    <w:rsid w:val="00B56887"/>
    <w:rsid w:val="00B56AFA"/>
    <w:rsid w:val="00B56DE7"/>
    <w:rsid w:val="00B56F11"/>
    <w:rsid w:val="00B57229"/>
    <w:rsid w:val="00B57418"/>
    <w:rsid w:val="00B5759A"/>
    <w:rsid w:val="00B575BF"/>
    <w:rsid w:val="00B57D95"/>
    <w:rsid w:val="00B57FC0"/>
    <w:rsid w:val="00B6013C"/>
    <w:rsid w:val="00B6033B"/>
    <w:rsid w:val="00B603BA"/>
    <w:rsid w:val="00B603CB"/>
    <w:rsid w:val="00B60633"/>
    <w:rsid w:val="00B607F6"/>
    <w:rsid w:val="00B60837"/>
    <w:rsid w:val="00B60A17"/>
    <w:rsid w:val="00B60B22"/>
    <w:rsid w:val="00B60C71"/>
    <w:rsid w:val="00B60CBB"/>
    <w:rsid w:val="00B60E27"/>
    <w:rsid w:val="00B60E7F"/>
    <w:rsid w:val="00B610DB"/>
    <w:rsid w:val="00B612EA"/>
    <w:rsid w:val="00B61400"/>
    <w:rsid w:val="00B617AF"/>
    <w:rsid w:val="00B6188A"/>
    <w:rsid w:val="00B61AC6"/>
    <w:rsid w:val="00B61C66"/>
    <w:rsid w:val="00B61E03"/>
    <w:rsid w:val="00B6202F"/>
    <w:rsid w:val="00B621A4"/>
    <w:rsid w:val="00B62271"/>
    <w:rsid w:val="00B62604"/>
    <w:rsid w:val="00B627E4"/>
    <w:rsid w:val="00B62816"/>
    <w:rsid w:val="00B62C31"/>
    <w:rsid w:val="00B62DF2"/>
    <w:rsid w:val="00B631BD"/>
    <w:rsid w:val="00B631ED"/>
    <w:rsid w:val="00B6347B"/>
    <w:rsid w:val="00B6368D"/>
    <w:rsid w:val="00B636A8"/>
    <w:rsid w:val="00B638A7"/>
    <w:rsid w:val="00B63BCA"/>
    <w:rsid w:val="00B63E06"/>
    <w:rsid w:val="00B63FD0"/>
    <w:rsid w:val="00B6418B"/>
    <w:rsid w:val="00B64862"/>
    <w:rsid w:val="00B64A44"/>
    <w:rsid w:val="00B64FF5"/>
    <w:rsid w:val="00B65066"/>
    <w:rsid w:val="00B6512D"/>
    <w:rsid w:val="00B65145"/>
    <w:rsid w:val="00B6549D"/>
    <w:rsid w:val="00B655FD"/>
    <w:rsid w:val="00B65719"/>
    <w:rsid w:val="00B65C80"/>
    <w:rsid w:val="00B65D0F"/>
    <w:rsid w:val="00B65E49"/>
    <w:rsid w:val="00B660D7"/>
    <w:rsid w:val="00B66384"/>
    <w:rsid w:val="00B663FC"/>
    <w:rsid w:val="00B66500"/>
    <w:rsid w:val="00B6671A"/>
    <w:rsid w:val="00B66A87"/>
    <w:rsid w:val="00B66BD5"/>
    <w:rsid w:val="00B66C4A"/>
    <w:rsid w:val="00B66E4B"/>
    <w:rsid w:val="00B66EBB"/>
    <w:rsid w:val="00B67E02"/>
    <w:rsid w:val="00B67E9A"/>
    <w:rsid w:val="00B70085"/>
    <w:rsid w:val="00B7022E"/>
    <w:rsid w:val="00B703FE"/>
    <w:rsid w:val="00B70439"/>
    <w:rsid w:val="00B70812"/>
    <w:rsid w:val="00B70CBC"/>
    <w:rsid w:val="00B70FDF"/>
    <w:rsid w:val="00B71028"/>
    <w:rsid w:val="00B712D0"/>
    <w:rsid w:val="00B71BEF"/>
    <w:rsid w:val="00B723CB"/>
    <w:rsid w:val="00B726F0"/>
    <w:rsid w:val="00B72ABB"/>
    <w:rsid w:val="00B72C3B"/>
    <w:rsid w:val="00B72E9F"/>
    <w:rsid w:val="00B730F6"/>
    <w:rsid w:val="00B73328"/>
    <w:rsid w:val="00B7384D"/>
    <w:rsid w:val="00B73B7A"/>
    <w:rsid w:val="00B73E22"/>
    <w:rsid w:val="00B73E89"/>
    <w:rsid w:val="00B73EFF"/>
    <w:rsid w:val="00B741EB"/>
    <w:rsid w:val="00B7431A"/>
    <w:rsid w:val="00B74372"/>
    <w:rsid w:val="00B74466"/>
    <w:rsid w:val="00B744AA"/>
    <w:rsid w:val="00B74DA1"/>
    <w:rsid w:val="00B74F42"/>
    <w:rsid w:val="00B74FE8"/>
    <w:rsid w:val="00B757E5"/>
    <w:rsid w:val="00B75938"/>
    <w:rsid w:val="00B75A81"/>
    <w:rsid w:val="00B75CF2"/>
    <w:rsid w:val="00B75E51"/>
    <w:rsid w:val="00B76143"/>
    <w:rsid w:val="00B76518"/>
    <w:rsid w:val="00B76A71"/>
    <w:rsid w:val="00B76CA3"/>
    <w:rsid w:val="00B76F17"/>
    <w:rsid w:val="00B76F50"/>
    <w:rsid w:val="00B77182"/>
    <w:rsid w:val="00B77267"/>
    <w:rsid w:val="00B77565"/>
    <w:rsid w:val="00B77B16"/>
    <w:rsid w:val="00B77F5F"/>
    <w:rsid w:val="00B77FCA"/>
    <w:rsid w:val="00B8024A"/>
    <w:rsid w:val="00B80368"/>
    <w:rsid w:val="00B8055E"/>
    <w:rsid w:val="00B806DF"/>
    <w:rsid w:val="00B806EF"/>
    <w:rsid w:val="00B80842"/>
    <w:rsid w:val="00B80C05"/>
    <w:rsid w:val="00B80FA2"/>
    <w:rsid w:val="00B81520"/>
    <w:rsid w:val="00B81969"/>
    <w:rsid w:val="00B81A09"/>
    <w:rsid w:val="00B81E66"/>
    <w:rsid w:val="00B81F10"/>
    <w:rsid w:val="00B81F38"/>
    <w:rsid w:val="00B82725"/>
    <w:rsid w:val="00B8295D"/>
    <w:rsid w:val="00B829E2"/>
    <w:rsid w:val="00B82AAC"/>
    <w:rsid w:val="00B82B41"/>
    <w:rsid w:val="00B82D0C"/>
    <w:rsid w:val="00B82EC7"/>
    <w:rsid w:val="00B82ED5"/>
    <w:rsid w:val="00B82FAD"/>
    <w:rsid w:val="00B82FEA"/>
    <w:rsid w:val="00B82FF5"/>
    <w:rsid w:val="00B832D7"/>
    <w:rsid w:val="00B83335"/>
    <w:rsid w:val="00B83342"/>
    <w:rsid w:val="00B8386F"/>
    <w:rsid w:val="00B83B62"/>
    <w:rsid w:val="00B83C49"/>
    <w:rsid w:val="00B83E94"/>
    <w:rsid w:val="00B83F1A"/>
    <w:rsid w:val="00B841B2"/>
    <w:rsid w:val="00B8434A"/>
    <w:rsid w:val="00B847D4"/>
    <w:rsid w:val="00B84883"/>
    <w:rsid w:val="00B84BA0"/>
    <w:rsid w:val="00B85013"/>
    <w:rsid w:val="00B851B2"/>
    <w:rsid w:val="00B8528F"/>
    <w:rsid w:val="00B8535F"/>
    <w:rsid w:val="00B85F0F"/>
    <w:rsid w:val="00B8604E"/>
    <w:rsid w:val="00B864F2"/>
    <w:rsid w:val="00B8661F"/>
    <w:rsid w:val="00B8691C"/>
    <w:rsid w:val="00B86B7B"/>
    <w:rsid w:val="00B86E70"/>
    <w:rsid w:val="00B87370"/>
    <w:rsid w:val="00B8739E"/>
    <w:rsid w:val="00B8756F"/>
    <w:rsid w:val="00B877D6"/>
    <w:rsid w:val="00B878CD"/>
    <w:rsid w:val="00B8791C"/>
    <w:rsid w:val="00B9003E"/>
    <w:rsid w:val="00B9026A"/>
    <w:rsid w:val="00B9030F"/>
    <w:rsid w:val="00B903EF"/>
    <w:rsid w:val="00B90D80"/>
    <w:rsid w:val="00B914A8"/>
    <w:rsid w:val="00B914D8"/>
    <w:rsid w:val="00B91659"/>
    <w:rsid w:val="00B916E6"/>
    <w:rsid w:val="00B9174A"/>
    <w:rsid w:val="00B91850"/>
    <w:rsid w:val="00B91AC6"/>
    <w:rsid w:val="00B91CB1"/>
    <w:rsid w:val="00B91D66"/>
    <w:rsid w:val="00B91DFC"/>
    <w:rsid w:val="00B91E23"/>
    <w:rsid w:val="00B91E50"/>
    <w:rsid w:val="00B9249B"/>
    <w:rsid w:val="00B92C34"/>
    <w:rsid w:val="00B92E96"/>
    <w:rsid w:val="00B92EEF"/>
    <w:rsid w:val="00B92FA7"/>
    <w:rsid w:val="00B931FF"/>
    <w:rsid w:val="00B9322C"/>
    <w:rsid w:val="00B93596"/>
    <w:rsid w:val="00B936CF"/>
    <w:rsid w:val="00B936D2"/>
    <w:rsid w:val="00B93E02"/>
    <w:rsid w:val="00B93E61"/>
    <w:rsid w:val="00B941B4"/>
    <w:rsid w:val="00B94290"/>
    <w:rsid w:val="00B9442B"/>
    <w:rsid w:val="00B94529"/>
    <w:rsid w:val="00B9453B"/>
    <w:rsid w:val="00B94786"/>
    <w:rsid w:val="00B947F2"/>
    <w:rsid w:val="00B94900"/>
    <w:rsid w:val="00B94ADB"/>
    <w:rsid w:val="00B94C44"/>
    <w:rsid w:val="00B95154"/>
    <w:rsid w:val="00B95322"/>
    <w:rsid w:val="00B9536C"/>
    <w:rsid w:val="00B9550F"/>
    <w:rsid w:val="00B95534"/>
    <w:rsid w:val="00B95546"/>
    <w:rsid w:val="00B95995"/>
    <w:rsid w:val="00B95CE3"/>
    <w:rsid w:val="00B95FCD"/>
    <w:rsid w:val="00B964EB"/>
    <w:rsid w:val="00B9658B"/>
    <w:rsid w:val="00B96B5C"/>
    <w:rsid w:val="00B96C2B"/>
    <w:rsid w:val="00B96E01"/>
    <w:rsid w:val="00B974F1"/>
    <w:rsid w:val="00B9752B"/>
    <w:rsid w:val="00B9759F"/>
    <w:rsid w:val="00B975FE"/>
    <w:rsid w:val="00B977B2"/>
    <w:rsid w:val="00B977EE"/>
    <w:rsid w:val="00BA0036"/>
    <w:rsid w:val="00BA0211"/>
    <w:rsid w:val="00BA02D0"/>
    <w:rsid w:val="00BA0392"/>
    <w:rsid w:val="00BA04D1"/>
    <w:rsid w:val="00BA04E1"/>
    <w:rsid w:val="00BA08BA"/>
    <w:rsid w:val="00BA0B03"/>
    <w:rsid w:val="00BA0DFA"/>
    <w:rsid w:val="00BA0EF8"/>
    <w:rsid w:val="00BA1259"/>
    <w:rsid w:val="00BA1284"/>
    <w:rsid w:val="00BA14C6"/>
    <w:rsid w:val="00BA15BA"/>
    <w:rsid w:val="00BA1A6F"/>
    <w:rsid w:val="00BA1B95"/>
    <w:rsid w:val="00BA1CCC"/>
    <w:rsid w:val="00BA1FFB"/>
    <w:rsid w:val="00BA201A"/>
    <w:rsid w:val="00BA2347"/>
    <w:rsid w:val="00BA2733"/>
    <w:rsid w:val="00BA2828"/>
    <w:rsid w:val="00BA2889"/>
    <w:rsid w:val="00BA2A93"/>
    <w:rsid w:val="00BA2B3F"/>
    <w:rsid w:val="00BA2F68"/>
    <w:rsid w:val="00BA3800"/>
    <w:rsid w:val="00BA39B4"/>
    <w:rsid w:val="00BA3C56"/>
    <w:rsid w:val="00BA3E2A"/>
    <w:rsid w:val="00BA402B"/>
    <w:rsid w:val="00BA4281"/>
    <w:rsid w:val="00BA464A"/>
    <w:rsid w:val="00BA465A"/>
    <w:rsid w:val="00BA4BD3"/>
    <w:rsid w:val="00BA4E45"/>
    <w:rsid w:val="00BA506C"/>
    <w:rsid w:val="00BA5313"/>
    <w:rsid w:val="00BA5333"/>
    <w:rsid w:val="00BA5530"/>
    <w:rsid w:val="00BA5765"/>
    <w:rsid w:val="00BA5954"/>
    <w:rsid w:val="00BA59FB"/>
    <w:rsid w:val="00BA5CAE"/>
    <w:rsid w:val="00BA5DC9"/>
    <w:rsid w:val="00BA6080"/>
    <w:rsid w:val="00BA6694"/>
    <w:rsid w:val="00BA684D"/>
    <w:rsid w:val="00BA69D5"/>
    <w:rsid w:val="00BA6B5D"/>
    <w:rsid w:val="00BA710F"/>
    <w:rsid w:val="00BA7112"/>
    <w:rsid w:val="00BA74B8"/>
    <w:rsid w:val="00BA76DF"/>
    <w:rsid w:val="00BA7A28"/>
    <w:rsid w:val="00BA7A60"/>
    <w:rsid w:val="00BA7A9C"/>
    <w:rsid w:val="00BB0143"/>
    <w:rsid w:val="00BB0259"/>
    <w:rsid w:val="00BB0B15"/>
    <w:rsid w:val="00BB0BC2"/>
    <w:rsid w:val="00BB0E3C"/>
    <w:rsid w:val="00BB0F1F"/>
    <w:rsid w:val="00BB14A3"/>
    <w:rsid w:val="00BB167A"/>
    <w:rsid w:val="00BB16BD"/>
    <w:rsid w:val="00BB1D7D"/>
    <w:rsid w:val="00BB1ECF"/>
    <w:rsid w:val="00BB1F23"/>
    <w:rsid w:val="00BB21C6"/>
    <w:rsid w:val="00BB21F5"/>
    <w:rsid w:val="00BB2431"/>
    <w:rsid w:val="00BB25EF"/>
    <w:rsid w:val="00BB29D8"/>
    <w:rsid w:val="00BB2C12"/>
    <w:rsid w:val="00BB2DF4"/>
    <w:rsid w:val="00BB30DC"/>
    <w:rsid w:val="00BB30EC"/>
    <w:rsid w:val="00BB3492"/>
    <w:rsid w:val="00BB39E7"/>
    <w:rsid w:val="00BB3EE2"/>
    <w:rsid w:val="00BB41B4"/>
    <w:rsid w:val="00BB4530"/>
    <w:rsid w:val="00BB4A39"/>
    <w:rsid w:val="00BB4A4F"/>
    <w:rsid w:val="00BB4CDA"/>
    <w:rsid w:val="00BB4FEC"/>
    <w:rsid w:val="00BB5808"/>
    <w:rsid w:val="00BB5837"/>
    <w:rsid w:val="00BB5AE1"/>
    <w:rsid w:val="00BB5C2A"/>
    <w:rsid w:val="00BB5CA6"/>
    <w:rsid w:val="00BB5CAC"/>
    <w:rsid w:val="00BB5F0B"/>
    <w:rsid w:val="00BB647F"/>
    <w:rsid w:val="00BB6591"/>
    <w:rsid w:val="00BB6CBD"/>
    <w:rsid w:val="00BB6E3B"/>
    <w:rsid w:val="00BB7225"/>
    <w:rsid w:val="00BB748D"/>
    <w:rsid w:val="00BB78CA"/>
    <w:rsid w:val="00BB7C67"/>
    <w:rsid w:val="00BB7F5E"/>
    <w:rsid w:val="00BC0315"/>
    <w:rsid w:val="00BC07D1"/>
    <w:rsid w:val="00BC0A8C"/>
    <w:rsid w:val="00BC1160"/>
    <w:rsid w:val="00BC15DE"/>
    <w:rsid w:val="00BC17C8"/>
    <w:rsid w:val="00BC182E"/>
    <w:rsid w:val="00BC18E9"/>
    <w:rsid w:val="00BC1ACE"/>
    <w:rsid w:val="00BC1D54"/>
    <w:rsid w:val="00BC1EBF"/>
    <w:rsid w:val="00BC270C"/>
    <w:rsid w:val="00BC271C"/>
    <w:rsid w:val="00BC303F"/>
    <w:rsid w:val="00BC360A"/>
    <w:rsid w:val="00BC369C"/>
    <w:rsid w:val="00BC37E7"/>
    <w:rsid w:val="00BC3B20"/>
    <w:rsid w:val="00BC3D84"/>
    <w:rsid w:val="00BC3E23"/>
    <w:rsid w:val="00BC4164"/>
    <w:rsid w:val="00BC43D1"/>
    <w:rsid w:val="00BC4972"/>
    <w:rsid w:val="00BC4B94"/>
    <w:rsid w:val="00BC5408"/>
    <w:rsid w:val="00BC567A"/>
    <w:rsid w:val="00BC5721"/>
    <w:rsid w:val="00BC5769"/>
    <w:rsid w:val="00BC5B3F"/>
    <w:rsid w:val="00BC5B97"/>
    <w:rsid w:val="00BC5F98"/>
    <w:rsid w:val="00BC5FD4"/>
    <w:rsid w:val="00BC6897"/>
    <w:rsid w:val="00BC6AA8"/>
    <w:rsid w:val="00BC6E20"/>
    <w:rsid w:val="00BC764B"/>
    <w:rsid w:val="00BC7678"/>
    <w:rsid w:val="00BC78DF"/>
    <w:rsid w:val="00BD062A"/>
    <w:rsid w:val="00BD0804"/>
    <w:rsid w:val="00BD0AD7"/>
    <w:rsid w:val="00BD1418"/>
    <w:rsid w:val="00BD1A52"/>
    <w:rsid w:val="00BD1B04"/>
    <w:rsid w:val="00BD1B8D"/>
    <w:rsid w:val="00BD1D40"/>
    <w:rsid w:val="00BD1FA6"/>
    <w:rsid w:val="00BD214D"/>
    <w:rsid w:val="00BD2374"/>
    <w:rsid w:val="00BD2989"/>
    <w:rsid w:val="00BD2ADC"/>
    <w:rsid w:val="00BD2BBE"/>
    <w:rsid w:val="00BD2C18"/>
    <w:rsid w:val="00BD2E78"/>
    <w:rsid w:val="00BD321B"/>
    <w:rsid w:val="00BD32A4"/>
    <w:rsid w:val="00BD33D4"/>
    <w:rsid w:val="00BD399E"/>
    <w:rsid w:val="00BD3C9D"/>
    <w:rsid w:val="00BD40B1"/>
    <w:rsid w:val="00BD4120"/>
    <w:rsid w:val="00BD4300"/>
    <w:rsid w:val="00BD43D1"/>
    <w:rsid w:val="00BD4407"/>
    <w:rsid w:val="00BD454F"/>
    <w:rsid w:val="00BD464C"/>
    <w:rsid w:val="00BD494E"/>
    <w:rsid w:val="00BD4D7A"/>
    <w:rsid w:val="00BD4DB7"/>
    <w:rsid w:val="00BD4ED9"/>
    <w:rsid w:val="00BD4F97"/>
    <w:rsid w:val="00BD53A6"/>
    <w:rsid w:val="00BD5438"/>
    <w:rsid w:val="00BD5A5E"/>
    <w:rsid w:val="00BD5E30"/>
    <w:rsid w:val="00BD5E47"/>
    <w:rsid w:val="00BD6407"/>
    <w:rsid w:val="00BD6426"/>
    <w:rsid w:val="00BD66CC"/>
    <w:rsid w:val="00BD693D"/>
    <w:rsid w:val="00BD6C57"/>
    <w:rsid w:val="00BD6D33"/>
    <w:rsid w:val="00BD6F8C"/>
    <w:rsid w:val="00BD6FAB"/>
    <w:rsid w:val="00BD71EB"/>
    <w:rsid w:val="00BD7457"/>
    <w:rsid w:val="00BD7944"/>
    <w:rsid w:val="00BD7983"/>
    <w:rsid w:val="00BD7B47"/>
    <w:rsid w:val="00BD7E2C"/>
    <w:rsid w:val="00BE025C"/>
    <w:rsid w:val="00BE0474"/>
    <w:rsid w:val="00BE0851"/>
    <w:rsid w:val="00BE0A6F"/>
    <w:rsid w:val="00BE0C76"/>
    <w:rsid w:val="00BE0ECF"/>
    <w:rsid w:val="00BE1034"/>
    <w:rsid w:val="00BE11D4"/>
    <w:rsid w:val="00BE1665"/>
    <w:rsid w:val="00BE16F0"/>
    <w:rsid w:val="00BE1840"/>
    <w:rsid w:val="00BE1B37"/>
    <w:rsid w:val="00BE1B54"/>
    <w:rsid w:val="00BE2127"/>
    <w:rsid w:val="00BE219A"/>
    <w:rsid w:val="00BE250D"/>
    <w:rsid w:val="00BE260B"/>
    <w:rsid w:val="00BE2811"/>
    <w:rsid w:val="00BE2896"/>
    <w:rsid w:val="00BE291B"/>
    <w:rsid w:val="00BE29E4"/>
    <w:rsid w:val="00BE2AB5"/>
    <w:rsid w:val="00BE2DA2"/>
    <w:rsid w:val="00BE30DC"/>
    <w:rsid w:val="00BE32CB"/>
    <w:rsid w:val="00BE3690"/>
    <w:rsid w:val="00BE3996"/>
    <w:rsid w:val="00BE39A4"/>
    <w:rsid w:val="00BE40C5"/>
    <w:rsid w:val="00BE415B"/>
    <w:rsid w:val="00BE4246"/>
    <w:rsid w:val="00BE4263"/>
    <w:rsid w:val="00BE431D"/>
    <w:rsid w:val="00BE454E"/>
    <w:rsid w:val="00BE474E"/>
    <w:rsid w:val="00BE47BF"/>
    <w:rsid w:val="00BE490A"/>
    <w:rsid w:val="00BE49EC"/>
    <w:rsid w:val="00BE4E25"/>
    <w:rsid w:val="00BE5374"/>
    <w:rsid w:val="00BE547A"/>
    <w:rsid w:val="00BE5633"/>
    <w:rsid w:val="00BE5791"/>
    <w:rsid w:val="00BE57B2"/>
    <w:rsid w:val="00BE57CE"/>
    <w:rsid w:val="00BE5866"/>
    <w:rsid w:val="00BE5BAC"/>
    <w:rsid w:val="00BE5CC5"/>
    <w:rsid w:val="00BE627A"/>
    <w:rsid w:val="00BE63DF"/>
    <w:rsid w:val="00BE648D"/>
    <w:rsid w:val="00BE6834"/>
    <w:rsid w:val="00BE699C"/>
    <w:rsid w:val="00BE6CE8"/>
    <w:rsid w:val="00BE6D98"/>
    <w:rsid w:val="00BE7103"/>
    <w:rsid w:val="00BE7801"/>
    <w:rsid w:val="00BE7867"/>
    <w:rsid w:val="00BE7A33"/>
    <w:rsid w:val="00BF005B"/>
    <w:rsid w:val="00BF014B"/>
    <w:rsid w:val="00BF0329"/>
    <w:rsid w:val="00BF0795"/>
    <w:rsid w:val="00BF0B64"/>
    <w:rsid w:val="00BF0BA0"/>
    <w:rsid w:val="00BF0FB2"/>
    <w:rsid w:val="00BF1223"/>
    <w:rsid w:val="00BF149F"/>
    <w:rsid w:val="00BF22A1"/>
    <w:rsid w:val="00BF23B1"/>
    <w:rsid w:val="00BF2542"/>
    <w:rsid w:val="00BF25CE"/>
    <w:rsid w:val="00BF26E6"/>
    <w:rsid w:val="00BF27E5"/>
    <w:rsid w:val="00BF2D6B"/>
    <w:rsid w:val="00BF317F"/>
    <w:rsid w:val="00BF3AC8"/>
    <w:rsid w:val="00BF3C07"/>
    <w:rsid w:val="00BF3FBD"/>
    <w:rsid w:val="00BF400D"/>
    <w:rsid w:val="00BF4223"/>
    <w:rsid w:val="00BF42A6"/>
    <w:rsid w:val="00BF485E"/>
    <w:rsid w:val="00BF4B0A"/>
    <w:rsid w:val="00BF4B25"/>
    <w:rsid w:val="00BF4E90"/>
    <w:rsid w:val="00BF4EF9"/>
    <w:rsid w:val="00BF5154"/>
    <w:rsid w:val="00BF5444"/>
    <w:rsid w:val="00BF57EC"/>
    <w:rsid w:val="00BF5D11"/>
    <w:rsid w:val="00BF5FD6"/>
    <w:rsid w:val="00BF6376"/>
    <w:rsid w:val="00BF68B7"/>
    <w:rsid w:val="00BF6952"/>
    <w:rsid w:val="00BF711A"/>
    <w:rsid w:val="00BF7198"/>
    <w:rsid w:val="00BF71E3"/>
    <w:rsid w:val="00BF738C"/>
    <w:rsid w:val="00BF74A3"/>
    <w:rsid w:val="00BF7A5F"/>
    <w:rsid w:val="00BF7BD1"/>
    <w:rsid w:val="00BF7C54"/>
    <w:rsid w:val="00BF7CC4"/>
    <w:rsid w:val="00BF7CCF"/>
    <w:rsid w:val="00BF7E5A"/>
    <w:rsid w:val="00BF7F4B"/>
    <w:rsid w:val="00C00124"/>
    <w:rsid w:val="00C004E3"/>
    <w:rsid w:val="00C005DC"/>
    <w:rsid w:val="00C0061F"/>
    <w:rsid w:val="00C0063A"/>
    <w:rsid w:val="00C00AFC"/>
    <w:rsid w:val="00C00D2C"/>
    <w:rsid w:val="00C00DEE"/>
    <w:rsid w:val="00C00E8A"/>
    <w:rsid w:val="00C0101F"/>
    <w:rsid w:val="00C01363"/>
    <w:rsid w:val="00C01559"/>
    <w:rsid w:val="00C015BA"/>
    <w:rsid w:val="00C016D9"/>
    <w:rsid w:val="00C017F8"/>
    <w:rsid w:val="00C01983"/>
    <w:rsid w:val="00C01B61"/>
    <w:rsid w:val="00C01D5F"/>
    <w:rsid w:val="00C02064"/>
    <w:rsid w:val="00C02340"/>
    <w:rsid w:val="00C02637"/>
    <w:rsid w:val="00C02E26"/>
    <w:rsid w:val="00C03031"/>
    <w:rsid w:val="00C0319F"/>
    <w:rsid w:val="00C03345"/>
    <w:rsid w:val="00C0345A"/>
    <w:rsid w:val="00C03511"/>
    <w:rsid w:val="00C039F1"/>
    <w:rsid w:val="00C04C01"/>
    <w:rsid w:val="00C04C3A"/>
    <w:rsid w:val="00C04D62"/>
    <w:rsid w:val="00C05700"/>
    <w:rsid w:val="00C0570A"/>
    <w:rsid w:val="00C05E07"/>
    <w:rsid w:val="00C063C3"/>
    <w:rsid w:val="00C06443"/>
    <w:rsid w:val="00C06464"/>
    <w:rsid w:val="00C0648C"/>
    <w:rsid w:val="00C064CB"/>
    <w:rsid w:val="00C065D2"/>
    <w:rsid w:val="00C07013"/>
    <w:rsid w:val="00C0749A"/>
    <w:rsid w:val="00C074CD"/>
    <w:rsid w:val="00C0753D"/>
    <w:rsid w:val="00C07974"/>
    <w:rsid w:val="00C07C0B"/>
    <w:rsid w:val="00C07C6D"/>
    <w:rsid w:val="00C101FE"/>
    <w:rsid w:val="00C10473"/>
    <w:rsid w:val="00C107C3"/>
    <w:rsid w:val="00C108F0"/>
    <w:rsid w:val="00C109B0"/>
    <w:rsid w:val="00C10A12"/>
    <w:rsid w:val="00C10BE4"/>
    <w:rsid w:val="00C1127A"/>
    <w:rsid w:val="00C112AA"/>
    <w:rsid w:val="00C119D8"/>
    <w:rsid w:val="00C11C9B"/>
    <w:rsid w:val="00C11D69"/>
    <w:rsid w:val="00C11D93"/>
    <w:rsid w:val="00C11F14"/>
    <w:rsid w:val="00C11F22"/>
    <w:rsid w:val="00C121D2"/>
    <w:rsid w:val="00C123FE"/>
    <w:rsid w:val="00C125CE"/>
    <w:rsid w:val="00C1299A"/>
    <w:rsid w:val="00C12D69"/>
    <w:rsid w:val="00C12DC5"/>
    <w:rsid w:val="00C13014"/>
    <w:rsid w:val="00C130AE"/>
    <w:rsid w:val="00C13520"/>
    <w:rsid w:val="00C138A7"/>
    <w:rsid w:val="00C139F6"/>
    <w:rsid w:val="00C13B3B"/>
    <w:rsid w:val="00C14216"/>
    <w:rsid w:val="00C1462F"/>
    <w:rsid w:val="00C1470D"/>
    <w:rsid w:val="00C14796"/>
    <w:rsid w:val="00C148CE"/>
    <w:rsid w:val="00C149A5"/>
    <w:rsid w:val="00C149C4"/>
    <w:rsid w:val="00C149CF"/>
    <w:rsid w:val="00C149F7"/>
    <w:rsid w:val="00C14DBA"/>
    <w:rsid w:val="00C14F68"/>
    <w:rsid w:val="00C14F9B"/>
    <w:rsid w:val="00C14FAB"/>
    <w:rsid w:val="00C151FE"/>
    <w:rsid w:val="00C15419"/>
    <w:rsid w:val="00C155E1"/>
    <w:rsid w:val="00C156FB"/>
    <w:rsid w:val="00C15952"/>
    <w:rsid w:val="00C15A7E"/>
    <w:rsid w:val="00C15F42"/>
    <w:rsid w:val="00C1610B"/>
    <w:rsid w:val="00C1611D"/>
    <w:rsid w:val="00C16497"/>
    <w:rsid w:val="00C1666D"/>
    <w:rsid w:val="00C16C9A"/>
    <w:rsid w:val="00C1739B"/>
    <w:rsid w:val="00C173B6"/>
    <w:rsid w:val="00C175E4"/>
    <w:rsid w:val="00C1780C"/>
    <w:rsid w:val="00C179A9"/>
    <w:rsid w:val="00C17A92"/>
    <w:rsid w:val="00C17C22"/>
    <w:rsid w:val="00C17D49"/>
    <w:rsid w:val="00C17DE8"/>
    <w:rsid w:val="00C17FCB"/>
    <w:rsid w:val="00C209BA"/>
    <w:rsid w:val="00C20AC8"/>
    <w:rsid w:val="00C20B1B"/>
    <w:rsid w:val="00C20F9E"/>
    <w:rsid w:val="00C2116B"/>
    <w:rsid w:val="00C211FC"/>
    <w:rsid w:val="00C2141C"/>
    <w:rsid w:val="00C2142A"/>
    <w:rsid w:val="00C217A4"/>
    <w:rsid w:val="00C2188A"/>
    <w:rsid w:val="00C21AB8"/>
    <w:rsid w:val="00C21AF2"/>
    <w:rsid w:val="00C21C45"/>
    <w:rsid w:val="00C2227B"/>
    <w:rsid w:val="00C223B5"/>
    <w:rsid w:val="00C225FB"/>
    <w:rsid w:val="00C2278D"/>
    <w:rsid w:val="00C2286F"/>
    <w:rsid w:val="00C22CAD"/>
    <w:rsid w:val="00C22E25"/>
    <w:rsid w:val="00C22F6C"/>
    <w:rsid w:val="00C23239"/>
    <w:rsid w:val="00C232E0"/>
    <w:rsid w:val="00C234E1"/>
    <w:rsid w:val="00C23660"/>
    <w:rsid w:val="00C23C03"/>
    <w:rsid w:val="00C23DAA"/>
    <w:rsid w:val="00C242C3"/>
    <w:rsid w:val="00C24311"/>
    <w:rsid w:val="00C24AF1"/>
    <w:rsid w:val="00C24B5E"/>
    <w:rsid w:val="00C24F6E"/>
    <w:rsid w:val="00C24FA1"/>
    <w:rsid w:val="00C25085"/>
    <w:rsid w:val="00C25130"/>
    <w:rsid w:val="00C2534F"/>
    <w:rsid w:val="00C25957"/>
    <w:rsid w:val="00C259FB"/>
    <w:rsid w:val="00C259FC"/>
    <w:rsid w:val="00C25E9A"/>
    <w:rsid w:val="00C26035"/>
    <w:rsid w:val="00C265CB"/>
    <w:rsid w:val="00C26930"/>
    <w:rsid w:val="00C26ABB"/>
    <w:rsid w:val="00C2732C"/>
    <w:rsid w:val="00C273D5"/>
    <w:rsid w:val="00C275B9"/>
    <w:rsid w:val="00C275FE"/>
    <w:rsid w:val="00C27704"/>
    <w:rsid w:val="00C27780"/>
    <w:rsid w:val="00C278B5"/>
    <w:rsid w:val="00C27B09"/>
    <w:rsid w:val="00C27CE7"/>
    <w:rsid w:val="00C27DF4"/>
    <w:rsid w:val="00C27F88"/>
    <w:rsid w:val="00C30058"/>
    <w:rsid w:val="00C30074"/>
    <w:rsid w:val="00C3025F"/>
    <w:rsid w:val="00C308D6"/>
    <w:rsid w:val="00C30DED"/>
    <w:rsid w:val="00C312BC"/>
    <w:rsid w:val="00C3154E"/>
    <w:rsid w:val="00C317A2"/>
    <w:rsid w:val="00C3185C"/>
    <w:rsid w:val="00C31B17"/>
    <w:rsid w:val="00C31B1E"/>
    <w:rsid w:val="00C31C21"/>
    <w:rsid w:val="00C31F75"/>
    <w:rsid w:val="00C31FAC"/>
    <w:rsid w:val="00C31FEA"/>
    <w:rsid w:val="00C32057"/>
    <w:rsid w:val="00C3244A"/>
    <w:rsid w:val="00C338D0"/>
    <w:rsid w:val="00C33C25"/>
    <w:rsid w:val="00C33D31"/>
    <w:rsid w:val="00C33E96"/>
    <w:rsid w:val="00C33F90"/>
    <w:rsid w:val="00C33FE7"/>
    <w:rsid w:val="00C343FC"/>
    <w:rsid w:val="00C3442F"/>
    <w:rsid w:val="00C34946"/>
    <w:rsid w:val="00C34D4C"/>
    <w:rsid w:val="00C35304"/>
    <w:rsid w:val="00C3541B"/>
    <w:rsid w:val="00C35E3D"/>
    <w:rsid w:val="00C3619E"/>
    <w:rsid w:val="00C3621B"/>
    <w:rsid w:val="00C36248"/>
    <w:rsid w:val="00C36513"/>
    <w:rsid w:val="00C3651F"/>
    <w:rsid w:val="00C36633"/>
    <w:rsid w:val="00C369D3"/>
    <w:rsid w:val="00C36E9D"/>
    <w:rsid w:val="00C36F25"/>
    <w:rsid w:val="00C3719A"/>
    <w:rsid w:val="00C37242"/>
    <w:rsid w:val="00C372B4"/>
    <w:rsid w:val="00C37A39"/>
    <w:rsid w:val="00C37C86"/>
    <w:rsid w:val="00C37E95"/>
    <w:rsid w:val="00C4043D"/>
    <w:rsid w:val="00C406BC"/>
    <w:rsid w:val="00C408EE"/>
    <w:rsid w:val="00C40C0E"/>
    <w:rsid w:val="00C40CC7"/>
    <w:rsid w:val="00C410DD"/>
    <w:rsid w:val="00C412B1"/>
    <w:rsid w:val="00C41425"/>
    <w:rsid w:val="00C41672"/>
    <w:rsid w:val="00C41948"/>
    <w:rsid w:val="00C41965"/>
    <w:rsid w:val="00C421E5"/>
    <w:rsid w:val="00C42345"/>
    <w:rsid w:val="00C429BA"/>
    <w:rsid w:val="00C42C28"/>
    <w:rsid w:val="00C42E16"/>
    <w:rsid w:val="00C42E97"/>
    <w:rsid w:val="00C43818"/>
    <w:rsid w:val="00C43A3A"/>
    <w:rsid w:val="00C440BE"/>
    <w:rsid w:val="00C44231"/>
    <w:rsid w:val="00C4436C"/>
    <w:rsid w:val="00C44684"/>
    <w:rsid w:val="00C44C12"/>
    <w:rsid w:val="00C45073"/>
    <w:rsid w:val="00C450AF"/>
    <w:rsid w:val="00C451CC"/>
    <w:rsid w:val="00C4522E"/>
    <w:rsid w:val="00C452AE"/>
    <w:rsid w:val="00C45452"/>
    <w:rsid w:val="00C455EF"/>
    <w:rsid w:val="00C45977"/>
    <w:rsid w:val="00C45E4D"/>
    <w:rsid w:val="00C461B2"/>
    <w:rsid w:val="00C46236"/>
    <w:rsid w:val="00C4631C"/>
    <w:rsid w:val="00C463F8"/>
    <w:rsid w:val="00C4656C"/>
    <w:rsid w:val="00C465C9"/>
    <w:rsid w:val="00C46832"/>
    <w:rsid w:val="00C4695B"/>
    <w:rsid w:val="00C469F4"/>
    <w:rsid w:val="00C46BFF"/>
    <w:rsid w:val="00C471B1"/>
    <w:rsid w:val="00C476DB"/>
    <w:rsid w:val="00C4798C"/>
    <w:rsid w:val="00C47C8E"/>
    <w:rsid w:val="00C47EDC"/>
    <w:rsid w:val="00C5031B"/>
    <w:rsid w:val="00C508F7"/>
    <w:rsid w:val="00C50B81"/>
    <w:rsid w:val="00C50EE8"/>
    <w:rsid w:val="00C50F42"/>
    <w:rsid w:val="00C511C4"/>
    <w:rsid w:val="00C511EF"/>
    <w:rsid w:val="00C5150A"/>
    <w:rsid w:val="00C517BB"/>
    <w:rsid w:val="00C5180F"/>
    <w:rsid w:val="00C5181A"/>
    <w:rsid w:val="00C51AA5"/>
    <w:rsid w:val="00C51B7E"/>
    <w:rsid w:val="00C526F2"/>
    <w:rsid w:val="00C52769"/>
    <w:rsid w:val="00C527AE"/>
    <w:rsid w:val="00C52863"/>
    <w:rsid w:val="00C529D9"/>
    <w:rsid w:val="00C52B45"/>
    <w:rsid w:val="00C52C64"/>
    <w:rsid w:val="00C52CC8"/>
    <w:rsid w:val="00C52F21"/>
    <w:rsid w:val="00C52FD1"/>
    <w:rsid w:val="00C53200"/>
    <w:rsid w:val="00C5359B"/>
    <w:rsid w:val="00C53AF7"/>
    <w:rsid w:val="00C53B06"/>
    <w:rsid w:val="00C53BA1"/>
    <w:rsid w:val="00C5405D"/>
    <w:rsid w:val="00C54315"/>
    <w:rsid w:val="00C54567"/>
    <w:rsid w:val="00C54787"/>
    <w:rsid w:val="00C54AD7"/>
    <w:rsid w:val="00C54EA1"/>
    <w:rsid w:val="00C54F35"/>
    <w:rsid w:val="00C553D5"/>
    <w:rsid w:val="00C554B5"/>
    <w:rsid w:val="00C55965"/>
    <w:rsid w:val="00C55ADF"/>
    <w:rsid w:val="00C55F96"/>
    <w:rsid w:val="00C55FB4"/>
    <w:rsid w:val="00C560ED"/>
    <w:rsid w:val="00C5644D"/>
    <w:rsid w:val="00C56517"/>
    <w:rsid w:val="00C566B0"/>
    <w:rsid w:val="00C567EA"/>
    <w:rsid w:val="00C567F8"/>
    <w:rsid w:val="00C56BC5"/>
    <w:rsid w:val="00C56EF2"/>
    <w:rsid w:val="00C56FEF"/>
    <w:rsid w:val="00C570A6"/>
    <w:rsid w:val="00C576B0"/>
    <w:rsid w:val="00C576C4"/>
    <w:rsid w:val="00C578E0"/>
    <w:rsid w:val="00C579F3"/>
    <w:rsid w:val="00C57E3B"/>
    <w:rsid w:val="00C600B3"/>
    <w:rsid w:val="00C605F8"/>
    <w:rsid w:val="00C60750"/>
    <w:rsid w:val="00C60A11"/>
    <w:rsid w:val="00C60A38"/>
    <w:rsid w:val="00C60DE1"/>
    <w:rsid w:val="00C60F99"/>
    <w:rsid w:val="00C61193"/>
    <w:rsid w:val="00C613E5"/>
    <w:rsid w:val="00C61425"/>
    <w:rsid w:val="00C61464"/>
    <w:rsid w:val="00C616B6"/>
    <w:rsid w:val="00C61C5A"/>
    <w:rsid w:val="00C61E44"/>
    <w:rsid w:val="00C61E80"/>
    <w:rsid w:val="00C62373"/>
    <w:rsid w:val="00C624AD"/>
    <w:rsid w:val="00C62B02"/>
    <w:rsid w:val="00C62B81"/>
    <w:rsid w:val="00C62DEA"/>
    <w:rsid w:val="00C62E06"/>
    <w:rsid w:val="00C63248"/>
    <w:rsid w:val="00C63464"/>
    <w:rsid w:val="00C63BB2"/>
    <w:rsid w:val="00C640AA"/>
    <w:rsid w:val="00C641B3"/>
    <w:rsid w:val="00C641DF"/>
    <w:rsid w:val="00C6420D"/>
    <w:rsid w:val="00C64592"/>
    <w:rsid w:val="00C65144"/>
    <w:rsid w:val="00C65514"/>
    <w:rsid w:val="00C655C9"/>
    <w:rsid w:val="00C658CC"/>
    <w:rsid w:val="00C659C4"/>
    <w:rsid w:val="00C6616E"/>
    <w:rsid w:val="00C66455"/>
    <w:rsid w:val="00C66674"/>
    <w:rsid w:val="00C66E5B"/>
    <w:rsid w:val="00C6780B"/>
    <w:rsid w:val="00C678DB"/>
    <w:rsid w:val="00C67BD0"/>
    <w:rsid w:val="00C67BF7"/>
    <w:rsid w:val="00C67E8E"/>
    <w:rsid w:val="00C70195"/>
    <w:rsid w:val="00C7049C"/>
    <w:rsid w:val="00C704FA"/>
    <w:rsid w:val="00C70551"/>
    <w:rsid w:val="00C7064F"/>
    <w:rsid w:val="00C7071D"/>
    <w:rsid w:val="00C70725"/>
    <w:rsid w:val="00C70A1A"/>
    <w:rsid w:val="00C70D40"/>
    <w:rsid w:val="00C70DDA"/>
    <w:rsid w:val="00C70E1D"/>
    <w:rsid w:val="00C70F89"/>
    <w:rsid w:val="00C7116F"/>
    <w:rsid w:val="00C714A7"/>
    <w:rsid w:val="00C71518"/>
    <w:rsid w:val="00C71CC2"/>
    <w:rsid w:val="00C72177"/>
    <w:rsid w:val="00C72436"/>
    <w:rsid w:val="00C72453"/>
    <w:rsid w:val="00C72454"/>
    <w:rsid w:val="00C726BD"/>
    <w:rsid w:val="00C728CB"/>
    <w:rsid w:val="00C72B50"/>
    <w:rsid w:val="00C72BC7"/>
    <w:rsid w:val="00C73034"/>
    <w:rsid w:val="00C731BF"/>
    <w:rsid w:val="00C73325"/>
    <w:rsid w:val="00C73371"/>
    <w:rsid w:val="00C7339D"/>
    <w:rsid w:val="00C733F0"/>
    <w:rsid w:val="00C73964"/>
    <w:rsid w:val="00C73973"/>
    <w:rsid w:val="00C73D96"/>
    <w:rsid w:val="00C73E69"/>
    <w:rsid w:val="00C74325"/>
    <w:rsid w:val="00C7440D"/>
    <w:rsid w:val="00C748A1"/>
    <w:rsid w:val="00C748F0"/>
    <w:rsid w:val="00C74A63"/>
    <w:rsid w:val="00C74B8C"/>
    <w:rsid w:val="00C74E9A"/>
    <w:rsid w:val="00C74F2B"/>
    <w:rsid w:val="00C74F3F"/>
    <w:rsid w:val="00C7550A"/>
    <w:rsid w:val="00C75576"/>
    <w:rsid w:val="00C75806"/>
    <w:rsid w:val="00C762EC"/>
    <w:rsid w:val="00C765D0"/>
    <w:rsid w:val="00C766BF"/>
    <w:rsid w:val="00C76D1A"/>
    <w:rsid w:val="00C76E36"/>
    <w:rsid w:val="00C77852"/>
    <w:rsid w:val="00C77A83"/>
    <w:rsid w:val="00C77C45"/>
    <w:rsid w:val="00C802FB"/>
    <w:rsid w:val="00C8039E"/>
    <w:rsid w:val="00C80E8B"/>
    <w:rsid w:val="00C80F0C"/>
    <w:rsid w:val="00C80FDA"/>
    <w:rsid w:val="00C8108E"/>
    <w:rsid w:val="00C81439"/>
    <w:rsid w:val="00C815C0"/>
    <w:rsid w:val="00C81714"/>
    <w:rsid w:val="00C817FD"/>
    <w:rsid w:val="00C81BB3"/>
    <w:rsid w:val="00C81E11"/>
    <w:rsid w:val="00C81F4A"/>
    <w:rsid w:val="00C824D6"/>
    <w:rsid w:val="00C82567"/>
    <w:rsid w:val="00C825ED"/>
    <w:rsid w:val="00C8268F"/>
    <w:rsid w:val="00C826A1"/>
    <w:rsid w:val="00C82967"/>
    <w:rsid w:val="00C82C4E"/>
    <w:rsid w:val="00C82CF8"/>
    <w:rsid w:val="00C82E8A"/>
    <w:rsid w:val="00C83535"/>
    <w:rsid w:val="00C83998"/>
    <w:rsid w:val="00C83D84"/>
    <w:rsid w:val="00C83E3C"/>
    <w:rsid w:val="00C83EA6"/>
    <w:rsid w:val="00C83F1D"/>
    <w:rsid w:val="00C844D1"/>
    <w:rsid w:val="00C8455C"/>
    <w:rsid w:val="00C846CB"/>
    <w:rsid w:val="00C84E99"/>
    <w:rsid w:val="00C85234"/>
    <w:rsid w:val="00C85321"/>
    <w:rsid w:val="00C85405"/>
    <w:rsid w:val="00C85E54"/>
    <w:rsid w:val="00C86314"/>
    <w:rsid w:val="00C86863"/>
    <w:rsid w:val="00C86965"/>
    <w:rsid w:val="00C869CB"/>
    <w:rsid w:val="00C870A3"/>
    <w:rsid w:val="00C8711A"/>
    <w:rsid w:val="00C87195"/>
    <w:rsid w:val="00C87436"/>
    <w:rsid w:val="00C8764D"/>
    <w:rsid w:val="00C8777B"/>
    <w:rsid w:val="00C87B55"/>
    <w:rsid w:val="00C87BAD"/>
    <w:rsid w:val="00C87DD9"/>
    <w:rsid w:val="00C87F3A"/>
    <w:rsid w:val="00C900B0"/>
    <w:rsid w:val="00C9028D"/>
    <w:rsid w:val="00C90411"/>
    <w:rsid w:val="00C90453"/>
    <w:rsid w:val="00C904F4"/>
    <w:rsid w:val="00C905F8"/>
    <w:rsid w:val="00C90708"/>
    <w:rsid w:val="00C909A2"/>
    <w:rsid w:val="00C90B9F"/>
    <w:rsid w:val="00C90BCA"/>
    <w:rsid w:val="00C90CA6"/>
    <w:rsid w:val="00C90DDC"/>
    <w:rsid w:val="00C91324"/>
    <w:rsid w:val="00C91328"/>
    <w:rsid w:val="00C91385"/>
    <w:rsid w:val="00C913AD"/>
    <w:rsid w:val="00C91436"/>
    <w:rsid w:val="00C91651"/>
    <w:rsid w:val="00C917A4"/>
    <w:rsid w:val="00C91C07"/>
    <w:rsid w:val="00C91DB9"/>
    <w:rsid w:val="00C91E3B"/>
    <w:rsid w:val="00C92022"/>
    <w:rsid w:val="00C922A2"/>
    <w:rsid w:val="00C9279A"/>
    <w:rsid w:val="00C927C2"/>
    <w:rsid w:val="00C92886"/>
    <w:rsid w:val="00C92C04"/>
    <w:rsid w:val="00C93B52"/>
    <w:rsid w:val="00C93B5F"/>
    <w:rsid w:val="00C94DA3"/>
    <w:rsid w:val="00C95101"/>
    <w:rsid w:val="00C951F1"/>
    <w:rsid w:val="00C95442"/>
    <w:rsid w:val="00C95660"/>
    <w:rsid w:val="00C95982"/>
    <w:rsid w:val="00C95D0E"/>
    <w:rsid w:val="00C96253"/>
    <w:rsid w:val="00C9650C"/>
    <w:rsid w:val="00C966A3"/>
    <w:rsid w:val="00C96790"/>
    <w:rsid w:val="00C96991"/>
    <w:rsid w:val="00C96AF0"/>
    <w:rsid w:val="00C96BA5"/>
    <w:rsid w:val="00C96DAA"/>
    <w:rsid w:val="00C97533"/>
    <w:rsid w:val="00C9798E"/>
    <w:rsid w:val="00C97AE5"/>
    <w:rsid w:val="00C97BA4"/>
    <w:rsid w:val="00C97C42"/>
    <w:rsid w:val="00C97CDC"/>
    <w:rsid w:val="00C97CEE"/>
    <w:rsid w:val="00CA026C"/>
    <w:rsid w:val="00CA0439"/>
    <w:rsid w:val="00CA0664"/>
    <w:rsid w:val="00CA0818"/>
    <w:rsid w:val="00CA0DEC"/>
    <w:rsid w:val="00CA0E4B"/>
    <w:rsid w:val="00CA1149"/>
    <w:rsid w:val="00CA11BD"/>
    <w:rsid w:val="00CA1448"/>
    <w:rsid w:val="00CA1480"/>
    <w:rsid w:val="00CA196A"/>
    <w:rsid w:val="00CA1B74"/>
    <w:rsid w:val="00CA1F30"/>
    <w:rsid w:val="00CA1F61"/>
    <w:rsid w:val="00CA216C"/>
    <w:rsid w:val="00CA2381"/>
    <w:rsid w:val="00CA244A"/>
    <w:rsid w:val="00CA26EA"/>
    <w:rsid w:val="00CA2783"/>
    <w:rsid w:val="00CA29F1"/>
    <w:rsid w:val="00CA2AB4"/>
    <w:rsid w:val="00CA2C06"/>
    <w:rsid w:val="00CA2C26"/>
    <w:rsid w:val="00CA2CD4"/>
    <w:rsid w:val="00CA2EDB"/>
    <w:rsid w:val="00CA2FB2"/>
    <w:rsid w:val="00CA306A"/>
    <w:rsid w:val="00CA311B"/>
    <w:rsid w:val="00CA3D3A"/>
    <w:rsid w:val="00CA3EFD"/>
    <w:rsid w:val="00CA4178"/>
    <w:rsid w:val="00CA42D6"/>
    <w:rsid w:val="00CA5162"/>
    <w:rsid w:val="00CA528A"/>
    <w:rsid w:val="00CA556C"/>
    <w:rsid w:val="00CA57CD"/>
    <w:rsid w:val="00CA6294"/>
    <w:rsid w:val="00CA643D"/>
    <w:rsid w:val="00CA67E0"/>
    <w:rsid w:val="00CA694B"/>
    <w:rsid w:val="00CA69D2"/>
    <w:rsid w:val="00CA6D9C"/>
    <w:rsid w:val="00CA7131"/>
    <w:rsid w:val="00CA73B9"/>
    <w:rsid w:val="00CA78E0"/>
    <w:rsid w:val="00CA7ADE"/>
    <w:rsid w:val="00CA7C4D"/>
    <w:rsid w:val="00CB001E"/>
    <w:rsid w:val="00CB0345"/>
    <w:rsid w:val="00CB037F"/>
    <w:rsid w:val="00CB0536"/>
    <w:rsid w:val="00CB064B"/>
    <w:rsid w:val="00CB0667"/>
    <w:rsid w:val="00CB0951"/>
    <w:rsid w:val="00CB0C70"/>
    <w:rsid w:val="00CB0CAF"/>
    <w:rsid w:val="00CB13B8"/>
    <w:rsid w:val="00CB1520"/>
    <w:rsid w:val="00CB154F"/>
    <w:rsid w:val="00CB15E9"/>
    <w:rsid w:val="00CB1C4F"/>
    <w:rsid w:val="00CB1C92"/>
    <w:rsid w:val="00CB1CFF"/>
    <w:rsid w:val="00CB1F9E"/>
    <w:rsid w:val="00CB248D"/>
    <w:rsid w:val="00CB2684"/>
    <w:rsid w:val="00CB2AAB"/>
    <w:rsid w:val="00CB2BD5"/>
    <w:rsid w:val="00CB366A"/>
    <w:rsid w:val="00CB3C4B"/>
    <w:rsid w:val="00CB3F9C"/>
    <w:rsid w:val="00CB4855"/>
    <w:rsid w:val="00CB49D9"/>
    <w:rsid w:val="00CB549D"/>
    <w:rsid w:val="00CB559F"/>
    <w:rsid w:val="00CB56A5"/>
    <w:rsid w:val="00CB59FB"/>
    <w:rsid w:val="00CB5C55"/>
    <w:rsid w:val="00CB6375"/>
    <w:rsid w:val="00CB6D3D"/>
    <w:rsid w:val="00CB6F8E"/>
    <w:rsid w:val="00CB7042"/>
    <w:rsid w:val="00CB76D4"/>
    <w:rsid w:val="00CC0425"/>
    <w:rsid w:val="00CC0586"/>
    <w:rsid w:val="00CC074C"/>
    <w:rsid w:val="00CC0EC4"/>
    <w:rsid w:val="00CC10CD"/>
    <w:rsid w:val="00CC11A6"/>
    <w:rsid w:val="00CC132F"/>
    <w:rsid w:val="00CC147A"/>
    <w:rsid w:val="00CC1485"/>
    <w:rsid w:val="00CC198A"/>
    <w:rsid w:val="00CC1BB2"/>
    <w:rsid w:val="00CC1D05"/>
    <w:rsid w:val="00CC1D1A"/>
    <w:rsid w:val="00CC1E71"/>
    <w:rsid w:val="00CC207C"/>
    <w:rsid w:val="00CC2541"/>
    <w:rsid w:val="00CC25B6"/>
    <w:rsid w:val="00CC25FD"/>
    <w:rsid w:val="00CC2745"/>
    <w:rsid w:val="00CC27B9"/>
    <w:rsid w:val="00CC2915"/>
    <w:rsid w:val="00CC2B69"/>
    <w:rsid w:val="00CC2BDB"/>
    <w:rsid w:val="00CC2EE2"/>
    <w:rsid w:val="00CC3583"/>
    <w:rsid w:val="00CC3D77"/>
    <w:rsid w:val="00CC3FE7"/>
    <w:rsid w:val="00CC4000"/>
    <w:rsid w:val="00CC4038"/>
    <w:rsid w:val="00CC447B"/>
    <w:rsid w:val="00CC497E"/>
    <w:rsid w:val="00CC517B"/>
    <w:rsid w:val="00CC53C0"/>
    <w:rsid w:val="00CC53E3"/>
    <w:rsid w:val="00CC572A"/>
    <w:rsid w:val="00CC580D"/>
    <w:rsid w:val="00CC5956"/>
    <w:rsid w:val="00CC5CE6"/>
    <w:rsid w:val="00CC5D92"/>
    <w:rsid w:val="00CC5F0D"/>
    <w:rsid w:val="00CC6001"/>
    <w:rsid w:val="00CC623A"/>
    <w:rsid w:val="00CC6260"/>
    <w:rsid w:val="00CC6399"/>
    <w:rsid w:val="00CC6B73"/>
    <w:rsid w:val="00CC7034"/>
    <w:rsid w:val="00CC73AB"/>
    <w:rsid w:val="00CC7504"/>
    <w:rsid w:val="00CC7723"/>
    <w:rsid w:val="00CC780F"/>
    <w:rsid w:val="00CD0408"/>
    <w:rsid w:val="00CD0450"/>
    <w:rsid w:val="00CD06DD"/>
    <w:rsid w:val="00CD114C"/>
    <w:rsid w:val="00CD11D5"/>
    <w:rsid w:val="00CD1404"/>
    <w:rsid w:val="00CD15B4"/>
    <w:rsid w:val="00CD1648"/>
    <w:rsid w:val="00CD16B3"/>
    <w:rsid w:val="00CD171A"/>
    <w:rsid w:val="00CD1B99"/>
    <w:rsid w:val="00CD1D30"/>
    <w:rsid w:val="00CD1D41"/>
    <w:rsid w:val="00CD21E2"/>
    <w:rsid w:val="00CD230D"/>
    <w:rsid w:val="00CD257E"/>
    <w:rsid w:val="00CD26D6"/>
    <w:rsid w:val="00CD2BD9"/>
    <w:rsid w:val="00CD2C2B"/>
    <w:rsid w:val="00CD2F4E"/>
    <w:rsid w:val="00CD353D"/>
    <w:rsid w:val="00CD427C"/>
    <w:rsid w:val="00CD43C6"/>
    <w:rsid w:val="00CD443C"/>
    <w:rsid w:val="00CD44BD"/>
    <w:rsid w:val="00CD45C2"/>
    <w:rsid w:val="00CD49FE"/>
    <w:rsid w:val="00CD4A66"/>
    <w:rsid w:val="00CD4E9E"/>
    <w:rsid w:val="00CD53CC"/>
    <w:rsid w:val="00CD5474"/>
    <w:rsid w:val="00CD5852"/>
    <w:rsid w:val="00CD5BC9"/>
    <w:rsid w:val="00CD5E52"/>
    <w:rsid w:val="00CD611C"/>
    <w:rsid w:val="00CD6177"/>
    <w:rsid w:val="00CD620D"/>
    <w:rsid w:val="00CD673F"/>
    <w:rsid w:val="00CD6A48"/>
    <w:rsid w:val="00CD6BF5"/>
    <w:rsid w:val="00CD6C1A"/>
    <w:rsid w:val="00CD6C49"/>
    <w:rsid w:val="00CD6E6D"/>
    <w:rsid w:val="00CD7082"/>
    <w:rsid w:val="00CD74F1"/>
    <w:rsid w:val="00CD7B5F"/>
    <w:rsid w:val="00CD7C1F"/>
    <w:rsid w:val="00CD7D94"/>
    <w:rsid w:val="00CD7E8A"/>
    <w:rsid w:val="00CD7F5A"/>
    <w:rsid w:val="00CE010B"/>
    <w:rsid w:val="00CE04F7"/>
    <w:rsid w:val="00CE073F"/>
    <w:rsid w:val="00CE0746"/>
    <w:rsid w:val="00CE0942"/>
    <w:rsid w:val="00CE0B9D"/>
    <w:rsid w:val="00CE1349"/>
    <w:rsid w:val="00CE1699"/>
    <w:rsid w:val="00CE173D"/>
    <w:rsid w:val="00CE1936"/>
    <w:rsid w:val="00CE19D7"/>
    <w:rsid w:val="00CE1E2A"/>
    <w:rsid w:val="00CE1E41"/>
    <w:rsid w:val="00CE2020"/>
    <w:rsid w:val="00CE2209"/>
    <w:rsid w:val="00CE2276"/>
    <w:rsid w:val="00CE2369"/>
    <w:rsid w:val="00CE2687"/>
    <w:rsid w:val="00CE26CD"/>
    <w:rsid w:val="00CE28E3"/>
    <w:rsid w:val="00CE2AF2"/>
    <w:rsid w:val="00CE2B7B"/>
    <w:rsid w:val="00CE3040"/>
    <w:rsid w:val="00CE317A"/>
    <w:rsid w:val="00CE331F"/>
    <w:rsid w:val="00CE3883"/>
    <w:rsid w:val="00CE3A0C"/>
    <w:rsid w:val="00CE3CB5"/>
    <w:rsid w:val="00CE3E6B"/>
    <w:rsid w:val="00CE41C7"/>
    <w:rsid w:val="00CE4509"/>
    <w:rsid w:val="00CE476E"/>
    <w:rsid w:val="00CE4FD9"/>
    <w:rsid w:val="00CE5099"/>
    <w:rsid w:val="00CE56F2"/>
    <w:rsid w:val="00CE5ACD"/>
    <w:rsid w:val="00CE6345"/>
    <w:rsid w:val="00CE63F4"/>
    <w:rsid w:val="00CE64DB"/>
    <w:rsid w:val="00CE675A"/>
    <w:rsid w:val="00CE6843"/>
    <w:rsid w:val="00CE6C44"/>
    <w:rsid w:val="00CE7310"/>
    <w:rsid w:val="00CE7900"/>
    <w:rsid w:val="00CE7A08"/>
    <w:rsid w:val="00CE7A63"/>
    <w:rsid w:val="00CF06EF"/>
    <w:rsid w:val="00CF0880"/>
    <w:rsid w:val="00CF0D12"/>
    <w:rsid w:val="00CF15A7"/>
    <w:rsid w:val="00CF172A"/>
    <w:rsid w:val="00CF1A2D"/>
    <w:rsid w:val="00CF1AFA"/>
    <w:rsid w:val="00CF1B2C"/>
    <w:rsid w:val="00CF1D74"/>
    <w:rsid w:val="00CF1F11"/>
    <w:rsid w:val="00CF2287"/>
    <w:rsid w:val="00CF22CE"/>
    <w:rsid w:val="00CF2380"/>
    <w:rsid w:val="00CF243D"/>
    <w:rsid w:val="00CF2573"/>
    <w:rsid w:val="00CF2743"/>
    <w:rsid w:val="00CF2913"/>
    <w:rsid w:val="00CF29C9"/>
    <w:rsid w:val="00CF2E3B"/>
    <w:rsid w:val="00CF31EB"/>
    <w:rsid w:val="00CF395F"/>
    <w:rsid w:val="00CF3DCE"/>
    <w:rsid w:val="00CF3E2E"/>
    <w:rsid w:val="00CF3E40"/>
    <w:rsid w:val="00CF3F46"/>
    <w:rsid w:val="00CF439F"/>
    <w:rsid w:val="00CF4EF7"/>
    <w:rsid w:val="00CF5098"/>
    <w:rsid w:val="00CF5498"/>
    <w:rsid w:val="00CF555F"/>
    <w:rsid w:val="00CF5A88"/>
    <w:rsid w:val="00CF5AF3"/>
    <w:rsid w:val="00CF6000"/>
    <w:rsid w:val="00CF611A"/>
    <w:rsid w:val="00CF6229"/>
    <w:rsid w:val="00CF6B15"/>
    <w:rsid w:val="00CF6C5B"/>
    <w:rsid w:val="00CF6F53"/>
    <w:rsid w:val="00CF7120"/>
    <w:rsid w:val="00CF724C"/>
    <w:rsid w:val="00CF73C5"/>
    <w:rsid w:val="00CF7867"/>
    <w:rsid w:val="00CF7ED3"/>
    <w:rsid w:val="00CF7F24"/>
    <w:rsid w:val="00D0002E"/>
    <w:rsid w:val="00D0002F"/>
    <w:rsid w:val="00D0008D"/>
    <w:rsid w:val="00D001B4"/>
    <w:rsid w:val="00D0030E"/>
    <w:rsid w:val="00D003B7"/>
    <w:rsid w:val="00D00903"/>
    <w:rsid w:val="00D00BCB"/>
    <w:rsid w:val="00D00C34"/>
    <w:rsid w:val="00D00E36"/>
    <w:rsid w:val="00D0104B"/>
    <w:rsid w:val="00D01364"/>
    <w:rsid w:val="00D0143B"/>
    <w:rsid w:val="00D0199B"/>
    <w:rsid w:val="00D01ACC"/>
    <w:rsid w:val="00D01FCB"/>
    <w:rsid w:val="00D0209E"/>
    <w:rsid w:val="00D0259B"/>
    <w:rsid w:val="00D025FF"/>
    <w:rsid w:val="00D02678"/>
    <w:rsid w:val="00D02C0F"/>
    <w:rsid w:val="00D02C88"/>
    <w:rsid w:val="00D02EC8"/>
    <w:rsid w:val="00D02F4F"/>
    <w:rsid w:val="00D03712"/>
    <w:rsid w:val="00D0381D"/>
    <w:rsid w:val="00D03A1C"/>
    <w:rsid w:val="00D03B94"/>
    <w:rsid w:val="00D04128"/>
    <w:rsid w:val="00D04808"/>
    <w:rsid w:val="00D048C5"/>
    <w:rsid w:val="00D0496E"/>
    <w:rsid w:val="00D04A26"/>
    <w:rsid w:val="00D04CB3"/>
    <w:rsid w:val="00D050E6"/>
    <w:rsid w:val="00D055CB"/>
    <w:rsid w:val="00D05929"/>
    <w:rsid w:val="00D05954"/>
    <w:rsid w:val="00D05CF0"/>
    <w:rsid w:val="00D05E1F"/>
    <w:rsid w:val="00D05FD9"/>
    <w:rsid w:val="00D0614C"/>
    <w:rsid w:val="00D065D4"/>
    <w:rsid w:val="00D06923"/>
    <w:rsid w:val="00D06975"/>
    <w:rsid w:val="00D06CB7"/>
    <w:rsid w:val="00D06CEF"/>
    <w:rsid w:val="00D07005"/>
    <w:rsid w:val="00D07510"/>
    <w:rsid w:val="00D07981"/>
    <w:rsid w:val="00D07A12"/>
    <w:rsid w:val="00D1008A"/>
    <w:rsid w:val="00D10212"/>
    <w:rsid w:val="00D104DE"/>
    <w:rsid w:val="00D10A57"/>
    <w:rsid w:val="00D10DF3"/>
    <w:rsid w:val="00D11156"/>
    <w:rsid w:val="00D114AB"/>
    <w:rsid w:val="00D116E6"/>
    <w:rsid w:val="00D117C8"/>
    <w:rsid w:val="00D11DF8"/>
    <w:rsid w:val="00D11E17"/>
    <w:rsid w:val="00D12271"/>
    <w:rsid w:val="00D13720"/>
    <w:rsid w:val="00D13B33"/>
    <w:rsid w:val="00D13FA0"/>
    <w:rsid w:val="00D14113"/>
    <w:rsid w:val="00D14164"/>
    <w:rsid w:val="00D141C8"/>
    <w:rsid w:val="00D147C6"/>
    <w:rsid w:val="00D14B4F"/>
    <w:rsid w:val="00D14E59"/>
    <w:rsid w:val="00D1517E"/>
    <w:rsid w:val="00D1633A"/>
    <w:rsid w:val="00D16855"/>
    <w:rsid w:val="00D16B09"/>
    <w:rsid w:val="00D16CC3"/>
    <w:rsid w:val="00D16EA5"/>
    <w:rsid w:val="00D17344"/>
    <w:rsid w:val="00D177CC"/>
    <w:rsid w:val="00D20031"/>
    <w:rsid w:val="00D200A7"/>
    <w:rsid w:val="00D20203"/>
    <w:rsid w:val="00D209D0"/>
    <w:rsid w:val="00D20B96"/>
    <w:rsid w:val="00D2132E"/>
    <w:rsid w:val="00D213A5"/>
    <w:rsid w:val="00D21770"/>
    <w:rsid w:val="00D21918"/>
    <w:rsid w:val="00D21C0C"/>
    <w:rsid w:val="00D21F31"/>
    <w:rsid w:val="00D22112"/>
    <w:rsid w:val="00D224B8"/>
    <w:rsid w:val="00D224E0"/>
    <w:rsid w:val="00D22AF7"/>
    <w:rsid w:val="00D232C4"/>
    <w:rsid w:val="00D234EA"/>
    <w:rsid w:val="00D236B4"/>
    <w:rsid w:val="00D237E2"/>
    <w:rsid w:val="00D23A99"/>
    <w:rsid w:val="00D23C61"/>
    <w:rsid w:val="00D23C93"/>
    <w:rsid w:val="00D23F17"/>
    <w:rsid w:val="00D2424F"/>
    <w:rsid w:val="00D24374"/>
    <w:rsid w:val="00D247AD"/>
    <w:rsid w:val="00D248B5"/>
    <w:rsid w:val="00D24A00"/>
    <w:rsid w:val="00D24A4B"/>
    <w:rsid w:val="00D24B39"/>
    <w:rsid w:val="00D25421"/>
    <w:rsid w:val="00D257A4"/>
    <w:rsid w:val="00D25C26"/>
    <w:rsid w:val="00D25F12"/>
    <w:rsid w:val="00D26029"/>
    <w:rsid w:val="00D2631E"/>
    <w:rsid w:val="00D26330"/>
    <w:rsid w:val="00D265A3"/>
    <w:rsid w:val="00D26658"/>
    <w:rsid w:val="00D26CE4"/>
    <w:rsid w:val="00D26D01"/>
    <w:rsid w:val="00D26D54"/>
    <w:rsid w:val="00D27156"/>
    <w:rsid w:val="00D27263"/>
    <w:rsid w:val="00D272BC"/>
    <w:rsid w:val="00D27313"/>
    <w:rsid w:val="00D275AC"/>
    <w:rsid w:val="00D27859"/>
    <w:rsid w:val="00D278D8"/>
    <w:rsid w:val="00D27997"/>
    <w:rsid w:val="00D27D6D"/>
    <w:rsid w:val="00D3028F"/>
    <w:rsid w:val="00D305A8"/>
    <w:rsid w:val="00D305DE"/>
    <w:rsid w:val="00D306E0"/>
    <w:rsid w:val="00D30C9B"/>
    <w:rsid w:val="00D30E4E"/>
    <w:rsid w:val="00D313B3"/>
    <w:rsid w:val="00D31618"/>
    <w:rsid w:val="00D319BE"/>
    <w:rsid w:val="00D31B0E"/>
    <w:rsid w:val="00D3243E"/>
    <w:rsid w:val="00D3281A"/>
    <w:rsid w:val="00D32926"/>
    <w:rsid w:val="00D3292B"/>
    <w:rsid w:val="00D32A07"/>
    <w:rsid w:val="00D32F88"/>
    <w:rsid w:val="00D33110"/>
    <w:rsid w:val="00D331CF"/>
    <w:rsid w:val="00D33380"/>
    <w:rsid w:val="00D333C5"/>
    <w:rsid w:val="00D33764"/>
    <w:rsid w:val="00D33A4B"/>
    <w:rsid w:val="00D33F02"/>
    <w:rsid w:val="00D34996"/>
    <w:rsid w:val="00D351F9"/>
    <w:rsid w:val="00D356B3"/>
    <w:rsid w:val="00D356E5"/>
    <w:rsid w:val="00D358F7"/>
    <w:rsid w:val="00D35D2D"/>
    <w:rsid w:val="00D35E3F"/>
    <w:rsid w:val="00D36091"/>
    <w:rsid w:val="00D36279"/>
    <w:rsid w:val="00D36311"/>
    <w:rsid w:val="00D36376"/>
    <w:rsid w:val="00D36477"/>
    <w:rsid w:val="00D36507"/>
    <w:rsid w:val="00D36619"/>
    <w:rsid w:val="00D367DB"/>
    <w:rsid w:val="00D36CCD"/>
    <w:rsid w:val="00D36E67"/>
    <w:rsid w:val="00D36FDE"/>
    <w:rsid w:val="00D37030"/>
    <w:rsid w:val="00D370DD"/>
    <w:rsid w:val="00D371D8"/>
    <w:rsid w:val="00D37478"/>
    <w:rsid w:val="00D37A02"/>
    <w:rsid w:val="00D37A1A"/>
    <w:rsid w:val="00D37B2A"/>
    <w:rsid w:val="00D37EF5"/>
    <w:rsid w:val="00D37F7C"/>
    <w:rsid w:val="00D4045F"/>
    <w:rsid w:val="00D407A7"/>
    <w:rsid w:val="00D40CD9"/>
    <w:rsid w:val="00D40E26"/>
    <w:rsid w:val="00D414FC"/>
    <w:rsid w:val="00D416AA"/>
    <w:rsid w:val="00D419C9"/>
    <w:rsid w:val="00D419F1"/>
    <w:rsid w:val="00D41B47"/>
    <w:rsid w:val="00D41C9A"/>
    <w:rsid w:val="00D41D34"/>
    <w:rsid w:val="00D41F11"/>
    <w:rsid w:val="00D42126"/>
    <w:rsid w:val="00D425E8"/>
    <w:rsid w:val="00D42891"/>
    <w:rsid w:val="00D428B9"/>
    <w:rsid w:val="00D42BA4"/>
    <w:rsid w:val="00D42C49"/>
    <w:rsid w:val="00D43246"/>
    <w:rsid w:val="00D43592"/>
    <w:rsid w:val="00D43A50"/>
    <w:rsid w:val="00D43C44"/>
    <w:rsid w:val="00D440B4"/>
    <w:rsid w:val="00D44677"/>
    <w:rsid w:val="00D44969"/>
    <w:rsid w:val="00D451D2"/>
    <w:rsid w:val="00D455C1"/>
    <w:rsid w:val="00D45750"/>
    <w:rsid w:val="00D457EA"/>
    <w:rsid w:val="00D4591E"/>
    <w:rsid w:val="00D45B27"/>
    <w:rsid w:val="00D45C42"/>
    <w:rsid w:val="00D45EBF"/>
    <w:rsid w:val="00D45F59"/>
    <w:rsid w:val="00D4607A"/>
    <w:rsid w:val="00D4638B"/>
    <w:rsid w:val="00D46821"/>
    <w:rsid w:val="00D46B10"/>
    <w:rsid w:val="00D46E30"/>
    <w:rsid w:val="00D46FA2"/>
    <w:rsid w:val="00D47217"/>
    <w:rsid w:val="00D4729C"/>
    <w:rsid w:val="00D47559"/>
    <w:rsid w:val="00D475E8"/>
    <w:rsid w:val="00D475FE"/>
    <w:rsid w:val="00D47830"/>
    <w:rsid w:val="00D47838"/>
    <w:rsid w:val="00D47BB9"/>
    <w:rsid w:val="00D47DEA"/>
    <w:rsid w:val="00D501E0"/>
    <w:rsid w:val="00D50298"/>
    <w:rsid w:val="00D502D7"/>
    <w:rsid w:val="00D5033E"/>
    <w:rsid w:val="00D50343"/>
    <w:rsid w:val="00D50494"/>
    <w:rsid w:val="00D5057B"/>
    <w:rsid w:val="00D50984"/>
    <w:rsid w:val="00D50C53"/>
    <w:rsid w:val="00D50C9E"/>
    <w:rsid w:val="00D50E69"/>
    <w:rsid w:val="00D50E98"/>
    <w:rsid w:val="00D50EDF"/>
    <w:rsid w:val="00D50F59"/>
    <w:rsid w:val="00D51037"/>
    <w:rsid w:val="00D5127D"/>
    <w:rsid w:val="00D513F4"/>
    <w:rsid w:val="00D5166E"/>
    <w:rsid w:val="00D51691"/>
    <w:rsid w:val="00D51821"/>
    <w:rsid w:val="00D51F9B"/>
    <w:rsid w:val="00D527A3"/>
    <w:rsid w:val="00D52C5D"/>
    <w:rsid w:val="00D52D7F"/>
    <w:rsid w:val="00D52E54"/>
    <w:rsid w:val="00D52FE2"/>
    <w:rsid w:val="00D52FF5"/>
    <w:rsid w:val="00D530A3"/>
    <w:rsid w:val="00D53841"/>
    <w:rsid w:val="00D5386B"/>
    <w:rsid w:val="00D53954"/>
    <w:rsid w:val="00D54056"/>
    <w:rsid w:val="00D54208"/>
    <w:rsid w:val="00D543D1"/>
    <w:rsid w:val="00D5490E"/>
    <w:rsid w:val="00D54A83"/>
    <w:rsid w:val="00D54D0D"/>
    <w:rsid w:val="00D54F36"/>
    <w:rsid w:val="00D552CB"/>
    <w:rsid w:val="00D5544E"/>
    <w:rsid w:val="00D55625"/>
    <w:rsid w:val="00D55AB6"/>
    <w:rsid w:val="00D55C05"/>
    <w:rsid w:val="00D5621B"/>
    <w:rsid w:val="00D56636"/>
    <w:rsid w:val="00D56DFA"/>
    <w:rsid w:val="00D5708C"/>
    <w:rsid w:val="00D572ED"/>
    <w:rsid w:val="00D576A2"/>
    <w:rsid w:val="00D5778B"/>
    <w:rsid w:val="00D577B6"/>
    <w:rsid w:val="00D57B04"/>
    <w:rsid w:val="00D57EE7"/>
    <w:rsid w:val="00D6029A"/>
    <w:rsid w:val="00D6034C"/>
    <w:rsid w:val="00D603C3"/>
    <w:rsid w:val="00D60434"/>
    <w:rsid w:val="00D60AA7"/>
    <w:rsid w:val="00D60AC0"/>
    <w:rsid w:val="00D60AF1"/>
    <w:rsid w:val="00D60BFC"/>
    <w:rsid w:val="00D60E22"/>
    <w:rsid w:val="00D60E55"/>
    <w:rsid w:val="00D6100D"/>
    <w:rsid w:val="00D61053"/>
    <w:rsid w:val="00D61302"/>
    <w:rsid w:val="00D61394"/>
    <w:rsid w:val="00D615DC"/>
    <w:rsid w:val="00D618F8"/>
    <w:rsid w:val="00D61C45"/>
    <w:rsid w:val="00D61DE6"/>
    <w:rsid w:val="00D62194"/>
    <w:rsid w:val="00D62921"/>
    <w:rsid w:val="00D62F4D"/>
    <w:rsid w:val="00D62F6F"/>
    <w:rsid w:val="00D63266"/>
    <w:rsid w:val="00D636B8"/>
    <w:rsid w:val="00D639C0"/>
    <w:rsid w:val="00D63A45"/>
    <w:rsid w:val="00D63D85"/>
    <w:rsid w:val="00D63F3F"/>
    <w:rsid w:val="00D64044"/>
    <w:rsid w:val="00D6438C"/>
    <w:rsid w:val="00D643E6"/>
    <w:rsid w:val="00D64659"/>
    <w:rsid w:val="00D647FC"/>
    <w:rsid w:val="00D64906"/>
    <w:rsid w:val="00D64932"/>
    <w:rsid w:val="00D64A70"/>
    <w:rsid w:val="00D64D7A"/>
    <w:rsid w:val="00D64EDC"/>
    <w:rsid w:val="00D64FEB"/>
    <w:rsid w:val="00D650AC"/>
    <w:rsid w:val="00D65202"/>
    <w:rsid w:val="00D652D9"/>
    <w:rsid w:val="00D6626D"/>
    <w:rsid w:val="00D66312"/>
    <w:rsid w:val="00D66BB2"/>
    <w:rsid w:val="00D67675"/>
    <w:rsid w:val="00D67BA3"/>
    <w:rsid w:val="00D67CCA"/>
    <w:rsid w:val="00D67D01"/>
    <w:rsid w:val="00D67D03"/>
    <w:rsid w:val="00D67DFA"/>
    <w:rsid w:val="00D67FCF"/>
    <w:rsid w:val="00D70125"/>
    <w:rsid w:val="00D702B5"/>
    <w:rsid w:val="00D702FA"/>
    <w:rsid w:val="00D7032C"/>
    <w:rsid w:val="00D704CD"/>
    <w:rsid w:val="00D7052D"/>
    <w:rsid w:val="00D70DDA"/>
    <w:rsid w:val="00D70FFA"/>
    <w:rsid w:val="00D714FE"/>
    <w:rsid w:val="00D715E3"/>
    <w:rsid w:val="00D7167A"/>
    <w:rsid w:val="00D7199D"/>
    <w:rsid w:val="00D71C15"/>
    <w:rsid w:val="00D71C5B"/>
    <w:rsid w:val="00D72432"/>
    <w:rsid w:val="00D72655"/>
    <w:rsid w:val="00D729AB"/>
    <w:rsid w:val="00D72A07"/>
    <w:rsid w:val="00D72B00"/>
    <w:rsid w:val="00D72BAF"/>
    <w:rsid w:val="00D72CA9"/>
    <w:rsid w:val="00D7345A"/>
    <w:rsid w:val="00D73713"/>
    <w:rsid w:val="00D738FD"/>
    <w:rsid w:val="00D73AD9"/>
    <w:rsid w:val="00D73B0E"/>
    <w:rsid w:val="00D73C67"/>
    <w:rsid w:val="00D7408F"/>
    <w:rsid w:val="00D742CC"/>
    <w:rsid w:val="00D743A5"/>
    <w:rsid w:val="00D748BB"/>
    <w:rsid w:val="00D74A40"/>
    <w:rsid w:val="00D74B5C"/>
    <w:rsid w:val="00D74B8D"/>
    <w:rsid w:val="00D74E26"/>
    <w:rsid w:val="00D74E53"/>
    <w:rsid w:val="00D75367"/>
    <w:rsid w:val="00D753C8"/>
    <w:rsid w:val="00D7560F"/>
    <w:rsid w:val="00D75748"/>
    <w:rsid w:val="00D759A8"/>
    <w:rsid w:val="00D75D5A"/>
    <w:rsid w:val="00D7644F"/>
    <w:rsid w:val="00D7649D"/>
    <w:rsid w:val="00D765F1"/>
    <w:rsid w:val="00D767BA"/>
    <w:rsid w:val="00D76AAB"/>
    <w:rsid w:val="00D76F70"/>
    <w:rsid w:val="00D772A3"/>
    <w:rsid w:val="00D77793"/>
    <w:rsid w:val="00D779B6"/>
    <w:rsid w:val="00D77B20"/>
    <w:rsid w:val="00D77CCE"/>
    <w:rsid w:val="00D77F76"/>
    <w:rsid w:val="00D800ED"/>
    <w:rsid w:val="00D80362"/>
    <w:rsid w:val="00D803D4"/>
    <w:rsid w:val="00D805E5"/>
    <w:rsid w:val="00D80612"/>
    <w:rsid w:val="00D80A71"/>
    <w:rsid w:val="00D80AF3"/>
    <w:rsid w:val="00D80C29"/>
    <w:rsid w:val="00D80E4F"/>
    <w:rsid w:val="00D81233"/>
    <w:rsid w:val="00D81287"/>
    <w:rsid w:val="00D81837"/>
    <w:rsid w:val="00D81A05"/>
    <w:rsid w:val="00D81DC8"/>
    <w:rsid w:val="00D82451"/>
    <w:rsid w:val="00D8246F"/>
    <w:rsid w:val="00D8256B"/>
    <w:rsid w:val="00D8264A"/>
    <w:rsid w:val="00D82781"/>
    <w:rsid w:val="00D827A0"/>
    <w:rsid w:val="00D82E5C"/>
    <w:rsid w:val="00D82EE0"/>
    <w:rsid w:val="00D8316D"/>
    <w:rsid w:val="00D8334F"/>
    <w:rsid w:val="00D83523"/>
    <w:rsid w:val="00D836CF"/>
    <w:rsid w:val="00D8382B"/>
    <w:rsid w:val="00D839ED"/>
    <w:rsid w:val="00D83B51"/>
    <w:rsid w:val="00D83C9D"/>
    <w:rsid w:val="00D847BF"/>
    <w:rsid w:val="00D84AB9"/>
    <w:rsid w:val="00D84ECA"/>
    <w:rsid w:val="00D8525E"/>
    <w:rsid w:val="00D85307"/>
    <w:rsid w:val="00D85320"/>
    <w:rsid w:val="00D8532F"/>
    <w:rsid w:val="00D8551A"/>
    <w:rsid w:val="00D85AF1"/>
    <w:rsid w:val="00D86107"/>
    <w:rsid w:val="00D8613E"/>
    <w:rsid w:val="00D86180"/>
    <w:rsid w:val="00D87392"/>
    <w:rsid w:val="00D87539"/>
    <w:rsid w:val="00D8769D"/>
    <w:rsid w:val="00D87954"/>
    <w:rsid w:val="00D87955"/>
    <w:rsid w:val="00D87B1B"/>
    <w:rsid w:val="00D87FE1"/>
    <w:rsid w:val="00D90321"/>
    <w:rsid w:val="00D9041B"/>
    <w:rsid w:val="00D90593"/>
    <w:rsid w:val="00D905CF"/>
    <w:rsid w:val="00D907C9"/>
    <w:rsid w:val="00D90DBB"/>
    <w:rsid w:val="00D9102F"/>
    <w:rsid w:val="00D910DB"/>
    <w:rsid w:val="00D9141D"/>
    <w:rsid w:val="00D9145A"/>
    <w:rsid w:val="00D91B4F"/>
    <w:rsid w:val="00D9212A"/>
    <w:rsid w:val="00D9219A"/>
    <w:rsid w:val="00D92489"/>
    <w:rsid w:val="00D927AE"/>
    <w:rsid w:val="00D92817"/>
    <w:rsid w:val="00D92A68"/>
    <w:rsid w:val="00D92B41"/>
    <w:rsid w:val="00D93343"/>
    <w:rsid w:val="00D93878"/>
    <w:rsid w:val="00D938AA"/>
    <w:rsid w:val="00D93972"/>
    <w:rsid w:val="00D939C2"/>
    <w:rsid w:val="00D946C9"/>
    <w:rsid w:val="00D947BA"/>
    <w:rsid w:val="00D94807"/>
    <w:rsid w:val="00D949E1"/>
    <w:rsid w:val="00D949EE"/>
    <w:rsid w:val="00D94CF3"/>
    <w:rsid w:val="00D94D05"/>
    <w:rsid w:val="00D94F57"/>
    <w:rsid w:val="00D95559"/>
    <w:rsid w:val="00D9557A"/>
    <w:rsid w:val="00D955D6"/>
    <w:rsid w:val="00D959D3"/>
    <w:rsid w:val="00D95C5A"/>
    <w:rsid w:val="00D95CA4"/>
    <w:rsid w:val="00D95CE1"/>
    <w:rsid w:val="00D95DF2"/>
    <w:rsid w:val="00D961F9"/>
    <w:rsid w:val="00D9625E"/>
    <w:rsid w:val="00D967A8"/>
    <w:rsid w:val="00D96914"/>
    <w:rsid w:val="00D96C5E"/>
    <w:rsid w:val="00D96D81"/>
    <w:rsid w:val="00D96F7A"/>
    <w:rsid w:val="00D96FCA"/>
    <w:rsid w:val="00D971E6"/>
    <w:rsid w:val="00D9742C"/>
    <w:rsid w:val="00D97643"/>
    <w:rsid w:val="00D9770D"/>
    <w:rsid w:val="00D9774A"/>
    <w:rsid w:val="00D97D36"/>
    <w:rsid w:val="00DA006F"/>
    <w:rsid w:val="00DA00A9"/>
    <w:rsid w:val="00DA02D6"/>
    <w:rsid w:val="00DA033C"/>
    <w:rsid w:val="00DA0426"/>
    <w:rsid w:val="00DA044A"/>
    <w:rsid w:val="00DA058E"/>
    <w:rsid w:val="00DA0AF5"/>
    <w:rsid w:val="00DA0CDD"/>
    <w:rsid w:val="00DA0DD3"/>
    <w:rsid w:val="00DA0F0E"/>
    <w:rsid w:val="00DA17D2"/>
    <w:rsid w:val="00DA17E6"/>
    <w:rsid w:val="00DA19C4"/>
    <w:rsid w:val="00DA1C9B"/>
    <w:rsid w:val="00DA1D22"/>
    <w:rsid w:val="00DA1E75"/>
    <w:rsid w:val="00DA1ED7"/>
    <w:rsid w:val="00DA20D6"/>
    <w:rsid w:val="00DA237E"/>
    <w:rsid w:val="00DA244D"/>
    <w:rsid w:val="00DA24C8"/>
    <w:rsid w:val="00DA28BC"/>
    <w:rsid w:val="00DA2A1B"/>
    <w:rsid w:val="00DA2D41"/>
    <w:rsid w:val="00DA36D1"/>
    <w:rsid w:val="00DA38BF"/>
    <w:rsid w:val="00DA399F"/>
    <w:rsid w:val="00DA3DC6"/>
    <w:rsid w:val="00DA41A7"/>
    <w:rsid w:val="00DA41AA"/>
    <w:rsid w:val="00DA4AED"/>
    <w:rsid w:val="00DA4BD2"/>
    <w:rsid w:val="00DA4EF9"/>
    <w:rsid w:val="00DA502E"/>
    <w:rsid w:val="00DA512C"/>
    <w:rsid w:val="00DA521A"/>
    <w:rsid w:val="00DA5593"/>
    <w:rsid w:val="00DA5779"/>
    <w:rsid w:val="00DA5A92"/>
    <w:rsid w:val="00DA5C09"/>
    <w:rsid w:val="00DA6283"/>
    <w:rsid w:val="00DA637B"/>
    <w:rsid w:val="00DA6765"/>
    <w:rsid w:val="00DA694F"/>
    <w:rsid w:val="00DA6D64"/>
    <w:rsid w:val="00DA70E1"/>
    <w:rsid w:val="00DA7BE4"/>
    <w:rsid w:val="00DA7BF0"/>
    <w:rsid w:val="00DA7F5D"/>
    <w:rsid w:val="00DB003C"/>
    <w:rsid w:val="00DB0089"/>
    <w:rsid w:val="00DB0137"/>
    <w:rsid w:val="00DB017E"/>
    <w:rsid w:val="00DB025E"/>
    <w:rsid w:val="00DB05A3"/>
    <w:rsid w:val="00DB071C"/>
    <w:rsid w:val="00DB0CDC"/>
    <w:rsid w:val="00DB0ED2"/>
    <w:rsid w:val="00DB115D"/>
    <w:rsid w:val="00DB1383"/>
    <w:rsid w:val="00DB1A8B"/>
    <w:rsid w:val="00DB1E91"/>
    <w:rsid w:val="00DB24EE"/>
    <w:rsid w:val="00DB2729"/>
    <w:rsid w:val="00DB2BB5"/>
    <w:rsid w:val="00DB2BCE"/>
    <w:rsid w:val="00DB2D39"/>
    <w:rsid w:val="00DB2DAF"/>
    <w:rsid w:val="00DB334A"/>
    <w:rsid w:val="00DB3805"/>
    <w:rsid w:val="00DB3CB2"/>
    <w:rsid w:val="00DB4408"/>
    <w:rsid w:val="00DB4410"/>
    <w:rsid w:val="00DB44C7"/>
    <w:rsid w:val="00DB46FF"/>
    <w:rsid w:val="00DB4BC7"/>
    <w:rsid w:val="00DB4BE3"/>
    <w:rsid w:val="00DB4C2B"/>
    <w:rsid w:val="00DB5117"/>
    <w:rsid w:val="00DB51FD"/>
    <w:rsid w:val="00DB54DD"/>
    <w:rsid w:val="00DB57E7"/>
    <w:rsid w:val="00DB599D"/>
    <w:rsid w:val="00DB6031"/>
    <w:rsid w:val="00DB6507"/>
    <w:rsid w:val="00DB664A"/>
    <w:rsid w:val="00DB6717"/>
    <w:rsid w:val="00DB677A"/>
    <w:rsid w:val="00DB6856"/>
    <w:rsid w:val="00DB6B33"/>
    <w:rsid w:val="00DB6C31"/>
    <w:rsid w:val="00DB6E0B"/>
    <w:rsid w:val="00DB6FFD"/>
    <w:rsid w:val="00DB7463"/>
    <w:rsid w:val="00DB748C"/>
    <w:rsid w:val="00DB79CD"/>
    <w:rsid w:val="00DB7C30"/>
    <w:rsid w:val="00DB7F0D"/>
    <w:rsid w:val="00DC007D"/>
    <w:rsid w:val="00DC012F"/>
    <w:rsid w:val="00DC0304"/>
    <w:rsid w:val="00DC0321"/>
    <w:rsid w:val="00DC05CD"/>
    <w:rsid w:val="00DC068C"/>
    <w:rsid w:val="00DC0B22"/>
    <w:rsid w:val="00DC0BA4"/>
    <w:rsid w:val="00DC0CF0"/>
    <w:rsid w:val="00DC107F"/>
    <w:rsid w:val="00DC14AF"/>
    <w:rsid w:val="00DC1720"/>
    <w:rsid w:val="00DC1ACF"/>
    <w:rsid w:val="00DC1BB3"/>
    <w:rsid w:val="00DC211F"/>
    <w:rsid w:val="00DC22C7"/>
    <w:rsid w:val="00DC235F"/>
    <w:rsid w:val="00DC2DD2"/>
    <w:rsid w:val="00DC2E32"/>
    <w:rsid w:val="00DC2EB2"/>
    <w:rsid w:val="00DC3254"/>
    <w:rsid w:val="00DC33A6"/>
    <w:rsid w:val="00DC3633"/>
    <w:rsid w:val="00DC3776"/>
    <w:rsid w:val="00DC37F6"/>
    <w:rsid w:val="00DC38EF"/>
    <w:rsid w:val="00DC39E3"/>
    <w:rsid w:val="00DC3DBE"/>
    <w:rsid w:val="00DC3FD7"/>
    <w:rsid w:val="00DC403B"/>
    <w:rsid w:val="00DC4108"/>
    <w:rsid w:val="00DC471D"/>
    <w:rsid w:val="00DC4761"/>
    <w:rsid w:val="00DC47B7"/>
    <w:rsid w:val="00DC4B63"/>
    <w:rsid w:val="00DC4CEC"/>
    <w:rsid w:val="00DC4EC7"/>
    <w:rsid w:val="00DC4F64"/>
    <w:rsid w:val="00DC50C5"/>
    <w:rsid w:val="00DC50CA"/>
    <w:rsid w:val="00DC5762"/>
    <w:rsid w:val="00DC58BC"/>
    <w:rsid w:val="00DC5CBE"/>
    <w:rsid w:val="00DC5E2D"/>
    <w:rsid w:val="00DC64A7"/>
    <w:rsid w:val="00DC6667"/>
    <w:rsid w:val="00DC67AC"/>
    <w:rsid w:val="00DC6E25"/>
    <w:rsid w:val="00DC71F6"/>
    <w:rsid w:val="00DC748A"/>
    <w:rsid w:val="00DC765B"/>
    <w:rsid w:val="00DC78DF"/>
    <w:rsid w:val="00DC7BB8"/>
    <w:rsid w:val="00DD016F"/>
    <w:rsid w:val="00DD02E1"/>
    <w:rsid w:val="00DD04B8"/>
    <w:rsid w:val="00DD079E"/>
    <w:rsid w:val="00DD0953"/>
    <w:rsid w:val="00DD0959"/>
    <w:rsid w:val="00DD0A29"/>
    <w:rsid w:val="00DD0B87"/>
    <w:rsid w:val="00DD0DD9"/>
    <w:rsid w:val="00DD0EE6"/>
    <w:rsid w:val="00DD135D"/>
    <w:rsid w:val="00DD1661"/>
    <w:rsid w:val="00DD1863"/>
    <w:rsid w:val="00DD1A95"/>
    <w:rsid w:val="00DD1BFA"/>
    <w:rsid w:val="00DD2ABD"/>
    <w:rsid w:val="00DD2AC4"/>
    <w:rsid w:val="00DD2C81"/>
    <w:rsid w:val="00DD2D73"/>
    <w:rsid w:val="00DD3636"/>
    <w:rsid w:val="00DD3943"/>
    <w:rsid w:val="00DD4242"/>
    <w:rsid w:val="00DD42FF"/>
    <w:rsid w:val="00DD443C"/>
    <w:rsid w:val="00DD497F"/>
    <w:rsid w:val="00DD4CA2"/>
    <w:rsid w:val="00DD4DD6"/>
    <w:rsid w:val="00DD4F40"/>
    <w:rsid w:val="00DD4F75"/>
    <w:rsid w:val="00DD51AF"/>
    <w:rsid w:val="00DD5309"/>
    <w:rsid w:val="00DD5845"/>
    <w:rsid w:val="00DD5B72"/>
    <w:rsid w:val="00DD5DE8"/>
    <w:rsid w:val="00DD605B"/>
    <w:rsid w:val="00DD62C2"/>
    <w:rsid w:val="00DD6649"/>
    <w:rsid w:val="00DD692F"/>
    <w:rsid w:val="00DD6990"/>
    <w:rsid w:val="00DD6D65"/>
    <w:rsid w:val="00DD6FD8"/>
    <w:rsid w:val="00DD7013"/>
    <w:rsid w:val="00DD71F5"/>
    <w:rsid w:val="00DD7327"/>
    <w:rsid w:val="00DD7617"/>
    <w:rsid w:val="00DD7F77"/>
    <w:rsid w:val="00DE014E"/>
    <w:rsid w:val="00DE04F6"/>
    <w:rsid w:val="00DE085B"/>
    <w:rsid w:val="00DE0C45"/>
    <w:rsid w:val="00DE0E9A"/>
    <w:rsid w:val="00DE1254"/>
    <w:rsid w:val="00DE140E"/>
    <w:rsid w:val="00DE1488"/>
    <w:rsid w:val="00DE1DF4"/>
    <w:rsid w:val="00DE1F0E"/>
    <w:rsid w:val="00DE1FF0"/>
    <w:rsid w:val="00DE21C1"/>
    <w:rsid w:val="00DE2252"/>
    <w:rsid w:val="00DE228D"/>
    <w:rsid w:val="00DE240F"/>
    <w:rsid w:val="00DE2496"/>
    <w:rsid w:val="00DE2FF0"/>
    <w:rsid w:val="00DE3067"/>
    <w:rsid w:val="00DE32BE"/>
    <w:rsid w:val="00DE3300"/>
    <w:rsid w:val="00DE3386"/>
    <w:rsid w:val="00DE35A7"/>
    <w:rsid w:val="00DE3BD7"/>
    <w:rsid w:val="00DE3D3D"/>
    <w:rsid w:val="00DE3E9D"/>
    <w:rsid w:val="00DE3F16"/>
    <w:rsid w:val="00DE3F82"/>
    <w:rsid w:val="00DE3FA0"/>
    <w:rsid w:val="00DE41C2"/>
    <w:rsid w:val="00DE43DB"/>
    <w:rsid w:val="00DE48C4"/>
    <w:rsid w:val="00DE4B4A"/>
    <w:rsid w:val="00DE4E6F"/>
    <w:rsid w:val="00DE508D"/>
    <w:rsid w:val="00DE50C3"/>
    <w:rsid w:val="00DE5554"/>
    <w:rsid w:val="00DE56C6"/>
    <w:rsid w:val="00DE57D7"/>
    <w:rsid w:val="00DE594A"/>
    <w:rsid w:val="00DE5BC1"/>
    <w:rsid w:val="00DE5DFD"/>
    <w:rsid w:val="00DE5EE2"/>
    <w:rsid w:val="00DE61F4"/>
    <w:rsid w:val="00DE6715"/>
    <w:rsid w:val="00DE6936"/>
    <w:rsid w:val="00DE6A9B"/>
    <w:rsid w:val="00DE6AC0"/>
    <w:rsid w:val="00DE6F20"/>
    <w:rsid w:val="00DE7099"/>
    <w:rsid w:val="00DE70E2"/>
    <w:rsid w:val="00DE716A"/>
    <w:rsid w:val="00DE7283"/>
    <w:rsid w:val="00DE7F47"/>
    <w:rsid w:val="00DE7F8F"/>
    <w:rsid w:val="00DF0297"/>
    <w:rsid w:val="00DF0734"/>
    <w:rsid w:val="00DF0E4D"/>
    <w:rsid w:val="00DF0FAA"/>
    <w:rsid w:val="00DF17BD"/>
    <w:rsid w:val="00DF1A1B"/>
    <w:rsid w:val="00DF1BFD"/>
    <w:rsid w:val="00DF1C60"/>
    <w:rsid w:val="00DF2142"/>
    <w:rsid w:val="00DF21A3"/>
    <w:rsid w:val="00DF24E5"/>
    <w:rsid w:val="00DF252A"/>
    <w:rsid w:val="00DF2845"/>
    <w:rsid w:val="00DF287C"/>
    <w:rsid w:val="00DF2DD1"/>
    <w:rsid w:val="00DF2FCD"/>
    <w:rsid w:val="00DF341B"/>
    <w:rsid w:val="00DF3846"/>
    <w:rsid w:val="00DF385C"/>
    <w:rsid w:val="00DF39E9"/>
    <w:rsid w:val="00DF3A6F"/>
    <w:rsid w:val="00DF3A82"/>
    <w:rsid w:val="00DF3C7D"/>
    <w:rsid w:val="00DF431B"/>
    <w:rsid w:val="00DF47C0"/>
    <w:rsid w:val="00DF4875"/>
    <w:rsid w:val="00DF49F7"/>
    <w:rsid w:val="00DF4BDE"/>
    <w:rsid w:val="00DF516F"/>
    <w:rsid w:val="00DF53ED"/>
    <w:rsid w:val="00DF5A2B"/>
    <w:rsid w:val="00DF6918"/>
    <w:rsid w:val="00DF6962"/>
    <w:rsid w:val="00DF6A2B"/>
    <w:rsid w:val="00DF6DCF"/>
    <w:rsid w:val="00DF6E18"/>
    <w:rsid w:val="00DF74D9"/>
    <w:rsid w:val="00DF767A"/>
    <w:rsid w:val="00DF77E3"/>
    <w:rsid w:val="00DF7A76"/>
    <w:rsid w:val="00DF7AC1"/>
    <w:rsid w:val="00E00308"/>
    <w:rsid w:val="00E008A2"/>
    <w:rsid w:val="00E008DB"/>
    <w:rsid w:val="00E00A8E"/>
    <w:rsid w:val="00E00B17"/>
    <w:rsid w:val="00E0127F"/>
    <w:rsid w:val="00E0152A"/>
    <w:rsid w:val="00E017E2"/>
    <w:rsid w:val="00E017F1"/>
    <w:rsid w:val="00E01923"/>
    <w:rsid w:val="00E01B7D"/>
    <w:rsid w:val="00E02194"/>
    <w:rsid w:val="00E026CD"/>
    <w:rsid w:val="00E028FC"/>
    <w:rsid w:val="00E02E7F"/>
    <w:rsid w:val="00E02F9E"/>
    <w:rsid w:val="00E030C5"/>
    <w:rsid w:val="00E03425"/>
    <w:rsid w:val="00E034C9"/>
    <w:rsid w:val="00E0360B"/>
    <w:rsid w:val="00E03642"/>
    <w:rsid w:val="00E03A06"/>
    <w:rsid w:val="00E03A96"/>
    <w:rsid w:val="00E03B7E"/>
    <w:rsid w:val="00E042CB"/>
    <w:rsid w:val="00E043EE"/>
    <w:rsid w:val="00E04429"/>
    <w:rsid w:val="00E0450B"/>
    <w:rsid w:val="00E046E5"/>
    <w:rsid w:val="00E04973"/>
    <w:rsid w:val="00E04BF7"/>
    <w:rsid w:val="00E04D5B"/>
    <w:rsid w:val="00E04F2E"/>
    <w:rsid w:val="00E050E0"/>
    <w:rsid w:val="00E05552"/>
    <w:rsid w:val="00E05625"/>
    <w:rsid w:val="00E05685"/>
    <w:rsid w:val="00E05725"/>
    <w:rsid w:val="00E05B05"/>
    <w:rsid w:val="00E05D56"/>
    <w:rsid w:val="00E0613A"/>
    <w:rsid w:val="00E061CE"/>
    <w:rsid w:val="00E06D73"/>
    <w:rsid w:val="00E06F78"/>
    <w:rsid w:val="00E06F93"/>
    <w:rsid w:val="00E071DC"/>
    <w:rsid w:val="00E07687"/>
    <w:rsid w:val="00E0778D"/>
    <w:rsid w:val="00E079B8"/>
    <w:rsid w:val="00E07AA3"/>
    <w:rsid w:val="00E07C9D"/>
    <w:rsid w:val="00E100F9"/>
    <w:rsid w:val="00E10241"/>
    <w:rsid w:val="00E10511"/>
    <w:rsid w:val="00E10532"/>
    <w:rsid w:val="00E105A9"/>
    <w:rsid w:val="00E10670"/>
    <w:rsid w:val="00E10B70"/>
    <w:rsid w:val="00E10C22"/>
    <w:rsid w:val="00E114C7"/>
    <w:rsid w:val="00E11B9F"/>
    <w:rsid w:val="00E11E5F"/>
    <w:rsid w:val="00E11F86"/>
    <w:rsid w:val="00E12295"/>
    <w:rsid w:val="00E123A5"/>
    <w:rsid w:val="00E123C4"/>
    <w:rsid w:val="00E12815"/>
    <w:rsid w:val="00E12962"/>
    <w:rsid w:val="00E12A0D"/>
    <w:rsid w:val="00E12A3F"/>
    <w:rsid w:val="00E131F3"/>
    <w:rsid w:val="00E134FA"/>
    <w:rsid w:val="00E139EE"/>
    <w:rsid w:val="00E13A93"/>
    <w:rsid w:val="00E13C7F"/>
    <w:rsid w:val="00E1408A"/>
    <w:rsid w:val="00E140B0"/>
    <w:rsid w:val="00E141C6"/>
    <w:rsid w:val="00E14405"/>
    <w:rsid w:val="00E15056"/>
    <w:rsid w:val="00E15090"/>
    <w:rsid w:val="00E151B8"/>
    <w:rsid w:val="00E1566D"/>
    <w:rsid w:val="00E1575E"/>
    <w:rsid w:val="00E15C63"/>
    <w:rsid w:val="00E15D8D"/>
    <w:rsid w:val="00E15DB1"/>
    <w:rsid w:val="00E16008"/>
    <w:rsid w:val="00E16183"/>
    <w:rsid w:val="00E1626C"/>
    <w:rsid w:val="00E1631B"/>
    <w:rsid w:val="00E163EF"/>
    <w:rsid w:val="00E16940"/>
    <w:rsid w:val="00E16A06"/>
    <w:rsid w:val="00E17049"/>
    <w:rsid w:val="00E17099"/>
    <w:rsid w:val="00E17394"/>
    <w:rsid w:val="00E173C4"/>
    <w:rsid w:val="00E174C3"/>
    <w:rsid w:val="00E17552"/>
    <w:rsid w:val="00E17C7F"/>
    <w:rsid w:val="00E17D83"/>
    <w:rsid w:val="00E17E18"/>
    <w:rsid w:val="00E202C3"/>
    <w:rsid w:val="00E20656"/>
    <w:rsid w:val="00E208D7"/>
    <w:rsid w:val="00E209E6"/>
    <w:rsid w:val="00E20CB5"/>
    <w:rsid w:val="00E20D56"/>
    <w:rsid w:val="00E211C4"/>
    <w:rsid w:val="00E21223"/>
    <w:rsid w:val="00E21B03"/>
    <w:rsid w:val="00E21B85"/>
    <w:rsid w:val="00E21FEE"/>
    <w:rsid w:val="00E22313"/>
    <w:rsid w:val="00E22319"/>
    <w:rsid w:val="00E22445"/>
    <w:rsid w:val="00E22F7C"/>
    <w:rsid w:val="00E23154"/>
    <w:rsid w:val="00E24151"/>
    <w:rsid w:val="00E244E3"/>
    <w:rsid w:val="00E2450F"/>
    <w:rsid w:val="00E2466C"/>
    <w:rsid w:val="00E246A8"/>
    <w:rsid w:val="00E249DB"/>
    <w:rsid w:val="00E24C5E"/>
    <w:rsid w:val="00E24E15"/>
    <w:rsid w:val="00E24E65"/>
    <w:rsid w:val="00E2534F"/>
    <w:rsid w:val="00E253F1"/>
    <w:rsid w:val="00E2590E"/>
    <w:rsid w:val="00E260A3"/>
    <w:rsid w:val="00E2623A"/>
    <w:rsid w:val="00E262A0"/>
    <w:rsid w:val="00E26667"/>
    <w:rsid w:val="00E26D15"/>
    <w:rsid w:val="00E26F95"/>
    <w:rsid w:val="00E2706F"/>
    <w:rsid w:val="00E270D8"/>
    <w:rsid w:val="00E27211"/>
    <w:rsid w:val="00E27799"/>
    <w:rsid w:val="00E27DDB"/>
    <w:rsid w:val="00E30372"/>
    <w:rsid w:val="00E30460"/>
    <w:rsid w:val="00E304FA"/>
    <w:rsid w:val="00E305AC"/>
    <w:rsid w:val="00E30A65"/>
    <w:rsid w:val="00E31254"/>
    <w:rsid w:val="00E31385"/>
    <w:rsid w:val="00E31702"/>
    <w:rsid w:val="00E31998"/>
    <w:rsid w:val="00E319B0"/>
    <w:rsid w:val="00E31B15"/>
    <w:rsid w:val="00E31B75"/>
    <w:rsid w:val="00E31E58"/>
    <w:rsid w:val="00E31F16"/>
    <w:rsid w:val="00E3242E"/>
    <w:rsid w:val="00E32461"/>
    <w:rsid w:val="00E326B6"/>
    <w:rsid w:val="00E32A63"/>
    <w:rsid w:val="00E32BC9"/>
    <w:rsid w:val="00E32F34"/>
    <w:rsid w:val="00E330C9"/>
    <w:rsid w:val="00E3330E"/>
    <w:rsid w:val="00E3331F"/>
    <w:rsid w:val="00E3351F"/>
    <w:rsid w:val="00E335EC"/>
    <w:rsid w:val="00E33992"/>
    <w:rsid w:val="00E33DA6"/>
    <w:rsid w:val="00E344B2"/>
    <w:rsid w:val="00E34960"/>
    <w:rsid w:val="00E35217"/>
    <w:rsid w:val="00E3533B"/>
    <w:rsid w:val="00E35675"/>
    <w:rsid w:val="00E35BCF"/>
    <w:rsid w:val="00E35C1A"/>
    <w:rsid w:val="00E35F56"/>
    <w:rsid w:val="00E36511"/>
    <w:rsid w:val="00E3695F"/>
    <w:rsid w:val="00E369C7"/>
    <w:rsid w:val="00E3739F"/>
    <w:rsid w:val="00E375C6"/>
    <w:rsid w:val="00E37A2E"/>
    <w:rsid w:val="00E37B35"/>
    <w:rsid w:val="00E402C9"/>
    <w:rsid w:val="00E40423"/>
    <w:rsid w:val="00E40447"/>
    <w:rsid w:val="00E4044C"/>
    <w:rsid w:val="00E407E0"/>
    <w:rsid w:val="00E40938"/>
    <w:rsid w:val="00E4097E"/>
    <w:rsid w:val="00E40A66"/>
    <w:rsid w:val="00E40C33"/>
    <w:rsid w:val="00E40DAE"/>
    <w:rsid w:val="00E40F62"/>
    <w:rsid w:val="00E413D9"/>
    <w:rsid w:val="00E41410"/>
    <w:rsid w:val="00E41676"/>
    <w:rsid w:val="00E41B7B"/>
    <w:rsid w:val="00E422BF"/>
    <w:rsid w:val="00E428D7"/>
    <w:rsid w:val="00E428EE"/>
    <w:rsid w:val="00E42E1D"/>
    <w:rsid w:val="00E42F60"/>
    <w:rsid w:val="00E43077"/>
    <w:rsid w:val="00E43249"/>
    <w:rsid w:val="00E432BE"/>
    <w:rsid w:val="00E4344D"/>
    <w:rsid w:val="00E43478"/>
    <w:rsid w:val="00E43606"/>
    <w:rsid w:val="00E436A2"/>
    <w:rsid w:val="00E4378E"/>
    <w:rsid w:val="00E43A3F"/>
    <w:rsid w:val="00E43B9A"/>
    <w:rsid w:val="00E44046"/>
    <w:rsid w:val="00E44955"/>
    <w:rsid w:val="00E44D27"/>
    <w:rsid w:val="00E44D6C"/>
    <w:rsid w:val="00E44DE7"/>
    <w:rsid w:val="00E45131"/>
    <w:rsid w:val="00E455CD"/>
    <w:rsid w:val="00E457A9"/>
    <w:rsid w:val="00E45850"/>
    <w:rsid w:val="00E458D8"/>
    <w:rsid w:val="00E45A28"/>
    <w:rsid w:val="00E4623A"/>
    <w:rsid w:val="00E46727"/>
    <w:rsid w:val="00E472AA"/>
    <w:rsid w:val="00E473EF"/>
    <w:rsid w:val="00E47480"/>
    <w:rsid w:val="00E47BA6"/>
    <w:rsid w:val="00E47BE3"/>
    <w:rsid w:val="00E47E23"/>
    <w:rsid w:val="00E500EE"/>
    <w:rsid w:val="00E5034F"/>
    <w:rsid w:val="00E505AB"/>
    <w:rsid w:val="00E50693"/>
    <w:rsid w:val="00E50915"/>
    <w:rsid w:val="00E510FC"/>
    <w:rsid w:val="00E511E5"/>
    <w:rsid w:val="00E51209"/>
    <w:rsid w:val="00E518A7"/>
    <w:rsid w:val="00E51C19"/>
    <w:rsid w:val="00E5208B"/>
    <w:rsid w:val="00E52147"/>
    <w:rsid w:val="00E52176"/>
    <w:rsid w:val="00E525A1"/>
    <w:rsid w:val="00E52747"/>
    <w:rsid w:val="00E5278F"/>
    <w:rsid w:val="00E529F5"/>
    <w:rsid w:val="00E52D04"/>
    <w:rsid w:val="00E531F3"/>
    <w:rsid w:val="00E532A0"/>
    <w:rsid w:val="00E5356B"/>
    <w:rsid w:val="00E5388B"/>
    <w:rsid w:val="00E53E00"/>
    <w:rsid w:val="00E53E1C"/>
    <w:rsid w:val="00E5415B"/>
    <w:rsid w:val="00E54221"/>
    <w:rsid w:val="00E542B4"/>
    <w:rsid w:val="00E54CEF"/>
    <w:rsid w:val="00E54FC9"/>
    <w:rsid w:val="00E555E0"/>
    <w:rsid w:val="00E55702"/>
    <w:rsid w:val="00E55B0E"/>
    <w:rsid w:val="00E55BDD"/>
    <w:rsid w:val="00E5650A"/>
    <w:rsid w:val="00E5651B"/>
    <w:rsid w:val="00E56546"/>
    <w:rsid w:val="00E56697"/>
    <w:rsid w:val="00E566D0"/>
    <w:rsid w:val="00E56977"/>
    <w:rsid w:val="00E56A55"/>
    <w:rsid w:val="00E56EED"/>
    <w:rsid w:val="00E574EC"/>
    <w:rsid w:val="00E57592"/>
    <w:rsid w:val="00E57A9E"/>
    <w:rsid w:val="00E57B73"/>
    <w:rsid w:val="00E57C16"/>
    <w:rsid w:val="00E57CB6"/>
    <w:rsid w:val="00E57DA9"/>
    <w:rsid w:val="00E57F9C"/>
    <w:rsid w:val="00E57FC6"/>
    <w:rsid w:val="00E6002E"/>
    <w:rsid w:val="00E60866"/>
    <w:rsid w:val="00E60AB2"/>
    <w:rsid w:val="00E60B75"/>
    <w:rsid w:val="00E60E58"/>
    <w:rsid w:val="00E611F0"/>
    <w:rsid w:val="00E615E2"/>
    <w:rsid w:val="00E615F9"/>
    <w:rsid w:val="00E61850"/>
    <w:rsid w:val="00E6193C"/>
    <w:rsid w:val="00E61CFA"/>
    <w:rsid w:val="00E62058"/>
    <w:rsid w:val="00E6249D"/>
    <w:rsid w:val="00E62A16"/>
    <w:rsid w:val="00E62BC2"/>
    <w:rsid w:val="00E62D8B"/>
    <w:rsid w:val="00E6337B"/>
    <w:rsid w:val="00E63404"/>
    <w:rsid w:val="00E6345D"/>
    <w:rsid w:val="00E6353C"/>
    <w:rsid w:val="00E635A7"/>
    <w:rsid w:val="00E63637"/>
    <w:rsid w:val="00E637F1"/>
    <w:rsid w:val="00E637FF"/>
    <w:rsid w:val="00E6393E"/>
    <w:rsid w:val="00E63DAA"/>
    <w:rsid w:val="00E63FC6"/>
    <w:rsid w:val="00E64372"/>
    <w:rsid w:val="00E648D2"/>
    <w:rsid w:val="00E64C40"/>
    <w:rsid w:val="00E64CD7"/>
    <w:rsid w:val="00E64D40"/>
    <w:rsid w:val="00E64DD9"/>
    <w:rsid w:val="00E65121"/>
    <w:rsid w:val="00E65306"/>
    <w:rsid w:val="00E65341"/>
    <w:rsid w:val="00E65709"/>
    <w:rsid w:val="00E65AFD"/>
    <w:rsid w:val="00E6628D"/>
    <w:rsid w:val="00E67048"/>
    <w:rsid w:val="00E67535"/>
    <w:rsid w:val="00E676DE"/>
    <w:rsid w:val="00E67932"/>
    <w:rsid w:val="00E67B83"/>
    <w:rsid w:val="00E67ECA"/>
    <w:rsid w:val="00E67F9E"/>
    <w:rsid w:val="00E700B4"/>
    <w:rsid w:val="00E700E9"/>
    <w:rsid w:val="00E70161"/>
    <w:rsid w:val="00E7018F"/>
    <w:rsid w:val="00E706CF"/>
    <w:rsid w:val="00E7088A"/>
    <w:rsid w:val="00E70C12"/>
    <w:rsid w:val="00E70C9C"/>
    <w:rsid w:val="00E70EB6"/>
    <w:rsid w:val="00E70ED5"/>
    <w:rsid w:val="00E711D8"/>
    <w:rsid w:val="00E71924"/>
    <w:rsid w:val="00E71D6A"/>
    <w:rsid w:val="00E71D74"/>
    <w:rsid w:val="00E721AF"/>
    <w:rsid w:val="00E7221D"/>
    <w:rsid w:val="00E72369"/>
    <w:rsid w:val="00E7237A"/>
    <w:rsid w:val="00E724AB"/>
    <w:rsid w:val="00E7295A"/>
    <w:rsid w:val="00E7320E"/>
    <w:rsid w:val="00E7336C"/>
    <w:rsid w:val="00E73588"/>
    <w:rsid w:val="00E73B6B"/>
    <w:rsid w:val="00E73BBB"/>
    <w:rsid w:val="00E73F57"/>
    <w:rsid w:val="00E746FF"/>
    <w:rsid w:val="00E74934"/>
    <w:rsid w:val="00E74A0D"/>
    <w:rsid w:val="00E74E51"/>
    <w:rsid w:val="00E75207"/>
    <w:rsid w:val="00E7536E"/>
    <w:rsid w:val="00E755DD"/>
    <w:rsid w:val="00E75F21"/>
    <w:rsid w:val="00E7615F"/>
    <w:rsid w:val="00E76186"/>
    <w:rsid w:val="00E76AE0"/>
    <w:rsid w:val="00E76DE6"/>
    <w:rsid w:val="00E770B9"/>
    <w:rsid w:val="00E77980"/>
    <w:rsid w:val="00E77AE0"/>
    <w:rsid w:val="00E77AF6"/>
    <w:rsid w:val="00E77C77"/>
    <w:rsid w:val="00E77DDB"/>
    <w:rsid w:val="00E80191"/>
    <w:rsid w:val="00E802A0"/>
    <w:rsid w:val="00E80C59"/>
    <w:rsid w:val="00E81083"/>
    <w:rsid w:val="00E81A50"/>
    <w:rsid w:val="00E81A87"/>
    <w:rsid w:val="00E81E73"/>
    <w:rsid w:val="00E8217E"/>
    <w:rsid w:val="00E82576"/>
    <w:rsid w:val="00E82859"/>
    <w:rsid w:val="00E82A4D"/>
    <w:rsid w:val="00E82AD3"/>
    <w:rsid w:val="00E82CFD"/>
    <w:rsid w:val="00E82DB0"/>
    <w:rsid w:val="00E83934"/>
    <w:rsid w:val="00E83948"/>
    <w:rsid w:val="00E83B22"/>
    <w:rsid w:val="00E83CF9"/>
    <w:rsid w:val="00E84122"/>
    <w:rsid w:val="00E8438C"/>
    <w:rsid w:val="00E84463"/>
    <w:rsid w:val="00E846F4"/>
    <w:rsid w:val="00E8471F"/>
    <w:rsid w:val="00E84E52"/>
    <w:rsid w:val="00E84FE2"/>
    <w:rsid w:val="00E85803"/>
    <w:rsid w:val="00E85C19"/>
    <w:rsid w:val="00E85D6F"/>
    <w:rsid w:val="00E85EE3"/>
    <w:rsid w:val="00E860F0"/>
    <w:rsid w:val="00E86356"/>
    <w:rsid w:val="00E863E8"/>
    <w:rsid w:val="00E865ED"/>
    <w:rsid w:val="00E8689F"/>
    <w:rsid w:val="00E868FB"/>
    <w:rsid w:val="00E86939"/>
    <w:rsid w:val="00E86AFC"/>
    <w:rsid w:val="00E86F5C"/>
    <w:rsid w:val="00E87169"/>
    <w:rsid w:val="00E871D1"/>
    <w:rsid w:val="00E8725F"/>
    <w:rsid w:val="00E87CFF"/>
    <w:rsid w:val="00E87F8E"/>
    <w:rsid w:val="00E87FF5"/>
    <w:rsid w:val="00E900B9"/>
    <w:rsid w:val="00E901F6"/>
    <w:rsid w:val="00E90410"/>
    <w:rsid w:val="00E9056C"/>
    <w:rsid w:val="00E90670"/>
    <w:rsid w:val="00E90679"/>
    <w:rsid w:val="00E90E1E"/>
    <w:rsid w:val="00E914D8"/>
    <w:rsid w:val="00E918EB"/>
    <w:rsid w:val="00E9191B"/>
    <w:rsid w:val="00E91A35"/>
    <w:rsid w:val="00E91AAA"/>
    <w:rsid w:val="00E91C74"/>
    <w:rsid w:val="00E91E03"/>
    <w:rsid w:val="00E92270"/>
    <w:rsid w:val="00E922D6"/>
    <w:rsid w:val="00E925FA"/>
    <w:rsid w:val="00E92625"/>
    <w:rsid w:val="00E92974"/>
    <w:rsid w:val="00E929D3"/>
    <w:rsid w:val="00E92B8B"/>
    <w:rsid w:val="00E92F98"/>
    <w:rsid w:val="00E9331D"/>
    <w:rsid w:val="00E93379"/>
    <w:rsid w:val="00E93B3E"/>
    <w:rsid w:val="00E9401A"/>
    <w:rsid w:val="00E94359"/>
    <w:rsid w:val="00E949F6"/>
    <w:rsid w:val="00E94AA3"/>
    <w:rsid w:val="00E94B13"/>
    <w:rsid w:val="00E94E49"/>
    <w:rsid w:val="00E94F6C"/>
    <w:rsid w:val="00E951E8"/>
    <w:rsid w:val="00E95322"/>
    <w:rsid w:val="00E95490"/>
    <w:rsid w:val="00E95A8C"/>
    <w:rsid w:val="00E95B65"/>
    <w:rsid w:val="00E95B72"/>
    <w:rsid w:val="00E95CE2"/>
    <w:rsid w:val="00E95DE7"/>
    <w:rsid w:val="00E96001"/>
    <w:rsid w:val="00E960CE"/>
    <w:rsid w:val="00E961B8"/>
    <w:rsid w:val="00E966D3"/>
    <w:rsid w:val="00E966FD"/>
    <w:rsid w:val="00E968C1"/>
    <w:rsid w:val="00E96967"/>
    <w:rsid w:val="00E96D68"/>
    <w:rsid w:val="00E96F9F"/>
    <w:rsid w:val="00E971E8"/>
    <w:rsid w:val="00E971F6"/>
    <w:rsid w:val="00E9761B"/>
    <w:rsid w:val="00E9786B"/>
    <w:rsid w:val="00E97A09"/>
    <w:rsid w:val="00E97A4D"/>
    <w:rsid w:val="00E97C26"/>
    <w:rsid w:val="00EA05C3"/>
    <w:rsid w:val="00EA06E9"/>
    <w:rsid w:val="00EA08B8"/>
    <w:rsid w:val="00EA0CD4"/>
    <w:rsid w:val="00EA0D78"/>
    <w:rsid w:val="00EA0E0B"/>
    <w:rsid w:val="00EA0E54"/>
    <w:rsid w:val="00EA1194"/>
    <w:rsid w:val="00EA1376"/>
    <w:rsid w:val="00EA1402"/>
    <w:rsid w:val="00EA1480"/>
    <w:rsid w:val="00EA1494"/>
    <w:rsid w:val="00EA157E"/>
    <w:rsid w:val="00EA15E9"/>
    <w:rsid w:val="00EA1734"/>
    <w:rsid w:val="00EA1769"/>
    <w:rsid w:val="00EA1796"/>
    <w:rsid w:val="00EA17CB"/>
    <w:rsid w:val="00EA1860"/>
    <w:rsid w:val="00EA19F0"/>
    <w:rsid w:val="00EA1B30"/>
    <w:rsid w:val="00EA1B4E"/>
    <w:rsid w:val="00EA2017"/>
    <w:rsid w:val="00EA215F"/>
    <w:rsid w:val="00EA2278"/>
    <w:rsid w:val="00EA2284"/>
    <w:rsid w:val="00EA2585"/>
    <w:rsid w:val="00EA281A"/>
    <w:rsid w:val="00EA2AED"/>
    <w:rsid w:val="00EA2CA6"/>
    <w:rsid w:val="00EA2E6F"/>
    <w:rsid w:val="00EA2F1E"/>
    <w:rsid w:val="00EA2FF5"/>
    <w:rsid w:val="00EA310A"/>
    <w:rsid w:val="00EA3671"/>
    <w:rsid w:val="00EA3CED"/>
    <w:rsid w:val="00EA40B1"/>
    <w:rsid w:val="00EA4201"/>
    <w:rsid w:val="00EA4634"/>
    <w:rsid w:val="00EA4C5F"/>
    <w:rsid w:val="00EA4D53"/>
    <w:rsid w:val="00EA56B5"/>
    <w:rsid w:val="00EA5973"/>
    <w:rsid w:val="00EA59FF"/>
    <w:rsid w:val="00EA5AAC"/>
    <w:rsid w:val="00EA5AD1"/>
    <w:rsid w:val="00EA5E23"/>
    <w:rsid w:val="00EA6375"/>
    <w:rsid w:val="00EA6DCE"/>
    <w:rsid w:val="00EA71E8"/>
    <w:rsid w:val="00EA7553"/>
    <w:rsid w:val="00EA7796"/>
    <w:rsid w:val="00EA7853"/>
    <w:rsid w:val="00EA79EF"/>
    <w:rsid w:val="00EA7BAC"/>
    <w:rsid w:val="00EB0101"/>
    <w:rsid w:val="00EB052A"/>
    <w:rsid w:val="00EB06A3"/>
    <w:rsid w:val="00EB08A6"/>
    <w:rsid w:val="00EB0B45"/>
    <w:rsid w:val="00EB0B8F"/>
    <w:rsid w:val="00EB0B9D"/>
    <w:rsid w:val="00EB0DEA"/>
    <w:rsid w:val="00EB194E"/>
    <w:rsid w:val="00EB1A8D"/>
    <w:rsid w:val="00EB1D0F"/>
    <w:rsid w:val="00EB1D37"/>
    <w:rsid w:val="00EB1DAB"/>
    <w:rsid w:val="00EB1F63"/>
    <w:rsid w:val="00EB2045"/>
    <w:rsid w:val="00EB2621"/>
    <w:rsid w:val="00EB27BB"/>
    <w:rsid w:val="00EB27BC"/>
    <w:rsid w:val="00EB28BA"/>
    <w:rsid w:val="00EB2D51"/>
    <w:rsid w:val="00EB2E76"/>
    <w:rsid w:val="00EB3325"/>
    <w:rsid w:val="00EB372E"/>
    <w:rsid w:val="00EB3DC2"/>
    <w:rsid w:val="00EB41DB"/>
    <w:rsid w:val="00EB4599"/>
    <w:rsid w:val="00EB4C4E"/>
    <w:rsid w:val="00EB52EB"/>
    <w:rsid w:val="00EB53A1"/>
    <w:rsid w:val="00EB5720"/>
    <w:rsid w:val="00EB5E7E"/>
    <w:rsid w:val="00EB5FEC"/>
    <w:rsid w:val="00EB6044"/>
    <w:rsid w:val="00EB64B3"/>
    <w:rsid w:val="00EB6882"/>
    <w:rsid w:val="00EB69A3"/>
    <w:rsid w:val="00EB6A32"/>
    <w:rsid w:val="00EB6C6A"/>
    <w:rsid w:val="00EB6DA7"/>
    <w:rsid w:val="00EB6E31"/>
    <w:rsid w:val="00EB73CD"/>
    <w:rsid w:val="00EB7640"/>
    <w:rsid w:val="00EB776A"/>
    <w:rsid w:val="00EB7789"/>
    <w:rsid w:val="00EB77E8"/>
    <w:rsid w:val="00EB7828"/>
    <w:rsid w:val="00EB7B21"/>
    <w:rsid w:val="00EC03AE"/>
    <w:rsid w:val="00EC074A"/>
    <w:rsid w:val="00EC0971"/>
    <w:rsid w:val="00EC0B30"/>
    <w:rsid w:val="00EC0C6D"/>
    <w:rsid w:val="00EC0D1D"/>
    <w:rsid w:val="00EC0E1E"/>
    <w:rsid w:val="00EC0EB8"/>
    <w:rsid w:val="00EC11D6"/>
    <w:rsid w:val="00EC19E2"/>
    <w:rsid w:val="00EC1B66"/>
    <w:rsid w:val="00EC1CF9"/>
    <w:rsid w:val="00EC2091"/>
    <w:rsid w:val="00EC223B"/>
    <w:rsid w:val="00EC26DD"/>
    <w:rsid w:val="00EC2B7E"/>
    <w:rsid w:val="00EC2BF4"/>
    <w:rsid w:val="00EC33A0"/>
    <w:rsid w:val="00EC3416"/>
    <w:rsid w:val="00EC346D"/>
    <w:rsid w:val="00EC35BE"/>
    <w:rsid w:val="00EC38A0"/>
    <w:rsid w:val="00EC3F25"/>
    <w:rsid w:val="00EC40EF"/>
    <w:rsid w:val="00EC4143"/>
    <w:rsid w:val="00EC4836"/>
    <w:rsid w:val="00EC4FD5"/>
    <w:rsid w:val="00EC5088"/>
    <w:rsid w:val="00EC50B9"/>
    <w:rsid w:val="00EC5525"/>
    <w:rsid w:val="00EC5795"/>
    <w:rsid w:val="00EC57F6"/>
    <w:rsid w:val="00EC5C69"/>
    <w:rsid w:val="00EC6BAD"/>
    <w:rsid w:val="00EC723E"/>
    <w:rsid w:val="00EC7716"/>
    <w:rsid w:val="00EC7741"/>
    <w:rsid w:val="00EC7793"/>
    <w:rsid w:val="00EC7B42"/>
    <w:rsid w:val="00EC7C10"/>
    <w:rsid w:val="00EC7D34"/>
    <w:rsid w:val="00EC7DC1"/>
    <w:rsid w:val="00EC7E89"/>
    <w:rsid w:val="00ED0101"/>
    <w:rsid w:val="00ED048D"/>
    <w:rsid w:val="00ED04A2"/>
    <w:rsid w:val="00ED04E7"/>
    <w:rsid w:val="00ED05CF"/>
    <w:rsid w:val="00ED05DB"/>
    <w:rsid w:val="00ED0EC0"/>
    <w:rsid w:val="00ED0F78"/>
    <w:rsid w:val="00ED1009"/>
    <w:rsid w:val="00ED107C"/>
    <w:rsid w:val="00ED12B7"/>
    <w:rsid w:val="00ED14F8"/>
    <w:rsid w:val="00ED1989"/>
    <w:rsid w:val="00ED1DDD"/>
    <w:rsid w:val="00ED2021"/>
    <w:rsid w:val="00ED20E4"/>
    <w:rsid w:val="00ED211A"/>
    <w:rsid w:val="00ED21A0"/>
    <w:rsid w:val="00ED2381"/>
    <w:rsid w:val="00ED23D6"/>
    <w:rsid w:val="00ED2999"/>
    <w:rsid w:val="00ED2A80"/>
    <w:rsid w:val="00ED2B18"/>
    <w:rsid w:val="00ED2C75"/>
    <w:rsid w:val="00ED2F3D"/>
    <w:rsid w:val="00ED33A6"/>
    <w:rsid w:val="00ED352C"/>
    <w:rsid w:val="00ED35BC"/>
    <w:rsid w:val="00ED377D"/>
    <w:rsid w:val="00ED395E"/>
    <w:rsid w:val="00ED3B14"/>
    <w:rsid w:val="00ED415F"/>
    <w:rsid w:val="00ED4286"/>
    <w:rsid w:val="00ED43CF"/>
    <w:rsid w:val="00ED4986"/>
    <w:rsid w:val="00ED4B66"/>
    <w:rsid w:val="00ED4BFB"/>
    <w:rsid w:val="00ED4CC0"/>
    <w:rsid w:val="00ED4FF7"/>
    <w:rsid w:val="00ED52F1"/>
    <w:rsid w:val="00ED56B1"/>
    <w:rsid w:val="00ED595B"/>
    <w:rsid w:val="00ED59CF"/>
    <w:rsid w:val="00ED5A53"/>
    <w:rsid w:val="00ED5B7E"/>
    <w:rsid w:val="00ED5B91"/>
    <w:rsid w:val="00ED5CA9"/>
    <w:rsid w:val="00ED5E38"/>
    <w:rsid w:val="00ED6512"/>
    <w:rsid w:val="00ED68AF"/>
    <w:rsid w:val="00ED6D20"/>
    <w:rsid w:val="00ED7488"/>
    <w:rsid w:val="00ED74F6"/>
    <w:rsid w:val="00ED7665"/>
    <w:rsid w:val="00ED78AD"/>
    <w:rsid w:val="00ED7958"/>
    <w:rsid w:val="00ED79D5"/>
    <w:rsid w:val="00ED7E72"/>
    <w:rsid w:val="00ED7F8D"/>
    <w:rsid w:val="00ED7FBD"/>
    <w:rsid w:val="00EE00FE"/>
    <w:rsid w:val="00EE0175"/>
    <w:rsid w:val="00EE03B0"/>
    <w:rsid w:val="00EE06D8"/>
    <w:rsid w:val="00EE077B"/>
    <w:rsid w:val="00EE0957"/>
    <w:rsid w:val="00EE0B90"/>
    <w:rsid w:val="00EE1623"/>
    <w:rsid w:val="00EE162B"/>
    <w:rsid w:val="00EE199F"/>
    <w:rsid w:val="00EE1D89"/>
    <w:rsid w:val="00EE2091"/>
    <w:rsid w:val="00EE2B86"/>
    <w:rsid w:val="00EE2B97"/>
    <w:rsid w:val="00EE2D4E"/>
    <w:rsid w:val="00EE3283"/>
    <w:rsid w:val="00EE36AC"/>
    <w:rsid w:val="00EE38F4"/>
    <w:rsid w:val="00EE3EC4"/>
    <w:rsid w:val="00EE41BD"/>
    <w:rsid w:val="00EE4472"/>
    <w:rsid w:val="00EE4490"/>
    <w:rsid w:val="00EE4799"/>
    <w:rsid w:val="00EE4BEF"/>
    <w:rsid w:val="00EE4DB8"/>
    <w:rsid w:val="00EE4E46"/>
    <w:rsid w:val="00EE4E7C"/>
    <w:rsid w:val="00EE4EEF"/>
    <w:rsid w:val="00EE5098"/>
    <w:rsid w:val="00EE58C9"/>
    <w:rsid w:val="00EE5CDE"/>
    <w:rsid w:val="00EE5E32"/>
    <w:rsid w:val="00EE6680"/>
    <w:rsid w:val="00EE6754"/>
    <w:rsid w:val="00EE6832"/>
    <w:rsid w:val="00EE6A4C"/>
    <w:rsid w:val="00EE7702"/>
    <w:rsid w:val="00EE7710"/>
    <w:rsid w:val="00EE7868"/>
    <w:rsid w:val="00EE7AC0"/>
    <w:rsid w:val="00EF00BF"/>
    <w:rsid w:val="00EF0817"/>
    <w:rsid w:val="00EF098B"/>
    <w:rsid w:val="00EF0E7A"/>
    <w:rsid w:val="00EF14F2"/>
    <w:rsid w:val="00EF1755"/>
    <w:rsid w:val="00EF1C19"/>
    <w:rsid w:val="00EF1E35"/>
    <w:rsid w:val="00EF1E97"/>
    <w:rsid w:val="00EF220B"/>
    <w:rsid w:val="00EF2255"/>
    <w:rsid w:val="00EF2BB4"/>
    <w:rsid w:val="00EF2D0B"/>
    <w:rsid w:val="00EF317D"/>
    <w:rsid w:val="00EF31D3"/>
    <w:rsid w:val="00EF3689"/>
    <w:rsid w:val="00EF384E"/>
    <w:rsid w:val="00EF3A21"/>
    <w:rsid w:val="00EF3B3A"/>
    <w:rsid w:val="00EF3D58"/>
    <w:rsid w:val="00EF42BF"/>
    <w:rsid w:val="00EF47D3"/>
    <w:rsid w:val="00EF4999"/>
    <w:rsid w:val="00EF4B4A"/>
    <w:rsid w:val="00EF5170"/>
    <w:rsid w:val="00EF52DD"/>
    <w:rsid w:val="00EF53FB"/>
    <w:rsid w:val="00EF59F0"/>
    <w:rsid w:val="00EF5B0A"/>
    <w:rsid w:val="00EF614D"/>
    <w:rsid w:val="00EF61FC"/>
    <w:rsid w:val="00EF63A1"/>
    <w:rsid w:val="00EF65EA"/>
    <w:rsid w:val="00EF6AA4"/>
    <w:rsid w:val="00EF6D16"/>
    <w:rsid w:val="00EF7063"/>
    <w:rsid w:val="00EF7084"/>
    <w:rsid w:val="00EF75BC"/>
    <w:rsid w:val="00EF76A5"/>
    <w:rsid w:val="00EF79AF"/>
    <w:rsid w:val="00F0000F"/>
    <w:rsid w:val="00F00080"/>
    <w:rsid w:val="00F0018D"/>
    <w:rsid w:val="00F00191"/>
    <w:rsid w:val="00F002A4"/>
    <w:rsid w:val="00F0086E"/>
    <w:rsid w:val="00F00AF6"/>
    <w:rsid w:val="00F00DF8"/>
    <w:rsid w:val="00F00E88"/>
    <w:rsid w:val="00F0137E"/>
    <w:rsid w:val="00F013E2"/>
    <w:rsid w:val="00F019D0"/>
    <w:rsid w:val="00F01BB2"/>
    <w:rsid w:val="00F01F71"/>
    <w:rsid w:val="00F021A2"/>
    <w:rsid w:val="00F0279E"/>
    <w:rsid w:val="00F0283A"/>
    <w:rsid w:val="00F028AD"/>
    <w:rsid w:val="00F02DE8"/>
    <w:rsid w:val="00F02E59"/>
    <w:rsid w:val="00F032C1"/>
    <w:rsid w:val="00F03B39"/>
    <w:rsid w:val="00F03D19"/>
    <w:rsid w:val="00F04052"/>
    <w:rsid w:val="00F04089"/>
    <w:rsid w:val="00F0422F"/>
    <w:rsid w:val="00F0434C"/>
    <w:rsid w:val="00F04822"/>
    <w:rsid w:val="00F04975"/>
    <w:rsid w:val="00F04B66"/>
    <w:rsid w:val="00F04FED"/>
    <w:rsid w:val="00F056BD"/>
    <w:rsid w:val="00F05826"/>
    <w:rsid w:val="00F05828"/>
    <w:rsid w:val="00F05B80"/>
    <w:rsid w:val="00F05D38"/>
    <w:rsid w:val="00F060AA"/>
    <w:rsid w:val="00F06673"/>
    <w:rsid w:val="00F06961"/>
    <w:rsid w:val="00F06AEF"/>
    <w:rsid w:val="00F06FA8"/>
    <w:rsid w:val="00F07034"/>
    <w:rsid w:val="00F072B6"/>
    <w:rsid w:val="00F0766C"/>
    <w:rsid w:val="00F076A8"/>
    <w:rsid w:val="00F07B2F"/>
    <w:rsid w:val="00F07DA7"/>
    <w:rsid w:val="00F100F8"/>
    <w:rsid w:val="00F10647"/>
    <w:rsid w:val="00F1066F"/>
    <w:rsid w:val="00F1077C"/>
    <w:rsid w:val="00F1086F"/>
    <w:rsid w:val="00F10A92"/>
    <w:rsid w:val="00F10ED2"/>
    <w:rsid w:val="00F10FB5"/>
    <w:rsid w:val="00F11287"/>
    <w:rsid w:val="00F112EC"/>
    <w:rsid w:val="00F11799"/>
    <w:rsid w:val="00F11A8E"/>
    <w:rsid w:val="00F11A9D"/>
    <w:rsid w:val="00F11BF9"/>
    <w:rsid w:val="00F11E7D"/>
    <w:rsid w:val="00F11EE9"/>
    <w:rsid w:val="00F1227B"/>
    <w:rsid w:val="00F124B9"/>
    <w:rsid w:val="00F12636"/>
    <w:rsid w:val="00F1352F"/>
    <w:rsid w:val="00F13C75"/>
    <w:rsid w:val="00F13F5B"/>
    <w:rsid w:val="00F1415F"/>
    <w:rsid w:val="00F14201"/>
    <w:rsid w:val="00F142E1"/>
    <w:rsid w:val="00F14705"/>
    <w:rsid w:val="00F14762"/>
    <w:rsid w:val="00F14AB6"/>
    <w:rsid w:val="00F14B8A"/>
    <w:rsid w:val="00F1508C"/>
    <w:rsid w:val="00F1513F"/>
    <w:rsid w:val="00F15156"/>
    <w:rsid w:val="00F1518B"/>
    <w:rsid w:val="00F152DA"/>
    <w:rsid w:val="00F1548C"/>
    <w:rsid w:val="00F1578E"/>
    <w:rsid w:val="00F15929"/>
    <w:rsid w:val="00F15C7D"/>
    <w:rsid w:val="00F15C95"/>
    <w:rsid w:val="00F1635E"/>
    <w:rsid w:val="00F165BC"/>
    <w:rsid w:val="00F16B87"/>
    <w:rsid w:val="00F16F7A"/>
    <w:rsid w:val="00F17046"/>
    <w:rsid w:val="00F170F4"/>
    <w:rsid w:val="00F17988"/>
    <w:rsid w:val="00F17B99"/>
    <w:rsid w:val="00F17C8C"/>
    <w:rsid w:val="00F17E27"/>
    <w:rsid w:val="00F17E78"/>
    <w:rsid w:val="00F203C1"/>
    <w:rsid w:val="00F206AB"/>
    <w:rsid w:val="00F20763"/>
    <w:rsid w:val="00F20EBB"/>
    <w:rsid w:val="00F210AF"/>
    <w:rsid w:val="00F21292"/>
    <w:rsid w:val="00F21328"/>
    <w:rsid w:val="00F219EC"/>
    <w:rsid w:val="00F21D5F"/>
    <w:rsid w:val="00F227C8"/>
    <w:rsid w:val="00F229A8"/>
    <w:rsid w:val="00F22EAA"/>
    <w:rsid w:val="00F22EE9"/>
    <w:rsid w:val="00F236B6"/>
    <w:rsid w:val="00F2385C"/>
    <w:rsid w:val="00F238C8"/>
    <w:rsid w:val="00F23CB7"/>
    <w:rsid w:val="00F23E0B"/>
    <w:rsid w:val="00F23EC8"/>
    <w:rsid w:val="00F23F24"/>
    <w:rsid w:val="00F2434A"/>
    <w:rsid w:val="00F243A8"/>
    <w:rsid w:val="00F24400"/>
    <w:rsid w:val="00F24755"/>
    <w:rsid w:val="00F24768"/>
    <w:rsid w:val="00F24A39"/>
    <w:rsid w:val="00F24BAB"/>
    <w:rsid w:val="00F24F12"/>
    <w:rsid w:val="00F25718"/>
    <w:rsid w:val="00F25742"/>
    <w:rsid w:val="00F25777"/>
    <w:rsid w:val="00F257B5"/>
    <w:rsid w:val="00F25C0C"/>
    <w:rsid w:val="00F261A6"/>
    <w:rsid w:val="00F26BCC"/>
    <w:rsid w:val="00F2720E"/>
    <w:rsid w:val="00F273BA"/>
    <w:rsid w:val="00F275B6"/>
    <w:rsid w:val="00F2776D"/>
    <w:rsid w:val="00F27C27"/>
    <w:rsid w:val="00F27C3D"/>
    <w:rsid w:val="00F27FF1"/>
    <w:rsid w:val="00F3004C"/>
    <w:rsid w:val="00F300F2"/>
    <w:rsid w:val="00F30109"/>
    <w:rsid w:val="00F3034D"/>
    <w:rsid w:val="00F30560"/>
    <w:rsid w:val="00F30604"/>
    <w:rsid w:val="00F307B4"/>
    <w:rsid w:val="00F308AB"/>
    <w:rsid w:val="00F30BB2"/>
    <w:rsid w:val="00F30BC5"/>
    <w:rsid w:val="00F30C9D"/>
    <w:rsid w:val="00F30E84"/>
    <w:rsid w:val="00F31644"/>
    <w:rsid w:val="00F3194E"/>
    <w:rsid w:val="00F31AD0"/>
    <w:rsid w:val="00F31CCB"/>
    <w:rsid w:val="00F31EE4"/>
    <w:rsid w:val="00F3204A"/>
    <w:rsid w:val="00F321CB"/>
    <w:rsid w:val="00F32C27"/>
    <w:rsid w:val="00F32DBE"/>
    <w:rsid w:val="00F32E5B"/>
    <w:rsid w:val="00F334E3"/>
    <w:rsid w:val="00F33673"/>
    <w:rsid w:val="00F33C21"/>
    <w:rsid w:val="00F33CC0"/>
    <w:rsid w:val="00F33D78"/>
    <w:rsid w:val="00F33F11"/>
    <w:rsid w:val="00F346E6"/>
    <w:rsid w:val="00F34EF6"/>
    <w:rsid w:val="00F34FD7"/>
    <w:rsid w:val="00F3505B"/>
    <w:rsid w:val="00F357BA"/>
    <w:rsid w:val="00F35A63"/>
    <w:rsid w:val="00F35BDB"/>
    <w:rsid w:val="00F35E1F"/>
    <w:rsid w:val="00F36317"/>
    <w:rsid w:val="00F369D2"/>
    <w:rsid w:val="00F36A50"/>
    <w:rsid w:val="00F36A90"/>
    <w:rsid w:val="00F372A1"/>
    <w:rsid w:val="00F374AE"/>
    <w:rsid w:val="00F37799"/>
    <w:rsid w:val="00F37D1D"/>
    <w:rsid w:val="00F37F1E"/>
    <w:rsid w:val="00F4032A"/>
    <w:rsid w:val="00F40808"/>
    <w:rsid w:val="00F40864"/>
    <w:rsid w:val="00F408D5"/>
    <w:rsid w:val="00F40DD1"/>
    <w:rsid w:val="00F40FB5"/>
    <w:rsid w:val="00F41033"/>
    <w:rsid w:val="00F4116D"/>
    <w:rsid w:val="00F412A1"/>
    <w:rsid w:val="00F4144A"/>
    <w:rsid w:val="00F41703"/>
    <w:rsid w:val="00F4188B"/>
    <w:rsid w:val="00F41892"/>
    <w:rsid w:val="00F41D6F"/>
    <w:rsid w:val="00F41E51"/>
    <w:rsid w:val="00F41EC3"/>
    <w:rsid w:val="00F41ED9"/>
    <w:rsid w:val="00F421EF"/>
    <w:rsid w:val="00F42655"/>
    <w:rsid w:val="00F4284F"/>
    <w:rsid w:val="00F429CD"/>
    <w:rsid w:val="00F42D35"/>
    <w:rsid w:val="00F42D6B"/>
    <w:rsid w:val="00F42FBC"/>
    <w:rsid w:val="00F43050"/>
    <w:rsid w:val="00F43150"/>
    <w:rsid w:val="00F43B77"/>
    <w:rsid w:val="00F43B9E"/>
    <w:rsid w:val="00F4402F"/>
    <w:rsid w:val="00F44470"/>
    <w:rsid w:val="00F44895"/>
    <w:rsid w:val="00F44DDD"/>
    <w:rsid w:val="00F44FCB"/>
    <w:rsid w:val="00F451BF"/>
    <w:rsid w:val="00F451EE"/>
    <w:rsid w:val="00F452C2"/>
    <w:rsid w:val="00F45FD5"/>
    <w:rsid w:val="00F460DF"/>
    <w:rsid w:val="00F46181"/>
    <w:rsid w:val="00F46258"/>
    <w:rsid w:val="00F4645E"/>
    <w:rsid w:val="00F4659C"/>
    <w:rsid w:val="00F4677F"/>
    <w:rsid w:val="00F4687C"/>
    <w:rsid w:val="00F46A48"/>
    <w:rsid w:val="00F46BA6"/>
    <w:rsid w:val="00F47076"/>
    <w:rsid w:val="00F471C4"/>
    <w:rsid w:val="00F47279"/>
    <w:rsid w:val="00F472A2"/>
    <w:rsid w:val="00F476FA"/>
    <w:rsid w:val="00F47AAC"/>
    <w:rsid w:val="00F47AEA"/>
    <w:rsid w:val="00F47E19"/>
    <w:rsid w:val="00F47E58"/>
    <w:rsid w:val="00F50585"/>
    <w:rsid w:val="00F509E2"/>
    <w:rsid w:val="00F50CBF"/>
    <w:rsid w:val="00F51042"/>
    <w:rsid w:val="00F510A3"/>
    <w:rsid w:val="00F51315"/>
    <w:rsid w:val="00F516E3"/>
    <w:rsid w:val="00F517B6"/>
    <w:rsid w:val="00F51A38"/>
    <w:rsid w:val="00F51BCD"/>
    <w:rsid w:val="00F51C3B"/>
    <w:rsid w:val="00F51C3C"/>
    <w:rsid w:val="00F51C98"/>
    <w:rsid w:val="00F51F14"/>
    <w:rsid w:val="00F52063"/>
    <w:rsid w:val="00F5239F"/>
    <w:rsid w:val="00F52500"/>
    <w:rsid w:val="00F52714"/>
    <w:rsid w:val="00F52A0C"/>
    <w:rsid w:val="00F52BC9"/>
    <w:rsid w:val="00F52CCD"/>
    <w:rsid w:val="00F52D44"/>
    <w:rsid w:val="00F52E08"/>
    <w:rsid w:val="00F53060"/>
    <w:rsid w:val="00F5317A"/>
    <w:rsid w:val="00F5318A"/>
    <w:rsid w:val="00F5366C"/>
    <w:rsid w:val="00F5384F"/>
    <w:rsid w:val="00F53C0F"/>
    <w:rsid w:val="00F54089"/>
    <w:rsid w:val="00F54497"/>
    <w:rsid w:val="00F54832"/>
    <w:rsid w:val="00F54B66"/>
    <w:rsid w:val="00F550CD"/>
    <w:rsid w:val="00F553A7"/>
    <w:rsid w:val="00F554D3"/>
    <w:rsid w:val="00F5552F"/>
    <w:rsid w:val="00F55556"/>
    <w:rsid w:val="00F558A1"/>
    <w:rsid w:val="00F55B47"/>
    <w:rsid w:val="00F55C5F"/>
    <w:rsid w:val="00F55E6C"/>
    <w:rsid w:val="00F56262"/>
    <w:rsid w:val="00F565CE"/>
    <w:rsid w:val="00F5660B"/>
    <w:rsid w:val="00F56870"/>
    <w:rsid w:val="00F56969"/>
    <w:rsid w:val="00F569DB"/>
    <w:rsid w:val="00F56CD4"/>
    <w:rsid w:val="00F5765F"/>
    <w:rsid w:val="00F5770F"/>
    <w:rsid w:val="00F57885"/>
    <w:rsid w:val="00F57EF3"/>
    <w:rsid w:val="00F57F68"/>
    <w:rsid w:val="00F57FC7"/>
    <w:rsid w:val="00F60003"/>
    <w:rsid w:val="00F60A64"/>
    <w:rsid w:val="00F60EBF"/>
    <w:rsid w:val="00F60F64"/>
    <w:rsid w:val="00F60FAE"/>
    <w:rsid w:val="00F61110"/>
    <w:rsid w:val="00F613B5"/>
    <w:rsid w:val="00F61813"/>
    <w:rsid w:val="00F61AD1"/>
    <w:rsid w:val="00F624FF"/>
    <w:rsid w:val="00F62830"/>
    <w:rsid w:val="00F62B89"/>
    <w:rsid w:val="00F62D28"/>
    <w:rsid w:val="00F62E5D"/>
    <w:rsid w:val="00F6330E"/>
    <w:rsid w:val="00F63904"/>
    <w:rsid w:val="00F639A2"/>
    <w:rsid w:val="00F63A21"/>
    <w:rsid w:val="00F63A52"/>
    <w:rsid w:val="00F6412C"/>
    <w:rsid w:val="00F64137"/>
    <w:rsid w:val="00F647C2"/>
    <w:rsid w:val="00F64AC2"/>
    <w:rsid w:val="00F64B57"/>
    <w:rsid w:val="00F64B86"/>
    <w:rsid w:val="00F64D8D"/>
    <w:rsid w:val="00F64DA8"/>
    <w:rsid w:val="00F65765"/>
    <w:rsid w:val="00F659F2"/>
    <w:rsid w:val="00F65E7B"/>
    <w:rsid w:val="00F65F28"/>
    <w:rsid w:val="00F66144"/>
    <w:rsid w:val="00F66172"/>
    <w:rsid w:val="00F6692C"/>
    <w:rsid w:val="00F66A0D"/>
    <w:rsid w:val="00F66D8D"/>
    <w:rsid w:val="00F6713F"/>
    <w:rsid w:val="00F67501"/>
    <w:rsid w:val="00F675E5"/>
    <w:rsid w:val="00F67EDA"/>
    <w:rsid w:val="00F7014A"/>
    <w:rsid w:val="00F7070B"/>
    <w:rsid w:val="00F7090B"/>
    <w:rsid w:val="00F70BDF"/>
    <w:rsid w:val="00F70BF4"/>
    <w:rsid w:val="00F71257"/>
    <w:rsid w:val="00F715C5"/>
    <w:rsid w:val="00F71660"/>
    <w:rsid w:val="00F71FC8"/>
    <w:rsid w:val="00F721EA"/>
    <w:rsid w:val="00F72275"/>
    <w:rsid w:val="00F722ED"/>
    <w:rsid w:val="00F72679"/>
    <w:rsid w:val="00F735A5"/>
    <w:rsid w:val="00F73699"/>
    <w:rsid w:val="00F73C1B"/>
    <w:rsid w:val="00F73C42"/>
    <w:rsid w:val="00F73FC7"/>
    <w:rsid w:val="00F74299"/>
    <w:rsid w:val="00F74768"/>
    <w:rsid w:val="00F74B51"/>
    <w:rsid w:val="00F74E88"/>
    <w:rsid w:val="00F75C25"/>
    <w:rsid w:val="00F75C6B"/>
    <w:rsid w:val="00F7665C"/>
    <w:rsid w:val="00F767C7"/>
    <w:rsid w:val="00F769C9"/>
    <w:rsid w:val="00F76A26"/>
    <w:rsid w:val="00F775DA"/>
    <w:rsid w:val="00F77609"/>
    <w:rsid w:val="00F77D8C"/>
    <w:rsid w:val="00F77DFD"/>
    <w:rsid w:val="00F80016"/>
    <w:rsid w:val="00F807AC"/>
    <w:rsid w:val="00F80D72"/>
    <w:rsid w:val="00F80EDA"/>
    <w:rsid w:val="00F8116C"/>
    <w:rsid w:val="00F81276"/>
    <w:rsid w:val="00F812B8"/>
    <w:rsid w:val="00F81362"/>
    <w:rsid w:val="00F815A3"/>
    <w:rsid w:val="00F8172A"/>
    <w:rsid w:val="00F81798"/>
    <w:rsid w:val="00F81CB0"/>
    <w:rsid w:val="00F82D49"/>
    <w:rsid w:val="00F82D5A"/>
    <w:rsid w:val="00F82F12"/>
    <w:rsid w:val="00F83207"/>
    <w:rsid w:val="00F839B8"/>
    <w:rsid w:val="00F83E58"/>
    <w:rsid w:val="00F83F35"/>
    <w:rsid w:val="00F83FB7"/>
    <w:rsid w:val="00F84209"/>
    <w:rsid w:val="00F84424"/>
    <w:rsid w:val="00F84A14"/>
    <w:rsid w:val="00F84AF5"/>
    <w:rsid w:val="00F84FE2"/>
    <w:rsid w:val="00F854EE"/>
    <w:rsid w:val="00F85B37"/>
    <w:rsid w:val="00F85F04"/>
    <w:rsid w:val="00F86059"/>
    <w:rsid w:val="00F86269"/>
    <w:rsid w:val="00F862EF"/>
    <w:rsid w:val="00F8637F"/>
    <w:rsid w:val="00F866E5"/>
    <w:rsid w:val="00F86AFF"/>
    <w:rsid w:val="00F86B4C"/>
    <w:rsid w:val="00F87115"/>
    <w:rsid w:val="00F8777C"/>
    <w:rsid w:val="00F87872"/>
    <w:rsid w:val="00F87D6B"/>
    <w:rsid w:val="00F87DD9"/>
    <w:rsid w:val="00F9005D"/>
    <w:rsid w:val="00F9030E"/>
    <w:rsid w:val="00F903CF"/>
    <w:rsid w:val="00F9042D"/>
    <w:rsid w:val="00F90632"/>
    <w:rsid w:val="00F906D3"/>
    <w:rsid w:val="00F907BC"/>
    <w:rsid w:val="00F90FE5"/>
    <w:rsid w:val="00F911C0"/>
    <w:rsid w:val="00F91353"/>
    <w:rsid w:val="00F914DA"/>
    <w:rsid w:val="00F9179F"/>
    <w:rsid w:val="00F91813"/>
    <w:rsid w:val="00F91CB5"/>
    <w:rsid w:val="00F921CA"/>
    <w:rsid w:val="00F922F9"/>
    <w:rsid w:val="00F923C6"/>
    <w:rsid w:val="00F92545"/>
    <w:rsid w:val="00F9257A"/>
    <w:rsid w:val="00F92AB3"/>
    <w:rsid w:val="00F92EBF"/>
    <w:rsid w:val="00F937B7"/>
    <w:rsid w:val="00F937F2"/>
    <w:rsid w:val="00F93803"/>
    <w:rsid w:val="00F93896"/>
    <w:rsid w:val="00F93BD5"/>
    <w:rsid w:val="00F9411E"/>
    <w:rsid w:val="00F943A7"/>
    <w:rsid w:val="00F944BF"/>
    <w:rsid w:val="00F94665"/>
    <w:rsid w:val="00F946C4"/>
    <w:rsid w:val="00F94C1D"/>
    <w:rsid w:val="00F94CD7"/>
    <w:rsid w:val="00F94EA0"/>
    <w:rsid w:val="00F9522F"/>
    <w:rsid w:val="00F9530E"/>
    <w:rsid w:val="00F953C0"/>
    <w:rsid w:val="00F9583E"/>
    <w:rsid w:val="00F959DC"/>
    <w:rsid w:val="00F95B15"/>
    <w:rsid w:val="00F95B90"/>
    <w:rsid w:val="00F95E6C"/>
    <w:rsid w:val="00F95F00"/>
    <w:rsid w:val="00F96250"/>
    <w:rsid w:val="00F9651E"/>
    <w:rsid w:val="00F96635"/>
    <w:rsid w:val="00F9684A"/>
    <w:rsid w:val="00F96A8D"/>
    <w:rsid w:val="00F96D83"/>
    <w:rsid w:val="00F96E3C"/>
    <w:rsid w:val="00F96FF8"/>
    <w:rsid w:val="00F972B2"/>
    <w:rsid w:val="00F975AD"/>
    <w:rsid w:val="00F97614"/>
    <w:rsid w:val="00F9778C"/>
    <w:rsid w:val="00F977AD"/>
    <w:rsid w:val="00F97AB9"/>
    <w:rsid w:val="00F97BFC"/>
    <w:rsid w:val="00F97CAB"/>
    <w:rsid w:val="00FA078A"/>
    <w:rsid w:val="00FA0825"/>
    <w:rsid w:val="00FA08AD"/>
    <w:rsid w:val="00FA0D1D"/>
    <w:rsid w:val="00FA0FB8"/>
    <w:rsid w:val="00FA1314"/>
    <w:rsid w:val="00FA143F"/>
    <w:rsid w:val="00FA1499"/>
    <w:rsid w:val="00FA161A"/>
    <w:rsid w:val="00FA162F"/>
    <w:rsid w:val="00FA1643"/>
    <w:rsid w:val="00FA16F6"/>
    <w:rsid w:val="00FA194F"/>
    <w:rsid w:val="00FA1C82"/>
    <w:rsid w:val="00FA1DFA"/>
    <w:rsid w:val="00FA225B"/>
    <w:rsid w:val="00FA2306"/>
    <w:rsid w:val="00FA23F0"/>
    <w:rsid w:val="00FA2540"/>
    <w:rsid w:val="00FA26A1"/>
    <w:rsid w:val="00FA26AA"/>
    <w:rsid w:val="00FA2784"/>
    <w:rsid w:val="00FA29EF"/>
    <w:rsid w:val="00FA2AE3"/>
    <w:rsid w:val="00FA2F27"/>
    <w:rsid w:val="00FA2F5B"/>
    <w:rsid w:val="00FA33F3"/>
    <w:rsid w:val="00FA35E4"/>
    <w:rsid w:val="00FA3C88"/>
    <w:rsid w:val="00FA3D1E"/>
    <w:rsid w:val="00FA3D41"/>
    <w:rsid w:val="00FA3E32"/>
    <w:rsid w:val="00FA4150"/>
    <w:rsid w:val="00FA42EE"/>
    <w:rsid w:val="00FA4497"/>
    <w:rsid w:val="00FA45C7"/>
    <w:rsid w:val="00FA4809"/>
    <w:rsid w:val="00FA4BB6"/>
    <w:rsid w:val="00FA4C8A"/>
    <w:rsid w:val="00FA4D90"/>
    <w:rsid w:val="00FA4DEE"/>
    <w:rsid w:val="00FA5296"/>
    <w:rsid w:val="00FA5375"/>
    <w:rsid w:val="00FA545B"/>
    <w:rsid w:val="00FA558F"/>
    <w:rsid w:val="00FA56D8"/>
    <w:rsid w:val="00FA5766"/>
    <w:rsid w:val="00FA57E3"/>
    <w:rsid w:val="00FA5D5F"/>
    <w:rsid w:val="00FA5F21"/>
    <w:rsid w:val="00FA6712"/>
    <w:rsid w:val="00FA6C38"/>
    <w:rsid w:val="00FA6E70"/>
    <w:rsid w:val="00FA72BE"/>
    <w:rsid w:val="00FA7322"/>
    <w:rsid w:val="00FA74B8"/>
    <w:rsid w:val="00FA7618"/>
    <w:rsid w:val="00FA7A8A"/>
    <w:rsid w:val="00FA7B90"/>
    <w:rsid w:val="00FA7BFD"/>
    <w:rsid w:val="00FA7D7D"/>
    <w:rsid w:val="00FA7F67"/>
    <w:rsid w:val="00FA7FD3"/>
    <w:rsid w:val="00FA7FF4"/>
    <w:rsid w:val="00FB00CB"/>
    <w:rsid w:val="00FB0C02"/>
    <w:rsid w:val="00FB0DE4"/>
    <w:rsid w:val="00FB0E09"/>
    <w:rsid w:val="00FB1126"/>
    <w:rsid w:val="00FB12B7"/>
    <w:rsid w:val="00FB185D"/>
    <w:rsid w:val="00FB22DF"/>
    <w:rsid w:val="00FB28F1"/>
    <w:rsid w:val="00FB293A"/>
    <w:rsid w:val="00FB2B25"/>
    <w:rsid w:val="00FB2E47"/>
    <w:rsid w:val="00FB2E72"/>
    <w:rsid w:val="00FB2F47"/>
    <w:rsid w:val="00FB312B"/>
    <w:rsid w:val="00FB37A1"/>
    <w:rsid w:val="00FB37AB"/>
    <w:rsid w:val="00FB3FB8"/>
    <w:rsid w:val="00FB40CD"/>
    <w:rsid w:val="00FB4172"/>
    <w:rsid w:val="00FB426D"/>
    <w:rsid w:val="00FB42DB"/>
    <w:rsid w:val="00FB4321"/>
    <w:rsid w:val="00FB438E"/>
    <w:rsid w:val="00FB4B78"/>
    <w:rsid w:val="00FB4E02"/>
    <w:rsid w:val="00FB4FC1"/>
    <w:rsid w:val="00FB5747"/>
    <w:rsid w:val="00FB57B5"/>
    <w:rsid w:val="00FB584A"/>
    <w:rsid w:val="00FB5E34"/>
    <w:rsid w:val="00FB620D"/>
    <w:rsid w:val="00FB6536"/>
    <w:rsid w:val="00FB6C81"/>
    <w:rsid w:val="00FB6C95"/>
    <w:rsid w:val="00FB6F67"/>
    <w:rsid w:val="00FB73C8"/>
    <w:rsid w:val="00FB7429"/>
    <w:rsid w:val="00FB77BE"/>
    <w:rsid w:val="00FB78CD"/>
    <w:rsid w:val="00FB7B96"/>
    <w:rsid w:val="00FB7BBF"/>
    <w:rsid w:val="00FB7EC9"/>
    <w:rsid w:val="00FC013A"/>
    <w:rsid w:val="00FC049E"/>
    <w:rsid w:val="00FC04F5"/>
    <w:rsid w:val="00FC0639"/>
    <w:rsid w:val="00FC09F6"/>
    <w:rsid w:val="00FC0AAB"/>
    <w:rsid w:val="00FC0AD7"/>
    <w:rsid w:val="00FC0F8A"/>
    <w:rsid w:val="00FC10DE"/>
    <w:rsid w:val="00FC10FE"/>
    <w:rsid w:val="00FC118D"/>
    <w:rsid w:val="00FC1355"/>
    <w:rsid w:val="00FC1633"/>
    <w:rsid w:val="00FC193D"/>
    <w:rsid w:val="00FC1E00"/>
    <w:rsid w:val="00FC24C7"/>
    <w:rsid w:val="00FC29A0"/>
    <w:rsid w:val="00FC2BFC"/>
    <w:rsid w:val="00FC2D00"/>
    <w:rsid w:val="00FC2D5F"/>
    <w:rsid w:val="00FC319F"/>
    <w:rsid w:val="00FC33E0"/>
    <w:rsid w:val="00FC33E3"/>
    <w:rsid w:val="00FC3634"/>
    <w:rsid w:val="00FC3646"/>
    <w:rsid w:val="00FC36FA"/>
    <w:rsid w:val="00FC3DAC"/>
    <w:rsid w:val="00FC4221"/>
    <w:rsid w:val="00FC43A7"/>
    <w:rsid w:val="00FC46C1"/>
    <w:rsid w:val="00FC487D"/>
    <w:rsid w:val="00FC4975"/>
    <w:rsid w:val="00FC4BA0"/>
    <w:rsid w:val="00FC4FF0"/>
    <w:rsid w:val="00FC502F"/>
    <w:rsid w:val="00FC5603"/>
    <w:rsid w:val="00FC5DDD"/>
    <w:rsid w:val="00FC60E6"/>
    <w:rsid w:val="00FC6139"/>
    <w:rsid w:val="00FC64D7"/>
    <w:rsid w:val="00FC6796"/>
    <w:rsid w:val="00FC6812"/>
    <w:rsid w:val="00FC6891"/>
    <w:rsid w:val="00FC6A3D"/>
    <w:rsid w:val="00FC6AED"/>
    <w:rsid w:val="00FC6C74"/>
    <w:rsid w:val="00FC6EEB"/>
    <w:rsid w:val="00FC702B"/>
    <w:rsid w:val="00FC7988"/>
    <w:rsid w:val="00FD0094"/>
    <w:rsid w:val="00FD00F7"/>
    <w:rsid w:val="00FD025A"/>
    <w:rsid w:val="00FD0535"/>
    <w:rsid w:val="00FD0A63"/>
    <w:rsid w:val="00FD0B28"/>
    <w:rsid w:val="00FD0BAE"/>
    <w:rsid w:val="00FD0EE0"/>
    <w:rsid w:val="00FD10FD"/>
    <w:rsid w:val="00FD12EF"/>
    <w:rsid w:val="00FD1764"/>
    <w:rsid w:val="00FD17BA"/>
    <w:rsid w:val="00FD1D82"/>
    <w:rsid w:val="00FD1D97"/>
    <w:rsid w:val="00FD20B5"/>
    <w:rsid w:val="00FD2534"/>
    <w:rsid w:val="00FD2565"/>
    <w:rsid w:val="00FD25CA"/>
    <w:rsid w:val="00FD2816"/>
    <w:rsid w:val="00FD2A6B"/>
    <w:rsid w:val="00FD2B72"/>
    <w:rsid w:val="00FD2C9D"/>
    <w:rsid w:val="00FD2F74"/>
    <w:rsid w:val="00FD30C3"/>
    <w:rsid w:val="00FD30F6"/>
    <w:rsid w:val="00FD31BD"/>
    <w:rsid w:val="00FD32A3"/>
    <w:rsid w:val="00FD32C7"/>
    <w:rsid w:val="00FD3625"/>
    <w:rsid w:val="00FD36ED"/>
    <w:rsid w:val="00FD38D3"/>
    <w:rsid w:val="00FD3A1D"/>
    <w:rsid w:val="00FD3B94"/>
    <w:rsid w:val="00FD3FB4"/>
    <w:rsid w:val="00FD40DD"/>
    <w:rsid w:val="00FD419B"/>
    <w:rsid w:val="00FD41CA"/>
    <w:rsid w:val="00FD42F1"/>
    <w:rsid w:val="00FD43B3"/>
    <w:rsid w:val="00FD4680"/>
    <w:rsid w:val="00FD4B78"/>
    <w:rsid w:val="00FD4C6B"/>
    <w:rsid w:val="00FD4CB5"/>
    <w:rsid w:val="00FD4CD3"/>
    <w:rsid w:val="00FD4FA0"/>
    <w:rsid w:val="00FD5100"/>
    <w:rsid w:val="00FD52DF"/>
    <w:rsid w:val="00FD54AB"/>
    <w:rsid w:val="00FD5769"/>
    <w:rsid w:val="00FD5971"/>
    <w:rsid w:val="00FD5D99"/>
    <w:rsid w:val="00FD6210"/>
    <w:rsid w:val="00FD6295"/>
    <w:rsid w:val="00FD6371"/>
    <w:rsid w:val="00FD661E"/>
    <w:rsid w:val="00FD6A36"/>
    <w:rsid w:val="00FD6A9C"/>
    <w:rsid w:val="00FD6C1B"/>
    <w:rsid w:val="00FD6E8C"/>
    <w:rsid w:val="00FD6F21"/>
    <w:rsid w:val="00FD6F85"/>
    <w:rsid w:val="00FD6F87"/>
    <w:rsid w:val="00FD738E"/>
    <w:rsid w:val="00FD7458"/>
    <w:rsid w:val="00FD7639"/>
    <w:rsid w:val="00FD7D2B"/>
    <w:rsid w:val="00FD7E61"/>
    <w:rsid w:val="00FE03B0"/>
    <w:rsid w:val="00FE05D0"/>
    <w:rsid w:val="00FE0673"/>
    <w:rsid w:val="00FE0D55"/>
    <w:rsid w:val="00FE0EF2"/>
    <w:rsid w:val="00FE1118"/>
    <w:rsid w:val="00FE1180"/>
    <w:rsid w:val="00FE1446"/>
    <w:rsid w:val="00FE18F4"/>
    <w:rsid w:val="00FE1AFE"/>
    <w:rsid w:val="00FE229D"/>
    <w:rsid w:val="00FE22A2"/>
    <w:rsid w:val="00FE28D1"/>
    <w:rsid w:val="00FE2928"/>
    <w:rsid w:val="00FE310D"/>
    <w:rsid w:val="00FE35B8"/>
    <w:rsid w:val="00FE3AA2"/>
    <w:rsid w:val="00FE40E5"/>
    <w:rsid w:val="00FE4739"/>
    <w:rsid w:val="00FE4825"/>
    <w:rsid w:val="00FE4936"/>
    <w:rsid w:val="00FE4DB2"/>
    <w:rsid w:val="00FE4F59"/>
    <w:rsid w:val="00FE50EA"/>
    <w:rsid w:val="00FE5157"/>
    <w:rsid w:val="00FE5423"/>
    <w:rsid w:val="00FE5E14"/>
    <w:rsid w:val="00FE5E8A"/>
    <w:rsid w:val="00FE5F0A"/>
    <w:rsid w:val="00FE64C2"/>
    <w:rsid w:val="00FE662E"/>
    <w:rsid w:val="00FE681D"/>
    <w:rsid w:val="00FE6DFF"/>
    <w:rsid w:val="00FE6EAA"/>
    <w:rsid w:val="00FE6FBE"/>
    <w:rsid w:val="00FE7094"/>
    <w:rsid w:val="00FE70B1"/>
    <w:rsid w:val="00FE74DF"/>
    <w:rsid w:val="00FE78DA"/>
    <w:rsid w:val="00FE7AC3"/>
    <w:rsid w:val="00FE7E80"/>
    <w:rsid w:val="00FF036C"/>
    <w:rsid w:val="00FF03A3"/>
    <w:rsid w:val="00FF04A5"/>
    <w:rsid w:val="00FF0AA5"/>
    <w:rsid w:val="00FF0C44"/>
    <w:rsid w:val="00FF0DBD"/>
    <w:rsid w:val="00FF0F74"/>
    <w:rsid w:val="00FF1144"/>
    <w:rsid w:val="00FF12FD"/>
    <w:rsid w:val="00FF157F"/>
    <w:rsid w:val="00FF1BAE"/>
    <w:rsid w:val="00FF1C1A"/>
    <w:rsid w:val="00FF1DA2"/>
    <w:rsid w:val="00FF2100"/>
    <w:rsid w:val="00FF2276"/>
    <w:rsid w:val="00FF239E"/>
    <w:rsid w:val="00FF2641"/>
    <w:rsid w:val="00FF2722"/>
    <w:rsid w:val="00FF287C"/>
    <w:rsid w:val="00FF2E0D"/>
    <w:rsid w:val="00FF2E2A"/>
    <w:rsid w:val="00FF3249"/>
    <w:rsid w:val="00FF36C3"/>
    <w:rsid w:val="00FF3A07"/>
    <w:rsid w:val="00FF3FEA"/>
    <w:rsid w:val="00FF4253"/>
    <w:rsid w:val="00FF4C68"/>
    <w:rsid w:val="00FF4EDC"/>
    <w:rsid w:val="00FF5643"/>
    <w:rsid w:val="00FF582B"/>
    <w:rsid w:val="00FF5CF8"/>
    <w:rsid w:val="00FF6040"/>
    <w:rsid w:val="00FF674C"/>
    <w:rsid w:val="00FF6B1D"/>
    <w:rsid w:val="00FF7422"/>
    <w:rsid w:val="01160C99"/>
    <w:rsid w:val="012C7A3F"/>
    <w:rsid w:val="01472DFC"/>
    <w:rsid w:val="015E08F2"/>
    <w:rsid w:val="01603565"/>
    <w:rsid w:val="020E9FE5"/>
    <w:rsid w:val="022F8826"/>
    <w:rsid w:val="02957AFB"/>
    <w:rsid w:val="029676B3"/>
    <w:rsid w:val="02C1E32A"/>
    <w:rsid w:val="02C9343E"/>
    <w:rsid w:val="02DC7F82"/>
    <w:rsid w:val="02DD2D0C"/>
    <w:rsid w:val="02FE9A35"/>
    <w:rsid w:val="03027156"/>
    <w:rsid w:val="0314D237"/>
    <w:rsid w:val="032FB09A"/>
    <w:rsid w:val="0397AD86"/>
    <w:rsid w:val="03D3269A"/>
    <w:rsid w:val="03EA472C"/>
    <w:rsid w:val="03FF9685"/>
    <w:rsid w:val="040582AA"/>
    <w:rsid w:val="0427450E"/>
    <w:rsid w:val="043FF58E"/>
    <w:rsid w:val="046B8C76"/>
    <w:rsid w:val="048EBD08"/>
    <w:rsid w:val="04B288F8"/>
    <w:rsid w:val="04CE881E"/>
    <w:rsid w:val="051728BC"/>
    <w:rsid w:val="05AC502D"/>
    <w:rsid w:val="05AF6E99"/>
    <w:rsid w:val="05DEF2A7"/>
    <w:rsid w:val="06033CD2"/>
    <w:rsid w:val="06556236"/>
    <w:rsid w:val="06765623"/>
    <w:rsid w:val="06909967"/>
    <w:rsid w:val="06CA7054"/>
    <w:rsid w:val="06CC6F31"/>
    <w:rsid w:val="070DE00B"/>
    <w:rsid w:val="07155121"/>
    <w:rsid w:val="0726973B"/>
    <w:rsid w:val="078682C2"/>
    <w:rsid w:val="0786FCCB"/>
    <w:rsid w:val="07B21A41"/>
    <w:rsid w:val="07C1AE22"/>
    <w:rsid w:val="08081783"/>
    <w:rsid w:val="0813E25B"/>
    <w:rsid w:val="08868200"/>
    <w:rsid w:val="0894C888"/>
    <w:rsid w:val="08A62934"/>
    <w:rsid w:val="08BAE1F0"/>
    <w:rsid w:val="08D98518"/>
    <w:rsid w:val="090FD6E3"/>
    <w:rsid w:val="09355FB3"/>
    <w:rsid w:val="09503E24"/>
    <w:rsid w:val="095D38AC"/>
    <w:rsid w:val="09823DCD"/>
    <w:rsid w:val="09989325"/>
    <w:rsid w:val="09A85A55"/>
    <w:rsid w:val="09AA70E7"/>
    <w:rsid w:val="09C19EEB"/>
    <w:rsid w:val="09C95C93"/>
    <w:rsid w:val="09DFF4D6"/>
    <w:rsid w:val="0A28C5A5"/>
    <w:rsid w:val="0A3A68FF"/>
    <w:rsid w:val="0A5CDA12"/>
    <w:rsid w:val="0A618E7E"/>
    <w:rsid w:val="0A6B6698"/>
    <w:rsid w:val="0ABF7425"/>
    <w:rsid w:val="0AC395F9"/>
    <w:rsid w:val="0B0782FA"/>
    <w:rsid w:val="0B57663F"/>
    <w:rsid w:val="0B58F015"/>
    <w:rsid w:val="0B863673"/>
    <w:rsid w:val="0BA15455"/>
    <w:rsid w:val="0BC2895A"/>
    <w:rsid w:val="0BE0BF31"/>
    <w:rsid w:val="0BF4075C"/>
    <w:rsid w:val="0C0D4CED"/>
    <w:rsid w:val="0C258D7E"/>
    <w:rsid w:val="0C33551F"/>
    <w:rsid w:val="0C33ECF4"/>
    <w:rsid w:val="0C69DBB8"/>
    <w:rsid w:val="0CA2CFBF"/>
    <w:rsid w:val="0CE857D7"/>
    <w:rsid w:val="0D456E06"/>
    <w:rsid w:val="0D71BAE8"/>
    <w:rsid w:val="0D747D0B"/>
    <w:rsid w:val="0D854035"/>
    <w:rsid w:val="0DDDB127"/>
    <w:rsid w:val="0E247B39"/>
    <w:rsid w:val="0E41CA79"/>
    <w:rsid w:val="0E684C9D"/>
    <w:rsid w:val="0EE76A09"/>
    <w:rsid w:val="0F03F26C"/>
    <w:rsid w:val="0F0803FA"/>
    <w:rsid w:val="0F235E89"/>
    <w:rsid w:val="0F2E827A"/>
    <w:rsid w:val="0F3BFDDA"/>
    <w:rsid w:val="0FD53C3B"/>
    <w:rsid w:val="0FFD43A6"/>
    <w:rsid w:val="10123577"/>
    <w:rsid w:val="101EF08C"/>
    <w:rsid w:val="105BCCA0"/>
    <w:rsid w:val="10BBBEB8"/>
    <w:rsid w:val="10FBE6C2"/>
    <w:rsid w:val="110FE435"/>
    <w:rsid w:val="114249BB"/>
    <w:rsid w:val="11543C68"/>
    <w:rsid w:val="11584789"/>
    <w:rsid w:val="116A5284"/>
    <w:rsid w:val="116A973E"/>
    <w:rsid w:val="1191B552"/>
    <w:rsid w:val="11E140A4"/>
    <w:rsid w:val="11F4FA5F"/>
    <w:rsid w:val="11F9793B"/>
    <w:rsid w:val="11FAAFB2"/>
    <w:rsid w:val="1286255C"/>
    <w:rsid w:val="12C03983"/>
    <w:rsid w:val="12EDC700"/>
    <w:rsid w:val="1329003D"/>
    <w:rsid w:val="137B66A1"/>
    <w:rsid w:val="1382F16A"/>
    <w:rsid w:val="139DFE7E"/>
    <w:rsid w:val="13AE9568"/>
    <w:rsid w:val="13CBDEF9"/>
    <w:rsid w:val="13CC899A"/>
    <w:rsid w:val="13D89A6A"/>
    <w:rsid w:val="13DA7018"/>
    <w:rsid w:val="13F98D6B"/>
    <w:rsid w:val="14231DBE"/>
    <w:rsid w:val="1488F846"/>
    <w:rsid w:val="14905C95"/>
    <w:rsid w:val="14D55935"/>
    <w:rsid w:val="14E54E73"/>
    <w:rsid w:val="14F45DAC"/>
    <w:rsid w:val="151997FC"/>
    <w:rsid w:val="15404D1B"/>
    <w:rsid w:val="155EE862"/>
    <w:rsid w:val="15B55B44"/>
    <w:rsid w:val="15C43D5B"/>
    <w:rsid w:val="15D946E4"/>
    <w:rsid w:val="15EFC0B7"/>
    <w:rsid w:val="1609EB00"/>
    <w:rsid w:val="1617E6B8"/>
    <w:rsid w:val="161F10B9"/>
    <w:rsid w:val="1649B200"/>
    <w:rsid w:val="167B2FB4"/>
    <w:rsid w:val="16C33674"/>
    <w:rsid w:val="16D02AA5"/>
    <w:rsid w:val="16D8D449"/>
    <w:rsid w:val="16F74588"/>
    <w:rsid w:val="17504285"/>
    <w:rsid w:val="17604B8A"/>
    <w:rsid w:val="177B5BAA"/>
    <w:rsid w:val="177E7546"/>
    <w:rsid w:val="17B6297F"/>
    <w:rsid w:val="17CF5D28"/>
    <w:rsid w:val="17F0F395"/>
    <w:rsid w:val="18123B58"/>
    <w:rsid w:val="1843F137"/>
    <w:rsid w:val="18655B2E"/>
    <w:rsid w:val="18C2CD6E"/>
    <w:rsid w:val="18DD4391"/>
    <w:rsid w:val="191EC48A"/>
    <w:rsid w:val="19272B2A"/>
    <w:rsid w:val="1930F822"/>
    <w:rsid w:val="1A4FA3EA"/>
    <w:rsid w:val="1A55B55C"/>
    <w:rsid w:val="1AAD5A4E"/>
    <w:rsid w:val="1ACDD1E7"/>
    <w:rsid w:val="1AD267E9"/>
    <w:rsid w:val="1B0EBCB8"/>
    <w:rsid w:val="1B16C77C"/>
    <w:rsid w:val="1B60517F"/>
    <w:rsid w:val="1B882C6A"/>
    <w:rsid w:val="1BB0996E"/>
    <w:rsid w:val="1BBA17F0"/>
    <w:rsid w:val="1BBFFBB0"/>
    <w:rsid w:val="1BD2EF57"/>
    <w:rsid w:val="1BE9478F"/>
    <w:rsid w:val="1C065B82"/>
    <w:rsid w:val="1C24D4DA"/>
    <w:rsid w:val="1C42C2FF"/>
    <w:rsid w:val="1C71FF81"/>
    <w:rsid w:val="1D416D81"/>
    <w:rsid w:val="1D4D752A"/>
    <w:rsid w:val="1D6E2F2B"/>
    <w:rsid w:val="1D908F9E"/>
    <w:rsid w:val="1DB6C33C"/>
    <w:rsid w:val="1DCC0508"/>
    <w:rsid w:val="1DE35DAD"/>
    <w:rsid w:val="1E150CA9"/>
    <w:rsid w:val="1E5EE0E8"/>
    <w:rsid w:val="1E7DFD1D"/>
    <w:rsid w:val="1E831E5D"/>
    <w:rsid w:val="1E83FFB6"/>
    <w:rsid w:val="1EBB881C"/>
    <w:rsid w:val="1EF7E1C9"/>
    <w:rsid w:val="1F23919D"/>
    <w:rsid w:val="1F64C1DD"/>
    <w:rsid w:val="1F88A9C9"/>
    <w:rsid w:val="1FFB0340"/>
    <w:rsid w:val="205180D3"/>
    <w:rsid w:val="205B445B"/>
    <w:rsid w:val="205BF2FA"/>
    <w:rsid w:val="207136EC"/>
    <w:rsid w:val="20ACFDC1"/>
    <w:rsid w:val="20AD7672"/>
    <w:rsid w:val="20CA700E"/>
    <w:rsid w:val="20D3822D"/>
    <w:rsid w:val="2110BD3F"/>
    <w:rsid w:val="2154B727"/>
    <w:rsid w:val="219AFF35"/>
    <w:rsid w:val="21DB55FA"/>
    <w:rsid w:val="21EFCA47"/>
    <w:rsid w:val="220CE643"/>
    <w:rsid w:val="220F7990"/>
    <w:rsid w:val="222E4899"/>
    <w:rsid w:val="222F4928"/>
    <w:rsid w:val="2261AF25"/>
    <w:rsid w:val="2289C679"/>
    <w:rsid w:val="22A542C1"/>
    <w:rsid w:val="22DD8CC6"/>
    <w:rsid w:val="22F4418B"/>
    <w:rsid w:val="2323D612"/>
    <w:rsid w:val="23376701"/>
    <w:rsid w:val="237F0277"/>
    <w:rsid w:val="238FE443"/>
    <w:rsid w:val="23D5A03D"/>
    <w:rsid w:val="243B95BE"/>
    <w:rsid w:val="245D5C7D"/>
    <w:rsid w:val="245F6B9C"/>
    <w:rsid w:val="2492EDBB"/>
    <w:rsid w:val="24BF99F7"/>
    <w:rsid w:val="2508105F"/>
    <w:rsid w:val="25291599"/>
    <w:rsid w:val="25449869"/>
    <w:rsid w:val="254A2157"/>
    <w:rsid w:val="2564B630"/>
    <w:rsid w:val="257C9660"/>
    <w:rsid w:val="2589FF7B"/>
    <w:rsid w:val="25905446"/>
    <w:rsid w:val="259B608A"/>
    <w:rsid w:val="259D64CE"/>
    <w:rsid w:val="25F85EA7"/>
    <w:rsid w:val="2609EB53"/>
    <w:rsid w:val="26480AF2"/>
    <w:rsid w:val="2661908E"/>
    <w:rsid w:val="26E66BC3"/>
    <w:rsid w:val="272B06E1"/>
    <w:rsid w:val="273A5AED"/>
    <w:rsid w:val="273C2CD4"/>
    <w:rsid w:val="274C8768"/>
    <w:rsid w:val="27506C5D"/>
    <w:rsid w:val="2799FAFC"/>
    <w:rsid w:val="27AD68EA"/>
    <w:rsid w:val="27EF8D20"/>
    <w:rsid w:val="27EFBFEE"/>
    <w:rsid w:val="27F662AE"/>
    <w:rsid w:val="28098FBC"/>
    <w:rsid w:val="2812CDFD"/>
    <w:rsid w:val="2828EF23"/>
    <w:rsid w:val="2855807C"/>
    <w:rsid w:val="285F0662"/>
    <w:rsid w:val="289C4D56"/>
    <w:rsid w:val="28B3939B"/>
    <w:rsid w:val="28C72296"/>
    <w:rsid w:val="28C8BE02"/>
    <w:rsid w:val="29016490"/>
    <w:rsid w:val="2992193D"/>
    <w:rsid w:val="299EFB6E"/>
    <w:rsid w:val="29E6FB14"/>
    <w:rsid w:val="2A2838A8"/>
    <w:rsid w:val="2A3BB596"/>
    <w:rsid w:val="2A4166F2"/>
    <w:rsid w:val="2A6570D7"/>
    <w:rsid w:val="2A7E987D"/>
    <w:rsid w:val="2A8CFD01"/>
    <w:rsid w:val="2ADCF20C"/>
    <w:rsid w:val="2B043B16"/>
    <w:rsid w:val="2B7FBD95"/>
    <w:rsid w:val="2BC1A7D7"/>
    <w:rsid w:val="2C404B8F"/>
    <w:rsid w:val="2CAA00D5"/>
    <w:rsid w:val="2CDE1331"/>
    <w:rsid w:val="2D1FFB26"/>
    <w:rsid w:val="2D73ADFB"/>
    <w:rsid w:val="2DC5939B"/>
    <w:rsid w:val="2DD391D7"/>
    <w:rsid w:val="2DFA05E7"/>
    <w:rsid w:val="2E1A3466"/>
    <w:rsid w:val="2E3D1C59"/>
    <w:rsid w:val="2E4218AE"/>
    <w:rsid w:val="2E46B6C9"/>
    <w:rsid w:val="2E49DD56"/>
    <w:rsid w:val="2E53F423"/>
    <w:rsid w:val="2E54CE8C"/>
    <w:rsid w:val="2E599707"/>
    <w:rsid w:val="2E68F285"/>
    <w:rsid w:val="2ED9012B"/>
    <w:rsid w:val="2EE1FB0F"/>
    <w:rsid w:val="2EEF15E9"/>
    <w:rsid w:val="2EF1A4F8"/>
    <w:rsid w:val="2F161192"/>
    <w:rsid w:val="2F5D6F09"/>
    <w:rsid w:val="2F6DF916"/>
    <w:rsid w:val="2F6E93C6"/>
    <w:rsid w:val="2F8171A7"/>
    <w:rsid w:val="2F8D3739"/>
    <w:rsid w:val="2F93C473"/>
    <w:rsid w:val="2F9AAD28"/>
    <w:rsid w:val="2FCE6C11"/>
    <w:rsid w:val="2FD37A4E"/>
    <w:rsid w:val="300865A2"/>
    <w:rsid w:val="3017F3DF"/>
    <w:rsid w:val="304FD70C"/>
    <w:rsid w:val="306BEFF1"/>
    <w:rsid w:val="307B8764"/>
    <w:rsid w:val="307E2FED"/>
    <w:rsid w:val="30E77363"/>
    <w:rsid w:val="30F537C7"/>
    <w:rsid w:val="31098A4E"/>
    <w:rsid w:val="31111B4D"/>
    <w:rsid w:val="31AEE897"/>
    <w:rsid w:val="31DE51EA"/>
    <w:rsid w:val="31E82C2B"/>
    <w:rsid w:val="32097827"/>
    <w:rsid w:val="325B3BBC"/>
    <w:rsid w:val="32AA31E5"/>
    <w:rsid w:val="32C515C7"/>
    <w:rsid w:val="32D538E8"/>
    <w:rsid w:val="330BD529"/>
    <w:rsid w:val="33677798"/>
    <w:rsid w:val="33932AF0"/>
    <w:rsid w:val="33B29822"/>
    <w:rsid w:val="33B526F1"/>
    <w:rsid w:val="33BAD034"/>
    <w:rsid w:val="33CB5EC6"/>
    <w:rsid w:val="344F0477"/>
    <w:rsid w:val="349BCC57"/>
    <w:rsid w:val="34AB494A"/>
    <w:rsid w:val="34EF91CF"/>
    <w:rsid w:val="351E0A1B"/>
    <w:rsid w:val="3529013B"/>
    <w:rsid w:val="35380785"/>
    <w:rsid w:val="3561DC98"/>
    <w:rsid w:val="357EC159"/>
    <w:rsid w:val="3591B835"/>
    <w:rsid w:val="35A45064"/>
    <w:rsid w:val="35C18D3B"/>
    <w:rsid w:val="35ED885C"/>
    <w:rsid w:val="3600B8A1"/>
    <w:rsid w:val="366E785B"/>
    <w:rsid w:val="36A3A42D"/>
    <w:rsid w:val="36B09894"/>
    <w:rsid w:val="36B67A0E"/>
    <w:rsid w:val="36C16663"/>
    <w:rsid w:val="36FF5DE7"/>
    <w:rsid w:val="3730DC68"/>
    <w:rsid w:val="373750DF"/>
    <w:rsid w:val="374BB2C6"/>
    <w:rsid w:val="3768FBC8"/>
    <w:rsid w:val="376E7121"/>
    <w:rsid w:val="37A14AC5"/>
    <w:rsid w:val="37FADA80"/>
    <w:rsid w:val="3802E97A"/>
    <w:rsid w:val="38225087"/>
    <w:rsid w:val="3836B170"/>
    <w:rsid w:val="38D65C43"/>
    <w:rsid w:val="38E7FDB1"/>
    <w:rsid w:val="390CEDDC"/>
    <w:rsid w:val="393DF692"/>
    <w:rsid w:val="393E65B6"/>
    <w:rsid w:val="3942CAB5"/>
    <w:rsid w:val="39465B7C"/>
    <w:rsid w:val="3A2D38AA"/>
    <w:rsid w:val="3A699382"/>
    <w:rsid w:val="3A80C422"/>
    <w:rsid w:val="3ABA9F09"/>
    <w:rsid w:val="3ABC8C7E"/>
    <w:rsid w:val="3ACC540E"/>
    <w:rsid w:val="3AEA555C"/>
    <w:rsid w:val="3AFDD680"/>
    <w:rsid w:val="3B072211"/>
    <w:rsid w:val="3B2E776A"/>
    <w:rsid w:val="3B6F052A"/>
    <w:rsid w:val="3B79B119"/>
    <w:rsid w:val="3B7F7289"/>
    <w:rsid w:val="3B8B66E8"/>
    <w:rsid w:val="3BA2D98F"/>
    <w:rsid w:val="3BB8D4C3"/>
    <w:rsid w:val="3BC243E6"/>
    <w:rsid w:val="3BD06A01"/>
    <w:rsid w:val="3C090D7B"/>
    <w:rsid w:val="3C1AB376"/>
    <w:rsid w:val="3C6F0853"/>
    <w:rsid w:val="3C72CFCB"/>
    <w:rsid w:val="3C996AB7"/>
    <w:rsid w:val="3C9DF10A"/>
    <w:rsid w:val="3CACB00F"/>
    <w:rsid w:val="3CB9840D"/>
    <w:rsid w:val="3CBD676C"/>
    <w:rsid w:val="3CC65170"/>
    <w:rsid w:val="3CF1A813"/>
    <w:rsid w:val="3CF45424"/>
    <w:rsid w:val="3D25C2B8"/>
    <w:rsid w:val="3D4831D6"/>
    <w:rsid w:val="3D4B4687"/>
    <w:rsid w:val="3D4F5399"/>
    <w:rsid w:val="3D6B5EEA"/>
    <w:rsid w:val="3D8ED07A"/>
    <w:rsid w:val="3D9706F7"/>
    <w:rsid w:val="3DAFDB8F"/>
    <w:rsid w:val="3DC56951"/>
    <w:rsid w:val="3DD57B7D"/>
    <w:rsid w:val="3E3B0762"/>
    <w:rsid w:val="3E62874F"/>
    <w:rsid w:val="3E8E59E0"/>
    <w:rsid w:val="3ED8E992"/>
    <w:rsid w:val="3EF89CF3"/>
    <w:rsid w:val="3F1135DB"/>
    <w:rsid w:val="3F26F408"/>
    <w:rsid w:val="3F3CF4CF"/>
    <w:rsid w:val="3F4FCC57"/>
    <w:rsid w:val="3F5109C0"/>
    <w:rsid w:val="3F561426"/>
    <w:rsid w:val="3F77EB39"/>
    <w:rsid w:val="3F7A0D52"/>
    <w:rsid w:val="3F902659"/>
    <w:rsid w:val="3F9BDB1D"/>
    <w:rsid w:val="3FB3EA7E"/>
    <w:rsid w:val="4012F299"/>
    <w:rsid w:val="402FF94E"/>
    <w:rsid w:val="4076F2B9"/>
    <w:rsid w:val="40810FD7"/>
    <w:rsid w:val="408B9D37"/>
    <w:rsid w:val="40CEFFB3"/>
    <w:rsid w:val="4117A5C7"/>
    <w:rsid w:val="415B4B04"/>
    <w:rsid w:val="4185B00B"/>
    <w:rsid w:val="42166FB2"/>
    <w:rsid w:val="428F025F"/>
    <w:rsid w:val="42D91833"/>
    <w:rsid w:val="4357C362"/>
    <w:rsid w:val="435B3EAB"/>
    <w:rsid w:val="4399F4B0"/>
    <w:rsid w:val="439CB798"/>
    <w:rsid w:val="43B91059"/>
    <w:rsid w:val="43DFE0F9"/>
    <w:rsid w:val="44063EF3"/>
    <w:rsid w:val="442B227A"/>
    <w:rsid w:val="4449E5E4"/>
    <w:rsid w:val="4474998B"/>
    <w:rsid w:val="448BFE5E"/>
    <w:rsid w:val="451D63F5"/>
    <w:rsid w:val="4522182F"/>
    <w:rsid w:val="45333CF5"/>
    <w:rsid w:val="454F472C"/>
    <w:rsid w:val="45835DC4"/>
    <w:rsid w:val="459C4154"/>
    <w:rsid w:val="45AA72DF"/>
    <w:rsid w:val="45AF5EA7"/>
    <w:rsid w:val="45B6DF3D"/>
    <w:rsid w:val="45E13736"/>
    <w:rsid w:val="4629C0A9"/>
    <w:rsid w:val="462BDD3F"/>
    <w:rsid w:val="46367F6C"/>
    <w:rsid w:val="464C95E4"/>
    <w:rsid w:val="46624124"/>
    <w:rsid w:val="466DD7C1"/>
    <w:rsid w:val="4691C0DA"/>
    <w:rsid w:val="46C0DFD7"/>
    <w:rsid w:val="46EACB8E"/>
    <w:rsid w:val="46EB7322"/>
    <w:rsid w:val="471956B8"/>
    <w:rsid w:val="4722B2ED"/>
    <w:rsid w:val="472C9B02"/>
    <w:rsid w:val="47743EBF"/>
    <w:rsid w:val="47BC21A1"/>
    <w:rsid w:val="4816EFCD"/>
    <w:rsid w:val="48298A6D"/>
    <w:rsid w:val="48361DE4"/>
    <w:rsid w:val="4856FE61"/>
    <w:rsid w:val="4859F72C"/>
    <w:rsid w:val="4893B9A1"/>
    <w:rsid w:val="48CC2AFB"/>
    <w:rsid w:val="48D6050F"/>
    <w:rsid w:val="490B33F6"/>
    <w:rsid w:val="493B8AFE"/>
    <w:rsid w:val="49715638"/>
    <w:rsid w:val="49E0057B"/>
    <w:rsid w:val="49EE566F"/>
    <w:rsid w:val="49EED961"/>
    <w:rsid w:val="4A1564D9"/>
    <w:rsid w:val="4A468F46"/>
    <w:rsid w:val="4A542532"/>
    <w:rsid w:val="4A7A1B1F"/>
    <w:rsid w:val="4A8A3710"/>
    <w:rsid w:val="4A916B41"/>
    <w:rsid w:val="4AACC010"/>
    <w:rsid w:val="4AC89F85"/>
    <w:rsid w:val="4AE1ED34"/>
    <w:rsid w:val="4B4E4ECE"/>
    <w:rsid w:val="4B97984C"/>
    <w:rsid w:val="4B9BF182"/>
    <w:rsid w:val="4BC9D30B"/>
    <w:rsid w:val="4BCD8CA5"/>
    <w:rsid w:val="4BF2AC5B"/>
    <w:rsid w:val="4BF4F7A5"/>
    <w:rsid w:val="4C09C4F3"/>
    <w:rsid w:val="4C1D9287"/>
    <w:rsid w:val="4C24F233"/>
    <w:rsid w:val="4C2EEB57"/>
    <w:rsid w:val="4C6FD10C"/>
    <w:rsid w:val="4C932172"/>
    <w:rsid w:val="4CD896AA"/>
    <w:rsid w:val="4CE7D3C8"/>
    <w:rsid w:val="4D2A81C6"/>
    <w:rsid w:val="4D394671"/>
    <w:rsid w:val="4D56AD7A"/>
    <w:rsid w:val="4D56FC9D"/>
    <w:rsid w:val="4D574ACD"/>
    <w:rsid w:val="4DB20201"/>
    <w:rsid w:val="4E08DE19"/>
    <w:rsid w:val="4E25755B"/>
    <w:rsid w:val="4E7DCDDD"/>
    <w:rsid w:val="4EA0E7CA"/>
    <w:rsid w:val="4ED4CFA7"/>
    <w:rsid w:val="4EFC0ADD"/>
    <w:rsid w:val="4F06E0A6"/>
    <w:rsid w:val="4FA6F530"/>
    <w:rsid w:val="4FD7A7D6"/>
    <w:rsid w:val="4FE13A01"/>
    <w:rsid w:val="50AFE2A7"/>
    <w:rsid w:val="50BB9609"/>
    <w:rsid w:val="510C6B5E"/>
    <w:rsid w:val="51197329"/>
    <w:rsid w:val="514C3938"/>
    <w:rsid w:val="5175CA8B"/>
    <w:rsid w:val="519BE5B8"/>
    <w:rsid w:val="51F0963C"/>
    <w:rsid w:val="51F97C88"/>
    <w:rsid w:val="5229E833"/>
    <w:rsid w:val="52358C66"/>
    <w:rsid w:val="5236F042"/>
    <w:rsid w:val="5239D40C"/>
    <w:rsid w:val="527A9DF1"/>
    <w:rsid w:val="527BEE76"/>
    <w:rsid w:val="528C0714"/>
    <w:rsid w:val="5291ED12"/>
    <w:rsid w:val="52A3F7BA"/>
    <w:rsid w:val="52C517FD"/>
    <w:rsid w:val="52E84480"/>
    <w:rsid w:val="52EC6F9F"/>
    <w:rsid w:val="5307D268"/>
    <w:rsid w:val="531E6FD9"/>
    <w:rsid w:val="531FBB2B"/>
    <w:rsid w:val="53409AC9"/>
    <w:rsid w:val="53890CB9"/>
    <w:rsid w:val="53C67AB7"/>
    <w:rsid w:val="53D0BF07"/>
    <w:rsid w:val="54DDDED7"/>
    <w:rsid w:val="551FB8CB"/>
    <w:rsid w:val="5520DE62"/>
    <w:rsid w:val="555ADB81"/>
    <w:rsid w:val="5569BBE1"/>
    <w:rsid w:val="557EC992"/>
    <w:rsid w:val="55A70230"/>
    <w:rsid w:val="55B3465D"/>
    <w:rsid w:val="55FE3FC7"/>
    <w:rsid w:val="560EF728"/>
    <w:rsid w:val="5621460B"/>
    <w:rsid w:val="56466374"/>
    <w:rsid w:val="5657E181"/>
    <w:rsid w:val="565BF913"/>
    <w:rsid w:val="565DB13C"/>
    <w:rsid w:val="5671B28A"/>
    <w:rsid w:val="56722979"/>
    <w:rsid w:val="56833C7B"/>
    <w:rsid w:val="5691D647"/>
    <w:rsid w:val="56AC8A5E"/>
    <w:rsid w:val="56CCBF1C"/>
    <w:rsid w:val="56FD1F86"/>
    <w:rsid w:val="577D33E9"/>
    <w:rsid w:val="57843A31"/>
    <w:rsid w:val="578DD51F"/>
    <w:rsid w:val="57918766"/>
    <w:rsid w:val="57B26080"/>
    <w:rsid w:val="57E44465"/>
    <w:rsid w:val="57EC47CB"/>
    <w:rsid w:val="5801A3FB"/>
    <w:rsid w:val="5830EA2B"/>
    <w:rsid w:val="5866B6D2"/>
    <w:rsid w:val="58B2C677"/>
    <w:rsid w:val="58CF9DF8"/>
    <w:rsid w:val="58DACB95"/>
    <w:rsid w:val="597AF6BF"/>
    <w:rsid w:val="59C67665"/>
    <w:rsid w:val="59E013EE"/>
    <w:rsid w:val="5A3B641A"/>
    <w:rsid w:val="5A7ED660"/>
    <w:rsid w:val="5A99A537"/>
    <w:rsid w:val="5AC84773"/>
    <w:rsid w:val="5AD2C74D"/>
    <w:rsid w:val="5ADB44BD"/>
    <w:rsid w:val="5B0E926E"/>
    <w:rsid w:val="5B1061FE"/>
    <w:rsid w:val="5BBE757C"/>
    <w:rsid w:val="5BD26378"/>
    <w:rsid w:val="5BE9C617"/>
    <w:rsid w:val="5C1C32C7"/>
    <w:rsid w:val="5C387AE8"/>
    <w:rsid w:val="5C78BAB4"/>
    <w:rsid w:val="5C8F87AF"/>
    <w:rsid w:val="5CB9727C"/>
    <w:rsid w:val="5CB9E03A"/>
    <w:rsid w:val="5CE253FA"/>
    <w:rsid w:val="5D0830BE"/>
    <w:rsid w:val="5D386E23"/>
    <w:rsid w:val="5D5B9D10"/>
    <w:rsid w:val="5D5FA79F"/>
    <w:rsid w:val="5D6EF0B9"/>
    <w:rsid w:val="5D6F8B1A"/>
    <w:rsid w:val="5D7EA797"/>
    <w:rsid w:val="5D871160"/>
    <w:rsid w:val="5D8EAEF7"/>
    <w:rsid w:val="5DA82BBD"/>
    <w:rsid w:val="5DD33757"/>
    <w:rsid w:val="5E1EBD70"/>
    <w:rsid w:val="5E6A68E1"/>
    <w:rsid w:val="5E973FD6"/>
    <w:rsid w:val="5EA00963"/>
    <w:rsid w:val="5EA39453"/>
    <w:rsid w:val="5EB69780"/>
    <w:rsid w:val="5EE5286E"/>
    <w:rsid w:val="5EF691C0"/>
    <w:rsid w:val="5F1DBADB"/>
    <w:rsid w:val="5F2ED5D8"/>
    <w:rsid w:val="5F2F503B"/>
    <w:rsid w:val="5F37C245"/>
    <w:rsid w:val="5F38B787"/>
    <w:rsid w:val="5F42541E"/>
    <w:rsid w:val="5F4C9516"/>
    <w:rsid w:val="5F4F5428"/>
    <w:rsid w:val="5F50385C"/>
    <w:rsid w:val="5F544A28"/>
    <w:rsid w:val="5F7A86A0"/>
    <w:rsid w:val="5F9C919D"/>
    <w:rsid w:val="5FA7D5C8"/>
    <w:rsid w:val="5FAE0FC1"/>
    <w:rsid w:val="5FC73FEE"/>
    <w:rsid w:val="5FC9FDD6"/>
    <w:rsid w:val="5FE620AB"/>
    <w:rsid w:val="6039AAAF"/>
    <w:rsid w:val="60508D26"/>
    <w:rsid w:val="60549DD1"/>
    <w:rsid w:val="6064F2A0"/>
    <w:rsid w:val="608744B6"/>
    <w:rsid w:val="6093CFDE"/>
    <w:rsid w:val="60FB1195"/>
    <w:rsid w:val="61050AFF"/>
    <w:rsid w:val="611A919B"/>
    <w:rsid w:val="613C4DFA"/>
    <w:rsid w:val="613DD2DC"/>
    <w:rsid w:val="618029A6"/>
    <w:rsid w:val="6191B31D"/>
    <w:rsid w:val="61AC7452"/>
    <w:rsid w:val="61AF8350"/>
    <w:rsid w:val="6239A35F"/>
    <w:rsid w:val="62672411"/>
    <w:rsid w:val="62BD4FCF"/>
    <w:rsid w:val="62BF7679"/>
    <w:rsid w:val="62D809F8"/>
    <w:rsid w:val="62DFC081"/>
    <w:rsid w:val="6360B003"/>
    <w:rsid w:val="636EC2C8"/>
    <w:rsid w:val="636F6A18"/>
    <w:rsid w:val="63A03CFB"/>
    <w:rsid w:val="63B6E585"/>
    <w:rsid w:val="63B7B6B9"/>
    <w:rsid w:val="6456B603"/>
    <w:rsid w:val="6499F752"/>
    <w:rsid w:val="64A82149"/>
    <w:rsid w:val="64AF516F"/>
    <w:rsid w:val="64C3F991"/>
    <w:rsid w:val="64FD0589"/>
    <w:rsid w:val="650C16B0"/>
    <w:rsid w:val="6516524F"/>
    <w:rsid w:val="65F66DCA"/>
    <w:rsid w:val="65FD58DD"/>
    <w:rsid w:val="668492AD"/>
    <w:rsid w:val="669CBC2E"/>
    <w:rsid w:val="66A0171C"/>
    <w:rsid w:val="66A1A53B"/>
    <w:rsid w:val="66CA840B"/>
    <w:rsid w:val="66E2CCC1"/>
    <w:rsid w:val="675AB53D"/>
    <w:rsid w:val="67BF0E03"/>
    <w:rsid w:val="67EE3014"/>
    <w:rsid w:val="67EFCE25"/>
    <w:rsid w:val="68424A1C"/>
    <w:rsid w:val="6847E2DA"/>
    <w:rsid w:val="68522F8F"/>
    <w:rsid w:val="685AE405"/>
    <w:rsid w:val="685AF7B8"/>
    <w:rsid w:val="68DE6A47"/>
    <w:rsid w:val="68DF7F41"/>
    <w:rsid w:val="68F7596F"/>
    <w:rsid w:val="68FA93A6"/>
    <w:rsid w:val="691C4FD8"/>
    <w:rsid w:val="693A8AF2"/>
    <w:rsid w:val="6957405C"/>
    <w:rsid w:val="697EDB1F"/>
    <w:rsid w:val="69B7CF4B"/>
    <w:rsid w:val="69C103DC"/>
    <w:rsid w:val="69DF3E9B"/>
    <w:rsid w:val="6A0C9B9C"/>
    <w:rsid w:val="6A83202C"/>
    <w:rsid w:val="6A883744"/>
    <w:rsid w:val="6AB92D46"/>
    <w:rsid w:val="6AFB5618"/>
    <w:rsid w:val="6B156CD4"/>
    <w:rsid w:val="6B4B81FE"/>
    <w:rsid w:val="6B85E179"/>
    <w:rsid w:val="6B9DD34E"/>
    <w:rsid w:val="6BA5824B"/>
    <w:rsid w:val="6BBD6F6B"/>
    <w:rsid w:val="6BD20B93"/>
    <w:rsid w:val="6BD9FB3A"/>
    <w:rsid w:val="6BE32D78"/>
    <w:rsid w:val="6C26EB6D"/>
    <w:rsid w:val="6C47A67C"/>
    <w:rsid w:val="6C48D550"/>
    <w:rsid w:val="6C720A25"/>
    <w:rsid w:val="6C757FBF"/>
    <w:rsid w:val="6CAC5799"/>
    <w:rsid w:val="6CB36595"/>
    <w:rsid w:val="6CD15FB5"/>
    <w:rsid w:val="6CE562C6"/>
    <w:rsid w:val="6D5A6DA8"/>
    <w:rsid w:val="6D9FBBF9"/>
    <w:rsid w:val="6E1E353C"/>
    <w:rsid w:val="6F083C9E"/>
    <w:rsid w:val="6F1B7C12"/>
    <w:rsid w:val="6F2EFB84"/>
    <w:rsid w:val="6F3BEAB5"/>
    <w:rsid w:val="6F448A1D"/>
    <w:rsid w:val="6F76FAF4"/>
    <w:rsid w:val="6FB5FEE0"/>
    <w:rsid w:val="6FE75224"/>
    <w:rsid w:val="70327EB1"/>
    <w:rsid w:val="7032FCC2"/>
    <w:rsid w:val="707A2824"/>
    <w:rsid w:val="708089CF"/>
    <w:rsid w:val="70D015F3"/>
    <w:rsid w:val="70F54E45"/>
    <w:rsid w:val="7116E3BE"/>
    <w:rsid w:val="7139F7C0"/>
    <w:rsid w:val="716ADE08"/>
    <w:rsid w:val="71D6048C"/>
    <w:rsid w:val="71E1ECE4"/>
    <w:rsid w:val="71E7882E"/>
    <w:rsid w:val="71F1D23A"/>
    <w:rsid w:val="720A0A70"/>
    <w:rsid w:val="721AC7E4"/>
    <w:rsid w:val="72342AFF"/>
    <w:rsid w:val="7276B711"/>
    <w:rsid w:val="728440FB"/>
    <w:rsid w:val="72937E4C"/>
    <w:rsid w:val="729CBE0A"/>
    <w:rsid w:val="72EEBFDE"/>
    <w:rsid w:val="73032003"/>
    <w:rsid w:val="733E05F5"/>
    <w:rsid w:val="73B70B12"/>
    <w:rsid w:val="73BEA3AB"/>
    <w:rsid w:val="73D08D6C"/>
    <w:rsid w:val="73E3BC46"/>
    <w:rsid w:val="73F46C3B"/>
    <w:rsid w:val="73FD2362"/>
    <w:rsid w:val="747656E8"/>
    <w:rsid w:val="75023EA8"/>
    <w:rsid w:val="7522DCC4"/>
    <w:rsid w:val="7536128C"/>
    <w:rsid w:val="75835555"/>
    <w:rsid w:val="75B72451"/>
    <w:rsid w:val="75BC5352"/>
    <w:rsid w:val="75F17491"/>
    <w:rsid w:val="76088632"/>
    <w:rsid w:val="7612B3CF"/>
    <w:rsid w:val="7626EE6A"/>
    <w:rsid w:val="7668CD2A"/>
    <w:rsid w:val="766E9710"/>
    <w:rsid w:val="76737EC5"/>
    <w:rsid w:val="76765A36"/>
    <w:rsid w:val="76996C01"/>
    <w:rsid w:val="76BC5EB3"/>
    <w:rsid w:val="76D2DDEA"/>
    <w:rsid w:val="76D87FA3"/>
    <w:rsid w:val="770064A1"/>
    <w:rsid w:val="77269680"/>
    <w:rsid w:val="7755C8CD"/>
    <w:rsid w:val="77687981"/>
    <w:rsid w:val="7799CD6B"/>
    <w:rsid w:val="779F336F"/>
    <w:rsid w:val="77AB4125"/>
    <w:rsid w:val="77B03128"/>
    <w:rsid w:val="77E40822"/>
    <w:rsid w:val="77E417F9"/>
    <w:rsid w:val="77E82319"/>
    <w:rsid w:val="77FA323A"/>
    <w:rsid w:val="7853B691"/>
    <w:rsid w:val="785E2F21"/>
    <w:rsid w:val="78A7BF04"/>
    <w:rsid w:val="78CD0CD4"/>
    <w:rsid w:val="78D57197"/>
    <w:rsid w:val="792902F2"/>
    <w:rsid w:val="798608C5"/>
    <w:rsid w:val="79ABA585"/>
    <w:rsid w:val="79E3FAA8"/>
    <w:rsid w:val="79F57ADF"/>
    <w:rsid w:val="7AAFFBF7"/>
    <w:rsid w:val="7ABAC83D"/>
    <w:rsid w:val="7AD7A16B"/>
    <w:rsid w:val="7AE5DAE6"/>
    <w:rsid w:val="7AE896FF"/>
    <w:rsid w:val="7AF1DBFD"/>
    <w:rsid w:val="7AF9F5E7"/>
    <w:rsid w:val="7B13F519"/>
    <w:rsid w:val="7B40D6F6"/>
    <w:rsid w:val="7C1ADA11"/>
    <w:rsid w:val="7C2647E9"/>
    <w:rsid w:val="7D3E9887"/>
    <w:rsid w:val="7D9D22B4"/>
    <w:rsid w:val="7DA0F197"/>
    <w:rsid w:val="7DA665A2"/>
    <w:rsid w:val="7DB23C84"/>
    <w:rsid w:val="7DEEB8D5"/>
    <w:rsid w:val="7DF60478"/>
    <w:rsid w:val="7DFFB8F2"/>
    <w:rsid w:val="7E091D7F"/>
    <w:rsid w:val="7E0ECE21"/>
    <w:rsid w:val="7E311F96"/>
    <w:rsid w:val="7E3B9F50"/>
    <w:rsid w:val="7E45B950"/>
    <w:rsid w:val="7E488494"/>
    <w:rsid w:val="7E731590"/>
    <w:rsid w:val="7ED243C4"/>
    <w:rsid w:val="7F11ED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paragraph" w:styleId="Heading5">
    <w:name w:val="heading 5"/>
    <w:basedOn w:val="Normal"/>
    <w:next w:val="Normal"/>
    <w:link w:val="Heading5Char"/>
    <w:uiPriority w:val="9"/>
    <w:unhideWhenUsed/>
    <w:qFormat/>
    <w:rsid w:val="00AC6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Q"/>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Q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
    <w:basedOn w:val="TableNormal"/>
    <w:uiPriority w:val="5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Table Legend,Bullet1,Bullet 1,Bullet List,Section 5"/>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Table Legend Char,Bullet1 Char,Bullet 1 Char,Bullet List Char,Section 5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450AC6"/>
    <w:pPr>
      <w:spacing w:after="240"/>
      <w:contextualSpacing/>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9"/>
      </w:numPr>
    </w:pPr>
  </w:style>
  <w:style w:type="paragraph" w:customStyle="1" w:styleId="2-SectionHeading">
    <w:name w:val="2-Section Heading"/>
    <w:qFormat/>
    <w:rsid w:val="005131D3"/>
    <w:pPr>
      <w:keepNext/>
      <w:numPr>
        <w:numId w:val="4"/>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4"/>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5"/>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Franklin Gothic Book" w:hAnsi="Franklin Gothic Book"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Franklin Gothic Book" w:hAnsi="Franklin Gothic Book"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Franklin Gothic Book" w:hAnsi="Franklin Gothic Book"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6"/>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7"/>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8"/>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table" w:styleId="TableGridLight">
    <w:name w:val="Grid Table Light"/>
    <w:basedOn w:val="TableNormal"/>
    <w:uiPriority w:val="40"/>
    <w:rsid w:val="003B10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link w:val="BodyTextChar"/>
    <w:qFormat/>
    <w:rsid w:val="00103595"/>
    <w:pPr>
      <w:keepLines/>
      <w:spacing w:after="120" w:line="269" w:lineRule="auto"/>
    </w:pPr>
    <w:rPr>
      <w:rFonts w:ascii="Montserrat" w:eastAsia="Calibri" w:hAnsi="Montserrat" w:cs="Calibri"/>
      <w:sz w:val="18"/>
      <w:szCs w:val="20"/>
    </w:rPr>
  </w:style>
  <w:style w:type="character" w:customStyle="1" w:styleId="BodyTextChar">
    <w:name w:val="Body Text Char"/>
    <w:basedOn w:val="DefaultParagraphFont"/>
    <w:link w:val="BodyText"/>
    <w:rsid w:val="00103595"/>
    <w:rPr>
      <w:rFonts w:ascii="Montserrat" w:eastAsia="Calibri" w:hAnsi="Montserrat" w:cs="Calibri"/>
      <w:sz w:val="18"/>
      <w:szCs w:val="20"/>
    </w:rPr>
  </w:style>
  <w:style w:type="table" w:styleId="PlainTable1">
    <w:name w:val="Plain Table 1"/>
    <w:basedOn w:val="TableNormal"/>
    <w:uiPriority w:val="41"/>
    <w:rsid w:val="004B46BE"/>
    <w:pPr>
      <w:spacing w:after="0" w:line="240" w:lineRule="auto"/>
    </w:pPr>
    <w:rPr>
      <w:rFonts w:ascii="Montserrat" w:eastAsia="Calibri" w:hAnsi="Montserrat"/>
      <w:sz w:val="20"/>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left"/>
      </w:pPr>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103233"/>
    <w:rPr>
      <w:color w:val="2B579A"/>
      <w:shd w:val="clear" w:color="auto" w:fill="E1DFDD"/>
    </w:rPr>
  </w:style>
  <w:style w:type="character" w:styleId="IntenseEmphasis">
    <w:name w:val="Intense Emphasis"/>
    <w:uiPriority w:val="21"/>
    <w:rsid w:val="00EF14F2"/>
    <w:rPr>
      <w:i w:val="0"/>
      <w:iCs/>
      <w:color w:val="258221"/>
    </w:rPr>
  </w:style>
  <w:style w:type="paragraph" w:customStyle="1" w:styleId="EndNoteBibliography">
    <w:name w:val="EndNote Bibliography"/>
    <w:basedOn w:val="Normal"/>
    <w:link w:val="EndNoteBibliographyChar"/>
    <w:rsid w:val="00914F5F"/>
    <w:pPr>
      <w:spacing w:line="240" w:lineRule="auto"/>
    </w:pPr>
    <w:rPr>
      <w:rFonts w:ascii="Montserrat" w:hAnsi="Montserrat"/>
      <w:noProof/>
      <w:color w:val="258221"/>
      <w:sz w:val="18"/>
      <w:lang w:val="en-US"/>
    </w:rPr>
  </w:style>
  <w:style w:type="character" w:customStyle="1" w:styleId="EndNoteBibliographyChar">
    <w:name w:val="EndNote Bibliography Char"/>
    <w:basedOn w:val="InstructionaltextChar"/>
    <w:link w:val="EndNoteBibliography"/>
    <w:rsid w:val="00914F5F"/>
    <w:rPr>
      <w:rFonts w:ascii="Montserrat" w:hAnsi="Montserrat"/>
      <w:noProof/>
      <w:color w:val="258221"/>
      <w:sz w:val="18"/>
      <w:lang w:val="en-US"/>
    </w:rPr>
  </w:style>
  <w:style w:type="paragraph" w:customStyle="1" w:styleId="TableFigNotes18">
    <w:name w:val="TableFigNotes+18"/>
    <w:basedOn w:val="Normal"/>
    <w:next w:val="BodyText"/>
    <w:link w:val="TableFigNotes18Char"/>
    <w:uiPriority w:val="4"/>
    <w:qFormat/>
    <w:rsid w:val="00B52464"/>
    <w:pPr>
      <w:spacing w:before="60" w:after="360" w:line="276" w:lineRule="auto"/>
      <w:contextualSpacing/>
    </w:pPr>
    <w:rPr>
      <w:rFonts w:ascii="Montserrat" w:hAnsi="Montserrat"/>
      <w:sz w:val="14"/>
    </w:rPr>
  </w:style>
  <w:style w:type="character" w:customStyle="1" w:styleId="TableFigNotes18Char">
    <w:name w:val="TableFigNotes+18 Char"/>
    <w:basedOn w:val="DefaultParagraphFont"/>
    <w:link w:val="TableFigNotes18"/>
    <w:uiPriority w:val="4"/>
    <w:locked/>
    <w:rsid w:val="00B52464"/>
    <w:rPr>
      <w:rFonts w:ascii="Montserrat" w:hAnsi="Montserrat"/>
      <w:sz w:val="14"/>
    </w:rPr>
  </w:style>
  <w:style w:type="character" w:customStyle="1" w:styleId="Heading5Char">
    <w:name w:val="Heading 5 Char"/>
    <w:basedOn w:val="DefaultParagraphFont"/>
    <w:link w:val="Heading5"/>
    <w:uiPriority w:val="9"/>
    <w:rsid w:val="00AC670D"/>
    <w:rPr>
      <w:rFonts w:asciiTheme="majorHAnsi" w:eastAsiaTheme="majorEastAsia" w:hAnsiTheme="majorHAnsi" w:cstheme="majorBidi"/>
      <w:color w:val="2E74B5" w:themeColor="accent1" w:themeShade="BF"/>
    </w:rPr>
  </w:style>
  <w:style w:type="paragraph" w:customStyle="1" w:styleId="Heading3nonumbers">
    <w:name w:val="Heading 3 no numbers"/>
    <w:basedOn w:val="Heading3"/>
    <w:next w:val="Normal"/>
    <w:link w:val="Heading3nonumbersChar"/>
    <w:qFormat/>
    <w:rsid w:val="00BA04E1"/>
    <w:pPr>
      <w:tabs>
        <w:tab w:val="clear" w:pos="851"/>
      </w:tabs>
    </w:pPr>
    <w:rPr>
      <w:color w:val="000000" w:themeColor="text1"/>
      <w:lang w:val="en-US"/>
    </w:rPr>
  </w:style>
  <w:style w:type="character" w:customStyle="1" w:styleId="Heading3nonumbersChar">
    <w:name w:val="Heading 3 no numbers Char"/>
    <w:basedOn w:val="Heading3Char"/>
    <w:link w:val="Heading3nonumbers"/>
    <w:rsid w:val="00BA04E1"/>
    <w:rPr>
      <w:rFonts w:ascii="Franklin Gothic Medium" w:eastAsiaTheme="majorEastAsia" w:hAnsi="Franklin Gothic Medium" w:cstheme="majorBidi"/>
      <w:color w:val="000000" w:themeColor="text1"/>
      <w:sz w:val="24"/>
      <w:szCs w:val="24"/>
      <w:lang w:val="en-US"/>
    </w:rPr>
  </w:style>
  <w:style w:type="table" w:customStyle="1" w:styleId="TableGridLight2">
    <w:name w:val="Table Grid Light2"/>
    <w:basedOn w:val="TableNormal"/>
    <w:next w:val="TableGridLight"/>
    <w:uiPriority w:val="40"/>
    <w:rsid w:val="00BA04E1"/>
    <w:pPr>
      <w:spacing w:after="0" w:line="240" w:lineRule="auto"/>
    </w:pPr>
    <w:rPr>
      <w:rFonts w:ascii="Montserrat" w:eastAsia="Calibri" w:hAnsi="Montserrat"/>
      <w:sz w:val="18"/>
      <w:lang w:val="de-D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68" w:type="dxa"/>
        <w:right w:w="68" w:type="dxa"/>
      </w:tblCellMar>
    </w:tblPr>
    <w:tblStylePr w:type="firstRow">
      <w:rPr>
        <w:b/>
      </w:rPr>
    </w:tblStylePr>
    <w:tblStylePr w:type="lastRow">
      <w:rPr>
        <w:b/>
      </w:rPr>
    </w:tblStylePr>
    <w:tblStylePr w:type="lastCol">
      <w:rPr>
        <w:b/>
      </w:rPr>
    </w:tblStylePr>
  </w:style>
  <w:style w:type="paragraph" w:styleId="EndnoteText">
    <w:name w:val="endnote text"/>
    <w:basedOn w:val="Normal"/>
    <w:link w:val="EndnoteTextChar"/>
    <w:uiPriority w:val="99"/>
    <w:semiHidden/>
    <w:unhideWhenUsed/>
    <w:rsid w:val="00A5741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57417"/>
    <w:rPr>
      <w:rFonts w:ascii="Franklin Gothic Book" w:hAnsi="Franklin Gothic Book"/>
      <w:sz w:val="20"/>
      <w:szCs w:val="20"/>
    </w:rPr>
  </w:style>
  <w:style w:type="character" w:styleId="EndnoteReference">
    <w:name w:val="endnote reference"/>
    <w:basedOn w:val="DefaultParagraphFont"/>
    <w:uiPriority w:val="99"/>
    <w:semiHidden/>
    <w:unhideWhenUsed/>
    <w:rsid w:val="00A57417"/>
    <w:rPr>
      <w:vertAlign w:val="superscript"/>
    </w:rPr>
  </w:style>
  <w:style w:type="paragraph" w:styleId="TableofFigures">
    <w:name w:val="table of figures"/>
    <w:basedOn w:val="Normal"/>
    <w:next w:val="Normal"/>
    <w:uiPriority w:val="99"/>
    <w:unhideWhenUsed/>
    <w:rsid w:val="007C01EB"/>
    <w:pPr>
      <w:spacing w:after="0"/>
    </w:pPr>
  </w:style>
  <w:style w:type="character" w:styleId="UnresolvedMention">
    <w:name w:val="Unresolved Mention"/>
    <w:basedOn w:val="DefaultParagraphFont"/>
    <w:uiPriority w:val="99"/>
    <w:semiHidden/>
    <w:unhideWhenUsed/>
    <w:rsid w:val="00007756"/>
    <w:rPr>
      <w:color w:val="605E5C"/>
      <w:shd w:val="clear" w:color="auto" w:fill="E1DFDD"/>
    </w:rPr>
  </w:style>
  <w:style w:type="paragraph" w:customStyle="1" w:styleId="TableDash">
    <w:name w:val="TableDash"/>
    <w:basedOn w:val="TableText1"/>
    <w:rsid w:val="003C4369"/>
    <w:pPr>
      <w:numPr>
        <w:numId w:val="11"/>
      </w:numPr>
      <w:tabs>
        <w:tab w:val="clear" w:pos="216"/>
        <w:tab w:val="num" w:pos="432"/>
      </w:tabs>
      <w:spacing w:before="60" w:after="60" w:line="240" w:lineRule="auto"/>
      <w:jc w:val="left"/>
    </w:pPr>
    <w:rPr>
      <w:rFonts w:ascii="Franklin Gothic Book" w:hAnsi="Franklin Gothic Book" w:cs="Times New Roman"/>
      <w:color w:val="000000"/>
      <w:sz w:val="21"/>
      <w:szCs w:val="21"/>
    </w:rPr>
  </w:style>
  <w:style w:type="paragraph" w:customStyle="1" w:styleId="BulletBeforeDash">
    <w:name w:val="BulletBeforeDash"/>
    <w:basedOn w:val="Normal"/>
    <w:rsid w:val="003C4369"/>
    <w:pPr>
      <w:numPr>
        <w:numId w:val="12"/>
      </w:numPr>
      <w:spacing w:before="0" w:after="0" w:line="240" w:lineRule="auto"/>
    </w:pPr>
    <w:rPr>
      <w:rFonts w:eastAsia="Times New Roman" w:cs="Times New Roman"/>
      <w:color w:val="000000"/>
      <w:szCs w:val="20"/>
      <w:lang w:eastAsia="en-AU"/>
    </w:rPr>
  </w:style>
  <w:style w:type="paragraph" w:customStyle="1" w:styleId="BulletLast">
    <w:name w:val="BulletLast"/>
    <w:basedOn w:val="Bullet"/>
    <w:qFormat/>
    <w:rsid w:val="003C4369"/>
    <w:pPr>
      <w:tabs>
        <w:tab w:val="num" w:pos="360"/>
      </w:tabs>
      <w:spacing w:before="0" w:after="240"/>
      <w:ind w:left="360"/>
    </w:pPr>
    <w:rPr>
      <w:rFonts w:ascii="Franklin Gothic Book" w:eastAsia="Times New Roman" w:hAnsi="Franklin Gothic Book" w:cs="Times New Roman"/>
      <w:color w:val="000000"/>
      <w:szCs w:val="20"/>
      <w:lang w:eastAsia="en-AU"/>
    </w:rPr>
  </w:style>
  <w:style w:type="paragraph" w:customStyle="1" w:styleId="NormalBeforeBullet0">
    <w:name w:val="NormalBeforeBullet"/>
    <w:basedOn w:val="Normal"/>
    <w:qFormat/>
    <w:rsid w:val="003C4369"/>
    <w:pPr>
      <w:keepNext/>
      <w:spacing w:before="0" w:after="120" w:line="240" w:lineRule="auto"/>
    </w:pPr>
    <w:rPr>
      <w:rFonts w:eastAsia="Times New Roman" w:cs="Times New Roman"/>
      <w:color w:val="000000"/>
      <w:szCs w:val="20"/>
      <w:lang w:eastAsia="en-AU"/>
    </w:rPr>
  </w:style>
  <w:style w:type="paragraph" w:customStyle="1" w:styleId="BoxName0">
    <w:name w:val="BoxName"/>
    <w:basedOn w:val="Normal"/>
    <w:rsid w:val="003C4369"/>
    <w:pPr>
      <w:keepNext/>
      <w:pBdr>
        <w:top w:val="single" w:sz="4" w:space="4" w:color="000000"/>
        <w:left w:val="single" w:sz="4" w:space="4" w:color="000000"/>
        <w:bottom w:val="single" w:sz="4" w:space="4" w:color="000000"/>
        <w:right w:val="single" w:sz="4" w:space="4" w:color="000000"/>
      </w:pBdr>
      <w:spacing w:before="240" w:after="240" w:line="240" w:lineRule="auto"/>
      <w:ind w:left="1077" w:hanging="1077"/>
    </w:pPr>
    <w:rPr>
      <w:rFonts w:eastAsia="Times New Roman" w:cs="Times New Roman"/>
      <w:b/>
      <w:bCs/>
      <w:color w:val="000000"/>
      <w:sz w:val="24"/>
      <w:szCs w:val="20"/>
      <w:lang w:eastAsia="en-AU"/>
    </w:rPr>
  </w:style>
  <w:style w:type="paragraph" w:customStyle="1" w:styleId="BoxHeading">
    <w:name w:val="BoxHeading"/>
    <w:basedOn w:val="Normal"/>
    <w:rsid w:val="003C4369"/>
    <w:pPr>
      <w:keepNext/>
      <w:pBdr>
        <w:top w:val="single" w:sz="4" w:space="4" w:color="000000"/>
        <w:left w:val="single" w:sz="4" w:space="4" w:color="000000"/>
        <w:bottom w:val="single" w:sz="4" w:space="4" w:color="000000"/>
        <w:right w:val="single" w:sz="4" w:space="4" w:color="000000"/>
      </w:pBdr>
      <w:spacing w:after="60" w:line="240" w:lineRule="auto"/>
    </w:pPr>
    <w:rPr>
      <w:rFonts w:eastAsia="Times New Roman" w:cs="Times New Roman"/>
      <w:b/>
      <w:bCs/>
      <w:color w:val="000000"/>
      <w:szCs w:val="20"/>
      <w:lang w:eastAsia="en-AU"/>
    </w:rPr>
  </w:style>
  <w:style w:type="paragraph" w:customStyle="1" w:styleId="BoxBullet">
    <w:name w:val="BoxBullet"/>
    <w:basedOn w:val="Normal"/>
    <w:rsid w:val="003C4369"/>
    <w:pPr>
      <w:numPr>
        <w:numId w:val="13"/>
      </w:numPr>
      <w:pBdr>
        <w:top w:val="single" w:sz="4" w:space="4" w:color="000000"/>
        <w:left w:val="single" w:sz="4" w:space="4" w:color="000000"/>
        <w:bottom w:val="single" w:sz="4" w:space="4" w:color="000000"/>
        <w:right w:val="single" w:sz="4" w:space="4" w:color="000000"/>
      </w:pBdr>
      <w:spacing w:before="0" w:after="120" w:line="240" w:lineRule="auto"/>
    </w:pPr>
    <w:rPr>
      <w:rFonts w:eastAsia="Times New Roman" w:cs="Times New Roman"/>
      <w:color w:val="000000"/>
      <w:szCs w:val="20"/>
      <w:lang w:eastAsia="en-AU"/>
    </w:rPr>
  </w:style>
  <w:style w:type="table" w:customStyle="1" w:styleId="Section3-footnot1">
    <w:name w:val="Section 3- footnot1"/>
    <w:basedOn w:val="TableNormal"/>
    <w:next w:val="TableGrid"/>
    <w:uiPriority w:val="59"/>
    <w:rsid w:val="006C0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
    <w:name w:val="HTA Table shaded"/>
    <w:basedOn w:val="TableNormal"/>
    <w:rsid w:val="009E4C95"/>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ommentary">
    <w:name w:val="# commentary"/>
    <w:basedOn w:val="DefaultParagraphFont"/>
    <w:uiPriority w:val="1"/>
    <w:qFormat/>
    <w:rsid w:val="009E4C95"/>
    <w:rPr>
      <w:rFonts w:ascii="Montserrat" w:hAnsi="Montserrat"/>
      <w:i/>
      <w:color w:val="0070C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10726412">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19938371">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4307884">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33656181">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13165138">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tmp"/><Relationship Id="rId19" Type="http://schemas.openxmlformats.org/officeDocument/2006/relationships/hyperlink" Target="http://msac.gov.au/internet/msac/publishing.nsf/Content/Home-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linicaltrials.gov/study/NCT02994654" TargetMode="External"/><Relationship Id="rId7" Type="http://schemas.openxmlformats.org/officeDocument/2006/relationships/hyperlink" Target="https://medicarestatistics.humanservices.gov.au/statistics/mbs_item.html" TargetMode="External"/><Relationship Id="rId2" Type="http://schemas.openxmlformats.org/officeDocument/2006/relationships/hyperlink" Target="https://www.tga.gov.au/resources/artg/338864" TargetMode="External"/><Relationship Id="rId1" Type="http://schemas.openxmlformats.org/officeDocument/2006/relationships/hyperlink" Target="https://www.britishburnassociation.org/wp-content/uploads/2025/06/Conference-Book-2025-1.pdf" TargetMode="External"/><Relationship Id="rId6" Type="http://schemas.openxmlformats.org/officeDocument/2006/relationships/hyperlink" Target="https://www.aihw.gov.au/hospitals/topics/admitted-patient-care" TargetMode="External"/><Relationship Id="rId5" Type="http://schemas.openxmlformats.org/officeDocument/2006/relationships/hyperlink" Target="https://www.nsw.gov.au/media-releases/health-insurers-rorting-public-hospital-beds" TargetMode="External"/><Relationship Id="rId4" Type="http://schemas.openxmlformats.org/officeDocument/2006/relationships/hyperlink" Target="https://medicarestatistics.humanservices.gov.au/statistics/mbs_it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1C35A56-2ACF-4350-A48D-30533FCDDD99}">
  <ds:schemaRefs>
    <ds:schemaRef ds:uri="http://schemas.openxmlformats.org/officeDocument/2006/bibliography"/>
  </ds:schemaRefs>
</ds:datastoreItem>
</file>

<file path=docMetadata/LabelInfo.xml><?xml version="1.0" encoding="utf-8"?>
<clbl:labelList xmlns:clbl="http://schemas.microsoft.com/office/2020/mipLabelMetadata">
  <clbl:label id="{ba91eb32-c55a-486e-9f61-67bc84966875}" enabled="0" method="" siteId="{ba91eb32-c55a-486e-9f61-67bc8496687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18932</Words>
  <Characters>107915</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2025-10-24T00:30:00Z</dcterms:created>
  <dcterms:modified xsi:type="dcterms:W3CDTF">2025-10-24T00:30:00Z</dcterms:modified>
  <cp:category/>
</cp:coreProperties>
</file>