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6D781" w14:textId="0B2ED26E" w:rsidR="006478E7" w:rsidRPr="00490FBB" w:rsidRDefault="00BB0FFB" w:rsidP="007F3A2E">
      <w:pPr>
        <w:pStyle w:val="Heading10"/>
        <w:spacing w:before="3360"/>
        <w:jc w:val="center"/>
        <w:rPr>
          <w:sz w:val="48"/>
          <w:szCs w:val="48"/>
        </w:rPr>
      </w:pPr>
      <w:r>
        <w:rPr>
          <w:sz w:val="48"/>
          <w:szCs w:val="48"/>
        </w:rPr>
        <w:t xml:space="preserve">MSAC </w:t>
      </w:r>
      <w:r w:rsidR="006478E7" w:rsidRPr="00490FBB">
        <w:rPr>
          <w:sz w:val="48"/>
          <w:szCs w:val="48"/>
        </w:rPr>
        <w:t xml:space="preserve">Application </w:t>
      </w:r>
      <w:r w:rsidR="0047086D">
        <w:rPr>
          <w:sz w:val="48"/>
          <w:szCs w:val="48"/>
        </w:rPr>
        <w:t>1803</w:t>
      </w:r>
    </w:p>
    <w:p w14:paraId="11765312" w14:textId="3CBBE4DA" w:rsidR="006478E7" w:rsidRDefault="0047086D" w:rsidP="006478E7">
      <w:pPr>
        <w:pStyle w:val="Heading10"/>
        <w:jc w:val="center"/>
        <w:rPr>
          <w:color w:val="548DD4"/>
          <w:sz w:val="48"/>
          <w:szCs w:val="48"/>
        </w:rPr>
      </w:pPr>
      <w:r w:rsidRPr="0047086D">
        <w:rPr>
          <w:color w:val="548DD4"/>
          <w:sz w:val="48"/>
          <w:szCs w:val="48"/>
        </w:rPr>
        <w:t>Implantation of an active middle ear implant (</w:t>
      </w:r>
      <w:r w:rsidR="009315C8">
        <w:rPr>
          <w:color w:val="548DD4"/>
          <w:sz w:val="48"/>
          <w:szCs w:val="48"/>
        </w:rPr>
        <w:t>v</w:t>
      </w:r>
      <w:r w:rsidRPr="0047086D">
        <w:rPr>
          <w:color w:val="548DD4"/>
          <w:sz w:val="48"/>
          <w:szCs w:val="48"/>
        </w:rPr>
        <w:t>ibroplasty) for treatment of mixed and conductive hearing loss</w:t>
      </w:r>
    </w:p>
    <w:p w14:paraId="44FD303D" w14:textId="47B4B8B3" w:rsidR="00477EE1" w:rsidRPr="0052565B" w:rsidRDefault="00D9130D" w:rsidP="00477EE1">
      <w:pPr>
        <w:pStyle w:val="Heading10"/>
        <w:jc w:val="center"/>
        <w:rPr>
          <w:color w:val="548DD4"/>
          <w:sz w:val="40"/>
          <w:szCs w:val="40"/>
        </w:rPr>
      </w:pPr>
      <w:r w:rsidRPr="0052565B">
        <w:rPr>
          <w:color w:val="548DD4"/>
          <w:sz w:val="40"/>
          <w:szCs w:val="40"/>
        </w:rPr>
        <w:t xml:space="preserve">Applicant: </w:t>
      </w:r>
      <w:r w:rsidR="004B60E8" w:rsidRPr="0052565B">
        <w:rPr>
          <w:color w:val="548DD4"/>
          <w:sz w:val="40"/>
          <w:szCs w:val="40"/>
        </w:rPr>
        <w:t xml:space="preserve">MED-EL </w:t>
      </w:r>
      <w:r w:rsidR="008F5B32" w:rsidRPr="0052565B">
        <w:rPr>
          <w:color w:val="548DD4"/>
          <w:sz w:val="40"/>
          <w:szCs w:val="40"/>
        </w:rPr>
        <w:t>Implant Systems Australasia Pty Ltd</w:t>
      </w:r>
    </w:p>
    <w:p w14:paraId="23900CA0" w14:textId="3D732917" w:rsidR="006478E7" w:rsidRPr="00490FBB" w:rsidRDefault="006478E7" w:rsidP="00BB0FFB">
      <w:pPr>
        <w:pStyle w:val="Heading1"/>
      </w:pPr>
      <w:r w:rsidRPr="00490FBB">
        <w:t>PICO Confirmation</w:t>
      </w:r>
      <w:r w:rsidRPr="00490FBB">
        <w:br w:type="page"/>
      </w:r>
    </w:p>
    <w:p w14:paraId="219312C8" w14:textId="32B836F1" w:rsidR="006478E7" w:rsidRPr="00D52956" w:rsidRDefault="006478E7" w:rsidP="00BB0FFB">
      <w:pPr>
        <w:pStyle w:val="Heading2"/>
      </w:pPr>
      <w:r w:rsidRPr="00D52956">
        <w:lastRenderedPageBreak/>
        <w:t>Summary of PI</w:t>
      </w:r>
      <w:r w:rsidR="00235B21">
        <w:t xml:space="preserve">CO criteria to define </w:t>
      </w:r>
      <w:r w:rsidRPr="00D52956">
        <w:t>question(s) to be addressed in an Assessment Report to the Medical Services Advisory Committee (MSAC)</w:t>
      </w:r>
    </w:p>
    <w:p w14:paraId="224459F3" w14:textId="7149B6D9" w:rsidR="00D52956" w:rsidRDefault="00D52956" w:rsidP="00D52956">
      <w:pPr>
        <w:pStyle w:val="Caption"/>
      </w:pPr>
      <w:bookmarkStart w:id="0" w:name="_Ref69732160"/>
      <w:bookmarkStart w:id="1" w:name="_Ref69732155"/>
      <w:r>
        <w:t>Table</w:t>
      </w:r>
      <w:r w:rsidR="00FD4C65">
        <w:t> </w:t>
      </w:r>
      <w:r>
        <w:fldChar w:fldCharType="begin"/>
      </w:r>
      <w:r>
        <w:instrText xml:space="preserve"> SEQ Table \* ARABIC </w:instrText>
      </w:r>
      <w:r>
        <w:fldChar w:fldCharType="separate"/>
      </w:r>
      <w:r w:rsidR="00A42764">
        <w:rPr>
          <w:noProof/>
        </w:rPr>
        <w:t>1</w:t>
      </w:r>
      <w:r>
        <w:fldChar w:fldCharType="end"/>
      </w:r>
      <w:bookmarkEnd w:id="0"/>
      <w:r>
        <w:tab/>
        <w:t xml:space="preserve">PICO for </w:t>
      </w:r>
      <w:r w:rsidR="00BD63F3">
        <w:t xml:space="preserve">implantation of an active middle ear implant </w:t>
      </w:r>
      <w:r>
        <w:t>in</w:t>
      </w:r>
      <w:r w:rsidR="00BD63F3">
        <w:t xml:space="preserve"> </w:t>
      </w:r>
      <w:r w:rsidR="00554074">
        <w:t xml:space="preserve">individuals </w:t>
      </w:r>
      <w:r w:rsidR="00726C2A">
        <w:t xml:space="preserve">with </w:t>
      </w:r>
      <w:r w:rsidR="00503FCD">
        <w:t xml:space="preserve">mixed or </w:t>
      </w:r>
      <w:r w:rsidR="008146A6">
        <w:t xml:space="preserve">conductive </w:t>
      </w:r>
      <w:r w:rsidR="00726C2A">
        <w:t>hearing loss</w:t>
      </w:r>
      <w:bookmarkEnd w:id="1"/>
    </w:p>
    <w:tbl>
      <w:tblPr>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Caption w:val="PICO for implantation of an active middle ear implant (vibroplasty) in patients with mixed or conductive hearing loss"/>
        <w:tblDescription w:val="Describes the PICO elements and research questions for the assessment of comparative safety, effectiveness and cost-effectiveness."/>
      </w:tblPr>
      <w:tblGrid>
        <w:gridCol w:w="1923"/>
        <w:gridCol w:w="7643"/>
      </w:tblGrid>
      <w:tr w:rsidR="006478E7" w:rsidRPr="00490FBB" w14:paraId="2A509B30" w14:textId="77777777" w:rsidTr="00691F3C">
        <w:trPr>
          <w:trHeight w:val="372"/>
          <w:tblHeader/>
        </w:trPr>
        <w:tc>
          <w:tcPr>
            <w:tcW w:w="1005" w:type="pc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33B8A35" w14:textId="77777777" w:rsidR="006478E7" w:rsidRPr="00490FBB" w:rsidRDefault="006478E7">
            <w:pPr>
              <w:spacing w:before="20" w:after="20" w:line="240" w:lineRule="auto"/>
              <w:rPr>
                <w:b/>
              </w:rPr>
            </w:pPr>
            <w:bookmarkStart w:id="2" w:name="Title_Table1" w:colFirst="0" w:colLast="0"/>
            <w:r w:rsidRPr="00490FBB">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31DF4F" w14:textId="77777777" w:rsidR="006478E7" w:rsidRPr="00490FBB" w:rsidRDefault="006478E7">
            <w:pPr>
              <w:spacing w:before="20" w:after="20" w:line="240" w:lineRule="auto"/>
              <w:rPr>
                <w:b/>
              </w:rPr>
            </w:pPr>
            <w:r w:rsidRPr="00490FBB">
              <w:rPr>
                <w:b/>
              </w:rPr>
              <w:t>Description</w:t>
            </w:r>
          </w:p>
        </w:tc>
      </w:tr>
      <w:bookmarkEnd w:id="2"/>
      <w:tr w:rsidR="006478E7" w:rsidRPr="00490FBB" w14:paraId="78E0BB65" w14:textId="77777777" w:rsidTr="00691F3C">
        <w:tc>
          <w:tcPr>
            <w:tcW w:w="1005" w:type="pct"/>
            <w:tcBorders>
              <w:top w:val="single" w:sz="8" w:space="0" w:color="auto"/>
              <w:left w:val="single" w:sz="8" w:space="0" w:color="auto"/>
              <w:bottom w:val="single" w:sz="4" w:space="0" w:color="auto"/>
              <w:right w:val="single" w:sz="4" w:space="0" w:color="auto"/>
            </w:tcBorders>
            <w:hideMark/>
          </w:tcPr>
          <w:p w14:paraId="715E50D5" w14:textId="74EB4863" w:rsidR="006478E7" w:rsidRPr="00490FBB" w:rsidRDefault="00F660E8">
            <w:pPr>
              <w:spacing w:before="120" w:after="120" w:line="240" w:lineRule="auto"/>
              <w:rPr>
                <w:rFonts w:cs="Arial"/>
              </w:rPr>
            </w:pPr>
            <w:r>
              <w:rPr>
                <w:rFonts w:cs="Arial"/>
              </w:rPr>
              <w:t>Population</w:t>
            </w:r>
          </w:p>
        </w:tc>
        <w:tc>
          <w:tcPr>
            <w:tcW w:w="3995" w:type="pct"/>
            <w:tcBorders>
              <w:top w:val="single" w:sz="4" w:space="0" w:color="auto"/>
              <w:left w:val="single" w:sz="4" w:space="0" w:color="auto"/>
              <w:bottom w:val="single" w:sz="4" w:space="0" w:color="auto"/>
              <w:right w:val="single" w:sz="4" w:space="0" w:color="auto"/>
            </w:tcBorders>
          </w:tcPr>
          <w:p w14:paraId="4E2F8F4D" w14:textId="7F0C7323" w:rsidR="00FB2443" w:rsidRDefault="00DA5224" w:rsidP="00F20CB8">
            <w:pPr>
              <w:pStyle w:val="Instructionaltext"/>
              <w:rPr>
                <w:color w:val="000000" w:themeColor="text1"/>
                <w:highlight w:val="yellow"/>
              </w:rPr>
            </w:pPr>
            <w:r>
              <w:rPr>
                <w:color w:val="000000" w:themeColor="text1"/>
              </w:rPr>
              <w:t>I</w:t>
            </w:r>
            <w:r w:rsidR="00FF191C" w:rsidRPr="00FF191C">
              <w:rPr>
                <w:color w:val="000000" w:themeColor="text1"/>
              </w:rPr>
              <w:t xml:space="preserve">ndividuals aged &gt;5 years with </w:t>
            </w:r>
            <w:r w:rsidR="00BD4172">
              <w:rPr>
                <w:color w:val="000000" w:themeColor="text1"/>
              </w:rPr>
              <w:t xml:space="preserve">mild to severe </w:t>
            </w:r>
            <w:r w:rsidR="00320385">
              <w:rPr>
                <w:color w:val="000000" w:themeColor="text1"/>
              </w:rPr>
              <w:t xml:space="preserve">mixed hearing loss </w:t>
            </w:r>
            <w:r w:rsidR="00FF191C" w:rsidRPr="00FF191C">
              <w:rPr>
                <w:color w:val="000000" w:themeColor="text1"/>
              </w:rPr>
              <w:t>(</w:t>
            </w:r>
            <w:r w:rsidR="0020287F">
              <w:rPr>
                <w:color w:val="000000" w:themeColor="text1"/>
              </w:rPr>
              <w:t>MHL</w:t>
            </w:r>
            <w:r w:rsidR="00945FA5">
              <w:rPr>
                <w:color w:val="000000" w:themeColor="text1"/>
              </w:rPr>
              <w:t xml:space="preserve">) </w:t>
            </w:r>
            <w:r w:rsidR="00BF21C6">
              <w:rPr>
                <w:color w:val="000000" w:themeColor="text1"/>
              </w:rPr>
              <w:t xml:space="preserve">or </w:t>
            </w:r>
            <w:r w:rsidR="00B36861">
              <w:rPr>
                <w:color w:val="000000" w:themeColor="text1"/>
              </w:rPr>
              <w:t>conductive hearing loss (</w:t>
            </w:r>
            <w:r w:rsidR="00BF21C6">
              <w:rPr>
                <w:color w:val="000000" w:themeColor="text1"/>
              </w:rPr>
              <w:t>CHL</w:t>
            </w:r>
            <w:r w:rsidR="00B36861">
              <w:rPr>
                <w:color w:val="000000" w:themeColor="text1"/>
              </w:rPr>
              <w:t>)</w:t>
            </w:r>
            <w:r w:rsidR="00C10414">
              <w:rPr>
                <w:color w:val="000000" w:themeColor="text1"/>
              </w:rPr>
              <w:t>,</w:t>
            </w:r>
            <w:r w:rsidR="00FF191C" w:rsidRPr="00FF191C">
              <w:rPr>
                <w:color w:val="000000" w:themeColor="text1"/>
              </w:rPr>
              <w:t xml:space="preserve"> who are not </w:t>
            </w:r>
            <w:r w:rsidR="00292495">
              <w:rPr>
                <w:color w:val="000000" w:themeColor="text1"/>
              </w:rPr>
              <w:t>appr</w:t>
            </w:r>
            <w:r w:rsidR="000C6218">
              <w:rPr>
                <w:color w:val="000000" w:themeColor="text1"/>
              </w:rPr>
              <w:t>opriate candidates</w:t>
            </w:r>
            <w:r w:rsidR="00FF191C" w:rsidRPr="00FF191C">
              <w:rPr>
                <w:color w:val="000000" w:themeColor="text1"/>
              </w:rPr>
              <w:t xml:space="preserve"> for, or have not achieved adequate benefit from</w:t>
            </w:r>
            <w:r w:rsidR="00C43187">
              <w:rPr>
                <w:color w:val="000000" w:themeColor="text1"/>
              </w:rPr>
              <w:t>,</w:t>
            </w:r>
            <w:r w:rsidR="00FF191C" w:rsidRPr="00FF191C">
              <w:rPr>
                <w:color w:val="000000" w:themeColor="text1"/>
              </w:rPr>
              <w:t xml:space="preserve"> surgical repair or reconstruction of the middle ear,</w:t>
            </w:r>
            <w:r w:rsidR="001B30AE">
              <w:rPr>
                <w:color w:val="000000" w:themeColor="text1"/>
              </w:rPr>
              <w:t xml:space="preserve"> </w:t>
            </w:r>
            <w:r w:rsidR="00FF191C" w:rsidRPr="00FF191C">
              <w:rPr>
                <w:color w:val="000000" w:themeColor="text1"/>
              </w:rPr>
              <w:t xml:space="preserve">and </w:t>
            </w:r>
            <w:r w:rsidR="00C972FA">
              <w:rPr>
                <w:color w:val="000000" w:themeColor="text1"/>
              </w:rPr>
              <w:t xml:space="preserve">are unable to </w:t>
            </w:r>
            <w:r w:rsidR="00402DCF">
              <w:rPr>
                <w:color w:val="000000" w:themeColor="text1"/>
              </w:rPr>
              <w:t>use</w:t>
            </w:r>
            <w:r w:rsidR="00593AF2">
              <w:rPr>
                <w:color w:val="000000" w:themeColor="text1"/>
              </w:rPr>
              <w:t xml:space="preserve"> </w:t>
            </w:r>
            <w:r w:rsidR="0024725C">
              <w:rPr>
                <w:color w:val="000000" w:themeColor="text1"/>
              </w:rPr>
              <w:t xml:space="preserve">a </w:t>
            </w:r>
            <w:r w:rsidR="00FF191C" w:rsidRPr="00FF191C">
              <w:rPr>
                <w:color w:val="000000" w:themeColor="text1"/>
              </w:rPr>
              <w:t xml:space="preserve">conventional </w:t>
            </w:r>
            <w:r w:rsidR="007C134D">
              <w:rPr>
                <w:color w:val="000000" w:themeColor="text1"/>
              </w:rPr>
              <w:t>(</w:t>
            </w:r>
            <w:r w:rsidR="00722D5F">
              <w:rPr>
                <w:color w:val="000000" w:themeColor="text1"/>
              </w:rPr>
              <w:t>non</w:t>
            </w:r>
            <w:r w:rsidR="00FD1D29">
              <w:rPr>
                <w:color w:val="000000" w:themeColor="text1"/>
              </w:rPr>
              <w:t>-</w:t>
            </w:r>
            <w:r w:rsidR="00FF09B7">
              <w:rPr>
                <w:color w:val="000000" w:themeColor="text1"/>
              </w:rPr>
              <w:t>implantable</w:t>
            </w:r>
            <w:r w:rsidR="007C134D">
              <w:rPr>
                <w:color w:val="000000" w:themeColor="text1"/>
              </w:rPr>
              <w:t xml:space="preserve">) </w:t>
            </w:r>
            <w:r w:rsidR="00FF191C" w:rsidRPr="00FF191C">
              <w:rPr>
                <w:color w:val="000000" w:themeColor="text1"/>
              </w:rPr>
              <w:t xml:space="preserve">hearing </w:t>
            </w:r>
            <w:r w:rsidR="001D419E">
              <w:rPr>
                <w:color w:val="000000" w:themeColor="text1"/>
              </w:rPr>
              <w:t>device</w:t>
            </w:r>
            <w:r w:rsidR="00713A9B">
              <w:rPr>
                <w:color w:val="000000" w:themeColor="text1"/>
              </w:rPr>
              <w:t xml:space="preserve"> (</w:t>
            </w:r>
            <w:r w:rsidR="00704798">
              <w:rPr>
                <w:color w:val="000000" w:themeColor="text1"/>
              </w:rPr>
              <w:t>non-implantable bone conduction hearing</w:t>
            </w:r>
            <w:r w:rsidR="00EE63B0">
              <w:rPr>
                <w:color w:val="000000" w:themeColor="text1"/>
              </w:rPr>
              <w:t xml:space="preserve"> device or air conduction hearing device)</w:t>
            </w:r>
            <w:r w:rsidR="00FF191C" w:rsidRPr="00FF191C">
              <w:rPr>
                <w:color w:val="000000" w:themeColor="text1"/>
              </w:rPr>
              <w:t xml:space="preserve"> due to medical</w:t>
            </w:r>
            <w:r w:rsidR="00402DCF">
              <w:rPr>
                <w:color w:val="000000" w:themeColor="text1"/>
              </w:rPr>
              <w:t xml:space="preserve"> or audiological</w:t>
            </w:r>
            <w:r w:rsidR="00FF191C" w:rsidRPr="00FF191C">
              <w:rPr>
                <w:color w:val="000000" w:themeColor="text1"/>
              </w:rPr>
              <w:t xml:space="preserve"> reasons</w:t>
            </w:r>
            <w:r w:rsidR="005F4E38">
              <w:rPr>
                <w:color w:val="000000" w:themeColor="text1"/>
              </w:rPr>
              <w:t>, and</w:t>
            </w:r>
            <w:r w:rsidR="002E320F">
              <w:rPr>
                <w:color w:val="000000" w:themeColor="text1"/>
              </w:rPr>
              <w:t xml:space="preserve"> are not </w:t>
            </w:r>
            <w:r w:rsidR="00525797">
              <w:rPr>
                <w:color w:val="000000" w:themeColor="text1"/>
              </w:rPr>
              <w:t>suitable</w:t>
            </w:r>
            <w:r w:rsidR="002E320F">
              <w:rPr>
                <w:color w:val="000000" w:themeColor="text1"/>
              </w:rPr>
              <w:t xml:space="preserve"> candidates for</w:t>
            </w:r>
            <w:r w:rsidR="00A521A1">
              <w:rPr>
                <w:color w:val="000000" w:themeColor="text1"/>
              </w:rPr>
              <w:t xml:space="preserve"> </w:t>
            </w:r>
            <w:r w:rsidR="005F4E38">
              <w:rPr>
                <w:color w:val="000000" w:themeColor="text1"/>
              </w:rPr>
              <w:t>a</w:t>
            </w:r>
            <w:r w:rsidR="00C367B9">
              <w:rPr>
                <w:color w:val="000000" w:themeColor="text1"/>
              </w:rPr>
              <w:t xml:space="preserve"> </w:t>
            </w:r>
            <w:r w:rsidR="00EC6869">
              <w:rPr>
                <w:color w:val="000000" w:themeColor="text1"/>
              </w:rPr>
              <w:t>cochlear implant.</w:t>
            </w:r>
            <w:r w:rsidR="002E320F">
              <w:rPr>
                <w:color w:val="000000" w:themeColor="text1"/>
              </w:rPr>
              <w:t xml:space="preserve"> </w:t>
            </w:r>
          </w:p>
          <w:p w14:paraId="5298B2D3" w14:textId="26C200FD" w:rsidR="004D072A" w:rsidRPr="002A6A3C" w:rsidRDefault="004D072A">
            <w:pPr>
              <w:pStyle w:val="Instructionaltext"/>
              <w:spacing w:before="160" w:after="0"/>
              <w:rPr>
                <w:b/>
                <w:bCs/>
                <w:color w:val="auto"/>
              </w:rPr>
            </w:pPr>
            <w:r w:rsidRPr="002A6A3C">
              <w:rPr>
                <w:b/>
                <w:bCs/>
                <w:color w:val="auto"/>
              </w:rPr>
              <w:t>Subgroups</w:t>
            </w:r>
            <w:r w:rsidR="00A551EF">
              <w:rPr>
                <w:b/>
                <w:bCs/>
                <w:color w:val="auto"/>
              </w:rPr>
              <w:t xml:space="preserve"> (if evidence allows)</w:t>
            </w:r>
            <w:r w:rsidR="00846E25" w:rsidRPr="002A6A3C">
              <w:rPr>
                <w:b/>
                <w:bCs/>
                <w:color w:val="auto"/>
              </w:rPr>
              <w:t>:</w:t>
            </w:r>
          </w:p>
          <w:p w14:paraId="324983B9" w14:textId="0D28A8B8" w:rsidR="00304FEF" w:rsidRDefault="009805E5">
            <w:pPr>
              <w:pStyle w:val="Instructionaltext"/>
              <w:numPr>
                <w:ilvl w:val="0"/>
                <w:numId w:val="20"/>
              </w:numPr>
              <w:spacing w:before="0" w:after="0"/>
              <w:rPr>
                <w:color w:val="auto"/>
              </w:rPr>
            </w:pPr>
            <w:r>
              <w:rPr>
                <w:color w:val="auto"/>
              </w:rPr>
              <w:t>Type of h</w:t>
            </w:r>
            <w:r w:rsidR="00B94576">
              <w:rPr>
                <w:color w:val="auto"/>
              </w:rPr>
              <w:t>earing loss – mixed or conductive</w:t>
            </w:r>
            <w:r w:rsidR="009C6C37">
              <w:rPr>
                <w:color w:val="auto"/>
              </w:rPr>
              <w:t>;</w:t>
            </w:r>
            <w:r w:rsidR="00B94576">
              <w:rPr>
                <w:color w:val="auto"/>
              </w:rPr>
              <w:t xml:space="preserve"> mild</w:t>
            </w:r>
            <w:r w:rsidR="009C6C37">
              <w:rPr>
                <w:color w:val="auto"/>
              </w:rPr>
              <w:t xml:space="preserve">, </w:t>
            </w:r>
            <w:r w:rsidR="00B94576">
              <w:rPr>
                <w:color w:val="auto"/>
              </w:rPr>
              <w:t>moderate</w:t>
            </w:r>
            <w:r w:rsidR="009C6C37">
              <w:rPr>
                <w:color w:val="auto"/>
              </w:rPr>
              <w:t xml:space="preserve"> or severe</w:t>
            </w:r>
            <w:r w:rsidR="00B94576">
              <w:rPr>
                <w:color w:val="auto"/>
              </w:rPr>
              <w:t>, unilateral or bilateral</w:t>
            </w:r>
          </w:p>
          <w:p w14:paraId="4A4FF7C2" w14:textId="6BDD5FB3" w:rsidR="00846E25" w:rsidRPr="00B94576" w:rsidRDefault="00B94576">
            <w:pPr>
              <w:pStyle w:val="Instructionaltext"/>
              <w:numPr>
                <w:ilvl w:val="0"/>
                <w:numId w:val="14"/>
              </w:numPr>
              <w:spacing w:before="0"/>
              <w:ind w:left="714" w:hanging="357"/>
              <w:rPr>
                <w:color w:val="auto"/>
              </w:rPr>
            </w:pPr>
            <w:r>
              <w:rPr>
                <w:color w:val="auto"/>
              </w:rPr>
              <w:t xml:space="preserve">Age – </w:t>
            </w:r>
            <w:r w:rsidR="009C175C">
              <w:rPr>
                <w:color w:val="auto"/>
              </w:rPr>
              <w:t>c</w:t>
            </w:r>
            <w:r w:rsidR="00846E25">
              <w:rPr>
                <w:color w:val="auto"/>
              </w:rPr>
              <w:t>hildren</w:t>
            </w:r>
            <w:r w:rsidR="007C5992">
              <w:rPr>
                <w:color w:val="auto"/>
              </w:rPr>
              <w:t xml:space="preserve"> &gt;5 years</w:t>
            </w:r>
            <w:r w:rsidR="00846E25">
              <w:rPr>
                <w:color w:val="auto"/>
              </w:rPr>
              <w:t>, adolescents, adults</w:t>
            </w:r>
            <w:r w:rsidR="009C6C37">
              <w:rPr>
                <w:color w:val="auto"/>
              </w:rPr>
              <w:t>, older adults</w:t>
            </w:r>
            <w:r w:rsidR="00041EFB">
              <w:rPr>
                <w:color w:val="auto"/>
              </w:rPr>
              <w:t xml:space="preserve"> (e.g. aged &gt;70 years)</w:t>
            </w:r>
          </w:p>
        </w:tc>
      </w:tr>
      <w:tr w:rsidR="00BD1CB9" w:rsidRPr="00BD1CB9" w14:paraId="654E13A9" w14:textId="77777777" w:rsidTr="00691F3C">
        <w:tc>
          <w:tcPr>
            <w:tcW w:w="1005" w:type="pct"/>
            <w:tcBorders>
              <w:top w:val="single" w:sz="4" w:space="0" w:color="auto"/>
              <w:left w:val="single" w:sz="8" w:space="0" w:color="auto"/>
              <w:bottom w:val="single" w:sz="4" w:space="0" w:color="auto"/>
              <w:right w:val="single" w:sz="4" w:space="0" w:color="auto"/>
            </w:tcBorders>
            <w:hideMark/>
          </w:tcPr>
          <w:p w14:paraId="5BF0C211" w14:textId="77777777" w:rsidR="006478E7" w:rsidRPr="00490FBB" w:rsidRDefault="006478E7">
            <w:pPr>
              <w:spacing w:before="120" w:after="120" w:line="240" w:lineRule="auto"/>
              <w:rPr>
                <w:rFonts w:cs="Arial"/>
              </w:rPr>
            </w:pPr>
            <w:r w:rsidRPr="00490FBB">
              <w:rPr>
                <w:rFonts w:cs="Arial"/>
              </w:rPr>
              <w:t>Intervention</w:t>
            </w:r>
          </w:p>
        </w:tc>
        <w:tc>
          <w:tcPr>
            <w:tcW w:w="3995" w:type="pct"/>
            <w:tcBorders>
              <w:top w:val="single" w:sz="4" w:space="0" w:color="auto"/>
              <w:left w:val="single" w:sz="4" w:space="0" w:color="auto"/>
              <w:bottom w:val="single" w:sz="4" w:space="0" w:color="auto"/>
              <w:right w:val="single" w:sz="4" w:space="0" w:color="auto"/>
            </w:tcBorders>
          </w:tcPr>
          <w:p w14:paraId="3E51DB12" w14:textId="3AF0BA30" w:rsidR="00A0675F" w:rsidRPr="00BA3E7A" w:rsidRDefault="00A0675F">
            <w:pPr>
              <w:pStyle w:val="Instructionaltext"/>
              <w:rPr>
                <w:color w:val="auto"/>
              </w:rPr>
            </w:pPr>
            <w:r>
              <w:rPr>
                <w:color w:val="auto"/>
              </w:rPr>
              <w:t>I</w:t>
            </w:r>
            <w:r w:rsidRPr="00A0675F">
              <w:rPr>
                <w:color w:val="auto"/>
              </w:rPr>
              <w:t xml:space="preserve">mplantation of an </w:t>
            </w:r>
            <w:r>
              <w:rPr>
                <w:color w:val="auto"/>
              </w:rPr>
              <w:t>active middle ear implant (</w:t>
            </w:r>
            <w:r w:rsidRPr="00A0675F">
              <w:rPr>
                <w:color w:val="auto"/>
              </w:rPr>
              <w:t>AMEI</w:t>
            </w:r>
            <w:r>
              <w:rPr>
                <w:color w:val="auto"/>
              </w:rPr>
              <w:t>)</w:t>
            </w:r>
            <w:r w:rsidR="00FD6E5A">
              <w:rPr>
                <w:color w:val="auto"/>
              </w:rPr>
              <w:t>, unilateral or bilateral</w:t>
            </w:r>
          </w:p>
        </w:tc>
      </w:tr>
      <w:tr w:rsidR="006478E7" w:rsidRPr="00490FBB" w14:paraId="1F5647C3" w14:textId="77777777" w:rsidTr="00691F3C">
        <w:tc>
          <w:tcPr>
            <w:tcW w:w="1005" w:type="pct"/>
            <w:tcBorders>
              <w:top w:val="single" w:sz="4" w:space="0" w:color="auto"/>
              <w:left w:val="single" w:sz="8" w:space="0" w:color="auto"/>
              <w:bottom w:val="single" w:sz="4" w:space="0" w:color="auto"/>
              <w:right w:val="single" w:sz="4" w:space="0" w:color="auto"/>
            </w:tcBorders>
            <w:hideMark/>
          </w:tcPr>
          <w:p w14:paraId="7F55173A" w14:textId="77777777" w:rsidR="006478E7" w:rsidRPr="00490FBB" w:rsidRDefault="006478E7">
            <w:pPr>
              <w:spacing w:before="120" w:after="120" w:line="240" w:lineRule="auto"/>
              <w:rPr>
                <w:rFonts w:cs="Arial"/>
              </w:rPr>
            </w:pPr>
            <w:r w:rsidRPr="00490FBB">
              <w:rPr>
                <w:rFonts w:cs="Arial"/>
              </w:rPr>
              <w:t>Comparator</w:t>
            </w:r>
            <w:r w:rsidR="00D83062">
              <w:rPr>
                <w:rFonts w:cs="Arial"/>
              </w:rPr>
              <w:t>/s</w:t>
            </w:r>
          </w:p>
        </w:tc>
        <w:tc>
          <w:tcPr>
            <w:tcW w:w="3995" w:type="pct"/>
            <w:tcBorders>
              <w:top w:val="single" w:sz="4" w:space="0" w:color="auto"/>
              <w:left w:val="single" w:sz="4" w:space="0" w:color="auto"/>
              <w:bottom w:val="single" w:sz="4" w:space="0" w:color="auto"/>
              <w:right w:val="single" w:sz="4" w:space="0" w:color="auto"/>
            </w:tcBorders>
          </w:tcPr>
          <w:p w14:paraId="1BBA93C4" w14:textId="178686B7" w:rsidR="00DD42F4" w:rsidRPr="00A7685A" w:rsidRDefault="00A77642">
            <w:pPr>
              <w:pStyle w:val="Instructionaltext"/>
              <w:rPr>
                <w:color w:val="000000" w:themeColor="text1"/>
              </w:rPr>
            </w:pPr>
            <w:r w:rsidRPr="00A7685A">
              <w:rPr>
                <w:color w:val="000000" w:themeColor="text1"/>
              </w:rPr>
              <w:t xml:space="preserve">Implantation of </w:t>
            </w:r>
            <w:r w:rsidR="002E4050" w:rsidRPr="00A7685A">
              <w:rPr>
                <w:color w:val="000000" w:themeColor="text1"/>
              </w:rPr>
              <w:t>a</w:t>
            </w:r>
            <w:r w:rsidR="00BB42EE">
              <w:rPr>
                <w:color w:val="000000" w:themeColor="text1"/>
              </w:rPr>
              <w:t>n active</w:t>
            </w:r>
            <w:r w:rsidR="002E4050" w:rsidRPr="00A7685A">
              <w:rPr>
                <w:color w:val="000000" w:themeColor="text1"/>
              </w:rPr>
              <w:t xml:space="preserve"> </w:t>
            </w:r>
            <w:r w:rsidR="00B86A97" w:rsidRPr="00A7685A">
              <w:rPr>
                <w:color w:val="000000" w:themeColor="text1"/>
              </w:rPr>
              <w:t xml:space="preserve">bone conduction </w:t>
            </w:r>
            <w:r w:rsidR="00AD0FC2" w:rsidRPr="00A7685A">
              <w:rPr>
                <w:color w:val="000000" w:themeColor="text1"/>
              </w:rPr>
              <w:t>implant</w:t>
            </w:r>
            <w:r w:rsidR="00B86A97" w:rsidRPr="00A7685A">
              <w:rPr>
                <w:color w:val="000000" w:themeColor="text1"/>
              </w:rPr>
              <w:t xml:space="preserve"> </w:t>
            </w:r>
            <w:r w:rsidR="00BB59D8" w:rsidRPr="00A7685A">
              <w:rPr>
                <w:color w:val="000000" w:themeColor="text1"/>
              </w:rPr>
              <w:t>(BC</w:t>
            </w:r>
            <w:r w:rsidR="00AD0FC2" w:rsidRPr="00A7685A">
              <w:rPr>
                <w:color w:val="000000" w:themeColor="text1"/>
              </w:rPr>
              <w:t>I</w:t>
            </w:r>
            <w:r w:rsidR="00BB59D8" w:rsidRPr="00A7685A">
              <w:rPr>
                <w:color w:val="000000" w:themeColor="text1"/>
              </w:rPr>
              <w:t>)</w:t>
            </w:r>
            <w:r w:rsidR="00A33E4E" w:rsidRPr="00A7685A">
              <w:rPr>
                <w:color w:val="000000" w:themeColor="text1"/>
              </w:rPr>
              <w:t xml:space="preserve"> in </w:t>
            </w:r>
            <w:r w:rsidR="008146F6">
              <w:rPr>
                <w:color w:val="000000" w:themeColor="text1"/>
              </w:rPr>
              <w:t>individuals</w:t>
            </w:r>
            <w:r w:rsidR="00D67920" w:rsidRPr="00A7685A">
              <w:rPr>
                <w:color w:val="000000" w:themeColor="text1"/>
              </w:rPr>
              <w:t xml:space="preserve"> </w:t>
            </w:r>
            <w:r w:rsidR="00A33E4E" w:rsidRPr="00A7685A">
              <w:rPr>
                <w:color w:val="000000" w:themeColor="text1"/>
              </w:rPr>
              <w:t xml:space="preserve">who are suitable </w:t>
            </w:r>
            <w:r w:rsidR="00552E23" w:rsidRPr="00A7685A">
              <w:rPr>
                <w:color w:val="000000" w:themeColor="text1"/>
              </w:rPr>
              <w:t>for a BCI</w:t>
            </w:r>
            <w:r w:rsidR="00F26B62" w:rsidRPr="00A7685A">
              <w:rPr>
                <w:color w:val="000000" w:themeColor="text1"/>
              </w:rPr>
              <w:t>.</w:t>
            </w:r>
          </w:p>
          <w:p w14:paraId="7E690E4B" w14:textId="69A3A1EF" w:rsidR="00DD42F4" w:rsidRPr="009B5449" w:rsidRDefault="002A6A3C">
            <w:pPr>
              <w:pStyle w:val="Instructionaltext"/>
              <w:rPr>
                <w:color w:val="000000" w:themeColor="text1"/>
              </w:rPr>
            </w:pPr>
            <w:r w:rsidRPr="002A6A3C">
              <w:rPr>
                <w:color w:val="auto"/>
              </w:rPr>
              <w:t>No further intervention (i.e. untreated hearing loss)</w:t>
            </w:r>
            <w:r w:rsidR="00552E23">
              <w:rPr>
                <w:color w:val="auto"/>
              </w:rPr>
              <w:t xml:space="preserve"> in </w:t>
            </w:r>
            <w:r w:rsidR="00826B1A">
              <w:rPr>
                <w:color w:val="auto"/>
              </w:rPr>
              <w:t>individuals</w:t>
            </w:r>
            <w:r w:rsidR="00552E23">
              <w:rPr>
                <w:color w:val="auto"/>
              </w:rPr>
              <w:t xml:space="preserve"> who are </w:t>
            </w:r>
            <w:r w:rsidR="0073714C">
              <w:rPr>
                <w:color w:val="auto"/>
              </w:rPr>
              <w:t xml:space="preserve">contraindicated </w:t>
            </w:r>
            <w:r w:rsidR="00E659F7">
              <w:rPr>
                <w:color w:val="auto"/>
              </w:rPr>
              <w:t>for</w:t>
            </w:r>
            <w:r w:rsidR="00052238">
              <w:rPr>
                <w:color w:val="auto"/>
              </w:rPr>
              <w:t xml:space="preserve">, </w:t>
            </w:r>
            <w:r w:rsidR="0073714C">
              <w:rPr>
                <w:color w:val="auto"/>
              </w:rPr>
              <w:t xml:space="preserve">or </w:t>
            </w:r>
            <w:r w:rsidR="009C26F6">
              <w:rPr>
                <w:color w:val="auto"/>
              </w:rPr>
              <w:t>un</w:t>
            </w:r>
            <w:r w:rsidR="00552E23">
              <w:rPr>
                <w:color w:val="auto"/>
              </w:rPr>
              <w:t>suitable for</w:t>
            </w:r>
            <w:r w:rsidR="00052238">
              <w:rPr>
                <w:color w:val="auto"/>
              </w:rPr>
              <w:t>, a</w:t>
            </w:r>
            <w:r w:rsidR="00552E23">
              <w:rPr>
                <w:color w:val="auto"/>
              </w:rPr>
              <w:t xml:space="preserve"> BCI</w:t>
            </w:r>
            <w:r w:rsidR="00F26B62">
              <w:rPr>
                <w:color w:val="auto"/>
              </w:rPr>
              <w:t>.</w:t>
            </w:r>
          </w:p>
        </w:tc>
      </w:tr>
      <w:tr w:rsidR="006478E7" w:rsidRPr="00490FBB" w14:paraId="591B1D2D" w14:textId="77777777" w:rsidTr="00691F3C">
        <w:tc>
          <w:tcPr>
            <w:tcW w:w="1005" w:type="pct"/>
            <w:tcBorders>
              <w:top w:val="single" w:sz="4" w:space="0" w:color="auto"/>
              <w:left w:val="single" w:sz="8" w:space="0" w:color="auto"/>
              <w:bottom w:val="single" w:sz="4" w:space="0" w:color="auto"/>
              <w:right w:val="single" w:sz="4" w:space="0" w:color="auto"/>
            </w:tcBorders>
            <w:hideMark/>
          </w:tcPr>
          <w:p w14:paraId="635F9D15" w14:textId="77777777" w:rsidR="006478E7" w:rsidRPr="00490FBB" w:rsidRDefault="006478E7">
            <w:pPr>
              <w:spacing w:before="120" w:after="120" w:line="240" w:lineRule="auto"/>
              <w:rPr>
                <w:rFonts w:cs="Arial"/>
              </w:rPr>
            </w:pPr>
            <w:r w:rsidRPr="00490FBB">
              <w:rPr>
                <w:rFonts w:cs="Arial"/>
              </w:rPr>
              <w:t>Outcomes</w:t>
            </w:r>
          </w:p>
        </w:tc>
        <w:tc>
          <w:tcPr>
            <w:tcW w:w="3995" w:type="pct"/>
            <w:tcBorders>
              <w:top w:val="single" w:sz="4" w:space="0" w:color="auto"/>
              <w:left w:val="single" w:sz="4" w:space="0" w:color="auto"/>
              <w:bottom w:val="single" w:sz="4" w:space="0" w:color="auto"/>
              <w:right w:val="single" w:sz="4" w:space="0" w:color="auto"/>
            </w:tcBorders>
          </w:tcPr>
          <w:p w14:paraId="429B3342" w14:textId="5D19C205" w:rsidR="00837B57" w:rsidRDefault="00837B57">
            <w:pPr>
              <w:pStyle w:val="Instructionaltext"/>
              <w:spacing w:after="0"/>
              <w:rPr>
                <w:b/>
                <w:bCs/>
                <w:color w:val="auto"/>
              </w:rPr>
            </w:pPr>
            <w:r w:rsidRPr="00802D75">
              <w:rPr>
                <w:b/>
                <w:bCs/>
                <w:color w:val="auto"/>
              </w:rPr>
              <w:t>Safety:</w:t>
            </w:r>
          </w:p>
          <w:p w14:paraId="28F6181D" w14:textId="02BB7DDD" w:rsidR="00686E69" w:rsidRDefault="00CB5839">
            <w:pPr>
              <w:pStyle w:val="Instructionaltext"/>
              <w:numPr>
                <w:ilvl w:val="0"/>
                <w:numId w:val="16"/>
              </w:numPr>
              <w:spacing w:before="0" w:after="0"/>
              <w:rPr>
                <w:color w:val="auto"/>
              </w:rPr>
            </w:pPr>
            <w:r>
              <w:rPr>
                <w:color w:val="auto"/>
              </w:rPr>
              <w:t>i</w:t>
            </w:r>
            <w:r w:rsidRPr="00CB5839">
              <w:rPr>
                <w:color w:val="auto"/>
              </w:rPr>
              <w:t>ntra</w:t>
            </w:r>
            <w:r w:rsidR="005947F6">
              <w:rPr>
                <w:color w:val="auto"/>
              </w:rPr>
              <w:t>operative</w:t>
            </w:r>
            <w:r w:rsidRPr="00CB5839">
              <w:rPr>
                <w:color w:val="auto"/>
              </w:rPr>
              <w:t xml:space="preserve"> and postoperative complications</w:t>
            </w:r>
          </w:p>
          <w:p w14:paraId="2527FB38" w14:textId="5C6FA395" w:rsidR="003423C6" w:rsidRDefault="003423C6">
            <w:pPr>
              <w:pStyle w:val="Instructionaltext"/>
              <w:numPr>
                <w:ilvl w:val="0"/>
                <w:numId w:val="16"/>
              </w:numPr>
              <w:spacing w:before="0" w:after="0"/>
              <w:rPr>
                <w:color w:val="auto"/>
              </w:rPr>
            </w:pPr>
            <w:r>
              <w:rPr>
                <w:color w:val="auto"/>
              </w:rPr>
              <w:t>device</w:t>
            </w:r>
            <w:r w:rsidR="00402B47">
              <w:rPr>
                <w:color w:val="auto"/>
              </w:rPr>
              <w:t>-related adverse events</w:t>
            </w:r>
            <w:r w:rsidR="00A624AF">
              <w:rPr>
                <w:color w:val="auto"/>
              </w:rPr>
              <w:t xml:space="preserve"> (AEs)</w:t>
            </w:r>
            <w:r w:rsidR="00BF6C37">
              <w:rPr>
                <w:color w:val="auto"/>
              </w:rPr>
              <w:t xml:space="preserve"> (e.g. </w:t>
            </w:r>
            <w:r w:rsidR="00BF6C37" w:rsidRPr="00BF6C37">
              <w:rPr>
                <w:color w:val="auto"/>
              </w:rPr>
              <w:t>extrusion, malfunction, processor issues, infection</w:t>
            </w:r>
            <w:r w:rsidR="00BF6C37">
              <w:rPr>
                <w:color w:val="auto"/>
              </w:rPr>
              <w:t>)</w:t>
            </w:r>
          </w:p>
          <w:p w14:paraId="12CA4603" w14:textId="7CB7CF1A" w:rsidR="00837B57" w:rsidRDefault="00837B57">
            <w:pPr>
              <w:pStyle w:val="Instructionaltext"/>
              <w:numPr>
                <w:ilvl w:val="0"/>
                <w:numId w:val="16"/>
              </w:numPr>
              <w:spacing w:before="0" w:after="0"/>
              <w:rPr>
                <w:color w:val="auto"/>
              </w:rPr>
            </w:pPr>
            <w:r>
              <w:rPr>
                <w:color w:val="auto"/>
              </w:rPr>
              <w:t>r</w:t>
            </w:r>
            <w:r w:rsidRPr="00497956">
              <w:rPr>
                <w:color w:val="auto"/>
              </w:rPr>
              <w:t>evision</w:t>
            </w:r>
            <w:r w:rsidR="00402B47">
              <w:rPr>
                <w:color w:val="auto"/>
              </w:rPr>
              <w:t>s or</w:t>
            </w:r>
            <w:r w:rsidR="004223A3">
              <w:rPr>
                <w:color w:val="auto"/>
              </w:rPr>
              <w:t xml:space="preserve"> device</w:t>
            </w:r>
            <w:r w:rsidR="00402B47">
              <w:rPr>
                <w:color w:val="auto"/>
              </w:rPr>
              <w:t xml:space="preserve"> </w:t>
            </w:r>
            <w:r>
              <w:rPr>
                <w:color w:val="auto"/>
              </w:rPr>
              <w:t>explan</w:t>
            </w:r>
            <w:r w:rsidR="00402B47">
              <w:rPr>
                <w:color w:val="auto"/>
              </w:rPr>
              <w:t>ts</w:t>
            </w:r>
            <w:r w:rsidR="00B05584">
              <w:rPr>
                <w:color w:val="auto"/>
              </w:rPr>
              <w:t xml:space="preserve">, </w:t>
            </w:r>
            <w:r w:rsidR="00771DE5">
              <w:rPr>
                <w:color w:val="auto"/>
              </w:rPr>
              <w:t>reimplantation</w:t>
            </w:r>
          </w:p>
          <w:p w14:paraId="757D5015" w14:textId="0AD839DC" w:rsidR="00366018" w:rsidRDefault="00366018">
            <w:pPr>
              <w:pStyle w:val="Instructionaltext"/>
              <w:numPr>
                <w:ilvl w:val="0"/>
                <w:numId w:val="16"/>
              </w:numPr>
              <w:spacing w:before="0" w:after="0"/>
              <w:rPr>
                <w:color w:val="auto"/>
              </w:rPr>
            </w:pPr>
            <w:r>
              <w:rPr>
                <w:color w:val="auto"/>
              </w:rPr>
              <w:t xml:space="preserve">long-term implant </w:t>
            </w:r>
            <w:r w:rsidR="004D036E" w:rsidRPr="00EA60EF">
              <w:rPr>
                <w:color w:val="auto"/>
              </w:rPr>
              <w:t>durability</w:t>
            </w:r>
            <w:r w:rsidR="00EA60EF" w:rsidRPr="00EA60EF">
              <w:rPr>
                <w:color w:val="auto"/>
              </w:rPr>
              <w:t xml:space="preserve"> (</w:t>
            </w:r>
            <w:r w:rsidR="004555E3">
              <w:rPr>
                <w:rFonts w:cs="Calibri"/>
                <w:color w:val="auto"/>
              </w:rPr>
              <w:t>≥</w:t>
            </w:r>
            <w:r w:rsidR="00EA60EF" w:rsidRPr="00EA60EF">
              <w:rPr>
                <w:color w:val="auto"/>
              </w:rPr>
              <w:t>5 years)</w:t>
            </w:r>
          </w:p>
          <w:p w14:paraId="45A0861B" w14:textId="52816F5F" w:rsidR="00E01349" w:rsidRDefault="003718C2">
            <w:pPr>
              <w:pStyle w:val="Instructionaltext"/>
              <w:spacing w:after="0"/>
              <w:rPr>
                <w:b/>
                <w:bCs/>
                <w:color w:val="auto"/>
              </w:rPr>
            </w:pPr>
            <w:r w:rsidRPr="00802D75">
              <w:rPr>
                <w:b/>
                <w:bCs/>
                <w:color w:val="auto"/>
              </w:rPr>
              <w:t>Effectiveness</w:t>
            </w:r>
            <w:r w:rsidR="00802D75" w:rsidRPr="00802D75">
              <w:rPr>
                <w:b/>
                <w:bCs/>
                <w:color w:val="auto"/>
              </w:rPr>
              <w:t>:</w:t>
            </w:r>
          </w:p>
          <w:p w14:paraId="1ED12512" w14:textId="1A953E58" w:rsidR="00A641B5" w:rsidRDefault="00CA48D6">
            <w:pPr>
              <w:pStyle w:val="Instructionaltext"/>
              <w:numPr>
                <w:ilvl w:val="0"/>
                <w:numId w:val="16"/>
              </w:numPr>
              <w:spacing w:before="0" w:after="0"/>
              <w:rPr>
                <w:color w:val="auto"/>
              </w:rPr>
            </w:pPr>
            <w:r w:rsidRPr="00196A06">
              <w:rPr>
                <w:color w:val="auto"/>
              </w:rPr>
              <w:t>audiological</w:t>
            </w:r>
            <w:r w:rsidR="00AF22AD" w:rsidRPr="00196A06">
              <w:rPr>
                <w:color w:val="auto"/>
              </w:rPr>
              <w:t xml:space="preserve"> </w:t>
            </w:r>
            <w:r w:rsidR="00F71DC1">
              <w:rPr>
                <w:color w:val="auto"/>
              </w:rPr>
              <w:t>outcome</w:t>
            </w:r>
            <w:r w:rsidR="00A641B5">
              <w:rPr>
                <w:color w:val="auto"/>
              </w:rPr>
              <w:t>s</w:t>
            </w:r>
            <w:r w:rsidR="00FD38F1">
              <w:rPr>
                <w:color w:val="auto"/>
              </w:rPr>
              <w:t xml:space="preserve"> </w:t>
            </w:r>
          </w:p>
          <w:p w14:paraId="4CDA3716" w14:textId="77777777" w:rsidR="00600D6C" w:rsidRDefault="00A641B5">
            <w:pPr>
              <w:pStyle w:val="Instructionaltext"/>
              <w:numPr>
                <w:ilvl w:val="1"/>
                <w:numId w:val="16"/>
              </w:numPr>
              <w:spacing w:before="0" w:after="0"/>
              <w:ind w:left="1080" w:hanging="284"/>
              <w:rPr>
                <w:color w:val="auto"/>
              </w:rPr>
            </w:pPr>
            <w:r>
              <w:rPr>
                <w:color w:val="auto"/>
              </w:rPr>
              <w:t>e</w:t>
            </w:r>
            <w:r w:rsidR="00F13D0F">
              <w:rPr>
                <w:color w:val="auto"/>
              </w:rPr>
              <w:t xml:space="preserve">ffective </w:t>
            </w:r>
            <w:r>
              <w:rPr>
                <w:color w:val="auto"/>
              </w:rPr>
              <w:t>g</w:t>
            </w:r>
            <w:r w:rsidR="0054393B">
              <w:rPr>
                <w:color w:val="auto"/>
              </w:rPr>
              <w:t>ain</w:t>
            </w:r>
          </w:p>
          <w:p w14:paraId="0454AE08" w14:textId="77777777" w:rsidR="00600D6C" w:rsidRDefault="00A641B5">
            <w:pPr>
              <w:pStyle w:val="Instructionaltext"/>
              <w:numPr>
                <w:ilvl w:val="1"/>
                <w:numId w:val="16"/>
              </w:numPr>
              <w:spacing w:before="0" w:after="0"/>
              <w:ind w:left="1080" w:hanging="284"/>
              <w:rPr>
                <w:color w:val="auto"/>
              </w:rPr>
            </w:pPr>
            <w:r w:rsidRPr="00600D6C">
              <w:rPr>
                <w:color w:val="auto"/>
              </w:rPr>
              <w:t>functional gain</w:t>
            </w:r>
          </w:p>
          <w:p w14:paraId="6BE39915" w14:textId="77777777" w:rsidR="00600D6C" w:rsidRDefault="00E87C68">
            <w:pPr>
              <w:pStyle w:val="Instructionaltext"/>
              <w:numPr>
                <w:ilvl w:val="1"/>
                <w:numId w:val="16"/>
              </w:numPr>
              <w:spacing w:before="0" w:after="0"/>
              <w:ind w:left="1080" w:hanging="284"/>
              <w:rPr>
                <w:color w:val="auto"/>
              </w:rPr>
            </w:pPr>
            <w:r w:rsidRPr="00600D6C">
              <w:rPr>
                <w:color w:val="auto"/>
              </w:rPr>
              <w:t xml:space="preserve">speech recognition scores (e.g. </w:t>
            </w:r>
            <w:r w:rsidR="0054393B" w:rsidRPr="00600D6C">
              <w:rPr>
                <w:color w:val="auto"/>
              </w:rPr>
              <w:t>W</w:t>
            </w:r>
            <w:r w:rsidR="00F06AFD" w:rsidRPr="00600D6C">
              <w:rPr>
                <w:color w:val="auto"/>
              </w:rPr>
              <w:t>ord</w:t>
            </w:r>
            <w:r w:rsidR="001B44C8" w:rsidRPr="00600D6C">
              <w:rPr>
                <w:color w:val="auto"/>
              </w:rPr>
              <w:t xml:space="preserve"> </w:t>
            </w:r>
            <w:r w:rsidR="0054393B" w:rsidRPr="00600D6C">
              <w:rPr>
                <w:color w:val="auto"/>
              </w:rPr>
              <w:t>R</w:t>
            </w:r>
            <w:r w:rsidR="001B44C8" w:rsidRPr="00600D6C">
              <w:rPr>
                <w:color w:val="auto"/>
              </w:rPr>
              <w:t>ecognition</w:t>
            </w:r>
            <w:r w:rsidR="00412BFE" w:rsidRPr="00600D6C">
              <w:rPr>
                <w:color w:val="auto"/>
              </w:rPr>
              <w:t xml:space="preserve"> </w:t>
            </w:r>
            <w:r w:rsidR="0054393B" w:rsidRPr="00600D6C">
              <w:rPr>
                <w:color w:val="auto"/>
              </w:rPr>
              <w:t>S</w:t>
            </w:r>
            <w:r w:rsidR="00412BFE" w:rsidRPr="00600D6C">
              <w:rPr>
                <w:color w:val="auto"/>
              </w:rPr>
              <w:t>core</w:t>
            </w:r>
            <w:r w:rsidR="0054393B" w:rsidRPr="00600D6C">
              <w:rPr>
                <w:color w:val="auto"/>
              </w:rPr>
              <w:t xml:space="preserve"> </w:t>
            </w:r>
            <w:r w:rsidRPr="00600D6C">
              <w:rPr>
                <w:color w:val="auto"/>
              </w:rPr>
              <w:t>[</w:t>
            </w:r>
            <w:r w:rsidR="0054393B" w:rsidRPr="00600D6C">
              <w:rPr>
                <w:color w:val="auto"/>
              </w:rPr>
              <w:t>WRS</w:t>
            </w:r>
            <w:r w:rsidRPr="00600D6C">
              <w:rPr>
                <w:color w:val="auto"/>
              </w:rPr>
              <w:t>]</w:t>
            </w:r>
            <w:r w:rsidR="005A7D94" w:rsidRPr="00600D6C">
              <w:rPr>
                <w:color w:val="auto"/>
              </w:rPr>
              <w:t>, Speech in Noise [SIN] test)</w:t>
            </w:r>
          </w:p>
          <w:p w14:paraId="0D39B55D" w14:textId="77777777" w:rsidR="00600D6C" w:rsidRDefault="005A7D94">
            <w:pPr>
              <w:pStyle w:val="Instructionaltext"/>
              <w:numPr>
                <w:ilvl w:val="1"/>
                <w:numId w:val="16"/>
              </w:numPr>
              <w:spacing w:before="0" w:after="0"/>
              <w:ind w:left="1080" w:hanging="284"/>
              <w:rPr>
                <w:color w:val="auto"/>
              </w:rPr>
            </w:pPr>
            <w:r w:rsidRPr="00600D6C">
              <w:rPr>
                <w:color w:val="auto"/>
              </w:rPr>
              <w:t>s</w:t>
            </w:r>
            <w:r w:rsidR="00194CD5" w:rsidRPr="00600D6C">
              <w:rPr>
                <w:color w:val="auto"/>
              </w:rPr>
              <w:t xml:space="preserve">peech </w:t>
            </w:r>
            <w:r w:rsidRPr="00600D6C">
              <w:rPr>
                <w:color w:val="auto"/>
              </w:rPr>
              <w:t>r</w:t>
            </w:r>
            <w:r w:rsidR="00194CD5" w:rsidRPr="00600D6C">
              <w:rPr>
                <w:color w:val="auto"/>
              </w:rPr>
              <w:t xml:space="preserve">eception </w:t>
            </w:r>
            <w:r w:rsidRPr="00600D6C">
              <w:rPr>
                <w:color w:val="auto"/>
              </w:rPr>
              <w:t>t</w:t>
            </w:r>
            <w:r w:rsidR="00194CD5" w:rsidRPr="00600D6C">
              <w:rPr>
                <w:color w:val="auto"/>
              </w:rPr>
              <w:t>hreshold</w:t>
            </w:r>
            <w:r w:rsidR="00091149" w:rsidRPr="00600D6C">
              <w:rPr>
                <w:color w:val="auto"/>
              </w:rPr>
              <w:t xml:space="preserve"> </w:t>
            </w:r>
            <w:r w:rsidRPr="00600D6C">
              <w:rPr>
                <w:color w:val="auto"/>
              </w:rPr>
              <w:t xml:space="preserve">in noise </w:t>
            </w:r>
            <w:r w:rsidR="00DE62A4" w:rsidRPr="00600D6C">
              <w:rPr>
                <w:color w:val="auto"/>
              </w:rPr>
              <w:t>(</w:t>
            </w:r>
            <w:r w:rsidR="00600D6C" w:rsidRPr="00600D6C">
              <w:rPr>
                <w:color w:val="auto"/>
              </w:rPr>
              <w:t xml:space="preserve">e.g. </w:t>
            </w:r>
            <w:r w:rsidR="00DE62A4" w:rsidRPr="00600D6C">
              <w:rPr>
                <w:color w:val="auto"/>
              </w:rPr>
              <w:t>SRT</w:t>
            </w:r>
            <w:r w:rsidR="00600D6C" w:rsidRPr="00600D6C">
              <w:rPr>
                <w:color w:val="auto"/>
              </w:rPr>
              <w:t xml:space="preserve"> 50 test)</w:t>
            </w:r>
          </w:p>
          <w:p w14:paraId="722B1D5D" w14:textId="7120AA7F" w:rsidR="00802D75" w:rsidRPr="00600D6C" w:rsidRDefault="00EE5129">
            <w:pPr>
              <w:pStyle w:val="Instructionaltext"/>
              <w:numPr>
                <w:ilvl w:val="1"/>
                <w:numId w:val="16"/>
              </w:numPr>
              <w:spacing w:before="0" w:after="0"/>
              <w:ind w:left="1080" w:hanging="284"/>
              <w:rPr>
                <w:color w:val="auto"/>
              </w:rPr>
            </w:pPr>
            <w:r w:rsidRPr="00600D6C">
              <w:rPr>
                <w:color w:val="auto"/>
              </w:rPr>
              <w:t>sound localisation tests</w:t>
            </w:r>
          </w:p>
          <w:p w14:paraId="1E95B463" w14:textId="677A6A20" w:rsidR="00600D6C" w:rsidRDefault="00F9167C" w:rsidP="00D67420">
            <w:pPr>
              <w:pStyle w:val="Instructionaltext"/>
              <w:keepNext/>
              <w:keepLines/>
              <w:numPr>
                <w:ilvl w:val="0"/>
                <w:numId w:val="16"/>
              </w:numPr>
              <w:spacing w:before="0" w:after="0"/>
              <w:rPr>
                <w:color w:val="auto"/>
              </w:rPr>
            </w:pPr>
            <w:r>
              <w:rPr>
                <w:color w:val="auto"/>
              </w:rPr>
              <w:t>patient-</w:t>
            </w:r>
            <w:r w:rsidR="00600D6C">
              <w:rPr>
                <w:color w:val="auto"/>
              </w:rPr>
              <w:t>specific</w:t>
            </w:r>
            <w:r>
              <w:rPr>
                <w:color w:val="auto"/>
              </w:rPr>
              <w:t xml:space="preserve"> outcomes</w:t>
            </w:r>
            <w:r w:rsidR="00682A9B">
              <w:rPr>
                <w:color w:val="auto"/>
              </w:rPr>
              <w:t xml:space="preserve"> </w:t>
            </w:r>
          </w:p>
          <w:p w14:paraId="5C768370" w14:textId="77777777" w:rsidR="00803A86" w:rsidRDefault="00803A86" w:rsidP="00D67420">
            <w:pPr>
              <w:pStyle w:val="Instructionaltext"/>
              <w:keepNext/>
              <w:keepLines/>
              <w:numPr>
                <w:ilvl w:val="1"/>
                <w:numId w:val="16"/>
              </w:numPr>
              <w:spacing w:before="0" w:after="0"/>
              <w:ind w:left="1078" w:hanging="284"/>
              <w:rPr>
                <w:color w:val="auto"/>
              </w:rPr>
            </w:pPr>
            <w:r>
              <w:rPr>
                <w:color w:val="auto"/>
              </w:rPr>
              <w:t xml:space="preserve">hearing-specific quality of life </w:t>
            </w:r>
            <w:r w:rsidR="007E4CB5" w:rsidRPr="00196A06">
              <w:rPr>
                <w:color w:val="auto"/>
              </w:rPr>
              <w:t xml:space="preserve">(e.g. </w:t>
            </w:r>
            <w:r w:rsidR="00F308D1" w:rsidRPr="00196A06">
              <w:rPr>
                <w:color w:val="auto"/>
              </w:rPr>
              <w:t>Abbreviated Profile of Hearing Aid Benefit [</w:t>
            </w:r>
            <w:r w:rsidR="00BE0181" w:rsidRPr="00196A06">
              <w:rPr>
                <w:color w:val="auto"/>
              </w:rPr>
              <w:t>APHAB</w:t>
            </w:r>
            <w:r w:rsidR="00F308D1" w:rsidRPr="00196A06">
              <w:rPr>
                <w:color w:val="auto"/>
              </w:rPr>
              <w:t>]</w:t>
            </w:r>
            <w:r w:rsidR="007E4CB5" w:rsidRPr="00196A06">
              <w:rPr>
                <w:color w:val="auto"/>
              </w:rPr>
              <w:t>;</w:t>
            </w:r>
            <w:r w:rsidR="002A048F" w:rsidRPr="00196A06">
              <w:rPr>
                <w:color w:val="auto"/>
              </w:rPr>
              <w:t xml:space="preserve"> </w:t>
            </w:r>
            <w:r w:rsidR="005537AB" w:rsidRPr="00196A06">
              <w:rPr>
                <w:color w:val="auto"/>
              </w:rPr>
              <w:t>Speech, Spatial and Qualities of Hearing Scale [</w:t>
            </w:r>
            <w:r w:rsidR="002A048F" w:rsidRPr="00196A06">
              <w:rPr>
                <w:color w:val="auto"/>
              </w:rPr>
              <w:t>SSQ</w:t>
            </w:r>
            <w:r w:rsidR="005537AB" w:rsidRPr="00196A06">
              <w:rPr>
                <w:color w:val="auto"/>
              </w:rPr>
              <w:t>]</w:t>
            </w:r>
            <w:r w:rsidR="00275C33" w:rsidRPr="00196A06">
              <w:rPr>
                <w:color w:val="auto"/>
              </w:rPr>
              <w:t>)</w:t>
            </w:r>
          </w:p>
          <w:p w14:paraId="3DF97E3C" w14:textId="71C98EC1" w:rsidR="000F4940" w:rsidRDefault="000F4940" w:rsidP="00D67420">
            <w:pPr>
              <w:pStyle w:val="Instructionaltext"/>
              <w:keepNext/>
              <w:keepLines/>
              <w:numPr>
                <w:ilvl w:val="1"/>
                <w:numId w:val="16"/>
              </w:numPr>
              <w:spacing w:before="0" w:after="0"/>
              <w:ind w:left="1078" w:hanging="284"/>
              <w:rPr>
                <w:color w:val="auto"/>
              </w:rPr>
            </w:pPr>
            <w:r w:rsidRPr="00803A86">
              <w:rPr>
                <w:color w:val="auto"/>
              </w:rPr>
              <w:lastRenderedPageBreak/>
              <w:t>health-related quality of life</w:t>
            </w:r>
            <w:r w:rsidR="00803A86" w:rsidRPr="00803A86">
              <w:rPr>
                <w:color w:val="auto"/>
              </w:rPr>
              <w:t xml:space="preserve"> (e.g. Health Utility Index Mark 3 [HUI3]; EuroQol 5-dimension [EQ-5D])</w:t>
            </w:r>
          </w:p>
          <w:p w14:paraId="6CE83FB4" w14:textId="56D84D34" w:rsidR="00EC4FD0" w:rsidRPr="00803A86" w:rsidRDefault="00DD08E3" w:rsidP="00D67420">
            <w:pPr>
              <w:pStyle w:val="Instructionaltext"/>
              <w:keepNext/>
              <w:keepLines/>
              <w:numPr>
                <w:ilvl w:val="1"/>
                <w:numId w:val="16"/>
              </w:numPr>
              <w:spacing w:before="0" w:after="0"/>
              <w:ind w:left="1080" w:hanging="284"/>
              <w:rPr>
                <w:color w:val="auto"/>
              </w:rPr>
            </w:pPr>
            <w:r>
              <w:rPr>
                <w:color w:val="auto"/>
              </w:rPr>
              <w:t>patient satisfaction</w:t>
            </w:r>
          </w:p>
          <w:p w14:paraId="3EEDD63E" w14:textId="1FBA3F87" w:rsidR="003718C2" w:rsidRDefault="00836ECC">
            <w:pPr>
              <w:pStyle w:val="Instructionaltext"/>
              <w:spacing w:after="0"/>
              <w:rPr>
                <w:b/>
                <w:bCs/>
                <w:color w:val="auto"/>
              </w:rPr>
            </w:pPr>
            <w:r w:rsidRPr="00802D75">
              <w:rPr>
                <w:b/>
                <w:bCs/>
                <w:color w:val="auto"/>
              </w:rPr>
              <w:t>Healthcare resources</w:t>
            </w:r>
            <w:r w:rsidR="00802D75" w:rsidRPr="00802D75">
              <w:rPr>
                <w:b/>
                <w:bCs/>
                <w:color w:val="auto"/>
              </w:rPr>
              <w:t>:</w:t>
            </w:r>
          </w:p>
          <w:p w14:paraId="3FE3403F" w14:textId="01AEDE84" w:rsidR="00542AB5" w:rsidRDefault="00542AB5">
            <w:pPr>
              <w:pStyle w:val="Instructionaltext"/>
              <w:numPr>
                <w:ilvl w:val="0"/>
                <w:numId w:val="16"/>
              </w:numPr>
              <w:spacing w:before="0" w:after="0"/>
              <w:rPr>
                <w:color w:val="auto"/>
              </w:rPr>
            </w:pPr>
            <w:r>
              <w:rPr>
                <w:color w:val="auto"/>
              </w:rPr>
              <w:t xml:space="preserve">device </w:t>
            </w:r>
            <w:r w:rsidR="00EC541E">
              <w:rPr>
                <w:color w:val="auto"/>
              </w:rPr>
              <w:t xml:space="preserve">costs </w:t>
            </w:r>
            <w:r w:rsidR="00412B53">
              <w:rPr>
                <w:color w:val="auto"/>
              </w:rPr>
              <w:t xml:space="preserve">(internal and external components) </w:t>
            </w:r>
          </w:p>
          <w:p w14:paraId="70A830F9" w14:textId="70055421" w:rsidR="0066751F" w:rsidRDefault="0066751F">
            <w:pPr>
              <w:pStyle w:val="Instructionaltext"/>
              <w:numPr>
                <w:ilvl w:val="0"/>
                <w:numId w:val="16"/>
              </w:numPr>
              <w:spacing w:before="0" w:after="0"/>
              <w:rPr>
                <w:color w:val="auto"/>
              </w:rPr>
            </w:pPr>
            <w:r>
              <w:rPr>
                <w:color w:val="auto"/>
              </w:rPr>
              <w:t>procedure duration and costs</w:t>
            </w:r>
          </w:p>
          <w:p w14:paraId="0C35E6F6" w14:textId="00A68FE2" w:rsidR="00216661" w:rsidRPr="006A5748" w:rsidRDefault="00216661">
            <w:pPr>
              <w:pStyle w:val="Instructionaltext"/>
              <w:numPr>
                <w:ilvl w:val="0"/>
                <w:numId w:val="16"/>
              </w:numPr>
              <w:spacing w:before="0" w:after="0"/>
              <w:ind w:left="714" w:hanging="357"/>
              <w:rPr>
                <w:color w:val="auto"/>
              </w:rPr>
            </w:pPr>
            <w:r>
              <w:rPr>
                <w:color w:val="auto"/>
              </w:rPr>
              <w:t>maintenance</w:t>
            </w:r>
            <w:r w:rsidR="00110F58">
              <w:rPr>
                <w:color w:val="auto"/>
              </w:rPr>
              <w:t>/</w:t>
            </w:r>
            <w:r>
              <w:rPr>
                <w:color w:val="auto"/>
              </w:rPr>
              <w:t>replacement costs</w:t>
            </w:r>
            <w:r w:rsidR="00412B53">
              <w:rPr>
                <w:color w:val="auto"/>
              </w:rPr>
              <w:t xml:space="preserve"> (internal and external components)</w:t>
            </w:r>
          </w:p>
          <w:p w14:paraId="467ECB26" w14:textId="2C9B0E8C" w:rsidR="00E9584F" w:rsidRPr="00ED74DB" w:rsidRDefault="00E9584F">
            <w:pPr>
              <w:pStyle w:val="Instructionaltext"/>
              <w:numPr>
                <w:ilvl w:val="0"/>
                <w:numId w:val="16"/>
              </w:numPr>
              <w:spacing w:before="0" w:after="0"/>
              <w:ind w:left="714" w:hanging="357"/>
              <w:rPr>
                <w:color w:val="auto"/>
              </w:rPr>
            </w:pPr>
            <w:r w:rsidRPr="006A5748">
              <w:rPr>
                <w:color w:val="auto"/>
              </w:rPr>
              <w:t>cost</w:t>
            </w:r>
            <w:r w:rsidR="00553244">
              <w:rPr>
                <w:color w:val="auto"/>
              </w:rPr>
              <w:t>s</w:t>
            </w:r>
            <w:r w:rsidRPr="006A5748">
              <w:rPr>
                <w:color w:val="auto"/>
              </w:rPr>
              <w:t xml:space="preserve"> associated </w:t>
            </w:r>
            <w:r w:rsidR="006A5748" w:rsidRPr="006A5748">
              <w:rPr>
                <w:rFonts w:cs="Arial"/>
                <w:color w:val="auto"/>
              </w:rPr>
              <w:t>with changes in clinical management (testing required before the procedure</w:t>
            </w:r>
            <w:r w:rsidR="002361BC">
              <w:rPr>
                <w:rFonts w:cs="Arial"/>
                <w:color w:val="auto"/>
              </w:rPr>
              <w:t>;</w:t>
            </w:r>
            <w:r w:rsidR="006A5748" w:rsidRPr="006A5748">
              <w:rPr>
                <w:rFonts w:cs="Arial"/>
                <w:color w:val="auto"/>
              </w:rPr>
              <w:t xml:space="preserve"> </w:t>
            </w:r>
            <w:r w:rsidR="00ED74DB">
              <w:rPr>
                <w:rFonts w:cs="Arial"/>
                <w:color w:val="auto"/>
              </w:rPr>
              <w:t>follow up</w:t>
            </w:r>
            <w:r w:rsidR="00B73A92">
              <w:rPr>
                <w:rFonts w:cs="Arial"/>
                <w:color w:val="auto"/>
              </w:rPr>
              <w:t xml:space="preserve"> </w:t>
            </w:r>
            <w:r w:rsidR="008D2B19">
              <w:rPr>
                <w:rFonts w:cs="Arial"/>
                <w:color w:val="auto"/>
              </w:rPr>
              <w:t xml:space="preserve">specialist </w:t>
            </w:r>
            <w:r w:rsidR="00BA42D8">
              <w:rPr>
                <w:rFonts w:cs="Arial"/>
                <w:color w:val="auto"/>
              </w:rPr>
              <w:t xml:space="preserve">or audiology </w:t>
            </w:r>
            <w:r w:rsidR="00B73A92">
              <w:rPr>
                <w:rFonts w:cs="Arial"/>
                <w:color w:val="auto"/>
              </w:rPr>
              <w:t>visits</w:t>
            </w:r>
            <w:r w:rsidR="006A5748" w:rsidRPr="006A5748">
              <w:rPr>
                <w:rFonts w:cs="Arial"/>
                <w:color w:val="auto"/>
              </w:rPr>
              <w:t>)</w:t>
            </w:r>
          </w:p>
          <w:p w14:paraId="34E5B087" w14:textId="3778C550" w:rsidR="00ED74DB" w:rsidRDefault="00ED74DB">
            <w:pPr>
              <w:pStyle w:val="Instructionaltext"/>
              <w:numPr>
                <w:ilvl w:val="0"/>
                <w:numId w:val="16"/>
              </w:numPr>
              <w:spacing w:before="0" w:after="0"/>
              <w:rPr>
                <w:color w:val="auto"/>
              </w:rPr>
            </w:pPr>
            <w:r>
              <w:rPr>
                <w:color w:val="auto"/>
              </w:rPr>
              <w:t>cost</w:t>
            </w:r>
            <w:r w:rsidR="00553244">
              <w:rPr>
                <w:color w:val="auto"/>
              </w:rPr>
              <w:t>s</w:t>
            </w:r>
            <w:r>
              <w:rPr>
                <w:color w:val="auto"/>
              </w:rPr>
              <w:t xml:space="preserve"> associated with management of </w:t>
            </w:r>
            <w:r w:rsidR="00A624AF">
              <w:rPr>
                <w:color w:val="auto"/>
              </w:rPr>
              <w:t>AEs</w:t>
            </w:r>
            <w:r w:rsidR="005F39E3">
              <w:rPr>
                <w:color w:val="auto"/>
              </w:rPr>
              <w:t xml:space="preserve">, </w:t>
            </w:r>
            <w:r w:rsidR="00553244">
              <w:rPr>
                <w:color w:val="auto"/>
              </w:rPr>
              <w:t>including re</w:t>
            </w:r>
            <w:r w:rsidR="00B06666">
              <w:rPr>
                <w:color w:val="auto"/>
              </w:rPr>
              <w:t>operation</w:t>
            </w:r>
          </w:p>
          <w:p w14:paraId="78F2B411" w14:textId="4723D4D1" w:rsidR="00836ECC" w:rsidRDefault="00836ECC">
            <w:pPr>
              <w:pStyle w:val="Instructionaltext"/>
              <w:spacing w:after="0"/>
              <w:rPr>
                <w:b/>
                <w:bCs/>
                <w:color w:val="auto"/>
              </w:rPr>
            </w:pPr>
            <w:r w:rsidRPr="00802D75">
              <w:rPr>
                <w:b/>
                <w:bCs/>
                <w:color w:val="auto"/>
              </w:rPr>
              <w:t>Cost-effectiveness</w:t>
            </w:r>
            <w:r w:rsidR="00802D75" w:rsidRPr="00802D75">
              <w:rPr>
                <w:b/>
                <w:bCs/>
                <w:color w:val="auto"/>
              </w:rPr>
              <w:t>:</w:t>
            </w:r>
          </w:p>
          <w:p w14:paraId="0780E85D" w14:textId="4BE6A242" w:rsidR="00802D75" w:rsidRDefault="00034A1F">
            <w:pPr>
              <w:pStyle w:val="Instructionaltext"/>
              <w:numPr>
                <w:ilvl w:val="0"/>
                <w:numId w:val="13"/>
              </w:numPr>
              <w:spacing w:before="0" w:after="0"/>
              <w:ind w:left="714" w:hanging="357"/>
              <w:rPr>
                <w:color w:val="auto"/>
              </w:rPr>
            </w:pPr>
            <w:r w:rsidRPr="00034A1F">
              <w:rPr>
                <w:color w:val="auto"/>
              </w:rPr>
              <w:t>cost per quality-adjusted life year (QALY) gained</w:t>
            </w:r>
          </w:p>
          <w:p w14:paraId="42579508" w14:textId="1E2DE2DD" w:rsidR="00663BAD" w:rsidRDefault="0032627B">
            <w:pPr>
              <w:pStyle w:val="Instructionaltext"/>
              <w:numPr>
                <w:ilvl w:val="0"/>
                <w:numId w:val="13"/>
              </w:numPr>
              <w:spacing w:before="0" w:after="0"/>
              <w:ind w:left="714" w:hanging="357"/>
              <w:rPr>
                <w:color w:val="auto"/>
              </w:rPr>
            </w:pPr>
            <w:r>
              <w:rPr>
                <w:color w:val="auto"/>
              </w:rPr>
              <w:t>c</w:t>
            </w:r>
            <w:r w:rsidRPr="0032627B">
              <w:rPr>
                <w:color w:val="auto"/>
              </w:rPr>
              <w:t xml:space="preserve">ost per unit/point improvement (based on audiological or patient-reported outcome thresholds) – </w:t>
            </w:r>
            <w:r w:rsidR="00DF77BC">
              <w:rPr>
                <w:color w:val="auto"/>
              </w:rPr>
              <w:t xml:space="preserve">only </w:t>
            </w:r>
            <w:r w:rsidRPr="0032627B">
              <w:rPr>
                <w:color w:val="auto"/>
              </w:rPr>
              <w:t>if utilities/QALYs are not well established in the proposed population</w:t>
            </w:r>
          </w:p>
          <w:p w14:paraId="4BA6A129" w14:textId="265C3006" w:rsidR="00836ECC" w:rsidRDefault="00802D75">
            <w:pPr>
              <w:pStyle w:val="Instructionaltext"/>
              <w:spacing w:after="0"/>
              <w:rPr>
                <w:b/>
                <w:bCs/>
                <w:color w:val="auto"/>
              </w:rPr>
            </w:pPr>
            <w:r w:rsidRPr="00802D75">
              <w:rPr>
                <w:b/>
                <w:bCs/>
                <w:color w:val="auto"/>
              </w:rPr>
              <w:t>Total Australian government healthcare costs:</w:t>
            </w:r>
          </w:p>
          <w:p w14:paraId="18191BCF" w14:textId="13D2BAF7" w:rsidR="006160A6" w:rsidRDefault="006160A6">
            <w:pPr>
              <w:pStyle w:val="Instructionaltext"/>
              <w:numPr>
                <w:ilvl w:val="0"/>
                <w:numId w:val="15"/>
              </w:numPr>
              <w:spacing w:before="0" w:after="0"/>
              <w:rPr>
                <w:color w:val="auto"/>
              </w:rPr>
            </w:pPr>
            <w:r w:rsidRPr="006160A6">
              <w:rPr>
                <w:color w:val="auto"/>
              </w:rPr>
              <w:t>total cost to the Medical Benefits Schedule (MBS)</w:t>
            </w:r>
          </w:p>
          <w:p w14:paraId="1037B239" w14:textId="131294C0" w:rsidR="00802D75" w:rsidRDefault="006160A6">
            <w:pPr>
              <w:pStyle w:val="Instructionaltext"/>
              <w:numPr>
                <w:ilvl w:val="0"/>
                <w:numId w:val="14"/>
              </w:numPr>
              <w:spacing w:before="0" w:after="0"/>
              <w:rPr>
                <w:color w:val="auto"/>
              </w:rPr>
            </w:pPr>
            <w:r w:rsidRPr="006160A6">
              <w:rPr>
                <w:color w:val="auto"/>
              </w:rPr>
              <w:t>total cost to other government health budgets</w:t>
            </w:r>
            <w:r w:rsidR="00472310">
              <w:rPr>
                <w:color w:val="auto"/>
              </w:rPr>
              <w:t xml:space="preserve"> (</w:t>
            </w:r>
            <w:r w:rsidR="000D0D40">
              <w:rPr>
                <w:color w:val="auto"/>
              </w:rPr>
              <w:t xml:space="preserve">including the </w:t>
            </w:r>
            <w:r w:rsidR="000D0D40" w:rsidRPr="000D0D40">
              <w:rPr>
                <w:color w:val="auto"/>
              </w:rPr>
              <w:t>Australian Government Hearing Services Program</w:t>
            </w:r>
            <w:r w:rsidR="000D0D40">
              <w:rPr>
                <w:color w:val="auto"/>
              </w:rPr>
              <w:t>)</w:t>
            </w:r>
          </w:p>
          <w:p w14:paraId="6F9242D7" w14:textId="0DD3B0AD" w:rsidR="00924D6F" w:rsidRPr="0007367C" w:rsidRDefault="0007367C" w:rsidP="00691F3C">
            <w:pPr>
              <w:pStyle w:val="Instructionaltext"/>
              <w:numPr>
                <w:ilvl w:val="0"/>
                <w:numId w:val="14"/>
              </w:numPr>
              <w:spacing w:before="0" w:after="120"/>
              <w:ind w:left="714" w:hanging="357"/>
              <w:rPr>
                <w:color w:val="auto"/>
              </w:rPr>
            </w:pPr>
            <w:r>
              <w:rPr>
                <w:color w:val="auto"/>
              </w:rPr>
              <w:t>total cost to the P</w:t>
            </w:r>
            <w:r w:rsidR="001B3FD0">
              <w:rPr>
                <w:color w:val="auto"/>
              </w:rPr>
              <w:t>rescribed</w:t>
            </w:r>
            <w:r>
              <w:rPr>
                <w:color w:val="auto"/>
              </w:rPr>
              <w:t xml:space="preserve"> List</w:t>
            </w:r>
            <w:r w:rsidR="00110F52">
              <w:rPr>
                <w:color w:val="auto"/>
              </w:rPr>
              <w:t xml:space="preserve"> of Medical Devices and Human Tissue Products (PL)</w:t>
            </w:r>
          </w:p>
        </w:tc>
      </w:tr>
      <w:tr w:rsidR="00BB1698" w:rsidRPr="00490FBB" w14:paraId="4A55FFDB" w14:textId="77777777" w:rsidTr="00691F3C">
        <w:tc>
          <w:tcPr>
            <w:tcW w:w="1005" w:type="pct"/>
            <w:tcBorders>
              <w:top w:val="single" w:sz="4" w:space="0" w:color="auto"/>
              <w:left w:val="single" w:sz="8" w:space="0" w:color="auto"/>
              <w:bottom w:val="single" w:sz="8" w:space="0" w:color="auto"/>
              <w:right w:val="single" w:sz="4" w:space="0" w:color="auto"/>
            </w:tcBorders>
          </w:tcPr>
          <w:p w14:paraId="003B36EC" w14:textId="245A6DBB" w:rsidR="00BB1698" w:rsidRPr="00490FBB" w:rsidRDefault="00BB1698">
            <w:pPr>
              <w:spacing w:before="120" w:after="120" w:line="240" w:lineRule="auto"/>
              <w:rPr>
                <w:rFonts w:cs="Arial"/>
              </w:rPr>
            </w:pPr>
            <w:r w:rsidRPr="00490FBB">
              <w:rPr>
                <w:rFonts w:cs="Arial"/>
              </w:rPr>
              <w:lastRenderedPageBreak/>
              <w:t>Assessment question</w:t>
            </w:r>
            <w:r w:rsidR="009014B8">
              <w:rPr>
                <w:rFonts w:cs="Arial"/>
              </w:rPr>
              <w:t>(</w:t>
            </w:r>
            <w:r w:rsidRPr="00490FBB">
              <w:rPr>
                <w:rFonts w:cs="Arial"/>
              </w:rPr>
              <w:t>s</w:t>
            </w:r>
            <w:r w:rsidR="009014B8">
              <w:rPr>
                <w:rFonts w:cs="Arial"/>
              </w:rPr>
              <w:t>)</w:t>
            </w:r>
          </w:p>
        </w:tc>
        <w:tc>
          <w:tcPr>
            <w:tcW w:w="3995" w:type="pct"/>
            <w:tcBorders>
              <w:top w:val="single" w:sz="4" w:space="0" w:color="auto"/>
              <w:left w:val="single" w:sz="4" w:space="0" w:color="auto"/>
              <w:bottom w:val="single" w:sz="4" w:space="0" w:color="auto"/>
              <w:right w:val="single" w:sz="4" w:space="0" w:color="auto"/>
            </w:tcBorders>
          </w:tcPr>
          <w:p w14:paraId="7AB69A9A" w14:textId="6BA29E50" w:rsidR="00BB1698" w:rsidRPr="00FD4C65" w:rsidRDefault="00BB1698">
            <w:pPr>
              <w:spacing w:before="120" w:after="120" w:line="259" w:lineRule="auto"/>
              <w:rPr>
                <w:color w:val="000000" w:themeColor="text1"/>
              </w:rPr>
            </w:pPr>
            <w:r w:rsidRPr="00FD4C65">
              <w:rPr>
                <w:color w:val="000000" w:themeColor="text1"/>
              </w:rPr>
              <w:t>What</w:t>
            </w:r>
            <w:r w:rsidRPr="00490FBB">
              <w:rPr>
                <w:color w:val="000000" w:themeColor="text1"/>
              </w:rPr>
              <w:t xml:space="preserve"> is the </w:t>
            </w:r>
            <w:r w:rsidRPr="00A87DB5">
              <w:rPr>
                <w:color w:val="000000" w:themeColor="text1"/>
              </w:rPr>
              <w:t xml:space="preserve">safety, effectiveness and cost-effectiveness of </w:t>
            </w:r>
            <w:r w:rsidR="004E0514" w:rsidRPr="00A87DB5">
              <w:rPr>
                <w:color w:val="000000" w:themeColor="text1"/>
              </w:rPr>
              <w:t>implantation of</w:t>
            </w:r>
            <w:r w:rsidR="00047528" w:rsidRPr="00A87DB5">
              <w:rPr>
                <w:color w:val="000000" w:themeColor="text1"/>
              </w:rPr>
              <w:t xml:space="preserve"> an </w:t>
            </w:r>
            <w:r w:rsidR="00B21053">
              <w:rPr>
                <w:color w:val="000000" w:themeColor="text1"/>
              </w:rPr>
              <w:t>AMEI</w:t>
            </w:r>
            <w:r w:rsidR="00047528" w:rsidRPr="00A87DB5">
              <w:rPr>
                <w:color w:val="000000" w:themeColor="text1"/>
              </w:rPr>
              <w:t xml:space="preserve"> </w:t>
            </w:r>
            <w:r w:rsidRPr="00A87DB5">
              <w:rPr>
                <w:color w:val="000000" w:themeColor="text1"/>
              </w:rPr>
              <w:t xml:space="preserve">versus </w:t>
            </w:r>
            <w:r w:rsidR="00B21053">
              <w:rPr>
                <w:color w:val="000000" w:themeColor="text1"/>
              </w:rPr>
              <w:t>implantation of a</w:t>
            </w:r>
            <w:r w:rsidR="00CE1568">
              <w:rPr>
                <w:color w:val="000000" w:themeColor="text1"/>
              </w:rPr>
              <w:t xml:space="preserve"> </w:t>
            </w:r>
            <w:r w:rsidR="00AD0FC2">
              <w:rPr>
                <w:color w:val="000000" w:themeColor="text1"/>
              </w:rPr>
              <w:t>BCI</w:t>
            </w:r>
            <w:r w:rsidR="00CE1568">
              <w:rPr>
                <w:color w:val="000000" w:themeColor="text1"/>
              </w:rPr>
              <w:t xml:space="preserve"> </w:t>
            </w:r>
            <w:r w:rsidR="00EB3013">
              <w:rPr>
                <w:color w:val="000000" w:themeColor="text1"/>
              </w:rPr>
              <w:t xml:space="preserve">or no further intervention </w:t>
            </w:r>
            <w:r w:rsidRPr="00A87DB5">
              <w:rPr>
                <w:color w:val="000000" w:themeColor="text1"/>
              </w:rPr>
              <w:t xml:space="preserve">in </w:t>
            </w:r>
            <w:r w:rsidR="00E97A1A">
              <w:rPr>
                <w:color w:val="000000" w:themeColor="text1"/>
              </w:rPr>
              <w:t xml:space="preserve">individuals </w:t>
            </w:r>
            <w:r w:rsidR="00CE1568">
              <w:rPr>
                <w:color w:val="000000" w:themeColor="text1"/>
              </w:rPr>
              <w:t xml:space="preserve">aged </w:t>
            </w:r>
            <w:r w:rsidR="00E97A1A">
              <w:rPr>
                <w:color w:val="000000" w:themeColor="text1"/>
              </w:rPr>
              <w:t>&gt;5 years</w:t>
            </w:r>
            <w:r w:rsidR="00B375C1" w:rsidRPr="00A87DB5">
              <w:rPr>
                <w:color w:val="000000" w:themeColor="text1"/>
              </w:rPr>
              <w:t xml:space="preserve"> with </w:t>
            </w:r>
            <w:r w:rsidR="00276A6C" w:rsidRPr="00A87DB5">
              <w:rPr>
                <w:color w:val="000000" w:themeColor="text1"/>
              </w:rPr>
              <w:t xml:space="preserve">mild to </w:t>
            </w:r>
            <w:r w:rsidR="00CB3272">
              <w:rPr>
                <w:color w:val="000000" w:themeColor="text1"/>
              </w:rPr>
              <w:t>severe</w:t>
            </w:r>
            <w:r w:rsidR="00CB3272" w:rsidRPr="00A87DB5">
              <w:rPr>
                <w:color w:val="000000" w:themeColor="text1"/>
              </w:rPr>
              <w:t xml:space="preserve"> </w:t>
            </w:r>
            <w:r w:rsidR="00E05650">
              <w:rPr>
                <w:color w:val="000000" w:themeColor="text1"/>
              </w:rPr>
              <w:t>M</w:t>
            </w:r>
            <w:r w:rsidR="00042BB2">
              <w:rPr>
                <w:color w:val="000000" w:themeColor="text1"/>
              </w:rPr>
              <w:t>HL</w:t>
            </w:r>
            <w:r w:rsidR="00276A6C" w:rsidRPr="006E4A51">
              <w:rPr>
                <w:color w:val="000000" w:themeColor="text1"/>
              </w:rPr>
              <w:t xml:space="preserve"> </w:t>
            </w:r>
            <w:r w:rsidR="001052A0">
              <w:rPr>
                <w:color w:val="000000" w:themeColor="text1"/>
              </w:rPr>
              <w:t xml:space="preserve">or </w:t>
            </w:r>
            <w:r w:rsidR="00E05650">
              <w:rPr>
                <w:color w:val="000000" w:themeColor="text1"/>
              </w:rPr>
              <w:t>C</w:t>
            </w:r>
            <w:r w:rsidR="001052A0">
              <w:rPr>
                <w:color w:val="000000" w:themeColor="text1"/>
              </w:rPr>
              <w:t xml:space="preserve">HL </w:t>
            </w:r>
            <w:r w:rsidR="00FB2072" w:rsidRPr="006E4A51">
              <w:rPr>
                <w:color w:val="000000" w:themeColor="text1"/>
              </w:rPr>
              <w:t xml:space="preserve">who </w:t>
            </w:r>
            <w:r w:rsidR="00D63C7F">
              <w:rPr>
                <w:color w:val="000000" w:themeColor="text1"/>
              </w:rPr>
              <w:t xml:space="preserve">are </w:t>
            </w:r>
            <w:r w:rsidR="00D63C7F" w:rsidRPr="00D63C7F">
              <w:rPr>
                <w:color w:val="000000" w:themeColor="text1"/>
              </w:rPr>
              <w:t>not appropriate candidates for</w:t>
            </w:r>
            <w:r w:rsidR="00ED55E1">
              <w:rPr>
                <w:color w:val="000000" w:themeColor="text1"/>
              </w:rPr>
              <w:t>,</w:t>
            </w:r>
            <w:r w:rsidR="00D63C7F" w:rsidRPr="00D63C7F">
              <w:rPr>
                <w:color w:val="000000" w:themeColor="text1"/>
              </w:rPr>
              <w:t xml:space="preserve"> or have not achieved adequate benefit from</w:t>
            </w:r>
            <w:r w:rsidR="00ED55E1">
              <w:rPr>
                <w:color w:val="000000" w:themeColor="text1"/>
              </w:rPr>
              <w:t>,</w:t>
            </w:r>
            <w:r w:rsidR="00D63C7F" w:rsidRPr="00D63C7F">
              <w:rPr>
                <w:color w:val="000000" w:themeColor="text1"/>
              </w:rPr>
              <w:t xml:space="preserve"> </w:t>
            </w:r>
            <w:r w:rsidR="006E4A51" w:rsidRPr="006E4A51">
              <w:rPr>
                <w:color w:val="000000" w:themeColor="text1"/>
              </w:rPr>
              <w:t xml:space="preserve">surgical </w:t>
            </w:r>
            <w:r w:rsidR="00ED55E1">
              <w:rPr>
                <w:color w:val="000000" w:themeColor="text1"/>
              </w:rPr>
              <w:t>repair</w:t>
            </w:r>
            <w:r w:rsidR="00CE1568">
              <w:rPr>
                <w:color w:val="000000" w:themeColor="text1"/>
              </w:rPr>
              <w:t xml:space="preserve"> or </w:t>
            </w:r>
            <w:r w:rsidR="00ED55E1">
              <w:rPr>
                <w:color w:val="000000" w:themeColor="text1"/>
              </w:rPr>
              <w:t>reconstruction,</w:t>
            </w:r>
            <w:r w:rsidR="006E4A51" w:rsidRPr="006E4A51">
              <w:rPr>
                <w:color w:val="000000" w:themeColor="text1"/>
              </w:rPr>
              <w:t xml:space="preserve"> </w:t>
            </w:r>
            <w:r w:rsidR="003E7C9F" w:rsidRPr="00ED55E1">
              <w:rPr>
                <w:color w:val="000000" w:themeColor="text1"/>
              </w:rPr>
              <w:t>and</w:t>
            </w:r>
            <w:r w:rsidR="00D63C7F" w:rsidRPr="00ED55E1">
              <w:rPr>
                <w:color w:val="000000" w:themeColor="text1"/>
              </w:rPr>
              <w:t xml:space="preserve"> a</w:t>
            </w:r>
            <w:r w:rsidR="00D63C7F">
              <w:rPr>
                <w:color w:val="000000" w:themeColor="text1"/>
              </w:rPr>
              <w:t xml:space="preserve">re </w:t>
            </w:r>
            <w:r w:rsidR="00D63C7F" w:rsidRPr="00D63C7F">
              <w:rPr>
                <w:color w:val="000000" w:themeColor="text1"/>
              </w:rPr>
              <w:t xml:space="preserve">unable to </w:t>
            </w:r>
            <w:r w:rsidR="00593AF2">
              <w:rPr>
                <w:color w:val="000000" w:themeColor="text1"/>
              </w:rPr>
              <w:t xml:space="preserve">use </w:t>
            </w:r>
            <w:r w:rsidR="005F68F8">
              <w:rPr>
                <w:color w:val="000000" w:themeColor="text1"/>
              </w:rPr>
              <w:t xml:space="preserve">a </w:t>
            </w:r>
            <w:r w:rsidR="00D63C7F" w:rsidRPr="00D63C7F">
              <w:rPr>
                <w:color w:val="000000" w:themeColor="text1"/>
              </w:rPr>
              <w:t xml:space="preserve">conventional </w:t>
            </w:r>
            <w:r w:rsidR="00722D5F">
              <w:rPr>
                <w:color w:val="000000" w:themeColor="text1"/>
              </w:rPr>
              <w:t>(non</w:t>
            </w:r>
            <w:r w:rsidR="00FD1D29">
              <w:rPr>
                <w:color w:val="000000" w:themeColor="text1"/>
              </w:rPr>
              <w:t>-</w:t>
            </w:r>
            <w:r w:rsidR="00FF09B7">
              <w:rPr>
                <w:color w:val="000000" w:themeColor="text1"/>
              </w:rPr>
              <w:t>implantable</w:t>
            </w:r>
            <w:r w:rsidR="00722D5F">
              <w:rPr>
                <w:color w:val="000000" w:themeColor="text1"/>
              </w:rPr>
              <w:t xml:space="preserve">) </w:t>
            </w:r>
            <w:r w:rsidR="00E1472D">
              <w:rPr>
                <w:color w:val="000000" w:themeColor="text1"/>
              </w:rPr>
              <w:t>hearing device</w:t>
            </w:r>
            <w:r w:rsidR="00D63C7F" w:rsidRPr="00D63C7F">
              <w:rPr>
                <w:color w:val="000000" w:themeColor="text1"/>
              </w:rPr>
              <w:t xml:space="preserve"> </w:t>
            </w:r>
            <w:r w:rsidR="00DD47B5">
              <w:rPr>
                <w:color w:val="000000" w:themeColor="text1"/>
              </w:rPr>
              <w:t>(non-implantable bone conduction hearing device or air conduction hearing device)</w:t>
            </w:r>
            <w:r w:rsidR="00DD47B5" w:rsidRPr="00FF191C">
              <w:rPr>
                <w:color w:val="000000" w:themeColor="text1"/>
              </w:rPr>
              <w:t xml:space="preserve"> </w:t>
            </w:r>
            <w:r w:rsidR="00D63C7F" w:rsidRPr="00D63C7F">
              <w:rPr>
                <w:color w:val="000000" w:themeColor="text1"/>
              </w:rPr>
              <w:t xml:space="preserve"> </w:t>
            </w:r>
            <w:r w:rsidR="006E4A51" w:rsidRPr="006E4A51">
              <w:rPr>
                <w:color w:val="000000" w:themeColor="text1"/>
              </w:rPr>
              <w:t xml:space="preserve">due to medical </w:t>
            </w:r>
            <w:r w:rsidR="0024725C">
              <w:rPr>
                <w:color w:val="000000" w:themeColor="text1"/>
              </w:rPr>
              <w:t xml:space="preserve">or audiological </w:t>
            </w:r>
            <w:r w:rsidR="006E4A51" w:rsidRPr="006E4A51">
              <w:rPr>
                <w:color w:val="000000" w:themeColor="text1"/>
              </w:rPr>
              <w:t>reasons</w:t>
            </w:r>
            <w:r w:rsidR="000E56E3">
              <w:rPr>
                <w:color w:val="000000" w:themeColor="text1"/>
              </w:rPr>
              <w:t xml:space="preserve">, and are not </w:t>
            </w:r>
            <w:r w:rsidR="00525797">
              <w:rPr>
                <w:color w:val="000000" w:themeColor="text1"/>
              </w:rPr>
              <w:t>suitable</w:t>
            </w:r>
            <w:r w:rsidR="000E56E3">
              <w:rPr>
                <w:color w:val="000000" w:themeColor="text1"/>
              </w:rPr>
              <w:t xml:space="preserve"> candidates for a cochlear implant?</w:t>
            </w:r>
          </w:p>
        </w:tc>
      </w:tr>
    </w:tbl>
    <w:p w14:paraId="5D5376EF" w14:textId="57472FA9" w:rsidR="006478E7" w:rsidRDefault="00606A6B" w:rsidP="00E01349">
      <w:r>
        <w:br w:type="textWrapping" w:clear="all"/>
      </w:r>
      <w:r w:rsidR="006478E7" w:rsidRPr="00490FBB">
        <w:br w:type="page"/>
      </w:r>
    </w:p>
    <w:p w14:paraId="53297713" w14:textId="0DA7B658" w:rsidR="00912660" w:rsidRDefault="00912660" w:rsidP="00713728">
      <w:pPr>
        <w:pStyle w:val="Heading2"/>
      </w:pPr>
      <w:r>
        <w:lastRenderedPageBreak/>
        <w:t>Purpose of application</w:t>
      </w:r>
    </w:p>
    <w:p w14:paraId="0E65AD1B" w14:textId="7F79A903" w:rsidR="004C2C5E" w:rsidRDefault="004C2C5E" w:rsidP="004C2C5E">
      <w:pPr>
        <w:spacing w:after="240"/>
        <w:rPr>
          <w:iCs/>
        </w:rPr>
      </w:pPr>
      <w:r w:rsidRPr="009A3778">
        <w:rPr>
          <w:iCs/>
        </w:rPr>
        <w:t xml:space="preserve">An application </w:t>
      </w:r>
      <w:r w:rsidRPr="00B1730D">
        <w:rPr>
          <w:iCs/>
        </w:rPr>
        <w:t>requesting Medicare Benefits Schedule (MBS) listing of</w:t>
      </w:r>
      <w:r w:rsidR="009B01C0" w:rsidRPr="00B1730D">
        <w:rPr>
          <w:iCs/>
        </w:rPr>
        <w:t xml:space="preserve"> implantation</w:t>
      </w:r>
      <w:r w:rsidR="009B01C0">
        <w:rPr>
          <w:iCs/>
        </w:rPr>
        <w:t xml:space="preserve"> of an active middle ear implant</w:t>
      </w:r>
      <w:r w:rsidRPr="009A3778">
        <w:rPr>
          <w:iCs/>
        </w:rPr>
        <w:t xml:space="preserve"> </w:t>
      </w:r>
      <w:r w:rsidR="004C1E4E">
        <w:rPr>
          <w:iCs/>
        </w:rPr>
        <w:t>(</w:t>
      </w:r>
      <w:r w:rsidR="001239CD">
        <w:rPr>
          <w:iCs/>
        </w:rPr>
        <w:t xml:space="preserve">AMEI) </w:t>
      </w:r>
      <w:r w:rsidR="00C618E5">
        <w:rPr>
          <w:iCs/>
        </w:rPr>
        <w:t xml:space="preserve">via </w:t>
      </w:r>
      <w:r w:rsidR="009B01C0">
        <w:rPr>
          <w:iCs/>
        </w:rPr>
        <w:t>vibroplasty</w:t>
      </w:r>
      <w:r w:rsidRPr="009A3778">
        <w:rPr>
          <w:iCs/>
        </w:rPr>
        <w:t xml:space="preserve"> </w:t>
      </w:r>
      <w:r w:rsidR="0071300E">
        <w:rPr>
          <w:iCs/>
        </w:rPr>
        <w:t>for the treatment of mixed</w:t>
      </w:r>
      <w:r w:rsidR="004C1E4E">
        <w:rPr>
          <w:iCs/>
        </w:rPr>
        <w:t xml:space="preserve"> and </w:t>
      </w:r>
      <w:r w:rsidR="0071300E">
        <w:rPr>
          <w:iCs/>
        </w:rPr>
        <w:t>conductive</w:t>
      </w:r>
      <w:r w:rsidR="004C1E4E">
        <w:rPr>
          <w:iCs/>
        </w:rPr>
        <w:t xml:space="preserve"> hearing loss </w:t>
      </w:r>
      <w:r w:rsidR="00114B5A">
        <w:rPr>
          <w:iCs/>
        </w:rPr>
        <w:t xml:space="preserve">(MHL and CHL) </w:t>
      </w:r>
      <w:r w:rsidRPr="009A3778">
        <w:rPr>
          <w:iCs/>
        </w:rPr>
        <w:t xml:space="preserve">was received from </w:t>
      </w:r>
      <w:r w:rsidR="004C1E4E" w:rsidRPr="004C1E4E">
        <w:rPr>
          <w:iCs/>
        </w:rPr>
        <w:t xml:space="preserve">MED-EL </w:t>
      </w:r>
      <w:r w:rsidR="004C1E4E">
        <w:rPr>
          <w:iCs/>
        </w:rPr>
        <w:t>Implant Systems Austral</w:t>
      </w:r>
      <w:r w:rsidR="00B1730D">
        <w:rPr>
          <w:iCs/>
        </w:rPr>
        <w:t xml:space="preserve">asia Pty Ltd </w:t>
      </w:r>
      <w:r w:rsidRPr="009A3778">
        <w:rPr>
          <w:iCs/>
        </w:rPr>
        <w:t>by the Department of Health</w:t>
      </w:r>
      <w:r w:rsidR="00B1730D">
        <w:rPr>
          <w:iCs/>
        </w:rPr>
        <w:t>, Disability and Ageing</w:t>
      </w:r>
      <w:r w:rsidRPr="009A3778">
        <w:rPr>
          <w:iCs/>
        </w:rPr>
        <w:t>.</w:t>
      </w:r>
      <w:r w:rsidR="00267C20">
        <w:rPr>
          <w:iCs/>
        </w:rPr>
        <w:t xml:space="preserve"> MED-EL </w:t>
      </w:r>
      <w:r w:rsidR="004A381C">
        <w:rPr>
          <w:iCs/>
        </w:rPr>
        <w:t xml:space="preserve">is the manufacturer and sponsor of the </w:t>
      </w:r>
      <w:r w:rsidR="004A381C" w:rsidRPr="004A381C">
        <w:rPr>
          <w:iCs/>
        </w:rPr>
        <w:t>Vibrant Soundbridge Active Middle Ear Implant System</w:t>
      </w:r>
      <w:r w:rsidR="004A381C">
        <w:rPr>
          <w:iCs/>
        </w:rPr>
        <w:t>.</w:t>
      </w:r>
    </w:p>
    <w:p w14:paraId="3F2B7DB1" w14:textId="475CAE73" w:rsidR="0071300E" w:rsidRDefault="00744291" w:rsidP="004C2C5E">
      <w:pPr>
        <w:spacing w:after="240"/>
        <w:rPr>
          <w:iCs/>
        </w:rPr>
      </w:pPr>
      <w:r>
        <w:rPr>
          <w:iCs/>
        </w:rPr>
        <w:t xml:space="preserve">The clinical claim made in the application </w:t>
      </w:r>
      <w:r w:rsidR="00AC78D4">
        <w:rPr>
          <w:iCs/>
        </w:rPr>
        <w:t xml:space="preserve">was that </w:t>
      </w:r>
      <w:r w:rsidR="0004720F">
        <w:rPr>
          <w:iCs/>
        </w:rPr>
        <w:t xml:space="preserve">implantation of an </w:t>
      </w:r>
      <w:r w:rsidR="00972D29">
        <w:rPr>
          <w:iCs/>
        </w:rPr>
        <w:t>AMEI</w:t>
      </w:r>
      <w:r w:rsidR="0004720F">
        <w:rPr>
          <w:iCs/>
        </w:rPr>
        <w:t xml:space="preserve"> </w:t>
      </w:r>
      <w:r w:rsidR="009A0F83">
        <w:rPr>
          <w:iCs/>
        </w:rPr>
        <w:t xml:space="preserve">in </w:t>
      </w:r>
      <w:r w:rsidR="00944640">
        <w:rPr>
          <w:iCs/>
        </w:rPr>
        <w:t>individual</w:t>
      </w:r>
      <w:r w:rsidR="009A0F83">
        <w:rPr>
          <w:iCs/>
        </w:rPr>
        <w:t xml:space="preserve">s with </w:t>
      </w:r>
      <w:r w:rsidR="006752A1">
        <w:rPr>
          <w:iCs/>
        </w:rPr>
        <w:t xml:space="preserve">mild to moderate MHL or CHL </w:t>
      </w:r>
      <w:r w:rsidR="00391834">
        <w:rPr>
          <w:iCs/>
        </w:rPr>
        <w:t>results in</w:t>
      </w:r>
      <w:r w:rsidR="00B7601D">
        <w:rPr>
          <w:iCs/>
        </w:rPr>
        <w:t xml:space="preserve"> superior </w:t>
      </w:r>
      <w:r w:rsidR="00391834">
        <w:rPr>
          <w:iCs/>
        </w:rPr>
        <w:t>health outcomes</w:t>
      </w:r>
      <w:r w:rsidR="00F2200C">
        <w:rPr>
          <w:iCs/>
        </w:rPr>
        <w:t xml:space="preserve"> </w:t>
      </w:r>
      <w:r w:rsidR="00103225">
        <w:rPr>
          <w:iCs/>
        </w:rPr>
        <w:t>(</w:t>
      </w:r>
      <w:r w:rsidR="00C729C6">
        <w:rPr>
          <w:iCs/>
        </w:rPr>
        <w:t>in terms of</w:t>
      </w:r>
      <w:r w:rsidR="0098185B">
        <w:rPr>
          <w:iCs/>
        </w:rPr>
        <w:t xml:space="preserve"> audiological rehabilitation and </w:t>
      </w:r>
      <w:r w:rsidR="007D5540">
        <w:rPr>
          <w:iCs/>
        </w:rPr>
        <w:t>sound localisation</w:t>
      </w:r>
      <w:r w:rsidR="00103225">
        <w:rPr>
          <w:iCs/>
        </w:rPr>
        <w:t>)</w:t>
      </w:r>
      <w:r w:rsidR="007313B7">
        <w:rPr>
          <w:iCs/>
        </w:rPr>
        <w:t xml:space="preserve"> and non-inferior </w:t>
      </w:r>
      <w:r w:rsidR="00556C26">
        <w:rPr>
          <w:iCs/>
        </w:rPr>
        <w:t xml:space="preserve">safety </w:t>
      </w:r>
      <w:r w:rsidR="00F2200C">
        <w:rPr>
          <w:iCs/>
        </w:rPr>
        <w:t xml:space="preserve">compared to </w:t>
      </w:r>
      <w:r w:rsidR="00585901">
        <w:rPr>
          <w:iCs/>
        </w:rPr>
        <w:t>the</w:t>
      </w:r>
      <w:r w:rsidR="00834B39">
        <w:rPr>
          <w:iCs/>
        </w:rPr>
        <w:t xml:space="preserve"> main</w:t>
      </w:r>
      <w:r w:rsidR="00585901">
        <w:rPr>
          <w:iCs/>
        </w:rPr>
        <w:t xml:space="preserve"> comparator</w:t>
      </w:r>
      <w:r w:rsidR="005E6CED">
        <w:rPr>
          <w:iCs/>
        </w:rPr>
        <w:t>, implantation of a bone conduction implant (BCI)</w:t>
      </w:r>
      <w:r w:rsidR="00F2200C">
        <w:rPr>
          <w:iCs/>
        </w:rPr>
        <w:t>.</w:t>
      </w:r>
      <w:r w:rsidR="008346F9" w:rsidRPr="002E4C7C">
        <w:rPr>
          <w:rStyle w:val="FootnoteReference"/>
        </w:rPr>
        <w:footnoteReference w:id="2"/>
      </w:r>
    </w:p>
    <w:p w14:paraId="456A7BCE" w14:textId="39B9FCEC" w:rsidR="00EF6967" w:rsidRDefault="00EF6967" w:rsidP="00EF6967">
      <w:pPr>
        <w:spacing w:after="240"/>
        <w:rPr>
          <w:iCs/>
        </w:rPr>
      </w:pPr>
      <w:r>
        <w:rPr>
          <w:iCs/>
        </w:rPr>
        <w:t xml:space="preserve">The application provided no explanation for restricting </w:t>
      </w:r>
      <w:r w:rsidR="008676F9">
        <w:rPr>
          <w:iCs/>
        </w:rPr>
        <w:t>use of AMEI to individuals with</w:t>
      </w:r>
      <w:r>
        <w:rPr>
          <w:iCs/>
        </w:rPr>
        <w:t xml:space="preserve"> mild to moderate</w:t>
      </w:r>
      <w:r w:rsidR="008676F9">
        <w:rPr>
          <w:iCs/>
        </w:rPr>
        <w:t xml:space="preserve"> hearing loss</w:t>
      </w:r>
      <w:r>
        <w:rPr>
          <w:iCs/>
        </w:rPr>
        <w:t xml:space="preserve">. </w:t>
      </w:r>
      <w:r w:rsidR="0002558C" w:rsidRPr="0002558C">
        <w:rPr>
          <w:iCs/>
        </w:rPr>
        <w:t xml:space="preserve">AMEIs can also be used in individuals with severe </w:t>
      </w:r>
      <w:r w:rsidR="00D573EE">
        <w:rPr>
          <w:iCs/>
        </w:rPr>
        <w:t>M</w:t>
      </w:r>
      <w:r w:rsidR="0002558C" w:rsidRPr="0002558C">
        <w:rPr>
          <w:iCs/>
        </w:rPr>
        <w:t xml:space="preserve">HL and </w:t>
      </w:r>
      <w:r w:rsidR="00D573EE">
        <w:rPr>
          <w:iCs/>
        </w:rPr>
        <w:t>C</w:t>
      </w:r>
      <w:r w:rsidR="0002558C" w:rsidRPr="0002558C">
        <w:rPr>
          <w:iCs/>
        </w:rPr>
        <w:t xml:space="preserve">HL if specific clinical criteria are met (e.g. the cochlea is functional; the middle ear allows for stable transducer placement; </w:t>
      </w:r>
      <w:r w:rsidR="00C404D8">
        <w:rPr>
          <w:iCs/>
        </w:rPr>
        <w:t xml:space="preserve">bone conduction thresholds and </w:t>
      </w:r>
      <w:r w:rsidR="0002558C" w:rsidRPr="0002558C">
        <w:rPr>
          <w:iCs/>
        </w:rPr>
        <w:t>any sensorineural component is within the device fitting range).</w:t>
      </w:r>
    </w:p>
    <w:p w14:paraId="6BA95BFD" w14:textId="21970086" w:rsidR="00EB1D83" w:rsidRDefault="00382FF7" w:rsidP="00FF08C7">
      <w:pPr>
        <w:spacing w:after="240"/>
        <w:rPr>
          <w:iCs/>
        </w:rPr>
      </w:pPr>
      <w:r>
        <w:rPr>
          <w:iCs/>
        </w:rPr>
        <w:t xml:space="preserve">Implantation of </w:t>
      </w:r>
      <w:r w:rsidR="00E4414A">
        <w:rPr>
          <w:iCs/>
        </w:rPr>
        <w:t xml:space="preserve">a </w:t>
      </w:r>
      <w:r>
        <w:rPr>
          <w:iCs/>
        </w:rPr>
        <w:t xml:space="preserve">middle ear implant </w:t>
      </w:r>
      <w:r w:rsidR="00655FD1">
        <w:rPr>
          <w:iCs/>
        </w:rPr>
        <w:t xml:space="preserve">(MEI) </w:t>
      </w:r>
      <w:r>
        <w:rPr>
          <w:iCs/>
        </w:rPr>
        <w:t xml:space="preserve">has been considered by </w:t>
      </w:r>
      <w:r w:rsidR="002B7BE9">
        <w:rPr>
          <w:iCs/>
        </w:rPr>
        <w:t>the Medical Services Advisory Committee (</w:t>
      </w:r>
      <w:r w:rsidR="00B111C5">
        <w:rPr>
          <w:iCs/>
        </w:rPr>
        <w:t>MSAC</w:t>
      </w:r>
      <w:r w:rsidR="002B7BE9">
        <w:rPr>
          <w:iCs/>
        </w:rPr>
        <w:t>)</w:t>
      </w:r>
      <w:r w:rsidR="00B111C5">
        <w:rPr>
          <w:iCs/>
        </w:rPr>
        <w:t xml:space="preserve"> on </w:t>
      </w:r>
      <w:r w:rsidR="003B22EC">
        <w:rPr>
          <w:iCs/>
        </w:rPr>
        <w:t>3</w:t>
      </w:r>
      <w:r w:rsidR="00B111C5">
        <w:rPr>
          <w:iCs/>
        </w:rPr>
        <w:t xml:space="preserve"> </w:t>
      </w:r>
      <w:r w:rsidR="005D5818">
        <w:rPr>
          <w:iCs/>
        </w:rPr>
        <w:t>prev</w:t>
      </w:r>
      <w:r w:rsidR="00B111C5">
        <w:rPr>
          <w:iCs/>
        </w:rPr>
        <w:t>ious occasions</w:t>
      </w:r>
      <w:r w:rsidR="003B22EC">
        <w:rPr>
          <w:iCs/>
        </w:rPr>
        <w:t xml:space="preserve"> (</w:t>
      </w:r>
      <w:r w:rsidR="003B22EC">
        <w:rPr>
          <w:iCs/>
        </w:rPr>
        <w:fldChar w:fldCharType="begin"/>
      </w:r>
      <w:r w:rsidR="003B22EC">
        <w:rPr>
          <w:iCs/>
        </w:rPr>
        <w:instrText xml:space="preserve"> REF _Ref201247922 \h </w:instrText>
      </w:r>
      <w:r w:rsidR="003B22EC">
        <w:rPr>
          <w:iCs/>
        </w:rPr>
      </w:r>
      <w:r w:rsidR="003B22EC">
        <w:rPr>
          <w:iCs/>
        </w:rPr>
        <w:fldChar w:fldCharType="separate"/>
      </w:r>
      <w:r w:rsidR="00A42764" w:rsidRPr="00AD26D1">
        <w:t xml:space="preserve">Table </w:t>
      </w:r>
      <w:r w:rsidR="00A42764">
        <w:rPr>
          <w:noProof/>
        </w:rPr>
        <w:t>2</w:t>
      </w:r>
      <w:r w:rsidR="003B22EC">
        <w:rPr>
          <w:iCs/>
        </w:rPr>
        <w:fldChar w:fldCharType="end"/>
      </w:r>
      <w:r w:rsidR="003B22EC">
        <w:rPr>
          <w:iCs/>
        </w:rPr>
        <w:t>)</w:t>
      </w:r>
      <w:r w:rsidR="00B111C5">
        <w:rPr>
          <w:iCs/>
        </w:rPr>
        <w:t>.</w:t>
      </w:r>
      <w:r w:rsidR="00561116">
        <w:rPr>
          <w:iCs/>
        </w:rPr>
        <w:t xml:space="preserve"> </w:t>
      </w:r>
      <w:r w:rsidR="00067943">
        <w:rPr>
          <w:iCs/>
        </w:rPr>
        <w:t xml:space="preserve">The PICO elements of </w:t>
      </w:r>
      <w:r w:rsidR="00FF577F">
        <w:rPr>
          <w:iCs/>
        </w:rPr>
        <w:t xml:space="preserve">each of </w:t>
      </w:r>
      <w:r w:rsidR="00067943">
        <w:rPr>
          <w:iCs/>
        </w:rPr>
        <w:t>the</w:t>
      </w:r>
      <w:r w:rsidR="00896D98">
        <w:rPr>
          <w:iCs/>
        </w:rPr>
        <w:t xml:space="preserve"> previous</w:t>
      </w:r>
      <w:r w:rsidR="00067943">
        <w:rPr>
          <w:iCs/>
        </w:rPr>
        <w:t xml:space="preserve"> </w:t>
      </w:r>
      <w:r w:rsidR="005240D5">
        <w:rPr>
          <w:iCs/>
        </w:rPr>
        <w:t>applications</w:t>
      </w:r>
      <w:r w:rsidR="00067943">
        <w:rPr>
          <w:iCs/>
        </w:rPr>
        <w:t xml:space="preserve"> are </w:t>
      </w:r>
      <w:r w:rsidR="00067943" w:rsidRPr="002E4C7C">
        <w:rPr>
          <w:iCs/>
        </w:rPr>
        <w:t xml:space="preserve">summarised in </w:t>
      </w:r>
      <w:r w:rsidR="00C03E27" w:rsidRPr="002E4C7C">
        <w:rPr>
          <w:iCs/>
        </w:rPr>
        <w:fldChar w:fldCharType="begin"/>
      </w:r>
      <w:r w:rsidR="00C03E27" w:rsidRPr="002E4C7C">
        <w:rPr>
          <w:iCs/>
        </w:rPr>
        <w:instrText xml:space="preserve"> REF _Ref201248553 \h </w:instrText>
      </w:r>
      <w:r w:rsidR="00C46815" w:rsidRPr="002E4C7C">
        <w:rPr>
          <w:iCs/>
        </w:rPr>
        <w:instrText xml:space="preserve"> \* MERGEFORMAT </w:instrText>
      </w:r>
      <w:r w:rsidR="00C03E27" w:rsidRPr="002E4C7C">
        <w:rPr>
          <w:iCs/>
        </w:rPr>
      </w:r>
      <w:r w:rsidR="00C03E27" w:rsidRPr="002E4C7C">
        <w:rPr>
          <w:iCs/>
        </w:rPr>
        <w:fldChar w:fldCharType="separate"/>
      </w:r>
      <w:r w:rsidR="00A42764">
        <w:t>Appendix</w:t>
      </w:r>
      <w:r w:rsidR="00C03E27" w:rsidRPr="002E4C7C">
        <w:rPr>
          <w:iCs/>
        </w:rPr>
        <w:fldChar w:fldCharType="end"/>
      </w:r>
      <w:r w:rsidR="00C46815" w:rsidRPr="002E4C7C">
        <w:rPr>
          <w:iCs/>
        </w:rPr>
        <w:t xml:space="preserve"> </w:t>
      </w:r>
      <w:r w:rsidR="00426F96" w:rsidRPr="002E4C7C">
        <w:rPr>
          <w:iCs/>
        </w:rPr>
        <w:t>A</w:t>
      </w:r>
      <w:r w:rsidR="00C03E27" w:rsidRPr="002E4C7C">
        <w:rPr>
          <w:iCs/>
        </w:rPr>
        <w:t>.</w:t>
      </w:r>
    </w:p>
    <w:p w14:paraId="416B6A43" w14:textId="4682DF1D" w:rsidR="005D5818" w:rsidRPr="00AD26D1" w:rsidRDefault="005D5818" w:rsidP="005D5818">
      <w:pPr>
        <w:pStyle w:val="Caption"/>
        <w:rPr>
          <w:lang w:val="en-AU"/>
        </w:rPr>
      </w:pPr>
      <w:bookmarkStart w:id="3" w:name="_Ref201247922"/>
      <w:r w:rsidRPr="00AD26D1">
        <w:rPr>
          <w:lang w:val="en-AU"/>
        </w:rPr>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2</w:t>
      </w:r>
      <w:r w:rsidRPr="00AD26D1">
        <w:rPr>
          <w:lang w:val="en-AU"/>
        </w:rPr>
        <w:fldChar w:fldCharType="end"/>
      </w:r>
      <w:bookmarkEnd w:id="3"/>
      <w:r w:rsidRPr="00AD26D1">
        <w:rPr>
          <w:lang w:val="en-AU"/>
        </w:rPr>
        <w:tab/>
      </w:r>
      <w:r>
        <w:rPr>
          <w:lang w:val="en-AU"/>
        </w:rPr>
        <w:t xml:space="preserve">Prior MSAC applications for </w:t>
      </w:r>
      <w:r w:rsidR="0048209C">
        <w:rPr>
          <w:lang w:val="en-AU"/>
        </w:rPr>
        <w:t>implantation of active middle ear implants</w:t>
      </w:r>
    </w:p>
    <w:tbl>
      <w:tblPr>
        <w:tblStyle w:val="TableGrid"/>
        <w:tblW w:w="5000" w:type="pct"/>
        <w:tblInd w:w="0" w:type="dxa"/>
        <w:tblLook w:val="04A0" w:firstRow="1" w:lastRow="0" w:firstColumn="1" w:lastColumn="0" w:noHBand="0" w:noVBand="1"/>
        <w:tblCaption w:val="Prior MSAC applications for implantation of active middle ear implants"/>
        <w:tblDescription w:val="The table provides a list of the prior MSAC applications for AMEI implantation: 1137, 1365, 1365.1 and 1364. The table shows the title of the applications, relevant PASC/ESC/MSAC meeting dates and the MSAC outcome (supported, not supported, withdrawn). "/>
      </w:tblPr>
      <w:tblGrid>
        <w:gridCol w:w="1490"/>
        <w:gridCol w:w="3893"/>
        <w:gridCol w:w="2693"/>
        <w:gridCol w:w="1495"/>
      </w:tblGrid>
      <w:tr w:rsidR="00257B4F" w14:paraId="7C513485" w14:textId="5F57E980" w:rsidTr="00E504DB">
        <w:trPr>
          <w:tblHeader/>
        </w:trPr>
        <w:tc>
          <w:tcPr>
            <w:tcW w:w="778" w:type="pct"/>
          </w:tcPr>
          <w:p w14:paraId="50D86DBF" w14:textId="078BDD8E" w:rsidR="00257B4F" w:rsidRDefault="00257B4F" w:rsidP="00ED1410">
            <w:pPr>
              <w:pStyle w:val="TableHeading"/>
            </w:pPr>
            <w:r>
              <w:t>Application No.</w:t>
            </w:r>
          </w:p>
        </w:tc>
        <w:tc>
          <w:tcPr>
            <w:tcW w:w="2034" w:type="pct"/>
          </w:tcPr>
          <w:p w14:paraId="19F71753" w14:textId="10B1293A" w:rsidR="00257B4F" w:rsidRDefault="00257B4F" w:rsidP="00ED1410">
            <w:pPr>
              <w:pStyle w:val="TableHeading"/>
            </w:pPr>
            <w:r>
              <w:t>Title of application</w:t>
            </w:r>
          </w:p>
        </w:tc>
        <w:tc>
          <w:tcPr>
            <w:tcW w:w="1407" w:type="pct"/>
          </w:tcPr>
          <w:p w14:paraId="374683F3" w14:textId="2615D3D4" w:rsidR="00257B4F" w:rsidRDefault="00257B4F" w:rsidP="00ED1410">
            <w:pPr>
              <w:pStyle w:val="TableHeading"/>
            </w:pPr>
            <w:r>
              <w:t>Meeting date</w:t>
            </w:r>
          </w:p>
        </w:tc>
        <w:tc>
          <w:tcPr>
            <w:tcW w:w="781" w:type="pct"/>
          </w:tcPr>
          <w:p w14:paraId="4AA5CF5B" w14:textId="05287E41" w:rsidR="00257B4F" w:rsidRDefault="00257B4F" w:rsidP="00ED1410">
            <w:pPr>
              <w:pStyle w:val="TableHeading"/>
            </w:pPr>
            <w:r>
              <w:t>Outcome</w:t>
            </w:r>
          </w:p>
        </w:tc>
      </w:tr>
      <w:tr w:rsidR="00257B4F" w14:paraId="486C51D0" w14:textId="77777777" w:rsidTr="00E504DB">
        <w:tc>
          <w:tcPr>
            <w:tcW w:w="778" w:type="pct"/>
          </w:tcPr>
          <w:p w14:paraId="0E416DB6" w14:textId="2913899B" w:rsidR="00257B4F" w:rsidRPr="00196467" w:rsidRDefault="00441C6A" w:rsidP="00593328">
            <w:pPr>
              <w:pStyle w:val="Tabletext"/>
              <w:keepNext/>
            </w:pPr>
            <w:hyperlink r:id="rId8" w:tooltip="Hyperlink to application page on MSAC website" w:history="1">
              <w:r w:rsidRPr="00441C6A">
                <w:rPr>
                  <w:rStyle w:val="Hyperlink"/>
                  <w:rFonts w:ascii="Arial Narrow" w:hAnsi="Arial Narrow" w:cs="Tahoma"/>
                </w:rPr>
                <w:t>1137</w:t>
              </w:r>
            </w:hyperlink>
          </w:p>
        </w:tc>
        <w:tc>
          <w:tcPr>
            <w:tcW w:w="2034" w:type="pct"/>
          </w:tcPr>
          <w:p w14:paraId="7F1A8F98" w14:textId="77777777" w:rsidR="00257B4F" w:rsidRPr="00196467" w:rsidRDefault="00257B4F" w:rsidP="00593328">
            <w:pPr>
              <w:pStyle w:val="Tabletext"/>
              <w:keepNext/>
            </w:pPr>
            <w:r>
              <w:t>Middle ear implant for sensorineural, conductive and mixed hearing losses</w:t>
            </w:r>
          </w:p>
        </w:tc>
        <w:tc>
          <w:tcPr>
            <w:tcW w:w="1407" w:type="pct"/>
          </w:tcPr>
          <w:p w14:paraId="5C5352BD" w14:textId="77777777" w:rsidR="00257B4F" w:rsidRDefault="00257B4F" w:rsidP="00593328">
            <w:pPr>
              <w:pStyle w:val="Tabletext"/>
              <w:keepNext/>
            </w:pPr>
            <w:r w:rsidRPr="00717CD5">
              <w:rPr>
                <w:b/>
                <w:bCs/>
              </w:rPr>
              <w:t>MSAC:</w:t>
            </w:r>
            <w:r>
              <w:t xml:space="preserve"> 29-30 July 2010</w:t>
            </w:r>
          </w:p>
        </w:tc>
        <w:tc>
          <w:tcPr>
            <w:tcW w:w="781" w:type="pct"/>
          </w:tcPr>
          <w:p w14:paraId="039A1034" w14:textId="77777777" w:rsidR="00257B4F" w:rsidRDefault="00257B4F" w:rsidP="00593328">
            <w:pPr>
              <w:pStyle w:val="Tabletext"/>
              <w:keepNext/>
            </w:pPr>
            <w:r>
              <w:t>Not supported</w:t>
            </w:r>
          </w:p>
        </w:tc>
      </w:tr>
      <w:tr w:rsidR="00257B4F" w14:paraId="11F1855C" w14:textId="06E0D25C" w:rsidTr="00E504DB">
        <w:tc>
          <w:tcPr>
            <w:tcW w:w="778" w:type="pct"/>
          </w:tcPr>
          <w:p w14:paraId="5258BB24" w14:textId="337F310D" w:rsidR="00257B4F" w:rsidRPr="00196467" w:rsidRDefault="000A04D9" w:rsidP="005E54ED">
            <w:pPr>
              <w:pStyle w:val="Tabletext"/>
            </w:pPr>
            <w:hyperlink r:id="rId9" w:tooltip="Hyperlink to application page on MSAC website" w:history="1">
              <w:r w:rsidRPr="000A04D9">
                <w:rPr>
                  <w:rStyle w:val="Hyperlink"/>
                  <w:rFonts w:ascii="Arial Narrow" w:hAnsi="Arial Narrow" w:cs="Tahoma"/>
                </w:rPr>
                <w:t>1365</w:t>
              </w:r>
            </w:hyperlink>
          </w:p>
        </w:tc>
        <w:tc>
          <w:tcPr>
            <w:tcW w:w="2034" w:type="pct"/>
          </w:tcPr>
          <w:p w14:paraId="3110326A" w14:textId="71F5F1B7" w:rsidR="00257B4F" w:rsidRPr="00196467" w:rsidRDefault="00257B4F" w:rsidP="005E54ED">
            <w:pPr>
              <w:pStyle w:val="Tabletext"/>
            </w:pPr>
            <w:r>
              <w:t>Active middle ear implants for sensorineural hearing loss</w:t>
            </w:r>
          </w:p>
        </w:tc>
        <w:tc>
          <w:tcPr>
            <w:tcW w:w="1407" w:type="pct"/>
          </w:tcPr>
          <w:p w14:paraId="58C7EFCD" w14:textId="70B53429" w:rsidR="00257B4F" w:rsidRDefault="0027540B" w:rsidP="005E54ED">
            <w:pPr>
              <w:pStyle w:val="Tabletext"/>
            </w:pPr>
            <w:r w:rsidRPr="00953386">
              <w:rPr>
                <w:b/>
                <w:bCs/>
              </w:rPr>
              <w:t>PASC:</w:t>
            </w:r>
            <w:r>
              <w:t xml:space="preserve"> </w:t>
            </w:r>
            <w:r w:rsidR="001F7AE5">
              <w:t>16-17 April 20</w:t>
            </w:r>
            <w:r w:rsidR="00F70108">
              <w:t>1</w:t>
            </w:r>
            <w:r w:rsidR="001F7AE5">
              <w:t>4</w:t>
            </w:r>
          </w:p>
          <w:p w14:paraId="2059290B" w14:textId="7F1A5A88" w:rsidR="00CA00A2" w:rsidRDefault="00CA00A2" w:rsidP="005E54ED">
            <w:pPr>
              <w:pStyle w:val="Tabletext"/>
            </w:pPr>
            <w:r w:rsidRPr="00A920F7">
              <w:rPr>
                <w:b/>
                <w:bCs/>
              </w:rPr>
              <w:t>ESC:</w:t>
            </w:r>
            <w:r>
              <w:t xml:space="preserve"> </w:t>
            </w:r>
            <w:r w:rsidR="00A920F7">
              <w:t>12-13 February 2015</w:t>
            </w:r>
          </w:p>
          <w:p w14:paraId="556ADA48" w14:textId="7A1CB4A0" w:rsidR="001F7AE5" w:rsidRPr="00DA146A" w:rsidRDefault="001F7AE5" w:rsidP="005E54ED">
            <w:pPr>
              <w:pStyle w:val="Tabletext"/>
            </w:pPr>
            <w:r w:rsidRPr="00717CD5">
              <w:rPr>
                <w:b/>
                <w:bCs/>
              </w:rPr>
              <w:t>MSAC:</w:t>
            </w:r>
            <w:r>
              <w:t xml:space="preserve"> 1-2 April 2015</w:t>
            </w:r>
          </w:p>
        </w:tc>
        <w:tc>
          <w:tcPr>
            <w:tcW w:w="781" w:type="pct"/>
          </w:tcPr>
          <w:p w14:paraId="79F2C53F" w14:textId="39623ECC" w:rsidR="00257B4F" w:rsidRPr="00DA146A" w:rsidRDefault="0027540B" w:rsidP="005E54ED">
            <w:pPr>
              <w:pStyle w:val="Tabletext"/>
            </w:pPr>
            <w:r>
              <w:t>Not supported</w:t>
            </w:r>
          </w:p>
        </w:tc>
      </w:tr>
      <w:tr w:rsidR="005E54ED" w14:paraId="0954E8A7" w14:textId="77777777" w:rsidTr="00E504DB">
        <w:tc>
          <w:tcPr>
            <w:tcW w:w="778" w:type="pct"/>
          </w:tcPr>
          <w:p w14:paraId="5C199D24" w14:textId="035FA2D2" w:rsidR="005E54ED" w:rsidRPr="00196467" w:rsidRDefault="005E54ED" w:rsidP="00ED1410">
            <w:pPr>
              <w:pStyle w:val="Tabletext"/>
            </w:pPr>
            <w:hyperlink r:id="rId10" w:tooltip="Hyperink to application page on MSAC website" w:history="1">
              <w:r w:rsidRPr="00AA5AF3">
                <w:rPr>
                  <w:rStyle w:val="Hyperlink"/>
                  <w:rFonts w:ascii="Arial Narrow" w:hAnsi="Arial Narrow" w:cs="Tahoma"/>
                </w:rPr>
                <w:t>1364</w:t>
              </w:r>
            </w:hyperlink>
          </w:p>
        </w:tc>
        <w:tc>
          <w:tcPr>
            <w:tcW w:w="2034" w:type="pct"/>
          </w:tcPr>
          <w:p w14:paraId="5DAE648A" w14:textId="77777777" w:rsidR="005E54ED" w:rsidRPr="00196467" w:rsidRDefault="005E54ED" w:rsidP="00ED1410">
            <w:pPr>
              <w:pStyle w:val="Tabletext"/>
            </w:pPr>
            <w:r>
              <w:t>Active middle ear implants for mixed and conductive hearing loss</w:t>
            </w:r>
          </w:p>
        </w:tc>
        <w:tc>
          <w:tcPr>
            <w:tcW w:w="1407" w:type="pct"/>
          </w:tcPr>
          <w:p w14:paraId="0653E2A5" w14:textId="77777777" w:rsidR="005E54ED" w:rsidRDefault="005E54ED" w:rsidP="00ED1410">
            <w:pPr>
              <w:pStyle w:val="Tabletext"/>
            </w:pPr>
            <w:r w:rsidRPr="00953386">
              <w:rPr>
                <w:b/>
                <w:bCs/>
              </w:rPr>
              <w:t>PASC:</w:t>
            </w:r>
            <w:r>
              <w:t xml:space="preserve"> 11-12 December 2014;</w:t>
            </w:r>
            <w:r>
              <w:br/>
              <w:t>16 April 2015 (withdrawn prior)</w:t>
            </w:r>
          </w:p>
        </w:tc>
        <w:tc>
          <w:tcPr>
            <w:tcW w:w="781" w:type="pct"/>
          </w:tcPr>
          <w:p w14:paraId="5B2A859E" w14:textId="77777777" w:rsidR="005E54ED" w:rsidRDefault="005E54ED" w:rsidP="00ED1410">
            <w:pPr>
              <w:pStyle w:val="Tabletext"/>
            </w:pPr>
            <w:r>
              <w:t>N/A – withdrawn</w:t>
            </w:r>
          </w:p>
        </w:tc>
      </w:tr>
      <w:tr w:rsidR="00257B4F" w14:paraId="6DFB9CDE" w14:textId="5251E9B5" w:rsidTr="00E504DB">
        <w:tc>
          <w:tcPr>
            <w:tcW w:w="778" w:type="pct"/>
          </w:tcPr>
          <w:p w14:paraId="7995D2B1" w14:textId="27B53CF6" w:rsidR="00257B4F" w:rsidRPr="00196467" w:rsidRDefault="00257B4F" w:rsidP="00ED1410">
            <w:pPr>
              <w:pStyle w:val="Tabletext"/>
            </w:pPr>
            <w:hyperlink r:id="rId11" w:tooltip="Hyperlink to application page on MSAC website" w:history="1">
              <w:r w:rsidRPr="0075782C">
                <w:rPr>
                  <w:rStyle w:val="Hyperlink"/>
                  <w:rFonts w:ascii="Arial Narrow" w:hAnsi="Arial Narrow" w:cs="Tahoma"/>
                </w:rPr>
                <w:t>1365.1</w:t>
              </w:r>
            </w:hyperlink>
          </w:p>
        </w:tc>
        <w:tc>
          <w:tcPr>
            <w:tcW w:w="2034" w:type="pct"/>
          </w:tcPr>
          <w:p w14:paraId="03C0B9F4" w14:textId="5848B94A" w:rsidR="00257B4F" w:rsidRPr="00196467" w:rsidRDefault="00257B4F" w:rsidP="00ED1410">
            <w:pPr>
              <w:pStyle w:val="Tabletext"/>
            </w:pPr>
            <w:r>
              <w:t>Active middle ear implants for sensorineural hearing loss (re</w:t>
            </w:r>
            <w:r w:rsidR="00A86AAC">
              <w:t>-application</w:t>
            </w:r>
            <w:r>
              <w:t>)</w:t>
            </w:r>
          </w:p>
        </w:tc>
        <w:tc>
          <w:tcPr>
            <w:tcW w:w="1407" w:type="pct"/>
          </w:tcPr>
          <w:p w14:paraId="4C66283F" w14:textId="53D8F4FF" w:rsidR="00CA00A2" w:rsidRPr="00CA00A2" w:rsidRDefault="00CA00A2" w:rsidP="00ED1410">
            <w:pPr>
              <w:pStyle w:val="Tabletext"/>
            </w:pPr>
            <w:r>
              <w:rPr>
                <w:b/>
                <w:bCs/>
              </w:rPr>
              <w:t xml:space="preserve">ESC: </w:t>
            </w:r>
            <w:r>
              <w:t>10-11 February 2016</w:t>
            </w:r>
          </w:p>
          <w:p w14:paraId="13AA7D9D" w14:textId="6C27C2B9" w:rsidR="00257B4F" w:rsidRDefault="00A86AAC" w:rsidP="00ED1410">
            <w:pPr>
              <w:pStyle w:val="Tabletext"/>
            </w:pPr>
            <w:r w:rsidRPr="00717CD5">
              <w:rPr>
                <w:b/>
                <w:bCs/>
              </w:rPr>
              <w:t>MSAC:</w:t>
            </w:r>
            <w:r>
              <w:t xml:space="preserve"> </w:t>
            </w:r>
            <w:r w:rsidR="00CA00A2">
              <w:t>30-31 March 2016</w:t>
            </w:r>
          </w:p>
        </w:tc>
        <w:tc>
          <w:tcPr>
            <w:tcW w:w="781" w:type="pct"/>
          </w:tcPr>
          <w:p w14:paraId="2B7F983A" w14:textId="41B24208" w:rsidR="00257B4F" w:rsidRDefault="00A86AAC" w:rsidP="00ED1410">
            <w:pPr>
              <w:pStyle w:val="Tabletext"/>
            </w:pPr>
            <w:r>
              <w:t>Supported</w:t>
            </w:r>
          </w:p>
        </w:tc>
      </w:tr>
    </w:tbl>
    <w:p w14:paraId="2712CCDD" w14:textId="7E1F51B0" w:rsidR="005D5818" w:rsidRDefault="001C6259" w:rsidP="007420C2">
      <w:pPr>
        <w:pStyle w:val="Tablenotes"/>
        <w:spacing w:after="0"/>
      </w:pPr>
      <w:r w:rsidRPr="007420C2">
        <w:t>ESC</w:t>
      </w:r>
      <w:r>
        <w:t xml:space="preserve"> = Evaluation Subcommittee; </w:t>
      </w:r>
      <w:r w:rsidR="00287ECF">
        <w:t>MSAC = Medic</w:t>
      </w:r>
      <w:r w:rsidR="001349AA">
        <w:t>al Services Advisory Committee</w:t>
      </w:r>
      <w:r w:rsidR="001B07F3">
        <w:t xml:space="preserve">; </w:t>
      </w:r>
      <w:r w:rsidR="009A4BAE">
        <w:t xml:space="preserve">N/A = not applicable; </w:t>
      </w:r>
      <w:r w:rsidR="001B07F3">
        <w:t>PASC = PICO Advisory Subcommittee</w:t>
      </w:r>
      <w:r w:rsidR="005D5818">
        <w:t>.</w:t>
      </w:r>
    </w:p>
    <w:p w14:paraId="52D8CF60" w14:textId="06788CA6" w:rsidR="007420C2" w:rsidRDefault="007420C2" w:rsidP="007420C2">
      <w:pPr>
        <w:pStyle w:val="Tablenotes"/>
        <w:jc w:val="left"/>
      </w:pPr>
      <w:r>
        <w:t>Source: MSAC website, Department of Health, Disability and Ageing.</w:t>
      </w:r>
    </w:p>
    <w:p w14:paraId="09EFA00E" w14:textId="35BA35B5" w:rsidR="00C502AB" w:rsidRDefault="00C502AB" w:rsidP="00C502AB">
      <w:pPr>
        <w:spacing w:after="240"/>
        <w:rPr>
          <w:iCs/>
        </w:rPr>
      </w:pPr>
      <w:r>
        <w:rPr>
          <w:iCs/>
        </w:rPr>
        <w:t>Application 1137</w:t>
      </w:r>
      <w:r w:rsidR="0092390B">
        <w:rPr>
          <w:iCs/>
        </w:rPr>
        <w:t>: MSAC (</w:t>
      </w:r>
      <w:r w:rsidR="00394135">
        <w:rPr>
          <w:iCs/>
        </w:rPr>
        <w:t>July 2010) considered</w:t>
      </w:r>
      <w:r>
        <w:rPr>
          <w:iCs/>
        </w:rPr>
        <w:t xml:space="preserve"> </w:t>
      </w:r>
      <w:r w:rsidR="0089112B">
        <w:rPr>
          <w:iCs/>
        </w:rPr>
        <w:t xml:space="preserve">the </w:t>
      </w:r>
      <w:r>
        <w:rPr>
          <w:iCs/>
        </w:rPr>
        <w:t>implantation of an MEI for the treatment of</w:t>
      </w:r>
      <w:r w:rsidR="005F1276">
        <w:rPr>
          <w:iCs/>
        </w:rPr>
        <w:t xml:space="preserve"> adults with mild to severe</w:t>
      </w:r>
      <w:r>
        <w:rPr>
          <w:iCs/>
        </w:rPr>
        <w:t xml:space="preserve"> </w:t>
      </w:r>
      <w:r w:rsidR="00920409" w:rsidRPr="00920409">
        <w:rPr>
          <w:iCs/>
        </w:rPr>
        <w:t xml:space="preserve">sensorineural hearing loss </w:t>
      </w:r>
      <w:r w:rsidR="00920409">
        <w:rPr>
          <w:iCs/>
        </w:rPr>
        <w:t>(</w:t>
      </w:r>
      <w:r>
        <w:rPr>
          <w:iCs/>
        </w:rPr>
        <w:t>SNHL</w:t>
      </w:r>
      <w:r w:rsidR="00920409">
        <w:rPr>
          <w:iCs/>
        </w:rPr>
        <w:t>)</w:t>
      </w:r>
      <w:r>
        <w:rPr>
          <w:iCs/>
        </w:rPr>
        <w:t xml:space="preserve">, CHL and MHL </w:t>
      </w:r>
      <w:r w:rsidR="00647797">
        <w:rPr>
          <w:iCs/>
        </w:rPr>
        <w:t>and who had failed</w:t>
      </w:r>
      <w:r w:rsidR="00AC79CB">
        <w:rPr>
          <w:iCs/>
        </w:rPr>
        <w:t xml:space="preserve"> a trial of</w:t>
      </w:r>
      <w:r w:rsidR="00647797">
        <w:rPr>
          <w:iCs/>
        </w:rPr>
        <w:t xml:space="preserve"> external hearing aids for at lea</w:t>
      </w:r>
      <w:r w:rsidR="00AC79CB">
        <w:rPr>
          <w:iCs/>
        </w:rPr>
        <w:t xml:space="preserve">st 3 months. </w:t>
      </w:r>
      <w:r w:rsidR="005C7E6B">
        <w:rPr>
          <w:iCs/>
        </w:rPr>
        <w:t>MSAC did</w:t>
      </w:r>
      <w:r>
        <w:rPr>
          <w:iCs/>
        </w:rPr>
        <w:t xml:space="preserve"> not support</w:t>
      </w:r>
      <w:r w:rsidR="00E16413">
        <w:rPr>
          <w:iCs/>
        </w:rPr>
        <w:t xml:space="preserve"> the proposed listing</w:t>
      </w:r>
      <w:r>
        <w:rPr>
          <w:iCs/>
        </w:rPr>
        <w:t xml:space="preserve"> </w:t>
      </w:r>
      <w:r w:rsidRPr="00FF08C7">
        <w:rPr>
          <w:iCs/>
        </w:rPr>
        <w:t>on the basis of</w:t>
      </w:r>
      <w:r w:rsidR="00F306C7">
        <w:rPr>
          <w:iCs/>
        </w:rPr>
        <w:t>: (i)</w:t>
      </w:r>
      <w:r w:rsidRPr="00FF08C7">
        <w:rPr>
          <w:iCs/>
        </w:rPr>
        <w:t xml:space="preserve"> </w:t>
      </w:r>
      <w:r>
        <w:rPr>
          <w:iCs/>
        </w:rPr>
        <w:t xml:space="preserve">an </w:t>
      </w:r>
      <w:r w:rsidRPr="00FF08C7">
        <w:rPr>
          <w:iCs/>
        </w:rPr>
        <w:t>inability to identify particular subgroups of patients for whom listing could be justified in</w:t>
      </w:r>
      <w:r>
        <w:rPr>
          <w:iCs/>
        </w:rPr>
        <w:t xml:space="preserve"> </w:t>
      </w:r>
      <w:r w:rsidRPr="00FF08C7">
        <w:rPr>
          <w:iCs/>
        </w:rPr>
        <w:t>terms of comparative cost-effectiveness</w:t>
      </w:r>
      <w:r>
        <w:rPr>
          <w:iCs/>
        </w:rPr>
        <w:t>,</w:t>
      </w:r>
      <w:r w:rsidRPr="00FF08C7">
        <w:rPr>
          <w:iCs/>
        </w:rPr>
        <w:t xml:space="preserve"> </w:t>
      </w:r>
      <w:r w:rsidR="00F306C7">
        <w:rPr>
          <w:iCs/>
        </w:rPr>
        <w:t xml:space="preserve">(ii) </w:t>
      </w:r>
      <w:r w:rsidRPr="00FF08C7">
        <w:rPr>
          <w:iCs/>
        </w:rPr>
        <w:t>uncertainty around long-term safety</w:t>
      </w:r>
      <w:r>
        <w:rPr>
          <w:iCs/>
        </w:rPr>
        <w:t>,</w:t>
      </w:r>
      <w:r w:rsidRPr="00FF08C7">
        <w:rPr>
          <w:iCs/>
        </w:rPr>
        <w:t xml:space="preserve"> and </w:t>
      </w:r>
      <w:r w:rsidR="00F306C7">
        <w:rPr>
          <w:iCs/>
        </w:rPr>
        <w:t xml:space="preserve">(iii) </w:t>
      </w:r>
      <w:r w:rsidRPr="00FF08C7">
        <w:rPr>
          <w:iCs/>
        </w:rPr>
        <w:t>the</w:t>
      </w:r>
      <w:r>
        <w:rPr>
          <w:iCs/>
        </w:rPr>
        <w:t xml:space="preserve"> </w:t>
      </w:r>
      <w:r w:rsidRPr="00FF08C7">
        <w:rPr>
          <w:iCs/>
        </w:rPr>
        <w:t>availability of bone-anchored hearing aid</w:t>
      </w:r>
      <w:r>
        <w:rPr>
          <w:iCs/>
        </w:rPr>
        <w:t>s</w:t>
      </w:r>
      <w:r w:rsidRPr="00FF08C7">
        <w:rPr>
          <w:iCs/>
        </w:rPr>
        <w:t xml:space="preserve"> and cochlear implant</w:t>
      </w:r>
      <w:r>
        <w:rPr>
          <w:iCs/>
        </w:rPr>
        <w:t>s</w:t>
      </w:r>
      <w:r w:rsidRPr="00FF08C7">
        <w:rPr>
          <w:iCs/>
        </w:rPr>
        <w:t xml:space="preserve"> as alternatives for</w:t>
      </w:r>
      <w:r>
        <w:rPr>
          <w:iCs/>
        </w:rPr>
        <w:t xml:space="preserve"> </w:t>
      </w:r>
      <w:r w:rsidRPr="00FF08C7">
        <w:rPr>
          <w:iCs/>
        </w:rPr>
        <w:t>all MEI indications.</w:t>
      </w:r>
    </w:p>
    <w:p w14:paraId="48DBE19F" w14:textId="698FB4C3" w:rsidR="00C502AB" w:rsidRDefault="00C502AB" w:rsidP="00C502AB">
      <w:pPr>
        <w:spacing w:after="240"/>
        <w:rPr>
          <w:iCs/>
        </w:rPr>
      </w:pPr>
      <w:r>
        <w:rPr>
          <w:iCs/>
        </w:rPr>
        <w:t>Application 1364</w:t>
      </w:r>
      <w:r w:rsidR="00A2636D">
        <w:rPr>
          <w:iCs/>
        </w:rPr>
        <w:t xml:space="preserve">: </w:t>
      </w:r>
      <w:r w:rsidR="008F1BDF">
        <w:rPr>
          <w:iCs/>
        </w:rPr>
        <w:t>PASC (</w:t>
      </w:r>
      <w:r w:rsidR="007816EB">
        <w:rPr>
          <w:iCs/>
        </w:rPr>
        <w:t>December 2014, April 2015) considered</w:t>
      </w:r>
      <w:r w:rsidR="002B0375">
        <w:rPr>
          <w:iCs/>
        </w:rPr>
        <w:t xml:space="preserve"> the</w:t>
      </w:r>
      <w:r>
        <w:rPr>
          <w:iCs/>
        </w:rPr>
        <w:t xml:space="preserve"> implantation of an AMEI for the treatment of </w:t>
      </w:r>
      <w:r w:rsidR="00DE3075">
        <w:rPr>
          <w:iCs/>
        </w:rPr>
        <w:t xml:space="preserve">mild to moderate </w:t>
      </w:r>
      <w:r>
        <w:rPr>
          <w:iCs/>
        </w:rPr>
        <w:t>MHL and CHL</w:t>
      </w:r>
      <w:r w:rsidR="00DE3075">
        <w:rPr>
          <w:iCs/>
        </w:rPr>
        <w:t xml:space="preserve"> in individuals </w:t>
      </w:r>
      <w:r w:rsidR="00DD7661" w:rsidRPr="00DD7661">
        <w:rPr>
          <w:iCs/>
        </w:rPr>
        <w:t xml:space="preserve">who </w:t>
      </w:r>
      <w:r w:rsidR="00E36DA7">
        <w:rPr>
          <w:iCs/>
        </w:rPr>
        <w:t>were unable to</w:t>
      </w:r>
      <w:r w:rsidR="00DD7661" w:rsidRPr="00DD7661">
        <w:rPr>
          <w:iCs/>
        </w:rPr>
        <w:t xml:space="preserve"> wear conventional hearing </w:t>
      </w:r>
      <w:r w:rsidR="00DD7661" w:rsidRPr="00DD7661">
        <w:rPr>
          <w:iCs/>
        </w:rPr>
        <w:lastRenderedPageBreak/>
        <w:t>aids due to anatomical or medical reasons</w:t>
      </w:r>
      <w:r w:rsidR="00E45741">
        <w:rPr>
          <w:iCs/>
        </w:rPr>
        <w:t>,</w:t>
      </w:r>
      <w:r w:rsidR="00DD7661" w:rsidRPr="00DD7661">
        <w:rPr>
          <w:iCs/>
        </w:rPr>
        <w:t xml:space="preserve"> </w:t>
      </w:r>
      <w:r w:rsidR="00776C91">
        <w:rPr>
          <w:iCs/>
        </w:rPr>
        <w:t xml:space="preserve">and </w:t>
      </w:r>
      <w:r w:rsidR="0001101F">
        <w:rPr>
          <w:iCs/>
        </w:rPr>
        <w:t>unsuited to</w:t>
      </w:r>
      <w:r w:rsidR="00E45741">
        <w:rPr>
          <w:iCs/>
        </w:rPr>
        <w:t>,</w:t>
      </w:r>
      <w:r w:rsidR="0001101F">
        <w:rPr>
          <w:iCs/>
        </w:rPr>
        <w:t xml:space="preserve"> </w:t>
      </w:r>
      <w:r w:rsidR="00E45741">
        <w:rPr>
          <w:iCs/>
        </w:rPr>
        <w:t xml:space="preserve">or had not received benefit from, middle ear surgery or reconstruction </w:t>
      </w:r>
      <w:r>
        <w:rPr>
          <w:iCs/>
        </w:rPr>
        <w:t>(</w:t>
      </w:r>
      <w:r w:rsidR="006128BB">
        <w:rPr>
          <w:iCs/>
        </w:rPr>
        <w:t xml:space="preserve">i.e. </w:t>
      </w:r>
      <w:r>
        <w:rPr>
          <w:iCs/>
        </w:rPr>
        <w:t>similar indication to the current application)</w:t>
      </w:r>
      <w:r w:rsidR="00DE3075">
        <w:rPr>
          <w:iCs/>
        </w:rPr>
        <w:t>.</w:t>
      </w:r>
      <w:r>
        <w:rPr>
          <w:iCs/>
        </w:rPr>
        <w:t xml:space="preserve"> </w:t>
      </w:r>
      <w:r w:rsidR="00DE3075">
        <w:rPr>
          <w:iCs/>
        </w:rPr>
        <w:t>T</w:t>
      </w:r>
      <w:r w:rsidR="009642A5">
        <w:rPr>
          <w:iCs/>
        </w:rPr>
        <w:t xml:space="preserve">he application </w:t>
      </w:r>
      <w:r>
        <w:rPr>
          <w:iCs/>
        </w:rPr>
        <w:t>was withdrawn prior to MSAC consideration.</w:t>
      </w:r>
    </w:p>
    <w:p w14:paraId="21E1363C" w14:textId="06D36E8E" w:rsidR="002A5B16" w:rsidRDefault="002A5B16" w:rsidP="00C502AB">
      <w:pPr>
        <w:spacing w:after="240"/>
        <w:rPr>
          <w:iCs/>
        </w:rPr>
      </w:pPr>
      <w:r>
        <w:rPr>
          <w:iCs/>
        </w:rPr>
        <w:t xml:space="preserve">MSAC 1365: </w:t>
      </w:r>
      <w:r w:rsidR="00E630B0">
        <w:rPr>
          <w:iCs/>
        </w:rPr>
        <w:t xml:space="preserve">MSAC (April 2015) </w:t>
      </w:r>
      <w:r w:rsidR="003F79E9">
        <w:rPr>
          <w:iCs/>
        </w:rPr>
        <w:t xml:space="preserve">considered the implantation of an AMEI </w:t>
      </w:r>
      <w:r w:rsidR="00D83785">
        <w:rPr>
          <w:iCs/>
        </w:rPr>
        <w:t xml:space="preserve">for </w:t>
      </w:r>
      <w:r w:rsidR="00D51E64">
        <w:rPr>
          <w:iCs/>
        </w:rPr>
        <w:t xml:space="preserve">individuals with </w:t>
      </w:r>
      <w:r w:rsidR="003F3FCE">
        <w:rPr>
          <w:iCs/>
        </w:rPr>
        <w:t>stable, bilateral</w:t>
      </w:r>
      <w:r w:rsidR="006E7D62">
        <w:rPr>
          <w:iCs/>
        </w:rPr>
        <w:t xml:space="preserve">, mild to severe </w:t>
      </w:r>
      <w:r w:rsidR="00D83785">
        <w:rPr>
          <w:iCs/>
        </w:rPr>
        <w:t>SNHL. MSAC</w:t>
      </w:r>
      <w:r w:rsidR="00864CDC">
        <w:rPr>
          <w:iCs/>
        </w:rPr>
        <w:t xml:space="preserve"> </w:t>
      </w:r>
      <w:r w:rsidR="004F69D2">
        <w:rPr>
          <w:iCs/>
        </w:rPr>
        <w:t xml:space="preserve">noted </w:t>
      </w:r>
      <w:r w:rsidR="004F69D2" w:rsidRPr="00683324">
        <w:rPr>
          <w:iCs/>
        </w:rPr>
        <w:t>considerable unmet clinical need for the device in the proposed populatio</w:t>
      </w:r>
      <w:r w:rsidR="004F69D2">
        <w:rPr>
          <w:iCs/>
        </w:rPr>
        <w:t xml:space="preserve">n but </w:t>
      </w:r>
      <w:r w:rsidR="00864CDC">
        <w:rPr>
          <w:iCs/>
        </w:rPr>
        <w:t xml:space="preserve">did not support </w:t>
      </w:r>
      <w:r w:rsidR="00C47F51">
        <w:rPr>
          <w:iCs/>
        </w:rPr>
        <w:t xml:space="preserve">public funding </w:t>
      </w:r>
      <w:r w:rsidR="00DD6BA4">
        <w:rPr>
          <w:iCs/>
        </w:rPr>
        <w:t xml:space="preserve">due to substantially uncertain cost-effectiveness. </w:t>
      </w:r>
    </w:p>
    <w:p w14:paraId="1DED475F" w14:textId="1C00B8E7" w:rsidR="00C502AB" w:rsidRPr="00C502AB" w:rsidRDefault="00C502AB" w:rsidP="00C502AB">
      <w:pPr>
        <w:spacing w:after="240"/>
        <w:rPr>
          <w:iCs/>
        </w:rPr>
      </w:pPr>
      <w:r>
        <w:rPr>
          <w:iCs/>
        </w:rPr>
        <w:t>Application 1365.1</w:t>
      </w:r>
      <w:r w:rsidR="004E2392">
        <w:rPr>
          <w:iCs/>
        </w:rPr>
        <w:t>: MSAC (</w:t>
      </w:r>
      <w:r w:rsidR="00BD08DC">
        <w:rPr>
          <w:iCs/>
        </w:rPr>
        <w:t xml:space="preserve">March 2016) </w:t>
      </w:r>
      <w:r w:rsidR="00F444D2">
        <w:rPr>
          <w:iCs/>
        </w:rPr>
        <w:t>re</w:t>
      </w:r>
      <w:r w:rsidR="00BD08DC">
        <w:rPr>
          <w:iCs/>
        </w:rPr>
        <w:t xml:space="preserve">considered the </w:t>
      </w:r>
      <w:r w:rsidR="00A06F99">
        <w:rPr>
          <w:iCs/>
        </w:rPr>
        <w:t xml:space="preserve">application for </w:t>
      </w:r>
      <w:r w:rsidR="00BD08DC">
        <w:rPr>
          <w:iCs/>
        </w:rPr>
        <w:t>implantation of an AMEI</w:t>
      </w:r>
      <w:r>
        <w:rPr>
          <w:iCs/>
        </w:rPr>
        <w:t xml:space="preserve"> for </w:t>
      </w:r>
      <w:r w:rsidR="00FF6197">
        <w:rPr>
          <w:iCs/>
        </w:rPr>
        <w:t xml:space="preserve">individuals </w:t>
      </w:r>
      <w:r>
        <w:rPr>
          <w:iCs/>
        </w:rPr>
        <w:t xml:space="preserve">with </w:t>
      </w:r>
      <w:r w:rsidR="00204A13">
        <w:rPr>
          <w:iCs/>
        </w:rPr>
        <w:t>stable, bilateral</w:t>
      </w:r>
      <w:r w:rsidR="00051D7D">
        <w:rPr>
          <w:iCs/>
        </w:rPr>
        <w:t>,</w:t>
      </w:r>
      <w:r w:rsidR="00204A13">
        <w:rPr>
          <w:iCs/>
        </w:rPr>
        <w:t xml:space="preserve"> </w:t>
      </w:r>
      <w:r w:rsidR="00F84FC0">
        <w:rPr>
          <w:iCs/>
        </w:rPr>
        <w:t xml:space="preserve">mild to severe </w:t>
      </w:r>
      <w:r w:rsidR="00051D7D">
        <w:rPr>
          <w:iCs/>
        </w:rPr>
        <w:t>SNHL</w:t>
      </w:r>
      <w:r w:rsidR="00496450">
        <w:rPr>
          <w:iCs/>
        </w:rPr>
        <w:t xml:space="preserve">. </w:t>
      </w:r>
      <w:r w:rsidR="000E4D71">
        <w:rPr>
          <w:iCs/>
        </w:rPr>
        <w:t>MSAC</w:t>
      </w:r>
      <w:r>
        <w:rPr>
          <w:iCs/>
        </w:rPr>
        <w:t xml:space="preserve"> </w:t>
      </w:r>
      <w:r w:rsidR="00F444D2" w:rsidRPr="00F444D2">
        <w:rPr>
          <w:iCs/>
        </w:rPr>
        <w:t xml:space="preserve">was satisfied that the device </w:t>
      </w:r>
      <w:r w:rsidR="00F444D2">
        <w:rPr>
          <w:iCs/>
        </w:rPr>
        <w:t>wa</w:t>
      </w:r>
      <w:r w:rsidR="00F444D2" w:rsidRPr="00F444D2">
        <w:rPr>
          <w:iCs/>
        </w:rPr>
        <w:t>s likely to be cost-effective in the proposed population and the financial implications of including AMEI on the MBS would be reasonable.</w:t>
      </w:r>
      <w:r w:rsidR="00F444D2">
        <w:rPr>
          <w:iCs/>
        </w:rPr>
        <w:t xml:space="preserve"> </w:t>
      </w:r>
      <w:r w:rsidR="000844CF">
        <w:rPr>
          <w:iCs/>
        </w:rPr>
        <w:t xml:space="preserve">MSAC </w:t>
      </w:r>
      <w:r>
        <w:rPr>
          <w:iCs/>
        </w:rPr>
        <w:t xml:space="preserve">supported </w:t>
      </w:r>
      <w:r w:rsidR="000E4D71">
        <w:rPr>
          <w:iCs/>
        </w:rPr>
        <w:t>public funding</w:t>
      </w:r>
      <w:r w:rsidR="00DC3180">
        <w:rPr>
          <w:iCs/>
        </w:rPr>
        <w:t>;</w:t>
      </w:r>
      <w:r w:rsidR="00175174">
        <w:rPr>
          <w:iCs/>
        </w:rPr>
        <w:t xml:space="preserve"> </w:t>
      </w:r>
      <w:r w:rsidR="00DC3180">
        <w:t>t</w:t>
      </w:r>
      <w:r w:rsidR="00274AB6">
        <w:t>he</w:t>
      </w:r>
      <w:r w:rsidR="00175174">
        <w:t xml:space="preserve"> MBS item for </w:t>
      </w:r>
      <w:r w:rsidR="002A6135">
        <w:t xml:space="preserve">MEI </w:t>
      </w:r>
      <w:r w:rsidR="00175174">
        <w:t xml:space="preserve">implantation </w:t>
      </w:r>
      <w:r w:rsidR="00274AB6">
        <w:t xml:space="preserve">in patients with SNHL </w:t>
      </w:r>
      <w:r w:rsidR="00B74C2C" w:rsidRPr="00AA5221">
        <w:t>(MBS item 41618, start date 1 May 2017)</w:t>
      </w:r>
      <w:r w:rsidR="00B74C2C">
        <w:t xml:space="preserve"> </w:t>
      </w:r>
      <w:r w:rsidR="00175174">
        <w:t xml:space="preserve">is </w:t>
      </w:r>
      <w:r w:rsidR="00175174" w:rsidRPr="00AA5221">
        <w:t xml:space="preserve">shown in Appendix B, </w:t>
      </w:r>
      <w:r w:rsidR="00175174" w:rsidRPr="00AA5221">
        <w:fldChar w:fldCharType="begin"/>
      </w:r>
      <w:r w:rsidR="00175174" w:rsidRPr="00AA5221">
        <w:instrText xml:space="preserve"> REF _Ref200557306 \h </w:instrText>
      </w:r>
      <w:r w:rsidR="00175174">
        <w:instrText xml:space="preserve"> \* MERGEFORMAT </w:instrText>
      </w:r>
      <w:r w:rsidR="00175174" w:rsidRPr="00AA5221">
        <w:fldChar w:fldCharType="separate"/>
      </w:r>
      <w:r w:rsidR="00A42764">
        <w:t xml:space="preserve">Box </w:t>
      </w:r>
      <w:r w:rsidR="0006468C">
        <w:rPr>
          <w:noProof/>
        </w:rPr>
        <w:t>3</w:t>
      </w:r>
      <w:r w:rsidR="00175174" w:rsidRPr="00AA5221">
        <w:fldChar w:fldCharType="end"/>
      </w:r>
      <w:r w:rsidR="00175174" w:rsidRPr="00AA5221">
        <w:t>.</w:t>
      </w:r>
    </w:p>
    <w:p w14:paraId="18E66948" w14:textId="77777777" w:rsidR="00D73332" w:rsidRPr="00FD4C65" w:rsidRDefault="00D73332" w:rsidP="00FD4C65">
      <w:pPr>
        <w:pStyle w:val="Heading2"/>
      </w:pPr>
      <w:r w:rsidRPr="00FD4C65">
        <w:t xml:space="preserve">PICO </w:t>
      </w:r>
      <w:r w:rsidR="00FD4E33" w:rsidRPr="00FD4C65">
        <w:t xml:space="preserve">criteria </w:t>
      </w:r>
    </w:p>
    <w:p w14:paraId="06B30611" w14:textId="77777777" w:rsidR="007D6B83" w:rsidRDefault="007D6B83" w:rsidP="007D6B83">
      <w:pPr>
        <w:pStyle w:val="Heading3"/>
      </w:pPr>
      <w:bookmarkStart w:id="4" w:name="_Ref203399622"/>
      <w:r w:rsidRPr="00713728">
        <w:t>Population</w:t>
      </w:r>
      <w:bookmarkEnd w:id="4"/>
    </w:p>
    <w:p w14:paraId="1DB16D27" w14:textId="500AFEB9" w:rsidR="0024725C" w:rsidRDefault="003C361F" w:rsidP="00B068B6">
      <w:r>
        <w:t xml:space="preserve">The </w:t>
      </w:r>
      <w:r w:rsidR="00B07C7A">
        <w:t xml:space="preserve">applicant’s original </w:t>
      </w:r>
      <w:r>
        <w:t xml:space="preserve">proposed population </w:t>
      </w:r>
      <w:r w:rsidR="00CD1D2F">
        <w:t>wa</w:t>
      </w:r>
      <w:r>
        <w:t>s i</w:t>
      </w:r>
      <w:r w:rsidR="00CF247D">
        <w:t xml:space="preserve">ndividuals aged 5 years </w:t>
      </w:r>
      <w:r w:rsidR="00FE5F4D">
        <w:t xml:space="preserve">or older </w:t>
      </w:r>
      <w:r w:rsidR="00CF247D">
        <w:t xml:space="preserve">with </w:t>
      </w:r>
      <w:r w:rsidR="00071F54">
        <w:t xml:space="preserve">persistent </w:t>
      </w:r>
      <w:r w:rsidR="00694324">
        <w:t>(</w:t>
      </w:r>
      <w:r w:rsidR="00113E9E">
        <w:t>chronic, non-resolving</w:t>
      </w:r>
      <w:r w:rsidR="00694324">
        <w:t>)</w:t>
      </w:r>
      <w:r w:rsidR="00113E9E">
        <w:t xml:space="preserve">, </w:t>
      </w:r>
      <w:r w:rsidR="00CF247D">
        <w:t xml:space="preserve">mild to </w:t>
      </w:r>
      <w:r w:rsidR="00DF0F20">
        <w:t>moderate</w:t>
      </w:r>
      <w:r w:rsidR="008351F2">
        <w:t xml:space="preserve"> </w:t>
      </w:r>
      <w:r w:rsidR="000B0718">
        <w:t xml:space="preserve">MHL or CHL </w:t>
      </w:r>
      <w:r w:rsidR="00CF247D">
        <w:t>who are</w:t>
      </w:r>
      <w:r w:rsidR="00AE0EBC">
        <w:t xml:space="preserve"> </w:t>
      </w:r>
      <w:r w:rsidR="00CF247D">
        <w:t>not appropriate candidates for</w:t>
      </w:r>
      <w:r w:rsidR="00F91180">
        <w:t>,</w:t>
      </w:r>
      <w:r w:rsidR="00CF247D">
        <w:t xml:space="preserve"> or have not achieved adequate benefit from</w:t>
      </w:r>
      <w:r w:rsidR="00F91180">
        <w:t>,</w:t>
      </w:r>
      <w:r w:rsidR="006B4C1E">
        <w:t xml:space="preserve"> </w:t>
      </w:r>
      <w:r w:rsidR="00CF247D">
        <w:t>surgical repair or reconstruction of the middle ear</w:t>
      </w:r>
      <w:r w:rsidR="00DE484C">
        <w:t xml:space="preserve">, </w:t>
      </w:r>
      <w:r w:rsidR="00AE0EBC">
        <w:t xml:space="preserve">and are </w:t>
      </w:r>
      <w:r w:rsidR="00CF247D">
        <w:t xml:space="preserve">unable to </w:t>
      </w:r>
      <w:r w:rsidR="0024725C">
        <w:t>use a</w:t>
      </w:r>
      <w:r w:rsidR="00E97C43">
        <w:t xml:space="preserve"> </w:t>
      </w:r>
      <w:r w:rsidR="00CF247D">
        <w:t xml:space="preserve">conventional </w:t>
      </w:r>
      <w:r w:rsidR="003F2FB6">
        <w:t>(non</w:t>
      </w:r>
      <w:r w:rsidR="00FD1D29">
        <w:t>-</w:t>
      </w:r>
      <w:r w:rsidR="00FF09B7">
        <w:t>implantable</w:t>
      </w:r>
      <w:r w:rsidR="003F2FB6">
        <w:t xml:space="preserve">) </w:t>
      </w:r>
      <w:r w:rsidR="0024725C" w:rsidRPr="0024725C">
        <w:t>hearing device due to medical or audiological reasons</w:t>
      </w:r>
      <w:r w:rsidR="0024725C">
        <w:t>.</w:t>
      </w:r>
    </w:p>
    <w:p w14:paraId="0CA3BEB4" w14:textId="50DAD3A7" w:rsidR="009E722D" w:rsidRDefault="009E722D" w:rsidP="00B068B6">
      <w:r>
        <w:t xml:space="preserve">This population comprises </w:t>
      </w:r>
      <w:r w:rsidR="00DA0D37">
        <w:t xml:space="preserve">children </w:t>
      </w:r>
      <w:r w:rsidR="00A35D73">
        <w:t xml:space="preserve">aged </w:t>
      </w:r>
      <w:r w:rsidR="00DA0D37">
        <w:t>5 years</w:t>
      </w:r>
      <w:r w:rsidR="00A35D73">
        <w:t xml:space="preserve"> and older</w:t>
      </w:r>
      <w:r w:rsidR="00AE4961">
        <w:t>, adolescents</w:t>
      </w:r>
      <w:r w:rsidR="00DA0D37">
        <w:t xml:space="preserve"> and adults with persistent </w:t>
      </w:r>
      <w:r w:rsidR="00D00BF8">
        <w:t>MHL</w:t>
      </w:r>
      <w:r>
        <w:t xml:space="preserve"> </w:t>
      </w:r>
      <w:r w:rsidR="007C1A5F">
        <w:t xml:space="preserve">(with both conductive and sensorineural components) </w:t>
      </w:r>
      <w:r w:rsidR="00BC14C4">
        <w:t xml:space="preserve">or </w:t>
      </w:r>
      <w:r w:rsidR="0068459D">
        <w:t xml:space="preserve">persistent </w:t>
      </w:r>
      <w:r w:rsidR="00BC14C4">
        <w:t>CHL</w:t>
      </w:r>
      <w:r w:rsidR="000C0C61">
        <w:t>,</w:t>
      </w:r>
      <w:r w:rsidR="00BC14C4">
        <w:t xml:space="preserve"> </w:t>
      </w:r>
      <w:r>
        <w:t xml:space="preserve">for whom </w:t>
      </w:r>
      <w:r w:rsidR="008A2798">
        <w:t>first line</w:t>
      </w:r>
      <w:r>
        <w:t xml:space="preserve"> rehabilitative approaches (surgery</w:t>
      </w:r>
      <w:r w:rsidR="0016315B">
        <w:t xml:space="preserve"> and/or </w:t>
      </w:r>
      <w:r w:rsidR="00B5797E">
        <w:t xml:space="preserve">conventional </w:t>
      </w:r>
      <w:r w:rsidR="000539D4">
        <w:t>non-</w:t>
      </w:r>
      <w:r w:rsidR="000A5282">
        <w:t xml:space="preserve">implantable </w:t>
      </w:r>
      <w:r w:rsidR="000A0F0B">
        <w:t xml:space="preserve">hearing </w:t>
      </w:r>
      <w:r w:rsidR="006E77DF">
        <w:t>devices</w:t>
      </w:r>
      <w:r w:rsidR="000A0F0B">
        <w:t>)</w:t>
      </w:r>
      <w:r w:rsidR="009C73D9">
        <w:rPr>
          <w:rStyle w:val="FootnoteReference"/>
        </w:rPr>
        <w:footnoteReference w:id="3"/>
      </w:r>
      <w:r w:rsidR="000A0F0B">
        <w:t xml:space="preserve"> are not </w:t>
      </w:r>
      <w:r w:rsidR="00442614">
        <w:t>feasible</w:t>
      </w:r>
      <w:r w:rsidR="000A0F0B">
        <w:t xml:space="preserve"> or effective due to anatomical, clinical or </w:t>
      </w:r>
      <w:r w:rsidR="0044494F">
        <w:t xml:space="preserve">medical </w:t>
      </w:r>
      <w:r w:rsidR="008A2798">
        <w:t>reasons</w:t>
      </w:r>
      <w:r w:rsidR="0044494F">
        <w:t>.</w:t>
      </w:r>
      <w:r w:rsidR="003A5001">
        <w:t xml:space="preserve"> </w:t>
      </w:r>
      <w:r w:rsidR="00C8335B">
        <w:t>Current stand</w:t>
      </w:r>
      <w:r w:rsidR="00B84EB6">
        <w:t>ard of care for t</w:t>
      </w:r>
      <w:r w:rsidR="00E66A32">
        <w:t xml:space="preserve">hese individuals </w:t>
      </w:r>
      <w:r w:rsidR="00B84EB6">
        <w:t>are implantable solutions</w:t>
      </w:r>
      <w:r w:rsidR="00695322">
        <w:t>, namely bone-conducting implants</w:t>
      </w:r>
      <w:r w:rsidR="00925176">
        <w:t xml:space="preserve"> (BCIs)</w:t>
      </w:r>
      <w:r w:rsidR="00116D60">
        <w:t xml:space="preserve"> or</w:t>
      </w:r>
      <w:r w:rsidR="00B1646F">
        <w:t xml:space="preserve"> </w:t>
      </w:r>
      <w:r w:rsidR="002345B6">
        <w:t xml:space="preserve">no further intervention for individuals who are </w:t>
      </w:r>
      <w:r w:rsidR="00580537">
        <w:t>contraindicated for, or unsuitable for, a BCI</w:t>
      </w:r>
      <w:r w:rsidR="00DF53BF">
        <w:t xml:space="preserve">. </w:t>
      </w:r>
      <w:r w:rsidR="00145626">
        <w:t xml:space="preserve">Some </w:t>
      </w:r>
      <w:r w:rsidR="00E66A32">
        <w:t xml:space="preserve">can still </w:t>
      </w:r>
      <w:r w:rsidR="002C7449">
        <w:t xml:space="preserve">benefit from </w:t>
      </w:r>
      <w:r w:rsidR="00416B28">
        <w:t xml:space="preserve">sound amplification; however, their degree of hearing loss does not meet the </w:t>
      </w:r>
      <w:r w:rsidR="002B4EE1">
        <w:t xml:space="preserve">severe/profound </w:t>
      </w:r>
      <w:r w:rsidR="00290DEC">
        <w:t xml:space="preserve">threshold </w:t>
      </w:r>
      <w:r w:rsidR="002B4EE1">
        <w:t xml:space="preserve">requirement </w:t>
      </w:r>
      <w:r w:rsidR="00290DEC">
        <w:t>for</w:t>
      </w:r>
      <w:r w:rsidR="00416B28">
        <w:t xml:space="preserve"> cochlear implant</w:t>
      </w:r>
      <w:r w:rsidR="00290DEC">
        <w:t>ation.</w:t>
      </w:r>
    </w:p>
    <w:p w14:paraId="33ACF4EA" w14:textId="0C0D0B2C" w:rsidR="005239C3" w:rsidRDefault="004D0FA8" w:rsidP="00B068B6">
      <w:r>
        <w:t>Note that t</w:t>
      </w:r>
      <w:r w:rsidR="005239C3">
        <w:t xml:space="preserve">he </w:t>
      </w:r>
      <w:r w:rsidR="008B280E">
        <w:t>target</w:t>
      </w:r>
      <w:r w:rsidR="005239C3">
        <w:t xml:space="preserve"> population does not include individuals who have not achieved adequate benefit from a BCI. Use of the intervention in this group is not addressed in clinical practice guidelines, is not supported by the available clinical evidence, and is not established as standard clinical care </w:t>
      </w:r>
      <w:r w:rsidR="005239C3" w:rsidRPr="001F7865">
        <w:t>(for example, Ontario Health</w:t>
      </w:r>
      <w:r w:rsidR="005239C3">
        <w:t xml:space="preserve"> Quality</w:t>
      </w:r>
      <w:r w:rsidR="005239C3" w:rsidRPr="001F7865">
        <w:t xml:space="preserve"> 2020; Souza et al. 2022; Vickers et al. 2023; Bruschini et al. 2024)</w:t>
      </w:r>
      <w:r w:rsidR="005239C3">
        <w:t>.</w:t>
      </w:r>
    </w:p>
    <w:p w14:paraId="117ED133" w14:textId="32DC2FFE" w:rsidR="00485A12" w:rsidRPr="00D94B7E" w:rsidRDefault="00485A12" w:rsidP="00485A12">
      <w:pPr>
        <w:rPr>
          <w:i/>
          <w:iCs/>
        </w:rPr>
      </w:pPr>
      <w:r w:rsidRPr="00D94B7E">
        <w:rPr>
          <w:i/>
          <w:iCs/>
        </w:rPr>
        <w:t xml:space="preserve">PASC considered whether the proposed population should be broadened from individuals with mild to moderate MHL/CHL </w:t>
      </w:r>
      <w:r w:rsidR="00431C6C">
        <w:rPr>
          <w:i/>
          <w:iCs/>
        </w:rPr>
        <w:t xml:space="preserve">(as proposed in the application) </w:t>
      </w:r>
      <w:r w:rsidRPr="00D94B7E">
        <w:rPr>
          <w:i/>
          <w:iCs/>
        </w:rPr>
        <w:t xml:space="preserve">to include individuals with severe MHL/CHL. PASC noted that the Australian Register of Therapeutic Goods (ARTG) entry for the Vibrant Soundbridge System states that the system is indicated for use in patients with mild to severe hearing impairment who cannot achieve success or adequate benefit from traditional therapies. PASC noted that individuals with severe </w:t>
      </w:r>
      <w:r w:rsidRPr="00D94B7E">
        <w:rPr>
          <w:i/>
          <w:iCs/>
        </w:rPr>
        <w:lastRenderedPageBreak/>
        <w:t xml:space="preserve">MHL who are not </w:t>
      </w:r>
      <w:r w:rsidR="00F86F09">
        <w:rPr>
          <w:i/>
          <w:iCs/>
        </w:rPr>
        <w:t>suitable</w:t>
      </w:r>
      <w:r w:rsidRPr="00D94B7E">
        <w:rPr>
          <w:i/>
          <w:iCs/>
        </w:rPr>
        <w:t xml:space="preserve"> candidates for </w:t>
      </w:r>
      <w:r w:rsidR="00754135">
        <w:rPr>
          <w:i/>
          <w:iCs/>
        </w:rPr>
        <w:t xml:space="preserve">a </w:t>
      </w:r>
      <w:r w:rsidRPr="00D94B7E">
        <w:rPr>
          <w:i/>
          <w:iCs/>
        </w:rPr>
        <w:t xml:space="preserve">cochlear implant represent a high-needs group with limited available treatment options. </w:t>
      </w:r>
    </w:p>
    <w:p w14:paraId="492C4288" w14:textId="77777777" w:rsidR="00485A12" w:rsidRPr="00D94B7E" w:rsidRDefault="00485A12" w:rsidP="00485A12">
      <w:pPr>
        <w:rPr>
          <w:i/>
          <w:iCs/>
        </w:rPr>
      </w:pPr>
      <w:r w:rsidRPr="00D94B7E">
        <w:rPr>
          <w:i/>
          <w:iCs/>
        </w:rPr>
        <w:t>PASC noted that the clinical evidence stratified by hearing loss severity may be limited, making it challenging to assess outcomes by hearing loss severity subgroups. However, PASC considered that there was no clinical reason to exclude the severe hearing loss subgroup and advised that the proposed eligible population should include individuals with mild to severe MHL or CHL. PASC noted that the applicant supported the inclusion of the population with severe MHL/CHL.</w:t>
      </w:r>
    </w:p>
    <w:p w14:paraId="5EBF2159" w14:textId="1A99A2CD" w:rsidR="00485A12" w:rsidRPr="00D94B7E" w:rsidRDefault="00485A12" w:rsidP="00485A12">
      <w:pPr>
        <w:rPr>
          <w:i/>
          <w:iCs/>
        </w:rPr>
      </w:pPr>
      <w:r w:rsidRPr="00D94B7E">
        <w:rPr>
          <w:i/>
          <w:iCs/>
        </w:rPr>
        <w:t xml:space="preserve">PASC noted the applicant proposed that the eligible population should be aged &gt;5 years. PASC considered the potential need for an upper age limit restriction. PASC noted the apparent lack of published data on the performance of implants in older individuals yet considered that implantation procedures would entail inherent surgical risks in general, particularly in elderly patients with multiple comorbidities. PASC noted that this cohort might have a reduced capacity to both achieve the full functional benefit of, and effectively manage, an implantable hearing device. PASC noted </w:t>
      </w:r>
      <w:r w:rsidR="00011073">
        <w:rPr>
          <w:i/>
          <w:iCs/>
        </w:rPr>
        <w:t xml:space="preserve">that </w:t>
      </w:r>
      <w:r w:rsidRPr="00D94B7E">
        <w:rPr>
          <w:i/>
          <w:iCs/>
        </w:rPr>
        <w:t xml:space="preserve">the applicant’s clinical expert advised that, owing to their broader fitting range, AMEIs may provide greater </w:t>
      </w:r>
      <w:r w:rsidR="004A4542">
        <w:rPr>
          <w:i/>
          <w:iCs/>
        </w:rPr>
        <w:t>adaptability</w:t>
      </w:r>
      <w:r w:rsidRPr="00D94B7E">
        <w:rPr>
          <w:i/>
          <w:iCs/>
        </w:rPr>
        <w:t xml:space="preserve">, thereby </w:t>
      </w:r>
      <w:r w:rsidR="005622FE">
        <w:rPr>
          <w:i/>
          <w:iCs/>
        </w:rPr>
        <w:t>sustaining</w:t>
      </w:r>
      <w:r w:rsidR="005622FE" w:rsidRPr="00D94B7E">
        <w:rPr>
          <w:i/>
          <w:iCs/>
        </w:rPr>
        <w:t xml:space="preserve"> </w:t>
      </w:r>
      <w:r w:rsidRPr="00D94B7E">
        <w:rPr>
          <w:i/>
          <w:iCs/>
        </w:rPr>
        <w:t>clinical benefit in patients who subsequently develop age-related progressive sensorineural hearing loss (presbycusis). Accordingly, PASC advised that the assessment should critically evaluate the available evidence on the safety and clinical effectiveness of AMEIs in older patient cohorts, including longitudinal outcomes for the device and patients as age advances. PASC noted that the evidence might include non-randomised (comparative) studies if comparative randomised trials are not available.</w:t>
      </w:r>
    </w:p>
    <w:p w14:paraId="154A939D" w14:textId="1193EB9A" w:rsidR="007073CE" w:rsidRDefault="000E5125" w:rsidP="005B4DBA">
      <w:r w:rsidRPr="000E5125">
        <w:t xml:space="preserve">In Australia, </w:t>
      </w:r>
      <w:r w:rsidR="001D1344">
        <w:t>hearing loss</w:t>
      </w:r>
      <w:r w:rsidRPr="000E5125">
        <w:t xml:space="preserve"> </w:t>
      </w:r>
      <w:r w:rsidR="00441E0F" w:rsidRPr="00441E0F">
        <w:t xml:space="preserve">is </w:t>
      </w:r>
      <w:r w:rsidR="004D78B5">
        <w:t>classified according to</w:t>
      </w:r>
      <w:r w:rsidR="00441E0F" w:rsidRPr="00441E0F">
        <w:t xml:space="preserve"> the average hearing threshold level</w:t>
      </w:r>
      <w:r w:rsidR="00C97DD6">
        <w:t>, measured</w:t>
      </w:r>
      <w:r w:rsidR="00441E0F" w:rsidRPr="00441E0F">
        <w:t xml:space="preserve"> in decibels hearing level (dB</w:t>
      </w:r>
      <w:r w:rsidR="00580412">
        <w:t> </w:t>
      </w:r>
      <w:r w:rsidR="00441E0F" w:rsidRPr="00441E0F">
        <w:t xml:space="preserve">HL), as </w:t>
      </w:r>
      <w:r w:rsidR="00C97DD6">
        <w:t>determined</w:t>
      </w:r>
      <w:r w:rsidR="00E20D4E">
        <w:t xml:space="preserve"> </w:t>
      </w:r>
      <w:r w:rsidR="00441E0F" w:rsidRPr="00441E0F">
        <w:t>by pure</w:t>
      </w:r>
      <w:r w:rsidR="00D95E4C">
        <w:t xml:space="preserve"> </w:t>
      </w:r>
      <w:r w:rsidR="00441E0F" w:rsidRPr="00441E0F">
        <w:t>tone audiometry</w:t>
      </w:r>
      <w:r w:rsidRPr="000E5125">
        <w:t xml:space="preserve">. </w:t>
      </w:r>
      <w:r w:rsidR="00C11AC9" w:rsidRPr="00C11AC9">
        <w:t>T</w:t>
      </w:r>
      <w:r w:rsidR="00C97DD6">
        <w:t>his</w:t>
      </w:r>
      <w:r w:rsidR="00C11AC9" w:rsidRPr="00C11AC9">
        <w:t xml:space="preserve"> assessment involves the presentation of pure tones </w:t>
      </w:r>
      <w:r w:rsidR="00C97DD6">
        <w:t>via</w:t>
      </w:r>
      <w:r w:rsidR="00C11AC9" w:rsidRPr="00C11AC9">
        <w:t xml:space="preserve"> air conduction (using headphones or insert earphones) and bone conduction (using a bone oscillator placed behind the ear) to each ear independently. </w:t>
      </w:r>
      <w:r w:rsidR="000147A3" w:rsidRPr="000147A3">
        <w:t xml:space="preserve">Air conduction testing evaluates the entire auditory pathway, including the outer, middle, and inner ear, while bone conduction testing bypasses the outer and middle ear to assess the function of the inner ear and auditory nerve directly. Comparison of air and bone conduction thresholds enables differentiation between </w:t>
      </w:r>
      <w:r w:rsidR="00FE0973">
        <w:t>CHL</w:t>
      </w:r>
      <w:r w:rsidR="000147A3" w:rsidRPr="000147A3">
        <w:t>,</w:t>
      </w:r>
      <w:r w:rsidR="002D362F">
        <w:t xml:space="preserve"> </w:t>
      </w:r>
      <w:r w:rsidR="00FE0973">
        <w:t>SNHL</w:t>
      </w:r>
      <w:r w:rsidR="000147A3" w:rsidRPr="000147A3">
        <w:t xml:space="preserve">, and </w:t>
      </w:r>
      <w:r w:rsidR="00FE0973">
        <w:t>MHL</w:t>
      </w:r>
      <w:r w:rsidR="000147A3" w:rsidRPr="000147A3">
        <w:t>.</w:t>
      </w:r>
      <w:r w:rsidR="00E20D4E">
        <w:t xml:space="preserve"> </w:t>
      </w:r>
    </w:p>
    <w:p w14:paraId="34E25CFB" w14:textId="11C2B5C2" w:rsidR="007129AC" w:rsidRDefault="00E20D4E" w:rsidP="005B4DBA">
      <w:r w:rsidRPr="00E20D4E">
        <w:t>Pure tone audiometry provides a quantitative assessment of hearing loss type and severity, which is essential for diagnosis, clinical decision</w:t>
      </w:r>
      <w:r w:rsidR="001264D3">
        <w:t xml:space="preserve"> </w:t>
      </w:r>
      <w:r w:rsidRPr="00E20D4E">
        <w:t>making, and determining eligibility for hearing devices or surgical interventions.</w:t>
      </w:r>
      <w:r w:rsidR="00B8518E">
        <w:t xml:space="preserve"> </w:t>
      </w:r>
    </w:p>
    <w:p w14:paraId="60C7BFBF" w14:textId="268B9A1D" w:rsidR="005B4DBA" w:rsidRDefault="007129AC" w:rsidP="005B4DBA">
      <w:r>
        <w:t>C</w:t>
      </w:r>
      <w:r w:rsidR="000E5125" w:rsidRPr="000E5125">
        <w:t xml:space="preserve">lassification </w:t>
      </w:r>
      <w:r>
        <w:t xml:space="preserve">of hearing loss severity </w:t>
      </w:r>
      <w:r w:rsidR="000E5125" w:rsidRPr="000E5125">
        <w:t xml:space="preserve">applies </w:t>
      </w:r>
      <w:r w:rsidR="007073CE">
        <w:t>consistently across</w:t>
      </w:r>
      <w:r w:rsidR="007073CE" w:rsidRPr="000E5125">
        <w:t xml:space="preserve"> </w:t>
      </w:r>
      <w:r w:rsidR="000E5125" w:rsidRPr="000E5125">
        <w:t xml:space="preserve">all types of </w:t>
      </w:r>
      <w:r w:rsidR="001D1344">
        <w:t>hearing loss</w:t>
      </w:r>
      <w:r w:rsidR="000E5125" w:rsidRPr="000E5125">
        <w:t>, including CHL and MHL</w:t>
      </w:r>
      <w:r w:rsidR="001C5E51" w:rsidRPr="001C5E51">
        <w:t xml:space="preserve">, </w:t>
      </w:r>
      <w:r w:rsidR="00E733D4">
        <w:t xml:space="preserve">and across all </w:t>
      </w:r>
      <w:r w:rsidR="001C5E51" w:rsidRPr="001C5E51">
        <w:t>age</w:t>
      </w:r>
      <w:r w:rsidR="00E733D4">
        <w:t xml:space="preserve"> groups</w:t>
      </w:r>
      <w:r w:rsidR="001C5E51" w:rsidRPr="001C5E51">
        <w:t>.</w:t>
      </w:r>
    </w:p>
    <w:p w14:paraId="6285ACB0" w14:textId="1D9C9C63" w:rsidR="00787D44" w:rsidRDefault="00787D44" w:rsidP="00787D44">
      <w:pPr>
        <w:pStyle w:val="ListParagraph"/>
        <w:numPr>
          <w:ilvl w:val="0"/>
          <w:numId w:val="32"/>
        </w:numPr>
      </w:pPr>
      <w:r w:rsidRPr="00787D44">
        <w:rPr>
          <w:b/>
          <w:bCs/>
        </w:rPr>
        <w:t>Mild hearing loss</w:t>
      </w:r>
      <w:r w:rsidRPr="00787D44">
        <w:t xml:space="preserve"> </w:t>
      </w:r>
      <w:r w:rsidR="00D52C7E">
        <w:t xml:space="preserve">is </w:t>
      </w:r>
      <w:r w:rsidR="005B5715">
        <w:t xml:space="preserve">defined as a </w:t>
      </w:r>
      <w:r w:rsidR="00D95E4C">
        <w:t>pure tone average (</w:t>
      </w:r>
      <w:r w:rsidR="005B5715">
        <w:t>PTA</w:t>
      </w:r>
      <w:r w:rsidR="00D95E4C">
        <w:t>)</w:t>
      </w:r>
      <w:r w:rsidR="00D52C7E" w:rsidRPr="00D52C7E">
        <w:t xml:space="preserve"> between 21 and 40 dB</w:t>
      </w:r>
      <w:r w:rsidR="00580412">
        <w:t> </w:t>
      </w:r>
      <w:r w:rsidR="00D52C7E" w:rsidRPr="00D52C7E">
        <w:t xml:space="preserve">HL. Individuals may </w:t>
      </w:r>
      <w:r w:rsidR="005B5715">
        <w:t>have</w:t>
      </w:r>
      <w:r w:rsidR="00D52C7E" w:rsidRPr="00D52C7E">
        <w:t xml:space="preserve"> difficulty hearing soft speech</w:t>
      </w:r>
      <w:r w:rsidR="00585E24">
        <w:t xml:space="preserve"> or following conversation</w:t>
      </w:r>
      <w:r w:rsidR="00D52C7E" w:rsidRPr="00D52C7E">
        <w:t xml:space="preserve"> in noisy environments.</w:t>
      </w:r>
    </w:p>
    <w:p w14:paraId="0F413DA5" w14:textId="053D986C" w:rsidR="00787D44" w:rsidRDefault="00787D44" w:rsidP="00787D44">
      <w:pPr>
        <w:pStyle w:val="ListParagraph"/>
        <w:numPr>
          <w:ilvl w:val="0"/>
          <w:numId w:val="32"/>
        </w:numPr>
      </w:pPr>
      <w:r w:rsidRPr="00787D44">
        <w:rPr>
          <w:b/>
          <w:bCs/>
        </w:rPr>
        <w:t>Moderate hearing loss</w:t>
      </w:r>
      <w:r w:rsidRPr="00787D44">
        <w:t xml:space="preserve"> </w:t>
      </w:r>
      <w:r w:rsidR="00137CD3">
        <w:t xml:space="preserve">is defined </w:t>
      </w:r>
      <w:r w:rsidR="00585E24">
        <w:t>as a PTA</w:t>
      </w:r>
      <w:r w:rsidR="00137CD3" w:rsidRPr="00137CD3">
        <w:t xml:space="preserve"> between 41 and 70 dB</w:t>
      </w:r>
      <w:r w:rsidR="00580412">
        <w:t> </w:t>
      </w:r>
      <w:r w:rsidR="00137CD3" w:rsidRPr="00137CD3">
        <w:t xml:space="preserve">HL. </w:t>
      </w:r>
      <w:r w:rsidR="00E733D4">
        <w:t>I</w:t>
      </w:r>
      <w:r w:rsidR="00137CD3" w:rsidRPr="00137CD3">
        <w:t xml:space="preserve">ndividuals </w:t>
      </w:r>
      <w:r w:rsidR="00724289" w:rsidRPr="00724289">
        <w:t>typically have difficulty understanding conversational speech without amplification, even in quiet settings</w:t>
      </w:r>
      <w:r w:rsidR="00137CD3">
        <w:t>.</w:t>
      </w:r>
    </w:p>
    <w:p w14:paraId="3C21AFFB" w14:textId="36DA5588" w:rsidR="007807A4" w:rsidRDefault="007807A4" w:rsidP="00787D44">
      <w:pPr>
        <w:pStyle w:val="ListParagraph"/>
        <w:numPr>
          <w:ilvl w:val="0"/>
          <w:numId w:val="32"/>
        </w:numPr>
      </w:pPr>
      <w:r>
        <w:rPr>
          <w:b/>
          <w:bCs/>
        </w:rPr>
        <w:t>Severe hearing loss</w:t>
      </w:r>
      <w:r>
        <w:t xml:space="preserve"> </w:t>
      </w:r>
      <w:r w:rsidR="002F39DA">
        <w:t xml:space="preserve">is defined as a PTA between 71 and 90 </w:t>
      </w:r>
      <w:r w:rsidR="002F39DA" w:rsidRPr="00137CD3">
        <w:t>dB</w:t>
      </w:r>
      <w:r w:rsidR="002F39DA">
        <w:t> </w:t>
      </w:r>
      <w:r w:rsidR="002F39DA" w:rsidRPr="00137CD3">
        <w:t>HL</w:t>
      </w:r>
      <w:r w:rsidR="002F39DA">
        <w:t>.</w:t>
      </w:r>
      <w:r w:rsidR="003B06B1">
        <w:t xml:space="preserve"> </w:t>
      </w:r>
      <w:r w:rsidR="003B06B1" w:rsidRPr="003B06B1">
        <w:t>Individuals generally have significant difficulty hearing and understanding speech, even with amplification, and may rely on visual cues such as lip reading to support communication.</w:t>
      </w:r>
    </w:p>
    <w:p w14:paraId="17799BB5" w14:textId="2E9C09BD" w:rsidR="006174EF" w:rsidRDefault="006174EF" w:rsidP="00787D44">
      <w:pPr>
        <w:pStyle w:val="ListParagraph"/>
        <w:numPr>
          <w:ilvl w:val="0"/>
          <w:numId w:val="32"/>
        </w:numPr>
      </w:pPr>
      <w:r>
        <w:rPr>
          <w:b/>
          <w:bCs/>
        </w:rPr>
        <w:lastRenderedPageBreak/>
        <w:t>Profound hearing loss</w:t>
      </w:r>
      <w:r>
        <w:t xml:space="preserve"> </w:t>
      </w:r>
      <w:r w:rsidR="005B5A77" w:rsidRPr="005B5A77">
        <w:t xml:space="preserve">is defined as a PTA greater than 90 </w:t>
      </w:r>
      <w:r w:rsidR="005B5A77" w:rsidRPr="00137CD3">
        <w:t>dB</w:t>
      </w:r>
      <w:r w:rsidR="005B5A77">
        <w:t> </w:t>
      </w:r>
      <w:r w:rsidR="005B5A77" w:rsidRPr="00137CD3">
        <w:t>HL</w:t>
      </w:r>
      <w:r w:rsidR="005B5A77" w:rsidRPr="005B5A77">
        <w:t>. Individuals are unlikely to perceive speech, even with amplification, and typically require alternative communication strategies such as lip reading, sign language, or cochlear implantation.</w:t>
      </w:r>
      <w:bookmarkStart w:id="5" w:name="_Ref203303660"/>
      <w:r w:rsidR="00C07720">
        <w:rPr>
          <w:rStyle w:val="FootnoteReference"/>
        </w:rPr>
        <w:footnoteReference w:id="4"/>
      </w:r>
      <w:bookmarkEnd w:id="5"/>
    </w:p>
    <w:p w14:paraId="52252886" w14:textId="11FE8B0B" w:rsidR="006D560C" w:rsidRDefault="004C0076" w:rsidP="005E371C">
      <w:r>
        <w:t>In Australia, h</w:t>
      </w:r>
      <w:r w:rsidR="007B7127">
        <w:t>earing loss</w:t>
      </w:r>
      <w:r w:rsidR="00EA142B" w:rsidRPr="00EA142B">
        <w:t xml:space="preserve"> is commonly assessed using the three-frequency average hearing loss (3FAHL) </w:t>
      </w:r>
      <w:r>
        <w:t xml:space="preserve">calculated as the average hearing threshold </w:t>
      </w:r>
      <w:r w:rsidR="00EA142B" w:rsidRPr="00EA142B">
        <w:t xml:space="preserve">at 0.5, 1, and 2 </w:t>
      </w:r>
      <w:r w:rsidR="00EA142B">
        <w:t>kilohertz (</w:t>
      </w:r>
      <w:r w:rsidR="00EA142B" w:rsidRPr="00EA142B">
        <w:t>kHz</w:t>
      </w:r>
      <w:r w:rsidR="00EA142B">
        <w:t>)</w:t>
      </w:r>
      <w:r w:rsidR="00860A3E">
        <w:t>, measured in dB</w:t>
      </w:r>
      <w:r w:rsidR="00580412">
        <w:t> </w:t>
      </w:r>
      <w:r w:rsidR="00860A3E">
        <w:t>HL</w:t>
      </w:r>
      <w:r w:rsidR="00EA142B" w:rsidRPr="00EA142B">
        <w:t xml:space="preserve">. </w:t>
      </w:r>
      <w:r w:rsidR="00860A3E">
        <w:t xml:space="preserve">This method reflects the frequencies most important for understanding speech. </w:t>
      </w:r>
      <w:r w:rsidR="00EE050B">
        <w:t xml:space="preserve">At each test frequency, </w:t>
      </w:r>
      <w:r w:rsidR="00966CA6" w:rsidRPr="00966CA6">
        <w:t>the sound is initially presented at a low intensity (decibel level) and gradually increased until the individual indicates they can hear it. The lowest intensity at which the tone is consistently detected is recorded as the hearing threshold for that frequency.</w:t>
      </w:r>
    </w:p>
    <w:p w14:paraId="61D44F1C" w14:textId="6548EB8B" w:rsidR="0068732D" w:rsidRDefault="00EA142B" w:rsidP="0068732D">
      <w:pPr>
        <w:spacing w:after="120"/>
      </w:pPr>
      <w:r w:rsidRPr="00EA142B">
        <w:t xml:space="preserve">For the purposes of </w:t>
      </w:r>
      <w:r w:rsidR="006D560C">
        <w:t>determining eligibility for</w:t>
      </w:r>
      <w:r w:rsidRPr="00EA142B">
        <w:t xml:space="preserve"> the </w:t>
      </w:r>
      <w:r w:rsidR="00E53E66" w:rsidRPr="00D50227">
        <w:t xml:space="preserve">Australian Government </w:t>
      </w:r>
      <w:hyperlink r:id="rId12" w:tooltip="Hyperlink to home page of the Hearing Services Program" w:history="1">
        <w:r w:rsidR="00E53E66" w:rsidRPr="00134441">
          <w:rPr>
            <w:rStyle w:val="Hyperlink"/>
            <w:rFonts w:ascii="Calibri" w:hAnsi="Calibri"/>
          </w:rPr>
          <w:t>Hearing Services Program</w:t>
        </w:r>
      </w:hyperlink>
      <w:r w:rsidR="006D560C">
        <w:t xml:space="preserve"> (HSP)</w:t>
      </w:r>
      <w:r w:rsidRPr="00EA142B">
        <w:t xml:space="preserve">, </w:t>
      </w:r>
      <w:r w:rsidR="002C6B7F">
        <w:t>an individual</w:t>
      </w:r>
      <w:r w:rsidR="002F3D0D">
        <w:t xml:space="preserve"> is considered to have a hearing loss if the </w:t>
      </w:r>
      <w:r w:rsidRPr="00EA142B">
        <w:t xml:space="preserve">3FAHL </w:t>
      </w:r>
      <w:r w:rsidR="002F3D0D">
        <w:t xml:space="preserve">in the better hearing ear </w:t>
      </w:r>
      <w:r w:rsidR="0004447B">
        <w:t>is equal to or greater than</w:t>
      </w:r>
      <w:r w:rsidRPr="00EA142B">
        <w:t xml:space="preserve"> 23.3 dB</w:t>
      </w:r>
      <w:r w:rsidR="00580412">
        <w:t> </w:t>
      </w:r>
      <w:r w:rsidRPr="00EA142B">
        <w:t>HL.</w:t>
      </w:r>
      <w:r w:rsidR="00A26587">
        <w:rPr>
          <w:rStyle w:val="FootnoteReference"/>
        </w:rPr>
        <w:footnoteReference w:id="5"/>
      </w:r>
      <w:r w:rsidR="0068732D">
        <w:t xml:space="preserve"> </w:t>
      </w:r>
    </w:p>
    <w:p w14:paraId="13CD622D" w14:textId="7A4204C2" w:rsidR="0068732D" w:rsidRDefault="0068732D" w:rsidP="0068732D">
      <w:pPr>
        <w:spacing w:after="120"/>
      </w:pPr>
      <w:r>
        <w:t xml:space="preserve">The HSP </w:t>
      </w:r>
      <w:r w:rsidRPr="00EE5291">
        <w:t>provides subsidised hearing services and devices to</w:t>
      </w:r>
      <w:r w:rsidR="00D173B0">
        <w:t xml:space="preserve"> eligible individuals</w:t>
      </w:r>
      <w:r w:rsidRPr="00CD35B9">
        <w:t xml:space="preserve"> </w:t>
      </w:r>
      <w:r w:rsidR="00B5040F">
        <w:t>through 2</w:t>
      </w:r>
      <w:r w:rsidR="006932BD">
        <w:t xml:space="preserve"> key components</w:t>
      </w:r>
      <w:r>
        <w:t>:</w:t>
      </w:r>
      <w:r w:rsidRPr="00EE5291">
        <w:t xml:space="preserve"> </w:t>
      </w:r>
    </w:p>
    <w:p w14:paraId="493C1677" w14:textId="399C97EF" w:rsidR="0068732D" w:rsidRDefault="006932BD" w:rsidP="0068732D">
      <w:pPr>
        <w:pStyle w:val="ListParagraph"/>
        <w:numPr>
          <w:ilvl w:val="0"/>
          <w:numId w:val="43"/>
        </w:numPr>
      </w:pPr>
      <w:r>
        <w:t>V</w:t>
      </w:r>
      <w:r w:rsidR="0068732D" w:rsidRPr="00EE5291">
        <w:t xml:space="preserve">oucher </w:t>
      </w:r>
      <w:r>
        <w:t>S</w:t>
      </w:r>
      <w:r w:rsidR="0068732D" w:rsidRPr="00EE5291">
        <w:t xml:space="preserve">cheme </w:t>
      </w:r>
      <w:r>
        <w:t xml:space="preserve">– </w:t>
      </w:r>
      <w:r w:rsidR="003929FB">
        <w:t>E</w:t>
      </w:r>
      <w:r>
        <w:t>nables</w:t>
      </w:r>
      <w:r w:rsidR="0068732D">
        <w:t xml:space="preserve"> access</w:t>
      </w:r>
      <w:r w:rsidR="00B72295" w:rsidRPr="00B72295">
        <w:t xml:space="preserve"> </w:t>
      </w:r>
      <w:r w:rsidR="00B72295">
        <w:t>of eligible individuals</w:t>
      </w:r>
      <w:r w:rsidR="00B72295">
        <w:rPr>
          <w:rStyle w:val="FootnoteReference"/>
        </w:rPr>
        <w:t xml:space="preserve"> </w:t>
      </w:r>
      <w:r w:rsidR="00B72295">
        <w:rPr>
          <w:rStyle w:val="FootnoteReference"/>
        </w:rPr>
        <w:footnoteReference w:id="6"/>
      </w:r>
      <w:r w:rsidR="00B72295">
        <w:t xml:space="preserve"> </w:t>
      </w:r>
      <w:r>
        <w:t>to contracted</w:t>
      </w:r>
      <w:r w:rsidR="0068732D">
        <w:t xml:space="preserve"> HSP provider</w:t>
      </w:r>
      <w:r>
        <w:t>s</w:t>
      </w:r>
      <w:r w:rsidR="0068732D">
        <w:t xml:space="preserve"> </w:t>
      </w:r>
      <w:r>
        <w:t xml:space="preserve">for </w:t>
      </w:r>
      <w:r w:rsidR="0068732D" w:rsidRPr="00114BF7">
        <w:t xml:space="preserve">one </w:t>
      </w:r>
      <w:r>
        <w:t xml:space="preserve">hearing assessment and one </w:t>
      </w:r>
      <w:r w:rsidR="0068732D" w:rsidRPr="00114BF7">
        <w:t>device fitting every five years</w:t>
      </w:r>
      <w:r w:rsidR="00FC131B">
        <w:t>, with additional support for rehabilitation and ongoing maintenance were applicable.</w:t>
      </w:r>
    </w:p>
    <w:p w14:paraId="21369CF6" w14:textId="7FD02040" w:rsidR="0068732D" w:rsidRDefault="0068732D" w:rsidP="0068732D">
      <w:pPr>
        <w:pStyle w:val="ListParagraph"/>
        <w:numPr>
          <w:ilvl w:val="0"/>
          <w:numId w:val="43"/>
        </w:numPr>
      </w:pPr>
      <w:r w:rsidRPr="00EE5291">
        <w:t>Community Service Obligations</w:t>
      </w:r>
      <w:r>
        <w:t xml:space="preserve"> </w:t>
      </w:r>
      <w:r w:rsidR="007C1FFA">
        <w:t xml:space="preserve">(CSO) </w:t>
      </w:r>
      <w:r w:rsidR="00FC131B">
        <w:t xml:space="preserve">– </w:t>
      </w:r>
      <w:r w:rsidR="003929FB">
        <w:t>Delivered</w:t>
      </w:r>
      <w:r w:rsidRPr="00EE5291">
        <w:t xml:space="preserve"> by Hearing Australia</w:t>
      </w:r>
      <w:r w:rsidR="003929FB">
        <w:t>, this component provides services</w:t>
      </w:r>
      <w:r w:rsidRPr="00EE5291">
        <w:t xml:space="preserve"> </w:t>
      </w:r>
      <w:r>
        <w:t>to</w:t>
      </w:r>
      <w:r w:rsidRPr="00EE5291">
        <w:t xml:space="preserve"> </w:t>
      </w:r>
      <w:r w:rsidR="003929FB">
        <w:t>individuals</w:t>
      </w:r>
      <w:r w:rsidRPr="00EE5291">
        <w:t xml:space="preserve"> under 26 years</w:t>
      </w:r>
      <w:r w:rsidR="003929FB">
        <w:t xml:space="preserve"> of age</w:t>
      </w:r>
      <w:r w:rsidRPr="00EE5291">
        <w:t>, eligible Aboriginal and Torres Strait Islander</w:t>
      </w:r>
      <w:r>
        <w:t xml:space="preserve"> peoples,</w:t>
      </w:r>
      <w:r w:rsidRPr="00EE5291">
        <w:t xml:space="preserve"> and </w:t>
      </w:r>
      <w:r w:rsidR="004F2FDC">
        <w:t xml:space="preserve">voucher-eligible </w:t>
      </w:r>
      <w:r>
        <w:t xml:space="preserve">individuals who </w:t>
      </w:r>
      <w:r w:rsidRPr="00EE5291">
        <w:t>live in remote area</w:t>
      </w:r>
      <w:r w:rsidR="004F2FDC">
        <w:t>s</w:t>
      </w:r>
      <w:r>
        <w:t xml:space="preserve"> or require</w:t>
      </w:r>
      <w:r w:rsidRPr="00EE5291">
        <w:t xml:space="preserve"> specialist </w:t>
      </w:r>
      <w:r>
        <w:t xml:space="preserve">hearing </w:t>
      </w:r>
      <w:r w:rsidRPr="00EE5291">
        <w:t>services.</w:t>
      </w:r>
      <w:r>
        <w:rPr>
          <w:rStyle w:val="FootnoteReference"/>
        </w:rPr>
        <w:footnoteReference w:id="7"/>
      </w:r>
      <w:r w:rsidR="00AB5B21">
        <w:t xml:space="preserve"> </w:t>
      </w:r>
    </w:p>
    <w:p w14:paraId="02DC3AC1" w14:textId="56DE3B5A" w:rsidR="00EA142B" w:rsidRDefault="0068732D" w:rsidP="0068732D">
      <w:r>
        <w:t>The HSP</w:t>
      </w:r>
      <w:r w:rsidRPr="00D50227">
        <w:t xml:space="preserve"> </w:t>
      </w:r>
      <w:r w:rsidR="00CE27AA">
        <w:t>funds</w:t>
      </w:r>
      <w:r w:rsidRPr="00D50227">
        <w:t xml:space="preserve"> hearing assessment</w:t>
      </w:r>
      <w:r>
        <w:t>s</w:t>
      </w:r>
      <w:r w:rsidRPr="00D50227">
        <w:t xml:space="preserve">, </w:t>
      </w:r>
      <w:r>
        <w:t xml:space="preserve">rehabilitation services and </w:t>
      </w:r>
      <w:r w:rsidR="00CE27AA">
        <w:t xml:space="preserve">approved </w:t>
      </w:r>
      <w:r>
        <w:t xml:space="preserve">hearing </w:t>
      </w:r>
      <w:r w:rsidRPr="00D50227">
        <w:t>device</w:t>
      </w:r>
      <w:r>
        <w:t>s</w:t>
      </w:r>
      <w:r w:rsidR="00CE27AA">
        <w:t xml:space="preserve">, including </w:t>
      </w:r>
      <w:r>
        <w:t>hearing aids and assist</w:t>
      </w:r>
      <w:r w:rsidR="00CE27AA">
        <w:t>ive</w:t>
      </w:r>
      <w:r>
        <w:t xml:space="preserve"> listening devices, which </w:t>
      </w:r>
      <w:r w:rsidR="00CE27AA">
        <w:t>may be either</w:t>
      </w:r>
      <w:r>
        <w:t xml:space="preserve"> </w:t>
      </w:r>
      <w:hyperlink r:id="rId13" w:tooltip="Hyperlink to HSP fully subsidised device schedule" w:history="1">
        <w:r w:rsidRPr="00E95C90">
          <w:rPr>
            <w:rStyle w:val="Hyperlink"/>
            <w:rFonts w:ascii="Calibri" w:hAnsi="Calibri"/>
          </w:rPr>
          <w:t>fully subsidised</w:t>
        </w:r>
      </w:hyperlink>
      <w:r>
        <w:t xml:space="preserve"> or </w:t>
      </w:r>
      <w:hyperlink r:id="rId14" w:tooltip="Hyperlink to HSP partially subsidised device schedule" w:history="1">
        <w:r w:rsidRPr="00462007">
          <w:rPr>
            <w:rStyle w:val="Hyperlink"/>
            <w:rFonts w:ascii="Calibri" w:hAnsi="Calibri"/>
          </w:rPr>
          <w:t>partially subsidised</w:t>
        </w:r>
      </w:hyperlink>
      <w:r>
        <w:t>, depending on the device</w:t>
      </w:r>
      <w:r w:rsidRPr="00D50227">
        <w:t>.</w:t>
      </w:r>
      <w:r w:rsidRPr="00CD35B9">
        <w:t xml:space="preserve"> </w:t>
      </w:r>
      <w:r w:rsidRPr="006A77C1">
        <w:t xml:space="preserve">The program reimburses </w:t>
      </w:r>
      <w:r>
        <w:t xml:space="preserve">contracted </w:t>
      </w:r>
      <w:r w:rsidRPr="006A77C1">
        <w:t xml:space="preserve">providers for </w:t>
      </w:r>
      <w:r>
        <w:t xml:space="preserve">the </w:t>
      </w:r>
      <w:r w:rsidRPr="006A77C1">
        <w:t xml:space="preserve">hearing services and devices they </w:t>
      </w:r>
      <w:r>
        <w:t xml:space="preserve">deliver, in accordance with the current </w:t>
      </w:r>
      <w:hyperlink r:id="rId15" w:tooltip="Hyperlink to the HSP schedule of Service Items and Fees in the Federal Register of Legislation" w:history="1">
        <w:r w:rsidRPr="00C37F78">
          <w:rPr>
            <w:rStyle w:val="Hyperlink"/>
            <w:rFonts w:ascii="Calibri" w:hAnsi="Calibri"/>
          </w:rPr>
          <w:t>Schedule of Service Items and Fees</w:t>
        </w:r>
      </w:hyperlink>
      <w:r w:rsidRPr="006A77C1">
        <w:t>.</w:t>
      </w:r>
      <w:r w:rsidR="007C1FFA">
        <w:t xml:space="preserve"> </w:t>
      </w:r>
      <w:r w:rsidR="00C504FE">
        <w:t>T</w:t>
      </w:r>
      <w:r w:rsidR="00BF537A">
        <w:t xml:space="preserve">he CSO component </w:t>
      </w:r>
      <w:r w:rsidR="00C35823">
        <w:t>also supports</w:t>
      </w:r>
      <w:r w:rsidR="00C504FE">
        <w:t xml:space="preserve"> </w:t>
      </w:r>
      <w:hyperlink r:id="rId16" w:tooltip="Hyperlink to services available under the CSO on the HSP website " w:history="1">
        <w:r w:rsidR="00C504FE" w:rsidRPr="000105F0">
          <w:rPr>
            <w:rStyle w:val="Hyperlink"/>
            <w:rFonts w:ascii="Calibri" w:hAnsi="Calibri"/>
          </w:rPr>
          <w:t>specialist hearing services</w:t>
        </w:r>
      </w:hyperlink>
      <w:r w:rsidR="00F1442B">
        <w:t xml:space="preserve">, including those for individuals </w:t>
      </w:r>
      <w:r w:rsidR="00826344">
        <w:t>using implantable hearing devices, primarily through</w:t>
      </w:r>
      <w:r w:rsidR="00BF537A">
        <w:t xml:space="preserve"> </w:t>
      </w:r>
      <w:r w:rsidR="00936226" w:rsidRPr="00936226">
        <w:t>the provision of external processor upgrades, maintenance, batteries, and repairs</w:t>
      </w:r>
      <w:r w:rsidR="00702B16">
        <w:t>.</w:t>
      </w:r>
    </w:p>
    <w:p w14:paraId="1246B0EC" w14:textId="11FF5292" w:rsidR="00DD4942" w:rsidRDefault="007A32A7" w:rsidP="00DD4942">
      <w:pPr>
        <w:pStyle w:val="Heading4"/>
      </w:pPr>
      <w:r>
        <w:t xml:space="preserve">Causes of </w:t>
      </w:r>
      <w:r w:rsidR="00714D40">
        <w:t xml:space="preserve">mixed and </w:t>
      </w:r>
      <w:r w:rsidR="00DD4942">
        <w:t>conductive hearing loss</w:t>
      </w:r>
    </w:p>
    <w:p w14:paraId="3AD3E5FC" w14:textId="0B185D9E" w:rsidR="006800B7" w:rsidRPr="005B4DBA" w:rsidRDefault="00163593" w:rsidP="00163593">
      <w:r>
        <w:t xml:space="preserve">CHL arises from impaired transmission of sound through the outer or middle ear. It is typically identified on audiometry by the presence of an air-bone gap, indicating better bone conduction </w:t>
      </w:r>
      <w:r w:rsidR="00364F5D">
        <w:t xml:space="preserve">hearing </w:t>
      </w:r>
      <w:r>
        <w:t>thresholds relative to air conduction thresholds. MHL refers to the coexistence of both conductive and sensorineural components in the same ear. It is characterised by an air-bone gap (reflecting the conductive component) in combination with elevated bone conduction thresholds (indicating sensorineural impairment).</w:t>
      </w:r>
    </w:p>
    <w:p w14:paraId="56A688FC" w14:textId="33D0D003" w:rsidR="005F7E2B" w:rsidRDefault="00714D40" w:rsidP="005F7E2B">
      <w:r>
        <w:lastRenderedPageBreak/>
        <w:t>M</w:t>
      </w:r>
      <w:r w:rsidR="005F7E2B">
        <w:t xml:space="preserve">HL or </w:t>
      </w:r>
      <w:r>
        <w:t>C</w:t>
      </w:r>
      <w:r w:rsidR="005F7E2B">
        <w:t>HL can result from a range of medical conditions that impair the transmission of sound through the external or middle ear</w:t>
      </w:r>
      <w:r w:rsidR="002328CD">
        <w:t xml:space="preserve"> (</w:t>
      </w:r>
      <w:r w:rsidR="00E14059">
        <w:fldChar w:fldCharType="begin"/>
      </w:r>
      <w:r w:rsidR="00E14059">
        <w:instrText xml:space="preserve"> REF _Ref200989571 \h </w:instrText>
      </w:r>
      <w:r w:rsidR="00E14059">
        <w:fldChar w:fldCharType="separate"/>
      </w:r>
      <w:r w:rsidR="00A42764" w:rsidRPr="00AD26D1">
        <w:t xml:space="preserve">Table </w:t>
      </w:r>
      <w:r w:rsidR="00A42764">
        <w:rPr>
          <w:noProof/>
        </w:rPr>
        <w:t>3</w:t>
      </w:r>
      <w:r w:rsidR="00E14059">
        <w:fldChar w:fldCharType="end"/>
      </w:r>
      <w:r w:rsidR="002328CD">
        <w:t>)</w:t>
      </w:r>
      <w:r w:rsidR="005F7E2B">
        <w:t>. These conditions may be congenital, acquired, or progressive and can affect individuals across the lifespan.</w:t>
      </w:r>
    </w:p>
    <w:p w14:paraId="7D9C758B" w14:textId="0B1539FD" w:rsidR="002328CD" w:rsidRPr="00AD26D1" w:rsidRDefault="002328CD" w:rsidP="002328CD">
      <w:pPr>
        <w:pStyle w:val="Caption"/>
        <w:rPr>
          <w:lang w:val="en-AU"/>
        </w:rPr>
      </w:pPr>
      <w:bookmarkStart w:id="6" w:name="_Ref200989571"/>
      <w:r w:rsidRPr="00AD26D1">
        <w:rPr>
          <w:lang w:val="en-AU"/>
        </w:rPr>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3</w:t>
      </w:r>
      <w:r w:rsidRPr="00AD26D1">
        <w:rPr>
          <w:lang w:val="en-AU"/>
        </w:rPr>
        <w:fldChar w:fldCharType="end"/>
      </w:r>
      <w:bookmarkEnd w:id="6"/>
      <w:r w:rsidRPr="00AD26D1">
        <w:rPr>
          <w:lang w:val="en-AU"/>
        </w:rPr>
        <w:tab/>
      </w:r>
      <w:r w:rsidR="00E14059">
        <w:rPr>
          <w:lang w:val="en-AU"/>
        </w:rPr>
        <w:t xml:space="preserve">Causes of </w:t>
      </w:r>
      <w:r w:rsidR="0035085F">
        <w:rPr>
          <w:lang w:val="en-AU"/>
        </w:rPr>
        <w:t xml:space="preserve">persistent </w:t>
      </w:r>
      <w:r w:rsidR="00E10E29">
        <w:rPr>
          <w:lang w:val="en-AU"/>
        </w:rPr>
        <w:t>mixed or conductive hearing loss</w:t>
      </w:r>
    </w:p>
    <w:tbl>
      <w:tblPr>
        <w:tblStyle w:val="TableGrid"/>
        <w:tblW w:w="5000" w:type="pct"/>
        <w:tblInd w:w="0" w:type="dxa"/>
        <w:tblLook w:val="04A0" w:firstRow="1" w:lastRow="0" w:firstColumn="1" w:lastColumn="0" w:noHBand="0" w:noVBand="1"/>
        <w:tblCaption w:val="Causes of persistent mild to moderate MHL or CHL"/>
        <w:tblDescription w:val="The table lists various causes of persistent mild to moderate MHL/CHL, including a description of the pathology, site affected and additional information about aetiology."/>
      </w:tblPr>
      <w:tblGrid>
        <w:gridCol w:w="1694"/>
        <w:gridCol w:w="2695"/>
        <w:gridCol w:w="1275"/>
        <w:gridCol w:w="3907"/>
      </w:tblGrid>
      <w:tr w:rsidR="00EE7D00" w14:paraId="0BF41C5F" w14:textId="548CB104" w:rsidTr="00E504DB">
        <w:trPr>
          <w:tblHeader/>
        </w:trPr>
        <w:tc>
          <w:tcPr>
            <w:tcW w:w="885" w:type="pct"/>
          </w:tcPr>
          <w:p w14:paraId="765643B6" w14:textId="40EDCBB7" w:rsidR="00EE7D00" w:rsidRDefault="00EE7D00" w:rsidP="00ED1410">
            <w:pPr>
              <w:pStyle w:val="TableHeading"/>
            </w:pPr>
            <w:r>
              <w:t>Cause</w:t>
            </w:r>
          </w:p>
        </w:tc>
        <w:tc>
          <w:tcPr>
            <w:tcW w:w="1408" w:type="pct"/>
          </w:tcPr>
          <w:p w14:paraId="6670A4CF" w14:textId="7B2421D0" w:rsidR="00EE7D00" w:rsidRDefault="00EE7D00" w:rsidP="00ED1410">
            <w:pPr>
              <w:pStyle w:val="TableHeading"/>
            </w:pPr>
            <w:r>
              <w:t>Description</w:t>
            </w:r>
          </w:p>
        </w:tc>
        <w:tc>
          <w:tcPr>
            <w:tcW w:w="666" w:type="pct"/>
          </w:tcPr>
          <w:p w14:paraId="0A6F979B" w14:textId="5AFBA10B" w:rsidR="00EE7D00" w:rsidRDefault="00EE7D00" w:rsidP="00ED1410">
            <w:pPr>
              <w:pStyle w:val="TableHeading"/>
            </w:pPr>
            <w:r>
              <w:t>Site affected</w:t>
            </w:r>
          </w:p>
        </w:tc>
        <w:tc>
          <w:tcPr>
            <w:tcW w:w="2041" w:type="pct"/>
          </w:tcPr>
          <w:p w14:paraId="346FDC3E" w14:textId="5F4F2F84" w:rsidR="00EE7D00" w:rsidRDefault="000A2C44" w:rsidP="00ED1410">
            <w:pPr>
              <w:pStyle w:val="TableHeading"/>
            </w:pPr>
            <w:r>
              <w:t>Additional information</w:t>
            </w:r>
          </w:p>
        </w:tc>
      </w:tr>
      <w:tr w:rsidR="008B401B" w14:paraId="551A0CF0" w14:textId="7A9870B2" w:rsidTr="00E504DB">
        <w:tc>
          <w:tcPr>
            <w:tcW w:w="885" w:type="pct"/>
          </w:tcPr>
          <w:p w14:paraId="2EF12DD2" w14:textId="6574D76D" w:rsidR="008B401B" w:rsidRPr="00196467" w:rsidRDefault="008B401B" w:rsidP="00792874">
            <w:pPr>
              <w:pStyle w:val="Tabletext"/>
              <w:keepNext/>
            </w:pPr>
            <w:r>
              <w:t>C</w:t>
            </w:r>
            <w:r w:rsidRPr="00244F9E">
              <w:t>hronic otitis media</w:t>
            </w:r>
          </w:p>
        </w:tc>
        <w:tc>
          <w:tcPr>
            <w:tcW w:w="1408" w:type="pct"/>
          </w:tcPr>
          <w:p w14:paraId="7577ABCD" w14:textId="38555466" w:rsidR="008B401B" w:rsidRPr="00196467" w:rsidRDefault="008B401B" w:rsidP="00792874">
            <w:pPr>
              <w:pStyle w:val="Tabletext"/>
              <w:keepNext/>
            </w:pPr>
            <w:r w:rsidRPr="00244F9E">
              <w:t>Long-standing inflammation or infection of the middle ear, often with persistent fluid or discharge</w:t>
            </w:r>
          </w:p>
        </w:tc>
        <w:tc>
          <w:tcPr>
            <w:tcW w:w="666" w:type="pct"/>
          </w:tcPr>
          <w:p w14:paraId="0B06C180" w14:textId="0379FEC7" w:rsidR="008B401B" w:rsidRPr="00DA146A" w:rsidRDefault="008B401B" w:rsidP="00792874">
            <w:pPr>
              <w:pStyle w:val="Tabletext"/>
              <w:keepNext/>
            </w:pPr>
            <w:r w:rsidRPr="00244F9E">
              <w:t>Middle ear</w:t>
            </w:r>
          </w:p>
        </w:tc>
        <w:tc>
          <w:tcPr>
            <w:tcW w:w="2041" w:type="pct"/>
          </w:tcPr>
          <w:p w14:paraId="45284590" w14:textId="5AF50EA2" w:rsidR="008B401B" w:rsidRDefault="008B401B" w:rsidP="00792874">
            <w:pPr>
              <w:pStyle w:val="Tabletext"/>
              <w:keepNext/>
            </w:pPr>
            <w:r w:rsidRPr="00244F9E">
              <w:t xml:space="preserve">May result from repeated acute infections or Eustachian tube dysfunction; can cause perforation of the eardrum and ossicle damage, leading to persistent </w:t>
            </w:r>
            <w:r w:rsidR="00A1714B">
              <w:t>CHL</w:t>
            </w:r>
            <w:r w:rsidRPr="00244F9E">
              <w:t xml:space="preserve">. </w:t>
            </w:r>
            <w:r w:rsidR="00A1714B">
              <w:t>MHL</w:t>
            </w:r>
            <w:r w:rsidRPr="00244F9E">
              <w:t xml:space="preserve"> may occur if inner ear is damaged.</w:t>
            </w:r>
          </w:p>
        </w:tc>
      </w:tr>
      <w:tr w:rsidR="008B401B" w14:paraId="1A8310AA" w14:textId="29C90CE1" w:rsidTr="00E504DB">
        <w:tc>
          <w:tcPr>
            <w:tcW w:w="885" w:type="pct"/>
          </w:tcPr>
          <w:p w14:paraId="636F47D9" w14:textId="131B0ABD" w:rsidR="008B401B" w:rsidRPr="00196467" w:rsidRDefault="008B401B" w:rsidP="008B401B">
            <w:pPr>
              <w:pStyle w:val="Tabletext"/>
            </w:pPr>
            <w:r w:rsidRPr="00244F9E">
              <w:t>Otosclerosis</w:t>
            </w:r>
          </w:p>
        </w:tc>
        <w:tc>
          <w:tcPr>
            <w:tcW w:w="1408" w:type="pct"/>
          </w:tcPr>
          <w:p w14:paraId="3F2448EB" w14:textId="7F5157AA" w:rsidR="008B401B" w:rsidRPr="00196467" w:rsidRDefault="008B401B" w:rsidP="008B401B">
            <w:pPr>
              <w:pStyle w:val="Tabletext"/>
            </w:pPr>
            <w:r w:rsidRPr="00244F9E">
              <w:t>Abnormal bone growth around the stapes bone, causing its fixation and impaired sound transmission</w:t>
            </w:r>
          </w:p>
        </w:tc>
        <w:tc>
          <w:tcPr>
            <w:tcW w:w="666" w:type="pct"/>
          </w:tcPr>
          <w:p w14:paraId="6E0E273A" w14:textId="1A231FBC" w:rsidR="008B401B" w:rsidRDefault="008B401B" w:rsidP="008B401B">
            <w:pPr>
              <w:pStyle w:val="Tabletext"/>
            </w:pPr>
            <w:r w:rsidRPr="00244F9E">
              <w:t>Middle ear</w:t>
            </w:r>
          </w:p>
        </w:tc>
        <w:tc>
          <w:tcPr>
            <w:tcW w:w="2041" w:type="pct"/>
          </w:tcPr>
          <w:p w14:paraId="20FFCE2F" w14:textId="157491E4" w:rsidR="008B401B" w:rsidRPr="0038709B" w:rsidRDefault="008B401B" w:rsidP="008B401B">
            <w:pPr>
              <w:pStyle w:val="Tabletext"/>
            </w:pPr>
            <w:r w:rsidRPr="00244F9E">
              <w:t xml:space="preserve">Progressive, often hereditary; usually presents in young adults; may cause </w:t>
            </w:r>
            <w:r w:rsidR="00A1714B">
              <w:t>MHL</w:t>
            </w:r>
            <w:r w:rsidRPr="00244F9E">
              <w:t xml:space="preserve"> if cochlea is affected.</w:t>
            </w:r>
          </w:p>
        </w:tc>
      </w:tr>
      <w:tr w:rsidR="008B401B" w14:paraId="37DCF12E" w14:textId="47DD3A88" w:rsidTr="00E504DB">
        <w:tc>
          <w:tcPr>
            <w:tcW w:w="885" w:type="pct"/>
          </w:tcPr>
          <w:p w14:paraId="312318BC" w14:textId="44493102" w:rsidR="008B401B" w:rsidRPr="00196467" w:rsidRDefault="00A501C0" w:rsidP="008B401B">
            <w:pPr>
              <w:pStyle w:val="Tabletext"/>
            </w:pPr>
            <w:r>
              <w:t>C</w:t>
            </w:r>
            <w:r w:rsidR="008B401B" w:rsidRPr="00244F9E">
              <w:t>holesteatoma</w:t>
            </w:r>
          </w:p>
        </w:tc>
        <w:tc>
          <w:tcPr>
            <w:tcW w:w="1408" w:type="pct"/>
          </w:tcPr>
          <w:p w14:paraId="2A78A902" w14:textId="7A908277" w:rsidR="008B401B" w:rsidRPr="00196467" w:rsidRDefault="008B401B" w:rsidP="008B401B">
            <w:pPr>
              <w:pStyle w:val="Tabletext"/>
            </w:pPr>
            <w:r w:rsidRPr="00244F9E">
              <w:t>Abnormal skin growth in the middle ear that can erode bones and disrupt hearing mechanisms</w:t>
            </w:r>
          </w:p>
        </w:tc>
        <w:tc>
          <w:tcPr>
            <w:tcW w:w="666" w:type="pct"/>
          </w:tcPr>
          <w:p w14:paraId="71F87ADB" w14:textId="720E6AB0" w:rsidR="008B401B" w:rsidRDefault="008B401B" w:rsidP="008B401B">
            <w:pPr>
              <w:pStyle w:val="Tabletext"/>
            </w:pPr>
            <w:r w:rsidRPr="00244F9E">
              <w:t>Middle ear</w:t>
            </w:r>
          </w:p>
        </w:tc>
        <w:tc>
          <w:tcPr>
            <w:tcW w:w="2041" w:type="pct"/>
          </w:tcPr>
          <w:p w14:paraId="0D1B50EC" w14:textId="3A78402B" w:rsidR="008B401B" w:rsidRPr="0083023A" w:rsidRDefault="008B401B" w:rsidP="008B401B">
            <w:pPr>
              <w:pStyle w:val="Tabletext"/>
            </w:pPr>
            <w:r w:rsidRPr="00244F9E">
              <w:t xml:space="preserve">Can develop as a complication of chronic ear infections; may cause persistent discharge, </w:t>
            </w:r>
            <w:r w:rsidR="00C816AF">
              <w:t>HL</w:t>
            </w:r>
            <w:r w:rsidRPr="00244F9E">
              <w:t>, and risk of infection spread.</w:t>
            </w:r>
          </w:p>
        </w:tc>
      </w:tr>
      <w:tr w:rsidR="008B401B" w14:paraId="4DA4005B" w14:textId="2C974FEB" w:rsidTr="00E504DB">
        <w:tc>
          <w:tcPr>
            <w:tcW w:w="885" w:type="pct"/>
          </w:tcPr>
          <w:p w14:paraId="321D4016" w14:textId="36BB12EF" w:rsidR="008B401B" w:rsidRPr="00196467" w:rsidRDefault="008B401B" w:rsidP="008B401B">
            <w:pPr>
              <w:pStyle w:val="Tabletext"/>
            </w:pPr>
            <w:r w:rsidRPr="00244F9E">
              <w:t>Ossicular chain discontinuity</w:t>
            </w:r>
          </w:p>
        </w:tc>
        <w:tc>
          <w:tcPr>
            <w:tcW w:w="1408" w:type="pct"/>
          </w:tcPr>
          <w:p w14:paraId="273065AF" w14:textId="349D9913" w:rsidR="008B401B" w:rsidRPr="00196467" w:rsidRDefault="008B401B" w:rsidP="008B401B">
            <w:pPr>
              <w:pStyle w:val="Tabletext"/>
            </w:pPr>
            <w:r w:rsidRPr="00244F9E">
              <w:t>Disruption or fixation of the tiny bones (ossicles) in the middle ear</w:t>
            </w:r>
          </w:p>
        </w:tc>
        <w:tc>
          <w:tcPr>
            <w:tcW w:w="666" w:type="pct"/>
          </w:tcPr>
          <w:p w14:paraId="06B9AE50" w14:textId="128E31A2" w:rsidR="008B401B" w:rsidRDefault="008B401B" w:rsidP="008B401B">
            <w:pPr>
              <w:pStyle w:val="Tabletext"/>
            </w:pPr>
            <w:r w:rsidRPr="00244F9E">
              <w:t>Middle ear</w:t>
            </w:r>
          </w:p>
        </w:tc>
        <w:tc>
          <w:tcPr>
            <w:tcW w:w="2041" w:type="pct"/>
          </w:tcPr>
          <w:p w14:paraId="43E1B0F4" w14:textId="0B71D989" w:rsidR="008B401B" w:rsidRPr="005D5A6D" w:rsidRDefault="008B401B" w:rsidP="008B401B">
            <w:pPr>
              <w:pStyle w:val="Tabletext"/>
            </w:pPr>
            <w:r w:rsidRPr="00244F9E">
              <w:t xml:space="preserve">May result from chronic infection, trauma, or surgery; leads to persistent </w:t>
            </w:r>
            <w:r w:rsidR="00C816AF">
              <w:t>CHL</w:t>
            </w:r>
            <w:r w:rsidRPr="00244F9E">
              <w:t>.</w:t>
            </w:r>
          </w:p>
        </w:tc>
      </w:tr>
      <w:tr w:rsidR="008B401B" w14:paraId="6ABC9BBB" w14:textId="7BC5BC8A" w:rsidTr="00E504DB">
        <w:tc>
          <w:tcPr>
            <w:tcW w:w="885" w:type="pct"/>
          </w:tcPr>
          <w:p w14:paraId="27AE75DB" w14:textId="685C9B1C" w:rsidR="008B401B" w:rsidRPr="00196467" w:rsidRDefault="008B401B" w:rsidP="008B401B">
            <w:pPr>
              <w:pStyle w:val="Tabletext"/>
            </w:pPr>
            <w:r w:rsidRPr="00244F9E">
              <w:t>Tympanosclerosis</w:t>
            </w:r>
          </w:p>
        </w:tc>
        <w:tc>
          <w:tcPr>
            <w:tcW w:w="1408" w:type="pct"/>
          </w:tcPr>
          <w:p w14:paraId="6AEC2162" w14:textId="6FEE486F" w:rsidR="008B401B" w:rsidRPr="00196467" w:rsidRDefault="008B401B" w:rsidP="008B401B">
            <w:pPr>
              <w:pStyle w:val="Tabletext"/>
            </w:pPr>
            <w:r w:rsidRPr="00244F9E">
              <w:t>Scarring or thickening of the eardrum or middle ear tissues</w:t>
            </w:r>
          </w:p>
        </w:tc>
        <w:tc>
          <w:tcPr>
            <w:tcW w:w="666" w:type="pct"/>
          </w:tcPr>
          <w:p w14:paraId="7FC989BC" w14:textId="60324E95" w:rsidR="008B401B" w:rsidRPr="00D74A10" w:rsidRDefault="008B401B" w:rsidP="008B401B">
            <w:pPr>
              <w:pStyle w:val="Tabletext"/>
            </w:pPr>
            <w:r w:rsidRPr="00244F9E">
              <w:t>Middle ear</w:t>
            </w:r>
          </w:p>
        </w:tc>
        <w:tc>
          <w:tcPr>
            <w:tcW w:w="2041" w:type="pct"/>
          </w:tcPr>
          <w:p w14:paraId="6BDF02F3" w14:textId="57841BC3" w:rsidR="008B401B" w:rsidRPr="00D629D3" w:rsidRDefault="008B401B" w:rsidP="008B401B">
            <w:pPr>
              <w:pStyle w:val="Tabletext"/>
            </w:pPr>
            <w:r w:rsidRPr="00244F9E">
              <w:t>Often a sequela of chronic infections or repeated ear surgeries; reduces eardrum mobility and sound conduction</w:t>
            </w:r>
            <w:r w:rsidR="00E00065">
              <w:t xml:space="preserve">, </w:t>
            </w:r>
            <w:r w:rsidR="00292D60">
              <w:t>result</w:t>
            </w:r>
            <w:r w:rsidR="00E00065">
              <w:t>ing</w:t>
            </w:r>
            <w:r w:rsidR="00292D60">
              <w:t xml:space="preserve"> in CHL</w:t>
            </w:r>
            <w:r w:rsidRPr="00244F9E">
              <w:t>.</w:t>
            </w:r>
          </w:p>
        </w:tc>
      </w:tr>
      <w:tr w:rsidR="008B401B" w14:paraId="0842A6BA" w14:textId="59D50A40" w:rsidTr="00E504DB">
        <w:tc>
          <w:tcPr>
            <w:tcW w:w="885" w:type="pct"/>
          </w:tcPr>
          <w:p w14:paraId="60AF3690" w14:textId="7F63CF47" w:rsidR="008B401B" w:rsidRPr="00196467" w:rsidRDefault="008B401B" w:rsidP="008B401B">
            <w:pPr>
              <w:pStyle w:val="Tabletext"/>
            </w:pPr>
            <w:r w:rsidRPr="00244F9E">
              <w:t>Congenital ear malformations</w:t>
            </w:r>
          </w:p>
        </w:tc>
        <w:tc>
          <w:tcPr>
            <w:tcW w:w="1408" w:type="pct"/>
          </w:tcPr>
          <w:p w14:paraId="3CCD2627" w14:textId="29B31139" w:rsidR="008B401B" w:rsidRPr="00196467" w:rsidRDefault="008B401B" w:rsidP="008B401B">
            <w:pPr>
              <w:pStyle w:val="Tabletext"/>
            </w:pPr>
            <w:r w:rsidRPr="00244F9E">
              <w:t>Structural abnormalities present from birth (e.g. atresia, microtia)</w:t>
            </w:r>
          </w:p>
        </w:tc>
        <w:tc>
          <w:tcPr>
            <w:tcW w:w="666" w:type="pct"/>
          </w:tcPr>
          <w:p w14:paraId="253D78F7" w14:textId="177B5B05" w:rsidR="008B401B" w:rsidRDefault="008B401B" w:rsidP="008B401B">
            <w:pPr>
              <w:pStyle w:val="Tabletext"/>
            </w:pPr>
            <w:r w:rsidRPr="00244F9E">
              <w:t>Outer/middle ear</w:t>
            </w:r>
          </w:p>
        </w:tc>
        <w:tc>
          <w:tcPr>
            <w:tcW w:w="2041" w:type="pct"/>
          </w:tcPr>
          <w:p w14:paraId="5CF712A3" w14:textId="5A9C19C2" w:rsidR="008B401B" w:rsidRPr="00615667" w:rsidRDefault="008B401B" w:rsidP="008B401B">
            <w:pPr>
              <w:pStyle w:val="Tabletext"/>
            </w:pPr>
            <w:r w:rsidRPr="00244F9E">
              <w:t>May involve absence or narrowing of ear canal, malformed ossicles, or abnormal middle ear spaces; often requires surgical intervention.</w:t>
            </w:r>
            <w:r w:rsidR="00890D95">
              <w:t xml:space="preserve"> </w:t>
            </w:r>
            <w:r w:rsidR="00142AEF">
              <w:t>May r</w:t>
            </w:r>
            <w:r w:rsidR="00890D95">
              <w:t>esult in CHL</w:t>
            </w:r>
            <w:r w:rsidR="00142AEF">
              <w:t xml:space="preserve"> or MHL </w:t>
            </w:r>
            <w:r w:rsidR="004C5944">
              <w:t>(</w:t>
            </w:r>
            <w:r w:rsidR="00142AEF">
              <w:t>depending on the extent of inner ear involvement</w:t>
            </w:r>
            <w:r w:rsidR="004C5944">
              <w:t>)</w:t>
            </w:r>
            <w:r w:rsidR="00142AEF">
              <w:t>.</w:t>
            </w:r>
            <w:r w:rsidR="00890D95">
              <w:t xml:space="preserve"> </w:t>
            </w:r>
          </w:p>
        </w:tc>
      </w:tr>
      <w:tr w:rsidR="008B401B" w14:paraId="6A1A9011" w14:textId="42BA5059" w:rsidTr="00E504DB">
        <w:tc>
          <w:tcPr>
            <w:tcW w:w="885" w:type="pct"/>
          </w:tcPr>
          <w:p w14:paraId="3764B386" w14:textId="39BD65BA" w:rsidR="008B401B" w:rsidRPr="00196467" w:rsidRDefault="008B401B" w:rsidP="008B401B">
            <w:pPr>
              <w:pStyle w:val="Tabletext"/>
            </w:pPr>
            <w:r w:rsidRPr="00244F9E">
              <w:t>Tumo</w:t>
            </w:r>
            <w:r w:rsidR="00E0116F">
              <w:t>u</w:t>
            </w:r>
            <w:r w:rsidRPr="00244F9E">
              <w:t>rs (benign or malignant)</w:t>
            </w:r>
          </w:p>
        </w:tc>
        <w:tc>
          <w:tcPr>
            <w:tcW w:w="1408" w:type="pct"/>
          </w:tcPr>
          <w:p w14:paraId="2D47FE96" w14:textId="3B6339D9" w:rsidR="008B401B" w:rsidRPr="00196467" w:rsidRDefault="008B401B" w:rsidP="008B401B">
            <w:pPr>
              <w:pStyle w:val="Tabletext"/>
            </w:pPr>
            <w:r w:rsidRPr="00244F9E">
              <w:t>Growths in the outer or middle ear that persistently block or damage hearing structures</w:t>
            </w:r>
          </w:p>
        </w:tc>
        <w:tc>
          <w:tcPr>
            <w:tcW w:w="666" w:type="pct"/>
          </w:tcPr>
          <w:p w14:paraId="3DFE9157" w14:textId="1CD96E8F" w:rsidR="008B401B" w:rsidRDefault="008B401B" w:rsidP="008B401B">
            <w:pPr>
              <w:pStyle w:val="Tabletext"/>
            </w:pPr>
            <w:r w:rsidRPr="00244F9E">
              <w:t>Outer/middle ear</w:t>
            </w:r>
          </w:p>
        </w:tc>
        <w:tc>
          <w:tcPr>
            <w:tcW w:w="2041" w:type="pct"/>
          </w:tcPr>
          <w:p w14:paraId="00A932B0" w14:textId="43E9C09C" w:rsidR="008B401B" w:rsidRPr="00615667" w:rsidRDefault="008B401B" w:rsidP="008B401B">
            <w:pPr>
              <w:pStyle w:val="Tabletext"/>
            </w:pPr>
            <w:r w:rsidRPr="00244F9E">
              <w:t>Includes glomus tumo</w:t>
            </w:r>
            <w:r w:rsidR="00E0116F">
              <w:t>u</w:t>
            </w:r>
            <w:r w:rsidRPr="00244F9E">
              <w:t>rs, exostoses, and other neoplasms; may require surgical removal.</w:t>
            </w:r>
            <w:r w:rsidR="000327D2">
              <w:t xml:space="preserve"> Typically </w:t>
            </w:r>
            <w:r w:rsidR="002141F9">
              <w:t xml:space="preserve">cause CHL, but MHL may occur </w:t>
            </w:r>
            <w:r w:rsidR="001D66CA">
              <w:t>if there is inner ear involvement or associated damage.</w:t>
            </w:r>
          </w:p>
        </w:tc>
      </w:tr>
      <w:tr w:rsidR="007F3D09" w14:paraId="5114FA35" w14:textId="77777777" w:rsidTr="00E504DB">
        <w:tc>
          <w:tcPr>
            <w:tcW w:w="885" w:type="pct"/>
          </w:tcPr>
          <w:p w14:paraId="47E3AFA4" w14:textId="77777777" w:rsidR="007F3D09" w:rsidRPr="00196467" w:rsidRDefault="007F3D09" w:rsidP="008B401B">
            <w:pPr>
              <w:pStyle w:val="Tabletext"/>
            </w:pPr>
            <w:r w:rsidRPr="00244F9E">
              <w:t>Previous ear surgeries</w:t>
            </w:r>
          </w:p>
        </w:tc>
        <w:tc>
          <w:tcPr>
            <w:tcW w:w="1408" w:type="pct"/>
          </w:tcPr>
          <w:p w14:paraId="04D613D4" w14:textId="7CB961FA" w:rsidR="007F3D09" w:rsidRPr="00196467" w:rsidRDefault="007F3D09" w:rsidP="008B401B">
            <w:pPr>
              <w:pStyle w:val="Tabletext"/>
            </w:pPr>
            <w:r w:rsidRPr="00244F9E">
              <w:t xml:space="preserve">Surgeries that alter ear anatomy or function, sometimes resulting in lasting </w:t>
            </w:r>
            <w:r w:rsidR="00BD1619">
              <w:t>HL</w:t>
            </w:r>
          </w:p>
        </w:tc>
        <w:tc>
          <w:tcPr>
            <w:tcW w:w="666" w:type="pct"/>
          </w:tcPr>
          <w:p w14:paraId="23C3590D" w14:textId="77777777" w:rsidR="007F3D09" w:rsidRDefault="007F3D09" w:rsidP="008B401B">
            <w:pPr>
              <w:pStyle w:val="Tabletext"/>
            </w:pPr>
            <w:r w:rsidRPr="00244F9E">
              <w:t>Outer/middle ear</w:t>
            </w:r>
          </w:p>
        </w:tc>
        <w:tc>
          <w:tcPr>
            <w:tcW w:w="2041" w:type="pct"/>
          </w:tcPr>
          <w:p w14:paraId="183C0192" w14:textId="45BBDB82" w:rsidR="007F3D09" w:rsidRPr="00615667" w:rsidRDefault="007F3D09" w:rsidP="008B401B">
            <w:pPr>
              <w:pStyle w:val="Tabletext"/>
            </w:pPr>
            <w:r w:rsidRPr="00244F9E">
              <w:t xml:space="preserve">Procedures like tympanoplasty, mastoidectomy, or ossicular reconstruction may result in persistent </w:t>
            </w:r>
            <w:r w:rsidR="00BD1619">
              <w:t>CHL</w:t>
            </w:r>
            <w:r w:rsidRPr="00244F9E">
              <w:t xml:space="preserve"> if unsuccessful.</w:t>
            </w:r>
          </w:p>
        </w:tc>
      </w:tr>
      <w:tr w:rsidR="008B401B" w14:paraId="463DE4EC" w14:textId="36398394" w:rsidTr="00E504DB">
        <w:tc>
          <w:tcPr>
            <w:tcW w:w="885" w:type="pct"/>
          </w:tcPr>
          <w:p w14:paraId="1815D7BC" w14:textId="008E18A8" w:rsidR="008B401B" w:rsidRPr="00196467" w:rsidRDefault="008B401B" w:rsidP="008B401B">
            <w:pPr>
              <w:pStyle w:val="Tabletext"/>
            </w:pPr>
            <w:r w:rsidRPr="00244F9E">
              <w:t xml:space="preserve">Mixed: Age-related </w:t>
            </w:r>
            <w:r w:rsidR="00BD1619">
              <w:t>HL</w:t>
            </w:r>
            <w:r w:rsidRPr="00244F9E">
              <w:t xml:space="preserve"> + conductive cause</w:t>
            </w:r>
          </w:p>
        </w:tc>
        <w:tc>
          <w:tcPr>
            <w:tcW w:w="1408" w:type="pct"/>
          </w:tcPr>
          <w:p w14:paraId="19020EEE" w14:textId="3E590625" w:rsidR="008B401B" w:rsidRPr="00196467" w:rsidRDefault="00BD1619" w:rsidP="008B401B">
            <w:pPr>
              <w:pStyle w:val="Tabletext"/>
            </w:pPr>
            <w:r>
              <w:t>SNHL</w:t>
            </w:r>
            <w:r w:rsidR="008B401B" w:rsidRPr="00244F9E">
              <w:t xml:space="preserve"> from aging combined with a persistent conductive issue</w:t>
            </w:r>
          </w:p>
        </w:tc>
        <w:tc>
          <w:tcPr>
            <w:tcW w:w="666" w:type="pct"/>
          </w:tcPr>
          <w:p w14:paraId="7F038CCF" w14:textId="784D89C3" w:rsidR="008B401B" w:rsidRDefault="008B401B" w:rsidP="008B401B">
            <w:pPr>
              <w:pStyle w:val="Tabletext"/>
            </w:pPr>
            <w:r w:rsidRPr="00244F9E">
              <w:t>Inner + outer/</w:t>
            </w:r>
            <w:r w:rsidR="00BD1619">
              <w:t xml:space="preserve"> </w:t>
            </w:r>
            <w:r w:rsidRPr="00244F9E">
              <w:t>middle</w:t>
            </w:r>
          </w:p>
        </w:tc>
        <w:tc>
          <w:tcPr>
            <w:tcW w:w="2041" w:type="pct"/>
          </w:tcPr>
          <w:p w14:paraId="57798428" w14:textId="51AAF340" w:rsidR="008B401B" w:rsidRPr="00615667" w:rsidRDefault="008B401B" w:rsidP="008B401B">
            <w:pPr>
              <w:pStyle w:val="Tabletext"/>
            </w:pPr>
            <w:r w:rsidRPr="00244F9E">
              <w:t>Common in older adults; persistent conductive pathology (e.g. chronic otitis media) adds to underlying sensorineural deficit.</w:t>
            </w:r>
          </w:p>
        </w:tc>
      </w:tr>
    </w:tbl>
    <w:p w14:paraId="68561BC1" w14:textId="135A7BF2" w:rsidR="002328CD" w:rsidRPr="00354ECF" w:rsidRDefault="003403B9" w:rsidP="00792874">
      <w:pPr>
        <w:pStyle w:val="Tablenotes"/>
      </w:pPr>
      <w:r>
        <w:t xml:space="preserve">CHL = conductive hearing loss; </w:t>
      </w:r>
      <w:r w:rsidR="00B90BB3">
        <w:t xml:space="preserve">HL = hearing loss; </w:t>
      </w:r>
      <w:r>
        <w:t>MHL = mixed hearing loss</w:t>
      </w:r>
      <w:r w:rsidR="00B90BB3">
        <w:t xml:space="preserve">; SNHL = sensorineural </w:t>
      </w:r>
      <w:r w:rsidR="00B90BB3" w:rsidRPr="00792874">
        <w:t>hearing</w:t>
      </w:r>
      <w:r w:rsidR="00B90BB3">
        <w:t xml:space="preserve"> loss</w:t>
      </w:r>
      <w:r>
        <w:t>.</w:t>
      </w:r>
    </w:p>
    <w:p w14:paraId="71342689" w14:textId="24821E94" w:rsidR="008644E0" w:rsidRDefault="00430822" w:rsidP="008644E0">
      <w:pPr>
        <w:pStyle w:val="Heading4"/>
      </w:pPr>
      <w:r>
        <w:t xml:space="preserve">Treatment options for </w:t>
      </w:r>
      <w:r w:rsidR="00714D40">
        <w:t xml:space="preserve">mixed and </w:t>
      </w:r>
      <w:r w:rsidR="008644E0">
        <w:t>conductive hearing loss</w:t>
      </w:r>
    </w:p>
    <w:p w14:paraId="669ECBE0" w14:textId="291AA027" w:rsidR="009F1B11" w:rsidRDefault="009F1B11" w:rsidP="009F1B11">
      <w:r>
        <w:t xml:space="preserve">The initial assessment </w:t>
      </w:r>
      <w:r w:rsidR="00AF6A3F">
        <w:t xml:space="preserve">of patients presenting with </w:t>
      </w:r>
      <w:r w:rsidR="004C4BC6">
        <w:t xml:space="preserve">hearing loss </w:t>
      </w:r>
      <w:r>
        <w:t xml:space="preserve">comprises a comprehensive clinical history, otoscopic examination, and formal audiological testing, including </w:t>
      </w:r>
      <w:r w:rsidR="00A977CF">
        <w:t>pure tone audiometry</w:t>
      </w:r>
      <w:r w:rsidR="00714220">
        <w:t xml:space="preserve"> </w:t>
      </w:r>
      <w:r>
        <w:t xml:space="preserve">and tympanometry, to confirm the diagnosis and characterise the severity and nature of </w:t>
      </w:r>
      <w:r w:rsidR="000934AB">
        <w:t>hearing loss</w:t>
      </w:r>
      <w:r>
        <w:t>.</w:t>
      </w:r>
    </w:p>
    <w:p w14:paraId="25E9C8EB" w14:textId="31695077" w:rsidR="009F1B11" w:rsidRDefault="009F1B11" w:rsidP="009F1B11">
      <w:r>
        <w:t>Where a reversible or treatable cause is identified</w:t>
      </w:r>
      <w:r w:rsidR="00F87FBC">
        <w:t xml:space="preserve"> – </w:t>
      </w:r>
      <w:r>
        <w:t>such as impacted cerumen, otitis media, tympanic membrane perforation, or ossicular chain disruption</w:t>
      </w:r>
      <w:r w:rsidR="00F87FBC">
        <w:t xml:space="preserve"> – </w:t>
      </w:r>
      <w:r>
        <w:t xml:space="preserve">patients are managed with appropriate medical or surgical interventions. These may include microsuction, pharmacological therapy, or surgical procedures such as tympanoplasty or ossiculoplasty, with the aim of restoring normal middle ear function and resolving the conductive component of the </w:t>
      </w:r>
      <w:r w:rsidR="000934AB">
        <w:t>hearing loss</w:t>
      </w:r>
      <w:r>
        <w:t>.</w:t>
      </w:r>
    </w:p>
    <w:p w14:paraId="4295FE78" w14:textId="7D7EC078" w:rsidR="008F18A4" w:rsidRDefault="009F1B11" w:rsidP="009F1B11">
      <w:r>
        <w:lastRenderedPageBreak/>
        <w:t xml:space="preserve">For patients whose </w:t>
      </w:r>
      <w:r w:rsidR="000934AB">
        <w:t>hearing loss</w:t>
      </w:r>
      <w:r>
        <w:t xml:space="preserve"> persists following optimal medical and/or surgical management, the standard of care is the provision of conventional air</w:t>
      </w:r>
      <w:r w:rsidR="00924C02">
        <w:t xml:space="preserve"> </w:t>
      </w:r>
      <w:r>
        <w:t>conduction hearing aids</w:t>
      </w:r>
      <w:r w:rsidR="00053FE8">
        <w:t xml:space="preserve"> (e.g. behind-the-ear </w:t>
      </w:r>
      <w:r w:rsidR="00AA5511">
        <w:t>or in-the</w:t>
      </w:r>
      <w:r w:rsidR="005C33A2">
        <w:t xml:space="preserve">-ear </w:t>
      </w:r>
      <w:r w:rsidR="00053FE8">
        <w:t>devices)</w:t>
      </w:r>
      <w:r>
        <w:t>. These devices are widely accessible and are considered first</w:t>
      </w:r>
      <w:r w:rsidR="00343072">
        <w:t xml:space="preserve"> </w:t>
      </w:r>
      <w:r>
        <w:t xml:space="preserve">line management for mild to moderate </w:t>
      </w:r>
      <w:r w:rsidR="00714D40">
        <w:t>M</w:t>
      </w:r>
      <w:r>
        <w:t>HL</w:t>
      </w:r>
      <w:r w:rsidR="001C7060">
        <w:t xml:space="preserve"> and </w:t>
      </w:r>
      <w:r w:rsidR="00714D40">
        <w:t>C</w:t>
      </w:r>
      <w:r>
        <w:t xml:space="preserve">HL, provided the patient has suitable ear canal and middle ear anatomy and </w:t>
      </w:r>
      <w:r w:rsidR="003943BA">
        <w:t>can</w:t>
      </w:r>
      <w:r>
        <w:t xml:space="preserve"> tolerate and benefit from amplification.</w:t>
      </w:r>
    </w:p>
    <w:p w14:paraId="53302BF3" w14:textId="2EDBD0D5" w:rsidR="002328CD" w:rsidRDefault="001130D1" w:rsidP="00DB06F5">
      <w:r w:rsidRPr="001130D1">
        <w:t xml:space="preserve">In patients for whom conventional </w:t>
      </w:r>
      <w:r w:rsidR="003F6922">
        <w:t xml:space="preserve">air conduction </w:t>
      </w:r>
      <w:r w:rsidRPr="001130D1">
        <w:t>hearing aids are contraindicated, not tolerated, or provide insufficient benefit</w:t>
      </w:r>
      <w:r w:rsidR="00A269C8">
        <w:t xml:space="preserve"> – </w:t>
      </w:r>
      <w:r w:rsidRPr="001130D1">
        <w:t xml:space="preserve">such as those with </w:t>
      </w:r>
      <w:r w:rsidR="00502D0B">
        <w:t xml:space="preserve">ear canal </w:t>
      </w:r>
      <w:r w:rsidR="009F1A81">
        <w:t xml:space="preserve">eczema, </w:t>
      </w:r>
      <w:r w:rsidRPr="001130D1">
        <w:t>chronic otitis externa or media, congenital aural atresia, or persistent conductive pathology</w:t>
      </w:r>
      <w:r w:rsidR="00A269C8">
        <w:t xml:space="preserve"> – </w:t>
      </w:r>
      <w:r w:rsidRPr="001130D1">
        <w:t xml:space="preserve">non-implantable bone conduction devices </w:t>
      </w:r>
      <w:r w:rsidR="00286A3A">
        <w:t xml:space="preserve">(i.e. headband/softband options such as the </w:t>
      </w:r>
      <w:r w:rsidR="00286A3A" w:rsidRPr="00C83B2E">
        <w:t>Cochlear Baha Softband</w:t>
      </w:r>
      <w:r w:rsidR="00286A3A">
        <w:t xml:space="preserve"> and</w:t>
      </w:r>
      <w:r w:rsidR="00286A3A" w:rsidRPr="00C83B2E">
        <w:t xml:space="preserve"> Oticon Ponto Softband</w:t>
      </w:r>
      <w:r w:rsidR="00286A3A">
        <w:t xml:space="preserve">, or adhesive options such as the </w:t>
      </w:r>
      <w:r w:rsidR="00286A3A" w:rsidRPr="00C83B2E">
        <w:t>MED-EL ADHEAR</w:t>
      </w:r>
      <w:r w:rsidR="00286A3A">
        <w:t xml:space="preserve">) </w:t>
      </w:r>
      <w:r w:rsidRPr="001130D1">
        <w:t xml:space="preserve">may be trialled as an interim </w:t>
      </w:r>
      <w:r w:rsidR="00946B8D">
        <w:t>(</w:t>
      </w:r>
      <w:r w:rsidRPr="001130D1">
        <w:t>or</w:t>
      </w:r>
      <w:r w:rsidR="00946B8D">
        <w:t xml:space="preserve"> </w:t>
      </w:r>
      <w:r w:rsidR="00F21086">
        <w:t xml:space="preserve">in some cases </w:t>
      </w:r>
      <w:r w:rsidRPr="001130D1">
        <w:t>long-term</w:t>
      </w:r>
      <w:r w:rsidR="00946B8D">
        <w:t>)</w:t>
      </w:r>
      <w:r w:rsidRPr="001130D1">
        <w:t xml:space="preserve"> solution</w:t>
      </w:r>
      <w:r w:rsidR="00425877">
        <w:t xml:space="preserve"> (Koro et al. 2025)</w:t>
      </w:r>
      <w:r w:rsidRPr="001130D1">
        <w:t>. Where these are unsuitable or inadequate, implantable hearing solutions</w:t>
      </w:r>
      <w:r w:rsidR="00FC39CE">
        <w:t xml:space="preserve"> may be considered</w:t>
      </w:r>
      <w:r w:rsidRPr="001130D1">
        <w:t>, including BC</w:t>
      </w:r>
      <w:r w:rsidR="00AD0FC2">
        <w:t>Is</w:t>
      </w:r>
      <w:r w:rsidRPr="001130D1">
        <w:t xml:space="preserve"> or</w:t>
      </w:r>
      <w:r w:rsidR="00AD0FC2">
        <w:t xml:space="preserve"> </w:t>
      </w:r>
      <w:r w:rsidRPr="001130D1">
        <w:t>AMEI</w:t>
      </w:r>
      <w:r w:rsidR="00AD0FC2">
        <w:t>s</w:t>
      </w:r>
      <w:r w:rsidRPr="001130D1">
        <w:t xml:space="preserve">, </w:t>
      </w:r>
      <w:r w:rsidR="00FC39CE">
        <w:t xml:space="preserve">or cochlear implants if sensorineural hearing loss is </w:t>
      </w:r>
      <w:r w:rsidR="00C8042E">
        <w:t>severe or profound</w:t>
      </w:r>
      <w:r w:rsidRPr="001130D1">
        <w:t>.</w:t>
      </w:r>
      <w:r w:rsidR="00EC1505">
        <w:t xml:space="preserve"> </w:t>
      </w:r>
    </w:p>
    <w:p w14:paraId="38C05978" w14:textId="0BB57B71" w:rsidR="00343244" w:rsidRDefault="00343244" w:rsidP="00DB06F5">
      <w:r>
        <w:fldChar w:fldCharType="begin"/>
      </w:r>
      <w:r>
        <w:instrText xml:space="preserve"> REF _Ref201416041 \h </w:instrText>
      </w:r>
      <w:r>
        <w:fldChar w:fldCharType="separate"/>
      </w:r>
      <w:r w:rsidR="00A42764" w:rsidRPr="00AD26D1">
        <w:t xml:space="preserve">Table </w:t>
      </w:r>
      <w:r w:rsidR="00A42764">
        <w:rPr>
          <w:noProof/>
        </w:rPr>
        <w:t>4</w:t>
      </w:r>
      <w:r>
        <w:fldChar w:fldCharType="end"/>
      </w:r>
      <w:r>
        <w:t xml:space="preserve"> summarises treatment options for </w:t>
      </w:r>
      <w:r w:rsidR="00C26FB8">
        <w:t xml:space="preserve">individuals </w:t>
      </w:r>
      <w:r>
        <w:t xml:space="preserve">with persistent MHL </w:t>
      </w:r>
      <w:r w:rsidR="00577DBC">
        <w:t>or</w:t>
      </w:r>
      <w:r>
        <w:t xml:space="preserve"> CHL.</w:t>
      </w:r>
      <w:r w:rsidR="00D722EE">
        <w:t xml:space="preserve"> </w:t>
      </w:r>
    </w:p>
    <w:p w14:paraId="50749379" w14:textId="4A3E0714" w:rsidR="00C0337F" w:rsidRPr="00AD26D1" w:rsidRDefault="00C0337F" w:rsidP="00C0337F">
      <w:pPr>
        <w:pStyle w:val="Caption"/>
        <w:rPr>
          <w:lang w:val="en-AU"/>
        </w:rPr>
      </w:pPr>
      <w:bookmarkStart w:id="7" w:name="_Ref201416041"/>
      <w:r w:rsidRPr="00AD26D1">
        <w:rPr>
          <w:lang w:val="en-AU"/>
        </w:rPr>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4</w:t>
      </w:r>
      <w:r w:rsidRPr="00AD26D1">
        <w:rPr>
          <w:lang w:val="en-AU"/>
        </w:rPr>
        <w:fldChar w:fldCharType="end"/>
      </w:r>
      <w:bookmarkEnd w:id="7"/>
      <w:r w:rsidRPr="00AD26D1">
        <w:rPr>
          <w:lang w:val="en-AU"/>
        </w:rPr>
        <w:tab/>
      </w:r>
      <w:r>
        <w:rPr>
          <w:lang w:val="en-AU"/>
        </w:rPr>
        <w:t xml:space="preserve">Treatment options </w:t>
      </w:r>
      <w:r w:rsidR="002B0A53">
        <w:rPr>
          <w:lang w:val="en-AU"/>
        </w:rPr>
        <w:t xml:space="preserve">for </w:t>
      </w:r>
      <w:r w:rsidR="00A91CA8">
        <w:rPr>
          <w:lang w:val="en-AU"/>
        </w:rPr>
        <w:t xml:space="preserve">persistent </w:t>
      </w:r>
      <w:r w:rsidR="00E10E29">
        <w:rPr>
          <w:lang w:val="en-AU"/>
        </w:rPr>
        <w:t>mixed or conductive hearing loss</w:t>
      </w:r>
      <w:r>
        <w:rPr>
          <w:lang w:val="en-AU"/>
        </w:rPr>
        <w:t xml:space="preserve"> </w:t>
      </w:r>
      <w:r w:rsidR="002B0A53">
        <w:rPr>
          <w:lang w:val="en-AU"/>
        </w:rPr>
        <w:t>in adults and children</w:t>
      </w:r>
    </w:p>
    <w:tbl>
      <w:tblPr>
        <w:tblStyle w:val="TableGrid"/>
        <w:tblW w:w="5000" w:type="pct"/>
        <w:tblInd w:w="0" w:type="dxa"/>
        <w:tblLook w:val="04A0" w:firstRow="1" w:lastRow="0" w:firstColumn="1" w:lastColumn="0" w:noHBand="0" w:noVBand="1"/>
        <w:tblCaption w:val="Treatment options for persistent mild to moderate MHL and CHL in adults and children"/>
        <w:tblDescription w:val="The table lists and describes treament modalities for persistent mild to moderate MHL/CHL, typical use in adults and in children, and limitations/contraindications for each modality."/>
      </w:tblPr>
      <w:tblGrid>
        <w:gridCol w:w="1414"/>
        <w:gridCol w:w="1844"/>
        <w:gridCol w:w="1983"/>
        <w:gridCol w:w="1983"/>
        <w:gridCol w:w="2347"/>
      </w:tblGrid>
      <w:tr w:rsidR="000D5B2B" w14:paraId="065F2133" w14:textId="1E8A79A2" w:rsidTr="00BA7F89">
        <w:trPr>
          <w:tblHeader/>
        </w:trPr>
        <w:tc>
          <w:tcPr>
            <w:tcW w:w="738" w:type="pct"/>
          </w:tcPr>
          <w:p w14:paraId="234A7AC6" w14:textId="27613AA1" w:rsidR="006C058A" w:rsidRDefault="006C058A" w:rsidP="00ED1410">
            <w:pPr>
              <w:pStyle w:val="TableHeading"/>
            </w:pPr>
            <w:r>
              <w:t>Treatment modality</w:t>
            </w:r>
          </w:p>
        </w:tc>
        <w:tc>
          <w:tcPr>
            <w:tcW w:w="963" w:type="pct"/>
          </w:tcPr>
          <w:p w14:paraId="7B54D465" w14:textId="7512AC1D" w:rsidR="006C058A" w:rsidRDefault="006C058A" w:rsidP="00ED1410">
            <w:pPr>
              <w:pStyle w:val="TableHeading"/>
            </w:pPr>
            <w:r>
              <w:t>Description</w:t>
            </w:r>
          </w:p>
        </w:tc>
        <w:tc>
          <w:tcPr>
            <w:tcW w:w="1036" w:type="pct"/>
          </w:tcPr>
          <w:p w14:paraId="00651810" w14:textId="089D002A" w:rsidR="006C058A" w:rsidRDefault="006C058A" w:rsidP="00ED1410">
            <w:pPr>
              <w:pStyle w:val="TableHeading"/>
            </w:pPr>
            <w:r>
              <w:t>Typical use in adults</w:t>
            </w:r>
          </w:p>
        </w:tc>
        <w:tc>
          <w:tcPr>
            <w:tcW w:w="1036" w:type="pct"/>
          </w:tcPr>
          <w:p w14:paraId="4158CA8C" w14:textId="691620CE" w:rsidR="006C058A" w:rsidRDefault="006C058A" w:rsidP="00ED1410">
            <w:pPr>
              <w:pStyle w:val="TableHeading"/>
            </w:pPr>
            <w:r>
              <w:t>Typical use in children</w:t>
            </w:r>
          </w:p>
        </w:tc>
        <w:tc>
          <w:tcPr>
            <w:tcW w:w="1226" w:type="pct"/>
          </w:tcPr>
          <w:p w14:paraId="4168FC71" w14:textId="3FC6893F" w:rsidR="006C058A" w:rsidRDefault="006C058A" w:rsidP="00ED1410">
            <w:pPr>
              <w:pStyle w:val="TableHeading"/>
            </w:pPr>
            <w:r>
              <w:t>Limitations/ contraindications</w:t>
            </w:r>
          </w:p>
        </w:tc>
      </w:tr>
      <w:tr w:rsidR="00C70E26" w14:paraId="727439E7" w14:textId="77777777" w:rsidTr="00BA7F89">
        <w:tc>
          <w:tcPr>
            <w:tcW w:w="738" w:type="pct"/>
          </w:tcPr>
          <w:p w14:paraId="28B3F7B0" w14:textId="77777777" w:rsidR="00C70E26" w:rsidRPr="00196467" w:rsidRDefault="00C70E26" w:rsidP="00E46B75">
            <w:pPr>
              <w:pStyle w:val="Tabletext"/>
            </w:pPr>
            <w:r w:rsidRPr="00641A57">
              <w:t>Middle ear reconstructive surgery</w:t>
            </w:r>
          </w:p>
        </w:tc>
        <w:tc>
          <w:tcPr>
            <w:tcW w:w="963" w:type="pct"/>
          </w:tcPr>
          <w:p w14:paraId="1B31EEA3" w14:textId="77777777" w:rsidR="00C70E26" w:rsidRPr="00196467" w:rsidRDefault="00C70E26" w:rsidP="00E46B75">
            <w:pPr>
              <w:pStyle w:val="Tabletext"/>
            </w:pPr>
            <w:r w:rsidRPr="00641A57">
              <w:t>Includes tympanoplasty, ossiculoplasty, or stapedectomy to repair or reconstruct ossicular chain</w:t>
            </w:r>
          </w:p>
        </w:tc>
        <w:tc>
          <w:tcPr>
            <w:tcW w:w="1036" w:type="pct"/>
          </w:tcPr>
          <w:p w14:paraId="659C9291" w14:textId="77777777" w:rsidR="00C70E26" w:rsidRDefault="00C70E26" w:rsidP="00E46B75">
            <w:pPr>
              <w:pStyle w:val="Tabletext"/>
            </w:pPr>
            <w:r w:rsidRPr="00641A57">
              <w:t>Often appropriate for acquired ossicular disease, tympanic membrane perforation, or otosclerosis</w:t>
            </w:r>
          </w:p>
        </w:tc>
        <w:tc>
          <w:tcPr>
            <w:tcW w:w="1036" w:type="pct"/>
          </w:tcPr>
          <w:p w14:paraId="42AFBD16" w14:textId="77777777" w:rsidR="00C70E26" w:rsidRPr="0038709B" w:rsidRDefault="00C70E26" w:rsidP="00E46B75">
            <w:pPr>
              <w:pStyle w:val="Tabletext"/>
            </w:pPr>
            <w:r w:rsidRPr="00641A57">
              <w:t>Performed for congenital or acquired anomalies, often deferred until older age depending on anatomy</w:t>
            </w:r>
          </w:p>
        </w:tc>
        <w:tc>
          <w:tcPr>
            <w:tcW w:w="1226" w:type="pct"/>
          </w:tcPr>
          <w:p w14:paraId="6AF5CADC" w14:textId="77777777" w:rsidR="00C70E26" w:rsidRPr="0038709B" w:rsidRDefault="00C70E26" w:rsidP="00E46B75">
            <w:pPr>
              <w:pStyle w:val="Tabletext"/>
            </w:pPr>
            <w:r w:rsidRPr="00641A57">
              <w:t>Not always successful; risk of recurrence; some cases require multiple surgeries or are not surgically correctable</w:t>
            </w:r>
          </w:p>
        </w:tc>
      </w:tr>
      <w:tr w:rsidR="00C70E26" w14:paraId="4A827D6F" w14:textId="77777777" w:rsidTr="00BA7F89">
        <w:tc>
          <w:tcPr>
            <w:tcW w:w="738" w:type="pct"/>
          </w:tcPr>
          <w:p w14:paraId="6FDE46FB" w14:textId="77777777" w:rsidR="00C70E26" w:rsidRPr="00196467" w:rsidRDefault="00C70E26" w:rsidP="00E46B75">
            <w:pPr>
              <w:pStyle w:val="Tabletext"/>
            </w:pPr>
            <w:r w:rsidRPr="00641A57">
              <w:t>Passive middle ear implants</w:t>
            </w:r>
          </w:p>
        </w:tc>
        <w:tc>
          <w:tcPr>
            <w:tcW w:w="963" w:type="pct"/>
          </w:tcPr>
          <w:p w14:paraId="3D55F2F6" w14:textId="77777777" w:rsidR="00C70E26" w:rsidRPr="00196467" w:rsidRDefault="00C70E26" w:rsidP="00E46B75">
            <w:pPr>
              <w:pStyle w:val="Tabletext"/>
            </w:pPr>
            <w:r w:rsidRPr="00641A57">
              <w:t>Ossicular prostheses (e.g. PORP/TORP) inserted during surgery to replace damaged ossicles</w:t>
            </w:r>
          </w:p>
        </w:tc>
        <w:tc>
          <w:tcPr>
            <w:tcW w:w="1036" w:type="pct"/>
          </w:tcPr>
          <w:p w14:paraId="255690E0" w14:textId="77777777" w:rsidR="00C70E26" w:rsidRDefault="00C70E26" w:rsidP="00E46B75">
            <w:pPr>
              <w:pStyle w:val="Tabletext"/>
            </w:pPr>
            <w:r w:rsidRPr="00641A57">
              <w:t>Used when ossicular continuity cannot be restored directly</w:t>
            </w:r>
          </w:p>
        </w:tc>
        <w:tc>
          <w:tcPr>
            <w:tcW w:w="1036" w:type="pct"/>
          </w:tcPr>
          <w:p w14:paraId="05009C1F" w14:textId="77777777" w:rsidR="00C70E26" w:rsidRPr="0083023A" w:rsidRDefault="00C70E26" w:rsidP="00E46B75">
            <w:pPr>
              <w:pStyle w:val="Tabletext"/>
            </w:pPr>
            <w:r w:rsidRPr="00641A57">
              <w:t>Used selectively in cases of congenital ossicular abnormalities or sequelae of chronic otitis</w:t>
            </w:r>
          </w:p>
        </w:tc>
        <w:tc>
          <w:tcPr>
            <w:tcW w:w="1226" w:type="pct"/>
          </w:tcPr>
          <w:p w14:paraId="03721454" w14:textId="77777777" w:rsidR="00C70E26" w:rsidRPr="0083023A" w:rsidRDefault="00C70E26" w:rsidP="00E46B75">
            <w:pPr>
              <w:pStyle w:val="Tabletext"/>
            </w:pPr>
            <w:r w:rsidRPr="00641A57">
              <w:t>Requires middle ear surgery; at risk of extrusion or failure, especially in ongoing middle ear disease</w:t>
            </w:r>
          </w:p>
        </w:tc>
      </w:tr>
      <w:tr w:rsidR="000D5B2B" w14:paraId="1E53916C" w14:textId="0B9A5BBA" w:rsidTr="00BA7F89">
        <w:tc>
          <w:tcPr>
            <w:tcW w:w="738" w:type="pct"/>
          </w:tcPr>
          <w:p w14:paraId="0A895635" w14:textId="615453A9" w:rsidR="00E46B75" w:rsidRPr="00196467" w:rsidRDefault="00E46B75" w:rsidP="00C70E26">
            <w:pPr>
              <w:pStyle w:val="Tabletext"/>
            </w:pPr>
            <w:r w:rsidRPr="00641A57">
              <w:t>Conventional air</w:t>
            </w:r>
            <w:r w:rsidR="00BC76E4">
              <w:t xml:space="preserve"> </w:t>
            </w:r>
            <w:r w:rsidRPr="00641A57">
              <w:t>conduction hearing aids</w:t>
            </w:r>
          </w:p>
        </w:tc>
        <w:tc>
          <w:tcPr>
            <w:tcW w:w="963" w:type="pct"/>
          </w:tcPr>
          <w:p w14:paraId="51BCD6F7" w14:textId="1CAAC368" w:rsidR="00E46B75" w:rsidRPr="00196467" w:rsidRDefault="00E46B75" w:rsidP="00C70E26">
            <w:pPr>
              <w:pStyle w:val="Tabletext"/>
            </w:pPr>
            <w:r w:rsidRPr="00641A57">
              <w:t>External hearing devices worn in or behind the ear to amplify sound and deliver it via the ear canal</w:t>
            </w:r>
          </w:p>
        </w:tc>
        <w:tc>
          <w:tcPr>
            <w:tcW w:w="1036" w:type="pct"/>
          </w:tcPr>
          <w:p w14:paraId="548FA5E9" w14:textId="5E171F0E" w:rsidR="00E46B75" w:rsidRPr="00DA146A" w:rsidRDefault="00E46B75" w:rsidP="00C70E26">
            <w:pPr>
              <w:pStyle w:val="Tabletext"/>
            </w:pPr>
            <w:r w:rsidRPr="00641A57">
              <w:t>Widely used for CHL/MHL with normal ear canal and stable middle ear condition</w:t>
            </w:r>
          </w:p>
        </w:tc>
        <w:tc>
          <w:tcPr>
            <w:tcW w:w="1036" w:type="pct"/>
          </w:tcPr>
          <w:p w14:paraId="25DCAFDE" w14:textId="3ED3C0CB" w:rsidR="00E46B75" w:rsidRDefault="00E46B75" w:rsidP="00C70E26">
            <w:pPr>
              <w:pStyle w:val="Tabletext"/>
            </w:pPr>
            <w:r w:rsidRPr="00641A57">
              <w:t>Common first</w:t>
            </w:r>
            <w:r w:rsidR="00565FBB">
              <w:t xml:space="preserve"> </w:t>
            </w:r>
            <w:r w:rsidRPr="00641A57">
              <w:t>line treatment; may be challenging in cases with otorrhoea or small ear canals</w:t>
            </w:r>
          </w:p>
        </w:tc>
        <w:tc>
          <w:tcPr>
            <w:tcW w:w="1226" w:type="pct"/>
          </w:tcPr>
          <w:p w14:paraId="3BBDB7DA" w14:textId="1B9D87D6" w:rsidR="00E46B75" w:rsidRDefault="00E46B75" w:rsidP="00C70E26">
            <w:pPr>
              <w:pStyle w:val="Tabletext"/>
            </w:pPr>
            <w:r w:rsidRPr="00641A57">
              <w:t>Ineffective with chronic otorrhoea, canal atresia, stenosis, or intolerance; can be dislodged or rejected in younger children</w:t>
            </w:r>
            <w:r w:rsidR="00397337">
              <w:t>; cosmetic concerns</w:t>
            </w:r>
          </w:p>
        </w:tc>
      </w:tr>
      <w:tr w:rsidR="000D5B2B" w14:paraId="14545DE0" w14:textId="5F007247" w:rsidTr="00BA7F89">
        <w:tc>
          <w:tcPr>
            <w:tcW w:w="738" w:type="pct"/>
          </w:tcPr>
          <w:p w14:paraId="4C37BDC8" w14:textId="75140453" w:rsidR="00E46B75" w:rsidRPr="00196467" w:rsidRDefault="00E46B75" w:rsidP="00565FBB">
            <w:pPr>
              <w:pStyle w:val="Tabletext"/>
            </w:pPr>
            <w:r w:rsidRPr="00641A57">
              <w:t>Bone conduction hearing devices (</w:t>
            </w:r>
            <w:r w:rsidR="00375956">
              <w:t>implantable and non-implantable</w:t>
            </w:r>
            <w:r w:rsidRPr="00641A57">
              <w:t>)</w:t>
            </w:r>
          </w:p>
        </w:tc>
        <w:tc>
          <w:tcPr>
            <w:tcW w:w="963" w:type="pct"/>
          </w:tcPr>
          <w:p w14:paraId="117875E1" w14:textId="3DB50130" w:rsidR="00E46B75" w:rsidRPr="00196467" w:rsidRDefault="00E46B75" w:rsidP="00565FBB">
            <w:pPr>
              <w:pStyle w:val="Tabletext"/>
            </w:pPr>
            <w:r w:rsidRPr="00641A57">
              <w:t>Transmit vibrations through skull bone directly to cochlea; percutaneous or transcutaneous types</w:t>
            </w:r>
          </w:p>
        </w:tc>
        <w:tc>
          <w:tcPr>
            <w:tcW w:w="1036" w:type="pct"/>
          </w:tcPr>
          <w:p w14:paraId="554EF282" w14:textId="3D9CA245" w:rsidR="00E46B75" w:rsidRDefault="00E46B75" w:rsidP="00565FBB">
            <w:pPr>
              <w:pStyle w:val="Tabletext"/>
            </w:pPr>
            <w:r w:rsidRPr="00641A57">
              <w:t>Used for anatomical ear canal abnormalities or intolerance to air</w:t>
            </w:r>
            <w:r w:rsidR="00BC76E4">
              <w:t xml:space="preserve"> </w:t>
            </w:r>
            <w:r w:rsidRPr="00641A57">
              <w:t>conduction aids</w:t>
            </w:r>
          </w:p>
        </w:tc>
        <w:tc>
          <w:tcPr>
            <w:tcW w:w="1036" w:type="pct"/>
          </w:tcPr>
          <w:p w14:paraId="50BA40CA" w14:textId="6CCD293A" w:rsidR="00E46B75" w:rsidRPr="005D5A6D" w:rsidRDefault="00E46B75" w:rsidP="00565FBB">
            <w:pPr>
              <w:pStyle w:val="Tabletext"/>
            </w:pPr>
            <w:r w:rsidRPr="00641A57">
              <w:t>Often used in microtia, canal atresia, or chronic otorrhoea; commonly trialled with headband</w:t>
            </w:r>
            <w:r w:rsidR="00DA7066">
              <w:t>/</w:t>
            </w:r>
            <w:r w:rsidR="000D7E52">
              <w:t xml:space="preserve"> </w:t>
            </w:r>
            <w:r w:rsidR="00DA7066">
              <w:t>softband</w:t>
            </w:r>
            <w:r w:rsidRPr="00641A57">
              <w:t xml:space="preserve"> first</w:t>
            </w:r>
          </w:p>
        </w:tc>
        <w:tc>
          <w:tcPr>
            <w:tcW w:w="1226" w:type="pct"/>
          </w:tcPr>
          <w:p w14:paraId="2F2D09CD" w14:textId="3CFED2A8" w:rsidR="00E46B75" w:rsidRPr="005D5A6D" w:rsidRDefault="7E11CE20" w:rsidP="00565FBB">
            <w:pPr>
              <w:pStyle w:val="Tabletext"/>
            </w:pPr>
            <w:r>
              <w:t>Cosmetic concerns</w:t>
            </w:r>
            <w:r w:rsidR="000413CB">
              <w:t xml:space="preserve"> (non-implantable </w:t>
            </w:r>
            <w:r w:rsidR="002947D3">
              <w:t>devices</w:t>
            </w:r>
            <w:r w:rsidR="007254F8">
              <w:t xml:space="preserve"> </w:t>
            </w:r>
            <w:r w:rsidR="000413CB">
              <w:t xml:space="preserve">and </w:t>
            </w:r>
            <w:r w:rsidR="002947D3">
              <w:t>those</w:t>
            </w:r>
            <w:r w:rsidR="007254F8">
              <w:t xml:space="preserve"> with an abutment)</w:t>
            </w:r>
            <w:r>
              <w:t>; m</w:t>
            </w:r>
            <w:r w:rsidR="16B0C045">
              <w:t>ay cause soft tissue issues; lower tolerability in some children</w:t>
            </w:r>
          </w:p>
        </w:tc>
      </w:tr>
      <w:tr w:rsidR="000D5B2B" w14:paraId="3FF90433" w14:textId="39792E4D" w:rsidTr="00BA7F89">
        <w:trPr>
          <w:cantSplit/>
        </w:trPr>
        <w:tc>
          <w:tcPr>
            <w:tcW w:w="738" w:type="pct"/>
          </w:tcPr>
          <w:p w14:paraId="03A221B6" w14:textId="39734FC1" w:rsidR="00E46B75" w:rsidRPr="00196467" w:rsidRDefault="00E46B75" w:rsidP="00E46B75">
            <w:pPr>
              <w:pStyle w:val="Tabletext"/>
            </w:pPr>
            <w:r w:rsidRPr="00641A57">
              <w:t>Active middle ear implants (AMEI)</w:t>
            </w:r>
          </w:p>
        </w:tc>
        <w:tc>
          <w:tcPr>
            <w:tcW w:w="963" w:type="pct"/>
          </w:tcPr>
          <w:p w14:paraId="7DF3F398" w14:textId="435608EB" w:rsidR="00E46B75" w:rsidRPr="00196467" w:rsidRDefault="00C1255A" w:rsidP="00E46B75">
            <w:pPr>
              <w:pStyle w:val="Tabletext"/>
            </w:pPr>
            <w:r>
              <w:t>D</w:t>
            </w:r>
            <w:r w:rsidR="00E46B75" w:rsidRPr="00641A57">
              <w:t>elivers mechanical stimulation to middle or inner ear</w:t>
            </w:r>
          </w:p>
        </w:tc>
        <w:tc>
          <w:tcPr>
            <w:tcW w:w="1036" w:type="pct"/>
          </w:tcPr>
          <w:p w14:paraId="12D4FC11" w14:textId="2A2B5A22" w:rsidR="00E46B75" w:rsidRPr="00D74A10" w:rsidRDefault="00E46B75" w:rsidP="00E46B75">
            <w:pPr>
              <w:pStyle w:val="Tabletext"/>
            </w:pPr>
            <w:r w:rsidRPr="00641A57">
              <w:t>Appropriate when conventional aids or surgery are not effective or tolerated</w:t>
            </w:r>
          </w:p>
        </w:tc>
        <w:tc>
          <w:tcPr>
            <w:tcW w:w="1036" w:type="pct"/>
          </w:tcPr>
          <w:p w14:paraId="0FD6D6BF" w14:textId="25A67D13" w:rsidR="00E46B75" w:rsidRPr="00D629D3" w:rsidRDefault="00E46B75" w:rsidP="00E46B75">
            <w:pPr>
              <w:pStyle w:val="Tabletext"/>
            </w:pPr>
            <w:r w:rsidRPr="00641A57">
              <w:t xml:space="preserve">Used in select older children (&gt;5 years) with stable anatomy and </w:t>
            </w:r>
            <w:r w:rsidR="00D23EA1">
              <w:t>HL</w:t>
            </w:r>
            <w:r w:rsidRPr="00641A57">
              <w:t xml:space="preserve"> not manageable by other means</w:t>
            </w:r>
          </w:p>
        </w:tc>
        <w:tc>
          <w:tcPr>
            <w:tcW w:w="1226" w:type="pct"/>
          </w:tcPr>
          <w:p w14:paraId="78F21829" w14:textId="0F71A7AB" w:rsidR="00E46B75" w:rsidRPr="00D629D3" w:rsidRDefault="001A2D56" w:rsidP="00E46B75">
            <w:pPr>
              <w:pStyle w:val="Tabletext"/>
            </w:pPr>
            <w:r>
              <w:t>N</w:t>
            </w:r>
            <w:r w:rsidR="16B0C045">
              <w:t>ot appropriate for very young children or unstable middle ear pathology</w:t>
            </w:r>
          </w:p>
        </w:tc>
      </w:tr>
      <w:tr w:rsidR="008C7801" w14:paraId="25EF5488" w14:textId="77777777" w:rsidTr="00D67420">
        <w:trPr>
          <w:cantSplit/>
        </w:trPr>
        <w:tc>
          <w:tcPr>
            <w:tcW w:w="738" w:type="pct"/>
          </w:tcPr>
          <w:p w14:paraId="08AF553B" w14:textId="70C6F166" w:rsidR="008C7801" w:rsidRPr="00641A57" w:rsidRDefault="008C7801" w:rsidP="008C7801">
            <w:pPr>
              <w:pStyle w:val="Tabletext"/>
            </w:pPr>
            <w:r w:rsidRPr="00351F9A">
              <w:lastRenderedPageBreak/>
              <w:t>Cochlear implants</w:t>
            </w:r>
          </w:p>
        </w:tc>
        <w:tc>
          <w:tcPr>
            <w:tcW w:w="963" w:type="pct"/>
          </w:tcPr>
          <w:p w14:paraId="49657D4B" w14:textId="1B27CADF" w:rsidR="008C7801" w:rsidRPr="00641A57" w:rsidRDefault="008C7801" w:rsidP="008C7801">
            <w:pPr>
              <w:pStyle w:val="Tabletext"/>
            </w:pPr>
            <w:r w:rsidRPr="00351F9A">
              <w:t>Electrodes placed in cochlea to directly stimulate auditory nerve for severe SNHL</w:t>
            </w:r>
          </w:p>
        </w:tc>
        <w:tc>
          <w:tcPr>
            <w:tcW w:w="1036" w:type="pct"/>
          </w:tcPr>
          <w:p w14:paraId="55847D50" w14:textId="609E8761" w:rsidR="008C7801" w:rsidRPr="00641A57" w:rsidRDefault="008C7801" w:rsidP="008C7801">
            <w:pPr>
              <w:pStyle w:val="Tabletext"/>
            </w:pPr>
            <w:r w:rsidRPr="00351F9A">
              <w:t>Rarely used for mild to moderate MHL/CHL unless progressive or associated with poor speech understanding</w:t>
            </w:r>
          </w:p>
        </w:tc>
        <w:tc>
          <w:tcPr>
            <w:tcW w:w="1036" w:type="pct"/>
          </w:tcPr>
          <w:p w14:paraId="56C84273" w14:textId="524DCCBB" w:rsidR="008C7801" w:rsidRPr="00641A57" w:rsidRDefault="008C7801" w:rsidP="008C7801">
            <w:pPr>
              <w:pStyle w:val="Tabletext"/>
            </w:pPr>
            <w:r w:rsidRPr="00351F9A">
              <w:t>Reserved for severe/</w:t>
            </w:r>
            <w:r>
              <w:t xml:space="preserve"> </w:t>
            </w:r>
            <w:r w:rsidRPr="00351F9A">
              <w:t>profound SNHL or progressive mixed losses</w:t>
            </w:r>
          </w:p>
        </w:tc>
        <w:tc>
          <w:tcPr>
            <w:tcW w:w="1226" w:type="pct"/>
          </w:tcPr>
          <w:p w14:paraId="5BAA0E31" w14:textId="0860C850" w:rsidR="008C7801" w:rsidRPr="00641A57" w:rsidRDefault="008C7801" w:rsidP="008C7801">
            <w:pPr>
              <w:pStyle w:val="Tabletext"/>
            </w:pPr>
            <w:r w:rsidRPr="00351F9A">
              <w:t xml:space="preserve">Not indicated unless </w:t>
            </w:r>
            <w:r w:rsidR="002B202D">
              <w:t>HL</w:t>
            </w:r>
            <w:r w:rsidRPr="00351F9A">
              <w:t xml:space="preserve"> progresses to cochlear level; requires lifelong follow-up and mapping</w:t>
            </w:r>
          </w:p>
        </w:tc>
      </w:tr>
    </w:tbl>
    <w:p w14:paraId="31C26ADC" w14:textId="0BD6358E" w:rsidR="00C0337F" w:rsidRDefault="000D5B2B" w:rsidP="00C0337F">
      <w:pPr>
        <w:pStyle w:val="Tablenotes"/>
      </w:pPr>
      <w:r w:rsidRPr="00D23EA1">
        <w:t xml:space="preserve">CHL = conductive hearing loss; </w:t>
      </w:r>
      <w:r w:rsidR="00D23EA1" w:rsidRPr="00D23EA1">
        <w:t xml:space="preserve">HL = hearing loss; </w:t>
      </w:r>
      <w:r w:rsidRPr="00D23EA1">
        <w:t>MHL = mixed hearing loss; PORP</w:t>
      </w:r>
      <w:r w:rsidR="00C0337F" w:rsidRPr="00D23EA1">
        <w:t xml:space="preserve"> =</w:t>
      </w:r>
      <w:r w:rsidR="000E5702">
        <w:t xml:space="preserve"> </w:t>
      </w:r>
      <w:r w:rsidR="00637507">
        <w:t>partial ossicular replacement prosthesis</w:t>
      </w:r>
      <w:r w:rsidR="00C0337F" w:rsidRPr="00D23EA1">
        <w:t xml:space="preserve">; </w:t>
      </w:r>
      <w:r w:rsidR="008C7801" w:rsidRPr="00D23EA1">
        <w:t>SNHL</w:t>
      </w:r>
      <w:r w:rsidR="00AD7299">
        <w:t> </w:t>
      </w:r>
      <w:r w:rsidR="008C7801" w:rsidRPr="00D23EA1">
        <w:t>=</w:t>
      </w:r>
      <w:r w:rsidR="00AD7299">
        <w:t> </w:t>
      </w:r>
      <w:r w:rsidR="008C7801" w:rsidRPr="00D23EA1">
        <w:t xml:space="preserve">sensorineural hearing loss; </w:t>
      </w:r>
      <w:r w:rsidRPr="00D23EA1">
        <w:t>TORP</w:t>
      </w:r>
      <w:r w:rsidR="00C0337F" w:rsidRPr="00D23EA1">
        <w:t xml:space="preserve"> =</w:t>
      </w:r>
      <w:r w:rsidR="00637507">
        <w:t xml:space="preserve"> total ossicular replacement prosthesis.</w:t>
      </w:r>
    </w:p>
    <w:p w14:paraId="6DA79BD4" w14:textId="0053635A" w:rsidR="001D58DE" w:rsidRPr="00354ECF" w:rsidRDefault="007C70A1" w:rsidP="007C70A1">
      <w:r>
        <w:t>Refer to the ‘</w:t>
      </w:r>
      <w:r>
        <w:fldChar w:fldCharType="begin"/>
      </w:r>
      <w:r>
        <w:instrText xml:space="preserve"> REF _Ref203232823 \h  \* MERGEFORMAT </w:instrText>
      </w:r>
      <w:r>
        <w:fldChar w:fldCharType="separate"/>
      </w:r>
      <w:r w:rsidR="00A42764" w:rsidRPr="00490FBB">
        <w:t>Clinical management algorithms</w:t>
      </w:r>
      <w:r>
        <w:fldChar w:fldCharType="end"/>
      </w:r>
      <w:r>
        <w:t xml:space="preserve">’ section for a description of </w:t>
      </w:r>
      <w:r w:rsidR="008016EA">
        <w:t xml:space="preserve">the </w:t>
      </w:r>
      <w:r w:rsidR="00E0604B">
        <w:t xml:space="preserve">clinical </w:t>
      </w:r>
      <w:r>
        <w:t xml:space="preserve">management </w:t>
      </w:r>
      <w:r w:rsidR="008016EA">
        <w:t xml:space="preserve">of </w:t>
      </w:r>
      <w:r w:rsidR="00186461">
        <w:t xml:space="preserve">individuals </w:t>
      </w:r>
      <w:r w:rsidR="00736FB2">
        <w:t xml:space="preserve">with </w:t>
      </w:r>
      <w:r w:rsidR="00E22A7A">
        <w:t xml:space="preserve">MHL/CHL and </w:t>
      </w:r>
      <w:r w:rsidR="00E0604B">
        <w:t>determination of suitability for an implantable hearing device</w:t>
      </w:r>
      <w:r>
        <w:t>.</w:t>
      </w:r>
    </w:p>
    <w:p w14:paraId="0E38780D" w14:textId="77777777" w:rsidR="007A66C8" w:rsidRDefault="007A66C8" w:rsidP="00713728">
      <w:pPr>
        <w:pStyle w:val="Heading3"/>
      </w:pPr>
      <w:r w:rsidRPr="008F1532">
        <w:t>Intervention</w:t>
      </w:r>
    </w:p>
    <w:p w14:paraId="4682F28C" w14:textId="3FFAB6A0" w:rsidR="00780215" w:rsidRDefault="00EC1370" w:rsidP="00780215">
      <w:r>
        <w:t xml:space="preserve">The </w:t>
      </w:r>
      <w:r w:rsidR="00F75594">
        <w:t xml:space="preserve">proposed intervention is </w:t>
      </w:r>
      <w:r w:rsidR="00B02141">
        <w:t xml:space="preserve">the </w:t>
      </w:r>
      <w:r w:rsidR="00EE2106">
        <w:t>implantation of</w:t>
      </w:r>
      <w:r w:rsidRPr="00EC1370">
        <w:t xml:space="preserve"> an </w:t>
      </w:r>
      <w:r w:rsidR="008A291F">
        <w:t>AMEI</w:t>
      </w:r>
      <w:r w:rsidR="00FD6E5A">
        <w:t>, either unilateral or bilateral</w:t>
      </w:r>
      <w:r w:rsidR="00592A72">
        <w:t>.</w:t>
      </w:r>
      <w:r w:rsidR="009B3AA0">
        <w:t xml:space="preserve"> </w:t>
      </w:r>
      <w:r w:rsidR="009B3AA0" w:rsidRPr="009B3AA0">
        <w:t>AMEIs provide direct mechanical stimulation to middle or inner ear structures, bypassing the external auditory canal and tympanic membrane to restore auditory perception.</w:t>
      </w:r>
    </w:p>
    <w:p w14:paraId="152CB624" w14:textId="0D884496" w:rsidR="00780215" w:rsidRDefault="00780215" w:rsidP="00C13E0B">
      <w:pPr>
        <w:pStyle w:val="Heading4"/>
      </w:pPr>
      <w:r>
        <w:t xml:space="preserve">Device </w:t>
      </w:r>
      <w:r w:rsidR="00C13E0B">
        <w:t>d</w:t>
      </w:r>
      <w:r>
        <w:t xml:space="preserve">esign and </w:t>
      </w:r>
      <w:r w:rsidR="00C13E0B">
        <w:t>f</w:t>
      </w:r>
      <w:r>
        <w:t>unction</w:t>
      </w:r>
    </w:p>
    <w:p w14:paraId="36873C69" w14:textId="3A3A8B36" w:rsidR="0096113F" w:rsidRDefault="00780215" w:rsidP="00780215">
      <w:r>
        <w:t>Partially implantable AMEI systems, such as the Vibrant Soundbridge, comprise both external and internal components that work together to capture, process, and transmit sound.</w:t>
      </w:r>
    </w:p>
    <w:p w14:paraId="2B6D7363" w14:textId="46F27CAC" w:rsidR="00780215" w:rsidRDefault="00780215" w:rsidP="00780215">
      <w:r>
        <w:t>The external component is an audio processor worn behind the ear. It houses</w:t>
      </w:r>
      <w:r w:rsidR="006128AA">
        <w:t xml:space="preserve"> m</w:t>
      </w:r>
      <w:r>
        <w:t>icrophones that detect environmental sounds,</w:t>
      </w:r>
      <w:r w:rsidR="006128AA">
        <w:t xml:space="preserve"> a</w:t>
      </w:r>
      <w:r>
        <w:t xml:space="preserve"> digital signal processor that shapes and amplifies sound,</w:t>
      </w:r>
      <w:r w:rsidR="006128AA">
        <w:t xml:space="preserve"> and a </w:t>
      </w:r>
      <w:r>
        <w:t>transmitter coil that sends the processed signal across the skin via radiofrequency (RF) transmission.</w:t>
      </w:r>
      <w:r w:rsidR="00A603CA">
        <w:t xml:space="preserve"> </w:t>
      </w:r>
      <w:r>
        <w:t>The external unit also powers the internal device and may include connectivity features such as Bluetooth and telecoil compatibility for integration with compatible audio or assistive listening systems.</w:t>
      </w:r>
      <w:r w:rsidR="00B31F4E">
        <w:t xml:space="preserve"> The audio processor is </w:t>
      </w:r>
      <w:r w:rsidR="00576F4F">
        <w:t>secured</w:t>
      </w:r>
      <w:r w:rsidR="00B31F4E">
        <w:t xml:space="preserve"> </w:t>
      </w:r>
      <w:r w:rsidR="00E31EE5">
        <w:t>over the implant</w:t>
      </w:r>
      <w:r w:rsidR="00E31EE5" w:rsidRPr="00E31EE5">
        <w:t xml:space="preserve"> </w:t>
      </w:r>
      <w:r w:rsidR="00576F4F">
        <w:t>using</w:t>
      </w:r>
      <w:r w:rsidR="00E31EE5" w:rsidRPr="00E31EE5">
        <w:t xml:space="preserve"> magnetic attraction</w:t>
      </w:r>
      <w:r w:rsidR="00576F4F">
        <w:t>, with</w:t>
      </w:r>
      <w:r w:rsidR="001159FB">
        <w:t xml:space="preserve"> the magnet strength adjustable</w:t>
      </w:r>
      <w:r w:rsidR="00576F4F">
        <w:t xml:space="preserve"> to ensure a comfortable and stable fit</w:t>
      </w:r>
      <w:r w:rsidR="00F416B2">
        <w:t xml:space="preserve">. </w:t>
      </w:r>
    </w:p>
    <w:p w14:paraId="4238E375" w14:textId="77777777" w:rsidR="00780215" w:rsidRDefault="00780215" w:rsidP="00780215">
      <w:r>
        <w:t>The internal component is surgically implanted in the temporal bone and consists of a receiver-stimulator and a vibrating transducer. The receiver-stimulator is placed in a subperiosteal pocket within the mastoid bone and is connected to the transducer by an internal lead. It receives the RF signal from the external processor and converts it into electrical energy, which is used to drive the transducer.</w:t>
      </w:r>
    </w:p>
    <w:p w14:paraId="552FBCC6" w14:textId="385390C2" w:rsidR="00780215" w:rsidRDefault="00780215" w:rsidP="00780215">
      <w:r>
        <w:t xml:space="preserve">The vibrating transducer, commonly referred to as the floating mass transducer (FMT) in the Vibrant Soundbridge </w:t>
      </w:r>
      <w:r w:rsidR="00B525AF">
        <w:t>S</w:t>
      </w:r>
      <w:r>
        <w:t>ystem, transforms electrical signals into mechanical vibrations. This transducer is coupled to a targeted anatomical structure</w:t>
      </w:r>
      <w:r w:rsidR="00397144">
        <w:t xml:space="preserve"> </w:t>
      </w:r>
      <w:r w:rsidR="007E4BD5">
        <w:t>within the middle ear</w:t>
      </w:r>
      <w:r w:rsidR="00397144">
        <w:t xml:space="preserve">– </w:t>
      </w:r>
      <w:r>
        <w:t>such as the long process of the incus, the stapes, or the round window membrane</w:t>
      </w:r>
      <w:r w:rsidR="00397144">
        <w:t xml:space="preserve"> – </w:t>
      </w:r>
      <w:r>
        <w:t>based on individual anatomy and pathology. These vibrations are transmitted to the cochlear fluids, effectively bypassing impaired portions of the auditory system. To ensure device stability and optimal energy transfer, the transducer is secured using soft tissue grafts (e.g. cartilage or fascia) or dedicated couplers.</w:t>
      </w:r>
    </w:p>
    <w:p w14:paraId="516F95C2" w14:textId="15205BBA" w:rsidR="004E4431" w:rsidRDefault="00097A54" w:rsidP="00780215">
      <w:r w:rsidRPr="00097A54">
        <w:t>AMEI</w:t>
      </w:r>
      <w:r w:rsidR="0016260A">
        <w:t xml:space="preserve"> </w:t>
      </w:r>
      <w:r w:rsidRPr="00097A54">
        <w:t xml:space="preserve">are intended to be implanted once per affected ear and to remain in situ for the lifetime of the patient. These devices are designed for long-term use and are hermetically sealed to ensure biocompatibility and durability within the middle ear environment. </w:t>
      </w:r>
      <w:r w:rsidR="00D02180" w:rsidRPr="00D604F9">
        <w:t>The external processor may be upgraded over time as new technologies become available.</w:t>
      </w:r>
    </w:p>
    <w:p w14:paraId="3C35EB57" w14:textId="35A68F99" w:rsidR="005C0CC7" w:rsidRDefault="005C0CC7" w:rsidP="00780215">
      <w:r w:rsidRPr="00DA6DDE">
        <w:lastRenderedPageBreak/>
        <w:t xml:space="preserve">Careful patient selection, </w:t>
      </w:r>
      <w:r>
        <w:t>appropriate</w:t>
      </w:r>
      <w:r w:rsidRPr="00DA6DDE">
        <w:t xml:space="preserve"> coupling techniques, and ongoing long-term monitoring are </w:t>
      </w:r>
      <w:r w:rsidR="00640F6E">
        <w:t>important for</w:t>
      </w:r>
      <w:r w:rsidRPr="00DA6DDE">
        <w:t xml:space="preserve"> optimising outcomes and reducing the likelihood of revision, especially in paediatric patients.</w:t>
      </w:r>
    </w:p>
    <w:p w14:paraId="3086E2E0" w14:textId="010BEBB2" w:rsidR="00780215" w:rsidRDefault="00780215" w:rsidP="00397144">
      <w:pPr>
        <w:pStyle w:val="Heading4"/>
      </w:pPr>
      <w:r>
        <w:t xml:space="preserve">Comparison with </w:t>
      </w:r>
      <w:r w:rsidR="00A74A7B">
        <w:t>o</w:t>
      </w:r>
      <w:r>
        <w:t xml:space="preserve">ther </w:t>
      </w:r>
      <w:r w:rsidR="00A74A7B">
        <w:t>i</w:t>
      </w:r>
      <w:r>
        <w:t xml:space="preserve">mplantable </w:t>
      </w:r>
      <w:r w:rsidR="00A74A7B">
        <w:t>h</w:t>
      </w:r>
      <w:r>
        <w:t xml:space="preserve">earing </w:t>
      </w:r>
      <w:r w:rsidR="00A74A7B">
        <w:t>t</w:t>
      </w:r>
      <w:r>
        <w:t>echnologies</w:t>
      </w:r>
    </w:p>
    <w:p w14:paraId="41BA6957" w14:textId="2763A520" w:rsidR="00780215" w:rsidRDefault="00780215" w:rsidP="00920D42">
      <w:pPr>
        <w:keepNext/>
      </w:pPr>
      <w:r>
        <w:t>AMEI</w:t>
      </w:r>
      <w:r w:rsidR="00695E5A">
        <w:t>s</w:t>
      </w:r>
      <w:r>
        <w:t xml:space="preserve"> differ from other hearing technologies in both mechanism and patient applicability:</w:t>
      </w:r>
    </w:p>
    <w:p w14:paraId="3FD928BA" w14:textId="51335C48" w:rsidR="00DC1723" w:rsidRDefault="00780215" w:rsidP="00780215">
      <w:pPr>
        <w:pStyle w:val="ListParagraph"/>
        <w:numPr>
          <w:ilvl w:val="0"/>
          <w:numId w:val="28"/>
        </w:numPr>
      </w:pPr>
      <w:r w:rsidRPr="00DC1723">
        <w:rPr>
          <w:b/>
          <w:bCs/>
        </w:rPr>
        <w:t xml:space="preserve">Passive </w:t>
      </w:r>
      <w:r w:rsidR="004B5816">
        <w:rPr>
          <w:b/>
          <w:bCs/>
        </w:rPr>
        <w:t>MEI</w:t>
      </w:r>
      <w:r w:rsidRPr="00DC1723">
        <w:rPr>
          <w:b/>
          <w:bCs/>
        </w:rPr>
        <w:t>s</w:t>
      </w:r>
      <w:r>
        <w:t xml:space="preserve"> are entirely mechanical devices used to reconstruct or replace damaged ossicular chain components. They rely on the tympanic membrane and natural sound conduction without electronic processing, and do not amplify sound actively.</w:t>
      </w:r>
    </w:p>
    <w:p w14:paraId="0A337F7F" w14:textId="34C28442" w:rsidR="00DC1723" w:rsidRDefault="00BB59D8" w:rsidP="00780215">
      <w:pPr>
        <w:pStyle w:val="ListParagraph"/>
        <w:numPr>
          <w:ilvl w:val="0"/>
          <w:numId w:val="28"/>
        </w:numPr>
      </w:pPr>
      <w:r>
        <w:rPr>
          <w:b/>
          <w:bCs/>
        </w:rPr>
        <w:t>BC</w:t>
      </w:r>
      <w:r w:rsidR="00F550BF">
        <w:rPr>
          <w:b/>
          <w:bCs/>
        </w:rPr>
        <w:t>I</w:t>
      </w:r>
      <w:r w:rsidR="00D332DB">
        <w:rPr>
          <w:b/>
          <w:bCs/>
        </w:rPr>
        <w:t>s</w:t>
      </w:r>
      <w:r w:rsidR="00780215">
        <w:t xml:space="preserve"> bypass both the outer and middle ear, transmitting vibrations through the skull directly to the cochlea. These systems are appropriate for </w:t>
      </w:r>
      <w:r w:rsidR="00434544">
        <w:t xml:space="preserve">individuals </w:t>
      </w:r>
      <w:r w:rsidR="00780215">
        <w:t>with chronic ear disease, canal atresia, or other conditions that prevent the use of conventional hearing aids.</w:t>
      </w:r>
    </w:p>
    <w:p w14:paraId="52B56107" w14:textId="513C92A7" w:rsidR="00780215" w:rsidRDefault="00780215" w:rsidP="00780215">
      <w:pPr>
        <w:pStyle w:val="ListParagraph"/>
        <w:numPr>
          <w:ilvl w:val="0"/>
          <w:numId w:val="28"/>
        </w:numPr>
      </w:pPr>
      <w:r w:rsidRPr="00F91307">
        <w:rPr>
          <w:b/>
          <w:bCs/>
        </w:rPr>
        <w:t>Fully implantable AMEI</w:t>
      </w:r>
      <w:r w:rsidR="00695E5A">
        <w:rPr>
          <w:b/>
          <w:bCs/>
        </w:rPr>
        <w:t>s</w:t>
      </w:r>
      <w:r>
        <w:t>, such as the Esteem system (not currently approved for use in Australia), contain all components</w:t>
      </w:r>
      <w:r w:rsidR="00F91307">
        <w:t xml:space="preserve"> – </w:t>
      </w:r>
      <w:r>
        <w:t>including the microphone, processor, and battery</w:t>
      </w:r>
      <w:r w:rsidR="00F91307">
        <w:t xml:space="preserve"> – </w:t>
      </w:r>
      <w:r>
        <w:t>entirely within the body. These systems detect ossicular movement via implanted sensors and offer cosmetic advantages by eliminating external hardware. However, they are more surgically invasive, require battery replacement via revision surgery, and are associated with greater device and surgical complexity.</w:t>
      </w:r>
    </w:p>
    <w:p w14:paraId="6C045E7C" w14:textId="738F2BB3" w:rsidR="00E00AF3" w:rsidRDefault="00E00AF3" w:rsidP="00780215">
      <w:pPr>
        <w:pStyle w:val="ListParagraph"/>
        <w:numPr>
          <w:ilvl w:val="0"/>
          <w:numId w:val="28"/>
        </w:numPr>
      </w:pPr>
      <w:r>
        <w:rPr>
          <w:b/>
          <w:bCs/>
        </w:rPr>
        <w:t>Cochlear implants</w:t>
      </w:r>
      <w:r>
        <w:t xml:space="preserve"> </w:t>
      </w:r>
      <w:r w:rsidRPr="00E00AF3">
        <w:t xml:space="preserve">are electronic devices that bypass damaged </w:t>
      </w:r>
      <w:r w:rsidR="00E839F9">
        <w:t xml:space="preserve">cochlear </w:t>
      </w:r>
      <w:r w:rsidRPr="00E00AF3">
        <w:t>hair cells by directly stimulating the auditory nerve</w:t>
      </w:r>
      <w:r w:rsidR="006A61E2">
        <w:t xml:space="preserve">, </w:t>
      </w:r>
      <w:r w:rsidR="001A26B0">
        <w:t>enabling perception of</w:t>
      </w:r>
      <w:r w:rsidR="00555A57">
        <w:t xml:space="preserve"> sound</w:t>
      </w:r>
      <w:r w:rsidRPr="00E00AF3">
        <w:t xml:space="preserve">. They are </w:t>
      </w:r>
      <w:r w:rsidR="00032EB9">
        <w:t xml:space="preserve">indicated </w:t>
      </w:r>
      <w:r w:rsidRPr="00E00AF3">
        <w:t xml:space="preserve">for </w:t>
      </w:r>
      <w:r w:rsidR="0087276A">
        <w:t>individuals</w:t>
      </w:r>
      <w:r w:rsidR="0087276A" w:rsidRPr="00E00AF3">
        <w:t xml:space="preserve"> </w:t>
      </w:r>
      <w:r w:rsidRPr="00E00AF3">
        <w:t xml:space="preserve">with severe to profound </w:t>
      </w:r>
      <w:r w:rsidR="006636C0">
        <w:t>SNHL</w:t>
      </w:r>
      <w:r w:rsidR="00032EB9">
        <w:t>,</w:t>
      </w:r>
      <w:r w:rsidR="00F95E2F">
        <w:t xml:space="preserve"> or </w:t>
      </w:r>
      <w:r w:rsidR="007340E9">
        <w:t>MHL with a severe to profound sensorineural component</w:t>
      </w:r>
      <w:r w:rsidR="008855A6">
        <w:t xml:space="preserve">, </w:t>
      </w:r>
      <w:r w:rsidR="008855A6" w:rsidRPr="008855A6">
        <w:t>who obtain limited or no functional benefit from conventional amplification</w:t>
      </w:r>
      <w:r w:rsidRPr="00E00AF3">
        <w:t>.</w:t>
      </w:r>
    </w:p>
    <w:p w14:paraId="48BE9028" w14:textId="51296C9C" w:rsidR="00794AAD" w:rsidRDefault="00780215" w:rsidP="00780215">
      <w:r>
        <w:t xml:space="preserve">Each technology addresses different anatomical and clinical needs. </w:t>
      </w:r>
      <w:r w:rsidR="00672B4C">
        <w:t>P</w:t>
      </w:r>
      <w:r>
        <w:t>artially implantable AMEI offer</w:t>
      </w:r>
      <w:r w:rsidR="004A3B80">
        <w:t>s</w:t>
      </w:r>
      <w:r>
        <w:t xml:space="preserve"> a solution for </w:t>
      </w:r>
      <w:r w:rsidR="00B72BEC">
        <w:t>individuals</w:t>
      </w:r>
      <w:r>
        <w:t xml:space="preserve"> who are unsuitable for traditional amplification and require active mechanical stimulation of the auditory system to achieve functional hearing outcomes.</w:t>
      </w:r>
    </w:p>
    <w:p w14:paraId="3AD67187" w14:textId="353EB943" w:rsidR="0049126C" w:rsidRDefault="00760386" w:rsidP="00E265D3">
      <w:pPr>
        <w:pStyle w:val="Heading4"/>
      </w:pPr>
      <w:r>
        <w:t>Patient selection</w:t>
      </w:r>
    </w:p>
    <w:p w14:paraId="53472406" w14:textId="7DFAFE5C" w:rsidR="000E76F6" w:rsidRDefault="000E76F6" w:rsidP="000E76F6">
      <w:r w:rsidRPr="00DA6DDE">
        <w:t xml:space="preserve">Determining candidacy and the optimal timing for implantation requires input from a </w:t>
      </w:r>
      <w:r w:rsidR="00F0790D">
        <w:t>multi</w:t>
      </w:r>
      <w:r w:rsidRPr="00DA6DDE">
        <w:t xml:space="preserve">disciplinary team, who consider the patient’s medical history, the planned management of middle ear disease, the severity and type of </w:t>
      </w:r>
      <w:r w:rsidR="007B7127">
        <w:t>hearing loss</w:t>
      </w:r>
      <w:r w:rsidRPr="00DA6DDE">
        <w:t>, and the patient’s or family’s expectations regarding hearing outcomes.</w:t>
      </w:r>
      <w:r w:rsidR="00111677">
        <w:t xml:space="preserve"> </w:t>
      </w:r>
      <w:r w:rsidR="00111677" w:rsidRPr="00111677">
        <w:t>In all cases</w:t>
      </w:r>
      <w:r w:rsidR="001E5B0C">
        <w:t>,</w:t>
      </w:r>
      <w:r w:rsidR="00111677" w:rsidRPr="00111677">
        <w:t xml:space="preserve"> the </w:t>
      </w:r>
      <w:r w:rsidR="0069210B">
        <w:t xml:space="preserve">underlying </w:t>
      </w:r>
      <w:r w:rsidR="00111677" w:rsidRPr="00111677">
        <w:t>pathology</w:t>
      </w:r>
      <w:r w:rsidR="0069210B">
        <w:t xml:space="preserve"> causing hearing loss</w:t>
      </w:r>
      <w:r w:rsidR="00111677" w:rsidRPr="00111677">
        <w:t xml:space="preserve"> </w:t>
      </w:r>
      <w:r w:rsidR="001E5B0C">
        <w:t xml:space="preserve">must be managed </w:t>
      </w:r>
      <w:r w:rsidR="00111677" w:rsidRPr="00111677">
        <w:t xml:space="preserve">before </w:t>
      </w:r>
      <w:r w:rsidR="00B72BEC">
        <w:t xml:space="preserve">an </w:t>
      </w:r>
      <w:r w:rsidR="00111677">
        <w:t>A</w:t>
      </w:r>
      <w:r w:rsidR="00111677" w:rsidRPr="00111677">
        <w:t>MEI can be placed.</w:t>
      </w:r>
    </w:p>
    <w:p w14:paraId="7A7D7E6D" w14:textId="54A507E0" w:rsidR="006A7B35" w:rsidRDefault="00AB3C50" w:rsidP="00441AF3">
      <w:pPr>
        <w:keepNext/>
        <w:spacing w:after="120"/>
      </w:pPr>
      <w:r>
        <w:t xml:space="preserve">In </w:t>
      </w:r>
      <w:r w:rsidR="00A51B77">
        <w:t xml:space="preserve">individuals </w:t>
      </w:r>
      <w:r w:rsidR="008768F6">
        <w:t>with CHL or MHL, t</w:t>
      </w:r>
      <w:r w:rsidR="0028540E">
        <w:t xml:space="preserve">he Vibrant Soundbridge System </w:t>
      </w:r>
      <w:r w:rsidR="005B1561">
        <w:t xml:space="preserve">is </w:t>
      </w:r>
      <w:r w:rsidR="00D75AEF">
        <w:t xml:space="preserve">specifically </w:t>
      </w:r>
      <w:r w:rsidR="00F941D9">
        <w:t>indicated</w:t>
      </w:r>
      <w:r w:rsidR="005B1561">
        <w:t xml:space="preserve"> for </w:t>
      </w:r>
      <w:r w:rsidR="00A51B77">
        <w:t xml:space="preserve">those </w:t>
      </w:r>
      <w:r w:rsidR="00D75AEF">
        <w:t>aged 5 years or older with</w:t>
      </w:r>
      <w:r w:rsidR="006A7B35">
        <w:t>:</w:t>
      </w:r>
      <w:r w:rsidR="008D6357">
        <w:rPr>
          <w:rStyle w:val="FootnoteReference"/>
        </w:rPr>
        <w:footnoteReference w:id="8"/>
      </w:r>
    </w:p>
    <w:p w14:paraId="529D9827" w14:textId="0F652565" w:rsidR="006A7B35" w:rsidRDefault="0059416C" w:rsidP="006A7B35">
      <w:pPr>
        <w:pStyle w:val="ListParagraph"/>
        <w:numPr>
          <w:ilvl w:val="0"/>
          <w:numId w:val="31"/>
        </w:numPr>
      </w:pPr>
      <w:r>
        <w:t xml:space="preserve">stable bone conduction thresholds that fall within the </w:t>
      </w:r>
      <w:r w:rsidR="008B3114">
        <w:t xml:space="preserve">red </w:t>
      </w:r>
      <w:r>
        <w:t xml:space="preserve">shaded area in </w:t>
      </w:r>
      <w:r w:rsidR="00A2421A">
        <w:fldChar w:fldCharType="begin"/>
      </w:r>
      <w:r w:rsidR="00A2421A">
        <w:instrText xml:space="preserve"> REF _Ref200994722 \h </w:instrText>
      </w:r>
      <w:r w:rsidR="00A2421A">
        <w:fldChar w:fldCharType="separate"/>
      </w:r>
      <w:r w:rsidR="00A42764">
        <w:t xml:space="preserve">Figure </w:t>
      </w:r>
      <w:r w:rsidR="00A42764">
        <w:rPr>
          <w:noProof/>
        </w:rPr>
        <w:t>1</w:t>
      </w:r>
      <w:r w:rsidR="00A2421A">
        <w:fldChar w:fldCharType="end"/>
      </w:r>
    </w:p>
    <w:p w14:paraId="10B53BE8" w14:textId="77777777" w:rsidR="006A7B35" w:rsidRDefault="006C4B67" w:rsidP="006A7B35">
      <w:pPr>
        <w:pStyle w:val="ListParagraph"/>
        <w:numPr>
          <w:ilvl w:val="0"/>
          <w:numId w:val="31"/>
        </w:numPr>
      </w:pPr>
      <w:r>
        <w:t>absence of active middle ear infections</w:t>
      </w:r>
    </w:p>
    <w:p w14:paraId="1D2DDB63" w14:textId="77777777" w:rsidR="006A7B35" w:rsidRDefault="006C4B67" w:rsidP="006A7B35">
      <w:pPr>
        <w:pStyle w:val="ListParagraph"/>
        <w:numPr>
          <w:ilvl w:val="0"/>
          <w:numId w:val="31"/>
        </w:numPr>
      </w:pPr>
      <w:r>
        <w:t>ear anatomy that allows the FMT to be positioned on a suitable vibratory structure</w:t>
      </w:r>
    </w:p>
    <w:p w14:paraId="177AC49C" w14:textId="77777777" w:rsidR="006A7B35" w:rsidRDefault="006C4B67" w:rsidP="006A7B35">
      <w:pPr>
        <w:pStyle w:val="ListParagraph"/>
        <w:numPr>
          <w:ilvl w:val="0"/>
          <w:numId w:val="31"/>
        </w:numPr>
      </w:pPr>
      <w:r>
        <w:t>ability to benefit from amplification</w:t>
      </w:r>
    </w:p>
    <w:p w14:paraId="2A01B14D" w14:textId="3774B5C3" w:rsidR="006A7B35" w:rsidRDefault="00ED5AD0" w:rsidP="006A7B35">
      <w:pPr>
        <w:pStyle w:val="ListParagraph"/>
        <w:numPr>
          <w:ilvl w:val="0"/>
          <w:numId w:val="31"/>
        </w:numPr>
      </w:pPr>
      <w:r>
        <w:t>absence of retrocochlear and central auditory disorders</w:t>
      </w:r>
      <w:r w:rsidR="009009D3">
        <w:t xml:space="preserve"> (e.g. acoustic neuroma, auditory neuropathy)</w:t>
      </w:r>
      <w:r w:rsidR="00B812A7">
        <w:t>, and</w:t>
      </w:r>
    </w:p>
    <w:p w14:paraId="6C12C89D" w14:textId="1DFB9DC8" w:rsidR="00AE072C" w:rsidRDefault="00ED5AD0" w:rsidP="00E25E18">
      <w:pPr>
        <w:pStyle w:val="ListParagraph"/>
        <w:numPr>
          <w:ilvl w:val="0"/>
          <w:numId w:val="31"/>
        </w:numPr>
        <w:spacing w:after="120"/>
        <w:ind w:left="714" w:hanging="357"/>
      </w:pPr>
      <w:r>
        <w:t>have adequate motivation and expectations</w:t>
      </w:r>
      <w:r w:rsidR="00F02397">
        <w:t>.</w:t>
      </w:r>
    </w:p>
    <w:p w14:paraId="6FEFEBA4" w14:textId="61C77131" w:rsidR="00B812A7" w:rsidRDefault="00B812A7" w:rsidP="00E25E18">
      <w:pPr>
        <w:pStyle w:val="Caption"/>
        <w:spacing w:before="120"/>
      </w:pPr>
      <w:bookmarkStart w:id="8" w:name="_Ref200994722"/>
      <w:r>
        <w:lastRenderedPageBreak/>
        <w:t xml:space="preserve">Figure </w:t>
      </w:r>
      <w:r>
        <w:fldChar w:fldCharType="begin"/>
      </w:r>
      <w:r>
        <w:instrText xml:space="preserve"> SEQ Figure \* ARABIC </w:instrText>
      </w:r>
      <w:r>
        <w:fldChar w:fldCharType="separate"/>
      </w:r>
      <w:r w:rsidR="00A42764">
        <w:rPr>
          <w:noProof/>
        </w:rPr>
        <w:t>1</w:t>
      </w:r>
      <w:r>
        <w:fldChar w:fldCharType="end"/>
      </w:r>
      <w:bookmarkEnd w:id="8"/>
      <w:r>
        <w:tab/>
      </w:r>
      <w:r w:rsidR="00A2421A">
        <w:t>Indicated b</w:t>
      </w:r>
      <w:r w:rsidR="009A077B">
        <w:t xml:space="preserve">one conduction </w:t>
      </w:r>
      <w:r w:rsidR="0007479D">
        <w:t xml:space="preserve">(red) </w:t>
      </w:r>
      <w:r w:rsidR="000D0D66">
        <w:t>and air conduction</w:t>
      </w:r>
      <w:r w:rsidR="0007479D">
        <w:t xml:space="preserve"> (grey)</w:t>
      </w:r>
      <w:r w:rsidR="000D0D66">
        <w:t xml:space="preserve"> </w:t>
      </w:r>
      <w:r w:rsidR="009A077B">
        <w:t>thresholds for</w:t>
      </w:r>
      <w:r w:rsidR="003E25C9">
        <w:t xml:space="preserve"> the</w:t>
      </w:r>
      <w:r w:rsidR="009A077B">
        <w:t xml:space="preserve"> Vibrant Soundbridge</w:t>
      </w:r>
      <w:r w:rsidR="003E25C9">
        <w:t xml:space="preserve"> System</w:t>
      </w:r>
      <w:r w:rsidR="000D0D66">
        <w:t xml:space="preserve"> in patients with </w:t>
      </w:r>
      <w:r w:rsidR="000D0D66">
        <w:rPr>
          <w:lang w:val="en-AU"/>
        </w:rPr>
        <w:t>mixed or conductive hearing loss</w:t>
      </w:r>
    </w:p>
    <w:p w14:paraId="0C1AAC67" w14:textId="1E9B302A" w:rsidR="00840CDD" w:rsidRDefault="00C56FC8" w:rsidP="00C326F3">
      <w:pPr>
        <w:pBdr>
          <w:top w:val="single" w:sz="4" w:space="1" w:color="auto"/>
          <w:left w:val="single" w:sz="4" w:space="4" w:color="auto"/>
          <w:bottom w:val="single" w:sz="4" w:space="1" w:color="auto"/>
          <w:right w:val="single" w:sz="4" w:space="4" w:color="auto"/>
        </w:pBdr>
        <w:spacing w:after="80"/>
        <w:jc w:val="center"/>
        <w:rPr>
          <w:lang w:val="en-GB" w:eastAsia="ja-JP"/>
        </w:rPr>
      </w:pPr>
      <w:r>
        <w:rPr>
          <w:noProof/>
          <w:lang w:val="en-GB" w:eastAsia="ja-JP"/>
        </w:rPr>
        <w:drawing>
          <wp:inline distT="0" distB="0" distL="0" distR="0" wp14:anchorId="42936BBD" wp14:editId="1CD61CDC">
            <wp:extent cx="3087210" cy="3314700"/>
            <wp:effectExtent l="0" t="0" r="0" b="0"/>
            <wp:docPr id="713439215" name="Picture 1" descr="A graph showing the bone conduction thresholds for the Vibrant Soundbridge System. Frequency (Hz) is on the x-axis. Intensity (dB) is on the y-ax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39215" name="Picture 1" descr="A graph showing the bone conduction thresholds for the Vibrant Soundbridge System. Frequency (Hz) is on the x-axis. Intensity (dB) is on the y-axis. "/>
                    <pic:cNvPicPr/>
                  </pic:nvPicPr>
                  <pic:blipFill>
                    <a:blip r:embed="rId17">
                      <a:extLst>
                        <a:ext uri="{28A0092B-C50C-407E-A947-70E740481C1C}">
                          <a14:useLocalDpi xmlns:a14="http://schemas.microsoft.com/office/drawing/2010/main" val="0"/>
                        </a:ext>
                      </a:extLst>
                    </a:blip>
                    <a:stretch>
                      <a:fillRect/>
                    </a:stretch>
                  </pic:blipFill>
                  <pic:spPr>
                    <a:xfrm>
                      <a:off x="0" y="0"/>
                      <a:ext cx="3102830" cy="3331471"/>
                    </a:xfrm>
                    <a:prstGeom prst="rect">
                      <a:avLst/>
                    </a:prstGeom>
                  </pic:spPr>
                </pic:pic>
              </a:graphicData>
            </a:graphic>
          </wp:inline>
        </w:drawing>
      </w:r>
    </w:p>
    <w:p w14:paraId="195F66DA" w14:textId="05985F50" w:rsidR="00C60A38" w:rsidRDefault="00C60A38" w:rsidP="007420C2">
      <w:pPr>
        <w:pStyle w:val="Tablenotes"/>
        <w:spacing w:after="0"/>
        <w:rPr>
          <w:lang w:val="en-GB" w:eastAsia="ja-JP"/>
        </w:rPr>
      </w:pPr>
      <w:r>
        <w:rPr>
          <w:lang w:val="en-GB" w:eastAsia="ja-JP"/>
        </w:rPr>
        <w:t>dB = decibels</w:t>
      </w:r>
      <w:r w:rsidR="00C326F3">
        <w:rPr>
          <w:lang w:val="en-GB" w:eastAsia="ja-JP"/>
        </w:rPr>
        <w:t>; H</w:t>
      </w:r>
      <w:r w:rsidR="00D400F8">
        <w:rPr>
          <w:lang w:val="en-GB" w:eastAsia="ja-JP"/>
        </w:rPr>
        <w:t>z</w:t>
      </w:r>
      <w:r w:rsidR="00C326F3">
        <w:rPr>
          <w:lang w:val="en-GB" w:eastAsia="ja-JP"/>
        </w:rPr>
        <w:t xml:space="preserve"> = Hertz.</w:t>
      </w:r>
    </w:p>
    <w:p w14:paraId="5DC7420C" w14:textId="71D7A380" w:rsidR="007420C2" w:rsidRPr="00840CDD" w:rsidRDefault="007420C2" w:rsidP="00A64A07">
      <w:pPr>
        <w:pStyle w:val="Tablenotes"/>
        <w:rPr>
          <w:lang w:val="en-GB" w:eastAsia="ja-JP"/>
        </w:rPr>
      </w:pPr>
      <w:r>
        <w:rPr>
          <w:lang w:val="en-GB" w:eastAsia="ja-JP"/>
        </w:rPr>
        <w:t xml:space="preserve">Source: </w:t>
      </w:r>
      <w:hyperlink r:id="rId18" w:tooltip="Hyperlink to MED-EL website" w:history="1">
        <w:r w:rsidRPr="00BC3ACC">
          <w:rPr>
            <w:rStyle w:val="Hyperlink"/>
            <w:rFonts w:ascii="Arial Narrow" w:hAnsi="Arial Narrow" w:cs="Arial"/>
            <w:lang w:val="en-GB" w:eastAsia="ja-JP"/>
          </w:rPr>
          <w:t>MED-EL indications</w:t>
        </w:r>
      </w:hyperlink>
      <w:r>
        <w:rPr>
          <w:lang w:val="en-GB" w:eastAsia="ja-JP"/>
        </w:rPr>
        <w:t xml:space="preserve"> for the Vibrant Soundbridge Active </w:t>
      </w:r>
      <w:r w:rsidRPr="00792874">
        <w:t>Middle</w:t>
      </w:r>
      <w:r>
        <w:rPr>
          <w:lang w:val="en-GB" w:eastAsia="ja-JP"/>
        </w:rPr>
        <w:t xml:space="preserve"> Ear Implant System, accessed 16 June 2025.</w:t>
      </w:r>
    </w:p>
    <w:p w14:paraId="1CC89659" w14:textId="26CC97D2" w:rsidR="0024115E" w:rsidRDefault="00760386" w:rsidP="00760386">
      <w:r>
        <w:t>AMEI</w:t>
      </w:r>
      <w:r w:rsidR="00EC59D0">
        <w:t>s</w:t>
      </w:r>
      <w:r>
        <w:t xml:space="preserve"> are mostly implanted unilaterally in patients with </w:t>
      </w:r>
      <w:r w:rsidR="009E62CA">
        <w:t>CHL or MHL</w:t>
      </w:r>
      <w:r>
        <w:t xml:space="preserve">. </w:t>
      </w:r>
      <w:r w:rsidR="00434EAE" w:rsidRPr="00434EAE">
        <w:t>Bilateral implantation is relatively uncommon, occurring in less than 10% of cases, but may be suitable for selected patients with bilateral hearing loss who meet the candidacy criteria for both ears</w:t>
      </w:r>
      <w:r w:rsidR="0052119A">
        <w:t xml:space="preserve"> (Agterberg et al. 2024</w:t>
      </w:r>
      <w:r w:rsidR="00787155">
        <w:t xml:space="preserve">; </w:t>
      </w:r>
      <w:r w:rsidR="00197B01" w:rsidRPr="00197B01">
        <w:t>Knölke</w:t>
      </w:r>
      <w:r w:rsidR="00787155">
        <w:t xml:space="preserve"> et al. 2025</w:t>
      </w:r>
      <w:r w:rsidR="0052119A">
        <w:t>)</w:t>
      </w:r>
      <w:r w:rsidR="0024115E" w:rsidRPr="0024115E">
        <w:t>. Bilateral procedures may be performed either simultaneously or in a staged, sequential manner.</w:t>
      </w:r>
    </w:p>
    <w:p w14:paraId="08FCCF78" w14:textId="77777777" w:rsidR="00FC416C" w:rsidRDefault="00FC416C" w:rsidP="00FC416C">
      <w:pPr>
        <w:pStyle w:val="Heading4"/>
      </w:pPr>
      <w:r>
        <w:t>Expected uptake of the technology</w:t>
      </w:r>
    </w:p>
    <w:p w14:paraId="4815D798" w14:textId="6AAA8EA9" w:rsidR="00FC416C" w:rsidRPr="00760386" w:rsidRDefault="00FC416C" w:rsidP="00760386">
      <w:r>
        <w:t xml:space="preserve">The application estimated that </w:t>
      </w:r>
      <w:r w:rsidR="00326336">
        <w:t xml:space="preserve">over the first 5 years of </w:t>
      </w:r>
      <w:r w:rsidR="00101C2D">
        <w:t xml:space="preserve">the proposed MBS </w:t>
      </w:r>
      <w:r w:rsidR="00326336">
        <w:t xml:space="preserve">listing, </w:t>
      </w:r>
      <w:r>
        <w:t xml:space="preserve">24 to 44 patients would be implanted </w:t>
      </w:r>
      <w:r w:rsidR="00E72DAD">
        <w:t xml:space="preserve">annually </w:t>
      </w:r>
      <w:r>
        <w:t>with an AMEI.</w:t>
      </w:r>
      <w:r w:rsidR="000527FC">
        <w:t xml:space="preserve"> This estimate was </w:t>
      </w:r>
      <w:r w:rsidR="00E15E43">
        <w:t>derived</w:t>
      </w:r>
      <w:r w:rsidR="000527FC">
        <w:t xml:space="preserve"> </w:t>
      </w:r>
      <w:r w:rsidR="00E15E43">
        <w:t>from</w:t>
      </w:r>
      <w:r w:rsidR="000527FC">
        <w:t xml:space="preserve"> </w:t>
      </w:r>
      <w:r w:rsidR="0048510F">
        <w:t>MBS</w:t>
      </w:r>
      <w:r w:rsidR="00964A3C">
        <w:t xml:space="preserve"> services</w:t>
      </w:r>
      <w:r w:rsidR="0048510F">
        <w:t xml:space="preserve"> for </w:t>
      </w:r>
      <w:r w:rsidR="00964A3C">
        <w:t>BCI implantation and ossicular chain reconstruction</w:t>
      </w:r>
      <w:r w:rsidR="00DE6CA0">
        <w:t xml:space="preserve">, </w:t>
      </w:r>
      <w:r w:rsidR="00B86847">
        <w:t xml:space="preserve">with </w:t>
      </w:r>
      <w:r w:rsidR="00E15E43">
        <w:t xml:space="preserve">uptake based on </w:t>
      </w:r>
      <w:r w:rsidR="00957DAB">
        <w:t xml:space="preserve">advice from </w:t>
      </w:r>
      <w:r w:rsidR="00E15E43">
        <w:t xml:space="preserve">clinical </w:t>
      </w:r>
      <w:r w:rsidR="00957DAB">
        <w:t>experts and verified against utilisation data from Germany.</w:t>
      </w:r>
    </w:p>
    <w:p w14:paraId="39280C68" w14:textId="764BF70C" w:rsidR="00E265D3" w:rsidRDefault="00E265D3" w:rsidP="00E265D3">
      <w:pPr>
        <w:pStyle w:val="Heading4"/>
      </w:pPr>
      <w:r>
        <w:t>Implantation procedure</w:t>
      </w:r>
    </w:p>
    <w:p w14:paraId="30394BC6" w14:textId="3AF887DA" w:rsidR="007175FF" w:rsidRDefault="00442F6E" w:rsidP="007175FF">
      <w:r>
        <w:t>According to the application, t</w:t>
      </w:r>
      <w:r w:rsidR="00A57BBD" w:rsidRPr="00A57BBD">
        <w:t xml:space="preserve">he </w:t>
      </w:r>
      <w:r w:rsidR="00FA56D6">
        <w:t>ear, nose and throat (</w:t>
      </w:r>
      <w:r w:rsidR="00A57BBD" w:rsidRPr="00A57BBD">
        <w:t>ENT</w:t>
      </w:r>
      <w:r w:rsidR="00FA56D6">
        <w:t>)</w:t>
      </w:r>
      <w:r w:rsidR="00A57BBD" w:rsidRPr="00A57BBD">
        <w:t xml:space="preserve"> surgeon performing </w:t>
      </w:r>
      <w:r w:rsidR="001C0431">
        <w:t>the implantation procedure</w:t>
      </w:r>
      <w:r w:rsidR="00A57BBD" w:rsidRPr="00A57BBD">
        <w:t xml:space="preserve"> needs to be a qualified medical practitioner and otology specialist. </w:t>
      </w:r>
      <w:r>
        <w:t xml:space="preserve">No </w:t>
      </w:r>
      <w:r w:rsidR="00180FF7">
        <w:t xml:space="preserve">additional </w:t>
      </w:r>
      <w:r>
        <w:t>accreditation is require</w:t>
      </w:r>
      <w:r w:rsidR="00E84576">
        <w:t xml:space="preserve">d. </w:t>
      </w:r>
      <w:r w:rsidR="007175FF">
        <w:t xml:space="preserve">MED-EL </w:t>
      </w:r>
      <w:r>
        <w:t xml:space="preserve">offers </w:t>
      </w:r>
      <w:r w:rsidR="007175FF">
        <w:t>specialised training to professionals (audiologists and surgeons), but t</w:t>
      </w:r>
      <w:r w:rsidR="008A2C93">
        <w:t>his</w:t>
      </w:r>
      <w:r w:rsidR="007175FF">
        <w:t xml:space="preserve"> </w:t>
      </w:r>
      <w:r w:rsidR="008A2C93">
        <w:t>is</w:t>
      </w:r>
      <w:r w:rsidR="007175FF">
        <w:t xml:space="preserve"> not mandatory</w:t>
      </w:r>
      <w:r w:rsidR="008A2C93">
        <w:t>.</w:t>
      </w:r>
    </w:p>
    <w:p w14:paraId="7DE54D52" w14:textId="548F796F" w:rsidR="00C35597" w:rsidRDefault="00C35597" w:rsidP="00C35597">
      <w:r>
        <w:t>Implantation of an AMEI is typically undertaken as an inpatient procedure in either public or private hospital settings under general anaesthesia. General anaesthesia is required to ensure complete patient immobility, effective pain management, and optimal surgical access, given the need for precise positioning and secure coupling of the implant to middle ear structures.</w:t>
      </w:r>
    </w:p>
    <w:p w14:paraId="2E16F50F" w14:textId="5A2C02A7" w:rsidR="00C36263" w:rsidRDefault="00C35597" w:rsidP="00C35597">
      <w:r>
        <w:t xml:space="preserve">In adults, the procedure generally takes </w:t>
      </w:r>
      <w:r w:rsidR="00332C3B">
        <w:t>a</w:t>
      </w:r>
      <w:r w:rsidR="00A826B4">
        <w:t>pproximately</w:t>
      </w:r>
      <w:r>
        <w:t xml:space="preserve"> 2 hours when performed </w:t>
      </w:r>
      <w:r w:rsidR="00A826B4">
        <w:t xml:space="preserve">in patients with MHL or CHL </w:t>
      </w:r>
      <w:r>
        <w:t xml:space="preserve">by an experienced surgical team. </w:t>
      </w:r>
      <w:r w:rsidR="00D00230" w:rsidRPr="00D00230">
        <w:t>Operative time is typically longer in paediatric patients</w:t>
      </w:r>
      <w:r w:rsidR="00AE0A20">
        <w:t xml:space="preserve"> (2</w:t>
      </w:r>
      <w:r w:rsidR="00BC542B">
        <w:t xml:space="preserve"> to </w:t>
      </w:r>
      <w:r w:rsidR="00AE0A20">
        <w:t>3 hours)</w:t>
      </w:r>
      <w:r w:rsidR="00D00230" w:rsidRPr="00D00230">
        <w:t xml:space="preserve">, </w:t>
      </w:r>
      <w:r w:rsidR="00D00230" w:rsidRPr="00D00230">
        <w:lastRenderedPageBreak/>
        <w:t>cases involving congenital anomalies or revision surgery</w:t>
      </w:r>
      <w:r w:rsidR="008A0BA5">
        <w:t xml:space="preserve"> (</w:t>
      </w:r>
      <w:r w:rsidR="00763655">
        <w:t>which could take 2 to 3</w:t>
      </w:r>
      <w:r w:rsidR="00494591">
        <w:t xml:space="preserve"> hours</w:t>
      </w:r>
      <w:r w:rsidR="00763655">
        <w:t xml:space="preserve"> or more</w:t>
      </w:r>
      <w:r w:rsidR="008A0BA5">
        <w:t>)</w:t>
      </w:r>
      <w:r w:rsidR="00D00230" w:rsidRPr="00D00230">
        <w:t>, and during simultaneous bilateral implantation</w:t>
      </w:r>
      <w:r w:rsidR="008A0BA5">
        <w:t xml:space="preserve"> (3 or more hours)</w:t>
      </w:r>
      <w:r w:rsidR="00D00230" w:rsidRPr="00D00230">
        <w:t>, due to anatomical factors and increased intraoperative complexity.</w:t>
      </w:r>
    </w:p>
    <w:p w14:paraId="39B97E67" w14:textId="350518D7" w:rsidR="005E35DF" w:rsidRDefault="0070193B" w:rsidP="0070193B">
      <w:r>
        <w:t xml:space="preserve">The most common surgical approach </w:t>
      </w:r>
      <w:r w:rsidR="009645FB">
        <w:t xml:space="preserve">for AMEI implantation </w:t>
      </w:r>
      <w:r>
        <w:t xml:space="preserve">is a mastoidectomy with posterior tympanotomy (facial recess </w:t>
      </w:r>
      <w:r w:rsidR="00344BB4">
        <w:t>route</w:t>
      </w:r>
      <w:r>
        <w:t xml:space="preserve">). This involves a retroauricular incision, followed by a cortical mastoidectomy to expose the facial recess and middle ear space. A subperiosteal pocket is created in the mastoid bone to secure the implant body (receiver-stimulator). The FMT is then positioned and mechanically coupled to an appropriate vibratory structure </w:t>
      </w:r>
      <w:r w:rsidR="00FF668F">
        <w:t>in the middle ear</w:t>
      </w:r>
      <w:r w:rsidR="00F20178">
        <w:t xml:space="preserve"> </w:t>
      </w:r>
      <w:r w:rsidR="00F20178" w:rsidRPr="007963D5">
        <w:t xml:space="preserve">(e.g. </w:t>
      </w:r>
      <w:r w:rsidR="007D5089">
        <w:t>incus, stapes</w:t>
      </w:r>
      <w:r w:rsidR="00F20178" w:rsidRPr="007963D5">
        <w:t xml:space="preserve"> or round window)</w:t>
      </w:r>
      <w:r>
        <w:t>.</w:t>
      </w:r>
      <w:r w:rsidR="005E35DF">
        <w:t xml:space="preserve"> </w:t>
      </w:r>
      <w:r>
        <w:t xml:space="preserve">Stabilisation materials such as cartilage or fascia may be used </w:t>
      </w:r>
      <w:r w:rsidR="001C31E5">
        <w:t xml:space="preserve">in some cases </w:t>
      </w:r>
      <w:r>
        <w:t xml:space="preserve">to optimise coupling and reduce the risk of transducer migration. </w:t>
      </w:r>
      <w:r w:rsidR="00637FF0" w:rsidRPr="002D62DB">
        <w:t xml:space="preserve">Once all internal components are positioned and tested (intraoperatively, if appropriate), the surgical site is closed in layers. </w:t>
      </w:r>
    </w:p>
    <w:p w14:paraId="0AA88D6F" w14:textId="1D361102" w:rsidR="0070193B" w:rsidRDefault="0070193B" w:rsidP="0070193B">
      <w:r>
        <w:t>In cases where access via the facial recess is limited or contraindicated, alternative or combined approaches such as an epitympanotomy (</w:t>
      </w:r>
      <w:r w:rsidR="00745A77">
        <w:t>also known as atticotomy</w:t>
      </w:r>
      <w:r>
        <w:t>) may be used to improve visualisation and placement. Selection of the surgical technique is based on patient-specific anatomical and clinical considerations.</w:t>
      </w:r>
    </w:p>
    <w:p w14:paraId="33594633" w14:textId="3BF1606B" w:rsidR="007D0009" w:rsidRPr="007D0009" w:rsidRDefault="007D0009" w:rsidP="007D0009">
      <w:pPr>
        <w:rPr>
          <w:i/>
          <w:iCs/>
        </w:rPr>
      </w:pPr>
      <w:r w:rsidRPr="007D0009">
        <w:rPr>
          <w:i/>
          <w:iCs/>
        </w:rPr>
        <w:t>PASC noted that optimal sound transmission would depend on accurate positioning and secure fixation</w:t>
      </w:r>
      <w:r w:rsidR="00A77376">
        <w:rPr>
          <w:i/>
          <w:iCs/>
        </w:rPr>
        <w:t xml:space="preserve"> (coupling)</w:t>
      </w:r>
      <w:r w:rsidRPr="007D0009">
        <w:rPr>
          <w:i/>
          <w:iCs/>
        </w:rPr>
        <w:t xml:space="preserve"> of the </w:t>
      </w:r>
      <w:r w:rsidR="009F44FB">
        <w:rPr>
          <w:i/>
          <w:iCs/>
        </w:rPr>
        <w:t>FMT</w:t>
      </w:r>
      <w:r w:rsidRPr="007D0009">
        <w:rPr>
          <w:i/>
          <w:iCs/>
        </w:rPr>
        <w:t xml:space="preserve"> to middle ear structures and queried how surgeon competency would be assured, given that specific training offered by the applicant would not be mandatory.</w:t>
      </w:r>
    </w:p>
    <w:p w14:paraId="140FCC62" w14:textId="6B540371" w:rsidR="007D0009" w:rsidRDefault="007D0009" w:rsidP="007D0009">
      <w:pPr>
        <w:rPr>
          <w:i/>
          <w:iCs/>
        </w:rPr>
      </w:pPr>
      <w:r w:rsidRPr="007D0009">
        <w:rPr>
          <w:i/>
          <w:iCs/>
        </w:rPr>
        <w:t xml:space="preserve">PASC noted </w:t>
      </w:r>
      <w:r w:rsidR="003E6B53">
        <w:rPr>
          <w:i/>
          <w:iCs/>
        </w:rPr>
        <w:t xml:space="preserve">that </w:t>
      </w:r>
      <w:r w:rsidRPr="007D0009">
        <w:rPr>
          <w:i/>
          <w:iCs/>
        </w:rPr>
        <w:t>the applicant’s clinical expert advised that case volumes would be low, and that the proposed implantation procedure would be limited to subspecialist otologic surgeons experienced in implantable hearing devices rather than general ENT surgeons. The applicant’s clinical expert also advised that the assistance of a multidisciplinary team was important in selecting appropriate patients for surgery and advising on the best coupling method following review of the patient’s imaging.</w:t>
      </w:r>
    </w:p>
    <w:p w14:paraId="4D289545" w14:textId="3CAF45DA" w:rsidR="00D309A4" w:rsidRPr="007D0009" w:rsidRDefault="00D309A4" w:rsidP="007D0009">
      <w:pPr>
        <w:rPr>
          <w:i/>
          <w:iCs/>
        </w:rPr>
      </w:pPr>
      <w:r w:rsidRPr="00D309A4">
        <w:rPr>
          <w:i/>
          <w:iCs/>
        </w:rPr>
        <w:t>PASC noted that the applicant’s expected uptake of 24</w:t>
      </w:r>
      <w:r w:rsidR="000E0DEC">
        <w:rPr>
          <w:i/>
          <w:iCs/>
        </w:rPr>
        <w:t>–</w:t>
      </w:r>
      <w:r w:rsidRPr="00D309A4">
        <w:rPr>
          <w:i/>
          <w:iCs/>
        </w:rPr>
        <w:t>44 patients per year was estimated using MBS service data for BCI implantation and ossicular chain reconstruction rather than an epidemiological approach. PASC advised that the assessment report should quantify the degree of overlap between individuals eligible for BCI and AMEI implantation and include consideration of uptake from individuals with severe MHL/CHL.</w:t>
      </w:r>
    </w:p>
    <w:p w14:paraId="203B7E83" w14:textId="1F9D37B8" w:rsidR="00357A30" w:rsidRDefault="00357A30" w:rsidP="00357A30">
      <w:pPr>
        <w:pStyle w:val="Heading4"/>
      </w:pPr>
      <w:r>
        <w:t>Postoperative care</w:t>
      </w:r>
    </w:p>
    <w:p w14:paraId="47D35C43" w14:textId="463B071A" w:rsidR="00244CFB" w:rsidRPr="00244CFB" w:rsidRDefault="00244CFB" w:rsidP="00244CFB">
      <w:r w:rsidRPr="00244CFB">
        <w:t>Patients are generally discharged on the day of surgery or after an overnight stay, depending on clinical factors and local protocols. Initial postoperative care includes routine wound monitoring</w:t>
      </w:r>
      <w:r w:rsidR="00AC6823">
        <w:t xml:space="preserve"> and </w:t>
      </w:r>
      <w:r w:rsidRPr="00244CFB">
        <w:t>pain control with oral analgesics. Where middle ear pathology or surgical complexity is present, prophylactic antibiotics may be considered.</w:t>
      </w:r>
    </w:p>
    <w:p w14:paraId="26662B6F" w14:textId="5859D8FE" w:rsidR="00CC0131" w:rsidRDefault="00244CFB" w:rsidP="00244CFB">
      <w:r w:rsidRPr="00244CFB">
        <w:t xml:space="preserve">Activation of the audio processor occurs approximately </w:t>
      </w:r>
      <w:r w:rsidR="00FA7244">
        <w:t>4</w:t>
      </w:r>
      <w:r w:rsidRPr="00244CFB">
        <w:t xml:space="preserve"> to </w:t>
      </w:r>
      <w:r w:rsidR="00FA7244">
        <w:t>6</w:t>
      </w:r>
      <w:r w:rsidRPr="00244CFB">
        <w:t xml:space="preserve"> weeks post-surgery</w:t>
      </w:r>
      <w:r w:rsidR="002E233A">
        <w:t xml:space="preserve"> by an audiologist</w:t>
      </w:r>
      <w:r w:rsidRPr="00244CFB">
        <w:t>, once healing is confirmed</w:t>
      </w:r>
      <w:r w:rsidR="002E233A">
        <w:t xml:space="preserve"> (refer to </w:t>
      </w:r>
      <w:r w:rsidR="00AD6460">
        <w:t xml:space="preserve">the </w:t>
      </w:r>
      <w:r w:rsidR="000633C6">
        <w:t>‘</w:t>
      </w:r>
      <w:r w:rsidR="000633C6">
        <w:fldChar w:fldCharType="begin"/>
      </w:r>
      <w:r w:rsidR="000633C6">
        <w:instrText xml:space="preserve"> REF _Ref203232823 \h </w:instrText>
      </w:r>
      <w:r w:rsidR="000633C6">
        <w:fldChar w:fldCharType="separate"/>
      </w:r>
      <w:r w:rsidR="00A42764" w:rsidRPr="00490FBB">
        <w:t>Clinical management algorithms</w:t>
      </w:r>
      <w:r w:rsidR="000633C6">
        <w:fldChar w:fldCharType="end"/>
      </w:r>
      <w:r w:rsidR="000633C6">
        <w:t>’ section for</w:t>
      </w:r>
      <w:r w:rsidR="00A42791">
        <w:t xml:space="preserve"> </w:t>
      </w:r>
      <w:r w:rsidR="005C2D7A">
        <w:t>a description</w:t>
      </w:r>
      <w:r w:rsidR="00A42791">
        <w:t xml:space="preserve"> </w:t>
      </w:r>
      <w:r w:rsidR="00635BC7">
        <w:t>o</w:t>
      </w:r>
      <w:r w:rsidR="005C2D7A">
        <w:t>f</w:t>
      </w:r>
      <w:r w:rsidR="00A42791">
        <w:t xml:space="preserve"> follow up after implantation</w:t>
      </w:r>
      <w:r w:rsidR="00635BC7">
        <w:t>, and to Appendix B for relevant MBS items</w:t>
      </w:r>
      <w:r w:rsidR="000633C6">
        <w:t>)</w:t>
      </w:r>
      <w:r w:rsidRPr="00244CFB">
        <w:t>.</w:t>
      </w:r>
    </w:p>
    <w:p w14:paraId="1B867C30" w14:textId="42FA5918" w:rsidR="002C0EAA" w:rsidRDefault="002C0EAA" w:rsidP="002C0EAA">
      <w:pPr>
        <w:pStyle w:val="Heading4"/>
      </w:pPr>
      <w:r>
        <w:lastRenderedPageBreak/>
        <w:t>Regulatory status</w:t>
      </w:r>
    </w:p>
    <w:p w14:paraId="5D6E3637" w14:textId="6388C474" w:rsidR="0003163C" w:rsidRDefault="00CB7EA5" w:rsidP="002C0EAA">
      <w:r>
        <w:t>Currently, t</w:t>
      </w:r>
      <w:r w:rsidR="00C84609">
        <w:t xml:space="preserve">he only active middle ear implant </w:t>
      </w:r>
      <w:r w:rsidR="00400A68">
        <w:t xml:space="preserve">system </w:t>
      </w:r>
      <w:r w:rsidR="00FC02FE" w:rsidRPr="001022C4">
        <w:t>included in the ARTG</w:t>
      </w:r>
      <w:r w:rsidR="00FC02FE">
        <w:t xml:space="preserve"> </w:t>
      </w:r>
      <w:r w:rsidR="0099785E">
        <w:t xml:space="preserve">for use in Australia </w:t>
      </w:r>
      <w:r w:rsidR="0023048E">
        <w:t>is the Vibrant Soundbridge</w:t>
      </w:r>
      <w:r w:rsidR="00400A68">
        <w:t xml:space="preserve"> </w:t>
      </w:r>
      <w:r w:rsidR="00EB57C9">
        <w:t xml:space="preserve">Active Middle Ear Implant System </w:t>
      </w:r>
      <w:r w:rsidR="00400A68">
        <w:t>(MED-EL</w:t>
      </w:r>
      <w:r w:rsidR="00333808">
        <w:t xml:space="preserve"> Implant Systems Australasia Pty Ltd</w:t>
      </w:r>
      <w:r w:rsidR="00400A68">
        <w:t>)</w:t>
      </w:r>
      <w:r w:rsidR="00B81901">
        <w:t xml:space="preserve">, which has been registered </w:t>
      </w:r>
      <w:r w:rsidR="00682F6E">
        <w:t>since 2009</w:t>
      </w:r>
      <w:r w:rsidR="006546D0">
        <w:t>.</w:t>
      </w:r>
      <w:r w:rsidR="003E4A66">
        <w:rPr>
          <w:rStyle w:val="FootnoteReference"/>
        </w:rPr>
        <w:footnoteReference w:id="9"/>
      </w:r>
      <w:r w:rsidR="00772B7D">
        <w:t xml:space="preserve"> </w:t>
      </w:r>
    </w:p>
    <w:p w14:paraId="13C87237" w14:textId="310DB011" w:rsidR="0059673E" w:rsidRDefault="0056367E" w:rsidP="002C0EAA">
      <w:r>
        <w:fldChar w:fldCharType="begin"/>
      </w:r>
      <w:r>
        <w:instrText xml:space="preserve"> REF _Ref200559942 \h </w:instrText>
      </w:r>
      <w:r>
        <w:fldChar w:fldCharType="separate"/>
      </w:r>
      <w:r w:rsidR="00A42764" w:rsidRPr="00AD26D1">
        <w:t xml:space="preserve">Table </w:t>
      </w:r>
      <w:r w:rsidR="00A42764">
        <w:rPr>
          <w:noProof/>
        </w:rPr>
        <w:t>5</w:t>
      </w:r>
      <w:r>
        <w:fldChar w:fldCharType="end"/>
      </w:r>
      <w:r w:rsidR="00AC140A">
        <w:t xml:space="preserve"> </w:t>
      </w:r>
      <w:r w:rsidR="00511096">
        <w:t xml:space="preserve">provides </w:t>
      </w:r>
      <w:r w:rsidR="00476FF3">
        <w:t>a</w:t>
      </w:r>
      <w:r w:rsidR="00511096">
        <w:t xml:space="preserve"> summary of the 3 main components of the Vibrant Soundbridge </w:t>
      </w:r>
      <w:r w:rsidR="00BC7499">
        <w:t>S</w:t>
      </w:r>
      <w:r w:rsidR="00511096">
        <w:t>ystem</w:t>
      </w:r>
      <w:r w:rsidR="006546D0">
        <w:t>.</w:t>
      </w:r>
      <w:r w:rsidR="002F7C11">
        <w:rPr>
          <w:rStyle w:val="FootnoteReference"/>
        </w:rPr>
        <w:footnoteReference w:id="10"/>
      </w:r>
      <w:r w:rsidR="00511096">
        <w:t xml:space="preserve"> </w:t>
      </w:r>
    </w:p>
    <w:p w14:paraId="5EF34C08" w14:textId="1F13B051" w:rsidR="002C0EAA" w:rsidRDefault="006546D0" w:rsidP="002C0EAA">
      <w:r>
        <w:t>T</w:t>
      </w:r>
      <w:r w:rsidR="00511096">
        <w:t xml:space="preserve">he </w:t>
      </w:r>
      <w:r w:rsidR="00317AFA">
        <w:t>indication approved by the Therapeutic Goods Administration (TGA)</w:t>
      </w:r>
      <w:r>
        <w:t xml:space="preserve"> </w:t>
      </w:r>
      <w:r w:rsidR="00C139BA">
        <w:t>i</w:t>
      </w:r>
      <w:r w:rsidR="00BB3CEA">
        <w:t xml:space="preserve">s broader than the </w:t>
      </w:r>
      <w:r w:rsidR="00540DA1">
        <w:t xml:space="preserve">applicant’s </w:t>
      </w:r>
      <w:r w:rsidR="004C4EBA">
        <w:t xml:space="preserve">original </w:t>
      </w:r>
      <w:r w:rsidR="00BB3CEA">
        <w:t xml:space="preserve">proposed </w:t>
      </w:r>
      <w:r w:rsidR="00F657C2">
        <w:t xml:space="preserve">MBS </w:t>
      </w:r>
      <w:r w:rsidR="00BB3CEA">
        <w:t xml:space="preserve">population </w:t>
      </w:r>
      <w:r w:rsidR="00C139BA">
        <w:t xml:space="preserve">in terms of </w:t>
      </w:r>
      <w:r w:rsidR="00540DA1">
        <w:t xml:space="preserve">severity (mild to </w:t>
      </w:r>
      <w:r w:rsidR="00A8320F">
        <w:t>moderate</w:t>
      </w:r>
      <w:r w:rsidR="00540DA1">
        <w:t xml:space="preserve">) and </w:t>
      </w:r>
      <w:r w:rsidR="00C139BA">
        <w:t xml:space="preserve">type of </w:t>
      </w:r>
      <w:r w:rsidR="00EA7F0B">
        <w:t>hearing loss</w:t>
      </w:r>
      <w:r w:rsidR="002932DA">
        <w:t xml:space="preserve"> (</w:t>
      </w:r>
      <w:r w:rsidR="00CE5F1B">
        <w:t>any, not specified</w:t>
      </w:r>
      <w:r w:rsidR="002932DA">
        <w:t>)</w:t>
      </w:r>
      <w:r w:rsidR="000619F7">
        <w:t>.</w:t>
      </w:r>
      <w:r>
        <w:t xml:space="preserve"> </w:t>
      </w:r>
      <w:r w:rsidR="000619F7">
        <w:t xml:space="preserve">The TGA </w:t>
      </w:r>
      <w:r w:rsidR="00AA6E4E">
        <w:t xml:space="preserve">indication </w:t>
      </w:r>
      <w:r w:rsidR="00CF4C8D">
        <w:t>restric</w:t>
      </w:r>
      <w:r w:rsidR="005A022D">
        <w:t>ts</w:t>
      </w:r>
      <w:r w:rsidR="00CF4C8D">
        <w:t xml:space="preserve"> use of the Vibrant Soundbri</w:t>
      </w:r>
      <w:r w:rsidR="000E2F8B">
        <w:t>d</w:t>
      </w:r>
      <w:r w:rsidR="00CF4C8D">
        <w:t xml:space="preserve">ge </w:t>
      </w:r>
      <w:r w:rsidR="00BC7499">
        <w:t>S</w:t>
      </w:r>
      <w:r w:rsidR="00CF4C8D">
        <w:t xml:space="preserve">ystem to individuals </w:t>
      </w:r>
      <w:r w:rsidR="009200F8">
        <w:t>who</w:t>
      </w:r>
      <w:r>
        <w:t xml:space="preserve"> cannot achieve success or adequate benefit from </w:t>
      </w:r>
      <w:r w:rsidR="009200F8">
        <w:t>traditional therapy</w:t>
      </w:r>
      <w:r w:rsidR="005A022D">
        <w:t xml:space="preserve">, though this is </w:t>
      </w:r>
      <w:r w:rsidR="009200F8">
        <w:t>not defined</w:t>
      </w:r>
      <w:r w:rsidR="00317AFA">
        <w:t>.</w:t>
      </w:r>
    </w:p>
    <w:p w14:paraId="42EEDE2F" w14:textId="74E07922" w:rsidR="00B7372E" w:rsidRPr="00AD26D1" w:rsidRDefault="00B7372E" w:rsidP="00B7372E">
      <w:pPr>
        <w:pStyle w:val="Caption"/>
        <w:rPr>
          <w:lang w:val="en-AU"/>
        </w:rPr>
      </w:pPr>
      <w:bookmarkStart w:id="9" w:name="_Ref200559942"/>
      <w:r w:rsidRPr="00AD26D1">
        <w:rPr>
          <w:lang w:val="en-AU"/>
        </w:rPr>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5</w:t>
      </w:r>
      <w:r w:rsidRPr="00AD26D1">
        <w:rPr>
          <w:lang w:val="en-AU"/>
        </w:rPr>
        <w:fldChar w:fldCharType="end"/>
      </w:r>
      <w:bookmarkEnd w:id="9"/>
      <w:r w:rsidRPr="00AD26D1">
        <w:rPr>
          <w:lang w:val="en-AU"/>
        </w:rPr>
        <w:tab/>
      </w:r>
      <w:r>
        <w:rPr>
          <w:lang w:val="en-AU"/>
        </w:rPr>
        <w:t>ARTG summary for the 3 components of the Vibrant Soundbridge partially implantable middle ear implant system</w:t>
      </w:r>
    </w:p>
    <w:tbl>
      <w:tblPr>
        <w:tblStyle w:val="TableGrid"/>
        <w:tblW w:w="5000" w:type="pct"/>
        <w:tblInd w:w="0" w:type="dxa"/>
        <w:tblLook w:val="04A0" w:firstRow="1" w:lastRow="0" w:firstColumn="1" w:lastColumn="0" w:noHBand="0" w:noVBand="1"/>
        <w:tblCaption w:val="ARTG summary for the 3 components of the Vibrant Soundbridge partially implantable middle ear implant system"/>
        <w:tblDescription w:val="The table provides a summary of the ARTG listing for the 3 components of the VSB System: the Vibrating Ossicular Prothesis VORP 503 Implant Kit (ARTG ID 389014), the Vibroplasty Coupler (ARTG ID 185533), and the Samba 2 Audio Processor (ARTG ID 353970). "/>
      </w:tblPr>
      <w:tblGrid>
        <w:gridCol w:w="1555"/>
        <w:gridCol w:w="2672"/>
        <w:gridCol w:w="2672"/>
        <w:gridCol w:w="2672"/>
      </w:tblGrid>
      <w:tr w:rsidR="00F771FF" w14:paraId="7287B9D5" w14:textId="77777777" w:rsidTr="00DE6C47">
        <w:trPr>
          <w:tblHeader/>
        </w:trPr>
        <w:tc>
          <w:tcPr>
            <w:tcW w:w="812" w:type="pct"/>
          </w:tcPr>
          <w:p w14:paraId="60CE97B9" w14:textId="77777777" w:rsidR="00B7372E" w:rsidRDefault="00B7372E" w:rsidP="00ED1410">
            <w:pPr>
              <w:pStyle w:val="TableHeading"/>
            </w:pPr>
            <w:r w:rsidRPr="000741BC">
              <w:t>Product name</w:t>
            </w:r>
          </w:p>
        </w:tc>
        <w:tc>
          <w:tcPr>
            <w:tcW w:w="1396" w:type="pct"/>
          </w:tcPr>
          <w:p w14:paraId="709F8E90" w14:textId="77777777" w:rsidR="00B7372E" w:rsidRDefault="00B7372E" w:rsidP="00ED1410">
            <w:pPr>
              <w:pStyle w:val="TableHeading"/>
            </w:pPr>
            <w:r>
              <w:t xml:space="preserve">Vibrating Ossicular Prosthesis VORP 503 Implant Kit </w:t>
            </w:r>
          </w:p>
        </w:tc>
        <w:tc>
          <w:tcPr>
            <w:tcW w:w="1396" w:type="pct"/>
          </w:tcPr>
          <w:p w14:paraId="342D1BE8" w14:textId="77777777" w:rsidR="00B7372E" w:rsidRDefault="00B7372E" w:rsidP="00ED1410">
            <w:pPr>
              <w:pStyle w:val="TableHeading"/>
            </w:pPr>
            <w:r w:rsidRPr="00227448">
              <w:t>Vibroplasty Coupler</w:t>
            </w:r>
          </w:p>
        </w:tc>
        <w:tc>
          <w:tcPr>
            <w:tcW w:w="1396" w:type="pct"/>
          </w:tcPr>
          <w:p w14:paraId="419454D8" w14:textId="77777777" w:rsidR="00B7372E" w:rsidRDefault="00B7372E" w:rsidP="00ED1410">
            <w:pPr>
              <w:pStyle w:val="TableHeading"/>
            </w:pPr>
            <w:r w:rsidRPr="00976E6C">
              <w:t>Samba 2 Audio Processor</w:t>
            </w:r>
          </w:p>
        </w:tc>
      </w:tr>
      <w:tr w:rsidR="00F771FF" w14:paraId="4E1EFE6E" w14:textId="77777777" w:rsidTr="00DE6C47">
        <w:tc>
          <w:tcPr>
            <w:tcW w:w="812" w:type="pct"/>
          </w:tcPr>
          <w:p w14:paraId="5BF118A3" w14:textId="77777777" w:rsidR="00B7372E" w:rsidRPr="006D295F" w:rsidRDefault="00B7372E" w:rsidP="00ED1410">
            <w:pPr>
              <w:pStyle w:val="Tabletext"/>
              <w:rPr>
                <w:b/>
                <w:bCs/>
              </w:rPr>
            </w:pPr>
            <w:r w:rsidRPr="006D295F">
              <w:rPr>
                <w:b/>
                <w:bCs/>
              </w:rPr>
              <w:t>Sponsor</w:t>
            </w:r>
          </w:p>
        </w:tc>
        <w:tc>
          <w:tcPr>
            <w:tcW w:w="1396" w:type="pct"/>
          </w:tcPr>
          <w:p w14:paraId="4B4B1395" w14:textId="77777777" w:rsidR="00B7372E" w:rsidRDefault="00B7372E" w:rsidP="00ED1410">
            <w:pPr>
              <w:pStyle w:val="Tabletext"/>
            </w:pPr>
            <w:r w:rsidRPr="00DA146A">
              <w:t>MED-EL Implant Systems Australasia Pty Ltd</w:t>
            </w:r>
          </w:p>
        </w:tc>
        <w:tc>
          <w:tcPr>
            <w:tcW w:w="1396" w:type="pct"/>
          </w:tcPr>
          <w:p w14:paraId="1A3B2A53" w14:textId="77777777" w:rsidR="00B7372E" w:rsidRPr="00DA146A" w:rsidRDefault="00B7372E" w:rsidP="00ED1410">
            <w:pPr>
              <w:pStyle w:val="Tabletext"/>
            </w:pPr>
            <w:r w:rsidRPr="00DA146A">
              <w:t>MED-EL Implant Systems Australasia Pty Ltd</w:t>
            </w:r>
          </w:p>
        </w:tc>
        <w:tc>
          <w:tcPr>
            <w:tcW w:w="1396" w:type="pct"/>
          </w:tcPr>
          <w:p w14:paraId="6AD37AE8" w14:textId="77777777" w:rsidR="00B7372E" w:rsidRPr="00DA146A" w:rsidRDefault="00B7372E" w:rsidP="00ED1410">
            <w:pPr>
              <w:pStyle w:val="Tabletext"/>
            </w:pPr>
            <w:r w:rsidRPr="00DA146A">
              <w:t>MED-EL Implant Systems Australasia Pty Ltd</w:t>
            </w:r>
          </w:p>
        </w:tc>
      </w:tr>
      <w:tr w:rsidR="00C973BC" w14:paraId="76989E4D" w14:textId="77777777" w:rsidTr="00DE6C47">
        <w:tc>
          <w:tcPr>
            <w:tcW w:w="812" w:type="pct"/>
          </w:tcPr>
          <w:p w14:paraId="6E9132D2" w14:textId="260D0796" w:rsidR="00C973BC" w:rsidRPr="006D295F" w:rsidRDefault="00C973BC" w:rsidP="00ED1410">
            <w:pPr>
              <w:pStyle w:val="Tabletext"/>
              <w:rPr>
                <w:b/>
                <w:bCs/>
              </w:rPr>
            </w:pPr>
            <w:r>
              <w:rPr>
                <w:b/>
                <w:bCs/>
              </w:rPr>
              <w:t>Manufacturer</w:t>
            </w:r>
          </w:p>
        </w:tc>
        <w:tc>
          <w:tcPr>
            <w:tcW w:w="1396" w:type="pct"/>
          </w:tcPr>
          <w:p w14:paraId="5357A124" w14:textId="3805D147" w:rsidR="00C973BC" w:rsidRPr="00DA146A" w:rsidRDefault="00440295" w:rsidP="00ED1410">
            <w:pPr>
              <w:pStyle w:val="Tabletext"/>
            </w:pPr>
            <w:r w:rsidRPr="00440295">
              <w:t>Med-E</w:t>
            </w:r>
            <w:r w:rsidR="00F85EE2">
              <w:t>L</w:t>
            </w:r>
            <w:r w:rsidRPr="00440295">
              <w:t xml:space="preserve"> Elektromedizinische Gera</w:t>
            </w:r>
            <w:r w:rsidR="0014170C">
              <w:t>e</w:t>
            </w:r>
            <w:r w:rsidRPr="00440295">
              <w:t>te G</w:t>
            </w:r>
            <w:r w:rsidR="00DB55D3">
              <w:t xml:space="preserve">esellschaft </w:t>
            </w:r>
            <w:r w:rsidRPr="00440295">
              <w:t>m</w:t>
            </w:r>
            <w:r w:rsidR="00DF085D">
              <w:t>.</w:t>
            </w:r>
            <w:r w:rsidRPr="00440295">
              <w:t>b</w:t>
            </w:r>
            <w:r w:rsidR="00DF085D">
              <w:t>.</w:t>
            </w:r>
            <w:r w:rsidRPr="00440295">
              <w:t>H</w:t>
            </w:r>
            <w:r w:rsidR="00DF085D">
              <w:t>.</w:t>
            </w:r>
          </w:p>
        </w:tc>
        <w:tc>
          <w:tcPr>
            <w:tcW w:w="1396" w:type="pct"/>
          </w:tcPr>
          <w:p w14:paraId="63CDCFD9" w14:textId="523A6AC8" w:rsidR="00C973BC" w:rsidRPr="00DA146A" w:rsidRDefault="00440295" w:rsidP="00ED1410">
            <w:pPr>
              <w:pStyle w:val="Tabletext"/>
            </w:pPr>
            <w:r w:rsidRPr="00440295">
              <w:t>Med-E</w:t>
            </w:r>
            <w:r w:rsidR="00F85EE2">
              <w:t>L</w:t>
            </w:r>
            <w:r w:rsidRPr="00440295">
              <w:t xml:space="preserve"> Elektromedizinische Gera</w:t>
            </w:r>
            <w:r w:rsidR="0014170C">
              <w:t>e</w:t>
            </w:r>
            <w:r w:rsidRPr="00440295">
              <w:t>te G</w:t>
            </w:r>
            <w:r w:rsidR="00DF085D">
              <w:t xml:space="preserve">esellschaft </w:t>
            </w:r>
            <w:r w:rsidRPr="00440295">
              <w:t>m</w:t>
            </w:r>
            <w:r w:rsidR="00DF085D">
              <w:t>.</w:t>
            </w:r>
            <w:r w:rsidRPr="00440295">
              <w:t>b</w:t>
            </w:r>
            <w:r w:rsidR="00DF085D">
              <w:t>.</w:t>
            </w:r>
            <w:r w:rsidRPr="00440295">
              <w:t>H</w:t>
            </w:r>
            <w:r w:rsidR="00DF085D">
              <w:t>.</w:t>
            </w:r>
          </w:p>
        </w:tc>
        <w:tc>
          <w:tcPr>
            <w:tcW w:w="1396" w:type="pct"/>
          </w:tcPr>
          <w:p w14:paraId="69AB95A4" w14:textId="261F5A44" w:rsidR="00C973BC" w:rsidRPr="00DA146A" w:rsidRDefault="00440295" w:rsidP="00ED1410">
            <w:pPr>
              <w:pStyle w:val="Tabletext"/>
            </w:pPr>
            <w:r w:rsidRPr="00440295">
              <w:t>Med-E</w:t>
            </w:r>
            <w:r w:rsidR="00F85EE2">
              <w:t>L</w:t>
            </w:r>
            <w:r w:rsidRPr="00440295">
              <w:t xml:space="preserve"> Elektromedizinische Gera</w:t>
            </w:r>
            <w:r w:rsidR="0014170C">
              <w:t>e</w:t>
            </w:r>
            <w:r w:rsidRPr="00440295">
              <w:t>te G</w:t>
            </w:r>
            <w:r w:rsidR="00DF085D">
              <w:t xml:space="preserve">esellschaft </w:t>
            </w:r>
            <w:r w:rsidRPr="00440295">
              <w:t>m</w:t>
            </w:r>
            <w:r w:rsidR="00DF085D">
              <w:t>.</w:t>
            </w:r>
            <w:r w:rsidRPr="00440295">
              <w:t>b</w:t>
            </w:r>
            <w:r w:rsidR="00DF085D">
              <w:t>.</w:t>
            </w:r>
            <w:r w:rsidRPr="00440295">
              <w:t>H</w:t>
            </w:r>
            <w:r w:rsidR="00DF085D">
              <w:t>.</w:t>
            </w:r>
          </w:p>
        </w:tc>
      </w:tr>
      <w:tr w:rsidR="00C973BC" w14:paraId="19E514E5" w14:textId="77777777" w:rsidTr="00DE6C47">
        <w:tc>
          <w:tcPr>
            <w:tcW w:w="812" w:type="pct"/>
          </w:tcPr>
          <w:p w14:paraId="68B9D60D" w14:textId="77777777" w:rsidR="00C973BC" w:rsidRPr="006D295F" w:rsidRDefault="00C973BC" w:rsidP="00ED1410">
            <w:pPr>
              <w:pStyle w:val="Tabletext"/>
              <w:rPr>
                <w:b/>
                <w:bCs/>
              </w:rPr>
            </w:pPr>
            <w:r w:rsidRPr="006D295F">
              <w:rPr>
                <w:b/>
                <w:bCs/>
              </w:rPr>
              <w:t>ARTG ID</w:t>
            </w:r>
          </w:p>
        </w:tc>
        <w:tc>
          <w:tcPr>
            <w:tcW w:w="1396" w:type="pct"/>
          </w:tcPr>
          <w:p w14:paraId="3C559221" w14:textId="2633D7BE" w:rsidR="00C973BC" w:rsidRDefault="7113317D" w:rsidP="5FDEA4D1">
            <w:pPr>
              <w:pStyle w:val="Tabletext"/>
              <w:rPr>
                <w:rStyle w:val="Hyperlink"/>
                <w:rFonts w:ascii="Arial Narrow" w:hAnsi="Arial Narrow" w:cs="Tahoma"/>
              </w:rPr>
            </w:pPr>
            <w:hyperlink r:id="rId19" w:tooltip="Hyperlink to ARTG entry on TGA website">
              <w:r w:rsidRPr="5FDEA4D1">
                <w:rPr>
                  <w:rStyle w:val="Hyperlink"/>
                  <w:rFonts w:ascii="Arial Narrow" w:hAnsi="Arial Narrow" w:cs="Tahoma"/>
                </w:rPr>
                <w:t>389014</w:t>
              </w:r>
            </w:hyperlink>
          </w:p>
        </w:tc>
        <w:tc>
          <w:tcPr>
            <w:tcW w:w="1396" w:type="pct"/>
          </w:tcPr>
          <w:p w14:paraId="39D3DAEC" w14:textId="43C982A3" w:rsidR="00C973BC" w:rsidRDefault="00C973BC" w:rsidP="00ED1410">
            <w:pPr>
              <w:pStyle w:val="Tabletext"/>
            </w:pPr>
            <w:hyperlink r:id="rId20" w:tooltip="Hyperlink to ARTG entry on TGA website" w:history="1">
              <w:r w:rsidRPr="00E47F42">
                <w:rPr>
                  <w:rStyle w:val="Hyperlink"/>
                  <w:rFonts w:ascii="Arial Narrow" w:hAnsi="Arial Narrow" w:cs="Tahoma"/>
                </w:rPr>
                <w:t>185533</w:t>
              </w:r>
            </w:hyperlink>
          </w:p>
        </w:tc>
        <w:tc>
          <w:tcPr>
            <w:tcW w:w="1396" w:type="pct"/>
          </w:tcPr>
          <w:p w14:paraId="0F826EE6" w14:textId="7BBF4E7B" w:rsidR="00C973BC" w:rsidRDefault="7113317D" w:rsidP="5FDEA4D1">
            <w:pPr>
              <w:pStyle w:val="Tabletext"/>
              <w:rPr>
                <w:rStyle w:val="Hyperlink"/>
                <w:rFonts w:ascii="Arial Narrow" w:hAnsi="Arial Narrow" w:cs="Tahoma"/>
              </w:rPr>
            </w:pPr>
            <w:hyperlink r:id="rId21" w:tooltip="Hyperlink to ARTG entry on TGA website">
              <w:r w:rsidRPr="5FDEA4D1">
                <w:rPr>
                  <w:rStyle w:val="Hyperlink"/>
                  <w:rFonts w:ascii="Arial Narrow" w:hAnsi="Arial Narrow" w:cs="Tahoma"/>
                </w:rPr>
                <w:t>35</w:t>
              </w:r>
              <w:bookmarkStart w:id="10" w:name="_Hlt202958465"/>
              <w:r w:rsidRPr="5FDEA4D1">
                <w:rPr>
                  <w:rStyle w:val="Hyperlink"/>
                  <w:rFonts w:ascii="Arial Narrow" w:hAnsi="Arial Narrow" w:cs="Tahoma"/>
                </w:rPr>
                <w:t>3</w:t>
              </w:r>
              <w:bookmarkEnd w:id="10"/>
              <w:r w:rsidRPr="5FDEA4D1">
                <w:rPr>
                  <w:rStyle w:val="Hyperlink"/>
                  <w:rFonts w:ascii="Arial Narrow" w:hAnsi="Arial Narrow" w:cs="Tahoma"/>
                </w:rPr>
                <w:t>970</w:t>
              </w:r>
            </w:hyperlink>
          </w:p>
        </w:tc>
      </w:tr>
      <w:tr w:rsidR="00F771FF" w14:paraId="07B035AE" w14:textId="77777777" w:rsidTr="00DE6C47">
        <w:tc>
          <w:tcPr>
            <w:tcW w:w="812" w:type="pct"/>
          </w:tcPr>
          <w:p w14:paraId="49548E96" w14:textId="77EF4BA8" w:rsidR="00B7372E" w:rsidRPr="006D295F" w:rsidRDefault="00B7372E" w:rsidP="00ED1410">
            <w:pPr>
              <w:pStyle w:val="Tabletext"/>
              <w:rPr>
                <w:b/>
                <w:bCs/>
              </w:rPr>
            </w:pPr>
            <w:r w:rsidRPr="006D295F">
              <w:rPr>
                <w:b/>
                <w:bCs/>
              </w:rPr>
              <w:t>ARTG start</w:t>
            </w:r>
            <w:r w:rsidR="00147691">
              <w:rPr>
                <w:b/>
                <w:bCs/>
              </w:rPr>
              <w:t xml:space="preserve"> </w:t>
            </w:r>
            <w:r w:rsidR="00F771FF">
              <w:rPr>
                <w:b/>
                <w:bCs/>
              </w:rPr>
              <w:t>and</w:t>
            </w:r>
            <w:r w:rsidR="00F73258">
              <w:rPr>
                <w:b/>
                <w:bCs/>
              </w:rPr>
              <w:t xml:space="preserve"> effective</w:t>
            </w:r>
            <w:r w:rsidRPr="006D295F">
              <w:rPr>
                <w:b/>
                <w:bCs/>
              </w:rPr>
              <w:t xml:space="preserve"> date</w:t>
            </w:r>
            <w:r w:rsidR="00147691">
              <w:rPr>
                <w:b/>
                <w:bCs/>
              </w:rPr>
              <w:t>s</w:t>
            </w:r>
          </w:p>
        </w:tc>
        <w:tc>
          <w:tcPr>
            <w:tcW w:w="1396" w:type="pct"/>
          </w:tcPr>
          <w:p w14:paraId="4BEEF592" w14:textId="75F73CD7" w:rsidR="00B7372E" w:rsidRDefault="00B7372E" w:rsidP="00ED1410">
            <w:pPr>
              <w:pStyle w:val="Tabletext"/>
            </w:pPr>
            <w:r>
              <w:t>24 May 2022</w:t>
            </w:r>
            <w:r w:rsidR="00147691">
              <w:br/>
              <w:t>24 May 2022</w:t>
            </w:r>
          </w:p>
        </w:tc>
        <w:tc>
          <w:tcPr>
            <w:tcW w:w="1396" w:type="pct"/>
          </w:tcPr>
          <w:p w14:paraId="294FBD27" w14:textId="12028EEC" w:rsidR="00B7372E" w:rsidRDefault="00B7372E" w:rsidP="00ED1410">
            <w:pPr>
              <w:pStyle w:val="Tabletext"/>
            </w:pPr>
            <w:r>
              <w:t>17 June 2011</w:t>
            </w:r>
            <w:r w:rsidR="00147691">
              <w:br/>
              <w:t>30 September 2021</w:t>
            </w:r>
          </w:p>
        </w:tc>
        <w:tc>
          <w:tcPr>
            <w:tcW w:w="1396" w:type="pct"/>
          </w:tcPr>
          <w:p w14:paraId="73185635" w14:textId="3FD7FAC4" w:rsidR="00B7372E" w:rsidRDefault="00B7372E" w:rsidP="00ED1410">
            <w:pPr>
              <w:pStyle w:val="Tabletext"/>
            </w:pPr>
            <w:r>
              <w:t>1 February 2021</w:t>
            </w:r>
            <w:r w:rsidR="00147691">
              <w:br/>
              <w:t>1 February 2021</w:t>
            </w:r>
          </w:p>
        </w:tc>
      </w:tr>
      <w:tr w:rsidR="00F771FF" w14:paraId="7D0EAF2C" w14:textId="77777777" w:rsidTr="00DE6C47">
        <w:tc>
          <w:tcPr>
            <w:tcW w:w="812" w:type="pct"/>
          </w:tcPr>
          <w:p w14:paraId="6EE68D4D" w14:textId="77777777" w:rsidR="00B7372E" w:rsidRPr="006D295F" w:rsidRDefault="00B7372E" w:rsidP="00ED1410">
            <w:pPr>
              <w:pStyle w:val="Tabletext"/>
              <w:rPr>
                <w:b/>
                <w:bCs/>
              </w:rPr>
            </w:pPr>
            <w:r w:rsidRPr="006D295F">
              <w:rPr>
                <w:b/>
                <w:bCs/>
              </w:rPr>
              <w:t>Product category</w:t>
            </w:r>
          </w:p>
        </w:tc>
        <w:tc>
          <w:tcPr>
            <w:tcW w:w="1396" w:type="pct"/>
          </w:tcPr>
          <w:p w14:paraId="1DC7BDEF" w14:textId="77777777" w:rsidR="00B7372E" w:rsidRDefault="00B7372E" w:rsidP="00ED1410">
            <w:pPr>
              <w:pStyle w:val="Tabletext"/>
            </w:pPr>
            <w:r>
              <w:t>Medical Device Class III</w:t>
            </w:r>
          </w:p>
        </w:tc>
        <w:tc>
          <w:tcPr>
            <w:tcW w:w="1396" w:type="pct"/>
          </w:tcPr>
          <w:p w14:paraId="12CE3026" w14:textId="77777777" w:rsidR="00B7372E" w:rsidRDefault="00B7372E" w:rsidP="00ED1410">
            <w:pPr>
              <w:pStyle w:val="Tabletext"/>
            </w:pPr>
            <w:r>
              <w:t>Medical Device Class III</w:t>
            </w:r>
          </w:p>
        </w:tc>
        <w:tc>
          <w:tcPr>
            <w:tcW w:w="1396" w:type="pct"/>
          </w:tcPr>
          <w:p w14:paraId="0B19EFBC" w14:textId="77777777" w:rsidR="00B7372E" w:rsidRDefault="00B7372E" w:rsidP="00ED1410">
            <w:pPr>
              <w:pStyle w:val="Tabletext"/>
            </w:pPr>
            <w:r>
              <w:t>Medical Device Class III</w:t>
            </w:r>
          </w:p>
        </w:tc>
      </w:tr>
      <w:tr w:rsidR="00F771FF" w14:paraId="2B46B2F3" w14:textId="77777777" w:rsidTr="00DE6C47">
        <w:tc>
          <w:tcPr>
            <w:tcW w:w="812" w:type="pct"/>
          </w:tcPr>
          <w:p w14:paraId="37632DCF" w14:textId="77777777" w:rsidR="00B7372E" w:rsidRPr="006D295F" w:rsidRDefault="00B7372E" w:rsidP="00ED1410">
            <w:pPr>
              <w:pStyle w:val="Tabletext"/>
              <w:rPr>
                <w:b/>
                <w:bCs/>
              </w:rPr>
            </w:pPr>
            <w:r w:rsidRPr="006D295F">
              <w:rPr>
                <w:b/>
                <w:bCs/>
              </w:rPr>
              <w:t>GMDN</w:t>
            </w:r>
          </w:p>
        </w:tc>
        <w:tc>
          <w:tcPr>
            <w:tcW w:w="1396" w:type="pct"/>
          </w:tcPr>
          <w:p w14:paraId="72E13DBB" w14:textId="77777777" w:rsidR="00B7372E" w:rsidRDefault="00B7372E" w:rsidP="00ED1410">
            <w:pPr>
              <w:pStyle w:val="Tabletext"/>
            </w:pPr>
            <w:r w:rsidRPr="00D74A10">
              <w:t>30084 Partially-implantable middle ear implant system</w:t>
            </w:r>
          </w:p>
        </w:tc>
        <w:tc>
          <w:tcPr>
            <w:tcW w:w="1396" w:type="pct"/>
          </w:tcPr>
          <w:p w14:paraId="460A1F7A" w14:textId="77777777" w:rsidR="00B7372E" w:rsidRPr="00D74A10" w:rsidRDefault="00B7372E" w:rsidP="00ED1410">
            <w:pPr>
              <w:pStyle w:val="Tabletext"/>
            </w:pPr>
            <w:r w:rsidRPr="005818D0">
              <w:t>30084 Partially-implantable middle ear implant system</w:t>
            </w:r>
          </w:p>
        </w:tc>
        <w:tc>
          <w:tcPr>
            <w:tcW w:w="1396" w:type="pct"/>
          </w:tcPr>
          <w:p w14:paraId="0D665E92" w14:textId="77777777" w:rsidR="00B7372E" w:rsidRPr="00D74A10" w:rsidRDefault="00B7372E" w:rsidP="00ED1410">
            <w:pPr>
              <w:pStyle w:val="Tabletext"/>
            </w:pPr>
            <w:r w:rsidRPr="00355A25">
              <w:t>47369 Partially-implantable middle ear implant system sound processor</w:t>
            </w:r>
          </w:p>
        </w:tc>
      </w:tr>
      <w:tr w:rsidR="00F771FF" w14:paraId="182F2BA9" w14:textId="77777777" w:rsidTr="009C3933">
        <w:trPr>
          <w:cantSplit/>
        </w:trPr>
        <w:tc>
          <w:tcPr>
            <w:tcW w:w="812" w:type="pct"/>
          </w:tcPr>
          <w:p w14:paraId="524BD8B0" w14:textId="77777777" w:rsidR="00B7372E" w:rsidRPr="006D295F" w:rsidRDefault="00B7372E" w:rsidP="00ED1410">
            <w:pPr>
              <w:pStyle w:val="Tabletext"/>
              <w:rPr>
                <w:b/>
                <w:bCs/>
              </w:rPr>
            </w:pPr>
            <w:r w:rsidRPr="006D295F">
              <w:rPr>
                <w:b/>
                <w:bCs/>
              </w:rPr>
              <w:t>Functional description</w:t>
            </w:r>
          </w:p>
        </w:tc>
        <w:tc>
          <w:tcPr>
            <w:tcW w:w="1396" w:type="pct"/>
          </w:tcPr>
          <w:p w14:paraId="42C4AB8F" w14:textId="5A0EBF12" w:rsidR="00B7372E" w:rsidRDefault="00B7372E" w:rsidP="00ED1410">
            <w:pPr>
              <w:pStyle w:val="Tabletext"/>
            </w:pPr>
            <w:r>
              <w:t xml:space="preserve">The VORP 503 is the implanted part of the </w:t>
            </w:r>
            <w:r w:rsidR="00C52825">
              <w:t>VSB</w:t>
            </w:r>
            <w:r>
              <w:t xml:space="preserve"> System, surgically implanted into the temporal bone under the skin. It is designed to be used with a Vibroplasty Coupler, as decided by the surgeon, when attaching the FMT to a vibratory structure of the ear, or alone, when placing the FMT directly at the round window. When activated, the FMT vibrates in a controlled manner causing the structure of the middle ear to vibrate. These vibrations are interpreted by the patient as sound.</w:t>
            </w:r>
          </w:p>
        </w:tc>
        <w:tc>
          <w:tcPr>
            <w:tcW w:w="1396" w:type="pct"/>
          </w:tcPr>
          <w:p w14:paraId="0DF65BB4" w14:textId="1D8BECCA" w:rsidR="00B7372E" w:rsidRDefault="00B7372E" w:rsidP="00ED1410">
            <w:pPr>
              <w:pStyle w:val="Tabletext"/>
            </w:pPr>
            <w:r>
              <w:t>The couplers are made of varying grades of titanium and provide placement options for the FMT to functional middle ear vibratory structures</w:t>
            </w:r>
            <w:r w:rsidR="002D55F9">
              <w:t xml:space="preserve"> -</w:t>
            </w:r>
            <w:r>
              <w:t xml:space="preserve"> incus; stapes; round window. The different types of couplers account for the anatomic condition variability in compromised ears and provide more options for fixation and adaptation to middle ear characteristics when anatomy does not allow for perpendicular placement.</w:t>
            </w:r>
          </w:p>
        </w:tc>
        <w:tc>
          <w:tcPr>
            <w:tcW w:w="1396" w:type="pct"/>
          </w:tcPr>
          <w:p w14:paraId="3F28B832" w14:textId="7C67F75D" w:rsidR="00B7372E" w:rsidRDefault="00B7372E" w:rsidP="00ED1410">
            <w:pPr>
              <w:pStyle w:val="Tabletext"/>
            </w:pPr>
            <w:r>
              <w:t xml:space="preserve">An external component of the VSB system, the AP is worn </w:t>
            </w:r>
            <w:r w:rsidR="00180FF7">
              <w:t>behind the ear</w:t>
            </w:r>
            <w:r>
              <w:t xml:space="preserve"> via opposing magnets in the AP and VORP implant. Powered by a single standard battery, the AP includes 2 microphones to pick up sound from the environment, sound processing circuitry to modify the output signal to customer's specific requirements, and a digital compression processor. Fitting the AP activates the VSB System. Exchangeable components allow the AP to be customized.</w:t>
            </w:r>
          </w:p>
        </w:tc>
      </w:tr>
      <w:tr w:rsidR="00F771FF" w14:paraId="3CB31BBF" w14:textId="77777777" w:rsidTr="006B7EE5">
        <w:trPr>
          <w:cantSplit/>
        </w:trPr>
        <w:tc>
          <w:tcPr>
            <w:tcW w:w="812" w:type="pct"/>
          </w:tcPr>
          <w:p w14:paraId="64AAAF89" w14:textId="77777777" w:rsidR="00B7372E" w:rsidRPr="006D295F" w:rsidRDefault="00B7372E" w:rsidP="00ED1410">
            <w:pPr>
              <w:pStyle w:val="Tabletext"/>
              <w:rPr>
                <w:b/>
                <w:bCs/>
              </w:rPr>
            </w:pPr>
            <w:r w:rsidRPr="006D295F">
              <w:rPr>
                <w:b/>
                <w:bCs/>
              </w:rPr>
              <w:lastRenderedPageBreak/>
              <w:t>Intended purpose</w:t>
            </w:r>
          </w:p>
        </w:tc>
        <w:tc>
          <w:tcPr>
            <w:tcW w:w="1396" w:type="pct"/>
          </w:tcPr>
          <w:p w14:paraId="031CFD01" w14:textId="663D51C4" w:rsidR="00B7372E" w:rsidRDefault="00B7372E" w:rsidP="00ED1410">
            <w:pPr>
              <w:pStyle w:val="Tabletext"/>
            </w:pPr>
            <w:r>
              <w:t xml:space="preserve">The </w:t>
            </w:r>
            <w:r w:rsidR="00AF2DDA">
              <w:t>VSB</w:t>
            </w:r>
            <w:r>
              <w:t xml:space="preserve"> VORP 503 Implant Kit contains one implant VORP 503 and other items. The VORP 503 is the implanted part of the </w:t>
            </w:r>
            <w:r w:rsidR="00AF2DDA">
              <w:t>VSB</w:t>
            </w:r>
            <w:r>
              <w:t xml:space="preserve"> System. It is an active implant, which is implanted into the temporal bone under the skin during a surgical procedure. The VORP 503 is designed to be used with one of the Vibroplasty Couplers, as decided by the surgeon, when attaching the FMT to a vibratory structure of the ear, or alone, when placing the FMT directly at the round window. This treatment of hearing loss via vibratory stimulation in the middle ear is called Vibroplasty.</w:t>
            </w:r>
          </w:p>
          <w:p w14:paraId="0A22C7DD" w14:textId="0F1B4A70" w:rsidR="00B7372E" w:rsidRDefault="00B7372E" w:rsidP="00ED1410">
            <w:pPr>
              <w:pStyle w:val="Tabletext"/>
            </w:pPr>
            <w:r>
              <w:t xml:space="preserve">The </w:t>
            </w:r>
            <w:r w:rsidR="00C52825">
              <w:t>VSB</w:t>
            </w:r>
            <w:r>
              <w:t xml:space="preserve"> is indicated for use in patients who have mild to severe hearing impairment and cannot achieve success or adequate benefit from traditional therapy.</w:t>
            </w:r>
          </w:p>
        </w:tc>
        <w:tc>
          <w:tcPr>
            <w:tcW w:w="1396" w:type="pct"/>
          </w:tcPr>
          <w:p w14:paraId="735A1B1D" w14:textId="7CB2C54B" w:rsidR="00B7372E" w:rsidRDefault="00B7372E" w:rsidP="00ED1410">
            <w:pPr>
              <w:pStyle w:val="Tabletext"/>
            </w:pPr>
            <w:r>
              <w:t xml:space="preserve">The Vibroplasty Couplers are intended to be used in combination with the </w:t>
            </w:r>
            <w:r w:rsidR="00C52825">
              <w:t>VSB</w:t>
            </w:r>
            <w:r>
              <w:t xml:space="preserve"> to facilitate the coupling between the FMT and a Vibratory Structure of the middle ear. The prosthesis type is chosen on the basis of the ossicular remnants once all primary disease has been removed from the middle ear.</w:t>
            </w:r>
          </w:p>
        </w:tc>
        <w:tc>
          <w:tcPr>
            <w:tcW w:w="1396" w:type="pct"/>
          </w:tcPr>
          <w:p w14:paraId="62CF1059" w14:textId="0501ADBC" w:rsidR="00B7372E" w:rsidRDefault="00B7372E" w:rsidP="00ED1410">
            <w:pPr>
              <w:pStyle w:val="Tabletext"/>
            </w:pPr>
            <w:r>
              <w:t xml:space="preserve">The SAMBA 2 </w:t>
            </w:r>
            <w:r w:rsidR="00BA60F5">
              <w:t>AP</w:t>
            </w:r>
            <w:r>
              <w:t xml:space="preserve"> is an external part of the </w:t>
            </w:r>
            <w:r w:rsidR="00C52825">
              <w:t>VSB</w:t>
            </w:r>
            <w:r>
              <w:t xml:space="preserve"> system. The </w:t>
            </w:r>
            <w:r w:rsidR="00C52825">
              <w:t>VSB</w:t>
            </w:r>
            <w:r>
              <w:t xml:space="preserve"> system is indicated for use in patients who have mild to severe hearing impairment and cannot achieve success or adequate benefit from traditional therapy.</w:t>
            </w:r>
          </w:p>
        </w:tc>
      </w:tr>
    </w:tbl>
    <w:p w14:paraId="47FCB538" w14:textId="2879B586" w:rsidR="00DF63E2" w:rsidRDefault="00C74DD2" w:rsidP="007420C2">
      <w:pPr>
        <w:pStyle w:val="Tablenotes"/>
        <w:spacing w:after="0"/>
      </w:pPr>
      <w:r>
        <w:t xml:space="preserve">AP = audio processor; </w:t>
      </w:r>
      <w:r w:rsidR="00B7372E">
        <w:t xml:space="preserve">ARTG = Australian Register of </w:t>
      </w:r>
      <w:r w:rsidR="00B7372E" w:rsidRPr="00792874">
        <w:t>Therapeutic</w:t>
      </w:r>
      <w:r w:rsidR="00B7372E">
        <w:t xml:space="preserve"> Goods; </w:t>
      </w:r>
      <w:r w:rsidR="002E6CF3">
        <w:t xml:space="preserve">FMT = floating mass transducer; </w:t>
      </w:r>
      <w:r w:rsidR="00B7372E">
        <w:t>GMDN = Global Medical Device Nomenclature; ID = identification number</w:t>
      </w:r>
      <w:r w:rsidR="00194958">
        <w:t>; VSB = Vibrant Soundbridge</w:t>
      </w:r>
      <w:r w:rsidR="00B7372E">
        <w:t>.</w:t>
      </w:r>
    </w:p>
    <w:p w14:paraId="12B758C0" w14:textId="09347B3C" w:rsidR="007420C2" w:rsidRPr="00354ECF" w:rsidRDefault="007420C2" w:rsidP="007420C2">
      <w:pPr>
        <w:pStyle w:val="Tablenotes"/>
      </w:pPr>
      <w:r>
        <w:t>Source: ARTG Public Summaries, accessed 11 June 2025.</w:t>
      </w:r>
    </w:p>
    <w:p w14:paraId="4BA42AE2" w14:textId="4A6B93B9" w:rsidR="004F2F59" w:rsidRDefault="00567333" w:rsidP="004F2F59">
      <w:pPr>
        <w:pStyle w:val="Heading4"/>
      </w:pPr>
      <w:r>
        <w:t>Current f</w:t>
      </w:r>
      <w:r w:rsidR="002C0EAA">
        <w:t xml:space="preserve">unding of the </w:t>
      </w:r>
      <w:r w:rsidR="004F2F59">
        <w:t>procedure</w:t>
      </w:r>
      <w:r w:rsidR="00AB304A">
        <w:t xml:space="preserve"> and </w:t>
      </w:r>
      <w:r w:rsidR="007C23AE">
        <w:t>device</w:t>
      </w:r>
    </w:p>
    <w:p w14:paraId="399F6690" w14:textId="77777777" w:rsidR="00C658F9" w:rsidRDefault="00C658F9" w:rsidP="00C658F9">
      <w:r>
        <w:t>According to the application, AMEI implantation in individuals with CHL or MHL is occasionally funded via public hospitals or self-funded by patients.</w:t>
      </w:r>
    </w:p>
    <w:p w14:paraId="6EF3BC6C" w14:textId="63A8EEB7" w:rsidR="00BC30FD" w:rsidRDefault="00693BFD" w:rsidP="00BC30FD">
      <w:r>
        <w:t xml:space="preserve">MBS </w:t>
      </w:r>
      <w:r w:rsidR="00E6014E">
        <w:t>funding of</w:t>
      </w:r>
      <w:r w:rsidR="00E77F04">
        <w:t xml:space="preserve"> </w:t>
      </w:r>
      <w:r w:rsidR="00674A0D">
        <w:t>A</w:t>
      </w:r>
      <w:r w:rsidR="00E77F04">
        <w:t>MEI</w:t>
      </w:r>
      <w:r w:rsidR="004F28A0">
        <w:t xml:space="preserve"> implantation</w:t>
      </w:r>
      <w:r w:rsidR="00E77F04">
        <w:t xml:space="preserve"> is currently limited to </w:t>
      </w:r>
      <w:r w:rsidR="0069508C">
        <w:t>individuals</w:t>
      </w:r>
      <w:r w:rsidR="00E77F04">
        <w:t xml:space="preserve"> with SNHL</w:t>
      </w:r>
      <w:r w:rsidR="00480B12">
        <w:t xml:space="preserve"> </w:t>
      </w:r>
      <w:r w:rsidR="00480B12" w:rsidRPr="00AA5221">
        <w:t>(MBS item 41618)</w:t>
      </w:r>
      <w:r w:rsidR="00E77F04">
        <w:t xml:space="preserve">. </w:t>
      </w:r>
      <w:r w:rsidR="00BC30FD">
        <w:t>The MBS item descriptor and fee</w:t>
      </w:r>
      <w:r w:rsidR="00520FF4">
        <w:t xml:space="preserve"> for the implantation procedure, via mastoidectomy,</w:t>
      </w:r>
      <w:r w:rsidR="00BC30FD">
        <w:t xml:space="preserve"> </w:t>
      </w:r>
      <w:r w:rsidR="006D0179">
        <w:t>is</w:t>
      </w:r>
      <w:r w:rsidR="00BC30FD">
        <w:t xml:space="preserve"> </w:t>
      </w:r>
      <w:r w:rsidR="00BC30FD" w:rsidRPr="00AA5221">
        <w:t>shown in</w:t>
      </w:r>
      <w:r w:rsidR="00447DB8" w:rsidRPr="00AA5221">
        <w:t xml:space="preserve"> </w:t>
      </w:r>
      <w:r w:rsidR="0001238D" w:rsidRPr="00AA5221">
        <w:t xml:space="preserve">Appendix </w:t>
      </w:r>
      <w:r w:rsidR="000B13DF" w:rsidRPr="00AA5221">
        <w:t>B</w:t>
      </w:r>
      <w:r w:rsidR="0001238D" w:rsidRPr="00AA5221">
        <w:t>,</w:t>
      </w:r>
      <w:r w:rsidR="00BC30FD" w:rsidRPr="00AA5221">
        <w:t xml:space="preserve"> </w:t>
      </w:r>
      <w:r w:rsidR="00BC30FD" w:rsidRPr="00AA5221">
        <w:fldChar w:fldCharType="begin"/>
      </w:r>
      <w:r w:rsidR="00BC30FD" w:rsidRPr="00AA5221">
        <w:instrText xml:space="preserve"> REF _Ref200557306 \h </w:instrText>
      </w:r>
      <w:r w:rsidR="00AA5221">
        <w:instrText xml:space="preserve"> \* MERGEFORMAT </w:instrText>
      </w:r>
      <w:r w:rsidR="00BC30FD" w:rsidRPr="00AA5221">
        <w:fldChar w:fldCharType="separate"/>
      </w:r>
      <w:r w:rsidR="00A42764">
        <w:t xml:space="preserve">Box </w:t>
      </w:r>
      <w:r w:rsidR="0006468C">
        <w:rPr>
          <w:noProof/>
        </w:rPr>
        <w:t>3</w:t>
      </w:r>
      <w:r w:rsidR="00BC30FD" w:rsidRPr="00AA5221">
        <w:fldChar w:fldCharType="end"/>
      </w:r>
      <w:r w:rsidR="00BC30FD" w:rsidRPr="00AA5221">
        <w:t xml:space="preserve">. </w:t>
      </w:r>
      <w:r w:rsidR="00692F91" w:rsidRPr="00AA5221">
        <w:t xml:space="preserve">Utilisation of </w:t>
      </w:r>
      <w:r w:rsidR="00997186" w:rsidRPr="00AA5221">
        <w:t>MBS item 41618</w:t>
      </w:r>
      <w:r w:rsidR="00692F91" w:rsidRPr="00AA5221">
        <w:t xml:space="preserve"> is shown in Appendix B, </w:t>
      </w:r>
      <w:r w:rsidR="00692F91" w:rsidRPr="00AA5221">
        <w:fldChar w:fldCharType="begin"/>
      </w:r>
      <w:r w:rsidR="00692F91" w:rsidRPr="00AA5221">
        <w:instrText xml:space="preserve"> REF _Ref202112305 \h </w:instrText>
      </w:r>
      <w:r w:rsidR="00AA5221">
        <w:instrText xml:space="preserve"> \* MERGEFORMAT </w:instrText>
      </w:r>
      <w:r w:rsidR="00692F91" w:rsidRPr="00AA5221">
        <w:fldChar w:fldCharType="separate"/>
      </w:r>
      <w:r w:rsidR="00A42764">
        <w:t xml:space="preserve">Figure </w:t>
      </w:r>
      <w:r w:rsidR="00A42764">
        <w:rPr>
          <w:noProof/>
        </w:rPr>
        <w:t>4</w:t>
      </w:r>
      <w:r w:rsidR="00692F91" w:rsidRPr="00AA5221">
        <w:fldChar w:fldCharType="end"/>
      </w:r>
      <w:r w:rsidR="00997186">
        <w:t>.</w:t>
      </w:r>
    </w:p>
    <w:p w14:paraId="43DDDD0A" w14:textId="77B77DE6" w:rsidR="0084138F" w:rsidRDefault="004C648C" w:rsidP="00372E6D">
      <w:r>
        <w:t xml:space="preserve">The Vibrant Soundbridge System is </w:t>
      </w:r>
      <w:r w:rsidR="003A44B2">
        <w:t xml:space="preserve">the only </w:t>
      </w:r>
      <w:r w:rsidR="00560A58">
        <w:t xml:space="preserve">partially implantable </w:t>
      </w:r>
      <w:r w:rsidR="003A44B2">
        <w:t xml:space="preserve">AMEI </w:t>
      </w:r>
      <w:r w:rsidR="000A4C29">
        <w:t>listed on the Prescribed List of Medical Devices and Human Tissue Products (PL)</w:t>
      </w:r>
      <w:r w:rsidR="00560A58">
        <w:t xml:space="preserve"> </w:t>
      </w:r>
      <w:r w:rsidR="000804D5">
        <w:t xml:space="preserve">and is </w:t>
      </w:r>
      <w:r w:rsidR="00722554">
        <w:t xml:space="preserve">currently </w:t>
      </w:r>
      <w:r w:rsidR="00560A58">
        <w:t>intended f</w:t>
      </w:r>
      <w:r w:rsidR="000804D5">
        <w:t xml:space="preserve">or </w:t>
      </w:r>
      <w:r w:rsidR="00965B4D">
        <w:t xml:space="preserve">individuals </w:t>
      </w:r>
      <w:r w:rsidR="0028157C">
        <w:t>with SNHL</w:t>
      </w:r>
      <w:r w:rsidR="00722554">
        <w:t xml:space="preserve"> </w:t>
      </w:r>
      <w:r w:rsidR="0028157C">
        <w:t>who meet the criteria listed in</w:t>
      </w:r>
      <w:r w:rsidR="00722554">
        <w:t xml:space="preserve"> MBS item 41618</w:t>
      </w:r>
      <w:r w:rsidR="00D134CB">
        <w:t xml:space="preserve">. </w:t>
      </w:r>
      <w:r w:rsidR="0084138F">
        <w:t>Private health insurers may make ex gratia payments to privately insured patients with MHL or CHL seeking assistance with the cost of the device.</w:t>
      </w:r>
    </w:p>
    <w:p w14:paraId="4A2D3F66" w14:textId="494EDAB5" w:rsidR="00AE0F70" w:rsidRDefault="00302CAC" w:rsidP="00372E6D">
      <w:r>
        <w:t xml:space="preserve">The </w:t>
      </w:r>
      <w:r w:rsidR="007A3D63">
        <w:t xml:space="preserve">PL </w:t>
      </w:r>
      <w:r>
        <w:t xml:space="preserve">billing codes and benefits </w:t>
      </w:r>
      <w:r w:rsidR="003211E3">
        <w:t xml:space="preserve">for the 3 components of the </w:t>
      </w:r>
      <w:r w:rsidR="0084138F">
        <w:t>Vibrant Soundbridge S</w:t>
      </w:r>
      <w:r w:rsidR="003211E3">
        <w:t xml:space="preserve">ystem </w:t>
      </w:r>
      <w:r>
        <w:t xml:space="preserve">are shown in </w:t>
      </w:r>
      <w:r>
        <w:fldChar w:fldCharType="begin"/>
      </w:r>
      <w:r>
        <w:instrText xml:space="preserve"> REF _Ref200568077 \h </w:instrText>
      </w:r>
      <w:r>
        <w:fldChar w:fldCharType="separate"/>
      </w:r>
      <w:r w:rsidR="00A42764" w:rsidRPr="00AD26D1">
        <w:t xml:space="preserve">Table </w:t>
      </w:r>
      <w:r w:rsidR="00A42764">
        <w:rPr>
          <w:noProof/>
        </w:rPr>
        <w:t>6</w:t>
      </w:r>
      <w:r>
        <w:fldChar w:fldCharType="end"/>
      </w:r>
      <w:r>
        <w:t>.</w:t>
      </w:r>
      <w:r w:rsidR="00911F3F">
        <w:rPr>
          <w:rStyle w:val="FootnoteReference"/>
        </w:rPr>
        <w:footnoteReference w:id="11"/>
      </w:r>
      <w:r w:rsidR="00ED4EC6">
        <w:t xml:space="preserve"> </w:t>
      </w:r>
      <w:r w:rsidR="002F18E2">
        <w:t xml:space="preserve">The total PL benefit for the 3 components </w:t>
      </w:r>
      <w:r w:rsidR="007C0F70">
        <w:t>is</w:t>
      </w:r>
      <w:r w:rsidR="002F18E2">
        <w:t xml:space="preserve"> $14,986</w:t>
      </w:r>
      <w:r w:rsidR="007C0F70">
        <w:t xml:space="preserve"> </w:t>
      </w:r>
      <w:r w:rsidR="003F54D0">
        <w:t xml:space="preserve">and for the </w:t>
      </w:r>
      <w:r w:rsidR="00D47372">
        <w:t>audio</w:t>
      </w:r>
      <w:r w:rsidR="003F54D0">
        <w:t xml:space="preserve"> processor alone is $7,</w:t>
      </w:r>
      <w:r w:rsidR="00D47372">
        <w:t xml:space="preserve">166 </w:t>
      </w:r>
      <w:r w:rsidR="007C0F70">
        <w:t>(</w:t>
      </w:r>
      <w:r w:rsidR="00DA0E31">
        <w:t xml:space="preserve">effective </w:t>
      </w:r>
      <w:r w:rsidR="00A653B9">
        <w:t>0</w:t>
      </w:r>
      <w:r w:rsidR="0054190D">
        <w:t xml:space="preserve">1 </w:t>
      </w:r>
      <w:r w:rsidR="00001820">
        <w:t>July</w:t>
      </w:r>
      <w:r w:rsidR="0054190D">
        <w:t xml:space="preserve"> 2025)</w:t>
      </w:r>
      <w:r w:rsidR="002F18E2">
        <w:t>.</w:t>
      </w:r>
      <w:r w:rsidR="003211E3">
        <w:t xml:space="preserve"> </w:t>
      </w:r>
      <w:r w:rsidR="007B63A1">
        <w:t xml:space="preserve">MED-EL typically designs new processors to be backward compatible with older implants, but this is not guaranteed. </w:t>
      </w:r>
      <w:r w:rsidR="00A70788">
        <w:t>New audio processor</w:t>
      </w:r>
      <w:r w:rsidR="001B3046">
        <w:t xml:space="preserve"> models are generally released every 5–7 years</w:t>
      </w:r>
      <w:r w:rsidR="005359FF">
        <w:t>.</w:t>
      </w:r>
      <w:r w:rsidR="00A70788">
        <w:t xml:space="preserve"> </w:t>
      </w:r>
    </w:p>
    <w:p w14:paraId="0052E7B1" w14:textId="69BC0569" w:rsidR="002F18E2" w:rsidRDefault="003211E3" w:rsidP="0067065B">
      <w:pPr>
        <w:spacing w:after="120"/>
      </w:pPr>
      <w:r>
        <w:t xml:space="preserve">There are no explicit conditions </w:t>
      </w:r>
      <w:r w:rsidR="001D5CC7">
        <w:t xml:space="preserve">in the PL listing </w:t>
      </w:r>
      <w:r>
        <w:t xml:space="preserve">that restrict use of the </w:t>
      </w:r>
      <w:r w:rsidR="00AE0F70">
        <w:t xml:space="preserve">Vibrant Soundbridge </w:t>
      </w:r>
      <w:r>
        <w:t>system in terms of hearing loss severity or type.</w:t>
      </w:r>
    </w:p>
    <w:p w14:paraId="11639122" w14:textId="062C6E5D" w:rsidR="009F1DA2" w:rsidRPr="00AD26D1" w:rsidRDefault="009F1DA2" w:rsidP="009F1DA2">
      <w:pPr>
        <w:pStyle w:val="Caption"/>
        <w:rPr>
          <w:lang w:val="en-AU"/>
        </w:rPr>
      </w:pPr>
      <w:bookmarkStart w:id="11" w:name="_Ref200568077"/>
      <w:r w:rsidRPr="00AD26D1">
        <w:rPr>
          <w:lang w:val="en-AU"/>
        </w:rPr>
        <w:lastRenderedPageBreak/>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6</w:t>
      </w:r>
      <w:r w:rsidRPr="00AD26D1">
        <w:rPr>
          <w:lang w:val="en-AU"/>
        </w:rPr>
        <w:fldChar w:fldCharType="end"/>
      </w:r>
      <w:bookmarkEnd w:id="11"/>
      <w:r w:rsidRPr="00AD26D1">
        <w:rPr>
          <w:lang w:val="en-AU"/>
        </w:rPr>
        <w:tab/>
      </w:r>
      <w:r>
        <w:rPr>
          <w:lang w:val="en-AU"/>
        </w:rPr>
        <w:t xml:space="preserve">PL listings for the 3 components of the Vibrant Soundbridge </w:t>
      </w:r>
      <w:r w:rsidR="00DF652E">
        <w:rPr>
          <w:lang w:val="en-AU"/>
        </w:rPr>
        <w:t>S</w:t>
      </w:r>
      <w:r>
        <w:rPr>
          <w:lang w:val="en-AU"/>
        </w:rPr>
        <w:t>ystem</w:t>
      </w:r>
    </w:p>
    <w:tbl>
      <w:tblPr>
        <w:tblStyle w:val="TableGrid"/>
        <w:tblW w:w="5000" w:type="pct"/>
        <w:tblInd w:w="0" w:type="dxa"/>
        <w:tblLook w:val="04A0" w:firstRow="1" w:lastRow="0" w:firstColumn="1" w:lastColumn="0" w:noHBand="0" w:noVBand="1"/>
        <w:tblCaption w:val="PL listings for the 3 components of the Vibrant Soundbridge System"/>
        <w:tblDescription w:val="The table summarises the PL grouping and benefit for the 3 components of the VSB System: the Vibrating Ossicular Prosthesis VORP503, the Vibroplasty Couplers, and the SAMBA 2 Audio Processor."/>
      </w:tblPr>
      <w:tblGrid>
        <w:gridCol w:w="1415"/>
        <w:gridCol w:w="2718"/>
        <w:gridCol w:w="2718"/>
        <w:gridCol w:w="2720"/>
      </w:tblGrid>
      <w:tr w:rsidR="009F1DA2" w14:paraId="299628B8" w14:textId="77777777" w:rsidTr="00B0766F">
        <w:trPr>
          <w:tblHeader/>
        </w:trPr>
        <w:tc>
          <w:tcPr>
            <w:tcW w:w="739" w:type="pct"/>
          </w:tcPr>
          <w:p w14:paraId="33C38232" w14:textId="5C42A61C" w:rsidR="009F1DA2" w:rsidRDefault="00B30B5E" w:rsidP="00ED1410">
            <w:pPr>
              <w:pStyle w:val="TableHeading"/>
            </w:pPr>
            <w:r>
              <w:t>Product name</w:t>
            </w:r>
          </w:p>
        </w:tc>
        <w:tc>
          <w:tcPr>
            <w:tcW w:w="1420" w:type="pct"/>
          </w:tcPr>
          <w:p w14:paraId="6E667E85" w14:textId="4FE1AC2A" w:rsidR="009F1DA2" w:rsidRDefault="00866D40" w:rsidP="00ED1410">
            <w:pPr>
              <w:pStyle w:val="TableHeading"/>
            </w:pPr>
            <w:r w:rsidRPr="00866D40">
              <w:t xml:space="preserve">Vibrant Soundbridge System </w:t>
            </w:r>
            <w:r w:rsidR="00C5019A">
              <w:t>–</w:t>
            </w:r>
            <w:r w:rsidRPr="00866D40">
              <w:t xml:space="preserve"> Vibrating Ossicular Prosthesis VORP503</w:t>
            </w:r>
          </w:p>
        </w:tc>
        <w:tc>
          <w:tcPr>
            <w:tcW w:w="1420" w:type="pct"/>
          </w:tcPr>
          <w:p w14:paraId="6D10A3A8" w14:textId="4961DBFE" w:rsidR="009F1DA2" w:rsidRDefault="00490BFE" w:rsidP="00ED1410">
            <w:pPr>
              <w:pStyle w:val="TableHeading"/>
            </w:pPr>
            <w:r w:rsidRPr="00490BFE">
              <w:t xml:space="preserve">Vibrant Soundbridge System </w:t>
            </w:r>
            <w:r w:rsidR="00C5019A">
              <w:t>–</w:t>
            </w:r>
            <w:r w:rsidRPr="00490BFE">
              <w:t xml:space="preserve"> Vibroplasty Couplers</w:t>
            </w:r>
          </w:p>
        </w:tc>
        <w:tc>
          <w:tcPr>
            <w:tcW w:w="1421" w:type="pct"/>
          </w:tcPr>
          <w:p w14:paraId="3263613D" w14:textId="11BF92CE" w:rsidR="009F1DA2" w:rsidRDefault="00264734" w:rsidP="00ED1410">
            <w:pPr>
              <w:pStyle w:val="TableHeading"/>
            </w:pPr>
            <w:r>
              <w:t>SAMBA 2 Audio Processor</w:t>
            </w:r>
          </w:p>
        </w:tc>
      </w:tr>
      <w:tr w:rsidR="009F1DA2" w14:paraId="4B049B0C" w14:textId="77777777" w:rsidTr="00B0766F">
        <w:tc>
          <w:tcPr>
            <w:tcW w:w="739" w:type="pct"/>
          </w:tcPr>
          <w:p w14:paraId="00A4E03B" w14:textId="3249326D" w:rsidR="009F1DA2" w:rsidRPr="006D295F" w:rsidRDefault="00346D8E" w:rsidP="00ED1410">
            <w:pPr>
              <w:pStyle w:val="Tabletext"/>
              <w:rPr>
                <w:b/>
                <w:bCs/>
              </w:rPr>
            </w:pPr>
            <w:r>
              <w:rPr>
                <w:b/>
                <w:bCs/>
              </w:rPr>
              <w:t>Sponsor</w:t>
            </w:r>
          </w:p>
        </w:tc>
        <w:tc>
          <w:tcPr>
            <w:tcW w:w="1420" w:type="pct"/>
          </w:tcPr>
          <w:p w14:paraId="503AF28D" w14:textId="039C405D" w:rsidR="009F1DA2" w:rsidRDefault="00364537" w:rsidP="00ED1410">
            <w:pPr>
              <w:pStyle w:val="Tabletext"/>
            </w:pPr>
            <w:r w:rsidRPr="00DA146A">
              <w:t>MED-EL Implant Systems Australasia Pty Ltd</w:t>
            </w:r>
          </w:p>
        </w:tc>
        <w:tc>
          <w:tcPr>
            <w:tcW w:w="1420" w:type="pct"/>
          </w:tcPr>
          <w:p w14:paraId="0077F121" w14:textId="27BBD08D" w:rsidR="009F1DA2" w:rsidRPr="00DA146A" w:rsidRDefault="00490BFE" w:rsidP="00ED1410">
            <w:pPr>
              <w:pStyle w:val="Tabletext"/>
            </w:pPr>
            <w:r w:rsidRPr="00DA146A">
              <w:t>MED-EL Implant Systems Australasia Pty Ltd</w:t>
            </w:r>
          </w:p>
        </w:tc>
        <w:tc>
          <w:tcPr>
            <w:tcW w:w="1421" w:type="pct"/>
          </w:tcPr>
          <w:p w14:paraId="146A3F21" w14:textId="0BF28266" w:rsidR="009F1DA2" w:rsidRPr="00DA146A" w:rsidRDefault="00AB09A8" w:rsidP="00ED1410">
            <w:pPr>
              <w:pStyle w:val="Tabletext"/>
            </w:pPr>
            <w:r w:rsidRPr="00DA146A">
              <w:t>MED-EL Implant Systems Australasia Pty Ltd</w:t>
            </w:r>
          </w:p>
        </w:tc>
      </w:tr>
      <w:tr w:rsidR="00CB146C" w14:paraId="268EBEDC" w14:textId="77777777" w:rsidTr="00B0766F">
        <w:tc>
          <w:tcPr>
            <w:tcW w:w="739" w:type="pct"/>
          </w:tcPr>
          <w:p w14:paraId="1BE32699" w14:textId="77777777" w:rsidR="00CB146C" w:rsidRPr="006D295F" w:rsidRDefault="00CB146C" w:rsidP="00CB146C">
            <w:pPr>
              <w:pStyle w:val="Tabletext"/>
              <w:rPr>
                <w:b/>
                <w:bCs/>
              </w:rPr>
            </w:pPr>
            <w:r>
              <w:rPr>
                <w:b/>
                <w:bCs/>
              </w:rPr>
              <w:t>Product grouping</w:t>
            </w:r>
          </w:p>
        </w:tc>
        <w:tc>
          <w:tcPr>
            <w:tcW w:w="1420" w:type="pct"/>
          </w:tcPr>
          <w:p w14:paraId="5F0FE490" w14:textId="77777777" w:rsidR="00CB146C" w:rsidRDefault="00CB146C" w:rsidP="00CB146C">
            <w:pPr>
              <w:pStyle w:val="Tabletext"/>
            </w:pPr>
            <w:r>
              <w:t>02 – Ear, Nose &amp; Throat</w:t>
            </w:r>
          </w:p>
          <w:p w14:paraId="23129349" w14:textId="659881F5" w:rsidR="00CB146C" w:rsidRDefault="00CB146C" w:rsidP="00CB146C">
            <w:pPr>
              <w:pStyle w:val="Tabletext"/>
            </w:pPr>
            <w:r>
              <w:t>02.01 – Ear</w:t>
            </w:r>
          </w:p>
          <w:p w14:paraId="047CBA88" w14:textId="77777777" w:rsidR="00CB146C" w:rsidRDefault="00CB146C" w:rsidP="00CB146C">
            <w:pPr>
              <w:pStyle w:val="Tabletext"/>
            </w:pPr>
            <w:r>
              <w:t>02.01.05 – Ossicle/Middle Ear Prosthesis</w:t>
            </w:r>
          </w:p>
          <w:p w14:paraId="744C8CA7" w14:textId="0CF93D78" w:rsidR="00CB146C" w:rsidRDefault="00CB146C" w:rsidP="00CB146C">
            <w:pPr>
              <w:pStyle w:val="Tabletext"/>
            </w:pPr>
            <w:r>
              <w:t>02.01.05.05 – Active Middle Ear Implants</w:t>
            </w:r>
          </w:p>
        </w:tc>
        <w:tc>
          <w:tcPr>
            <w:tcW w:w="1420" w:type="pct"/>
          </w:tcPr>
          <w:p w14:paraId="796A780C" w14:textId="77777777" w:rsidR="00CB146C" w:rsidRDefault="00CB146C" w:rsidP="00CB146C">
            <w:pPr>
              <w:pStyle w:val="Tabletext"/>
            </w:pPr>
            <w:r>
              <w:t>02 – Ear, Nose &amp; Throat</w:t>
            </w:r>
          </w:p>
          <w:p w14:paraId="048C65FD" w14:textId="77777777" w:rsidR="00CB146C" w:rsidRDefault="00CB146C" w:rsidP="00CB146C">
            <w:pPr>
              <w:pStyle w:val="Tabletext"/>
            </w:pPr>
            <w:r>
              <w:t>02.01 – Ear</w:t>
            </w:r>
          </w:p>
          <w:p w14:paraId="193157AE" w14:textId="77777777" w:rsidR="00CB146C" w:rsidRDefault="00CB146C" w:rsidP="00CB146C">
            <w:pPr>
              <w:pStyle w:val="Tabletext"/>
            </w:pPr>
            <w:r>
              <w:t>02.01.05 – Ossicle/Middle Ear Prosthesis</w:t>
            </w:r>
          </w:p>
          <w:p w14:paraId="37BCD10A" w14:textId="14FD6D9A" w:rsidR="00CB146C" w:rsidRDefault="00CB146C" w:rsidP="00CB146C">
            <w:pPr>
              <w:pStyle w:val="Tabletext"/>
            </w:pPr>
            <w:r>
              <w:t>02.01.05.05 – Active Middle Ear Implants</w:t>
            </w:r>
          </w:p>
        </w:tc>
        <w:tc>
          <w:tcPr>
            <w:tcW w:w="1421" w:type="pct"/>
          </w:tcPr>
          <w:p w14:paraId="10552062" w14:textId="77777777" w:rsidR="00CB146C" w:rsidRDefault="00CB146C" w:rsidP="00CB146C">
            <w:pPr>
              <w:pStyle w:val="Tabletext"/>
            </w:pPr>
            <w:r>
              <w:t>02 – Ear, Nose &amp; Throat</w:t>
            </w:r>
          </w:p>
          <w:p w14:paraId="2CC803E7" w14:textId="77777777" w:rsidR="00CB146C" w:rsidRDefault="00CB146C" w:rsidP="00CB146C">
            <w:pPr>
              <w:pStyle w:val="Tabletext"/>
            </w:pPr>
            <w:r>
              <w:t>02.01 – Ear</w:t>
            </w:r>
          </w:p>
          <w:p w14:paraId="104A8685" w14:textId="77777777" w:rsidR="00CB146C" w:rsidRDefault="00CB146C" w:rsidP="00CB146C">
            <w:pPr>
              <w:pStyle w:val="Tabletext"/>
            </w:pPr>
            <w:r>
              <w:t>02.01.05 – Ossicle/Middle Ear Prosthesis</w:t>
            </w:r>
          </w:p>
          <w:p w14:paraId="61AC3589" w14:textId="16174861" w:rsidR="00CB146C" w:rsidRDefault="00CB146C" w:rsidP="00CB146C">
            <w:pPr>
              <w:pStyle w:val="Tabletext"/>
            </w:pPr>
            <w:r>
              <w:t>02.01.05.05 – Active Middle Ear Implants</w:t>
            </w:r>
          </w:p>
        </w:tc>
      </w:tr>
      <w:tr w:rsidR="00CB146C" w14:paraId="3BF86A2E" w14:textId="77777777" w:rsidTr="00B0766F">
        <w:tc>
          <w:tcPr>
            <w:tcW w:w="739" w:type="pct"/>
          </w:tcPr>
          <w:p w14:paraId="29D87544" w14:textId="7C35E753" w:rsidR="00CB146C" w:rsidRDefault="00CB146C" w:rsidP="00CB146C">
            <w:pPr>
              <w:pStyle w:val="Tabletext"/>
              <w:rPr>
                <w:b/>
                <w:bCs/>
              </w:rPr>
            </w:pPr>
            <w:r>
              <w:rPr>
                <w:b/>
                <w:bCs/>
              </w:rPr>
              <w:t>Suffix</w:t>
            </w:r>
          </w:p>
        </w:tc>
        <w:tc>
          <w:tcPr>
            <w:tcW w:w="1420" w:type="pct"/>
          </w:tcPr>
          <w:p w14:paraId="70177EA7" w14:textId="4DA5D5EE" w:rsidR="00CB146C" w:rsidRDefault="00CB146C" w:rsidP="00CB146C">
            <w:pPr>
              <w:pStyle w:val="Tabletext"/>
            </w:pPr>
            <w:r>
              <w:t>-</w:t>
            </w:r>
          </w:p>
        </w:tc>
        <w:tc>
          <w:tcPr>
            <w:tcW w:w="1420" w:type="pct"/>
          </w:tcPr>
          <w:p w14:paraId="5062BB69" w14:textId="24F7B34A" w:rsidR="00CB146C" w:rsidRDefault="00CB146C" w:rsidP="00CB146C">
            <w:pPr>
              <w:pStyle w:val="Tabletext"/>
            </w:pPr>
            <w:r>
              <w:t>Coupler</w:t>
            </w:r>
          </w:p>
        </w:tc>
        <w:tc>
          <w:tcPr>
            <w:tcW w:w="1421" w:type="pct"/>
          </w:tcPr>
          <w:p w14:paraId="76BC96F7" w14:textId="29EE4917" w:rsidR="00CB146C" w:rsidRDefault="000C475A" w:rsidP="00CB146C">
            <w:pPr>
              <w:pStyle w:val="Tabletext"/>
            </w:pPr>
            <w:r>
              <w:t>Programmable, Wireless-enabled, Autoscan</w:t>
            </w:r>
          </w:p>
        </w:tc>
      </w:tr>
      <w:tr w:rsidR="00CB146C" w14:paraId="77837B02" w14:textId="77777777" w:rsidTr="00B0766F">
        <w:tc>
          <w:tcPr>
            <w:tcW w:w="739" w:type="pct"/>
          </w:tcPr>
          <w:p w14:paraId="0ABCFA56" w14:textId="5F0B78EF" w:rsidR="00CB146C" w:rsidRPr="006D295F" w:rsidRDefault="00CB146C" w:rsidP="00CB146C">
            <w:pPr>
              <w:pStyle w:val="Tabletext"/>
              <w:rPr>
                <w:b/>
                <w:bCs/>
              </w:rPr>
            </w:pPr>
            <w:r>
              <w:rPr>
                <w:b/>
                <w:bCs/>
              </w:rPr>
              <w:t>Billing code</w:t>
            </w:r>
          </w:p>
        </w:tc>
        <w:tc>
          <w:tcPr>
            <w:tcW w:w="1420" w:type="pct"/>
          </w:tcPr>
          <w:p w14:paraId="0EDC5E4E" w14:textId="13C994F2" w:rsidR="00CB146C" w:rsidRDefault="00CB146C" w:rsidP="00CB146C">
            <w:pPr>
              <w:pStyle w:val="Tabletext"/>
            </w:pPr>
            <w:r>
              <w:t>US021</w:t>
            </w:r>
          </w:p>
        </w:tc>
        <w:tc>
          <w:tcPr>
            <w:tcW w:w="1420" w:type="pct"/>
          </w:tcPr>
          <w:p w14:paraId="371A9E7E" w14:textId="1077D7BA" w:rsidR="00CB146C" w:rsidRDefault="00CB146C" w:rsidP="00CB146C">
            <w:pPr>
              <w:pStyle w:val="Tabletext"/>
            </w:pPr>
            <w:r>
              <w:t>US019</w:t>
            </w:r>
          </w:p>
        </w:tc>
        <w:tc>
          <w:tcPr>
            <w:tcW w:w="1421" w:type="pct"/>
          </w:tcPr>
          <w:p w14:paraId="133F1E8B" w14:textId="050F3EDD" w:rsidR="00CB146C" w:rsidRDefault="00CB146C" w:rsidP="00CB146C">
            <w:pPr>
              <w:pStyle w:val="Tabletext"/>
            </w:pPr>
            <w:r>
              <w:t>US029</w:t>
            </w:r>
          </w:p>
        </w:tc>
      </w:tr>
      <w:tr w:rsidR="00CB146C" w14:paraId="12AD400A" w14:textId="77777777" w:rsidTr="00B0766F">
        <w:tc>
          <w:tcPr>
            <w:tcW w:w="739" w:type="pct"/>
          </w:tcPr>
          <w:p w14:paraId="577AB070" w14:textId="2023B6D0" w:rsidR="00CB146C" w:rsidRPr="006D295F" w:rsidRDefault="00CB146C" w:rsidP="00CB146C">
            <w:pPr>
              <w:pStyle w:val="Tabletext"/>
              <w:rPr>
                <w:b/>
                <w:bCs/>
              </w:rPr>
            </w:pPr>
            <w:r>
              <w:rPr>
                <w:b/>
                <w:bCs/>
              </w:rPr>
              <w:t>Benefit</w:t>
            </w:r>
          </w:p>
        </w:tc>
        <w:tc>
          <w:tcPr>
            <w:tcW w:w="1420" w:type="pct"/>
          </w:tcPr>
          <w:p w14:paraId="18CF9274" w14:textId="01BE91A3" w:rsidR="00CB146C" w:rsidRDefault="00CB146C" w:rsidP="00CB146C">
            <w:pPr>
              <w:pStyle w:val="Tabletext"/>
            </w:pPr>
            <w:r>
              <w:t>$7,470</w:t>
            </w:r>
          </w:p>
        </w:tc>
        <w:tc>
          <w:tcPr>
            <w:tcW w:w="1420" w:type="pct"/>
          </w:tcPr>
          <w:p w14:paraId="6E3236D7" w14:textId="1C5F2D99" w:rsidR="00CB146C" w:rsidRDefault="00CB146C" w:rsidP="00CB146C">
            <w:pPr>
              <w:pStyle w:val="Tabletext"/>
            </w:pPr>
            <w:r>
              <w:t>$350</w:t>
            </w:r>
          </w:p>
        </w:tc>
        <w:tc>
          <w:tcPr>
            <w:tcW w:w="1421" w:type="pct"/>
          </w:tcPr>
          <w:p w14:paraId="176ED9FB" w14:textId="7BBAB4AE" w:rsidR="00CB146C" w:rsidRDefault="00CB146C" w:rsidP="00CB146C">
            <w:pPr>
              <w:pStyle w:val="Tabletext"/>
            </w:pPr>
            <w:r>
              <w:t>$7,166</w:t>
            </w:r>
          </w:p>
        </w:tc>
      </w:tr>
      <w:tr w:rsidR="00CB146C" w14:paraId="3ABFCD39" w14:textId="77777777" w:rsidTr="00B0766F">
        <w:tc>
          <w:tcPr>
            <w:tcW w:w="739" w:type="pct"/>
          </w:tcPr>
          <w:p w14:paraId="26AD1BFE" w14:textId="5F0C672C" w:rsidR="00CB146C" w:rsidRPr="006D295F" w:rsidRDefault="00CB146C" w:rsidP="00CB146C">
            <w:pPr>
              <w:pStyle w:val="Tabletext"/>
              <w:rPr>
                <w:b/>
                <w:bCs/>
              </w:rPr>
            </w:pPr>
            <w:r>
              <w:rPr>
                <w:b/>
                <w:bCs/>
              </w:rPr>
              <w:t>Description</w:t>
            </w:r>
          </w:p>
        </w:tc>
        <w:tc>
          <w:tcPr>
            <w:tcW w:w="1420" w:type="pct"/>
          </w:tcPr>
          <w:p w14:paraId="5A179A17" w14:textId="3A4592DB" w:rsidR="00CB146C" w:rsidRDefault="00CB146C" w:rsidP="00CB146C">
            <w:pPr>
              <w:pStyle w:val="Tabletext"/>
            </w:pPr>
            <w:r w:rsidRPr="0084552F">
              <w:t xml:space="preserve">Part of the </w:t>
            </w:r>
            <w:r w:rsidR="00DB41F7">
              <w:t>VSB</w:t>
            </w:r>
            <w:r w:rsidRPr="0084552F">
              <w:t xml:space="preserve"> System, VORP503 is an active implant, which is implanted into the temporal bone under the skin. The VORP 503 consists of the FMT, a conductor link, the electronics (demodulator), fixation wings and a magnet surrounded by a receiver coil.</w:t>
            </w:r>
          </w:p>
        </w:tc>
        <w:tc>
          <w:tcPr>
            <w:tcW w:w="1420" w:type="pct"/>
          </w:tcPr>
          <w:p w14:paraId="567F54BF" w14:textId="5D291A8D" w:rsidR="00CB146C" w:rsidRDefault="00CB146C" w:rsidP="00CB146C">
            <w:pPr>
              <w:pStyle w:val="Tabletext"/>
            </w:pPr>
            <w:r w:rsidRPr="00B143AF">
              <w:t xml:space="preserve">Middle ear prostheses used with the </w:t>
            </w:r>
            <w:r w:rsidR="00312C11">
              <w:t>VSB</w:t>
            </w:r>
            <w:r w:rsidRPr="00B143AF">
              <w:t xml:space="preserve"> System VORP implant. Facilitate coupling between the FMT and a vibratory structure of the middle ear.</w:t>
            </w:r>
          </w:p>
        </w:tc>
        <w:tc>
          <w:tcPr>
            <w:tcW w:w="1421" w:type="pct"/>
          </w:tcPr>
          <w:p w14:paraId="6DE30EE8" w14:textId="1B4EAB30" w:rsidR="00CB146C" w:rsidRDefault="00CB146C" w:rsidP="00CB146C">
            <w:pPr>
              <w:pStyle w:val="Tabletext"/>
            </w:pPr>
            <w:r w:rsidRPr="00264734">
              <w:t xml:space="preserve">Single Unit </w:t>
            </w:r>
            <w:r w:rsidR="00F04341">
              <w:t>AP</w:t>
            </w:r>
            <w:r w:rsidRPr="00264734">
              <w:t xml:space="preserve"> for the </w:t>
            </w:r>
            <w:r w:rsidR="00F04341">
              <w:t>VSB</w:t>
            </w:r>
            <w:r w:rsidRPr="00264734">
              <w:t xml:space="preserve"> System, worn off the ear it is held in place by magnetic attraction over the implant. Designed to function similarly as the SAMBA </w:t>
            </w:r>
            <w:r w:rsidR="00DB41F7">
              <w:t>AP</w:t>
            </w:r>
            <w:r w:rsidRPr="00264734">
              <w:t xml:space="preserve"> but with improved battery life, noise reduction, ingress protection and Intelligent Sound Adapter 2.0</w:t>
            </w:r>
            <w:r w:rsidR="00DB41F7">
              <w:t>.</w:t>
            </w:r>
          </w:p>
        </w:tc>
      </w:tr>
      <w:tr w:rsidR="00CB146C" w14:paraId="1A8C693D" w14:textId="77777777" w:rsidTr="00B0766F">
        <w:tc>
          <w:tcPr>
            <w:tcW w:w="739" w:type="pct"/>
          </w:tcPr>
          <w:p w14:paraId="6B30CFC2" w14:textId="02735F18" w:rsidR="00CB146C" w:rsidRPr="006D295F" w:rsidRDefault="00CB146C" w:rsidP="003919C9">
            <w:pPr>
              <w:pStyle w:val="Tabletext"/>
              <w:keepNext/>
              <w:rPr>
                <w:b/>
                <w:bCs/>
              </w:rPr>
            </w:pPr>
            <w:r>
              <w:rPr>
                <w:b/>
                <w:bCs/>
              </w:rPr>
              <w:t>ARTG ID</w:t>
            </w:r>
          </w:p>
        </w:tc>
        <w:tc>
          <w:tcPr>
            <w:tcW w:w="1420" w:type="pct"/>
          </w:tcPr>
          <w:p w14:paraId="579AC010" w14:textId="4F0D70CD" w:rsidR="00CB146C" w:rsidRDefault="00CB146C" w:rsidP="003919C9">
            <w:pPr>
              <w:pStyle w:val="Tabletext"/>
              <w:keepNext/>
            </w:pPr>
            <w:r>
              <w:t>389014</w:t>
            </w:r>
          </w:p>
        </w:tc>
        <w:tc>
          <w:tcPr>
            <w:tcW w:w="1420" w:type="pct"/>
          </w:tcPr>
          <w:p w14:paraId="66C709C4" w14:textId="6701D6FC" w:rsidR="00CB146C" w:rsidRDefault="00CB146C" w:rsidP="003919C9">
            <w:pPr>
              <w:pStyle w:val="Tabletext"/>
              <w:keepNext/>
            </w:pPr>
            <w:r>
              <w:t>1855</w:t>
            </w:r>
            <w:r w:rsidR="00383E65">
              <w:t>3</w:t>
            </w:r>
            <w:r>
              <w:t>3</w:t>
            </w:r>
          </w:p>
        </w:tc>
        <w:tc>
          <w:tcPr>
            <w:tcW w:w="1421" w:type="pct"/>
          </w:tcPr>
          <w:p w14:paraId="7CCE89E1" w14:textId="2A07AAF4" w:rsidR="00CB146C" w:rsidRDefault="00CB146C" w:rsidP="003919C9">
            <w:pPr>
              <w:pStyle w:val="Tabletext"/>
              <w:keepNext/>
            </w:pPr>
            <w:r>
              <w:t>353970</w:t>
            </w:r>
          </w:p>
        </w:tc>
      </w:tr>
    </w:tbl>
    <w:p w14:paraId="44AC3741" w14:textId="77777777" w:rsidR="007420C2" w:rsidRDefault="007420C2" w:rsidP="007420C2">
      <w:pPr>
        <w:pStyle w:val="Tablenotes"/>
        <w:spacing w:after="0"/>
      </w:pPr>
      <w:r>
        <w:t xml:space="preserve">AP = audio processor; ARTG = Australian Register of Therapeutic Goods; FMT = </w:t>
      </w:r>
      <w:r w:rsidRPr="00792874">
        <w:t>floating</w:t>
      </w:r>
      <w:r>
        <w:t xml:space="preserve"> mass transducer; VSB = Vibrant Soundbridge.</w:t>
      </w:r>
    </w:p>
    <w:p w14:paraId="08D8C9DB" w14:textId="53ED32B7" w:rsidR="009F1DA2" w:rsidRDefault="009F1DA2" w:rsidP="007420C2">
      <w:pPr>
        <w:pStyle w:val="Tablenotes"/>
      </w:pPr>
      <w:r>
        <w:t xml:space="preserve">Source: </w:t>
      </w:r>
      <w:hyperlink r:id="rId22" w:tooltip="Hyperlink to the PL downloads on the Department of Health, Disability and Ageing website" w:history="1">
        <w:r w:rsidR="00A4585C" w:rsidRPr="00BD6084">
          <w:rPr>
            <w:rStyle w:val="Hyperlink"/>
            <w:rFonts w:ascii="Arial Narrow" w:hAnsi="Arial Narrow" w:cs="Arial"/>
          </w:rPr>
          <w:t>Prescribed List</w:t>
        </w:r>
        <w:r w:rsidR="00D229EB" w:rsidRPr="00BD6084">
          <w:rPr>
            <w:rStyle w:val="Hyperlink"/>
            <w:rFonts w:ascii="Arial Narrow" w:hAnsi="Arial Narrow" w:cs="Arial"/>
          </w:rPr>
          <w:t xml:space="preserve"> of Medical Devices and Human Tissue Products</w:t>
        </w:r>
      </w:hyperlink>
      <w:r w:rsidR="00F04341">
        <w:t>, Part A</w:t>
      </w:r>
      <w:r w:rsidR="00A4585C">
        <w:t xml:space="preserve">, </w:t>
      </w:r>
      <w:r w:rsidR="000A1EBE">
        <w:t xml:space="preserve">effective from 1 </w:t>
      </w:r>
      <w:r w:rsidR="00001820">
        <w:t>July</w:t>
      </w:r>
      <w:r w:rsidR="00A4585C">
        <w:t xml:space="preserve"> 2025.</w:t>
      </w:r>
    </w:p>
    <w:p w14:paraId="29C18BB9" w14:textId="77777777" w:rsidR="001D3037" w:rsidRDefault="001D3037" w:rsidP="001D3037">
      <w:r>
        <w:t>According to the application, batteries for the audio processor cost approximately $56/year (based on an estimated 8 cards of batteries at $7/card) and are an out-of-pocket expense for patients.</w:t>
      </w:r>
    </w:p>
    <w:p w14:paraId="38A61CB1" w14:textId="1A172DB1" w:rsidR="009F18ED" w:rsidRDefault="00AE296A" w:rsidP="000573EB">
      <w:r>
        <w:t xml:space="preserve">Individuals </w:t>
      </w:r>
      <w:r w:rsidR="002D702D">
        <w:t>under 26 years of age</w:t>
      </w:r>
      <w:r w:rsidR="00554411">
        <w:t>, as well as</w:t>
      </w:r>
      <w:r w:rsidR="002D702D">
        <w:t xml:space="preserve"> </w:t>
      </w:r>
      <w:r w:rsidR="00554411">
        <w:t>other</w:t>
      </w:r>
      <w:r w:rsidR="00212C97">
        <w:t xml:space="preserve"> </w:t>
      </w:r>
      <w:r w:rsidR="00554411">
        <w:t>eligible</w:t>
      </w:r>
      <w:r w:rsidR="00A115CD">
        <w:t xml:space="preserve"> HSP</w:t>
      </w:r>
      <w:r w:rsidR="003F0337">
        <w:t xml:space="preserve"> </w:t>
      </w:r>
      <w:r w:rsidR="00554411">
        <w:t xml:space="preserve">participants </w:t>
      </w:r>
      <w:r w:rsidR="00344862">
        <w:t>(refer to ‘</w:t>
      </w:r>
      <w:r w:rsidR="00E42DFD">
        <w:fldChar w:fldCharType="begin"/>
      </w:r>
      <w:r w:rsidR="00E42DFD">
        <w:instrText xml:space="preserve"> REF _Ref203399622 \h </w:instrText>
      </w:r>
      <w:r w:rsidR="00E42DFD">
        <w:fldChar w:fldCharType="separate"/>
      </w:r>
      <w:r w:rsidR="00A42764" w:rsidRPr="00713728">
        <w:t>Population</w:t>
      </w:r>
      <w:r w:rsidR="00E42DFD">
        <w:fldChar w:fldCharType="end"/>
      </w:r>
      <w:r w:rsidR="00344862">
        <w:t>’ section)</w:t>
      </w:r>
      <w:r w:rsidR="00554411">
        <w:t>,</w:t>
      </w:r>
      <w:r w:rsidR="00E42DFD">
        <w:t xml:space="preserve"> </w:t>
      </w:r>
      <w:r w:rsidR="00A115CD">
        <w:t>may</w:t>
      </w:r>
      <w:r w:rsidR="00A115CD" w:rsidRPr="00CD35B9">
        <w:t xml:space="preserve"> receive </w:t>
      </w:r>
      <w:r w:rsidR="00A115CD">
        <w:t xml:space="preserve">financial support for </w:t>
      </w:r>
      <w:r w:rsidR="00D41F86">
        <w:t xml:space="preserve">audio </w:t>
      </w:r>
      <w:r w:rsidR="002C68E0">
        <w:t xml:space="preserve">processor </w:t>
      </w:r>
      <w:r w:rsidR="00A115CD" w:rsidRPr="00CD35B9">
        <w:t>maintenance</w:t>
      </w:r>
      <w:r w:rsidR="004F7D7B">
        <w:t xml:space="preserve"> – </w:t>
      </w:r>
      <w:r w:rsidR="002C68E0">
        <w:t xml:space="preserve">including </w:t>
      </w:r>
      <w:r w:rsidR="004F7D7B">
        <w:t xml:space="preserve">battery </w:t>
      </w:r>
      <w:r w:rsidR="002C68E0">
        <w:t>replacement</w:t>
      </w:r>
      <w:r w:rsidR="00295D22">
        <w:t>,</w:t>
      </w:r>
      <w:r w:rsidR="00A115CD">
        <w:t xml:space="preserve"> </w:t>
      </w:r>
      <w:r w:rsidR="00295D22">
        <w:t xml:space="preserve">repairs and </w:t>
      </w:r>
      <w:r w:rsidR="00A115CD">
        <w:t xml:space="preserve">upgrades </w:t>
      </w:r>
      <w:r w:rsidR="004F7D7B">
        <w:t xml:space="preserve">– </w:t>
      </w:r>
      <w:r w:rsidR="00A115CD">
        <w:t>through</w:t>
      </w:r>
      <w:r w:rsidR="00A115CD" w:rsidRPr="00CD35B9">
        <w:t xml:space="preserve"> the </w:t>
      </w:r>
      <w:r w:rsidR="00A115CD">
        <w:t xml:space="preserve">program’s </w:t>
      </w:r>
      <w:r w:rsidR="004E28C6">
        <w:t>CSO</w:t>
      </w:r>
      <w:r w:rsidR="00A115CD">
        <w:t xml:space="preserve"> </w:t>
      </w:r>
      <w:r w:rsidR="00A115CD" w:rsidRPr="00CD35B9">
        <w:t>component</w:t>
      </w:r>
      <w:r w:rsidR="00A115CD">
        <w:t>.</w:t>
      </w:r>
      <w:r w:rsidR="00B60A9C">
        <w:rPr>
          <w:rStyle w:val="FootnoteReference"/>
        </w:rPr>
        <w:footnoteReference w:id="12"/>
      </w:r>
      <w:r>
        <w:t xml:space="preserve"> </w:t>
      </w:r>
      <w:r w:rsidR="000573EB">
        <w:t xml:space="preserve">The </w:t>
      </w:r>
      <w:r w:rsidR="00F67D3D">
        <w:t xml:space="preserve">cost of </w:t>
      </w:r>
      <w:r w:rsidR="000573EB">
        <w:t xml:space="preserve">surgery and implanted components </w:t>
      </w:r>
      <w:r w:rsidR="00813E39">
        <w:t>is not covered</w:t>
      </w:r>
      <w:r w:rsidR="000573EB" w:rsidRPr="00CD35B9">
        <w:t xml:space="preserve"> under the </w:t>
      </w:r>
      <w:r w:rsidR="006C0470">
        <w:t>program</w:t>
      </w:r>
      <w:r w:rsidR="001A2475">
        <w:t>.</w:t>
      </w:r>
    </w:p>
    <w:p w14:paraId="665B0675" w14:textId="5FDFCB88" w:rsidR="007A66C8" w:rsidRDefault="007A66C8" w:rsidP="00713728">
      <w:pPr>
        <w:pStyle w:val="Heading3"/>
      </w:pPr>
      <w:r w:rsidRPr="008F1532">
        <w:t>Comparator</w:t>
      </w:r>
      <w:r w:rsidR="007D6B83">
        <w:t>(</w:t>
      </w:r>
      <w:r w:rsidR="008F1532">
        <w:t>s</w:t>
      </w:r>
      <w:r w:rsidR="007D6B83">
        <w:t>)</w:t>
      </w:r>
    </w:p>
    <w:p w14:paraId="33E0AFE8" w14:textId="064EAF81" w:rsidR="008A5A56" w:rsidRDefault="007100DC" w:rsidP="007100DC">
      <w:r w:rsidRPr="00F0564B">
        <w:t xml:space="preserve">The application </w:t>
      </w:r>
      <w:r w:rsidR="005E7222" w:rsidRPr="00F0564B">
        <w:t xml:space="preserve">nominated </w:t>
      </w:r>
      <w:r w:rsidR="008A5A56" w:rsidRPr="00F0564B">
        <w:t xml:space="preserve">implantation of an </w:t>
      </w:r>
      <w:r w:rsidR="00115DB6" w:rsidRPr="00F0564B">
        <w:t xml:space="preserve">active transcutaneous </w:t>
      </w:r>
      <w:r w:rsidR="00220003">
        <w:t>BCI</w:t>
      </w:r>
      <w:r w:rsidR="003273E6" w:rsidRPr="00F0564B">
        <w:t xml:space="preserve"> as the comparator</w:t>
      </w:r>
      <w:r w:rsidR="00696BF0" w:rsidRPr="00F0564B">
        <w:t xml:space="preserve"> for the proposed </w:t>
      </w:r>
      <w:r w:rsidR="008A5A56" w:rsidRPr="00F0564B">
        <w:t>intervention</w:t>
      </w:r>
      <w:r w:rsidR="00AD2CD1" w:rsidRPr="00F0564B">
        <w:t>.</w:t>
      </w:r>
      <w:r w:rsidR="008E1520">
        <w:t xml:space="preserve"> </w:t>
      </w:r>
      <w:r w:rsidR="005C53C6">
        <w:t>AMEI is expected to replace some use of BCIs</w:t>
      </w:r>
      <w:r w:rsidR="00491EF5">
        <w:t xml:space="preserve"> and will also </w:t>
      </w:r>
      <w:r w:rsidR="00A31A33">
        <w:t>provide</w:t>
      </w:r>
      <w:r w:rsidR="00491EF5">
        <w:t xml:space="preserve"> an option </w:t>
      </w:r>
      <w:r w:rsidR="00006D95">
        <w:t xml:space="preserve">for </w:t>
      </w:r>
      <w:r w:rsidR="00457A67">
        <w:t xml:space="preserve">individuals </w:t>
      </w:r>
      <w:r w:rsidR="00006D95">
        <w:t xml:space="preserve">in whom </w:t>
      </w:r>
      <w:r w:rsidR="00491EF5">
        <w:t>implantation of a BCI is not feasible due to anatomical reasons or skin quality.</w:t>
      </w:r>
    </w:p>
    <w:p w14:paraId="2FD50A55" w14:textId="31722CA9" w:rsidR="00D07BA4" w:rsidRDefault="00D07BA4" w:rsidP="00D07BA4">
      <w:r>
        <w:t>BC</w:t>
      </w:r>
      <w:r w:rsidR="0053006D">
        <w:t>I</w:t>
      </w:r>
      <w:r>
        <w:t xml:space="preserve">s represent the current standard of care for individuals with mixed </w:t>
      </w:r>
      <w:r w:rsidR="008B340D">
        <w:t xml:space="preserve">or conductive </w:t>
      </w:r>
      <w:r>
        <w:t xml:space="preserve">hearing loss </w:t>
      </w:r>
      <w:r w:rsidR="00A80C46" w:rsidRPr="00A80C46">
        <w:t>who are not appropriate candidates for surgical repair or reconstruction of the middle ear</w:t>
      </w:r>
      <w:r w:rsidR="00B8344F">
        <w:t>,</w:t>
      </w:r>
      <w:r w:rsidR="00A80C46" w:rsidRPr="00A80C46">
        <w:t xml:space="preserve"> </w:t>
      </w:r>
      <w:r w:rsidR="00B8122F">
        <w:t xml:space="preserve">are not appropriate candidates for a cochlear implant, </w:t>
      </w:r>
      <w:r w:rsidR="00A80C46" w:rsidRPr="00A80C46">
        <w:t xml:space="preserve">and are unable to use conventional air conduction hearing aids due to </w:t>
      </w:r>
      <w:r w:rsidR="00A80C46" w:rsidRPr="00A80C46">
        <w:lastRenderedPageBreak/>
        <w:t xml:space="preserve">medical </w:t>
      </w:r>
      <w:r w:rsidR="00AD5736">
        <w:t>reasons</w:t>
      </w:r>
      <w:r>
        <w:t xml:space="preserve">. In this population, </w:t>
      </w:r>
      <w:r w:rsidR="00992025">
        <w:t>BC</w:t>
      </w:r>
      <w:r w:rsidR="005E1114">
        <w:t>I</w:t>
      </w:r>
      <w:r w:rsidR="00992025">
        <w:t xml:space="preserve">s </w:t>
      </w:r>
      <w:r w:rsidR="002A5020" w:rsidRPr="002A5020">
        <w:t>function by transmitting sound vibrations directly to the cochlea via bone conduction, thereby bypassing the external and middle ear.</w:t>
      </w:r>
    </w:p>
    <w:p w14:paraId="6474D9DA" w14:textId="7B94DAD7" w:rsidR="00654D81" w:rsidRDefault="00C91686" w:rsidP="00D07BA4">
      <w:r>
        <w:t xml:space="preserve">Individuals who are </w:t>
      </w:r>
      <w:r w:rsidR="00DE46C1">
        <w:t>candidates for c</w:t>
      </w:r>
      <w:r w:rsidR="00117F86">
        <w:t xml:space="preserve">ochlear implants are </w:t>
      </w:r>
      <w:r w:rsidR="00DE46C1">
        <w:t xml:space="preserve">excluded from the population. </w:t>
      </w:r>
      <w:r w:rsidR="00F819EE">
        <w:t xml:space="preserve">Cochlear implants </w:t>
      </w:r>
      <w:r w:rsidR="00744A14">
        <w:t xml:space="preserve">are intended for individuals with severe to profound SNHL </w:t>
      </w:r>
      <w:r w:rsidR="00BF7EB1">
        <w:t>(</w:t>
      </w:r>
      <w:r w:rsidR="00FD169B">
        <w:t xml:space="preserve">typically </w:t>
      </w:r>
      <w:r w:rsidR="00497AA2">
        <w:t xml:space="preserve">with bone conduction thresholds </w:t>
      </w:r>
      <w:r w:rsidR="00BF7EB1">
        <w:t xml:space="preserve">&gt;70 </w:t>
      </w:r>
      <w:r w:rsidR="0024125E">
        <w:t>dB </w:t>
      </w:r>
      <w:r w:rsidR="00BF7EB1">
        <w:t>HL</w:t>
      </w:r>
      <w:r w:rsidR="0024125E">
        <w:t xml:space="preserve">) </w:t>
      </w:r>
      <w:r w:rsidR="00744A14">
        <w:t xml:space="preserve">and are </w:t>
      </w:r>
      <w:r w:rsidR="00744A14" w:rsidRPr="00D63F67">
        <w:t xml:space="preserve">not </w:t>
      </w:r>
      <w:r w:rsidR="00744A14">
        <w:t xml:space="preserve">indicated </w:t>
      </w:r>
      <w:r w:rsidR="00744A14" w:rsidRPr="00D63F67">
        <w:t xml:space="preserve">for use in </w:t>
      </w:r>
      <w:r w:rsidR="00EB07E6">
        <w:t>those</w:t>
      </w:r>
      <w:r w:rsidR="00744A14" w:rsidRPr="00D63F67">
        <w:t xml:space="preserve"> with </w:t>
      </w:r>
      <w:r w:rsidR="00744A14">
        <w:t>normal or near-normal</w:t>
      </w:r>
      <w:r w:rsidR="00744A14" w:rsidRPr="00D63F67">
        <w:t xml:space="preserve"> cochlear function</w:t>
      </w:r>
      <w:r w:rsidR="00744A14">
        <w:t xml:space="preserve">. </w:t>
      </w:r>
      <w:r w:rsidR="00C07E56">
        <w:t>I</w:t>
      </w:r>
      <w:r w:rsidR="00D63F67" w:rsidRPr="00D63F67">
        <w:t xml:space="preserve">mplantation </w:t>
      </w:r>
      <w:r w:rsidR="009E73D9">
        <w:t>involves the</w:t>
      </w:r>
      <w:r w:rsidR="00D63F67" w:rsidRPr="00D63F67">
        <w:t xml:space="preserve"> surgical </w:t>
      </w:r>
      <w:r w:rsidR="00C07E56">
        <w:t>insertion of an electrode array into the cochlea</w:t>
      </w:r>
      <w:r w:rsidR="00A3728A">
        <w:t xml:space="preserve">, </w:t>
      </w:r>
      <w:r w:rsidR="009E73D9">
        <w:t>a procedure that</w:t>
      </w:r>
      <w:r w:rsidR="00A3728A">
        <w:t xml:space="preserve"> typically results in the loss of any </w:t>
      </w:r>
      <w:r w:rsidR="009E73D9">
        <w:t>residual</w:t>
      </w:r>
      <w:r w:rsidR="00A3728A">
        <w:t xml:space="preserve"> natural </w:t>
      </w:r>
      <w:r w:rsidR="009E73D9">
        <w:t>hearing</w:t>
      </w:r>
      <w:r w:rsidR="00A3728A">
        <w:t>. This is</w:t>
      </w:r>
      <w:r w:rsidR="00D63F67" w:rsidRPr="00D63F67">
        <w:t xml:space="preserve"> inconsistent with the </w:t>
      </w:r>
      <w:r w:rsidR="00A3728A">
        <w:t>clinical objective</w:t>
      </w:r>
      <w:r w:rsidR="00D63F67" w:rsidRPr="00D63F67">
        <w:t xml:space="preserve"> of preserving </w:t>
      </w:r>
      <w:r w:rsidR="00BF76C6">
        <w:t xml:space="preserve">natural </w:t>
      </w:r>
      <w:r w:rsidR="009E73D9">
        <w:t>cochlear function</w:t>
      </w:r>
      <w:r w:rsidR="00D63F67" w:rsidRPr="00D63F67">
        <w:t xml:space="preserve"> </w:t>
      </w:r>
      <w:r w:rsidR="00A3728A">
        <w:t xml:space="preserve">in patients </w:t>
      </w:r>
      <w:r w:rsidR="00656ED9">
        <w:t>for whom maintenance of residual hearing is a priority</w:t>
      </w:r>
      <w:r w:rsidR="00D63F67" w:rsidRPr="00D63F67">
        <w:t>.</w:t>
      </w:r>
    </w:p>
    <w:p w14:paraId="20F639E5" w14:textId="2B07AC6E" w:rsidR="00D441DE" w:rsidRPr="00D441DE" w:rsidRDefault="00D441DE" w:rsidP="00D441DE">
      <w:pPr>
        <w:rPr>
          <w:i/>
          <w:iCs/>
        </w:rPr>
      </w:pPr>
      <w:r w:rsidRPr="003956A3">
        <w:rPr>
          <w:i/>
          <w:iCs/>
        </w:rPr>
        <w:t>PASC advised that active BCIs should be the main comparator for the population of individuals with mild to severe MHL or CHL who are not candidates for repair or reconstruction, and who cannot use conventional air conduction hearing aids, noting the applicant’s clinical expert advice that passive</w:t>
      </w:r>
      <w:r>
        <w:rPr>
          <w:i/>
          <w:iCs/>
        </w:rPr>
        <w:t xml:space="preserve"> </w:t>
      </w:r>
      <w:r w:rsidRPr="00D441DE">
        <w:rPr>
          <w:i/>
          <w:iCs/>
        </w:rPr>
        <w:t>devices are being phased out and active BCIs are the current standard of care (provided their bone-conduction thresholds fall within device fitting ranges and anatomy permits).</w:t>
      </w:r>
    </w:p>
    <w:p w14:paraId="381414E1" w14:textId="020D7EC9" w:rsidR="00D441DE" w:rsidRPr="003956A3" w:rsidRDefault="00D441DE" w:rsidP="00D441DE">
      <w:pPr>
        <w:rPr>
          <w:i/>
          <w:iCs/>
        </w:rPr>
      </w:pPr>
      <w:r w:rsidRPr="00D441DE">
        <w:rPr>
          <w:i/>
          <w:iCs/>
        </w:rPr>
        <w:t>PASC advised that the assessment should also include ‘no further intervention’ (untreated hearing loss) as a comparator for individuals who are contraindicated for,</w:t>
      </w:r>
      <w:r w:rsidR="005E0811">
        <w:rPr>
          <w:i/>
          <w:iCs/>
        </w:rPr>
        <w:t xml:space="preserve"> or</w:t>
      </w:r>
      <w:r w:rsidRPr="00D441DE">
        <w:rPr>
          <w:i/>
          <w:iCs/>
        </w:rPr>
        <w:t xml:space="preserve"> unsuitable for, active BCI implantation. In such </w:t>
      </w:r>
      <w:r w:rsidR="00AC4EE3">
        <w:rPr>
          <w:i/>
          <w:iCs/>
        </w:rPr>
        <w:t>individuals</w:t>
      </w:r>
      <w:r w:rsidRPr="00D441DE">
        <w:rPr>
          <w:i/>
          <w:iCs/>
        </w:rPr>
        <w:t>, AMEI may represent an alternative treatment option where no other therapeutic options are available.</w:t>
      </w:r>
    </w:p>
    <w:p w14:paraId="79EA7860" w14:textId="53D1DB66" w:rsidR="00A96953" w:rsidRDefault="00B11580" w:rsidP="00B11580">
      <w:pPr>
        <w:pStyle w:val="Heading4"/>
      </w:pPr>
      <w:r>
        <w:t>Bone conduction hearing devices</w:t>
      </w:r>
      <w:r w:rsidR="006774F4">
        <w:t xml:space="preserve"> available in Australia</w:t>
      </w:r>
    </w:p>
    <w:p w14:paraId="65579055" w14:textId="4CB3C237" w:rsidR="00043D37" w:rsidRDefault="00A96953" w:rsidP="00D07BA4">
      <w:r w:rsidRPr="00CE495E">
        <w:t xml:space="preserve">The application </w:t>
      </w:r>
      <w:r w:rsidR="00060A08">
        <w:t>stated that</w:t>
      </w:r>
      <w:r w:rsidR="00A27598">
        <w:t>, following the introduction of</w:t>
      </w:r>
      <w:r>
        <w:t xml:space="preserve"> active transcutaneous BCIs in Australia, there has been</w:t>
      </w:r>
      <w:r w:rsidRPr="00CE495E">
        <w:t xml:space="preserve"> a general </w:t>
      </w:r>
      <w:r w:rsidR="00A27598">
        <w:t xml:space="preserve">shift </w:t>
      </w:r>
      <w:r w:rsidRPr="00CE495E">
        <w:t>away from use of passive BC</w:t>
      </w:r>
      <w:r w:rsidR="0046319E">
        <w:t>I</w:t>
      </w:r>
      <w:r w:rsidR="006774F4">
        <w:t>s</w:t>
      </w:r>
      <w:r w:rsidR="00043D37">
        <w:t xml:space="preserve">, </w:t>
      </w:r>
      <w:r w:rsidR="00A27598">
        <w:t xml:space="preserve">including </w:t>
      </w:r>
      <w:r w:rsidR="00A601E8" w:rsidRPr="00A601E8">
        <w:t xml:space="preserve">both percutaneous and transcutaneous </w:t>
      </w:r>
      <w:r w:rsidR="00A27598">
        <w:t>types</w:t>
      </w:r>
      <w:r w:rsidR="00A601E8" w:rsidRPr="00A601E8">
        <w:t>.</w:t>
      </w:r>
    </w:p>
    <w:p w14:paraId="1247F344" w14:textId="23A0DA3C" w:rsidR="00A601E8" w:rsidRDefault="00A601E8" w:rsidP="00D07BA4">
      <w:r w:rsidRPr="00A601E8">
        <w:t>P</w:t>
      </w:r>
      <w:r w:rsidR="00187994">
        <w:t>assive p</w:t>
      </w:r>
      <w:r w:rsidRPr="00A601E8">
        <w:t xml:space="preserve">ercutaneous </w:t>
      </w:r>
      <w:r w:rsidR="00187994">
        <w:t>BC</w:t>
      </w:r>
      <w:r w:rsidR="00501629">
        <w:t>I</w:t>
      </w:r>
      <w:r w:rsidR="00187994">
        <w:t>s</w:t>
      </w:r>
      <w:r w:rsidR="00FE44E8">
        <w:t xml:space="preserve"> </w:t>
      </w:r>
      <w:r w:rsidRPr="00A601E8">
        <w:t>provide direct mechanical coupling between the external sound processor and the skull, resulting in efficient transmission</w:t>
      </w:r>
      <w:r w:rsidR="00B24040">
        <w:t xml:space="preserve"> of the sound directly to the inner ear</w:t>
      </w:r>
      <w:r w:rsidR="00165D28">
        <w:t>,</w:t>
      </w:r>
      <w:r w:rsidRPr="00A601E8">
        <w:t xml:space="preserve"> </w:t>
      </w:r>
      <w:r w:rsidR="00B24040">
        <w:t xml:space="preserve">avoiding skin and </w:t>
      </w:r>
      <w:r w:rsidR="008A4E4C">
        <w:t>subcutaneous attenuation of the vibration</w:t>
      </w:r>
      <w:r w:rsidRPr="00A601E8">
        <w:t>. However, they are associated with adverse skin reactions, risk of infection, and the need for ongoing site hygiene and maintenance (</w:t>
      </w:r>
      <w:r w:rsidR="0050652C">
        <w:t xml:space="preserve">Bruschini et al. 2024; </w:t>
      </w:r>
      <w:r w:rsidR="003E0C86">
        <w:t>Koro et al. 2025</w:t>
      </w:r>
      <w:r w:rsidRPr="00A601E8">
        <w:t>), which may impact long-term adherence and patient satisfaction.</w:t>
      </w:r>
    </w:p>
    <w:p w14:paraId="3703C7F9" w14:textId="0A9884D0" w:rsidR="004967D7" w:rsidRDefault="00187994" w:rsidP="00DC63BC">
      <w:r>
        <w:t>Passive t</w:t>
      </w:r>
      <w:r w:rsidR="00DC63BC">
        <w:t xml:space="preserve">ranscutaneous systems offer an alternative approach that avoids skin penetration by using magnetic coupling between the implanted internal magnet and the external processor. These systems improve cosmetic outcomes and reduce the incidence of skin complications, but the </w:t>
      </w:r>
      <w:r w:rsidR="00EC1BC0">
        <w:t xml:space="preserve">force </w:t>
      </w:r>
      <w:r w:rsidR="00E43173">
        <w:t xml:space="preserve">of the magnets can cause pain and </w:t>
      </w:r>
      <w:r w:rsidR="00107029">
        <w:t xml:space="preserve">the </w:t>
      </w:r>
      <w:r w:rsidR="00DC63BC">
        <w:t>presence of skin and soft tissue between the external processor and the bone leads to a degree of vibratory attenuation</w:t>
      </w:r>
      <w:r w:rsidR="00107029">
        <w:t xml:space="preserve"> compare</w:t>
      </w:r>
      <w:r w:rsidR="00F76DC6">
        <w:t>d</w:t>
      </w:r>
      <w:r w:rsidR="00107029">
        <w:t xml:space="preserve"> with passive BC</w:t>
      </w:r>
      <w:r w:rsidR="00501629">
        <w:t>I</w:t>
      </w:r>
      <w:r w:rsidR="00107029">
        <w:t>s</w:t>
      </w:r>
      <w:r w:rsidR="00D3682F">
        <w:t xml:space="preserve"> (Koro et al. 2025)</w:t>
      </w:r>
      <w:r w:rsidR="00DC63BC">
        <w:t xml:space="preserve">. </w:t>
      </w:r>
    </w:p>
    <w:p w14:paraId="56296259" w14:textId="13AFA3A9" w:rsidR="00DC63BC" w:rsidRDefault="00DC63BC" w:rsidP="00DC63BC">
      <w:r>
        <w:t xml:space="preserve">Non-surgical </w:t>
      </w:r>
      <w:r w:rsidR="00AF5B1C">
        <w:t xml:space="preserve">passive </w:t>
      </w:r>
      <w:r w:rsidR="003A43BC">
        <w:t>bone conduction hearing devices (</w:t>
      </w:r>
      <w:r w:rsidR="005F236C">
        <w:t>BCHD</w:t>
      </w:r>
      <w:r w:rsidR="00047D14">
        <w:t>s</w:t>
      </w:r>
      <w:r w:rsidR="003A43BC">
        <w:t>)</w:t>
      </w:r>
      <w:r w:rsidR="00047D14" w:rsidRPr="00047D14">
        <w:t xml:space="preserve">, such as those worn on a headband (softband) or adhesive adapter, are typically used in younger children or in </w:t>
      </w:r>
      <w:r w:rsidR="00457A67">
        <w:t>individual</w:t>
      </w:r>
      <w:r w:rsidR="00457A67" w:rsidRPr="00047D14">
        <w:t xml:space="preserve">s </w:t>
      </w:r>
      <w:r w:rsidR="00047D14" w:rsidRPr="00047D14">
        <w:t>for whom surgery is contraindicated. Although these options offer a non-invasive means of amplification, they are often associated with discomfort, cosmetic concerns, and limited output, making them less suitable for long-term use in older children and adults.</w:t>
      </w:r>
    </w:p>
    <w:p w14:paraId="727319E5" w14:textId="26B25ABF" w:rsidR="006B1A8E" w:rsidRDefault="001E1FB6" w:rsidP="006B1A8E">
      <w:r w:rsidRPr="001E1FB6">
        <w:t>In contrast, a</w:t>
      </w:r>
      <w:r w:rsidR="006B1A8E" w:rsidRPr="001E1FB6">
        <w:t>ctive BC</w:t>
      </w:r>
      <w:r w:rsidR="00501629">
        <w:t>I</w:t>
      </w:r>
      <w:r w:rsidR="006B1A8E" w:rsidRPr="001E1FB6">
        <w:t>s</w:t>
      </w:r>
      <w:r w:rsidR="006B1A8E">
        <w:t xml:space="preserve"> </w:t>
      </w:r>
      <w:r w:rsidR="0054040C" w:rsidRPr="0054040C">
        <w:t>use an implanted transducer to deliver vibratory stimulation directly to the skull in response to input from an external sound processor. These systems preserve skin integrity and avoid the soft tissue attenuation seen in passive transcutaneous devices. Sound is captured by the external processor, converted to digital signals, and transmitted through the skin to the implanted receiver, which then generates mechanical vibrations via electromagnetic (e.g. MED-EL Bonebridge</w:t>
      </w:r>
      <w:r w:rsidR="00C227BB">
        <w:t xml:space="preserve"> System</w:t>
      </w:r>
      <w:r w:rsidR="0054040C" w:rsidRPr="0054040C">
        <w:t xml:space="preserve">) or </w:t>
      </w:r>
      <w:r w:rsidR="0054040C" w:rsidRPr="0054040C">
        <w:lastRenderedPageBreak/>
        <w:t>piezoelectric (e.g. Cochlear Osia</w:t>
      </w:r>
      <w:r w:rsidR="00C227BB">
        <w:t xml:space="preserve"> System</w:t>
      </w:r>
      <w:r w:rsidR="0054040C" w:rsidRPr="0054040C">
        <w:t>) stimulation. As vibration originates within the implant, signal loss through soft tissue is minimised, allowing greater efficiency</w:t>
      </w:r>
      <w:r w:rsidR="00E643D9">
        <w:t xml:space="preserve"> </w:t>
      </w:r>
      <w:r w:rsidR="0054040C" w:rsidRPr="0054040C">
        <w:t>and enabling the use of lower magnetic force to reduce skin-related complications.</w:t>
      </w:r>
    </w:p>
    <w:p w14:paraId="1A82604B" w14:textId="6D4243A6" w:rsidR="003D4FB7" w:rsidRDefault="00DE0BCC" w:rsidP="00DC63BC">
      <w:r>
        <w:fldChar w:fldCharType="begin"/>
      </w:r>
      <w:r>
        <w:instrText xml:space="preserve"> REF _Ref202447857 \h </w:instrText>
      </w:r>
      <w:r>
        <w:fldChar w:fldCharType="separate"/>
      </w:r>
      <w:r w:rsidR="00A42764" w:rsidRPr="00AD26D1">
        <w:t xml:space="preserve">Table </w:t>
      </w:r>
      <w:r w:rsidR="00A42764">
        <w:rPr>
          <w:noProof/>
        </w:rPr>
        <w:t>7</w:t>
      </w:r>
      <w:r>
        <w:fldChar w:fldCharType="end"/>
      </w:r>
      <w:r>
        <w:t xml:space="preserve"> </w:t>
      </w:r>
      <w:r w:rsidR="003D4FB7">
        <w:t xml:space="preserve">provides </w:t>
      </w:r>
      <w:r w:rsidR="002D6EAA">
        <w:t xml:space="preserve">a comparison </w:t>
      </w:r>
      <w:r w:rsidR="003D4FB7">
        <w:t xml:space="preserve">of </w:t>
      </w:r>
      <w:r w:rsidR="00640B1B">
        <w:t xml:space="preserve">different </w:t>
      </w:r>
      <w:r w:rsidR="00CF2694">
        <w:t>BCHD</w:t>
      </w:r>
      <w:r w:rsidR="00640B1B">
        <w:t xml:space="preserve"> systems available </w:t>
      </w:r>
      <w:r w:rsidR="002D6EAA">
        <w:t>in Australia</w:t>
      </w:r>
      <w:r w:rsidR="00CF2694">
        <w:t>.</w:t>
      </w:r>
      <w:r w:rsidR="006C20C8">
        <w:t xml:space="preserve"> </w:t>
      </w:r>
      <w:r w:rsidR="006C45A7" w:rsidRPr="00CE495E">
        <w:t xml:space="preserve">The application specifically nominated </w:t>
      </w:r>
      <w:r w:rsidR="00B458BC">
        <w:t xml:space="preserve">active </w:t>
      </w:r>
      <w:r w:rsidR="0078212A">
        <w:t xml:space="preserve">BCIs – </w:t>
      </w:r>
      <w:r w:rsidR="006C45A7" w:rsidRPr="00CE495E">
        <w:t>the Bone</w:t>
      </w:r>
      <w:r w:rsidR="006C45A7">
        <w:t>b</w:t>
      </w:r>
      <w:r w:rsidR="006C45A7" w:rsidRPr="00CE495E">
        <w:t xml:space="preserve">ridge System </w:t>
      </w:r>
      <w:r w:rsidR="006C45A7">
        <w:t xml:space="preserve">(MED-EL) </w:t>
      </w:r>
      <w:r w:rsidR="006C45A7" w:rsidRPr="00CE495E">
        <w:t xml:space="preserve">and the Osia System </w:t>
      </w:r>
      <w:r w:rsidR="006C45A7">
        <w:t xml:space="preserve">(Cochlear) </w:t>
      </w:r>
      <w:r w:rsidR="0078212A">
        <w:t xml:space="preserve">– </w:t>
      </w:r>
      <w:r w:rsidR="006C45A7" w:rsidRPr="00CE495E">
        <w:t xml:space="preserve">as </w:t>
      </w:r>
      <w:r w:rsidR="006C45A7">
        <w:t>direct</w:t>
      </w:r>
      <w:r w:rsidR="006C45A7" w:rsidRPr="00CE495E">
        <w:t xml:space="preserve"> comparators. </w:t>
      </w:r>
      <w:r w:rsidR="00135C31">
        <w:t>The</w:t>
      </w:r>
      <w:r w:rsidR="00C26CDB">
        <w:t xml:space="preserve"> </w:t>
      </w:r>
      <w:r w:rsidR="00436BD8">
        <w:t xml:space="preserve">bone conduction </w:t>
      </w:r>
      <w:r w:rsidR="00B458BC">
        <w:t>fitting range</w:t>
      </w:r>
      <w:r w:rsidR="00801470">
        <w:t xml:space="preserve"> </w:t>
      </w:r>
      <w:r w:rsidR="00135C31">
        <w:t xml:space="preserve">for </w:t>
      </w:r>
      <w:r w:rsidR="0078212A">
        <w:t xml:space="preserve">the </w:t>
      </w:r>
      <w:r w:rsidR="00754EA6">
        <w:t xml:space="preserve">Bonebridge </w:t>
      </w:r>
      <w:r w:rsidR="00352BD5">
        <w:t xml:space="preserve">System </w:t>
      </w:r>
      <w:r w:rsidR="0074636A">
        <w:t>is up to 45 db</w:t>
      </w:r>
      <w:r w:rsidR="003D3B62">
        <w:t> </w:t>
      </w:r>
      <w:r w:rsidR="0074636A">
        <w:t>HL</w:t>
      </w:r>
      <w:r w:rsidR="00540102">
        <w:t xml:space="preserve">, while </w:t>
      </w:r>
      <w:r w:rsidR="0074636A">
        <w:t xml:space="preserve">the </w:t>
      </w:r>
      <w:r w:rsidR="00754EA6">
        <w:t>Osia</w:t>
      </w:r>
      <w:r w:rsidR="0078212A">
        <w:t xml:space="preserve"> </w:t>
      </w:r>
      <w:r w:rsidR="003D3B62">
        <w:t>S</w:t>
      </w:r>
      <w:r w:rsidR="0078212A">
        <w:t>ystem</w:t>
      </w:r>
      <w:r w:rsidR="00352BD5">
        <w:t xml:space="preserve"> </w:t>
      </w:r>
      <w:r w:rsidR="00540102">
        <w:t>accommodates thresholds</w:t>
      </w:r>
      <w:r w:rsidR="0074636A">
        <w:t xml:space="preserve"> </w:t>
      </w:r>
      <w:r w:rsidR="003D3B62">
        <w:t>up to 55 dB HL</w:t>
      </w:r>
      <w:r w:rsidR="00D02E50">
        <w:t>.</w:t>
      </w:r>
      <w:r w:rsidR="00397489">
        <w:t xml:space="preserve"> </w:t>
      </w:r>
      <w:r w:rsidR="002C1962">
        <w:t xml:space="preserve">In comparison, </w:t>
      </w:r>
      <w:r w:rsidR="0008351F">
        <w:t>p</w:t>
      </w:r>
      <w:r w:rsidR="00397489">
        <w:t>assive</w:t>
      </w:r>
      <w:r w:rsidR="00470FBD">
        <w:t xml:space="preserve"> percutaneous BCIs </w:t>
      </w:r>
      <w:r w:rsidR="00F7058F">
        <w:t xml:space="preserve">have a </w:t>
      </w:r>
      <w:r w:rsidR="00240760">
        <w:t xml:space="preserve">higher </w:t>
      </w:r>
      <w:r w:rsidR="00F7058F">
        <w:t xml:space="preserve">fitting range, accommodating </w:t>
      </w:r>
      <w:r w:rsidR="00017A32">
        <w:t xml:space="preserve">bone conduction thresholds </w:t>
      </w:r>
      <w:r w:rsidR="004A7EDA">
        <w:t>up to 55</w:t>
      </w:r>
      <w:r w:rsidR="00072CEF" w:rsidRPr="00072CEF">
        <w:t>–</w:t>
      </w:r>
      <w:r w:rsidR="004A7EDA">
        <w:t>65 dB</w:t>
      </w:r>
      <w:r w:rsidR="00240760">
        <w:t> </w:t>
      </w:r>
      <w:r w:rsidR="004A7EDA">
        <w:t xml:space="preserve">HL, depending on the </w:t>
      </w:r>
      <w:r w:rsidR="00017A32">
        <w:t xml:space="preserve">sound </w:t>
      </w:r>
      <w:r w:rsidR="004A7EDA">
        <w:t>processor</w:t>
      </w:r>
      <w:r w:rsidR="00017A32">
        <w:t xml:space="preserve"> used. </w:t>
      </w:r>
      <w:r w:rsidR="00072CEF" w:rsidRPr="00072CEF">
        <w:t>In contrast, passive transcutaneous systems typically have a more limited fitting range, generally suitable for thresholds up to 30–35 dB</w:t>
      </w:r>
      <w:r w:rsidR="00072CEF">
        <w:t> </w:t>
      </w:r>
      <w:r w:rsidR="00072CEF" w:rsidRPr="00072CEF">
        <w:t>HL, due to attenuation of signal transmission through the skin and soft tissue.</w:t>
      </w:r>
    </w:p>
    <w:p w14:paraId="3B98B3B1" w14:textId="696094A5" w:rsidR="00896D7C" w:rsidRPr="00AD26D1" w:rsidRDefault="00896D7C" w:rsidP="00896D7C">
      <w:pPr>
        <w:pStyle w:val="Caption"/>
        <w:rPr>
          <w:lang w:val="en-AU"/>
        </w:rPr>
      </w:pPr>
      <w:bookmarkStart w:id="12" w:name="_Ref202447857"/>
      <w:r w:rsidRPr="00AD26D1">
        <w:rPr>
          <w:lang w:val="en-AU"/>
        </w:rPr>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7</w:t>
      </w:r>
      <w:r w:rsidRPr="00AD26D1">
        <w:rPr>
          <w:lang w:val="en-AU"/>
        </w:rPr>
        <w:fldChar w:fldCharType="end"/>
      </w:r>
      <w:bookmarkEnd w:id="12"/>
      <w:r w:rsidRPr="00AD26D1">
        <w:rPr>
          <w:lang w:val="en-AU"/>
        </w:rPr>
        <w:tab/>
      </w:r>
      <w:r>
        <w:rPr>
          <w:lang w:val="en-AU"/>
        </w:rPr>
        <w:t>Comparison of bone conduction hearing devices</w:t>
      </w:r>
    </w:p>
    <w:tbl>
      <w:tblPr>
        <w:tblStyle w:val="TableGrid"/>
        <w:tblW w:w="5000" w:type="pct"/>
        <w:tblInd w:w="0" w:type="dxa"/>
        <w:tblLook w:val="04A0" w:firstRow="1" w:lastRow="0" w:firstColumn="1" w:lastColumn="0" w:noHBand="0" w:noVBand="1"/>
        <w:tblCaption w:val="Comparison of bone conduction hearing devices"/>
        <w:tblDescription w:val="The table provides a comparison of non-surgical passive BCHDs, percutaneous passive BCIs, transcutaneous passive BCIs and active BCIs in terms of surgical parameters,suitability and limitations. Example devices in each category are shown."/>
      </w:tblPr>
      <w:tblGrid>
        <w:gridCol w:w="1842"/>
        <w:gridCol w:w="1933"/>
        <w:gridCol w:w="1933"/>
        <w:gridCol w:w="1933"/>
        <w:gridCol w:w="1930"/>
      </w:tblGrid>
      <w:tr w:rsidR="00F04370" w14:paraId="14CC614C" w14:textId="7EF64C30" w:rsidTr="00B0766F">
        <w:trPr>
          <w:tblHeader/>
        </w:trPr>
        <w:tc>
          <w:tcPr>
            <w:tcW w:w="962" w:type="pct"/>
          </w:tcPr>
          <w:p w14:paraId="6C32742D" w14:textId="3CF633A4" w:rsidR="00F04370" w:rsidRDefault="00F04370" w:rsidP="00ED1410">
            <w:pPr>
              <w:pStyle w:val="TableHeading"/>
            </w:pPr>
            <w:r>
              <w:t>Feature</w:t>
            </w:r>
          </w:p>
        </w:tc>
        <w:tc>
          <w:tcPr>
            <w:tcW w:w="1010" w:type="pct"/>
          </w:tcPr>
          <w:p w14:paraId="669FCB3F" w14:textId="489A7229" w:rsidR="00F04370" w:rsidRDefault="00F04370" w:rsidP="00ED1410">
            <w:pPr>
              <w:pStyle w:val="TableHeading"/>
            </w:pPr>
            <w:r>
              <w:t>Non-</w:t>
            </w:r>
            <w:r w:rsidR="00D3620E">
              <w:t>surgical</w:t>
            </w:r>
            <w:r>
              <w:t xml:space="preserve"> passive BCHD (</w:t>
            </w:r>
            <w:r w:rsidR="00813D27">
              <w:t xml:space="preserve">headband/ </w:t>
            </w:r>
            <w:r>
              <w:t>softband or adhesive)</w:t>
            </w:r>
          </w:p>
        </w:tc>
        <w:tc>
          <w:tcPr>
            <w:tcW w:w="1010" w:type="pct"/>
          </w:tcPr>
          <w:p w14:paraId="1B45151E" w14:textId="0EF8CD57" w:rsidR="00F04370" w:rsidRDefault="00F04370" w:rsidP="00ED1410">
            <w:pPr>
              <w:pStyle w:val="TableHeading"/>
            </w:pPr>
            <w:r>
              <w:t>Percutaneous passive BC</w:t>
            </w:r>
            <w:r w:rsidR="00363026">
              <w:t>I</w:t>
            </w:r>
            <w:r>
              <w:t xml:space="preserve"> (abutment)</w:t>
            </w:r>
          </w:p>
        </w:tc>
        <w:tc>
          <w:tcPr>
            <w:tcW w:w="1010" w:type="pct"/>
          </w:tcPr>
          <w:p w14:paraId="4447E296" w14:textId="2B403D3F" w:rsidR="00F04370" w:rsidRDefault="00F04370" w:rsidP="00ED1410">
            <w:pPr>
              <w:pStyle w:val="TableHeading"/>
            </w:pPr>
            <w:r>
              <w:t>Transcutaneous passive BC</w:t>
            </w:r>
            <w:r w:rsidR="00363026">
              <w:t>I</w:t>
            </w:r>
            <w:r>
              <w:t xml:space="preserve"> (magnetic)</w:t>
            </w:r>
          </w:p>
        </w:tc>
        <w:tc>
          <w:tcPr>
            <w:tcW w:w="1009" w:type="pct"/>
          </w:tcPr>
          <w:p w14:paraId="49D5D4AF" w14:textId="26C1F7BA" w:rsidR="00F04370" w:rsidRDefault="00F04370" w:rsidP="00ED1410">
            <w:pPr>
              <w:pStyle w:val="TableHeading"/>
            </w:pPr>
            <w:r>
              <w:t>Active BC</w:t>
            </w:r>
            <w:r w:rsidR="00363026">
              <w:t>I</w:t>
            </w:r>
          </w:p>
        </w:tc>
      </w:tr>
      <w:tr w:rsidR="00F04370" w14:paraId="0B2F75DF" w14:textId="227A3CC2" w:rsidTr="00B0766F">
        <w:tc>
          <w:tcPr>
            <w:tcW w:w="962" w:type="pct"/>
          </w:tcPr>
          <w:p w14:paraId="7FBD5B0D" w14:textId="1F4F446B" w:rsidR="00F04370" w:rsidRPr="00196467" w:rsidRDefault="00F04370" w:rsidP="00ED1410">
            <w:pPr>
              <w:pStyle w:val="Tabletext"/>
              <w:keepNext/>
            </w:pPr>
            <w:r>
              <w:t>Implantation required</w:t>
            </w:r>
          </w:p>
        </w:tc>
        <w:tc>
          <w:tcPr>
            <w:tcW w:w="1010" w:type="pct"/>
          </w:tcPr>
          <w:p w14:paraId="1E5AF5A4" w14:textId="136943E3" w:rsidR="00F04370" w:rsidRPr="00196467" w:rsidRDefault="00F04370" w:rsidP="00ED1410">
            <w:pPr>
              <w:pStyle w:val="Tabletext"/>
              <w:keepNext/>
            </w:pPr>
            <w:r>
              <w:t>No</w:t>
            </w:r>
          </w:p>
        </w:tc>
        <w:tc>
          <w:tcPr>
            <w:tcW w:w="1010" w:type="pct"/>
          </w:tcPr>
          <w:p w14:paraId="228E480E" w14:textId="2DADD4B7" w:rsidR="00F04370" w:rsidRPr="00DA146A" w:rsidRDefault="00F04370" w:rsidP="00ED1410">
            <w:pPr>
              <w:pStyle w:val="Tabletext"/>
              <w:keepNext/>
            </w:pPr>
            <w:r>
              <w:t>Yes</w:t>
            </w:r>
          </w:p>
        </w:tc>
        <w:tc>
          <w:tcPr>
            <w:tcW w:w="1010" w:type="pct"/>
          </w:tcPr>
          <w:p w14:paraId="476F12C2" w14:textId="3ED213B8" w:rsidR="00F04370" w:rsidRDefault="00F04370" w:rsidP="00ED1410">
            <w:pPr>
              <w:pStyle w:val="Tabletext"/>
              <w:keepNext/>
            </w:pPr>
            <w:r>
              <w:t>Yes</w:t>
            </w:r>
          </w:p>
        </w:tc>
        <w:tc>
          <w:tcPr>
            <w:tcW w:w="1009" w:type="pct"/>
          </w:tcPr>
          <w:p w14:paraId="4679927A" w14:textId="2822F7D1" w:rsidR="00F04370" w:rsidRDefault="00F04370" w:rsidP="00ED1410">
            <w:pPr>
              <w:pStyle w:val="Tabletext"/>
              <w:keepNext/>
            </w:pPr>
            <w:r>
              <w:t>Yes</w:t>
            </w:r>
          </w:p>
        </w:tc>
      </w:tr>
      <w:tr w:rsidR="00F04370" w14:paraId="5CDE284B" w14:textId="03C5E6CA" w:rsidTr="00B0766F">
        <w:tc>
          <w:tcPr>
            <w:tcW w:w="962" w:type="pct"/>
          </w:tcPr>
          <w:p w14:paraId="36C993E0" w14:textId="6FA4F2B0" w:rsidR="00F04370" w:rsidRPr="00196467" w:rsidRDefault="00F04370" w:rsidP="00ED1410">
            <w:pPr>
              <w:pStyle w:val="Tabletext"/>
            </w:pPr>
            <w:r>
              <w:t>Skin penetration</w:t>
            </w:r>
          </w:p>
        </w:tc>
        <w:tc>
          <w:tcPr>
            <w:tcW w:w="1010" w:type="pct"/>
          </w:tcPr>
          <w:p w14:paraId="6E3AC420" w14:textId="4F1A65C8" w:rsidR="00F04370" w:rsidRPr="00196467" w:rsidRDefault="00F04370" w:rsidP="00ED1410">
            <w:pPr>
              <w:pStyle w:val="Tabletext"/>
            </w:pPr>
            <w:r>
              <w:t>No</w:t>
            </w:r>
          </w:p>
        </w:tc>
        <w:tc>
          <w:tcPr>
            <w:tcW w:w="1010" w:type="pct"/>
          </w:tcPr>
          <w:p w14:paraId="5F82F1F7" w14:textId="2114B734" w:rsidR="00F04370" w:rsidRDefault="00F04370" w:rsidP="00ED1410">
            <w:pPr>
              <w:pStyle w:val="Tabletext"/>
            </w:pPr>
            <w:r>
              <w:t>Yes (through abutment)</w:t>
            </w:r>
          </w:p>
        </w:tc>
        <w:tc>
          <w:tcPr>
            <w:tcW w:w="1010" w:type="pct"/>
          </w:tcPr>
          <w:p w14:paraId="3D8971C3" w14:textId="0BCA646B" w:rsidR="00F04370" w:rsidRPr="0038709B" w:rsidRDefault="00F04370" w:rsidP="00ED1410">
            <w:pPr>
              <w:pStyle w:val="Tabletext"/>
            </w:pPr>
            <w:r>
              <w:t>No</w:t>
            </w:r>
          </w:p>
        </w:tc>
        <w:tc>
          <w:tcPr>
            <w:tcW w:w="1009" w:type="pct"/>
          </w:tcPr>
          <w:p w14:paraId="5A33867C" w14:textId="02995339" w:rsidR="00F04370" w:rsidRPr="0038709B" w:rsidRDefault="00F04370" w:rsidP="00ED1410">
            <w:pPr>
              <w:pStyle w:val="Tabletext"/>
            </w:pPr>
            <w:r>
              <w:t>No</w:t>
            </w:r>
          </w:p>
        </w:tc>
      </w:tr>
      <w:tr w:rsidR="00F04370" w14:paraId="32771F7B" w14:textId="41612CE2" w:rsidTr="00B0766F">
        <w:tc>
          <w:tcPr>
            <w:tcW w:w="962" w:type="pct"/>
          </w:tcPr>
          <w:p w14:paraId="51BCB902" w14:textId="2101EDDD" w:rsidR="00F04370" w:rsidRPr="00196467" w:rsidRDefault="00F04370" w:rsidP="00ED1410">
            <w:pPr>
              <w:pStyle w:val="Tabletext"/>
            </w:pPr>
            <w:r>
              <w:t>Signal transmission</w:t>
            </w:r>
          </w:p>
        </w:tc>
        <w:tc>
          <w:tcPr>
            <w:tcW w:w="1010" w:type="pct"/>
          </w:tcPr>
          <w:p w14:paraId="501273EB" w14:textId="084988BC" w:rsidR="00F04370" w:rsidRPr="00196467" w:rsidRDefault="00F04370" w:rsidP="00ED1410">
            <w:pPr>
              <w:pStyle w:val="Tabletext"/>
            </w:pPr>
            <w:r>
              <w:t>Through soft tissue</w:t>
            </w:r>
            <w:r w:rsidR="00021A78">
              <w:t xml:space="preserve"> via band pressure or adhesive interface</w:t>
            </w:r>
          </w:p>
        </w:tc>
        <w:tc>
          <w:tcPr>
            <w:tcW w:w="1010" w:type="pct"/>
          </w:tcPr>
          <w:p w14:paraId="6EF5D150" w14:textId="2259A3AB" w:rsidR="00F04370" w:rsidRDefault="00F04370" w:rsidP="00ED1410">
            <w:pPr>
              <w:pStyle w:val="Tabletext"/>
            </w:pPr>
            <w:r>
              <w:t>Direct</w:t>
            </w:r>
            <w:r w:rsidR="00430921">
              <w:t xml:space="preserve"> mechanical coupling</w:t>
            </w:r>
            <w:r>
              <w:t xml:space="preserve"> to bone</w:t>
            </w:r>
          </w:p>
        </w:tc>
        <w:tc>
          <w:tcPr>
            <w:tcW w:w="1010" w:type="pct"/>
          </w:tcPr>
          <w:p w14:paraId="676BED2F" w14:textId="0FBFA656" w:rsidR="00F04370" w:rsidRPr="0083023A" w:rsidRDefault="00430921" w:rsidP="00ED1410">
            <w:pPr>
              <w:pStyle w:val="Tabletext"/>
            </w:pPr>
            <w:r>
              <w:t>Magnetic coupling through intact</w:t>
            </w:r>
            <w:r w:rsidR="00BC06A3">
              <w:t xml:space="preserve"> skin</w:t>
            </w:r>
          </w:p>
        </w:tc>
        <w:tc>
          <w:tcPr>
            <w:tcW w:w="1009" w:type="pct"/>
          </w:tcPr>
          <w:p w14:paraId="4803B789" w14:textId="66B0DE08" w:rsidR="00F04370" w:rsidRPr="0083023A" w:rsidRDefault="00BC06A3" w:rsidP="00ED1410">
            <w:pPr>
              <w:pStyle w:val="Tabletext"/>
            </w:pPr>
            <w:r>
              <w:t>I</w:t>
            </w:r>
            <w:r w:rsidR="00F04370">
              <w:t>mplanted transducer</w:t>
            </w:r>
            <w:r>
              <w:t xml:space="preserve"> directly stimulates bone</w:t>
            </w:r>
          </w:p>
        </w:tc>
      </w:tr>
      <w:tr w:rsidR="00372147" w14:paraId="4E8BAC76" w14:textId="77777777" w:rsidTr="00B0766F">
        <w:tc>
          <w:tcPr>
            <w:tcW w:w="962" w:type="pct"/>
          </w:tcPr>
          <w:p w14:paraId="5600B8D9" w14:textId="7ADA8704" w:rsidR="00372147" w:rsidRDefault="00372147" w:rsidP="00ED1410">
            <w:pPr>
              <w:pStyle w:val="Tabletext"/>
            </w:pPr>
            <w:r>
              <w:t>Surgical complexity</w:t>
            </w:r>
          </w:p>
        </w:tc>
        <w:tc>
          <w:tcPr>
            <w:tcW w:w="1010" w:type="pct"/>
          </w:tcPr>
          <w:p w14:paraId="74C04E7F" w14:textId="29565DDB" w:rsidR="00372147" w:rsidRDefault="00372147" w:rsidP="00ED1410">
            <w:pPr>
              <w:pStyle w:val="Tabletext"/>
            </w:pPr>
            <w:r>
              <w:t>None</w:t>
            </w:r>
          </w:p>
        </w:tc>
        <w:tc>
          <w:tcPr>
            <w:tcW w:w="1010" w:type="pct"/>
          </w:tcPr>
          <w:p w14:paraId="10904D09" w14:textId="01B9CB8D" w:rsidR="00372147" w:rsidRDefault="00372147" w:rsidP="00ED1410">
            <w:pPr>
              <w:pStyle w:val="Tabletext"/>
            </w:pPr>
            <w:r>
              <w:t>Minor</w:t>
            </w:r>
          </w:p>
        </w:tc>
        <w:tc>
          <w:tcPr>
            <w:tcW w:w="1010" w:type="pct"/>
          </w:tcPr>
          <w:p w14:paraId="0AE7FF28" w14:textId="444B1E99" w:rsidR="00372147" w:rsidRDefault="00372147" w:rsidP="00ED1410">
            <w:pPr>
              <w:pStyle w:val="Tabletext"/>
            </w:pPr>
            <w:r>
              <w:t>Minor</w:t>
            </w:r>
          </w:p>
        </w:tc>
        <w:tc>
          <w:tcPr>
            <w:tcW w:w="1009" w:type="pct"/>
          </w:tcPr>
          <w:p w14:paraId="01344D72" w14:textId="2AA56112" w:rsidR="00372147" w:rsidRDefault="0062607D" w:rsidP="00ED1410">
            <w:pPr>
              <w:pStyle w:val="Tabletext"/>
            </w:pPr>
            <w:r>
              <w:t xml:space="preserve">Moderate (deeper </w:t>
            </w:r>
            <w:r w:rsidR="00EE606B">
              <w:t>implantation</w:t>
            </w:r>
            <w:r>
              <w:t>)</w:t>
            </w:r>
          </w:p>
        </w:tc>
      </w:tr>
      <w:tr w:rsidR="00F04370" w14:paraId="5E114060" w14:textId="77777777" w:rsidTr="00B0766F">
        <w:tc>
          <w:tcPr>
            <w:tcW w:w="962" w:type="pct"/>
          </w:tcPr>
          <w:p w14:paraId="71FA0536" w14:textId="400BBCBD" w:rsidR="00F04370" w:rsidRPr="00196467" w:rsidRDefault="00F04370" w:rsidP="00ED1410">
            <w:pPr>
              <w:pStyle w:val="Tabletext"/>
            </w:pPr>
            <w:r>
              <w:t xml:space="preserve">Maintenance </w:t>
            </w:r>
            <w:r w:rsidR="00AC0536">
              <w:t>burden</w:t>
            </w:r>
          </w:p>
        </w:tc>
        <w:tc>
          <w:tcPr>
            <w:tcW w:w="1010" w:type="pct"/>
          </w:tcPr>
          <w:p w14:paraId="1FA6E321" w14:textId="77777777" w:rsidR="00F04370" w:rsidRPr="00196467" w:rsidRDefault="00F04370" w:rsidP="00ED1410">
            <w:pPr>
              <w:pStyle w:val="Tabletext"/>
            </w:pPr>
            <w:r>
              <w:t>Low</w:t>
            </w:r>
          </w:p>
        </w:tc>
        <w:tc>
          <w:tcPr>
            <w:tcW w:w="1010" w:type="pct"/>
          </w:tcPr>
          <w:p w14:paraId="60641BDD" w14:textId="48D662C5" w:rsidR="00F04370" w:rsidRDefault="00F04370" w:rsidP="00ED1410">
            <w:pPr>
              <w:pStyle w:val="Tabletext"/>
            </w:pPr>
            <w:r>
              <w:t xml:space="preserve">High (daily hygiene </w:t>
            </w:r>
            <w:r w:rsidR="00AC0536">
              <w:t>and skin care</w:t>
            </w:r>
            <w:r>
              <w:t>)</w:t>
            </w:r>
          </w:p>
        </w:tc>
        <w:tc>
          <w:tcPr>
            <w:tcW w:w="1010" w:type="pct"/>
          </w:tcPr>
          <w:p w14:paraId="7B8DD3EF" w14:textId="77777777" w:rsidR="00F04370" w:rsidRPr="00615667" w:rsidRDefault="00F04370" w:rsidP="00ED1410">
            <w:pPr>
              <w:pStyle w:val="Tabletext"/>
            </w:pPr>
            <w:r>
              <w:t>Low</w:t>
            </w:r>
          </w:p>
        </w:tc>
        <w:tc>
          <w:tcPr>
            <w:tcW w:w="1009" w:type="pct"/>
          </w:tcPr>
          <w:p w14:paraId="0B087230" w14:textId="77777777" w:rsidR="00F04370" w:rsidRPr="00615667" w:rsidRDefault="00F04370" w:rsidP="00ED1410">
            <w:pPr>
              <w:pStyle w:val="Tabletext"/>
            </w:pPr>
            <w:r>
              <w:t>Low</w:t>
            </w:r>
          </w:p>
        </w:tc>
      </w:tr>
      <w:tr w:rsidR="003568DE" w14:paraId="7F8FADFB" w14:textId="77777777" w:rsidTr="006C4916">
        <w:trPr>
          <w:cantSplit/>
        </w:trPr>
        <w:tc>
          <w:tcPr>
            <w:tcW w:w="962" w:type="pct"/>
          </w:tcPr>
          <w:p w14:paraId="5085C2B1" w14:textId="77777777" w:rsidR="003568DE" w:rsidRPr="00196467" w:rsidRDefault="003568DE" w:rsidP="00ED1410">
            <w:pPr>
              <w:pStyle w:val="Tabletext"/>
            </w:pPr>
            <w:r>
              <w:t>Suitable option for</w:t>
            </w:r>
          </w:p>
        </w:tc>
        <w:tc>
          <w:tcPr>
            <w:tcW w:w="1010" w:type="pct"/>
          </w:tcPr>
          <w:p w14:paraId="368AE7ED" w14:textId="189C6990" w:rsidR="003568DE" w:rsidRPr="00196467" w:rsidRDefault="003568DE" w:rsidP="00ED1410">
            <w:pPr>
              <w:pStyle w:val="Tabletext"/>
            </w:pPr>
            <w:r>
              <w:t>Mild MHL</w:t>
            </w:r>
            <w:r w:rsidR="00F923FF">
              <w:t xml:space="preserve">, </w:t>
            </w:r>
            <w:r>
              <w:t xml:space="preserve">mild to </w:t>
            </w:r>
            <w:r w:rsidR="00926C8D">
              <w:t xml:space="preserve">severe </w:t>
            </w:r>
            <w:r>
              <w:t>CHL, often used for age &lt;5 years or non-surgical candidates of any age; temporary or trial use</w:t>
            </w:r>
          </w:p>
        </w:tc>
        <w:tc>
          <w:tcPr>
            <w:tcW w:w="1010" w:type="pct"/>
          </w:tcPr>
          <w:p w14:paraId="09F050F5" w14:textId="438A6BBD" w:rsidR="003568DE" w:rsidRDefault="003568DE" w:rsidP="00ED1410">
            <w:pPr>
              <w:pStyle w:val="Tabletext"/>
            </w:pPr>
            <w:r>
              <w:t xml:space="preserve">Mild to </w:t>
            </w:r>
            <w:r w:rsidR="00E166E1">
              <w:t xml:space="preserve">severe </w:t>
            </w:r>
            <w:r>
              <w:t>MHL/CHL, age ≥5 years, suitable skin requiring high audiological gain</w:t>
            </w:r>
          </w:p>
        </w:tc>
        <w:tc>
          <w:tcPr>
            <w:tcW w:w="1010" w:type="pct"/>
          </w:tcPr>
          <w:p w14:paraId="635E8305" w14:textId="305414DE" w:rsidR="003568DE" w:rsidRPr="005D5A6D" w:rsidRDefault="003568DE" w:rsidP="00ED1410">
            <w:pPr>
              <w:pStyle w:val="Tabletext"/>
            </w:pPr>
            <w:r>
              <w:t>Mild MHL</w:t>
            </w:r>
            <w:r w:rsidR="00F923FF">
              <w:t xml:space="preserve">, </w:t>
            </w:r>
            <w:r>
              <w:t xml:space="preserve">mild to </w:t>
            </w:r>
            <w:r w:rsidR="00387915">
              <w:t xml:space="preserve">severe </w:t>
            </w:r>
            <w:r>
              <w:t>CHL, age ≥5 years prioritising intact skin and aesthetics</w:t>
            </w:r>
          </w:p>
        </w:tc>
        <w:tc>
          <w:tcPr>
            <w:tcW w:w="1009" w:type="pct"/>
          </w:tcPr>
          <w:p w14:paraId="3BD5439D" w14:textId="24B14F02" w:rsidR="003568DE" w:rsidRPr="005D5A6D" w:rsidRDefault="003568DE" w:rsidP="00ED1410">
            <w:pPr>
              <w:pStyle w:val="Tabletext"/>
            </w:pPr>
            <w:r>
              <w:t xml:space="preserve">Mild to </w:t>
            </w:r>
            <w:r w:rsidR="00BA6F85">
              <w:t xml:space="preserve">severe </w:t>
            </w:r>
            <w:r>
              <w:t>MHL/CHL, age ≥5 years needing higher gain and intact skin</w:t>
            </w:r>
          </w:p>
        </w:tc>
      </w:tr>
      <w:tr w:rsidR="00F04370" w14:paraId="32840ACE" w14:textId="0B35BB7D" w:rsidTr="00B0766F">
        <w:tc>
          <w:tcPr>
            <w:tcW w:w="962" w:type="pct"/>
          </w:tcPr>
          <w:p w14:paraId="0EA23972" w14:textId="46408258" w:rsidR="00F04370" w:rsidRPr="00196467" w:rsidRDefault="0003642B" w:rsidP="00ED1410">
            <w:pPr>
              <w:pStyle w:val="Tabletext"/>
            </w:pPr>
            <w:r>
              <w:t>Limitations</w:t>
            </w:r>
          </w:p>
        </w:tc>
        <w:tc>
          <w:tcPr>
            <w:tcW w:w="1010" w:type="pct"/>
          </w:tcPr>
          <w:p w14:paraId="008294E6" w14:textId="786A1543" w:rsidR="00F04370" w:rsidRPr="00196467" w:rsidRDefault="00F04370" w:rsidP="00ED1410">
            <w:pPr>
              <w:pStyle w:val="Tabletext"/>
            </w:pPr>
            <w:r>
              <w:t>Not suitable for permanent use in adults</w:t>
            </w:r>
          </w:p>
        </w:tc>
        <w:tc>
          <w:tcPr>
            <w:tcW w:w="1010" w:type="pct"/>
          </w:tcPr>
          <w:p w14:paraId="2C96DDCC" w14:textId="18989953" w:rsidR="00F04370" w:rsidRPr="00D74A10" w:rsidRDefault="00F04370" w:rsidP="00ED1410">
            <w:pPr>
              <w:pStyle w:val="Tabletext"/>
            </w:pPr>
            <w:r>
              <w:t>P</w:t>
            </w:r>
            <w:r w:rsidR="005A189B">
              <w:t>atients with p</w:t>
            </w:r>
            <w:r>
              <w:t>oor skin health, cosmetic concerns</w:t>
            </w:r>
          </w:p>
        </w:tc>
        <w:tc>
          <w:tcPr>
            <w:tcW w:w="1010" w:type="pct"/>
          </w:tcPr>
          <w:p w14:paraId="32C7B553" w14:textId="3DD390B8" w:rsidR="00F04370" w:rsidRPr="00D629D3" w:rsidRDefault="00F04370" w:rsidP="00ED1410">
            <w:pPr>
              <w:pStyle w:val="Tabletext"/>
            </w:pPr>
            <w:r>
              <w:t>Thick soft tissue may reduce performance</w:t>
            </w:r>
          </w:p>
        </w:tc>
        <w:tc>
          <w:tcPr>
            <w:tcW w:w="1009" w:type="pct"/>
          </w:tcPr>
          <w:p w14:paraId="27665D4A" w14:textId="342A44C1" w:rsidR="00F04370" w:rsidRPr="00D629D3" w:rsidRDefault="00F04370" w:rsidP="00ED1410">
            <w:pPr>
              <w:pStyle w:val="Tabletext"/>
            </w:pPr>
            <w:r>
              <w:t>Skull thickness, surgical/ anatomical limitations</w:t>
            </w:r>
          </w:p>
        </w:tc>
      </w:tr>
      <w:tr w:rsidR="00F04370" w14:paraId="523418AA" w14:textId="77777777" w:rsidTr="00B0766F">
        <w:tc>
          <w:tcPr>
            <w:tcW w:w="962" w:type="pct"/>
          </w:tcPr>
          <w:p w14:paraId="004D2266" w14:textId="4BC1C88F" w:rsidR="00F04370" w:rsidRPr="00196467" w:rsidRDefault="00F41D38" w:rsidP="00ED1410">
            <w:pPr>
              <w:pStyle w:val="Tabletext"/>
            </w:pPr>
            <w:r>
              <w:t>Example devices</w:t>
            </w:r>
          </w:p>
        </w:tc>
        <w:tc>
          <w:tcPr>
            <w:tcW w:w="1010" w:type="pct"/>
          </w:tcPr>
          <w:p w14:paraId="2A2D53FC" w14:textId="08002FCD" w:rsidR="00F04370" w:rsidRPr="00196467" w:rsidRDefault="00F04370" w:rsidP="00ED1410">
            <w:pPr>
              <w:pStyle w:val="Tabletext"/>
            </w:pPr>
            <w:r>
              <w:t>Cochlear Baha Softband; Oticon Ponto Softband</w:t>
            </w:r>
            <w:r w:rsidR="00712067">
              <w:t>; MED-EL ADHEAR</w:t>
            </w:r>
          </w:p>
        </w:tc>
        <w:tc>
          <w:tcPr>
            <w:tcW w:w="1010" w:type="pct"/>
          </w:tcPr>
          <w:p w14:paraId="27FBC0FA" w14:textId="6649B21D" w:rsidR="00F04370" w:rsidRDefault="00F04370" w:rsidP="00ED1410">
            <w:pPr>
              <w:pStyle w:val="Tabletext"/>
            </w:pPr>
            <w:r>
              <w:t xml:space="preserve">Cochlear Baha Connect; Oticon Ponto </w:t>
            </w:r>
            <w:r w:rsidR="00712067">
              <w:t>A</w:t>
            </w:r>
            <w:r>
              <w:t>butment</w:t>
            </w:r>
          </w:p>
        </w:tc>
        <w:tc>
          <w:tcPr>
            <w:tcW w:w="1010" w:type="pct"/>
          </w:tcPr>
          <w:p w14:paraId="0026FD68" w14:textId="646A85BF" w:rsidR="00F04370" w:rsidRPr="00615667" w:rsidRDefault="00F04370" w:rsidP="00ED1410">
            <w:pPr>
              <w:pStyle w:val="Tabletext"/>
            </w:pPr>
            <w:r>
              <w:t>Cochlear Baha Attract</w:t>
            </w:r>
            <w:r w:rsidR="00712067">
              <w:t>; Oticon Ponto with magnet</w:t>
            </w:r>
          </w:p>
        </w:tc>
        <w:tc>
          <w:tcPr>
            <w:tcW w:w="1009" w:type="pct"/>
          </w:tcPr>
          <w:p w14:paraId="72D4364D" w14:textId="05BB9257" w:rsidR="00F04370" w:rsidRPr="00615667" w:rsidRDefault="00F04370" w:rsidP="00ED1410">
            <w:pPr>
              <w:pStyle w:val="Tabletext"/>
            </w:pPr>
            <w:r>
              <w:t>MED-EL Bonebridge, Cochlear Osia</w:t>
            </w:r>
            <w:r w:rsidR="002770DE">
              <w:t>; Oticon Sentio</w:t>
            </w:r>
          </w:p>
        </w:tc>
      </w:tr>
    </w:tbl>
    <w:p w14:paraId="082B4ED6" w14:textId="54263BEC" w:rsidR="00896D7C" w:rsidRDefault="004023A8" w:rsidP="00896D7C">
      <w:pPr>
        <w:pStyle w:val="Tablenotes"/>
      </w:pPr>
      <w:r w:rsidRPr="003D4FB7">
        <w:t xml:space="preserve">BCHD = bone conduction hearing device; </w:t>
      </w:r>
      <w:r w:rsidR="00363026">
        <w:t xml:space="preserve">BCI = bone conduction implant; </w:t>
      </w:r>
      <w:r w:rsidR="00896D7C" w:rsidRPr="003D4FB7">
        <w:t>CHL = conductive hearing loss; MHL = mixed hearing loss.</w:t>
      </w:r>
    </w:p>
    <w:p w14:paraId="04B0F5BD" w14:textId="2C530B0E" w:rsidR="002B0CCD" w:rsidRDefault="002B0CCD" w:rsidP="006B7F0E">
      <w:pPr>
        <w:pStyle w:val="Heading4"/>
      </w:pPr>
      <w:r>
        <w:t>Regulatory status</w:t>
      </w:r>
    </w:p>
    <w:p w14:paraId="116D435A" w14:textId="449BEAAD" w:rsidR="00E934D2" w:rsidRDefault="004333A9" w:rsidP="002B0CCD">
      <w:r w:rsidRPr="00CE495E">
        <w:t>The Bone</w:t>
      </w:r>
      <w:r>
        <w:t>b</w:t>
      </w:r>
      <w:r w:rsidRPr="00CE495E">
        <w:t xml:space="preserve">ridge System </w:t>
      </w:r>
      <w:r w:rsidR="00ED76B2">
        <w:t xml:space="preserve">(MED-EL) </w:t>
      </w:r>
      <w:r w:rsidRPr="00CE495E">
        <w:t xml:space="preserve">and the Osia System </w:t>
      </w:r>
      <w:r w:rsidR="00ED76B2">
        <w:t xml:space="preserve">(Cochlear) </w:t>
      </w:r>
      <w:r w:rsidR="00420371">
        <w:t>are the only</w:t>
      </w:r>
      <w:r w:rsidRPr="00CE495E">
        <w:t xml:space="preserve"> active transcutaneous BC</w:t>
      </w:r>
      <w:r w:rsidR="004B79CB">
        <w:t>I</w:t>
      </w:r>
      <w:r w:rsidRPr="00CE495E">
        <w:t xml:space="preserve"> systems </w:t>
      </w:r>
      <w:r>
        <w:t xml:space="preserve">registered in Australia </w:t>
      </w:r>
      <w:r w:rsidR="00E934D2">
        <w:t xml:space="preserve">for MHL and CHL </w:t>
      </w:r>
      <w:r w:rsidRPr="00CE495E">
        <w:t>(</w:t>
      </w:r>
      <w:r>
        <w:fldChar w:fldCharType="begin"/>
      </w:r>
      <w:r>
        <w:instrText xml:space="preserve"> REF _Ref202114051 \h </w:instrText>
      </w:r>
      <w:r>
        <w:fldChar w:fldCharType="separate"/>
      </w:r>
      <w:r w:rsidR="00A42764" w:rsidRPr="00AD26D1">
        <w:t xml:space="preserve">Table </w:t>
      </w:r>
      <w:r w:rsidR="00A42764">
        <w:rPr>
          <w:noProof/>
        </w:rPr>
        <w:t>8</w:t>
      </w:r>
      <w:r>
        <w:fldChar w:fldCharType="end"/>
      </w:r>
      <w:r w:rsidR="00B943D5">
        <w:t>)</w:t>
      </w:r>
      <w:r w:rsidR="00C73493">
        <w:t>.</w:t>
      </w:r>
    </w:p>
    <w:p w14:paraId="2CF9AF0C" w14:textId="432C3154" w:rsidR="002B0CCD" w:rsidRDefault="005D4D4A" w:rsidP="002B0CCD">
      <w:r w:rsidRPr="00935985">
        <w:t xml:space="preserve">Recently, the TGA approved </w:t>
      </w:r>
      <w:r w:rsidR="00A36D1C">
        <w:t>a third</w:t>
      </w:r>
      <w:r w:rsidR="004906D4">
        <w:t xml:space="preserve"> active transcutaneous </w:t>
      </w:r>
      <w:r w:rsidR="00A36D1C">
        <w:t xml:space="preserve">BCI, </w:t>
      </w:r>
      <w:r w:rsidR="00ED76B2">
        <w:t>the</w:t>
      </w:r>
      <w:r w:rsidRPr="00935985">
        <w:t xml:space="preserve"> Sentio System </w:t>
      </w:r>
      <w:r w:rsidR="00ED76B2">
        <w:t>(Oticon Medical)</w:t>
      </w:r>
      <w:r w:rsidRPr="00935985">
        <w:t>.</w:t>
      </w:r>
    </w:p>
    <w:p w14:paraId="4EAF1971" w14:textId="70A3DB7B" w:rsidR="002A55A8" w:rsidRDefault="001B1CF1" w:rsidP="002B0CCD">
      <w:r>
        <w:t xml:space="preserve">The Bonebridge and Osia </w:t>
      </w:r>
      <w:r w:rsidR="00D10E31">
        <w:t xml:space="preserve">Systems are indicated for </w:t>
      </w:r>
      <w:r w:rsidR="00CF0BA8">
        <w:t xml:space="preserve">individuals </w:t>
      </w:r>
      <w:r w:rsidR="00D10E31">
        <w:t xml:space="preserve">aged 5 years and </w:t>
      </w:r>
      <w:r w:rsidR="00B6771D">
        <w:t>older</w:t>
      </w:r>
      <w:r w:rsidR="00D10E31">
        <w:t xml:space="preserve"> while the Sentio System is indicated for </w:t>
      </w:r>
      <w:r w:rsidR="00CF0BA8">
        <w:t xml:space="preserve">individuals </w:t>
      </w:r>
      <w:r w:rsidR="00B6771D">
        <w:t>aged 12 years and older.</w:t>
      </w:r>
    </w:p>
    <w:p w14:paraId="665BDAD1" w14:textId="3F389EF7" w:rsidR="007B5025" w:rsidRPr="00AD26D1" w:rsidRDefault="007B5025" w:rsidP="007B5025">
      <w:pPr>
        <w:pStyle w:val="Caption"/>
        <w:rPr>
          <w:lang w:val="en-AU"/>
        </w:rPr>
      </w:pPr>
      <w:bookmarkStart w:id="13" w:name="_Ref202114051"/>
      <w:r w:rsidRPr="00AD26D1">
        <w:rPr>
          <w:lang w:val="en-AU"/>
        </w:rPr>
        <w:lastRenderedPageBreak/>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8</w:t>
      </w:r>
      <w:r w:rsidRPr="00AD26D1">
        <w:rPr>
          <w:lang w:val="en-AU"/>
        </w:rPr>
        <w:fldChar w:fldCharType="end"/>
      </w:r>
      <w:bookmarkEnd w:id="13"/>
      <w:r w:rsidRPr="00AD26D1">
        <w:rPr>
          <w:lang w:val="en-AU"/>
        </w:rPr>
        <w:tab/>
      </w:r>
      <w:r>
        <w:rPr>
          <w:lang w:val="en-AU"/>
        </w:rPr>
        <w:t xml:space="preserve">ARTG summary for </w:t>
      </w:r>
      <w:r w:rsidR="005F5727">
        <w:rPr>
          <w:lang w:val="en-AU"/>
        </w:rPr>
        <w:t xml:space="preserve">active transcutaneous </w:t>
      </w:r>
      <w:r w:rsidR="003C022D">
        <w:rPr>
          <w:lang w:val="en-AU"/>
        </w:rPr>
        <w:t>bone conduction hearing systems</w:t>
      </w:r>
    </w:p>
    <w:tbl>
      <w:tblPr>
        <w:tblStyle w:val="TableGrid"/>
        <w:tblW w:w="5000" w:type="pct"/>
        <w:tblInd w:w="0" w:type="dxa"/>
        <w:tblLook w:val="04A0" w:firstRow="1" w:lastRow="0" w:firstColumn="1" w:lastColumn="0" w:noHBand="0" w:noVBand="1"/>
        <w:tblCaption w:val="ARTG summary for active transcutaneous bone conduction hearing systems"/>
        <w:tblDescription w:val="The table provides a summary of the ARTG listing for the Bonebridge, Osia and Sentio Systems. "/>
      </w:tblPr>
      <w:tblGrid>
        <w:gridCol w:w="1415"/>
        <w:gridCol w:w="2718"/>
        <w:gridCol w:w="2718"/>
        <w:gridCol w:w="2720"/>
      </w:tblGrid>
      <w:tr w:rsidR="007B5025" w14:paraId="43CE840E" w14:textId="77777777" w:rsidTr="00B0766F">
        <w:trPr>
          <w:tblHeader/>
        </w:trPr>
        <w:tc>
          <w:tcPr>
            <w:tcW w:w="739" w:type="pct"/>
          </w:tcPr>
          <w:p w14:paraId="6CE66F85" w14:textId="6A92B03B" w:rsidR="007B5025" w:rsidRDefault="00123439" w:rsidP="00ED1410">
            <w:pPr>
              <w:pStyle w:val="TableHeading"/>
            </w:pPr>
            <w:r>
              <w:t>System</w:t>
            </w:r>
          </w:p>
        </w:tc>
        <w:tc>
          <w:tcPr>
            <w:tcW w:w="1420" w:type="pct"/>
          </w:tcPr>
          <w:p w14:paraId="5F513B39" w14:textId="611B0CE7" w:rsidR="007B5025" w:rsidRDefault="00123439" w:rsidP="00ED1410">
            <w:pPr>
              <w:pStyle w:val="TableHeading"/>
            </w:pPr>
            <w:r>
              <w:t>Bonebridge</w:t>
            </w:r>
          </w:p>
        </w:tc>
        <w:tc>
          <w:tcPr>
            <w:tcW w:w="1420" w:type="pct"/>
          </w:tcPr>
          <w:p w14:paraId="4A59E7ED" w14:textId="4C3F90B9" w:rsidR="007B5025" w:rsidRDefault="00123439" w:rsidP="00ED1410">
            <w:pPr>
              <w:pStyle w:val="TableHeading"/>
            </w:pPr>
            <w:r>
              <w:t>Osia</w:t>
            </w:r>
            <w:r w:rsidR="009B74D4">
              <w:t xml:space="preserve"> </w:t>
            </w:r>
          </w:p>
        </w:tc>
        <w:tc>
          <w:tcPr>
            <w:tcW w:w="1421" w:type="pct"/>
          </w:tcPr>
          <w:p w14:paraId="7623505A" w14:textId="261A5131" w:rsidR="007B5025" w:rsidRDefault="00123439" w:rsidP="00ED1410">
            <w:pPr>
              <w:pStyle w:val="TableHeading"/>
            </w:pPr>
            <w:r>
              <w:t>Sentio</w:t>
            </w:r>
          </w:p>
        </w:tc>
      </w:tr>
      <w:tr w:rsidR="007B5025" w14:paraId="24DF4E58" w14:textId="77777777" w:rsidTr="00B0766F">
        <w:tc>
          <w:tcPr>
            <w:tcW w:w="739" w:type="pct"/>
          </w:tcPr>
          <w:p w14:paraId="64ACF48F" w14:textId="77777777" w:rsidR="007B5025" w:rsidRPr="006D295F" w:rsidRDefault="007B5025" w:rsidP="00ED1410">
            <w:pPr>
              <w:pStyle w:val="Tabletext"/>
              <w:rPr>
                <w:b/>
                <w:bCs/>
              </w:rPr>
            </w:pPr>
            <w:r w:rsidRPr="006D295F">
              <w:rPr>
                <w:b/>
                <w:bCs/>
              </w:rPr>
              <w:t>Sponsor</w:t>
            </w:r>
          </w:p>
        </w:tc>
        <w:tc>
          <w:tcPr>
            <w:tcW w:w="1420" w:type="pct"/>
          </w:tcPr>
          <w:p w14:paraId="5A2F0C3B" w14:textId="36A7FE2D" w:rsidR="007B5025" w:rsidRPr="00407327" w:rsidRDefault="005D01D5" w:rsidP="00ED1410">
            <w:pPr>
              <w:pStyle w:val="Tabletext"/>
            </w:pPr>
            <w:r>
              <w:t>MED-EL Implant Systems Australasia Pty Ltd</w:t>
            </w:r>
          </w:p>
        </w:tc>
        <w:tc>
          <w:tcPr>
            <w:tcW w:w="1420" w:type="pct"/>
          </w:tcPr>
          <w:p w14:paraId="59F51E0E" w14:textId="63E2B329" w:rsidR="007B5025" w:rsidRPr="00407327" w:rsidRDefault="003F0DFA" w:rsidP="00ED1410">
            <w:pPr>
              <w:pStyle w:val="Tabletext"/>
            </w:pPr>
            <w:r>
              <w:t>Cochlear Ltd</w:t>
            </w:r>
          </w:p>
        </w:tc>
        <w:tc>
          <w:tcPr>
            <w:tcW w:w="1421" w:type="pct"/>
          </w:tcPr>
          <w:p w14:paraId="2B8EEB22" w14:textId="13A33928" w:rsidR="007B5025" w:rsidRPr="00407327" w:rsidRDefault="00407327" w:rsidP="00ED1410">
            <w:pPr>
              <w:pStyle w:val="Tabletext"/>
            </w:pPr>
            <w:r w:rsidRPr="00407327">
              <w:t>Oticon Medical (a Division of Audmet Australia)</w:t>
            </w:r>
          </w:p>
        </w:tc>
      </w:tr>
      <w:tr w:rsidR="007B5025" w14:paraId="60DA2CEC" w14:textId="77777777" w:rsidTr="00B0766F">
        <w:tc>
          <w:tcPr>
            <w:tcW w:w="739" w:type="pct"/>
          </w:tcPr>
          <w:p w14:paraId="25CD5B64" w14:textId="77777777" w:rsidR="007B5025" w:rsidRPr="006D295F" w:rsidRDefault="007B5025" w:rsidP="00ED1410">
            <w:pPr>
              <w:pStyle w:val="Tabletext"/>
              <w:rPr>
                <w:b/>
                <w:bCs/>
              </w:rPr>
            </w:pPr>
            <w:r>
              <w:rPr>
                <w:b/>
                <w:bCs/>
              </w:rPr>
              <w:t>Manufacturer</w:t>
            </w:r>
          </w:p>
        </w:tc>
        <w:tc>
          <w:tcPr>
            <w:tcW w:w="1420" w:type="pct"/>
          </w:tcPr>
          <w:p w14:paraId="5237C180" w14:textId="4130C8B5" w:rsidR="007B5025" w:rsidRPr="00407327" w:rsidRDefault="009865DE" w:rsidP="00ED1410">
            <w:pPr>
              <w:pStyle w:val="Tabletext"/>
            </w:pPr>
            <w:r w:rsidRPr="009865DE">
              <w:t>Med-E</w:t>
            </w:r>
            <w:r w:rsidR="005E4F83">
              <w:t>L</w:t>
            </w:r>
            <w:r w:rsidRPr="009865DE">
              <w:t xml:space="preserve"> Elektromedizinische Gera</w:t>
            </w:r>
            <w:r w:rsidR="00A633FD">
              <w:t>e</w:t>
            </w:r>
            <w:r w:rsidRPr="009865DE">
              <w:t>te G</w:t>
            </w:r>
            <w:r w:rsidR="00A633FD">
              <w:t xml:space="preserve">esellschaft </w:t>
            </w:r>
            <w:r w:rsidRPr="009865DE">
              <w:t>m</w:t>
            </w:r>
            <w:r w:rsidR="00A633FD">
              <w:t>.</w:t>
            </w:r>
            <w:r w:rsidRPr="009865DE">
              <w:t>b</w:t>
            </w:r>
            <w:r w:rsidR="00A633FD">
              <w:t>.</w:t>
            </w:r>
            <w:r w:rsidRPr="009865DE">
              <w:t>H</w:t>
            </w:r>
            <w:r w:rsidR="00A633FD">
              <w:t>.</w:t>
            </w:r>
          </w:p>
        </w:tc>
        <w:tc>
          <w:tcPr>
            <w:tcW w:w="1420" w:type="pct"/>
          </w:tcPr>
          <w:p w14:paraId="400731DA" w14:textId="1E302935" w:rsidR="007B5025" w:rsidRPr="00407327" w:rsidRDefault="003F0DFA" w:rsidP="00ED1410">
            <w:pPr>
              <w:pStyle w:val="Tabletext"/>
            </w:pPr>
            <w:r>
              <w:t>Cochlear Ltd</w:t>
            </w:r>
          </w:p>
        </w:tc>
        <w:tc>
          <w:tcPr>
            <w:tcW w:w="1421" w:type="pct"/>
          </w:tcPr>
          <w:p w14:paraId="6F1056AD" w14:textId="3AC7D654" w:rsidR="007B5025" w:rsidRPr="00407327" w:rsidRDefault="00335A0F" w:rsidP="00ED1410">
            <w:pPr>
              <w:pStyle w:val="Tabletext"/>
            </w:pPr>
            <w:r>
              <w:t>Oticon Medical AB</w:t>
            </w:r>
          </w:p>
        </w:tc>
      </w:tr>
      <w:tr w:rsidR="007B5025" w14:paraId="60C5E4B3" w14:textId="77777777" w:rsidTr="00C40CFE">
        <w:trPr>
          <w:cantSplit/>
        </w:trPr>
        <w:tc>
          <w:tcPr>
            <w:tcW w:w="739" w:type="pct"/>
          </w:tcPr>
          <w:p w14:paraId="2CFA402A" w14:textId="77777777" w:rsidR="007B5025" w:rsidRPr="006D295F" w:rsidRDefault="007B5025" w:rsidP="00ED1410">
            <w:pPr>
              <w:pStyle w:val="Tabletext"/>
              <w:rPr>
                <w:b/>
                <w:bCs/>
              </w:rPr>
            </w:pPr>
            <w:r w:rsidRPr="006D295F">
              <w:rPr>
                <w:b/>
                <w:bCs/>
              </w:rPr>
              <w:t>ARTG ID</w:t>
            </w:r>
          </w:p>
        </w:tc>
        <w:tc>
          <w:tcPr>
            <w:tcW w:w="1420" w:type="pct"/>
          </w:tcPr>
          <w:p w14:paraId="399E99CF" w14:textId="2CB84E88" w:rsidR="00446331" w:rsidRDefault="00AA30FA" w:rsidP="00ED1410">
            <w:pPr>
              <w:pStyle w:val="Tabletext"/>
            </w:pPr>
            <w:r>
              <w:t>389050</w:t>
            </w:r>
            <w:r w:rsidR="00446331">
              <w:t xml:space="preserve"> – BCI 602 Kit</w:t>
            </w:r>
          </w:p>
          <w:p w14:paraId="288B99BF" w14:textId="56587C07" w:rsidR="007B5025" w:rsidRDefault="009865DE" w:rsidP="00ED1410">
            <w:pPr>
              <w:pStyle w:val="Tabletext"/>
            </w:pPr>
            <w:r>
              <w:t xml:space="preserve">353072 </w:t>
            </w:r>
            <w:r w:rsidR="000D2AC9">
              <w:t>–</w:t>
            </w:r>
            <w:r>
              <w:t xml:space="preserve"> </w:t>
            </w:r>
            <w:r w:rsidR="000D2AC9">
              <w:t>Samba 2 BB Audio Processor</w:t>
            </w:r>
            <w:r w:rsidR="00231F26">
              <w:rPr>
                <w:rStyle w:val="FootnoteReference"/>
              </w:rPr>
              <w:t>a</w:t>
            </w:r>
          </w:p>
          <w:p w14:paraId="177C4A5A" w14:textId="7A889E56" w:rsidR="001C41FA" w:rsidRPr="00407327" w:rsidRDefault="00276568" w:rsidP="00ED1410">
            <w:pPr>
              <w:pStyle w:val="Tabletext"/>
            </w:pPr>
            <w:r>
              <w:t>329049 – BCI 602 Lifts</w:t>
            </w:r>
            <w:r w:rsidR="00231F26">
              <w:rPr>
                <w:rStyle w:val="FootnoteReference"/>
              </w:rPr>
              <w:t>b</w:t>
            </w:r>
          </w:p>
        </w:tc>
        <w:tc>
          <w:tcPr>
            <w:tcW w:w="1420" w:type="pct"/>
          </w:tcPr>
          <w:p w14:paraId="262CE994" w14:textId="617B662D" w:rsidR="007563D5" w:rsidRDefault="007563D5" w:rsidP="007563D5">
            <w:pPr>
              <w:pStyle w:val="Tabletext"/>
            </w:pPr>
            <w:r>
              <w:t>444958 – Cochlear Osia OSI300 Implant</w:t>
            </w:r>
            <w:r w:rsidR="00F36A89">
              <w:rPr>
                <w:rStyle w:val="FootnoteReference"/>
              </w:rPr>
              <w:t>c</w:t>
            </w:r>
          </w:p>
          <w:p w14:paraId="4AF57EE1" w14:textId="7DDE2A76" w:rsidR="003365D2" w:rsidRDefault="007563D5" w:rsidP="007563D5">
            <w:pPr>
              <w:pStyle w:val="Tabletext"/>
            </w:pPr>
            <w:r>
              <w:t>444959 – Osia 2(I) Sound Processor</w:t>
            </w:r>
            <w:r w:rsidR="00F36A89">
              <w:rPr>
                <w:rStyle w:val="FootnoteReference"/>
              </w:rPr>
              <w:t>d</w:t>
            </w:r>
          </w:p>
          <w:p w14:paraId="2AA2C78B" w14:textId="019BA42A" w:rsidR="00E54135" w:rsidRDefault="00E54135" w:rsidP="007563D5">
            <w:pPr>
              <w:pStyle w:val="Tabletext"/>
            </w:pPr>
            <w:r>
              <w:t>375</w:t>
            </w:r>
            <w:r w:rsidR="00B546A8">
              <w:t>451 – Osia Fitting Software 2</w:t>
            </w:r>
          </w:p>
          <w:p w14:paraId="163D0FED" w14:textId="436F725E" w:rsidR="00934A54" w:rsidRPr="00407327" w:rsidRDefault="008533E2" w:rsidP="00ED1410">
            <w:pPr>
              <w:pStyle w:val="Tabletext"/>
            </w:pPr>
            <w:r>
              <w:t>375452 – Cochlear Osia Smart App</w:t>
            </w:r>
          </w:p>
        </w:tc>
        <w:tc>
          <w:tcPr>
            <w:tcW w:w="1421" w:type="pct"/>
          </w:tcPr>
          <w:p w14:paraId="3F98B789" w14:textId="70EAA0B3" w:rsidR="007B5025" w:rsidRPr="00407327" w:rsidRDefault="00335A0F" w:rsidP="00ED1410">
            <w:pPr>
              <w:pStyle w:val="Tabletext"/>
            </w:pPr>
            <w:r>
              <w:t>488205</w:t>
            </w:r>
            <w:r w:rsidR="003E178E">
              <w:t xml:space="preserve"> </w:t>
            </w:r>
            <w:r w:rsidR="00C16214">
              <w:t xml:space="preserve">– </w:t>
            </w:r>
            <w:r w:rsidR="00ED56AE">
              <w:t>Sentio Ti Implant Kit</w:t>
            </w:r>
            <w:r w:rsidR="00406C19">
              <w:br/>
            </w:r>
            <w:r w:rsidR="003E178E">
              <w:t>4</w:t>
            </w:r>
            <w:r w:rsidR="006B3B5B">
              <w:t>88</w:t>
            </w:r>
            <w:r w:rsidR="00B03156">
              <w:t>2</w:t>
            </w:r>
            <w:r w:rsidR="003E178E">
              <w:t>06</w:t>
            </w:r>
            <w:r w:rsidR="005D3C53">
              <w:t xml:space="preserve"> </w:t>
            </w:r>
            <w:r w:rsidR="00C16214">
              <w:t xml:space="preserve">– </w:t>
            </w:r>
            <w:r w:rsidR="00406C19">
              <w:t xml:space="preserve">Sentio </w:t>
            </w:r>
            <w:r w:rsidR="00A35D15">
              <w:t xml:space="preserve">1 </w:t>
            </w:r>
            <w:r w:rsidR="00797228">
              <w:t xml:space="preserve">Mini </w:t>
            </w:r>
            <w:r w:rsidR="00406C19">
              <w:t>Sound Processor</w:t>
            </w:r>
          </w:p>
        </w:tc>
      </w:tr>
      <w:tr w:rsidR="007B5025" w14:paraId="5BB7FB52" w14:textId="77777777" w:rsidTr="00B0766F">
        <w:tc>
          <w:tcPr>
            <w:tcW w:w="739" w:type="pct"/>
          </w:tcPr>
          <w:p w14:paraId="22E39061" w14:textId="77777777" w:rsidR="007B5025" w:rsidRPr="006D295F" w:rsidRDefault="007B5025" w:rsidP="00ED1410">
            <w:pPr>
              <w:pStyle w:val="Tabletext"/>
              <w:rPr>
                <w:b/>
                <w:bCs/>
              </w:rPr>
            </w:pPr>
            <w:r w:rsidRPr="006D295F">
              <w:rPr>
                <w:b/>
                <w:bCs/>
              </w:rPr>
              <w:t>ARTG start</w:t>
            </w:r>
            <w:r>
              <w:rPr>
                <w:b/>
                <w:bCs/>
              </w:rPr>
              <w:t xml:space="preserve"> and effective</w:t>
            </w:r>
            <w:r w:rsidRPr="006D295F">
              <w:rPr>
                <w:b/>
                <w:bCs/>
              </w:rPr>
              <w:t xml:space="preserve"> date</w:t>
            </w:r>
            <w:r>
              <w:rPr>
                <w:b/>
                <w:bCs/>
              </w:rPr>
              <w:t>s</w:t>
            </w:r>
          </w:p>
        </w:tc>
        <w:tc>
          <w:tcPr>
            <w:tcW w:w="1420" w:type="pct"/>
          </w:tcPr>
          <w:p w14:paraId="24A5616D" w14:textId="264B98AF" w:rsidR="00A25C9A" w:rsidRDefault="001555E4" w:rsidP="00ED1410">
            <w:pPr>
              <w:pStyle w:val="Tabletext"/>
            </w:pPr>
            <w:r>
              <w:t xml:space="preserve">ARTG </w:t>
            </w:r>
            <w:r w:rsidR="00181184">
              <w:t xml:space="preserve">ID </w:t>
            </w:r>
            <w:r w:rsidR="00A25C9A">
              <w:t>389050:</w:t>
            </w:r>
            <w:r w:rsidR="00A25C9A">
              <w:br/>
            </w:r>
            <w:r w:rsidR="004A7544">
              <w:t>24 May 2022</w:t>
            </w:r>
            <w:r w:rsidR="00C920BD" w:rsidRPr="00C920BD">
              <w:rPr>
                <w:vertAlign w:val="superscript"/>
              </w:rPr>
              <w:t>e</w:t>
            </w:r>
          </w:p>
          <w:p w14:paraId="32B9E296" w14:textId="379F7240" w:rsidR="007B5025" w:rsidRDefault="008E661F" w:rsidP="00ED1410">
            <w:pPr>
              <w:pStyle w:val="Tabletext"/>
            </w:pPr>
            <w:r>
              <w:t xml:space="preserve">ARTG ID </w:t>
            </w:r>
            <w:r w:rsidR="00C00EB4">
              <w:t>353072:</w:t>
            </w:r>
            <w:r w:rsidR="00C00EB4">
              <w:br/>
            </w:r>
            <w:r w:rsidR="00585458">
              <w:t>14 January 2021</w:t>
            </w:r>
          </w:p>
          <w:p w14:paraId="0F269B8E" w14:textId="104471AF" w:rsidR="004C13D9" w:rsidRPr="00407327" w:rsidRDefault="008E661F" w:rsidP="00F44957">
            <w:pPr>
              <w:pStyle w:val="Tabletext"/>
            </w:pPr>
            <w:r>
              <w:t xml:space="preserve">ARTG ID </w:t>
            </w:r>
            <w:r w:rsidR="00C00EB4">
              <w:t>329</w:t>
            </w:r>
            <w:r w:rsidR="004C13D9">
              <w:t>049:</w:t>
            </w:r>
            <w:r w:rsidR="004C13D9">
              <w:br/>
              <w:t>22 January 2020</w:t>
            </w:r>
          </w:p>
        </w:tc>
        <w:tc>
          <w:tcPr>
            <w:tcW w:w="1420" w:type="pct"/>
          </w:tcPr>
          <w:p w14:paraId="2E9CACB7" w14:textId="31C30CAE" w:rsidR="00F50CA2" w:rsidRDefault="001555E4" w:rsidP="00ED1410">
            <w:pPr>
              <w:pStyle w:val="Tabletext"/>
            </w:pPr>
            <w:r>
              <w:t xml:space="preserve">ARTG </w:t>
            </w:r>
            <w:r w:rsidR="00181184">
              <w:t xml:space="preserve">ID </w:t>
            </w:r>
            <w:r w:rsidR="0048120E">
              <w:t>444958</w:t>
            </w:r>
            <w:r w:rsidR="0048728E">
              <w:t xml:space="preserve"> &amp;444959</w:t>
            </w:r>
            <w:r w:rsidR="0048120E">
              <w:t>:</w:t>
            </w:r>
            <w:r w:rsidR="0048120E">
              <w:br/>
            </w:r>
            <w:r w:rsidR="00894EA0">
              <w:t>28</w:t>
            </w:r>
            <w:r w:rsidR="00F50CA2">
              <w:t xml:space="preserve"> </w:t>
            </w:r>
            <w:r w:rsidR="00894EA0">
              <w:t>March</w:t>
            </w:r>
            <w:r w:rsidR="00F50CA2">
              <w:t xml:space="preserve"> 202</w:t>
            </w:r>
            <w:r w:rsidR="0048120E">
              <w:t>4</w:t>
            </w:r>
          </w:p>
          <w:p w14:paraId="572A408B" w14:textId="7B646D1F" w:rsidR="00EC6B43" w:rsidRPr="00407327" w:rsidRDefault="00CB40BB" w:rsidP="00ED1410">
            <w:pPr>
              <w:pStyle w:val="Tabletext"/>
            </w:pPr>
            <w:r>
              <w:t xml:space="preserve">ARTG ID </w:t>
            </w:r>
            <w:r w:rsidR="00EC6B43">
              <w:t>375451 &amp; 375452:</w:t>
            </w:r>
            <w:r w:rsidR="004A7544">
              <w:t xml:space="preserve"> </w:t>
            </w:r>
            <w:r w:rsidR="00EC6B43">
              <w:br/>
              <w:t>29 September 2021</w:t>
            </w:r>
          </w:p>
        </w:tc>
        <w:tc>
          <w:tcPr>
            <w:tcW w:w="1421" w:type="pct"/>
          </w:tcPr>
          <w:p w14:paraId="0AFB09EA" w14:textId="3686E6C9" w:rsidR="007B5025" w:rsidRPr="00407327" w:rsidRDefault="001555E4" w:rsidP="00ED1410">
            <w:pPr>
              <w:pStyle w:val="Tabletext"/>
            </w:pPr>
            <w:r>
              <w:t xml:space="preserve">ARTG </w:t>
            </w:r>
            <w:r w:rsidR="00181184">
              <w:t>ID 488206</w:t>
            </w:r>
            <w:r w:rsidR="009645F4">
              <w:t xml:space="preserve"> &amp; 488205</w:t>
            </w:r>
            <w:r w:rsidR="00181184">
              <w:t>:</w:t>
            </w:r>
            <w:r w:rsidR="00181184">
              <w:br/>
            </w:r>
            <w:r w:rsidR="00BE24AB">
              <w:t>8 May 2025</w:t>
            </w:r>
            <w:r w:rsidR="0063736D">
              <w:t xml:space="preserve"> (start)</w:t>
            </w:r>
            <w:r w:rsidR="00BE24AB">
              <w:br/>
              <w:t>20 May 2025</w:t>
            </w:r>
            <w:r w:rsidR="0063736D">
              <w:t xml:space="preserve"> (effective)</w:t>
            </w:r>
          </w:p>
        </w:tc>
      </w:tr>
      <w:tr w:rsidR="00585458" w14:paraId="687C677B" w14:textId="77777777" w:rsidTr="00B0766F">
        <w:tc>
          <w:tcPr>
            <w:tcW w:w="739" w:type="pct"/>
          </w:tcPr>
          <w:p w14:paraId="3C316429" w14:textId="77777777" w:rsidR="00585458" w:rsidRPr="006D295F" w:rsidRDefault="00585458" w:rsidP="00585458">
            <w:pPr>
              <w:pStyle w:val="Tabletext"/>
              <w:rPr>
                <w:b/>
                <w:bCs/>
              </w:rPr>
            </w:pPr>
            <w:r w:rsidRPr="006D295F">
              <w:rPr>
                <w:b/>
                <w:bCs/>
              </w:rPr>
              <w:t>Product category</w:t>
            </w:r>
          </w:p>
        </w:tc>
        <w:tc>
          <w:tcPr>
            <w:tcW w:w="1420" w:type="pct"/>
          </w:tcPr>
          <w:p w14:paraId="4DDC5DE6" w14:textId="04832B3C" w:rsidR="00585458" w:rsidRPr="00407327" w:rsidRDefault="00585458" w:rsidP="00585458">
            <w:pPr>
              <w:pStyle w:val="Tabletext"/>
            </w:pPr>
            <w:r>
              <w:t>Medical Device Class III</w:t>
            </w:r>
          </w:p>
        </w:tc>
        <w:tc>
          <w:tcPr>
            <w:tcW w:w="1420" w:type="pct"/>
          </w:tcPr>
          <w:p w14:paraId="1A0B14B4" w14:textId="47DB60E8" w:rsidR="00585458" w:rsidRPr="00407327" w:rsidRDefault="00585458" w:rsidP="00585458">
            <w:pPr>
              <w:pStyle w:val="Tabletext"/>
            </w:pPr>
            <w:r>
              <w:t>Medical Device Class III</w:t>
            </w:r>
          </w:p>
        </w:tc>
        <w:tc>
          <w:tcPr>
            <w:tcW w:w="1421" w:type="pct"/>
          </w:tcPr>
          <w:p w14:paraId="3625F031" w14:textId="18949666" w:rsidR="00585458" w:rsidRPr="00407327" w:rsidRDefault="00585458" w:rsidP="00585458">
            <w:pPr>
              <w:pStyle w:val="Tabletext"/>
            </w:pPr>
            <w:r>
              <w:t>Medical Device Class III</w:t>
            </w:r>
          </w:p>
        </w:tc>
      </w:tr>
      <w:tr w:rsidR="00585458" w14:paraId="00D72C8A" w14:textId="77777777" w:rsidTr="00B0766F">
        <w:tc>
          <w:tcPr>
            <w:tcW w:w="739" w:type="pct"/>
          </w:tcPr>
          <w:p w14:paraId="079AD82B" w14:textId="77777777" w:rsidR="00585458" w:rsidRPr="006D295F" w:rsidRDefault="00585458" w:rsidP="00585458">
            <w:pPr>
              <w:pStyle w:val="Tabletext"/>
              <w:rPr>
                <w:b/>
                <w:bCs/>
              </w:rPr>
            </w:pPr>
            <w:r w:rsidRPr="006D295F">
              <w:rPr>
                <w:b/>
                <w:bCs/>
              </w:rPr>
              <w:t>GMDN</w:t>
            </w:r>
          </w:p>
        </w:tc>
        <w:tc>
          <w:tcPr>
            <w:tcW w:w="1420" w:type="pct"/>
          </w:tcPr>
          <w:p w14:paraId="24784EAA" w14:textId="77777777" w:rsidR="00415414" w:rsidRDefault="00415414" w:rsidP="00585458">
            <w:pPr>
              <w:pStyle w:val="Tabletext"/>
            </w:pPr>
            <w:r>
              <w:t xml:space="preserve">61176 Implantable vibrator bone-conduction hearing implant system </w:t>
            </w:r>
          </w:p>
          <w:p w14:paraId="5A638E1C" w14:textId="387430D5" w:rsidR="007A7ED7" w:rsidRPr="00407327" w:rsidRDefault="00585458" w:rsidP="00585458">
            <w:pPr>
              <w:pStyle w:val="Tabletext"/>
            </w:pPr>
            <w:r>
              <w:t xml:space="preserve">62209 Bone-conduction </w:t>
            </w:r>
            <w:r w:rsidR="00AD3B06">
              <w:t>hearing implant system sound processor</w:t>
            </w:r>
          </w:p>
        </w:tc>
        <w:tc>
          <w:tcPr>
            <w:tcW w:w="1420" w:type="pct"/>
          </w:tcPr>
          <w:p w14:paraId="2A0B7541" w14:textId="77777777" w:rsidR="00585458" w:rsidRDefault="00585458" w:rsidP="00585458">
            <w:pPr>
              <w:pStyle w:val="Tabletext"/>
            </w:pPr>
            <w:r>
              <w:t>64989 Bone-conduction hearing implant system vibrator assembly</w:t>
            </w:r>
          </w:p>
          <w:p w14:paraId="776C2AEF" w14:textId="149E06B3" w:rsidR="00585458" w:rsidRDefault="00585458" w:rsidP="00585458">
            <w:pPr>
              <w:pStyle w:val="Tabletext"/>
            </w:pPr>
            <w:r>
              <w:t>47374 Cochlear implant system sound processor</w:t>
            </w:r>
          </w:p>
          <w:p w14:paraId="384FB39F" w14:textId="2818D106" w:rsidR="00585458" w:rsidRPr="00407327" w:rsidRDefault="00585458" w:rsidP="00585458">
            <w:pPr>
              <w:pStyle w:val="Tabletext"/>
            </w:pPr>
            <w:r>
              <w:t>60211 Hearing aid fitting/ programming application software</w:t>
            </w:r>
          </w:p>
        </w:tc>
        <w:tc>
          <w:tcPr>
            <w:tcW w:w="1421" w:type="pct"/>
          </w:tcPr>
          <w:p w14:paraId="64AAA05E" w14:textId="76B82677" w:rsidR="00585458" w:rsidRPr="00407327" w:rsidRDefault="00585458" w:rsidP="00585458">
            <w:pPr>
              <w:pStyle w:val="Tabletext"/>
            </w:pPr>
            <w:r>
              <w:t>61176 Implantable vibrator bone-conduction hearing implant system</w:t>
            </w:r>
          </w:p>
        </w:tc>
      </w:tr>
    </w:tbl>
    <w:p w14:paraId="31950CDE" w14:textId="77777777" w:rsidR="002D36DD" w:rsidRPr="00F760EA" w:rsidRDefault="002D36DD" w:rsidP="002D36DD">
      <w:pPr>
        <w:pStyle w:val="Tablenotes"/>
        <w:spacing w:after="0"/>
      </w:pPr>
      <w:r w:rsidRPr="00F760EA">
        <w:t xml:space="preserve">ARTG = Australian Register of Therapeutic Goods; </w:t>
      </w:r>
      <w:r w:rsidRPr="00380F70">
        <w:t>BCI = bone conduction implant</w:t>
      </w:r>
      <w:r>
        <w:t>;</w:t>
      </w:r>
      <w:r w:rsidRPr="00380F70">
        <w:t xml:space="preserve"> </w:t>
      </w:r>
      <w:r>
        <w:t xml:space="preserve">dB = decibels; </w:t>
      </w:r>
      <w:r w:rsidRPr="00F760EA">
        <w:t>GMDN = Global Medical Device Nomenclature; ID = identification number.</w:t>
      </w:r>
    </w:p>
    <w:p w14:paraId="0D63311D" w14:textId="6E8CB690" w:rsidR="00231F26" w:rsidRDefault="00231F26" w:rsidP="007B5025">
      <w:pPr>
        <w:pStyle w:val="Tablenotes"/>
        <w:spacing w:after="0"/>
      </w:pPr>
      <w:r>
        <w:t>a</w:t>
      </w:r>
      <w:r w:rsidR="002D36DD">
        <w:t>.</w:t>
      </w:r>
      <w:r>
        <w:t xml:space="preserve"> </w:t>
      </w:r>
      <w:r w:rsidRPr="00231F26">
        <w:t>The predecessor sound processor (Samba BB Audio Processor) is also included in the ARTG (ID 270912).</w:t>
      </w:r>
    </w:p>
    <w:p w14:paraId="1A51588B" w14:textId="27449585" w:rsidR="00231F26" w:rsidRDefault="00231F26" w:rsidP="007B5025">
      <w:pPr>
        <w:pStyle w:val="Tablenotes"/>
        <w:spacing w:after="0"/>
      </w:pPr>
      <w:r>
        <w:t>b</w:t>
      </w:r>
      <w:r w:rsidR="002D36DD">
        <w:t>.</w:t>
      </w:r>
      <w:r>
        <w:t xml:space="preserve"> </w:t>
      </w:r>
      <w:r w:rsidRPr="00231F26">
        <w:t>BCI 602 Lifts (1 mm) are not mandatory for BCI 602 implantation. Whether to use them is the surgeon's individual decision, which should be based on the anatomical situation of the particular patient.</w:t>
      </w:r>
    </w:p>
    <w:p w14:paraId="243FFF15" w14:textId="0D28D5AD" w:rsidR="00F36A89" w:rsidRDefault="00F36A89" w:rsidP="007B5025">
      <w:pPr>
        <w:pStyle w:val="Tablenotes"/>
        <w:spacing w:after="0"/>
      </w:pPr>
      <w:r>
        <w:t>c</w:t>
      </w:r>
      <w:r w:rsidR="002D36DD">
        <w:t>.</w:t>
      </w:r>
      <w:r>
        <w:t xml:space="preserve"> </w:t>
      </w:r>
      <w:r w:rsidRPr="00F36A89">
        <w:t>The predecessor implant (Cochlear Osia OS100 Implant) is also included in the ARTG (ID 389472).</w:t>
      </w:r>
    </w:p>
    <w:p w14:paraId="534E3338" w14:textId="729A16D3" w:rsidR="00F36A89" w:rsidRDefault="00F36A89" w:rsidP="007B5025">
      <w:pPr>
        <w:pStyle w:val="Tablenotes"/>
        <w:spacing w:after="0"/>
      </w:pPr>
      <w:r>
        <w:t>d</w:t>
      </w:r>
      <w:r w:rsidR="002D36DD">
        <w:t>.</w:t>
      </w:r>
      <w:r>
        <w:t xml:space="preserve"> </w:t>
      </w:r>
      <w:r w:rsidRPr="00F36A89">
        <w:t>The predecessor sound processor (Osia 2 Sound Processor) is also included in the ARTG (ID 375450).</w:t>
      </w:r>
    </w:p>
    <w:p w14:paraId="6A67DCEF" w14:textId="429EEC26" w:rsidR="00C920BD" w:rsidRDefault="00C920BD" w:rsidP="007B5025">
      <w:pPr>
        <w:pStyle w:val="Tablenotes"/>
        <w:spacing w:after="0"/>
      </w:pPr>
      <w:r>
        <w:t>e</w:t>
      </w:r>
      <w:r w:rsidR="00EB7611">
        <w:t>.</w:t>
      </w:r>
      <w:r>
        <w:t xml:space="preserve"> </w:t>
      </w:r>
      <w:r w:rsidR="00094636">
        <w:t>Original ARTG ID 329050</w:t>
      </w:r>
      <w:r w:rsidR="00B762BD">
        <w:t xml:space="preserve"> had start date 22 January 2020 before reclassification </w:t>
      </w:r>
      <w:r w:rsidR="005F228D">
        <w:t>from active implantable medical device (AIMD).</w:t>
      </w:r>
    </w:p>
    <w:p w14:paraId="06CEA472" w14:textId="77777777" w:rsidR="007B5025" w:rsidRPr="00354ECF" w:rsidRDefault="007B5025" w:rsidP="007B5025">
      <w:pPr>
        <w:pStyle w:val="Tablenotes"/>
      </w:pPr>
      <w:r w:rsidRPr="00895AF1">
        <w:t>Source: ARTG Public Summaries, accessed 11 June 2025.</w:t>
      </w:r>
    </w:p>
    <w:p w14:paraId="05251A27" w14:textId="7E32FA15" w:rsidR="006B7F0E" w:rsidRPr="001257B7" w:rsidRDefault="006B7F0E" w:rsidP="006B7F0E">
      <w:pPr>
        <w:pStyle w:val="Heading4"/>
      </w:pPr>
      <w:r>
        <w:t>Current funding of the comparator</w:t>
      </w:r>
      <w:r w:rsidR="008C0FAD">
        <w:t xml:space="preserve"> procedure and device</w:t>
      </w:r>
    </w:p>
    <w:p w14:paraId="28DCC920" w14:textId="60480C0A" w:rsidR="00647737" w:rsidRPr="00AA5221" w:rsidRDefault="00BA4E93" w:rsidP="00647737">
      <w:r>
        <w:t>I</w:t>
      </w:r>
      <w:r w:rsidR="00647737">
        <w:t xml:space="preserve">mplantation </w:t>
      </w:r>
      <w:r w:rsidR="00FD1CDD">
        <w:t xml:space="preserve">of </w:t>
      </w:r>
      <w:r w:rsidR="00F531EF">
        <w:t xml:space="preserve">a </w:t>
      </w:r>
      <w:r w:rsidR="009A47C8">
        <w:t>BC</w:t>
      </w:r>
      <w:r w:rsidR="00F531EF">
        <w:t>I</w:t>
      </w:r>
      <w:r w:rsidR="009A47C8">
        <w:t xml:space="preserve"> </w:t>
      </w:r>
      <w:r w:rsidR="009A155C">
        <w:t>is</w:t>
      </w:r>
      <w:r>
        <w:t xml:space="preserve"> funded on the MBS </w:t>
      </w:r>
      <w:r w:rsidR="00E25266">
        <w:t>under items 41603, 45794 and 45797</w:t>
      </w:r>
      <w:r w:rsidR="00752ACD">
        <w:t xml:space="preserve"> for one-step and two-step procedures</w:t>
      </w:r>
      <w:r w:rsidR="00647737">
        <w:t xml:space="preserve">. The </w:t>
      </w:r>
      <w:r w:rsidR="00C10983">
        <w:t xml:space="preserve">MBS </w:t>
      </w:r>
      <w:r w:rsidR="00647737">
        <w:t xml:space="preserve">item </w:t>
      </w:r>
      <w:r w:rsidR="00647737" w:rsidRPr="00AA5221">
        <w:t>descriptor</w:t>
      </w:r>
      <w:r w:rsidR="009A47C8" w:rsidRPr="00AA5221">
        <w:t>s</w:t>
      </w:r>
      <w:r w:rsidR="00647737" w:rsidRPr="00AA5221">
        <w:t xml:space="preserve"> and fee</w:t>
      </w:r>
      <w:r w:rsidR="009A47C8" w:rsidRPr="00AA5221">
        <w:t>s</w:t>
      </w:r>
      <w:r w:rsidR="00647737" w:rsidRPr="00AA5221">
        <w:t xml:space="preserve"> </w:t>
      </w:r>
      <w:r w:rsidR="009A47C8" w:rsidRPr="00AA5221">
        <w:t xml:space="preserve">are </w:t>
      </w:r>
      <w:r w:rsidR="00647737" w:rsidRPr="00AA5221">
        <w:t xml:space="preserve">shown in Appendix B, </w:t>
      </w:r>
      <w:r w:rsidR="00AE5096" w:rsidRPr="00AA5221">
        <w:fldChar w:fldCharType="begin"/>
      </w:r>
      <w:r w:rsidR="00AE5096" w:rsidRPr="00AA5221">
        <w:instrText xml:space="preserve"> REF _Ref202112057 \h </w:instrText>
      </w:r>
      <w:r w:rsidR="00AA5221">
        <w:instrText xml:space="preserve"> \* MERGEFORMAT </w:instrText>
      </w:r>
      <w:r w:rsidR="00AE5096" w:rsidRPr="00AA5221">
        <w:fldChar w:fldCharType="separate"/>
      </w:r>
      <w:r w:rsidR="00A42764">
        <w:t xml:space="preserve">Box </w:t>
      </w:r>
      <w:r w:rsidR="00AE5096" w:rsidRPr="00AA5221">
        <w:fldChar w:fldCharType="end"/>
      </w:r>
      <w:r w:rsidR="004308D7">
        <w:t>4</w:t>
      </w:r>
      <w:r w:rsidR="00091F7B" w:rsidRPr="00AA5221">
        <w:t xml:space="preserve">, and utilisation is shown in Appendix B, </w:t>
      </w:r>
      <w:r w:rsidR="00091F7B" w:rsidRPr="00AA5221">
        <w:fldChar w:fldCharType="begin"/>
      </w:r>
      <w:r w:rsidR="00091F7B" w:rsidRPr="00AA5221">
        <w:instrText xml:space="preserve"> REF _Ref202112258 \h </w:instrText>
      </w:r>
      <w:r w:rsidR="00AA5221">
        <w:instrText xml:space="preserve"> \* MERGEFORMAT </w:instrText>
      </w:r>
      <w:r w:rsidR="00091F7B" w:rsidRPr="00AA5221">
        <w:fldChar w:fldCharType="separate"/>
      </w:r>
      <w:r w:rsidR="00A42764">
        <w:t xml:space="preserve">Figure </w:t>
      </w:r>
      <w:r w:rsidR="00A42764">
        <w:rPr>
          <w:noProof/>
        </w:rPr>
        <w:t>5</w:t>
      </w:r>
      <w:r w:rsidR="00091F7B" w:rsidRPr="00AA5221">
        <w:fldChar w:fldCharType="end"/>
      </w:r>
      <w:r w:rsidR="00091F7B" w:rsidRPr="00AA5221">
        <w:t>.</w:t>
      </w:r>
    </w:p>
    <w:p w14:paraId="2EF82088" w14:textId="5E0E5BF7" w:rsidR="00AE387F" w:rsidRPr="00AA5221" w:rsidRDefault="00A8178B" w:rsidP="007100DC">
      <w:r w:rsidRPr="00AA5221">
        <w:t>T</w:t>
      </w:r>
      <w:r w:rsidR="007D43C5" w:rsidRPr="00AA5221">
        <w:t>he Bone</w:t>
      </w:r>
      <w:r w:rsidR="003B4382" w:rsidRPr="00AA5221">
        <w:t>b</w:t>
      </w:r>
      <w:r w:rsidR="007D43C5" w:rsidRPr="00AA5221">
        <w:t xml:space="preserve">ridge </w:t>
      </w:r>
      <w:r w:rsidR="008C18FA" w:rsidRPr="00AA5221">
        <w:t xml:space="preserve">and Osia </w:t>
      </w:r>
      <w:r w:rsidR="00492434" w:rsidRPr="00AA5221">
        <w:t>s</w:t>
      </w:r>
      <w:r w:rsidR="008C18FA" w:rsidRPr="00AA5221">
        <w:t>ystem</w:t>
      </w:r>
      <w:r w:rsidR="00492434" w:rsidRPr="00AA5221">
        <w:t>s</w:t>
      </w:r>
      <w:r w:rsidR="00751207" w:rsidRPr="00AA5221">
        <w:t xml:space="preserve"> </w:t>
      </w:r>
      <w:r w:rsidR="00254BE9" w:rsidRPr="00AA5221">
        <w:t>are listed on the PL (</w:t>
      </w:r>
      <w:r w:rsidR="00254BE9" w:rsidRPr="00AA5221">
        <w:fldChar w:fldCharType="begin"/>
      </w:r>
      <w:r w:rsidR="00254BE9" w:rsidRPr="00AA5221">
        <w:instrText xml:space="preserve"> REF _Ref201163558 \h  \* MERGEFORMAT </w:instrText>
      </w:r>
      <w:r w:rsidR="00254BE9" w:rsidRPr="00AA5221">
        <w:fldChar w:fldCharType="separate"/>
      </w:r>
      <w:r w:rsidR="00A42764" w:rsidRPr="00AA5221">
        <w:t xml:space="preserve">Table </w:t>
      </w:r>
      <w:r w:rsidR="00A42764">
        <w:rPr>
          <w:noProof/>
        </w:rPr>
        <w:t>9</w:t>
      </w:r>
      <w:r w:rsidR="00254BE9" w:rsidRPr="00AA5221">
        <w:fldChar w:fldCharType="end"/>
      </w:r>
      <w:r w:rsidR="00254BE9" w:rsidRPr="00AA5221">
        <w:t>)</w:t>
      </w:r>
      <w:r w:rsidR="00221023" w:rsidRPr="00AA5221">
        <w:t>.</w:t>
      </w:r>
    </w:p>
    <w:p w14:paraId="1E4FD90E" w14:textId="7015FBBF" w:rsidR="00C1297B" w:rsidRPr="001257B7" w:rsidRDefault="00C1297B" w:rsidP="00C1297B">
      <w:pPr>
        <w:pStyle w:val="Caption"/>
        <w:rPr>
          <w:lang w:val="en-AU"/>
        </w:rPr>
      </w:pPr>
      <w:bookmarkStart w:id="14" w:name="_Ref201163558"/>
      <w:bookmarkStart w:id="15" w:name="_Ref201163146"/>
      <w:r w:rsidRPr="00AA5221">
        <w:rPr>
          <w:lang w:val="en-AU"/>
        </w:rPr>
        <w:t xml:space="preserve">Table </w:t>
      </w:r>
      <w:r w:rsidRPr="00AA5221">
        <w:rPr>
          <w:lang w:val="en-AU"/>
        </w:rPr>
        <w:fldChar w:fldCharType="begin"/>
      </w:r>
      <w:r w:rsidRPr="00AA5221">
        <w:rPr>
          <w:lang w:val="en-AU"/>
        </w:rPr>
        <w:instrText xml:space="preserve"> SEQ Table \* ARABIC </w:instrText>
      </w:r>
      <w:r w:rsidRPr="00AA5221">
        <w:rPr>
          <w:lang w:val="en-AU"/>
        </w:rPr>
        <w:fldChar w:fldCharType="separate"/>
      </w:r>
      <w:r w:rsidR="00A42764">
        <w:rPr>
          <w:noProof/>
          <w:lang w:val="en-AU"/>
        </w:rPr>
        <w:t>9</w:t>
      </w:r>
      <w:r w:rsidRPr="00AA5221">
        <w:rPr>
          <w:lang w:val="en-AU"/>
        </w:rPr>
        <w:fldChar w:fldCharType="end"/>
      </w:r>
      <w:bookmarkEnd w:id="14"/>
      <w:r w:rsidRPr="00AA5221">
        <w:rPr>
          <w:lang w:val="en-AU"/>
        </w:rPr>
        <w:tab/>
        <w:t xml:space="preserve">PL listings for </w:t>
      </w:r>
      <w:r w:rsidR="00F45434" w:rsidRPr="00AA5221">
        <w:rPr>
          <w:lang w:val="en-AU"/>
        </w:rPr>
        <w:t xml:space="preserve">Bonebridge and Osia </w:t>
      </w:r>
      <w:r w:rsidR="00D63EC8" w:rsidRPr="00AA5221">
        <w:rPr>
          <w:lang w:val="en-AU"/>
        </w:rPr>
        <w:t>active transcutaneous</w:t>
      </w:r>
      <w:r w:rsidR="003B08DC" w:rsidRPr="00AA5221">
        <w:rPr>
          <w:lang w:val="en-AU"/>
        </w:rPr>
        <w:t xml:space="preserve"> </w:t>
      </w:r>
      <w:r w:rsidR="00F16A30" w:rsidRPr="00AA5221">
        <w:rPr>
          <w:lang w:val="en-AU"/>
        </w:rPr>
        <w:t>bone conduction</w:t>
      </w:r>
      <w:r w:rsidR="00F16A30" w:rsidRPr="001257B7">
        <w:rPr>
          <w:lang w:val="en-AU"/>
        </w:rPr>
        <w:t xml:space="preserve"> hearing systems</w:t>
      </w:r>
      <w:bookmarkEnd w:id="15"/>
    </w:p>
    <w:tbl>
      <w:tblPr>
        <w:tblStyle w:val="TableGrid"/>
        <w:tblW w:w="5000" w:type="pct"/>
        <w:tblInd w:w="0" w:type="dxa"/>
        <w:tblLook w:val="04A0" w:firstRow="1" w:lastRow="0" w:firstColumn="1" w:lastColumn="0" w:noHBand="0" w:noVBand="1"/>
        <w:tblCaption w:val="PL listings for Bonebridge and Osia active transcutaneous bone conduction hearing systems"/>
        <w:tblDescription w:val="The table shows the Sponsor, Product Group, Billing Codes and total Benefit for the Bonebridge System and Osia System. "/>
      </w:tblPr>
      <w:tblGrid>
        <w:gridCol w:w="1979"/>
        <w:gridCol w:w="3798"/>
        <w:gridCol w:w="3794"/>
      </w:tblGrid>
      <w:tr w:rsidR="00C31CB5" w:rsidRPr="00727B49" w14:paraId="17926A1D" w14:textId="527473A2" w:rsidTr="00B0766F">
        <w:trPr>
          <w:tblHeader/>
        </w:trPr>
        <w:tc>
          <w:tcPr>
            <w:tcW w:w="1034" w:type="pct"/>
          </w:tcPr>
          <w:p w14:paraId="144302D7" w14:textId="391BF036" w:rsidR="00C31CB5" w:rsidRPr="005333CA" w:rsidRDefault="00C31CB5" w:rsidP="00ED1410">
            <w:pPr>
              <w:pStyle w:val="TableHeading"/>
            </w:pPr>
            <w:r w:rsidRPr="005333CA">
              <w:t>System</w:t>
            </w:r>
          </w:p>
        </w:tc>
        <w:tc>
          <w:tcPr>
            <w:tcW w:w="1984" w:type="pct"/>
          </w:tcPr>
          <w:p w14:paraId="69D0BB3C" w14:textId="3786EE46" w:rsidR="00C31CB5" w:rsidRPr="005333CA" w:rsidRDefault="00C31CB5" w:rsidP="00ED1410">
            <w:pPr>
              <w:pStyle w:val="TableHeading"/>
            </w:pPr>
            <w:r w:rsidRPr="005333CA">
              <w:t>Bonebridge System</w:t>
            </w:r>
          </w:p>
        </w:tc>
        <w:tc>
          <w:tcPr>
            <w:tcW w:w="1982" w:type="pct"/>
          </w:tcPr>
          <w:p w14:paraId="07ABD16E" w14:textId="7D7F9A7E" w:rsidR="00C31CB5" w:rsidRPr="005333CA" w:rsidRDefault="00C31CB5" w:rsidP="00ED1410">
            <w:pPr>
              <w:pStyle w:val="TableHeading"/>
            </w:pPr>
            <w:r w:rsidRPr="005333CA">
              <w:t>Osia System</w:t>
            </w:r>
          </w:p>
        </w:tc>
      </w:tr>
      <w:tr w:rsidR="00C31CB5" w:rsidRPr="00727B49" w14:paraId="2F197A60" w14:textId="3199516F" w:rsidTr="00B0766F">
        <w:trPr>
          <w:tblHeader/>
        </w:trPr>
        <w:tc>
          <w:tcPr>
            <w:tcW w:w="1034" w:type="pct"/>
          </w:tcPr>
          <w:p w14:paraId="101BAB5C" w14:textId="42B584E7" w:rsidR="00C31CB5" w:rsidRPr="005333CA" w:rsidRDefault="00C31CB5" w:rsidP="00FF0055">
            <w:pPr>
              <w:pStyle w:val="TableHeading"/>
            </w:pPr>
            <w:r w:rsidRPr="005333CA">
              <w:rPr>
                <w:bCs/>
              </w:rPr>
              <w:t>Sponsor</w:t>
            </w:r>
          </w:p>
        </w:tc>
        <w:tc>
          <w:tcPr>
            <w:tcW w:w="1984" w:type="pct"/>
          </w:tcPr>
          <w:p w14:paraId="1089A8F0" w14:textId="48B86CF5" w:rsidR="00C31CB5" w:rsidRPr="005333CA" w:rsidRDefault="00C31CB5" w:rsidP="00FF0055">
            <w:pPr>
              <w:pStyle w:val="TableHeading"/>
              <w:rPr>
                <w:b w:val="0"/>
                <w:bCs/>
              </w:rPr>
            </w:pPr>
            <w:r w:rsidRPr="005333CA">
              <w:rPr>
                <w:b w:val="0"/>
                <w:bCs/>
              </w:rPr>
              <w:t>MED-EL Implant Systems Australasia Pty Ltd</w:t>
            </w:r>
          </w:p>
        </w:tc>
        <w:tc>
          <w:tcPr>
            <w:tcW w:w="1982" w:type="pct"/>
          </w:tcPr>
          <w:p w14:paraId="0C22C1BA" w14:textId="2043DAC9" w:rsidR="00C31CB5" w:rsidRPr="005333CA" w:rsidRDefault="00C31CB5" w:rsidP="00FF0055">
            <w:pPr>
              <w:pStyle w:val="TableHeading"/>
              <w:rPr>
                <w:b w:val="0"/>
                <w:bCs/>
              </w:rPr>
            </w:pPr>
            <w:r w:rsidRPr="005333CA">
              <w:rPr>
                <w:b w:val="0"/>
                <w:bCs/>
              </w:rPr>
              <w:t>Cochlear Limited</w:t>
            </w:r>
          </w:p>
        </w:tc>
      </w:tr>
      <w:tr w:rsidR="00C31CB5" w:rsidRPr="00727B49" w14:paraId="22A50AB5" w14:textId="1A4E8EED" w:rsidTr="00B0766F">
        <w:tc>
          <w:tcPr>
            <w:tcW w:w="1034" w:type="pct"/>
          </w:tcPr>
          <w:p w14:paraId="66FD91FB" w14:textId="506EB51D" w:rsidR="00C31CB5" w:rsidRPr="00290C69" w:rsidRDefault="00C31CB5" w:rsidP="00ED1410">
            <w:pPr>
              <w:pStyle w:val="Tabletext"/>
              <w:rPr>
                <w:b/>
                <w:bCs/>
              </w:rPr>
            </w:pPr>
            <w:r w:rsidRPr="00290C69">
              <w:rPr>
                <w:b/>
                <w:bCs/>
              </w:rPr>
              <w:t>Product Group</w:t>
            </w:r>
          </w:p>
        </w:tc>
        <w:tc>
          <w:tcPr>
            <w:tcW w:w="1984" w:type="pct"/>
          </w:tcPr>
          <w:p w14:paraId="28D633E9" w14:textId="367B867D" w:rsidR="00C31CB5" w:rsidRPr="00290C69" w:rsidRDefault="00C31CB5" w:rsidP="00356EE8">
            <w:pPr>
              <w:pStyle w:val="Tabletext"/>
            </w:pPr>
            <w:r w:rsidRPr="00290C69">
              <w:t>02.01.04 – Implantable Bone Conduction Hearing System</w:t>
            </w:r>
          </w:p>
        </w:tc>
        <w:tc>
          <w:tcPr>
            <w:tcW w:w="1982" w:type="pct"/>
          </w:tcPr>
          <w:p w14:paraId="3C92306F" w14:textId="7AFA6540" w:rsidR="00C31CB5" w:rsidRPr="00290C69" w:rsidRDefault="00C31CB5" w:rsidP="00ED1410">
            <w:pPr>
              <w:pStyle w:val="Tabletext"/>
            </w:pPr>
            <w:r w:rsidRPr="00290C69">
              <w:t>02.01.09 – Implantable Piezoelectric Bone Conduction Hearing System (all components</w:t>
            </w:r>
            <w:r>
              <w:t>)</w:t>
            </w:r>
          </w:p>
        </w:tc>
      </w:tr>
      <w:tr w:rsidR="00C31CB5" w:rsidRPr="00727B49" w14:paraId="67BAFF04" w14:textId="4810C1AF" w:rsidTr="00B0766F">
        <w:tc>
          <w:tcPr>
            <w:tcW w:w="1034" w:type="pct"/>
          </w:tcPr>
          <w:p w14:paraId="30987BD3" w14:textId="0433DEAF" w:rsidR="00C31CB5" w:rsidRPr="00290C69" w:rsidRDefault="00C31CB5" w:rsidP="00ED1410">
            <w:pPr>
              <w:pStyle w:val="Tabletext"/>
              <w:rPr>
                <w:b/>
                <w:bCs/>
              </w:rPr>
            </w:pPr>
            <w:r w:rsidRPr="00290C69">
              <w:rPr>
                <w:b/>
                <w:bCs/>
              </w:rPr>
              <w:t xml:space="preserve">PL Billing </w:t>
            </w:r>
            <w:r>
              <w:rPr>
                <w:b/>
                <w:bCs/>
              </w:rPr>
              <w:t>C</w:t>
            </w:r>
            <w:r w:rsidRPr="00290C69">
              <w:rPr>
                <w:b/>
                <w:bCs/>
              </w:rPr>
              <w:t>odes</w:t>
            </w:r>
          </w:p>
        </w:tc>
        <w:tc>
          <w:tcPr>
            <w:tcW w:w="1984" w:type="pct"/>
          </w:tcPr>
          <w:p w14:paraId="3820C957" w14:textId="39BCD4CB" w:rsidR="00C31CB5" w:rsidRPr="00290C69" w:rsidRDefault="00C31CB5" w:rsidP="00ED1410">
            <w:pPr>
              <w:pStyle w:val="Tabletext"/>
            </w:pPr>
            <w:r w:rsidRPr="00290C69">
              <w:t>US026, US027, US030</w:t>
            </w:r>
          </w:p>
        </w:tc>
        <w:tc>
          <w:tcPr>
            <w:tcW w:w="1982" w:type="pct"/>
          </w:tcPr>
          <w:p w14:paraId="674844BD" w14:textId="3D6884FD" w:rsidR="00C31CB5" w:rsidRPr="00290C69" w:rsidRDefault="00C31CB5" w:rsidP="00ED1410">
            <w:pPr>
              <w:pStyle w:val="Tabletext"/>
            </w:pPr>
            <w:r w:rsidRPr="00290C69">
              <w:t>QQ642</w:t>
            </w:r>
          </w:p>
        </w:tc>
      </w:tr>
      <w:tr w:rsidR="00C31CB5" w:rsidRPr="001257B7" w14:paraId="271EAF6C" w14:textId="4C2BA152" w:rsidTr="00B0766F">
        <w:tc>
          <w:tcPr>
            <w:tcW w:w="1034" w:type="pct"/>
          </w:tcPr>
          <w:p w14:paraId="0BD61FBD" w14:textId="0D625D16" w:rsidR="00C31CB5" w:rsidRPr="00290C69" w:rsidRDefault="00C31CB5" w:rsidP="00ED1410">
            <w:pPr>
              <w:pStyle w:val="Tabletext"/>
              <w:rPr>
                <w:b/>
                <w:bCs/>
              </w:rPr>
            </w:pPr>
            <w:r w:rsidRPr="00290C69">
              <w:rPr>
                <w:b/>
                <w:bCs/>
              </w:rPr>
              <w:lastRenderedPageBreak/>
              <w:t>PL total Benefit</w:t>
            </w:r>
          </w:p>
        </w:tc>
        <w:tc>
          <w:tcPr>
            <w:tcW w:w="1984" w:type="pct"/>
          </w:tcPr>
          <w:p w14:paraId="308C3CA0" w14:textId="4BA6DC49" w:rsidR="00C31CB5" w:rsidRPr="00290C69" w:rsidRDefault="00C31CB5" w:rsidP="00ED1410">
            <w:pPr>
              <w:pStyle w:val="Tabletext"/>
            </w:pPr>
            <w:r w:rsidRPr="00290C69">
              <w:t>$196 + $2,222 + $6,808 = $9,226</w:t>
            </w:r>
          </w:p>
        </w:tc>
        <w:tc>
          <w:tcPr>
            <w:tcW w:w="1982" w:type="pct"/>
          </w:tcPr>
          <w:p w14:paraId="0EFE8AFD" w14:textId="0110504F" w:rsidR="00C31CB5" w:rsidRPr="00290C69" w:rsidRDefault="00C31CB5" w:rsidP="00ED1410">
            <w:pPr>
              <w:pStyle w:val="Tabletext"/>
            </w:pPr>
            <w:r w:rsidRPr="00290C69">
              <w:t>$14,369</w:t>
            </w:r>
          </w:p>
        </w:tc>
      </w:tr>
    </w:tbl>
    <w:p w14:paraId="5D347817" w14:textId="228034CF" w:rsidR="007420C2" w:rsidRPr="001257B7" w:rsidRDefault="007420C2" w:rsidP="007420C2">
      <w:pPr>
        <w:pStyle w:val="Tablenotes"/>
        <w:spacing w:after="0"/>
      </w:pPr>
      <w:r w:rsidRPr="00290C69">
        <w:t>PL = Prescribed List.</w:t>
      </w:r>
    </w:p>
    <w:p w14:paraId="15907846" w14:textId="6025E710" w:rsidR="00C1297B" w:rsidRDefault="00C1297B" w:rsidP="00851B46">
      <w:pPr>
        <w:pStyle w:val="Tablenotes"/>
      </w:pPr>
      <w:r w:rsidRPr="001257B7">
        <w:t xml:space="preserve">Source: Prescribed List of Medical Devices and Human Tissue Products, Part A, </w:t>
      </w:r>
      <w:r w:rsidR="005F7D3F">
        <w:t>effective 01 July</w:t>
      </w:r>
      <w:r w:rsidRPr="001257B7">
        <w:t xml:space="preserve"> 2025.</w:t>
      </w:r>
    </w:p>
    <w:p w14:paraId="45B54EC7" w14:textId="0640A969" w:rsidR="002D3FB8" w:rsidRDefault="00175EFC" w:rsidP="002D66A5">
      <w:r>
        <w:t>As with AMEIs, i</w:t>
      </w:r>
      <w:r w:rsidR="003405C5">
        <w:t>ndividuals under 26 years of age, as well as other eligible HSP participants (refer to ‘</w:t>
      </w:r>
      <w:r w:rsidR="003405C5">
        <w:fldChar w:fldCharType="begin"/>
      </w:r>
      <w:r w:rsidR="003405C5">
        <w:instrText xml:space="preserve"> REF _Ref203399622 \h </w:instrText>
      </w:r>
      <w:r w:rsidR="003405C5">
        <w:fldChar w:fldCharType="separate"/>
      </w:r>
      <w:r w:rsidR="00A42764" w:rsidRPr="00713728">
        <w:t>Population</w:t>
      </w:r>
      <w:r w:rsidR="003405C5">
        <w:fldChar w:fldCharType="end"/>
      </w:r>
      <w:r w:rsidR="003405C5">
        <w:t>’ section), may</w:t>
      </w:r>
      <w:r w:rsidR="003405C5" w:rsidRPr="00CD35B9">
        <w:t xml:space="preserve"> receive </w:t>
      </w:r>
      <w:r w:rsidR="003405C5">
        <w:t xml:space="preserve">financial support for </w:t>
      </w:r>
      <w:r w:rsidR="0071101F">
        <w:t>audio</w:t>
      </w:r>
      <w:r w:rsidR="003405C5">
        <w:t xml:space="preserve"> processor </w:t>
      </w:r>
      <w:r w:rsidR="003405C5" w:rsidRPr="00CD35B9">
        <w:t>maintenance</w:t>
      </w:r>
      <w:r w:rsidR="003405C5">
        <w:t xml:space="preserve"> – including battery replacement, repairs and upgrades – through</w:t>
      </w:r>
      <w:r w:rsidR="003405C5" w:rsidRPr="00CD35B9">
        <w:t xml:space="preserve"> the </w:t>
      </w:r>
      <w:r w:rsidR="003405C5">
        <w:t xml:space="preserve">program’s CSO </w:t>
      </w:r>
      <w:r w:rsidR="003405C5" w:rsidRPr="00CD35B9">
        <w:t>component</w:t>
      </w:r>
      <w:r w:rsidR="003405C5">
        <w:t>. The cost of surgery and implanted components is not covered</w:t>
      </w:r>
      <w:r w:rsidR="003405C5" w:rsidRPr="00CD35B9">
        <w:t xml:space="preserve"> under the </w:t>
      </w:r>
      <w:r w:rsidR="003405C5">
        <w:t>program.</w:t>
      </w:r>
    </w:p>
    <w:p w14:paraId="29C1EA87" w14:textId="65201EB3" w:rsidR="007A66C8" w:rsidRDefault="007A66C8" w:rsidP="002D1D20">
      <w:pPr>
        <w:pStyle w:val="Heading3"/>
      </w:pPr>
      <w:r w:rsidRPr="008F1532">
        <w:t>Outcomes</w:t>
      </w:r>
    </w:p>
    <w:p w14:paraId="5AA55122" w14:textId="65FC75B2" w:rsidR="0067033E" w:rsidRDefault="00984368" w:rsidP="0067033E">
      <w:r>
        <w:t xml:space="preserve">The outcomes relevant to the assessment of implantation of </w:t>
      </w:r>
      <w:r w:rsidR="00976F2B">
        <w:t xml:space="preserve">an </w:t>
      </w:r>
      <w:r w:rsidR="008A54EA">
        <w:t xml:space="preserve">AMEI versus </w:t>
      </w:r>
      <w:r w:rsidR="00DA3C6F">
        <w:t>implantation of a BCI</w:t>
      </w:r>
      <w:r>
        <w:t xml:space="preserve"> are summarised in </w:t>
      </w:r>
      <w:r>
        <w:fldChar w:fldCharType="begin"/>
      </w:r>
      <w:r>
        <w:instrText xml:space="preserve"> REF _Ref190777176 \h </w:instrText>
      </w:r>
      <w:r>
        <w:fldChar w:fldCharType="separate"/>
      </w:r>
      <w:r w:rsidR="00A42764" w:rsidRPr="00AD26D1">
        <w:t xml:space="preserve">Table </w:t>
      </w:r>
      <w:r w:rsidR="00A42764">
        <w:rPr>
          <w:noProof/>
        </w:rPr>
        <w:t>10</w:t>
      </w:r>
      <w:r>
        <w:fldChar w:fldCharType="end"/>
      </w:r>
      <w:r w:rsidR="001E000C">
        <w:t>.</w:t>
      </w:r>
      <w:r w:rsidR="00A046FF">
        <w:t xml:space="preserve"> </w:t>
      </w:r>
      <w:r w:rsidR="0067033E">
        <w:t xml:space="preserve">The </w:t>
      </w:r>
      <w:r w:rsidR="000158B4">
        <w:t>safety and effectiveness outcomes</w:t>
      </w:r>
      <w:r w:rsidR="0067033E">
        <w:t xml:space="preserve"> should be </w:t>
      </w:r>
      <w:r w:rsidR="0004161B">
        <w:t xml:space="preserve">explicitly </w:t>
      </w:r>
      <w:r w:rsidR="00404F8C">
        <w:t>assessed</w:t>
      </w:r>
      <w:r w:rsidR="0067033E">
        <w:t xml:space="preserve"> </w:t>
      </w:r>
      <w:r w:rsidR="0004161B">
        <w:t xml:space="preserve">in </w:t>
      </w:r>
      <w:r w:rsidR="0076412D">
        <w:t>relevant</w:t>
      </w:r>
      <w:r w:rsidR="0004161B">
        <w:t xml:space="preserve"> subgroups</w:t>
      </w:r>
      <w:r w:rsidR="0067033E">
        <w:t>:</w:t>
      </w:r>
    </w:p>
    <w:p w14:paraId="13265BE6" w14:textId="04C72FFB" w:rsidR="0067033E" w:rsidRDefault="0067033E" w:rsidP="0067033E">
      <w:pPr>
        <w:pStyle w:val="ListParagraph"/>
        <w:numPr>
          <w:ilvl w:val="0"/>
          <w:numId w:val="41"/>
        </w:numPr>
      </w:pPr>
      <w:r>
        <w:t xml:space="preserve">Type of hearing loss – mixed or conductive, </w:t>
      </w:r>
      <w:r w:rsidDel="004E5806">
        <w:t xml:space="preserve">mild </w:t>
      </w:r>
      <w:r w:rsidR="00EC691D">
        <w:t>or moderate or</w:t>
      </w:r>
      <w:r w:rsidR="005A7D54">
        <w:t xml:space="preserve"> severe</w:t>
      </w:r>
      <w:r w:rsidDel="004E5806">
        <w:t xml:space="preserve">, </w:t>
      </w:r>
      <w:r>
        <w:t>unilateral or bilateral</w:t>
      </w:r>
    </w:p>
    <w:p w14:paraId="2A69177B" w14:textId="0216E1B9" w:rsidR="00104440" w:rsidRDefault="0067033E" w:rsidP="001E000C">
      <w:pPr>
        <w:pStyle w:val="ListParagraph"/>
        <w:numPr>
          <w:ilvl w:val="0"/>
          <w:numId w:val="41"/>
        </w:numPr>
      </w:pPr>
      <w:r>
        <w:t>Age – children &gt;5 years, adolescents, adults</w:t>
      </w:r>
      <w:r w:rsidR="00CE1593">
        <w:t xml:space="preserve">, </w:t>
      </w:r>
      <w:r w:rsidR="00CE1593" w:rsidRPr="00CE1593">
        <w:t>older adults (e.g. aged &gt;70 years)</w:t>
      </w:r>
      <w:r>
        <w:t>.</w:t>
      </w:r>
    </w:p>
    <w:p w14:paraId="43E38602" w14:textId="00E91A01" w:rsidR="00E144FA" w:rsidRPr="00B15CA8" w:rsidRDefault="00B15CA8" w:rsidP="00E144FA">
      <w:pPr>
        <w:rPr>
          <w:i/>
          <w:iCs/>
        </w:rPr>
      </w:pPr>
      <w:r w:rsidRPr="00B15CA8">
        <w:rPr>
          <w:i/>
          <w:iCs/>
        </w:rPr>
        <w:t>PASC advised that the assessment should include consideration of differential outcomes by MHL/CHL, hearing loss severity, age groups and longitudinal outcomes (device, patient-related) as individuals age, if the evidence is available.</w:t>
      </w:r>
    </w:p>
    <w:p w14:paraId="5CCD03DD" w14:textId="0CDFAAB8" w:rsidR="00984368" w:rsidRPr="00AD26D1" w:rsidRDefault="00984368" w:rsidP="00984368">
      <w:pPr>
        <w:pStyle w:val="Caption"/>
        <w:rPr>
          <w:lang w:val="en-AU"/>
        </w:rPr>
      </w:pPr>
      <w:bookmarkStart w:id="16" w:name="_Ref190777176"/>
      <w:r w:rsidRPr="00AD26D1">
        <w:rPr>
          <w:lang w:val="en-AU"/>
        </w:rPr>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10</w:t>
      </w:r>
      <w:r w:rsidRPr="00AD26D1">
        <w:rPr>
          <w:lang w:val="en-AU"/>
        </w:rPr>
        <w:fldChar w:fldCharType="end"/>
      </w:r>
      <w:bookmarkEnd w:id="16"/>
      <w:r w:rsidRPr="00AD26D1">
        <w:rPr>
          <w:lang w:val="en-AU"/>
        </w:rPr>
        <w:tab/>
        <w:t xml:space="preserve">Outcomes relevant to the assessment </w:t>
      </w:r>
      <w:r w:rsidR="00BD5D35">
        <w:rPr>
          <w:lang w:val="en-AU"/>
        </w:rPr>
        <w:t>of the proposed intervention</w:t>
      </w:r>
    </w:p>
    <w:tbl>
      <w:tblPr>
        <w:tblStyle w:val="TableGrid"/>
        <w:tblW w:w="0" w:type="auto"/>
        <w:tblInd w:w="0" w:type="dxa"/>
        <w:tblLook w:val="04A0" w:firstRow="1" w:lastRow="0" w:firstColumn="1" w:lastColumn="0" w:noHBand="0" w:noVBand="1"/>
        <w:tblCaption w:val="Outcomes relevant to the assessment of the proposed intervention"/>
        <w:tblDescription w:val="The table lists outcomes in the following categories: safety, effectiveness, healthcare resources, cost-effectiveness, and total Australian government healthcare costs."/>
      </w:tblPr>
      <w:tblGrid>
        <w:gridCol w:w="1980"/>
        <w:gridCol w:w="7591"/>
      </w:tblGrid>
      <w:tr w:rsidR="00984368" w14:paraId="4E4F0BD4" w14:textId="77777777" w:rsidTr="00E266CF">
        <w:trPr>
          <w:tblHeader/>
        </w:trPr>
        <w:tc>
          <w:tcPr>
            <w:tcW w:w="1980" w:type="dxa"/>
          </w:tcPr>
          <w:p w14:paraId="401A114C" w14:textId="77777777" w:rsidR="00984368" w:rsidRDefault="00984368" w:rsidP="00ED1410">
            <w:pPr>
              <w:pStyle w:val="TableHeading"/>
            </w:pPr>
            <w:r>
              <w:t>Outcome type</w:t>
            </w:r>
          </w:p>
        </w:tc>
        <w:tc>
          <w:tcPr>
            <w:tcW w:w="7591" w:type="dxa"/>
          </w:tcPr>
          <w:p w14:paraId="43166C8C" w14:textId="77777777" w:rsidR="00984368" w:rsidRDefault="00984368" w:rsidP="00ED1410">
            <w:pPr>
              <w:pStyle w:val="TableHeading"/>
            </w:pPr>
            <w:r>
              <w:t>Outcome</w:t>
            </w:r>
          </w:p>
        </w:tc>
      </w:tr>
      <w:tr w:rsidR="00984368" w14:paraId="0E77F0E9" w14:textId="77777777" w:rsidTr="00E266CF">
        <w:tc>
          <w:tcPr>
            <w:tcW w:w="1980" w:type="dxa"/>
          </w:tcPr>
          <w:p w14:paraId="49859D1B" w14:textId="77777777" w:rsidR="00984368" w:rsidRDefault="00984368" w:rsidP="00ED1410">
            <w:pPr>
              <w:pStyle w:val="Tabletext"/>
            </w:pPr>
            <w:r>
              <w:t>Safety</w:t>
            </w:r>
          </w:p>
        </w:tc>
        <w:tc>
          <w:tcPr>
            <w:tcW w:w="7591" w:type="dxa"/>
          </w:tcPr>
          <w:p w14:paraId="32834E2F" w14:textId="092DB1E5" w:rsidR="00E802EA" w:rsidRDefault="00E802EA" w:rsidP="00E802EA">
            <w:pPr>
              <w:pStyle w:val="Tabletext"/>
            </w:pPr>
            <w:r>
              <w:t>Intra</w:t>
            </w:r>
            <w:r w:rsidR="000C58CB">
              <w:t>operative</w:t>
            </w:r>
            <w:r>
              <w:t xml:space="preserve"> and postoperative complications</w:t>
            </w:r>
          </w:p>
          <w:p w14:paraId="725B3823" w14:textId="59DB38E7" w:rsidR="00E802EA" w:rsidRDefault="00E802EA" w:rsidP="00E802EA">
            <w:pPr>
              <w:pStyle w:val="Tabletext"/>
            </w:pPr>
            <w:r>
              <w:t>Device-related adverse events (e.g. extrusion, malfunction, processor issues</w:t>
            </w:r>
            <w:r w:rsidR="0074789E">
              <w:t>, infection</w:t>
            </w:r>
            <w:r>
              <w:t>)</w:t>
            </w:r>
          </w:p>
          <w:p w14:paraId="30859977" w14:textId="4269325A" w:rsidR="00E802EA" w:rsidRDefault="002917DD" w:rsidP="00E802EA">
            <w:pPr>
              <w:pStyle w:val="Tabletext"/>
            </w:pPr>
            <w:r>
              <w:t>R</w:t>
            </w:r>
            <w:r w:rsidR="00E802EA">
              <w:t>evisions</w:t>
            </w:r>
            <w:r w:rsidR="007A521A">
              <w:t xml:space="preserve">, </w:t>
            </w:r>
            <w:r w:rsidR="004223A3">
              <w:t xml:space="preserve">device </w:t>
            </w:r>
            <w:r w:rsidR="00E802EA">
              <w:t xml:space="preserve">explants </w:t>
            </w:r>
            <w:r w:rsidR="00F40221">
              <w:t xml:space="preserve">or reimplantation </w:t>
            </w:r>
            <w:r w:rsidR="00E802EA">
              <w:t>(reoperations due to device failure or patient intolerance)</w:t>
            </w:r>
          </w:p>
          <w:p w14:paraId="03F5F9AC" w14:textId="3BBB7AAE" w:rsidR="00984368" w:rsidRDefault="00E802EA" w:rsidP="00E802EA">
            <w:pPr>
              <w:pStyle w:val="Tabletext"/>
            </w:pPr>
            <w:r>
              <w:t xml:space="preserve">Long-term implant </w:t>
            </w:r>
            <w:r w:rsidR="005C1A90">
              <w:t>durability</w:t>
            </w:r>
            <w:r>
              <w:t xml:space="preserve"> (</w:t>
            </w:r>
            <w:r w:rsidR="004555E3">
              <w:t>≥</w:t>
            </w:r>
            <w:r>
              <w:t>5 years)</w:t>
            </w:r>
          </w:p>
        </w:tc>
      </w:tr>
      <w:tr w:rsidR="00984368" w14:paraId="5BF4D727" w14:textId="77777777" w:rsidTr="00E266CF">
        <w:tc>
          <w:tcPr>
            <w:tcW w:w="1980" w:type="dxa"/>
          </w:tcPr>
          <w:p w14:paraId="2A61E1AE" w14:textId="7D5EDC95" w:rsidR="00984368" w:rsidRDefault="00984368" w:rsidP="00ED1410">
            <w:pPr>
              <w:pStyle w:val="Tabletext"/>
            </w:pPr>
            <w:r>
              <w:t>Effectiveness</w:t>
            </w:r>
          </w:p>
        </w:tc>
        <w:tc>
          <w:tcPr>
            <w:tcW w:w="7591" w:type="dxa"/>
          </w:tcPr>
          <w:p w14:paraId="6B870392" w14:textId="77777777" w:rsidR="00E02898" w:rsidRDefault="006927E8" w:rsidP="006927E8">
            <w:pPr>
              <w:pStyle w:val="Tabletext"/>
            </w:pPr>
            <w:r>
              <w:t>Audiological outcomes</w:t>
            </w:r>
          </w:p>
          <w:p w14:paraId="5082C39A" w14:textId="2C8EE132" w:rsidR="00E02898" w:rsidRDefault="0020421E" w:rsidP="00E02898">
            <w:pPr>
              <w:pStyle w:val="Tabletext"/>
              <w:numPr>
                <w:ilvl w:val="0"/>
                <w:numId w:val="22"/>
              </w:numPr>
            </w:pPr>
            <w:r>
              <w:t>e</w:t>
            </w:r>
            <w:r w:rsidR="00537C50">
              <w:t xml:space="preserve">ffective </w:t>
            </w:r>
            <w:r>
              <w:t>g</w:t>
            </w:r>
            <w:r w:rsidR="00537C50">
              <w:t>ain</w:t>
            </w:r>
          </w:p>
          <w:p w14:paraId="2F6E2238" w14:textId="4A8AFE8A" w:rsidR="00E02898" w:rsidRDefault="0020421E" w:rsidP="00E02898">
            <w:pPr>
              <w:pStyle w:val="Tabletext"/>
              <w:numPr>
                <w:ilvl w:val="0"/>
                <w:numId w:val="22"/>
              </w:numPr>
            </w:pPr>
            <w:r>
              <w:t>f</w:t>
            </w:r>
            <w:r w:rsidR="006927E8">
              <w:t xml:space="preserve">unctional </w:t>
            </w:r>
            <w:r>
              <w:t>g</w:t>
            </w:r>
            <w:r w:rsidR="006927E8">
              <w:t>ain</w:t>
            </w:r>
          </w:p>
          <w:p w14:paraId="404538D9" w14:textId="32D5D9DB" w:rsidR="00E02898" w:rsidRDefault="00D60924" w:rsidP="00E02898">
            <w:pPr>
              <w:pStyle w:val="Tabletext"/>
              <w:numPr>
                <w:ilvl w:val="0"/>
                <w:numId w:val="22"/>
              </w:numPr>
            </w:pPr>
            <w:r>
              <w:t>s</w:t>
            </w:r>
            <w:r w:rsidR="006927E8">
              <w:t xml:space="preserve">peech </w:t>
            </w:r>
            <w:r>
              <w:t>r</w:t>
            </w:r>
            <w:r w:rsidR="006927E8">
              <w:t xml:space="preserve">ecognition scores </w:t>
            </w:r>
            <w:r w:rsidR="00A145EE">
              <w:t>(e.g.</w:t>
            </w:r>
            <w:r w:rsidR="00F77306">
              <w:t xml:space="preserve"> WRS</w:t>
            </w:r>
            <w:r w:rsidR="004C7425">
              <w:t xml:space="preserve">, </w:t>
            </w:r>
            <w:r w:rsidR="00FF04F0">
              <w:t>SIN t</w:t>
            </w:r>
            <w:r w:rsidR="00F77306">
              <w:t>est</w:t>
            </w:r>
            <w:r w:rsidR="00A145EE">
              <w:t>)</w:t>
            </w:r>
          </w:p>
          <w:p w14:paraId="57571327" w14:textId="4AB3EC3B" w:rsidR="006927E8" w:rsidRDefault="00CB2E66" w:rsidP="00E02898">
            <w:pPr>
              <w:pStyle w:val="Tabletext"/>
              <w:numPr>
                <w:ilvl w:val="0"/>
                <w:numId w:val="22"/>
              </w:numPr>
            </w:pPr>
            <w:r>
              <w:t>s</w:t>
            </w:r>
            <w:r w:rsidR="006927E8">
              <w:t xml:space="preserve">peech </w:t>
            </w:r>
            <w:r>
              <w:t>r</w:t>
            </w:r>
            <w:r w:rsidR="006927E8">
              <w:t xml:space="preserve">eception </w:t>
            </w:r>
            <w:r>
              <w:t>t</w:t>
            </w:r>
            <w:r w:rsidR="006927E8">
              <w:t>hreshold</w:t>
            </w:r>
            <w:r w:rsidR="0059714B">
              <w:t xml:space="preserve"> </w:t>
            </w:r>
            <w:r w:rsidR="009F4CFF">
              <w:t xml:space="preserve">in </w:t>
            </w:r>
            <w:r>
              <w:t>n</w:t>
            </w:r>
            <w:r w:rsidR="009F4CFF">
              <w:t>oise</w:t>
            </w:r>
            <w:r>
              <w:t xml:space="preserve"> (</w:t>
            </w:r>
            <w:r w:rsidR="00AE5409">
              <w:t xml:space="preserve">e.g. </w:t>
            </w:r>
            <w:r>
              <w:t>SRT 50</w:t>
            </w:r>
            <w:r w:rsidR="004C5ED3">
              <w:t xml:space="preserve"> test</w:t>
            </w:r>
            <w:r>
              <w:t>)</w:t>
            </w:r>
          </w:p>
          <w:p w14:paraId="0529B28B" w14:textId="4855D99A" w:rsidR="00F562D7" w:rsidRDefault="00F562D7" w:rsidP="00E02898">
            <w:pPr>
              <w:pStyle w:val="Tabletext"/>
              <w:numPr>
                <w:ilvl w:val="0"/>
                <w:numId w:val="22"/>
              </w:numPr>
            </w:pPr>
            <w:r>
              <w:t>sound loc</w:t>
            </w:r>
            <w:r w:rsidR="008D47CF">
              <w:t xml:space="preserve">alisation </w:t>
            </w:r>
            <w:r w:rsidR="00561D35">
              <w:t>tests</w:t>
            </w:r>
          </w:p>
          <w:p w14:paraId="0F781C06" w14:textId="77777777" w:rsidR="00D95CE3" w:rsidRDefault="00815F1C" w:rsidP="006927E8">
            <w:pPr>
              <w:pStyle w:val="Tabletext"/>
            </w:pPr>
            <w:r>
              <w:t xml:space="preserve">Patient-specific </w:t>
            </w:r>
            <w:r w:rsidR="00D95CE3">
              <w:t>outcomes</w:t>
            </w:r>
          </w:p>
          <w:p w14:paraId="32234C5A" w14:textId="6A12347D" w:rsidR="00D95CE3" w:rsidRDefault="00D95CE3" w:rsidP="006927E8">
            <w:pPr>
              <w:pStyle w:val="Tabletext"/>
              <w:numPr>
                <w:ilvl w:val="0"/>
                <w:numId w:val="23"/>
              </w:numPr>
            </w:pPr>
            <w:r>
              <w:t>h</w:t>
            </w:r>
            <w:r w:rsidR="006927E8">
              <w:t>earing-specific quality of life (e.g. APHAB</w:t>
            </w:r>
            <w:r w:rsidR="00624DE9">
              <w:t>,</w:t>
            </w:r>
            <w:r w:rsidR="006927E8">
              <w:t xml:space="preserve"> SSQ)</w:t>
            </w:r>
          </w:p>
          <w:p w14:paraId="51E51FCA" w14:textId="77777777" w:rsidR="00984368" w:rsidRDefault="00183AFA" w:rsidP="006927E8">
            <w:pPr>
              <w:pStyle w:val="Tabletext"/>
              <w:numPr>
                <w:ilvl w:val="0"/>
                <w:numId w:val="23"/>
              </w:numPr>
            </w:pPr>
            <w:r>
              <w:t>h</w:t>
            </w:r>
            <w:r w:rsidR="006927E8">
              <w:t xml:space="preserve">ealth-related </w:t>
            </w:r>
            <w:r w:rsidR="006927E8" w:rsidRPr="00CC163A">
              <w:t>quality of life</w:t>
            </w:r>
            <w:r w:rsidR="00211AC3" w:rsidRPr="00CC163A">
              <w:t xml:space="preserve"> (e.g. HUI3</w:t>
            </w:r>
            <w:r w:rsidR="007E7190">
              <w:t>, EQ-5D</w:t>
            </w:r>
            <w:r w:rsidR="00211AC3" w:rsidRPr="00CC163A">
              <w:t>)</w:t>
            </w:r>
          </w:p>
          <w:p w14:paraId="100CF3E2" w14:textId="54C5BF4B" w:rsidR="005A4A63" w:rsidRDefault="005A4A63" w:rsidP="006927E8">
            <w:pPr>
              <w:pStyle w:val="Tabletext"/>
              <w:numPr>
                <w:ilvl w:val="0"/>
                <w:numId w:val="23"/>
              </w:numPr>
            </w:pPr>
            <w:r>
              <w:t>patient satisfaction</w:t>
            </w:r>
          </w:p>
        </w:tc>
      </w:tr>
      <w:tr w:rsidR="00984368" w14:paraId="690E2BD6" w14:textId="77777777" w:rsidTr="00D77B64">
        <w:tc>
          <w:tcPr>
            <w:tcW w:w="1980" w:type="dxa"/>
          </w:tcPr>
          <w:p w14:paraId="5AEED9E5" w14:textId="77777777" w:rsidR="00984368" w:rsidRDefault="00984368" w:rsidP="00545BE1">
            <w:pPr>
              <w:pStyle w:val="Tabletext"/>
              <w:keepNext/>
            </w:pPr>
            <w:r>
              <w:lastRenderedPageBreak/>
              <w:t>Healthcare resources</w:t>
            </w:r>
          </w:p>
        </w:tc>
        <w:tc>
          <w:tcPr>
            <w:tcW w:w="7591" w:type="dxa"/>
          </w:tcPr>
          <w:p w14:paraId="7DF5058F" w14:textId="2862DA1E" w:rsidR="00F236A0" w:rsidRDefault="00F236A0" w:rsidP="00545BE1">
            <w:pPr>
              <w:pStyle w:val="Tabletext"/>
              <w:keepNext/>
            </w:pPr>
            <w:r>
              <w:t xml:space="preserve">Device </w:t>
            </w:r>
            <w:r w:rsidR="00B03A03">
              <w:t xml:space="preserve">costs </w:t>
            </w:r>
            <w:r w:rsidR="00B47E23">
              <w:t xml:space="preserve">(internal and external components) </w:t>
            </w:r>
          </w:p>
          <w:p w14:paraId="77067576" w14:textId="3BB4BFBB" w:rsidR="003B7627" w:rsidRDefault="003B7627" w:rsidP="00545BE1">
            <w:pPr>
              <w:pStyle w:val="Tabletext"/>
              <w:keepNext/>
            </w:pPr>
            <w:r>
              <w:t xml:space="preserve">Procedure </w:t>
            </w:r>
            <w:r w:rsidR="0066751F">
              <w:t>duration and costs</w:t>
            </w:r>
          </w:p>
          <w:p w14:paraId="3BE3309E" w14:textId="6F770A37" w:rsidR="00F236A0" w:rsidRDefault="00F236A0" w:rsidP="00545BE1">
            <w:pPr>
              <w:pStyle w:val="Tabletext"/>
              <w:keepNext/>
            </w:pPr>
            <w:r>
              <w:t>Maintenance/replacement costs</w:t>
            </w:r>
            <w:r w:rsidR="00B47E23">
              <w:t xml:space="preserve"> (internal and external components)</w:t>
            </w:r>
          </w:p>
          <w:p w14:paraId="15CCE602" w14:textId="77EEBD81" w:rsidR="00F236A0" w:rsidRDefault="00F236A0" w:rsidP="00545BE1">
            <w:pPr>
              <w:pStyle w:val="Tabletext"/>
              <w:keepNext/>
            </w:pPr>
            <w:r>
              <w:t xml:space="preserve">Costs associated with changes in clinical management (testing required before the procedure; follow up ENT </w:t>
            </w:r>
            <w:r w:rsidR="00592AB2">
              <w:t>and</w:t>
            </w:r>
            <w:r>
              <w:t xml:space="preserve"> audiology visits)</w:t>
            </w:r>
          </w:p>
          <w:p w14:paraId="37162ECC" w14:textId="60D1F3B5" w:rsidR="00984368" w:rsidRDefault="00F236A0" w:rsidP="00545BE1">
            <w:pPr>
              <w:pStyle w:val="Tabletext"/>
              <w:keepNext/>
            </w:pPr>
            <w:r>
              <w:t>Costs associated with management of adverse events</w:t>
            </w:r>
            <w:r w:rsidR="005F39E3">
              <w:t xml:space="preserve">, </w:t>
            </w:r>
            <w:r w:rsidR="003A0A92">
              <w:t xml:space="preserve">revision surgery and </w:t>
            </w:r>
            <w:r w:rsidR="00F10EB4">
              <w:t>explantation</w:t>
            </w:r>
          </w:p>
        </w:tc>
      </w:tr>
      <w:tr w:rsidR="00984368" w14:paraId="7F55D7CA" w14:textId="77777777" w:rsidTr="00B476FD">
        <w:trPr>
          <w:cantSplit/>
        </w:trPr>
        <w:tc>
          <w:tcPr>
            <w:tcW w:w="1980" w:type="dxa"/>
          </w:tcPr>
          <w:p w14:paraId="5FB4A7E0" w14:textId="77777777" w:rsidR="00984368" w:rsidRDefault="00984368" w:rsidP="00ED1410">
            <w:pPr>
              <w:pStyle w:val="Tabletext"/>
            </w:pPr>
            <w:r>
              <w:t>Cost-effectiveness</w:t>
            </w:r>
          </w:p>
        </w:tc>
        <w:tc>
          <w:tcPr>
            <w:tcW w:w="7591" w:type="dxa"/>
          </w:tcPr>
          <w:p w14:paraId="32ED5605" w14:textId="77777777" w:rsidR="00984368" w:rsidRDefault="00984368" w:rsidP="00ED1410">
            <w:pPr>
              <w:pStyle w:val="Tabletext"/>
            </w:pPr>
            <w:r>
              <w:t>Cost per QALY gained</w:t>
            </w:r>
          </w:p>
          <w:p w14:paraId="009C181E" w14:textId="54F89CA3" w:rsidR="005F39E3" w:rsidRDefault="005F39E3" w:rsidP="00ED1410">
            <w:pPr>
              <w:pStyle w:val="Tabletext"/>
            </w:pPr>
            <w:r>
              <w:t>C</w:t>
            </w:r>
            <w:r w:rsidRPr="005F39E3">
              <w:t xml:space="preserve">ost per </w:t>
            </w:r>
            <w:r w:rsidR="0086354B">
              <w:t>unit/point improvement</w:t>
            </w:r>
            <w:r w:rsidRPr="005F39E3">
              <w:t xml:space="preserve"> (based on audiological or patient-reported outcome thresholds) –</w:t>
            </w:r>
            <w:r w:rsidR="0086354B">
              <w:t xml:space="preserve"> </w:t>
            </w:r>
            <w:r w:rsidR="00DF77BC">
              <w:t xml:space="preserve">only </w:t>
            </w:r>
            <w:r w:rsidRPr="005F39E3">
              <w:t>if utilities/QALYs are not well established</w:t>
            </w:r>
            <w:r w:rsidR="00F26609">
              <w:t xml:space="preserve"> in the proposed population</w:t>
            </w:r>
          </w:p>
        </w:tc>
      </w:tr>
      <w:tr w:rsidR="00984368" w14:paraId="0D5056BA" w14:textId="77777777" w:rsidTr="00E266CF">
        <w:tc>
          <w:tcPr>
            <w:tcW w:w="1980" w:type="dxa"/>
          </w:tcPr>
          <w:p w14:paraId="1B4456A0" w14:textId="77777777" w:rsidR="00984368" w:rsidRDefault="00984368" w:rsidP="00ED1410">
            <w:pPr>
              <w:pStyle w:val="Tabletext"/>
            </w:pPr>
            <w:r w:rsidRPr="00CA2B9F">
              <w:t>Total Australian government healthcare costs</w:t>
            </w:r>
          </w:p>
        </w:tc>
        <w:tc>
          <w:tcPr>
            <w:tcW w:w="7591" w:type="dxa"/>
          </w:tcPr>
          <w:p w14:paraId="27BBE8E8" w14:textId="77777777" w:rsidR="00984368" w:rsidRDefault="00984368" w:rsidP="00ED1410">
            <w:pPr>
              <w:pStyle w:val="Tabletext"/>
            </w:pPr>
            <w:r>
              <w:t>Total cost to the MBS</w:t>
            </w:r>
          </w:p>
          <w:p w14:paraId="57430DC3" w14:textId="196E552E" w:rsidR="00984368" w:rsidRDefault="00984368" w:rsidP="00ED1410">
            <w:pPr>
              <w:pStyle w:val="Tabletext"/>
            </w:pPr>
            <w:r>
              <w:t>Total cost to other government health budgets</w:t>
            </w:r>
            <w:r w:rsidR="00472310">
              <w:t xml:space="preserve"> </w:t>
            </w:r>
            <w:r w:rsidR="00472310" w:rsidRPr="00472310">
              <w:t xml:space="preserve">(including the Australian Government </w:t>
            </w:r>
            <w:r w:rsidR="00B03A03">
              <w:t>HSP</w:t>
            </w:r>
            <w:r w:rsidR="00472310" w:rsidRPr="00472310">
              <w:t>)</w:t>
            </w:r>
          </w:p>
          <w:p w14:paraId="6EE2C945" w14:textId="4051562E" w:rsidR="0007367C" w:rsidRDefault="0007367C" w:rsidP="00ED1410">
            <w:pPr>
              <w:pStyle w:val="Tabletext"/>
            </w:pPr>
            <w:r>
              <w:t xml:space="preserve">Total cost to the </w:t>
            </w:r>
            <w:r w:rsidR="00581600">
              <w:t>PL</w:t>
            </w:r>
          </w:p>
        </w:tc>
      </w:tr>
    </w:tbl>
    <w:p w14:paraId="5E1BDE62" w14:textId="424CF82A" w:rsidR="00984368" w:rsidRDefault="00A6447D" w:rsidP="00792874">
      <w:pPr>
        <w:pStyle w:val="Tablenotes"/>
      </w:pPr>
      <w:r>
        <w:t xml:space="preserve">APHAB = </w:t>
      </w:r>
      <w:r w:rsidRPr="00A6447D">
        <w:t>Abbreviated Profile of Hearing Aid Benefit</w:t>
      </w:r>
      <w:r w:rsidR="00624DE9">
        <w:t xml:space="preserve">; </w:t>
      </w:r>
      <w:r w:rsidR="002867C1">
        <w:t xml:space="preserve">ENT = ear, nose, throat; </w:t>
      </w:r>
      <w:r w:rsidR="00203D05">
        <w:t xml:space="preserve">EQ-5D = EuroQol 5-dimension; </w:t>
      </w:r>
      <w:r w:rsidR="007E7190">
        <w:t>HUI</w:t>
      </w:r>
      <w:r w:rsidR="002867C1">
        <w:t>3</w:t>
      </w:r>
      <w:r w:rsidR="007E7190">
        <w:t xml:space="preserve"> = </w:t>
      </w:r>
      <w:r w:rsidR="00EA3203">
        <w:t>Health Utility Index</w:t>
      </w:r>
      <w:r w:rsidR="00376B57">
        <w:t xml:space="preserve"> Mark 3</w:t>
      </w:r>
      <w:r w:rsidR="00EA3203">
        <w:t xml:space="preserve">; </w:t>
      </w:r>
      <w:r w:rsidR="00B03A03">
        <w:t xml:space="preserve">HSP = Hearing Services Program; </w:t>
      </w:r>
      <w:r w:rsidR="00710BE5">
        <w:t xml:space="preserve">MBS = Medicare Benefits Schedule; </w:t>
      </w:r>
      <w:r w:rsidR="00581600">
        <w:t xml:space="preserve">PL = Prescribed List of Medical Devices and Human Tissue Products; </w:t>
      </w:r>
      <w:r w:rsidR="005F39E3">
        <w:t xml:space="preserve">QALY = quality-adjusted life year; </w:t>
      </w:r>
      <w:r w:rsidR="004C7425">
        <w:t xml:space="preserve">SIN = Speech in Noise; </w:t>
      </w:r>
      <w:r w:rsidR="00614E44">
        <w:t>SRT = </w:t>
      </w:r>
      <w:r w:rsidR="00CB2E66">
        <w:t>Speech Reception Threshold</w:t>
      </w:r>
      <w:r w:rsidR="00BB57A2">
        <w:t xml:space="preserve"> (50%</w:t>
      </w:r>
      <w:r w:rsidR="00041A91">
        <w:t xml:space="preserve"> of spoken </w:t>
      </w:r>
      <w:r w:rsidR="002163FC">
        <w:t>words</w:t>
      </w:r>
      <w:r w:rsidR="00BB57A2">
        <w:t>)</w:t>
      </w:r>
      <w:r w:rsidR="00CB2E66">
        <w:t xml:space="preserve">; </w:t>
      </w:r>
      <w:r w:rsidR="00624DE9">
        <w:t xml:space="preserve">SSQ = </w:t>
      </w:r>
      <w:r w:rsidR="00624DE9" w:rsidRPr="00624DE9">
        <w:t xml:space="preserve">Speech, Spatial and Qualities of Hearing </w:t>
      </w:r>
      <w:r w:rsidR="00624DE9" w:rsidRPr="00792874">
        <w:t>Scale</w:t>
      </w:r>
      <w:r w:rsidR="00396F01">
        <w:t>; WRS = Word Recognition Score</w:t>
      </w:r>
      <w:r w:rsidR="00B40A25">
        <w:t>.</w:t>
      </w:r>
      <w:r w:rsidR="00D1557F">
        <w:t xml:space="preserve"> </w:t>
      </w:r>
    </w:p>
    <w:p w14:paraId="64769542" w14:textId="16B350F6" w:rsidR="001E000C" w:rsidRDefault="00AC58DB" w:rsidP="001E000C">
      <w:r>
        <w:t>This list of outcomes</w:t>
      </w:r>
      <w:r w:rsidR="001E000C">
        <w:t xml:space="preserve"> </w:t>
      </w:r>
      <w:r w:rsidR="00C053CF">
        <w:t xml:space="preserve">in </w:t>
      </w:r>
      <w:r w:rsidR="00C053CF">
        <w:fldChar w:fldCharType="begin"/>
      </w:r>
      <w:r w:rsidR="00C053CF">
        <w:instrText xml:space="preserve"> REF _Ref190777176 \h </w:instrText>
      </w:r>
      <w:r w:rsidR="00C053CF">
        <w:fldChar w:fldCharType="separate"/>
      </w:r>
      <w:r w:rsidR="00A42764" w:rsidRPr="00AD26D1">
        <w:t xml:space="preserve">Table </w:t>
      </w:r>
      <w:r w:rsidR="00A42764">
        <w:rPr>
          <w:noProof/>
        </w:rPr>
        <w:t>10</w:t>
      </w:r>
      <w:r w:rsidR="00C053CF">
        <w:fldChar w:fldCharType="end"/>
      </w:r>
      <w:r w:rsidR="00C053CF">
        <w:t xml:space="preserve"> </w:t>
      </w:r>
      <w:r w:rsidR="001E000C">
        <w:t>expand</w:t>
      </w:r>
      <w:r>
        <w:t>s</w:t>
      </w:r>
      <w:r w:rsidR="001E000C">
        <w:t xml:space="preserve"> on the 4 key audiological outcomes proposed in the application:</w:t>
      </w:r>
    </w:p>
    <w:p w14:paraId="3448DEF7" w14:textId="6D70BA8D" w:rsidR="001E000C" w:rsidRDefault="001E000C" w:rsidP="001E000C">
      <w:pPr>
        <w:pStyle w:val="ListParagraph"/>
        <w:numPr>
          <w:ilvl w:val="0"/>
          <w:numId w:val="27"/>
        </w:numPr>
      </w:pPr>
      <w:r w:rsidRPr="00967C42">
        <w:rPr>
          <w:b/>
          <w:bCs/>
        </w:rPr>
        <w:t>Functional Gain</w:t>
      </w:r>
      <w:r>
        <w:t xml:space="preserve"> </w:t>
      </w:r>
      <w:r w:rsidRPr="00967C42">
        <w:t xml:space="preserve">refers to the difference in hearing thresholds measured in sound-field audiometry with and without the hearing device in place. It is calculated by subtracting aided thresholds from unaided thresholds across key frequencies (typically 0.5, 1, 2, and </w:t>
      </w:r>
      <w:r w:rsidR="00213BE7" w:rsidRPr="00967C42">
        <w:t>4</w:t>
      </w:r>
      <w:r w:rsidR="00213BE7">
        <w:t> </w:t>
      </w:r>
      <w:r w:rsidRPr="00967C42">
        <w:t xml:space="preserve">kHz). Functional gain reflects the overall benefit provided by the device in improving audibility, though it is influenced by environmental factors and the </w:t>
      </w:r>
      <w:r>
        <w:t>individual</w:t>
      </w:r>
      <w:r w:rsidRPr="00967C42">
        <w:t>’s own auditory responses.</w:t>
      </w:r>
    </w:p>
    <w:p w14:paraId="6A9E8956" w14:textId="3FF69ED8" w:rsidR="001E000C" w:rsidRDefault="001E000C" w:rsidP="001E000C">
      <w:pPr>
        <w:pStyle w:val="ListParagraph"/>
        <w:numPr>
          <w:ilvl w:val="0"/>
          <w:numId w:val="27"/>
        </w:numPr>
      </w:pPr>
      <w:r w:rsidRPr="00D72DD4">
        <w:rPr>
          <w:b/>
          <w:bCs/>
        </w:rPr>
        <w:t>Effective Gain</w:t>
      </w:r>
      <w:r>
        <w:t xml:space="preserve"> </w:t>
      </w:r>
      <w:r w:rsidRPr="00D72DD4">
        <w:t xml:space="preserve">is defined as the difference between the aided free-field threshold and the bone conduction threshold of the unaided ear. It is often used in the evaluation of implantable hearing devices to quantify how effectively the device compensates for the sensorineural component of </w:t>
      </w:r>
      <w:r w:rsidR="00EA7F0B">
        <w:t>hearing loss</w:t>
      </w:r>
      <w:r w:rsidRPr="00D72DD4">
        <w:t>. A smaller effective gain (i.e. closer match between aided threshold and bone conduction threshold) suggests more efficient transmission of sound to the cochlea.</w:t>
      </w:r>
    </w:p>
    <w:p w14:paraId="5F079FC0" w14:textId="72CD3EE5" w:rsidR="001E000C" w:rsidRDefault="001E000C" w:rsidP="001E000C">
      <w:pPr>
        <w:pStyle w:val="ListParagraph"/>
        <w:numPr>
          <w:ilvl w:val="0"/>
          <w:numId w:val="27"/>
        </w:numPr>
      </w:pPr>
      <w:r w:rsidRPr="00C108DC">
        <w:rPr>
          <w:b/>
          <w:bCs/>
        </w:rPr>
        <w:t>Word Recognition Score</w:t>
      </w:r>
      <w:r>
        <w:t xml:space="preserve"> (WRS) </w:t>
      </w:r>
      <w:r w:rsidRPr="00C108DC">
        <w:t xml:space="preserve">measures </w:t>
      </w:r>
      <w:r>
        <w:t>an individual</w:t>
      </w:r>
      <w:r w:rsidRPr="00C108DC">
        <w:t>’s ability to correctly identify and repeat phonetically balanced monosyllabic words</w:t>
      </w:r>
      <w:r>
        <w:t xml:space="preserve"> </w:t>
      </w:r>
      <w:r w:rsidRPr="002B05A2">
        <w:t xml:space="preserve">presented </w:t>
      </w:r>
      <w:r w:rsidR="0058291D">
        <w:t>‘</w:t>
      </w:r>
      <w:r w:rsidRPr="002B05A2">
        <w:t>in quiet</w:t>
      </w:r>
      <w:r w:rsidR="0058291D">
        <w:t>’</w:t>
      </w:r>
      <w:r w:rsidRPr="002B05A2">
        <w:t xml:space="preserve"> at a fixed sound pressure level</w:t>
      </w:r>
      <w:r w:rsidR="00BF1D58">
        <w:t xml:space="preserve"> (SPL)</w:t>
      </w:r>
      <w:r w:rsidRPr="002B05A2">
        <w:t xml:space="preserve">, commonly at 65 </w:t>
      </w:r>
      <w:r w:rsidR="00213BE7" w:rsidRPr="002B05A2">
        <w:t>dB</w:t>
      </w:r>
      <w:r w:rsidR="00213BE7">
        <w:t> </w:t>
      </w:r>
      <w:r w:rsidRPr="002B05A2">
        <w:t>SPL or at the individual’s most comfortable listening level.</w:t>
      </w:r>
      <w:r>
        <w:t xml:space="preserve"> </w:t>
      </w:r>
      <w:r w:rsidRPr="00C108DC">
        <w:t>It is expressed as a percentage of correctly repeated words and provides information on speech discrimination ability. WRS is typically assessed unaided and/or aided and is a key outcome in evaluating the functional benefits of hearing interventions.</w:t>
      </w:r>
    </w:p>
    <w:p w14:paraId="42887E16" w14:textId="77777777" w:rsidR="001E000C" w:rsidRDefault="001E000C" w:rsidP="001E000C">
      <w:pPr>
        <w:pStyle w:val="ListParagraph"/>
        <w:numPr>
          <w:ilvl w:val="0"/>
          <w:numId w:val="27"/>
        </w:numPr>
      </w:pPr>
      <w:r w:rsidRPr="00B56DEF">
        <w:rPr>
          <w:b/>
          <w:bCs/>
        </w:rPr>
        <w:t xml:space="preserve">Speech Reception Threshold </w:t>
      </w:r>
      <w:r>
        <w:rPr>
          <w:b/>
          <w:bCs/>
        </w:rPr>
        <w:t xml:space="preserve">(SRT) </w:t>
      </w:r>
      <w:r w:rsidRPr="00B56DEF">
        <w:rPr>
          <w:b/>
          <w:bCs/>
        </w:rPr>
        <w:t>in Noise</w:t>
      </w:r>
      <w:r>
        <w:t xml:space="preserve"> r</w:t>
      </w:r>
      <w:r w:rsidRPr="00B56DEF">
        <w:t>efers to the minimum signal-to-noise ratio (SNR) at which a</w:t>
      </w:r>
      <w:r>
        <w:t xml:space="preserve">n individual </w:t>
      </w:r>
      <w:r w:rsidRPr="00B56DEF">
        <w:t xml:space="preserve">can correctly repeat 50% of presented speech material (e.g. sentences or words) when background noise is present. </w:t>
      </w:r>
      <w:r>
        <w:t>SRT 50</w:t>
      </w:r>
      <w:r w:rsidRPr="00B56DEF">
        <w:t xml:space="preserve"> evaluates hearing performance under realistic listening conditions and is a sensitive measure of device performance in complex acoustic environments. Lower values indicate better performance.</w:t>
      </w:r>
    </w:p>
    <w:p w14:paraId="2BDBC9A1" w14:textId="0B640625" w:rsidR="00873C27" w:rsidRDefault="005A29F4" w:rsidP="00873C27">
      <w:r>
        <w:t>Although s</w:t>
      </w:r>
      <w:r w:rsidR="00873C27">
        <w:t>tandard audiological assessments provide objective measures of hearing performance</w:t>
      </w:r>
      <w:r>
        <w:t>,</w:t>
      </w:r>
      <w:r w:rsidR="00873C27">
        <w:t xml:space="preserve"> they do not reflect how individuals experience their hearing in everyday environments. </w:t>
      </w:r>
      <w:r w:rsidR="0033567E">
        <w:t>P</w:t>
      </w:r>
      <w:r w:rsidR="00873C27">
        <w:t>atient-reported outcomes provide a complementary perspective on treatment benefit.</w:t>
      </w:r>
      <w:r w:rsidR="00B44E32">
        <w:t xml:space="preserve"> </w:t>
      </w:r>
      <w:r w:rsidR="00873C27">
        <w:t>Instruments such as the Abbreviated Profile of Hearing Aid Benefit (APHAB) and the Speech, Spatial and Qualities of Hearing Scale (SSQ) offer validated, structured tools to quantify subjective improvements in hearing-related functioning.</w:t>
      </w:r>
    </w:p>
    <w:p w14:paraId="19A95B19" w14:textId="5A5B461A" w:rsidR="00873C27" w:rsidRDefault="0096369A" w:rsidP="00873C27">
      <w:r>
        <w:lastRenderedPageBreak/>
        <w:t>H</w:t>
      </w:r>
      <w:r w:rsidR="00873C27">
        <w:t xml:space="preserve">ealth-related quality of life (HRQoL) instruments (e.g. </w:t>
      </w:r>
      <w:r w:rsidR="0086145F" w:rsidRPr="0086145F">
        <w:t>EuroQol 5-dimension</w:t>
      </w:r>
      <w:r w:rsidR="0086145F">
        <w:t xml:space="preserve"> </w:t>
      </w:r>
      <w:r w:rsidR="00C00D77">
        <w:t xml:space="preserve">[EQ-5D]; </w:t>
      </w:r>
      <w:r w:rsidR="0086145F" w:rsidRPr="0086145F">
        <w:t>Health Utility Index Mark 3</w:t>
      </w:r>
      <w:r w:rsidR="00C00D77">
        <w:t xml:space="preserve"> [</w:t>
      </w:r>
      <w:r w:rsidR="00873C27">
        <w:t xml:space="preserve"> HUI3</w:t>
      </w:r>
      <w:r w:rsidR="00C00D77">
        <w:t>]</w:t>
      </w:r>
      <w:r w:rsidR="00873C27">
        <w:t xml:space="preserve">) </w:t>
      </w:r>
      <w:r w:rsidR="004D0A7F">
        <w:t>are informative for</w:t>
      </w:r>
      <w:r w:rsidR="001E4481">
        <w:t xml:space="preserve"> the economic evaluation and </w:t>
      </w:r>
      <w:r w:rsidR="00873C27">
        <w:t>allow for broader assessment of how hearing improvement translates to general physical, emotional, and social well-being.</w:t>
      </w:r>
    </w:p>
    <w:p w14:paraId="526FC9A4" w14:textId="77777777" w:rsidR="00CF0206" w:rsidRDefault="00CF0206" w:rsidP="00CF0206">
      <w:r>
        <w:t>Patient satisfaction surveys and global rating scales provide additional insight into how users value the hearing device, their willingness to use it regularly, and the extent to which it meets their expectations — all of which are important for long-term device acceptance and adherence.</w:t>
      </w:r>
    </w:p>
    <w:p w14:paraId="76283CFF" w14:textId="3E49C900" w:rsidR="00E5562A" w:rsidRDefault="0017053A" w:rsidP="0017053A">
      <w:r w:rsidRPr="001D3DDD">
        <w:t xml:space="preserve">Assessing the rate of device revisions and explantations is </w:t>
      </w:r>
      <w:r w:rsidR="00FF4840">
        <w:t>crucial</w:t>
      </w:r>
      <w:r w:rsidRPr="001D3DDD">
        <w:t xml:space="preserve"> for evaluating the long-term safety</w:t>
      </w:r>
      <w:r w:rsidR="0001313F" w:rsidRPr="001D3DDD">
        <w:t xml:space="preserve"> and</w:t>
      </w:r>
      <w:r w:rsidRPr="001D3DDD">
        <w:t xml:space="preserve"> durability</w:t>
      </w:r>
      <w:r w:rsidR="0001313F" w:rsidRPr="001D3DDD">
        <w:t xml:space="preserve"> </w:t>
      </w:r>
      <w:r w:rsidRPr="001D3DDD">
        <w:t xml:space="preserve">of </w:t>
      </w:r>
      <w:r w:rsidR="00F6547C">
        <w:t>implanted devices</w:t>
      </w:r>
      <w:r w:rsidRPr="001D3DDD">
        <w:t>.</w:t>
      </w:r>
      <w:r w:rsidR="00820ECA" w:rsidRPr="001D3DDD">
        <w:t xml:space="preserve"> </w:t>
      </w:r>
      <w:r w:rsidRPr="001D3DDD">
        <w:t>Revisions may be required due to medical complications such as infection, device migration, or coupling failure, or due to technical issues such as device malfunction or failure of the external processor to communicate effectively with the internal component. Explantation, while less common, may be necessary in cases of irreversible complications, non-responsiveness, or patient dissatisfaction with auditory outcomes.</w:t>
      </w:r>
      <w:r w:rsidR="001D3DDD" w:rsidRPr="001D3DDD">
        <w:t xml:space="preserve"> </w:t>
      </w:r>
    </w:p>
    <w:p w14:paraId="25BF840F" w14:textId="6128D2B4" w:rsidR="0017053A" w:rsidRPr="001D3DDD" w:rsidRDefault="0017053A" w:rsidP="0017053A">
      <w:r w:rsidRPr="001D3DDD">
        <w:t>Revision and explantation procedures can contribute to increased costs, hospital utilisation, and patient morbidity, and may adversely affect patient confidence in the intervention.</w:t>
      </w:r>
    </w:p>
    <w:p w14:paraId="30C66570" w14:textId="5AC78E4A" w:rsidR="0017053A" w:rsidRDefault="001D3DDD" w:rsidP="0017053A">
      <w:r w:rsidRPr="008A0943">
        <w:t>D</w:t>
      </w:r>
      <w:r w:rsidR="0017053A" w:rsidRPr="008A0943">
        <w:t>evice longevity and the need for revision are particularly important in children and adolescents, who may rely on the implant for many decades.</w:t>
      </w:r>
    </w:p>
    <w:p w14:paraId="080EDB2B" w14:textId="79AFD546" w:rsidR="002D3FB8" w:rsidRPr="00D67420" w:rsidRDefault="00977E35" w:rsidP="0017053A">
      <w:pPr>
        <w:rPr>
          <w:i/>
          <w:iCs/>
        </w:rPr>
      </w:pPr>
      <w:r w:rsidRPr="00685F9B">
        <w:rPr>
          <w:i/>
          <w:iCs/>
        </w:rPr>
        <w:t>PASC advised that the assessment should include the full downstream costs following delivery of both the proposed service and the comparators, encompassing subsequent testing, follow-up services and care, and any optimisation requirements of the device post-implant, including revision surgery and replacement devices.</w:t>
      </w:r>
    </w:p>
    <w:p w14:paraId="6069F0B5" w14:textId="77777777" w:rsidR="00D73332" w:rsidRDefault="00D73332" w:rsidP="00713728">
      <w:pPr>
        <w:pStyle w:val="Heading2"/>
      </w:pPr>
      <w:bookmarkStart w:id="17" w:name="_Ref203232823"/>
      <w:r w:rsidRPr="00490FBB">
        <w:t>Clinical management algorithms</w:t>
      </w:r>
      <w:bookmarkEnd w:id="17"/>
    </w:p>
    <w:p w14:paraId="541CEB45" w14:textId="61682346" w:rsidR="00A14C39" w:rsidRDefault="00115E36" w:rsidP="00381D84">
      <w:pPr>
        <w:pStyle w:val="Heading3"/>
      </w:pPr>
      <w:r>
        <w:t>Clinical management prior to implantation of an AMEI</w:t>
      </w:r>
    </w:p>
    <w:p w14:paraId="7766FC9C" w14:textId="0AC55432" w:rsidR="001C72A1" w:rsidRDefault="001C72A1" w:rsidP="001C72A1">
      <w:r>
        <w:t xml:space="preserve">In the Australian clinical setting, </w:t>
      </w:r>
      <w:r w:rsidR="00F53C9D">
        <w:t>individu</w:t>
      </w:r>
      <w:r w:rsidR="00776441">
        <w:t>al</w:t>
      </w:r>
      <w:r w:rsidR="00F53C9D">
        <w:t xml:space="preserve">s </w:t>
      </w:r>
      <w:r>
        <w:t>considered for an AMEI typically follow a multidisciplinary care pathway</w:t>
      </w:r>
      <w:r w:rsidR="00052B69">
        <w:t>,</w:t>
      </w:r>
      <w:r>
        <w:t xml:space="preserve"> ensur</w:t>
      </w:r>
      <w:r w:rsidR="00052B69">
        <w:t>ing that</w:t>
      </w:r>
      <w:r>
        <w:t xml:space="preserve"> all conventional </w:t>
      </w:r>
      <w:r w:rsidR="00052B69">
        <w:t xml:space="preserve">treatment </w:t>
      </w:r>
      <w:r>
        <w:t xml:space="preserve">options have been </w:t>
      </w:r>
      <w:r w:rsidR="00052B69">
        <w:t xml:space="preserve">trialled </w:t>
      </w:r>
      <w:r>
        <w:t>or deemed unsuitable prior to implantation.</w:t>
      </w:r>
    </w:p>
    <w:p w14:paraId="25B04B9D" w14:textId="74A66DAA" w:rsidR="001C72A1" w:rsidRDefault="001D2990" w:rsidP="001C72A1">
      <w:r>
        <w:t xml:space="preserve">Patients </w:t>
      </w:r>
      <w:r w:rsidR="00864498">
        <w:t xml:space="preserve">commonly first </w:t>
      </w:r>
      <w:r>
        <w:t>present</w:t>
      </w:r>
      <w:r w:rsidR="001C72A1">
        <w:t xml:space="preserve"> </w:t>
      </w:r>
      <w:r w:rsidR="00415A3B">
        <w:t xml:space="preserve">with hearing loss </w:t>
      </w:r>
      <w:r w:rsidR="001C72A1">
        <w:t xml:space="preserve">to </w:t>
      </w:r>
      <w:r w:rsidR="00A80A1D">
        <w:t xml:space="preserve">either </w:t>
      </w:r>
      <w:r w:rsidR="001C72A1">
        <w:t xml:space="preserve">a </w:t>
      </w:r>
      <w:r w:rsidR="007C5909">
        <w:t>general practitioner (</w:t>
      </w:r>
      <w:r w:rsidR="00762019">
        <w:t>GP</w:t>
      </w:r>
      <w:r w:rsidR="007C5909">
        <w:t>)</w:t>
      </w:r>
      <w:r w:rsidR="00AE32BD">
        <w:t xml:space="preserve"> or</w:t>
      </w:r>
      <w:r w:rsidR="001C72A1">
        <w:t xml:space="preserve"> </w:t>
      </w:r>
      <w:r w:rsidR="00864498">
        <w:t xml:space="preserve">an </w:t>
      </w:r>
      <w:r w:rsidR="001C72A1">
        <w:t xml:space="preserve">audiologist. </w:t>
      </w:r>
      <w:r w:rsidR="00F8778A">
        <w:t xml:space="preserve">The GP may </w:t>
      </w:r>
      <w:r w:rsidR="00864498">
        <w:t>initiate</w:t>
      </w:r>
      <w:r w:rsidR="00577783">
        <w:t xml:space="preserve"> initial management or refer the patient to an ENT specialist</w:t>
      </w:r>
      <w:r w:rsidR="009D7C92">
        <w:t xml:space="preserve"> for further investigation</w:t>
      </w:r>
      <w:r w:rsidR="00577783">
        <w:t>.</w:t>
      </w:r>
      <w:r w:rsidR="009D7C92">
        <w:t xml:space="preserve"> A</w:t>
      </w:r>
      <w:r w:rsidR="00D92206">
        <w:t>udiologist</w:t>
      </w:r>
      <w:r w:rsidR="009D7C92">
        <w:t>s</w:t>
      </w:r>
      <w:r w:rsidR="00D92206">
        <w:t xml:space="preserve"> </w:t>
      </w:r>
      <w:r w:rsidR="009D7C92">
        <w:t>conduct</w:t>
      </w:r>
      <w:r w:rsidR="00F13D46">
        <w:t xml:space="preserve"> a c</w:t>
      </w:r>
      <w:r w:rsidR="00D92206">
        <w:t xml:space="preserve">omprehensive </w:t>
      </w:r>
      <w:r w:rsidR="001C72A1">
        <w:t>diagnostic assessment</w:t>
      </w:r>
      <w:r w:rsidR="009D7C92">
        <w:t>, including</w:t>
      </w:r>
      <w:r w:rsidR="001C72A1">
        <w:t xml:space="preserve"> </w:t>
      </w:r>
      <w:r w:rsidR="001760A5">
        <w:t>pure tone audiometry</w:t>
      </w:r>
      <w:r w:rsidR="00FB090E">
        <w:t xml:space="preserve"> (</w:t>
      </w:r>
      <w:r w:rsidR="001C72A1">
        <w:t>air and bone conduction</w:t>
      </w:r>
      <w:r w:rsidR="009D7C92">
        <w:t xml:space="preserve"> thresholds</w:t>
      </w:r>
      <w:r w:rsidR="00FB090E">
        <w:t>)</w:t>
      </w:r>
      <w:r w:rsidR="001C72A1">
        <w:t xml:space="preserve">, tympanometry, and speech discrimination testing. </w:t>
      </w:r>
    </w:p>
    <w:p w14:paraId="4F409EA4" w14:textId="41D0EB98" w:rsidR="00F13D46" w:rsidRDefault="00FA230E" w:rsidP="001C72A1">
      <w:r>
        <w:t>R</w:t>
      </w:r>
      <w:r w:rsidR="00F13D46" w:rsidRPr="000833E3">
        <w:t xml:space="preserve">eferral requirements for audiology services </w:t>
      </w:r>
      <w:r>
        <w:t xml:space="preserve">in Australia </w:t>
      </w:r>
      <w:r w:rsidR="00F13D46" w:rsidRPr="000833E3">
        <w:t xml:space="preserve">vary by funding </w:t>
      </w:r>
      <w:r>
        <w:t>source</w:t>
      </w:r>
      <w:r w:rsidR="00F13D46" w:rsidRPr="000833E3">
        <w:t xml:space="preserve">. Medicare-funded </w:t>
      </w:r>
      <w:r>
        <w:t xml:space="preserve">diagnostic </w:t>
      </w:r>
      <w:r w:rsidR="00F13D46" w:rsidRPr="000833E3">
        <w:t>audiology services require a referral from a medical practitioner</w:t>
      </w:r>
      <w:r>
        <w:t>. In contrast,</w:t>
      </w:r>
      <w:r w:rsidR="00F13D46" w:rsidRPr="000833E3">
        <w:t xml:space="preserve"> </w:t>
      </w:r>
      <w:r w:rsidR="0014452B">
        <w:t xml:space="preserve">services provided under the </w:t>
      </w:r>
      <w:r w:rsidR="00F13D46">
        <w:t>HSP</w:t>
      </w:r>
      <w:r w:rsidR="00F13D46" w:rsidRPr="000833E3">
        <w:t xml:space="preserve">, </w:t>
      </w:r>
      <w:r w:rsidR="00F13D46">
        <w:t>National Disability Insurance Scheme (</w:t>
      </w:r>
      <w:r w:rsidR="00F13D46" w:rsidRPr="000833E3">
        <w:t>NDIS</w:t>
      </w:r>
      <w:r w:rsidR="00F13D46">
        <w:t>)</w:t>
      </w:r>
      <w:r w:rsidR="0014452B">
        <w:t>, or privately</w:t>
      </w:r>
      <w:r w:rsidR="00397DDE">
        <w:t xml:space="preserve"> </w:t>
      </w:r>
      <w:r w:rsidR="00F13D46" w:rsidRPr="000833E3">
        <w:t xml:space="preserve">funded </w:t>
      </w:r>
      <w:r w:rsidR="00397DDE">
        <w:t>care generally allow direct access without a GP referral</w:t>
      </w:r>
      <w:r w:rsidR="00F13D46" w:rsidRPr="000833E3">
        <w:t>.</w:t>
      </w:r>
      <w:r w:rsidR="00F13D46">
        <w:t xml:space="preserve"> </w:t>
      </w:r>
    </w:p>
    <w:p w14:paraId="63F88091" w14:textId="738AE560" w:rsidR="00D01F9C" w:rsidRDefault="001C72A1" w:rsidP="000E66E6">
      <w:r>
        <w:t xml:space="preserve">Initial management </w:t>
      </w:r>
      <w:r w:rsidR="00397DDE">
        <w:t>prioritises</w:t>
      </w:r>
      <w:r>
        <w:t xml:space="preserve"> the least invasive and most </w:t>
      </w:r>
      <w:r w:rsidR="00397DDE">
        <w:t>accessible</w:t>
      </w:r>
      <w:r>
        <w:t xml:space="preserve"> interventions. This may </w:t>
      </w:r>
      <w:r w:rsidR="00397DDE">
        <w:t xml:space="preserve">involve </w:t>
      </w:r>
      <w:r>
        <w:t xml:space="preserve">medical or surgical treatment of reversible middle ear pathology (e.g. tympanic membrane perforation or otitis media with effusion), and/or a trial of </w:t>
      </w:r>
      <w:r w:rsidR="00397DDE">
        <w:t xml:space="preserve">hearing amplification </w:t>
      </w:r>
      <w:r w:rsidR="008708D0">
        <w:t xml:space="preserve">using </w:t>
      </w:r>
      <w:r>
        <w:t>conventional air</w:t>
      </w:r>
      <w:r w:rsidR="00856473">
        <w:t xml:space="preserve"> </w:t>
      </w:r>
      <w:r>
        <w:t>conduction or bone</w:t>
      </w:r>
      <w:r w:rsidR="003B0458">
        <w:t xml:space="preserve"> </w:t>
      </w:r>
      <w:r>
        <w:t>conduction hearing aids.</w:t>
      </w:r>
    </w:p>
    <w:p w14:paraId="0E8ED655" w14:textId="3F167C59" w:rsidR="00D01F9C" w:rsidRDefault="00D01F9C" w:rsidP="000E66E6">
      <w:r w:rsidRPr="00D01F9C">
        <w:lastRenderedPageBreak/>
        <w:t xml:space="preserve">ENT specialists are responsible for confirming the diagnosis and underlying cause of </w:t>
      </w:r>
      <w:r w:rsidR="00845D16">
        <w:t xml:space="preserve">the </w:t>
      </w:r>
      <w:r w:rsidRPr="00D01F9C">
        <w:t xml:space="preserve">hearing loss, </w:t>
      </w:r>
      <w:r w:rsidR="008708D0">
        <w:t>assessing</w:t>
      </w:r>
      <w:r w:rsidRPr="00D01F9C">
        <w:t xml:space="preserve"> suitability for surgical intervention</w:t>
      </w:r>
      <w:r w:rsidR="00845D16">
        <w:t xml:space="preserve"> (e.g. tympanoplasty</w:t>
      </w:r>
      <w:r w:rsidR="008708D0">
        <w:t xml:space="preserve"> or</w:t>
      </w:r>
      <w:r w:rsidR="00845D16">
        <w:t xml:space="preserve"> ossiculoplasty)</w:t>
      </w:r>
      <w:r w:rsidRPr="00D01F9C">
        <w:t xml:space="preserve">, and coordinating </w:t>
      </w:r>
      <w:r w:rsidR="00287A74">
        <w:t xml:space="preserve">necessary </w:t>
      </w:r>
      <w:r w:rsidRPr="00D01F9C">
        <w:t xml:space="preserve">imaging and multidisciplinary care. </w:t>
      </w:r>
      <w:r w:rsidR="00F440EF">
        <w:t xml:space="preserve">Where </w:t>
      </w:r>
      <w:r w:rsidR="00287A74">
        <w:t>required</w:t>
      </w:r>
      <w:r w:rsidR="00F440EF">
        <w:t>, high-resolution computed tomography (CT) of the temporal bone</w:t>
      </w:r>
      <w:r w:rsidR="00287A74">
        <w:t>s</w:t>
      </w:r>
      <w:r w:rsidR="00F440EF">
        <w:t xml:space="preserve"> is </w:t>
      </w:r>
      <w:r w:rsidR="00287A74">
        <w:t>used to assess</w:t>
      </w:r>
      <w:r w:rsidR="00F440EF">
        <w:t xml:space="preserve"> ossicular </w:t>
      </w:r>
      <w:r w:rsidR="00287A74">
        <w:t xml:space="preserve">integrity, </w:t>
      </w:r>
      <w:r w:rsidR="00936FFF" w:rsidRPr="00936FFF">
        <w:t>mastoid pneumatisation, round and oval window patency, and any anatomical contraindications</w:t>
      </w:r>
      <w:r w:rsidRPr="00D01F9C">
        <w:t xml:space="preserve">. </w:t>
      </w:r>
      <w:r w:rsidR="00936FFF">
        <w:t>Magnetic resonance imaging (</w:t>
      </w:r>
      <w:r w:rsidR="0013076F">
        <w:t>MRI</w:t>
      </w:r>
      <w:r w:rsidR="00936FFF">
        <w:t>)</w:t>
      </w:r>
      <w:r w:rsidR="0013076F">
        <w:t xml:space="preserve"> may also be requested </w:t>
      </w:r>
      <w:r w:rsidR="00936FFF">
        <w:t>when</w:t>
      </w:r>
      <w:r w:rsidR="0013076F">
        <w:t xml:space="preserve"> inner ear or retrocochlear pathology</w:t>
      </w:r>
      <w:r w:rsidR="00936FFF">
        <w:t xml:space="preserve"> is suspected</w:t>
      </w:r>
      <w:r w:rsidR="00071AC1">
        <w:t xml:space="preserve">. </w:t>
      </w:r>
    </w:p>
    <w:p w14:paraId="49708553" w14:textId="36F880FE" w:rsidR="00163C5B" w:rsidRDefault="001C72A1" w:rsidP="001C72A1">
      <w:r>
        <w:t xml:space="preserve">If </w:t>
      </w:r>
      <w:r w:rsidR="00936FFF">
        <w:t>conventional treatments</w:t>
      </w:r>
      <w:r>
        <w:t xml:space="preserve"> do not provide </w:t>
      </w:r>
      <w:r w:rsidR="00936FFF">
        <w:t xml:space="preserve">sufficient </w:t>
      </w:r>
      <w:r>
        <w:t xml:space="preserve">benefit, are not </w:t>
      </w:r>
      <w:r w:rsidR="00760F48">
        <w:t>feasible</w:t>
      </w:r>
      <w:r w:rsidR="00936FFF">
        <w:t>,</w:t>
      </w:r>
      <w:r w:rsidR="00760F48">
        <w:t xml:space="preserve"> or </w:t>
      </w:r>
      <w:r w:rsidR="00936FFF">
        <w:t>are contraindicated</w:t>
      </w:r>
      <w:r>
        <w:t xml:space="preserve"> due to anatomical, medical, or dermatological factors, the patient may be </w:t>
      </w:r>
      <w:r w:rsidR="001C5835">
        <w:t xml:space="preserve">considered for an </w:t>
      </w:r>
      <w:r>
        <w:t xml:space="preserve">implantable hearing </w:t>
      </w:r>
      <w:r w:rsidR="003B1B36">
        <w:t>device</w:t>
      </w:r>
      <w:r w:rsidR="00BD1718">
        <w:t xml:space="preserve"> such as an AMEI</w:t>
      </w:r>
      <w:r>
        <w:t>.</w:t>
      </w:r>
    </w:p>
    <w:p w14:paraId="6C768FCD" w14:textId="68716981" w:rsidR="001C72A1" w:rsidRDefault="00AA6CFE" w:rsidP="001C72A1">
      <w:r>
        <w:t>A</w:t>
      </w:r>
      <w:r w:rsidR="001C72A1">
        <w:t xml:space="preserve"> </w:t>
      </w:r>
      <w:r w:rsidR="00BD1718">
        <w:t xml:space="preserve">formal </w:t>
      </w:r>
      <w:r w:rsidR="002B31DD">
        <w:t>multi</w:t>
      </w:r>
      <w:r w:rsidR="001C72A1">
        <w:t xml:space="preserve">disciplinary assessment is undertaken to </w:t>
      </w:r>
      <w:r w:rsidR="00BD1718">
        <w:t xml:space="preserve">determine </w:t>
      </w:r>
      <w:r w:rsidR="001C72A1">
        <w:t>candidacy</w:t>
      </w:r>
      <w:r w:rsidR="00BD1718">
        <w:t xml:space="preserve"> for AMEI implantation</w:t>
      </w:r>
      <w:r w:rsidR="001C72A1">
        <w:t xml:space="preserve">. This includes a detailed review of the patient’s audiological profile, </w:t>
      </w:r>
      <w:r w:rsidR="00AD1959">
        <w:t>imaging</w:t>
      </w:r>
      <w:r w:rsidR="00BD1718">
        <w:t xml:space="preserve"> findings</w:t>
      </w:r>
      <w:r w:rsidR="001C72A1">
        <w:t>, and broader clinical considerations</w:t>
      </w:r>
      <w:r w:rsidR="00BE3BFF">
        <w:t xml:space="preserve"> such as </w:t>
      </w:r>
      <w:r w:rsidR="0030054C">
        <w:t xml:space="preserve">age, </w:t>
      </w:r>
      <w:r w:rsidR="00F55C01">
        <w:t xml:space="preserve">communication needs, previous middle ear surgery, and patient </w:t>
      </w:r>
      <w:r w:rsidR="00BE3BFF">
        <w:t>expectations</w:t>
      </w:r>
      <w:r w:rsidR="001C72A1">
        <w:t xml:space="preserve">. </w:t>
      </w:r>
    </w:p>
    <w:p w14:paraId="57866EAA" w14:textId="179E1184" w:rsidR="001C72A1" w:rsidRDefault="001C72A1" w:rsidP="001C72A1">
      <w:r>
        <w:t xml:space="preserve">Patients and/or their caregivers are counselled about the potential risks and benefits of implantation, device use and maintenance, and the differences between alternative interventions. This process </w:t>
      </w:r>
      <w:r w:rsidR="00E8672D">
        <w:t xml:space="preserve">may </w:t>
      </w:r>
      <w:r>
        <w:t>also include consideration of whether unilateral or bilateral implantation is appropriate based on the severity and symmetry of hearing loss and functional needs. Multidisciplinary team discussions ensure that timing and sequencing of any required treatment for the underlying ear pathology is completed prior to surgery.</w:t>
      </w:r>
    </w:p>
    <w:p w14:paraId="5541D61C" w14:textId="5292ABA7" w:rsidR="00C70B9F" w:rsidRDefault="006B0E9A" w:rsidP="001C72A1">
      <w:r w:rsidRPr="006B0E9A">
        <w:t xml:space="preserve">The application stated that healthcare resource use prior to implantation is </w:t>
      </w:r>
      <w:r w:rsidR="00AC6D5F">
        <w:t>comparable</w:t>
      </w:r>
      <w:r w:rsidRPr="006B0E9A">
        <w:t xml:space="preserve"> for AMEIs and active transcutaneous BCIs. However, </w:t>
      </w:r>
      <w:r w:rsidR="00F10ACC">
        <w:t>a</w:t>
      </w:r>
      <w:r w:rsidRPr="006B0E9A">
        <w:t xml:space="preserve"> radiologist is recommended as part of the multidisciplinary team to assess </w:t>
      </w:r>
      <w:r w:rsidR="00DA50E4" w:rsidRPr="00DA50E4">
        <w:t xml:space="preserve">anatomical suitability for implantation. </w:t>
      </w:r>
      <w:r w:rsidR="00E7786D" w:rsidRPr="00E7786D">
        <w:t xml:space="preserve">Radiological input </w:t>
      </w:r>
      <w:r w:rsidR="00E738F5">
        <w:t xml:space="preserve">is essential to </w:t>
      </w:r>
      <w:r w:rsidR="007F33DE">
        <w:t>identify</w:t>
      </w:r>
      <w:r w:rsidR="00E7786D" w:rsidRPr="00E7786D">
        <w:t xml:space="preserve"> anatomical contraindications</w:t>
      </w:r>
      <w:r w:rsidR="007F33DE">
        <w:t xml:space="preserve"> – </w:t>
      </w:r>
      <w:r w:rsidR="00E7786D" w:rsidRPr="00E7786D">
        <w:t xml:space="preserve">such as facial nerve dehiscence, aberrant vascular structures, or </w:t>
      </w:r>
      <w:r w:rsidR="007F33DE">
        <w:t>limited</w:t>
      </w:r>
      <w:r w:rsidR="00E7786D" w:rsidRPr="00E7786D">
        <w:t xml:space="preserve"> middle ear space</w:t>
      </w:r>
      <w:r w:rsidR="007F33DE">
        <w:t xml:space="preserve"> – </w:t>
      </w:r>
      <w:r w:rsidR="00E7786D" w:rsidRPr="00E7786D">
        <w:t xml:space="preserve">prior to surgery. </w:t>
      </w:r>
      <w:r w:rsidR="00E8277E" w:rsidRPr="00E8277E">
        <w:t xml:space="preserve">This </w:t>
      </w:r>
      <w:r w:rsidR="00EA247D">
        <w:t xml:space="preserve">supports appropriate patient selection and </w:t>
      </w:r>
      <w:r w:rsidR="004C3229">
        <w:t>enables</w:t>
      </w:r>
      <w:r w:rsidR="00041EE0" w:rsidRPr="00041EE0">
        <w:t xml:space="preserve"> safe and effective surgical planning.</w:t>
      </w:r>
    </w:p>
    <w:p w14:paraId="17D536E8" w14:textId="13147C04" w:rsidR="005E4A4B" w:rsidRDefault="00712FAB" w:rsidP="00922629">
      <w:pPr>
        <w:pStyle w:val="Heading3"/>
      </w:pPr>
      <w:r>
        <w:t>Follow up after implantation of an AMEI</w:t>
      </w:r>
    </w:p>
    <w:p w14:paraId="18623165" w14:textId="581DAEC9" w:rsidR="00C577F0" w:rsidRPr="00244CFB" w:rsidRDefault="00C577F0" w:rsidP="00C577F0">
      <w:r w:rsidRPr="00244CFB">
        <w:t>Following surgical implantation of an AMEI, patients in Australia typically follow a postoperative care pathway designed to support wound healing, device function, and long-term hearing outcomes. Care is delivered through both hospital-based ENT services and community audiology clinics.</w:t>
      </w:r>
    </w:p>
    <w:p w14:paraId="4F27C071" w14:textId="4134AB43" w:rsidR="00712FAB" w:rsidRDefault="00712FAB" w:rsidP="00712FAB">
      <w:r w:rsidRPr="00244CFB">
        <w:t xml:space="preserve">Activation of the audio processor occurs approximately </w:t>
      </w:r>
      <w:r>
        <w:t>4</w:t>
      </w:r>
      <w:r w:rsidRPr="00244CFB">
        <w:t xml:space="preserve"> to </w:t>
      </w:r>
      <w:r>
        <w:t>6</w:t>
      </w:r>
      <w:r w:rsidRPr="00244CFB">
        <w:t xml:space="preserve"> weeks </w:t>
      </w:r>
      <w:r w:rsidR="00927506">
        <w:t xml:space="preserve">after </w:t>
      </w:r>
      <w:r w:rsidRPr="00244CFB">
        <w:t>surgery. The external audio processor is fitted, and initial programming is undertaken by an audiologist.</w:t>
      </w:r>
    </w:p>
    <w:p w14:paraId="430E878B" w14:textId="48DDC859" w:rsidR="00712FAB" w:rsidRPr="00244CFB" w:rsidRDefault="00712FAB" w:rsidP="00712FAB">
      <w:r w:rsidRPr="00244CFB">
        <w:t xml:space="preserve">Ongoing </w:t>
      </w:r>
      <w:r w:rsidR="00355C0F">
        <w:t xml:space="preserve">audiology </w:t>
      </w:r>
      <w:r w:rsidRPr="00244CFB">
        <w:t xml:space="preserve">review involves hearing assessment, device adjustment, and outcome monitoring </w:t>
      </w:r>
      <w:r w:rsidR="004C0D25">
        <w:t>3 times in the first 12 months</w:t>
      </w:r>
      <w:r w:rsidRPr="00244CFB">
        <w:t xml:space="preserve"> after activation, and annually thereafter. These services may be delivered by hospital-based or community audiologists, depending on the patient’s location and referral pathway.</w:t>
      </w:r>
    </w:p>
    <w:p w14:paraId="1F72A6D5" w14:textId="77665696" w:rsidR="00712FAB" w:rsidRPr="00244CFB" w:rsidRDefault="00783AD7" w:rsidP="00712FAB">
      <w:r>
        <w:t>P</w:t>
      </w:r>
      <w:r w:rsidR="00712FAB" w:rsidRPr="00244CFB">
        <w:t>ostoperative care</w:t>
      </w:r>
      <w:r>
        <w:t xml:space="preserve"> in p</w:t>
      </w:r>
      <w:r w:rsidRPr="00244CFB">
        <w:t>aediatric patients</w:t>
      </w:r>
      <w:r>
        <w:t xml:space="preserve"> </w:t>
      </w:r>
      <w:r w:rsidR="00712FAB" w:rsidRPr="00244CFB">
        <w:t xml:space="preserve">typically </w:t>
      </w:r>
      <w:r>
        <w:t>involves</w:t>
      </w:r>
      <w:r w:rsidR="00712FAB" w:rsidRPr="00244CFB">
        <w:t xml:space="preserve"> ENT surgeons, paediatric audiologists, and allied health professionals including speech pathologists. Speech and language development is actively monitored, and therapy is provided where needed. In some cases, magnet strength adjustments or external processor upgrades may be required during development.</w:t>
      </w:r>
      <w:r w:rsidR="00A9430B">
        <w:t xml:space="preserve"> </w:t>
      </w:r>
      <w:r w:rsidR="00B809CF">
        <w:t xml:space="preserve">Individuals under 26 years of age </w:t>
      </w:r>
      <w:r w:rsidR="008E7F7E">
        <w:t xml:space="preserve">may be eligible </w:t>
      </w:r>
      <w:r w:rsidR="007D0013">
        <w:t>for</w:t>
      </w:r>
      <w:r w:rsidR="008E7F7E">
        <w:t xml:space="preserve"> financial support for </w:t>
      </w:r>
      <w:r w:rsidR="007D0013">
        <w:t>such</w:t>
      </w:r>
      <w:r w:rsidR="008E7F7E">
        <w:t xml:space="preserve"> services under the </w:t>
      </w:r>
      <w:r w:rsidR="007D0013">
        <w:t xml:space="preserve">CSO component of the </w:t>
      </w:r>
      <w:r w:rsidR="008E7F7E">
        <w:t>HSP.</w:t>
      </w:r>
    </w:p>
    <w:p w14:paraId="0C76E9DC" w14:textId="77777777" w:rsidR="00712FAB" w:rsidRPr="00244CFB" w:rsidRDefault="00712FAB" w:rsidP="00712FAB">
      <w:r w:rsidRPr="00244CFB">
        <w:lastRenderedPageBreak/>
        <w:t>Access to postoperative services, including audiology and speech therapy, may be supported via telehealth for patients in rural or remote areas.</w:t>
      </w:r>
      <w:r>
        <w:rPr>
          <w:rStyle w:val="FootnoteReference"/>
        </w:rPr>
        <w:footnoteReference w:id="13"/>
      </w:r>
    </w:p>
    <w:p w14:paraId="6B8018FA" w14:textId="507E2F82" w:rsidR="007D4221" w:rsidRDefault="007D4221" w:rsidP="007D4221">
      <w:r w:rsidRPr="00FC2C2E">
        <w:t xml:space="preserve">The application </w:t>
      </w:r>
      <w:r w:rsidR="005129CA" w:rsidRPr="00FC2C2E">
        <w:t>claim</w:t>
      </w:r>
      <w:r w:rsidR="0054571F" w:rsidRPr="00FC2C2E">
        <w:t xml:space="preserve">ed </w:t>
      </w:r>
      <w:r w:rsidR="005129CA" w:rsidRPr="00FC2C2E">
        <w:t xml:space="preserve">there is no difference in healthcare resource use </w:t>
      </w:r>
      <w:r w:rsidR="00421926" w:rsidRPr="00FC2C2E">
        <w:t xml:space="preserve">after implantation of </w:t>
      </w:r>
      <w:r w:rsidR="00245F53" w:rsidRPr="00FC2C2E">
        <w:t xml:space="preserve">an AMEI or </w:t>
      </w:r>
      <w:r w:rsidR="00FC2C2E" w:rsidRPr="00FC2C2E">
        <w:t xml:space="preserve">an </w:t>
      </w:r>
      <w:r w:rsidR="00245F53" w:rsidRPr="00FC2C2E">
        <w:t xml:space="preserve">active </w:t>
      </w:r>
      <w:r w:rsidR="0054571F" w:rsidRPr="00FC2C2E">
        <w:t xml:space="preserve">transcutaneous </w:t>
      </w:r>
      <w:r w:rsidR="00245F53" w:rsidRPr="00FC2C2E">
        <w:t>BCI</w:t>
      </w:r>
      <w:r w:rsidR="000B1031">
        <w:t xml:space="preserve">; however, </w:t>
      </w:r>
      <w:r w:rsidR="00764F6B">
        <w:t>this claim requires verification during the assessment process</w:t>
      </w:r>
      <w:r w:rsidR="002964B5" w:rsidRPr="00FC2C2E">
        <w:t>.</w:t>
      </w:r>
    </w:p>
    <w:p w14:paraId="78D51F5D" w14:textId="08A18F26" w:rsidR="00F465F1" w:rsidRDefault="00DB6C91" w:rsidP="00DC672C">
      <w:pPr>
        <w:pStyle w:val="Heading3"/>
      </w:pPr>
      <w:r>
        <w:t>C</w:t>
      </w:r>
      <w:r w:rsidR="009D71B5">
        <w:t>linical management algorithm</w:t>
      </w:r>
      <w:r>
        <w:t>s</w:t>
      </w:r>
    </w:p>
    <w:p w14:paraId="42F89CEB" w14:textId="3B8281FC" w:rsidR="007E21B1" w:rsidRDefault="00485AC6" w:rsidP="004D23D0">
      <w:r>
        <w:t>A simplified version of the</w:t>
      </w:r>
      <w:r w:rsidR="009F5180">
        <w:t xml:space="preserve"> current clinical management algorithm for </w:t>
      </w:r>
      <w:r w:rsidR="00D0075B">
        <w:t xml:space="preserve">the proposed population is shown in </w:t>
      </w:r>
      <w:r w:rsidR="00364B9B">
        <w:fldChar w:fldCharType="begin"/>
      </w:r>
      <w:r w:rsidR="00364B9B">
        <w:instrText xml:space="preserve"> REF _Ref202179277 \h </w:instrText>
      </w:r>
      <w:r w:rsidR="00364B9B">
        <w:fldChar w:fldCharType="separate"/>
      </w:r>
      <w:r w:rsidR="00A42764">
        <w:t xml:space="preserve">Figure </w:t>
      </w:r>
      <w:r w:rsidR="00A42764">
        <w:rPr>
          <w:noProof/>
        </w:rPr>
        <w:t>2</w:t>
      </w:r>
      <w:r w:rsidR="00364B9B">
        <w:fldChar w:fldCharType="end"/>
      </w:r>
      <w:r w:rsidR="00364B9B">
        <w:t>.</w:t>
      </w:r>
      <w:r w:rsidR="00816C58">
        <w:t xml:space="preserve"> </w:t>
      </w:r>
      <w:r w:rsidR="00856DFD">
        <w:t xml:space="preserve">The decision to </w:t>
      </w:r>
      <w:r w:rsidR="007F0407">
        <w:t>implant a BCI</w:t>
      </w:r>
      <w:r w:rsidR="00C168FB">
        <w:t xml:space="preserve"> is </w:t>
      </w:r>
      <w:r w:rsidR="0067016E" w:rsidRPr="00BB0D6E">
        <w:rPr>
          <w:lang w:val="en-GB" w:eastAsia="ja-JP"/>
        </w:rPr>
        <w:t>made by a multidisciplinary team</w:t>
      </w:r>
      <w:r w:rsidR="0067016E">
        <w:t xml:space="preserve"> </w:t>
      </w:r>
      <w:r w:rsidR="008E4C76">
        <w:t xml:space="preserve">who consider the </w:t>
      </w:r>
      <w:r w:rsidR="008E4C76" w:rsidRPr="00BB0D6E">
        <w:rPr>
          <w:lang w:val="en-GB" w:eastAsia="ja-JP"/>
        </w:rPr>
        <w:t>patient's clinical profile</w:t>
      </w:r>
      <w:r w:rsidR="0076046D">
        <w:rPr>
          <w:lang w:val="en-GB" w:eastAsia="ja-JP"/>
        </w:rPr>
        <w:t xml:space="preserve"> </w:t>
      </w:r>
      <w:r w:rsidR="008E4C76" w:rsidRPr="00BB0D6E">
        <w:rPr>
          <w:lang w:val="en-GB" w:eastAsia="ja-JP"/>
        </w:rPr>
        <w:t>and functional needs</w:t>
      </w:r>
      <w:r w:rsidR="00815360">
        <w:t>.</w:t>
      </w:r>
      <w:r w:rsidR="007824EE">
        <w:t xml:space="preserve"> Explantation of a BCI is uncommon but may be required due to medical complications, device-related issues or insufficient clinical benefit. For patients who derive inadequate benefit </w:t>
      </w:r>
      <w:r w:rsidR="00091E67">
        <w:t xml:space="preserve">from BCI </w:t>
      </w:r>
      <w:r w:rsidR="007824EE">
        <w:t>as a result of progressive changes in hearing status, cochlear implantation is described in clinical practice as a recognised management option (Brkic et al. 2019).</w:t>
      </w:r>
    </w:p>
    <w:p w14:paraId="0C3DA8E4" w14:textId="0A140DEF" w:rsidR="004D23D0" w:rsidRDefault="005A7CBB" w:rsidP="004D23D0">
      <w:r>
        <w:t>At present</w:t>
      </w:r>
      <w:r w:rsidR="0074572C">
        <w:t xml:space="preserve">, </w:t>
      </w:r>
      <w:r w:rsidR="004D23D0">
        <w:t xml:space="preserve">AMEI implantation </w:t>
      </w:r>
      <w:r w:rsidR="00B74FA5">
        <w:t xml:space="preserve">is funded for individuals with SNHL </w:t>
      </w:r>
      <w:r w:rsidR="007E21B1">
        <w:t xml:space="preserve">only. AMEI implantation </w:t>
      </w:r>
      <w:r w:rsidR="004D23D0">
        <w:t xml:space="preserve">in individuals with CHL or MHL is </w:t>
      </w:r>
      <w:r w:rsidR="00E41B43">
        <w:t xml:space="preserve">uncommon </w:t>
      </w:r>
      <w:r w:rsidR="00262BE3">
        <w:t>but may be</w:t>
      </w:r>
      <w:r w:rsidR="009F2618" w:rsidRPr="009F2618">
        <w:t xml:space="preserve"> accessed through limited public hospital funding or self-funded by patients</w:t>
      </w:r>
      <w:r w:rsidR="005335AD">
        <w:t xml:space="preserve"> (not shown in </w:t>
      </w:r>
      <w:r>
        <w:fldChar w:fldCharType="begin"/>
      </w:r>
      <w:r>
        <w:instrText xml:space="preserve"> REF _Ref202179277 \h </w:instrText>
      </w:r>
      <w:r>
        <w:fldChar w:fldCharType="separate"/>
      </w:r>
      <w:r w:rsidR="00A42764">
        <w:t xml:space="preserve">Figure </w:t>
      </w:r>
      <w:r w:rsidR="00A42764">
        <w:rPr>
          <w:noProof/>
        </w:rPr>
        <w:t>2</w:t>
      </w:r>
      <w:r>
        <w:fldChar w:fldCharType="end"/>
      </w:r>
      <w:r>
        <w:t>)</w:t>
      </w:r>
      <w:r w:rsidR="004D23D0">
        <w:t>.</w:t>
      </w:r>
    </w:p>
    <w:p w14:paraId="36B60DF0" w14:textId="758E61C5" w:rsidR="00DB6C91" w:rsidRDefault="00DB6C91" w:rsidP="00DB6C91">
      <w:pPr>
        <w:pStyle w:val="Caption"/>
      </w:pPr>
      <w:bookmarkStart w:id="18" w:name="_Ref202179277"/>
      <w:r>
        <w:lastRenderedPageBreak/>
        <w:t xml:space="preserve">Figure </w:t>
      </w:r>
      <w:r>
        <w:fldChar w:fldCharType="begin"/>
      </w:r>
      <w:r>
        <w:instrText xml:space="preserve"> SEQ Figure \* ARABIC </w:instrText>
      </w:r>
      <w:r>
        <w:fldChar w:fldCharType="separate"/>
      </w:r>
      <w:r w:rsidR="00A42764">
        <w:rPr>
          <w:noProof/>
        </w:rPr>
        <w:t>2</w:t>
      </w:r>
      <w:r>
        <w:fldChar w:fldCharType="end"/>
      </w:r>
      <w:bookmarkEnd w:id="18"/>
      <w:r>
        <w:tab/>
      </w:r>
      <w:r w:rsidR="0045619B">
        <w:t>Current clinical management algorithm for the proposed population</w:t>
      </w:r>
    </w:p>
    <w:p w14:paraId="387C3060" w14:textId="4C2112C0" w:rsidR="00BF1349" w:rsidRDefault="008C1D05" w:rsidP="00AF34B5">
      <w:pPr>
        <w:pBdr>
          <w:top w:val="single" w:sz="4" w:space="1" w:color="auto"/>
          <w:left w:val="single" w:sz="4" w:space="4" w:color="auto"/>
          <w:bottom w:val="single" w:sz="4" w:space="1" w:color="auto"/>
          <w:right w:val="single" w:sz="4" w:space="4" w:color="auto"/>
        </w:pBdr>
        <w:spacing w:after="80"/>
        <w:jc w:val="center"/>
        <w:rPr>
          <w:lang w:val="en-GB" w:eastAsia="ja-JP"/>
        </w:rPr>
      </w:pPr>
      <w:r>
        <w:rPr>
          <w:noProof/>
          <w:lang w:val="en-GB" w:eastAsia="ja-JP"/>
        </w:rPr>
        <w:drawing>
          <wp:inline distT="0" distB="0" distL="0" distR="0" wp14:anchorId="36C59733" wp14:editId="0623ABC8">
            <wp:extent cx="3901629" cy="5905500"/>
            <wp:effectExtent l="0" t="0" r="3810" b="0"/>
            <wp:docPr id="1220782578" name="Picture 7" descr="Current clinical management algorithm for individuals aged &gt;5 years with mild to severe MHL or CHL. BCI is the only implantable hearing solution for the propos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82578" name="Picture 7" descr="Current clinical management algorithm for individuals aged &gt;5 years with mild to severe MHL or CHL. BCI is the only implantable hearing solution for the proposed popula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0784" cy="5949630"/>
                    </a:xfrm>
                    <a:prstGeom prst="rect">
                      <a:avLst/>
                    </a:prstGeom>
                    <a:noFill/>
                  </pic:spPr>
                </pic:pic>
              </a:graphicData>
            </a:graphic>
          </wp:inline>
        </w:drawing>
      </w:r>
    </w:p>
    <w:p w14:paraId="0EA08C93" w14:textId="77777777" w:rsidR="0010156E" w:rsidRDefault="0010156E" w:rsidP="0010156E">
      <w:pPr>
        <w:pStyle w:val="Tablenotes"/>
        <w:spacing w:before="0" w:after="0"/>
        <w:jc w:val="left"/>
        <w:rPr>
          <w:lang w:val="en-GB" w:eastAsia="ja-JP"/>
        </w:rPr>
      </w:pPr>
      <w:r w:rsidRPr="00AF34B5">
        <w:rPr>
          <w:lang w:val="en-GB" w:eastAsia="ja-JP"/>
        </w:rPr>
        <w:t xml:space="preserve">BCI = bone conduction implant; </w:t>
      </w:r>
      <w:r>
        <w:rPr>
          <w:lang w:val="en-GB" w:eastAsia="ja-JP"/>
        </w:rPr>
        <w:t xml:space="preserve">BCHD = bone conduction hearing device; </w:t>
      </w:r>
      <w:r w:rsidRPr="00AF34B5">
        <w:rPr>
          <w:lang w:val="en-GB" w:eastAsia="ja-JP"/>
        </w:rPr>
        <w:t xml:space="preserve">CHL = conductive hearing loss; </w:t>
      </w:r>
      <w:r>
        <w:rPr>
          <w:lang w:val="en-GB" w:eastAsia="ja-JP"/>
        </w:rPr>
        <w:t xml:space="preserve">MDT = multidisciplinary team; </w:t>
      </w:r>
      <w:r w:rsidRPr="00AF34B5">
        <w:rPr>
          <w:lang w:val="en-GB" w:eastAsia="ja-JP"/>
        </w:rPr>
        <w:t>MHL</w:t>
      </w:r>
      <w:r>
        <w:rPr>
          <w:lang w:val="en-GB" w:eastAsia="ja-JP"/>
        </w:rPr>
        <w:t> </w:t>
      </w:r>
      <w:r w:rsidRPr="00AF34B5">
        <w:rPr>
          <w:lang w:val="en-GB" w:eastAsia="ja-JP"/>
        </w:rPr>
        <w:t>=</w:t>
      </w:r>
      <w:r>
        <w:rPr>
          <w:lang w:val="en-GB" w:eastAsia="ja-JP"/>
        </w:rPr>
        <w:t> </w:t>
      </w:r>
      <w:r w:rsidRPr="00AF34B5">
        <w:rPr>
          <w:lang w:val="en-GB" w:eastAsia="ja-JP"/>
        </w:rPr>
        <w:t>mixed hearing loss</w:t>
      </w:r>
      <w:r>
        <w:rPr>
          <w:lang w:val="en-GB" w:eastAsia="ja-JP"/>
        </w:rPr>
        <w:t xml:space="preserve">; </w:t>
      </w:r>
      <w:r>
        <w:t>MRI = magnetic resonance imaging</w:t>
      </w:r>
      <w:r>
        <w:rPr>
          <w:lang w:val="en-GB" w:eastAsia="ja-JP"/>
        </w:rPr>
        <w:t>.</w:t>
      </w:r>
    </w:p>
    <w:p w14:paraId="39031594" w14:textId="3ABEEF61" w:rsidR="00AF34B5" w:rsidRPr="00AF34B5" w:rsidRDefault="00AF34B5" w:rsidP="00A117B9">
      <w:pPr>
        <w:pStyle w:val="Tablenotes"/>
        <w:spacing w:after="0"/>
        <w:jc w:val="left"/>
        <w:rPr>
          <w:lang w:val="en-GB" w:eastAsia="ja-JP"/>
        </w:rPr>
      </w:pPr>
      <w:r w:rsidRPr="00AF34B5">
        <w:rPr>
          <w:lang w:val="en-GB" w:eastAsia="ja-JP"/>
        </w:rPr>
        <w:t>a</w:t>
      </w:r>
      <w:r w:rsidR="0010156E">
        <w:rPr>
          <w:lang w:val="en-GB" w:eastAsia="ja-JP"/>
        </w:rPr>
        <w:t>.</w:t>
      </w:r>
      <w:r w:rsidRPr="00AF34B5">
        <w:rPr>
          <w:lang w:val="en-GB" w:eastAsia="ja-JP"/>
        </w:rPr>
        <w:t xml:space="preserve"> Surgical intervention includes repair and/or reconstruction of the middle ear.</w:t>
      </w:r>
    </w:p>
    <w:p w14:paraId="465FA3CF" w14:textId="49F23F25" w:rsidR="00AF34B5" w:rsidRDefault="00AF34B5" w:rsidP="00A117B9">
      <w:pPr>
        <w:pStyle w:val="Tablenotes"/>
        <w:spacing w:before="0" w:after="0"/>
        <w:jc w:val="left"/>
        <w:rPr>
          <w:lang w:val="en-GB" w:eastAsia="ja-JP"/>
        </w:rPr>
      </w:pPr>
      <w:r w:rsidRPr="00AF34B5">
        <w:rPr>
          <w:lang w:val="en-GB" w:eastAsia="ja-JP"/>
        </w:rPr>
        <w:t>b</w:t>
      </w:r>
      <w:r w:rsidR="0010156E">
        <w:rPr>
          <w:lang w:val="en-GB" w:eastAsia="ja-JP"/>
        </w:rPr>
        <w:t>.</w:t>
      </w:r>
      <w:r w:rsidRPr="00AF34B5">
        <w:rPr>
          <w:lang w:val="en-GB" w:eastAsia="ja-JP"/>
        </w:rPr>
        <w:t xml:space="preserve"> Conventional hearing devices include air</w:t>
      </w:r>
      <w:r w:rsidR="00315E58">
        <w:rPr>
          <w:lang w:val="en-GB" w:eastAsia="ja-JP"/>
        </w:rPr>
        <w:t xml:space="preserve"> </w:t>
      </w:r>
      <w:r w:rsidRPr="00AF34B5">
        <w:rPr>
          <w:lang w:val="en-GB" w:eastAsia="ja-JP"/>
        </w:rPr>
        <w:t xml:space="preserve">conduction hearing aids and non-implantable </w:t>
      </w:r>
      <w:r w:rsidR="009B19A3">
        <w:rPr>
          <w:lang w:val="en-GB" w:eastAsia="ja-JP"/>
        </w:rPr>
        <w:t>BCHD</w:t>
      </w:r>
      <w:r w:rsidR="00F052A8">
        <w:rPr>
          <w:lang w:val="en-GB" w:eastAsia="ja-JP"/>
        </w:rPr>
        <w:t>s</w:t>
      </w:r>
      <w:r w:rsidRPr="00AF34B5">
        <w:rPr>
          <w:lang w:val="en-GB" w:eastAsia="ja-JP"/>
        </w:rPr>
        <w:t xml:space="preserve"> (headband/softband or adhesive).</w:t>
      </w:r>
    </w:p>
    <w:p w14:paraId="5377C1F2" w14:textId="6D6D3F49" w:rsidR="007F7996" w:rsidRPr="007F7996" w:rsidRDefault="006C2E19" w:rsidP="00A117B9">
      <w:pPr>
        <w:pStyle w:val="Tablenotes"/>
        <w:spacing w:before="0" w:after="0"/>
        <w:jc w:val="left"/>
        <w:rPr>
          <w:lang w:val="en-GB" w:eastAsia="ja-JP"/>
        </w:rPr>
      </w:pPr>
      <w:r>
        <w:rPr>
          <w:lang w:val="en-GB" w:eastAsia="ja-JP"/>
        </w:rPr>
        <w:t>c</w:t>
      </w:r>
      <w:r w:rsidR="0010156E">
        <w:rPr>
          <w:lang w:val="en-GB" w:eastAsia="ja-JP"/>
        </w:rPr>
        <w:t>.</w:t>
      </w:r>
      <w:r>
        <w:rPr>
          <w:lang w:val="en-GB" w:eastAsia="ja-JP"/>
        </w:rPr>
        <w:t xml:space="preserve"> </w:t>
      </w:r>
      <w:r w:rsidR="006E0EED">
        <w:rPr>
          <w:lang w:val="en-GB" w:eastAsia="ja-JP"/>
        </w:rPr>
        <w:t>M</w:t>
      </w:r>
      <w:r w:rsidR="007F7996" w:rsidRPr="007F7996">
        <w:rPr>
          <w:lang w:val="en-GB" w:eastAsia="ja-JP"/>
        </w:rPr>
        <w:t xml:space="preserve">ay include a trial of a non-implantable </w:t>
      </w:r>
      <w:r w:rsidR="006A69BC">
        <w:rPr>
          <w:lang w:val="en-GB" w:eastAsia="ja-JP"/>
        </w:rPr>
        <w:t>BCHD</w:t>
      </w:r>
      <w:r w:rsidR="007F7996" w:rsidRPr="007F7996">
        <w:rPr>
          <w:lang w:val="en-GB" w:eastAsia="ja-JP"/>
        </w:rPr>
        <w:t>, where appropriate, to assess the potential benefit prior to considering an implantable option.</w:t>
      </w:r>
    </w:p>
    <w:p w14:paraId="34584CBD" w14:textId="1321D35A" w:rsidR="007F7996" w:rsidRPr="007F7996" w:rsidRDefault="007F7996" w:rsidP="00A117B9">
      <w:pPr>
        <w:pStyle w:val="Tablenotes"/>
        <w:spacing w:before="0" w:after="0"/>
        <w:jc w:val="left"/>
        <w:rPr>
          <w:lang w:val="en-GB" w:eastAsia="ja-JP"/>
        </w:rPr>
      </w:pPr>
      <w:r w:rsidRPr="007F7996">
        <w:rPr>
          <w:lang w:val="en-GB" w:eastAsia="ja-JP"/>
        </w:rPr>
        <w:t>d</w:t>
      </w:r>
      <w:r w:rsidR="0010156E">
        <w:rPr>
          <w:lang w:val="en-GB" w:eastAsia="ja-JP"/>
        </w:rPr>
        <w:t>.</w:t>
      </w:r>
      <w:r w:rsidRPr="007F7996">
        <w:rPr>
          <w:lang w:val="en-GB" w:eastAsia="ja-JP"/>
        </w:rPr>
        <w:t xml:space="preserve"> MDT </w:t>
      </w:r>
      <w:r w:rsidR="00CC7010">
        <w:rPr>
          <w:lang w:val="en-GB" w:eastAsia="ja-JP"/>
        </w:rPr>
        <w:t xml:space="preserve">may </w:t>
      </w:r>
      <w:r w:rsidRPr="007F7996">
        <w:rPr>
          <w:lang w:val="en-GB" w:eastAsia="ja-JP"/>
        </w:rPr>
        <w:t>reassess</w:t>
      </w:r>
      <w:r w:rsidR="00A117B9">
        <w:rPr>
          <w:lang w:val="en-GB" w:eastAsia="ja-JP"/>
        </w:rPr>
        <w:t xml:space="preserve"> any</w:t>
      </w:r>
      <w:r w:rsidR="00DD07FB">
        <w:rPr>
          <w:lang w:val="en-GB" w:eastAsia="ja-JP"/>
        </w:rPr>
        <w:t>/</w:t>
      </w:r>
      <w:proofErr w:type="gramStart"/>
      <w:r w:rsidR="00A117B9">
        <w:rPr>
          <w:lang w:val="en-GB" w:eastAsia="ja-JP"/>
        </w:rPr>
        <w:t>all of</w:t>
      </w:r>
      <w:proofErr w:type="gramEnd"/>
      <w:r w:rsidR="00A117B9">
        <w:rPr>
          <w:lang w:val="en-GB" w:eastAsia="ja-JP"/>
        </w:rPr>
        <w:t xml:space="preserve"> the following</w:t>
      </w:r>
      <w:r w:rsidR="00CC7010">
        <w:rPr>
          <w:lang w:val="en-GB" w:eastAsia="ja-JP"/>
        </w:rPr>
        <w:t>:</w:t>
      </w:r>
      <w:r w:rsidRPr="007F7996">
        <w:rPr>
          <w:lang w:val="en-GB" w:eastAsia="ja-JP"/>
        </w:rPr>
        <w:t xml:space="preserve"> device fitting, settings and coupling; skin and soft tissue issues; device positioning or osseointegration; changes in hearing status; patient adherence or difficulties with device use. Revision surgery is infrequent and typically only required in the event of complications or device-related issues. </w:t>
      </w:r>
    </w:p>
    <w:p w14:paraId="79EA4E45" w14:textId="2BAA1DDD" w:rsidR="006C2E19" w:rsidRDefault="007F7996" w:rsidP="00A117B9">
      <w:pPr>
        <w:pStyle w:val="Tablenotes"/>
        <w:spacing w:before="0" w:after="0"/>
        <w:jc w:val="left"/>
        <w:rPr>
          <w:lang w:val="en-GB" w:eastAsia="ja-JP"/>
        </w:rPr>
      </w:pPr>
      <w:r w:rsidRPr="007F7996">
        <w:rPr>
          <w:lang w:val="en-GB" w:eastAsia="ja-JP"/>
        </w:rPr>
        <w:t>e</w:t>
      </w:r>
      <w:r w:rsidR="0010156E">
        <w:rPr>
          <w:lang w:val="en-GB" w:eastAsia="ja-JP"/>
        </w:rPr>
        <w:t>.</w:t>
      </w:r>
      <w:r w:rsidRPr="007F7996">
        <w:rPr>
          <w:lang w:val="en-GB" w:eastAsia="ja-JP"/>
        </w:rPr>
        <w:t xml:space="preserve"> Explantation </w:t>
      </w:r>
      <w:r w:rsidR="00DD07FB">
        <w:rPr>
          <w:lang w:val="en-GB" w:eastAsia="ja-JP"/>
        </w:rPr>
        <w:t xml:space="preserve">is </w:t>
      </w:r>
      <w:r w:rsidRPr="007F7996">
        <w:rPr>
          <w:lang w:val="en-GB" w:eastAsia="ja-JP"/>
        </w:rPr>
        <w:t>uncommon but may be required in specific clinical scenarios. In cases where removal is not indicated, the device may be deactivated and left in situ</w:t>
      </w:r>
      <w:r w:rsidR="00685137">
        <w:rPr>
          <w:lang w:val="en-GB" w:eastAsia="ja-JP"/>
        </w:rPr>
        <w:t>.</w:t>
      </w:r>
      <w:r w:rsidR="00DB60B7">
        <w:rPr>
          <w:lang w:val="en-GB" w:eastAsia="ja-JP"/>
        </w:rPr>
        <w:t xml:space="preserve"> </w:t>
      </w:r>
      <w:r w:rsidR="00153D55">
        <w:rPr>
          <w:lang w:val="en-GB" w:eastAsia="ja-JP"/>
        </w:rPr>
        <w:t>W</w:t>
      </w:r>
      <w:r w:rsidR="009909C4">
        <w:rPr>
          <w:lang w:val="en-GB" w:eastAsia="ja-JP"/>
        </w:rPr>
        <w:t xml:space="preserve">here </w:t>
      </w:r>
      <w:r w:rsidR="009230BB">
        <w:rPr>
          <w:lang w:val="en-GB" w:eastAsia="ja-JP"/>
        </w:rPr>
        <w:t>a BCI</w:t>
      </w:r>
      <w:r w:rsidR="00A13EF0">
        <w:rPr>
          <w:lang w:val="en-GB" w:eastAsia="ja-JP"/>
        </w:rPr>
        <w:t xml:space="preserve"> </w:t>
      </w:r>
      <w:r w:rsidR="00782101">
        <w:rPr>
          <w:lang w:val="en-GB" w:eastAsia="ja-JP"/>
        </w:rPr>
        <w:t>no longer</w:t>
      </w:r>
      <w:r w:rsidR="00153D55">
        <w:rPr>
          <w:lang w:val="en-GB" w:eastAsia="ja-JP"/>
        </w:rPr>
        <w:t xml:space="preserve"> provide</w:t>
      </w:r>
      <w:r w:rsidR="00782101">
        <w:rPr>
          <w:lang w:val="en-GB" w:eastAsia="ja-JP"/>
        </w:rPr>
        <w:t>s</w:t>
      </w:r>
      <w:r w:rsidR="00153D55">
        <w:rPr>
          <w:lang w:val="en-GB" w:eastAsia="ja-JP"/>
        </w:rPr>
        <w:t xml:space="preserve"> adequate benefit </w:t>
      </w:r>
      <w:r w:rsidR="00A13EF0">
        <w:rPr>
          <w:lang w:val="en-GB" w:eastAsia="ja-JP"/>
        </w:rPr>
        <w:t xml:space="preserve">due to </w:t>
      </w:r>
      <w:r w:rsidR="003E0B61">
        <w:rPr>
          <w:lang w:val="en-GB" w:eastAsia="ja-JP"/>
        </w:rPr>
        <w:t xml:space="preserve">progressive sensorineural hearing loss or </w:t>
      </w:r>
      <w:r w:rsidR="00153D55" w:rsidRPr="00153D55">
        <w:rPr>
          <w:lang w:val="en-GB" w:eastAsia="ja-JP"/>
        </w:rPr>
        <w:t>presbycusis</w:t>
      </w:r>
      <w:r w:rsidR="009230BB">
        <w:rPr>
          <w:lang w:val="en-GB" w:eastAsia="ja-JP"/>
        </w:rPr>
        <w:t xml:space="preserve">, </w:t>
      </w:r>
      <w:r w:rsidR="004513C3">
        <w:rPr>
          <w:lang w:val="en-GB" w:eastAsia="ja-JP"/>
        </w:rPr>
        <w:t xml:space="preserve">the MDT may consider </w:t>
      </w:r>
      <w:r w:rsidR="009230BB">
        <w:rPr>
          <w:lang w:val="en-GB" w:eastAsia="ja-JP"/>
        </w:rPr>
        <w:t>a cochlear implant</w:t>
      </w:r>
      <w:r w:rsidR="00A13EF0">
        <w:rPr>
          <w:lang w:val="en-GB" w:eastAsia="ja-JP"/>
        </w:rPr>
        <w:t xml:space="preserve">. </w:t>
      </w:r>
    </w:p>
    <w:p w14:paraId="184BC3E5" w14:textId="56A99E06" w:rsidR="005766B0" w:rsidRPr="00AF34B5" w:rsidRDefault="005766B0" w:rsidP="0010156E">
      <w:pPr>
        <w:pStyle w:val="Tablenotes"/>
        <w:spacing w:before="0"/>
        <w:jc w:val="left"/>
        <w:rPr>
          <w:lang w:val="en-GB" w:eastAsia="ja-JP"/>
        </w:rPr>
      </w:pPr>
      <w:r>
        <w:rPr>
          <w:lang w:val="en-GB" w:eastAsia="ja-JP"/>
        </w:rPr>
        <w:t xml:space="preserve">Note: </w:t>
      </w:r>
      <w:r w:rsidR="006A1F59">
        <w:rPr>
          <w:lang w:val="en-GB" w:eastAsia="ja-JP"/>
        </w:rPr>
        <w:t xml:space="preserve">Although not shown, implantation of an AMEI </w:t>
      </w:r>
      <w:r w:rsidR="00091A05">
        <w:t xml:space="preserve">in </w:t>
      </w:r>
      <w:r w:rsidR="0020673E">
        <w:t>the proposed population</w:t>
      </w:r>
      <w:r w:rsidR="00091A05">
        <w:t xml:space="preserve"> is occasionally funded via public hospitals or self-funded by patients.</w:t>
      </w:r>
    </w:p>
    <w:p w14:paraId="254E4AF8" w14:textId="31831B21" w:rsidR="0045619B" w:rsidRDefault="00803CB8" w:rsidP="0045619B">
      <w:r>
        <w:rPr>
          <w:lang w:val="en-GB" w:eastAsia="ja-JP"/>
        </w:rPr>
        <w:t>A simplified version of t</w:t>
      </w:r>
      <w:r w:rsidR="00BC500D">
        <w:rPr>
          <w:lang w:val="en-GB" w:eastAsia="ja-JP"/>
        </w:rPr>
        <w:t xml:space="preserve">he proposed clinical management algorithm is shown in </w:t>
      </w:r>
      <w:r w:rsidR="00BC500D">
        <w:rPr>
          <w:lang w:val="en-GB" w:eastAsia="ja-JP"/>
        </w:rPr>
        <w:fldChar w:fldCharType="begin"/>
      </w:r>
      <w:r w:rsidR="00BC500D">
        <w:rPr>
          <w:lang w:val="en-GB" w:eastAsia="ja-JP"/>
        </w:rPr>
        <w:instrText xml:space="preserve"> REF _Ref202179546 \h </w:instrText>
      </w:r>
      <w:r w:rsidR="00BC500D">
        <w:rPr>
          <w:lang w:val="en-GB" w:eastAsia="ja-JP"/>
        </w:rPr>
      </w:r>
      <w:r w:rsidR="00BC500D">
        <w:rPr>
          <w:lang w:val="en-GB" w:eastAsia="ja-JP"/>
        </w:rPr>
        <w:fldChar w:fldCharType="separate"/>
      </w:r>
      <w:r w:rsidR="00A42764">
        <w:t xml:space="preserve">Figure </w:t>
      </w:r>
      <w:r w:rsidR="00A42764">
        <w:rPr>
          <w:noProof/>
        </w:rPr>
        <w:t>3</w:t>
      </w:r>
      <w:r w:rsidR="00BC500D">
        <w:rPr>
          <w:lang w:val="en-GB" w:eastAsia="ja-JP"/>
        </w:rPr>
        <w:fldChar w:fldCharType="end"/>
      </w:r>
      <w:r w:rsidR="00BC500D">
        <w:rPr>
          <w:lang w:val="en-GB" w:eastAsia="ja-JP"/>
        </w:rPr>
        <w:t xml:space="preserve">. </w:t>
      </w:r>
      <w:r w:rsidR="00867BFD">
        <w:rPr>
          <w:lang w:val="en-GB" w:eastAsia="ja-JP"/>
        </w:rPr>
        <w:t xml:space="preserve">MBS listing </w:t>
      </w:r>
      <w:r w:rsidR="008D3692">
        <w:rPr>
          <w:lang w:val="en-GB" w:eastAsia="ja-JP"/>
        </w:rPr>
        <w:t xml:space="preserve">of </w:t>
      </w:r>
      <w:r w:rsidR="00E933BF">
        <w:t>AMEI</w:t>
      </w:r>
      <w:r w:rsidR="0022707A">
        <w:t xml:space="preserve"> implantation</w:t>
      </w:r>
      <w:r w:rsidR="00867BFD">
        <w:t xml:space="preserve"> </w:t>
      </w:r>
      <w:r w:rsidR="0022707A">
        <w:t>in the target population</w:t>
      </w:r>
      <w:r w:rsidR="00E933BF">
        <w:t xml:space="preserve"> </w:t>
      </w:r>
      <w:r w:rsidR="009957E1">
        <w:t xml:space="preserve">would </w:t>
      </w:r>
      <w:r w:rsidR="009D46A4">
        <w:t>offer</w:t>
      </w:r>
      <w:r w:rsidR="00E933BF">
        <w:t xml:space="preserve"> an alternative </w:t>
      </w:r>
      <w:r w:rsidR="008D3692">
        <w:t xml:space="preserve">to </w:t>
      </w:r>
      <w:r w:rsidR="00E933BF">
        <w:t>BCI</w:t>
      </w:r>
      <w:r w:rsidR="0022707A">
        <w:t>s</w:t>
      </w:r>
      <w:r w:rsidR="008D3692">
        <w:t xml:space="preserve"> </w:t>
      </w:r>
      <w:r w:rsidR="00E933BF">
        <w:t xml:space="preserve">and </w:t>
      </w:r>
      <w:r w:rsidR="009D46A4">
        <w:t xml:space="preserve">provide </w:t>
      </w:r>
      <w:r w:rsidR="00E933BF">
        <w:t xml:space="preserve">an option for </w:t>
      </w:r>
      <w:r w:rsidR="00B24278">
        <w:lastRenderedPageBreak/>
        <w:t xml:space="preserve">individuals </w:t>
      </w:r>
      <w:r w:rsidR="00BF1349">
        <w:t xml:space="preserve">who are </w:t>
      </w:r>
      <w:r w:rsidR="00073B81">
        <w:t xml:space="preserve">not </w:t>
      </w:r>
      <w:r w:rsidR="00A25B35">
        <w:t>appropriate</w:t>
      </w:r>
      <w:r w:rsidR="00073B81">
        <w:t xml:space="preserve"> candidates</w:t>
      </w:r>
      <w:r w:rsidR="00BF1349">
        <w:t xml:space="preserve"> </w:t>
      </w:r>
      <w:r w:rsidR="00E00024">
        <w:t>for a BCI</w:t>
      </w:r>
      <w:r w:rsidR="009957E1">
        <w:t xml:space="preserve"> and would </w:t>
      </w:r>
      <w:r w:rsidR="00073B81">
        <w:t xml:space="preserve">otherwise remain </w:t>
      </w:r>
      <w:r w:rsidR="00C30D17">
        <w:t>with untreated hearing loss</w:t>
      </w:r>
      <w:r w:rsidR="00E933BF">
        <w:t>.</w:t>
      </w:r>
    </w:p>
    <w:p w14:paraId="2E0DB595" w14:textId="5466E6F0" w:rsidR="00C16CB3" w:rsidRDefault="00C16CB3" w:rsidP="00BB0D6E">
      <w:pPr>
        <w:rPr>
          <w:lang w:val="en-GB" w:eastAsia="ja-JP"/>
        </w:rPr>
      </w:pPr>
      <w:r>
        <w:rPr>
          <w:lang w:val="en-GB" w:eastAsia="ja-JP"/>
        </w:rPr>
        <w:t xml:space="preserve">For the proposed population, </w:t>
      </w:r>
      <w:r w:rsidRPr="00310040">
        <w:rPr>
          <w:lang w:val="en-GB" w:eastAsia="ja-JP"/>
        </w:rPr>
        <w:t xml:space="preserve">selection between a BCI and an AMEI is </w:t>
      </w:r>
      <w:r>
        <w:rPr>
          <w:lang w:val="en-GB" w:eastAsia="ja-JP"/>
        </w:rPr>
        <w:t>individualised</w:t>
      </w:r>
      <w:r w:rsidR="00971EA1">
        <w:rPr>
          <w:lang w:val="en-GB" w:eastAsia="ja-JP"/>
        </w:rPr>
        <w:t xml:space="preserve"> and informed</w:t>
      </w:r>
      <w:r w:rsidRPr="00310040">
        <w:rPr>
          <w:lang w:val="en-GB" w:eastAsia="ja-JP"/>
        </w:rPr>
        <w:t xml:space="preserve"> by </w:t>
      </w:r>
      <w:r w:rsidR="00971EA1">
        <w:rPr>
          <w:lang w:val="en-GB" w:eastAsia="ja-JP"/>
        </w:rPr>
        <w:t>various</w:t>
      </w:r>
      <w:r w:rsidRPr="00310040">
        <w:rPr>
          <w:lang w:val="en-GB" w:eastAsia="ja-JP"/>
        </w:rPr>
        <w:t xml:space="preserve"> clinical and patient-specific factors, </w:t>
      </w:r>
      <w:r w:rsidR="003B37D1">
        <w:rPr>
          <w:lang w:val="en-GB" w:eastAsia="ja-JP"/>
        </w:rPr>
        <w:t xml:space="preserve">such as </w:t>
      </w:r>
      <w:r w:rsidR="00706C80">
        <w:rPr>
          <w:lang w:val="en-GB" w:eastAsia="ja-JP"/>
        </w:rPr>
        <w:t>audiological profile</w:t>
      </w:r>
      <w:r w:rsidRPr="00310040">
        <w:rPr>
          <w:lang w:val="en-GB" w:eastAsia="ja-JP"/>
        </w:rPr>
        <w:t xml:space="preserve">, anatomical suitability, </w:t>
      </w:r>
      <w:r w:rsidR="00D16054">
        <w:rPr>
          <w:lang w:val="en-GB" w:eastAsia="ja-JP"/>
        </w:rPr>
        <w:t>and previous surgery or pathology</w:t>
      </w:r>
      <w:r w:rsidR="00C5748E">
        <w:rPr>
          <w:lang w:val="en-GB" w:eastAsia="ja-JP"/>
        </w:rPr>
        <w:t xml:space="preserve"> (</w:t>
      </w:r>
      <w:r w:rsidR="00C5748E">
        <w:rPr>
          <w:lang w:val="en-GB" w:eastAsia="ja-JP"/>
        </w:rPr>
        <w:fldChar w:fldCharType="begin"/>
      </w:r>
      <w:r w:rsidR="00C5748E">
        <w:rPr>
          <w:lang w:val="en-GB" w:eastAsia="ja-JP"/>
        </w:rPr>
        <w:instrText xml:space="preserve"> REF _Ref203475171 \h </w:instrText>
      </w:r>
      <w:r w:rsidR="00C5748E">
        <w:rPr>
          <w:lang w:val="en-GB" w:eastAsia="ja-JP"/>
        </w:rPr>
      </w:r>
      <w:r w:rsidR="00C5748E">
        <w:rPr>
          <w:lang w:val="en-GB" w:eastAsia="ja-JP"/>
        </w:rPr>
        <w:fldChar w:fldCharType="separate"/>
      </w:r>
      <w:r w:rsidR="00A42764">
        <w:t xml:space="preserve">Table </w:t>
      </w:r>
      <w:r w:rsidR="00A42764">
        <w:rPr>
          <w:noProof/>
        </w:rPr>
        <w:t>11</w:t>
      </w:r>
      <w:r w:rsidR="00C5748E">
        <w:rPr>
          <w:lang w:val="en-GB" w:eastAsia="ja-JP"/>
        </w:rPr>
        <w:fldChar w:fldCharType="end"/>
      </w:r>
      <w:r w:rsidR="00C5748E">
        <w:rPr>
          <w:lang w:val="en-GB" w:eastAsia="ja-JP"/>
        </w:rPr>
        <w:t>)</w:t>
      </w:r>
      <w:r w:rsidR="00421D7B">
        <w:rPr>
          <w:lang w:val="en-GB" w:eastAsia="ja-JP"/>
        </w:rPr>
        <w:t xml:space="preserve">. </w:t>
      </w:r>
      <w:r w:rsidRPr="00310040">
        <w:rPr>
          <w:lang w:val="en-GB" w:eastAsia="ja-JP"/>
        </w:rPr>
        <w:t xml:space="preserve">Additional considerations include the presence of chronic skin conditions </w:t>
      </w:r>
      <w:r w:rsidR="00AD1467">
        <w:rPr>
          <w:lang w:val="en-GB" w:eastAsia="ja-JP"/>
        </w:rPr>
        <w:t>that</w:t>
      </w:r>
      <w:r w:rsidRPr="00310040">
        <w:rPr>
          <w:lang w:val="en-GB" w:eastAsia="ja-JP"/>
        </w:rPr>
        <w:t xml:space="preserve"> may contraindicate BCIs, </w:t>
      </w:r>
      <w:r w:rsidR="006B6E02">
        <w:rPr>
          <w:lang w:val="en-GB" w:eastAsia="ja-JP"/>
        </w:rPr>
        <w:t>the</w:t>
      </w:r>
      <w:r w:rsidR="00CD4D94" w:rsidRPr="00CD4D94">
        <w:rPr>
          <w:lang w:val="en-GB" w:eastAsia="ja-JP"/>
        </w:rPr>
        <w:t xml:space="preserve"> </w:t>
      </w:r>
      <w:r w:rsidR="00CD4D94">
        <w:rPr>
          <w:lang w:val="en-GB" w:eastAsia="ja-JP"/>
        </w:rPr>
        <w:t>individual</w:t>
      </w:r>
      <w:r w:rsidR="006B6E02">
        <w:rPr>
          <w:lang w:val="en-GB" w:eastAsia="ja-JP"/>
        </w:rPr>
        <w:t xml:space="preserve">’s lifestyle and </w:t>
      </w:r>
      <w:r w:rsidRPr="00310040">
        <w:rPr>
          <w:lang w:val="en-GB" w:eastAsia="ja-JP"/>
        </w:rPr>
        <w:t xml:space="preserve">preferences, </w:t>
      </w:r>
      <w:r w:rsidR="00421D7B">
        <w:rPr>
          <w:lang w:val="en-GB" w:eastAsia="ja-JP"/>
        </w:rPr>
        <w:t>as well as the expertise and experience</w:t>
      </w:r>
      <w:r w:rsidR="00116AED">
        <w:rPr>
          <w:lang w:val="en-GB" w:eastAsia="ja-JP"/>
        </w:rPr>
        <w:t xml:space="preserve"> of the surgical team</w:t>
      </w:r>
      <w:r w:rsidR="003A7A60">
        <w:rPr>
          <w:lang w:val="en-GB" w:eastAsia="ja-JP"/>
        </w:rPr>
        <w:t xml:space="preserve">. BCIs are generally considered the preferred first-line implantable hearing device </w:t>
      </w:r>
      <w:r w:rsidR="00116AED">
        <w:rPr>
          <w:lang w:val="en-GB" w:eastAsia="ja-JP"/>
        </w:rPr>
        <w:t xml:space="preserve">in </w:t>
      </w:r>
      <w:r w:rsidR="0024432D">
        <w:rPr>
          <w:lang w:val="en-GB" w:eastAsia="ja-JP"/>
        </w:rPr>
        <w:t>individuals with MHL/CHL</w:t>
      </w:r>
      <w:r w:rsidR="00116AED">
        <w:rPr>
          <w:lang w:val="en-GB" w:eastAsia="ja-JP"/>
        </w:rPr>
        <w:t xml:space="preserve"> </w:t>
      </w:r>
      <w:r w:rsidR="003A7A60">
        <w:rPr>
          <w:lang w:val="en-GB" w:eastAsia="ja-JP"/>
        </w:rPr>
        <w:t>due to their less invasive surgical approach</w:t>
      </w:r>
      <w:r w:rsidR="00706C80">
        <w:rPr>
          <w:lang w:val="en-GB" w:eastAsia="ja-JP"/>
        </w:rPr>
        <w:t xml:space="preserve"> and broader clinical familiarity.</w:t>
      </w:r>
      <w:r w:rsidR="00313053">
        <w:rPr>
          <w:lang w:val="en-GB" w:eastAsia="ja-JP"/>
        </w:rPr>
        <w:t xml:space="preserve"> Implantation of an AMEI following inadequate benefit from a BCI is not described in clinical practice guidelines, and there is currently limited clinical evidence to support its use in this context.</w:t>
      </w:r>
    </w:p>
    <w:p w14:paraId="2812FAA0" w14:textId="02420C07" w:rsidR="00BB0D6E" w:rsidRDefault="00BB0D6E" w:rsidP="00BB0D6E">
      <w:pPr>
        <w:rPr>
          <w:lang w:val="en-GB" w:eastAsia="ja-JP"/>
        </w:rPr>
      </w:pPr>
      <w:r w:rsidRPr="00BB0D6E">
        <w:rPr>
          <w:lang w:val="en-GB" w:eastAsia="ja-JP"/>
        </w:rPr>
        <w:t xml:space="preserve">Final </w:t>
      </w:r>
      <w:r w:rsidR="002A741A">
        <w:rPr>
          <w:lang w:val="en-GB" w:eastAsia="ja-JP"/>
        </w:rPr>
        <w:t>candidacy</w:t>
      </w:r>
      <w:r w:rsidRPr="00BB0D6E">
        <w:rPr>
          <w:lang w:val="en-GB" w:eastAsia="ja-JP"/>
        </w:rPr>
        <w:t xml:space="preserve"> decisions are made by a multidisciplinary team</w:t>
      </w:r>
      <w:r w:rsidR="002E5B7C">
        <w:rPr>
          <w:lang w:val="en-GB" w:eastAsia="ja-JP"/>
        </w:rPr>
        <w:t xml:space="preserve"> </w:t>
      </w:r>
      <w:r w:rsidRPr="00BB0D6E">
        <w:rPr>
          <w:lang w:val="en-GB" w:eastAsia="ja-JP"/>
        </w:rPr>
        <w:t>to ensure that the selected implant aligns with the patient's clinical profile and functional needs.</w:t>
      </w:r>
    </w:p>
    <w:p w14:paraId="32EE1968" w14:textId="51AEE353" w:rsidR="00772C0A" w:rsidRPr="001A4B3C" w:rsidRDefault="00772C0A" w:rsidP="00772C0A">
      <w:pPr>
        <w:pStyle w:val="Caption"/>
      </w:pPr>
      <w:bookmarkStart w:id="19" w:name="_Ref203475171"/>
      <w:r>
        <w:t xml:space="preserve">Table </w:t>
      </w:r>
      <w:r>
        <w:fldChar w:fldCharType="begin"/>
      </w:r>
      <w:r>
        <w:instrText xml:space="preserve"> SEQ Table \* ARABIC </w:instrText>
      </w:r>
      <w:r>
        <w:fldChar w:fldCharType="separate"/>
      </w:r>
      <w:r w:rsidR="00A42764">
        <w:rPr>
          <w:noProof/>
        </w:rPr>
        <w:t>11</w:t>
      </w:r>
      <w:r>
        <w:fldChar w:fldCharType="end"/>
      </w:r>
      <w:bookmarkEnd w:id="19"/>
      <w:r>
        <w:tab/>
        <w:t>Key factors in deciding between BCI or AMEI</w:t>
      </w:r>
      <w:r w:rsidR="00D868EE">
        <w:t xml:space="preserve"> </w:t>
      </w:r>
      <w:r w:rsidR="005C42D6">
        <w:t>implantation in</w:t>
      </w:r>
      <w:r w:rsidR="00D868EE">
        <w:t xml:space="preserve"> individuals with MHL or CHL</w:t>
      </w:r>
    </w:p>
    <w:tbl>
      <w:tblPr>
        <w:tblStyle w:val="TableGrid"/>
        <w:tblW w:w="5000" w:type="pct"/>
        <w:tblInd w:w="0" w:type="dxa"/>
        <w:tblLook w:val="04A0" w:firstRow="1" w:lastRow="0" w:firstColumn="1" w:lastColumn="0" w:noHBand="0" w:noVBand="1"/>
        <w:tblCaption w:val="Key factors in deciding between BCI or AMEI implantation in individuals with MHL or CHL"/>
        <w:tblDescription w:val="The table shows the factors that are considered when deciding on whether a BCI or AMEI is the best solution for an individual with MHL or CHL. The list of factors is categorised by audiological profile, anatomical suitability, previous surgery or pathology, patient factors, and device and system factors."/>
      </w:tblPr>
      <w:tblGrid>
        <w:gridCol w:w="1554"/>
        <w:gridCol w:w="1983"/>
        <w:gridCol w:w="3017"/>
        <w:gridCol w:w="3017"/>
      </w:tblGrid>
      <w:tr w:rsidR="008D5C44" w:rsidRPr="00727B49" w14:paraId="2333344B" w14:textId="77777777" w:rsidTr="00E266CF">
        <w:trPr>
          <w:tblHeader/>
        </w:trPr>
        <w:tc>
          <w:tcPr>
            <w:tcW w:w="812" w:type="pct"/>
            <w:tcBorders>
              <w:bottom w:val="single" w:sz="4" w:space="0" w:color="auto"/>
            </w:tcBorders>
          </w:tcPr>
          <w:p w14:paraId="7351824B" w14:textId="57872131" w:rsidR="009D6999" w:rsidRPr="005333CA" w:rsidRDefault="009D6999">
            <w:pPr>
              <w:pStyle w:val="TableHeading"/>
            </w:pPr>
            <w:r>
              <w:t>Category</w:t>
            </w:r>
          </w:p>
        </w:tc>
        <w:tc>
          <w:tcPr>
            <w:tcW w:w="1036" w:type="pct"/>
          </w:tcPr>
          <w:p w14:paraId="73FBD476" w14:textId="0DE97BBD" w:rsidR="009D6999" w:rsidRDefault="009D6999">
            <w:pPr>
              <w:pStyle w:val="TableHeading"/>
            </w:pPr>
            <w:r>
              <w:t>Factor</w:t>
            </w:r>
          </w:p>
        </w:tc>
        <w:tc>
          <w:tcPr>
            <w:tcW w:w="1576" w:type="pct"/>
          </w:tcPr>
          <w:p w14:paraId="19007D72" w14:textId="4E7184AE" w:rsidR="009D6999" w:rsidRPr="005333CA" w:rsidRDefault="009D6999">
            <w:pPr>
              <w:pStyle w:val="TableHeading"/>
            </w:pPr>
            <w:r>
              <w:t>BCI preference</w:t>
            </w:r>
          </w:p>
        </w:tc>
        <w:tc>
          <w:tcPr>
            <w:tcW w:w="1576" w:type="pct"/>
          </w:tcPr>
          <w:p w14:paraId="42D93E2E" w14:textId="03889FA9" w:rsidR="009D6999" w:rsidRPr="005333CA" w:rsidRDefault="009D6999">
            <w:pPr>
              <w:pStyle w:val="TableHeading"/>
            </w:pPr>
            <w:r>
              <w:t>AMEI preference</w:t>
            </w:r>
          </w:p>
        </w:tc>
      </w:tr>
      <w:tr w:rsidR="00481D97" w:rsidRPr="00727B49" w14:paraId="207A2082" w14:textId="77777777" w:rsidTr="00E266CF">
        <w:tc>
          <w:tcPr>
            <w:tcW w:w="812" w:type="pct"/>
            <w:tcBorders>
              <w:top w:val="single" w:sz="4" w:space="0" w:color="auto"/>
              <w:bottom w:val="nil"/>
            </w:tcBorders>
          </w:tcPr>
          <w:p w14:paraId="5FBDC880" w14:textId="2FDE0989" w:rsidR="00481D97" w:rsidRPr="00481D97" w:rsidRDefault="00481D97">
            <w:pPr>
              <w:pStyle w:val="Tabletext"/>
            </w:pPr>
            <w:r w:rsidRPr="00E266CF">
              <w:t>Audiological profile</w:t>
            </w:r>
          </w:p>
        </w:tc>
        <w:tc>
          <w:tcPr>
            <w:tcW w:w="1036" w:type="pct"/>
          </w:tcPr>
          <w:p w14:paraId="0EC1C639" w14:textId="77777777" w:rsidR="00481D97" w:rsidRPr="00290C69" w:rsidRDefault="00481D97">
            <w:pPr>
              <w:pStyle w:val="Tabletext"/>
            </w:pPr>
            <w:r>
              <w:t>Bone conduction thresholds</w:t>
            </w:r>
          </w:p>
        </w:tc>
        <w:tc>
          <w:tcPr>
            <w:tcW w:w="1576" w:type="pct"/>
          </w:tcPr>
          <w:p w14:paraId="3ADE2584" w14:textId="25EEA95D" w:rsidR="00481D97" w:rsidRPr="00290C69" w:rsidRDefault="00481D97">
            <w:pPr>
              <w:pStyle w:val="Tabletext"/>
            </w:pPr>
            <w:r>
              <w:t>Typically ≤45–65 dB HL</w:t>
            </w:r>
          </w:p>
        </w:tc>
        <w:tc>
          <w:tcPr>
            <w:tcW w:w="1576" w:type="pct"/>
          </w:tcPr>
          <w:p w14:paraId="77520441" w14:textId="77777777" w:rsidR="00481D97" w:rsidRPr="00290C69" w:rsidRDefault="00481D97">
            <w:pPr>
              <w:pStyle w:val="Tabletext"/>
            </w:pPr>
            <w:r>
              <w:t>Similar, but AMEI may be preferred if more precise coupling improves outcomes</w:t>
            </w:r>
          </w:p>
        </w:tc>
      </w:tr>
      <w:tr w:rsidR="008D5C44" w:rsidRPr="00727B49" w14:paraId="6F8D71BD" w14:textId="77777777" w:rsidTr="00E266CF">
        <w:trPr>
          <w:tblHeader/>
        </w:trPr>
        <w:tc>
          <w:tcPr>
            <w:tcW w:w="812" w:type="pct"/>
            <w:tcBorders>
              <w:top w:val="nil"/>
              <w:bottom w:val="nil"/>
            </w:tcBorders>
          </w:tcPr>
          <w:p w14:paraId="7E69E2F4" w14:textId="1D6AB0A3" w:rsidR="009D6999" w:rsidRPr="00C077FB" w:rsidRDefault="009D6999" w:rsidP="00E266CF">
            <w:pPr>
              <w:pStyle w:val="TableHeading"/>
              <w:keepNext w:val="0"/>
              <w:rPr>
                <w:b w:val="0"/>
                <w:bCs/>
              </w:rPr>
            </w:pPr>
          </w:p>
        </w:tc>
        <w:tc>
          <w:tcPr>
            <w:tcW w:w="1036" w:type="pct"/>
          </w:tcPr>
          <w:p w14:paraId="0BA2C31B" w14:textId="7520719F" w:rsidR="009D6999" w:rsidRPr="005333CA" w:rsidRDefault="00481D97">
            <w:pPr>
              <w:pStyle w:val="TableHeading"/>
              <w:rPr>
                <w:b w:val="0"/>
                <w:bCs/>
              </w:rPr>
            </w:pPr>
            <w:r>
              <w:rPr>
                <w:b w:val="0"/>
                <w:bCs/>
              </w:rPr>
              <w:t>Cochlear reserve</w:t>
            </w:r>
          </w:p>
        </w:tc>
        <w:tc>
          <w:tcPr>
            <w:tcW w:w="1576" w:type="pct"/>
          </w:tcPr>
          <w:p w14:paraId="3F34B64F" w14:textId="055AA3D2" w:rsidR="009D6999" w:rsidRPr="005333CA" w:rsidRDefault="00D868EE">
            <w:pPr>
              <w:pStyle w:val="TableHeading"/>
              <w:rPr>
                <w:b w:val="0"/>
                <w:bCs/>
              </w:rPr>
            </w:pPr>
            <w:r>
              <w:rPr>
                <w:b w:val="0"/>
                <w:bCs/>
              </w:rPr>
              <w:t>Good</w:t>
            </w:r>
          </w:p>
        </w:tc>
        <w:tc>
          <w:tcPr>
            <w:tcW w:w="1576" w:type="pct"/>
          </w:tcPr>
          <w:p w14:paraId="6442BE5A" w14:textId="23699E1F" w:rsidR="009D6999" w:rsidRPr="005333CA" w:rsidRDefault="00D868EE">
            <w:pPr>
              <w:pStyle w:val="TableHeading"/>
              <w:rPr>
                <w:b w:val="0"/>
                <w:bCs/>
              </w:rPr>
            </w:pPr>
            <w:r>
              <w:rPr>
                <w:b w:val="0"/>
                <w:bCs/>
              </w:rPr>
              <w:t>Adequate</w:t>
            </w:r>
          </w:p>
        </w:tc>
      </w:tr>
      <w:tr w:rsidR="008D5C44" w:rsidRPr="00727B49" w14:paraId="0BDFCFD3" w14:textId="77777777" w:rsidTr="00DF466B">
        <w:tc>
          <w:tcPr>
            <w:tcW w:w="812" w:type="pct"/>
            <w:tcBorders>
              <w:top w:val="nil"/>
              <w:bottom w:val="nil"/>
            </w:tcBorders>
          </w:tcPr>
          <w:p w14:paraId="2DA58290" w14:textId="77777777" w:rsidR="009D6999" w:rsidRPr="00C077FB" w:rsidRDefault="009D6999">
            <w:pPr>
              <w:pStyle w:val="Tabletext"/>
              <w:rPr>
                <w:bCs/>
              </w:rPr>
            </w:pPr>
          </w:p>
        </w:tc>
        <w:tc>
          <w:tcPr>
            <w:tcW w:w="1036" w:type="pct"/>
          </w:tcPr>
          <w:p w14:paraId="6A3520F6" w14:textId="4A76C0A5" w:rsidR="009D6999" w:rsidRPr="00290C69" w:rsidRDefault="00636867">
            <w:pPr>
              <w:pStyle w:val="Tabletext"/>
            </w:pPr>
            <w:r>
              <w:t>Speech discrimination</w:t>
            </w:r>
          </w:p>
        </w:tc>
        <w:tc>
          <w:tcPr>
            <w:tcW w:w="1576" w:type="pct"/>
          </w:tcPr>
          <w:p w14:paraId="418EA4B5" w14:textId="3BE569B2" w:rsidR="009D6999" w:rsidRPr="00290C69" w:rsidRDefault="00286DC8">
            <w:pPr>
              <w:pStyle w:val="Tabletext"/>
            </w:pPr>
            <w:r>
              <w:t>Not impaired</w:t>
            </w:r>
          </w:p>
        </w:tc>
        <w:tc>
          <w:tcPr>
            <w:tcW w:w="1576" w:type="pct"/>
          </w:tcPr>
          <w:p w14:paraId="18518ECB" w14:textId="2F2614EB" w:rsidR="009D6999" w:rsidRPr="00290C69" w:rsidRDefault="00286DC8">
            <w:pPr>
              <w:pStyle w:val="Tabletext"/>
            </w:pPr>
            <w:r>
              <w:t>Better preserved speech discrimination favours AMEI</w:t>
            </w:r>
          </w:p>
        </w:tc>
      </w:tr>
      <w:tr w:rsidR="008D5C44" w:rsidRPr="001257B7" w14:paraId="208BD93B" w14:textId="77777777" w:rsidTr="00DF466B">
        <w:tc>
          <w:tcPr>
            <w:tcW w:w="812" w:type="pct"/>
            <w:tcBorders>
              <w:top w:val="nil"/>
              <w:bottom w:val="single" w:sz="4" w:space="0" w:color="auto"/>
            </w:tcBorders>
          </w:tcPr>
          <w:p w14:paraId="24348F78" w14:textId="77777777" w:rsidR="009D6999" w:rsidRPr="00C077FB" w:rsidRDefault="009D6999">
            <w:pPr>
              <w:pStyle w:val="Tabletext"/>
              <w:rPr>
                <w:bCs/>
              </w:rPr>
            </w:pPr>
          </w:p>
        </w:tc>
        <w:tc>
          <w:tcPr>
            <w:tcW w:w="1036" w:type="pct"/>
          </w:tcPr>
          <w:p w14:paraId="04486A59" w14:textId="455C1DD7" w:rsidR="009D6999" w:rsidRPr="00290C69" w:rsidRDefault="00636867">
            <w:pPr>
              <w:pStyle w:val="Tabletext"/>
            </w:pPr>
            <w:r>
              <w:t xml:space="preserve">Aided benefit with </w:t>
            </w:r>
            <w:r w:rsidR="001A7D06">
              <w:t xml:space="preserve">non-implantable </w:t>
            </w:r>
            <w:r>
              <w:t>BCHD trial</w:t>
            </w:r>
          </w:p>
        </w:tc>
        <w:tc>
          <w:tcPr>
            <w:tcW w:w="1576" w:type="pct"/>
          </w:tcPr>
          <w:p w14:paraId="0F70C2D1" w14:textId="23093052" w:rsidR="009D6999" w:rsidRPr="00290C69" w:rsidRDefault="00685ABA">
            <w:pPr>
              <w:pStyle w:val="Tabletext"/>
            </w:pPr>
            <w:r>
              <w:t>Benefit demonstrated with softband or headband</w:t>
            </w:r>
          </w:p>
        </w:tc>
        <w:tc>
          <w:tcPr>
            <w:tcW w:w="1576" w:type="pct"/>
          </w:tcPr>
          <w:p w14:paraId="73EE85B1" w14:textId="25E17DF7" w:rsidR="009D6999" w:rsidRPr="00290C69" w:rsidRDefault="00685ABA">
            <w:pPr>
              <w:pStyle w:val="Tabletext"/>
            </w:pPr>
            <w:r>
              <w:t>No or poor benefit from BCHD trial</w:t>
            </w:r>
            <w:r w:rsidR="001A7D06">
              <w:t>, or discomfort</w:t>
            </w:r>
          </w:p>
        </w:tc>
      </w:tr>
      <w:tr w:rsidR="00636867" w:rsidRPr="001257B7" w14:paraId="062BB701" w14:textId="77777777" w:rsidTr="00DF466B">
        <w:tc>
          <w:tcPr>
            <w:tcW w:w="812" w:type="pct"/>
            <w:tcBorders>
              <w:bottom w:val="nil"/>
            </w:tcBorders>
          </w:tcPr>
          <w:p w14:paraId="703833C8" w14:textId="64415D32" w:rsidR="00636867" w:rsidRPr="00C077FB" w:rsidRDefault="001A7D06">
            <w:pPr>
              <w:pStyle w:val="Tabletext"/>
              <w:rPr>
                <w:bCs/>
              </w:rPr>
            </w:pPr>
            <w:r>
              <w:rPr>
                <w:bCs/>
              </w:rPr>
              <w:t>Anatomical suitability</w:t>
            </w:r>
          </w:p>
        </w:tc>
        <w:tc>
          <w:tcPr>
            <w:tcW w:w="1036" w:type="pct"/>
          </w:tcPr>
          <w:p w14:paraId="37277AC4" w14:textId="79FBA811" w:rsidR="00636867" w:rsidRDefault="001A7D06">
            <w:pPr>
              <w:pStyle w:val="Tabletext"/>
            </w:pPr>
            <w:r>
              <w:t>Skull bone thickness</w:t>
            </w:r>
          </w:p>
        </w:tc>
        <w:tc>
          <w:tcPr>
            <w:tcW w:w="1576" w:type="pct"/>
          </w:tcPr>
          <w:p w14:paraId="009D7578" w14:textId="61AB8C4A" w:rsidR="00636867" w:rsidRPr="00290C69" w:rsidRDefault="001A7D06">
            <w:pPr>
              <w:pStyle w:val="Tabletext"/>
            </w:pPr>
            <w:r>
              <w:t>Thin or irregular bone may preclude BCI</w:t>
            </w:r>
          </w:p>
        </w:tc>
        <w:tc>
          <w:tcPr>
            <w:tcW w:w="1576" w:type="pct"/>
          </w:tcPr>
          <w:p w14:paraId="33B01BEA" w14:textId="444FEA8C" w:rsidR="00636867" w:rsidRPr="00290C69" w:rsidRDefault="001A7D06">
            <w:pPr>
              <w:pStyle w:val="Tabletext"/>
            </w:pPr>
            <w:r>
              <w:t>Does not rely on skull bone thickness</w:t>
            </w:r>
          </w:p>
        </w:tc>
      </w:tr>
      <w:tr w:rsidR="00A8346A" w:rsidRPr="001257B7" w14:paraId="692C9777" w14:textId="77777777" w:rsidTr="00DF466B">
        <w:tc>
          <w:tcPr>
            <w:tcW w:w="812" w:type="pct"/>
            <w:tcBorders>
              <w:top w:val="nil"/>
              <w:bottom w:val="nil"/>
            </w:tcBorders>
          </w:tcPr>
          <w:p w14:paraId="56185BEB" w14:textId="77777777" w:rsidR="00636867" w:rsidRPr="00C077FB" w:rsidRDefault="00636867">
            <w:pPr>
              <w:pStyle w:val="Tabletext"/>
              <w:rPr>
                <w:bCs/>
              </w:rPr>
            </w:pPr>
          </w:p>
        </w:tc>
        <w:tc>
          <w:tcPr>
            <w:tcW w:w="1036" w:type="pct"/>
          </w:tcPr>
          <w:p w14:paraId="7F8B318D" w14:textId="56725E13" w:rsidR="00636867" w:rsidRDefault="001A7D06">
            <w:pPr>
              <w:pStyle w:val="Tabletext"/>
            </w:pPr>
            <w:r>
              <w:t>Middle ear status</w:t>
            </w:r>
          </w:p>
        </w:tc>
        <w:tc>
          <w:tcPr>
            <w:tcW w:w="1576" w:type="pct"/>
          </w:tcPr>
          <w:p w14:paraId="19F8FB64" w14:textId="2DECA123" w:rsidR="00636867" w:rsidRPr="00290C69" w:rsidRDefault="001A7D06">
            <w:pPr>
              <w:pStyle w:val="Tabletext"/>
            </w:pPr>
            <w:r>
              <w:t>Atresia or chronic drainage (no viable middle ear)</w:t>
            </w:r>
          </w:p>
        </w:tc>
        <w:tc>
          <w:tcPr>
            <w:tcW w:w="1576" w:type="pct"/>
          </w:tcPr>
          <w:p w14:paraId="7FD0E6E4" w14:textId="59D5F9A3" w:rsidR="00636867" w:rsidRPr="00290C69" w:rsidRDefault="001A7D06">
            <w:pPr>
              <w:pStyle w:val="Tabletext"/>
            </w:pPr>
            <w:r>
              <w:t>Intact middle ear anatomy or remnant structures suitable for coupling</w:t>
            </w:r>
          </w:p>
        </w:tc>
      </w:tr>
      <w:tr w:rsidR="00636867" w:rsidRPr="001257B7" w14:paraId="3F48E9C8" w14:textId="77777777" w:rsidTr="00DF466B">
        <w:tc>
          <w:tcPr>
            <w:tcW w:w="812" w:type="pct"/>
            <w:tcBorders>
              <w:top w:val="nil"/>
              <w:bottom w:val="nil"/>
            </w:tcBorders>
          </w:tcPr>
          <w:p w14:paraId="2CB83EF6" w14:textId="77777777" w:rsidR="00636867" w:rsidRPr="00C077FB" w:rsidRDefault="00636867">
            <w:pPr>
              <w:pStyle w:val="Tabletext"/>
              <w:rPr>
                <w:bCs/>
              </w:rPr>
            </w:pPr>
          </w:p>
        </w:tc>
        <w:tc>
          <w:tcPr>
            <w:tcW w:w="1036" w:type="pct"/>
          </w:tcPr>
          <w:p w14:paraId="33541B44" w14:textId="61D90FD9" w:rsidR="00636867" w:rsidRDefault="001A7D06">
            <w:pPr>
              <w:pStyle w:val="Tabletext"/>
            </w:pPr>
            <w:r>
              <w:t>Temporal bone</w:t>
            </w:r>
            <w:r w:rsidR="00F0480F">
              <w:t>/</w:t>
            </w:r>
            <w:r w:rsidR="003968BD">
              <w:t xml:space="preserve"> </w:t>
            </w:r>
            <w:r w:rsidR="00F0480F">
              <w:t>mastoid condition</w:t>
            </w:r>
          </w:p>
        </w:tc>
        <w:tc>
          <w:tcPr>
            <w:tcW w:w="1576" w:type="pct"/>
          </w:tcPr>
          <w:p w14:paraId="3CA6C683" w14:textId="03796C4C" w:rsidR="00636867" w:rsidRPr="00290C69" w:rsidRDefault="000953AA">
            <w:pPr>
              <w:pStyle w:val="Tabletext"/>
            </w:pPr>
            <w:r>
              <w:t>Requires flat bone bed for implant</w:t>
            </w:r>
          </w:p>
        </w:tc>
        <w:tc>
          <w:tcPr>
            <w:tcW w:w="1576" w:type="pct"/>
          </w:tcPr>
          <w:p w14:paraId="651A5C04" w14:textId="05A36CD0" w:rsidR="00636867" w:rsidRPr="00290C69" w:rsidRDefault="000953AA">
            <w:pPr>
              <w:pStyle w:val="Tabletext"/>
            </w:pPr>
            <w:r>
              <w:t xml:space="preserve">Requires </w:t>
            </w:r>
            <w:r w:rsidR="006B41DE">
              <w:t>middle ear access and space for transducer placement</w:t>
            </w:r>
          </w:p>
        </w:tc>
      </w:tr>
      <w:tr w:rsidR="00636867" w:rsidRPr="001257B7" w14:paraId="4DFAC23B" w14:textId="77777777" w:rsidTr="00DF466B">
        <w:tc>
          <w:tcPr>
            <w:tcW w:w="812" w:type="pct"/>
            <w:tcBorders>
              <w:top w:val="nil"/>
              <w:bottom w:val="single" w:sz="4" w:space="0" w:color="auto"/>
            </w:tcBorders>
          </w:tcPr>
          <w:p w14:paraId="6B3D7FCF" w14:textId="77777777" w:rsidR="00636867" w:rsidRPr="00C077FB" w:rsidRDefault="00636867">
            <w:pPr>
              <w:pStyle w:val="Tabletext"/>
              <w:rPr>
                <w:bCs/>
              </w:rPr>
            </w:pPr>
          </w:p>
        </w:tc>
        <w:tc>
          <w:tcPr>
            <w:tcW w:w="1036" w:type="pct"/>
          </w:tcPr>
          <w:p w14:paraId="315D2674" w14:textId="61666A7A" w:rsidR="00636867" w:rsidRDefault="006B41DE">
            <w:pPr>
              <w:pStyle w:val="Tabletext"/>
            </w:pPr>
            <w:r>
              <w:t>Round or oval window visibility</w:t>
            </w:r>
          </w:p>
        </w:tc>
        <w:tc>
          <w:tcPr>
            <w:tcW w:w="1576" w:type="pct"/>
          </w:tcPr>
          <w:p w14:paraId="5D990C87" w14:textId="4544C643" w:rsidR="00636867" w:rsidRPr="00290C69" w:rsidRDefault="006B41DE">
            <w:pPr>
              <w:pStyle w:val="Tabletext"/>
            </w:pPr>
            <w:r>
              <w:t>Not relevant</w:t>
            </w:r>
          </w:p>
        </w:tc>
        <w:tc>
          <w:tcPr>
            <w:tcW w:w="1576" w:type="pct"/>
          </w:tcPr>
          <w:p w14:paraId="53826F75" w14:textId="12C0C2D1" w:rsidR="00636867" w:rsidRPr="00290C69" w:rsidRDefault="006B41DE">
            <w:pPr>
              <w:pStyle w:val="Tabletext"/>
            </w:pPr>
            <w:r>
              <w:t>Required for transducer coupling if using those sites</w:t>
            </w:r>
          </w:p>
        </w:tc>
      </w:tr>
      <w:tr w:rsidR="00636867" w:rsidRPr="001257B7" w14:paraId="1D07C7D4" w14:textId="77777777" w:rsidTr="00DF466B">
        <w:tc>
          <w:tcPr>
            <w:tcW w:w="812" w:type="pct"/>
            <w:tcBorders>
              <w:bottom w:val="nil"/>
            </w:tcBorders>
          </w:tcPr>
          <w:p w14:paraId="4DB9830A" w14:textId="2226A2F1" w:rsidR="00636867" w:rsidRPr="00C077FB" w:rsidRDefault="00B365C4">
            <w:pPr>
              <w:pStyle w:val="Tabletext"/>
              <w:rPr>
                <w:bCs/>
              </w:rPr>
            </w:pPr>
            <w:r>
              <w:rPr>
                <w:bCs/>
              </w:rPr>
              <w:t>Previous surgery or pathology</w:t>
            </w:r>
          </w:p>
        </w:tc>
        <w:tc>
          <w:tcPr>
            <w:tcW w:w="1036" w:type="pct"/>
          </w:tcPr>
          <w:p w14:paraId="60E4FCFC" w14:textId="1A3E09CA" w:rsidR="00636867" w:rsidRDefault="00B365C4">
            <w:pPr>
              <w:pStyle w:val="Tabletext"/>
            </w:pPr>
            <w:r>
              <w:t>Canal or middle ear pathology</w:t>
            </w:r>
          </w:p>
        </w:tc>
        <w:tc>
          <w:tcPr>
            <w:tcW w:w="1576" w:type="pct"/>
          </w:tcPr>
          <w:p w14:paraId="4BCA2E08" w14:textId="3B12EFE4" w:rsidR="00636867" w:rsidRPr="00290C69" w:rsidRDefault="00D56F7D">
            <w:pPr>
              <w:pStyle w:val="Tabletext"/>
            </w:pPr>
            <w:r>
              <w:t>External canal atresia, chronic otorrhoea</w:t>
            </w:r>
          </w:p>
        </w:tc>
        <w:tc>
          <w:tcPr>
            <w:tcW w:w="1576" w:type="pct"/>
          </w:tcPr>
          <w:p w14:paraId="2654C49F" w14:textId="0149C557" w:rsidR="00636867" w:rsidRPr="00290C69" w:rsidRDefault="0006248D">
            <w:pPr>
              <w:pStyle w:val="Tabletext"/>
            </w:pPr>
            <w:r>
              <w:t>Failed tympanoplasty or ossiculoplasty</w:t>
            </w:r>
          </w:p>
        </w:tc>
      </w:tr>
      <w:tr w:rsidR="00636867" w:rsidRPr="001257B7" w14:paraId="2E9700C3" w14:textId="77777777" w:rsidTr="00DF466B">
        <w:tc>
          <w:tcPr>
            <w:tcW w:w="812" w:type="pct"/>
            <w:tcBorders>
              <w:top w:val="nil"/>
              <w:bottom w:val="single" w:sz="4" w:space="0" w:color="auto"/>
            </w:tcBorders>
          </w:tcPr>
          <w:p w14:paraId="4E89CF1B" w14:textId="77777777" w:rsidR="00636867" w:rsidRPr="00C077FB" w:rsidRDefault="00636867">
            <w:pPr>
              <w:pStyle w:val="Tabletext"/>
              <w:rPr>
                <w:bCs/>
              </w:rPr>
            </w:pPr>
          </w:p>
        </w:tc>
        <w:tc>
          <w:tcPr>
            <w:tcW w:w="1036" w:type="pct"/>
          </w:tcPr>
          <w:p w14:paraId="17DB1667" w14:textId="11132185" w:rsidR="00636867" w:rsidRDefault="00D56F7D">
            <w:pPr>
              <w:pStyle w:val="Tabletext"/>
            </w:pPr>
            <w:r>
              <w:t>Scarring from past surgery</w:t>
            </w:r>
          </w:p>
        </w:tc>
        <w:tc>
          <w:tcPr>
            <w:tcW w:w="1576" w:type="pct"/>
          </w:tcPr>
          <w:p w14:paraId="4AF72DDB" w14:textId="3E31F344" w:rsidR="00636867" w:rsidRPr="00290C69" w:rsidRDefault="001F4008">
            <w:pPr>
              <w:pStyle w:val="Tabletext"/>
            </w:pPr>
            <w:r>
              <w:t>Scarred middle ear limits AMEI use</w:t>
            </w:r>
          </w:p>
        </w:tc>
        <w:tc>
          <w:tcPr>
            <w:tcW w:w="1576" w:type="pct"/>
          </w:tcPr>
          <w:p w14:paraId="07A70C7E" w14:textId="6EDB55F0" w:rsidR="00636867" w:rsidRPr="00290C69" w:rsidRDefault="001F4008">
            <w:pPr>
              <w:pStyle w:val="Tabletext"/>
            </w:pPr>
            <w:r>
              <w:t>Scarred skull site limits BCI use</w:t>
            </w:r>
          </w:p>
        </w:tc>
      </w:tr>
      <w:tr w:rsidR="00636867" w:rsidRPr="001257B7" w14:paraId="1C7466E4" w14:textId="77777777" w:rsidTr="00DF466B">
        <w:tc>
          <w:tcPr>
            <w:tcW w:w="812" w:type="pct"/>
            <w:tcBorders>
              <w:bottom w:val="nil"/>
            </w:tcBorders>
          </w:tcPr>
          <w:p w14:paraId="7204FB26" w14:textId="59649053" w:rsidR="00636867" w:rsidRPr="00C077FB" w:rsidRDefault="00872E76">
            <w:pPr>
              <w:pStyle w:val="Tabletext"/>
              <w:rPr>
                <w:bCs/>
              </w:rPr>
            </w:pPr>
            <w:r>
              <w:rPr>
                <w:bCs/>
              </w:rPr>
              <w:t>Patient factors</w:t>
            </w:r>
          </w:p>
        </w:tc>
        <w:tc>
          <w:tcPr>
            <w:tcW w:w="1036" w:type="pct"/>
          </w:tcPr>
          <w:p w14:paraId="4423D77E" w14:textId="0AFAF8E8" w:rsidR="00636867" w:rsidRDefault="005F5CA3">
            <w:pPr>
              <w:pStyle w:val="Tabletext"/>
            </w:pPr>
            <w:r>
              <w:t>Skin condition</w:t>
            </w:r>
          </w:p>
        </w:tc>
        <w:tc>
          <w:tcPr>
            <w:tcW w:w="1576" w:type="pct"/>
          </w:tcPr>
          <w:p w14:paraId="2E0ECBD3" w14:textId="6BD65B29" w:rsidR="00636867" w:rsidRPr="00290C69" w:rsidRDefault="0032057A">
            <w:pPr>
              <w:pStyle w:val="Tabletext"/>
            </w:pPr>
            <w:r>
              <w:t>Good skin tolerance</w:t>
            </w:r>
          </w:p>
        </w:tc>
        <w:tc>
          <w:tcPr>
            <w:tcW w:w="1576" w:type="pct"/>
          </w:tcPr>
          <w:p w14:paraId="08AE2955" w14:textId="42A0510F" w:rsidR="00636867" w:rsidRPr="00290C69" w:rsidRDefault="0032057A">
            <w:pPr>
              <w:pStyle w:val="Tabletext"/>
            </w:pPr>
            <w:r>
              <w:t>Dermatitis, infection risk favours AMEI</w:t>
            </w:r>
          </w:p>
        </w:tc>
      </w:tr>
      <w:tr w:rsidR="00636867" w:rsidRPr="001257B7" w14:paraId="7010F65B" w14:textId="77777777" w:rsidTr="00DF466B">
        <w:tc>
          <w:tcPr>
            <w:tcW w:w="812" w:type="pct"/>
            <w:tcBorders>
              <w:top w:val="nil"/>
              <w:bottom w:val="single" w:sz="4" w:space="0" w:color="auto"/>
            </w:tcBorders>
          </w:tcPr>
          <w:p w14:paraId="389BF778" w14:textId="77777777" w:rsidR="00636867" w:rsidRPr="00C077FB" w:rsidRDefault="00636867">
            <w:pPr>
              <w:pStyle w:val="Tabletext"/>
              <w:rPr>
                <w:bCs/>
              </w:rPr>
            </w:pPr>
          </w:p>
        </w:tc>
        <w:tc>
          <w:tcPr>
            <w:tcW w:w="1036" w:type="pct"/>
          </w:tcPr>
          <w:p w14:paraId="52718ABD" w14:textId="4AFF3CC4" w:rsidR="00636867" w:rsidRDefault="00797B06">
            <w:pPr>
              <w:pStyle w:val="Tabletext"/>
            </w:pPr>
            <w:r>
              <w:t>Lifestyle</w:t>
            </w:r>
          </w:p>
        </w:tc>
        <w:tc>
          <w:tcPr>
            <w:tcW w:w="1576" w:type="pct"/>
          </w:tcPr>
          <w:p w14:paraId="68E44DD3" w14:textId="0D64DCB6" w:rsidR="00636867" w:rsidRPr="00290C69" w:rsidRDefault="00797B06">
            <w:pPr>
              <w:pStyle w:val="Tabletext"/>
            </w:pPr>
            <w:r>
              <w:t>Less surgical complexity and quicker recovery</w:t>
            </w:r>
          </w:p>
        </w:tc>
        <w:tc>
          <w:tcPr>
            <w:tcW w:w="1576" w:type="pct"/>
          </w:tcPr>
          <w:p w14:paraId="198A7757" w14:textId="44036F53" w:rsidR="00636867" w:rsidRPr="00290C69" w:rsidRDefault="00797B06">
            <w:pPr>
              <w:pStyle w:val="Tabletext"/>
            </w:pPr>
            <w:r>
              <w:t xml:space="preserve">More </w:t>
            </w:r>
            <w:r w:rsidR="008546A8">
              <w:t>natural hearing experience, but more complex surgery</w:t>
            </w:r>
          </w:p>
        </w:tc>
      </w:tr>
      <w:tr w:rsidR="00636867" w:rsidRPr="001257B7" w14:paraId="5D3EE6A6" w14:textId="77777777" w:rsidTr="00DF466B">
        <w:tc>
          <w:tcPr>
            <w:tcW w:w="812" w:type="pct"/>
            <w:tcBorders>
              <w:bottom w:val="nil"/>
            </w:tcBorders>
          </w:tcPr>
          <w:p w14:paraId="665D0275" w14:textId="32FD7228" w:rsidR="00636867" w:rsidRPr="00C077FB" w:rsidRDefault="002E61F1">
            <w:pPr>
              <w:pStyle w:val="Tabletext"/>
              <w:rPr>
                <w:bCs/>
              </w:rPr>
            </w:pPr>
            <w:r>
              <w:rPr>
                <w:bCs/>
              </w:rPr>
              <w:t>Device and system factors</w:t>
            </w:r>
            <w:r w:rsidR="00E8500A">
              <w:rPr>
                <w:bCs/>
              </w:rPr>
              <w:t xml:space="preserve"> </w:t>
            </w:r>
          </w:p>
        </w:tc>
        <w:tc>
          <w:tcPr>
            <w:tcW w:w="1036" w:type="pct"/>
          </w:tcPr>
          <w:p w14:paraId="19342137" w14:textId="7D55C6F0" w:rsidR="00636867" w:rsidRDefault="002E61F1">
            <w:pPr>
              <w:pStyle w:val="Tabletext"/>
            </w:pPr>
            <w:r>
              <w:t>MRI compatibility</w:t>
            </w:r>
          </w:p>
        </w:tc>
        <w:tc>
          <w:tcPr>
            <w:tcW w:w="1576" w:type="pct"/>
          </w:tcPr>
          <w:p w14:paraId="7FEB053B" w14:textId="7470151E" w:rsidR="00636867" w:rsidRPr="00290C69" w:rsidRDefault="0011109E">
            <w:pPr>
              <w:pStyle w:val="Tabletext"/>
            </w:pPr>
            <w:r>
              <w:t xml:space="preserve">More systems </w:t>
            </w:r>
            <w:r w:rsidR="00184EB4">
              <w:t xml:space="preserve">are </w:t>
            </w:r>
            <w:r>
              <w:t>now MRI-safe</w:t>
            </w:r>
            <w:r w:rsidR="003B10A7">
              <w:t xml:space="preserve">; </w:t>
            </w:r>
            <w:r w:rsidR="0022345E">
              <w:t>BCI implant</w:t>
            </w:r>
            <w:r w:rsidR="009F5FBF">
              <w:t>s</w:t>
            </w:r>
            <w:r w:rsidR="0022345E">
              <w:t xml:space="preserve"> </w:t>
            </w:r>
            <w:r w:rsidR="009F5FBF">
              <w:t xml:space="preserve">are </w:t>
            </w:r>
            <w:r w:rsidR="00621000">
              <w:t>conditionally MRI</w:t>
            </w:r>
            <w:r w:rsidR="001C40D6">
              <w:t xml:space="preserve"> </w:t>
            </w:r>
            <w:r w:rsidR="00621000">
              <w:t>compatible up to 3.0 Tesla</w:t>
            </w:r>
          </w:p>
        </w:tc>
        <w:tc>
          <w:tcPr>
            <w:tcW w:w="1576" w:type="pct"/>
          </w:tcPr>
          <w:p w14:paraId="7634A8DC" w14:textId="3D31AA86" w:rsidR="00636867" w:rsidRPr="00290C69" w:rsidRDefault="002A4CF4">
            <w:pPr>
              <w:pStyle w:val="Tabletext"/>
            </w:pPr>
            <w:r>
              <w:t xml:space="preserve">Vibrant Soundbridge </w:t>
            </w:r>
            <w:r w:rsidR="0094795C">
              <w:t xml:space="preserve">VORP </w:t>
            </w:r>
            <w:r w:rsidR="00D63786">
              <w:t>5</w:t>
            </w:r>
            <w:r w:rsidR="0094795C">
              <w:t xml:space="preserve">03 implant is conditionally </w:t>
            </w:r>
            <w:r w:rsidR="002E61F1">
              <w:t>MRI</w:t>
            </w:r>
            <w:r w:rsidR="0094795C">
              <w:t xml:space="preserve"> compatible up to 1.5 Tesla</w:t>
            </w:r>
          </w:p>
        </w:tc>
      </w:tr>
      <w:tr w:rsidR="00636867" w:rsidRPr="001257B7" w14:paraId="09568DD0" w14:textId="77777777" w:rsidTr="00DF466B">
        <w:tc>
          <w:tcPr>
            <w:tcW w:w="812" w:type="pct"/>
            <w:tcBorders>
              <w:top w:val="nil"/>
            </w:tcBorders>
          </w:tcPr>
          <w:p w14:paraId="51234958" w14:textId="77777777" w:rsidR="00636867" w:rsidRPr="00C077FB" w:rsidRDefault="00636867">
            <w:pPr>
              <w:pStyle w:val="Tabletext"/>
              <w:rPr>
                <w:bCs/>
              </w:rPr>
            </w:pPr>
          </w:p>
        </w:tc>
        <w:tc>
          <w:tcPr>
            <w:tcW w:w="1036" w:type="pct"/>
          </w:tcPr>
          <w:p w14:paraId="51C1830B" w14:textId="505545D0" w:rsidR="00636867" w:rsidRDefault="0011109E">
            <w:pPr>
              <w:pStyle w:val="Tabletext"/>
            </w:pPr>
            <w:r>
              <w:t>Surgical expertise and experience</w:t>
            </w:r>
          </w:p>
        </w:tc>
        <w:tc>
          <w:tcPr>
            <w:tcW w:w="1576" w:type="pct"/>
          </w:tcPr>
          <w:p w14:paraId="07CD212E" w14:textId="474961E9" w:rsidR="00636867" w:rsidRPr="00290C69" w:rsidRDefault="0011109E">
            <w:pPr>
              <w:pStyle w:val="Tabletext"/>
            </w:pPr>
            <w:r>
              <w:t>Shorter procedure, broader availability</w:t>
            </w:r>
          </w:p>
        </w:tc>
        <w:tc>
          <w:tcPr>
            <w:tcW w:w="1576" w:type="pct"/>
          </w:tcPr>
          <w:p w14:paraId="637E8F91" w14:textId="373470DD" w:rsidR="00636867" w:rsidRPr="00290C69" w:rsidRDefault="0011109E">
            <w:pPr>
              <w:pStyle w:val="Tabletext"/>
            </w:pPr>
            <w:r>
              <w:t>Specialist surgical centres with ENT implant expertise</w:t>
            </w:r>
          </w:p>
        </w:tc>
      </w:tr>
    </w:tbl>
    <w:p w14:paraId="77AB0F29" w14:textId="116872B8" w:rsidR="00772C0A" w:rsidRPr="00772C0A" w:rsidRDefault="00772C0A" w:rsidP="00772C0A">
      <w:pPr>
        <w:pStyle w:val="Tablenotes"/>
      </w:pPr>
      <w:r w:rsidRPr="00C077FB">
        <w:t xml:space="preserve">AMEI = active middle ear implant; </w:t>
      </w:r>
      <w:r w:rsidR="00636867">
        <w:t xml:space="preserve">BCHD = bone conduction hearing device; </w:t>
      </w:r>
      <w:r w:rsidRPr="00C077FB">
        <w:t>BCI = bone conduction implant</w:t>
      </w:r>
      <w:r w:rsidR="00B64D6B">
        <w:t>; dB</w:t>
      </w:r>
      <w:r w:rsidR="003968BD">
        <w:t> </w:t>
      </w:r>
      <w:r w:rsidR="00B64D6B">
        <w:t>HL = decibels hearing level</w:t>
      </w:r>
      <w:r w:rsidR="0011109E">
        <w:t xml:space="preserve">; </w:t>
      </w:r>
      <w:r w:rsidR="00074AA6">
        <w:t>ENT</w:t>
      </w:r>
      <w:r w:rsidR="00B54E61">
        <w:t> </w:t>
      </w:r>
      <w:r w:rsidR="00074AA6">
        <w:t>=</w:t>
      </w:r>
      <w:r w:rsidR="00B54E61">
        <w:t> </w:t>
      </w:r>
      <w:r w:rsidR="00074AA6">
        <w:t xml:space="preserve">ear, nose and throat; </w:t>
      </w:r>
      <w:r w:rsidR="0011109E">
        <w:t>MRI = magnetic resonance imaging</w:t>
      </w:r>
      <w:r w:rsidRPr="00C077FB">
        <w:t>.</w:t>
      </w:r>
    </w:p>
    <w:p w14:paraId="34300749" w14:textId="4ABB1D62" w:rsidR="0045619B" w:rsidRPr="0045619B" w:rsidRDefault="0045619B" w:rsidP="00340B65">
      <w:pPr>
        <w:pStyle w:val="Caption"/>
        <w:spacing w:before="120"/>
      </w:pPr>
      <w:bookmarkStart w:id="20" w:name="_Ref202179546"/>
      <w:r>
        <w:lastRenderedPageBreak/>
        <w:t xml:space="preserve">Figure </w:t>
      </w:r>
      <w:r>
        <w:fldChar w:fldCharType="begin"/>
      </w:r>
      <w:r>
        <w:instrText xml:space="preserve"> SEQ Figure \* ARABIC </w:instrText>
      </w:r>
      <w:r>
        <w:fldChar w:fldCharType="separate"/>
      </w:r>
      <w:r w:rsidR="00A42764">
        <w:rPr>
          <w:noProof/>
        </w:rPr>
        <w:t>3</w:t>
      </w:r>
      <w:r>
        <w:fldChar w:fldCharType="end"/>
      </w:r>
      <w:bookmarkEnd w:id="20"/>
      <w:r>
        <w:tab/>
        <w:t>Proposed clinical management algorithm for the proposed population</w:t>
      </w:r>
    </w:p>
    <w:p w14:paraId="31BCEDBD" w14:textId="51DAD6E7" w:rsidR="00475C3E" w:rsidRDefault="007B6969" w:rsidP="00336828">
      <w:pPr>
        <w:pBdr>
          <w:top w:val="single" w:sz="4" w:space="1" w:color="auto"/>
          <w:left w:val="single" w:sz="4" w:space="4" w:color="auto"/>
          <w:bottom w:val="single" w:sz="4" w:space="1" w:color="auto"/>
          <w:right w:val="single" w:sz="4" w:space="4" w:color="auto"/>
        </w:pBdr>
        <w:spacing w:after="80"/>
        <w:jc w:val="center"/>
      </w:pPr>
      <w:r>
        <w:rPr>
          <w:noProof/>
        </w:rPr>
        <w:drawing>
          <wp:inline distT="0" distB="0" distL="0" distR="0" wp14:anchorId="35C543B7" wp14:editId="7A966A19">
            <wp:extent cx="5024485" cy="6334125"/>
            <wp:effectExtent l="0" t="0" r="5080" b="0"/>
            <wp:docPr id="1331961878" name="Picture 1" descr="Proposed clinical management algorithm for individuals aged &gt;5 years with mild to severe MHL or CHL. BCI and AMEI are implantable hearing solutions for the propose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61878" name="Picture 1" descr="Proposed clinical management algorithm for individuals aged &gt;5 years with mild to severe MHL or CHL. BCI and AMEI are implantable hearing solutions for the proposed popula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5967" cy="6348600"/>
                    </a:xfrm>
                    <a:prstGeom prst="rect">
                      <a:avLst/>
                    </a:prstGeom>
                    <a:noFill/>
                    <a:ln>
                      <a:noFill/>
                    </a:ln>
                  </pic:spPr>
                </pic:pic>
              </a:graphicData>
            </a:graphic>
          </wp:inline>
        </w:drawing>
      </w:r>
    </w:p>
    <w:p w14:paraId="2FC2F4EF" w14:textId="77777777" w:rsidR="006117C0" w:rsidRPr="006827C9" w:rsidRDefault="006117C0" w:rsidP="006117C0">
      <w:pPr>
        <w:pStyle w:val="Tablenotes"/>
        <w:spacing w:before="0" w:after="0"/>
        <w:rPr>
          <w:lang w:val="en-GB" w:eastAsia="ja-JP"/>
        </w:rPr>
      </w:pPr>
      <w:r>
        <w:rPr>
          <w:lang w:val="en-GB" w:eastAsia="ja-JP"/>
        </w:rPr>
        <w:t xml:space="preserve">AMEI = active middle ear implant; BCHD = bone conduction hearing device; </w:t>
      </w:r>
      <w:r w:rsidRPr="00AF34B5">
        <w:rPr>
          <w:lang w:val="en-GB" w:eastAsia="ja-JP"/>
        </w:rPr>
        <w:t xml:space="preserve">BCI = bone conduction implant; CHL = conductive hearing loss; </w:t>
      </w:r>
      <w:r>
        <w:rPr>
          <w:lang w:val="en-GB" w:eastAsia="ja-JP"/>
        </w:rPr>
        <w:t xml:space="preserve">MDT = multidisciplinary team; </w:t>
      </w:r>
      <w:r w:rsidRPr="00AF34B5">
        <w:rPr>
          <w:lang w:val="en-GB" w:eastAsia="ja-JP"/>
        </w:rPr>
        <w:t>MHL = mixed hearing loss</w:t>
      </w:r>
      <w:r>
        <w:rPr>
          <w:lang w:val="en-GB" w:eastAsia="ja-JP"/>
        </w:rPr>
        <w:t>; MRI = magnetic resonance imaging.</w:t>
      </w:r>
    </w:p>
    <w:p w14:paraId="007C5D37" w14:textId="4242C6A5" w:rsidR="006827C9" w:rsidRPr="00AF34B5" w:rsidRDefault="006827C9" w:rsidP="006827C9">
      <w:pPr>
        <w:pStyle w:val="Tablenotes"/>
        <w:spacing w:after="0"/>
        <w:rPr>
          <w:lang w:val="en-GB" w:eastAsia="ja-JP"/>
        </w:rPr>
      </w:pPr>
      <w:r w:rsidRPr="00AF34B5">
        <w:rPr>
          <w:lang w:val="en-GB" w:eastAsia="ja-JP"/>
        </w:rPr>
        <w:t>a</w:t>
      </w:r>
      <w:r w:rsidR="00B14ED4">
        <w:rPr>
          <w:lang w:val="en-GB" w:eastAsia="ja-JP"/>
        </w:rPr>
        <w:t>.</w:t>
      </w:r>
      <w:r w:rsidRPr="00AF34B5">
        <w:rPr>
          <w:lang w:val="en-GB" w:eastAsia="ja-JP"/>
        </w:rPr>
        <w:t xml:space="preserve"> Surgical intervention includes repair and/or reconstruction of the middle ear.</w:t>
      </w:r>
    </w:p>
    <w:p w14:paraId="3E10AF5E" w14:textId="16CB8D52" w:rsidR="006827C9" w:rsidRDefault="006827C9" w:rsidP="006827C9">
      <w:pPr>
        <w:pStyle w:val="Tablenotes"/>
        <w:spacing w:before="0" w:after="0"/>
        <w:rPr>
          <w:lang w:val="en-GB" w:eastAsia="ja-JP"/>
        </w:rPr>
      </w:pPr>
      <w:r w:rsidRPr="00AF34B5">
        <w:rPr>
          <w:lang w:val="en-GB" w:eastAsia="ja-JP"/>
        </w:rPr>
        <w:t>b</w:t>
      </w:r>
      <w:r w:rsidR="00B14ED4">
        <w:rPr>
          <w:lang w:val="en-GB" w:eastAsia="ja-JP"/>
        </w:rPr>
        <w:t>.</w:t>
      </w:r>
      <w:r w:rsidRPr="00AF34B5">
        <w:rPr>
          <w:lang w:val="en-GB" w:eastAsia="ja-JP"/>
        </w:rPr>
        <w:t xml:space="preserve"> Conventional hearing devices include air</w:t>
      </w:r>
      <w:r w:rsidR="00D0350A">
        <w:rPr>
          <w:lang w:val="en-GB" w:eastAsia="ja-JP"/>
        </w:rPr>
        <w:t xml:space="preserve"> </w:t>
      </w:r>
      <w:r w:rsidRPr="00AF34B5">
        <w:rPr>
          <w:lang w:val="en-GB" w:eastAsia="ja-JP"/>
        </w:rPr>
        <w:t xml:space="preserve">conduction hearing aids and non-implantable </w:t>
      </w:r>
      <w:r w:rsidR="009C459C">
        <w:rPr>
          <w:lang w:val="en-GB" w:eastAsia="ja-JP"/>
        </w:rPr>
        <w:t>BCHD</w:t>
      </w:r>
      <w:r w:rsidR="00F052A8">
        <w:rPr>
          <w:lang w:val="en-GB" w:eastAsia="ja-JP"/>
        </w:rPr>
        <w:t>s</w:t>
      </w:r>
      <w:r w:rsidRPr="00AF34B5">
        <w:rPr>
          <w:lang w:val="en-GB" w:eastAsia="ja-JP"/>
        </w:rPr>
        <w:t xml:space="preserve"> (headband/softband or adhesive).</w:t>
      </w:r>
    </w:p>
    <w:p w14:paraId="0E3EBFB5" w14:textId="19F9536A" w:rsidR="006A69BC" w:rsidRPr="006A69BC" w:rsidRDefault="00C44229" w:rsidP="006A69BC">
      <w:pPr>
        <w:pStyle w:val="Tablenotes"/>
        <w:spacing w:before="0" w:after="0"/>
        <w:rPr>
          <w:lang w:val="en-GB" w:eastAsia="ja-JP"/>
        </w:rPr>
      </w:pPr>
      <w:r>
        <w:rPr>
          <w:lang w:val="en-GB" w:eastAsia="ja-JP"/>
        </w:rPr>
        <w:t>c</w:t>
      </w:r>
      <w:r w:rsidR="00B14ED4">
        <w:rPr>
          <w:lang w:val="en-GB" w:eastAsia="ja-JP"/>
        </w:rPr>
        <w:t>.</w:t>
      </w:r>
      <w:r>
        <w:rPr>
          <w:lang w:val="en-GB" w:eastAsia="ja-JP"/>
        </w:rPr>
        <w:t xml:space="preserve"> </w:t>
      </w:r>
      <w:r w:rsidR="006A69BC" w:rsidRPr="006A69BC">
        <w:rPr>
          <w:lang w:val="en-GB" w:eastAsia="ja-JP"/>
        </w:rPr>
        <w:t>May include a trial of a non-implantable BCHD, where appropriate, to assess the potential benefit prior to considering an implantable option.</w:t>
      </w:r>
    </w:p>
    <w:p w14:paraId="6CA5846C" w14:textId="0968F388" w:rsidR="000A2365" w:rsidRDefault="006A69BC" w:rsidP="006A69BC">
      <w:pPr>
        <w:pStyle w:val="Tablenotes"/>
        <w:spacing w:before="0" w:after="0"/>
        <w:rPr>
          <w:lang w:val="en-GB" w:eastAsia="ja-JP"/>
        </w:rPr>
      </w:pPr>
      <w:r w:rsidRPr="006A69BC">
        <w:rPr>
          <w:lang w:val="en-GB" w:eastAsia="ja-JP"/>
        </w:rPr>
        <w:t>d</w:t>
      </w:r>
      <w:r w:rsidR="00B14ED4">
        <w:rPr>
          <w:lang w:val="en-GB" w:eastAsia="ja-JP"/>
        </w:rPr>
        <w:t>.</w:t>
      </w:r>
      <w:r w:rsidRPr="006A69BC">
        <w:rPr>
          <w:lang w:val="en-GB" w:eastAsia="ja-JP"/>
        </w:rPr>
        <w:t xml:space="preserve"> </w:t>
      </w:r>
      <w:r w:rsidR="00BE0BBD" w:rsidRPr="00BE0BBD">
        <w:rPr>
          <w:lang w:val="en-GB" w:eastAsia="ja-JP"/>
        </w:rPr>
        <w:t>BCIs may be preferred for their less invasive surgical approach and greater clinical familiarity. AMEIs may be preferred for their broader fitting range, which offers more flexibility for patients who later develop age-related progressive sensorineural hearing loss</w:t>
      </w:r>
      <w:r w:rsidR="00405327">
        <w:rPr>
          <w:lang w:val="en-GB" w:eastAsia="ja-JP"/>
        </w:rPr>
        <w:t>.</w:t>
      </w:r>
    </w:p>
    <w:p w14:paraId="184D3BED" w14:textId="2E945F7B" w:rsidR="006A69BC" w:rsidRPr="006A69BC" w:rsidRDefault="000A2365" w:rsidP="006A69BC">
      <w:pPr>
        <w:pStyle w:val="Tablenotes"/>
        <w:spacing w:before="0" w:after="0"/>
        <w:rPr>
          <w:lang w:val="en-GB" w:eastAsia="ja-JP"/>
        </w:rPr>
      </w:pPr>
      <w:r>
        <w:rPr>
          <w:lang w:val="en-GB" w:eastAsia="ja-JP"/>
        </w:rPr>
        <w:t xml:space="preserve">e. </w:t>
      </w:r>
      <w:r w:rsidR="006A69BC" w:rsidRPr="006A69BC">
        <w:rPr>
          <w:lang w:val="en-GB" w:eastAsia="ja-JP"/>
        </w:rPr>
        <w:t>MDT may reassess any/</w:t>
      </w:r>
      <w:proofErr w:type="gramStart"/>
      <w:r w:rsidR="006A69BC" w:rsidRPr="006A69BC">
        <w:rPr>
          <w:lang w:val="en-GB" w:eastAsia="ja-JP"/>
        </w:rPr>
        <w:t>all of</w:t>
      </w:r>
      <w:proofErr w:type="gramEnd"/>
      <w:r w:rsidR="006A69BC" w:rsidRPr="006A69BC">
        <w:rPr>
          <w:lang w:val="en-GB" w:eastAsia="ja-JP"/>
        </w:rPr>
        <w:t xml:space="preserve"> the following: device fitting, settings and coupling; skin and soft tissue issues or inflammation; device positioning; changes in hearing status; patient adherence or difficulties with device use. Revision surgery is infrequent and typically only required in the event of complications or device-related issues.</w:t>
      </w:r>
    </w:p>
    <w:p w14:paraId="02D032DD" w14:textId="42FD8B04" w:rsidR="00C44229" w:rsidRPr="00AF34B5" w:rsidRDefault="000A2365" w:rsidP="00DC5D07">
      <w:pPr>
        <w:pStyle w:val="Tablenotes"/>
        <w:spacing w:before="0"/>
        <w:rPr>
          <w:lang w:val="en-GB" w:eastAsia="ja-JP"/>
        </w:rPr>
      </w:pPr>
      <w:r>
        <w:rPr>
          <w:lang w:val="en-GB" w:eastAsia="ja-JP"/>
        </w:rPr>
        <w:t>f</w:t>
      </w:r>
      <w:r w:rsidR="00B14ED4">
        <w:rPr>
          <w:lang w:val="en-GB" w:eastAsia="ja-JP"/>
        </w:rPr>
        <w:t>.</w:t>
      </w:r>
      <w:r w:rsidR="006A69BC" w:rsidRPr="006A69BC">
        <w:rPr>
          <w:lang w:val="en-GB" w:eastAsia="ja-JP"/>
        </w:rPr>
        <w:t xml:space="preserve"> Explantation of a BCI is uncommon but may be required in specific clinical scenarios. In cases where removal is not indicated, the device may be deactivated and left in situ. Explantation of an AMEI may involve greater surgical complexity due to the need to access and manage components located within the mastoid and middle ear structures.</w:t>
      </w:r>
      <w:r w:rsidR="00782101">
        <w:rPr>
          <w:lang w:val="en-GB" w:eastAsia="ja-JP"/>
        </w:rPr>
        <w:t xml:space="preserve"> </w:t>
      </w:r>
      <w:r w:rsidR="004513C3">
        <w:rPr>
          <w:lang w:val="en-GB" w:eastAsia="ja-JP"/>
        </w:rPr>
        <w:t xml:space="preserve">Where a BCI or AMEI no longer provides adequate benefit due to </w:t>
      </w:r>
      <w:r w:rsidR="0046750C">
        <w:rPr>
          <w:lang w:val="en-GB" w:eastAsia="ja-JP"/>
        </w:rPr>
        <w:t xml:space="preserve">progressive sensorineural hearing loss or </w:t>
      </w:r>
      <w:r w:rsidR="004513C3" w:rsidRPr="00153D55">
        <w:rPr>
          <w:lang w:val="en-GB" w:eastAsia="ja-JP"/>
        </w:rPr>
        <w:t>presbycusis</w:t>
      </w:r>
      <w:r w:rsidR="004513C3">
        <w:rPr>
          <w:lang w:val="en-GB" w:eastAsia="ja-JP"/>
        </w:rPr>
        <w:t>, the MDT may consider a cochlear implant</w:t>
      </w:r>
      <w:r w:rsidR="0046750C">
        <w:rPr>
          <w:lang w:val="en-GB" w:eastAsia="ja-JP"/>
        </w:rPr>
        <w:t xml:space="preserve"> (Brkic et al. 2019; Barbara et al.2021; </w:t>
      </w:r>
      <w:r w:rsidR="0046750C" w:rsidRPr="00A07EA9">
        <w:rPr>
          <w:lang w:val="en-GB" w:eastAsia="ja-JP"/>
        </w:rPr>
        <w:t>Knölke</w:t>
      </w:r>
      <w:r w:rsidR="0046750C">
        <w:rPr>
          <w:lang w:val="en-GB" w:eastAsia="ja-JP"/>
        </w:rPr>
        <w:t xml:space="preserve"> et al. 2025).</w:t>
      </w:r>
      <w:r w:rsidR="006A69BC" w:rsidRPr="006A69BC">
        <w:rPr>
          <w:lang w:val="en-GB" w:eastAsia="ja-JP"/>
        </w:rPr>
        <w:t xml:space="preserve"> Implantation of an AMEI after explantation of a BCI may be considered in </w:t>
      </w:r>
      <w:r w:rsidR="009628E1">
        <w:rPr>
          <w:lang w:val="en-GB" w:eastAsia="ja-JP"/>
        </w:rPr>
        <w:t>exceptional</w:t>
      </w:r>
      <w:r w:rsidR="006A69BC" w:rsidRPr="006A69BC">
        <w:rPr>
          <w:lang w:val="en-GB" w:eastAsia="ja-JP"/>
        </w:rPr>
        <w:t xml:space="preserve"> cases</w:t>
      </w:r>
      <w:r w:rsidR="009628E1">
        <w:rPr>
          <w:lang w:val="en-GB" w:eastAsia="ja-JP"/>
        </w:rPr>
        <w:t>; however,</w:t>
      </w:r>
      <w:r w:rsidR="002C0D91">
        <w:rPr>
          <w:lang w:val="en-GB" w:eastAsia="ja-JP"/>
        </w:rPr>
        <w:t xml:space="preserve"> </w:t>
      </w:r>
      <w:r w:rsidR="009628E1">
        <w:rPr>
          <w:lang w:val="en-GB" w:eastAsia="ja-JP"/>
        </w:rPr>
        <w:t xml:space="preserve">such practice </w:t>
      </w:r>
      <w:r w:rsidR="0046750C">
        <w:rPr>
          <w:lang w:val="en-GB" w:eastAsia="ja-JP"/>
        </w:rPr>
        <w:t>appears to be rare, not reported in the available clinical literature, and is not established as standard clinical care</w:t>
      </w:r>
      <w:r w:rsidR="0046750C" w:rsidRPr="006A69BC">
        <w:rPr>
          <w:lang w:val="en-GB" w:eastAsia="ja-JP"/>
        </w:rPr>
        <w:t>.</w:t>
      </w:r>
    </w:p>
    <w:p w14:paraId="286475C2" w14:textId="6995D04D" w:rsidR="0075323A" w:rsidRPr="00D67420" w:rsidRDefault="00A828F9" w:rsidP="0075323A">
      <w:pPr>
        <w:rPr>
          <w:i/>
          <w:iCs/>
        </w:rPr>
      </w:pPr>
      <w:r w:rsidRPr="00DC5D07">
        <w:rPr>
          <w:i/>
          <w:iCs/>
        </w:rPr>
        <w:lastRenderedPageBreak/>
        <w:t>PASC considered that the proposed clinical management algorithm positions AMEIs alongside BCIs and questioned whether, in practice, AMEIs are more likely to be offered to patients who are unsuitable for BCIs. The applicant’s clinical expert advised that some patients are more appropriately managed with a BCI, others with an AMEI, and a subset may be suitable for either; in the latter case, device selection is determined through shared decision-making with the patient and/or caregivers following counselling on risks and benefits. PASC noted that the positioning of AMEIs within the treatment pathway is critical for defining the clinical claim and informing the economic evaluation. For patients eligible for both devices, BCIs represent the appropriate comparator, whereas for patients who are unsuitable for</w:t>
      </w:r>
      <w:r w:rsidR="004D616C">
        <w:rPr>
          <w:i/>
          <w:iCs/>
        </w:rPr>
        <w:t xml:space="preserve"> </w:t>
      </w:r>
      <w:r w:rsidRPr="00DC5D07">
        <w:rPr>
          <w:i/>
          <w:iCs/>
        </w:rPr>
        <w:t>BCIs, the relevant comparator is no further intervention (i.e. untreated hearing loss). This distinction is expected to determine the scope of the clinical evidence base and the structure of the cost-effectiveness modelling.</w:t>
      </w:r>
    </w:p>
    <w:p w14:paraId="2BDE22B9" w14:textId="0AC82C95" w:rsidR="00D73332" w:rsidRDefault="00D73332" w:rsidP="00713728">
      <w:pPr>
        <w:pStyle w:val="Heading2"/>
      </w:pPr>
      <w:r w:rsidRPr="00490FBB">
        <w:t>Proposed economic evaluation</w:t>
      </w:r>
    </w:p>
    <w:p w14:paraId="713D18AA" w14:textId="3CD084B8" w:rsidR="00F7672A" w:rsidRDefault="00D509B3" w:rsidP="00D509B3">
      <w:r w:rsidRPr="00772D80">
        <w:t>Based on the applica</w:t>
      </w:r>
      <w:r w:rsidR="008A5648">
        <w:t>nt</w:t>
      </w:r>
      <w:r w:rsidRPr="00772D80">
        <w:t xml:space="preserve">’s clinical claims of </w:t>
      </w:r>
      <w:r w:rsidRPr="00772D80">
        <w:rPr>
          <w:b/>
          <w:bCs/>
        </w:rPr>
        <w:t xml:space="preserve">superior </w:t>
      </w:r>
      <w:r>
        <w:rPr>
          <w:b/>
          <w:bCs/>
        </w:rPr>
        <w:t>effectiveness</w:t>
      </w:r>
      <w:r>
        <w:t xml:space="preserve"> and</w:t>
      </w:r>
      <w:r w:rsidRPr="00772D80">
        <w:t xml:space="preserve"> </w:t>
      </w:r>
      <w:r w:rsidR="00875FF3" w:rsidRPr="00C30D17">
        <w:rPr>
          <w:b/>
          <w:bCs/>
        </w:rPr>
        <w:t>non-</w:t>
      </w:r>
      <w:r w:rsidRPr="00C30D17">
        <w:rPr>
          <w:b/>
          <w:bCs/>
        </w:rPr>
        <w:t>inferior safety</w:t>
      </w:r>
      <w:r w:rsidR="008A5648" w:rsidRPr="00E46099">
        <w:t xml:space="preserve"> of </w:t>
      </w:r>
      <w:r w:rsidR="00D8150E">
        <w:t>implantation of an</w:t>
      </w:r>
      <w:r w:rsidR="00E46099" w:rsidRPr="00E46099">
        <w:t xml:space="preserve"> </w:t>
      </w:r>
      <w:r w:rsidR="008A5648" w:rsidRPr="00E46099">
        <w:t xml:space="preserve">AMEI compared with </w:t>
      </w:r>
      <w:r w:rsidR="00A73CEF">
        <w:t xml:space="preserve">the main comparator – </w:t>
      </w:r>
      <w:r w:rsidR="00E46099" w:rsidRPr="00E46099">
        <w:t>a</w:t>
      </w:r>
      <w:r w:rsidR="00E46099">
        <w:t>n</w:t>
      </w:r>
      <w:r w:rsidR="00E46099" w:rsidRPr="00E46099">
        <w:t xml:space="preserve"> active transcutaneous BCI</w:t>
      </w:r>
      <w:r w:rsidR="00A73CEF">
        <w:t xml:space="preserve"> – </w:t>
      </w:r>
      <w:r w:rsidR="00B93BCA">
        <w:t>in the proposed population</w:t>
      </w:r>
      <w:r w:rsidRPr="00E46099">
        <w:t>,</w:t>
      </w:r>
      <w:r w:rsidR="008A5648" w:rsidRPr="00E46099">
        <w:rPr>
          <w:rStyle w:val="FootnoteReference"/>
        </w:rPr>
        <w:footnoteReference w:id="14"/>
      </w:r>
      <w:r w:rsidRPr="00E46099">
        <w:t xml:space="preserve"> a </w:t>
      </w:r>
      <w:r w:rsidR="00E46099">
        <w:t xml:space="preserve">cost-effectiveness analysis (CEA) or </w:t>
      </w:r>
      <w:r w:rsidRPr="00E46099">
        <w:t>cost</w:t>
      </w:r>
      <w:r w:rsidRPr="00772D80">
        <w:t>-utility analysis</w:t>
      </w:r>
      <w:r>
        <w:t xml:space="preserve"> (CUA)</w:t>
      </w:r>
      <w:r w:rsidRPr="00772D80">
        <w:t xml:space="preserve"> is appropriate</w:t>
      </w:r>
      <w:r w:rsidR="00D82822">
        <w:t xml:space="preserve"> (</w:t>
      </w:r>
      <w:r w:rsidR="00D82822">
        <w:fldChar w:fldCharType="begin"/>
      </w:r>
      <w:r w:rsidR="00D82822">
        <w:instrText xml:space="preserve"> REF _Ref54260209 \h </w:instrText>
      </w:r>
      <w:r w:rsidR="00D82822">
        <w:fldChar w:fldCharType="separate"/>
      </w:r>
      <w:r w:rsidR="00A42764" w:rsidRPr="00490FBB">
        <w:t>Table</w:t>
      </w:r>
      <w:r w:rsidR="00A42764">
        <w:t> </w:t>
      </w:r>
      <w:r w:rsidR="00A42764">
        <w:rPr>
          <w:noProof/>
        </w:rPr>
        <w:t>12</w:t>
      </w:r>
      <w:r w:rsidR="00D82822">
        <w:fldChar w:fldCharType="end"/>
      </w:r>
      <w:r w:rsidR="00D82822">
        <w:t>)</w:t>
      </w:r>
      <w:r>
        <w:t>.</w:t>
      </w:r>
      <w:r w:rsidR="00F7672A">
        <w:t xml:space="preserve"> </w:t>
      </w:r>
      <w:r w:rsidR="00FD0C67">
        <w:t xml:space="preserve">A CUA </w:t>
      </w:r>
      <w:r w:rsidR="00CA27D3">
        <w:t xml:space="preserve">is likely to be </w:t>
      </w:r>
      <w:r w:rsidR="005453C7">
        <w:t>more</w:t>
      </w:r>
      <w:r w:rsidR="00CA27D3">
        <w:t xml:space="preserve"> informative as the findings of a CEA (e.g. cost per </w:t>
      </w:r>
      <w:r w:rsidR="001462BC">
        <w:t>unit</w:t>
      </w:r>
      <w:r w:rsidR="00872F97">
        <w:t>/point</w:t>
      </w:r>
      <w:r w:rsidR="000A00B2">
        <w:t xml:space="preserve"> improvement</w:t>
      </w:r>
      <w:r w:rsidR="005453C7">
        <w:t xml:space="preserve"> in </w:t>
      </w:r>
      <w:r w:rsidR="001462BC">
        <w:t xml:space="preserve">audiological or </w:t>
      </w:r>
      <w:r w:rsidR="005453C7">
        <w:t xml:space="preserve">patient-reported </w:t>
      </w:r>
      <w:r w:rsidR="001462BC">
        <w:t>outcome</w:t>
      </w:r>
      <w:r w:rsidR="000A00B2">
        <w:t>) is more difficult to interpret.</w:t>
      </w:r>
    </w:p>
    <w:p w14:paraId="4120581B" w14:textId="2157973A" w:rsidR="00D509B3" w:rsidRDefault="00F7672A" w:rsidP="00D509B3">
      <w:r>
        <w:t xml:space="preserve">For </w:t>
      </w:r>
      <w:r w:rsidR="008D6E43">
        <w:t xml:space="preserve">individuals </w:t>
      </w:r>
      <w:r w:rsidR="002504E0">
        <w:t>within the proposed population</w:t>
      </w:r>
      <w:r w:rsidR="00B93BCA">
        <w:t xml:space="preserve"> </w:t>
      </w:r>
      <w:r>
        <w:t xml:space="preserve">who are not </w:t>
      </w:r>
      <w:r w:rsidR="00A07DFA">
        <w:t>appropriate</w:t>
      </w:r>
      <w:r>
        <w:t xml:space="preserve"> candidates for a BCI</w:t>
      </w:r>
      <w:r w:rsidR="00AD51F3">
        <w:t xml:space="preserve">, </w:t>
      </w:r>
      <w:r w:rsidR="00733845">
        <w:t>the appropriate comparator is no further treatment (i.e. untreated hearing loss). T</w:t>
      </w:r>
      <w:r w:rsidR="00AD51F3" w:rsidRPr="00772D80">
        <w:t>he applica</w:t>
      </w:r>
      <w:r w:rsidR="00AD51F3">
        <w:t>nt</w:t>
      </w:r>
      <w:r w:rsidR="00AD51F3" w:rsidRPr="00772D80">
        <w:t xml:space="preserve">’s clinical claims </w:t>
      </w:r>
      <w:r w:rsidR="00733845">
        <w:t xml:space="preserve">in relation to this secondary comparator </w:t>
      </w:r>
      <w:r w:rsidR="002504E0">
        <w:t>are</w:t>
      </w:r>
      <w:r w:rsidR="00AD51F3" w:rsidRPr="00772D80">
        <w:t xml:space="preserve"> </w:t>
      </w:r>
      <w:r w:rsidR="00AD51F3" w:rsidRPr="00772D80">
        <w:rPr>
          <w:b/>
          <w:bCs/>
        </w:rPr>
        <w:t xml:space="preserve">superior </w:t>
      </w:r>
      <w:r w:rsidR="00AD51F3">
        <w:rPr>
          <w:b/>
          <w:bCs/>
        </w:rPr>
        <w:t>effectiveness</w:t>
      </w:r>
      <w:r w:rsidR="00AD51F3">
        <w:t xml:space="preserve"> and</w:t>
      </w:r>
      <w:r w:rsidR="00AD51F3" w:rsidRPr="00772D80">
        <w:t xml:space="preserve"> </w:t>
      </w:r>
      <w:r w:rsidR="00AD51F3" w:rsidRPr="00C30D17">
        <w:rPr>
          <w:b/>
          <w:bCs/>
        </w:rPr>
        <w:t>inferior safety</w:t>
      </w:r>
      <w:r w:rsidR="00566BDE">
        <w:t>.</w:t>
      </w:r>
      <w:r w:rsidR="00A23682">
        <w:t xml:space="preserve"> In this case, a CUA is</w:t>
      </w:r>
      <w:r w:rsidR="00283A2C">
        <w:t xml:space="preserve"> likely</w:t>
      </w:r>
      <w:r w:rsidR="00A23682">
        <w:t xml:space="preserve"> the appropriate economic evaluation.</w:t>
      </w:r>
    </w:p>
    <w:p w14:paraId="6DAB2DBD" w14:textId="149A8396" w:rsidR="000939E0" w:rsidRPr="00490FBB" w:rsidRDefault="000939E0" w:rsidP="00C40CC4">
      <w:pPr>
        <w:pStyle w:val="Caption"/>
      </w:pPr>
      <w:bookmarkStart w:id="21" w:name="_Ref54260209"/>
      <w:bookmarkStart w:id="22" w:name="_Toc423450289"/>
      <w:r w:rsidRPr="00490FBB">
        <w:t>Table</w:t>
      </w:r>
      <w:r w:rsidR="00DE762F">
        <w:t> </w:t>
      </w:r>
      <w:r w:rsidRPr="00490FBB">
        <w:fldChar w:fldCharType="begin"/>
      </w:r>
      <w:r w:rsidRPr="00490FBB">
        <w:instrText xml:space="preserve"> SEQ Table \* ARABIC </w:instrText>
      </w:r>
      <w:r w:rsidRPr="00490FBB">
        <w:fldChar w:fldCharType="separate"/>
      </w:r>
      <w:r w:rsidR="00A42764">
        <w:rPr>
          <w:noProof/>
        </w:rPr>
        <w:t>12</w:t>
      </w:r>
      <w:r w:rsidRPr="00490FBB">
        <w:fldChar w:fldCharType="end"/>
      </w:r>
      <w:bookmarkEnd w:id="21"/>
      <w:r w:rsidR="001A5D2F">
        <w:tab/>
        <w:t>Classification of</w:t>
      </w:r>
      <w:r w:rsidRPr="00490FBB">
        <w:t xml:space="preserve"> comparative effectiveness and safety of the proposed intervention</w:t>
      </w:r>
      <w:r w:rsidR="001A5D2F">
        <w:t>,</w:t>
      </w:r>
      <w:r w:rsidRPr="00490FBB">
        <w:t xml:space="preserve"> compared with its main comparator</w:t>
      </w:r>
      <w:r w:rsidR="001A5D2F">
        <w:t>,</w:t>
      </w:r>
      <w:r w:rsidRPr="00490FBB">
        <w:t xml:space="preserve"> and guide to the suitable type of economic evaluation</w:t>
      </w:r>
      <w:bookmarkEnd w:id="22"/>
    </w:p>
    <w:tbl>
      <w:tblPr>
        <w:tblW w:w="5000" w:type="pct"/>
        <w:tblCellMar>
          <w:left w:w="115" w:type="dxa"/>
          <w:right w:w="115" w:type="dxa"/>
        </w:tblCellMar>
        <w:tblLook w:val="01E0" w:firstRow="1" w:lastRow="1" w:firstColumn="1" w:lastColumn="1" w:noHBand="0" w:noVBand="0"/>
        <w:tblCaption w:val="Classification of comparative effectiveness and safety of the proposed intervention, compared with its main comparator, and guide to the suitable type of economic evaluation"/>
        <w:tblDescription w:val="The table presents a matrix of comparative safety (inferior, unccertain, non-inferior, superior) against comparative effectiveness (inferior, uncertain, non-inmferior, superior). For the claim of superior effectiveness and non-inferior safety, the appropriate type of economic evaluation is a CEA or CUA (shown shaded in the table main comparator). For the claim of superior effectiveness and inferior safety, the appropriate type of economic evaluation is likely a CUA (shown shaded in the table secondary comparator)."/>
      </w:tblPr>
      <w:tblGrid>
        <w:gridCol w:w="2065"/>
        <w:gridCol w:w="1954"/>
        <w:gridCol w:w="2286"/>
        <w:gridCol w:w="1794"/>
        <w:gridCol w:w="1472"/>
      </w:tblGrid>
      <w:tr w:rsidR="00686EED" w:rsidRPr="00490FBB" w14:paraId="5238F44C" w14:textId="77777777" w:rsidTr="00B0766F">
        <w:trPr>
          <w:tblHeader/>
        </w:trPr>
        <w:tc>
          <w:tcPr>
            <w:tcW w:w="1079" w:type="pct"/>
            <w:vMerge w:val="restart"/>
            <w:tcBorders>
              <w:top w:val="single" w:sz="4" w:space="0" w:color="auto"/>
              <w:left w:val="single" w:sz="4" w:space="0" w:color="auto"/>
              <w:right w:val="single" w:sz="4" w:space="0" w:color="auto"/>
            </w:tcBorders>
          </w:tcPr>
          <w:p w14:paraId="5B06A6EA" w14:textId="4F3E20FA" w:rsidR="00686EED" w:rsidRPr="00490FBB" w:rsidRDefault="00686EED" w:rsidP="00C40CC4">
            <w:pPr>
              <w:pStyle w:val="TableHeading"/>
            </w:pPr>
            <w:bookmarkStart w:id="23" w:name="Title_Table2" w:colFirst="0" w:colLast="0"/>
            <w:r w:rsidRPr="00490FBB">
              <w:t>Comparative safety</w:t>
            </w:r>
          </w:p>
        </w:tc>
        <w:tc>
          <w:tcPr>
            <w:tcW w:w="1021" w:type="pct"/>
            <w:tcBorders>
              <w:top w:val="single" w:sz="4" w:space="0" w:color="auto"/>
              <w:left w:val="single" w:sz="4" w:space="0" w:color="auto"/>
              <w:bottom w:val="single" w:sz="4" w:space="0" w:color="auto"/>
              <w:right w:val="nil"/>
            </w:tcBorders>
          </w:tcPr>
          <w:p w14:paraId="293E5792" w14:textId="77777777" w:rsidR="00686EED" w:rsidRPr="00490FBB" w:rsidRDefault="00686EED" w:rsidP="00C40CC4">
            <w:pPr>
              <w:pStyle w:val="TableHeading"/>
              <w:jc w:val="center"/>
            </w:pPr>
          </w:p>
        </w:tc>
        <w:tc>
          <w:tcPr>
            <w:tcW w:w="1194" w:type="pct"/>
            <w:tcBorders>
              <w:top w:val="single" w:sz="4" w:space="0" w:color="auto"/>
              <w:left w:val="nil"/>
              <w:bottom w:val="single" w:sz="4" w:space="0" w:color="auto"/>
            </w:tcBorders>
          </w:tcPr>
          <w:p w14:paraId="57B2397B" w14:textId="77777777" w:rsidR="00686EED" w:rsidRPr="00490FBB" w:rsidRDefault="00686EED" w:rsidP="00C40CC4">
            <w:pPr>
              <w:pStyle w:val="TableHeading"/>
              <w:ind w:left="-75" w:right="-127"/>
              <w:jc w:val="center"/>
            </w:pPr>
            <w:r w:rsidRPr="00490FBB">
              <w:t>Comparative effectiveness</w:t>
            </w:r>
          </w:p>
        </w:tc>
        <w:tc>
          <w:tcPr>
            <w:tcW w:w="937" w:type="pct"/>
            <w:tcBorders>
              <w:top w:val="single" w:sz="4" w:space="0" w:color="auto"/>
              <w:left w:val="nil"/>
              <w:bottom w:val="single" w:sz="4" w:space="0" w:color="auto"/>
            </w:tcBorders>
          </w:tcPr>
          <w:p w14:paraId="6B53FB6C" w14:textId="77777777" w:rsidR="00686EED" w:rsidRPr="00490FBB" w:rsidRDefault="00686EED" w:rsidP="00C40CC4">
            <w:pPr>
              <w:pStyle w:val="TableHeading"/>
              <w:jc w:val="center"/>
            </w:pPr>
          </w:p>
        </w:tc>
        <w:tc>
          <w:tcPr>
            <w:tcW w:w="769" w:type="pct"/>
            <w:tcBorders>
              <w:top w:val="single" w:sz="4" w:space="0" w:color="auto"/>
              <w:left w:val="nil"/>
              <w:bottom w:val="single" w:sz="4" w:space="0" w:color="auto"/>
              <w:right w:val="single" w:sz="4" w:space="0" w:color="auto"/>
            </w:tcBorders>
          </w:tcPr>
          <w:p w14:paraId="0FE152FA" w14:textId="77777777" w:rsidR="00686EED" w:rsidRPr="00490FBB" w:rsidRDefault="00686EED" w:rsidP="00C40CC4">
            <w:pPr>
              <w:pStyle w:val="TableHeading"/>
              <w:jc w:val="center"/>
            </w:pPr>
          </w:p>
        </w:tc>
      </w:tr>
      <w:bookmarkEnd w:id="23"/>
      <w:tr w:rsidR="00686EED" w:rsidRPr="00490FBB" w14:paraId="78A8F3F1" w14:textId="77777777" w:rsidTr="00B0766F">
        <w:trPr>
          <w:tblHeader/>
        </w:trPr>
        <w:tc>
          <w:tcPr>
            <w:tcW w:w="1079" w:type="pct"/>
            <w:vMerge/>
            <w:tcBorders>
              <w:left w:val="single" w:sz="4" w:space="0" w:color="auto"/>
              <w:bottom w:val="single" w:sz="4" w:space="0" w:color="auto"/>
              <w:right w:val="single" w:sz="4" w:space="0" w:color="auto"/>
            </w:tcBorders>
          </w:tcPr>
          <w:p w14:paraId="6E00D947" w14:textId="57BEC7DE" w:rsidR="00686EED" w:rsidRPr="00490FBB" w:rsidRDefault="00686EED" w:rsidP="00C40CC4">
            <w:pPr>
              <w:pStyle w:val="TableHeading"/>
            </w:pPr>
          </w:p>
        </w:tc>
        <w:tc>
          <w:tcPr>
            <w:tcW w:w="1021" w:type="pct"/>
            <w:tcBorders>
              <w:left w:val="single" w:sz="4" w:space="0" w:color="auto"/>
              <w:bottom w:val="single" w:sz="4" w:space="0" w:color="auto"/>
              <w:right w:val="single" w:sz="4" w:space="0" w:color="auto"/>
            </w:tcBorders>
          </w:tcPr>
          <w:p w14:paraId="319C788C" w14:textId="77777777" w:rsidR="00686EED" w:rsidRPr="00490FBB" w:rsidRDefault="00686EED" w:rsidP="00C40CC4">
            <w:pPr>
              <w:pStyle w:val="TableHeading"/>
              <w:jc w:val="center"/>
            </w:pPr>
            <w:r w:rsidRPr="00490FBB">
              <w:t>Inferior</w:t>
            </w:r>
          </w:p>
        </w:tc>
        <w:tc>
          <w:tcPr>
            <w:tcW w:w="1194" w:type="pct"/>
            <w:tcBorders>
              <w:top w:val="single" w:sz="4" w:space="0" w:color="auto"/>
              <w:left w:val="single" w:sz="4" w:space="0" w:color="auto"/>
              <w:bottom w:val="single" w:sz="4" w:space="0" w:color="auto"/>
              <w:right w:val="single" w:sz="4" w:space="0" w:color="auto"/>
            </w:tcBorders>
          </w:tcPr>
          <w:p w14:paraId="5AC96128" w14:textId="77777777" w:rsidR="00686EED" w:rsidRPr="00490FBB" w:rsidRDefault="00686EED" w:rsidP="00C40CC4">
            <w:pPr>
              <w:pStyle w:val="TableHeading"/>
              <w:jc w:val="center"/>
            </w:pPr>
            <w:r w:rsidRPr="00490FBB">
              <w:t>Uncertain</w:t>
            </w:r>
            <w:r w:rsidRPr="00490FBB">
              <w:rPr>
                <w:vertAlign w:val="superscript"/>
              </w:rPr>
              <w:t>a</w:t>
            </w:r>
          </w:p>
        </w:tc>
        <w:tc>
          <w:tcPr>
            <w:tcW w:w="937" w:type="pct"/>
            <w:tcBorders>
              <w:top w:val="single" w:sz="4" w:space="0" w:color="auto"/>
              <w:left w:val="single" w:sz="4" w:space="0" w:color="auto"/>
              <w:bottom w:val="single" w:sz="4" w:space="0" w:color="auto"/>
              <w:right w:val="single" w:sz="4" w:space="0" w:color="auto"/>
            </w:tcBorders>
          </w:tcPr>
          <w:p w14:paraId="7AA1349D" w14:textId="4BA1ADFE" w:rsidR="00686EED" w:rsidRPr="00490FBB" w:rsidRDefault="00686EED" w:rsidP="00C40CC4">
            <w:pPr>
              <w:pStyle w:val="TableHeading"/>
              <w:jc w:val="center"/>
            </w:pPr>
            <w:r w:rsidRPr="00490FBB">
              <w:t>Noninferior</w:t>
            </w:r>
            <w:r w:rsidRPr="00490FBB">
              <w:rPr>
                <w:vertAlign w:val="superscript"/>
              </w:rPr>
              <w:t>b</w:t>
            </w:r>
          </w:p>
        </w:tc>
        <w:tc>
          <w:tcPr>
            <w:tcW w:w="769" w:type="pct"/>
            <w:tcBorders>
              <w:top w:val="single" w:sz="4" w:space="0" w:color="auto"/>
              <w:left w:val="single" w:sz="4" w:space="0" w:color="auto"/>
              <w:bottom w:val="single" w:sz="4" w:space="0" w:color="auto"/>
              <w:right w:val="single" w:sz="4" w:space="0" w:color="auto"/>
            </w:tcBorders>
          </w:tcPr>
          <w:p w14:paraId="156C5942" w14:textId="77777777" w:rsidR="00686EED" w:rsidRPr="00490FBB" w:rsidRDefault="00686EED" w:rsidP="00C40CC4">
            <w:pPr>
              <w:pStyle w:val="TableHeading"/>
              <w:jc w:val="center"/>
            </w:pPr>
            <w:r w:rsidRPr="00490FBB">
              <w:t>Superior</w:t>
            </w:r>
          </w:p>
        </w:tc>
      </w:tr>
      <w:tr w:rsidR="000939E0" w:rsidRPr="00490FBB" w14:paraId="1E111DC3" w14:textId="77777777" w:rsidTr="00B0766F">
        <w:tc>
          <w:tcPr>
            <w:tcW w:w="1079" w:type="pct"/>
            <w:tcBorders>
              <w:top w:val="single" w:sz="4" w:space="0" w:color="auto"/>
              <w:left w:val="single" w:sz="4" w:space="0" w:color="auto"/>
              <w:bottom w:val="single" w:sz="4" w:space="0" w:color="auto"/>
              <w:right w:val="single" w:sz="4" w:space="0" w:color="auto"/>
            </w:tcBorders>
            <w:vAlign w:val="center"/>
          </w:tcPr>
          <w:p w14:paraId="04A362E2" w14:textId="77777777" w:rsidR="000939E0" w:rsidRPr="00490FBB" w:rsidRDefault="000939E0" w:rsidP="00C40CC4">
            <w:pPr>
              <w:pStyle w:val="Tabletext"/>
              <w:keepNext/>
            </w:pPr>
            <w:r w:rsidRPr="00490FBB">
              <w:t>Inferior</w:t>
            </w:r>
          </w:p>
        </w:tc>
        <w:tc>
          <w:tcPr>
            <w:tcW w:w="1021" w:type="pct"/>
            <w:tcBorders>
              <w:top w:val="single" w:sz="4" w:space="0" w:color="auto"/>
              <w:left w:val="single" w:sz="4" w:space="0" w:color="auto"/>
              <w:bottom w:val="single" w:sz="4" w:space="0" w:color="auto"/>
              <w:right w:val="single" w:sz="4" w:space="0" w:color="auto"/>
            </w:tcBorders>
            <w:vAlign w:val="center"/>
          </w:tcPr>
          <w:p w14:paraId="0B15352C" w14:textId="77777777" w:rsidR="000939E0" w:rsidRPr="00490FBB" w:rsidRDefault="000939E0" w:rsidP="00C40CC4">
            <w:pPr>
              <w:pStyle w:val="Tabletext"/>
              <w:keepNext/>
            </w:pPr>
            <w:r w:rsidRPr="00490FBB">
              <w:t>Health forgone: need other supportive factors</w:t>
            </w:r>
          </w:p>
        </w:tc>
        <w:tc>
          <w:tcPr>
            <w:tcW w:w="1194" w:type="pct"/>
            <w:tcBorders>
              <w:top w:val="single" w:sz="4" w:space="0" w:color="auto"/>
              <w:left w:val="single" w:sz="4" w:space="0" w:color="auto"/>
              <w:bottom w:val="single" w:sz="4" w:space="0" w:color="auto"/>
              <w:right w:val="single" w:sz="4" w:space="0" w:color="auto"/>
            </w:tcBorders>
            <w:vAlign w:val="center"/>
          </w:tcPr>
          <w:p w14:paraId="47A58DE2" w14:textId="77777777" w:rsidR="000939E0" w:rsidRPr="00490FBB" w:rsidRDefault="000939E0" w:rsidP="00C40CC4">
            <w:pPr>
              <w:pStyle w:val="Tabletext"/>
              <w:keepNext/>
            </w:pPr>
            <w:r w:rsidRPr="00490FBB">
              <w:t>Health forgone possible: need other supportive factors</w:t>
            </w:r>
          </w:p>
        </w:tc>
        <w:tc>
          <w:tcPr>
            <w:tcW w:w="937" w:type="pct"/>
            <w:tcBorders>
              <w:top w:val="single" w:sz="4" w:space="0" w:color="auto"/>
              <w:left w:val="single" w:sz="4" w:space="0" w:color="auto"/>
              <w:bottom w:val="single" w:sz="4" w:space="0" w:color="auto"/>
              <w:right w:val="single" w:sz="4" w:space="0" w:color="auto"/>
            </w:tcBorders>
            <w:vAlign w:val="center"/>
          </w:tcPr>
          <w:p w14:paraId="3540FA15" w14:textId="77777777" w:rsidR="000939E0" w:rsidRPr="00490FBB" w:rsidRDefault="000939E0" w:rsidP="00C40CC4">
            <w:pPr>
              <w:pStyle w:val="Tabletext"/>
              <w:keepNext/>
            </w:pPr>
            <w:r w:rsidRPr="00490FBB">
              <w:t>Health forgone: need other supportive factors</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6CF73" w14:textId="58D610C4" w:rsidR="000939E0" w:rsidRPr="00C93BD1" w:rsidRDefault="000939E0" w:rsidP="00C40CC4">
            <w:pPr>
              <w:pStyle w:val="Tabletext"/>
              <w:keepNext/>
              <w:rPr>
                <w:b/>
                <w:bCs/>
              </w:rPr>
            </w:pPr>
            <w:r w:rsidRPr="00C93BD1">
              <w:rPr>
                <w:b/>
                <w:bCs/>
              </w:rPr>
              <w:t>? Likely CUA</w:t>
            </w:r>
            <w:r w:rsidR="00861D9C">
              <w:rPr>
                <w:b/>
                <w:bCs/>
              </w:rPr>
              <w:br/>
              <w:t>(secondary)</w:t>
            </w:r>
          </w:p>
        </w:tc>
      </w:tr>
      <w:tr w:rsidR="000939E0" w:rsidRPr="00490FBB" w14:paraId="463C2753" w14:textId="77777777" w:rsidTr="00B0766F">
        <w:tc>
          <w:tcPr>
            <w:tcW w:w="1079" w:type="pct"/>
            <w:tcBorders>
              <w:top w:val="single" w:sz="4" w:space="0" w:color="auto"/>
              <w:left w:val="single" w:sz="4" w:space="0" w:color="auto"/>
              <w:bottom w:val="single" w:sz="4" w:space="0" w:color="auto"/>
              <w:right w:val="single" w:sz="4" w:space="0" w:color="auto"/>
            </w:tcBorders>
            <w:vAlign w:val="center"/>
          </w:tcPr>
          <w:p w14:paraId="11AF710C" w14:textId="77777777" w:rsidR="000939E0" w:rsidRPr="00490FBB" w:rsidRDefault="000939E0" w:rsidP="00C40CC4">
            <w:pPr>
              <w:pStyle w:val="Tabletext"/>
              <w:keepNext/>
            </w:pPr>
            <w:r w:rsidRPr="00490FBB">
              <w:t>Uncertain</w:t>
            </w:r>
            <w:r w:rsidRPr="00490FBB">
              <w:rPr>
                <w:vertAlign w:val="superscript"/>
              </w:rPr>
              <w:t>a</w:t>
            </w:r>
          </w:p>
        </w:tc>
        <w:tc>
          <w:tcPr>
            <w:tcW w:w="1021" w:type="pct"/>
            <w:tcBorders>
              <w:top w:val="single" w:sz="4" w:space="0" w:color="auto"/>
              <w:left w:val="single" w:sz="4" w:space="0" w:color="auto"/>
              <w:bottom w:val="single" w:sz="4" w:space="0" w:color="auto"/>
              <w:right w:val="single" w:sz="4" w:space="0" w:color="auto"/>
            </w:tcBorders>
            <w:vAlign w:val="center"/>
          </w:tcPr>
          <w:p w14:paraId="12909D79" w14:textId="77777777" w:rsidR="000939E0" w:rsidRPr="00490FBB" w:rsidRDefault="000939E0" w:rsidP="00C40CC4">
            <w:pPr>
              <w:pStyle w:val="Tabletext"/>
              <w:keepNext/>
            </w:pPr>
            <w:r w:rsidRPr="00490FBB">
              <w:t>Health forgone possible: need other supportive factors</w:t>
            </w:r>
          </w:p>
        </w:tc>
        <w:tc>
          <w:tcPr>
            <w:tcW w:w="1194" w:type="pct"/>
            <w:tcBorders>
              <w:top w:val="single" w:sz="4" w:space="0" w:color="auto"/>
              <w:left w:val="single" w:sz="4" w:space="0" w:color="auto"/>
              <w:bottom w:val="single" w:sz="4" w:space="0" w:color="auto"/>
              <w:right w:val="single" w:sz="4" w:space="0" w:color="auto"/>
            </w:tcBorders>
            <w:vAlign w:val="center"/>
          </w:tcPr>
          <w:p w14:paraId="50F5E2B4" w14:textId="77777777" w:rsidR="000939E0" w:rsidRPr="00490FBB" w:rsidRDefault="000939E0" w:rsidP="00C40CC4">
            <w:pPr>
              <w:pStyle w:val="Tabletext"/>
              <w:keepNext/>
            </w:pPr>
            <w:r w:rsidRPr="00490FBB">
              <w:t>?</w:t>
            </w:r>
          </w:p>
        </w:tc>
        <w:tc>
          <w:tcPr>
            <w:tcW w:w="937" w:type="pct"/>
            <w:tcBorders>
              <w:top w:val="single" w:sz="4" w:space="0" w:color="auto"/>
              <w:left w:val="single" w:sz="4" w:space="0" w:color="auto"/>
              <w:bottom w:val="single" w:sz="4" w:space="0" w:color="auto"/>
              <w:right w:val="single" w:sz="4" w:space="0" w:color="auto"/>
            </w:tcBorders>
            <w:vAlign w:val="center"/>
          </w:tcPr>
          <w:p w14:paraId="0406F2A1" w14:textId="77777777" w:rsidR="000939E0" w:rsidRPr="00490FBB" w:rsidRDefault="000939E0" w:rsidP="00C40CC4">
            <w:pPr>
              <w:pStyle w:val="Tabletext"/>
              <w:keepNext/>
            </w:pPr>
            <w:r w:rsidRPr="00490FBB">
              <w:t>?</w:t>
            </w:r>
          </w:p>
        </w:tc>
        <w:tc>
          <w:tcPr>
            <w:tcW w:w="769" w:type="pct"/>
            <w:tcBorders>
              <w:top w:val="single" w:sz="4" w:space="0" w:color="auto"/>
              <w:left w:val="single" w:sz="4" w:space="0" w:color="auto"/>
              <w:bottom w:val="single" w:sz="4" w:space="0" w:color="auto"/>
              <w:right w:val="single" w:sz="4" w:space="0" w:color="auto"/>
            </w:tcBorders>
            <w:vAlign w:val="center"/>
          </w:tcPr>
          <w:p w14:paraId="1996B8CC" w14:textId="77777777" w:rsidR="000939E0" w:rsidRPr="00490FBB" w:rsidRDefault="000939E0" w:rsidP="00C40CC4">
            <w:pPr>
              <w:pStyle w:val="Tabletext"/>
              <w:keepNext/>
            </w:pPr>
            <w:r w:rsidRPr="00490FBB">
              <w:t>? Likely CEA/CUA</w:t>
            </w:r>
          </w:p>
        </w:tc>
      </w:tr>
      <w:tr w:rsidR="000939E0" w:rsidRPr="00490FBB" w14:paraId="47335FF9" w14:textId="77777777" w:rsidTr="00B0766F">
        <w:tc>
          <w:tcPr>
            <w:tcW w:w="1079" w:type="pct"/>
            <w:tcBorders>
              <w:top w:val="single" w:sz="4" w:space="0" w:color="auto"/>
              <w:left w:val="single" w:sz="4" w:space="0" w:color="auto"/>
              <w:bottom w:val="single" w:sz="4" w:space="0" w:color="auto"/>
              <w:right w:val="single" w:sz="4" w:space="0" w:color="auto"/>
            </w:tcBorders>
            <w:vAlign w:val="center"/>
          </w:tcPr>
          <w:p w14:paraId="0CBD845B" w14:textId="149CC18B" w:rsidR="000939E0" w:rsidRPr="00490FBB" w:rsidRDefault="000939E0" w:rsidP="00C40CC4">
            <w:pPr>
              <w:pStyle w:val="Tabletext"/>
              <w:keepNext/>
            </w:pPr>
            <w:r w:rsidRPr="00490FBB">
              <w:t>Noninferior</w:t>
            </w:r>
            <w:r w:rsidRPr="00490FBB">
              <w:rPr>
                <w:vertAlign w:val="superscript"/>
              </w:rPr>
              <w:t>b</w:t>
            </w:r>
          </w:p>
        </w:tc>
        <w:tc>
          <w:tcPr>
            <w:tcW w:w="1021" w:type="pct"/>
            <w:tcBorders>
              <w:top w:val="single" w:sz="4" w:space="0" w:color="auto"/>
              <w:left w:val="single" w:sz="4" w:space="0" w:color="auto"/>
              <w:bottom w:val="single" w:sz="4" w:space="0" w:color="auto"/>
              <w:right w:val="single" w:sz="4" w:space="0" w:color="auto"/>
            </w:tcBorders>
            <w:vAlign w:val="center"/>
          </w:tcPr>
          <w:p w14:paraId="5D8B4B6F" w14:textId="77777777" w:rsidR="000939E0" w:rsidRPr="00490FBB" w:rsidRDefault="000939E0" w:rsidP="00C40CC4">
            <w:pPr>
              <w:pStyle w:val="Tabletext"/>
              <w:keepNext/>
            </w:pPr>
            <w:r w:rsidRPr="00490FBB">
              <w:t>Health forgone: need other supportive factors</w:t>
            </w:r>
          </w:p>
        </w:tc>
        <w:tc>
          <w:tcPr>
            <w:tcW w:w="1194" w:type="pct"/>
            <w:tcBorders>
              <w:top w:val="single" w:sz="4" w:space="0" w:color="auto"/>
              <w:left w:val="single" w:sz="4" w:space="0" w:color="auto"/>
              <w:bottom w:val="single" w:sz="4" w:space="0" w:color="auto"/>
              <w:right w:val="single" w:sz="4" w:space="0" w:color="auto"/>
            </w:tcBorders>
            <w:vAlign w:val="center"/>
          </w:tcPr>
          <w:p w14:paraId="43D9B9E4" w14:textId="77777777" w:rsidR="000939E0" w:rsidRPr="00490FBB" w:rsidRDefault="000939E0" w:rsidP="00C40CC4">
            <w:pPr>
              <w:pStyle w:val="Tabletext"/>
              <w:keepNext/>
            </w:pPr>
            <w:r w:rsidRPr="00490FBB">
              <w:t>?</w:t>
            </w:r>
          </w:p>
        </w:tc>
        <w:tc>
          <w:tcPr>
            <w:tcW w:w="937" w:type="pct"/>
            <w:tcBorders>
              <w:top w:val="single" w:sz="4" w:space="0" w:color="auto"/>
              <w:left w:val="single" w:sz="4" w:space="0" w:color="auto"/>
              <w:bottom w:val="single" w:sz="4" w:space="0" w:color="auto"/>
              <w:right w:val="single" w:sz="4" w:space="0" w:color="auto"/>
            </w:tcBorders>
            <w:vAlign w:val="center"/>
          </w:tcPr>
          <w:p w14:paraId="12BD2E22" w14:textId="77777777" w:rsidR="000939E0" w:rsidRPr="00490FBB" w:rsidRDefault="000939E0" w:rsidP="00C40CC4">
            <w:pPr>
              <w:pStyle w:val="Tabletext"/>
              <w:keepNext/>
            </w:pPr>
            <w:r w:rsidRPr="00490FBB">
              <w:t>CMA</w:t>
            </w:r>
          </w:p>
        </w:tc>
        <w:tc>
          <w:tcPr>
            <w:tcW w:w="76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9F7AB5" w14:textId="1F244BE0" w:rsidR="000939E0" w:rsidRPr="00C30D17" w:rsidRDefault="000939E0" w:rsidP="00C40CC4">
            <w:pPr>
              <w:pStyle w:val="Tabletext"/>
              <w:keepNext/>
              <w:rPr>
                <w:b/>
                <w:bCs/>
              </w:rPr>
            </w:pPr>
            <w:r w:rsidRPr="00C30D17">
              <w:rPr>
                <w:b/>
                <w:bCs/>
              </w:rPr>
              <w:t>CEA/CUA</w:t>
            </w:r>
            <w:r w:rsidR="00C93BD1">
              <w:rPr>
                <w:b/>
                <w:bCs/>
              </w:rPr>
              <w:br/>
              <w:t>(main)</w:t>
            </w:r>
          </w:p>
        </w:tc>
      </w:tr>
      <w:tr w:rsidR="000939E0" w:rsidRPr="00490FBB" w14:paraId="41AB5715" w14:textId="77777777" w:rsidTr="00B0766F">
        <w:tc>
          <w:tcPr>
            <w:tcW w:w="1079" w:type="pct"/>
            <w:tcBorders>
              <w:top w:val="single" w:sz="4" w:space="0" w:color="auto"/>
              <w:left w:val="single" w:sz="4" w:space="0" w:color="auto"/>
              <w:bottom w:val="single" w:sz="4" w:space="0" w:color="auto"/>
              <w:right w:val="single" w:sz="4" w:space="0" w:color="auto"/>
            </w:tcBorders>
            <w:vAlign w:val="center"/>
          </w:tcPr>
          <w:p w14:paraId="18F5B4CB" w14:textId="77777777" w:rsidR="000939E0" w:rsidRPr="00490FBB" w:rsidRDefault="000939E0" w:rsidP="00C40CC4">
            <w:pPr>
              <w:pStyle w:val="Tabletext"/>
              <w:keepNext/>
            </w:pPr>
            <w:r w:rsidRPr="00490FBB">
              <w:t>Superior</w:t>
            </w:r>
          </w:p>
        </w:tc>
        <w:tc>
          <w:tcPr>
            <w:tcW w:w="1021" w:type="pct"/>
            <w:tcBorders>
              <w:top w:val="single" w:sz="4" w:space="0" w:color="auto"/>
              <w:left w:val="single" w:sz="4" w:space="0" w:color="auto"/>
              <w:bottom w:val="single" w:sz="4" w:space="0" w:color="auto"/>
              <w:right w:val="single" w:sz="4" w:space="0" w:color="auto"/>
            </w:tcBorders>
            <w:vAlign w:val="center"/>
          </w:tcPr>
          <w:p w14:paraId="2525815A" w14:textId="77777777" w:rsidR="000939E0" w:rsidRPr="00490FBB" w:rsidRDefault="000939E0" w:rsidP="00C40CC4">
            <w:pPr>
              <w:pStyle w:val="Tabletext"/>
              <w:keepNext/>
            </w:pPr>
            <w:r w:rsidRPr="00490FBB">
              <w:t>? Likely CUA</w:t>
            </w:r>
          </w:p>
        </w:tc>
        <w:tc>
          <w:tcPr>
            <w:tcW w:w="1194" w:type="pct"/>
            <w:tcBorders>
              <w:top w:val="single" w:sz="4" w:space="0" w:color="auto"/>
              <w:left w:val="single" w:sz="4" w:space="0" w:color="auto"/>
              <w:bottom w:val="single" w:sz="4" w:space="0" w:color="auto"/>
              <w:right w:val="single" w:sz="4" w:space="0" w:color="auto"/>
            </w:tcBorders>
            <w:vAlign w:val="center"/>
          </w:tcPr>
          <w:p w14:paraId="2AE0169D" w14:textId="77777777" w:rsidR="000939E0" w:rsidRPr="00490FBB" w:rsidRDefault="000939E0" w:rsidP="00C40CC4">
            <w:pPr>
              <w:pStyle w:val="Tabletext"/>
              <w:keepNext/>
            </w:pPr>
            <w:r w:rsidRPr="00490FBB">
              <w:t>? Likely CEA/CUA</w:t>
            </w:r>
          </w:p>
        </w:tc>
        <w:tc>
          <w:tcPr>
            <w:tcW w:w="937" w:type="pct"/>
            <w:tcBorders>
              <w:top w:val="single" w:sz="4" w:space="0" w:color="auto"/>
              <w:left w:val="single" w:sz="4" w:space="0" w:color="auto"/>
              <w:bottom w:val="single" w:sz="4" w:space="0" w:color="auto"/>
              <w:right w:val="single" w:sz="4" w:space="0" w:color="auto"/>
            </w:tcBorders>
            <w:vAlign w:val="center"/>
          </w:tcPr>
          <w:p w14:paraId="71D0525C" w14:textId="77777777" w:rsidR="000939E0" w:rsidRPr="00490FBB" w:rsidRDefault="000939E0" w:rsidP="00C40CC4">
            <w:pPr>
              <w:pStyle w:val="Tabletext"/>
              <w:keepNext/>
            </w:pPr>
            <w:r w:rsidRPr="00490FBB">
              <w:t>CEA/CUA</w:t>
            </w:r>
          </w:p>
        </w:tc>
        <w:tc>
          <w:tcPr>
            <w:tcW w:w="769" w:type="pct"/>
            <w:tcBorders>
              <w:top w:val="single" w:sz="4" w:space="0" w:color="auto"/>
              <w:left w:val="single" w:sz="4" w:space="0" w:color="auto"/>
              <w:bottom w:val="single" w:sz="4" w:space="0" w:color="auto"/>
              <w:right w:val="single" w:sz="4" w:space="0" w:color="auto"/>
            </w:tcBorders>
            <w:vAlign w:val="center"/>
          </w:tcPr>
          <w:p w14:paraId="5FF47EA5" w14:textId="77777777" w:rsidR="000939E0" w:rsidRPr="00490FBB" w:rsidRDefault="000939E0" w:rsidP="00C40CC4">
            <w:pPr>
              <w:pStyle w:val="Tabletext"/>
              <w:keepNext/>
            </w:pPr>
            <w:r w:rsidRPr="00490FBB">
              <w:t>CEA/CUA</w:t>
            </w:r>
          </w:p>
        </w:tc>
      </w:tr>
    </w:tbl>
    <w:p w14:paraId="2FE225D7" w14:textId="77777777" w:rsidR="006117C0" w:rsidRPr="00490FBB" w:rsidRDefault="006117C0" w:rsidP="006117C0">
      <w:pPr>
        <w:pStyle w:val="Tablenotes"/>
        <w:contextualSpacing/>
      </w:pPr>
      <w:r w:rsidRPr="00490FBB">
        <w:t>CEA</w:t>
      </w:r>
      <w:r>
        <w:t xml:space="preserve"> </w:t>
      </w:r>
      <w:r w:rsidRPr="00490FBB">
        <w:t>=</w:t>
      </w:r>
      <w:r>
        <w:t xml:space="preserve"> </w:t>
      </w:r>
      <w:r w:rsidRPr="00490FBB">
        <w:t>cost-</w:t>
      </w:r>
      <w:r w:rsidRPr="00CC4EAD">
        <w:t>effectiveness</w:t>
      </w:r>
      <w:r w:rsidRPr="00490FBB">
        <w:t xml:space="preserve"> analysis; CMA</w:t>
      </w:r>
      <w:r>
        <w:t xml:space="preserve"> </w:t>
      </w:r>
      <w:r w:rsidRPr="00490FBB">
        <w:t>=</w:t>
      </w:r>
      <w:r>
        <w:t xml:space="preserve"> </w:t>
      </w:r>
      <w:r w:rsidRPr="00490FBB">
        <w:t>cost-minimisation analysis; CUA</w:t>
      </w:r>
      <w:r>
        <w:t xml:space="preserve"> </w:t>
      </w:r>
      <w:r w:rsidRPr="00490FBB">
        <w:t>=</w:t>
      </w:r>
      <w:r>
        <w:t xml:space="preserve"> </w:t>
      </w:r>
      <w:r w:rsidRPr="00490FBB">
        <w:t>cost-utility analysis</w:t>
      </w:r>
      <w:r>
        <w:t>.</w:t>
      </w:r>
    </w:p>
    <w:p w14:paraId="11D26BB8" w14:textId="77777777" w:rsidR="006117C0" w:rsidRPr="00B14ED4" w:rsidRDefault="006117C0" w:rsidP="006117C0">
      <w:pPr>
        <w:pStyle w:val="Tablenotes"/>
        <w:contextualSpacing/>
        <w:rPr>
          <w:b/>
        </w:rPr>
      </w:pPr>
      <w:r w:rsidRPr="00490FBB">
        <w:t xml:space="preserve">? = reflect </w:t>
      </w:r>
      <w:r w:rsidRPr="00CC4EAD">
        <w:t>uncertainties</w:t>
      </w:r>
      <w:r w:rsidRPr="00490FBB">
        <w:t xml:space="preserve"> and any identified health trade-offs in the economic evaluation, as a minimum in a cost-consequences analysis</w:t>
      </w:r>
      <w:r>
        <w:t>.</w:t>
      </w:r>
      <w:r w:rsidRPr="00490FBB">
        <w:t xml:space="preserve"> </w:t>
      </w:r>
    </w:p>
    <w:p w14:paraId="65C6F534" w14:textId="5B20BDF8" w:rsidR="000939E0" w:rsidRPr="00490FBB" w:rsidRDefault="00325453" w:rsidP="00CC4EAD">
      <w:pPr>
        <w:pStyle w:val="Tablenotes"/>
        <w:contextualSpacing/>
        <w:rPr>
          <w:b/>
        </w:rPr>
      </w:pPr>
      <w:r w:rsidRPr="00325453">
        <w:t>a</w:t>
      </w:r>
      <w:r>
        <w:t>.</w:t>
      </w:r>
      <w:r>
        <w:rPr>
          <w:vertAlign w:val="superscript"/>
        </w:rPr>
        <w:t xml:space="preserve"> </w:t>
      </w:r>
      <w:r w:rsidR="000939E0" w:rsidRPr="00490FBB">
        <w:t xml:space="preserve">Uncertainty’ covers </w:t>
      </w:r>
      <w:r w:rsidR="000939E0" w:rsidRPr="00CC4EAD">
        <w:t>concepts</w:t>
      </w:r>
      <w:r w:rsidR="000939E0" w:rsidRPr="00490FBB">
        <w:t xml:space="preserve">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r w:rsidR="00885BD7">
        <w:t>.</w:t>
      </w:r>
    </w:p>
    <w:p w14:paraId="1CB9C9B3" w14:textId="48C48952" w:rsidR="000939E0" w:rsidRDefault="00325453" w:rsidP="006117C0">
      <w:pPr>
        <w:pStyle w:val="Tablenotes"/>
      </w:pPr>
      <w:r w:rsidRPr="00325453">
        <w:t>b</w:t>
      </w:r>
      <w:r>
        <w:t>.</w:t>
      </w:r>
      <w:r>
        <w:rPr>
          <w:vertAlign w:val="superscript"/>
        </w:rPr>
        <w:t xml:space="preserve"> </w:t>
      </w:r>
      <w:r w:rsidR="000939E0" w:rsidRPr="00490FBB">
        <w:t xml:space="preserve">An adequate </w:t>
      </w:r>
      <w:r w:rsidR="000939E0" w:rsidRPr="00CC4EAD">
        <w:t>assessment</w:t>
      </w:r>
      <w:r w:rsidR="000939E0" w:rsidRPr="00490FBB">
        <w:t xml:space="preserve"> of ‘noninferiority’ is the preferred basis for demonstrating equivalence</w:t>
      </w:r>
      <w:r w:rsidR="003543ED">
        <w:t>.</w:t>
      </w:r>
    </w:p>
    <w:p w14:paraId="71728404" w14:textId="37EAB4F8" w:rsidR="002D1207" w:rsidRDefault="00067326" w:rsidP="00067326">
      <w:r w:rsidRPr="00E32EBE">
        <w:t xml:space="preserve">The evidence base for the </w:t>
      </w:r>
      <w:r>
        <w:t xml:space="preserve">effectiveness and </w:t>
      </w:r>
      <w:r w:rsidRPr="00E32EBE">
        <w:t xml:space="preserve">safety of partially implantable AMEI consists predominantly of prospective and retrospective single-arm case series and case reports involving children, adolescents, </w:t>
      </w:r>
      <w:r w:rsidRPr="00E32EBE">
        <w:lastRenderedPageBreak/>
        <w:t>and</w:t>
      </w:r>
      <w:r>
        <w:t>/or</w:t>
      </w:r>
      <w:r w:rsidRPr="00E32EBE">
        <w:t xml:space="preserve"> adults </w:t>
      </w:r>
      <w:r>
        <w:t>across</w:t>
      </w:r>
      <w:r w:rsidRPr="00E32EBE">
        <w:t xml:space="preserve"> a range of underlying ear pathologies. </w:t>
      </w:r>
      <w:r w:rsidR="00C41622">
        <w:t xml:space="preserve">In these studies, </w:t>
      </w:r>
      <w:r w:rsidR="007637B4">
        <w:t xml:space="preserve">audiological or patient-reported outcome measures </w:t>
      </w:r>
      <w:r w:rsidR="002D1207">
        <w:t xml:space="preserve">collected at baseline </w:t>
      </w:r>
      <w:r w:rsidR="007637B4">
        <w:t xml:space="preserve">are used </w:t>
      </w:r>
      <w:r w:rsidR="002D1207">
        <w:t>to demonstrate the effectiveness of the device</w:t>
      </w:r>
      <w:r w:rsidR="000B2A85">
        <w:t xml:space="preserve"> at follow up</w:t>
      </w:r>
      <w:r w:rsidR="002D1207">
        <w:t>.</w:t>
      </w:r>
    </w:p>
    <w:p w14:paraId="03024858" w14:textId="79D941A6" w:rsidR="00F66DE1" w:rsidRDefault="00067326" w:rsidP="00067326">
      <w:r w:rsidRPr="00E32EBE">
        <w:t xml:space="preserve">While randomised controlled trials are lacking, </w:t>
      </w:r>
      <w:r w:rsidR="009153A5">
        <w:t>a small number of</w:t>
      </w:r>
      <w:r w:rsidRPr="00E32EBE">
        <w:t xml:space="preserve"> non-randomised comparative studies have evaluated </w:t>
      </w:r>
      <w:r>
        <w:t>the effectiveness and</w:t>
      </w:r>
      <w:r w:rsidR="009153A5">
        <w:t>/or</w:t>
      </w:r>
      <w:r>
        <w:t xml:space="preserve"> safety of </w:t>
      </w:r>
      <w:r w:rsidRPr="00E32EBE">
        <w:t xml:space="preserve">the Vibrant Soundbridge </w:t>
      </w:r>
      <w:r>
        <w:t>S</w:t>
      </w:r>
      <w:r w:rsidRPr="00E32EBE">
        <w:t xml:space="preserve">ystem against </w:t>
      </w:r>
      <w:r w:rsidR="001B287F">
        <w:t xml:space="preserve">BCIs (for example, </w:t>
      </w:r>
      <w:r w:rsidR="00FC16C0" w:rsidRPr="00FC16C0">
        <w:t xml:space="preserve">Távora-Vieira </w:t>
      </w:r>
      <w:r w:rsidR="00C41622">
        <w:t xml:space="preserve">et al. 2023) </w:t>
      </w:r>
      <w:r w:rsidR="00381C90">
        <w:t xml:space="preserve">or specifically against </w:t>
      </w:r>
      <w:r w:rsidRPr="00E32EBE">
        <w:t xml:space="preserve">active transcutaneous </w:t>
      </w:r>
      <w:r>
        <w:t>BCIs</w:t>
      </w:r>
      <w:r w:rsidRPr="00E32EBE">
        <w:t xml:space="preserve">, </w:t>
      </w:r>
      <w:r w:rsidR="00314C90">
        <w:t xml:space="preserve">in </w:t>
      </w:r>
      <w:r w:rsidRPr="00E32EBE">
        <w:t xml:space="preserve">particular the Bonebridge </w:t>
      </w:r>
      <w:r>
        <w:t>S</w:t>
      </w:r>
      <w:r w:rsidRPr="00E32EBE">
        <w:t>ystem</w:t>
      </w:r>
      <w:r w:rsidR="00381C90">
        <w:t xml:space="preserve"> </w:t>
      </w:r>
      <w:r w:rsidR="002D7E54">
        <w:t xml:space="preserve">(for example, Liu et al. </w:t>
      </w:r>
      <w:r w:rsidR="00EA7A3B">
        <w:t>2024</w:t>
      </w:r>
      <w:r w:rsidR="00B53E26">
        <w:t>; Vickers et al. 2023</w:t>
      </w:r>
      <w:r w:rsidR="00EA7A3B">
        <w:t>)</w:t>
      </w:r>
      <w:r w:rsidR="00384919">
        <w:t xml:space="preserve">. However, </w:t>
      </w:r>
      <w:r w:rsidR="00C63FE9">
        <w:t xml:space="preserve">not all comparative studies are restricted to </w:t>
      </w:r>
      <w:r w:rsidR="00F57821">
        <w:t xml:space="preserve">the proposed population </w:t>
      </w:r>
      <w:r w:rsidR="00B21534">
        <w:t>(</w:t>
      </w:r>
      <w:r w:rsidR="00F57821">
        <w:t xml:space="preserve">for example, </w:t>
      </w:r>
      <w:r w:rsidR="00ED2A6B">
        <w:t xml:space="preserve">Vickers et al. 2023 </w:t>
      </w:r>
      <w:r w:rsidR="00EC4BD4">
        <w:t xml:space="preserve">compares </w:t>
      </w:r>
      <w:r w:rsidR="00791485">
        <w:t xml:space="preserve">longer-term safety but </w:t>
      </w:r>
      <w:r w:rsidR="00ED2A6B">
        <w:t>include</w:t>
      </w:r>
      <w:r w:rsidR="00894715">
        <w:t>s patients with</w:t>
      </w:r>
      <w:r w:rsidR="00ED2A6B">
        <w:t xml:space="preserve"> </w:t>
      </w:r>
      <w:r w:rsidR="00894715">
        <w:t>any type of hearing loss</w:t>
      </w:r>
      <w:r w:rsidR="00ED2A6B">
        <w:t>)</w:t>
      </w:r>
      <w:r w:rsidRPr="00E32EBE">
        <w:t>.</w:t>
      </w:r>
    </w:p>
    <w:p w14:paraId="44103C0F" w14:textId="3364FF5A" w:rsidR="008F395B" w:rsidRPr="00D67420" w:rsidRDefault="00EC4366" w:rsidP="00067326">
      <w:pPr>
        <w:rPr>
          <w:i/>
          <w:iCs/>
        </w:rPr>
      </w:pPr>
      <w:r w:rsidRPr="00EC4366">
        <w:rPr>
          <w:i/>
          <w:iCs/>
        </w:rPr>
        <w:t xml:space="preserve">PASC noted that the available evidence is heterogeneous and generally of low quality, which may limit the extent to which the clinical claims can be substantiated against the primary comparator, active BCIs. PASC also noted that the PL benefit for the Vibrant Soundbridge System is higher than that for the active BCIs currently listed on the PL (the Bonebridge and Osia systems). In this context, PASC considered that an economic evaluation using the secondary comparator – no further intervention (untreated hearing loss) – would be informative, particularly if AMEIs are positioned for individuals who are contraindicated for, </w:t>
      </w:r>
      <w:r w:rsidR="003E0789">
        <w:rPr>
          <w:i/>
          <w:iCs/>
        </w:rPr>
        <w:t xml:space="preserve">or </w:t>
      </w:r>
      <w:r w:rsidRPr="00EC4366">
        <w:rPr>
          <w:i/>
          <w:iCs/>
        </w:rPr>
        <w:t>unsuitable for, active BCIs.</w:t>
      </w:r>
    </w:p>
    <w:p w14:paraId="047E4738" w14:textId="1D501EE9" w:rsidR="00D73332" w:rsidRDefault="00D73332" w:rsidP="00DE762F">
      <w:pPr>
        <w:pStyle w:val="Heading2"/>
      </w:pPr>
      <w:r w:rsidRPr="00DE762F">
        <w:t>Propos</w:t>
      </w:r>
      <w:r w:rsidR="000D1FCF" w:rsidRPr="00DE762F">
        <w:t>al for public funding</w:t>
      </w:r>
    </w:p>
    <w:p w14:paraId="1BC84E7E" w14:textId="6AD52364" w:rsidR="00022224" w:rsidRDefault="00061755" w:rsidP="00061755">
      <w:r>
        <w:t>The MBS item descriptor</w:t>
      </w:r>
      <w:r w:rsidR="00D219DB">
        <w:t xml:space="preserve"> </w:t>
      </w:r>
      <w:r w:rsidR="00E46847">
        <w:t xml:space="preserve">and fee </w:t>
      </w:r>
      <w:r w:rsidR="00852279">
        <w:t>recommended by PASC</w:t>
      </w:r>
      <w:r w:rsidR="00E46847">
        <w:t xml:space="preserve"> is shown in</w:t>
      </w:r>
      <w:r>
        <w:t xml:space="preserve"> </w:t>
      </w:r>
      <w:r>
        <w:fldChar w:fldCharType="begin"/>
      </w:r>
      <w:r>
        <w:instrText xml:space="preserve"> REF _Ref201414608 \h </w:instrText>
      </w:r>
      <w:r>
        <w:fldChar w:fldCharType="separate"/>
      </w:r>
      <w:r w:rsidR="00A42764">
        <w:t xml:space="preserve">Box </w:t>
      </w:r>
      <w:r w:rsidR="00A42764">
        <w:rPr>
          <w:noProof/>
        </w:rPr>
        <w:t>1</w:t>
      </w:r>
      <w:r>
        <w:fldChar w:fldCharType="end"/>
      </w:r>
      <w:r w:rsidR="00E46847">
        <w:t>.</w:t>
      </w:r>
    </w:p>
    <w:p w14:paraId="0DBF2D56" w14:textId="731A2EA3" w:rsidR="0052048E" w:rsidRDefault="0052048E" w:rsidP="0052048E">
      <w:pPr>
        <w:pStyle w:val="Caption"/>
      </w:pPr>
      <w:bookmarkStart w:id="24" w:name="_Ref201414608"/>
      <w:r>
        <w:t xml:space="preserve">Box </w:t>
      </w:r>
      <w:r>
        <w:fldChar w:fldCharType="begin"/>
      </w:r>
      <w:r>
        <w:instrText xml:space="preserve"> SEQ Box \* ARABIC </w:instrText>
      </w:r>
      <w:r>
        <w:fldChar w:fldCharType="separate"/>
      </w:r>
      <w:r w:rsidR="00A42764">
        <w:rPr>
          <w:noProof/>
        </w:rPr>
        <w:t>1</w:t>
      </w:r>
      <w:r>
        <w:fldChar w:fldCharType="end"/>
      </w:r>
      <w:bookmarkEnd w:id="24"/>
      <w:r>
        <w:tab/>
        <w:t xml:space="preserve">MBS item for implantation of an AMEI </w:t>
      </w:r>
      <w:r w:rsidR="00681D0E">
        <w:t>recommended</w:t>
      </w:r>
      <w:r>
        <w:t xml:space="preserve"> </w:t>
      </w:r>
      <w:r w:rsidR="00681D0E">
        <w:t>by PASC</w:t>
      </w:r>
    </w:p>
    <w:tbl>
      <w:tblPr>
        <w:tblStyle w:val="TableGrid"/>
        <w:tblW w:w="0" w:type="auto"/>
        <w:tblInd w:w="0" w:type="dxa"/>
        <w:tblLook w:val="04A0" w:firstRow="1" w:lastRow="0" w:firstColumn="1" w:lastColumn="0" w:noHBand="0" w:noVBand="1"/>
        <w:tblCaption w:val="MBS item for implantation of an AMEI proposed in the application"/>
        <w:tblDescription w:val="Shows the item descriptor and fee proposed in the application."/>
      </w:tblPr>
      <w:tblGrid>
        <w:gridCol w:w="9242"/>
      </w:tblGrid>
      <w:tr w:rsidR="0052048E" w:rsidRPr="00D2670B" w14:paraId="45808FAF" w14:textId="77777777" w:rsidTr="00B0766F">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7A3B06CB" w14:textId="77777777" w:rsidR="0052048E" w:rsidRPr="00DE762F" w:rsidRDefault="0052048E" w:rsidP="00ED1410">
            <w:pPr>
              <w:spacing w:before="40" w:after="40" w:line="240" w:lineRule="auto"/>
              <w:ind w:left="22"/>
              <w:rPr>
                <w:rFonts w:ascii="Arial Narrow" w:hAnsi="Arial Narrow"/>
                <w:sz w:val="20"/>
                <w:szCs w:val="20"/>
              </w:rPr>
            </w:pPr>
            <w:r w:rsidRPr="00AF1738">
              <w:rPr>
                <w:rFonts w:ascii="Arial Narrow" w:hAnsi="Arial Narrow"/>
                <w:b/>
                <w:bCs/>
                <w:sz w:val="20"/>
                <w:szCs w:val="20"/>
              </w:rPr>
              <w:t>Category 3 – THERAPEUTIC PROCEDURES</w:t>
            </w:r>
          </w:p>
        </w:tc>
      </w:tr>
      <w:tr w:rsidR="0052048E" w:rsidRPr="005771DC" w14:paraId="39473BED" w14:textId="77777777" w:rsidTr="00B0766F">
        <w:trPr>
          <w:cantSplit/>
          <w:tblHeader/>
        </w:trPr>
        <w:tc>
          <w:tcPr>
            <w:tcW w:w="9242" w:type="dxa"/>
            <w:tcBorders>
              <w:top w:val="single" w:sz="4" w:space="0" w:color="auto"/>
              <w:left w:val="single" w:sz="4" w:space="0" w:color="auto"/>
              <w:bottom w:val="single" w:sz="4" w:space="0" w:color="auto"/>
              <w:right w:val="single" w:sz="4" w:space="0" w:color="auto"/>
            </w:tcBorders>
          </w:tcPr>
          <w:p w14:paraId="4E47EF12" w14:textId="77777777" w:rsidR="00B95B01" w:rsidRPr="00DE762F" w:rsidRDefault="00B95B01" w:rsidP="00B95B01">
            <w:pPr>
              <w:spacing w:before="120" w:after="120" w:line="240" w:lineRule="auto"/>
              <w:rPr>
                <w:rFonts w:ascii="Arial Narrow" w:hAnsi="Arial Narrow"/>
                <w:sz w:val="20"/>
                <w:szCs w:val="20"/>
              </w:rPr>
            </w:pPr>
            <w:r w:rsidRPr="00DE762F">
              <w:rPr>
                <w:rFonts w:ascii="Arial Narrow" w:hAnsi="Arial Narrow"/>
                <w:sz w:val="20"/>
                <w:szCs w:val="20"/>
              </w:rPr>
              <w:t xml:space="preserve">MBS item </w:t>
            </w:r>
            <w:r>
              <w:rPr>
                <w:rFonts w:ascii="Arial Narrow" w:hAnsi="Arial Narrow"/>
                <w:sz w:val="20"/>
                <w:szCs w:val="20"/>
              </w:rPr>
              <w:t>AAAAA</w:t>
            </w:r>
          </w:p>
          <w:p w14:paraId="38AB5AF5" w14:textId="77777777" w:rsidR="00B95B01" w:rsidRPr="00753D75" w:rsidRDefault="00B95B01" w:rsidP="00B95B01">
            <w:pPr>
              <w:spacing w:before="120" w:after="120" w:line="240" w:lineRule="auto"/>
              <w:rPr>
                <w:rFonts w:ascii="Arial Narrow" w:hAnsi="Arial Narrow"/>
                <w:sz w:val="20"/>
                <w:szCs w:val="20"/>
              </w:rPr>
            </w:pPr>
            <w:r w:rsidRPr="5FDEA4D1">
              <w:rPr>
                <w:rFonts w:ascii="Arial Narrow" w:hAnsi="Arial Narrow"/>
                <w:sz w:val="20"/>
                <w:szCs w:val="20"/>
              </w:rPr>
              <w:t>Active middle ear implant, partially implantable, insertion of, via mastoidectomy, for patients with:</w:t>
            </w:r>
          </w:p>
          <w:p w14:paraId="20CD458B" w14:textId="77777777" w:rsidR="0052048E" w:rsidRPr="00753D75" w:rsidRDefault="0052048E" w:rsidP="00ED1410">
            <w:pPr>
              <w:spacing w:before="120" w:after="120" w:line="240" w:lineRule="auto"/>
              <w:rPr>
                <w:rFonts w:ascii="Arial Narrow" w:hAnsi="Arial Narrow"/>
                <w:sz w:val="20"/>
                <w:szCs w:val="20"/>
              </w:rPr>
            </w:pPr>
            <w:r w:rsidRPr="00753D75">
              <w:rPr>
                <w:rFonts w:ascii="Arial Narrow" w:hAnsi="Arial Narrow"/>
                <w:sz w:val="20"/>
                <w:szCs w:val="20"/>
              </w:rPr>
              <w:t>(a)</w:t>
            </w:r>
            <w:r>
              <w:rPr>
                <w:rFonts w:ascii="Arial Narrow" w:hAnsi="Arial Narrow"/>
                <w:sz w:val="20"/>
                <w:szCs w:val="20"/>
              </w:rPr>
              <w:t xml:space="preserve"> </w:t>
            </w:r>
            <w:r w:rsidRPr="00753D75">
              <w:rPr>
                <w:rFonts w:ascii="Arial Narrow" w:hAnsi="Arial Narrow"/>
                <w:sz w:val="20"/>
                <w:szCs w:val="20"/>
              </w:rPr>
              <w:t>mixed or conductive hearing loss; and</w:t>
            </w:r>
          </w:p>
          <w:p w14:paraId="3A666488" w14:textId="77777777" w:rsidR="00B95B01" w:rsidRPr="00727D09" w:rsidRDefault="00B95B01" w:rsidP="00B95B01">
            <w:pPr>
              <w:spacing w:before="120" w:after="120" w:line="240" w:lineRule="auto"/>
              <w:rPr>
                <w:rFonts w:ascii="Arial Narrow" w:hAnsi="Arial Narrow"/>
                <w:sz w:val="20"/>
                <w:szCs w:val="20"/>
              </w:rPr>
            </w:pPr>
            <w:r>
              <w:rPr>
                <w:rFonts w:ascii="Arial Narrow" w:hAnsi="Arial Narrow"/>
                <w:sz w:val="20"/>
                <w:szCs w:val="20"/>
              </w:rPr>
              <w:t>(b) stable (less than 10 dB variations over 2 years for adults) pure tone bone conduction threshold levels</w:t>
            </w:r>
            <w:r w:rsidRPr="00727D09">
              <w:rPr>
                <w:rFonts w:ascii="Arial Narrow" w:hAnsi="Arial Narrow"/>
                <w:sz w:val="20"/>
                <w:szCs w:val="20"/>
              </w:rPr>
              <w:t>; and</w:t>
            </w:r>
          </w:p>
          <w:p w14:paraId="052B9133" w14:textId="77777777" w:rsidR="00B95B01" w:rsidRPr="00737A22" w:rsidRDefault="00B95B01" w:rsidP="00B95B01">
            <w:pPr>
              <w:spacing w:before="120" w:after="120" w:line="240" w:lineRule="auto"/>
              <w:rPr>
                <w:rFonts w:ascii="Arial Narrow" w:hAnsi="Arial Narrow"/>
                <w:sz w:val="20"/>
                <w:szCs w:val="20"/>
              </w:rPr>
            </w:pPr>
            <w:r w:rsidRPr="00737A22">
              <w:rPr>
                <w:rFonts w:ascii="Arial Narrow" w:hAnsi="Arial Narrow"/>
                <w:sz w:val="20"/>
                <w:szCs w:val="20"/>
              </w:rPr>
              <w:t>(</w:t>
            </w:r>
            <w:r>
              <w:rPr>
                <w:rFonts w:ascii="Arial Narrow" w:hAnsi="Arial Narrow"/>
                <w:sz w:val="20"/>
                <w:szCs w:val="20"/>
              </w:rPr>
              <w:t>c</w:t>
            </w:r>
            <w:r w:rsidRPr="00737A22">
              <w:rPr>
                <w:rFonts w:ascii="Arial Narrow" w:hAnsi="Arial Narrow"/>
                <w:sz w:val="20"/>
                <w:szCs w:val="20"/>
              </w:rPr>
              <w:t xml:space="preserve">) not appropriate candidates for, or have not achieved adequate </w:t>
            </w:r>
            <w:r>
              <w:rPr>
                <w:rFonts w:ascii="Arial Narrow" w:hAnsi="Arial Narrow"/>
                <w:sz w:val="20"/>
                <w:szCs w:val="20"/>
              </w:rPr>
              <w:t xml:space="preserve">clinical </w:t>
            </w:r>
            <w:r w:rsidRPr="00737A22">
              <w:rPr>
                <w:rFonts w:ascii="Arial Narrow" w:hAnsi="Arial Narrow"/>
                <w:sz w:val="20"/>
                <w:szCs w:val="20"/>
              </w:rPr>
              <w:t xml:space="preserve">benefit from, surgical repair or reconstruction of the middle ear; </w:t>
            </w:r>
            <w:r>
              <w:rPr>
                <w:rFonts w:ascii="Arial Narrow" w:hAnsi="Arial Narrow"/>
                <w:sz w:val="20"/>
                <w:szCs w:val="20"/>
              </w:rPr>
              <w:t>and</w:t>
            </w:r>
          </w:p>
          <w:p w14:paraId="736DF231" w14:textId="77777777" w:rsidR="00B95B01" w:rsidRDefault="00B95B01" w:rsidP="00B95B01">
            <w:pPr>
              <w:spacing w:before="120" w:after="120" w:line="240" w:lineRule="auto"/>
              <w:rPr>
                <w:rFonts w:ascii="Arial Narrow" w:hAnsi="Arial Narrow"/>
                <w:sz w:val="20"/>
                <w:szCs w:val="20"/>
              </w:rPr>
            </w:pPr>
            <w:r w:rsidRPr="00553E3A">
              <w:rPr>
                <w:rFonts w:ascii="Arial Narrow" w:hAnsi="Arial Narrow"/>
                <w:sz w:val="20"/>
                <w:szCs w:val="20"/>
              </w:rPr>
              <w:t>(</w:t>
            </w:r>
            <w:r>
              <w:rPr>
                <w:rFonts w:ascii="Arial Narrow" w:hAnsi="Arial Narrow"/>
                <w:sz w:val="20"/>
                <w:szCs w:val="20"/>
              </w:rPr>
              <w:t>d</w:t>
            </w:r>
            <w:r w:rsidRPr="00553E3A">
              <w:rPr>
                <w:rFonts w:ascii="Arial Narrow" w:hAnsi="Arial Narrow"/>
                <w:sz w:val="20"/>
                <w:szCs w:val="20"/>
              </w:rPr>
              <w:t xml:space="preserve">) </w:t>
            </w:r>
            <w:r>
              <w:rPr>
                <w:rFonts w:ascii="Arial Narrow" w:hAnsi="Arial Narrow"/>
                <w:sz w:val="20"/>
                <w:szCs w:val="20"/>
              </w:rPr>
              <w:t>conventional hearing aids are contraindicated, not tolerated, or provide insufficient clinical benefit; and</w:t>
            </w:r>
          </w:p>
          <w:p w14:paraId="5BF1497F" w14:textId="77777777" w:rsidR="00B95B01" w:rsidRDefault="00B95B01" w:rsidP="00B95B01">
            <w:pPr>
              <w:spacing w:before="120" w:line="240" w:lineRule="auto"/>
              <w:rPr>
                <w:rFonts w:ascii="Arial Narrow" w:hAnsi="Arial Narrow"/>
                <w:sz w:val="20"/>
                <w:szCs w:val="20"/>
              </w:rPr>
            </w:pPr>
            <w:r>
              <w:rPr>
                <w:rFonts w:ascii="Arial Narrow" w:hAnsi="Arial Narrow"/>
                <w:sz w:val="20"/>
                <w:szCs w:val="20"/>
              </w:rPr>
              <w:t xml:space="preserve">(e) </w:t>
            </w:r>
            <w:r w:rsidRPr="00327C04">
              <w:rPr>
                <w:rFonts w:ascii="Arial Narrow" w:hAnsi="Arial Narrow"/>
                <w:sz w:val="20"/>
                <w:szCs w:val="20"/>
              </w:rPr>
              <w:t>absence of active middle ear infections</w:t>
            </w:r>
            <w:r>
              <w:rPr>
                <w:rFonts w:ascii="Arial Narrow" w:hAnsi="Arial Narrow"/>
                <w:sz w:val="20"/>
                <w:szCs w:val="20"/>
              </w:rPr>
              <w:t xml:space="preserve"> or retrocochlear pathology</w:t>
            </w:r>
          </w:p>
          <w:p w14:paraId="529D652D" w14:textId="77777777" w:rsidR="00B95B01" w:rsidRDefault="00B95B01" w:rsidP="00B95B01">
            <w:pPr>
              <w:spacing w:before="120" w:after="120" w:line="240" w:lineRule="auto"/>
              <w:rPr>
                <w:rFonts w:ascii="Arial Narrow" w:hAnsi="Arial Narrow"/>
                <w:sz w:val="20"/>
                <w:szCs w:val="20"/>
              </w:rPr>
            </w:pPr>
            <w:r>
              <w:rPr>
                <w:rFonts w:ascii="Arial Narrow" w:hAnsi="Arial Narrow"/>
                <w:sz w:val="20"/>
                <w:szCs w:val="20"/>
              </w:rPr>
              <w:t>Multiple Operation Rule</w:t>
            </w:r>
          </w:p>
          <w:p w14:paraId="27BA832E" w14:textId="639EFE55" w:rsidR="0052048E" w:rsidRPr="00DE762F" w:rsidRDefault="00B95B01" w:rsidP="00ED1410">
            <w:pPr>
              <w:spacing w:before="120" w:after="120" w:line="240" w:lineRule="auto"/>
              <w:rPr>
                <w:rFonts w:ascii="Arial Narrow" w:hAnsi="Arial Narrow"/>
                <w:sz w:val="20"/>
                <w:szCs w:val="20"/>
              </w:rPr>
            </w:pPr>
            <w:r>
              <w:rPr>
                <w:rFonts w:ascii="Arial Narrow" w:hAnsi="Arial Narrow"/>
                <w:sz w:val="20"/>
                <w:szCs w:val="20"/>
              </w:rPr>
              <w:t>(Anaes.) (Assist.)</w:t>
            </w:r>
          </w:p>
        </w:tc>
      </w:tr>
      <w:tr w:rsidR="0052048E" w:rsidRPr="005771DC" w14:paraId="3C215AFA" w14:textId="77777777" w:rsidTr="00B0766F">
        <w:trPr>
          <w:cantSplit/>
          <w:tblHeader/>
        </w:trPr>
        <w:tc>
          <w:tcPr>
            <w:tcW w:w="9242" w:type="dxa"/>
            <w:tcBorders>
              <w:top w:val="single" w:sz="4" w:space="0" w:color="auto"/>
              <w:left w:val="single" w:sz="4" w:space="0" w:color="auto"/>
              <w:bottom w:val="single" w:sz="4" w:space="0" w:color="auto"/>
              <w:right w:val="single" w:sz="4" w:space="0" w:color="auto"/>
            </w:tcBorders>
            <w:vAlign w:val="center"/>
          </w:tcPr>
          <w:p w14:paraId="7CD2C01F" w14:textId="530B3CDC" w:rsidR="0052048E" w:rsidRPr="00DE762F" w:rsidRDefault="00B95B01" w:rsidP="00ED1410">
            <w:pPr>
              <w:spacing w:before="40" w:after="40" w:line="240" w:lineRule="auto"/>
              <w:rPr>
                <w:rFonts w:ascii="Arial Narrow" w:hAnsi="Arial Narrow"/>
                <w:sz w:val="20"/>
                <w:szCs w:val="20"/>
              </w:rPr>
            </w:pPr>
            <w:r w:rsidRPr="00326220">
              <w:rPr>
                <w:rFonts w:ascii="Arial Narrow" w:hAnsi="Arial Narrow"/>
                <w:b/>
                <w:bCs/>
                <w:sz w:val="20"/>
                <w:szCs w:val="20"/>
              </w:rPr>
              <w:t>Fee:</w:t>
            </w:r>
            <w:r w:rsidRPr="00DE762F">
              <w:rPr>
                <w:rFonts w:ascii="Arial Narrow" w:hAnsi="Arial Narrow"/>
                <w:sz w:val="20"/>
                <w:szCs w:val="20"/>
              </w:rPr>
              <w:t xml:space="preserve"> </w:t>
            </w:r>
            <w:r>
              <w:rPr>
                <w:rFonts w:ascii="Arial Narrow" w:hAnsi="Arial Narrow"/>
                <w:sz w:val="20"/>
                <w:szCs w:val="20"/>
              </w:rPr>
              <w:t xml:space="preserve">$2,189.60 </w:t>
            </w:r>
            <w:r w:rsidRPr="00057D8B">
              <w:rPr>
                <w:rFonts w:ascii="Arial Narrow" w:hAnsi="Arial Narrow"/>
                <w:b/>
                <w:bCs/>
                <w:sz w:val="20"/>
                <w:szCs w:val="20"/>
              </w:rPr>
              <w:t>Benefit:</w:t>
            </w:r>
            <w:r>
              <w:rPr>
                <w:rFonts w:ascii="Arial Narrow" w:hAnsi="Arial Narrow"/>
                <w:sz w:val="20"/>
                <w:szCs w:val="20"/>
              </w:rPr>
              <w:t xml:space="preserve"> 75% = $1,642.20</w:t>
            </w:r>
          </w:p>
        </w:tc>
      </w:tr>
    </w:tbl>
    <w:p w14:paraId="35BC2409" w14:textId="108A61CC" w:rsidR="0052048E" w:rsidRDefault="0052048E" w:rsidP="0052048E">
      <w:pPr>
        <w:pStyle w:val="Tablenotes"/>
      </w:pPr>
      <w:r>
        <w:t>AMEI = active middle ear implant; MBS = Medicare Benefits Schedule.</w:t>
      </w:r>
    </w:p>
    <w:p w14:paraId="157B854D" w14:textId="77777777" w:rsidR="00F74113" w:rsidRDefault="00F74113" w:rsidP="00F74113">
      <w:pPr>
        <w:pStyle w:val="Heading3"/>
      </w:pPr>
      <w:r>
        <w:t>Proposed MBS item descriptor</w:t>
      </w:r>
    </w:p>
    <w:p w14:paraId="11052EA7" w14:textId="0D295A0A" w:rsidR="00061755" w:rsidRPr="002E4C7C" w:rsidRDefault="00E46847" w:rsidP="00061755">
      <w:r>
        <w:t>The proposed descriptor</w:t>
      </w:r>
      <w:r w:rsidR="00061755">
        <w:t xml:space="preserve"> refers to insertion of an AMEI via vibroplasty, which </w:t>
      </w:r>
      <w:r w:rsidR="008F6502">
        <w:t xml:space="preserve">the applicant states </w:t>
      </w:r>
      <w:r w:rsidR="00061755">
        <w:t xml:space="preserve">is </w:t>
      </w:r>
      <w:r w:rsidR="00035823">
        <w:t xml:space="preserve">the </w:t>
      </w:r>
      <w:r w:rsidR="00061755">
        <w:t xml:space="preserve">terminology that </w:t>
      </w:r>
      <w:r w:rsidR="00DF48BE">
        <w:t xml:space="preserve">has been </w:t>
      </w:r>
      <w:r w:rsidR="00061755">
        <w:t xml:space="preserve">widely adopted </w:t>
      </w:r>
      <w:r w:rsidR="00353EEB" w:rsidRPr="00353EEB">
        <w:t xml:space="preserve">in </w:t>
      </w:r>
      <w:r w:rsidR="00D50E79">
        <w:t xml:space="preserve">the </w:t>
      </w:r>
      <w:r w:rsidR="00353EEB" w:rsidRPr="00353EEB">
        <w:t xml:space="preserve">literature to describe specific surgical techniques involving the coupling of the </w:t>
      </w:r>
      <w:r w:rsidR="00DF6831">
        <w:t xml:space="preserve">Vibrant Soundbridge </w:t>
      </w:r>
      <w:r w:rsidR="00353EEB" w:rsidRPr="00353EEB">
        <w:t>FMT to middle ear structures.</w:t>
      </w:r>
      <w:r w:rsidR="00D50E79">
        <w:t xml:space="preserve"> </w:t>
      </w:r>
      <w:r w:rsidR="006C5F18">
        <w:t xml:space="preserve">The </w:t>
      </w:r>
      <w:r w:rsidR="00061755">
        <w:t>descriptor for MBS item 41618</w:t>
      </w:r>
      <w:r w:rsidR="00F34E55">
        <w:t xml:space="preserve"> for MEI implantation in patients with SNHL</w:t>
      </w:r>
      <w:r w:rsidR="00061755">
        <w:t xml:space="preserve"> </w:t>
      </w:r>
      <w:r w:rsidR="006C5F18">
        <w:t xml:space="preserve">is device-agnostic and </w:t>
      </w:r>
      <w:r w:rsidR="00061755">
        <w:t xml:space="preserve">refers to insertion of an MEI </w:t>
      </w:r>
      <w:r w:rsidR="00061755">
        <w:lastRenderedPageBreak/>
        <w:t>via mastoidectomy (</w:t>
      </w:r>
      <w:r w:rsidR="00061755" w:rsidRPr="002E4C7C">
        <w:t xml:space="preserve">Appendix B, </w:t>
      </w:r>
      <w:r w:rsidR="00061755" w:rsidRPr="002E4C7C">
        <w:fldChar w:fldCharType="begin"/>
      </w:r>
      <w:r w:rsidR="00061755" w:rsidRPr="002E4C7C">
        <w:instrText xml:space="preserve"> REF _Ref200557306 \h </w:instrText>
      </w:r>
      <w:r w:rsidR="002E4C7C">
        <w:instrText xml:space="preserve"> \* MERGEFORMAT </w:instrText>
      </w:r>
      <w:r w:rsidR="00061755" w:rsidRPr="002E4C7C">
        <w:fldChar w:fldCharType="separate"/>
      </w:r>
      <w:r w:rsidR="00A42764">
        <w:t xml:space="preserve">Box </w:t>
      </w:r>
      <w:r w:rsidR="0006468C">
        <w:rPr>
          <w:noProof/>
        </w:rPr>
        <w:t>3</w:t>
      </w:r>
      <w:r w:rsidR="00061755" w:rsidRPr="002E4C7C">
        <w:fldChar w:fldCharType="end"/>
      </w:r>
      <w:r w:rsidR="00061755" w:rsidRPr="002E4C7C">
        <w:t>).</w:t>
      </w:r>
      <w:r w:rsidR="00D219DB" w:rsidRPr="002E4C7C">
        <w:rPr>
          <w:rStyle w:val="FootnoteReference"/>
        </w:rPr>
        <w:footnoteReference w:id="15"/>
      </w:r>
      <w:r w:rsidR="00061755" w:rsidRPr="002E4C7C">
        <w:t xml:space="preserve"> The applicant</w:t>
      </w:r>
      <w:r w:rsidR="003D622C" w:rsidRPr="002E4C7C">
        <w:t xml:space="preserve"> has</w:t>
      </w:r>
      <w:r w:rsidR="00061755" w:rsidRPr="002E4C7C">
        <w:t xml:space="preserve"> agreed to consistency in terminology </w:t>
      </w:r>
      <w:r w:rsidR="00862DD4" w:rsidRPr="002E4C7C">
        <w:t xml:space="preserve">of the surgical technique </w:t>
      </w:r>
      <w:r w:rsidR="00061755" w:rsidRPr="002E4C7C">
        <w:t xml:space="preserve">across </w:t>
      </w:r>
      <w:r w:rsidR="00DF6831" w:rsidRPr="002E4C7C">
        <w:t>the</w:t>
      </w:r>
      <w:r w:rsidR="005A218C" w:rsidRPr="002E4C7C">
        <w:t xml:space="preserve"> 2</w:t>
      </w:r>
      <w:r w:rsidR="00BF1761" w:rsidRPr="002E4C7C">
        <w:t xml:space="preserve"> MBS items</w:t>
      </w:r>
      <w:r w:rsidR="00061755" w:rsidRPr="002E4C7C">
        <w:t>.</w:t>
      </w:r>
      <w:bookmarkStart w:id="25" w:name="_Ref202201189"/>
      <w:r w:rsidR="00D219DB" w:rsidRPr="002E4C7C">
        <w:rPr>
          <w:rStyle w:val="FootnoteReference"/>
        </w:rPr>
        <w:footnoteReference w:id="16"/>
      </w:r>
      <w:bookmarkEnd w:id="25"/>
    </w:p>
    <w:p w14:paraId="28DEF52B" w14:textId="6533034D" w:rsidR="001F59C8" w:rsidRDefault="00260A2C" w:rsidP="00BC30FD">
      <w:r w:rsidRPr="002E4C7C">
        <w:t xml:space="preserve">The proposed item </w:t>
      </w:r>
      <w:r w:rsidR="00302F39" w:rsidRPr="002E4C7C">
        <w:t xml:space="preserve">descriptor </w:t>
      </w:r>
      <w:r w:rsidR="00ED1E49" w:rsidRPr="002E4C7C">
        <w:t xml:space="preserve">is </w:t>
      </w:r>
      <w:r w:rsidR="00CA6C15" w:rsidRPr="002E4C7C">
        <w:t xml:space="preserve">simplistic </w:t>
      </w:r>
      <w:r w:rsidR="002D47CA">
        <w:t>when</w:t>
      </w:r>
      <w:r w:rsidR="003D622C" w:rsidRPr="002E4C7C">
        <w:t xml:space="preserve"> compar</w:t>
      </w:r>
      <w:r w:rsidR="002D47CA">
        <w:t>ed</w:t>
      </w:r>
      <w:r w:rsidR="003D622C" w:rsidRPr="002E4C7C">
        <w:t xml:space="preserve"> to</w:t>
      </w:r>
      <w:r w:rsidR="00CA6C15" w:rsidRPr="002E4C7C">
        <w:t xml:space="preserve"> the descriptor for</w:t>
      </w:r>
      <w:r w:rsidR="00302F39" w:rsidRPr="002E4C7C">
        <w:t xml:space="preserve"> MBS item</w:t>
      </w:r>
      <w:r w:rsidR="00EB770D" w:rsidRPr="002E4C7C">
        <w:t xml:space="preserve"> 41618</w:t>
      </w:r>
      <w:r w:rsidR="00302F39" w:rsidRPr="002E4C7C">
        <w:t xml:space="preserve"> (</w:t>
      </w:r>
      <w:r w:rsidR="0001238D" w:rsidRPr="002E4C7C">
        <w:t xml:space="preserve">Appendix </w:t>
      </w:r>
      <w:r w:rsidR="000B13DF" w:rsidRPr="002E4C7C">
        <w:t>B</w:t>
      </w:r>
      <w:r w:rsidR="0001238D" w:rsidRPr="002E4C7C">
        <w:t xml:space="preserve">, </w:t>
      </w:r>
      <w:r w:rsidR="00302F39" w:rsidRPr="002E4C7C">
        <w:fldChar w:fldCharType="begin"/>
      </w:r>
      <w:r w:rsidR="00302F39" w:rsidRPr="002E4C7C">
        <w:instrText xml:space="preserve"> REF _Ref200557306 \h </w:instrText>
      </w:r>
      <w:r w:rsidR="002E4C7C">
        <w:instrText xml:space="preserve"> \* MERGEFORMAT </w:instrText>
      </w:r>
      <w:r w:rsidR="00302F39" w:rsidRPr="002E4C7C">
        <w:fldChar w:fldCharType="separate"/>
      </w:r>
      <w:r w:rsidR="00A42764">
        <w:t xml:space="preserve">Box </w:t>
      </w:r>
      <w:r w:rsidR="0006468C">
        <w:rPr>
          <w:noProof/>
        </w:rPr>
        <w:t>3</w:t>
      </w:r>
      <w:r w:rsidR="00302F39" w:rsidRPr="002E4C7C">
        <w:fldChar w:fldCharType="end"/>
      </w:r>
      <w:r w:rsidR="00CF5028" w:rsidRPr="002E4C7C">
        <w:t>)</w:t>
      </w:r>
      <w:r w:rsidR="00B2767B" w:rsidRPr="002E4C7C">
        <w:t xml:space="preserve"> and the descriptor proposed in </w:t>
      </w:r>
      <w:r w:rsidR="00AC3832" w:rsidRPr="002E4C7C">
        <w:t xml:space="preserve">the Final Protocol for </w:t>
      </w:r>
      <w:r w:rsidR="00B2767B" w:rsidRPr="002E4C7C">
        <w:t>M</w:t>
      </w:r>
      <w:r w:rsidR="00647AC8" w:rsidRPr="002E4C7C">
        <w:t>SAC</w:t>
      </w:r>
      <w:r w:rsidR="00B2767B" w:rsidRPr="002E4C7C">
        <w:t xml:space="preserve"> Application 1364 </w:t>
      </w:r>
      <w:r w:rsidR="00193B5D" w:rsidRPr="002E4C7C">
        <w:t>for AMEI implantation in patients with CHL and MHL (</w:t>
      </w:r>
      <w:r w:rsidR="003029BF" w:rsidRPr="002E4C7C">
        <w:fldChar w:fldCharType="begin"/>
      </w:r>
      <w:r w:rsidR="003029BF" w:rsidRPr="002E4C7C">
        <w:instrText xml:space="preserve"> REF _Ref201248553 \h </w:instrText>
      </w:r>
      <w:r w:rsidR="00C46815" w:rsidRPr="002E4C7C">
        <w:instrText xml:space="preserve"> \* MERGEFORMAT </w:instrText>
      </w:r>
      <w:r w:rsidR="003029BF" w:rsidRPr="002E4C7C">
        <w:fldChar w:fldCharType="separate"/>
      </w:r>
      <w:r w:rsidR="00A42764">
        <w:t>Appendix</w:t>
      </w:r>
      <w:r w:rsidR="003029BF" w:rsidRPr="002E4C7C">
        <w:fldChar w:fldCharType="end"/>
      </w:r>
      <w:r w:rsidR="00C46815" w:rsidRPr="002E4C7C">
        <w:t xml:space="preserve"> </w:t>
      </w:r>
      <w:r w:rsidR="000B13DF" w:rsidRPr="002E4C7C">
        <w:t>A</w:t>
      </w:r>
      <w:r w:rsidR="003029BF" w:rsidRPr="002E4C7C">
        <w:t xml:space="preserve">, </w:t>
      </w:r>
      <w:r w:rsidR="003029BF" w:rsidRPr="002E4C7C">
        <w:fldChar w:fldCharType="begin"/>
      </w:r>
      <w:r w:rsidR="003029BF" w:rsidRPr="002E4C7C">
        <w:instrText xml:space="preserve"> REF _Ref201414280 \h </w:instrText>
      </w:r>
      <w:r w:rsidR="002E4C7C">
        <w:instrText xml:space="preserve"> \* MERGEFORMAT </w:instrText>
      </w:r>
      <w:r w:rsidR="003029BF" w:rsidRPr="002E4C7C">
        <w:fldChar w:fldCharType="separate"/>
      </w:r>
      <w:r w:rsidR="00A42764">
        <w:t xml:space="preserve">Box </w:t>
      </w:r>
      <w:r w:rsidR="0006468C">
        <w:rPr>
          <w:noProof/>
        </w:rPr>
        <w:t>2</w:t>
      </w:r>
      <w:r w:rsidR="003029BF" w:rsidRPr="002E4C7C">
        <w:fldChar w:fldCharType="end"/>
      </w:r>
      <w:r w:rsidR="003029BF" w:rsidRPr="002E4C7C">
        <w:t>)</w:t>
      </w:r>
      <w:r w:rsidR="00D434D6" w:rsidRPr="002E4C7C">
        <w:t xml:space="preserve">. </w:t>
      </w:r>
      <w:r w:rsidR="001F59C8" w:rsidRPr="002E4C7C">
        <w:t xml:space="preserve">The </w:t>
      </w:r>
      <w:r w:rsidR="00231EB5">
        <w:t>current</w:t>
      </w:r>
      <w:r w:rsidR="001F59C8" w:rsidRPr="002E4C7C">
        <w:t xml:space="preserve"> proposed</w:t>
      </w:r>
      <w:r w:rsidR="001F59C8" w:rsidRPr="001F59C8">
        <w:t xml:space="preserve"> descriptor does not specify eligibility criteria for AMEI </w:t>
      </w:r>
      <w:r w:rsidR="00DA7FA1">
        <w:t>and</w:t>
      </w:r>
      <w:r w:rsidR="001F59C8" w:rsidRPr="001F59C8">
        <w:t xml:space="preserve"> also lacks definitions for what constitutes </w:t>
      </w:r>
      <w:r w:rsidR="00BE3A3B" w:rsidRPr="003B19A8">
        <w:t xml:space="preserve">a lack of success or adequate benefit from prior surgical intervention or </w:t>
      </w:r>
      <w:r w:rsidR="00BE3A3B">
        <w:t>BCHD</w:t>
      </w:r>
      <w:r w:rsidR="00AA0ED3">
        <w:t>s</w:t>
      </w:r>
      <w:r w:rsidR="001F59C8" w:rsidRPr="001F59C8">
        <w:t>,</w:t>
      </w:r>
      <w:r w:rsidR="000C047D">
        <w:rPr>
          <w:rStyle w:val="FootnoteReference"/>
        </w:rPr>
        <w:footnoteReference w:id="17"/>
      </w:r>
      <w:r w:rsidR="001F59C8" w:rsidRPr="001F59C8">
        <w:t xml:space="preserve"> and does not detail the reasons a patient may be unable to </w:t>
      </w:r>
      <w:r w:rsidR="00AA0ED3">
        <w:t>wear</w:t>
      </w:r>
      <w:r w:rsidR="001F59C8" w:rsidRPr="001F59C8">
        <w:t xml:space="preserve"> </w:t>
      </w:r>
      <w:r w:rsidR="00AA0ED3">
        <w:t>conventional</w:t>
      </w:r>
      <w:r w:rsidR="001F59C8" w:rsidRPr="001F59C8">
        <w:t xml:space="preserve"> hearing aids.</w:t>
      </w:r>
    </w:p>
    <w:p w14:paraId="4B47011C" w14:textId="47EE6623" w:rsidR="00A93889" w:rsidRPr="00260A2C" w:rsidRDefault="0096424D" w:rsidP="00A93889">
      <w:r>
        <w:t xml:space="preserve">The applicant </w:t>
      </w:r>
      <w:r w:rsidR="00F169B8">
        <w:t>stated</w:t>
      </w:r>
      <w:r>
        <w:t xml:space="preserve"> that </w:t>
      </w:r>
      <w:r w:rsidR="005C5799">
        <w:t xml:space="preserve">determination of </w:t>
      </w:r>
      <w:r w:rsidR="003A6DC9">
        <w:t>candidacy for</w:t>
      </w:r>
      <w:r w:rsidR="005C5799">
        <w:t xml:space="preserve"> </w:t>
      </w:r>
      <w:r w:rsidR="0063588B">
        <w:t xml:space="preserve">implantation of an </w:t>
      </w:r>
      <w:r w:rsidR="005C5799">
        <w:t xml:space="preserve">AMEI should be at the discretion of </w:t>
      </w:r>
      <w:r w:rsidR="0063588B">
        <w:t>the</w:t>
      </w:r>
      <w:r w:rsidR="005C5799">
        <w:t xml:space="preserve"> </w:t>
      </w:r>
      <w:r w:rsidR="005C5799" w:rsidRPr="008206A5">
        <w:t>multidisciplinary team</w:t>
      </w:r>
      <w:bookmarkStart w:id="26" w:name="_Ref202181794"/>
      <w:r w:rsidR="00A93889" w:rsidRPr="008206A5">
        <w:t>.</w:t>
      </w:r>
      <w:bookmarkEnd w:id="26"/>
      <w:r w:rsidR="003A7A55" w:rsidRPr="003A7A55">
        <w:rPr>
          <w:vertAlign w:val="superscript"/>
        </w:rPr>
        <w:fldChar w:fldCharType="begin"/>
      </w:r>
      <w:r w:rsidR="003A7A55" w:rsidRPr="003A7A55">
        <w:rPr>
          <w:vertAlign w:val="superscript"/>
        </w:rPr>
        <w:instrText xml:space="preserve"> NOTEREF _Ref202201189 \h  \* MERGEFORMAT </w:instrText>
      </w:r>
      <w:r w:rsidR="003A7A55" w:rsidRPr="003A7A55">
        <w:rPr>
          <w:vertAlign w:val="superscript"/>
        </w:rPr>
      </w:r>
      <w:r w:rsidR="003A7A55" w:rsidRPr="003A7A55">
        <w:rPr>
          <w:vertAlign w:val="superscript"/>
        </w:rPr>
        <w:fldChar w:fldCharType="separate"/>
      </w:r>
      <w:r w:rsidR="00A42764">
        <w:rPr>
          <w:vertAlign w:val="superscript"/>
        </w:rPr>
        <w:t>15</w:t>
      </w:r>
      <w:r w:rsidR="003A7A55" w:rsidRPr="003A7A55">
        <w:rPr>
          <w:vertAlign w:val="superscript"/>
        </w:rPr>
        <w:fldChar w:fldCharType="end"/>
      </w:r>
      <w:r w:rsidR="00A93889" w:rsidRPr="008206A5">
        <w:t xml:space="preserve"> </w:t>
      </w:r>
      <w:r w:rsidR="00986751" w:rsidRPr="008206A5">
        <w:t xml:space="preserve">This team would </w:t>
      </w:r>
      <w:r w:rsidR="001B2F10">
        <w:t xml:space="preserve">typically </w:t>
      </w:r>
      <w:r w:rsidR="004B465F">
        <w:t>comprise</w:t>
      </w:r>
      <w:r w:rsidR="00986751" w:rsidRPr="008206A5">
        <w:t xml:space="preserve"> </w:t>
      </w:r>
      <w:r w:rsidR="00EE524F" w:rsidRPr="008206A5">
        <w:t>an</w:t>
      </w:r>
      <w:r w:rsidR="00A93889" w:rsidRPr="008206A5">
        <w:t xml:space="preserve"> ENT surgeon/otologist</w:t>
      </w:r>
      <w:r w:rsidR="00EE524F" w:rsidRPr="008206A5">
        <w:t>,</w:t>
      </w:r>
      <w:r w:rsidR="00A93889" w:rsidRPr="008206A5">
        <w:t xml:space="preserve"> audiologist and radiologist.</w:t>
      </w:r>
    </w:p>
    <w:p w14:paraId="7F3D9844" w14:textId="13B333C1" w:rsidR="004A10AF" w:rsidRDefault="002E4BF1" w:rsidP="00581095">
      <w:r>
        <w:t xml:space="preserve">The </w:t>
      </w:r>
      <w:r w:rsidR="00581095">
        <w:t xml:space="preserve">proposed MBS item </w:t>
      </w:r>
      <w:r>
        <w:t>is intended to be used</w:t>
      </w:r>
      <w:r w:rsidR="004577AB">
        <w:t xml:space="preserve"> per </w:t>
      </w:r>
      <w:r w:rsidR="008633D4">
        <w:t>ear</w:t>
      </w:r>
      <w:r w:rsidR="004577AB">
        <w:t xml:space="preserve">, not per </w:t>
      </w:r>
      <w:r w:rsidR="008633D4">
        <w:t>procedure</w:t>
      </w:r>
      <w:r w:rsidR="004577AB">
        <w:t xml:space="preserve">. </w:t>
      </w:r>
    </w:p>
    <w:p w14:paraId="0ED84BE9" w14:textId="0EAE7235" w:rsidR="003F0984" w:rsidRPr="005222EA" w:rsidRDefault="003F0984" w:rsidP="002238AA">
      <w:pPr>
        <w:rPr>
          <w:i/>
          <w:iCs/>
        </w:rPr>
      </w:pPr>
      <w:r w:rsidRPr="000604D5">
        <w:rPr>
          <w:i/>
          <w:iCs/>
        </w:rPr>
        <w:t>PASC noted the inclusion of eligibility criteria regarding the population in the descriptor for MBS item 41618 (for MEI in individuals with SNHL) and advised that the proposed descriptor for individuals with mixed or conductive hearing loss should also include a similar level of detail in defining the appropriate patient population, including the use of speech discrimination thresholds. PASC further agreed that the inclusion of an upper age limit would only be warranted if clinical evidence demonstrated that AMEI implantation is unsafe or clinically inappropriate in individuals above a defined age threshold.</w:t>
      </w:r>
    </w:p>
    <w:p w14:paraId="777D40D7" w14:textId="3DB61F37" w:rsidR="002238AA" w:rsidRDefault="002238AA" w:rsidP="002238AA">
      <w:r>
        <w:t xml:space="preserve">The Final Protocols for MSAC Applications 1364 and 1365 proposed a </w:t>
      </w:r>
      <w:r w:rsidRPr="00260A2C">
        <w:t xml:space="preserve">separate MBS item for </w:t>
      </w:r>
      <w:r>
        <w:t xml:space="preserve">AMEI </w:t>
      </w:r>
      <w:r w:rsidRPr="00260A2C">
        <w:t xml:space="preserve">explantation and revision surgery. </w:t>
      </w:r>
      <w:r>
        <w:t xml:space="preserve">According to the </w:t>
      </w:r>
      <w:r w:rsidR="00A9532B">
        <w:t>Public Summary Document (</w:t>
      </w:r>
      <w:r>
        <w:t>PSD</w:t>
      </w:r>
      <w:r w:rsidR="00A9532B">
        <w:t>)</w:t>
      </w:r>
      <w:r>
        <w:t xml:space="preserve"> for MSAC Application 1365, the Evaluation Subcommittee (ESC) considered that a separate item for revision surgery was not necessary based on reported revision rates for AMEI in patients with SNHL</w:t>
      </w:r>
      <w:r w:rsidR="00453BE3">
        <w:t xml:space="preserve">, which ranged </w:t>
      </w:r>
      <w:r w:rsidR="005F7A63">
        <w:t>from 1.4% to 15.6% between studies, with an average of 2.82%</w:t>
      </w:r>
      <w:r>
        <w:t xml:space="preserve">. </w:t>
      </w:r>
      <w:r w:rsidRPr="00721E1A">
        <w:t>The applicant advised that revision and explantation rates for AMEIs in patients with MHL or CHL are expected to be similar to those observed in patients with SNHL</w:t>
      </w:r>
      <w:r w:rsidR="008F2F21">
        <w:t>.</w:t>
      </w:r>
      <w:bookmarkStart w:id="27" w:name="_Ref203490036"/>
      <w:r w:rsidR="00B72243" w:rsidRPr="002E4C7C">
        <w:rPr>
          <w:rStyle w:val="FootnoteReference"/>
        </w:rPr>
        <w:footnoteReference w:id="18"/>
      </w:r>
      <w:bookmarkEnd w:id="27"/>
      <w:r w:rsidRPr="00721E1A">
        <w:t xml:space="preserve"> </w:t>
      </w:r>
      <w:r w:rsidR="008F2F21">
        <w:t>As such,</w:t>
      </w:r>
      <w:r w:rsidRPr="00721E1A">
        <w:t xml:space="preserve"> a </w:t>
      </w:r>
      <w:r w:rsidR="004D1487">
        <w:t>separate</w:t>
      </w:r>
      <w:r w:rsidR="004D1487" w:rsidRPr="00721E1A">
        <w:t xml:space="preserve"> </w:t>
      </w:r>
      <w:r w:rsidRPr="00721E1A">
        <w:t>MBS item for revision or explantation may not be required</w:t>
      </w:r>
      <w:r w:rsidR="004D1487">
        <w:t>, provided</w:t>
      </w:r>
      <w:r w:rsidR="00B06A17">
        <w:t xml:space="preserve"> </w:t>
      </w:r>
      <w:r w:rsidR="00B65093">
        <w:t>this is confirmed in the</w:t>
      </w:r>
      <w:r w:rsidR="00B06A17">
        <w:t xml:space="preserve"> clinical evaluation</w:t>
      </w:r>
      <w:r>
        <w:t>.</w:t>
      </w:r>
    </w:p>
    <w:p w14:paraId="4FCBC43C" w14:textId="01C7CBC0" w:rsidR="00E3568D" w:rsidRPr="005222EA" w:rsidRDefault="00E3568D" w:rsidP="00E3568D">
      <w:pPr>
        <w:rPr>
          <w:i/>
          <w:iCs/>
        </w:rPr>
      </w:pPr>
      <w:r w:rsidRPr="005222EA">
        <w:rPr>
          <w:i/>
          <w:iCs/>
        </w:rPr>
        <w:t>PASC noted that revision rates are a specified outcome for the assessment and will inform consideration of whether the service should be restricted to a once-per-lifetime provision. PASC considered that while such a restriction may be appropriate, it would preclude access to revision procedures under the MBS. By contrast, MBS item 41618 does not impose such a limit, thereby allowing clinically necessary revision surgeries to be claimed under the same item.</w:t>
      </w:r>
    </w:p>
    <w:p w14:paraId="29A6FC54" w14:textId="6EAE89D5" w:rsidR="002238AA" w:rsidRDefault="002238AA" w:rsidP="00E80DC0">
      <w:pPr>
        <w:pStyle w:val="Heading3"/>
      </w:pPr>
      <w:r>
        <w:lastRenderedPageBreak/>
        <w:t xml:space="preserve">Proposed MBS </w:t>
      </w:r>
      <w:r w:rsidR="00F74113">
        <w:t xml:space="preserve">item </w:t>
      </w:r>
      <w:r>
        <w:t>fee</w:t>
      </w:r>
    </w:p>
    <w:p w14:paraId="0C4A061A" w14:textId="57BF55CE" w:rsidR="00D846AC" w:rsidRDefault="00B97B97" w:rsidP="00B97B97">
      <w:r w:rsidRPr="0079007C">
        <w:t xml:space="preserve">The fee </w:t>
      </w:r>
      <w:r w:rsidR="0052048E">
        <w:t xml:space="preserve">proposed in the application </w:t>
      </w:r>
      <w:r w:rsidRPr="0079007C">
        <w:t xml:space="preserve">is based on the existing MBS item for implantation of a </w:t>
      </w:r>
      <w:r w:rsidR="006F590C">
        <w:t>MEI</w:t>
      </w:r>
      <w:r w:rsidRPr="0079007C">
        <w:t xml:space="preserve"> via mastoidectomy for patients with </w:t>
      </w:r>
      <w:r w:rsidRPr="002E4C7C">
        <w:t>SNHL (</w:t>
      </w:r>
      <w:r w:rsidR="00775429">
        <w:t xml:space="preserve">MBS item 41618, </w:t>
      </w:r>
      <w:r w:rsidRPr="002E4C7C">
        <w:t>see</w:t>
      </w:r>
      <w:r w:rsidR="0001238D" w:rsidRPr="002E4C7C">
        <w:t xml:space="preserve"> Appendix </w:t>
      </w:r>
      <w:r w:rsidR="000B13DF" w:rsidRPr="002E4C7C">
        <w:t>B</w:t>
      </w:r>
      <w:r w:rsidR="0001238D" w:rsidRPr="002E4C7C">
        <w:t>,</w:t>
      </w:r>
      <w:r w:rsidRPr="002E4C7C">
        <w:t xml:space="preserve"> </w:t>
      </w:r>
      <w:r w:rsidRPr="002E4C7C">
        <w:fldChar w:fldCharType="begin"/>
      </w:r>
      <w:r w:rsidRPr="002E4C7C">
        <w:instrText xml:space="preserve"> REF _Ref200557306 \h  \* MERGEFORMAT </w:instrText>
      </w:r>
      <w:r w:rsidRPr="002E4C7C">
        <w:fldChar w:fldCharType="separate"/>
      </w:r>
      <w:r w:rsidR="00A42764">
        <w:t xml:space="preserve">Box </w:t>
      </w:r>
      <w:r w:rsidR="0006468C">
        <w:rPr>
          <w:noProof/>
        </w:rPr>
        <w:t>3</w:t>
      </w:r>
      <w:r w:rsidRPr="002E4C7C">
        <w:fldChar w:fldCharType="end"/>
      </w:r>
      <w:r w:rsidRPr="002E4C7C">
        <w:t xml:space="preserve">). </w:t>
      </w:r>
      <w:r w:rsidR="00E2100B" w:rsidRPr="002E4C7C">
        <w:t xml:space="preserve">The applicant </w:t>
      </w:r>
      <w:r w:rsidR="00634E14">
        <w:t>stated</w:t>
      </w:r>
      <w:r w:rsidR="00634E14" w:rsidRPr="002E4C7C">
        <w:t xml:space="preserve"> </w:t>
      </w:r>
      <w:r w:rsidR="001A2884" w:rsidRPr="002E4C7C">
        <w:t xml:space="preserve">that the time and complexity </w:t>
      </w:r>
      <w:r w:rsidR="002852EE" w:rsidRPr="002E4C7C">
        <w:t>involved in implanting an</w:t>
      </w:r>
      <w:r w:rsidR="001A2884" w:rsidRPr="002E4C7C">
        <w:t xml:space="preserve"> AMEI for MHL </w:t>
      </w:r>
      <w:r w:rsidR="00723B4B" w:rsidRPr="002E4C7C">
        <w:t>or</w:t>
      </w:r>
      <w:r w:rsidR="001A2884" w:rsidRPr="002E4C7C">
        <w:t xml:space="preserve"> CHL is </w:t>
      </w:r>
      <w:r w:rsidR="00723B4B" w:rsidRPr="002E4C7C">
        <w:t>comparable to that for</w:t>
      </w:r>
      <w:r w:rsidR="001A2884" w:rsidRPr="002E4C7C">
        <w:t xml:space="preserve"> SNHL</w:t>
      </w:r>
      <w:r w:rsidR="00E2100B" w:rsidRPr="002E4C7C">
        <w:t>.</w:t>
      </w:r>
      <w:r w:rsidR="00A8346A" w:rsidRPr="0068063C">
        <w:rPr>
          <w:vertAlign w:val="superscript"/>
        </w:rPr>
        <w:fldChar w:fldCharType="begin"/>
      </w:r>
      <w:r w:rsidR="00A8346A" w:rsidRPr="0068063C">
        <w:rPr>
          <w:vertAlign w:val="superscript"/>
        </w:rPr>
        <w:instrText xml:space="preserve"> NOTEREF _Ref203490036 \h </w:instrText>
      </w:r>
      <w:r w:rsidR="00A8346A">
        <w:rPr>
          <w:vertAlign w:val="superscript"/>
        </w:rPr>
        <w:instrText xml:space="preserve"> \* MERGEFORMAT </w:instrText>
      </w:r>
      <w:r w:rsidR="00A8346A" w:rsidRPr="0068063C">
        <w:rPr>
          <w:vertAlign w:val="superscript"/>
        </w:rPr>
      </w:r>
      <w:r w:rsidR="00A8346A" w:rsidRPr="0068063C">
        <w:rPr>
          <w:vertAlign w:val="superscript"/>
        </w:rPr>
        <w:fldChar w:fldCharType="separate"/>
      </w:r>
      <w:r w:rsidR="00A42764">
        <w:rPr>
          <w:vertAlign w:val="superscript"/>
        </w:rPr>
        <w:t>17</w:t>
      </w:r>
      <w:r w:rsidR="00A8346A" w:rsidRPr="0068063C">
        <w:rPr>
          <w:vertAlign w:val="superscript"/>
        </w:rPr>
        <w:fldChar w:fldCharType="end"/>
      </w:r>
      <w:r w:rsidR="008B74B6">
        <w:t xml:space="preserve"> </w:t>
      </w:r>
      <w:r w:rsidR="00CF40E3">
        <w:t>However, t</w:t>
      </w:r>
      <w:r w:rsidR="00634E14">
        <w:t xml:space="preserve">he assessment </w:t>
      </w:r>
      <w:r w:rsidR="00D846AC">
        <w:t xml:space="preserve">will need to </w:t>
      </w:r>
      <w:r w:rsidR="00CF40E3">
        <w:t>justify this claim, as more</w:t>
      </w:r>
      <w:r w:rsidR="00D846AC">
        <w:t xml:space="preserve"> complex coupling strategies </w:t>
      </w:r>
      <w:r w:rsidR="0013019C">
        <w:t>are often</w:t>
      </w:r>
      <w:r w:rsidR="00646BDD">
        <w:t xml:space="preserve"> required in patients with MHL</w:t>
      </w:r>
      <w:r w:rsidR="0013019C">
        <w:t xml:space="preserve"> or C</w:t>
      </w:r>
      <w:r w:rsidR="00646BDD">
        <w:t>HL</w:t>
      </w:r>
      <w:r w:rsidR="0013019C">
        <w:t xml:space="preserve">. These may necessitate </w:t>
      </w:r>
      <w:r w:rsidR="00AF1473">
        <w:t>additional surgical steps</w:t>
      </w:r>
      <w:r w:rsidR="0053240D">
        <w:t xml:space="preserve">, </w:t>
      </w:r>
      <w:r w:rsidR="00AF1473">
        <w:t xml:space="preserve">which could contribute to </w:t>
      </w:r>
      <w:r w:rsidR="0053240D">
        <w:t>increased</w:t>
      </w:r>
      <w:r w:rsidR="00AF1473">
        <w:t xml:space="preserve"> operative time</w:t>
      </w:r>
      <w:r w:rsidR="0053240D">
        <w:t xml:space="preserve"> and complexity</w:t>
      </w:r>
      <w:r w:rsidR="00AF1473">
        <w:t>.</w:t>
      </w:r>
    </w:p>
    <w:p w14:paraId="2F9804B4" w14:textId="7F020A17" w:rsidR="00723B4B" w:rsidRPr="002E4C7C" w:rsidRDefault="008B74B6" w:rsidP="00B97B97">
      <w:r>
        <w:t>The fee is intended to cover intraoperative testing of the implanted components of the system.</w:t>
      </w:r>
    </w:p>
    <w:p w14:paraId="5A1ADBA7" w14:textId="420E09BA" w:rsidR="00B97B97" w:rsidRPr="002E4C7C" w:rsidRDefault="00184FE4" w:rsidP="00B97B97">
      <w:r w:rsidRPr="002E4C7C">
        <w:t xml:space="preserve">A 75% benefit is appropriate </w:t>
      </w:r>
      <w:r w:rsidR="00726D2E" w:rsidRPr="002E4C7C">
        <w:t>as</w:t>
      </w:r>
      <w:r w:rsidR="000C33E1" w:rsidRPr="002E4C7C">
        <w:t xml:space="preserve"> the</w:t>
      </w:r>
      <w:r w:rsidR="00964C4D" w:rsidRPr="002E4C7C">
        <w:t xml:space="preserve"> proposed</w:t>
      </w:r>
      <w:r w:rsidR="000C33E1" w:rsidRPr="002E4C7C">
        <w:t xml:space="preserve"> service is intended</w:t>
      </w:r>
      <w:r w:rsidR="00964C4D" w:rsidRPr="002E4C7C">
        <w:t xml:space="preserve"> </w:t>
      </w:r>
      <w:r w:rsidR="00726D2E" w:rsidRPr="002E4C7C">
        <w:t>to be delivered in a hospital setting</w:t>
      </w:r>
      <w:r w:rsidR="0096624C" w:rsidRPr="002E4C7C">
        <w:t>.</w:t>
      </w:r>
    </w:p>
    <w:p w14:paraId="094720BA" w14:textId="44A4F051" w:rsidR="00BA720C" w:rsidRDefault="00001748" w:rsidP="00B97B97">
      <w:r w:rsidRPr="002E4C7C">
        <w:t xml:space="preserve">There are existing MBS items for </w:t>
      </w:r>
      <w:r w:rsidR="00225471" w:rsidRPr="002E4C7C">
        <w:t xml:space="preserve">ENT </w:t>
      </w:r>
      <w:r w:rsidR="00F14098" w:rsidRPr="002E4C7C">
        <w:t xml:space="preserve">consultation, </w:t>
      </w:r>
      <w:r w:rsidR="00626C9B" w:rsidRPr="002E4C7C">
        <w:t>CT scan</w:t>
      </w:r>
      <w:r w:rsidR="0007593C" w:rsidRPr="002E4C7C">
        <w:t xml:space="preserve">, </w:t>
      </w:r>
      <w:r w:rsidR="00040536" w:rsidRPr="002E4C7C">
        <w:t>audiometric testing</w:t>
      </w:r>
      <w:r w:rsidR="0007593C" w:rsidRPr="002E4C7C">
        <w:t xml:space="preserve"> and </w:t>
      </w:r>
      <w:r w:rsidR="00C13A27" w:rsidRPr="002E4C7C">
        <w:t xml:space="preserve">tympanometry </w:t>
      </w:r>
      <w:r w:rsidR="00040536" w:rsidRPr="002E4C7C">
        <w:t xml:space="preserve">prior to the proposed intervention. </w:t>
      </w:r>
      <w:r w:rsidR="00422D3D" w:rsidRPr="002E4C7C">
        <w:t>Likewise</w:t>
      </w:r>
      <w:r w:rsidR="00612BF5" w:rsidRPr="002E4C7C">
        <w:t xml:space="preserve">, there are existing </w:t>
      </w:r>
      <w:r w:rsidR="00CA5C0F" w:rsidRPr="002E4C7C">
        <w:t xml:space="preserve">MBS </w:t>
      </w:r>
      <w:r w:rsidR="00612BF5" w:rsidRPr="002E4C7C">
        <w:t xml:space="preserve">items </w:t>
      </w:r>
      <w:r w:rsidR="00CA5C0F" w:rsidRPr="002E4C7C">
        <w:t xml:space="preserve">for </w:t>
      </w:r>
      <w:r w:rsidR="002C12A6" w:rsidRPr="002E4C7C">
        <w:t xml:space="preserve">ENT/audiologist </w:t>
      </w:r>
      <w:r w:rsidR="00CA5C0F" w:rsidRPr="002E4C7C">
        <w:t xml:space="preserve">programming </w:t>
      </w:r>
      <w:r w:rsidR="000B2E90" w:rsidRPr="002E4C7C">
        <w:t xml:space="preserve">of </w:t>
      </w:r>
      <w:r w:rsidR="00494D20" w:rsidRPr="002E4C7C">
        <w:t>the device after implantation</w:t>
      </w:r>
      <w:r w:rsidR="00156702" w:rsidRPr="002E4C7C">
        <w:t>,</w:t>
      </w:r>
      <w:r w:rsidR="00494D20" w:rsidRPr="002E4C7C">
        <w:t xml:space="preserve"> </w:t>
      </w:r>
      <w:r w:rsidR="00156702" w:rsidRPr="002E4C7C">
        <w:t xml:space="preserve">and for hearing assessment </w:t>
      </w:r>
      <w:r w:rsidR="0090568A" w:rsidRPr="002E4C7C">
        <w:t>at follow up</w:t>
      </w:r>
      <w:r w:rsidR="00D87D79" w:rsidRPr="002E4C7C">
        <w:t xml:space="preserve"> (</w:t>
      </w:r>
      <w:r w:rsidR="00175E6C" w:rsidRPr="002E4C7C">
        <w:t xml:space="preserve">refer to </w:t>
      </w:r>
      <w:r w:rsidR="00D87D79" w:rsidRPr="002E4C7C">
        <w:t xml:space="preserve">Appendix </w:t>
      </w:r>
      <w:r w:rsidR="000B13DF" w:rsidRPr="002E4C7C">
        <w:t>B</w:t>
      </w:r>
      <w:r w:rsidR="008F008B" w:rsidRPr="002E4C7C">
        <w:t xml:space="preserve"> for examples</w:t>
      </w:r>
      <w:r w:rsidR="00D87D79">
        <w:t>)</w:t>
      </w:r>
      <w:r w:rsidR="00933919">
        <w:t>.</w:t>
      </w:r>
    </w:p>
    <w:p w14:paraId="62338695" w14:textId="775A0FF4" w:rsidR="00D37A3F" w:rsidRPr="00D37A3F" w:rsidRDefault="003F0A39" w:rsidP="00713728">
      <w:pPr>
        <w:pStyle w:val="Heading2"/>
      </w:pPr>
      <w:r>
        <w:t>Summary of public consultation</w:t>
      </w:r>
      <w:r w:rsidRPr="00D37A3F">
        <w:t xml:space="preserve"> </w:t>
      </w:r>
      <w:r w:rsidR="00E470B0">
        <w:t>input</w:t>
      </w:r>
    </w:p>
    <w:p w14:paraId="63DFE9FC" w14:textId="77777777" w:rsidR="007009EB" w:rsidRPr="00D505EB" w:rsidRDefault="007009EB" w:rsidP="007009EB">
      <w:pPr>
        <w:spacing w:after="120"/>
      </w:pPr>
      <w:r w:rsidRPr="00E95336">
        <w:rPr>
          <w:i/>
          <w:iCs/>
        </w:rPr>
        <w:t>PASC noted and welcomed consultation input from</w:t>
      </w:r>
      <w:r w:rsidRPr="00D7667B">
        <w:t xml:space="preserve"> </w:t>
      </w:r>
      <w:r w:rsidRPr="00867A99">
        <w:rPr>
          <w:i/>
          <w:iCs/>
        </w:rPr>
        <w:t xml:space="preserve">3 organisations and 1 individual health professional. </w:t>
      </w:r>
      <w:r w:rsidRPr="00E30303">
        <w:t>The 3 organisations that submitted input were:</w:t>
      </w:r>
      <w:r w:rsidRPr="00D505EB">
        <w:t xml:space="preserve"> </w:t>
      </w:r>
    </w:p>
    <w:p w14:paraId="202045FC" w14:textId="77777777" w:rsidR="007009EB" w:rsidRPr="00867A99" w:rsidRDefault="007009EB" w:rsidP="007009EB">
      <w:pPr>
        <w:pStyle w:val="ListParagraph"/>
        <w:numPr>
          <w:ilvl w:val="0"/>
          <w:numId w:val="44"/>
        </w:numPr>
        <w:spacing w:after="160" w:line="259" w:lineRule="auto"/>
      </w:pPr>
      <w:r w:rsidRPr="00867A99">
        <w:t>Audiology Australia</w:t>
      </w:r>
    </w:p>
    <w:p w14:paraId="11299B6F" w14:textId="77777777" w:rsidR="007009EB" w:rsidRPr="001C42DA" w:rsidRDefault="007009EB" w:rsidP="007009EB">
      <w:pPr>
        <w:pStyle w:val="ListParagraph"/>
        <w:numPr>
          <w:ilvl w:val="0"/>
          <w:numId w:val="44"/>
        </w:numPr>
        <w:spacing w:after="160" w:line="259" w:lineRule="auto"/>
        <w:rPr>
          <w:b/>
          <w:bCs/>
        </w:rPr>
      </w:pPr>
      <w:r w:rsidRPr="00867A99">
        <w:t>CICADA QLD</w:t>
      </w:r>
    </w:p>
    <w:p w14:paraId="043C9E5C" w14:textId="77777777" w:rsidR="007009EB" w:rsidRPr="004A29A5" w:rsidRDefault="007009EB" w:rsidP="007009EB">
      <w:pPr>
        <w:pStyle w:val="ListParagraph"/>
        <w:numPr>
          <w:ilvl w:val="0"/>
          <w:numId w:val="44"/>
        </w:numPr>
        <w:spacing w:after="160" w:line="259" w:lineRule="auto"/>
        <w:rPr>
          <w:b/>
          <w:bCs/>
        </w:rPr>
      </w:pPr>
      <w:r w:rsidRPr="00867A99">
        <w:t>Independent Audiologists Australia</w:t>
      </w:r>
      <w:r>
        <w:t xml:space="preserve"> (IAA).</w:t>
      </w:r>
    </w:p>
    <w:p w14:paraId="2493E945" w14:textId="77777777" w:rsidR="007009EB" w:rsidRPr="00867A99" w:rsidRDefault="007009EB" w:rsidP="007009EB">
      <w:r>
        <w:t>C</w:t>
      </w:r>
      <w:r w:rsidRPr="00867A99">
        <w:t xml:space="preserve">onsultation input was supportive of public funding for </w:t>
      </w:r>
      <w:r>
        <w:rPr>
          <w:bCs/>
        </w:rPr>
        <w:t>i</w:t>
      </w:r>
      <w:r w:rsidRPr="00867A99">
        <w:rPr>
          <w:bCs/>
        </w:rPr>
        <w:t xml:space="preserve">mplantation of an </w:t>
      </w:r>
      <w:r>
        <w:rPr>
          <w:bCs/>
        </w:rPr>
        <w:t>AMEI</w:t>
      </w:r>
      <w:r w:rsidRPr="00867A99">
        <w:rPr>
          <w:bCs/>
        </w:rPr>
        <w:t xml:space="preserve"> for treatment of mixed and conductive hearing loss</w:t>
      </w:r>
      <w:r w:rsidRPr="00867A99">
        <w:t xml:space="preserve">. </w:t>
      </w:r>
    </w:p>
    <w:p w14:paraId="5968B83C" w14:textId="00C48465" w:rsidR="007009EB" w:rsidRDefault="007009EB" w:rsidP="00E30303">
      <w:pPr>
        <w:pStyle w:val="Heading3"/>
      </w:pPr>
      <w:r w:rsidRPr="00D811C1">
        <w:t xml:space="preserve">Consumer </w:t>
      </w:r>
      <w:r w:rsidR="00ED4C94">
        <w:t>i</w:t>
      </w:r>
      <w:r>
        <w:t>nput</w:t>
      </w:r>
    </w:p>
    <w:p w14:paraId="2170AA2B" w14:textId="0E17C1A1" w:rsidR="007009EB" w:rsidRDefault="007009EB" w:rsidP="007009EB">
      <w:r w:rsidRPr="00972CFD">
        <w:t>C</w:t>
      </w:r>
      <w:r>
        <w:t>ICADA QLD shared the experiences of</w:t>
      </w:r>
      <w:r w:rsidRPr="0094659B">
        <w:t xml:space="preserve"> individuals living with mixed </w:t>
      </w:r>
      <w:r w:rsidR="000C239C">
        <w:t xml:space="preserve">and conductive </w:t>
      </w:r>
      <w:r w:rsidRPr="0094659B">
        <w:t>hearing loss, along with their families</w:t>
      </w:r>
      <w:r>
        <w:t xml:space="preserve"> and carers. Input from </w:t>
      </w:r>
      <w:r w:rsidRPr="008E613F">
        <w:t>CICADA Q</w:t>
      </w:r>
      <w:r>
        <w:t>LD</w:t>
      </w:r>
      <w:r w:rsidRPr="008E613F">
        <w:t xml:space="preserve"> </w:t>
      </w:r>
      <w:r>
        <w:t xml:space="preserve">stated </w:t>
      </w:r>
      <w:r w:rsidRPr="008E613F">
        <w:t>that for people with mixed and conductive hearing loss</w:t>
      </w:r>
      <w:r>
        <w:t xml:space="preserve">, </w:t>
      </w:r>
      <w:r w:rsidRPr="008E613F">
        <w:t>especially those who cannot benefit from hearing aids</w:t>
      </w:r>
      <w:r>
        <w:t>,</w:t>
      </w:r>
      <w:r w:rsidRPr="008E613F">
        <w:t xml:space="preserve"> the</w:t>
      </w:r>
      <w:r>
        <w:t xml:space="preserve"> </w:t>
      </w:r>
      <w:r w:rsidRPr="008E613F">
        <w:t>impact extends well beyond hearing alone. It affects education, employment, relationships, and mental health</w:t>
      </w:r>
      <w:r>
        <w:t>, and t</w:t>
      </w:r>
      <w:r w:rsidRPr="008E613F">
        <w:t>hese effects are deeply felt by individuals and their families</w:t>
      </w:r>
      <w:r>
        <w:t xml:space="preserve">. </w:t>
      </w:r>
    </w:p>
    <w:p w14:paraId="7A3CFB53" w14:textId="77777777" w:rsidR="007009EB" w:rsidRPr="00972CFD" w:rsidRDefault="007009EB" w:rsidP="007009EB">
      <w:r>
        <w:t>Input reported that h</w:t>
      </w:r>
      <w:r w:rsidRPr="008E613F">
        <w:t>earing loss often leads to withdrawal from social activities, sport, or volunteering due to embarrassment, fatigue, or the inability to keep up with</w:t>
      </w:r>
      <w:r>
        <w:t xml:space="preserve"> </w:t>
      </w:r>
      <w:r w:rsidRPr="008E613F">
        <w:t>conversations</w:t>
      </w:r>
      <w:r>
        <w:t xml:space="preserve"> and can l</w:t>
      </w:r>
      <w:r w:rsidRPr="008E613F">
        <w:t>ead to dependence on others in unfamiliar or unsafe environments where hearing is critical</w:t>
      </w:r>
      <w:r>
        <w:t xml:space="preserve"> (</w:t>
      </w:r>
      <w:r w:rsidRPr="008E613F">
        <w:t>e.g. cooking, crossing roads, responding to alarms</w:t>
      </w:r>
      <w:r>
        <w:t>). Input stated that u</w:t>
      </w:r>
      <w:r w:rsidRPr="00BB30A8">
        <w:t>ntreated or under-managed hearing loss is strongly associated with</w:t>
      </w:r>
      <w:r>
        <w:t xml:space="preserve"> i</w:t>
      </w:r>
      <w:r w:rsidRPr="00BB30A8">
        <w:t>ncreased anxiety and depression</w:t>
      </w:r>
      <w:r>
        <w:t>, and r</w:t>
      </w:r>
      <w:r w:rsidRPr="00BB30A8">
        <w:t>educed self-esteem</w:t>
      </w:r>
      <w:r>
        <w:t>.</w:t>
      </w:r>
    </w:p>
    <w:p w14:paraId="108298D7" w14:textId="406BF40A" w:rsidR="007009EB" w:rsidRDefault="007009EB" w:rsidP="00E30303">
      <w:pPr>
        <w:pStyle w:val="Heading3"/>
      </w:pPr>
      <w:r>
        <w:t xml:space="preserve">Benefits and </w:t>
      </w:r>
      <w:r w:rsidR="00ED4C94">
        <w:t>d</w:t>
      </w:r>
      <w:r>
        <w:t>isadvantages</w:t>
      </w:r>
    </w:p>
    <w:p w14:paraId="7D2E22FA" w14:textId="77777777" w:rsidR="007009EB" w:rsidRDefault="007009EB" w:rsidP="007009EB">
      <w:r>
        <w:t xml:space="preserve">The main benefits of public funding reported in the consultation input included </w:t>
      </w:r>
      <w:r w:rsidRPr="00F13A5C">
        <w:t>the ability to preserve the natural anatomy of the ear canal</w:t>
      </w:r>
      <w:r>
        <w:t>, avoid issues commonly associated with conventional hearing aids (e.g. chronic ear infections, occlusions)</w:t>
      </w:r>
      <w:r w:rsidRPr="00F13A5C">
        <w:t xml:space="preserve">, </w:t>
      </w:r>
      <w:r>
        <w:t>and provide true binaural hearing</w:t>
      </w:r>
      <w:r w:rsidRPr="00F13A5C">
        <w:t>.</w:t>
      </w:r>
      <w:r>
        <w:t xml:space="preserve"> The input also emphasised that AMEI would benefit </w:t>
      </w:r>
      <w:r w:rsidRPr="00F13A5C">
        <w:t xml:space="preserve">patients </w:t>
      </w:r>
      <w:r>
        <w:t>for whom</w:t>
      </w:r>
      <w:r w:rsidRPr="00F13A5C">
        <w:t xml:space="preserve"> conventional amplification is either ineffective or contraindicated</w:t>
      </w:r>
      <w:r>
        <w:t>.</w:t>
      </w:r>
      <w:r w:rsidRPr="00F13A5C">
        <w:t xml:space="preserve"> </w:t>
      </w:r>
      <w:r>
        <w:lastRenderedPageBreak/>
        <w:t xml:space="preserve">CICADA QLD input stated that benefits included improved hearing in noisy environments, less distortion and more natural sound compared to bone conduction and traditional aids, which </w:t>
      </w:r>
      <w:r w:rsidRPr="00E920E1">
        <w:t>directly improve</w:t>
      </w:r>
      <w:r>
        <w:t xml:space="preserve"> individual’s </w:t>
      </w:r>
      <w:r w:rsidRPr="00E920E1">
        <w:t>communication</w:t>
      </w:r>
      <w:r>
        <w:t xml:space="preserve"> ability</w:t>
      </w:r>
      <w:r w:rsidRPr="00E920E1">
        <w:t xml:space="preserve">, daily functioning, </w:t>
      </w:r>
      <w:r>
        <w:t xml:space="preserve">mental health </w:t>
      </w:r>
      <w:r w:rsidRPr="00E920E1">
        <w:t>and overall health outcomes</w:t>
      </w:r>
      <w:r>
        <w:t>.</w:t>
      </w:r>
    </w:p>
    <w:p w14:paraId="6E00DDD5" w14:textId="77777777" w:rsidR="007009EB" w:rsidRPr="002A0681" w:rsidRDefault="007009EB" w:rsidP="007009EB">
      <w:r w:rsidRPr="002A0681">
        <w:t xml:space="preserve">The main disadvantages of public funding </w:t>
      </w:r>
      <w:r>
        <w:t>identified</w:t>
      </w:r>
      <w:r w:rsidRPr="002A0681">
        <w:t xml:space="preserve"> in the consultation input were limited access to surgical services in regional and remote areas</w:t>
      </w:r>
      <w:r>
        <w:t xml:space="preserve"> and</w:t>
      </w:r>
      <w:r w:rsidRPr="002A0681">
        <w:t xml:space="preserve"> the need for ongoing maintenance and upgrades</w:t>
      </w:r>
      <w:r>
        <w:t xml:space="preserve">. </w:t>
      </w:r>
    </w:p>
    <w:p w14:paraId="324B2EE3" w14:textId="61C44B82" w:rsidR="007009EB" w:rsidRDefault="007009EB" w:rsidP="00E30303">
      <w:pPr>
        <w:pStyle w:val="Heading3"/>
      </w:pPr>
      <w:r>
        <w:t xml:space="preserve">Population, </w:t>
      </w:r>
      <w:r w:rsidR="00F31E65">
        <w:t>c</w:t>
      </w:r>
      <w:r>
        <w:t xml:space="preserve">omparator (current management) and </w:t>
      </w:r>
      <w:r w:rsidR="00F31E65">
        <w:t>d</w:t>
      </w:r>
      <w:r>
        <w:t>elivery</w:t>
      </w:r>
    </w:p>
    <w:p w14:paraId="095293B5" w14:textId="7EA7DE6B" w:rsidR="007009EB" w:rsidRPr="002A0681" w:rsidRDefault="007009EB" w:rsidP="007009EB">
      <w:r w:rsidRPr="002A0681">
        <w:t xml:space="preserve">The consultation input </w:t>
      </w:r>
      <w:r>
        <w:t xml:space="preserve">broadly </w:t>
      </w:r>
      <w:r w:rsidRPr="002A0681">
        <w:t xml:space="preserve">agreed with the proposed population. </w:t>
      </w:r>
      <w:r>
        <w:t>A</w:t>
      </w:r>
      <w:r w:rsidRPr="00D51D37">
        <w:t>udiology Australia emphasise</w:t>
      </w:r>
      <w:r>
        <w:t>d</w:t>
      </w:r>
      <w:r w:rsidRPr="00D51D37">
        <w:t xml:space="preserve"> the importance of age-specific evaluations </w:t>
      </w:r>
      <w:r>
        <w:t>as h</w:t>
      </w:r>
      <w:r w:rsidRPr="00D51D37">
        <w:t>earing loss impacts children differently than adults, and careful assessment is essential to ensure that the intervention is</w:t>
      </w:r>
      <w:r>
        <w:t xml:space="preserve"> </w:t>
      </w:r>
      <w:r w:rsidRPr="00D51D37">
        <w:t>developmentally appropriate</w:t>
      </w:r>
      <w:r>
        <w:t>.</w:t>
      </w:r>
      <w:r w:rsidRPr="00D51D37">
        <w:t xml:space="preserve"> </w:t>
      </w:r>
      <w:r>
        <w:t>I</w:t>
      </w:r>
      <w:r w:rsidRPr="002A0681">
        <w:t xml:space="preserve">nput </w:t>
      </w:r>
      <w:r>
        <w:t>highlighted</w:t>
      </w:r>
      <w:r w:rsidRPr="002A0681">
        <w:t xml:space="preserve"> the importance of including </w:t>
      </w:r>
      <w:r>
        <w:t>c</w:t>
      </w:r>
      <w:r w:rsidRPr="002A0681">
        <w:t>ulturally</w:t>
      </w:r>
      <w:r w:rsidR="00461EBD">
        <w:t xml:space="preserve"> </w:t>
      </w:r>
      <w:r w:rsidRPr="002A0681">
        <w:t>informed strategies to facilitate access for First Nations people</w:t>
      </w:r>
      <w:r>
        <w:t xml:space="preserve">, who </w:t>
      </w:r>
      <w:r w:rsidRPr="002A0681">
        <w:t>are more likely to experience long-standing ear disease and face greater barriers to accessing effective rehabilitation</w:t>
      </w:r>
      <w:r>
        <w:t xml:space="preserve">. </w:t>
      </w:r>
    </w:p>
    <w:p w14:paraId="3FF9470B" w14:textId="77777777" w:rsidR="007009EB" w:rsidRPr="00794B7F" w:rsidRDefault="007009EB" w:rsidP="007009EB">
      <w:r>
        <w:t>The consultation input agreed with the proposed comparators, however input noted that not all patients are suitable for or respond to current surgical treatments and have</w:t>
      </w:r>
      <w:r w:rsidRPr="00E53A33">
        <w:t xml:space="preserve"> limited options for rehabilitation using available treatment options.</w:t>
      </w:r>
      <w:r>
        <w:t xml:space="preserve"> </w:t>
      </w:r>
    </w:p>
    <w:p w14:paraId="592744FD" w14:textId="77777777" w:rsidR="007009EB" w:rsidRDefault="007009EB" w:rsidP="007009EB">
      <w:r>
        <w:t xml:space="preserve">Other services identified in the consultation input as being needed to be delivered before or after the intervention included counselling and </w:t>
      </w:r>
      <w:r w:rsidRPr="0019175B">
        <w:t>targeted training for both ENT surgeons and audiologists</w:t>
      </w:r>
      <w:r>
        <w:t xml:space="preserve"> who form part of the multidisciplinary team for implantation of active middle ear implants.</w:t>
      </w:r>
    </w:p>
    <w:p w14:paraId="528E8F80" w14:textId="18997015" w:rsidR="007009EB" w:rsidRDefault="007009EB" w:rsidP="00E30303">
      <w:pPr>
        <w:pStyle w:val="Heading3"/>
      </w:pPr>
      <w:r w:rsidRPr="00E53A33">
        <w:t xml:space="preserve">MBS </w:t>
      </w:r>
      <w:r w:rsidR="00F31E65">
        <w:t>i</w:t>
      </w:r>
      <w:r w:rsidRPr="00E53A33">
        <w:t xml:space="preserve">tem </w:t>
      </w:r>
      <w:r w:rsidR="00F31E65">
        <w:t>d</w:t>
      </w:r>
      <w:r w:rsidRPr="00E53A33">
        <w:t xml:space="preserve">escriptor and </w:t>
      </w:r>
      <w:r w:rsidR="00F31E65">
        <w:t>f</w:t>
      </w:r>
      <w:r w:rsidRPr="00E53A33">
        <w:t>ee</w:t>
      </w:r>
    </w:p>
    <w:p w14:paraId="4224096D" w14:textId="0DF823FD" w:rsidR="007009EB" w:rsidRDefault="007009EB" w:rsidP="007009EB">
      <w:r>
        <w:t xml:space="preserve">The consultation input mostly agreed with the proposed service descriptor, with some </w:t>
      </w:r>
      <w:r w:rsidRPr="00C21B4E">
        <w:t>input stat</w:t>
      </w:r>
      <w:r>
        <w:t>ing</w:t>
      </w:r>
      <w:r w:rsidRPr="00C21B4E">
        <w:t xml:space="preserve"> that it may be worth considering whether the service could be incorporated into the existing item number </w:t>
      </w:r>
      <w:r w:rsidR="008138B2">
        <w:t>(i.e.</w:t>
      </w:r>
      <w:r w:rsidRPr="00C21B4E">
        <w:t xml:space="preserve"> 41618</w:t>
      </w:r>
      <w:r w:rsidR="008138B2">
        <w:t>)</w:t>
      </w:r>
      <w:r w:rsidRPr="00C21B4E">
        <w:t>, to reduce administrative complexity</w:t>
      </w:r>
      <w:r>
        <w:t>. Audiology Australia stated that all pre</w:t>
      </w:r>
      <w:r w:rsidR="00FA1D03">
        <w:t>operative</w:t>
      </w:r>
      <w:r>
        <w:t xml:space="preserve"> and postoperative services were already part of standard care and MBS funded. IAA stated that an additional MBS item should be created </w:t>
      </w:r>
      <w:r w:rsidRPr="0019175B">
        <w:t>for complex implant candidacy assessments</w:t>
      </w:r>
      <w:r>
        <w:t xml:space="preserve"> and that </w:t>
      </w:r>
      <w:r w:rsidRPr="00AF4F1C">
        <w:t>postoperative audiological services</w:t>
      </w:r>
      <w:r>
        <w:t xml:space="preserve"> should be clearly MBS supported.</w:t>
      </w:r>
    </w:p>
    <w:p w14:paraId="7B8A71F6" w14:textId="018F708A" w:rsidR="007009EB" w:rsidRDefault="007009EB" w:rsidP="007009EB">
      <w:r>
        <w:t>The consultation input broadly agreed with the proposed service fee. Input stated that MBS funding for AMEI would reduce out</w:t>
      </w:r>
      <w:r w:rsidR="00145309">
        <w:t>-</w:t>
      </w:r>
      <w:r>
        <w:t>of</w:t>
      </w:r>
      <w:r w:rsidR="00145309">
        <w:t>-</w:t>
      </w:r>
      <w:r>
        <w:t>pocket costs for individuals who are currently self-funding the procedure due to long public hospital waiting lists or public hospitals not including this service.</w:t>
      </w:r>
    </w:p>
    <w:p w14:paraId="0942E2A1" w14:textId="734E35AD" w:rsidR="007009EB" w:rsidRPr="00796D56" w:rsidRDefault="007009EB" w:rsidP="00E30303">
      <w:pPr>
        <w:pStyle w:val="Heading3"/>
      </w:pPr>
      <w:r w:rsidRPr="00C50417">
        <w:t xml:space="preserve">Additional </w:t>
      </w:r>
      <w:r w:rsidR="00F31E65">
        <w:t>c</w:t>
      </w:r>
      <w:r w:rsidRPr="00C50417">
        <w:t>omments</w:t>
      </w:r>
    </w:p>
    <w:p w14:paraId="65FD027E" w14:textId="77777777" w:rsidR="007009EB" w:rsidRDefault="007009EB" w:rsidP="007009EB">
      <w:r w:rsidRPr="00457E1D">
        <w:t>The consultation input commented on the outcomes in the application, agreeing with those outlined in the PICO</w:t>
      </w:r>
      <w:r>
        <w:t xml:space="preserve">, but also adding that </w:t>
      </w:r>
      <w:r w:rsidRPr="00457E1D">
        <w:t>patient-reported outcome measures (PROMs)</w:t>
      </w:r>
      <w:r>
        <w:t xml:space="preserve"> including peer and community integration were essential.</w:t>
      </w:r>
    </w:p>
    <w:p w14:paraId="1CDF59C6" w14:textId="06A43E5A" w:rsidR="00EB79B0" w:rsidRPr="004940C4" w:rsidRDefault="003757BE" w:rsidP="0097699D">
      <w:pPr>
        <w:rPr>
          <w:i/>
          <w:iCs/>
        </w:rPr>
      </w:pPr>
      <w:r w:rsidRPr="003757BE">
        <w:rPr>
          <w:i/>
          <w:iCs/>
        </w:rPr>
        <w:t>PASC noted that consultation feedback acknowledged the potential benefits of AMEI implantation in the target population, while also highlighting concerns regarding limited availability of surgical services in regional and remote areas, as well as the requirement for ongoing maintenance and upgrades of the external device. PASC advised that issues relating to patient out-of-pocket costs and equity of access for rural and remote populations should be addressed in the ADAR.</w:t>
      </w:r>
    </w:p>
    <w:p w14:paraId="4E68667F" w14:textId="77777777" w:rsidR="00D37A3F" w:rsidRPr="00D37A3F" w:rsidRDefault="00D37A3F" w:rsidP="00713728">
      <w:pPr>
        <w:pStyle w:val="Heading2"/>
      </w:pPr>
      <w:r w:rsidRPr="00D37A3F">
        <w:lastRenderedPageBreak/>
        <w:t>Next steps</w:t>
      </w:r>
    </w:p>
    <w:p w14:paraId="3E43BFB7" w14:textId="75FE6445" w:rsidR="002546A5" w:rsidRDefault="0045515F" w:rsidP="002546A5">
      <w:pPr>
        <w:rPr>
          <w:i/>
          <w:iCs/>
        </w:rPr>
      </w:pPr>
      <w:r>
        <w:rPr>
          <w:rFonts w:asciiTheme="minorHAnsi" w:hAnsiTheme="minorHAnsi" w:cstheme="minorHAnsi"/>
          <w:i/>
          <w:iCs/>
        </w:rPr>
        <w:t>PASC noted t</w:t>
      </w:r>
      <w:r w:rsidRPr="00A220FC">
        <w:rPr>
          <w:rFonts w:asciiTheme="minorHAnsi" w:hAnsiTheme="minorHAnsi" w:cstheme="minorHAnsi"/>
          <w:i/>
          <w:iCs/>
        </w:rPr>
        <w:t xml:space="preserve">he applicant confirmed that an </w:t>
      </w:r>
      <w:r>
        <w:rPr>
          <w:rFonts w:asciiTheme="minorHAnsi" w:hAnsiTheme="minorHAnsi" w:cstheme="minorHAnsi"/>
          <w:i/>
          <w:iCs/>
        </w:rPr>
        <w:t>a</w:t>
      </w:r>
      <w:r w:rsidRPr="00A220FC">
        <w:rPr>
          <w:rFonts w:asciiTheme="minorHAnsi" w:hAnsiTheme="minorHAnsi" w:cstheme="minorHAnsi"/>
          <w:i/>
          <w:iCs/>
        </w:rPr>
        <w:t>pplicant</w:t>
      </w:r>
      <w:r>
        <w:rPr>
          <w:rFonts w:asciiTheme="minorHAnsi" w:hAnsiTheme="minorHAnsi" w:cstheme="minorHAnsi"/>
          <w:i/>
          <w:iCs/>
        </w:rPr>
        <w:t>-d</w:t>
      </w:r>
      <w:r w:rsidRPr="00A220FC">
        <w:rPr>
          <w:rFonts w:asciiTheme="minorHAnsi" w:hAnsiTheme="minorHAnsi" w:cstheme="minorHAnsi"/>
          <w:i/>
          <w:iCs/>
        </w:rPr>
        <w:t xml:space="preserve">eveloped </w:t>
      </w:r>
      <w:r>
        <w:rPr>
          <w:rFonts w:asciiTheme="minorHAnsi" w:hAnsiTheme="minorHAnsi" w:cstheme="minorHAnsi"/>
          <w:i/>
          <w:iCs/>
        </w:rPr>
        <w:t>a</w:t>
      </w:r>
      <w:r w:rsidRPr="00A220FC">
        <w:rPr>
          <w:rFonts w:asciiTheme="minorHAnsi" w:hAnsiTheme="minorHAnsi" w:cstheme="minorHAnsi"/>
          <w:i/>
          <w:iCs/>
        </w:rPr>
        <w:t xml:space="preserve">ssessment </w:t>
      </w:r>
      <w:r>
        <w:rPr>
          <w:rFonts w:asciiTheme="minorHAnsi" w:hAnsiTheme="minorHAnsi" w:cstheme="minorHAnsi"/>
          <w:i/>
          <w:iCs/>
        </w:rPr>
        <w:t>r</w:t>
      </w:r>
      <w:r w:rsidRPr="00A220FC">
        <w:rPr>
          <w:rFonts w:asciiTheme="minorHAnsi" w:hAnsiTheme="minorHAnsi" w:cstheme="minorHAnsi"/>
          <w:i/>
          <w:iCs/>
        </w:rPr>
        <w:t>eport (ADAR)</w:t>
      </w:r>
      <w:r>
        <w:rPr>
          <w:rFonts w:asciiTheme="minorHAnsi" w:hAnsiTheme="minorHAnsi" w:cstheme="minorHAnsi"/>
          <w:i/>
          <w:iCs/>
        </w:rPr>
        <w:t xml:space="preserve"> will be prepared</w:t>
      </w:r>
      <w:r w:rsidRPr="00A220FC">
        <w:rPr>
          <w:rFonts w:asciiTheme="minorHAnsi" w:hAnsiTheme="minorHAnsi" w:cstheme="minorHAnsi"/>
          <w:i/>
          <w:iCs/>
        </w:rPr>
        <w:t>.</w:t>
      </w:r>
    </w:p>
    <w:p w14:paraId="6842C596" w14:textId="77777777" w:rsidR="004B58D7" w:rsidRDefault="004B58D7" w:rsidP="004B58D7">
      <w:pPr>
        <w:pStyle w:val="Heading2"/>
      </w:pPr>
      <w:r>
        <w:t>Applicant Comments on Ratified PICO</w:t>
      </w:r>
    </w:p>
    <w:p w14:paraId="07D482CB" w14:textId="77777777" w:rsidR="004B58D7" w:rsidRPr="004A4D2F" w:rsidRDefault="004B58D7" w:rsidP="004B58D7">
      <w:pPr>
        <w:spacing w:after="160" w:line="259" w:lineRule="auto"/>
        <w:rPr>
          <w:rFonts w:asciiTheme="minorHAnsi" w:hAnsiTheme="minorHAnsi" w:cstheme="minorHAnsi"/>
        </w:rPr>
      </w:pPr>
      <w:r>
        <w:rPr>
          <w:rFonts w:asciiTheme="minorHAnsi" w:hAnsiTheme="minorHAnsi" w:cstheme="minorHAnsi"/>
        </w:rPr>
        <w:t>R</w:t>
      </w:r>
      <w:r w:rsidRPr="00433313">
        <w:rPr>
          <w:rFonts w:asciiTheme="minorHAnsi" w:hAnsiTheme="minorHAnsi" w:cstheme="minorHAnsi"/>
        </w:rPr>
        <w:t>egarding the level of detail for the proposed item descriptor</w:t>
      </w:r>
      <w:r>
        <w:rPr>
          <w:rFonts w:asciiTheme="minorHAnsi" w:hAnsiTheme="minorHAnsi" w:cstheme="minorHAnsi"/>
        </w:rPr>
        <w:t>, the applicant considers</w:t>
      </w:r>
      <w:r w:rsidRPr="00433313">
        <w:rPr>
          <w:rFonts w:asciiTheme="minorHAnsi" w:hAnsiTheme="minorHAnsi" w:cstheme="minorHAnsi"/>
        </w:rPr>
        <w:t xml:space="preserve"> that the AMEI descriptors </w:t>
      </w:r>
      <w:r>
        <w:rPr>
          <w:rFonts w:asciiTheme="minorHAnsi" w:hAnsiTheme="minorHAnsi" w:cstheme="minorHAnsi"/>
        </w:rPr>
        <w:t>are</w:t>
      </w:r>
      <w:r w:rsidRPr="00433313">
        <w:rPr>
          <w:rFonts w:asciiTheme="minorHAnsi" w:hAnsiTheme="minorHAnsi" w:cstheme="minorHAnsi"/>
        </w:rPr>
        <w:t xml:space="preserve"> overly detailed and misaligned with those used for other hearing implants (CI/BCI). The </w:t>
      </w:r>
      <w:r>
        <w:rPr>
          <w:rFonts w:asciiTheme="minorHAnsi" w:hAnsiTheme="minorHAnsi" w:cstheme="minorHAnsi"/>
        </w:rPr>
        <w:t>applicant maintains</w:t>
      </w:r>
      <w:r w:rsidRPr="00433313">
        <w:rPr>
          <w:rFonts w:asciiTheme="minorHAnsi" w:hAnsiTheme="minorHAnsi" w:cstheme="minorHAnsi"/>
        </w:rPr>
        <w:t xml:space="preserve"> that a simpler descriptor is </w:t>
      </w:r>
      <w:r>
        <w:rPr>
          <w:rFonts w:asciiTheme="minorHAnsi" w:hAnsiTheme="minorHAnsi" w:cstheme="minorHAnsi"/>
        </w:rPr>
        <w:t>appropriate</w:t>
      </w:r>
      <w:r w:rsidRPr="00433313">
        <w:rPr>
          <w:rFonts w:asciiTheme="minorHAnsi" w:hAnsiTheme="minorHAnsi" w:cstheme="minorHAnsi"/>
        </w:rPr>
        <w:t xml:space="preserve">, given the </w:t>
      </w:r>
      <w:r>
        <w:rPr>
          <w:rFonts w:asciiTheme="minorHAnsi" w:hAnsiTheme="minorHAnsi" w:cstheme="minorHAnsi"/>
        </w:rPr>
        <w:t>highly heterogenous</w:t>
      </w:r>
      <w:r w:rsidRPr="00433313">
        <w:rPr>
          <w:rFonts w:asciiTheme="minorHAnsi" w:hAnsiTheme="minorHAnsi" w:cstheme="minorHAnsi"/>
        </w:rPr>
        <w:t xml:space="preserve"> audiological, anatomical, and aetiological </w:t>
      </w:r>
      <w:r>
        <w:rPr>
          <w:rFonts w:asciiTheme="minorHAnsi" w:hAnsiTheme="minorHAnsi" w:cstheme="minorHAnsi"/>
        </w:rPr>
        <w:t>conditions</w:t>
      </w:r>
      <w:r w:rsidRPr="00433313">
        <w:rPr>
          <w:rFonts w:asciiTheme="minorHAnsi" w:hAnsiTheme="minorHAnsi" w:cstheme="minorHAnsi"/>
        </w:rPr>
        <w:t xml:space="preserve"> of the target population. Suitability for AMEI should </w:t>
      </w:r>
      <w:r>
        <w:rPr>
          <w:rFonts w:asciiTheme="minorHAnsi" w:hAnsiTheme="minorHAnsi" w:cstheme="minorHAnsi"/>
        </w:rPr>
        <w:t xml:space="preserve">thus </w:t>
      </w:r>
      <w:r w:rsidRPr="00433313">
        <w:rPr>
          <w:rFonts w:asciiTheme="minorHAnsi" w:hAnsiTheme="minorHAnsi" w:cstheme="minorHAnsi"/>
        </w:rPr>
        <w:t xml:space="preserve">remain at the discretion of an interdisciplinary team, supporting </w:t>
      </w:r>
      <w:r>
        <w:rPr>
          <w:rFonts w:asciiTheme="minorHAnsi" w:hAnsiTheme="minorHAnsi" w:cstheme="minorHAnsi"/>
        </w:rPr>
        <w:t>the need for a simpler descriptor</w:t>
      </w:r>
      <w:r w:rsidRPr="00433313">
        <w:rPr>
          <w:rFonts w:asciiTheme="minorHAnsi" w:hAnsiTheme="minorHAnsi" w:cstheme="minorHAnsi"/>
        </w:rPr>
        <w:t>.</w:t>
      </w:r>
    </w:p>
    <w:p w14:paraId="3C596CA3" w14:textId="77777777" w:rsidR="007708B2" w:rsidRPr="004B58D7" w:rsidRDefault="007708B2" w:rsidP="002546A5"/>
    <w:p w14:paraId="249E102E" w14:textId="77777777" w:rsidR="00070CE1" w:rsidRDefault="00070CE1">
      <w:pPr>
        <w:spacing w:after="160" w:line="259" w:lineRule="auto"/>
        <w:rPr>
          <w:rFonts w:ascii="Franklin Gothic Medium" w:eastAsiaTheme="majorEastAsia" w:hAnsi="Franklin Gothic Medium" w:cstheme="majorBidi"/>
          <w:color w:val="000000" w:themeColor="text1"/>
          <w:sz w:val="32"/>
          <w:szCs w:val="26"/>
        </w:rPr>
      </w:pPr>
      <w:r>
        <w:br w:type="page"/>
      </w:r>
    </w:p>
    <w:p w14:paraId="73A2A9C9" w14:textId="41ACFE21" w:rsidR="006478E7" w:rsidRDefault="00A33126" w:rsidP="00713728">
      <w:pPr>
        <w:pStyle w:val="Heading2"/>
      </w:pPr>
      <w:r w:rsidRPr="00A33126">
        <w:lastRenderedPageBreak/>
        <w:t>References</w:t>
      </w:r>
    </w:p>
    <w:p w14:paraId="30DBC4FA" w14:textId="5E42C28E" w:rsidR="00284FA2" w:rsidRDefault="00284FA2" w:rsidP="00901AB6">
      <w:pPr>
        <w:pStyle w:val="Instructionaltext"/>
        <w:rPr>
          <w:color w:val="auto"/>
        </w:rPr>
      </w:pPr>
      <w:r w:rsidRPr="00284FA2">
        <w:rPr>
          <w:color w:val="auto"/>
        </w:rPr>
        <w:t xml:space="preserve">Agterberg MJH, Straatman L, Bruchhage KL, Jürgens T, Hollfelder D, </w:t>
      </w:r>
      <w:r w:rsidR="00D20522">
        <w:rPr>
          <w:color w:val="auto"/>
        </w:rPr>
        <w:t xml:space="preserve">and </w:t>
      </w:r>
      <w:r w:rsidRPr="00284FA2">
        <w:rPr>
          <w:color w:val="auto"/>
        </w:rPr>
        <w:t>Leichtle A</w:t>
      </w:r>
      <w:r w:rsidR="0039109B">
        <w:rPr>
          <w:color w:val="auto"/>
        </w:rPr>
        <w:t xml:space="preserve"> (2024)</w:t>
      </w:r>
      <w:r w:rsidRPr="00284FA2">
        <w:rPr>
          <w:color w:val="auto"/>
        </w:rPr>
        <w:t xml:space="preserve"> </w:t>
      </w:r>
      <w:r w:rsidR="0039109B">
        <w:rPr>
          <w:color w:val="auto"/>
        </w:rPr>
        <w:t>‘</w:t>
      </w:r>
      <w:r w:rsidRPr="00284FA2">
        <w:rPr>
          <w:color w:val="auto"/>
        </w:rPr>
        <w:t xml:space="preserve">The </w:t>
      </w:r>
      <w:r w:rsidR="0039109B">
        <w:rPr>
          <w:color w:val="auto"/>
        </w:rPr>
        <w:t>m</w:t>
      </w:r>
      <w:r w:rsidRPr="00284FA2">
        <w:rPr>
          <w:color w:val="auto"/>
        </w:rPr>
        <w:t xml:space="preserve">erits of </w:t>
      </w:r>
      <w:r w:rsidR="0039109B">
        <w:rPr>
          <w:color w:val="auto"/>
        </w:rPr>
        <w:t>b</w:t>
      </w:r>
      <w:r w:rsidRPr="00284FA2">
        <w:rPr>
          <w:color w:val="auto"/>
        </w:rPr>
        <w:t xml:space="preserve">ilateral </w:t>
      </w:r>
      <w:r w:rsidR="0039109B">
        <w:rPr>
          <w:color w:val="auto"/>
        </w:rPr>
        <w:t>a</w:t>
      </w:r>
      <w:r w:rsidRPr="00284FA2">
        <w:rPr>
          <w:color w:val="auto"/>
        </w:rPr>
        <w:t xml:space="preserve">pplication of </w:t>
      </w:r>
      <w:r w:rsidR="0039109B">
        <w:rPr>
          <w:color w:val="auto"/>
        </w:rPr>
        <w:t>m</w:t>
      </w:r>
      <w:r w:rsidRPr="00284FA2">
        <w:rPr>
          <w:color w:val="auto"/>
        </w:rPr>
        <w:t xml:space="preserve">iddle </w:t>
      </w:r>
      <w:r w:rsidR="0039109B">
        <w:rPr>
          <w:color w:val="auto"/>
        </w:rPr>
        <w:t>e</w:t>
      </w:r>
      <w:r w:rsidRPr="00284FA2">
        <w:rPr>
          <w:color w:val="auto"/>
        </w:rPr>
        <w:t xml:space="preserve">ar </w:t>
      </w:r>
      <w:r w:rsidR="0039109B">
        <w:rPr>
          <w:color w:val="auto"/>
        </w:rPr>
        <w:t>i</w:t>
      </w:r>
      <w:r w:rsidRPr="00284FA2">
        <w:rPr>
          <w:color w:val="auto"/>
        </w:rPr>
        <w:t xml:space="preserve">mplants in </w:t>
      </w:r>
      <w:r w:rsidR="0039109B">
        <w:rPr>
          <w:color w:val="auto"/>
        </w:rPr>
        <w:t>p</w:t>
      </w:r>
      <w:r w:rsidRPr="00284FA2">
        <w:rPr>
          <w:color w:val="auto"/>
        </w:rPr>
        <w:t xml:space="preserve">atients </w:t>
      </w:r>
      <w:r w:rsidR="0039109B">
        <w:rPr>
          <w:color w:val="auto"/>
        </w:rPr>
        <w:t>w</w:t>
      </w:r>
      <w:r w:rsidRPr="00284FA2">
        <w:rPr>
          <w:color w:val="auto"/>
        </w:rPr>
        <w:t xml:space="preserve">ith </w:t>
      </w:r>
      <w:r w:rsidR="0039109B">
        <w:rPr>
          <w:color w:val="auto"/>
        </w:rPr>
        <w:t>b</w:t>
      </w:r>
      <w:r w:rsidRPr="00284FA2">
        <w:rPr>
          <w:color w:val="auto"/>
        </w:rPr>
        <w:t xml:space="preserve">ilateral </w:t>
      </w:r>
      <w:r w:rsidR="0039109B">
        <w:rPr>
          <w:color w:val="auto"/>
        </w:rPr>
        <w:t>c</w:t>
      </w:r>
      <w:r w:rsidRPr="00284FA2">
        <w:rPr>
          <w:color w:val="auto"/>
        </w:rPr>
        <w:t xml:space="preserve">onductive and/or </w:t>
      </w:r>
      <w:r w:rsidR="0039109B">
        <w:rPr>
          <w:color w:val="auto"/>
        </w:rPr>
        <w:t>m</w:t>
      </w:r>
      <w:r w:rsidRPr="00284FA2">
        <w:rPr>
          <w:color w:val="auto"/>
        </w:rPr>
        <w:t xml:space="preserve">ixed </w:t>
      </w:r>
      <w:r w:rsidR="0039109B">
        <w:rPr>
          <w:color w:val="auto"/>
        </w:rPr>
        <w:t>h</w:t>
      </w:r>
      <w:r w:rsidRPr="00284FA2">
        <w:rPr>
          <w:color w:val="auto"/>
        </w:rPr>
        <w:t xml:space="preserve">earing </w:t>
      </w:r>
      <w:r w:rsidR="0039109B">
        <w:rPr>
          <w:color w:val="auto"/>
        </w:rPr>
        <w:t>l</w:t>
      </w:r>
      <w:r w:rsidRPr="00284FA2">
        <w:rPr>
          <w:color w:val="auto"/>
        </w:rPr>
        <w:t>oss</w:t>
      </w:r>
      <w:r w:rsidR="0039109B">
        <w:rPr>
          <w:color w:val="auto"/>
        </w:rPr>
        <w:t>’,</w:t>
      </w:r>
      <w:r w:rsidRPr="00284FA2">
        <w:rPr>
          <w:color w:val="auto"/>
        </w:rPr>
        <w:t xml:space="preserve"> </w:t>
      </w:r>
      <w:r w:rsidRPr="00451153">
        <w:rPr>
          <w:i/>
          <w:iCs/>
          <w:color w:val="auto"/>
        </w:rPr>
        <w:t>Trends Hear</w:t>
      </w:r>
      <w:r w:rsidR="00451153">
        <w:rPr>
          <w:color w:val="auto"/>
        </w:rPr>
        <w:t>,</w:t>
      </w:r>
      <w:r w:rsidRPr="00284FA2">
        <w:rPr>
          <w:color w:val="auto"/>
        </w:rPr>
        <w:t xml:space="preserve"> 28:23312165241264466</w:t>
      </w:r>
      <w:r w:rsidR="00451153">
        <w:rPr>
          <w:color w:val="auto"/>
        </w:rPr>
        <w:t>,</w:t>
      </w:r>
      <w:r w:rsidRPr="00284FA2">
        <w:rPr>
          <w:color w:val="auto"/>
        </w:rPr>
        <w:t xml:space="preserve"> doi: 10.1177/23312165241264466.</w:t>
      </w:r>
    </w:p>
    <w:p w14:paraId="24BC5111" w14:textId="77777777" w:rsidR="00BA4A2C" w:rsidRDefault="00BA4A2C" w:rsidP="00BA4A2C">
      <w:pPr>
        <w:pStyle w:val="Instructionaltext"/>
        <w:rPr>
          <w:color w:val="auto"/>
        </w:rPr>
      </w:pPr>
      <w:r w:rsidRPr="0085594F">
        <w:rPr>
          <w:color w:val="auto"/>
        </w:rPr>
        <w:t xml:space="preserve">Barbara M, Covelli E, Filippi C, Volpini L </w:t>
      </w:r>
      <w:r>
        <w:rPr>
          <w:color w:val="auto"/>
        </w:rPr>
        <w:t xml:space="preserve">and </w:t>
      </w:r>
      <w:r w:rsidRPr="0085594F">
        <w:rPr>
          <w:color w:val="auto"/>
        </w:rPr>
        <w:t>Monini S</w:t>
      </w:r>
      <w:r>
        <w:rPr>
          <w:color w:val="auto"/>
        </w:rPr>
        <w:t xml:space="preserve"> (2021)</w:t>
      </w:r>
      <w:r w:rsidRPr="0085594F">
        <w:rPr>
          <w:color w:val="auto"/>
        </w:rPr>
        <w:t xml:space="preserve"> </w:t>
      </w:r>
      <w:r>
        <w:rPr>
          <w:color w:val="auto"/>
        </w:rPr>
        <w:t>‘</w:t>
      </w:r>
      <w:r w:rsidRPr="0085594F">
        <w:rPr>
          <w:color w:val="auto"/>
        </w:rPr>
        <w:t>Revision of active middle ear implants (AMEI): causes, surgical issues and rehabilitative transition at a single implanting center</w:t>
      </w:r>
      <w:r>
        <w:rPr>
          <w:color w:val="auto"/>
        </w:rPr>
        <w:t>’,</w:t>
      </w:r>
      <w:r w:rsidRPr="0085594F">
        <w:rPr>
          <w:color w:val="auto"/>
        </w:rPr>
        <w:t xml:space="preserve"> </w:t>
      </w:r>
      <w:r w:rsidRPr="008A77E1">
        <w:rPr>
          <w:i/>
          <w:iCs/>
          <w:color w:val="auto"/>
        </w:rPr>
        <w:t>Eur Arch Otorhinolaryngol</w:t>
      </w:r>
      <w:r>
        <w:rPr>
          <w:color w:val="auto"/>
        </w:rPr>
        <w:t>,</w:t>
      </w:r>
      <w:r w:rsidRPr="0085594F">
        <w:rPr>
          <w:color w:val="auto"/>
        </w:rPr>
        <w:t xml:space="preserve"> 278(11):4289-4294</w:t>
      </w:r>
      <w:r>
        <w:rPr>
          <w:color w:val="auto"/>
        </w:rPr>
        <w:t>,</w:t>
      </w:r>
      <w:r w:rsidRPr="0085594F">
        <w:rPr>
          <w:color w:val="auto"/>
        </w:rPr>
        <w:t xml:space="preserve"> doi:10.1007/s00405-020-06565-9.</w:t>
      </w:r>
    </w:p>
    <w:p w14:paraId="37F0702C" w14:textId="0FCF90D7" w:rsidR="00BA4A2C" w:rsidRDefault="00BA4A2C" w:rsidP="00901AB6">
      <w:pPr>
        <w:pStyle w:val="Instructionaltext"/>
        <w:rPr>
          <w:color w:val="auto"/>
        </w:rPr>
      </w:pPr>
      <w:r w:rsidRPr="00B91ACC">
        <w:rPr>
          <w:color w:val="auto"/>
        </w:rPr>
        <w:t xml:space="preserve">Brkic FF, Riss D, Scheuba K, Arnoldner C, Gstöttner W, Baumgartner WD </w:t>
      </w:r>
      <w:r>
        <w:rPr>
          <w:color w:val="auto"/>
        </w:rPr>
        <w:t xml:space="preserve">and </w:t>
      </w:r>
      <w:r w:rsidRPr="00B91ACC">
        <w:rPr>
          <w:color w:val="auto"/>
        </w:rPr>
        <w:t>Vyskocil E</w:t>
      </w:r>
      <w:r>
        <w:rPr>
          <w:color w:val="auto"/>
        </w:rPr>
        <w:t xml:space="preserve"> (2019)</w:t>
      </w:r>
      <w:r w:rsidRPr="00B91ACC">
        <w:rPr>
          <w:color w:val="auto"/>
        </w:rPr>
        <w:t xml:space="preserve"> </w:t>
      </w:r>
      <w:r>
        <w:rPr>
          <w:color w:val="auto"/>
        </w:rPr>
        <w:t>‘</w:t>
      </w:r>
      <w:r w:rsidRPr="00B91ACC">
        <w:rPr>
          <w:color w:val="auto"/>
        </w:rPr>
        <w:t xml:space="preserve">Medical, </w:t>
      </w:r>
      <w:r>
        <w:rPr>
          <w:color w:val="auto"/>
        </w:rPr>
        <w:t>t</w:t>
      </w:r>
      <w:r w:rsidRPr="00B91ACC">
        <w:rPr>
          <w:color w:val="auto"/>
        </w:rPr>
        <w:t xml:space="preserve">echnical and </w:t>
      </w:r>
      <w:r>
        <w:rPr>
          <w:color w:val="auto"/>
        </w:rPr>
        <w:t>a</w:t>
      </w:r>
      <w:r w:rsidRPr="00B91ACC">
        <w:rPr>
          <w:color w:val="auto"/>
        </w:rPr>
        <w:t xml:space="preserve">udiological </w:t>
      </w:r>
      <w:r>
        <w:rPr>
          <w:color w:val="auto"/>
        </w:rPr>
        <w:t>o</w:t>
      </w:r>
      <w:r w:rsidRPr="00B91ACC">
        <w:rPr>
          <w:color w:val="auto"/>
        </w:rPr>
        <w:t xml:space="preserve">utcomes of </w:t>
      </w:r>
      <w:r>
        <w:rPr>
          <w:color w:val="auto"/>
        </w:rPr>
        <w:t>h</w:t>
      </w:r>
      <w:r w:rsidRPr="00B91ACC">
        <w:rPr>
          <w:color w:val="auto"/>
        </w:rPr>
        <w:t xml:space="preserve">earing </w:t>
      </w:r>
      <w:r>
        <w:rPr>
          <w:color w:val="auto"/>
        </w:rPr>
        <w:t>r</w:t>
      </w:r>
      <w:r w:rsidRPr="00B91ACC">
        <w:rPr>
          <w:color w:val="auto"/>
        </w:rPr>
        <w:t xml:space="preserve">ehabilitation with the Bonebridge </w:t>
      </w:r>
      <w:r>
        <w:rPr>
          <w:color w:val="auto"/>
        </w:rPr>
        <w:t>t</w:t>
      </w:r>
      <w:r w:rsidRPr="00B91ACC">
        <w:rPr>
          <w:color w:val="auto"/>
        </w:rPr>
        <w:t xml:space="preserve">ranscutaneous </w:t>
      </w:r>
      <w:r>
        <w:rPr>
          <w:color w:val="auto"/>
        </w:rPr>
        <w:t>b</w:t>
      </w:r>
      <w:r w:rsidRPr="00B91ACC">
        <w:rPr>
          <w:color w:val="auto"/>
        </w:rPr>
        <w:t>one-</w:t>
      </w:r>
      <w:r>
        <w:rPr>
          <w:color w:val="auto"/>
        </w:rPr>
        <w:t>c</w:t>
      </w:r>
      <w:r w:rsidRPr="00B91ACC">
        <w:rPr>
          <w:color w:val="auto"/>
        </w:rPr>
        <w:t xml:space="preserve">onduction </w:t>
      </w:r>
      <w:r>
        <w:rPr>
          <w:color w:val="auto"/>
        </w:rPr>
        <w:t>i</w:t>
      </w:r>
      <w:r w:rsidRPr="00B91ACC">
        <w:rPr>
          <w:color w:val="auto"/>
        </w:rPr>
        <w:t xml:space="preserve">mplant: A </w:t>
      </w:r>
      <w:r>
        <w:rPr>
          <w:color w:val="auto"/>
        </w:rPr>
        <w:t>s</w:t>
      </w:r>
      <w:r w:rsidRPr="00B91ACC">
        <w:rPr>
          <w:color w:val="auto"/>
        </w:rPr>
        <w:t>ingle-</w:t>
      </w:r>
      <w:r>
        <w:rPr>
          <w:color w:val="auto"/>
        </w:rPr>
        <w:t>c</w:t>
      </w:r>
      <w:r w:rsidRPr="00B91ACC">
        <w:rPr>
          <w:color w:val="auto"/>
        </w:rPr>
        <w:t xml:space="preserve">enter </w:t>
      </w:r>
      <w:r>
        <w:rPr>
          <w:color w:val="auto"/>
        </w:rPr>
        <w:t>e</w:t>
      </w:r>
      <w:r w:rsidRPr="00B91ACC">
        <w:rPr>
          <w:color w:val="auto"/>
        </w:rPr>
        <w:t>xperience</w:t>
      </w:r>
      <w:r>
        <w:rPr>
          <w:color w:val="auto"/>
        </w:rPr>
        <w:t>’,</w:t>
      </w:r>
      <w:r w:rsidRPr="00B91ACC">
        <w:rPr>
          <w:color w:val="auto"/>
        </w:rPr>
        <w:t xml:space="preserve"> </w:t>
      </w:r>
      <w:r w:rsidRPr="00050E3A">
        <w:rPr>
          <w:i/>
          <w:iCs/>
          <w:color w:val="auto"/>
        </w:rPr>
        <w:t>J Clin Med</w:t>
      </w:r>
      <w:r>
        <w:rPr>
          <w:color w:val="auto"/>
        </w:rPr>
        <w:t>,</w:t>
      </w:r>
      <w:r w:rsidRPr="00B91ACC">
        <w:rPr>
          <w:color w:val="auto"/>
        </w:rPr>
        <w:t xml:space="preserve"> 8(10):1614</w:t>
      </w:r>
      <w:r>
        <w:rPr>
          <w:color w:val="auto"/>
        </w:rPr>
        <w:t xml:space="preserve">, </w:t>
      </w:r>
      <w:r w:rsidRPr="00B91ACC">
        <w:rPr>
          <w:color w:val="auto"/>
        </w:rPr>
        <w:t>doi:10.3390/jcm8101614.</w:t>
      </w:r>
    </w:p>
    <w:p w14:paraId="4E89FF54" w14:textId="50DD16A2" w:rsidR="00243002" w:rsidRDefault="00243002" w:rsidP="00901AB6">
      <w:pPr>
        <w:pStyle w:val="Instructionaltext"/>
        <w:rPr>
          <w:color w:val="auto"/>
        </w:rPr>
      </w:pPr>
      <w:r w:rsidRPr="007C7FDE">
        <w:rPr>
          <w:color w:val="auto"/>
        </w:rPr>
        <w:t xml:space="preserve">Bruschini L, Canzi P, Canale A, Covelli E, Laborai A, Monteforte M, Cinquini M, Barbara M, Beltrame MA, Bovo R, Castigliano B, De Filippis C, Della Volpe A, Dispenza F, Marsella P, Mainardi A, Orzan E, Piccirillo E, Ricci G, Quaranta N, </w:t>
      </w:r>
      <w:r w:rsidR="0039109B">
        <w:rPr>
          <w:color w:val="auto"/>
        </w:rPr>
        <w:t xml:space="preserve">and </w:t>
      </w:r>
      <w:r w:rsidRPr="007C7FDE">
        <w:rPr>
          <w:color w:val="auto"/>
        </w:rPr>
        <w:t>Cuda D</w:t>
      </w:r>
      <w:r w:rsidR="0039109B">
        <w:rPr>
          <w:color w:val="auto"/>
        </w:rPr>
        <w:t xml:space="preserve"> (2024)</w:t>
      </w:r>
      <w:r w:rsidRPr="007C7FDE">
        <w:rPr>
          <w:color w:val="auto"/>
        </w:rPr>
        <w:t xml:space="preserve"> </w:t>
      </w:r>
      <w:r w:rsidR="0039109B">
        <w:rPr>
          <w:color w:val="auto"/>
        </w:rPr>
        <w:t>‘</w:t>
      </w:r>
      <w:r w:rsidRPr="007C7FDE">
        <w:rPr>
          <w:color w:val="auto"/>
        </w:rPr>
        <w:t>Implantable hearing devices in clinical practice. Systematic review and consensus statements</w:t>
      </w:r>
      <w:r w:rsidR="0039109B">
        <w:rPr>
          <w:color w:val="auto"/>
        </w:rPr>
        <w:t>’,</w:t>
      </w:r>
      <w:r w:rsidRPr="007C7FDE">
        <w:rPr>
          <w:color w:val="auto"/>
        </w:rPr>
        <w:t xml:space="preserve"> </w:t>
      </w:r>
      <w:r w:rsidRPr="0039109B">
        <w:rPr>
          <w:i/>
          <w:iCs/>
          <w:color w:val="auto"/>
        </w:rPr>
        <w:t>Acta Otorhinolaryngol Ital</w:t>
      </w:r>
      <w:r w:rsidR="0039109B">
        <w:rPr>
          <w:color w:val="auto"/>
        </w:rPr>
        <w:t>,</w:t>
      </w:r>
      <w:r w:rsidRPr="007C7FDE">
        <w:rPr>
          <w:color w:val="auto"/>
        </w:rPr>
        <w:t xml:space="preserve"> 44(1):52-67</w:t>
      </w:r>
      <w:r w:rsidR="0039109B">
        <w:rPr>
          <w:color w:val="auto"/>
        </w:rPr>
        <w:t>,</w:t>
      </w:r>
      <w:r w:rsidRPr="007C7FDE">
        <w:rPr>
          <w:color w:val="auto"/>
        </w:rPr>
        <w:t xml:space="preserve"> doi: 10.14639/0392-100X-N2651.</w:t>
      </w:r>
    </w:p>
    <w:p w14:paraId="580349A6" w14:textId="40D8AEE0" w:rsidR="00AF38BD" w:rsidRDefault="00AF38BD" w:rsidP="00901AB6">
      <w:pPr>
        <w:pStyle w:val="Instructionaltext"/>
        <w:rPr>
          <w:color w:val="auto"/>
        </w:rPr>
      </w:pPr>
      <w:r w:rsidRPr="007C7FDE">
        <w:rPr>
          <w:color w:val="auto"/>
        </w:rPr>
        <w:t xml:space="preserve">Knölke N, Busch S, Lenarz T, </w:t>
      </w:r>
      <w:r w:rsidR="002D3151">
        <w:rPr>
          <w:color w:val="auto"/>
        </w:rPr>
        <w:t xml:space="preserve">and </w:t>
      </w:r>
      <w:r w:rsidRPr="007C7FDE">
        <w:rPr>
          <w:color w:val="auto"/>
        </w:rPr>
        <w:t>Maier H</w:t>
      </w:r>
      <w:r w:rsidR="002D3151">
        <w:rPr>
          <w:color w:val="auto"/>
        </w:rPr>
        <w:t xml:space="preserve"> (2025)</w:t>
      </w:r>
      <w:r w:rsidRPr="007C7FDE">
        <w:rPr>
          <w:color w:val="auto"/>
        </w:rPr>
        <w:t xml:space="preserve"> </w:t>
      </w:r>
      <w:r w:rsidR="002D3151">
        <w:rPr>
          <w:color w:val="auto"/>
        </w:rPr>
        <w:t>‘</w:t>
      </w:r>
      <w:r w:rsidRPr="007C7FDE">
        <w:rPr>
          <w:color w:val="auto"/>
        </w:rPr>
        <w:t xml:space="preserve">Vibrant Soundbridge </w:t>
      </w:r>
      <w:r w:rsidR="002D3151">
        <w:rPr>
          <w:color w:val="auto"/>
        </w:rPr>
        <w:t>r</w:t>
      </w:r>
      <w:r w:rsidRPr="007C7FDE">
        <w:rPr>
          <w:color w:val="auto"/>
        </w:rPr>
        <w:t xml:space="preserve">ound </w:t>
      </w:r>
      <w:r w:rsidR="002D3151">
        <w:rPr>
          <w:color w:val="auto"/>
        </w:rPr>
        <w:t>w</w:t>
      </w:r>
      <w:r w:rsidRPr="007C7FDE">
        <w:rPr>
          <w:color w:val="auto"/>
        </w:rPr>
        <w:t xml:space="preserve">indow </w:t>
      </w:r>
      <w:r w:rsidR="002D3151">
        <w:rPr>
          <w:color w:val="auto"/>
        </w:rPr>
        <w:t>v</w:t>
      </w:r>
      <w:r w:rsidRPr="007C7FDE">
        <w:rPr>
          <w:color w:val="auto"/>
        </w:rPr>
        <w:t xml:space="preserve">ibroplasty: Safety, </w:t>
      </w:r>
      <w:r w:rsidR="002D3151">
        <w:rPr>
          <w:color w:val="auto"/>
        </w:rPr>
        <w:t>c</w:t>
      </w:r>
      <w:r w:rsidRPr="007C7FDE">
        <w:rPr>
          <w:color w:val="auto"/>
        </w:rPr>
        <w:t xml:space="preserve">oupling </w:t>
      </w:r>
      <w:r w:rsidR="002D3151">
        <w:rPr>
          <w:color w:val="auto"/>
        </w:rPr>
        <w:t>e</w:t>
      </w:r>
      <w:r w:rsidRPr="007C7FDE">
        <w:rPr>
          <w:color w:val="auto"/>
        </w:rPr>
        <w:t xml:space="preserve">fficiency, and </w:t>
      </w:r>
      <w:r w:rsidR="002D3151">
        <w:rPr>
          <w:color w:val="auto"/>
        </w:rPr>
        <w:t>s</w:t>
      </w:r>
      <w:r w:rsidRPr="007C7FDE">
        <w:rPr>
          <w:color w:val="auto"/>
        </w:rPr>
        <w:t xml:space="preserve">peech </w:t>
      </w:r>
      <w:r w:rsidR="002D3151">
        <w:rPr>
          <w:color w:val="auto"/>
        </w:rPr>
        <w:t>o</w:t>
      </w:r>
      <w:r w:rsidRPr="007C7FDE">
        <w:rPr>
          <w:color w:val="auto"/>
        </w:rPr>
        <w:t xml:space="preserve">utcome of the </w:t>
      </w:r>
      <w:r w:rsidR="002D3151">
        <w:rPr>
          <w:color w:val="auto"/>
        </w:rPr>
        <w:t>m</w:t>
      </w:r>
      <w:r w:rsidRPr="007C7FDE">
        <w:rPr>
          <w:color w:val="auto"/>
        </w:rPr>
        <w:t xml:space="preserve">ost </w:t>
      </w:r>
      <w:r w:rsidR="002D3151">
        <w:rPr>
          <w:color w:val="auto"/>
        </w:rPr>
        <w:t>c</w:t>
      </w:r>
      <w:r w:rsidRPr="007C7FDE">
        <w:rPr>
          <w:color w:val="auto"/>
        </w:rPr>
        <w:t xml:space="preserve">ommon </w:t>
      </w:r>
      <w:r w:rsidR="002D3151">
        <w:rPr>
          <w:color w:val="auto"/>
        </w:rPr>
        <w:t>c</w:t>
      </w:r>
      <w:r w:rsidRPr="007C7FDE">
        <w:rPr>
          <w:color w:val="auto"/>
        </w:rPr>
        <w:t xml:space="preserve">oupling </w:t>
      </w:r>
      <w:r w:rsidR="002D3151">
        <w:rPr>
          <w:color w:val="auto"/>
        </w:rPr>
        <w:t>m</w:t>
      </w:r>
      <w:r w:rsidRPr="007C7FDE">
        <w:rPr>
          <w:color w:val="auto"/>
        </w:rPr>
        <w:t>odalities</w:t>
      </w:r>
      <w:r w:rsidR="002D3151">
        <w:rPr>
          <w:color w:val="auto"/>
        </w:rPr>
        <w:t>’,</w:t>
      </w:r>
      <w:r w:rsidRPr="007C7FDE">
        <w:rPr>
          <w:color w:val="auto"/>
        </w:rPr>
        <w:t xml:space="preserve"> </w:t>
      </w:r>
      <w:r w:rsidRPr="002D3151">
        <w:rPr>
          <w:i/>
          <w:iCs/>
          <w:color w:val="auto"/>
        </w:rPr>
        <w:t>Audiol Neurootol</w:t>
      </w:r>
      <w:r w:rsidR="002D3151">
        <w:rPr>
          <w:color w:val="auto"/>
        </w:rPr>
        <w:t>,</w:t>
      </w:r>
      <w:r w:rsidRPr="007C7FDE">
        <w:rPr>
          <w:color w:val="auto"/>
        </w:rPr>
        <w:t xml:space="preserve"> 21:1-12</w:t>
      </w:r>
      <w:r w:rsidR="002D3151">
        <w:rPr>
          <w:color w:val="auto"/>
        </w:rPr>
        <w:t>,</w:t>
      </w:r>
      <w:r w:rsidRPr="007C7FDE">
        <w:rPr>
          <w:color w:val="auto"/>
        </w:rPr>
        <w:t xml:space="preserve"> doi: 10.1159/000545335.</w:t>
      </w:r>
    </w:p>
    <w:p w14:paraId="1BDF42D4" w14:textId="08F8253D" w:rsidR="00087BCF" w:rsidRDefault="00087BCF" w:rsidP="00901AB6">
      <w:pPr>
        <w:pStyle w:val="Instructionaltext"/>
        <w:rPr>
          <w:color w:val="auto"/>
        </w:rPr>
      </w:pPr>
      <w:r w:rsidRPr="00087BCF">
        <w:rPr>
          <w:color w:val="auto"/>
        </w:rPr>
        <w:t xml:space="preserve">Koro E, Wales J, </w:t>
      </w:r>
      <w:r w:rsidR="002D3151">
        <w:rPr>
          <w:color w:val="auto"/>
        </w:rPr>
        <w:t xml:space="preserve">and </w:t>
      </w:r>
      <w:r w:rsidRPr="00087BCF">
        <w:rPr>
          <w:color w:val="auto"/>
        </w:rPr>
        <w:t>Werner M</w:t>
      </w:r>
      <w:r w:rsidR="002D3151">
        <w:rPr>
          <w:color w:val="auto"/>
        </w:rPr>
        <w:t xml:space="preserve"> (2025)</w:t>
      </w:r>
      <w:r w:rsidRPr="00087BCF">
        <w:rPr>
          <w:color w:val="auto"/>
        </w:rPr>
        <w:t xml:space="preserve"> </w:t>
      </w:r>
      <w:r w:rsidR="002D3151">
        <w:rPr>
          <w:color w:val="auto"/>
        </w:rPr>
        <w:t>‘</w:t>
      </w:r>
      <w:r w:rsidRPr="00087BCF">
        <w:rPr>
          <w:color w:val="auto"/>
        </w:rPr>
        <w:t>Bone conduction implants and active middle ear implants for adults</w:t>
      </w:r>
      <w:r w:rsidR="002D3151">
        <w:rPr>
          <w:color w:val="auto"/>
        </w:rPr>
        <w:t>’,</w:t>
      </w:r>
      <w:r w:rsidRPr="00087BCF">
        <w:rPr>
          <w:color w:val="auto"/>
        </w:rPr>
        <w:t xml:space="preserve"> </w:t>
      </w:r>
      <w:r w:rsidRPr="002D3151">
        <w:rPr>
          <w:i/>
          <w:iCs/>
          <w:color w:val="auto"/>
        </w:rPr>
        <w:t>Sci Prog</w:t>
      </w:r>
      <w:r w:rsidR="002D3151">
        <w:rPr>
          <w:color w:val="auto"/>
        </w:rPr>
        <w:t>,</w:t>
      </w:r>
      <w:r w:rsidRPr="00087BCF">
        <w:rPr>
          <w:color w:val="auto"/>
        </w:rPr>
        <w:t xml:space="preserve"> 108(1):368504251328010</w:t>
      </w:r>
      <w:r w:rsidR="002D3151">
        <w:rPr>
          <w:color w:val="auto"/>
        </w:rPr>
        <w:t>,</w:t>
      </w:r>
      <w:r w:rsidRPr="00087BCF">
        <w:rPr>
          <w:color w:val="auto"/>
        </w:rPr>
        <w:t xml:space="preserve"> doi: 10.1177/00368504251328010.</w:t>
      </w:r>
    </w:p>
    <w:p w14:paraId="36A444D2" w14:textId="025ABB13" w:rsidR="00EA7A3B" w:rsidRDefault="000C3A86" w:rsidP="00901AB6">
      <w:pPr>
        <w:pStyle w:val="Instructionaltext"/>
        <w:rPr>
          <w:color w:val="auto"/>
        </w:rPr>
      </w:pPr>
      <w:r w:rsidRPr="000C3A86">
        <w:rPr>
          <w:color w:val="auto"/>
        </w:rPr>
        <w:t>Liu</w:t>
      </w:r>
      <w:r w:rsidR="00F82D8C">
        <w:rPr>
          <w:color w:val="auto"/>
        </w:rPr>
        <w:t xml:space="preserve"> Y</w:t>
      </w:r>
      <w:r w:rsidRPr="000C3A86">
        <w:rPr>
          <w:color w:val="auto"/>
        </w:rPr>
        <w:t>, Yang</w:t>
      </w:r>
      <w:r w:rsidR="00F82D8C">
        <w:rPr>
          <w:color w:val="auto"/>
        </w:rPr>
        <w:t xml:space="preserve"> L</w:t>
      </w:r>
      <w:r w:rsidRPr="000C3A86">
        <w:rPr>
          <w:color w:val="auto"/>
        </w:rPr>
        <w:t>, Wang</w:t>
      </w:r>
      <w:r w:rsidR="00F82D8C">
        <w:rPr>
          <w:color w:val="auto"/>
        </w:rPr>
        <w:t xml:space="preserve"> Y</w:t>
      </w:r>
      <w:r w:rsidRPr="000C3A86">
        <w:rPr>
          <w:color w:val="auto"/>
        </w:rPr>
        <w:t>, Zhu</w:t>
      </w:r>
      <w:r w:rsidR="00F82D8C">
        <w:rPr>
          <w:color w:val="auto"/>
        </w:rPr>
        <w:t xml:space="preserve"> J</w:t>
      </w:r>
      <w:r w:rsidRPr="000C3A86">
        <w:rPr>
          <w:color w:val="auto"/>
        </w:rPr>
        <w:t>, Qiu</w:t>
      </w:r>
      <w:r w:rsidR="00C736E8">
        <w:rPr>
          <w:color w:val="auto"/>
        </w:rPr>
        <w:t xml:space="preserve"> W</w:t>
      </w:r>
      <w:r w:rsidRPr="000C3A86">
        <w:rPr>
          <w:color w:val="auto"/>
        </w:rPr>
        <w:t xml:space="preserve">, </w:t>
      </w:r>
      <w:r w:rsidR="003070C6">
        <w:rPr>
          <w:color w:val="auto"/>
        </w:rPr>
        <w:t xml:space="preserve">Lv M, </w:t>
      </w:r>
      <w:r w:rsidR="001D3880">
        <w:rPr>
          <w:color w:val="auto"/>
        </w:rPr>
        <w:t xml:space="preserve">Wang D, </w:t>
      </w:r>
      <w:r w:rsidR="00C736E8">
        <w:rPr>
          <w:color w:val="auto"/>
        </w:rPr>
        <w:t xml:space="preserve">and </w:t>
      </w:r>
      <w:r w:rsidRPr="000C3A86">
        <w:rPr>
          <w:color w:val="auto"/>
        </w:rPr>
        <w:t>Zhao</w:t>
      </w:r>
      <w:r w:rsidR="00C736E8">
        <w:rPr>
          <w:color w:val="auto"/>
        </w:rPr>
        <w:t xml:space="preserve"> S </w:t>
      </w:r>
      <w:r w:rsidRPr="000C3A86">
        <w:rPr>
          <w:color w:val="auto"/>
        </w:rPr>
        <w:t xml:space="preserve">(2024) </w:t>
      </w:r>
      <w:r w:rsidR="00F82D8C">
        <w:rPr>
          <w:color w:val="auto"/>
        </w:rPr>
        <w:t>‘</w:t>
      </w:r>
      <w:r w:rsidRPr="000C3A86">
        <w:rPr>
          <w:color w:val="auto"/>
        </w:rPr>
        <w:t>Long-term safety and subjective satisfaction of Bonebridge and Vibrant Soundbridge in congenital unilateral conductive hearing loss</w:t>
      </w:r>
      <w:r w:rsidR="001D3880">
        <w:rPr>
          <w:color w:val="auto"/>
        </w:rPr>
        <w:t>’,</w:t>
      </w:r>
      <w:r w:rsidRPr="000C3A86">
        <w:rPr>
          <w:color w:val="auto"/>
        </w:rPr>
        <w:t xml:space="preserve"> </w:t>
      </w:r>
      <w:r w:rsidR="00E020F7" w:rsidRPr="0039109B">
        <w:rPr>
          <w:i/>
          <w:iCs/>
          <w:color w:val="auto"/>
        </w:rPr>
        <w:t>Acta Otorhinolaryngol Ital</w:t>
      </w:r>
      <w:r w:rsidR="001D3880">
        <w:rPr>
          <w:color w:val="auto"/>
        </w:rPr>
        <w:t>,</w:t>
      </w:r>
      <w:r w:rsidRPr="000C3A86">
        <w:rPr>
          <w:color w:val="auto"/>
        </w:rPr>
        <w:t xml:space="preserve"> 44</w:t>
      </w:r>
      <w:r w:rsidR="001D3880">
        <w:rPr>
          <w:color w:val="auto"/>
        </w:rPr>
        <w:t>:</w:t>
      </w:r>
      <w:r w:rsidRPr="000C3A86">
        <w:rPr>
          <w:color w:val="auto"/>
        </w:rPr>
        <w:t>322-332</w:t>
      </w:r>
      <w:r w:rsidR="001D3880">
        <w:rPr>
          <w:color w:val="auto"/>
        </w:rPr>
        <w:t>, doi:</w:t>
      </w:r>
      <w:r w:rsidRPr="000C3A86">
        <w:rPr>
          <w:color w:val="auto"/>
        </w:rPr>
        <w:t xml:space="preserve"> 10.14639/0392-100X-N2659.</w:t>
      </w:r>
    </w:p>
    <w:p w14:paraId="59B83CB2" w14:textId="77777777" w:rsidR="00BD34CC" w:rsidRDefault="00BD34CC" w:rsidP="00BD34CC">
      <w:pPr>
        <w:pStyle w:val="Instructionaltext"/>
        <w:rPr>
          <w:color w:val="auto"/>
        </w:rPr>
      </w:pPr>
      <w:r w:rsidRPr="00AE1EDE">
        <w:rPr>
          <w:color w:val="auto"/>
        </w:rPr>
        <w:t>Ontario Health Quality</w:t>
      </w:r>
      <w:r>
        <w:rPr>
          <w:color w:val="auto"/>
        </w:rPr>
        <w:t xml:space="preserve"> (March 2020)</w:t>
      </w:r>
      <w:r w:rsidRPr="00AE1EDE">
        <w:rPr>
          <w:color w:val="auto"/>
        </w:rPr>
        <w:t xml:space="preserve"> </w:t>
      </w:r>
      <w:r w:rsidRPr="008B2468">
        <w:rPr>
          <w:i/>
          <w:iCs/>
          <w:color w:val="auto"/>
        </w:rPr>
        <w:t>Implantable devices for single-sided deafness and conductive or mixed hearing loss: a health technology assessment</w:t>
      </w:r>
      <w:r w:rsidRPr="00AE1EDE">
        <w:rPr>
          <w:color w:val="auto"/>
        </w:rPr>
        <w:t>. Ont</w:t>
      </w:r>
      <w:r>
        <w:rPr>
          <w:color w:val="auto"/>
        </w:rPr>
        <w:t>ario</w:t>
      </w:r>
      <w:r w:rsidRPr="00AE1EDE">
        <w:rPr>
          <w:color w:val="auto"/>
        </w:rPr>
        <w:t xml:space="preserve"> Health Technol</w:t>
      </w:r>
      <w:r>
        <w:rPr>
          <w:color w:val="auto"/>
        </w:rPr>
        <w:t>ogy</w:t>
      </w:r>
      <w:r w:rsidRPr="00AE1EDE">
        <w:rPr>
          <w:color w:val="auto"/>
        </w:rPr>
        <w:t xml:space="preserve"> Assess</w:t>
      </w:r>
      <w:r>
        <w:rPr>
          <w:color w:val="auto"/>
        </w:rPr>
        <w:t>ment</w:t>
      </w:r>
      <w:r w:rsidRPr="00AE1EDE">
        <w:rPr>
          <w:color w:val="auto"/>
        </w:rPr>
        <w:t xml:space="preserve"> Ser</w:t>
      </w:r>
      <w:r>
        <w:rPr>
          <w:color w:val="auto"/>
        </w:rPr>
        <w:t>ies</w:t>
      </w:r>
      <w:r w:rsidRPr="00AE1EDE">
        <w:rPr>
          <w:color w:val="auto"/>
        </w:rPr>
        <w:t>. 20(1):1–165</w:t>
      </w:r>
      <w:r>
        <w:rPr>
          <w:color w:val="auto"/>
        </w:rPr>
        <w:t xml:space="preserve">, </w:t>
      </w:r>
      <w:r w:rsidRPr="001C60CF">
        <w:rPr>
          <w:color w:val="auto"/>
        </w:rPr>
        <w:t>PMID: 32194878</w:t>
      </w:r>
      <w:r>
        <w:rPr>
          <w:color w:val="auto"/>
        </w:rPr>
        <w:t>,</w:t>
      </w:r>
      <w:r w:rsidRPr="001C60CF">
        <w:rPr>
          <w:color w:val="auto"/>
        </w:rPr>
        <w:t xml:space="preserve"> PMCID: PMC7080453.</w:t>
      </w:r>
    </w:p>
    <w:p w14:paraId="09E3EF99" w14:textId="7A57265A" w:rsidR="00BD34CC" w:rsidRDefault="00BD34CC" w:rsidP="00901AB6">
      <w:pPr>
        <w:pStyle w:val="Instructionaltext"/>
        <w:rPr>
          <w:color w:val="auto"/>
        </w:rPr>
      </w:pPr>
      <w:r w:rsidRPr="007452DB">
        <w:rPr>
          <w:color w:val="auto"/>
        </w:rPr>
        <w:t xml:space="preserve">Souza MA, Vallejos Riart SL, Souza SR, de Brito R </w:t>
      </w:r>
      <w:r>
        <w:rPr>
          <w:color w:val="auto"/>
        </w:rPr>
        <w:t xml:space="preserve">and </w:t>
      </w:r>
      <w:r w:rsidRPr="007452DB">
        <w:rPr>
          <w:color w:val="auto"/>
        </w:rPr>
        <w:t>Bento RF</w:t>
      </w:r>
      <w:r>
        <w:rPr>
          <w:color w:val="auto"/>
        </w:rPr>
        <w:t xml:space="preserve"> (2022)</w:t>
      </w:r>
      <w:r w:rsidRPr="007452DB">
        <w:rPr>
          <w:color w:val="auto"/>
        </w:rPr>
        <w:t xml:space="preserve"> </w:t>
      </w:r>
      <w:r>
        <w:rPr>
          <w:color w:val="auto"/>
        </w:rPr>
        <w:t>‘</w:t>
      </w:r>
      <w:r w:rsidRPr="007452DB">
        <w:rPr>
          <w:color w:val="auto"/>
        </w:rPr>
        <w:t xml:space="preserve">Complications of </w:t>
      </w:r>
      <w:r>
        <w:rPr>
          <w:color w:val="auto"/>
        </w:rPr>
        <w:t>t</w:t>
      </w:r>
      <w:r w:rsidRPr="007452DB">
        <w:rPr>
          <w:color w:val="auto"/>
        </w:rPr>
        <w:t xml:space="preserve">ranscutaneous </w:t>
      </w:r>
      <w:r>
        <w:rPr>
          <w:color w:val="auto"/>
        </w:rPr>
        <w:t>p</w:t>
      </w:r>
      <w:r w:rsidRPr="007452DB">
        <w:rPr>
          <w:color w:val="auto"/>
        </w:rPr>
        <w:t xml:space="preserve">rotheses - A </w:t>
      </w:r>
      <w:r>
        <w:rPr>
          <w:color w:val="auto"/>
        </w:rPr>
        <w:t>s</w:t>
      </w:r>
      <w:r w:rsidRPr="007452DB">
        <w:rPr>
          <w:color w:val="auto"/>
        </w:rPr>
        <w:t xml:space="preserve">ystematic </w:t>
      </w:r>
      <w:r>
        <w:rPr>
          <w:color w:val="auto"/>
        </w:rPr>
        <w:t>r</w:t>
      </w:r>
      <w:r w:rsidRPr="007452DB">
        <w:rPr>
          <w:color w:val="auto"/>
        </w:rPr>
        <w:t xml:space="preserve">eview of </w:t>
      </w:r>
      <w:r>
        <w:rPr>
          <w:color w:val="auto"/>
        </w:rPr>
        <w:t>p</w:t>
      </w:r>
      <w:r w:rsidRPr="007452DB">
        <w:rPr>
          <w:color w:val="auto"/>
        </w:rPr>
        <w:t xml:space="preserve">ublications </w:t>
      </w:r>
      <w:r>
        <w:rPr>
          <w:color w:val="auto"/>
        </w:rPr>
        <w:t>o</w:t>
      </w:r>
      <w:r w:rsidRPr="007452DB">
        <w:rPr>
          <w:color w:val="auto"/>
        </w:rPr>
        <w:t xml:space="preserve">ver the </w:t>
      </w:r>
      <w:r>
        <w:rPr>
          <w:color w:val="auto"/>
        </w:rPr>
        <w:t>p</w:t>
      </w:r>
      <w:r w:rsidRPr="007452DB">
        <w:rPr>
          <w:color w:val="auto"/>
        </w:rPr>
        <w:t xml:space="preserve">ast 10 </w:t>
      </w:r>
      <w:r>
        <w:rPr>
          <w:color w:val="auto"/>
        </w:rPr>
        <w:t>y</w:t>
      </w:r>
      <w:r w:rsidRPr="007452DB">
        <w:rPr>
          <w:color w:val="auto"/>
        </w:rPr>
        <w:t>ears</w:t>
      </w:r>
      <w:r>
        <w:rPr>
          <w:color w:val="auto"/>
        </w:rPr>
        <w:t>’,</w:t>
      </w:r>
      <w:r w:rsidRPr="007452DB">
        <w:rPr>
          <w:color w:val="auto"/>
        </w:rPr>
        <w:t xml:space="preserve"> </w:t>
      </w:r>
      <w:r w:rsidRPr="007452DB">
        <w:rPr>
          <w:i/>
          <w:iCs/>
          <w:color w:val="auto"/>
        </w:rPr>
        <w:t>Int Arch Otorhinolaryngol</w:t>
      </w:r>
      <w:r>
        <w:rPr>
          <w:color w:val="auto"/>
        </w:rPr>
        <w:t>,</w:t>
      </w:r>
      <w:r w:rsidRPr="007452DB">
        <w:rPr>
          <w:color w:val="auto"/>
        </w:rPr>
        <w:t xml:space="preserve"> 26(3):e505-e512</w:t>
      </w:r>
      <w:r>
        <w:rPr>
          <w:color w:val="auto"/>
        </w:rPr>
        <w:t>,</w:t>
      </w:r>
      <w:r w:rsidRPr="007452DB">
        <w:rPr>
          <w:color w:val="auto"/>
        </w:rPr>
        <w:t xml:space="preserve"> doi:10.1055/s-0042-1742352.</w:t>
      </w:r>
    </w:p>
    <w:p w14:paraId="706D4A0C" w14:textId="36E736CD" w:rsidR="00FC16C0" w:rsidRDefault="00FC16C0" w:rsidP="00901AB6">
      <w:pPr>
        <w:pStyle w:val="Instructionaltext"/>
        <w:rPr>
          <w:color w:val="auto"/>
        </w:rPr>
      </w:pPr>
      <w:r w:rsidRPr="00FC16C0">
        <w:rPr>
          <w:color w:val="auto"/>
        </w:rPr>
        <w:t xml:space="preserve">Távora-Vieira D, Marino R, Kuthubutheen J, Broadbent C, </w:t>
      </w:r>
      <w:r>
        <w:rPr>
          <w:color w:val="auto"/>
        </w:rPr>
        <w:t>and</w:t>
      </w:r>
      <w:r w:rsidRPr="00FC16C0">
        <w:rPr>
          <w:color w:val="auto"/>
        </w:rPr>
        <w:t xml:space="preserve"> Acharya A (2023)</w:t>
      </w:r>
      <w:r>
        <w:rPr>
          <w:color w:val="auto"/>
        </w:rPr>
        <w:t xml:space="preserve"> ‘</w:t>
      </w:r>
      <w:r w:rsidRPr="00FC16C0">
        <w:rPr>
          <w:color w:val="auto"/>
        </w:rPr>
        <w:t>Decision making in bone conduction and active middle ear implants – hearing outcomes and experiences over a 10-year period</w:t>
      </w:r>
      <w:r>
        <w:rPr>
          <w:color w:val="auto"/>
        </w:rPr>
        <w:t>’,</w:t>
      </w:r>
      <w:r w:rsidRPr="00FC16C0">
        <w:rPr>
          <w:color w:val="auto"/>
        </w:rPr>
        <w:t xml:space="preserve"> </w:t>
      </w:r>
      <w:r w:rsidRPr="0001762D">
        <w:rPr>
          <w:i/>
          <w:iCs/>
          <w:color w:val="auto"/>
        </w:rPr>
        <w:t>Cochlear Implants International</w:t>
      </w:r>
      <w:r w:rsidRPr="00FC16C0">
        <w:rPr>
          <w:color w:val="auto"/>
        </w:rPr>
        <w:t>, 25(1)</w:t>
      </w:r>
      <w:r w:rsidR="0001762D">
        <w:rPr>
          <w:color w:val="auto"/>
        </w:rPr>
        <w:t>:</w:t>
      </w:r>
      <w:r w:rsidRPr="00FC16C0">
        <w:rPr>
          <w:color w:val="auto"/>
        </w:rPr>
        <w:t>16–22</w:t>
      </w:r>
      <w:r w:rsidR="0001762D">
        <w:rPr>
          <w:color w:val="auto"/>
        </w:rPr>
        <w:t>,</w:t>
      </w:r>
      <w:r w:rsidRPr="00FC16C0">
        <w:rPr>
          <w:color w:val="auto"/>
        </w:rPr>
        <w:t xml:space="preserve"> doi</w:t>
      </w:r>
      <w:r w:rsidR="0001762D">
        <w:rPr>
          <w:color w:val="auto"/>
        </w:rPr>
        <w:t xml:space="preserve">: </w:t>
      </w:r>
      <w:r w:rsidRPr="00FC16C0">
        <w:rPr>
          <w:color w:val="auto"/>
        </w:rPr>
        <w:t>10.1080/14670100.2023.2267900</w:t>
      </w:r>
      <w:r w:rsidR="0001762D">
        <w:rPr>
          <w:color w:val="auto"/>
        </w:rPr>
        <w:t>.</w:t>
      </w:r>
    </w:p>
    <w:p w14:paraId="5144488C" w14:textId="51C50C60" w:rsidR="007B189E" w:rsidRPr="007C7FDE" w:rsidRDefault="007B189E" w:rsidP="007B189E">
      <w:pPr>
        <w:pStyle w:val="Instructionaltext"/>
        <w:rPr>
          <w:color w:val="auto"/>
        </w:rPr>
      </w:pPr>
      <w:r w:rsidRPr="007B189E">
        <w:rPr>
          <w:color w:val="auto"/>
        </w:rPr>
        <w:t>Vickers</w:t>
      </w:r>
      <w:r>
        <w:rPr>
          <w:color w:val="auto"/>
        </w:rPr>
        <w:t xml:space="preserve"> </w:t>
      </w:r>
      <w:r w:rsidRPr="007B189E">
        <w:rPr>
          <w:color w:val="auto"/>
        </w:rPr>
        <w:t>D</w:t>
      </w:r>
      <w:r>
        <w:rPr>
          <w:color w:val="auto"/>
        </w:rPr>
        <w:t>,</w:t>
      </w:r>
      <w:r w:rsidRPr="007B189E">
        <w:rPr>
          <w:color w:val="auto"/>
        </w:rPr>
        <w:t xml:space="preserve"> Briggs J</w:t>
      </w:r>
      <w:r>
        <w:rPr>
          <w:color w:val="auto"/>
        </w:rPr>
        <w:t xml:space="preserve">, </w:t>
      </w:r>
      <w:r w:rsidRPr="007B189E">
        <w:rPr>
          <w:color w:val="auto"/>
        </w:rPr>
        <w:t>Lamping</w:t>
      </w:r>
      <w:r>
        <w:rPr>
          <w:color w:val="auto"/>
        </w:rPr>
        <w:t xml:space="preserve"> </w:t>
      </w:r>
      <w:r w:rsidRPr="007B189E">
        <w:rPr>
          <w:color w:val="auto"/>
        </w:rPr>
        <w:t>W</w:t>
      </w:r>
      <w:r>
        <w:rPr>
          <w:color w:val="auto"/>
        </w:rPr>
        <w:t xml:space="preserve">, </w:t>
      </w:r>
      <w:r w:rsidRPr="007B189E">
        <w:rPr>
          <w:color w:val="auto"/>
        </w:rPr>
        <w:t>Andrew R</w:t>
      </w:r>
      <w:r>
        <w:rPr>
          <w:color w:val="auto"/>
        </w:rPr>
        <w:t xml:space="preserve">, </w:t>
      </w:r>
      <w:r w:rsidRPr="007B189E">
        <w:rPr>
          <w:color w:val="auto"/>
        </w:rPr>
        <w:t>Bingham</w:t>
      </w:r>
      <w:r>
        <w:rPr>
          <w:color w:val="auto"/>
        </w:rPr>
        <w:t xml:space="preserve"> M, </w:t>
      </w:r>
      <w:r w:rsidRPr="007B189E">
        <w:rPr>
          <w:color w:val="auto"/>
        </w:rPr>
        <w:t>Toner J</w:t>
      </w:r>
      <w:r>
        <w:rPr>
          <w:color w:val="auto"/>
        </w:rPr>
        <w:t>,</w:t>
      </w:r>
      <w:r w:rsidRPr="007B189E">
        <w:rPr>
          <w:color w:val="auto"/>
        </w:rPr>
        <w:t xml:space="preserve"> Cooper S</w:t>
      </w:r>
      <w:r>
        <w:rPr>
          <w:color w:val="auto"/>
        </w:rPr>
        <w:t>,</w:t>
      </w:r>
      <w:r w:rsidRPr="007B189E">
        <w:rPr>
          <w:color w:val="auto"/>
        </w:rPr>
        <w:t xml:space="preserve"> Spielman P</w:t>
      </w:r>
      <w:r>
        <w:rPr>
          <w:color w:val="auto"/>
        </w:rPr>
        <w:t xml:space="preserve">, </w:t>
      </w:r>
      <w:r w:rsidRPr="007B189E">
        <w:rPr>
          <w:color w:val="auto"/>
        </w:rPr>
        <w:t>Ghulam H</w:t>
      </w:r>
      <w:r w:rsidR="007B442D">
        <w:rPr>
          <w:color w:val="auto"/>
        </w:rPr>
        <w:t xml:space="preserve">, </w:t>
      </w:r>
      <w:r w:rsidRPr="007B189E">
        <w:rPr>
          <w:color w:val="auto"/>
        </w:rPr>
        <w:t>Nunn T</w:t>
      </w:r>
      <w:r w:rsidR="007B442D">
        <w:rPr>
          <w:color w:val="auto"/>
        </w:rPr>
        <w:t>, Asher A, Eit</w:t>
      </w:r>
      <w:r w:rsidR="00137A59">
        <w:rPr>
          <w:color w:val="auto"/>
        </w:rPr>
        <w:t>utis S, Chung M, Skibinska A, Gardner R, Routh F, Wilson T, Kennedy L, Saeed S</w:t>
      </w:r>
      <w:r w:rsidR="005B6357">
        <w:rPr>
          <w:color w:val="auto"/>
        </w:rPr>
        <w:t>, and VERS Clinical Support Team (</w:t>
      </w:r>
      <w:r w:rsidR="0084462D">
        <w:rPr>
          <w:color w:val="auto"/>
        </w:rPr>
        <w:t>2023)</w:t>
      </w:r>
      <w:r w:rsidRPr="007B189E">
        <w:rPr>
          <w:color w:val="auto"/>
        </w:rPr>
        <w:t xml:space="preserve"> </w:t>
      </w:r>
      <w:r w:rsidR="0084462D">
        <w:rPr>
          <w:color w:val="auto"/>
        </w:rPr>
        <w:t>‘</w:t>
      </w:r>
      <w:r w:rsidRPr="007B189E">
        <w:rPr>
          <w:color w:val="auto"/>
        </w:rPr>
        <w:t>Medical</w:t>
      </w:r>
      <w:r w:rsidR="0084462D">
        <w:rPr>
          <w:color w:val="auto"/>
        </w:rPr>
        <w:t xml:space="preserve"> </w:t>
      </w:r>
      <w:r w:rsidR="00D37415">
        <w:rPr>
          <w:color w:val="auto"/>
        </w:rPr>
        <w:t>s</w:t>
      </w:r>
      <w:r w:rsidRPr="007B189E">
        <w:rPr>
          <w:color w:val="auto"/>
        </w:rPr>
        <w:t xml:space="preserve">afety and </w:t>
      </w:r>
      <w:r w:rsidR="00D37415">
        <w:rPr>
          <w:color w:val="auto"/>
        </w:rPr>
        <w:t>d</w:t>
      </w:r>
      <w:r w:rsidRPr="007B189E">
        <w:rPr>
          <w:color w:val="auto"/>
        </w:rPr>
        <w:t xml:space="preserve">evice </w:t>
      </w:r>
      <w:r w:rsidR="00D37415">
        <w:rPr>
          <w:color w:val="auto"/>
        </w:rPr>
        <w:t>r</w:t>
      </w:r>
      <w:r w:rsidRPr="007B189E">
        <w:rPr>
          <w:color w:val="auto"/>
        </w:rPr>
        <w:t>eliability of</w:t>
      </w:r>
      <w:r w:rsidR="0084462D">
        <w:rPr>
          <w:color w:val="auto"/>
        </w:rPr>
        <w:t xml:space="preserve"> </w:t>
      </w:r>
      <w:r w:rsidR="00D37415">
        <w:rPr>
          <w:color w:val="auto"/>
        </w:rPr>
        <w:t>a</w:t>
      </w:r>
      <w:r w:rsidRPr="007B189E">
        <w:rPr>
          <w:color w:val="auto"/>
        </w:rPr>
        <w:t xml:space="preserve">ctive </w:t>
      </w:r>
      <w:r w:rsidR="00D37415">
        <w:rPr>
          <w:color w:val="auto"/>
        </w:rPr>
        <w:t>t</w:t>
      </w:r>
      <w:r w:rsidRPr="007B189E">
        <w:rPr>
          <w:color w:val="auto"/>
        </w:rPr>
        <w:t xml:space="preserve">ranscutaneous </w:t>
      </w:r>
      <w:r w:rsidR="00D37415">
        <w:rPr>
          <w:color w:val="auto"/>
        </w:rPr>
        <w:t>m</w:t>
      </w:r>
      <w:r w:rsidRPr="007B189E">
        <w:rPr>
          <w:color w:val="auto"/>
        </w:rPr>
        <w:t xml:space="preserve">iddle </w:t>
      </w:r>
      <w:r w:rsidR="00D37415">
        <w:rPr>
          <w:color w:val="auto"/>
        </w:rPr>
        <w:t>e</w:t>
      </w:r>
      <w:r w:rsidRPr="007B189E">
        <w:rPr>
          <w:color w:val="auto"/>
        </w:rPr>
        <w:t>ar</w:t>
      </w:r>
      <w:r w:rsidR="0084462D">
        <w:rPr>
          <w:color w:val="auto"/>
        </w:rPr>
        <w:t xml:space="preserve"> </w:t>
      </w:r>
      <w:r w:rsidRPr="007B189E">
        <w:rPr>
          <w:color w:val="auto"/>
        </w:rPr>
        <w:t xml:space="preserve">and </w:t>
      </w:r>
      <w:r w:rsidR="00D37415">
        <w:rPr>
          <w:color w:val="auto"/>
        </w:rPr>
        <w:t>b</w:t>
      </w:r>
      <w:r w:rsidRPr="007B189E">
        <w:rPr>
          <w:color w:val="auto"/>
        </w:rPr>
        <w:t xml:space="preserve">one </w:t>
      </w:r>
      <w:r w:rsidR="00D37415">
        <w:rPr>
          <w:color w:val="auto"/>
        </w:rPr>
        <w:t>c</w:t>
      </w:r>
      <w:r w:rsidRPr="007B189E">
        <w:rPr>
          <w:color w:val="auto"/>
        </w:rPr>
        <w:t xml:space="preserve">onducting </w:t>
      </w:r>
      <w:r w:rsidR="00D37415">
        <w:rPr>
          <w:color w:val="auto"/>
        </w:rPr>
        <w:t>i</w:t>
      </w:r>
      <w:r w:rsidRPr="007B189E">
        <w:rPr>
          <w:color w:val="auto"/>
        </w:rPr>
        <w:t>mplants: A</w:t>
      </w:r>
      <w:r w:rsidR="0084462D">
        <w:rPr>
          <w:color w:val="auto"/>
        </w:rPr>
        <w:t xml:space="preserve"> </w:t>
      </w:r>
      <w:r w:rsidR="00D37415">
        <w:rPr>
          <w:color w:val="auto"/>
        </w:rPr>
        <w:t>l</w:t>
      </w:r>
      <w:r w:rsidRPr="007B189E">
        <w:rPr>
          <w:color w:val="auto"/>
        </w:rPr>
        <w:t>ong-</w:t>
      </w:r>
      <w:r w:rsidR="00D37415">
        <w:rPr>
          <w:color w:val="auto"/>
        </w:rPr>
        <w:t>t</w:t>
      </w:r>
      <w:r w:rsidRPr="007B189E">
        <w:rPr>
          <w:color w:val="auto"/>
        </w:rPr>
        <w:t xml:space="preserve">erm </w:t>
      </w:r>
      <w:r w:rsidR="00D37415">
        <w:rPr>
          <w:color w:val="auto"/>
        </w:rPr>
        <w:t>m</w:t>
      </w:r>
      <w:r w:rsidRPr="007B189E">
        <w:rPr>
          <w:color w:val="auto"/>
        </w:rPr>
        <w:t>ulti-</w:t>
      </w:r>
      <w:r w:rsidR="00D37415">
        <w:rPr>
          <w:color w:val="auto"/>
        </w:rPr>
        <w:t>c</w:t>
      </w:r>
      <w:r w:rsidRPr="007B189E">
        <w:rPr>
          <w:color w:val="auto"/>
        </w:rPr>
        <w:t>entre</w:t>
      </w:r>
      <w:r w:rsidR="0084462D">
        <w:rPr>
          <w:color w:val="auto"/>
        </w:rPr>
        <w:t xml:space="preserve"> </w:t>
      </w:r>
      <w:r w:rsidR="00D37415">
        <w:rPr>
          <w:color w:val="auto"/>
        </w:rPr>
        <w:t>o</w:t>
      </w:r>
      <w:r w:rsidRPr="007B189E">
        <w:rPr>
          <w:color w:val="auto"/>
        </w:rPr>
        <w:t xml:space="preserve">bservational </w:t>
      </w:r>
      <w:r w:rsidR="00D37415">
        <w:rPr>
          <w:color w:val="auto"/>
        </w:rPr>
        <w:t>s</w:t>
      </w:r>
      <w:r w:rsidRPr="007B189E">
        <w:rPr>
          <w:color w:val="auto"/>
        </w:rPr>
        <w:t>tudy</w:t>
      </w:r>
      <w:r w:rsidR="00D37415">
        <w:rPr>
          <w:color w:val="auto"/>
        </w:rPr>
        <w:t>’,</w:t>
      </w:r>
      <w:r w:rsidRPr="007B189E">
        <w:rPr>
          <w:color w:val="auto"/>
        </w:rPr>
        <w:t xml:space="preserve"> </w:t>
      </w:r>
      <w:r w:rsidRPr="00D37415">
        <w:rPr>
          <w:i/>
          <w:iCs/>
          <w:color w:val="auto"/>
        </w:rPr>
        <w:t>Appl Sci</w:t>
      </w:r>
      <w:r w:rsidR="00D37415">
        <w:rPr>
          <w:color w:val="auto"/>
        </w:rPr>
        <w:t>,</w:t>
      </w:r>
      <w:r w:rsidRPr="007B189E">
        <w:rPr>
          <w:color w:val="auto"/>
        </w:rPr>
        <w:t xml:space="preserve"> 13</w:t>
      </w:r>
      <w:r w:rsidR="00D37415">
        <w:rPr>
          <w:color w:val="auto"/>
        </w:rPr>
        <w:t>:</w:t>
      </w:r>
      <w:r w:rsidRPr="007B189E">
        <w:rPr>
          <w:color w:val="auto"/>
        </w:rPr>
        <w:t>8279</w:t>
      </w:r>
      <w:r w:rsidR="00D37415">
        <w:rPr>
          <w:color w:val="auto"/>
        </w:rPr>
        <w:t>,</w:t>
      </w:r>
      <w:r w:rsidRPr="007B189E">
        <w:rPr>
          <w:color w:val="auto"/>
        </w:rPr>
        <w:t xml:space="preserve"> doi</w:t>
      </w:r>
      <w:r w:rsidR="00D37415">
        <w:rPr>
          <w:color w:val="auto"/>
        </w:rPr>
        <w:t xml:space="preserve">: </w:t>
      </w:r>
      <w:r w:rsidRPr="007B189E">
        <w:rPr>
          <w:color w:val="auto"/>
        </w:rPr>
        <w:t>10.3390/app13148279</w:t>
      </w:r>
      <w:r w:rsidR="0084462D">
        <w:rPr>
          <w:color w:val="auto"/>
        </w:rPr>
        <w:t>.</w:t>
      </w:r>
    </w:p>
    <w:p w14:paraId="66C6DB96" w14:textId="77777777" w:rsidR="001D2E9F" w:rsidRDefault="001D2E9F" w:rsidP="007818D5">
      <w:pPr>
        <w:pStyle w:val="Instructionaltext"/>
        <w:rPr>
          <w:color w:val="auto"/>
        </w:rPr>
      </w:pPr>
    </w:p>
    <w:p w14:paraId="551192B2" w14:textId="77777777" w:rsidR="0064795E" w:rsidRDefault="0064795E" w:rsidP="007818D5">
      <w:pPr>
        <w:pStyle w:val="Instructionaltext"/>
        <w:rPr>
          <w:color w:val="auto"/>
        </w:rPr>
        <w:sectPr w:rsidR="0064795E" w:rsidSect="00A61EFD">
          <w:headerReference w:type="even" r:id="rId25"/>
          <w:headerReference w:type="default" r:id="rId26"/>
          <w:footerReference w:type="even" r:id="rId27"/>
          <w:footerReference w:type="default" r:id="rId28"/>
          <w:headerReference w:type="first" r:id="rId29"/>
          <w:footerReference w:type="first" r:id="rId30"/>
          <w:pgSz w:w="11906" w:h="16838"/>
          <w:pgMar w:top="682" w:right="1134" w:bottom="1021" w:left="1191" w:header="709" w:footer="454" w:gutter="0"/>
          <w:cols w:space="708"/>
          <w:docGrid w:linePitch="360"/>
        </w:sectPr>
      </w:pPr>
    </w:p>
    <w:p w14:paraId="415AC78E" w14:textId="7C1AFC49" w:rsidR="00B12028" w:rsidRDefault="001E2899" w:rsidP="0064795E">
      <w:pPr>
        <w:pStyle w:val="Heading2"/>
      </w:pPr>
      <w:r>
        <w:lastRenderedPageBreak/>
        <w:t xml:space="preserve">Appendix </w:t>
      </w:r>
      <w:r w:rsidR="00426F96">
        <w:t>A</w:t>
      </w:r>
      <w:r>
        <w:tab/>
      </w:r>
      <w:r w:rsidR="00FA0197">
        <w:t>Prior MSAC applications for implantation of a</w:t>
      </w:r>
      <w:r w:rsidR="00E22503">
        <w:t xml:space="preserve"> middle ear implant</w:t>
      </w:r>
    </w:p>
    <w:p w14:paraId="2D064A2C" w14:textId="27ECBBA4" w:rsidR="00E82CA6" w:rsidRPr="000B5DED" w:rsidRDefault="00E82CA6" w:rsidP="00E82CA6">
      <w:pPr>
        <w:pStyle w:val="Caption"/>
        <w:rPr>
          <w:lang w:val="en-AU"/>
        </w:rPr>
      </w:pPr>
      <w:bookmarkStart w:id="28" w:name="_Ref202445171"/>
      <w:r w:rsidRPr="00AD26D1">
        <w:rPr>
          <w:lang w:val="en-AU"/>
        </w:rPr>
        <w:t xml:space="preserve">Table </w:t>
      </w:r>
      <w:r w:rsidRPr="00AD26D1">
        <w:rPr>
          <w:lang w:val="en-AU"/>
        </w:rPr>
        <w:fldChar w:fldCharType="begin"/>
      </w:r>
      <w:r w:rsidRPr="00AD26D1">
        <w:rPr>
          <w:lang w:val="en-AU"/>
        </w:rPr>
        <w:instrText xml:space="preserve"> SEQ Table \* ARABIC </w:instrText>
      </w:r>
      <w:r w:rsidRPr="00AD26D1">
        <w:rPr>
          <w:lang w:val="en-AU"/>
        </w:rPr>
        <w:fldChar w:fldCharType="separate"/>
      </w:r>
      <w:r w:rsidR="00A42764">
        <w:rPr>
          <w:noProof/>
          <w:lang w:val="en-AU"/>
        </w:rPr>
        <w:t>13</w:t>
      </w:r>
      <w:r w:rsidRPr="00AD26D1">
        <w:rPr>
          <w:lang w:val="en-AU"/>
        </w:rPr>
        <w:fldChar w:fldCharType="end"/>
      </w:r>
      <w:bookmarkEnd w:id="28"/>
      <w:r w:rsidRPr="00AD26D1">
        <w:rPr>
          <w:lang w:val="en-AU"/>
        </w:rPr>
        <w:tab/>
      </w:r>
      <w:r>
        <w:rPr>
          <w:lang w:val="en-AU"/>
        </w:rPr>
        <w:t xml:space="preserve">Summary of </w:t>
      </w:r>
      <w:r w:rsidR="00316F85">
        <w:rPr>
          <w:lang w:val="en-AU"/>
        </w:rPr>
        <w:t>PICO elements</w:t>
      </w:r>
      <w:r>
        <w:rPr>
          <w:lang w:val="en-AU"/>
        </w:rPr>
        <w:t xml:space="preserve"> </w:t>
      </w:r>
      <w:r w:rsidR="00316F85">
        <w:rPr>
          <w:lang w:val="en-AU"/>
        </w:rPr>
        <w:t>in</w:t>
      </w:r>
      <w:r>
        <w:rPr>
          <w:lang w:val="en-AU"/>
        </w:rPr>
        <w:t xml:space="preserve"> prior MSAC applications for implantation of active middle ear implants</w:t>
      </w:r>
    </w:p>
    <w:tbl>
      <w:tblPr>
        <w:tblStyle w:val="TableGrid"/>
        <w:tblW w:w="5000" w:type="pct"/>
        <w:tblInd w:w="0" w:type="dxa"/>
        <w:tblLook w:val="04A0" w:firstRow="1" w:lastRow="0" w:firstColumn="1" w:lastColumn="0" w:noHBand="0" w:noVBand="1"/>
        <w:tblCaption w:val="Summary of PICO elements in prior MSAC applications for implantation of active middle ear implants"/>
        <w:tblDescription w:val="The table summarises the population, intervention, comparator and outcomes for MSAC applications 1137, 1365, 1365.1 and 1364."/>
      </w:tblPr>
      <w:tblGrid>
        <w:gridCol w:w="1123"/>
        <w:gridCol w:w="7662"/>
        <w:gridCol w:w="1700"/>
        <w:gridCol w:w="1700"/>
        <w:gridCol w:w="2940"/>
      </w:tblGrid>
      <w:tr w:rsidR="00054D09" w14:paraId="788177B7" w14:textId="77777777" w:rsidTr="007C15EB">
        <w:trPr>
          <w:tblHeader/>
        </w:trPr>
        <w:tc>
          <w:tcPr>
            <w:tcW w:w="371" w:type="pct"/>
          </w:tcPr>
          <w:p w14:paraId="65585386" w14:textId="40257B42" w:rsidR="00E82CA6" w:rsidRDefault="00E82CA6" w:rsidP="00ED1410">
            <w:pPr>
              <w:pStyle w:val="TableHeading"/>
            </w:pPr>
            <w:r>
              <w:t>Application</w:t>
            </w:r>
          </w:p>
        </w:tc>
        <w:tc>
          <w:tcPr>
            <w:tcW w:w="2533" w:type="pct"/>
          </w:tcPr>
          <w:p w14:paraId="088917D8" w14:textId="77777777" w:rsidR="00E82CA6" w:rsidRDefault="00E82CA6" w:rsidP="00ED1410">
            <w:pPr>
              <w:pStyle w:val="TableHeading"/>
            </w:pPr>
            <w:r>
              <w:t>Population(s)</w:t>
            </w:r>
          </w:p>
        </w:tc>
        <w:tc>
          <w:tcPr>
            <w:tcW w:w="562" w:type="pct"/>
          </w:tcPr>
          <w:p w14:paraId="0E647CFC" w14:textId="77777777" w:rsidR="00E82CA6" w:rsidRDefault="00E82CA6" w:rsidP="00ED1410">
            <w:pPr>
              <w:pStyle w:val="TableHeading"/>
            </w:pPr>
            <w:r>
              <w:t>Intervention</w:t>
            </w:r>
          </w:p>
        </w:tc>
        <w:tc>
          <w:tcPr>
            <w:tcW w:w="562" w:type="pct"/>
          </w:tcPr>
          <w:p w14:paraId="401B75E9" w14:textId="77777777" w:rsidR="00E82CA6" w:rsidRDefault="00E82CA6" w:rsidP="00ED1410">
            <w:pPr>
              <w:pStyle w:val="TableHeading"/>
            </w:pPr>
            <w:r>
              <w:t>Comparator(s)</w:t>
            </w:r>
          </w:p>
        </w:tc>
        <w:tc>
          <w:tcPr>
            <w:tcW w:w="972" w:type="pct"/>
          </w:tcPr>
          <w:p w14:paraId="7887457B" w14:textId="6F7E5A78" w:rsidR="00E82CA6" w:rsidRDefault="00316F85" w:rsidP="00ED1410">
            <w:pPr>
              <w:pStyle w:val="TableHeading"/>
            </w:pPr>
            <w:r>
              <w:t>Outcomes</w:t>
            </w:r>
          </w:p>
        </w:tc>
      </w:tr>
      <w:tr w:rsidR="00054D09" w14:paraId="4B8336E5" w14:textId="77777777" w:rsidTr="007C15EB">
        <w:tc>
          <w:tcPr>
            <w:tcW w:w="371" w:type="pct"/>
          </w:tcPr>
          <w:p w14:paraId="19DAA763" w14:textId="27954048" w:rsidR="00E82CA6" w:rsidRPr="00196467" w:rsidRDefault="00E82CA6" w:rsidP="00ED1410">
            <w:pPr>
              <w:pStyle w:val="Tabletext"/>
            </w:pPr>
            <w:hyperlink r:id="rId31" w:tooltip="Hyperlink to application page on MSAC website" w:history="1">
              <w:r w:rsidRPr="00441C6A">
                <w:rPr>
                  <w:rStyle w:val="Hyperlink"/>
                  <w:rFonts w:ascii="Arial Narrow" w:hAnsi="Arial Narrow" w:cs="Tahoma"/>
                </w:rPr>
                <w:t>1137</w:t>
              </w:r>
            </w:hyperlink>
          </w:p>
        </w:tc>
        <w:tc>
          <w:tcPr>
            <w:tcW w:w="2533" w:type="pct"/>
          </w:tcPr>
          <w:p w14:paraId="745436D6" w14:textId="77777777" w:rsidR="00E82CA6" w:rsidRDefault="00E82CA6" w:rsidP="00E82CA6">
            <w:pPr>
              <w:pStyle w:val="Tabletext"/>
              <w:numPr>
                <w:ilvl w:val="0"/>
                <w:numId w:val="33"/>
              </w:numPr>
              <w:ind w:left="321" w:hanging="321"/>
            </w:pPr>
            <w:r>
              <w:t>Patients with mild or moderate SNHL of any aetiology, who have failed all other conservative medical, pharmaceutical and behavioural treatments</w:t>
            </w:r>
          </w:p>
          <w:p w14:paraId="5DC8A095" w14:textId="77777777" w:rsidR="00E82CA6" w:rsidRDefault="00E82CA6" w:rsidP="00E82CA6">
            <w:pPr>
              <w:pStyle w:val="Tabletext"/>
              <w:numPr>
                <w:ilvl w:val="0"/>
                <w:numId w:val="33"/>
              </w:numPr>
              <w:ind w:left="321" w:hanging="321"/>
            </w:pPr>
            <w:r>
              <w:t>Patients suffering from severe SNHL of any aetiology, who have failed all other conservative medical, pharmaceutical and behavioural treatments</w:t>
            </w:r>
          </w:p>
          <w:p w14:paraId="74C5633F" w14:textId="77777777" w:rsidR="00E82CA6" w:rsidRDefault="00E82CA6" w:rsidP="00E82CA6">
            <w:pPr>
              <w:pStyle w:val="Tabletext"/>
              <w:numPr>
                <w:ilvl w:val="0"/>
                <w:numId w:val="33"/>
              </w:numPr>
              <w:ind w:left="321" w:hanging="321"/>
            </w:pPr>
            <w:r>
              <w:t>Patients with mild or moderate MHL of any aetiology, who have failed all other conservative medical, pharmaceutical and behavioural treatments</w:t>
            </w:r>
          </w:p>
          <w:p w14:paraId="537D5009" w14:textId="5E4A4A07" w:rsidR="00E82CA6" w:rsidRDefault="00E82CA6" w:rsidP="00E82CA6">
            <w:pPr>
              <w:pStyle w:val="Tabletext"/>
              <w:numPr>
                <w:ilvl w:val="0"/>
                <w:numId w:val="33"/>
              </w:numPr>
              <w:ind w:left="321" w:hanging="321"/>
            </w:pPr>
            <w:r>
              <w:t xml:space="preserve">Patients suffering from severe </w:t>
            </w:r>
            <w:r w:rsidR="00F22BA0">
              <w:t>MHL</w:t>
            </w:r>
            <w:r>
              <w:t xml:space="preserve"> of any aetiology, who have failed all other conservative medical, pharmaceutical and behavioural treatments</w:t>
            </w:r>
          </w:p>
          <w:p w14:paraId="097455B2" w14:textId="74DD475B" w:rsidR="00E82CA6" w:rsidRPr="000D78F3" w:rsidRDefault="00E82CA6" w:rsidP="00E82CA6">
            <w:pPr>
              <w:pStyle w:val="Tabletext"/>
              <w:numPr>
                <w:ilvl w:val="0"/>
                <w:numId w:val="33"/>
              </w:numPr>
              <w:ind w:left="321" w:hanging="321"/>
            </w:pPr>
            <w:r>
              <w:t xml:space="preserve">Patients suffering from established stabilised </w:t>
            </w:r>
            <w:r w:rsidR="00F22BA0">
              <w:t>CHL</w:t>
            </w:r>
            <w:r>
              <w:t xml:space="preserve"> of any aetiology, who have failed all other conservative medical, pharmaceutical and behavioural treatments</w:t>
            </w:r>
          </w:p>
        </w:tc>
        <w:tc>
          <w:tcPr>
            <w:tcW w:w="562" w:type="pct"/>
          </w:tcPr>
          <w:p w14:paraId="4F083AC5" w14:textId="77777777" w:rsidR="00E82CA6" w:rsidRDefault="00E82CA6" w:rsidP="00ED1410">
            <w:pPr>
              <w:pStyle w:val="Tabletext"/>
            </w:pPr>
            <w:r>
              <w:t>MEI (partially and fully implantable)</w:t>
            </w:r>
          </w:p>
        </w:tc>
        <w:tc>
          <w:tcPr>
            <w:tcW w:w="562" w:type="pct"/>
          </w:tcPr>
          <w:p w14:paraId="09C37EBF" w14:textId="77777777" w:rsidR="00E82CA6" w:rsidRDefault="00E82CA6" w:rsidP="00ED1410">
            <w:pPr>
              <w:pStyle w:val="Tabletext"/>
            </w:pPr>
            <w:r>
              <w:t>Population 1: BAHA</w:t>
            </w:r>
          </w:p>
          <w:p w14:paraId="2BE21D6F" w14:textId="77777777" w:rsidR="00E82CA6" w:rsidRDefault="00E82CA6" w:rsidP="00ED1410">
            <w:pPr>
              <w:pStyle w:val="Tabletext"/>
            </w:pPr>
            <w:r>
              <w:t>Population 2: CI</w:t>
            </w:r>
          </w:p>
          <w:p w14:paraId="1C900012" w14:textId="77777777" w:rsidR="00E82CA6" w:rsidRDefault="00E82CA6" w:rsidP="00ED1410">
            <w:pPr>
              <w:pStyle w:val="Tabletext"/>
            </w:pPr>
            <w:r>
              <w:t>Population 3: BAHA</w:t>
            </w:r>
          </w:p>
          <w:p w14:paraId="5B5F76B9" w14:textId="77777777" w:rsidR="00E82CA6" w:rsidRDefault="00E82CA6" w:rsidP="00ED1410">
            <w:pPr>
              <w:pStyle w:val="Tabletext"/>
            </w:pPr>
            <w:r>
              <w:t>Population 4: CI</w:t>
            </w:r>
          </w:p>
          <w:p w14:paraId="785A7C48" w14:textId="77777777" w:rsidR="00E82CA6" w:rsidRDefault="00E82CA6" w:rsidP="00ED1410">
            <w:pPr>
              <w:pStyle w:val="Tabletext"/>
            </w:pPr>
            <w:r>
              <w:t>Population 5: BAHA</w:t>
            </w:r>
          </w:p>
        </w:tc>
        <w:tc>
          <w:tcPr>
            <w:tcW w:w="972" w:type="pct"/>
          </w:tcPr>
          <w:p w14:paraId="281B1B1F" w14:textId="77777777" w:rsidR="00070236" w:rsidRDefault="00171DE9" w:rsidP="00171DE9">
            <w:pPr>
              <w:pStyle w:val="Tabletext"/>
              <w:keepNext/>
              <w:rPr>
                <w:b/>
                <w:bCs/>
              </w:rPr>
            </w:pPr>
            <w:r w:rsidRPr="00F32664">
              <w:rPr>
                <w:b/>
                <w:bCs/>
              </w:rPr>
              <w:t>Safety:</w:t>
            </w:r>
          </w:p>
          <w:p w14:paraId="39E1D333" w14:textId="30562CD5" w:rsidR="00070236" w:rsidRDefault="00990B4F" w:rsidP="003E39EF">
            <w:pPr>
              <w:pStyle w:val="Tabletext"/>
              <w:numPr>
                <w:ilvl w:val="0"/>
                <w:numId w:val="34"/>
              </w:numPr>
              <w:spacing w:before="0" w:after="0"/>
              <w:ind w:left="323" w:hanging="323"/>
            </w:pPr>
            <w:r>
              <w:t>c</w:t>
            </w:r>
            <w:r w:rsidR="00171DE9">
              <w:t>omplications</w:t>
            </w:r>
            <w:r w:rsidR="00D125A9">
              <w:t xml:space="preserve"> and </w:t>
            </w:r>
            <w:r w:rsidR="00054D09">
              <w:t>AEs</w:t>
            </w:r>
          </w:p>
          <w:p w14:paraId="143764D9" w14:textId="11A31ED0" w:rsidR="00070236" w:rsidRDefault="00990B4F" w:rsidP="003E39EF">
            <w:pPr>
              <w:pStyle w:val="Tabletext"/>
              <w:numPr>
                <w:ilvl w:val="0"/>
                <w:numId w:val="34"/>
              </w:numPr>
              <w:spacing w:before="0" w:after="0"/>
              <w:ind w:left="323" w:hanging="323"/>
            </w:pPr>
            <w:r>
              <w:t>i</w:t>
            </w:r>
            <w:r w:rsidR="00171DE9">
              <w:t>nfection rates</w:t>
            </w:r>
          </w:p>
          <w:p w14:paraId="58542AF0" w14:textId="0F7EF2DB" w:rsidR="00070236" w:rsidRDefault="00990B4F" w:rsidP="003E39EF">
            <w:pPr>
              <w:pStyle w:val="Tabletext"/>
              <w:numPr>
                <w:ilvl w:val="0"/>
                <w:numId w:val="34"/>
              </w:numPr>
              <w:spacing w:before="0" w:after="0"/>
              <w:ind w:left="323" w:hanging="323"/>
            </w:pPr>
            <w:r>
              <w:t>t</w:t>
            </w:r>
            <w:r w:rsidR="00171DE9">
              <w:t>aste disturbance</w:t>
            </w:r>
          </w:p>
          <w:p w14:paraId="0A37E3B7" w14:textId="125B6C3D" w:rsidR="00070236" w:rsidRDefault="00990B4F" w:rsidP="003E39EF">
            <w:pPr>
              <w:pStyle w:val="Tabletext"/>
              <w:numPr>
                <w:ilvl w:val="0"/>
                <w:numId w:val="34"/>
              </w:numPr>
              <w:spacing w:before="0" w:after="0"/>
              <w:ind w:left="323" w:hanging="323"/>
            </w:pPr>
            <w:r>
              <w:t>f</w:t>
            </w:r>
            <w:r w:rsidR="00171DE9">
              <w:t>ibrosis</w:t>
            </w:r>
          </w:p>
          <w:p w14:paraId="683AAEA7" w14:textId="16851308" w:rsidR="00070236" w:rsidRDefault="00990B4F" w:rsidP="003E39EF">
            <w:pPr>
              <w:pStyle w:val="Tabletext"/>
              <w:numPr>
                <w:ilvl w:val="0"/>
                <w:numId w:val="34"/>
              </w:numPr>
              <w:spacing w:before="0" w:after="0"/>
              <w:ind w:left="323" w:hanging="323"/>
            </w:pPr>
            <w:r>
              <w:t>a</w:t>
            </w:r>
            <w:r w:rsidR="00171DE9">
              <w:t>ural fullness</w:t>
            </w:r>
          </w:p>
          <w:p w14:paraId="6D5DF5FA" w14:textId="38066418" w:rsidR="00070236" w:rsidRDefault="00990B4F" w:rsidP="003E39EF">
            <w:pPr>
              <w:pStyle w:val="Tabletext"/>
              <w:numPr>
                <w:ilvl w:val="0"/>
                <w:numId w:val="34"/>
              </w:numPr>
              <w:spacing w:before="0" w:after="0"/>
              <w:ind w:left="323" w:hanging="323"/>
            </w:pPr>
            <w:r>
              <w:t>a</w:t>
            </w:r>
            <w:r w:rsidR="00171DE9">
              <w:t>coustic trauma</w:t>
            </w:r>
          </w:p>
          <w:p w14:paraId="3DD80E33" w14:textId="2A5E1C95" w:rsidR="00070236" w:rsidRDefault="00070236" w:rsidP="003E39EF">
            <w:pPr>
              <w:pStyle w:val="Tabletext"/>
              <w:numPr>
                <w:ilvl w:val="0"/>
                <w:numId w:val="34"/>
              </w:numPr>
              <w:spacing w:before="0" w:after="0"/>
              <w:ind w:left="323" w:hanging="323"/>
            </w:pPr>
            <w:r>
              <w:t>d</w:t>
            </w:r>
            <w:r w:rsidR="00171DE9">
              <w:t>izziness</w:t>
            </w:r>
          </w:p>
          <w:p w14:paraId="00599754" w14:textId="7F5D6AD3" w:rsidR="00070236" w:rsidRDefault="00990B4F" w:rsidP="003E39EF">
            <w:pPr>
              <w:pStyle w:val="Tabletext"/>
              <w:numPr>
                <w:ilvl w:val="0"/>
                <w:numId w:val="34"/>
              </w:numPr>
              <w:spacing w:before="0" w:after="0"/>
              <w:ind w:left="323" w:hanging="323"/>
            </w:pPr>
            <w:r>
              <w:t>d</w:t>
            </w:r>
            <w:r w:rsidR="00171DE9">
              <w:t>amage to the middle ear</w:t>
            </w:r>
          </w:p>
          <w:p w14:paraId="157273E7" w14:textId="50E87191" w:rsidR="00070236" w:rsidRDefault="00990B4F" w:rsidP="003E39EF">
            <w:pPr>
              <w:pStyle w:val="Tabletext"/>
              <w:numPr>
                <w:ilvl w:val="0"/>
                <w:numId w:val="34"/>
              </w:numPr>
              <w:spacing w:before="0" w:after="0"/>
              <w:ind w:left="323" w:hanging="323"/>
            </w:pPr>
            <w:r>
              <w:t>r</w:t>
            </w:r>
            <w:r w:rsidR="00171DE9">
              <w:t>evision surgery</w:t>
            </w:r>
            <w:r w:rsidR="000330CA">
              <w:t xml:space="preserve">, </w:t>
            </w:r>
            <w:r>
              <w:t>e</w:t>
            </w:r>
            <w:r w:rsidR="00171DE9">
              <w:t>xplant rate</w:t>
            </w:r>
            <w:r w:rsidR="000330CA">
              <w:t>, device failure</w:t>
            </w:r>
          </w:p>
          <w:p w14:paraId="2B45255B" w14:textId="0C0E2372" w:rsidR="00171DE9" w:rsidRDefault="00990B4F" w:rsidP="003E39EF">
            <w:pPr>
              <w:pStyle w:val="Tabletext"/>
              <w:numPr>
                <w:ilvl w:val="0"/>
                <w:numId w:val="34"/>
              </w:numPr>
              <w:spacing w:before="0" w:after="0"/>
              <w:ind w:left="323" w:hanging="323"/>
            </w:pPr>
            <w:r>
              <w:t>m</w:t>
            </w:r>
            <w:r w:rsidR="00171DE9">
              <w:t>ortality</w:t>
            </w:r>
          </w:p>
          <w:p w14:paraId="21F9922B" w14:textId="77777777" w:rsidR="00FA69DC" w:rsidRPr="00FA69DC" w:rsidRDefault="00171DE9" w:rsidP="003E39EF">
            <w:pPr>
              <w:pStyle w:val="Tabletext"/>
              <w:keepNext/>
              <w:spacing w:before="80"/>
              <w:rPr>
                <w:b/>
                <w:bCs/>
              </w:rPr>
            </w:pPr>
            <w:r w:rsidRPr="00F32664">
              <w:rPr>
                <w:b/>
                <w:bCs/>
              </w:rPr>
              <w:t>Effectiveness:</w:t>
            </w:r>
          </w:p>
          <w:p w14:paraId="239A68AB" w14:textId="1A18C8FD" w:rsidR="00FA69DC" w:rsidRDefault="00F93567" w:rsidP="003E39EF">
            <w:pPr>
              <w:pStyle w:val="Tabletext"/>
              <w:numPr>
                <w:ilvl w:val="0"/>
                <w:numId w:val="34"/>
              </w:numPr>
              <w:spacing w:before="0" w:after="0"/>
              <w:ind w:left="323" w:hanging="323"/>
            </w:pPr>
            <w:r>
              <w:t>APHAB</w:t>
            </w:r>
          </w:p>
          <w:p w14:paraId="5FE2F660" w14:textId="77777777" w:rsidR="00FA69DC" w:rsidRDefault="00990B4F" w:rsidP="003E39EF">
            <w:pPr>
              <w:pStyle w:val="Tabletext"/>
              <w:numPr>
                <w:ilvl w:val="0"/>
                <w:numId w:val="34"/>
              </w:numPr>
              <w:spacing w:before="0" w:after="0"/>
              <w:ind w:left="323" w:hanging="323"/>
            </w:pPr>
            <w:r>
              <w:t>c</w:t>
            </w:r>
            <w:r w:rsidR="00171DE9">
              <w:t>lient</w:t>
            </w:r>
            <w:r w:rsidR="00171DE9" w:rsidRPr="00FA69DC">
              <w:rPr>
                <w:rFonts w:ascii="Cambria Math" w:hAnsi="Cambria Math" w:cs="Cambria Math"/>
              </w:rPr>
              <w:t>‐</w:t>
            </w:r>
            <w:r w:rsidR="00171DE9">
              <w:t>orientated scale of improvement</w:t>
            </w:r>
          </w:p>
          <w:p w14:paraId="73476AD3" w14:textId="77777777" w:rsidR="00FA69DC" w:rsidRDefault="00990B4F" w:rsidP="003E39EF">
            <w:pPr>
              <w:pStyle w:val="Tabletext"/>
              <w:numPr>
                <w:ilvl w:val="0"/>
                <w:numId w:val="34"/>
              </w:numPr>
              <w:spacing w:before="0" w:after="0"/>
              <w:ind w:left="323" w:hanging="323"/>
            </w:pPr>
            <w:r>
              <w:t>f</w:t>
            </w:r>
            <w:r w:rsidR="00171DE9">
              <w:t>unctional gain</w:t>
            </w:r>
          </w:p>
          <w:p w14:paraId="09B670FB" w14:textId="77777777" w:rsidR="00FA69DC" w:rsidRDefault="00990B4F" w:rsidP="003E39EF">
            <w:pPr>
              <w:pStyle w:val="Tabletext"/>
              <w:numPr>
                <w:ilvl w:val="0"/>
                <w:numId w:val="34"/>
              </w:numPr>
              <w:spacing w:before="0" w:after="0"/>
              <w:ind w:left="323" w:hanging="323"/>
            </w:pPr>
            <w:r>
              <w:t>s</w:t>
            </w:r>
            <w:r w:rsidR="00171DE9">
              <w:t>peech recognition</w:t>
            </w:r>
          </w:p>
          <w:p w14:paraId="760DA7F3" w14:textId="77777777" w:rsidR="00FA69DC" w:rsidRDefault="00990B4F" w:rsidP="003E39EF">
            <w:pPr>
              <w:pStyle w:val="Tabletext"/>
              <w:numPr>
                <w:ilvl w:val="0"/>
                <w:numId w:val="34"/>
              </w:numPr>
              <w:spacing w:before="0" w:after="0"/>
              <w:ind w:left="323" w:hanging="323"/>
            </w:pPr>
            <w:r>
              <w:t>r</w:t>
            </w:r>
            <w:r w:rsidR="002B271F">
              <w:t>eal</w:t>
            </w:r>
            <w:r w:rsidR="00F800F9">
              <w:t xml:space="preserve"> ear insertion gain</w:t>
            </w:r>
          </w:p>
          <w:p w14:paraId="47B4DB44" w14:textId="77777777" w:rsidR="00FA69DC" w:rsidRDefault="00990B4F" w:rsidP="003E39EF">
            <w:pPr>
              <w:pStyle w:val="Tabletext"/>
              <w:numPr>
                <w:ilvl w:val="0"/>
                <w:numId w:val="34"/>
              </w:numPr>
              <w:spacing w:before="0" w:after="0"/>
              <w:ind w:left="323" w:hanging="323"/>
            </w:pPr>
            <w:r>
              <w:t>s</w:t>
            </w:r>
            <w:r w:rsidR="00171DE9">
              <w:t>ound</w:t>
            </w:r>
            <w:r w:rsidR="00171DE9" w:rsidRPr="00FA69DC">
              <w:rPr>
                <w:rFonts w:ascii="Cambria Math" w:hAnsi="Cambria Math" w:cs="Cambria Math"/>
              </w:rPr>
              <w:t>‐</w:t>
            </w:r>
            <w:r w:rsidR="00171DE9">
              <w:t>field assessment</w:t>
            </w:r>
          </w:p>
          <w:p w14:paraId="04AF1E1B" w14:textId="77777777" w:rsidR="00FA69DC" w:rsidRDefault="00990B4F" w:rsidP="003E39EF">
            <w:pPr>
              <w:pStyle w:val="Tabletext"/>
              <w:numPr>
                <w:ilvl w:val="0"/>
                <w:numId w:val="34"/>
              </w:numPr>
              <w:spacing w:before="0" w:after="0"/>
              <w:ind w:left="323" w:hanging="323"/>
            </w:pPr>
            <w:r>
              <w:t>s</w:t>
            </w:r>
            <w:r w:rsidR="00171DE9">
              <w:t>peech comprehension scores</w:t>
            </w:r>
          </w:p>
          <w:p w14:paraId="3830A82A" w14:textId="77777777" w:rsidR="00FA69DC" w:rsidRDefault="00F800F9" w:rsidP="003E39EF">
            <w:pPr>
              <w:pStyle w:val="Tabletext"/>
              <w:numPr>
                <w:ilvl w:val="0"/>
                <w:numId w:val="34"/>
              </w:numPr>
              <w:spacing w:before="0" w:after="0"/>
              <w:ind w:left="323" w:hanging="323"/>
            </w:pPr>
            <w:r>
              <w:t>tympanometric and acoustic reflex measures</w:t>
            </w:r>
          </w:p>
          <w:p w14:paraId="425ED7A2" w14:textId="472D8413" w:rsidR="00E82CA6" w:rsidRDefault="00990B4F" w:rsidP="003E39EF">
            <w:pPr>
              <w:pStyle w:val="Tabletext"/>
              <w:numPr>
                <w:ilvl w:val="0"/>
                <w:numId w:val="34"/>
              </w:numPr>
              <w:spacing w:before="0" w:after="0"/>
              <w:ind w:left="323" w:hanging="323"/>
            </w:pPr>
            <w:r>
              <w:t>s</w:t>
            </w:r>
            <w:r w:rsidR="00171DE9">
              <w:t>elf</w:t>
            </w:r>
            <w:r w:rsidR="00171DE9" w:rsidRPr="00FA69DC">
              <w:rPr>
                <w:rFonts w:ascii="Cambria Math" w:hAnsi="Cambria Math" w:cs="Cambria Math"/>
              </w:rPr>
              <w:t>‐</w:t>
            </w:r>
            <w:r w:rsidR="00171DE9">
              <w:t>assessment scales/patient preference</w:t>
            </w:r>
          </w:p>
        </w:tc>
      </w:tr>
      <w:tr w:rsidR="00054D09" w14:paraId="2526D631" w14:textId="77777777" w:rsidTr="007C15EB">
        <w:tc>
          <w:tcPr>
            <w:tcW w:w="371" w:type="pct"/>
          </w:tcPr>
          <w:p w14:paraId="03DDCF41" w14:textId="75C44956" w:rsidR="00E82CA6" w:rsidRPr="00196467" w:rsidRDefault="00E82CA6" w:rsidP="00ED1410">
            <w:pPr>
              <w:pStyle w:val="Tabletext"/>
              <w:keepNext/>
            </w:pPr>
            <w:hyperlink r:id="rId32" w:tooltip="Hyperlink to application page on MSAC website" w:history="1">
              <w:r w:rsidRPr="000A04D9">
                <w:rPr>
                  <w:rStyle w:val="Hyperlink"/>
                  <w:rFonts w:ascii="Arial Narrow" w:hAnsi="Arial Narrow" w:cs="Tahoma"/>
                </w:rPr>
                <w:t>1365</w:t>
              </w:r>
            </w:hyperlink>
          </w:p>
        </w:tc>
        <w:tc>
          <w:tcPr>
            <w:tcW w:w="2533" w:type="pct"/>
          </w:tcPr>
          <w:p w14:paraId="6F649ED7" w14:textId="77777777" w:rsidR="00E82CA6" w:rsidRDefault="00E82CA6" w:rsidP="00ED1410">
            <w:pPr>
              <w:pStyle w:val="Tabletext"/>
              <w:keepNext/>
            </w:pPr>
            <w:r>
              <w:t>People with outer ear pathology that prevents the use of conventional hearing aids who meet all of the following criteria:</w:t>
            </w:r>
          </w:p>
          <w:p w14:paraId="022EA116" w14:textId="77777777" w:rsidR="00E82CA6" w:rsidRDefault="00E82CA6" w:rsidP="00E82CA6">
            <w:pPr>
              <w:pStyle w:val="Tabletext"/>
              <w:numPr>
                <w:ilvl w:val="0"/>
                <w:numId w:val="34"/>
              </w:numPr>
              <w:ind w:left="321" w:hanging="321"/>
            </w:pPr>
            <w:r>
              <w:t>stable SNHL; AND</w:t>
            </w:r>
          </w:p>
          <w:p w14:paraId="51E66996" w14:textId="5394B638" w:rsidR="00E82CA6" w:rsidRDefault="00E82CA6" w:rsidP="00E82CA6">
            <w:pPr>
              <w:pStyle w:val="Tabletext"/>
              <w:numPr>
                <w:ilvl w:val="0"/>
                <w:numId w:val="34"/>
              </w:numPr>
              <w:ind w:left="321" w:hanging="321"/>
            </w:pPr>
            <w:r>
              <w:t>PTA4 below 80 dB</w:t>
            </w:r>
            <w:r w:rsidR="00580412">
              <w:t> </w:t>
            </w:r>
            <w:r>
              <w:t>HL with one of the following air conduction thresholds:</w:t>
            </w:r>
          </w:p>
          <w:p w14:paraId="0F6D79DD" w14:textId="4BBBBFEF" w:rsidR="00E82CA6" w:rsidRDefault="00E82CA6" w:rsidP="00E82CA6">
            <w:pPr>
              <w:pStyle w:val="Tabletext"/>
              <w:numPr>
                <w:ilvl w:val="1"/>
                <w:numId w:val="34"/>
              </w:numPr>
              <w:ind w:left="604" w:hanging="283"/>
            </w:pPr>
            <w:r>
              <w:t xml:space="preserve">mild hearing loss – 25 dB </w:t>
            </w:r>
            <w:r w:rsidRPr="00B85DB3">
              <w:t>≤</w:t>
            </w:r>
            <w:r>
              <w:t xml:space="preserve"> BE</w:t>
            </w:r>
            <w:r w:rsidR="008F5F80">
              <w:t> </w:t>
            </w:r>
            <w:r>
              <w:t>HL</w:t>
            </w:r>
            <w:r w:rsidRPr="006A3BF0">
              <w:rPr>
                <w:vertAlign w:val="subscript"/>
              </w:rPr>
              <w:t>0.5</w:t>
            </w:r>
            <w:r w:rsidRPr="006A3BF0">
              <w:rPr>
                <w:rFonts w:ascii="Cambria Math" w:hAnsi="Cambria Math" w:cs="Cambria Math"/>
                <w:vertAlign w:val="subscript"/>
              </w:rPr>
              <w:t>‐</w:t>
            </w:r>
            <w:r w:rsidRPr="006A3BF0">
              <w:rPr>
                <w:vertAlign w:val="subscript"/>
              </w:rPr>
              <w:t xml:space="preserve">4kHz </w:t>
            </w:r>
            <w:r>
              <w:t>&lt; 40 dB, or</w:t>
            </w:r>
          </w:p>
          <w:p w14:paraId="75E8B9A5" w14:textId="508F7160" w:rsidR="00E82CA6" w:rsidRDefault="00E82CA6" w:rsidP="00E82CA6">
            <w:pPr>
              <w:pStyle w:val="Tabletext"/>
              <w:numPr>
                <w:ilvl w:val="1"/>
                <w:numId w:val="34"/>
              </w:numPr>
              <w:ind w:left="604" w:hanging="283"/>
            </w:pPr>
            <w:r>
              <w:t xml:space="preserve">moderate hearing loss – 40 dB </w:t>
            </w:r>
            <w:r w:rsidRPr="00B85DB3">
              <w:t>≤</w:t>
            </w:r>
            <w:r>
              <w:t xml:space="preserve"> BE</w:t>
            </w:r>
            <w:r w:rsidR="008F5F80">
              <w:t> </w:t>
            </w:r>
            <w:r>
              <w:t>HL</w:t>
            </w:r>
            <w:r w:rsidRPr="005B1B6A">
              <w:rPr>
                <w:vertAlign w:val="subscript"/>
              </w:rPr>
              <w:t xml:space="preserve">0.5–4 kHz </w:t>
            </w:r>
            <w:r>
              <w:t>&lt; 70 dB, or</w:t>
            </w:r>
          </w:p>
          <w:p w14:paraId="7C26EF24" w14:textId="674693D7" w:rsidR="00E82CA6" w:rsidRDefault="00E82CA6" w:rsidP="00E82CA6">
            <w:pPr>
              <w:pStyle w:val="Tabletext"/>
              <w:numPr>
                <w:ilvl w:val="1"/>
                <w:numId w:val="34"/>
              </w:numPr>
              <w:ind w:left="604" w:hanging="283"/>
            </w:pPr>
            <w:r>
              <w:t xml:space="preserve">severe hearing loss – 70 dB </w:t>
            </w:r>
            <w:r w:rsidRPr="00B85DB3">
              <w:t>≤</w:t>
            </w:r>
            <w:r>
              <w:t xml:space="preserve"> BE</w:t>
            </w:r>
            <w:r w:rsidR="008F5F80">
              <w:t> </w:t>
            </w:r>
            <w:r>
              <w:t>HL</w:t>
            </w:r>
            <w:r w:rsidRPr="005B1B6A">
              <w:rPr>
                <w:vertAlign w:val="subscript"/>
              </w:rPr>
              <w:t xml:space="preserve">0.5–4 kHz </w:t>
            </w:r>
            <w:r>
              <w:t>&lt; 95 dB, AND</w:t>
            </w:r>
          </w:p>
          <w:p w14:paraId="7CB1302F" w14:textId="77777777" w:rsidR="00E82CA6" w:rsidRDefault="00E82CA6" w:rsidP="00E82CA6">
            <w:pPr>
              <w:pStyle w:val="Tabletext"/>
              <w:numPr>
                <w:ilvl w:val="0"/>
                <w:numId w:val="34"/>
              </w:numPr>
              <w:ind w:left="321" w:hanging="321"/>
            </w:pPr>
            <w:r>
              <w:t>speech understanding of &gt;65% for word lists with appropriately amplified sound, AND</w:t>
            </w:r>
          </w:p>
          <w:p w14:paraId="349281DF" w14:textId="19B169C6" w:rsidR="00E82CA6" w:rsidRDefault="00E82CA6" w:rsidP="00E82CA6">
            <w:pPr>
              <w:pStyle w:val="Tabletext"/>
              <w:numPr>
                <w:ilvl w:val="0"/>
                <w:numId w:val="34"/>
              </w:numPr>
              <w:ind w:left="321" w:hanging="321"/>
            </w:pPr>
            <w:r>
              <w:t>bilateral, symmetrical HL with PTA thresholds in both ears within 20 dB</w:t>
            </w:r>
            <w:r w:rsidR="002F4118">
              <w:t> </w:t>
            </w:r>
            <w:r>
              <w:t>HL</w:t>
            </w:r>
            <w:r w:rsidRPr="009B611B">
              <w:rPr>
                <w:vertAlign w:val="subscript"/>
              </w:rPr>
              <w:t>0.5</w:t>
            </w:r>
            <w:r w:rsidRPr="009B611B">
              <w:rPr>
                <w:rFonts w:ascii="Cambria Math" w:hAnsi="Cambria Math" w:cs="Cambria Math"/>
                <w:vertAlign w:val="subscript"/>
              </w:rPr>
              <w:t>‐</w:t>
            </w:r>
            <w:r w:rsidRPr="009B611B">
              <w:rPr>
                <w:vertAlign w:val="subscript"/>
              </w:rPr>
              <w:t xml:space="preserve">4 kHz </w:t>
            </w:r>
            <w:r>
              <w:t>of each other, AND</w:t>
            </w:r>
          </w:p>
          <w:p w14:paraId="738D1928" w14:textId="77777777" w:rsidR="00E82CA6" w:rsidRDefault="00E82CA6" w:rsidP="00E82CA6">
            <w:pPr>
              <w:pStyle w:val="Tabletext"/>
              <w:numPr>
                <w:ilvl w:val="0"/>
                <w:numId w:val="34"/>
              </w:numPr>
              <w:ind w:left="321" w:hanging="321"/>
            </w:pPr>
            <w:r>
              <w:t>normal middle ear with:</w:t>
            </w:r>
          </w:p>
          <w:p w14:paraId="070B08DF" w14:textId="77777777" w:rsidR="00E82CA6" w:rsidRDefault="00E82CA6" w:rsidP="00E82CA6">
            <w:pPr>
              <w:pStyle w:val="Tabletext"/>
              <w:numPr>
                <w:ilvl w:val="1"/>
                <w:numId w:val="34"/>
              </w:numPr>
              <w:ind w:left="604" w:hanging="283"/>
            </w:pPr>
            <w:r>
              <w:t>no history of middle ear surgery, AND</w:t>
            </w:r>
          </w:p>
          <w:p w14:paraId="4D6017DF" w14:textId="77777777" w:rsidR="00E82CA6" w:rsidRDefault="00E82CA6" w:rsidP="00E82CA6">
            <w:pPr>
              <w:pStyle w:val="Tabletext"/>
              <w:numPr>
                <w:ilvl w:val="1"/>
                <w:numId w:val="34"/>
              </w:numPr>
              <w:ind w:left="604" w:hanging="283"/>
            </w:pPr>
            <w:r>
              <w:t>no history of post</w:t>
            </w:r>
            <w:r w:rsidRPr="00B71059">
              <w:rPr>
                <w:rFonts w:ascii="Cambria Math" w:hAnsi="Cambria Math" w:cs="Cambria Math"/>
              </w:rPr>
              <w:t>‐</w:t>
            </w:r>
            <w:r>
              <w:t>adolescent, chronic middle ear infections, AND</w:t>
            </w:r>
          </w:p>
          <w:p w14:paraId="7A809D13" w14:textId="77777777" w:rsidR="00E82CA6" w:rsidRDefault="00E82CA6" w:rsidP="00E82CA6">
            <w:pPr>
              <w:pStyle w:val="Tabletext"/>
              <w:numPr>
                <w:ilvl w:val="1"/>
                <w:numId w:val="34"/>
              </w:numPr>
              <w:ind w:left="604" w:hanging="283"/>
            </w:pPr>
            <w:r>
              <w:t>normal tympanometry, AND</w:t>
            </w:r>
          </w:p>
          <w:p w14:paraId="3316E4A7" w14:textId="14F36539" w:rsidR="00E82CA6" w:rsidRDefault="00E82CA6" w:rsidP="00E82CA6">
            <w:pPr>
              <w:pStyle w:val="Tabletext"/>
              <w:numPr>
                <w:ilvl w:val="1"/>
                <w:numId w:val="34"/>
              </w:numPr>
              <w:ind w:left="604" w:hanging="283"/>
            </w:pPr>
            <w:r>
              <w:t>on audiometry, an air</w:t>
            </w:r>
            <w:r w:rsidRPr="001114DF">
              <w:rPr>
                <w:rFonts w:ascii="Cambria Math" w:hAnsi="Cambria Math" w:cs="Cambria Math"/>
              </w:rPr>
              <w:t>‐</w:t>
            </w:r>
            <w:r>
              <w:t>bone gap of no greater than 10 dB</w:t>
            </w:r>
            <w:r w:rsidR="008F5F80">
              <w:t> </w:t>
            </w:r>
            <w:r>
              <w:t>HL</w:t>
            </w:r>
            <w:r w:rsidRPr="001114DF">
              <w:rPr>
                <w:vertAlign w:val="subscript"/>
              </w:rPr>
              <w:t>0.5</w:t>
            </w:r>
            <w:r w:rsidRPr="001114DF">
              <w:rPr>
                <w:rFonts w:ascii="Cambria Math" w:hAnsi="Cambria Math" w:cs="Cambria Math"/>
                <w:vertAlign w:val="subscript"/>
              </w:rPr>
              <w:t>‐</w:t>
            </w:r>
            <w:r w:rsidRPr="001114DF">
              <w:rPr>
                <w:vertAlign w:val="subscript"/>
              </w:rPr>
              <w:t>4 kHz</w:t>
            </w:r>
            <w:r w:rsidRPr="009B611B">
              <w:t xml:space="preserve"> </w:t>
            </w:r>
            <w:r>
              <w:t>at two or more frequencies, AND</w:t>
            </w:r>
          </w:p>
          <w:p w14:paraId="104EB329" w14:textId="77777777" w:rsidR="00E82CA6" w:rsidRPr="000D78F3" w:rsidRDefault="00E82CA6" w:rsidP="00E82CA6">
            <w:pPr>
              <w:pStyle w:val="Tabletext"/>
              <w:numPr>
                <w:ilvl w:val="0"/>
                <w:numId w:val="34"/>
              </w:numPr>
              <w:ind w:left="321" w:hanging="321"/>
            </w:pPr>
            <w:r>
              <w:t>no history of other inner ear disorders such as Meniere’s disease.</w:t>
            </w:r>
          </w:p>
        </w:tc>
        <w:tc>
          <w:tcPr>
            <w:tcW w:w="562" w:type="pct"/>
          </w:tcPr>
          <w:p w14:paraId="363BF33A" w14:textId="3336C8EA" w:rsidR="00E82CA6" w:rsidRPr="00DA146A" w:rsidRDefault="00E82CA6" w:rsidP="00ED1410">
            <w:pPr>
              <w:pStyle w:val="Tabletext"/>
              <w:keepNext/>
            </w:pPr>
            <w:r>
              <w:t>Vibroplasty (for implantation of an AMEI)</w:t>
            </w:r>
            <w:r w:rsidR="005203EE" w:rsidRPr="005203EE">
              <w:rPr>
                <w:vertAlign w:val="superscript"/>
              </w:rPr>
              <w:t>a</w:t>
            </w:r>
          </w:p>
        </w:tc>
        <w:tc>
          <w:tcPr>
            <w:tcW w:w="562" w:type="pct"/>
          </w:tcPr>
          <w:p w14:paraId="34EECEEA" w14:textId="77777777" w:rsidR="00E82CA6" w:rsidRPr="00DA146A" w:rsidRDefault="00E82CA6" w:rsidP="00ED1410">
            <w:pPr>
              <w:pStyle w:val="Tabletext"/>
              <w:keepNext/>
            </w:pPr>
            <w:r>
              <w:t>No treatment</w:t>
            </w:r>
          </w:p>
        </w:tc>
        <w:tc>
          <w:tcPr>
            <w:tcW w:w="972" w:type="pct"/>
          </w:tcPr>
          <w:p w14:paraId="6D179CA3" w14:textId="77777777" w:rsidR="00AF0C1B" w:rsidRDefault="00033899" w:rsidP="00171DE9">
            <w:pPr>
              <w:pStyle w:val="Tabletext"/>
              <w:keepNext/>
            </w:pPr>
            <w:r w:rsidRPr="00626160">
              <w:t xml:space="preserve">Same as Application 1137 but </w:t>
            </w:r>
            <w:r w:rsidRPr="0094437F">
              <w:rPr>
                <w:b/>
                <w:bCs/>
              </w:rPr>
              <w:t>excluding</w:t>
            </w:r>
            <w:r w:rsidRPr="00626160">
              <w:t>:</w:t>
            </w:r>
          </w:p>
          <w:p w14:paraId="7A50DC27" w14:textId="77777777" w:rsidR="00AF0C1B" w:rsidRDefault="00626160" w:rsidP="00AF0C1B">
            <w:pPr>
              <w:pStyle w:val="Tabletext"/>
              <w:numPr>
                <w:ilvl w:val="0"/>
                <w:numId w:val="34"/>
              </w:numPr>
              <w:spacing w:before="0" w:after="0"/>
              <w:ind w:left="323" w:hanging="323"/>
            </w:pPr>
            <w:r w:rsidRPr="00626160">
              <w:t>real ear insertion gain</w:t>
            </w:r>
          </w:p>
          <w:p w14:paraId="4884AE7D" w14:textId="7D31CB4A" w:rsidR="0081146D" w:rsidRDefault="00626160" w:rsidP="00AF0C1B">
            <w:pPr>
              <w:pStyle w:val="Tabletext"/>
              <w:numPr>
                <w:ilvl w:val="0"/>
                <w:numId w:val="34"/>
              </w:numPr>
              <w:spacing w:before="0" w:after="0"/>
              <w:ind w:left="323" w:hanging="323"/>
            </w:pPr>
            <w:r>
              <w:t>tympanometric and acoustic reflex measures</w:t>
            </w:r>
          </w:p>
        </w:tc>
      </w:tr>
      <w:tr w:rsidR="00054D09" w14:paraId="1460D8EA" w14:textId="77777777" w:rsidTr="007C15EB">
        <w:tc>
          <w:tcPr>
            <w:tcW w:w="371" w:type="pct"/>
          </w:tcPr>
          <w:p w14:paraId="5DF3D50A" w14:textId="22A715AF" w:rsidR="00E82CA6" w:rsidRPr="00196467" w:rsidRDefault="0075782C" w:rsidP="00ED1410">
            <w:pPr>
              <w:pStyle w:val="Tabletext"/>
            </w:pPr>
            <w:hyperlink r:id="rId33" w:tooltip="Hyperlink to application page on MSAC website" w:history="1">
              <w:r w:rsidRPr="0075782C">
                <w:rPr>
                  <w:rStyle w:val="Hyperlink"/>
                  <w:rFonts w:ascii="Arial Narrow" w:hAnsi="Arial Narrow" w:cs="Tahoma"/>
                </w:rPr>
                <w:t>1365.1</w:t>
              </w:r>
            </w:hyperlink>
          </w:p>
        </w:tc>
        <w:tc>
          <w:tcPr>
            <w:tcW w:w="2533" w:type="pct"/>
          </w:tcPr>
          <w:p w14:paraId="393B0CDA" w14:textId="77777777" w:rsidR="00E82CA6" w:rsidRDefault="00013978" w:rsidP="00ED1410">
            <w:pPr>
              <w:pStyle w:val="Tabletext"/>
            </w:pPr>
            <w:r w:rsidRPr="00013978">
              <w:t xml:space="preserve">Patients with stable </w:t>
            </w:r>
            <w:r>
              <w:t>SNHL</w:t>
            </w:r>
            <w:r w:rsidRPr="00013978">
              <w:t xml:space="preserve"> with an outer ear pathology that prevents the wearing of a hearing aid and who have</w:t>
            </w:r>
            <w:r>
              <w:t>:</w:t>
            </w:r>
          </w:p>
          <w:p w14:paraId="2EED30DB" w14:textId="2CF4617D" w:rsidR="00A422DF" w:rsidRDefault="00A422DF" w:rsidP="00A422DF">
            <w:pPr>
              <w:pStyle w:val="Tabletext"/>
              <w:numPr>
                <w:ilvl w:val="0"/>
                <w:numId w:val="34"/>
              </w:numPr>
              <w:ind w:left="321" w:hanging="321"/>
            </w:pPr>
            <w:r>
              <w:t>a PTA4 below 80 dB</w:t>
            </w:r>
            <w:r w:rsidR="008F5F80">
              <w:t> </w:t>
            </w:r>
            <w:r>
              <w:t>HL with one of the following air conduction thresholds:</w:t>
            </w:r>
          </w:p>
          <w:p w14:paraId="5C780418" w14:textId="644506C9" w:rsidR="00A422DF" w:rsidRDefault="00A422DF" w:rsidP="00B9785B">
            <w:pPr>
              <w:pStyle w:val="Tabletext"/>
              <w:numPr>
                <w:ilvl w:val="1"/>
                <w:numId w:val="34"/>
              </w:numPr>
              <w:ind w:left="604" w:hanging="283"/>
            </w:pPr>
            <w:r>
              <w:t>mild HL</w:t>
            </w:r>
            <w:r w:rsidR="00BF4F5D">
              <w:t xml:space="preserve"> – </w:t>
            </w:r>
            <w:r>
              <w:t>25 dB ≤ BE</w:t>
            </w:r>
            <w:r w:rsidR="008F5F80">
              <w:t> </w:t>
            </w:r>
            <w:r>
              <w:t>HL</w:t>
            </w:r>
            <w:r w:rsidRPr="000278ED">
              <w:rPr>
                <w:vertAlign w:val="subscript"/>
              </w:rPr>
              <w:t xml:space="preserve">0.5-4kHz </w:t>
            </w:r>
            <w:r>
              <w:t>&lt; 40 dB; or</w:t>
            </w:r>
          </w:p>
          <w:p w14:paraId="0341F1F3" w14:textId="37206EF0" w:rsidR="00A422DF" w:rsidRDefault="00A422DF" w:rsidP="00B9785B">
            <w:pPr>
              <w:pStyle w:val="Tabletext"/>
              <w:numPr>
                <w:ilvl w:val="1"/>
                <w:numId w:val="34"/>
              </w:numPr>
              <w:ind w:left="604" w:hanging="283"/>
            </w:pPr>
            <w:r>
              <w:t>moderate HL</w:t>
            </w:r>
            <w:r w:rsidR="00BF4F5D">
              <w:t xml:space="preserve"> – </w:t>
            </w:r>
            <w:r>
              <w:t>40 dB ≤ BE</w:t>
            </w:r>
            <w:r w:rsidR="008F5F80">
              <w:t> </w:t>
            </w:r>
            <w:r>
              <w:t>HL</w:t>
            </w:r>
            <w:r w:rsidRPr="000278ED">
              <w:rPr>
                <w:vertAlign w:val="subscript"/>
              </w:rPr>
              <w:t xml:space="preserve">0.5–4 kHz </w:t>
            </w:r>
            <w:r>
              <w:t>&lt; 70 dB; or</w:t>
            </w:r>
          </w:p>
          <w:p w14:paraId="13EBB9F7" w14:textId="419D1680" w:rsidR="00A422DF" w:rsidRDefault="00A422DF" w:rsidP="00B9785B">
            <w:pPr>
              <w:pStyle w:val="Tabletext"/>
              <w:numPr>
                <w:ilvl w:val="1"/>
                <w:numId w:val="34"/>
              </w:numPr>
              <w:ind w:left="604" w:hanging="283"/>
            </w:pPr>
            <w:r>
              <w:t>severe HL</w:t>
            </w:r>
            <w:r w:rsidR="00BF4F5D">
              <w:t xml:space="preserve"> – </w:t>
            </w:r>
            <w:r>
              <w:t>70 dB ≤ BE</w:t>
            </w:r>
            <w:r w:rsidR="008F5F80">
              <w:t> </w:t>
            </w:r>
            <w:r>
              <w:t>HL</w:t>
            </w:r>
            <w:r w:rsidRPr="000278ED">
              <w:rPr>
                <w:vertAlign w:val="subscript"/>
              </w:rPr>
              <w:t xml:space="preserve">0.5–4 kHz </w:t>
            </w:r>
            <w:r>
              <w:t>&lt; 95 dB; AND</w:t>
            </w:r>
          </w:p>
          <w:p w14:paraId="554A0589" w14:textId="1D890249" w:rsidR="00A422DF" w:rsidRDefault="00A422DF" w:rsidP="00B9785B">
            <w:pPr>
              <w:pStyle w:val="Tabletext"/>
              <w:numPr>
                <w:ilvl w:val="0"/>
                <w:numId w:val="34"/>
              </w:numPr>
              <w:ind w:left="321" w:hanging="321"/>
            </w:pPr>
            <w:r>
              <w:t xml:space="preserve">have speech perception discrimination of </w:t>
            </w:r>
            <w:r w:rsidR="000278ED">
              <w:rPr>
                <w:rFonts w:ascii="Cambria Math" w:hAnsi="Cambria Math" w:cs="Cambria Math"/>
              </w:rPr>
              <w:t>≥</w:t>
            </w:r>
            <w:r>
              <w:t>65% correct with appropriately amplified sound; and</w:t>
            </w:r>
          </w:p>
          <w:p w14:paraId="13C32A38" w14:textId="77D525F3" w:rsidR="00A422DF" w:rsidRDefault="00A422DF" w:rsidP="00B9785B">
            <w:pPr>
              <w:pStyle w:val="Tabletext"/>
              <w:numPr>
                <w:ilvl w:val="0"/>
                <w:numId w:val="34"/>
              </w:numPr>
              <w:ind w:left="321" w:hanging="321"/>
            </w:pPr>
            <w:r>
              <w:t>bilateral, symmetrical SNHL with PTA thresholds in both ears within 20 dB</w:t>
            </w:r>
            <w:r w:rsidR="008F5F80">
              <w:t> </w:t>
            </w:r>
            <w:r>
              <w:t>HL</w:t>
            </w:r>
            <w:r w:rsidRPr="000278ED">
              <w:rPr>
                <w:vertAlign w:val="subscript"/>
              </w:rPr>
              <w:t xml:space="preserve">0.5-4kHz </w:t>
            </w:r>
            <w:r>
              <w:t>of each other; and</w:t>
            </w:r>
          </w:p>
          <w:p w14:paraId="41376AD4" w14:textId="3DAC0AC2" w:rsidR="00A422DF" w:rsidRDefault="00A422DF" w:rsidP="00B9785B">
            <w:pPr>
              <w:pStyle w:val="Tabletext"/>
              <w:numPr>
                <w:ilvl w:val="0"/>
                <w:numId w:val="34"/>
              </w:numPr>
              <w:ind w:left="321" w:hanging="321"/>
            </w:pPr>
            <w:r>
              <w:t>a normal middle ear (no history of middle ear surgery or of post-adolescent, chronic middle ear infections); and</w:t>
            </w:r>
          </w:p>
          <w:p w14:paraId="060A219C" w14:textId="19023D64" w:rsidR="00A422DF" w:rsidRDefault="00A422DF" w:rsidP="00B9785B">
            <w:pPr>
              <w:pStyle w:val="Tabletext"/>
              <w:numPr>
                <w:ilvl w:val="0"/>
                <w:numId w:val="34"/>
              </w:numPr>
              <w:ind w:left="321" w:hanging="321"/>
            </w:pPr>
            <w:r>
              <w:t>normal tympanometry; and</w:t>
            </w:r>
          </w:p>
          <w:p w14:paraId="4DB801F0" w14:textId="610153C8" w:rsidR="00A422DF" w:rsidRDefault="00A422DF" w:rsidP="00B9785B">
            <w:pPr>
              <w:pStyle w:val="Tabletext"/>
              <w:numPr>
                <w:ilvl w:val="0"/>
                <w:numId w:val="34"/>
              </w:numPr>
              <w:ind w:left="321" w:hanging="321"/>
            </w:pPr>
            <w:r>
              <w:t xml:space="preserve">on audiometry the air-bone gap is </w:t>
            </w:r>
            <w:r w:rsidR="000278ED">
              <w:rPr>
                <w:rFonts w:ascii="Cambria Math" w:hAnsi="Cambria Math" w:cs="Cambria Math"/>
              </w:rPr>
              <w:t>≤</w:t>
            </w:r>
            <w:r>
              <w:t>10 dB</w:t>
            </w:r>
            <w:r w:rsidR="008F5F80">
              <w:t> </w:t>
            </w:r>
            <w:r>
              <w:t>HL</w:t>
            </w:r>
            <w:r w:rsidRPr="000278ED">
              <w:rPr>
                <w:vertAlign w:val="subscript"/>
              </w:rPr>
              <w:t xml:space="preserve">0.5-4kHz </w:t>
            </w:r>
            <w:r>
              <w:t>at two or more frequencies; and</w:t>
            </w:r>
          </w:p>
          <w:p w14:paraId="45FEF174" w14:textId="13A00029" w:rsidR="0029376C" w:rsidRPr="000D78F3" w:rsidRDefault="00A422DF" w:rsidP="00B9785B">
            <w:pPr>
              <w:pStyle w:val="Tabletext"/>
              <w:numPr>
                <w:ilvl w:val="0"/>
                <w:numId w:val="34"/>
              </w:numPr>
              <w:ind w:left="321" w:hanging="321"/>
            </w:pPr>
            <w:r>
              <w:t>no history of other inner ear disorders</w:t>
            </w:r>
            <w:r w:rsidR="000278ED">
              <w:t xml:space="preserve"> such as Meniere’s disease.</w:t>
            </w:r>
          </w:p>
        </w:tc>
        <w:tc>
          <w:tcPr>
            <w:tcW w:w="562" w:type="pct"/>
          </w:tcPr>
          <w:p w14:paraId="6081D1F8" w14:textId="789A7963" w:rsidR="00E82CA6" w:rsidRDefault="00E82CA6" w:rsidP="00ED1410">
            <w:pPr>
              <w:pStyle w:val="Tabletext"/>
            </w:pPr>
            <w:r>
              <w:t>Insertion of partially implantable AMEI</w:t>
            </w:r>
            <w:r w:rsidR="005203EE">
              <w:rPr>
                <w:vertAlign w:val="superscript"/>
              </w:rPr>
              <w:t>a</w:t>
            </w:r>
          </w:p>
        </w:tc>
        <w:tc>
          <w:tcPr>
            <w:tcW w:w="562" w:type="pct"/>
          </w:tcPr>
          <w:p w14:paraId="6F610755" w14:textId="77777777" w:rsidR="00E82CA6" w:rsidRDefault="00E82CA6" w:rsidP="00ED1410">
            <w:pPr>
              <w:pStyle w:val="Tabletext"/>
            </w:pPr>
            <w:r>
              <w:t>No treatment</w:t>
            </w:r>
          </w:p>
        </w:tc>
        <w:tc>
          <w:tcPr>
            <w:tcW w:w="972" w:type="pct"/>
          </w:tcPr>
          <w:p w14:paraId="78634BD3" w14:textId="79C09CC3" w:rsidR="00E82CA6" w:rsidRDefault="00E66F76" w:rsidP="00ED1410">
            <w:pPr>
              <w:pStyle w:val="Tabletext"/>
            </w:pPr>
            <w:r>
              <w:t>Consistent with</w:t>
            </w:r>
            <w:r w:rsidR="00A01D77">
              <w:t xml:space="preserve"> Application </w:t>
            </w:r>
            <w:r w:rsidR="006735E3">
              <w:t>1365</w:t>
            </w:r>
          </w:p>
        </w:tc>
      </w:tr>
      <w:tr w:rsidR="00054D09" w14:paraId="1ED27187" w14:textId="77777777" w:rsidTr="007C15EB">
        <w:tc>
          <w:tcPr>
            <w:tcW w:w="371" w:type="pct"/>
          </w:tcPr>
          <w:p w14:paraId="1A13F829" w14:textId="7CC05B7B" w:rsidR="00E82CA6" w:rsidRDefault="00AA5AF3" w:rsidP="00ED1410">
            <w:pPr>
              <w:pStyle w:val="Tabletext"/>
            </w:pPr>
            <w:hyperlink r:id="rId34" w:tooltip="Hyperink to application page on MSAC website" w:history="1">
              <w:r w:rsidRPr="00AA5AF3">
                <w:rPr>
                  <w:rStyle w:val="Hyperlink"/>
                  <w:rFonts w:ascii="Arial Narrow" w:hAnsi="Arial Narrow" w:cs="Tahoma"/>
                </w:rPr>
                <w:t>1364</w:t>
              </w:r>
            </w:hyperlink>
          </w:p>
          <w:p w14:paraId="626E34D7" w14:textId="1F71F653" w:rsidR="003173D9" w:rsidRPr="00196467" w:rsidRDefault="003173D9" w:rsidP="00ED1410">
            <w:pPr>
              <w:pStyle w:val="Tabletext"/>
            </w:pPr>
            <w:r>
              <w:t>(withdrawn)</w:t>
            </w:r>
          </w:p>
        </w:tc>
        <w:tc>
          <w:tcPr>
            <w:tcW w:w="2533" w:type="pct"/>
          </w:tcPr>
          <w:p w14:paraId="38EDFFE9" w14:textId="77777777" w:rsidR="00E82CA6" w:rsidRPr="000D78F3" w:rsidRDefault="00E82CA6" w:rsidP="00ED1410">
            <w:pPr>
              <w:pStyle w:val="Tabletext"/>
            </w:pPr>
            <w:r>
              <w:t>P</w:t>
            </w:r>
            <w:r w:rsidRPr="000D78F3">
              <w:t>eople with CHL or MHL thresholds in the mild to moderate</w:t>
            </w:r>
            <w:r>
              <w:t xml:space="preserve"> </w:t>
            </w:r>
            <w:r w:rsidRPr="000D78F3">
              <w:t>range, who cannot wear conventional hearing aids due to anatomical or medical reasons who</w:t>
            </w:r>
            <w:r>
              <w:t xml:space="preserve"> </w:t>
            </w:r>
            <w:r w:rsidRPr="000D78F3">
              <w:t>meet the following criteria:</w:t>
            </w:r>
          </w:p>
          <w:p w14:paraId="1D7F6563" w14:textId="77777777" w:rsidR="00E82CA6" w:rsidRDefault="00E82CA6" w:rsidP="00E82CA6">
            <w:pPr>
              <w:pStyle w:val="Tabletext"/>
              <w:numPr>
                <w:ilvl w:val="0"/>
                <w:numId w:val="34"/>
              </w:numPr>
              <w:ind w:left="321" w:hanging="321"/>
            </w:pPr>
            <w:r w:rsidRPr="000D78F3">
              <w:t>unsuitable or unsuccessful alternative treatments (e.g. middle ear surgery, ear</w:t>
            </w:r>
            <w:r>
              <w:t xml:space="preserve"> </w:t>
            </w:r>
            <w:r w:rsidRPr="000D78F3">
              <w:t>reconstruction surgery, anatomical anomalies, chronic pathologies, previous repeated</w:t>
            </w:r>
            <w:r>
              <w:t xml:space="preserve"> </w:t>
            </w:r>
            <w:r w:rsidRPr="000D78F3">
              <w:t>failed middle ear surgeries etc.)</w:t>
            </w:r>
          </w:p>
          <w:p w14:paraId="3B615557" w14:textId="1631AB84" w:rsidR="00E82CA6" w:rsidRDefault="00E82CA6" w:rsidP="00E82CA6">
            <w:pPr>
              <w:pStyle w:val="Tabletext"/>
              <w:numPr>
                <w:ilvl w:val="0"/>
                <w:numId w:val="34"/>
              </w:numPr>
              <w:ind w:left="321" w:hanging="321"/>
            </w:pPr>
            <w:r w:rsidRPr="000D78F3">
              <w:t xml:space="preserve">mild to moderate hearing impairment as indicated by </w:t>
            </w:r>
            <w:r>
              <w:t xml:space="preserve">British Society of Audiology </w:t>
            </w:r>
            <w:r w:rsidRPr="000D78F3">
              <w:t>AC thresholds</w:t>
            </w:r>
            <w:r w:rsidR="005203EE">
              <w:rPr>
                <w:rStyle w:val="FootnoteReference"/>
              </w:rPr>
              <w:t>b</w:t>
            </w:r>
          </w:p>
          <w:p w14:paraId="2013C44C" w14:textId="18D127F8" w:rsidR="00E82CA6" w:rsidRDefault="00E82CA6" w:rsidP="00E82CA6">
            <w:pPr>
              <w:pStyle w:val="Tabletext"/>
              <w:numPr>
                <w:ilvl w:val="0"/>
                <w:numId w:val="34"/>
              </w:numPr>
              <w:ind w:left="321" w:hanging="321"/>
            </w:pPr>
            <w:r w:rsidRPr="000D78F3">
              <w:t xml:space="preserve">pure-tone bone-conduction threshold levels at or within the levels depicted in </w:t>
            </w:r>
            <w:r>
              <w:fldChar w:fldCharType="begin"/>
            </w:r>
            <w:r>
              <w:instrText xml:space="preserve"> REF _Ref200994722 \h </w:instrText>
            </w:r>
            <w:r>
              <w:fldChar w:fldCharType="separate"/>
            </w:r>
            <w:r w:rsidR="00A42764">
              <w:t xml:space="preserve">Figure </w:t>
            </w:r>
            <w:r w:rsidR="00A42764">
              <w:rPr>
                <w:noProof/>
              </w:rPr>
              <w:t>1</w:t>
            </w:r>
            <w:r>
              <w:fldChar w:fldCharType="end"/>
            </w:r>
            <w:r w:rsidRPr="000D78F3">
              <w:t>.</w:t>
            </w:r>
          </w:p>
          <w:p w14:paraId="315E5B59" w14:textId="4E6D07FF" w:rsidR="00E82CA6" w:rsidRDefault="00E82CA6" w:rsidP="00E82CA6">
            <w:pPr>
              <w:pStyle w:val="Tabletext"/>
              <w:numPr>
                <w:ilvl w:val="0"/>
                <w:numId w:val="34"/>
              </w:numPr>
              <w:ind w:left="321" w:hanging="321"/>
            </w:pPr>
            <w:r w:rsidRPr="000D78F3">
              <w:t xml:space="preserve">stable </w:t>
            </w:r>
            <w:r w:rsidR="003C66AD">
              <w:t>(</w:t>
            </w:r>
            <w:r>
              <w:t>&lt;</w:t>
            </w:r>
            <w:r w:rsidRPr="000D78F3">
              <w:t xml:space="preserve">10 dB variations over </w:t>
            </w:r>
            <w:r>
              <w:t>2</w:t>
            </w:r>
            <w:r w:rsidRPr="000D78F3">
              <w:t xml:space="preserve"> years for adults) bone conduction</w:t>
            </w:r>
            <w:r>
              <w:t xml:space="preserve"> </w:t>
            </w:r>
            <w:r w:rsidRPr="000D78F3">
              <w:t xml:space="preserve">thresholds within the shaded area in </w:t>
            </w:r>
            <w:r>
              <w:fldChar w:fldCharType="begin"/>
            </w:r>
            <w:r>
              <w:instrText xml:space="preserve"> REF _Ref200994722 \h </w:instrText>
            </w:r>
            <w:r>
              <w:fldChar w:fldCharType="separate"/>
            </w:r>
            <w:r w:rsidR="00A42764">
              <w:t xml:space="preserve">Figure </w:t>
            </w:r>
            <w:r w:rsidR="00A42764">
              <w:rPr>
                <w:noProof/>
              </w:rPr>
              <w:t>1</w:t>
            </w:r>
            <w:r>
              <w:fldChar w:fldCharType="end"/>
            </w:r>
          </w:p>
          <w:p w14:paraId="0BE3209B" w14:textId="77777777" w:rsidR="00E82CA6" w:rsidRDefault="00E82CA6" w:rsidP="00E82CA6">
            <w:pPr>
              <w:pStyle w:val="Tabletext"/>
              <w:numPr>
                <w:ilvl w:val="0"/>
                <w:numId w:val="34"/>
              </w:numPr>
              <w:ind w:left="321" w:hanging="321"/>
            </w:pPr>
            <w:r w:rsidRPr="000D78F3">
              <w:t>speech audiometry curve adequate to the respective PTA</w:t>
            </w:r>
          </w:p>
          <w:p w14:paraId="2366816C" w14:textId="77777777" w:rsidR="00E82CA6" w:rsidRDefault="00E82CA6" w:rsidP="00E82CA6">
            <w:pPr>
              <w:pStyle w:val="Tabletext"/>
              <w:numPr>
                <w:ilvl w:val="0"/>
                <w:numId w:val="34"/>
              </w:numPr>
              <w:ind w:left="321" w:hanging="321"/>
            </w:pPr>
            <w:r w:rsidRPr="000D78F3">
              <w:t>accessible round window or oval window and middle ear anatomy that allows the</w:t>
            </w:r>
            <w:r>
              <w:t xml:space="preserve"> </w:t>
            </w:r>
            <w:r w:rsidRPr="000D78F3">
              <w:t>transducer to be placed on a suitable vibratory structure</w:t>
            </w:r>
          </w:p>
          <w:p w14:paraId="2E7FDF08" w14:textId="77777777" w:rsidR="00E82CA6" w:rsidRDefault="00E82CA6" w:rsidP="00E82CA6">
            <w:pPr>
              <w:pStyle w:val="Tabletext"/>
              <w:numPr>
                <w:ilvl w:val="0"/>
                <w:numId w:val="34"/>
              </w:numPr>
              <w:ind w:left="321" w:hanging="321"/>
            </w:pPr>
            <w:r w:rsidRPr="000D78F3">
              <w:t>absence of active middle ear infections</w:t>
            </w:r>
          </w:p>
          <w:p w14:paraId="7A9C04BA" w14:textId="77777777" w:rsidR="00E82CA6" w:rsidRDefault="00E82CA6" w:rsidP="00E82CA6">
            <w:pPr>
              <w:pStyle w:val="Tabletext"/>
              <w:numPr>
                <w:ilvl w:val="0"/>
                <w:numId w:val="34"/>
              </w:numPr>
              <w:ind w:left="321" w:hanging="321"/>
            </w:pPr>
            <w:r w:rsidRPr="000D78F3">
              <w:t>absence of retro-cochlear or central auditory disorders</w:t>
            </w:r>
          </w:p>
          <w:p w14:paraId="4E6E5712" w14:textId="77777777" w:rsidR="00E82CA6" w:rsidRPr="000D78F3" w:rsidRDefault="00E82CA6" w:rsidP="00E82CA6">
            <w:pPr>
              <w:pStyle w:val="Tabletext"/>
              <w:numPr>
                <w:ilvl w:val="0"/>
                <w:numId w:val="34"/>
              </w:numPr>
              <w:ind w:left="321" w:hanging="321"/>
            </w:pPr>
            <w:r w:rsidRPr="000D78F3">
              <w:t xml:space="preserve">speech perception discrimination of </w:t>
            </w:r>
            <w:r>
              <w:rPr>
                <w:rFonts w:ascii="Cambria Math" w:hAnsi="Cambria Math" w:cs="Cambria Math"/>
              </w:rPr>
              <w:t>≥</w:t>
            </w:r>
            <w:r w:rsidRPr="000D78F3">
              <w:t>65% correct with appropriately amplified</w:t>
            </w:r>
            <w:r>
              <w:t xml:space="preserve"> </w:t>
            </w:r>
            <w:r w:rsidRPr="000D78F3">
              <w:t>sound.</w:t>
            </w:r>
          </w:p>
        </w:tc>
        <w:tc>
          <w:tcPr>
            <w:tcW w:w="562" w:type="pct"/>
          </w:tcPr>
          <w:p w14:paraId="7A0F1EFC" w14:textId="77777777" w:rsidR="00E82CA6" w:rsidRDefault="00E82CA6" w:rsidP="00ED1410">
            <w:pPr>
              <w:pStyle w:val="Tabletext"/>
            </w:pPr>
            <w:r>
              <w:t>Partially implantable MEI</w:t>
            </w:r>
          </w:p>
        </w:tc>
        <w:tc>
          <w:tcPr>
            <w:tcW w:w="562" w:type="pct"/>
          </w:tcPr>
          <w:p w14:paraId="31249465" w14:textId="37964471" w:rsidR="00E82CA6" w:rsidRDefault="00E82CA6" w:rsidP="00ED1410">
            <w:pPr>
              <w:pStyle w:val="Tabletext"/>
            </w:pPr>
            <w:r>
              <w:t>BCI</w:t>
            </w:r>
            <w:r w:rsidR="00C917B5">
              <w:t xml:space="preserve"> (percutaneous or transcutaneous)</w:t>
            </w:r>
          </w:p>
        </w:tc>
        <w:tc>
          <w:tcPr>
            <w:tcW w:w="972" w:type="pct"/>
          </w:tcPr>
          <w:p w14:paraId="34F92020" w14:textId="471AF42F" w:rsidR="00AF0C1B" w:rsidRDefault="0094437F" w:rsidP="00070236">
            <w:pPr>
              <w:pStyle w:val="Tabletext"/>
            </w:pPr>
            <w:r>
              <w:t xml:space="preserve">Same as </w:t>
            </w:r>
            <w:r w:rsidR="00311992">
              <w:t xml:space="preserve">Application </w:t>
            </w:r>
            <w:r>
              <w:t xml:space="preserve">1365 but </w:t>
            </w:r>
            <w:r w:rsidRPr="0094437F">
              <w:rPr>
                <w:b/>
                <w:bCs/>
              </w:rPr>
              <w:t>including</w:t>
            </w:r>
            <w:r>
              <w:t>:</w:t>
            </w:r>
          </w:p>
          <w:p w14:paraId="58B959DB" w14:textId="77777777" w:rsidR="00AF0C1B" w:rsidRDefault="00AA41D3" w:rsidP="00AF0C1B">
            <w:pPr>
              <w:pStyle w:val="Tabletext"/>
              <w:numPr>
                <w:ilvl w:val="0"/>
                <w:numId w:val="34"/>
              </w:numPr>
              <w:spacing w:before="0" w:after="0"/>
              <w:ind w:left="323" w:hanging="323"/>
            </w:pPr>
            <w:r>
              <w:t>sound localisation testing</w:t>
            </w:r>
          </w:p>
          <w:p w14:paraId="635DC16E" w14:textId="73E95045" w:rsidR="00AA41D3" w:rsidRDefault="00070236" w:rsidP="00AF0C1B">
            <w:pPr>
              <w:pStyle w:val="Tabletext"/>
              <w:numPr>
                <w:ilvl w:val="0"/>
                <w:numId w:val="34"/>
              </w:numPr>
              <w:spacing w:before="0" w:after="0"/>
              <w:ind w:left="323" w:hanging="323"/>
            </w:pPr>
            <w:r>
              <w:t>a</w:t>
            </w:r>
            <w:r w:rsidR="00AA41D3">
              <w:t xml:space="preserve">bsence of clinical management, maintenance and replacement costs associated with </w:t>
            </w:r>
            <w:r>
              <w:t>external abutments</w:t>
            </w:r>
          </w:p>
        </w:tc>
      </w:tr>
    </w:tbl>
    <w:p w14:paraId="0A5A1659" w14:textId="1E8DC863" w:rsidR="00E82CA6" w:rsidRDefault="00E82CA6" w:rsidP="005203EE">
      <w:pPr>
        <w:pStyle w:val="Tablenotes"/>
        <w:contextualSpacing/>
      </w:pPr>
      <w:r>
        <w:t xml:space="preserve">AC = air conduction; </w:t>
      </w:r>
      <w:r w:rsidR="00D8109C">
        <w:t xml:space="preserve">AE = adverse event; </w:t>
      </w:r>
      <w:r>
        <w:t xml:space="preserve">AMEI = active middle ear implant; </w:t>
      </w:r>
      <w:r w:rsidR="00F93567">
        <w:t xml:space="preserve">APHAB = </w:t>
      </w:r>
      <w:r w:rsidR="00F93567" w:rsidRPr="00F93567">
        <w:t>Abbreviated Profile of Hearing Aid Benefit</w:t>
      </w:r>
      <w:r w:rsidR="004B58EA">
        <w:t xml:space="preserve">; </w:t>
      </w:r>
      <w:r>
        <w:t xml:space="preserve">BAHA = bone anchored hearing aid; BCI = bone conduction implant; </w:t>
      </w:r>
      <w:r w:rsidR="00F87860">
        <w:t>BE</w:t>
      </w:r>
      <w:r w:rsidR="008F5F80">
        <w:t> </w:t>
      </w:r>
      <w:r w:rsidR="00F87860">
        <w:t xml:space="preserve">HL = better ear hearing level; </w:t>
      </w:r>
      <w:r>
        <w:t xml:space="preserve">CHL = conductive hearing loss; CI = cochlear implant; dB = decibels; </w:t>
      </w:r>
      <w:r w:rsidR="001C0E69">
        <w:t>dB</w:t>
      </w:r>
      <w:r w:rsidR="008F5F80">
        <w:t> </w:t>
      </w:r>
      <w:r w:rsidR="001C0E69">
        <w:t xml:space="preserve">HL = decibels hearing level; </w:t>
      </w:r>
      <w:r>
        <w:t xml:space="preserve">HA = conventional hearing aid; </w:t>
      </w:r>
      <w:r w:rsidR="001C0E69">
        <w:t xml:space="preserve">HL = hearing loss; </w:t>
      </w:r>
      <w:r>
        <w:t xml:space="preserve">MEI = middle ear implant; MHL = mixed hearing loss; PTA = pure tone </w:t>
      </w:r>
      <w:r w:rsidR="00B3288E">
        <w:t>average</w:t>
      </w:r>
      <w:r>
        <w:t xml:space="preserve">; </w:t>
      </w:r>
      <w:r w:rsidR="00CD30F0">
        <w:t xml:space="preserve">PTA4 = 4-frequency </w:t>
      </w:r>
      <w:r w:rsidR="00CD30F0" w:rsidRPr="00792874">
        <w:t>pure</w:t>
      </w:r>
      <w:r w:rsidR="00CD30F0">
        <w:t xml:space="preserve"> tone average</w:t>
      </w:r>
      <w:r w:rsidR="00E14D78">
        <w:t xml:space="preserve"> (typically </w:t>
      </w:r>
      <w:r w:rsidR="00E14D78" w:rsidRPr="005F2EEC">
        <w:t>500, 1000, 2000, 4000 H</w:t>
      </w:r>
      <w:r w:rsidR="00E14D78">
        <w:t>ert</w:t>
      </w:r>
      <w:r w:rsidR="00E14D78" w:rsidRPr="005F2EEC">
        <w:t>z</w:t>
      </w:r>
      <w:r w:rsidR="00E14D78">
        <w:t>)</w:t>
      </w:r>
      <w:r w:rsidR="00CD30F0">
        <w:t xml:space="preserve">; </w:t>
      </w:r>
      <w:r>
        <w:t>SNHL = sensorineural hearing loss.</w:t>
      </w:r>
    </w:p>
    <w:p w14:paraId="3D54BB0A" w14:textId="77777777" w:rsidR="00E61C03" w:rsidRDefault="00E61C03" w:rsidP="00E61C03">
      <w:pPr>
        <w:pStyle w:val="Tablenotes"/>
        <w:contextualSpacing/>
      </w:pPr>
      <w:r>
        <w:t xml:space="preserve">a. Proposed and final </w:t>
      </w:r>
      <w:r w:rsidRPr="005A64C5">
        <w:t>MBS item descriptor refer</w:t>
      </w:r>
      <w:r>
        <w:t>red</w:t>
      </w:r>
      <w:r w:rsidRPr="005A64C5">
        <w:t xml:space="preserve"> to mastoidectomy, not vibroplasty.</w:t>
      </w:r>
    </w:p>
    <w:p w14:paraId="76983969" w14:textId="77777777" w:rsidR="00E61C03" w:rsidRDefault="00E61C03" w:rsidP="00E61C03">
      <w:pPr>
        <w:pStyle w:val="Tablenotes"/>
        <w:spacing w:after="0"/>
      </w:pPr>
      <w:r>
        <w:t xml:space="preserve">b. </w:t>
      </w:r>
      <w:r w:rsidRPr="006A3F6F">
        <w:t>Mild hearing loss = 20 – 40 dB</w:t>
      </w:r>
      <w:r>
        <w:t> </w:t>
      </w:r>
      <w:r w:rsidRPr="006A3F6F">
        <w:t>HL; Moderate hearing loss = 41 – 70 dB</w:t>
      </w:r>
      <w:r>
        <w:t> </w:t>
      </w:r>
      <w:r w:rsidRPr="006A3F6F">
        <w:t>HL.</w:t>
      </w:r>
    </w:p>
    <w:p w14:paraId="47DC12AD" w14:textId="77777777" w:rsidR="007420C2" w:rsidRDefault="007420C2" w:rsidP="007420C2">
      <w:pPr>
        <w:pStyle w:val="Tablenotes"/>
      </w:pPr>
      <w:r>
        <w:t>Source: MSAC Application 1137 Assessment report (department contracted), July 2010; MSAC Application 1365 Final Protocol, October 2014; MSAC Application 1365.1 Re-submission to MSAC (applicant developed), October 2015; MSAC Application 1364 Final Protocol, April 2015.</w:t>
      </w:r>
    </w:p>
    <w:p w14:paraId="76522180" w14:textId="77777777" w:rsidR="007420C2" w:rsidRDefault="007420C2" w:rsidP="00E82CA6">
      <w:pPr>
        <w:pStyle w:val="Tablenotes"/>
      </w:pPr>
    </w:p>
    <w:p w14:paraId="66002C5B" w14:textId="77777777" w:rsidR="00E42977" w:rsidRDefault="00E42977" w:rsidP="00E82CA6">
      <w:pPr>
        <w:pStyle w:val="Tablenotes"/>
        <w:sectPr w:rsidR="00E42977" w:rsidSect="00E82CA6">
          <w:pgSz w:w="16838" w:h="11906" w:orient="landscape"/>
          <w:pgMar w:top="1191" w:right="682" w:bottom="1134" w:left="1021" w:header="709" w:footer="709" w:gutter="0"/>
          <w:cols w:space="708"/>
          <w:docGrid w:linePitch="360"/>
        </w:sectPr>
      </w:pPr>
    </w:p>
    <w:p w14:paraId="1525CB97" w14:textId="09B22F41" w:rsidR="00E42977" w:rsidRDefault="00E42977" w:rsidP="00E42977">
      <w:pPr>
        <w:pStyle w:val="Caption"/>
      </w:pPr>
      <w:bookmarkStart w:id="29" w:name="_Ref201414280"/>
      <w:r>
        <w:lastRenderedPageBreak/>
        <w:t xml:space="preserve">Box </w:t>
      </w:r>
      <w:r>
        <w:fldChar w:fldCharType="begin"/>
      </w:r>
      <w:r>
        <w:instrText xml:space="preserve"> SEQ Box \* ARABIC </w:instrText>
      </w:r>
      <w:r>
        <w:fldChar w:fldCharType="separate"/>
      </w:r>
      <w:r w:rsidR="0006468C">
        <w:rPr>
          <w:noProof/>
        </w:rPr>
        <w:t>2</w:t>
      </w:r>
      <w:r>
        <w:fldChar w:fldCharType="end"/>
      </w:r>
      <w:bookmarkEnd w:id="29"/>
      <w:r w:rsidR="00FA5903">
        <w:tab/>
        <w:t>Proposed MBS item descriptor in M</w:t>
      </w:r>
      <w:r w:rsidR="000B647A">
        <w:t>SAC</w:t>
      </w:r>
      <w:r w:rsidR="00FA5903">
        <w:t xml:space="preserve"> Application 1364</w:t>
      </w:r>
      <w:r w:rsidR="00265268">
        <w:t xml:space="preserve"> (withdrawn)</w:t>
      </w:r>
    </w:p>
    <w:tbl>
      <w:tblPr>
        <w:tblStyle w:val="TableGrid"/>
        <w:tblW w:w="0" w:type="auto"/>
        <w:tblInd w:w="0" w:type="dxa"/>
        <w:tblLook w:val="04A0" w:firstRow="1" w:lastRow="0" w:firstColumn="1" w:lastColumn="0" w:noHBand="0" w:noVBand="1"/>
        <w:tblCaption w:val="Proposed MBS item descriptor in MSAC Application 1364"/>
        <w:tblDescription w:val="Provides the item descriptor and fee for the proposed MBS item in MSAC application 1364 (withdrawn)"/>
      </w:tblPr>
      <w:tblGrid>
        <w:gridCol w:w="9242"/>
      </w:tblGrid>
      <w:tr w:rsidR="00FA5903" w:rsidRPr="00D2670B" w14:paraId="0C280954" w14:textId="77777777" w:rsidTr="00B0766F">
        <w:trPr>
          <w:cantSplit/>
          <w:tblHeader/>
        </w:trPr>
        <w:tc>
          <w:tcPr>
            <w:tcW w:w="9242" w:type="dxa"/>
            <w:tcBorders>
              <w:top w:val="single" w:sz="4" w:space="0" w:color="auto"/>
              <w:left w:val="single" w:sz="4" w:space="0" w:color="auto"/>
              <w:bottom w:val="single" w:sz="4" w:space="0" w:color="auto"/>
              <w:right w:val="single" w:sz="4" w:space="0" w:color="auto"/>
            </w:tcBorders>
            <w:hideMark/>
          </w:tcPr>
          <w:p w14:paraId="4FDA7E31" w14:textId="2E2B83CC" w:rsidR="00FA5903" w:rsidRPr="005D0778" w:rsidRDefault="00FA5903" w:rsidP="005D0778">
            <w:pPr>
              <w:spacing w:before="40" w:after="40" w:line="240" w:lineRule="auto"/>
              <w:ind w:left="22"/>
              <w:rPr>
                <w:b/>
                <w:bCs/>
              </w:rPr>
            </w:pPr>
            <w:r w:rsidRPr="005E2CD9">
              <w:rPr>
                <w:rFonts w:ascii="Arial Narrow" w:hAnsi="Arial Narrow"/>
                <w:b/>
                <w:bCs/>
                <w:sz w:val="20"/>
                <w:szCs w:val="20"/>
              </w:rPr>
              <w:t xml:space="preserve">Category </w:t>
            </w:r>
            <w:r w:rsidRPr="00F37FE0">
              <w:rPr>
                <w:rFonts w:ascii="Arial Narrow" w:hAnsi="Arial Narrow"/>
                <w:b/>
                <w:bCs/>
                <w:sz w:val="20"/>
                <w:szCs w:val="20"/>
              </w:rPr>
              <w:t>3 – THERAPEUTIC PROCEDURES</w:t>
            </w:r>
          </w:p>
        </w:tc>
      </w:tr>
      <w:tr w:rsidR="00FA5903" w:rsidRPr="005771DC" w14:paraId="0EE7062D" w14:textId="77777777" w:rsidTr="00B0766F">
        <w:trPr>
          <w:cantSplit/>
          <w:tblHeader/>
        </w:trPr>
        <w:tc>
          <w:tcPr>
            <w:tcW w:w="9242" w:type="dxa"/>
            <w:tcBorders>
              <w:top w:val="single" w:sz="4" w:space="0" w:color="auto"/>
              <w:left w:val="single" w:sz="4" w:space="0" w:color="auto"/>
              <w:bottom w:val="single" w:sz="4" w:space="0" w:color="auto"/>
              <w:right w:val="single" w:sz="4" w:space="0" w:color="auto"/>
            </w:tcBorders>
          </w:tcPr>
          <w:p w14:paraId="76FA81BA" w14:textId="103E818E" w:rsidR="00FA5903" w:rsidRPr="001A793C" w:rsidRDefault="00FA5903" w:rsidP="00ED1410">
            <w:pPr>
              <w:spacing w:before="120" w:after="120" w:line="240" w:lineRule="auto"/>
              <w:rPr>
                <w:rFonts w:ascii="Arial Narrow" w:hAnsi="Arial Narrow"/>
                <w:b/>
                <w:bCs/>
                <w:sz w:val="20"/>
                <w:szCs w:val="20"/>
              </w:rPr>
            </w:pPr>
            <w:r w:rsidRPr="001A793C">
              <w:rPr>
                <w:rFonts w:ascii="Arial Narrow" w:hAnsi="Arial Narrow"/>
                <w:b/>
                <w:bCs/>
                <w:sz w:val="20"/>
                <w:szCs w:val="20"/>
              </w:rPr>
              <w:t xml:space="preserve">MBS item </w:t>
            </w:r>
            <w:r w:rsidR="005D0778">
              <w:rPr>
                <w:rFonts w:ascii="Arial Narrow" w:hAnsi="Arial Narrow"/>
                <w:b/>
                <w:bCs/>
                <w:sz w:val="20"/>
                <w:szCs w:val="20"/>
              </w:rPr>
              <w:t>YYYYY</w:t>
            </w:r>
          </w:p>
          <w:p w14:paraId="7A61A5B0" w14:textId="2919A291" w:rsidR="00B4108A" w:rsidRPr="00B4108A" w:rsidRDefault="00B4108A" w:rsidP="00B4108A">
            <w:pPr>
              <w:spacing w:before="120" w:after="120" w:line="240" w:lineRule="auto"/>
              <w:rPr>
                <w:rFonts w:ascii="Arial Narrow" w:hAnsi="Arial Narrow"/>
                <w:sz w:val="20"/>
                <w:szCs w:val="20"/>
              </w:rPr>
            </w:pPr>
            <w:r w:rsidRPr="00B4108A">
              <w:rPr>
                <w:rFonts w:ascii="Arial Narrow" w:hAnsi="Arial Narrow"/>
                <w:sz w:val="20"/>
                <w:szCs w:val="20"/>
              </w:rPr>
              <w:t>Middle ear implant, partially implantable, insertion of, including mastoidectomy, for patients with conductive</w:t>
            </w:r>
            <w:r>
              <w:rPr>
                <w:rFonts w:ascii="Arial Narrow" w:hAnsi="Arial Narrow"/>
                <w:sz w:val="20"/>
                <w:szCs w:val="20"/>
              </w:rPr>
              <w:t xml:space="preserve"> </w:t>
            </w:r>
            <w:r w:rsidRPr="00B4108A">
              <w:rPr>
                <w:rFonts w:ascii="Arial Narrow" w:hAnsi="Arial Narrow"/>
                <w:sz w:val="20"/>
                <w:szCs w:val="20"/>
              </w:rPr>
              <w:t>or mixed hearing loss who meet all the criteria listed below:</w:t>
            </w:r>
          </w:p>
          <w:p w14:paraId="0F1E3AAA" w14:textId="2696A452" w:rsidR="00B4108A" w:rsidRPr="008E3B02" w:rsidRDefault="00B4108A" w:rsidP="008E3B02">
            <w:pPr>
              <w:pStyle w:val="ListParagraph"/>
              <w:numPr>
                <w:ilvl w:val="0"/>
                <w:numId w:val="37"/>
              </w:numPr>
              <w:spacing w:before="120" w:after="120" w:line="240" w:lineRule="auto"/>
              <w:rPr>
                <w:rFonts w:ascii="Arial Narrow" w:hAnsi="Arial Narrow"/>
                <w:sz w:val="20"/>
                <w:szCs w:val="20"/>
              </w:rPr>
            </w:pPr>
            <w:r w:rsidRPr="008E3B02">
              <w:rPr>
                <w:rFonts w:ascii="Arial Narrow" w:hAnsi="Arial Narrow"/>
                <w:sz w:val="20"/>
                <w:szCs w:val="20"/>
              </w:rPr>
              <w:t>ear pathology that prevents the use of a conventional hearing aid</w:t>
            </w:r>
          </w:p>
          <w:p w14:paraId="72AD5E5C" w14:textId="055985AB" w:rsidR="00B4108A" w:rsidRPr="00B4108A" w:rsidRDefault="00B4108A" w:rsidP="008E3B02">
            <w:pPr>
              <w:pStyle w:val="ListParagraph"/>
              <w:numPr>
                <w:ilvl w:val="0"/>
                <w:numId w:val="37"/>
              </w:numPr>
              <w:spacing w:before="120" w:after="120" w:line="240" w:lineRule="auto"/>
              <w:rPr>
                <w:rFonts w:ascii="Arial Narrow" w:hAnsi="Arial Narrow"/>
                <w:sz w:val="20"/>
                <w:szCs w:val="20"/>
              </w:rPr>
            </w:pPr>
            <w:r w:rsidRPr="00B4108A">
              <w:rPr>
                <w:rFonts w:ascii="Arial Narrow" w:hAnsi="Arial Narrow"/>
                <w:sz w:val="20"/>
                <w:szCs w:val="20"/>
              </w:rPr>
              <w:t>unsuited or unsuccessful to alternative treatments (e.g. middle ear surgery, ear reconstruction surgery,</w:t>
            </w:r>
            <w:r>
              <w:rPr>
                <w:rFonts w:ascii="Arial Narrow" w:hAnsi="Arial Narrow"/>
                <w:sz w:val="20"/>
                <w:szCs w:val="20"/>
              </w:rPr>
              <w:t xml:space="preserve"> </w:t>
            </w:r>
            <w:r w:rsidRPr="00B4108A">
              <w:rPr>
                <w:rFonts w:ascii="Arial Narrow" w:hAnsi="Arial Narrow"/>
                <w:sz w:val="20"/>
                <w:szCs w:val="20"/>
              </w:rPr>
              <w:t>or due to anatomical anomalies, chronic pathologies, or previous repeated failed middle ear surgeries</w:t>
            </w:r>
            <w:r>
              <w:rPr>
                <w:rFonts w:ascii="Arial Narrow" w:hAnsi="Arial Narrow"/>
                <w:sz w:val="20"/>
                <w:szCs w:val="20"/>
              </w:rPr>
              <w:t xml:space="preserve"> </w:t>
            </w:r>
            <w:r w:rsidRPr="00B4108A">
              <w:rPr>
                <w:rFonts w:ascii="Arial Narrow" w:hAnsi="Arial Narrow"/>
                <w:sz w:val="20"/>
                <w:szCs w:val="20"/>
              </w:rPr>
              <w:t>etc.).</w:t>
            </w:r>
          </w:p>
          <w:p w14:paraId="0009F699" w14:textId="3082B4BC" w:rsidR="00B4108A" w:rsidRPr="00B4108A" w:rsidRDefault="00B4108A" w:rsidP="008E3B02">
            <w:pPr>
              <w:pStyle w:val="ListParagraph"/>
              <w:numPr>
                <w:ilvl w:val="0"/>
                <w:numId w:val="37"/>
              </w:numPr>
              <w:spacing w:before="120" w:after="120" w:line="240" w:lineRule="auto"/>
              <w:rPr>
                <w:rFonts w:ascii="Arial Narrow" w:hAnsi="Arial Narrow"/>
                <w:sz w:val="20"/>
                <w:szCs w:val="20"/>
              </w:rPr>
            </w:pPr>
            <w:r w:rsidRPr="00B4108A">
              <w:rPr>
                <w:rFonts w:ascii="Arial Narrow" w:hAnsi="Arial Narrow"/>
                <w:sz w:val="20"/>
                <w:szCs w:val="20"/>
              </w:rPr>
              <w:t>mild to moderate hearing impairment as indicated by BSA air-conduction thresholds</w:t>
            </w:r>
          </w:p>
          <w:p w14:paraId="2B7F4955" w14:textId="789FCFB3" w:rsidR="00B4108A" w:rsidRPr="00B4108A" w:rsidRDefault="00B4108A" w:rsidP="008E3B02">
            <w:pPr>
              <w:pStyle w:val="ListParagraph"/>
              <w:numPr>
                <w:ilvl w:val="0"/>
                <w:numId w:val="37"/>
              </w:numPr>
              <w:spacing w:before="120" w:after="120" w:line="240" w:lineRule="auto"/>
              <w:rPr>
                <w:rFonts w:ascii="Arial Narrow" w:hAnsi="Arial Narrow"/>
                <w:sz w:val="20"/>
                <w:szCs w:val="20"/>
              </w:rPr>
            </w:pPr>
            <w:r w:rsidRPr="00B4108A">
              <w:rPr>
                <w:rFonts w:ascii="Arial Narrow" w:hAnsi="Arial Narrow"/>
                <w:sz w:val="20"/>
                <w:szCs w:val="20"/>
              </w:rPr>
              <w:t>stable (less than 10 dB variations over two years for adults), pure-tone bone-conduction threshold</w:t>
            </w:r>
            <w:r>
              <w:rPr>
                <w:rFonts w:ascii="Arial Narrow" w:hAnsi="Arial Narrow"/>
                <w:sz w:val="20"/>
                <w:szCs w:val="20"/>
              </w:rPr>
              <w:t xml:space="preserve"> </w:t>
            </w:r>
            <w:r w:rsidRPr="00B4108A">
              <w:rPr>
                <w:rFonts w:ascii="Arial Narrow" w:hAnsi="Arial Narrow"/>
                <w:sz w:val="20"/>
                <w:szCs w:val="20"/>
              </w:rPr>
              <w:t>levels</w:t>
            </w:r>
          </w:p>
          <w:p w14:paraId="4D2D1A3D" w14:textId="0373DF76" w:rsidR="00B4108A" w:rsidRPr="00B4108A" w:rsidRDefault="00B4108A" w:rsidP="008E3B02">
            <w:pPr>
              <w:pStyle w:val="ListParagraph"/>
              <w:numPr>
                <w:ilvl w:val="0"/>
                <w:numId w:val="37"/>
              </w:numPr>
              <w:spacing w:before="120" w:after="120" w:line="240" w:lineRule="auto"/>
              <w:rPr>
                <w:rFonts w:ascii="Arial Narrow" w:hAnsi="Arial Narrow"/>
                <w:sz w:val="20"/>
                <w:szCs w:val="20"/>
              </w:rPr>
            </w:pPr>
            <w:r w:rsidRPr="00B4108A">
              <w:rPr>
                <w:rFonts w:ascii="Arial Narrow" w:hAnsi="Arial Narrow"/>
                <w:sz w:val="20"/>
                <w:szCs w:val="20"/>
              </w:rPr>
              <w:t>speech audiometry curve adequate to the respective PTA</w:t>
            </w:r>
          </w:p>
          <w:p w14:paraId="71B57D1B" w14:textId="77777777" w:rsidR="00B4108A" w:rsidRDefault="00B4108A" w:rsidP="008E3B02">
            <w:pPr>
              <w:pStyle w:val="ListParagraph"/>
              <w:numPr>
                <w:ilvl w:val="0"/>
                <w:numId w:val="37"/>
              </w:numPr>
              <w:spacing w:before="120" w:after="120" w:line="240" w:lineRule="auto"/>
              <w:rPr>
                <w:rFonts w:ascii="Arial Narrow" w:hAnsi="Arial Narrow"/>
                <w:sz w:val="20"/>
                <w:szCs w:val="20"/>
              </w:rPr>
            </w:pPr>
            <w:r w:rsidRPr="00B4108A">
              <w:rPr>
                <w:rFonts w:ascii="Arial Narrow" w:hAnsi="Arial Narrow"/>
                <w:sz w:val="20"/>
                <w:szCs w:val="20"/>
              </w:rPr>
              <w:t>accessible round window or oval window and anatomy that allows the transducer to be placed on a</w:t>
            </w:r>
            <w:r>
              <w:rPr>
                <w:rFonts w:ascii="Arial Narrow" w:hAnsi="Arial Narrow"/>
                <w:sz w:val="20"/>
                <w:szCs w:val="20"/>
              </w:rPr>
              <w:t xml:space="preserve"> </w:t>
            </w:r>
            <w:r w:rsidRPr="00B4108A">
              <w:rPr>
                <w:rFonts w:ascii="Arial Narrow" w:hAnsi="Arial Narrow"/>
                <w:sz w:val="20"/>
                <w:szCs w:val="20"/>
              </w:rPr>
              <w:t>suitable vibratory structure</w:t>
            </w:r>
          </w:p>
          <w:p w14:paraId="51A9BBB7" w14:textId="3FBA860D" w:rsidR="00B4108A" w:rsidRPr="00B4108A" w:rsidRDefault="00B4108A" w:rsidP="008E3B02">
            <w:pPr>
              <w:pStyle w:val="ListParagraph"/>
              <w:numPr>
                <w:ilvl w:val="0"/>
                <w:numId w:val="37"/>
              </w:numPr>
              <w:spacing w:before="120" w:after="120" w:line="240" w:lineRule="auto"/>
              <w:rPr>
                <w:rFonts w:ascii="Arial Narrow" w:hAnsi="Arial Narrow"/>
                <w:sz w:val="20"/>
                <w:szCs w:val="20"/>
              </w:rPr>
            </w:pPr>
            <w:r w:rsidRPr="00B4108A">
              <w:rPr>
                <w:rFonts w:ascii="Arial Narrow" w:hAnsi="Arial Narrow"/>
                <w:sz w:val="20"/>
                <w:szCs w:val="20"/>
              </w:rPr>
              <w:t>absence of active middle ear infections</w:t>
            </w:r>
          </w:p>
          <w:p w14:paraId="77934654" w14:textId="7F982837" w:rsidR="00B4108A" w:rsidRPr="00B4108A" w:rsidRDefault="00B4108A" w:rsidP="008E3B02">
            <w:pPr>
              <w:pStyle w:val="ListParagraph"/>
              <w:numPr>
                <w:ilvl w:val="0"/>
                <w:numId w:val="37"/>
              </w:numPr>
              <w:spacing w:before="120" w:after="120" w:line="240" w:lineRule="auto"/>
              <w:rPr>
                <w:rFonts w:ascii="Arial Narrow" w:hAnsi="Arial Narrow"/>
                <w:sz w:val="20"/>
                <w:szCs w:val="20"/>
              </w:rPr>
            </w:pPr>
            <w:r w:rsidRPr="00B4108A">
              <w:rPr>
                <w:rFonts w:ascii="Arial Narrow" w:hAnsi="Arial Narrow"/>
                <w:sz w:val="20"/>
                <w:szCs w:val="20"/>
              </w:rPr>
              <w:t>absence of retro-cochlear or central auditory disorders</w:t>
            </w:r>
          </w:p>
          <w:p w14:paraId="67FDECBD" w14:textId="67E14B33" w:rsidR="00B4108A" w:rsidRPr="00B4108A" w:rsidRDefault="00B4108A" w:rsidP="008E3B02">
            <w:pPr>
              <w:pStyle w:val="ListParagraph"/>
              <w:numPr>
                <w:ilvl w:val="0"/>
                <w:numId w:val="37"/>
              </w:numPr>
              <w:spacing w:before="120" w:after="120" w:line="240" w:lineRule="auto"/>
              <w:rPr>
                <w:rFonts w:ascii="Arial Narrow" w:hAnsi="Arial Narrow"/>
                <w:sz w:val="20"/>
                <w:szCs w:val="20"/>
              </w:rPr>
            </w:pPr>
            <w:r w:rsidRPr="00B4108A">
              <w:rPr>
                <w:rFonts w:ascii="Arial Narrow" w:hAnsi="Arial Narrow"/>
                <w:sz w:val="20"/>
                <w:szCs w:val="20"/>
              </w:rPr>
              <w:t xml:space="preserve">speech perception discrimination of </w:t>
            </w:r>
            <w:r w:rsidR="009F692A" w:rsidRPr="008E3B02">
              <w:rPr>
                <w:rFonts w:ascii="Arial Narrow" w:hAnsi="Arial Narrow"/>
                <w:sz w:val="20"/>
                <w:szCs w:val="20"/>
              </w:rPr>
              <w:t>≥</w:t>
            </w:r>
            <w:r w:rsidRPr="00B4108A">
              <w:rPr>
                <w:rFonts w:ascii="Arial Narrow" w:hAnsi="Arial Narrow"/>
                <w:sz w:val="20"/>
                <w:szCs w:val="20"/>
              </w:rPr>
              <w:t>65% correct with appropriately amplified sound</w:t>
            </w:r>
          </w:p>
          <w:p w14:paraId="137001FA" w14:textId="7C09CA28" w:rsidR="00B4108A" w:rsidRPr="00B4108A" w:rsidRDefault="009C2D3D" w:rsidP="008E3B02">
            <w:pPr>
              <w:pStyle w:val="ListParagraph"/>
              <w:numPr>
                <w:ilvl w:val="0"/>
                <w:numId w:val="37"/>
              </w:numPr>
              <w:spacing w:before="120" w:after="120" w:line="240" w:lineRule="auto"/>
              <w:rPr>
                <w:rFonts w:ascii="Arial Narrow" w:hAnsi="Arial Narrow"/>
                <w:sz w:val="20"/>
                <w:szCs w:val="20"/>
              </w:rPr>
            </w:pPr>
            <w:r>
              <w:rPr>
                <w:rFonts w:ascii="Arial Narrow" w:hAnsi="Arial Narrow"/>
                <w:sz w:val="20"/>
                <w:szCs w:val="20"/>
              </w:rPr>
              <w:t>a</w:t>
            </w:r>
            <w:r w:rsidR="00B4108A" w:rsidRPr="00B4108A">
              <w:rPr>
                <w:rFonts w:ascii="Arial Narrow" w:hAnsi="Arial Narrow"/>
                <w:sz w:val="20"/>
                <w:szCs w:val="20"/>
              </w:rPr>
              <w:t>dequate motivation and expectations</w:t>
            </w:r>
          </w:p>
          <w:p w14:paraId="4B089C33" w14:textId="77777777" w:rsidR="00B4108A" w:rsidRPr="00B4108A" w:rsidRDefault="00B4108A" w:rsidP="00B4108A">
            <w:pPr>
              <w:spacing w:before="120" w:after="120" w:line="240" w:lineRule="auto"/>
              <w:rPr>
                <w:rFonts w:ascii="Arial Narrow" w:hAnsi="Arial Narrow"/>
                <w:sz w:val="20"/>
                <w:szCs w:val="20"/>
              </w:rPr>
            </w:pPr>
            <w:r w:rsidRPr="00B4108A">
              <w:rPr>
                <w:rFonts w:ascii="Arial Narrow" w:hAnsi="Arial Narrow"/>
                <w:sz w:val="20"/>
                <w:szCs w:val="20"/>
              </w:rPr>
              <w:t>(Anaes)</w:t>
            </w:r>
          </w:p>
          <w:p w14:paraId="65307435" w14:textId="0181F62B" w:rsidR="00FA5903" w:rsidRPr="00DE762F" w:rsidRDefault="00B4108A" w:rsidP="00B4108A">
            <w:pPr>
              <w:spacing w:before="200" w:after="120" w:line="240" w:lineRule="auto"/>
              <w:rPr>
                <w:rFonts w:ascii="Arial Narrow" w:hAnsi="Arial Narrow"/>
                <w:sz w:val="20"/>
                <w:szCs w:val="20"/>
              </w:rPr>
            </w:pPr>
            <w:r w:rsidRPr="009F692A">
              <w:rPr>
                <w:rFonts w:ascii="Arial Narrow" w:hAnsi="Arial Narrow"/>
                <w:b/>
                <w:bCs/>
                <w:sz w:val="20"/>
                <w:szCs w:val="20"/>
              </w:rPr>
              <w:t>Fee:</w:t>
            </w:r>
            <w:r w:rsidRPr="00B4108A">
              <w:rPr>
                <w:rFonts w:ascii="Arial Narrow" w:hAnsi="Arial Narrow"/>
                <w:sz w:val="20"/>
                <w:szCs w:val="20"/>
              </w:rPr>
              <w:t xml:space="preserve"> $1,876.59 (based on mastoidectomy item</w:t>
            </w:r>
            <w:r w:rsidR="00BE0C99">
              <w:rPr>
                <w:rFonts w:ascii="Arial Narrow" w:hAnsi="Arial Narrow"/>
                <w:sz w:val="20"/>
                <w:szCs w:val="20"/>
              </w:rPr>
              <w:t xml:space="preserve"> at the time</w:t>
            </w:r>
            <w:r w:rsidRPr="00B4108A">
              <w:rPr>
                <w:rFonts w:ascii="Arial Narrow" w:hAnsi="Arial Narrow"/>
                <w:sz w:val="20"/>
                <w:szCs w:val="20"/>
              </w:rPr>
              <w:t>)</w:t>
            </w:r>
          </w:p>
        </w:tc>
      </w:tr>
    </w:tbl>
    <w:p w14:paraId="557765E4" w14:textId="6D1193BE" w:rsidR="00FA5903" w:rsidRDefault="009F692A" w:rsidP="007420C2">
      <w:pPr>
        <w:pStyle w:val="Tablenotes"/>
        <w:spacing w:after="0"/>
      </w:pPr>
      <w:r w:rsidRPr="008E3B02">
        <w:t xml:space="preserve">BSA = </w:t>
      </w:r>
      <w:r w:rsidR="003D1531" w:rsidRPr="008E3B02">
        <w:t xml:space="preserve">British Society of Audiology; </w:t>
      </w:r>
      <w:r w:rsidR="00FA5903" w:rsidRPr="008E3B02">
        <w:t xml:space="preserve">dB = decibels; </w:t>
      </w:r>
      <w:r w:rsidR="00D23595">
        <w:t xml:space="preserve">MBS = Medicare Benefits Schedule; </w:t>
      </w:r>
      <w:r w:rsidR="000B647A">
        <w:t>MSAC</w:t>
      </w:r>
      <w:r w:rsidR="00FA5903" w:rsidRPr="008E3B02">
        <w:t xml:space="preserve"> = </w:t>
      </w:r>
      <w:r w:rsidR="000B647A">
        <w:t xml:space="preserve">Medical </w:t>
      </w:r>
      <w:r w:rsidR="00FA5903" w:rsidRPr="008E3B02">
        <w:t xml:space="preserve">Benefits </w:t>
      </w:r>
      <w:r w:rsidR="000B647A">
        <w:t>Advisory Committee</w:t>
      </w:r>
      <w:r w:rsidR="00FA5903" w:rsidRPr="008E3B02">
        <w:t xml:space="preserve">; PTA = pure tone </w:t>
      </w:r>
      <w:r w:rsidR="00B3288E">
        <w:t>average</w:t>
      </w:r>
      <w:r w:rsidR="00FA5903" w:rsidRPr="008E3B02">
        <w:t>.</w:t>
      </w:r>
    </w:p>
    <w:p w14:paraId="545C9DE7" w14:textId="5F609FFF" w:rsidR="007420C2" w:rsidRDefault="007420C2" w:rsidP="007420C2">
      <w:pPr>
        <w:pStyle w:val="Tablenotes"/>
      </w:pPr>
      <w:r w:rsidRPr="008E3B02">
        <w:t>Source:</w:t>
      </w:r>
      <w:r>
        <w:t xml:space="preserve"> MSAC Application </w:t>
      </w:r>
      <w:hyperlink r:id="rId35" w:tooltip="Hyperink to application page on MSAC website" w:history="1">
        <w:r w:rsidRPr="00AA5AF3">
          <w:rPr>
            <w:rStyle w:val="Hyperlink"/>
            <w:rFonts w:ascii="Arial Narrow" w:hAnsi="Arial Narrow" w:cs="Tahoma"/>
          </w:rPr>
          <w:t>1364</w:t>
        </w:r>
      </w:hyperlink>
      <w:r>
        <w:t xml:space="preserve"> Final Protocol, April 2015.</w:t>
      </w:r>
    </w:p>
    <w:p w14:paraId="2538570A" w14:textId="77777777" w:rsidR="00426F96" w:rsidRDefault="00426F96" w:rsidP="007420C2">
      <w:pPr>
        <w:pStyle w:val="Tablenotes"/>
        <w:sectPr w:rsidR="00426F96" w:rsidSect="00E42977">
          <w:pgSz w:w="11906" w:h="16838"/>
          <w:pgMar w:top="682" w:right="1134" w:bottom="1021" w:left="1191" w:header="709" w:footer="709" w:gutter="0"/>
          <w:cols w:space="708"/>
          <w:docGrid w:linePitch="360"/>
        </w:sectPr>
      </w:pPr>
    </w:p>
    <w:p w14:paraId="7D6FE422" w14:textId="4CD1423C" w:rsidR="00426F96" w:rsidRDefault="00426F96" w:rsidP="00426F96">
      <w:pPr>
        <w:pStyle w:val="Heading2"/>
      </w:pPr>
      <w:bookmarkStart w:id="30" w:name="_Ref201248553"/>
      <w:r>
        <w:lastRenderedPageBreak/>
        <w:t>Appendix</w:t>
      </w:r>
      <w:bookmarkEnd w:id="30"/>
      <w:r>
        <w:t xml:space="preserve"> B</w:t>
      </w:r>
      <w:r>
        <w:tab/>
        <w:t>Existing MBS items</w:t>
      </w:r>
      <w:r w:rsidR="00876AB2">
        <w:t xml:space="preserve"> for </w:t>
      </w:r>
      <w:r w:rsidR="00FB25EA">
        <w:t>implantation of hearing devices</w:t>
      </w:r>
    </w:p>
    <w:p w14:paraId="488FF3D2" w14:textId="754A5BCE" w:rsidR="00426F96" w:rsidRDefault="00426F96" w:rsidP="00426F96">
      <w:pPr>
        <w:pStyle w:val="Caption"/>
      </w:pPr>
      <w:bookmarkStart w:id="31" w:name="_Ref200557306"/>
      <w:r>
        <w:t xml:space="preserve">Box </w:t>
      </w:r>
      <w:r>
        <w:fldChar w:fldCharType="begin"/>
      </w:r>
      <w:r>
        <w:instrText xml:space="preserve"> SEQ Box \* ARABIC </w:instrText>
      </w:r>
      <w:r>
        <w:fldChar w:fldCharType="separate"/>
      </w:r>
      <w:r w:rsidR="0006468C">
        <w:rPr>
          <w:noProof/>
        </w:rPr>
        <w:t>3</w:t>
      </w:r>
      <w:r>
        <w:fldChar w:fldCharType="end"/>
      </w:r>
      <w:bookmarkEnd w:id="31"/>
      <w:r>
        <w:tab/>
        <w:t xml:space="preserve">MBS item for implantation of a middle ear implant for patients with </w:t>
      </w:r>
      <w:r w:rsidR="00485B51">
        <w:t>sensorineural hearing loss</w:t>
      </w:r>
    </w:p>
    <w:tbl>
      <w:tblPr>
        <w:tblStyle w:val="TableGrid"/>
        <w:tblW w:w="5000" w:type="pct"/>
        <w:tblInd w:w="0" w:type="dxa"/>
        <w:tblLook w:val="04A0" w:firstRow="1" w:lastRow="0" w:firstColumn="1" w:lastColumn="0" w:noHBand="0" w:noVBand="1"/>
        <w:tblCaption w:val="MBS item for implantation of a middle ear implant for patients with SNHL"/>
        <w:tblDescription w:val="Full reproduction of MBS item 41618 descriptor and fee."/>
      </w:tblPr>
      <w:tblGrid>
        <w:gridCol w:w="9571"/>
      </w:tblGrid>
      <w:tr w:rsidR="00426F96" w:rsidRPr="00D2670B" w14:paraId="71B32B6B" w14:textId="77777777" w:rsidTr="00B0766F">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5589A8B6" w14:textId="77777777" w:rsidR="00426F96" w:rsidRPr="005E2CD9" w:rsidRDefault="00426F96" w:rsidP="00ED1410">
            <w:pPr>
              <w:spacing w:before="40" w:after="40" w:line="240" w:lineRule="auto"/>
              <w:ind w:left="22"/>
              <w:rPr>
                <w:b/>
                <w:bCs/>
              </w:rPr>
            </w:pPr>
            <w:r w:rsidRPr="005E2CD9">
              <w:rPr>
                <w:rFonts w:ascii="Arial Narrow" w:hAnsi="Arial Narrow"/>
                <w:b/>
                <w:bCs/>
                <w:sz w:val="20"/>
                <w:szCs w:val="20"/>
              </w:rPr>
              <w:t xml:space="preserve">Category </w:t>
            </w:r>
            <w:r w:rsidRPr="00F37FE0">
              <w:rPr>
                <w:rFonts w:ascii="Arial Narrow" w:hAnsi="Arial Narrow"/>
                <w:b/>
                <w:bCs/>
                <w:sz w:val="20"/>
                <w:szCs w:val="20"/>
              </w:rPr>
              <w:t>3 – THERAPEUTIC PROCEDURES</w:t>
            </w:r>
          </w:p>
          <w:p w14:paraId="1D1A3DC3" w14:textId="77777777" w:rsidR="00426F96" w:rsidRPr="005E2CD9" w:rsidRDefault="00426F96" w:rsidP="00ED1410">
            <w:pPr>
              <w:spacing w:before="40" w:after="40" w:line="240" w:lineRule="auto"/>
              <w:ind w:left="22"/>
              <w:rPr>
                <w:rFonts w:ascii="Arial Narrow" w:hAnsi="Arial Narrow"/>
                <w:b/>
                <w:bCs/>
                <w:sz w:val="20"/>
                <w:szCs w:val="20"/>
              </w:rPr>
            </w:pPr>
            <w:r w:rsidRPr="005E2CD9">
              <w:rPr>
                <w:rFonts w:ascii="Arial Narrow" w:hAnsi="Arial Narrow"/>
                <w:b/>
                <w:bCs/>
                <w:sz w:val="20"/>
                <w:szCs w:val="20"/>
              </w:rPr>
              <w:t>Group T8 – Surgical Operations</w:t>
            </w:r>
          </w:p>
          <w:p w14:paraId="12C02E0C" w14:textId="77777777" w:rsidR="00426F96" w:rsidRPr="00DE762F" w:rsidRDefault="00426F96" w:rsidP="00ED1410">
            <w:pPr>
              <w:spacing w:before="40" w:after="40" w:line="240" w:lineRule="auto"/>
              <w:ind w:left="22"/>
              <w:rPr>
                <w:rFonts w:ascii="Arial Narrow" w:hAnsi="Arial Narrow"/>
                <w:sz w:val="20"/>
                <w:szCs w:val="20"/>
              </w:rPr>
            </w:pPr>
            <w:r w:rsidRPr="005E2CD9">
              <w:rPr>
                <w:rFonts w:ascii="Arial Narrow" w:hAnsi="Arial Narrow"/>
                <w:b/>
                <w:bCs/>
                <w:sz w:val="20"/>
                <w:szCs w:val="20"/>
              </w:rPr>
              <w:t>Subgroup 8 – Ear, Nose And Throat</w:t>
            </w:r>
          </w:p>
        </w:tc>
      </w:tr>
      <w:tr w:rsidR="00426F96" w:rsidRPr="005771DC" w14:paraId="46B34F8D" w14:textId="77777777" w:rsidTr="00B0766F">
        <w:trPr>
          <w:cantSplit/>
          <w:tblHeader/>
        </w:trPr>
        <w:tc>
          <w:tcPr>
            <w:tcW w:w="5000" w:type="pct"/>
            <w:tcBorders>
              <w:top w:val="single" w:sz="4" w:space="0" w:color="auto"/>
              <w:left w:val="single" w:sz="4" w:space="0" w:color="auto"/>
              <w:bottom w:val="single" w:sz="4" w:space="0" w:color="auto"/>
              <w:right w:val="single" w:sz="4" w:space="0" w:color="auto"/>
            </w:tcBorders>
          </w:tcPr>
          <w:p w14:paraId="01959665" w14:textId="77777777" w:rsidR="00426F96" w:rsidRPr="001A793C" w:rsidRDefault="00426F96" w:rsidP="00ED1410">
            <w:pPr>
              <w:spacing w:before="120" w:after="120" w:line="240" w:lineRule="auto"/>
              <w:rPr>
                <w:rFonts w:ascii="Arial Narrow" w:hAnsi="Arial Narrow"/>
                <w:b/>
                <w:bCs/>
                <w:sz w:val="20"/>
                <w:szCs w:val="20"/>
              </w:rPr>
            </w:pPr>
            <w:r w:rsidRPr="001A793C">
              <w:rPr>
                <w:rFonts w:ascii="Arial Narrow" w:hAnsi="Arial Narrow"/>
                <w:b/>
                <w:bCs/>
                <w:sz w:val="20"/>
                <w:szCs w:val="20"/>
              </w:rPr>
              <w:t>MBS item 41618</w:t>
            </w:r>
          </w:p>
          <w:p w14:paraId="62B7512B" w14:textId="77777777"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 xml:space="preserve">Middle ear implant, partially implantable, insertion of, via mastoidectomy, for patients with: </w:t>
            </w:r>
          </w:p>
          <w:p w14:paraId="2DB1CC78" w14:textId="77777777"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(a) stable sensorineural hearing loss; and</w:t>
            </w:r>
          </w:p>
          <w:p w14:paraId="18FDE17A" w14:textId="77777777"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(b) outer ear pathology that prevents the use of a conventional hearing aid; and</w:t>
            </w:r>
          </w:p>
          <w:p w14:paraId="5EBFBC8A" w14:textId="0581AA25"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(c) a PTA4 of less than 80 dB</w:t>
            </w:r>
            <w:r w:rsidR="002F4118">
              <w:rPr>
                <w:rFonts w:ascii="Arial Narrow" w:hAnsi="Arial Narrow"/>
                <w:sz w:val="20"/>
                <w:szCs w:val="20"/>
              </w:rPr>
              <w:t> </w:t>
            </w:r>
            <w:r w:rsidRPr="00F76AF7">
              <w:rPr>
                <w:rFonts w:ascii="Arial Narrow" w:hAnsi="Arial Narrow"/>
                <w:sz w:val="20"/>
                <w:szCs w:val="20"/>
              </w:rPr>
              <w:t>HL; and</w:t>
            </w:r>
          </w:p>
          <w:p w14:paraId="7CB0F550" w14:textId="4170E1C7"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(d) bilateral, symmetrical hearing loss with PTA thresholds in both ears within 20 dB</w:t>
            </w:r>
            <w:r w:rsidR="002F4118">
              <w:rPr>
                <w:rFonts w:ascii="Arial Narrow" w:hAnsi="Arial Narrow"/>
                <w:sz w:val="20"/>
                <w:szCs w:val="20"/>
              </w:rPr>
              <w:t> </w:t>
            </w:r>
            <w:r w:rsidRPr="00F76AF7">
              <w:rPr>
                <w:rFonts w:ascii="Arial Narrow" w:hAnsi="Arial Narrow"/>
                <w:sz w:val="20"/>
                <w:szCs w:val="20"/>
              </w:rPr>
              <w:t>HL (0.5</w:t>
            </w:r>
            <w:r w:rsidRPr="00F76AF7">
              <w:rPr>
                <w:rFonts w:ascii="Cambria Math" w:hAnsi="Cambria Math" w:cs="Cambria Math"/>
                <w:sz w:val="20"/>
                <w:szCs w:val="20"/>
              </w:rPr>
              <w:t>‑</w:t>
            </w:r>
            <w:r w:rsidRPr="00F76AF7">
              <w:rPr>
                <w:rFonts w:ascii="Arial Narrow" w:hAnsi="Arial Narrow"/>
                <w:sz w:val="20"/>
                <w:szCs w:val="20"/>
              </w:rPr>
              <w:t>4</w:t>
            </w:r>
            <w:r w:rsidR="00C95738">
              <w:rPr>
                <w:rFonts w:ascii="Arial Narrow" w:hAnsi="Arial Narrow"/>
                <w:sz w:val="20"/>
                <w:szCs w:val="20"/>
              </w:rPr>
              <w:t> </w:t>
            </w:r>
            <w:r w:rsidRPr="00F76AF7">
              <w:rPr>
                <w:rFonts w:ascii="Arial Narrow" w:hAnsi="Arial Narrow"/>
                <w:sz w:val="20"/>
                <w:szCs w:val="20"/>
              </w:rPr>
              <w:t>kHz) of each other; and</w:t>
            </w:r>
          </w:p>
          <w:p w14:paraId="2BBFEF95" w14:textId="77777777"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(e) speech perception discrimination of at least 65% correct for word lists with appropriately amplified sound; and</w:t>
            </w:r>
          </w:p>
          <w:p w14:paraId="7D56E1CB" w14:textId="77777777"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(f) a normal middle ear; and</w:t>
            </w:r>
          </w:p>
          <w:p w14:paraId="09213192" w14:textId="77777777"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(g) normal tympanometry; and</w:t>
            </w:r>
          </w:p>
          <w:p w14:paraId="5977553A" w14:textId="75F52B76"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(h) on audiometry, an air</w:t>
            </w:r>
            <w:r w:rsidRPr="00F76AF7">
              <w:rPr>
                <w:rFonts w:ascii="Cambria Math" w:hAnsi="Cambria Math" w:cs="Cambria Math"/>
                <w:sz w:val="20"/>
                <w:szCs w:val="20"/>
              </w:rPr>
              <w:t>‑</w:t>
            </w:r>
            <w:r w:rsidRPr="00F76AF7">
              <w:rPr>
                <w:rFonts w:ascii="Arial Narrow" w:hAnsi="Arial Narrow"/>
                <w:sz w:val="20"/>
                <w:szCs w:val="20"/>
              </w:rPr>
              <w:t>bone gap of less than 10 dB</w:t>
            </w:r>
            <w:r w:rsidR="002F4118">
              <w:rPr>
                <w:rFonts w:ascii="Arial Narrow" w:hAnsi="Arial Narrow"/>
                <w:sz w:val="20"/>
                <w:szCs w:val="20"/>
              </w:rPr>
              <w:t> </w:t>
            </w:r>
            <w:r w:rsidRPr="00F76AF7">
              <w:rPr>
                <w:rFonts w:ascii="Arial Narrow" w:hAnsi="Arial Narrow"/>
                <w:sz w:val="20"/>
                <w:szCs w:val="20"/>
              </w:rPr>
              <w:t>HL (0.5</w:t>
            </w:r>
            <w:r w:rsidRPr="00F76AF7">
              <w:rPr>
                <w:rFonts w:ascii="Cambria Math" w:hAnsi="Cambria Math" w:cs="Cambria Math"/>
                <w:sz w:val="20"/>
                <w:szCs w:val="20"/>
              </w:rPr>
              <w:t>‑</w:t>
            </w:r>
            <w:r w:rsidRPr="00F76AF7">
              <w:rPr>
                <w:rFonts w:ascii="Arial Narrow" w:hAnsi="Arial Narrow"/>
                <w:sz w:val="20"/>
                <w:szCs w:val="20"/>
              </w:rPr>
              <w:t>4</w:t>
            </w:r>
            <w:r w:rsidR="00AC3BE1">
              <w:rPr>
                <w:rFonts w:ascii="Arial Narrow" w:hAnsi="Arial Narrow"/>
                <w:sz w:val="20"/>
                <w:szCs w:val="20"/>
              </w:rPr>
              <w:t> </w:t>
            </w:r>
            <w:r w:rsidRPr="00F76AF7">
              <w:rPr>
                <w:rFonts w:ascii="Arial Narrow" w:hAnsi="Arial Narrow"/>
                <w:sz w:val="20"/>
                <w:szCs w:val="20"/>
              </w:rPr>
              <w:t>kHz) across all frequencies; and</w:t>
            </w:r>
          </w:p>
          <w:p w14:paraId="520D6BD5" w14:textId="77777777" w:rsidR="00426F96" w:rsidRPr="00F76AF7" w:rsidRDefault="00426F96" w:rsidP="00ED1410">
            <w:pPr>
              <w:spacing w:before="120" w:after="120" w:line="240" w:lineRule="auto"/>
              <w:rPr>
                <w:rFonts w:ascii="Arial Narrow" w:hAnsi="Arial Narrow"/>
                <w:sz w:val="20"/>
                <w:szCs w:val="20"/>
              </w:rPr>
            </w:pPr>
            <w:r w:rsidRPr="00F76AF7">
              <w:rPr>
                <w:rFonts w:ascii="Arial Narrow" w:hAnsi="Arial Narrow"/>
                <w:sz w:val="20"/>
                <w:szCs w:val="20"/>
              </w:rPr>
              <w:t>(i) no other inner ear disorders</w:t>
            </w:r>
          </w:p>
          <w:p w14:paraId="67EEBB72" w14:textId="77777777" w:rsidR="00426F96" w:rsidRPr="00F76AF7" w:rsidRDefault="00426F96" w:rsidP="00ED1410">
            <w:pPr>
              <w:spacing w:before="200" w:after="120" w:line="240" w:lineRule="auto"/>
              <w:rPr>
                <w:rFonts w:ascii="Arial Narrow" w:hAnsi="Arial Narrow"/>
                <w:sz w:val="20"/>
                <w:szCs w:val="20"/>
              </w:rPr>
            </w:pPr>
            <w:r w:rsidRPr="00F76AF7">
              <w:rPr>
                <w:rFonts w:ascii="Arial Narrow" w:hAnsi="Arial Narrow"/>
                <w:sz w:val="20"/>
                <w:szCs w:val="20"/>
              </w:rPr>
              <w:t>Multiple Operation Rule</w:t>
            </w:r>
          </w:p>
          <w:p w14:paraId="4C99E1ED" w14:textId="77777777" w:rsidR="00426F96" w:rsidRPr="00F76AF7" w:rsidRDefault="00426F96" w:rsidP="00ED1410">
            <w:pPr>
              <w:spacing w:before="200" w:after="120" w:line="240" w:lineRule="auto"/>
              <w:rPr>
                <w:rFonts w:ascii="Arial Narrow" w:hAnsi="Arial Narrow"/>
                <w:sz w:val="20"/>
                <w:szCs w:val="20"/>
              </w:rPr>
            </w:pPr>
            <w:r w:rsidRPr="00F76AF7">
              <w:rPr>
                <w:rFonts w:ascii="Arial Narrow" w:hAnsi="Arial Narrow"/>
                <w:sz w:val="20"/>
                <w:szCs w:val="20"/>
              </w:rPr>
              <w:t>(Anaes.) (Assist.)</w:t>
            </w:r>
          </w:p>
          <w:p w14:paraId="467D0EF3" w14:textId="395D37ED" w:rsidR="00426F96" w:rsidRPr="00DE762F" w:rsidRDefault="00426F96" w:rsidP="00ED1410">
            <w:pPr>
              <w:spacing w:before="200" w:after="120" w:line="240" w:lineRule="auto"/>
              <w:rPr>
                <w:rFonts w:ascii="Arial Narrow" w:hAnsi="Arial Narrow"/>
                <w:sz w:val="20"/>
                <w:szCs w:val="20"/>
              </w:rPr>
            </w:pPr>
            <w:r w:rsidRPr="00F76AF7">
              <w:rPr>
                <w:rFonts w:ascii="Arial Narrow" w:hAnsi="Arial Narrow"/>
                <w:b/>
                <w:bCs/>
                <w:sz w:val="20"/>
                <w:szCs w:val="20"/>
              </w:rPr>
              <w:t>Fee:</w:t>
            </w:r>
            <w:r w:rsidRPr="00F76AF7">
              <w:rPr>
                <w:rFonts w:ascii="Arial Narrow" w:hAnsi="Arial Narrow"/>
                <w:sz w:val="20"/>
                <w:szCs w:val="20"/>
              </w:rPr>
              <w:t xml:space="preserve"> $</w:t>
            </w:r>
            <w:r w:rsidR="00A403A6">
              <w:rPr>
                <w:rFonts w:ascii="Arial Narrow" w:hAnsi="Arial Narrow"/>
                <w:sz w:val="20"/>
                <w:szCs w:val="20"/>
              </w:rPr>
              <w:t>2,189.60</w:t>
            </w:r>
            <w:r w:rsidRPr="00F76AF7">
              <w:rPr>
                <w:rFonts w:ascii="Arial Narrow" w:hAnsi="Arial Narrow"/>
                <w:sz w:val="20"/>
                <w:szCs w:val="20"/>
              </w:rPr>
              <w:t xml:space="preserve"> </w:t>
            </w:r>
            <w:r w:rsidRPr="00F76AF7">
              <w:rPr>
                <w:rFonts w:ascii="Arial Narrow" w:hAnsi="Arial Narrow"/>
                <w:b/>
                <w:bCs/>
                <w:sz w:val="20"/>
                <w:szCs w:val="20"/>
              </w:rPr>
              <w:t>Benefit:</w:t>
            </w:r>
            <w:r w:rsidRPr="00F76AF7">
              <w:rPr>
                <w:rFonts w:ascii="Arial Narrow" w:hAnsi="Arial Narrow"/>
                <w:sz w:val="20"/>
                <w:szCs w:val="20"/>
              </w:rPr>
              <w:t xml:space="preserve"> 75% = $</w:t>
            </w:r>
            <w:r w:rsidR="00A403A6">
              <w:rPr>
                <w:rFonts w:ascii="Arial Narrow" w:hAnsi="Arial Narrow"/>
                <w:sz w:val="20"/>
                <w:szCs w:val="20"/>
              </w:rPr>
              <w:t>1,642.20</w:t>
            </w:r>
          </w:p>
        </w:tc>
      </w:tr>
    </w:tbl>
    <w:p w14:paraId="67FFB4CE" w14:textId="488CD1FB" w:rsidR="00426F96" w:rsidRPr="005A2081" w:rsidRDefault="00426F96" w:rsidP="00426F96">
      <w:pPr>
        <w:pStyle w:val="Tablenotes"/>
        <w:spacing w:after="0"/>
      </w:pPr>
      <w:r>
        <w:t>dB</w:t>
      </w:r>
      <w:r w:rsidR="002F4118">
        <w:t> </w:t>
      </w:r>
      <w:r>
        <w:t xml:space="preserve">HL = decibels hearing level; kHz = kilohertz; MBS = Medicare Benefits Schedule; PTA4 = 4-frequency </w:t>
      </w:r>
      <w:r w:rsidRPr="00792874">
        <w:t>pure</w:t>
      </w:r>
      <w:r>
        <w:t xml:space="preserve"> tone average</w:t>
      </w:r>
      <w:r w:rsidR="005F2EEC">
        <w:t xml:space="preserve"> (</w:t>
      </w:r>
      <w:r w:rsidR="00E14D78">
        <w:t xml:space="preserve">typically </w:t>
      </w:r>
      <w:r w:rsidR="005F2EEC" w:rsidRPr="005F2EEC">
        <w:t>500, 1000, 2000, 4000 H</w:t>
      </w:r>
      <w:r w:rsidR="00E14D78">
        <w:t>ert</w:t>
      </w:r>
      <w:r w:rsidR="005F2EEC" w:rsidRPr="005F2EEC">
        <w:t>z</w:t>
      </w:r>
      <w:r w:rsidR="005F2EEC">
        <w:t>)</w:t>
      </w:r>
      <w:r>
        <w:t>.</w:t>
      </w:r>
    </w:p>
    <w:p w14:paraId="57C821D8" w14:textId="48373F16" w:rsidR="00426F96" w:rsidRDefault="00426F96" w:rsidP="00426F96">
      <w:pPr>
        <w:pStyle w:val="Tablenotes"/>
      </w:pPr>
      <w:r>
        <w:t xml:space="preserve">Source: MBS Online, accessed </w:t>
      </w:r>
      <w:r w:rsidR="00C747EA">
        <w:t>11 July</w:t>
      </w:r>
      <w:r>
        <w:t xml:space="preserve"> 2025.</w:t>
      </w:r>
    </w:p>
    <w:p w14:paraId="36FA00D2" w14:textId="1A6A9605" w:rsidR="00C57792" w:rsidRDefault="00C57792" w:rsidP="00C57792">
      <w:pPr>
        <w:pStyle w:val="Caption"/>
      </w:pPr>
      <w:bookmarkStart w:id="32" w:name="_Ref202112305"/>
      <w:r>
        <w:t xml:space="preserve">Figure </w:t>
      </w:r>
      <w:r>
        <w:fldChar w:fldCharType="begin"/>
      </w:r>
      <w:r>
        <w:instrText xml:space="preserve"> SEQ Figure \* ARABIC </w:instrText>
      </w:r>
      <w:r>
        <w:fldChar w:fldCharType="separate"/>
      </w:r>
      <w:r w:rsidR="00A42764">
        <w:rPr>
          <w:noProof/>
        </w:rPr>
        <w:t>4</w:t>
      </w:r>
      <w:r>
        <w:fldChar w:fldCharType="end"/>
      </w:r>
      <w:bookmarkEnd w:id="32"/>
      <w:r>
        <w:tab/>
      </w:r>
      <w:r w:rsidR="00A0162B">
        <w:t>Total</w:t>
      </w:r>
      <w:r>
        <w:t xml:space="preserve"> services for </w:t>
      </w:r>
      <w:r w:rsidR="005B70B4">
        <w:t>MBS item 41618</w:t>
      </w:r>
      <w:r>
        <w:t xml:space="preserve">, </w:t>
      </w:r>
      <w:r w:rsidR="00A0162B">
        <w:t xml:space="preserve">financial years </w:t>
      </w:r>
      <w:r>
        <w:t>2016-17 to 2023-24</w:t>
      </w:r>
    </w:p>
    <w:p w14:paraId="2FFE435F" w14:textId="096BB813" w:rsidR="00C57792" w:rsidRDefault="00157E80" w:rsidP="00C57792">
      <w:pPr>
        <w:pBdr>
          <w:top w:val="single" w:sz="4" w:space="1" w:color="auto"/>
          <w:left w:val="single" w:sz="4" w:space="4" w:color="auto"/>
          <w:bottom w:val="single" w:sz="4" w:space="1" w:color="auto"/>
          <w:right w:val="single" w:sz="4" w:space="4" w:color="auto"/>
        </w:pBdr>
        <w:spacing w:after="80"/>
        <w:rPr>
          <w:lang w:val="en-GB" w:eastAsia="ja-JP"/>
        </w:rPr>
      </w:pPr>
      <w:r>
        <w:rPr>
          <w:noProof/>
          <w:lang w:val="en-GB" w:eastAsia="ja-JP"/>
        </w:rPr>
        <w:drawing>
          <wp:inline distT="0" distB="0" distL="0" distR="0" wp14:anchorId="7673FF4E" wp14:editId="494ABA51">
            <wp:extent cx="5883275" cy="2249805"/>
            <wp:effectExtent l="0" t="0" r="3175" b="0"/>
            <wp:docPr id="1905316932" name="Picture 3" descr="Line graph showing total services for MBS items 41603, 45794 and 45797 from FY 2015-16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16932" name="Picture 3" descr="Line graph showing total services for MBS items 41603, 45794 and 45797 from FY 2015-16 to 2023-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83275" cy="2249805"/>
                    </a:xfrm>
                    <a:prstGeom prst="rect">
                      <a:avLst/>
                    </a:prstGeom>
                    <a:noFill/>
                  </pic:spPr>
                </pic:pic>
              </a:graphicData>
            </a:graphic>
          </wp:inline>
        </w:drawing>
      </w:r>
    </w:p>
    <w:p w14:paraId="200421EA" w14:textId="77777777" w:rsidR="0020650B" w:rsidRPr="005A2081" w:rsidRDefault="0020650B" w:rsidP="0020650B">
      <w:pPr>
        <w:pStyle w:val="Tablenotes"/>
        <w:spacing w:after="0"/>
      </w:pPr>
      <w:r>
        <w:t>MBS = Medicare Benefits Schedule.</w:t>
      </w:r>
    </w:p>
    <w:p w14:paraId="01CD2B12" w14:textId="60156DA6" w:rsidR="00C57792" w:rsidRDefault="00C57792" w:rsidP="00426F96">
      <w:pPr>
        <w:pStyle w:val="Tablenotes"/>
      </w:pPr>
      <w:r>
        <w:t>Source: Medicare Statistics from Services Australia, accessed 20 June 2025.</w:t>
      </w:r>
    </w:p>
    <w:p w14:paraId="0B5C903F" w14:textId="01CE1A89" w:rsidR="001829FD" w:rsidRDefault="001829FD" w:rsidP="001829FD">
      <w:pPr>
        <w:pStyle w:val="Caption"/>
      </w:pPr>
      <w:bookmarkStart w:id="33" w:name="_Ref202112057"/>
      <w:r>
        <w:lastRenderedPageBreak/>
        <w:t xml:space="preserve">Box </w:t>
      </w:r>
      <w:bookmarkEnd w:id="33"/>
      <w:r w:rsidR="004308D7">
        <w:t>4</w:t>
      </w:r>
      <w:r>
        <w:tab/>
        <w:t>MBS item</w:t>
      </w:r>
      <w:r w:rsidR="002C0EF4">
        <w:t>s</w:t>
      </w:r>
      <w:r>
        <w:t xml:space="preserve"> for implantation of </w:t>
      </w:r>
      <w:r w:rsidR="0074764D">
        <w:t>bone conduction hearing system</w:t>
      </w:r>
      <w:r w:rsidR="002C0EF4">
        <w:t>s</w:t>
      </w:r>
    </w:p>
    <w:tbl>
      <w:tblPr>
        <w:tblStyle w:val="TableGrid"/>
        <w:tblW w:w="5000" w:type="pct"/>
        <w:tblInd w:w="0" w:type="dxa"/>
        <w:tblLook w:val="04A0" w:firstRow="1" w:lastRow="0" w:firstColumn="1" w:lastColumn="0" w:noHBand="0" w:noVBand="1"/>
        <w:tblCaption w:val="MBS item for implantation of bone conduction hearing systems"/>
        <w:tblDescription w:val="Full reproduction of MBS itema 41603, 45794 and 45797, descriptors and fees."/>
      </w:tblPr>
      <w:tblGrid>
        <w:gridCol w:w="9571"/>
      </w:tblGrid>
      <w:tr w:rsidR="001829FD" w:rsidRPr="00D2670B" w14:paraId="0BA9517F" w14:textId="77777777" w:rsidTr="00B0766F">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79167D47" w14:textId="77777777" w:rsidR="001829FD" w:rsidRPr="005E2CD9" w:rsidRDefault="001829FD" w:rsidP="00ED1410">
            <w:pPr>
              <w:spacing w:before="40" w:after="40" w:line="240" w:lineRule="auto"/>
              <w:ind w:left="22"/>
              <w:rPr>
                <w:b/>
                <w:bCs/>
              </w:rPr>
            </w:pPr>
            <w:r w:rsidRPr="005E2CD9">
              <w:rPr>
                <w:rFonts w:ascii="Arial Narrow" w:hAnsi="Arial Narrow"/>
                <w:b/>
                <w:bCs/>
                <w:sz w:val="20"/>
                <w:szCs w:val="20"/>
              </w:rPr>
              <w:t xml:space="preserve">Category </w:t>
            </w:r>
            <w:r w:rsidRPr="00F37FE0">
              <w:rPr>
                <w:rFonts w:ascii="Arial Narrow" w:hAnsi="Arial Narrow"/>
                <w:b/>
                <w:bCs/>
                <w:sz w:val="20"/>
                <w:szCs w:val="20"/>
              </w:rPr>
              <w:t>3 – THERAPEUTIC PROCEDURES</w:t>
            </w:r>
          </w:p>
          <w:p w14:paraId="6ED0F611" w14:textId="77777777" w:rsidR="001829FD" w:rsidRPr="005E2CD9" w:rsidRDefault="001829FD" w:rsidP="00ED1410">
            <w:pPr>
              <w:spacing w:before="40" w:after="40" w:line="240" w:lineRule="auto"/>
              <w:ind w:left="22"/>
              <w:rPr>
                <w:rFonts w:ascii="Arial Narrow" w:hAnsi="Arial Narrow"/>
                <w:b/>
                <w:bCs/>
                <w:sz w:val="20"/>
                <w:szCs w:val="20"/>
              </w:rPr>
            </w:pPr>
            <w:r w:rsidRPr="005E2CD9">
              <w:rPr>
                <w:rFonts w:ascii="Arial Narrow" w:hAnsi="Arial Narrow"/>
                <w:b/>
                <w:bCs/>
                <w:sz w:val="20"/>
                <w:szCs w:val="20"/>
              </w:rPr>
              <w:t>Group T8 – Surgical Operations</w:t>
            </w:r>
          </w:p>
          <w:p w14:paraId="617CCBF5" w14:textId="77777777" w:rsidR="001829FD" w:rsidRPr="00DE762F" w:rsidRDefault="001829FD" w:rsidP="00ED1410">
            <w:pPr>
              <w:spacing w:before="40" w:after="40" w:line="240" w:lineRule="auto"/>
              <w:ind w:left="22"/>
              <w:rPr>
                <w:rFonts w:ascii="Arial Narrow" w:hAnsi="Arial Narrow"/>
                <w:sz w:val="20"/>
                <w:szCs w:val="20"/>
              </w:rPr>
            </w:pPr>
            <w:r w:rsidRPr="005E2CD9">
              <w:rPr>
                <w:rFonts w:ascii="Arial Narrow" w:hAnsi="Arial Narrow"/>
                <w:b/>
                <w:bCs/>
                <w:sz w:val="20"/>
                <w:szCs w:val="20"/>
              </w:rPr>
              <w:t>Subgroup 8 – Ear, Nose And Throat</w:t>
            </w:r>
          </w:p>
        </w:tc>
      </w:tr>
      <w:tr w:rsidR="001829FD" w:rsidRPr="005771DC" w14:paraId="6DDEC3C1" w14:textId="77777777" w:rsidTr="00B0766F">
        <w:trPr>
          <w:cantSplit/>
          <w:tblHeader/>
        </w:trPr>
        <w:tc>
          <w:tcPr>
            <w:tcW w:w="5000" w:type="pct"/>
            <w:tcBorders>
              <w:top w:val="single" w:sz="4" w:space="0" w:color="auto"/>
              <w:left w:val="single" w:sz="4" w:space="0" w:color="auto"/>
              <w:bottom w:val="single" w:sz="4" w:space="0" w:color="auto"/>
              <w:right w:val="single" w:sz="4" w:space="0" w:color="auto"/>
            </w:tcBorders>
          </w:tcPr>
          <w:p w14:paraId="79A8204B" w14:textId="43259434" w:rsidR="001829FD" w:rsidRPr="001A793C" w:rsidRDefault="001829FD" w:rsidP="00ED1410">
            <w:pPr>
              <w:spacing w:before="120" w:after="120" w:line="240" w:lineRule="auto"/>
              <w:rPr>
                <w:rFonts w:ascii="Arial Narrow" w:hAnsi="Arial Narrow"/>
                <w:b/>
                <w:bCs/>
                <w:sz w:val="20"/>
                <w:szCs w:val="20"/>
              </w:rPr>
            </w:pPr>
            <w:r w:rsidRPr="001A793C">
              <w:rPr>
                <w:rFonts w:ascii="Arial Narrow" w:hAnsi="Arial Narrow"/>
                <w:b/>
                <w:bCs/>
                <w:sz w:val="20"/>
                <w:szCs w:val="20"/>
              </w:rPr>
              <w:t>MBS item 416</w:t>
            </w:r>
            <w:r w:rsidR="0074764D">
              <w:rPr>
                <w:rFonts w:ascii="Arial Narrow" w:hAnsi="Arial Narrow"/>
                <w:b/>
                <w:bCs/>
                <w:sz w:val="20"/>
                <w:szCs w:val="20"/>
              </w:rPr>
              <w:t>03</w:t>
            </w:r>
          </w:p>
          <w:p w14:paraId="5CEEE913" w14:textId="113A8BA9" w:rsidR="007D6816" w:rsidRPr="007D6816" w:rsidRDefault="007D6816" w:rsidP="007D6816">
            <w:pPr>
              <w:spacing w:before="120" w:after="120" w:line="240" w:lineRule="auto"/>
              <w:rPr>
                <w:rFonts w:ascii="Arial Narrow" w:hAnsi="Arial Narrow"/>
                <w:sz w:val="20"/>
                <w:szCs w:val="20"/>
              </w:rPr>
            </w:pPr>
            <w:r w:rsidRPr="007D6816">
              <w:rPr>
                <w:rFonts w:ascii="Arial Narrow" w:hAnsi="Arial Narrow"/>
                <w:sz w:val="20"/>
                <w:szCs w:val="20"/>
              </w:rPr>
              <w:t>Osseo</w:t>
            </w:r>
            <w:r w:rsidRPr="007D6816">
              <w:rPr>
                <w:rFonts w:ascii="Cambria Math" w:hAnsi="Cambria Math" w:cs="Cambria Math"/>
                <w:sz w:val="20"/>
                <w:szCs w:val="20"/>
              </w:rPr>
              <w:t>‑</w:t>
            </w:r>
            <w:r w:rsidRPr="007D6816">
              <w:rPr>
                <w:rFonts w:ascii="Arial Narrow" w:hAnsi="Arial Narrow"/>
                <w:sz w:val="20"/>
                <w:szCs w:val="20"/>
              </w:rPr>
              <w:t>integration procedure</w:t>
            </w:r>
            <w:r w:rsidRPr="007D6816">
              <w:rPr>
                <w:rFonts w:ascii="Arial Narrow" w:hAnsi="Arial Narrow" w:cs="Arial Narrow"/>
                <w:sz w:val="20"/>
                <w:szCs w:val="20"/>
              </w:rPr>
              <w:t>—</w:t>
            </w:r>
            <w:r w:rsidRPr="007D6816">
              <w:rPr>
                <w:rFonts w:ascii="Arial Narrow" w:hAnsi="Arial Narrow"/>
                <w:sz w:val="20"/>
                <w:szCs w:val="20"/>
              </w:rPr>
              <w:t>implantation of bone conduction hearing system device, in a patient:</w:t>
            </w:r>
          </w:p>
          <w:p w14:paraId="79A5AEDC" w14:textId="7FE30618" w:rsidR="007D6816" w:rsidRPr="007D6816" w:rsidRDefault="007D6816" w:rsidP="007D6816">
            <w:pPr>
              <w:spacing w:before="120" w:after="120" w:line="240" w:lineRule="auto"/>
              <w:rPr>
                <w:rFonts w:ascii="Arial Narrow" w:hAnsi="Arial Narrow"/>
                <w:sz w:val="20"/>
                <w:szCs w:val="20"/>
              </w:rPr>
            </w:pPr>
            <w:r w:rsidRPr="007D6816">
              <w:rPr>
                <w:rFonts w:ascii="Arial Narrow" w:hAnsi="Arial Narrow"/>
                <w:sz w:val="20"/>
                <w:szCs w:val="20"/>
              </w:rPr>
              <w:t>(a) with a permanent or long term hearing loss; and</w:t>
            </w:r>
          </w:p>
          <w:p w14:paraId="70EA385B" w14:textId="3DB9EDBE" w:rsidR="007D6816" w:rsidRPr="007D6816" w:rsidRDefault="007D6816" w:rsidP="007D6816">
            <w:pPr>
              <w:spacing w:before="120" w:after="120" w:line="240" w:lineRule="auto"/>
              <w:rPr>
                <w:rFonts w:ascii="Arial Narrow" w:hAnsi="Arial Narrow"/>
                <w:sz w:val="20"/>
                <w:szCs w:val="20"/>
              </w:rPr>
            </w:pPr>
            <w:r w:rsidRPr="007D6816">
              <w:rPr>
                <w:rFonts w:ascii="Arial Narrow" w:hAnsi="Arial Narrow"/>
                <w:sz w:val="20"/>
                <w:szCs w:val="20"/>
              </w:rPr>
              <w:t>(b) unable to utilise conventional air or bone conduction hearing aid for medical or audiological reasons; and</w:t>
            </w:r>
          </w:p>
          <w:p w14:paraId="4295F220" w14:textId="68F9A53C" w:rsidR="007D6816" w:rsidRPr="007D6816" w:rsidRDefault="007D6816" w:rsidP="007D6816">
            <w:pPr>
              <w:spacing w:before="120" w:after="120" w:line="240" w:lineRule="auto"/>
              <w:rPr>
                <w:rFonts w:ascii="Arial Narrow" w:hAnsi="Arial Narrow"/>
                <w:sz w:val="20"/>
                <w:szCs w:val="20"/>
              </w:rPr>
            </w:pPr>
            <w:r w:rsidRPr="007D6816">
              <w:rPr>
                <w:rFonts w:ascii="Arial Narrow" w:hAnsi="Arial Narrow"/>
                <w:sz w:val="20"/>
                <w:szCs w:val="20"/>
              </w:rPr>
              <w:t>(c) with bone conduction thresholds that accord with recognised criteria for the implantable bone conduction hearing device being inserted;</w:t>
            </w:r>
          </w:p>
          <w:p w14:paraId="334B1375" w14:textId="6A4AB874" w:rsidR="001829FD" w:rsidRPr="00F76AF7" w:rsidRDefault="007D6816" w:rsidP="00497EF2">
            <w:pPr>
              <w:spacing w:after="120" w:line="240" w:lineRule="auto"/>
              <w:rPr>
                <w:rFonts w:ascii="Arial Narrow" w:hAnsi="Arial Narrow"/>
                <w:sz w:val="20"/>
                <w:szCs w:val="20"/>
              </w:rPr>
            </w:pPr>
            <w:r w:rsidRPr="007D6816">
              <w:rPr>
                <w:rFonts w:ascii="Arial Narrow" w:hAnsi="Arial Narrow"/>
                <w:sz w:val="20"/>
                <w:szCs w:val="20"/>
              </w:rPr>
              <w:t>other than a service associated with a service to which item 41554, 45794 or 45797 applies (H)</w:t>
            </w:r>
          </w:p>
          <w:p w14:paraId="4C7B6BB4" w14:textId="77777777" w:rsidR="00AD7533" w:rsidRPr="00F76AF7" w:rsidRDefault="00AD7533" w:rsidP="00AD7533">
            <w:pPr>
              <w:spacing w:before="200" w:after="120" w:line="240" w:lineRule="auto"/>
              <w:rPr>
                <w:rFonts w:ascii="Arial Narrow" w:hAnsi="Arial Narrow"/>
                <w:sz w:val="20"/>
                <w:szCs w:val="20"/>
              </w:rPr>
            </w:pPr>
            <w:r w:rsidRPr="00F76AF7">
              <w:rPr>
                <w:rFonts w:ascii="Arial Narrow" w:hAnsi="Arial Narrow"/>
                <w:sz w:val="20"/>
                <w:szCs w:val="20"/>
              </w:rPr>
              <w:t>Multiple Operation Rule</w:t>
            </w:r>
          </w:p>
          <w:p w14:paraId="623636FC" w14:textId="2FC375F9" w:rsidR="001829FD" w:rsidRPr="00F76AF7" w:rsidRDefault="001829FD" w:rsidP="00ED1410">
            <w:pPr>
              <w:spacing w:before="200" w:after="120" w:line="240" w:lineRule="auto"/>
              <w:rPr>
                <w:rFonts w:ascii="Arial Narrow" w:hAnsi="Arial Narrow"/>
                <w:sz w:val="20"/>
                <w:szCs w:val="20"/>
              </w:rPr>
            </w:pPr>
            <w:r w:rsidRPr="00F76AF7">
              <w:rPr>
                <w:rFonts w:ascii="Arial Narrow" w:hAnsi="Arial Narrow"/>
                <w:sz w:val="20"/>
                <w:szCs w:val="20"/>
              </w:rPr>
              <w:t>(Anaes.)</w:t>
            </w:r>
          </w:p>
          <w:p w14:paraId="54E84653" w14:textId="2C58DBB0" w:rsidR="001829FD" w:rsidRPr="00DE762F" w:rsidRDefault="001829FD" w:rsidP="00ED1410">
            <w:pPr>
              <w:spacing w:before="200" w:after="120" w:line="240" w:lineRule="auto"/>
              <w:rPr>
                <w:rFonts w:ascii="Arial Narrow" w:hAnsi="Arial Narrow"/>
                <w:sz w:val="20"/>
                <w:szCs w:val="20"/>
              </w:rPr>
            </w:pPr>
            <w:r w:rsidRPr="00F76AF7">
              <w:rPr>
                <w:rFonts w:ascii="Arial Narrow" w:hAnsi="Arial Narrow"/>
                <w:b/>
                <w:bCs/>
                <w:sz w:val="20"/>
                <w:szCs w:val="20"/>
              </w:rPr>
              <w:t>Fee:</w:t>
            </w:r>
            <w:r w:rsidRPr="00F76AF7">
              <w:rPr>
                <w:rFonts w:ascii="Arial Narrow" w:hAnsi="Arial Narrow"/>
                <w:sz w:val="20"/>
                <w:szCs w:val="20"/>
              </w:rPr>
              <w:t xml:space="preserve"> $</w:t>
            </w:r>
            <w:r w:rsidR="00EF4840">
              <w:rPr>
                <w:rFonts w:ascii="Arial Narrow" w:hAnsi="Arial Narrow"/>
                <w:sz w:val="20"/>
                <w:szCs w:val="20"/>
              </w:rPr>
              <w:t>696.65</w:t>
            </w:r>
            <w:r w:rsidRPr="00F76AF7">
              <w:rPr>
                <w:rFonts w:ascii="Arial Narrow" w:hAnsi="Arial Narrow"/>
                <w:sz w:val="20"/>
                <w:szCs w:val="20"/>
              </w:rPr>
              <w:t xml:space="preserve"> </w:t>
            </w:r>
            <w:r w:rsidRPr="00F76AF7">
              <w:rPr>
                <w:rFonts w:ascii="Arial Narrow" w:hAnsi="Arial Narrow"/>
                <w:b/>
                <w:bCs/>
                <w:sz w:val="20"/>
                <w:szCs w:val="20"/>
              </w:rPr>
              <w:t>Benefit:</w:t>
            </w:r>
            <w:r w:rsidRPr="00F76AF7">
              <w:rPr>
                <w:rFonts w:ascii="Arial Narrow" w:hAnsi="Arial Narrow"/>
                <w:sz w:val="20"/>
                <w:szCs w:val="20"/>
              </w:rPr>
              <w:t xml:space="preserve"> 75% = $</w:t>
            </w:r>
            <w:r w:rsidR="00EF4840">
              <w:rPr>
                <w:rFonts w:ascii="Arial Narrow" w:hAnsi="Arial Narrow"/>
                <w:sz w:val="20"/>
                <w:szCs w:val="20"/>
              </w:rPr>
              <w:t>522.50</w:t>
            </w:r>
          </w:p>
        </w:tc>
      </w:tr>
      <w:tr w:rsidR="002C0EF4" w:rsidRPr="005771DC" w14:paraId="3312ADB4" w14:textId="77777777" w:rsidTr="00B0766F">
        <w:trPr>
          <w:cantSplit/>
          <w:tblHeader/>
        </w:trPr>
        <w:tc>
          <w:tcPr>
            <w:tcW w:w="5000" w:type="pct"/>
            <w:tcBorders>
              <w:top w:val="single" w:sz="4" w:space="0" w:color="auto"/>
              <w:left w:val="single" w:sz="4" w:space="0" w:color="auto"/>
              <w:bottom w:val="single" w:sz="4" w:space="0" w:color="auto"/>
              <w:right w:val="single" w:sz="4" w:space="0" w:color="auto"/>
            </w:tcBorders>
          </w:tcPr>
          <w:p w14:paraId="06A78ADB" w14:textId="01A55E45" w:rsidR="002C0EF4" w:rsidRPr="001A793C" w:rsidRDefault="002C0EF4" w:rsidP="002C0EF4">
            <w:pPr>
              <w:spacing w:before="120" w:after="120" w:line="240" w:lineRule="auto"/>
              <w:rPr>
                <w:rFonts w:ascii="Arial Narrow" w:hAnsi="Arial Narrow"/>
                <w:b/>
                <w:bCs/>
                <w:sz w:val="20"/>
                <w:szCs w:val="20"/>
              </w:rPr>
            </w:pPr>
            <w:r w:rsidRPr="001A793C">
              <w:rPr>
                <w:rFonts w:ascii="Arial Narrow" w:hAnsi="Arial Narrow"/>
                <w:b/>
                <w:bCs/>
                <w:sz w:val="20"/>
                <w:szCs w:val="20"/>
              </w:rPr>
              <w:t xml:space="preserve">MBS item </w:t>
            </w:r>
            <w:r>
              <w:rPr>
                <w:rFonts w:ascii="Arial Narrow" w:hAnsi="Arial Narrow"/>
                <w:b/>
                <w:bCs/>
                <w:sz w:val="20"/>
                <w:szCs w:val="20"/>
              </w:rPr>
              <w:t>45794</w:t>
            </w:r>
          </w:p>
          <w:p w14:paraId="23B8236B" w14:textId="743610C2" w:rsidR="002C0EF4" w:rsidRPr="00F76AF7" w:rsidRDefault="00AD7533" w:rsidP="002C0EF4">
            <w:pPr>
              <w:spacing w:after="120" w:line="240" w:lineRule="auto"/>
              <w:rPr>
                <w:rFonts w:ascii="Arial Narrow" w:hAnsi="Arial Narrow"/>
                <w:sz w:val="20"/>
                <w:szCs w:val="20"/>
              </w:rPr>
            </w:pPr>
            <w:r w:rsidRPr="00AD7533">
              <w:rPr>
                <w:rFonts w:ascii="Arial Narrow" w:hAnsi="Arial Narrow"/>
                <w:sz w:val="20"/>
                <w:szCs w:val="20"/>
              </w:rPr>
              <w:t>Osseo</w:t>
            </w:r>
            <w:r w:rsidRPr="00AD7533">
              <w:rPr>
                <w:rFonts w:ascii="Cambria Math" w:hAnsi="Cambria Math" w:cs="Cambria Math"/>
                <w:sz w:val="20"/>
                <w:szCs w:val="20"/>
              </w:rPr>
              <w:t>‑</w:t>
            </w:r>
            <w:r w:rsidRPr="00AD7533">
              <w:rPr>
                <w:rFonts w:ascii="Arial Narrow" w:hAnsi="Arial Narrow"/>
                <w:sz w:val="20"/>
                <w:szCs w:val="20"/>
              </w:rPr>
              <w:t>integration procedure, first stage, implantation of fixture, following congenital absence, tumour or trauma, other than a service associated with a service to which item 41603 applies</w:t>
            </w:r>
          </w:p>
          <w:p w14:paraId="450CBB02" w14:textId="77777777" w:rsidR="00AD7533" w:rsidRPr="00F76AF7" w:rsidRDefault="00AD7533" w:rsidP="00AD7533">
            <w:pPr>
              <w:spacing w:before="200" w:after="120" w:line="240" w:lineRule="auto"/>
              <w:rPr>
                <w:rFonts w:ascii="Arial Narrow" w:hAnsi="Arial Narrow"/>
                <w:sz w:val="20"/>
                <w:szCs w:val="20"/>
              </w:rPr>
            </w:pPr>
            <w:r w:rsidRPr="00F76AF7">
              <w:rPr>
                <w:rFonts w:ascii="Arial Narrow" w:hAnsi="Arial Narrow"/>
                <w:sz w:val="20"/>
                <w:szCs w:val="20"/>
              </w:rPr>
              <w:t>Multiple Operation Rule</w:t>
            </w:r>
          </w:p>
          <w:p w14:paraId="6A33773E" w14:textId="77777777" w:rsidR="002C0EF4" w:rsidRPr="00F76AF7" w:rsidRDefault="002C0EF4" w:rsidP="002C0EF4">
            <w:pPr>
              <w:spacing w:before="200" w:after="120" w:line="240" w:lineRule="auto"/>
              <w:rPr>
                <w:rFonts w:ascii="Arial Narrow" w:hAnsi="Arial Narrow"/>
                <w:sz w:val="20"/>
                <w:szCs w:val="20"/>
              </w:rPr>
            </w:pPr>
            <w:r w:rsidRPr="00F76AF7">
              <w:rPr>
                <w:rFonts w:ascii="Arial Narrow" w:hAnsi="Arial Narrow"/>
                <w:sz w:val="20"/>
                <w:szCs w:val="20"/>
              </w:rPr>
              <w:t>(Anaes.)</w:t>
            </w:r>
          </w:p>
          <w:p w14:paraId="68F250CD" w14:textId="52B05096" w:rsidR="002C0EF4" w:rsidRPr="001A793C" w:rsidRDefault="002C0EF4" w:rsidP="002C0EF4">
            <w:pPr>
              <w:spacing w:before="120" w:after="120" w:line="240" w:lineRule="auto"/>
              <w:rPr>
                <w:rFonts w:ascii="Arial Narrow" w:hAnsi="Arial Narrow"/>
                <w:b/>
                <w:bCs/>
                <w:sz w:val="20"/>
                <w:szCs w:val="20"/>
              </w:rPr>
            </w:pPr>
            <w:r w:rsidRPr="00F76AF7">
              <w:rPr>
                <w:rFonts w:ascii="Arial Narrow" w:hAnsi="Arial Narrow"/>
                <w:b/>
                <w:bCs/>
                <w:sz w:val="20"/>
                <w:szCs w:val="20"/>
              </w:rPr>
              <w:t>Fee:</w:t>
            </w:r>
            <w:r w:rsidRPr="00F76AF7">
              <w:rPr>
                <w:rFonts w:ascii="Arial Narrow" w:hAnsi="Arial Narrow"/>
                <w:sz w:val="20"/>
                <w:szCs w:val="20"/>
              </w:rPr>
              <w:t xml:space="preserve"> $</w:t>
            </w:r>
            <w:r w:rsidR="003250DF">
              <w:rPr>
                <w:rFonts w:ascii="Arial Narrow" w:hAnsi="Arial Narrow"/>
                <w:sz w:val="20"/>
                <w:szCs w:val="20"/>
              </w:rPr>
              <w:t>587.85</w:t>
            </w:r>
            <w:r w:rsidRPr="00F76AF7">
              <w:rPr>
                <w:rFonts w:ascii="Arial Narrow" w:hAnsi="Arial Narrow"/>
                <w:sz w:val="20"/>
                <w:szCs w:val="20"/>
              </w:rPr>
              <w:t xml:space="preserve"> </w:t>
            </w:r>
            <w:r w:rsidRPr="00F76AF7">
              <w:rPr>
                <w:rFonts w:ascii="Arial Narrow" w:hAnsi="Arial Narrow"/>
                <w:b/>
                <w:bCs/>
                <w:sz w:val="20"/>
                <w:szCs w:val="20"/>
              </w:rPr>
              <w:t>Benefit:</w:t>
            </w:r>
            <w:r w:rsidRPr="00F76AF7">
              <w:rPr>
                <w:rFonts w:ascii="Arial Narrow" w:hAnsi="Arial Narrow"/>
                <w:sz w:val="20"/>
                <w:szCs w:val="20"/>
              </w:rPr>
              <w:t xml:space="preserve"> 75% = $</w:t>
            </w:r>
            <w:r w:rsidR="003250DF">
              <w:rPr>
                <w:rFonts w:ascii="Arial Narrow" w:hAnsi="Arial Narrow"/>
                <w:sz w:val="20"/>
                <w:szCs w:val="20"/>
              </w:rPr>
              <w:t>440.90</w:t>
            </w:r>
            <w:r w:rsidR="00323AAA">
              <w:rPr>
                <w:rFonts w:ascii="Arial Narrow" w:hAnsi="Arial Narrow"/>
                <w:sz w:val="20"/>
                <w:szCs w:val="20"/>
              </w:rPr>
              <w:t xml:space="preserve"> 85% = $</w:t>
            </w:r>
            <w:r w:rsidR="003250DF">
              <w:rPr>
                <w:rFonts w:ascii="Arial Narrow" w:hAnsi="Arial Narrow"/>
                <w:sz w:val="20"/>
                <w:szCs w:val="20"/>
              </w:rPr>
              <w:t>499.70</w:t>
            </w:r>
          </w:p>
        </w:tc>
      </w:tr>
      <w:tr w:rsidR="002C0EF4" w:rsidRPr="005771DC" w14:paraId="6198860E" w14:textId="77777777" w:rsidTr="00B0766F">
        <w:trPr>
          <w:cantSplit/>
          <w:tblHeader/>
        </w:trPr>
        <w:tc>
          <w:tcPr>
            <w:tcW w:w="5000" w:type="pct"/>
            <w:tcBorders>
              <w:top w:val="single" w:sz="4" w:space="0" w:color="auto"/>
              <w:left w:val="single" w:sz="4" w:space="0" w:color="auto"/>
              <w:bottom w:val="single" w:sz="4" w:space="0" w:color="auto"/>
              <w:right w:val="single" w:sz="4" w:space="0" w:color="auto"/>
            </w:tcBorders>
          </w:tcPr>
          <w:p w14:paraId="730312E3" w14:textId="41707287" w:rsidR="002C0EF4" w:rsidRPr="001A793C" w:rsidRDefault="002C0EF4" w:rsidP="002C0EF4">
            <w:pPr>
              <w:spacing w:before="120" w:after="120" w:line="240" w:lineRule="auto"/>
              <w:rPr>
                <w:rFonts w:ascii="Arial Narrow" w:hAnsi="Arial Narrow"/>
                <w:b/>
                <w:bCs/>
                <w:sz w:val="20"/>
                <w:szCs w:val="20"/>
              </w:rPr>
            </w:pPr>
            <w:r w:rsidRPr="001A793C">
              <w:rPr>
                <w:rFonts w:ascii="Arial Narrow" w:hAnsi="Arial Narrow"/>
                <w:b/>
                <w:bCs/>
                <w:sz w:val="20"/>
                <w:szCs w:val="20"/>
              </w:rPr>
              <w:t xml:space="preserve">MBS item </w:t>
            </w:r>
            <w:r w:rsidR="00323AAA">
              <w:rPr>
                <w:rFonts w:ascii="Arial Narrow" w:hAnsi="Arial Narrow"/>
                <w:b/>
                <w:bCs/>
                <w:sz w:val="20"/>
                <w:szCs w:val="20"/>
              </w:rPr>
              <w:t>45797</w:t>
            </w:r>
          </w:p>
          <w:p w14:paraId="46B41D5A" w14:textId="33E9A0B0" w:rsidR="002C0EF4" w:rsidRPr="00F76AF7" w:rsidRDefault="000C760C" w:rsidP="002C0EF4">
            <w:pPr>
              <w:spacing w:after="120" w:line="240" w:lineRule="auto"/>
              <w:rPr>
                <w:rFonts w:ascii="Arial Narrow" w:hAnsi="Arial Narrow"/>
                <w:sz w:val="20"/>
                <w:szCs w:val="20"/>
              </w:rPr>
            </w:pPr>
            <w:r w:rsidRPr="000C760C">
              <w:rPr>
                <w:rFonts w:ascii="Arial Narrow" w:hAnsi="Arial Narrow"/>
                <w:sz w:val="20"/>
                <w:szCs w:val="20"/>
              </w:rPr>
              <w:t>Osseo</w:t>
            </w:r>
            <w:r w:rsidRPr="000C760C">
              <w:rPr>
                <w:rFonts w:ascii="Cambria Math" w:hAnsi="Cambria Math" w:cs="Cambria Math"/>
                <w:sz w:val="20"/>
                <w:szCs w:val="20"/>
              </w:rPr>
              <w:t>‑</w:t>
            </w:r>
            <w:r w:rsidRPr="000C760C">
              <w:rPr>
                <w:rFonts w:ascii="Arial Narrow" w:hAnsi="Arial Narrow"/>
                <w:sz w:val="20"/>
                <w:szCs w:val="20"/>
              </w:rPr>
              <w:t>integration procedure, second stage, fixation of transcutaneous abutment, following congenital absence, tumour or trauma, other than a service associated with a service to which item 41603 applies</w:t>
            </w:r>
          </w:p>
          <w:p w14:paraId="2891FD0E" w14:textId="77777777" w:rsidR="00AD7533" w:rsidRPr="00F76AF7" w:rsidRDefault="00AD7533" w:rsidP="00AD7533">
            <w:pPr>
              <w:spacing w:before="200" w:after="120" w:line="240" w:lineRule="auto"/>
              <w:rPr>
                <w:rFonts w:ascii="Arial Narrow" w:hAnsi="Arial Narrow"/>
                <w:sz w:val="20"/>
                <w:szCs w:val="20"/>
              </w:rPr>
            </w:pPr>
            <w:r w:rsidRPr="00F76AF7">
              <w:rPr>
                <w:rFonts w:ascii="Arial Narrow" w:hAnsi="Arial Narrow"/>
                <w:sz w:val="20"/>
                <w:szCs w:val="20"/>
              </w:rPr>
              <w:t>Multiple Operation Rule</w:t>
            </w:r>
          </w:p>
          <w:p w14:paraId="06D6EF93" w14:textId="77777777" w:rsidR="002C0EF4" w:rsidRPr="00F76AF7" w:rsidRDefault="002C0EF4" w:rsidP="002C0EF4">
            <w:pPr>
              <w:spacing w:before="200" w:after="120" w:line="240" w:lineRule="auto"/>
              <w:rPr>
                <w:rFonts w:ascii="Arial Narrow" w:hAnsi="Arial Narrow"/>
                <w:sz w:val="20"/>
                <w:szCs w:val="20"/>
              </w:rPr>
            </w:pPr>
            <w:r w:rsidRPr="00F76AF7">
              <w:rPr>
                <w:rFonts w:ascii="Arial Narrow" w:hAnsi="Arial Narrow"/>
                <w:sz w:val="20"/>
                <w:szCs w:val="20"/>
              </w:rPr>
              <w:t>(Anaes.)</w:t>
            </w:r>
          </w:p>
          <w:p w14:paraId="54C9ED11" w14:textId="3734E600" w:rsidR="002C0EF4" w:rsidRPr="001A793C" w:rsidRDefault="002C0EF4" w:rsidP="002C0EF4">
            <w:pPr>
              <w:spacing w:before="120" w:after="120" w:line="240" w:lineRule="auto"/>
              <w:rPr>
                <w:rFonts w:ascii="Arial Narrow" w:hAnsi="Arial Narrow"/>
                <w:b/>
                <w:bCs/>
                <w:sz w:val="20"/>
                <w:szCs w:val="20"/>
              </w:rPr>
            </w:pPr>
            <w:r w:rsidRPr="00F76AF7">
              <w:rPr>
                <w:rFonts w:ascii="Arial Narrow" w:hAnsi="Arial Narrow"/>
                <w:b/>
                <w:bCs/>
                <w:sz w:val="20"/>
                <w:szCs w:val="20"/>
              </w:rPr>
              <w:t>Fee:</w:t>
            </w:r>
            <w:r w:rsidRPr="00F76AF7">
              <w:rPr>
                <w:rFonts w:ascii="Arial Narrow" w:hAnsi="Arial Narrow"/>
                <w:sz w:val="20"/>
                <w:szCs w:val="20"/>
              </w:rPr>
              <w:t xml:space="preserve"> $</w:t>
            </w:r>
            <w:r w:rsidR="00A44E31">
              <w:rPr>
                <w:rFonts w:ascii="Arial Narrow" w:hAnsi="Arial Narrow"/>
                <w:sz w:val="20"/>
                <w:szCs w:val="20"/>
              </w:rPr>
              <w:t>217.60</w:t>
            </w:r>
            <w:r w:rsidRPr="00F76AF7">
              <w:rPr>
                <w:rFonts w:ascii="Arial Narrow" w:hAnsi="Arial Narrow"/>
                <w:sz w:val="20"/>
                <w:szCs w:val="20"/>
              </w:rPr>
              <w:t xml:space="preserve"> </w:t>
            </w:r>
            <w:r w:rsidRPr="00F76AF7">
              <w:rPr>
                <w:rFonts w:ascii="Arial Narrow" w:hAnsi="Arial Narrow"/>
                <w:b/>
                <w:bCs/>
                <w:sz w:val="20"/>
                <w:szCs w:val="20"/>
              </w:rPr>
              <w:t>Benefit:</w:t>
            </w:r>
            <w:r w:rsidRPr="00F76AF7">
              <w:rPr>
                <w:rFonts w:ascii="Arial Narrow" w:hAnsi="Arial Narrow"/>
                <w:sz w:val="20"/>
                <w:szCs w:val="20"/>
              </w:rPr>
              <w:t xml:space="preserve"> </w:t>
            </w:r>
            <w:r w:rsidR="000C760C" w:rsidRPr="00F76AF7">
              <w:rPr>
                <w:rFonts w:ascii="Arial Narrow" w:hAnsi="Arial Narrow"/>
                <w:sz w:val="20"/>
                <w:szCs w:val="20"/>
              </w:rPr>
              <w:t>75% = $</w:t>
            </w:r>
            <w:r w:rsidR="00A44E31">
              <w:rPr>
                <w:rFonts w:ascii="Arial Narrow" w:hAnsi="Arial Narrow"/>
                <w:sz w:val="20"/>
                <w:szCs w:val="20"/>
              </w:rPr>
              <w:t>163.20</w:t>
            </w:r>
            <w:r w:rsidR="000C760C">
              <w:rPr>
                <w:rFonts w:ascii="Arial Narrow" w:hAnsi="Arial Narrow"/>
                <w:sz w:val="20"/>
                <w:szCs w:val="20"/>
              </w:rPr>
              <w:t xml:space="preserve"> 85% = $</w:t>
            </w:r>
            <w:r w:rsidR="00A44E31">
              <w:rPr>
                <w:rFonts w:ascii="Arial Narrow" w:hAnsi="Arial Narrow"/>
                <w:sz w:val="20"/>
                <w:szCs w:val="20"/>
              </w:rPr>
              <w:t>185.00</w:t>
            </w:r>
          </w:p>
        </w:tc>
      </w:tr>
    </w:tbl>
    <w:p w14:paraId="1608A8A5" w14:textId="7FE98F67" w:rsidR="001829FD" w:rsidRPr="005A2081" w:rsidRDefault="001829FD" w:rsidP="001829FD">
      <w:pPr>
        <w:pStyle w:val="Tablenotes"/>
        <w:spacing w:after="0"/>
      </w:pPr>
      <w:r>
        <w:t>MBS = Medicare Benefits Schedule.</w:t>
      </w:r>
    </w:p>
    <w:p w14:paraId="653A7A36" w14:textId="0368520A" w:rsidR="001829FD" w:rsidRDefault="001829FD" w:rsidP="001829FD">
      <w:pPr>
        <w:pStyle w:val="Tablenotes"/>
      </w:pPr>
      <w:r>
        <w:t xml:space="preserve">Source: MBS Online, accessed </w:t>
      </w:r>
      <w:r w:rsidR="006C6B0D">
        <w:t>11 July</w:t>
      </w:r>
      <w:r>
        <w:t xml:space="preserve"> 2025.</w:t>
      </w:r>
    </w:p>
    <w:p w14:paraId="53A2106A" w14:textId="69C8A513" w:rsidR="001829FD" w:rsidRDefault="00C520F2" w:rsidP="00C520F2">
      <w:pPr>
        <w:pStyle w:val="Caption"/>
      </w:pPr>
      <w:bookmarkStart w:id="34" w:name="_Ref202112258"/>
      <w:r>
        <w:lastRenderedPageBreak/>
        <w:t xml:space="preserve">Figure </w:t>
      </w:r>
      <w:r>
        <w:fldChar w:fldCharType="begin"/>
      </w:r>
      <w:r>
        <w:instrText xml:space="preserve"> SEQ Figure \* ARABIC </w:instrText>
      </w:r>
      <w:r>
        <w:fldChar w:fldCharType="separate"/>
      </w:r>
      <w:r w:rsidR="00A42764">
        <w:rPr>
          <w:noProof/>
        </w:rPr>
        <w:t>5</w:t>
      </w:r>
      <w:r>
        <w:fldChar w:fldCharType="end"/>
      </w:r>
      <w:bookmarkEnd w:id="34"/>
      <w:r>
        <w:tab/>
      </w:r>
      <w:r w:rsidR="00C61973">
        <w:t>Total</w:t>
      </w:r>
      <w:r w:rsidR="00E06549">
        <w:t xml:space="preserve"> services </w:t>
      </w:r>
      <w:r w:rsidR="005B70B4">
        <w:t xml:space="preserve">MBS items </w:t>
      </w:r>
      <w:r w:rsidR="00C61973">
        <w:t xml:space="preserve">41603, 45794 and 45797, </w:t>
      </w:r>
      <w:r w:rsidR="00A0162B">
        <w:t xml:space="preserve">financial years </w:t>
      </w:r>
      <w:r w:rsidR="00E06549">
        <w:t>2015-16 to 2023-24</w:t>
      </w:r>
    </w:p>
    <w:p w14:paraId="54B67B42" w14:textId="44AED0F6" w:rsidR="00E06549" w:rsidRDefault="0095121B" w:rsidP="00571327">
      <w:pPr>
        <w:pBdr>
          <w:top w:val="single" w:sz="4" w:space="1" w:color="auto"/>
          <w:left w:val="single" w:sz="4" w:space="4" w:color="auto"/>
          <w:bottom w:val="single" w:sz="4" w:space="1" w:color="auto"/>
          <w:right w:val="single" w:sz="4" w:space="4" w:color="auto"/>
        </w:pBdr>
        <w:spacing w:after="80"/>
        <w:rPr>
          <w:lang w:val="en-GB" w:eastAsia="ja-JP"/>
        </w:rPr>
      </w:pPr>
      <w:r>
        <w:rPr>
          <w:noProof/>
          <w:lang w:val="en-GB" w:eastAsia="ja-JP"/>
        </w:rPr>
        <w:drawing>
          <wp:inline distT="0" distB="0" distL="0" distR="0" wp14:anchorId="60B8E782" wp14:editId="226CF6F4">
            <wp:extent cx="5888990" cy="3426460"/>
            <wp:effectExtent l="0" t="0" r="0" b="2540"/>
            <wp:docPr id="430874972" name="Picture 1" descr="Line graph showing total services for MBS item 41618 from FY 2016-17 to 20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74972" name="Picture 1" descr="Line graph showing total services for MBS item 41618 from FY 2016-17 to 2023-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88990" cy="3426460"/>
                    </a:xfrm>
                    <a:prstGeom prst="rect">
                      <a:avLst/>
                    </a:prstGeom>
                    <a:noFill/>
                  </pic:spPr>
                </pic:pic>
              </a:graphicData>
            </a:graphic>
          </wp:inline>
        </w:drawing>
      </w:r>
    </w:p>
    <w:p w14:paraId="43A5D916" w14:textId="77777777" w:rsidR="0020650B" w:rsidRPr="005A2081" w:rsidRDefault="0020650B" w:rsidP="0020650B">
      <w:pPr>
        <w:pStyle w:val="Tablenotes"/>
        <w:spacing w:after="0"/>
      </w:pPr>
      <w:r>
        <w:t>MBS = Medicare Benefits Schedule.</w:t>
      </w:r>
    </w:p>
    <w:p w14:paraId="0B6A1F0F" w14:textId="0650C094" w:rsidR="0095121B" w:rsidRPr="0095121B" w:rsidRDefault="0095121B" w:rsidP="0095121B">
      <w:pPr>
        <w:pStyle w:val="Tablenotes"/>
      </w:pPr>
      <w:r>
        <w:t xml:space="preserve">Source: </w:t>
      </w:r>
      <w:r w:rsidR="00571327">
        <w:t>Medicare Statistics from Services Australia</w:t>
      </w:r>
      <w:r>
        <w:t>, accessed 20 June 2025.</w:t>
      </w:r>
    </w:p>
    <w:p w14:paraId="33C74199" w14:textId="3BB487A5" w:rsidR="00426F96" w:rsidRPr="00AD26D1" w:rsidRDefault="00426F96" w:rsidP="00426F96">
      <w:pPr>
        <w:pStyle w:val="Caption"/>
        <w:rPr>
          <w:lang w:val="en-AU"/>
        </w:rPr>
      </w:pPr>
      <w:r w:rsidRPr="00D87D79">
        <w:rPr>
          <w:lang w:val="en-AU"/>
        </w:rPr>
        <w:t xml:space="preserve">Table </w:t>
      </w:r>
      <w:r w:rsidRPr="00D87D79">
        <w:rPr>
          <w:lang w:val="en-AU"/>
        </w:rPr>
        <w:fldChar w:fldCharType="begin"/>
      </w:r>
      <w:r w:rsidRPr="00D87D79">
        <w:rPr>
          <w:lang w:val="en-AU"/>
        </w:rPr>
        <w:instrText xml:space="preserve"> SEQ Table \* ARABIC </w:instrText>
      </w:r>
      <w:r w:rsidRPr="00D87D79">
        <w:rPr>
          <w:lang w:val="en-AU"/>
        </w:rPr>
        <w:fldChar w:fldCharType="separate"/>
      </w:r>
      <w:r w:rsidR="00A42764">
        <w:rPr>
          <w:noProof/>
          <w:lang w:val="en-AU"/>
        </w:rPr>
        <w:t>14</w:t>
      </w:r>
      <w:r w:rsidRPr="00D87D79">
        <w:rPr>
          <w:lang w:val="en-AU"/>
        </w:rPr>
        <w:fldChar w:fldCharType="end"/>
      </w:r>
      <w:r w:rsidRPr="00D87D79">
        <w:rPr>
          <w:lang w:val="en-AU"/>
        </w:rPr>
        <w:tab/>
      </w:r>
      <w:r>
        <w:rPr>
          <w:lang w:val="en-AU"/>
        </w:rPr>
        <w:t xml:space="preserve">Example </w:t>
      </w:r>
      <w:r w:rsidRPr="00D87D79">
        <w:rPr>
          <w:lang w:val="en-AU"/>
        </w:rPr>
        <w:t>MBS items for audiometric testing and programming</w:t>
      </w:r>
      <w:r w:rsidR="00E32D4F">
        <w:rPr>
          <w:lang w:val="en-AU"/>
        </w:rPr>
        <w:t xml:space="preserve"> of hearing devices</w:t>
      </w:r>
    </w:p>
    <w:tbl>
      <w:tblPr>
        <w:tblStyle w:val="TableGrid"/>
        <w:tblW w:w="5000" w:type="pct"/>
        <w:tblInd w:w="0" w:type="dxa"/>
        <w:tblLook w:val="04A0" w:firstRow="1" w:lastRow="0" w:firstColumn="1" w:lastColumn="0" w:noHBand="0" w:noVBand="1"/>
        <w:tblCaption w:val="Example MBS items for audiometric testing and programming"/>
        <w:tblDescription w:val="The table lists MBS item numbers and 85% fee for audiometric testing and programming performed on behalf of a medical practitioner and performed by an eligible audiologist."/>
      </w:tblPr>
      <w:tblGrid>
        <w:gridCol w:w="6941"/>
        <w:gridCol w:w="1277"/>
        <w:gridCol w:w="1353"/>
      </w:tblGrid>
      <w:tr w:rsidR="00426F96" w14:paraId="04D67595" w14:textId="77777777" w:rsidTr="001205EF">
        <w:trPr>
          <w:tblHeader/>
        </w:trPr>
        <w:tc>
          <w:tcPr>
            <w:tcW w:w="3626" w:type="pct"/>
          </w:tcPr>
          <w:p w14:paraId="7E2C5428" w14:textId="77777777" w:rsidR="00426F96" w:rsidRDefault="00426F96" w:rsidP="00ED1410">
            <w:pPr>
              <w:pStyle w:val="TableHeading"/>
            </w:pPr>
            <w:r>
              <w:t>Test</w:t>
            </w:r>
          </w:p>
        </w:tc>
        <w:tc>
          <w:tcPr>
            <w:tcW w:w="667" w:type="pct"/>
          </w:tcPr>
          <w:p w14:paraId="05A590F9" w14:textId="77777777" w:rsidR="00426F96" w:rsidRDefault="00426F96" w:rsidP="00D8436B">
            <w:pPr>
              <w:pStyle w:val="TableHeading"/>
              <w:jc w:val="center"/>
            </w:pPr>
            <w:r>
              <w:t>MBS item</w:t>
            </w:r>
          </w:p>
        </w:tc>
        <w:tc>
          <w:tcPr>
            <w:tcW w:w="707" w:type="pct"/>
          </w:tcPr>
          <w:p w14:paraId="3BB75F79" w14:textId="77777777" w:rsidR="00426F96" w:rsidRDefault="00426F96" w:rsidP="00D8436B">
            <w:pPr>
              <w:pStyle w:val="TableHeading"/>
              <w:jc w:val="center"/>
            </w:pPr>
            <w:r>
              <w:t>85% benefit</w:t>
            </w:r>
          </w:p>
        </w:tc>
      </w:tr>
      <w:tr w:rsidR="00F7552C" w14:paraId="194DAA41" w14:textId="77777777" w:rsidTr="001205EF">
        <w:tc>
          <w:tcPr>
            <w:tcW w:w="3626" w:type="pct"/>
          </w:tcPr>
          <w:p w14:paraId="151D441D" w14:textId="76022169" w:rsidR="00F7552C" w:rsidRPr="00F7552C" w:rsidRDefault="00F7552C" w:rsidP="00ED1410">
            <w:pPr>
              <w:pStyle w:val="Tabletext"/>
              <w:rPr>
                <w:b/>
                <w:bCs/>
              </w:rPr>
            </w:pPr>
            <w:r w:rsidRPr="00F7552C">
              <w:rPr>
                <w:b/>
                <w:bCs/>
              </w:rPr>
              <w:t>Performed on behalf of a medical practitioner</w:t>
            </w:r>
          </w:p>
        </w:tc>
        <w:tc>
          <w:tcPr>
            <w:tcW w:w="667" w:type="pct"/>
          </w:tcPr>
          <w:p w14:paraId="1ECACF13" w14:textId="77777777" w:rsidR="00F7552C" w:rsidRPr="00F7552C" w:rsidRDefault="00F7552C" w:rsidP="00D8436B">
            <w:pPr>
              <w:pStyle w:val="Tabletext"/>
              <w:jc w:val="center"/>
              <w:rPr>
                <w:b/>
                <w:bCs/>
              </w:rPr>
            </w:pPr>
          </w:p>
        </w:tc>
        <w:tc>
          <w:tcPr>
            <w:tcW w:w="707" w:type="pct"/>
          </w:tcPr>
          <w:p w14:paraId="6576CAC4" w14:textId="77777777" w:rsidR="00F7552C" w:rsidRPr="00F7552C" w:rsidRDefault="00F7552C" w:rsidP="00D8436B">
            <w:pPr>
              <w:pStyle w:val="Tabletext"/>
              <w:jc w:val="center"/>
              <w:rPr>
                <w:b/>
                <w:bCs/>
              </w:rPr>
            </w:pPr>
          </w:p>
        </w:tc>
      </w:tr>
      <w:tr w:rsidR="002B68CA" w14:paraId="165B8FE2" w14:textId="77777777" w:rsidTr="001205EF">
        <w:tc>
          <w:tcPr>
            <w:tcW w:w="3626" w:type="pct"/>
          </w:tcPr>
          <w:p w14:paraId="4286FF1E" w14:textId="5420080C" w:rsidR="002B68CA" w:rsidRDefault="002B68CA" w:rsidP="00ED1410">
            <w:pPr>
              <w:pStyle w:val="Tabletext"/>
            </w:pPr>
            <w:r>
              <w:t xml:space="preserve">Air and bone conduction and speech discrimination audiogram </w:t>
            </w:r>
          </w:p>
        </w:tc>
        <w:tc>
          <w:tcPr>
            <w:tcW w:w="667" w:type="pct"/>
          </w:tcPr>
          <w:p w14:paraId="4FF5FE0F" w14:textId="77777777" w:rsidR="002B68CA" w:rsidRDefault="002B68CA" w:rsidP="00D8436B">
            <w:pPr>
              <w:pStyle w:val="Tabletext"/>
              <w:jc w:val="center"/>
            </w:pPr>
            <w:r>
              <w:t>11315</w:t>
            </w:r>
          </w:p>
        </w:tc>
        <w:tc>
          <w:tcPr>
            <w:tcW w:w="707" w:type="pct"/>
          </w:tcPr>
          <w:p w14:paraId="2B206F53" w14:textId="6BE199F6" w:rsidR="002B68CA" w:rsidRDefault="002B68CA" w:rsidP="00D8436B">
            <w:pPr>
              <w:pStyle w:val="Tabletext"/>
              <w:jc w:val="center"/>
            </w:pPr>
            <w:r>
              <w:t>$48.75</w:t>
            </w:r>
          </w:p>
        </w:tc>
      </w:tr>
      <w:tr w:rsidR="002B68CA" w14:paraId="6B13E5E6" w14:textId="77777777" w:rsidTr="001205EF">
        <w:tc>
          <w:tcPr>
            <w:tcW w:w="3626" w:type="pct"/>
          </w:tcPr>
          <w:p w14:paraId="26BA1AAA" w14:textId="48DC57E5" w:rsidR="002B68CA" w:rsidRDefault="002B68CA" w:rsidP="00ED1410">
            <w:pPr>
              <w:pStyle w:val="Tabletext"/>
            </w:pPr>
            <w:r>
              <w:t xml:space="preserve">Impedance audiogram involving tympanometry </w:t>
            </w:r>
          </w:p>
        </w:tc>
        <w:tc>
          <w:tcPr>
            <w:tcW w:w="667" w:type="pct"/>
          </w:tcPr>
          <w:p w14:paraId="4C9DB32A" w14:textId="77777777" w:rsidR="002B68CA" w:rsidRDefault="002B68CA" w:rsidP="00D8436B">
            <w:pPr>
              <w:pStyle w:val="Tabletext"/>
              <w:jc w:val="center"/>
            </w:pPr>
            <w:r>
              <w:t>11324</w:t>
            </w:r>
          </w:p>
        </w:tc>
        <w:tc>
          <w:tcPr>
            <w:tcW w:w="707" w:type="pct"/>
          </w:tcPr>
          <w:p w14:paraId="58EF3011" w14:textId="4824CAD3" w:rsidR="002B68CA" w:rsidRDefault="002B68CA" w:rsidP="00D8436B">
            <w:pPr>
              <w:pStyle w:val="Tabletext"/>
              <w:jc w:val="center"/>
            </w:pPr>
            <w:r>
              <w:t>$19.70</w:t>
            </w:r>
          </w:p>
        </w:tc>
      </w:tr>
      <w:tr w:rsidR="002B68CA" w14:paraId="64F81FFE" w14:textId="77777777" w:rsidTr="001205EF">
        <w:tc>
          <w:tcPr>
            <w:tcW w:w="3626" w:type="pct"/>
          </w:tcPr>
          <w:p w14:paraId="0C442342" w14:textId="4685EA4D" w:rsidR="002B68CA" w:rsidRPr="003F3D20" w:rsidRDefault="002B68CA" w:rsidP="00ED1410">
            <w:pPr>
              <w:pStyle w:val="Tabletext"/>
            </w:pPr>
            <w:r>
              <w:t>P</w:t>
            </w:r>
            <w:r w:rsidRPr="003F3D20">
              <w:t>rogramming an auditory implant or the sound processor</w:t>
            </w:r>
            <w:r>
              <w:t xml:space="preserve">, unilateral </w:t>
            </w:r>
          </w:p>
        </w:tc>
        <w:tc>
          <w:tcPr>
            <w:tcW w:w="667" w:type="pct"/>
          </w:tcPr>
          <w:p w14:paraId="2D0962FC" w14:textId="77777777" w:rsidR="002B68CA" w:rsidRDefault="002B68CA" w:rsidP="00D8436B">
            <w:pPr>
              <w:pStyle w:val="Tabletext"/>
              <w:jc w:val="center"/>
            </w:pPr>
            <w:r>
              <w:t>11302</w:t>
            </w:r>
          </w:p>
        </w:tc>
        <w:tc>
          <w:tcPr>
            <w:tcW w:w="707" w:type="pct"/>
          </w:tcPr>
          <w:p w14:paraId="5C272660" w14:textId="1A7A6A29" w:rsidR="002B68CA" w:rsidRDefault="002B68CA" w:rsidP="00D8436B">
            <w:pPr>
              <w:pStyle w:val="Tabletext"/>
              <w:jc w:val="center"/>
            </w:pPr>
            <w:r>
              <w:t>$190.90</w:t>
            </w:r>
          </w:p>
        </w:tc>
      </w:tr>
      <w:tr w:rsidR="002B68CA" w14:paraId="1AF80F86" w14:textId="77777777" w:rsidTr="001205EF">
        <w:tc>
          <w:tcPr>
            <w:tcW w:w="3626" w:type="pct"/>
          </w:tcPr>
          <w:p w14:paraId="0B41E43D" w14:textId="1709E912" w:rsidR="002B68CA" w:rsidRDefault="002B68CA" w:rsidP="00ED1410">
            <w:pPr>
              <w:pStyle w:val="Tabletext"/>
            </w:pPr>
            <w:r>
              <w:t>P</w:t>
            </w:r>
            <w:r w:rsidRPr="003F3D20">
              <w:t xml:space="preserve">rogramming </w:t>
            </w:r>
            <w:r>
              <w:t xml:space="preserve">by video attendance of </w:t>
            </w:r>
            <w:r w:rsidRPr="003F3D20">
              <w:t>an auditory implant or the sound processor</w:t>
            </w:r>
            <w:r>
              <w:t xml:space="preserve">, unilateral </w:t>
            </w:r>
          </w:p>
        </w:tc>
        <w:tc>
          <w:tcPr>
            <w:tcW w:w="667" w:type="pct"/>
          </w:tcPr>
          <w:p w14:paraId="79DDBE5D" w14:textId="77777777" w:rsidR="002B68CA" w:rsidRDefault="002B68CA" w:rsidP="00D8436B">
            <w:pPr>
              <w:pStyle w:val="Tabletext"/>
              <w:jc w:val="center"/>
            </w:pPr>
            <w:r>
              <w:t>11342</w:t>
            </w:r>
          </w:p>
        </w:tc>
        <w:tc>
          <w:tcPr>
            <w:tcW w:w="707" w:type="pct"/>
          </w:tcPr>
          <w:p w14:paraId="4ADCFD8E" w14:textId="77777777" w:rsidR="002B68CA" w:rsidRDefault="002B68CA" w:rsidP="00D8436B">
            <w:pPr>
              <w:pStyle w:val="Tabletext"/>
              <w:jc w:val="center"/>
            </w:pPr>
            <w:r>
              <w:t>$152.70</w:t>
            </w:r>
          </w:p>
        </w:tc>
      </w:tr>
      <w:tr w:rsidR="002B68CA" w14:paraId="76B22F42" w14:textId="77777777" w:rsidTr="001205EF">
        <w:tc>
          <w:tcPr>
            <w:tcW w:w="3626" w:type="pct"/>
          </w:tcPr>
          <w:p w14:paraId="4FE16F99" w14:textId="669DE9CB" w:rsidR="002B68CA" w:rsidRDefault="002B68CA" w:rsidP="00ED1410">
            <w:pPr>
              <w:pStyle w:val="Tabletext"/>
            </w:pPr>
            <w:r>
              <w:t>P</w:t>
            </w:r>
            <w:r w:rsidRPr="003F3D20">
              <w:t xml:space="preserve">rogramming </w:t>
            </w:r>
            <w:r>
              <w:t xml:space="preserve">by phone attendance of </w:t>
            </w:r>
            <w:r w:rsidRPr="003F3D20">
              <w:t>an auditory implant or the sound processor</w:t>
            </w:r>
            <w:r>
              <w:t xml:space="preserve">, unilateral </w:t>
            </w:r>
          </w:p>
        </w:tc>
        <w:tc>
          <w:tcPr>
            <w:tcW w:w="667" w:type="pct"/>
          </w:tcPr>
          <w:p w14:paraId="1683127B" w14:textId="77777777" w:rsidR="002B68CA" w:rsidRDefault="002B68CA" w:rsidP="00D8436B">
            <w:pPr>
              <w:pStyle w:val="Tabletext"/>
              <w:jc w:val="center"/>
            </w:pPr>
            <w:r>
              <w:t>11345</w:t>
            </w:r>
          </w:p>
        </w:tc>
        <w:tc>
          <w:tcPr>
            <w:tcW w:w="707" w:type="pct"/>
          </w:tcPr>
          <w:p w14:paraId="3D68C09E" w14:textId="77777777" w:rsidR="002B68CA" w:rsidRDefault="002B68CA" w:rsidP="00D8436B">
            <w:pPr>
              <w:pStyle w:val="Tabletext"/>
              <w:jc w:val="center"/>
            </w:pPr>
            <w:r>
              <w:t>$152.70</w:t>
            </w:r>
          </w:p>
        </w:tc>
      </w:tr>
      <w:tr w:rsidR="002B68CA" w14:paraId="7796EEAA" w14:textId="77777777" w:rsidTr="001205EF">
        <w:tc>
          <w:tcPr>
            <w:tcW w:w="3626" w:type="pct"/>
          </w:tcPr>
          <w:p w14:paraId="57D6E361" w14:textId="6FE94934" w:rsidR="002B68CA" w:rsidRPr="00F7552C" w:rsidRDefault="002B68CA" w:rsidP="00ED1410">
            <w:pPr>
              <w:pStyle w:val="Tabletext"/>
              <w:rPr>
                <w:b/>
                <w:bCs/>
              </w:rPr>
            </w:pPr>
            <w:r>
              <w:rPr>
                <w:b/>
                <w:bCs/>
              </w:rPr>
              <w:t>Performed by an eligible audiologist</w:t>
            </w:r>
          </w:p>
        </w:tc>
        <w:tc>
          <w:tcPr>
            <w:tcW w:w="667" w:type="pct"/>
          </w:tcPr>
          <w:p w14:paraId="69DDD488" w14:textId="77777777" w:rsidR="002B68CA" w:rsidRPr="00F7552C" w:rsidRDefault="002B68CA" w:rsidP="00D8436B">
            <w:pPr>
              <w:pStyle w:val="Tabletext"/>
              <w:jc w:val="center"/>
              <w:rPr>
                <w:b/>
                <w:bCs/>
              </w:rPr>
            </w:pPr>
          </w:p>
        </w:tc>
        <w:tc>
          <w:tcPr>
            <w:tcW w:w="707" w:type="pct"/>
          </w:tcPr>
          <w:p w14:paraId="7E2F4C81" w14:textId="77777777" w:rsidR="002B68CA" w:rsidRPr="00F7552C" w:rsidRDefault="002B68CA" w:rsidP="00D8436B">
            <w:pPr>
              <w:pStyle w:val="Tabletext"/>
              <w:jc w:val="center"/>
              <w:rPr>
                <w:b/>
                <w:bCs/>
              </w:rPr>
            </w:pPr>
          </w:p>
        </w:tc>
      </w:tr>
      <w:tr w:rsidR="00426F96" w14:paraId="08363998" w14:textId="77777777" w:rsidTr="001205EF">
        <w:tc>
          <w:tcPr>
            <w:tcW w:w="3626" w:type="pct"/>
          </w:tcPr>
          <w:p w14:paraId="0E930260" w14:textId="09ED7645" w:rsidR="00426F96" w:rsidRDefault="00426F96" w:rsidP="00ED1410">
            <w:pPr>
              <w:pStyle w:val="Tabletext"/>
            </w:pPr>
            <w:r>
              <w:t>A</w:t>
            </w:r>
            <w:r w:rsidRPr="009571E7">
              <w:t>ir and bone conduction and speech discrimination audiogram</w:t>
            </w:r>
            <w:r>
              <w:t xml:space="preserve"> </w:t>
            </w:r>
          </w:p>
        </w:tc>
        <w:tc>
          <w:tcPr>
            <w:tcW w:w="667" w:type="pct"/>
          </w:tcPr>
          <w:p w14:paraId="38CED72C" w14:textId="77777777" w:rsidR="00426F96" w:rsidRDefault="00426F96" w:rsidP="00D8436B">
            <w:pPr>
              <w:pStyle w:val="Tabletext"/>
              <w:jc w:val="center"/>
            </w:pPr>
            <w:r>
              <w:t>82315</w:t>
            </w:r>
          </w:p>
        </w:tc>
        <w:tc>
          <w:tcPr>
            <w:tcW w:w="707" w:type="pct"/>
          </w:tcPr>
          <w:p w14:paraId="72217299" w14:textId="75DEDE20" w:rsidR="00426F96" w:rsidRDefault="00426F96" w:rsidP="00D8436B">
            <w:pPr>
              <w:pStyle w:val="Tabletext"/>
              <w:jc w:val="center"/>
            </w:pPr>
            <w:r>
              <w:t>$</w:t>
            </w:r>
            <w:r w:rsidR="00CB0AA6">
              <w:t>39.05</w:t>
            </w:r>
          </w:p>
        </w:tc>
      </w:tr>
      <w:tr w:rsidR="00426F96" w14:paraId="62333B33" w14:textId="77777777" w:rsidTr="001205EF">
        <w:tc>
          <w:tcPr>
            <w:tcW w:w="3626" w:type="pct"/>
          </w:tcPr>
          <w:p w14:paraId="1AC582CB" w14:textId="01FC6026" w:rsidR="00426F96" w:rsidRDefault="00426F96" w:rsidP="00ED1410">
            <w:pPr>
              <w:pStyle w:val="Tabletext"/>
            </w:pPr>
            <w:r>
              <w:t xml:space="preserve">Impedance audiogram involving tympanometry </w:t>
            </w:r>
          </w:p>
        </w:tc>
        <w:tc>
          <w:tcPr>
            <w:tcW w:w="667" w:type="pct"/>
          </w:tcPr>
          <w:p w14:paraId="26376CB5" w14:textId="77777777" w:rsidR="00426F96" w:rsidRDefault="00426F96" w:rsidP="00D8436B">
            <w:pPr>
              <w:pStyle w:val="Tabletext"/>
              <w:jc w:val="center"/>
            </w:pPr>
            <w:r>
              <w:t>82324</w:t>
            </w:r>
          </w:p>
        </w:tc>
        <w:tc>
          <w:tcPr>
            <w:tcW w:w="707" w:type="pct"/>
          </w:tcPr>
          <w:p w14:paraId="37520FC1" w14:textId="4A014248" w:rsidR="00426F96" w:rsidRDefault="00426F96" w:rsidP="00D8436B">
            <w:pPr>
              <w:pStyle w:val="Tabletext"/>
              <w:jc w:val="center"/>
            </w:pPr>
            <w:r>
              <w:t>$15.</w:t>
            </w:r>
            <w:r w:rsidR="00056209">
              <w:t>9</w:t>
            </w:r>
            <w:r>
              <w:t>0</w:t>
            </w:r>
          </w:p>
        </w:tc>
      </w:tr>
      <w:tr w:rsidR="00E138D6" w14:paraId="2971EB18" w14:textId="77777777" w:rsidTr="001205EF">
        <w:tc>
          <w:tcPr>
            <w:tcW w:w="3626" w:type="pct"/>
          </w:tcPr>
          <w:p w14:paraId="5C2D16D1" w14:textId="0B4337F7" w:rsidR="00E138D6" w:rsidRDefault="00E138D6" w:rsidP="00ED1410">
            <w:pPr>
              <w:pStyle w:val="Tabletext"/>
            </w:pPr>
            <w:r>
              <w:t>P</w:t>
            </w:r>
            <w:r w:rsidRPr="003F3D20">
              <w:t>rogramming an auditory implant or the sound processor</w:t>
            </w:r>
            <w:r>
              <w:t>, unilateral</w:t>
            </w:r>
            <w:r w:rsidRPr="003F3D20">
              <w:t xml:space="preserve"> </w:t>
            </w:r>
          </w:p>
        </w:tc>
        <w:tc>
          <w:tcPr>
            <w:tcW w:w="667" w:type="pct"/>
          </w:tcPr>
          <w:p w14:paraId="48D145A3" w14:textId="77777777" w:rsidR="00E138D6" w:rsidRDefault="00E138D6" w:rsidP="00D8436B">
            <w:pPr>
              <w:pStyle w:val="Tabletext"/>
              <w:jc w:val="center"/>
            </w:pPr>
            <w:r>
              <w:t>82301</w:t>
            </w:r>
          </w:p>
        </w:tc>
        <w:tc>
          <w:tcPr>
            <w:tcW w:w="707" w:type="pct"/>
          </w:tcPr>
          <w:p w14:paraId="1F6965C5" w14:textId="6797C274" w:rsidR="00E138D6" w:rsidRDefault="00E138D6" w:rsidP="00D8436B">
            <w:pPr>
              <w:pStyle w:val="Tabletext"/>
              <w:jc w:val="center"/>
            </w:pPr>
            <w:r>
              <w:t>$152.70</w:t>
            </w:r>
          </w:p>
        </w:tc>
      </w:tr>
      <w:tr w:rsidR="00E138D6" w14:paraId="38BA989D" w14:textId="77777777" w:rsidTr="001205EF">
        <w:tc>
          <w:tcPr>
            <w:tcW w:w="3626" w:type="pct"/>
          </w:tcPr>
          <w:p w14:paraId="2FDD1CB3" w14:textId="7EAD6B57" w:rsidR="00E138D6" w:rsidRDefault="00E138D6" w:rsidP="00ED1410">
            <w:pPr>
              <w:pStyle w:val="Tabletext"/>
            </w:pPr>
            <w:r>
              <w:t>P</w:t>
            </w:r>
            <w:r w:rsidRPr="003F3D20">
              <w:t xml:space="preserve">rogramming </w:t>
            </w:r>
            <w:r>
              <w:t xml:space="preserve">by video attendance of </w:t>
            </w:r>
            <w:r w:rsidRPr="003F3D20">
              <w:t>an auditory implant or the sound processor</w:t>
            </w:r>
            <w:r>
              <w:t xml:space="preserve">, unilateral </w:t>
            </w:r>
          </w:p>
        </w:tc>
        <w:tc>
          <w:tcPr>
            <w:tcW w:w="667" w:type="pct"/>
          </w:tcPr>
          <w:p w14:paraId="50A2D3C5" w14:textId="77777777" w:rsidR="00E138D6" w:rsidRDefault="00E138D6" w:rsidP="00D8436B">
            <w:pPr>
              <w:pStyle w:val="Tabletext"/>
              <w:jc w:val="center"/>
            </w:pPr>
            <w:r>
              <w:t>82302</w:t>
            </w:r>
          </w:p>
        </w:tc>
        <w:tc>
          <w:tcPr>
            <w:tcW w:w="707" w:type="pct"/>
          </w:tcPr>
          <w:p w14:paraId="11A3171E" w14:textId="77777777" w:rsidR="00E138D6" w:rsidRDefault="00E138D6" w:rsidP="00D8436B">
            <w:pPr>
              <w:pStyle w:val="Tabletext"/>
              <w:jc w:val="center"/>
            </w:pPr>
            <w:r>
              <w:t>$152.70</w:t>
            </w:r>
          </w:p>
        </w:tc>
      </w:tr>
      <w:tr w:rsidR="00EB7744" w14:paraId="4BD5D460" w14:textId="77777777" w:rsidTr="001205EF">
        <w:tc>
          <w:tcPr>
            <w:tcW w:w="3626" w:type="pct"/>
          </w:tcPr>
          <w:p w14:paraId="74DC1686" w14:textId="0AFB5898" w:rsidR="00EB7744" w:rsidRDefault="00473E48" w:rsidP="00ED1410">
            <w:pPr>
              <w:pStyle w:val="Tabletext"/>
            </w:pPr>
            <w:r>
              <w:t>P</w:t>
            </w:r>
            <w:r w:rsidRPr="003F3D20">
              <w:t xml:space="preserve">rogramming </w:t>
            </w:r>
            <w:r>
              <w:t xml:space="preserve">by phone attendance of </w:t>
            </w:r>
            <w:r w:rsidRPr="003F3D20">
              <w:t>an auditory implant or the sound processor</w:t>
            </w:r>
            <w:r>
              <w:t xml:space="preserve">, unilateral </w:t>
            </w:r>
          </w:p>
        </w:tc>
        <w:tc>
          <w:tcPr>
            <w:tcW w:w="667" w:type="pct"/>
          </w:tcPr>
          <w:p w14:paraId="3A591162" w14:textId="7F8606D3" w:rsidR="00EB7744" w:rsidRDefault="00473E48" w:rsidP="00D8436B">
            <w:pPr>
              <w:pStyle w:val="Tabletext"/>
              <w:jc w:val="center"/>
            </w:pPr>
            <w:r>
              <w:t>82304</w:t>
            </w:r>
          </w:p>
        </w:tc>
        <w:tc>
          <w:tcPr>
            <w:tcW w:w="707" w:type="pct"/>
          </w:tcPr>
          <w:p w14:paraId="05FCBC70" w14:textId="72E1E68B" w:rsidR="00EB7744" w:rsidRDefault="00D1202E" w:rsidP="00D8436B">
            <w:pPr>
              <w:pStyle w:val="Tabletext"/>
              <w:jc w:val="center"/>
            </w:pPr>
            <w:r>
              <w:t>$152.70</w:t>
            </w:r>
          </w:p>
        </w:tc>
      </w:tr>
    </w:tbl>
    <w:p w14:paraId="4CFC7FE4" w14:textId="77777777" w:rsidR="00426F96" w:rsidRDefault="00426F96" w:rsidP="00426F96">
      <w:pPr>
        <w:pStyle w:val="Tablenotes"/>
        <w:spacing w:after="0"/>
      </w:pPr>
      <w:r>
        <w:t>MBS = Medicare Benefits Schedule.</w:t>
      </w:r>
    </w:p>
    <w:p w14:paraId="60AB430E" w14:textId="2AF5276A" w:rsidR="00426F96" w:rsidRPr="00265268" w:rsidRDefault="00426F96" w:rsidP="007420C2">
      <w:pPr>
        <w:pStyle w:val="Tablenotes"/>
      </w:pPr>
      <w:r>
        <w:t xml:space="preserve">Source: MBS Online, accessed </w:t>
      </w:r>
      <w:r w:rsidR="0092797D">
        <w:t>11 July</w:t>
      </w:r>
      <w:r>
        <w:t xml:space="preserve"> 2025.</w:t>
      </w:r>
    </w:p>
    <w:sectPr w:rsidR="00426F96" w:rsidRPr="00265268" w:rsidSect="00E42977">
      <w:pgSz w:w="11906" w:h="16838"/>
      <w:pgMar w:top="682" w:right="1134"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E236" w14:textId="77777777" w:rsidR="009A6FC5" w:rsidRDefault="009A6FC5" w:rsidP="0016315C">
      <w:pPr>
        <w:spacing w:after="0" w:line="240" w:lineRule="auto"/>
      </w:pPr>
      <w:r>
        <w:separator/>
      </w:r>
    </w:p>
  </w:endnote>
  <w:endnote w:type="continuationSeparator" w:id="0">
    <w:p w14:paraId="615A0313" w14:textId="77777777" w:rsidR="009A6FC5" w:rsidRDefault="009A6FC5" w:rsidP="0016315C">
      <w:pPr>
        <w:spacing w:after="0" w:line="240" w:lineRule="auto"/>
      </w:pPr>
      <w:r>
        <w:continuationSeparator/>
      </w:r>
    </w:p>
  </w:endnote>
  <w:endnote w:type="continuationNotice" w:id="1">
    <w:p w14:paraId="69BB5B30" w14:textId="77777777" w:rsidR="009A6FC5" w:rsidRDefault="009A6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D3D2" w14:textId="11CD29D6" w:rsidR="00685355" w:rsidRDefault="00214080">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06CAAD72" wp14:editId="4FC45AAA">
              <wp:simplePos x="635" y="635"/>
              <wp:positionH relativeFrom="page">
                <wp:align>center</wp:align>
              </wp:positionH>
              <wp:positionV relativeFrom="page">
                <wp:align>bottom</wp:align>
              </wp:positionV>
              <wp:extent cx="551815" cy="404495"/>
              <wp:effectExtent l="0" t="0" r="635" b="0"/>
              <wp:wrapNone/>
              <wp:docPr id="168386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3B5424" w14:textId="4717C76A"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AAD72"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683B5424" w14:textId="4717C76A"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v:textbox>
              <w10:wrap anchorx="page" anchory="page"/>
            </v:shape>
          </w:pict>
        </mc:Fallback>
      </mc:AlternateContent>
    </w:r>
    <w:r w:rsidR="00685355">
      <w:rPr>
        <w:rStyle w:val="PageNumber"/>
      </w:rPr>
      <w:fldChar w:fldCharType="begin"/>
    </w:r>
    <w:r w:rsidR="00685355">
      <w:rPr>
        <w:rStyle w:val="PageNumber"/>
      </w:rPr>
      <w:instrText xml:space="preserve"> PAGE </w:instrText>
    </w:r>
    <w:r w:rsidR="00685355">
      <w:rPr>
        <w:rStyle w:val="PageNumber"/>
      </w:rPr>
      <w:fldChar w:fldCharType="separate"/>
    </w:r>
    <w:r w:rsidR="003A1E02">
      <w:rPr>
        <w:rStyle w:val="PageNumber"/>
        <w:noProof/>
      </w:rPr>
      <w:t>1</w:t>
    </w:r>
    <w:r w:rsidR="00685355">
      <w:rPr>
        <w:rStyle w:val="PageNumber"/>
      </w:rPr>
      <w:fldChar w:fldCharType="end"/>
    </w:r>
  </w:p>
  <w:p w14:paraId="74E72C2D" w14:textId="77777777" w:rsidR="00685355" w:rsidRDefault="00685355"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7406" w14:textId="6751C0FE" w:rsidR="001B78A3" w:rsidRDefault="00214080" w:rsidP="001B78A3">
    <w:pPr>
      <w:pStyle w:val="Footer"/>
      <w:framePr w:h="541" w:hRule="exact" w:wrap="none" w:vAnchor="text" w:hAnchor="page" w:x="1351" w:y="359"/>
      <w:rPr>
        <w:rStyle w:val="PageNumber"/>
      </w:rPr>
    </w:pPr>
    <w:r>
      <w:rPr>
        <w:noProof/>
      </w:rPr>
      <mc:AlternateContent>
        <mc:Choice Requires="wps">
          <w:drawing>
            <wp:anchor distT="0" distB="0" distL="0" distR="0" simplePos="0" relativeHeight="251664389" behindDoc="0" locked="0" layoutInCell="1" allowOverlap="1" wp14:anchorId="4665B61A" wp14:editId="1C68D2CB">
              <wp:simplePos x="857250" y="9886950"/>
              <wp:positionH relativeFrom="page">
                <wp:align>center</wp:align>
              </wp:positionH>
              <wp:positionV relativeFrom="page">
                <wp:align>bottom</wp:align>
              </wp:positionV>
              <wp:extent cx="551815" cy="404495"/>
              <wp:effectExtent l="0" t="0" r="635" b="0"/>
              <wp:wrapNone/>
              <wp:docPr id="157508201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2E3B527" w14:textId="44A9569C"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5B61A"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12E3B527" w14:textId="44A9569C"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v:textbox>
              <w10:wrap anchorx="page" anchory="page"/>
            </v:shape>
          </w:pict>
        </mc:Fallback>
      </mc:AlternateContent>
    </w:r>
  </w:p>
  <w:p w14:paraId="5AF4E5D1" w14:textId="509782B4" w:rsidR="001B78A3" w:rsidRDefault="009212CA" w:rsidP="001B78A3">
    <w:pPr>
      <w:pStyle w:val="Footer"/>
      <w:framePr w:h="541" w:hRule="exact" w:wrap="none" w:vAnchor="text" w:hAnchor="page" w:x="1351" w:y="359"/>
      <w:jc w:val="right"/>
      <w:rPr>
        <w:rStyle w:val="PageNumber"/>
      </w:rPr>
    </w:pPr>
    <w:sdt>
      <w:sdtPr>
        <w:rPr>
          <w:rStyle w:val="PageNumber"/>
        </w:rPr>
        <w:id w:val="-2093382827"/>
        <w:docPartObj>
          <w:docPartGallery w:val="Page Numbers (Bottom of Page)"/>
          <w:docPartUnique/>
        </w:docPartObj>
      </w:sdtPr>
      <w:sdtEndPr>
        <w:rPr>
          <w:rStyle w:val="PageNumber"/>
        </w:rPr>
      </w:sdtEndPr>
      <w:sdtContent>
        <w:r w:rsidR="001B78A3">
          <w:rPr>
            <w:rStyle w:val="PageNumber"/>
          </w:rPr>
          <w:fldChar w:fldCharType="begin"/>
        </w:r>
        <w:r w:rsidR="001B78A3">
          <w:rPr>
            <w:rStyle w:val="PageNumber"/>
          </w:rPr>
          <w:instrText xml:space="preserve"> PAGE </w:instrText>
        </w:r>
        <w:r w:rsidR="001B78A3">
          <w:rPr>
            <w:rStyle w:val="PageNumber"/>
          </w:rPr>
          <w:fldChar w:fldCharType="separate"/>
        </w:r>
        <w:r w:rsidR="001B78A3">
          <w:rPr>
            <w:rStyle w:val="PageNumber"/>
            <w:noProof/>
          </w:rPr>
          <w:t>1</w:t>
        </w:r>
        <w:r w:rsidR="001B78A3">
          <w:rPr>
            <w:rStyle w:val="PageNumber"/>
          </w:rPr>
          <w:fldChar w:fldCharType="end"/>
        </w:r>
      </w:sdtContent>
    </w:sdt>
  </w:p>
  <w:p w14:paraId="33649654" w14:textId="6D4A7D8A" w:rsidR="0016315C" w:rsidRPr="00685355" w:rsidRDefault="00D67420" w:rsidP="00C2457A">
    <w:pPr>
      <w:spacing w:before="240"/>
      <w:jc w:val="center"/>
    </w:pPr>
    <w:r>
      <w:t xml:space="preserve">Ratified </w:t>
    </w:r>
    <w:r w:rsidR="60009B8A">
      <w:t xml:space="preserve">PICO Confirmation </w:t>
    </w:r>
    <w:r w:rsidR="60009B8A" w:rsidRPr="00B136DE">
      <w:t xml:space="preserve">– </w:t>
    </w:r>
    <w:r w:rsidR="00B136DE" w:rsidRPr="00B136DE">
      <w:t>August</w:t>
    </w:r>
    <w:r w:rsidR="60009B8A" w:rsidRPr="00B136DE">
      <w:t xml:space="preserve"> PASC </w:t>
    </w:r>
    <w:r w:rsidR="00B136DE">
      <w:t>2025</w:t>
    </w:r>
    <w:r w:rsidR="00BB0FFB">
      <w:br/>
    </w:r>
    <w:r w:rsidR="00FF7AFE">
      <w:t xml:space="preserve">Application 1803 </w:t>
    </w:r>
    <w:r w:rsidR="00192483">
      <w:t>–</w:t>
    </w:r>
    <w:r w:rsidR="00FF7AFE">
      <w:t xml:space="preserve"> </w:t>
    </w:r>
    <w:r w:rsidR="00B4454F">
      <w:t xml:space="preserve">Implantation of </w:t>
    </w:r>
    <w:r w:rsidR="00772A20">
      <w:t xml:space="preserve">an </w:t>
    </w:r>
    <w:r w:rsidR="005F0D87">
      <w:t>active middle ear implant</w:t>
    </w:r>
    <w:r w:rsidR="00772A20">
      <w:t xml:space="preserve"> (</w:t>
    </w:r>
    <w:proofErr w:type="spellStart"/>
    <w:r w:rsidR="00772A20">
      <w:t>v</w:t>
    </w:r>
    <w:r w:rsidR="005C3D4F">
      <w:t>ibroplasty</w:t>
    </w:r>
    <w:proofErr w:type="spellEnd"/>
    <w:r w:rsidR="00772A20">
      <w:t>)</w:t>
    </w:r>
    <w:r w:rsidR="005C3D4F">
      <w:t xml:space="preserve"> for </w:t>
    </w:r>
    <w:r w:rsidR="006B0DD3">
      <w:t>treatment of</w:t>
    </w:r>
    <w:r w:rsidR="005C3D4F">
      <w:t xml:space="preserve"> </w:t>
    </w:r>
    <w:r w:rsidR="00503FCD">
      <w:t>mixed and conductive hearing loss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D852" w14:textId="464E726E" w:rsidR="00151521" w:rsidRDefault="00214080">
    <w:pPr>
      <w:pStyle w:val="Footer"/>
    </w:pPr>
    <w:r>
      <w:rPr>
        <w:noProof/>
      </w:rPr>
      <mc:AlternateContent>
        <mc:Choice Requires="wps">
          <w:drawing>
            <wp:anchor distT="0" distB="0" distL="0" distR="0" simplePos="0" relativeHeight="251662341" behindDoc="0" locked="0" layoutInCell="1" allowOverlap="1" wp14:anchorId="4A88AD38" wp14:editId="4A157540">
              <wp:simplePos x="635" y="635"/>
              <wp:positionH relativeFrom="page">
                <wp:align>center</wp:align>
              </wp:positionH>
              <wp:positionV relativeFrom="page">
                <wp:align>bottom</wp:align>
              </wp:positionV>
              <wp:extent cx="551815" cy="404495"/>
              <wp:effectExtent l="0" t="0" r="635" b="0"/>
              <wp:wrapNone/>
              <wp:docPr id="519692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41B52A" w14:textId="08CFB9BE"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88AD38"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1941B52A" w14:textId="08CFB9BE"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F086" w14:textId="77777777" w:rsidR="009A6FC5" w:rsidRDefault="009A6FC5" w:rsidP="0016315C">
      <w:pPr>
        <w:spacing w:after="0" w:line="240" w:lineRule="auto"/>
      </w:pPr>
      <w:r>
        <w:separator/>
      </w:r>
    </w:p>
  </w:footnote>
  <w:footnote w:type="continuationSeparator" w:id="0">
    <w:p w14:paraId="0BCAA5FE" w14:textId="77777777" w:rsidR="009A6FC5" w:rsidRDefault="009A6FC5" w:rsidP="0016315C">
      <w:pPr>
        <w:spacing w:after="0" w:line="240" w:lineRule="auto"/>
      </w:pPr>
      <w:r>
        <w:continuationSeparator/>
      </w:r>
    </w:p>
  </w:footnote>
  <w:footnote w:type="continuationNotice" w:id="1">
    <w:p w14:paraId="7E67BC32" w14:textId="77777777" w:rsidR="009A6FC5" w:rsidRDefault="009A6FC5">
      <w:pPr>
        <w:spacing w:after="0" w:line="240" w:lineRule="auto"/>
      </w:pPr>
    </w:p>
  </w:footnote>
  <w:footnote w:id="2">
    <w:p w14:paraId="561D525D" w14:textId="3549A410" w:rsidR="008346F9" w:rsidRDefault="008346F9" w:rsidP="008346F9">
      <w:pPr>
        <w:pStyle w:val="FootnoteText"/>
      </w:pPr>
      <w:r>
        <w:rPr>
          <w:rStyle w:val="FootnoteReference"/>
        </w:rPr>
        <w:footnoteRef/>
      </w:r>
      <w:r>
        <w:t xml:space="preserve"> The safety claim was confirmed at the pre-PASC meeting held on 24 June 2025.</w:t>
      </w:r>
    </w:p>
  </w:footnote>
  <w:footnote w:id="3">
    <w:p w14:paraId="20B78CB5" w14:textId="2AC374C6" w:rsidR="009C73D9" w:rsidRDefault="009C73D9" w:rsidP="009C73D9">
      <w:pPr>
        <w:pStyle w:val="FootnoteText"/>
      </w:pPr>
      <w:r>
        <w:rPr>
          <w:rStyle w:val="FootnoteReference"/>
        </w:rPr>
        <w:footnoteRef/>
      </w:r>
      <w:r>
        <w:t xml:space="preserve"> At the pre-PASC meeting held on 24 June 2025, the applicant clarified that the term ‘bone conduction device’ was intended to encompass </w:t>
      </w:r>
      <w:r w:rsidR="0025712B">
        <w:t>devices</w:t>
      </w:r>
      <w:r w:rsidR="000D5537">
        <w:t xml:space="preserve"> </w:t>
      </w:r>
      <w:r w:rsidR="0081706F">
        <w:t>that</w:t>
      </w:r>
      <w:r w:rsidR="000D5537">
        <w:t xml:space="preserve"> did not require surgical implantation</w:t>
      </w:r>
      <w:r>
        <w:t xml:space="preserve"> (</w:t>
      </w:r>
      <w:r w:rsidR="0048497A">
        <w:t xml:space="preserve">e.g. </w:t>
      </w:r>
      <w:r>
        <w:t xml:space="preserve">headband/softband or adhesive), not </w:t>
      </w:r>
      <w:r w:rsidR="0025712B">
        <w:t>bone conduction implant</w:t>
      </w:r>
      <w:r>
        <w:t>s.</w:t>
      </w:r>
    </w:p>
  </w:footnote>
  <w:footnote w:id="4">
    <w:p w14:paraId="238A2CBD" w14:textId="77777777" w:rsidR="00C07720" w:rsidRDefault="00C07720" w:rsidP="00C07720">
      <w:pPr>
        <w:pStyle w:val="FootnoteText"/>
      </w:pPr>
      <w:r>
        <w:rPr>
          <w:rStyle w:val="FootnoteReference"/>
        </w:rPr>
        <w:footnoteRef/>
      </w:r>
      <w:r>
        <w:t xml:space="preserve"> Hearing loss thresholds from </w:t>
      </w:r>
      <w:hyperlink r:id="rId1" w:tooltip="Hyperlink to Aussie Deaf Kids website" w:history="1">
        <w:r w:rsidRPr="0085736D">
          <w:rPr>
            <w:rStyle w:val="Hyperlink"/>
            <w:rFonts w:ascii="Calibri" w:hAnsi="Calibri"/>
          </w:rPr>
          <w:t>Aussie Deaf Kids</w:t>
        </w:r>
      </w:hyperlink>
      <w:r>
        <w:t xml:space="preserve"> and </w:t>
      </w:r>
      <w:hyperlink r:id="rId2" w:tooltip="Hyperlink to Next Sense website" w:history="1">
        <w:r w:rsidRPr="00EE1737">
          <w:rPr>
            <w:rStyle w:val="Hyperlink"/>
            <w:rFonts w:ascii="Calibri" w:hAnsi="Calibri"/>
          </w:rPr>
          <w:t>Next Sense</w:t>
        </w:r>
      </w:hyperlink>
      <w:r>
        <w:t>.</w:t>
      </w:r>
    </w:p>
  </w:footnote>
  <w:footnote w:id="5">
    <w:p w14:paraId="37C726B4" w14:textId="36BBB28B" w:rsidR="00A26587" w:rsidRDefault="00A26587">
      <w:pPr>
        <w:pStyle w:val="FootnoteText"/>
      </w:pPr>
      <w:r>
        <w:rPr>
          <w:rStyle w:val="FootnoteReference"/>
        </w:rPr>
        <w:footnoteRef/>
      </w:r>
      <w:r>
        <w:t xml:space="preserve"> </w:t>
      </w:r>
      <w:r w:rsidRPr="00A26587">
        <w:t xml:space="preserve">Eligibility </w:t>
      </w:r>
      <w:r w:rsidR="00FA094A">
        <w:t>for the HSP</w:t>
      </w:r>
      <w:r w:rsidR="00962410">
        <w:t>, in terms of hearing loss,</w:t>
      </w:r>
      <w:r w:rsidR="00FA094A">
        <w:t xml:space="preserve"> </w:t>
      </w:r>
      <w:r w:rsidRPr="00A26587">
        <w:t xml:space="preserve">is based on the average across the 3 specified frequencies. </w:t>
      </w:r>
      <w:r w:rsidR="00C2699A" w:rsidRPr="00A26587">
        <w:t xml:space="preserve">Individuals are not required to demonstrate </w:t>
      </w:r>
      <w:r w:rsidR="00C2699A">
        <w:t>hearing loss</w:t>
      </w:r>
      <w:r w:rsidR="00C2699A" w:rsidRPr="00A26587">
        <w:t xml:space="preserve"> at all 3 individual frequencies.</w:t>
      </w:r>
    </w:p>
  </w:footnote>
  <w:footnote w:id="6">
    <w:p w14:paraId="5AC4217D" w14:textId="73BF7256" w:rsidR="00B72295" w:rsidRDefault="00B72295" w:rsidP="00B72295">
      <w:pPr>
        <w:pStyle w:val="FootnoteText"/>
      </w:pPr>
      <w:r>
        <w:rPr>
          <w:rStyle w:val="FootnoteReference"/>
        </w:rPr>
        <w:footnoteRef/>
      </w:r>
      <w:r>
        <w:t xml:space="preserve"> </w:t>
      </w:r>
      <w:hyperlink r:id="rId3" w:history="1">
        <w:r w:rsidRPr="0089155E">
          <w:rPr>
            <w:rStyle w:val="Hyperlink"/>
            <w:rFonts w:ascii="Calibri" w:hAnsi="Calibri"/>
          </w:rPr>
          <w:t>Eligibility criteria</w:t>
        </w:r>
      </w:hyperlink>
      <w:r w:rsidRPr="00686906">
        <w:t xml:space="preserve"> include being an Australian citizen or permanent resident aged 21 years or over, and meeting at least one of the following: (i) holder or spouse of a pensioner concession card; (ii) Department of Veterans’ Affairs Gold or White Card (hearing</w:t>
      </w:r>
      <w:r w:rsidRPr="00686906">
        <w:rPr>
          <w:rFonts w:ascii="Cambria Math" w:hAnsi="Cambria Math" w:cs="Cambria Math"/>
        </w:rPr>
        <w:t>‑</w:t>
      </w:r>
      <w:r w:rsidRPr="00686906">
        <w:t>specific) holder or spouse; (iii) Australian Defence Force member; or (iv) referred by a Commonwealth-funded Disability Employment Service.</w:t>
      </w:r>
    </w:p>
  </w:footnote>
  <w:footnote w:id="7">
    <w:p w14:paraId="6C33515B" w14:textId="1F7EA700" w:rsidR="0068732D" w:rsidRDefault="0068732D" w:rsidP="0068732D">
      <w:pPr>
        <w:pStyle w:val="FootnoteText"/>
      </w:pPr>
      <w:r>
        <w:rPr>
          <w:rStyle w:val="FootnoteReference"/>
        </w:rPr>
        <w:footnoteRef/>
      </w:r>
      <w:r>
        <w:t xml:space="preserve"> Specialist hearing services includes individuals with a 3FAHL of </w:t>
      </w:r>
      <w:r>
        <w:rPr>
          <w:rFonts w:cs="Calibri"/>
        </w:rPr>
        <w:t>≥</w:t>
      </w:r>
      <w:r>
        <w:t xml:space="preserve">80 dB in both ears, or hearing loss and severe communication impairment (including those with </w:t>
      </w:r>
      <w:r w:rsidR="00CE27AA">
        <w:t>an implanted hearing device</w:t>
      </w:r>
      <w:r>
        <w:t xml:space="preserve"> who are unable to wear an air</w:t>
      </w:r>
      <w:r w:rsidR="00315E58">
        <w:t xml:space="preserve"> </w:t>
      </w:r>
      <w:r>
        <w:t>conduction hearing aid).</w:t>
      </w:r>
    </w:p>
  </w:footnote>
  <w:footnote w:id="8">
    <w:p w14:paraId="4CC9DAA0" w14:textId="48B74EB5" w:rsidR="008D6357" w:rsidRDefault="008D6357">
      <w:pPr>
        <w:pStyle w:val="FootnoteText"/>
      </w:pPr>
      <w:r>
        <w:rPr>
          <w:rStyle w:val="FootnoteReference"/>
        </w:rPr>
        <w:footnoteRef/>
      </w:r>
      <w:r>
        <w:t xml:space="preserve"> </w:t>
      </w:r>
      <w:hyperlink r:id="rId4" w:tooltip="Hyperlink to MED-EL website" w:history="1">
        <w:r w:rsidRPr="00BC3ACC">
          <w:rPr>
            <w:rStyle w:val="Hyperlink"/>
            <w:rFonts w:ascii="Arial Narrow" w:hAnsi="Arial Narrow" w:cs="Arial"/>
            <w:lang w:val="en-GB" w:eastAsia="ja-JP"/>
          </w:rPr>
          <w:t>MED-EL indications</w:t>
        </w:r>
      </w:hyperlink>
      <w:r>
        <w:rPr>
          <w:lang w:val="en-GB" w:eastAsia="ja-JP"/>
        </w:rPr>
        <w:t xml:space="preserve"> for the Vibrant Soundbridge Active Middle Ear Implant System, accessed 16 June 2025.</w:t>
      </w:r>
    </w:p>
  </w:footnote>
  <w:footnote w:id="9">
    <w:p w14:paraId="44DC4EA0" w14:textId="3C404C7B" w:rsidR="003E4A66" w:rsidRDefault="003E4A66">
      <w:pPr>
        <w:pStyle w:val="FootnoteText"/>
      </w:pPr>
      <w:r>
        <w:rPr>
          <w:rStyle w:val="FootnoteReference"/>
        </w:rPr>
        <w:footnoteRef/>
      </w:r>
      <w:r>
        <w:t xml:space="preserve"> </w:t>
      </w:r>
      <w:r w:rsidR="002B7B8C">
        <w:t xml:space="preserve">A </w:t>
      </w:r>
      <w:r>
        <w:t xml:space="preserve">Cochlear </w:t>
      </w:r>
      <w:r w:rsidR="002B7B8C">
        <w:t>Ltd fully implantable middle ear implant system is included in the ARTG (ID 288</w:t>
      </w:r>
      <w:r w:rsidR="0073154A">
        <w:t>466</w:t>
      </w:r>
      <w:r w:rsidR="002B7B8C">
        <w:t xml:space="preserve">) but </w:t>
      </w:r>
      <w:r w:rsidR="00BC7A5A">
        <w:t>the entry is Medical Device Class I export only.</w:t>
      </w:r>
    </w:p>
  </w:footnote>
  <w:footnote w:id="10">
    <w:p w14:paraId="444F36B9" w14:textId="0E01AB96" w:rsidR="002F7C11" w:rsidRDefault="002F7C11">
      <w:pPr>
        <w:pStyle w:val="FootnoteText"/>
      </w:pPr>
      <w:r>
        <w:rPr>
          <w:rStyle w:val="FootnoteReference"/>
        </w:rPr>
        <w:footnoteRef/>
      </w:r>
      <w:r>
        <w:t xml:space="preserve"> The predecessor </w:t>
      </w:r>
      <w:r w:rsidR="00242D46">
        <w:t>audio processor (Samba Audio Processor</w:t>
      </w:r>
      <w:r w:rsidR="00F83B8C">
        <w:t xml:space="preserve">, ARTG ID 271112, ARTG </w:t>
      </w:r>
      <w:r w:rsidR="001E7185">
        <w:t>start</w:t>
      </w:r>
      <w:r w:rsidR="00F83B8C">
        <w:t xml:space="preserve"> date 23 February 2016</w:t>
      </w:r>
      <w:r w:rsidR="00242D46">
        <w:t xml:space="preserve">) </w:t>
      </w:r>
      <w:r w:rsidR="00CE0530">
        <w:t xml:space="preserve">also </w:t>
      </w:r>
      <w:r w:rsidR="001E7185">
        <w:t>remains</w:t>
      </w:r>
      <w:r w:rsidR="00242D46">
        <w:t xml:space="preserve"> on the ARTG</w:t>
      </w:r>
      <w:r w:rsidR="00F83B8C">
        <w:t xml:space="preserve"> </w:t>
      </w:r>
      <w:r w:rsidR="00D208F6">
        <w:t>(accessed 11 June 2025).</w:t>
      </w:r>
    </w:p>
  </w:footnote>
  <w:footnote w:id="11">
    <w:p w14:paraId="1E650ABC" w14:textId="30EAB3CC" w:rsidR="00911F3F" w:rsidRDefault="00911F3F">
      <w:pPr>
        <w:pStyle w:val="FootnoteText"/>
      </w:pPr>
      <w:r>
        <w:rPr>
          <w:rStyle w:val="FootnoteReference"/>
        </w:rPr>
        <w:footnoteRef/>
      </w:r>
      <w:r>
        <w:t xml:space="preserve"> </w:t>
      </w:r>
      <w:r w:rsidR="00C13CA3">
        <w:t xml:space="preserve">Audio processor </w:t>
      </w:r>
      <w:r w:rsidR="00B837A4">
        <w:t xml:space="preserve">(AP) </w:t>
      </w:r>
      <w:r w:rsidR="00C13CA3">
        <w:t xml:space="preserve">upgrades for the Vibrant Soundbridge System have included the transition from </w:t>
      </w:r>
      <w:r w:rsidR="00C13CA3" w:rsidRPr="000A1729">
        <w:t>Amadé</w:t>
      </w:r>
      <w:r w:rsidR="00C13CA3">
        <w:t xml:space="preserve"> to Samba to Samba 2. </w:t>
      </w:r>
      <w:r>
        <w:t xml:space="preserve">The Samba </w:t>
      </w:r>
      <w:r w:rsidR="00B837A4">
        <w:t>AP</w:t>
      </w:r>
      <w:r>
        <w:t xml:space="preserve"> </w:t>
      </w:r>
      <w:r w:rsidR="00D229EB">
        <w:t>was also</w:t>
      </w:r>
      <w:r>
        <w:t xml:space="preserve"> listed on the PL </w:t>
      </w:r>
      <w:r w:rsidR="00D229EB">
        <w:t>at 11 June 2025 (Billing code US020, Benefit $6,825).</w:t>
      </w:r>
    </w:p>
  </w:footnote>
  <w:footnote w:id="12">
    <w:p w14:paraId="7B849AC4" w14:textId="6FCDC910" w:rsidR="00B60A9C" w:rsidRDefault="00B60A9C">
      <w:pPr>
        <w:pStyle w:val="FootnoteText"/>
      </w:pPr>
      <w:r>
        <w:rPr>
          <w:rStyle w:val="FootnoteReference"/>
        </w:rPr>
        <w:footnoteRef/>
      </w:r>
      <w:r>
        <w:t xml:space="preserve"> </w:t>
      </w:r>
      <w:r w:rsidR="00D33E06">
        <w:t xml:space="preserve">The </w:t>
      </w:r>
      <w:hyperlink r:id="rId5" w:tooltip="Hyperlink to HSP information for clients with an implantable hearing device" w:history="1">
        <w:r w:rsidR="00D33E06" w:rsidRPr="0003044F">
          <w:rPr>
            <w:rStyle w:val="Hyperlink"/>
            <w:rFonts w:ascii="Calibri" w:hAnsi="Calibri"/>
          </w:rPr>
          <w:t>specialist hearing services</w:t>
        </w:r>
      </w:hyperlink>
      <w:r w:rsidR="00D33E06">
        <w:t xml:space="preserve"> documentation for the HSP refers to </w:t>
      </w:r>
      <w:r w:rsidR="001B0382">
        <w:t>‘</w:t>
      </w:r>
      <w:r w:rsidR="00D33E06">
        <w:t>implantable bone conduction devices</w:t>
      </w:r>
      <w:r w:rsidR="001B0382">
        <w:t>’</w:t>
      </w:r>
      <w:r w:rsidR="00D33E06">
        <w:t xml:space="preserve">, which </w:t>
      </w:r>
      <w:r w:rsidR="009949C7">
        <w:t>covers</w:t>
      </w:r>
      <w:r w:rsidR="00CC011A">
        <w:t xml:space="preserve"> </w:t>
      </w:r>
      <w:r w:rsidR="001B0382">
        <w:t>bone anchored devices and middle ear implants.</w:t>
      </w:r>
    </w:p>
  </w:footnote>
  <w:footnote w:id="13">
    <w:p w14:paraId="48F66467" w14:textId="77777777" w:rsidR="00712FAB" w:rsidRDefault="00712FAB" w:rsidP="00712FAB">
      <w:pPr>
        <w:pStyle w:val="FootnoteText"/>
      </w:pPr>
      <w:r>
        <w:rPr>
          <w:rStyle w:val="FootnoteReference"/>
        </w:rPr>
        <w:footnoteRef/>
      </w:r>
      <w:r>
        <w:t xml:space="preserve"> MBS Telehealth Services, </w:t>
      </w:r>
      <w:hyperlink r:id="rId6" w:tooltip="Hyperlink to Department of Health, Disability and Ageing factsheets on telehealth services" w:history="1">
        <w:r w:rsidRPr="00373428">
          <w:rPr>
            <w:rStyle w:val="Hyperlink"/>
            <w:rFonts w:ascii="Calibri" w:hAnsi="Calibri"/>
          </w:rPr>
          <w:t>factsheet</w:t>
        </w:r>
      </w:hyperlink>
      <w:r>
        <w:t xml:space="preserve"> for a</w:t>
      </w:r>
      <w:r w:rsidRPr="00373428">
        <w:t xml:space="preserve">udiology and </w:t>
      </w:r>
      <w:r>
        <w:t>o</w:t>
      </w:r>
      <w:r w:rsidRPr="00373428">
        <w:t xml:space="preserve">tolaryngology MBS </w:t>
      </w:r>
      <w:r>
        <w:t>t</w:t>
      </w:r>
      <w:r w:rsidRPr="00373428">
        <w:t xml:space="preserve">elehealth (video and phone) </w:t>
      </w:r>
      <w:r>
        <w:t>s</w:t>
      </w:r>
      <w:r w:rsidRPr="00373428">
        <w:t>ervices</w:t>
      </w:r>
      <w:r>
        <w:t>, accessed 13 June 2025.</w:t>
      </w:r>
    </w:p>
  </w:footnote>
  <w:footnote w:id="14">
    <w:p w14:paraId="55CA8AFF" w14:textId="0477AE85" w:rsidR="008A5648" w:rsidRDefault="008A5648">
      <w:pPr>
        <w:pStyle w:val="FootnoteText"/>
      </w:pPr>
      <w:r>
        <w:rPr>
          <w:rStyle w:val="FootnoteReference"/>
        </w:rPr>
        <w:footnoteRef/>
      </w:r>
      <w:r>
        <w:t xml:space="preserve"> Confirmed at the pre-PASC meeting held on 24 June 2025.</w:t>
      </w:r>
    </w:p>
  </w:footnote>
  <w:footnote w:id="15">
    <w:p w14:paraId="67495911" w14:textId="13097B9D" w:rsidR="00D219DB" w:rsidRDefault="00D219DB" w:rsidP="00D219DB">
      <w:pPr>
        <w:pStyle w:val="FootnoteText"/>
      </w:pPr>
      <w:r>
        <w:rPr>
          <w:rStyle w:val="FootnoteReference"/>
        </w:rPr>
        <w:footnoteRef/>
      </w:r>
      <w:r>
        <w:t xml:space="preserve"> The Final Protocol for MSAC Application 1365 referred to the procedure as vibroplasty but did not use this terminology in the proposed MBS item descriptor. According to the P</w:t>
      </w:r>
      <w:r w:rsidR="00664017">
        <w:t xml:space="preserve">ublic </w:t>
      </w:r>
      <w:r>
        <w:t>S</w:t>
      </w:r>
      <w:r w:rsidR="00664017">
        <w:t xml:space="preserve">ummary </w:t>
      </w:r>
      <w:r>
        <w:t>D</w:t>
      </w:r>
      <w:r w:rsidR="00664017">
        <w:t xml:space="preserve">ocument </w:t>
      </w:r>
      <w:r w:rsidR="0007114E">
        <w:t>(PSD)</w:t>
      </w:r>
      <w:r>
        <w:t xml:space="preserve"> for MSAC Application 1365.1, MSAC recommended m</w:t>
      </w:r>
      <w:r w:rsidRPr="00D42848">
        <w:t>odification of wording from ‘insertion of, including mastoidectomy’ to ‘insertion via mastoidectomy’ given that a partial or complete mastoidectomy is required for the procedure</w:t>
      </w:r>
      <w:r>
        <w:t>.</w:t>
      </w:r>
    </w:p>
  </w:footnote>
  <w:footnote w:id="16">
    <w:p w14:paraId="09884C0E" w14:textId="77777777" w:rsidR="00D219DB" w:rsidRDefault="00D219DB" w:rsidP="00D219DB">
      <w:pPr>
        <w:pStyle w:val="FootnoteText"/>
      </w:pPr>
      <w:r>
        <w:rPr>
          <w:rStyle w:val="FootnoteReference"/>
        </w:rPr>
        <w:footnoteRef/>
      </w:r>
      <w:r>
        <w:t xml:space="preserve"> Discussed at the pre-PASC meeting held on 24 June 2025.</w:t>
      </w:r>
    </w:p>
  </w:footnote>
  <w:footnote w:id="17">
    <w:p w14:paraId="3B5F0C1F" w14:textId="30425066" w:rsidR="000C047D" w:rsidRDefault="000C047D">
      <w:pPr>
        <w:pStyle w:val="FootnoteText"/>
      </w:pPr>
      <w:r>
        <w:rPr>
          <w:rStyle w:val="FootnoteReference"/>
        </w:rPr>
        <w:footnoteRef/>
      </w:r>
      <w:r>
        <w:t xml:space="preserve"> At the pre-PASC meeting held on 24 June 2025, the </w:t>
      </w:r>
      <w:r w:rsidR="004508B7">
        <w:t xml:space="preserve">applicant clarified that the term ‘bone conduction device’ was intended </w:t>
      </w:r>
      <w:r w:rsidR="00A87448">
        <w:t xml:space="preserve">to </w:t>
      </w:r>
      <w:r w:rsidR="00152C0D">
        <w:t>encompass non-</w:t>
      </w:r>
      <w:r w:rsidR="00A51325">
        <w:t xml:space="preserve">implantable </w:t>
      </w:r>
      <w:r w:rsidR="00DE5A13">
        <w:t>BCHDs</w:t>
      </w:r>
      <w:r w:rsidR="00152C0D">
        <w:t xml:space="preserve"> (headband/softband or adhe</w:t>
      </w:r>
      <w:r w:rsidR="00DE5A13">
        <w:t xml:space="preserve">sive), not </w:t>
      </w:r>
      <w:r w:rsidR="00194FAE">
        <w:t>BCIs.</w:t>
      </w:r>
    </w:p>
  </w:footnote>
  <w:footnote w:id="18">
    <w:p w14:paraId="1CEFE523" w14:textId="77777777" w:rsidR="00B72243" w:rsidRDefault="00B72243" w:rsidP="00B72243">
      <w:pPr>
        <w:pStyle w:val="FootnoteText"/>
      </w:pPr>
      <w:r>
        <w:rPr>
          <w:rStyle w:val="FootnoteReference"/>
        </w:rPr>
        <w:footnoteRef/>
      </w:r>
      <w:r>
        <w:t xml:space="preserve"> Discussed at the pre-PASC meeting held on 24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E82D" w14:textId="309F69E6" w:rsidR="00151521" w:rsidRDefault="00214080">
    <w:pPr>
      <w:pStyle w:val="Header"/>
    </w:pPr>
    <w:r>
      <w:rPr>
        <w:noProof/>
      </w:rPr>
      <mc:AlternateContent>
        <mc:Choice Requires="wps">
          <w:drawing>
            <wp:anchor distT="0" distB="0" distL="0" distR="0" simplePos="0" relativeHeight="251660293" behindDoc="0" locked="0" layoutInCell="1" allowOverlap="1" wp14:anchorId="6EAE5DD1" wp14:editId="533279E7">
              <wp:simplePos x="635" y="635"/>
              <wp:positionH relativeFrom="page">
                <wp:align>center</wp:align>
              </wp:positionH>
              <wp:positionV relativeFrom="page">
                <wp:align>top</wp:align>
              </wp:positionV>
              <wp:extent cx="551815" cy="404495"/>
              <wp:effectExtent l="0" t="0" r="635" b="14605"/>
              <wp:wrapNone/>
              <wp:docPr id="2465230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E5B6731" w14:textId="639270CE"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E5DD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0E5B6731" w14:textId="639270CE"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0"/>
      <w:gridCol w:w="3190"/>
      <w:gridCol w:w="3190"/>
    </w:tblGrid>
    <w:tr w:rsidR="628F6C62" w14:paraId="30E3AEF3" w14:textId="77777777" w:rsidTr="009A4FFB">
      <w:trPr>
        <w:trHeight w:val="300"/>
      </w:trPr>
      <w:tc>
        <w:tcPr>
          <w:tcW w:w="3190" w:type="dxa"/>
        </w:tcPr>
        <w:p w14:paraId="49F52A5F" w14:textId="12724750" w:rsidR="628F6C62" w:rsidRDefault="628F6C62" w:rsidP="009A4FFB">
          <w:pPr>
            <w:pStyle w:val="Header"/>
            <w:ind w:left="-115"/>
          </w:pPr>
        </w:p>
      </w:tc>
      <w:tc>
        <w:tcPr>
          <w:tcW w:w="3190" w:type="dxa"/>
        </w:tcPr>
        <w:p w14:paraId="36E67869" w14:textId="784854AB" w:rsidR="628F6C62" w:rsidRDefault="628F6C62" w:rsidP="009A4FFB">
          <w:pPr>
            <w:pStyle w:val="Header"/>
            <w:jc w:val="center"/>
          </w:pPr>
        </w:p>
      </w:tc>
      <w:tc>
        <w:tcPr>
          <w:tcW w:w="3190" w:type="dxa"/>
        </w:tcPr>
        <w:p w14:paraId="7D0E02FB" w14:textId="1ED15B37" w:rsidR="628F6C62" w:rsidRDefault="628F6C62" w:rsidP="009A4FFB">
          <w:pPr>
            <w:pStyle w:val="Header"/>
            <w:ind w:right="-115"/>
            <w:jc w:val="right"/>
          </w:pPr>
        </w:p>
      </w:tc>
    </w:tr>
  </w:tbl>
  <w:p w14:paraId="1C2EB0F3" w14:textId="382D0572" w:rsidR="628F6C62" w:rsidRDefault="628F6C62" w:rsidP="009A4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011A" w14:textId="07F5D68F" w:rsidR="00151521" w:rsidRDefault="00214080">
    <w:pPr>
      <w:pStyle w:val="Header"/>
    </w:pPr>
    <w:r>
      <w:rPr>
        <w:noProof/>
      </w:rPr>
      <mc:AlternateContent>
        <mc:Choice Requires="wps">
          <w:drawing>
            <wp:anchor distT="0" distB="0" distL="0" distR="0" simplePos="0" relativeHeight="251659269" behindDoc="0" locked="0" layoutInCell="1" allowOverlap="1" wp14:anchorId="7D34ECFC" wp14:editId="0EF966F0">
              <wp:simplePos x="635" y="635"/>
              <wp:positionH relativeFrom="page">
                <wp:align>center</wp:align>
              </wp:positionH>
              <wp:positionV relativeFrom="page">
                <wp:align>top</wp:align>
              </wp:positionV>
              <wp:extent cx="551815" cy="404495"/>
              <wp:effectExtent l="0" t="0" r="635" b="14605"/>
              <wp:wrapNone/>
              <wp:docPr id="15735608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86750BD" w14:textId="2E915560"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4ECF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786750BD" w14:textId="2E915560" w:rsidR="00214080" w:rsidRPr="00214080" w:rsidRDefault="00214080" w:rsidP="00214080">
                    <w:pPr>
                      <w:spacing w:after="0"/>
                      <w:rPr>
                        <w:rFonts w:cs="Calibri"/>
                        <w:noProof/>
                        <w:color w:val="FF0000"/>
                        <w:sz w:val="24"/>
                        <w:szCs w:val="24"/>
                      </w:rPr>
                    </w:pPr>
                    <w:r w:rsidRPr="00214080">
                      <w:rPr>
                        <w:rFonts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501B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17ECD"/>
    <w:multiLevelType w:val="hybridMultilevel"/>
    <w:tmpl w:val="5706FA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C40853"/>
    <w:multiLevelType w:val="hybridMultilevel"/>
    <w:tmpl w:val="771A898C"/>
    <w:lvl w:ilvl="0" w:tplc="2A6027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476296"/>
    <w:multiLevelType w:val="hybridMultilevel"/>
    <w:tmpl w:val="BF861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1420E"/>
    <w:multiLevelType w:val="hybridMultilevel"/>
    <w:tmpl w:val="B2EC73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0C735B33"/>
    <w:multiLevelType w:val="hybridMultilevel"/>
    <w:tmpl w:val="F07ED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936E8"/>
    <w:multiLevelType w:val="hybridMultilevel"/>
    <w:tmpl w:val="23248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C85E16"/>
    <w:multiLevelType w:val="hybridMultilevel"/>
    <w:tmpl w:val="E12A8D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E0230D"/>
    <w:multiLevelType w:val="hybridMultilevel"/>
    <w:tmpl w:val="B04852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BA29AB"/>
    <w:multiLevelType w:val="hybridMultilevel"/>
    <w:tmpl w:val="333C02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F2999"/>
    <w:multiLevelType w:val="hybridMultilevel"/>
    <w:tmpl w:val="0360B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023445"/>
    <w:multiLevelType w:val="hybridMultilevel"/>
    <w:tmpl w:val="0CE4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EF6C0C"/>
    <w:multiLevelType w:val="hybridMultilevel"/>
    <w:tmpl w:val="68609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B83281"/>
    <w:multiLevelType w:val="hybridMultilevel"/>
    <w:tmpl w:val="6FCA1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E7637"/>
    <w:multiLevelType w:val="hybridMultilevel"/>
    <w:tmpl w:val="D85CB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56730B"/>
    <w:multiLevelType w:val="hybridMultilevel"/>
    <w:tmpl w:val="6BD44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E86E05"/>
    <w:multiLevelType w:val="multilevel"/>
    <w:tmpl w:val="29B4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1768F"/>
    <w:multiLevelType w:val="hybridMultilevel"/>
    <w:tmpl w:val="F044EC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863297"/>
    <w:multiLevelType w:val="hybridMultilevel"/>
    <w:tmpl w:val="06368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041529"/>
    <w:multiLevelType w:val="hybridMultilevel"/>
    <w:tmpl w:val="0AFA8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1C2F6C"/>
    <w:multiLevelType w:val="hybridMultilevel"/>
    <w:tmpl w:val="0010B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5F4939"/>
    <w:multiLevelType w:val="hybridMultilevel"/>
    <w:tmpl w:val="EB6AE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AF3132"/>
    <w:multiLevelType w:val="hybridMultilevel"/>
    <w:tmpl w:val="66B47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095746"/>
    <w:multiLevelType w:val="hybridMultilevel"/>
    <w:tmpl w:val="28BC0FCE"/>
    <w:lvl w:ilvl="0" w:tplc="A26EFB64">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AA27B9A"/>
    <w:multiLevelType w:val="hybridMultilevel"/>
    <w:tmpl w:val="94CCF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914911"/>
    <w:multiLevelType w:val="hybridMultilevel"/>
    <w:tmpl w:val="C75A4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2E0900"/>
    <w:multiLevelType w:val="hybridMultilevel"/>
    <w:tmpl w:val="ED56B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641FD7"/>
    <w:multiLevelType w:val="hybridMultilevel"/>
    <w:tmpl w:val="04CE9A94"/>
    <w:lvl w:ilvl="0" w:tplc="F30222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0F7D70"/>
    <w:multiLevelType w:val="hybridMultilevel"/>
    <w:tmpl w:val="EA623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FF0110"/>
    <w:multiLevelType w:val="hybridMultilevel"/>
    <w:tmpl w:val="DBA873F8"/>
    <w:lvl w:ilvl="0" w:tplc="03DA1D4E">
      <w:start w:val="1"/>
      <w:numFmt w:val="bullet"/>
      <w:pStyle w:val="Instructionaltex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cs="Wingdings" w:hint="default"/>
      </w:rPr>
    </w:lvl>
    <w:lvl w:ilvl="3" w:tplc="0C090001" w:tentative="1">
      <w:start w:val="1"/>
      <w:numFmt w:val="bullet"/>
      <w:lvlText w:val=""/>
      <w:lvlJc w:val="left"/>
      <w:pPr>
        <w:ind w:left="3237" w:hanging="360"/>
      </w:pPr>
      <w:rPr>
        <w:rFonts w:ascii="Symbol" w:hAnsi="Symbol" w:cs="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cs="Wingdings" w:hint="default"/>
      </w:rPr>
    </w:lvl>
    <w:lvl w:ilvl="6" w:tplc="0C090001" w:tentative="1">
      <w:start w:val="1"/>
      <w:numFmt w:val="bullet"/>
      <w:lvlText w:val=""/>
      <w:lvlJc w:val="left"/>
      <w:pPr>
        <w:ind w:left="5397" w:hanging="360"/>
      </w:pPr>
      <w:rPr>
        <w:rFonts w:ascii="Symbol" w:hAnsi="Symbol" w:cs="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cs="Wingdings" w:hint="default"/>
      </w:rPr>
    </w:lvl>
  </w:abstractNum>
  <w:abstractNum w:abstractNumId="31" w15:restartNumberingAfterBreak="0">
    <w:nsid w:val="55393294"/>
    <w:multiLevelType w:val="hybridMultilevel"/>
    <w:tmpl w:val="5B30C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0D2CE2"/>
    <w:multiLevelType w:val="hybridMultilevel"/>
    <w:tmpl w:val="313E7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D82EC3"/>
    <w:multiLevelType w:val="hybridMultilevel"/>
    <w:tmpl w:val="5B30C8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40451D"/>
    <w:multiLevelType w:val="multilevel"/>
    <w:tmpl w:val="754ED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C95369"/>
    <w:multiLevelType w:val="hybridMultilevel"/>
    <w:tmpl w:val="5540EFD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75878BE"/>
    <w:multiLevelType w:val="hybridMultilevel"/>
    <w:tmpl w:val="C720A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E96ED0"/>
    <w:multiLevelType w:val="hybridMultilevel"/>
    <w:tmpl w:val="4C1C64B8"/>
    <w:lvl w:ilvl="0" w:tplc="3FCA99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0225A0"/>
    <w:multiLevelType w:val="hybridMultilevel"/>
    <w:tmpl w:val="EC5C3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B42BD1"/>
    <w:multiLevelType w:val="hybridMultilevel"/>
    <w:tmpl w:val="75420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5D5E3B"/>
    <w:multiLevelType w:val="hybridMultilevel"/>
    <w:tmpl w:val="AE8A6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9F219A"/>
    <w:multiLevelType w:val="hybridMultilevel"/>
    <w:tmpl w:val="B5003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851030"/>
    <w:multiLevelType w:val="hybridMultilevel"/>
    <w:tmpl w:val="8ACE9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5B78BD"/>
    <w:multiLevelType w:val="hybridMultilevel"/>
    <w:tmpl w:val="5744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0861BA"/>
    <w:multiLevelType w:val="hybridMultilevel"/>
    <w:tmpl w:val="BC14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E51EB5"/>
    <w:multiLevelType w:val="hybridMultilevel"/>
    <w:tmpl w:val="70085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583400">
    <w:abstractNumId w:val="4"/>
  </w:num>
  <w:num w:numId="2" w16cid:durableId="1024792184">
    <w:abstractNumId w:val="32"/>
  </w:num>
  <w:num w:numId="3" w16cid:durableId="2098093375">
    <w:abstractNumId w:val="30"/>
  </w:num>
  <w:num w:numId="4" w16cid:durableId="1911186006">
    <w:abstractNumId w:val="12"/>
  </w:num>
  <w:num w:numId="5" w16cid:durableId="929508997">
    <w:abstractNumId w:val="35"/>
  </w:num>
  <w:num w:numId="6" w16cid:durableId="823394897">
    <w:abstractNumId w:val="24"/>
  </w:num>
  <w:num w:numId="7" w16cid:durableId="1985043683">
    <w:abstractNumId w:val="18"/>
  </w:num>
  <w:num w:numId="8" w16cid:durableId="1138887236">
    <w:abstractNumId w:val="22"/>
  </w:num>
  <w:num w:numId="9" w16cid:durableId="2089647999">
    <w:abstractNumId w:val="7"/>
  </w:num>
  <w:num w:numId="10" w16cid:durableId="210848653">
    <w:abstractNumId w:val="13"/>
  </w:num>
  <w:num w:numId="11" w16cid:durableId="1914462719">
    <w:abstractNumId w:val="31"/>
  </w:num>
  <w:num w:numId="12" w16cid:durableId="1029330425">
    <w:abstractNumId w:val="33"/>
  </w:num>
  <w:num w:numId="13" w16cid:durableId="1237739114">
    <w:abstractNumId w:val="15"/>
  </w:num>
  <w:num w:numId="14" w16cid:durableId="1288202605">
    <w:abstractNumId w:val="23"/>
  </w:num>
  <w:num w:numId="15" w16cid:durableId="1750811006">
    <w:abstractNumId w:val="14"/>
  </w:num>
  <w:num w:numId="16" w16cid:durableId="1588271469">
    <w:abstractNumId w:val="9"/>
  </w:num>
  <w:num w:numId="17" w16cid:durableId="1587150855">
    <w:abstractNumId w:val="1"/>
  </w:num>
  <w:num w:numId="18" w16cid:durableId="520319343">
    <w:abstractNumId w:val="6"/>
  </w:num>
  <w:num w:numId="19" w16cid:durableId="979531979">
    <w:abstractNumId w:val="29"/>
  </w:num>
  <w:num w:numId="20" w16cid:durableId="238902791">
    <w:abstractNumId w:val="43"/>
  </w:num>
  <w:num w:numId="21" w16cid:durableId="1957327210">
    <w:abstractNumId w:val="17"/>
  </w:num>
  <w:num w:numId="22" w16cid:durableId="152260528">
    <w:abstractNumId w:val="36"/>
  </w:num>
  <w:num w:numId="23" w16cid:durableId="53284544">
    <w:abstractNumId w:val="3"/>
  </w:num>
  <w:num w:numId="24" w16cid:durableId="1022440597">
    <w:abstractNumId w:val="38"/>
  </w:num>
  <w:num w:numId="25" w16cid:durableId="1667054711">
    <w:abstractNumId w:val="42"/>
  </w:num>
  <w:num w:numId="26" w16cid:durableId="1407535964">
    <w:abstractNumId w:val="25"/>
  </w:num>
  <w:num w:numId="27" w16cid:durableId="60956657">
    <w:abstractNumId w:val="5"/>
  </w:num>
  <w:num w:numId="28" w16cid:durableId="681858956">
    <w:abstractNumId w:val="39"/>
  </w:num>
  <w:num w:numId="29" w16cid:durableId="1389958903">
    <w:abstractNumId w:val="19"/>
  </w:num>
  <w:num w:numId="30" w16cid:durableId="1362823266">
    <w:abstractNumId w:val="0"/>
  </w:num>
  <w:num w:numId="31" w16cid:durableId="1049570125">
    <w:abstractNumId w:val="44"/>
  </w:num>
  <w:num w:numId="32" w16cid:durableId="1971083898">
    <w:abstractNumId w:val="20"/>
  </w:num>
  <w:num w:numId="33" w16cid:durableId="1596161851">
    <w:abstractNumId w:val="8"/>
  </w:num>
  <w:num w:numId="34" w16cid:durableId="2053143743">
    <w:abstractNumId w:val="45"/>
  </w:num>
  <w:num w:numId="35" w16cid:durableId="1338459345">
    <w:abstractNumId w:val="27"/>
  </w:num>
  <w:num w:numId="36" w16cid:durableId="18707568">
    <w:abstractNumId w:val="21"/>
  </w:num>
  <w:num w:numId="37" w16cid:durableId="1418093366">
    <w:abstractNumId w:val="26"/>
  </w:num>
  <w:num w:numId="38" w16cid:durableId="116804856">
    <w:abstractNumId w:val="34"/>
  </w:num>
  <w:num w:numId="39" w16cid:durableId="1422142347">
    <w:abstractNumId w:val="37"/>
  </w:num>
  <w:num w:numId="40" w16cid:durableId="933904298">
    <w:abstractNumId w:val="2"/>
  </w:num>
  <w:num w:numId="41" w16cid:durableId="2002586849">
    <w:abstractNumId w:val="16"/>
  </w:num>
  <w:num w:numId="42" w16cid:durableId="634725234">
    <w:abstractNumId w:val="28"/>
  </w:num>
  <w:num w:numId="43" w16cid:durableId="774713005">
    <w:abstractNumId w:val="40"/>
  </w:num>
  <w:num w:numId="44" w16cid:durableId="1344354995">
    <w:abstractNumId w:val="11"/>
  </w:num>
  <w:num w:numId="45" w16cid:durableId="856776713">
    <w:abstractNumId w:val="10"/>
  </w:num>
  <w:num w:numId="46" w16cid:durableId="18023056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9C"/>
    <w:rsid w:val="0000047B"/>
    <w:rsid w:val="0000050F"/>
    <w:rsid w:val="00000B59"/>
    <w:rsid w:val="00000D1B"/>
    <w:rsid w:val="00001748"/>
    <w:rsid w:val="00001820"/>
    <w:rsid w:val="00002DA9"/>
    <w:rsid w:val="000035EA"/>
    <w:rsid w:val="00004237"/>
    <w:rsid w:val="000055D2"/>
    <w:rsid w:val="00005997"/>
    <w:rsid w:val="00005F76"/>
    <w:rsid w:val="000063B7"/>
    <w:rsid w:val="00006D95"/>
    <w:rsid w:val="00006EF2"/>
    <w:rsid w:val="000073AA"/>
    <w:rsid w:val="00010253"/>
    <w:rsid w:val="000105F0"/>
    <w:rsid w:val="0001101F"/>
    <w:rsid w:val="00011073"/>
    <w:rsid w:val="00011172"/>
    <w:rsid w:val="000113C3"/>
    <w:rsid w:val="00011462"/>
    <w:rsid w:val="00012087"/>
    <w:rsid w:val="00012163"/>
    <w:rsid w:val="0001238D"/>
    <w:rsid w:val="00012968"/>
    <w:rsid w:val="00012A98"/>
    <w:rsid w:val="00012D12"/>
    <w:rsid w:val="0001313F"/>
    <w:rsid w:val="00013625"/>
    <w:rsid w:val="00013978"/>
    <w:rsid w:val="00013C52"/>
    <w:rsid w:val="00013D4D"/>
    <w:rsid w:val="00014196"/>
    <w:rsid w:val="000145C0"/>
    <w:rsid w:val="0001469D"/>
    <w:rsid w:val="000147A3"/>
    <w:rsid w:val="00014823"/>
    <w:rsid w:val="00014F72"/>
    <w:rsid w:val="000154AB"/>
    <w:rsid w:val="0001551D"/>
    <w:rsid w:val="000158B4"/>
    <w:rsid w:val="00015BA2"/>
    <w:rsid w:val="00015CC3"/>
    <w:rsid w:val="00015D01"/>
    <w:rsid w:val="00015F76"/>
    <w:rsid w:val="0001671B"/>
    <w:rsid w:val="00017479"/>
    <w:rsid w:val="0001762D"/>
    <w:rsid w:val="00017864"/>
    <w:rsid w:val="00017A32"/>
    <w:rsid w:val="00020203"/>
    <w:rsid w:val="0002048F"/>
    <w:rsid w:val="00020703"/>
    <w:rsid w:val="00020D5C"/>
    <w:rsid w:val="00020F4A"/>
    <w:rsid w:val="00020FEB"/>
    <w:rsid w:val="00021317"/>
    <w:rsid w:val="0002145E"/>
    <w:rsid w:val="00021A78"/>
    <w:rsid w:val="00021BF1"/>
    <w:rsid w:val="00022224"/>
    <w:rsid w:val="000225D0"/>
    <w:rsid w:val="000225FA"/>
    <w:rsid w:val="0002292E"/>
    <w:rsid w:val="000229C4"/>
    <w:rsid w:val="000230CE"/>
    <w:rsid w:val="00023A3E"/>
    <w:rsid w:val="00023C62"/>
    <w:rsid w:val="000241C5"/>
    <w:rsid w:val="00024978"/>
    <w:rsid w:val="00024C02"/>
    <w:rsid w:val="00024E3F"/>
    <w:rsid w:val="0002558C"/>
    <w:rsid w:val="0002576D"/>
    <w:rsid w:val="000257A4"/>
    <w:rsid w:val="00025A16"/>
    <w:rsid w:val="00025E8D"/>
    <w:rsid w:val="000260A2"/>
    <w:rsid w:val="00026B16"/>
    <w:rsid w:val="00026DC8"/>
    <w:rsid w:val="00027190"/>
    <w:rsid w:val="0002725A"/>
    <w:rsid w:val="00027456"/>
    <w:rsid w:val="000278ED"/>
    <w:rsid w:val="00027CFA"/>
    <w:rsid w:val="00027DE4"/>
    <w:rsid w:val="0003044F"/>
    <w:rsid w:val="000308F7"/>
    <w:rsid w:val="0003094B"/>
    <w:rsid w:val="00030D81"/>
    <w:rsid w:val="00031129"/>
    <w:rsid w:val="0003163C"/>
    <w:rsid w:val="00031805"/>
    <w:rsid w:val="00031C5B"/>
    <w:rsid w:val="00031C60"/>
    <w:rsid w:val="000323B6"/>
    <w:rsid w:val="000324F0"/>
    <w:rsid w:val="000327D2"/>
    <w:rsid w:val="0003281E"/>
    <w:rsid w:val="00032A66"/>
    <w:rsid w:val="00032EB9"/>
    <w:rsid w:val="00033014"/>
    <w:rsid w:val="000330CA"/>
    <w:rsid w:val="00033899"/>
    <w:rsid w:val="00033AD6"/>
    <w:rsid w:val="0003419C"/>
    <w:rsid w:val="00034A1F"/>
    <w:rsid w:val="00034AE8"/>
    <w:rsid w:val="00034C34"/>
    <w:rsid w:val="000353AC"/>
    <w:rsid w:val="000355EF"/>
    <w:rsid w:val="000357A0"/>
    <w:rsid w:val="00035823"/>
    <w:rsid w:val="00035C8B"/>
    <w:rsid w:val="00035E21"/>
    <w:rsid w:val="00036274"/>
    <w:rsid w:val="0003642B"/>
    <w:rsid w:val="00036966"/>
    <w:rsid w:val="0003735B"/>
    <w:rsid w:val="000373E2"/>
    <w:rsid w:val="00037D49"/>
    <w:rsid w:val="00040021"/>
    <w:rsid w:val="00040536"/>
    <w:rsid w:val="0004073A"/>
    <w:rsid w:val="00040F22"/>
    <w:rsid w:val="000413C1"/>
    <w:rsid w:val="000413CB"/>
    <w:rsid w:val="0004161B"/>
    <w:rsid w:val="00041A91"/>
    <w:rsid w:val="00041EE0"/>
    <w:rsid w:val="00041EFB"/>
    <w:rsid w:val="00042BB2"/>
    <w:rsid w:val="00043556"/>
    <w:rsid w:val="00043D37"/>
    <w:rsid w:val="000442CB"/>
    <w:rsid w:val="000442E9"/>
    <w:rsid w:val="0004447B"/>
    <w:rsid w:val="00044B5A"/>
    <w:rsid w:val="00044BCA"/>
    <w:rsid w:val="00045386"/>
    <w:rsid w:val="00045B03"/>
    <w:rsid w:val="00045E86"/>
    <w:rsid w:val="00046336"/>
    <w:rsid w:val="00046470"/>
    <w:rsid w:val="000466C1"/>
    <w:rsid w:val="00046A61"/>
    <w:rsid w:val="0004720F"/>
    <w:rsid w:val="00047528"/>
    <w:rsid w:val="00047C3A"/>
    <w:rsid w:val="00047D14"/>
    <w:rsid w:val="00047DDB"/>
    <w:rsid w:val="000505B5"/>
    <w:rsid w:val="0005087A"/>
    <w:rsid w:val="00050B15"/>
    <w:rsid w:val="00050DE2"/>
    <w:rsid w:val="0005179F"/>
    <w:rsid w:val="00051D7D"/>
    <w:rsid w:val="00052176"/>
    <w:rsid w:val="00052238"/>
    <w:rsid w:val="00052311"/>
    <w:rsid w:val="000527FC"/>
    <w:rsid w:val="00052B69"/>
    <w:rsid w:val="00053203"/>
    <w:rsid w:val="00053220"/>
    <w:rsid w:val="000538B5"/>
    <w:rsid w:val="000539D4"/>
    <w:rsid w:val="00053FE8"/>
    <w:rsid w:val="00054643"/>
    <w:rsid w:val="00054765"/>
    <w:rsid w:val="000548A9"/>
    <w:rsid w:val="000548D2"/>
    <w:rsid w:val="00054A13"/>
    <w:rsid w:val="00054D09"/>
    <w:rsid w:val="00054E4B"/>
    <w:rsid w:val="00055272"/>
    <w:rsid w:val="00055817"/>
    <w:rsid w:val="00055C7F"/>
    <w:rsid w:val="00056209"/>
    <w:rsid w:val="00056E8C"/>
    <w:rsid w:val="00057027"/>
    <w:rsid w:val="00057066"/>
    <w:rsid w:val="000573EB"/>
    <w:rsid w:val="0005787E"/>
    <w:rsid w:val="00057C14"/>
    <w:rsid w:val="00057D8B"/>
    <w:rsid w:val="0006029B"/>
    <w:rsid w:val="00060A08"/>
    <w:rsid w:val="00060A77"/>
    <w:rsid w:val="00060B0B"/>
    <w:rsid w:val="00060EC9"/>
    <w:rsid w:val="00061755"/>
    <w:rsid w:val="00061766"/>
    <w:rsid w:val="000619F7"/>
    <w:rsid w:val="00061ED0"/>
    <w:rsid w:val="000623B0"/>
    <w:rsid w:val="0006248D"/>
    <w:rsid w:val="0006280D"/>
    <w:rsid w:val="00062976"/>
    <w:rsid w:val="000633C6"/>
    <w:rsid w:val="0006372D"/>
    <w:rsid w:val="0006387B"/>
    <w:rsid w:val="000640A7"/>
    <w:rsid w:val="0006468C"/>
    <w:rsid w:val="00065917"/>
    <w:rsid w:val="00066878"/>
    <w:rsid w:val="00066D3E"/>
    <w:rsid w:val="00066E74"/>
    <w:rsid w:val="00067326"/>
    <w:rsid w:val="000675E6"/>
    <w:rsid w:val="00067943"/>
    <w:rsid w:val="00067AF9"/>
    <w:rsid w:val="00067DEB"/>
    <w:rsid w:val="00070236"/>
    <w:rsid w:val="00070756"/>
    <w:rsid w:val="00070B2F"/>
    <w:rsid w:val="00070C87"/>
    <w:rsid w:val="00070CE1"/>
    <w:rsid w:val="0007114E"/>
    <w:rsid w:val="00071AC1"/>
    <w:rsid w:val="00071B67"/>
    <w:rsid w:val="00071F54"/>
    <w:rsid w:val="00072001"/>
    <w:rsid w:val="000721BA"/>
    <w:rsid w:val="000721FA"/>
    <w:rsid w:val="0007246C"/>
    <w:rsid w:val="00072CEF"/>
    <w:rsid w:val="00072D88"/>
    <w:rsid w:val="0007357E"/>
    <w:rsid w:val="0007367C"/>
    <w:rsid w:val="000738D4"/>
    <w:rsid w:val="000739C2"/>
    <w:rsid w:val="00073B81"/>
    <w:rsid w:val="00074005"/>
    <w:rsid w:val="0007470A"/>
    <w:rsid w:val="0007479D"/>
    <w:rsid w:val="00074AA6"/>
    <w:rsid w:val="00074BE7"/>
    <w:rsid w:val="00074E94"/>
    <w:rsid w:val="0007593C"/>
    <w:rsid w:val="000774C9"/>
    <w:rsid w:val="000776E1"/>
    <w:rsid w:val="00077968"/>
    <w:rsid w:val="00077B43"/>
    <w:rsid w:val="000804D5"/>
    <w:rsid w:val="00080B7D"/>
    <w:rsid w:val="00081100"/>
    <w:rsid w:val="000817E0"/>
    <w:rsid w:val="00081A8B"/>
    <w:rsid w:val="00081C34"/>
    <w:rsid w:val="000826FD"/>
    <w:rsid w:val="00082FEF"/>
    <w:rsid w:val="000833E3"/>
    <w:rsid w:val="0008351F"/>
    <w:rsid w:val="00083958"/>
    <w:rsid w:val="00083BA6"/>
    <w:rsid w:val="00083F40"/>
    <w:rsid w:val="000844CF"/>
    <w:rsid w:val="000846D3"/>
    <w:rsid w:val="00085EC9"/>
    <w:rsid w:val="000862B4"/>
    <w:rsid w:val="0008658D"/>
    <w:rsid w:val="0008667C"/>
    <w:rsid w:val="00086AA7"/>
    <w:rsid w:val="00087940"/>
    <w:rsid w:val="00087AAE"/>
    <w:rsid w:val="00087BCF"/>
    <w:rsid w:val="00087D67"/>
    <w:rsid w:val="0009064B"/>
    <w:rsid w:val="000907F1"/>
    <w:rsid w:val="00090E54"/>
    <w:rsid w:val="00091149"/>
    <w:rsid w:val="00091183"/>
    <w:rsid w:val="00091A05"/>
    <w:rsid w:val="00091A2A"/>
    <w:rsid w:val="00091E67"/>
    <w:rsid w:val="00091F7B"/>
    <w:rsid w:val="000925A4"/>
    <w:rsid w:val="00092DBB"/>
    <w:rsid w:val="000934AB"/>
    <w:rsid w:val="000939E0"/>
    <w:rsid w:val="00093CF4"/>
    <w:rsid w:val="000942DF"/>
    <w:rsid w:val="00094636"/>
    <w:rsid w:val="00094718"/>
    <w:rsid w:val="00094A18"/>
    <w:rsid w:val="00094D53"/>
    <w:rsid w:val="00095226"/>
    <w:rsid w:val="000953AA"/>
    <w:rsid w:val="00095884"/>
    <w:rsid w:val="00095A2F"/>
    <w:rsid w:val="000963F8"/>
    <w:rsid w:val="00096F55"/>
    <w:rsid w:val="00096F61"/>
    <w:rsid w:val="000971AF"/>
    <w:rsid w:val="0009721D"/>
    <w:rsid w:val="000974FC"/>
    <w:rsid w:val="00097A54"/>
    <w:rsid w:val="00097AD3"/>
    <w:rsid w:val="00097DE6"/>
    <w:rsid w:val="000A00B2"/>
    <w:rsid w:val="000A01D1"/>
    <w:rsid w:val="000A04D9"/>
    <w:rsid w:val="000A0F0B"/>
    <w:rsid w:val="000A16C9"/>
    <w:rsid w:val="000A1729"/>
    <w:rsid w:val="000A199C"/>
    <w:rsid w:val="000A1EBE"/>
    <w:rsid w:val="000A21E4"/>
    <w:rsid w:val="000A22AD"/>
    <w:rsid w:val="000A2320"/>
    <w:rsid w:val="000A2365"/>
    <w:rsid w:val="000A2C44"/>
    <w:rsid w:val="000A2C6A"/>
    <w:rsid w:val="000A3242"/>
    <w:rsid w:val="000A4B15"/>
    <w:rsid w:val="000A4C29"/>
    <w:rsid w:val="000A4CB1"/>
    <w:rsid w:val="000A5282"/>
    <w:rsid w:val="000B0718"/>
    <w:rsid w:val="000B1031"/>
    <w:rsid w:val="000B11D5"/>
    <w:rsid w:val="000B13DF"/>
    <w:rsid w:val="000B174D"/>
    <w:rsid w:val="000B1D3D"/>
    <w:rsid w:val="000B1EF7"/>
    <w:rsid w:val="000B2576"/>
    <w:rsid w:val="000B272B"/>
    <w:rsid w:val="000B2A85"/>
    <w:rsid w:val="000B2E2C"/>
    <w:rsid w:val="000B2E90"/>
    <w:rsid w:val="000B3C15"/>
    <w:rsid w:val="000B4945"/>
    <w:rsid w:val="000B4E94"/>
    <w:rsid w:val="000B54AB"/>
    <w:rsid w:val="000B5C14"/>
    <w:rsid w:val="000B5DED"/>
    <w:rsid w:val="000B5E7C"/>
    <w:rsid w:val="000B60EE"/>
    <w:rsid w:val="000B6149"/>
    <w:rsid w:val="000B6405"/>
    <w:rsid w:val="000B647A"/>
    <w:rsid w:val="000B711F"/>
    <w:rsid w:val="000B73F6"/>
    <w:rsid w:val="000B7A89"/>
    <w:rsid w:val="000C0009"/>
    <w:rsid w:val="000C0184"/>
    <w:rsid w:val="000C047D"/>
    <w:rsid w:val="000C0570"/>
    <w:rsid w:val="000C068E"/>
    <w:rsid w:val="000C0C61"/>
    <w:rsid w:val="000C0D55"/>
    <w:rsid w:val="000C11D9"/>
    <w:rsid w:val="000C1750"/>
    <w:rsid w:val="000C18B1"/>
    <w:rsid w:val="000C2296"/>
    <w:rsid w:val="000C239C"/>
    <w:rsid w:val="000C2501"/>
    <w:rsid w:val="000C2DD5"/>
    <w:rsid w:val="000C2E8D"/>
    <w:rsid w:val="000C30CB"/>
    <w:rsid w:val="000C33E1"/>
    <w:rsid w:val="000C39CB"/>
    <w:rsid w:val="000C3A86"/>
    <w:rsid w:val="000C3AE0"/>
    <w:rsid w:val="000C3C8A"/>
    <w:rsid w:val="000C3D88"/>
    <w:rsid w:val="000C475A"/>
    <w:rsid w:val="000C58CB"/>
    <w:rsid w:val="000C5D6D"/>
    <w:rsid w:val="000C60B0"/>
    <w:rsid w:val="000C6116"/>
    <w:rsid w:val="000C6218"/>
    <w:rsid w:val="000C6328"/>
    <w:rsid w:val="000C6441"/>
    <w:rsid w:val="000C674F"/>
    <w:rsid w:val="000C6A96"/>
    <w:rsid w:val="000C6B1A"/>
    <w:rsid w:val="000C73D2"/>
    <w:rsid w:val="000C760C"/>
    <w:rsid w:val="000C7D76"/>
    <w:rsid w:val="000D010D"/>
    <w:rsid w:val="000D0CB8"/>
    <w:rsid w:val="000D0D40"/>
    <w:rsid w:val="000D0D66"/>
    <w:rsid w:val="000D0D7D"/>
    <w:rsid w:val="000D0E69"/>
    <w:rsid w:val="000D1E63"/>
    <w:rsid w:val="000D1FCF"/>
    <w:rsid w:val="000D213B"/>
    <w:rsid w:val="000D222A"/>
    <w:rsid w:val="000D227D"/>
    <w:rsid w:val="000D23AB"/>
    <w:rsid w:val="000D25B4"/>
    <w:rsid w:val="000D2A45"/>
    <w:rsid w:val="000D2AC9"/>
    <w:rsid w:val="000D3376"/>
    <w:rsid w:val="000D35B4"/>
    <w:rsid w:val="000D3FA9"/>
    <w:rsid w:val="000D5537"/>
    <w:rsid w:val="000D5B2B"/>
    <w:rsid w:val="000D6868"/>
    <w:rsid w:val="000D78F3"/>
    <w:rsid w:val="000D7AA8"/>
    <w:rsid w:val="000D7E52"/>
    <w:rsid w:val="000E0C06"/>
    <w:rsid w:val="000E0DEC"/>
    <w:rsid w:val="000E0FB7"/>
    <w:rsid w:val="000E10E8"/>
    <w:rsid w:val="000E1404"/>
    <w:rsid w:val="000E16B2"/>
    <w:rsid w:val="000E1F18"/>
    <w:rsid w:val="000E22BB"/>
    <w:rsid w:val="000E2B92"/>
    <w:rsid w:val="000E2F14"/>
    <w:rsid w:val="000E2F8B"/>
    <w:rsid w:val="000E34EE"/>
    <w:rsid w:val="000E36CB"/>
    <w:rsid w:val="000E370D"/>
    <w:rsid w:val="000E3E7A"/>
    <w:rsid w:val="000E449F"/>
    <w:rsid w:val="000E4D71"/>
    <w:rsid w:val="000E5125"/>
    <w:rsid w:val="000E5159"/>
    <w:rsid w:val="000E56E3"/>
    <w:rsid w:val="000E5702"/>
    <w:rsid w:val="000E5841"/>
    <w:rsid w:val="000E5F37"/>
    <w:rsid w:val="000E623D"/>
    <w:rsid w:val="000E66E6"/>
    <w:rsid w:val="000E6EB0"/>
    <w:rsid w:val="000E708C"/>
    <w:rsid w:val="000E76F6"/>
    <w:rsid w:val="000F0487"/>
    <w:rsid w:val="000F053B"/>
    <w:rsid w:val="000F0A0C"/>
    <w:rsid w:val="000F0E67"/>
    <w:rsid w:val="000F131C"/>
    <w:rsid w:val="000F1EF1"/>
    <w:rsid w:val="000F3B03"/>
    <w:rsid w:val="000F3D91"/>
    <w:rsid w:val="000F41E6"/>
    <w:rsid w:val="000F4505"/>
    <w:rsid w:val="000F4940"/>
    <w:rsid w:val="000F57DF"/>
    <w:rsid w:val="000F5F10"/>
    <w:rsid w:val="000F60DC"/>
    <w:rsid w:val="000F616E"/>
    <w:rsid w:val="000F64BB"/>
    <w:rsid w:val="000F6650"/>
    <w:rsid w:val="000F68A7"/>
    <w:rsid w:val="000F68FF"/>
    <w:rsid w:val="000F7204"/>
    <w:rsid w:val="000F751B"/>
    <w:rsid w:val="000F75E9"/>
    <w:rsid w:val="000F7A75"/>
    <w:rsid w:val="000F7C35"/>
    <w:rsid w:val="000F7DE2"/>
    <w:rsid w:val="001005AA"/>
    <w:rsid w:val="00100F85"/>
    <w:rsid w:val="0010156E"/>
    <w:rsid w:val="0010162B"/>
    <w:rsid w:val="00101897"/>
    <w:rsid w:val="00101956"/>
    <w:rsid w:val="001019D1"/>
    <w:rsid w:val="00101C2D"/>
    <w:rsid w:val="00101DAE"/>
    <w:rsid w:val="00101E55"/>
    <w:rsid w:val="0010213A"/>
    <w:rsid w:val="001022E2"/>
    <w:rsid w:val="001030C2"/>
    <w:rsid w:val="00103225"/>
    <w:rsid w:val="00103AB8"/>
    <w:rsid w:val="00103D24"/>
    <w:rsid w:val="00104440"/>
    <w:rsid w:val="001052A0"/>
    <w:rsid w:val="001055D0"/>
    <w:rsid w:val="00105879"/>
    <w:rsid w:val="00105BC0"/>
    <w:rsid w:val="00106358"/>
    <w:rsid w:val="00106AC2"/>
    <w:rsid w:val="00107029"/>
    <w:rsid w:val="0010790D"/>
    <w:rsid w:val="00107A20"/>
    <w:rsid w:val="00107EDE"/>
    <w:rsid w:val="00110A3A"/>
    <w:rsid w:val="00110A96"/>
    <w:rsid w:val="00110AD8"/>
    <w:rsid w:val="00110F52"/>
    <w:rsid w:val="00110F58"/>
    <w:rsid w:val="0011109E"/>
    <w:rsid w:val="001114DF"/>
    <w:rsid w:val="00111677"/>
    <w:rsid w:val="001130D1"/>
    <w:rsid w:val="001132F6"/>
    <w:rsid w:val="001133DB"/>
    <w:rsid w:val="0011341D"/>
    <w:rsid w:val="00113C7E"/>
    <w:rsid w:val="00113E9E"/>
    <w:rsid w:val="0011480F"/>
    <w:rsid w:val="00114911"/>
    <w:rsid w:val="00114B5A"/>
    <w:rsid w:val="00114BAA"/>
    <w:rsid w:val="00114BF7"/>
    <w:rsid w:val="001152BF"/>
    <w:rsid w:val="0011532A"/>
    <w:rsid w:val="001159FB"/>
    <w:rsid w:val="00115C82"/>
    <w:rsid w:val="00115C84"/>
    <w:rsid w:val="00115DB6"/>
    <w:rsid w:val="00115E36"/>
    <w:rsid w:val="00116AED"/>
    <w:rsid w:val="00116D60"/>
    <w:rsid w:val="0011701C"/>
    <w:rsid w:val="00117120"/>
    <w:rsid w:val="00117ED7"/>
    <w:rsid w:val="00117F01"/>
    <w:rsid w:val="00117F86"/>
    <w:rsid w:val="0012058B"/>
    <w:rsid w:val="001205EF"/>
    <w:rsid w:val="00120F8A"/>
    <w:rsid w:val="001211DA"/>
    <w:rsid w:val="00121B61"/>
    <w:rsid w:val="0012232B"/>
    <w:rsid w:val="001225AA"/>
    <w:rsid w:val="00122A65"/>
    <w:rsid w:val="00122D22"/>
    <w:rsid w:val="00122D5B"/>
    <w:rsid w:val="00123305"/>
    <w:rsid w:val="00123439"/>
    <w:rsid w:val="00123555"/>
    <w:rsid w:val="001238DB"/>
    <w:rsid w:val="001239CD"/>
    <w:rsid w:val="00123AFD"/>
    <w:rsid w:val="00124563"/>
    <w:rsid w:val="00124663"/>
    <w:rsid w:val="0012474F"/>
    <w:rsid w:val="0012487C"/>
    <w:rsid w:val="00124E90"/>
    <w:rsid w:val="001256C8"/>
    <w:rsid w:val="001257B7"/>
    <w:rsid w:val="001259BB"/>
    <w:rsid w:val="00125FA8"/>
    <w:rsid w:val="001264D3"/>
    <w:rsid w:val="001267D7"/>
    <w:rsid w:val="00127B27"/>
    <w:rsid w:val="00127F60"/>
    <w:rsid w:val="0013019C"/>
    <w:rsid w:val="001301F3"/>
    <w:rsid w:val="0013076F"/>
    <w:rsid w:val="001318F2"/>
    <w:rsid w:val="00131C75"/>
    <w:rsid w:val="00131DF8"/>
    <w:rsid w:val="0013244F"/>
    <w:rsid w:val="00132CC2"/>
    <w:rsid w:val="00133032"/>
    <w:rsid w:val="00133930"/>
    <w:rsid w:val="00134441"/>
    <w:rsid w:val="001349AA"/>
    <w:rsid w:val="00135165"/>
    <w:rsid w:val="001351C6"/>
    <w:rsid w:val="00135363"/>
    <w:rsid w:val="001354DE"/>
    <w:rsid w:val="0013561C"/>
    <w:rsid w:val="001357DB"/>
    <w:rsid w:val="00135C31"/>
    <w:rsid w:val="0013659D"/>
    <w:rsid w:val="00136ACE"/>
    <w:rsid w:val="00136BBF"/>
    <w:rsid w:val="00136FC9"/>
    <w:rsid w:val="001375E1"/>
    <w:rsid w:val="00137A59"/>
    <w:rsid w:val="00137C28"/>
    <w:rsid w:val="00137CD3"/>
    <w:rsid w:val="0014014B"/>
    <w:rsid w:val="001409B7"/>
    <w:rsid w:val="00140C7E"/>
    <w:rsid w:val="00140E0F"/>
    <w:rsid w:val="00140ED4"/>
    <w:rsid w:val="0014170C"/>
    <w:rsid w:val="00141C4F"/>
    <w:rsid w:val="00141EBF"/>
    <w:rsid w:val="001420FC"/>
    <w:rsid w:val="00142814"/>
    <w:rsid w:val="0014298D"/>
    <w:rsid w:val="00142AEF"/>
    <w:rsid w:val="00143391"/>
    <w:rsid w:val="0014363E"/>
    <w:rsid w:val="0014374B"/>
    <w:rsid w:val="00143784"/>
    <w:rsid w:val="00143B8D"/>
    <w:rsid w:val="00143CF0"/>
    <w:rsid w:val="0014419E"/>
    <w:rsid w:val="0014421A"/>
    <w:rsid w:val="0014452B"/>
    <w:rsid w:val="00144C28"/>
    <w:rsid w:val="00144E78"/>
    <w:rsid w:val="00145309"/>
    <w:rsid w:val="00145427"/>
    <w:rsid w:val="00145626"/>
    <w:rsid w:val="00145929"/>
    <w:rsid w:val="001462BC"/>
    <w:rsid w:val="00146897"/>
    <w:rsid w:val="001468E4"/>
    <w:rsid w:val="0014719E"/>
    <w:rsid w:val="00147402"/>
    <w:rsid w:val="00147691"/>
    <w:rsid w:val="00147EBE"/>
    <w:rsid w:val="00150028"/>
    <w:rsid w:val="00150244"/>
    <w:rsid w:val="00150656"/>
    <w:rsid w:val="00150955"/>
    <w:rsid w:val="00150E85"/>
    <w:rsid w:val="001512BA"/>
    <w:rsid w:val="00151351"/>
    <w:rsid w:val="00151354"/>
    <w:rsid w:val="00151521"/>
    <w:rsid w:val="00151D2F"/>
    <w:rsid w:val="00152590"/>
    <w:rsid w:val="00152C0D"/>
    <w:rsid w:val="00152FBE"/>
    <w:rsid w:val="00153522"/>
    <w:rsid w:val="0015355E"/>
    <w:rsid w:val="001539DB"/>
    <w:rsid w:val="00153D55"/>
    <w:rsid w:val="00153E0C"/>
    <w:rsid w:val="0015447A"/>
    <w:rsid w:val="00154AB5"/>
    <w:rsid w:val="00155526"/>
    <w:rsid w:val="001555E4"/>
    <w:rsid w:val="00155637"/>
    <w:rsid w:val="00155D3B"/>
    <w:rsid w:val="00156660"/>
    <w:rsid w:val="00156702"/>
    <w:rsid w:val="00156D9A"/>
    <w:rsid w:val="0015732E"/>
    <w:rsid w:val="00157555"/>
    <w:rsid w:val="00157B28"/>
    <w:rsid w:val="00157CC8"/>
    <w:rsid w:val="00157D7D"/>
    <w:rsid w:val="00157E80"/>
    <w:rsid w:val="001603A7"/>
    <w:rsid w:val="001604EF"/>
    <w:rsid w:val="001605C0"/>
    <w:rsid w:val="00160B7D"/>
    <w:rsid w:val="00161371"/>
    <w:rsid w:val="00161727"/>
    <w:rsid w:val="001618A5"/>
    <w:rsid w:val="00161AFF"/>
    <w:rsid w:val="00161B6C"/>
    <w:rsid w:val="0016260A"/>
    <w:rsid w:val="00162D88"/>
    <w:rsid w:val="00162DBA"/>
    <w:rsid w:val="00162DF7"/>
    <w:rsid w:val="0016315B"/>
    <w:rsid w:val="0016315C"/>
    <w:rsid w:val="0016337A"/>
    <w:rsid w:val="00163593"/>
    <w:rsid w:val="00163ABD"/>
    <w:rsid w:val="00163C5B"/>
    <w:rsid w:val="00163FF2"/>
    <w:rsid w:val="0016421D"/>
    <w:rsid w:val="001645FA"/>
    <w:rsid w:val="001649E0"/>
    <w:rsid w:val="0016543A"/>
    <w:rsid w:val="0016557B"/>
    <w:rsid w:val="001657F0"/>
    <w:rsid w:val="001658D6"/>
    <w:rsid w:val="00165D28"/>
    <w:rsid w:val="0016612C"/>
    <w:rsid w:val="00167789"/>
    <w:rsid w:val="00167F49"/>
    <w:rsid w:val="00167F83"/>
    <w:rsid w:val="0017053A"/>
    <w:rsid w:val="00171CF6"/>
    <w:rsid w:val="00171DE9"/>
    <w:rsid w:val="00171EA8"/>
    <w:rsid w:val="00172006"/>
    <w:rsid w:val="001728F0"/>
    <w:rsid w:val="00172A73"/>
    <w:rsid w:val="0017358B"/>
    <w:rsid w:val="00173763"/>
    <w:rsid w:val="00173850"/>
    <w:rsid w:val="001738F2"/>
    <w:rsid w:val="00173A6E"/>
    <w:rsid w:val="00173B54"/>
    <w:rsid w:val="001744CD"/>
    <w:rsid w:val="0017469F"/>
    <w:rsid w:val="001746F2"/>
    <w:rsid w:val="0017493C"/>
    <w:rsid w:val="00174BC2"/>
    <w:rsid w:val="00174EA9"/>
    <w:rsid w:val="001750B4"/>
    <w:rsid w:val="00175174"/>
    <w:rsid w:val="001756EA"/>
    <w:rsid w:val="00175E6C"/>
    <w:rsid w:val="00175EFC"/>
    <w:rsid w:val="001760A5"/>
    <w:rsid w:val="0017613F"/>
    <w:rsid w:val="001765FA"/>
    <w:rsid w:val="00176949"/>
    <w:rsid w:val="00177692"/>
    <w:rsid w:val="00177C4A"/>
    <w:rsid w:val="00177EA3"/>
    <w:rsid w:val="001800DB"/>
    <w:rsid w:val="001801B8"/>
    <w:rsid w:val="001807F9"/>
    <w:rsid w:val="00180816"/>
    <w:rsid w:val="00180E9E"/>
    <w:rsid w:val="00180EAF"/>
    <w:rsid w:val="00180FF7"/>
    <w:rsid w:val="00181184"/>
    <w:rsid w:val="001812D0"/>
    <w:rsid w:val="001829F3"/>
    <w:rsid w:val="001829FD"/>
    <w:rsid w:val="00182A1C"/>
    <w:rsid w:val="00182C77"/>
    <w:rsid w:val="00182CDF"/>
    <w:rsid w:val="0018321E"/>
    <w:rsid w:val="0018369E"/>
    <w:rsid w:val="00183AEC"/>
    <w:rsid w:val="00183AFA"/>
    <w:rsid w:val="00184387"/>
    <w:rsid w:val="00184D19"/>
    <w:rsid w:val="00184EB4"/>
    <w:rsid w:val="00184FE4"/>
    <w:rsid w:val="0018615D"/>
    <w:rsid w:val="00186461"/>
    <w:rsid w:val="00186F05"/>
    <w:rsid w:val="00187994"/>
    <w:rsid w:val="0019093E"/>
    <w:rsid w:val="00191B5D"/>
    <w:rsid w:val="001923B7"/>
    <w:rsid w:val="00192483"/>
    <w:rsid w:val="001926AF"/>
    <w:rsid w:val="0019276D"/>
    <w:rsid w:val="00192ADE"/>
    <w:rsid w:val="001932DD"/>
    <w:rsid w:val="001935AD"/>
    <w:rsid w:val="00193B5D"/>
    <w:rsid w:val="0019459C"/>
    <w:rsid w:val="00194958"/>
    <w:rsid w:val="00194CD5"/>
    <w:rsid w:val="00194FAE"/>
    <w:rsid w:val="00195527"/>
    <w:rsid w:val="001955F1"/>
    <w:rsid w:val="0019625A"/>
    <w:rsid w:val="00196467"/>
    <w:rsid w:val="001964E0"/>
    <w:rsid w:val="001966FC"/>
    <w:rsid w:val="00196A06"/>
    <w:rsid w:val="00196A23"/>
    <w:rsid w:val="00197006"/>
    <w:rsid w:val="00197155"/>
    <w:rsid w:val="001979E8"/>
    <w:rsid w:val="00197B01"/>
    <w:rsid w:val="00197C72"/>
    <w:rsid w:val="001A0379"/>
    <w:rsid w:val="001A0550"/>
    <w:rsid w:val="001A1842"/>
    <w:rsid w:val="001A1D0E"/>
    <w:rsid w:val="001A1F9C"/>
    <w:rsid w:val="001A22FE"/>
    <w:rsid w:val="001A23B4"/>
    <w:rsid w:val="001A2475"/>
    <w:rsid w:val="001A26B0"/>
    <w:rsid w:val="001A2884"/>
    <w:rsid w:val="001A2D56"/>
    <w:rsid w:val="001A2E71"/>
    <w:rsid w:val="001A3220"/>
    <w:rsid w:val="001A3EF9"/>
    <w:rsid w:val="001A4B3C"/>
    <w:rsid w:val="001A4BA5"/>
    <w:rsid w:val="001A4C9C"/>
    <w:rsid w:val="001A5681"/>
    <w:rsid w:val="001A58EE"/>
    <w:rsid w:val="001A5D2F"/>
    <w:rsid w:val="001A5E64"/>
    <w:rsid w:val="001A762A"/>
    <w:rsid w:val="001A793C"/>
    <w:rsid w:val="001A7A02"/>
    <w:rsid w:val="001A7D06"/>
    <w:rsid w:val="001B00E8"/>
    <w:rsid w:val="001B0382"/>
    <w:rsid w:val="001B0387"/>
    <w:rsid w:val="001B07F3"/>
    <w:rsid w:val="001B0C39"/>
    <w:rsid w:val="001B18FD"/>
    <w:rsid w:val="001B1CF1"/>
    <w:rsid w:val="001B287F"/>
    <w:rsid w:val="001B2F10"/>
    <w:rsid w:val="001B3046"/>
    <w:rsid w:val="001B30AE"/>
    <w:rsid w:val="001B3343"/>
    <w:rsid w:val="001B336E"/>
    <w:rsid w:val="001B3700"/>
    <w:rsid w:val="001B390B"/>
    <w:rsid w:val="001B3E53"/>
    <w:rsid w:val="001B3FD0"/>
    <w:rsid w:val="001B44C8"/>
    <w:rsid w:val="001B4534"/>
    <w:rsid w:val="001B48E4"/>
    <w:rsid w:val="001B490C"/>
    <w:rsid w:val="001B49F7"/>
    <w:rsid w:val="001B4F45"/>
    <w:rsid w:val="001B534E"/>
    <w:rsid w:val="001B5F12"/>
    <w:rsid w:val="001B62FC"/>
    <w:rsid w:val="001B64E8"/>
    <w:rsid w:val="001B66E9"/>
    <w:rsid w:val="001B6702"/>
    <w:rsid w:val="001B6766"/>
    <w:rsid w:val="001B7089"/>
    <w:rsid w:val="001B7096"/>
    <w:rsid w:val="001B7102"/>
    <w:rsid w:val="001B73BB"/>
    <w:rsid w:val="001B7509"/>
    <w:rsid w:val="001B78A3"/>
    <w:rsid w:val="001B7ED3"/>
    <w:rsid w:val="001C00F4"/>
    <w:rsid w:val="001C0431"/>
    <w:rsid w:val="001C0516"/>
    <w:rsid w:val="001C0599"/>
    <w:rsid w:val="001C0E69"/>
    <w:rsid w:val="001C1848"/>
    <w:rsid w:val="001C1EBA"/>
    <w:rsid w:val="001C1F36"/>
    <w:rsid w:val="001C20A4"/>
    <w:rsid w:val="001C21A5"/>
    <w:rsid w:val="001C21F0"/>
    <w:rsid w:val="001C2F17"/>
    <w:rsid w:val="001C31E5"/>
    <w:rsid w:val="001C3AAC"/>
    <w:rsid w:val="001C3ED3"/>
    <w:rsid w:val="001C40D6"/>
    <w:rsid w:val="001C41FA"/>
    <w:rsid w:val="001C4A5A"/>
    <w:rsid w:val="001C5835"/>
    <w:rsid w:val="001C5DE7"/>
    <w:rsid w:val="001C5E10"/>
    <w:rsid w:val="001C5E51"/>
    <w:rsid w:val="001C5F6E"/>
    <w:rsid w:val="001C6245"/>
    <w:rsid w:val="001C6259"/>
    <w:rsid w:val="001C64BB"/>
    <w:rsid w:val="001C67A6"/>
    <w:rsid w:val="001C6F9F"/>
    <w:rsid w:val="001C7060"/>
    <w:rsid w:val="001C72A1"/>
    <w:rsid w:val="001C7AAB"/>
    <w:rsid w:val="001C7B6B"/>
    <w:rsid w:val="001D0147"/>
    <w:rsid w:val="001D0956"/>
    <w:rsid w:val="001D0AA0"/>
    <w:rsid w:val="001D10AB"/>
    <w:rsid w:val="001D10D5"/>
    <w:rsid w:val="001D1344"/>
    <w:rsid w:val="001D1B6D"/>
    <w:rsid w:val="001D1E60"/>
    <w:rsid w:val="001D223B"/>
    <w:rsid w:val="001D247E"/>
    <w:rsid w:val="001D2623"/>
    <w:rsid w:val="001D2990"/>
    <w:rsid w:val="001D2E9F"/>
    <w:rsid w:val="001D3037"/>
    <w:rsid w:val="001D3880"/>
    <w:rsid w:val="001D3DDD"/>
    <w:rsid w:val="001D419E"/>
    <w:rsid w:val="001D4459"/>
    <w:rsid w:val="001D4555"/>
    <w:rsid w:val="001D46C9"/>
    <w:rsid w:val="001D4BCE"/>
    <w:rsid w:val="001D4C83"/>
    <w:rsid w:val="001D4CF6"/>
    <w:rsid w:val="001D5190"/>
    <w:rsid w:val="001D58DE"/>
    <w:rsid w:val="001D5B98"/>
    <w:rsid w:val="001D5C48"/>
    <w:rsid w:val="001D5CC7"/>
    <w:rsid w:val="001D605A"/>
    <w:rsid w:val="001D66CA"/>
    <w:rsid w:val="001D6DB3"/>
    <w:rsid w:val="001D6F7D"/>
    <w:rsid w:val="001D72E1"/>
    <w:rsid w:val="001D756E"/>
    <w:rsid w:val="001D77E8"/>
    <w:rsid w:val="001D795A"/>
    <w:rsid w:val="001D7B6A"/>
    <w:rsid w:val="001E000C"/>
    <w:rsid w:val="001E019D"/>
    <w:rsid w:val="001E0374"/>
    <w:rsid w:val="001E065D"/>
    <w:rsid w:val="001E097C"/>
    <w:rsid w:val="001E10FE"/>
    <w:rsid w:val="001E140D"/>
    <w:rsid w:val="001E1C9A"/>
    <w:rsid w:val="001E1DA8"/>
    <w:rsid w:val="001E1FB6"/>
    <w:rsid w:val="001E2899"/>
    <w:rsid w:val="001E2977"/>
    <w:rsid w:val="001E2B73"/>
    <w:rsid w:val="001E35D8"/>
    <w:rsid w:val="001E4481"/>
    <w:rsid w:val="001E49FE"/>
    <w:rsid w:val="001E4BF7"/>
    <w:rsid w:val="001E4C46"/>
    <w:rsid w:val="001E4CB8"/>
    <w:rsid w:val="001E4F02"/>
    <w:rsid w:val="001E52AD"/>
    <w:rsid w:val="001E5B0C"/>
    <w:rsid w:val="001E5F9C"/>
    <w:rsid w:val="001E63CE"/>
    <w:rsid w:val="001E6496"/>
    <w:rsid w:val="001E7185"/>
    <w:rsid w:val="001E72B0"/>
    <w:rsid w:val="001E7BC5"/>
    <w:rsid w:val="001F04E1"/>
    <w:rsid w:val="001F08A9"/>
    <w:rsid w:val="001F1115"/>
    <w:rsid w:val="001F187B"/>
    <w:rsid w:val="001F18B6"/>
    <w:rsid w:val="001F1C69"/>
    <w:rsid w:val="001F21DB"/>
    <w:rsid w:val="001F21EB"/>
    <w:rsid w:val="001F2E97"/>
    <w:rsid w:val="001F3212"/>
    <w:rsid w:val="001F33D2"/>
    <w:rsid w:val="001F3A0D"/>
    <w:rsid w:val="001F4008"/>
    <w:rsid w:val="001F4862"/>
    <w:rsid w:val="001F496A"/>
    <w:rsid w:val="001F5674"/>
    <w:rsid w:val="001F59C8"/>
    <w:rsid w:val="001F5DC1"/>
    <w:rsid w:val="001F5E72"/>
    <w:rsid w:val="001F6649"/>
    <w:rsid w:val="001F66CF"/>
    <w:rsid w:val="001F67B3"/>
    <w:rsid w:val="001F6DD5"/>
    <w:rsid w:val="001F73E3"/>
    <w:rsid w:val="001F746F"/>
    <w:rsid w:val="001F79BE"/>
    <w:rsid w:val="001F7AE5"/>
    <w:rsid w:val="001F7BB9"/>
    <w:rsid w:val="001F7CA7"/>
    <w:rsid w:val="00200676"/>
    <w:rsid w:val="00200FE4"/>
    <w:rsid w:val="00201961"/>
    <w:rsid w:val="00201EE9"/>
    <w:rsid w:val="00201F48"/>
    <w:rsid w:val="0020287F"/>
    <w:rsid w:val="00202B25"/>
    <w:rsid w:val="00203A0F"/>
    <w:rsid w:val="00203D05"/>
    <w:rsid w:val="0020421E"/>
    <w:rsid w:val="00204254"/>
    <w:rsid w:val="002042D8"/>
    <w:rsid w:val="00204A13"/>
    <w:rsid w:val="0020558B"/>
    <w:rsid w:val="00205ADB"/>
    <w:rsid w:val="00205B30"/>
    <w:rsid w:val="00205E18"/>
    <w:rsid w:val="0020650B"/>
    <w:rsid w:val="00206677"/>
    <w:rsid w:val="0020673E"/>
    <w:rsid w:val="00206790"/>
    <w:rsid w:val="00206D84"/>
    <w:rsid w:val="00207299"/>
    <w:rsid w:val="002078F3"/>
    <w:rsid w:val="00207F68"/>
    <w:rsid w:val="0021098C"/>
    <w:rsid w:val="00210C51"/>
    <w:rsid w:val="00210FD2"/>
    <w:rsid w:val="00211AC3"/>
    <w:rsid w:val="00211B19"/>
    <w:rsid w:val="00211C86"/>
    <w:rsid w:val="002124A0"/>
    <w:rsid w:val="00212725"/>
    <w:rsid w:val="002127BF"/>
    <w:rsid w:val="00212A30"/>
    <w:rsid w:val="00212B0E"/>
    <w:rsid w:val="00212C97"/>
    <w:rsid w:val="00213719"/>
    <w:rsid w:val="00213BE7"/>
    <w:rsid w:val="00214080"/>
    <w:rsid w:val="002141F9"/>
    <w:rsid w:val="0021451D"/>
    <w:rsid w:val="00214CAC"/>
    <w:rsid w:val="00214FAB"/>
    <w:rsid w:val="0021544C"/>
    <w:rsid w:val="0021583C"/>
    <w:rsid w:val="00215ACD"/>
    <w:rsid w:val="002160EB"/>
    <w:rsid w:val="002163FC"/>
    <w:rsid w:val="00216661"/>
    <w:rsid w:val="0021674D"/>
    <w:rsid w:val="0021681D"/>
    <w:rsid w:val="002176BE"/>
    <w:rsid w:val="00217829"/>
    <w:rsid w:val="00217C30"/>
    <w:rsid w:val="00220003"/>
    <w:rsid w:val="00220486"/>
    <w:rsid w:val="00220617"/>
    <w:rsid w:val="00220EB1"/>
    <w:rsid w:val="00221023"/>
    <w:rsid w:val="00221751"/>
    <w:rsid w:val="00221ADD"/>
    <w:rsid w:val="0022208C"/>
    <w:rsid w:val="002228FC"/>
    <w:rsid w:val="00222B50"/>
    <w:rsid w:val="00222B9D"/>
    <w:rsid w:val="002231F1"/>
    <w:rsid w:val="0022345E"/>
    <w:rsid w:val="00223471"/>
    <w:rsid w:val="002238AA"/>
    <w:rsid w:val="00223B88"/>
    <w:rsid w:val="0022453D"/>
    <w:rsid w:val="0022474E"/>
    <w:rsid w:val="002249A2"/>
    <w:rsid w:val="00224AEE"/>
    <w:rsid w:val="00224CF0"/>
    <w:rsid w:val="00224EF4"/>
    <w:rsid w:val="00224FC0"/>
    <w:rsid w:val="00225471"/>
    <w:rsid w:val="00225587"/>
    <w:rsid w:val="002255BC"/>
    <w:rsid w:val="00225790"/>
    <w:rsid w:val="002258B0"/>
    <w:rsid w:val="0022603A"/>
    <w:rsid w:val="00226231"/>
    <w:rsid w:val="002263EF"/>
    <w:rsid w:val="00226499"/>
    <w:rsid w:val="00226901"/>
    <w:rsid w:val="00226B08"/>
    <w:rsid w:val="0022707A"/>
    <w:rsid w:val="00227448"/>
    <w:rsid w:val="002274FB"/>
    <w:rsid w:val="00227934"/>
    <w:rsid w:val="0023048E"/>
    <w:rsid w:val="002310A3"/>
    <w:rsid w:val="0023164F"/>
    <w:rsid w:val="00231EB5"/>
    <w:rsid w:val="00231F26"/>
    <w:rsid w:val="002325A4"/>
    <w:rsid w:val="002325AD"/>
    <w:rsid w:val="002328CD"/>
    <w:rsid w:val="00233385"/>
    <w:rsid w:val="0023381E"/>
    <w:rsid w:val="002341FC"/>
    <w:rsid w:val="002345B6"/>
    <w:rsid w:val="0023590E"/>
    <w:rsid w:val="00235B21"/>
    <w:rsid w:val="00235D59"/>
    <w:rsid w:val="00235FF7"/>
    <w:rsid w:val="002360F0"/>
    <w:rsid w:val="0023611A"/>
    <w:rsid w:val="002361B3"/>
    <w:rsid w:val="002361BC"/>
    <w:rsid w:val="00236319"/>
    <w:rsid w:val="00236F00"/>
    <w:rsid w:val="0023718A"/>
    <w:rsid w:val="00240760"/>
    <w:rsid w:val="00240A03"/>
    <w:rsid w:val="002410D7"/>
    <w:rsid w:val="0024115E"/>
    <w:rsid w:val="0024125E"/>
    <w:rsid w:val="00241E08"/>
    <w:rsid w:val="0024210E"/>
    <w:rsid w:val="002422C1"/>
    <w:rsid w:val="00242D46"/>
    <w:rsid w:val="00242DA6"/>
    <w:rsid w:val="00242E23"/>
    <w:rsid w:val="00242E2F"/>
    <w:rsid w:val="00242F79"/>
    <w:rsid w:val="00243002"/>
    <w:rsid w:val="00243244"/>
    <w:rsid w:val="002436FF"/>
    <w:rsid w:val="0024372C"/>
    <w:rsid w:val="0024380F"/>
    <w:rsid w:val="00243DEA"/>
    <w:rsid w:val="00244101"/>
    <w:rsid w:val="0024432D"/>
    <w:rsid w:val="002445CF"/>
    <w:rsid w:val="00244CCF"/>
    <w:rsid w:val="00244CFB"/>
    <w:rsid w:val="00244DFA"/>
    <w:rsid w:val="00245605"/>
    <w:rsid w:val="00245634"/>
    <w:rsid w:val="002456C4"/>
    <w:rsid w:val="00245EE3"/>
    <w:rsid w:val="00245F53"/>
    <w:rsid w:val="0024624C"/>
    <w:rsid w:val="00246531"/>
    <w:rsid w:val="00246A2E"/>
    <w:rsid w:val="0024711C"/>
    <w:rsid w:val="0024725C"/>
    <w:rsid w:val="00247E55"/>
    <w:rsid w:val="00250189"/>
    <w:rsid w:val="002504E0"/>
    <w:rsid w:val="00250AC6"/>
    <w:rsid w:val="00250BAE"/>
    <w:rsid w:val="002524B1"/>
    <w:rsid w:val="002528FE"/>
    <w:rsid w:val="00253A86"/>
    <w:rsid w:val="00253B00"/>
    <w:rsid w:val="00253B07"/>
    <w:rsid w:val="002546A5"/>
    <w:rsid w:val="00254BE9"/>
    <w:rsid w:val="00254CEA"/>
    <w:rsid w:val="002554B3"/>
    <w:rsid w:val="00255DFD"/>
    <w:rsid w:val="0025628E"/>
    <w:rsid w:val="002563F6"/>
    <w:rsid w:val="00257063"/>
    <w:rsid w:val="0025712B"/>
    <w:rsid w:val="00257283"/>
    <w:rsid w:val="00257441"/>
    <w:rsid w:val="00257B4F"/>
    <w:rsid w:val="00257E54"/>
    <w:rsid w:val="00260A2C"/>
    <w:rsid w:val="002611CA"/>
    <w:rsid w:val="00261363"/>
    <w:rsid w:val="00261FEC"/>
    <w:rsid w:val="00262A45"/>
    <w:rsid w:val="00262B28"/>
    <w:rsid w:val="00262BE3"/>
    <w:rsid w:val="00262D2F"/>
    <w:rsid w:val="00262DCF"/>
    <w:rsid w:val="0026301D"/>
    <w:rsid w:val="00264734"/>
    <w:rsid w:val="0026473F"/>
    <w:rsid w:val="0026496A"/>
    <w:rsid w:val="00264A1C"/>
    <w:rsid w:val="00265000"/>
    <w:rsid w:val="0026509F"/>
    <w:rsid w:val="00265268"/>
    <w:rsid w:val="0026536C"/>
    <w:rsid w:val="00265586"/>
    <w:rsid w:val="00265882"/>
    <w:rsid w:val="00265A8B"/>
    <w:rsid w:val="002669A9"/>
    <w:rsid w:val="00266E6C"/>
    <w:rsid w:val="00266F02"/>
    <w:rsid w:val="00267071"/>
    <w:rsid w:val="00267254"/>
    <w:rsid w:val="00267452"/>
    <w:rsid w:val="00267C20"/>
    <w:rsid w:val="002709C6"/>
    <w:rsid w:val="00270CD2"/>
    <w:rsid w:val="00271341"/>
    <w:rsid w:val="0027170F"/>
    <w:rsid w:val="00271D6C"/>
    <w:rsid w:val="002721A5"/>
    <w:rsid w:val="00272AFA"/>
    <w:rsid w:val="00272C8D"/>
    <w:rsid w:val="00272EFF"/>
    <w:rsid w:val="00272F21"/>
    <w:rsid w:val="002735C0"/>
    <w:rsid w:val="00273772"/>
    <w:rsid w:val="00274293"/>
    <w:rsid w:val="0027480B"/>
    <w:rsid w:val="00274AB6"/>
    <w:rsid w:val="0027540B"/>
    <w:rsid w:val="00275B12"/>
    <w:rsid w:val="00275C33"/>
    <w:rsid w:val="00275CD5"/>
    <w:rsid w:val="0027608A"/>
    <w:rsid w:val="0027638A"/>
    <w:rsid w:val="00276482"/>
    <w:rsid w:val="00276568"/>
    <w:rsid w:val="002769FC"/>
    <w:rsid w:val="00276A6C"/>
    <w:rsid w:val="002770DE"/>
    <w:rsid w:val="002809F7"/>
    <w:rsid w:val="00280C6A"/>
    <w:rsid w:val="0028157C"/>
    <w:rsid w:val="00281A92"/>
    <w:rsid w:val="002821AC"/>
    <w:rsid w:val="00282A32"/>
    <w:rsid w:val="00282F31"/>
    <w:rsid w:val="002830A9"/>
    <w:rsid w:val="00283211"/>
    <w:rsid w:val="002835BA"/>
    <w:rsid w:val="00283A2C"/>
    <w:rsid w:val="00283A8C"/>
    <w:rsid w:val="00283C69"/>
    <w:rsid w:val="0028460E"/>
    <w:rsid w:val="00284652"/>
    <w:rsid w:val="00284E04"/>
    <w:rsid w:val="00284FA2"/>
    <w:rsid w:val="00284FC1"/>
    <w:rsid w:val="002850ED"/>
    <w:rsid w:val="002851D0"/>
    <w:rsid w:val="002852EE"/>
    <w:rsid w:val="0028540E"/>
    <w:rsid w:val="002867C1"/>
    <w:rsid w:val="00286A3A"/>
    <w:rsid w:val="00286DC8"/>
    <w:rsid w:val="00286FF6"/>
    <w:rsid w:val="002871A7"/>
    <w:rsid w:val="00287497"/>
    <w:rsid w:val="00287955"/>
    <w:rsid w:val="00287A74"/>
    <w:rsid w:val="00287ECF"/>
    <w:rsid w:val="00290B71"/>
    <w:rsid w:val="00290C69"/>
    <w:rsid w:val="00290DEC"/>
    <w:rsid w:val="002917DD"/>
    <w:rsid w:val="00291DE9"/>
    <w:rsid w:val="00292495"/>
    <w:rsid w:val="002928AA"/>
    <w:rsid w:val="0029294D"/>
    <w:rsid w:val="002929F2"/>
    <w:rsid w:val="00292D60"/>
    <w:rsid w:val="00293109"/>
    <w:rsid w:val="002932D0"/>
    <w:rsid w:val="002932DA"/>
    <w:rsid w:val="00293475"/>
    <w:rsid w:val="0029376C"/>
    <w:rsid w:val="002938FC"/>
    <w:rsid w:val="002939BB"/>
    <w:rsid w:val="00293CF6"/>
    <w:rsid w:val="00294062"/>
    <w:rsid w:val="00294346"/>
    <w:rsid w:val="002943FA"/>
    <w:rsid w:val="002947D3"/>
    <w:rsid w:val="002947E7"/>
    <w:rsid w:val="00294B88"/>
    <w:rsid w:val="002950B2"/>
    <w:rsid w:val="00295217"/>
    <w:rsid w:val="00295766"/>
    <w:rsid w:val="00295D22"/>
    <w:rsid w:val="002964B5"/>
    <w:rsid w:val="002967D3"/>
    <w:rsid w:val="00296958"/>
    <w:rsid w:val="00296F10"/>
    <w:rsid w:val="0029723D"/>
    <w:rsid w:val="002973F1"/>
    <w:rsid w:val="00297853"/>
    <w:rsid w:val="002978FE"/>
    <w:rsid w:val="00297BBC"/>
    <w:rsid w:val="00297DFC"/>
    <w:rsid w:val="002A0398"/>
    <w:rsid w:val="002A048F"/>
    <w:rsid w:val="002A0761"/>
    <w:rsid w:val="002A09EC"/>
    <w:rsid w:val="002A0FCB"/>
    <w:rsid w:val="002A1334"/>
    <w:rsid w:val="002A1E94"/>
    <w:rsid w:val="002A23AA"/>
    <w:rsid w:val="002A2FAD"/>
    <w:rsid w:val="002A3C14"/>
    <w:rsid w:val="002A45A3"/>
    <w:rsid w:val="002A4B4D"/>
    <w:rsid w:val="002A4CF4"/>
    <w:rsid w:val="002A4F14"/>
    <w:rsid w:val="002A5020"/>
    <w:rsid w:val="002A52EE"/>
    <w:rsid w:val="002A55A8"/>
    <w:rsid w:val="002A5B16"/>
    <w:rsid w:val="002A5E17"/>
    <w:rsid w:val="002A6135"/>
    <w:rsid w:val="002A63DF"/>
    <w:rsid w:val="002A6459"/>
    <w:rsid w:val="002A6789"/>
    <w:rsid w:val="002A6A3C"/>
    <w:rsid w:val="002A7193"/>
    <w:rsid w:val="002A741A"/>
    <w:rsid w:val="002A7542"/>
    <w:rsid w:val="002A763B"/>
    <w:rsid w:val="002B0375"/>
    <w:rsid w:val="002B049E"/>
    <w:rsid w:val="002B04FA"/>
    <w:rsid w:val="002B05A2"/>
    <w:rsid w:val="002B0A53"/>
    <w:rsid w:val="002B0CCD"/>
    <w:rsid w:val="002B0DAD"/>
    <w:rsid w:val="002B103E"/>
    <w:rsid w:val="002B11BF"/>
    <w:rsid w:val="002B14B7"/>
    <w:rsid w:val="002B1C76"/>
    <w:rsid w:val="002B202D"/>
    <w:rsid w:val="002B23A0"/>
    <w:rsid w:val="002B24BD"/>
    <w:rsid w:val="002B271F"/>
    <w:rsid w:val="002B29EA"/>
    <w:rsid w:val="002B30B8"/>
    <w:rsid w:val="002B31DD"/>
    <w:rsid w:val="002B40C5"/>
    <w:rsid w:val="002B4A65"/>
    <w:rsid w:val="002B4D0E"/>
    <w:rsid w:val="002B4EE1"/>
    <w:rsid w:val="002B4FC3"/>
    <w:rsid w:val="002B526E"/>
    <w:rsid w:val="002B54FB"/>
    <w:rsid w:val="002B5D53"/>
    <w:rsid w:val="002B63B2"/>
    <w:rsid w:val="002B68CA"/>
    <w:rsid w:val="002B691E"/>
    <w:rsid w:val="002B70E2"/>
    <w:rsid w:val="002B7B8C"/>
    <w:rsid w:val="002B7BE9"/>
    <w:rsid w:val="002B7D35"/>
    <w:rsid w:val="002B7E0D"/>
    <w:rsid w:val="002B7F84"/>
    <w:rsid w:val="002C010A"/>
    <w:rsid w:val="002C01A0"/>
    <w:rsid w:val="002C0801"/>
    <w:rsid w:val="002C0AAE"/>
    <w:rsid w:val="002C0D91"/>
    <w:rsid w:val="002C0EAA"/>
    <w:rsid w:val="002C0EF4"/>
    <w:rsid w:val="002C12A6"/>
    <w:rsid w:val="002C12C6"/>
    <w:rsid w:val="002C16A4"/>
    <w:rsid w:val="002C1962"/>
    <w:rsid w:val="002C1AEC"/>
    <w:rsid w:val="002C1B11"/>
    <w:rsid w:val="002C25AB"/>
    <w:rsid w:val="002C2928"/>
    <w:rsid w:val="002C2CB1"/>
    <w:rsid w:val="002C3B7F"/>
    <w:rsid w:val="002C3CA1"/>
    <w:rsid w:val="002C4057"/>
    <w:rsid w:val="002C4868"/>
    <w:rsid w:val="002C48FA"/>
    <w:rsid w:val="002C4CFB"/>
    <w:rsid w:val="002C5478"/>
    <w:rsid w:val="002C580F"/>
    <w:rsid w:val="002C5B25"/>
    <w:rsid w:val="002C68E0"/>
    <w:rsid w:val="002C6B7F"/>
    <w:rsid w:val="002C6C59"/>
    <w:rsid w:val="002C7449"/>
    <w:rsid w:val="002C75E0"/>
    <w:rsid w:val="002C7764"/>
    <w:rsid w:val="002C7FBA"/>
    <w:rsid w:val="002C7FD2"/>
    <w:rsid w:val="002D0BE4"/>
    <w:rsid w:val="002D11A2"/>
    <w:rsid w:val="002D1207"/>
    <w:rsid w:val="002D1214"/>
    <w:rsid w:val="002D14EA"/>
    <w:rsid w:val="002D1501"/>
    <w:rsid w:val="002D17D6"/>
    <w:rsid w:val="002D1D20"/>
    <w:rsid w:val="002D3151"/>
    <w:rsid w:val="002D362F"/>
    <w:rsid w:val="002D36DD"/>
    <w:rsid w:val="002D3857"/>
    <w:rsid w:val="002D3FB8"/>
    <w:rsid w:val="002D43A8"/>
    <w:rsid w:val="002D453D"/>
    <w:rsid w:val="002D47CA"/>
    <w:rsid w:val="002D4887"/>
    <w:rsid w:val="002D4E28"/>
    <w:rsid w:val="002D55F9"/>
    <w:rsid w:val="002D5AB6"/>
    <w:rsid w:val="002D5D59"/>
    <w:rsid w:val="002D6197"/>
    <w:rsid w:val="002D62DB"/>
    <w:rsid w:val="002D66A5"/>
    <w:rsid w:val="002D6993"/>
    <w:rsid w:val="002D6CEE"/>
    <w:rsid w:val="002D6D70"/>
    <w:rsid w:val="002D6EAA"/>
    <w:rsid w:val="002D6FAC"/>
    <w:rsid w:val="002D702D"/>
    <w:rsid w:val="002D7DE7"/>
    <w:rsid w:val="002D7E54"/>
    <w:rsid w:val="002E0EA9"/>
    <w:rsid w:val="002E180C"/>
    <w:rsid w:val="002E2053"/>
    <w:rsid w:val="002E2087"/>
    <w:rsid w:val="002E233A"/>
    <w:rsid w:val="002E2520"/>
    <w:rsid w:val="002E26D2"/>
    <w:rsid w:val="002E293A"/>
    <w:rsid w:val="002E2D05"/>
    <w:rsid w:val="002E2F61"/>
    <w:rsid w:val="002E320F"/>
    <w:rsid w:val="002E33DA"/>
    <w:rsid w:val="002E3827"/>
    <w:rsid w:val="002E3B10"/>
    <w:rsid w:val="002E4050"/>
    <w:rsid w:val="002E4B1C"/>
    <w:rsid w:val="002E4BAE"/>
    <w:rsid w:val="002E4BF1"/>
    <w:rsid w:val="002E4C7C"/>
    <w:rsid w:val="002E5B7C"/>
    <w:rsid w:val="002E6132"/>
    <w:rsid w:val="002E61F1"/>
    <w:rsid w:val="002E66DD"/>
    <w:rsid w:val="002E6CF3"/>
    <w:rsid w:val="002E71C7"/>
    <w:rsid w:val="002E7534"/>
    <w:rsid w:val="002E7A80"/>
    <w:rsid w:val="002E7C52"/>
    <w:rsid w:val="002F01AC"/>
    <w:rsid w:val="002F0304"/>
    <w:rsid w:val="002F0F6F"/>
    <w:rsid w:val="002F10FF"/>
    <w:rsid w:val="002F11A4"/>
    <w:rsid w:val="002F133B"/>
    <w:rsid w:val="002F166E"/>
    <w:rsid w:val="002F18E2"/>
    <w:rsid w:val="002F19BB"/>
    <w:rsid w:val="002F2199"/>
    <w:rsid w:val="002F2AAE"/>
    <w:rsid w:val="002F2CDE"/>
    <w:rsid w:val="002F2D00"/>
    <w:rsid w:val="002F330F"/>
    <w:rsid w:val="002F3766"/>
    <w:rsid w:val="002F39DA"/>
    <w:rsid w:val="002F3D0D"/>
    <w:rsid w:val="002F3E40"/>
    <w:rsid w:val="002F4118"/>
    <w:rsid w:val="002F41EF"/>
    <w:rsid w:val="002F44EC"/>
    <w:rsid w:val="002F63B8"/>
    <w:rsid w:val="002F6ACF"/>
    <w:rsid w:val="002F79F6"/>
    <w:rsid w:val="002F7C11"/>
    <w:rsid w:val="002F7E28"/>
    <w:rsid w:val="003003AD"/>
    <w:rsid w:val="0030040C"/>
    <w:rsid w:val="00300510"/>
    <w:rsid w:val="0030054C"/>
    <w:rsid w:val="003006AA"/>
    <w:rsid w:val="003009C5"/>
    <w:rsid w:val="003013F6"/>
    <w:rsid w:val="00301759"/>
    <w:rsid w:val="00301C7C"/>
    <w:rsid w:val="003021A6"/>
    <w:rsid w:val="003021C1"/>
    <w:rsid w:val="00302269"/>
    <w:rsid w:val="003029AC"/>
    <w:rsid w:val="003029BF"/>
    <w:rsid w:val="00302C96"/>
    <w:rsid w:val="00302CAC"/>
    <w:rsid w:val="00302F39"/>
    <w:rsid w:val="003035C5"/>
    <w:rsid w:val="003038AC"/>
    <w:rsid w:val="00303A3B"/>
    <w:rsid w:val="00303A72"/>
    <w:rsid w:val="00303DD3"/>
    <w:rsid w:val="00303DD9"/>
    <w:rsid w:val="003049C0"/>
    <w:rsid w:val="00304CC8"/>
    <w:rsid w:val="00304FEF"/>
    <w:rsid w:val="00305992"/>
    <w:rsid w:val="00305FB8"/>
    <w:rsid w:val="00306061"/>
    <w:rsid w:val="003062F5"/>
    <w:rsid w:val="00306A4E"/>
    <w:rsid w:val="00306EFF"/>
    <w:rsid w:val="003070C6"/>
    <w:rsid w:val="0030798D"/>
    <w:rsid w:val="00307C08"/>
    <w:rsid w:val="00307C71"/>
    <w:rsid w:val="00310040"/>
    <w:rsid w:val="0031081F"/>
    <w:rsid w:val="00310B94"/>
    <w:rsid w:val="00310C3F"/>
    <w:rsid w:val="00310CA8"/>
    <w:rsid w:val="003115DE"/>
    <w:rsid w:val="00311992"/>
    <w:rsid w:val="00311C79"/>
    <w:rsid w:val="0031247F"/>
    <w:rsid w:val="003124F7"/>
    <w:rsid w:val="0031272D"/>
    <w:rsid w:val="003127D3"/>
    <w:rsid w:val="00312B04"/>
    <w:rsid w:val="00312C11"/>
    <w:rsid w:val="00312EB1"/>
    <w:rsid w:val="00312F3A"/>
    <w:rsid w:val="00313046"/>
    <w:rsid w:val="00313053"/>
    <w:rsid w:val="003132B6"/>
    <w:rsid w:val="00313A79"/>
    <w:rsid w:val="00313BB0"/>
    <w:rsid w:val="00313CED"/>
    <w:rsid w:val="003143C9"/>
    <w:rsid w:val="003148EB"/>
    <w:rsid w:val="00314C90"/>
    <w:rsid w:val="00314DE1"/>
    <w:rsid w:val="00315018"/>
    <w:rsid w:val="00315058"/>
    <w:rsid w:val="00315B01"/>
    <w:rsid w:val="00315D66"/>
    <w:rsid w:val="00315E58"/>
    <w:rsid w:val="00316696"/>
    <w:rsid w:val="00316860"/>
    <w:rsid w:val="00316F85"/>
    <w:rsid w:val="0031719A"/>
    <w:rsid w:val="003171E6"/>
    <w:rsid w:val="003173D9"/>
    <w:rsid w:val="00317AFA"/>
    <w:rsid w:val="00320274"/>
    <w:rsid w:val="00320385"/>
    <w:rsid w:val="0032057A"/>
    <w:rsid w:val="00320962"/>
    <w:rsid w:val="00320E19"/>
    <w:rsid w:val="0032110C"/>
    <w:rsid w:val="003211E3"/>
    <w:rsid w:val="00321204"/>
    <w:rsid w:val="00321244"/>
    <w:rsid w:val="00321294"/>
    <w:rsid w:val="003216F7"/>
    <w:rsid w:val="00321936"/>
    <w:rsid w:val="00322A1B"/>
    <w:rsid w:val="00322A37"/>
    <w:rsid w:val="0032324B"/>
    <w:rsid w:val="00323AAA"/>
    <w:rsid w:val="00323D94"/>
    <w:rsid w:val="0032471B"/>
    <w:rsid w:val="0032471C"/>
    <w:rsid w:val="003249CD"/>
    <w:rsid w:val="00324A41"/>
    <w:rsid w:val="00324EF8"/>
    <w:rsid w:val="003250DF"/>
    <w:rsid w:val="00325453"/>
    <w:rsid w:val="003258EC"/>
    <w:rsid w:val="00325CA3"/>
    <w:rsid w:val="00325DB3"/>
    <w:rsid w:val="00325E32"/>
    <w:rsid w:val="00326220"/>
    <w:rsid w:val="0032627B"/>
    <w:rsid w:val="00326336"/>
    <w:rsid w:val="00326DC5"/>
    <w:rsid w:val="00326F01"/>
    <w:rsid w:val="00327168"/>
    <w:rsid w:val="003273E6"/>
    <w:rsid w:val="0032773C"/>
    <w:rsid w:val="00327899"/>
    <w:rsid w:val="00327C04"/>
    <w:rsid w:val="003305F8"/>
    <w:rsid w:val="0033097D"/>
    <w:rsid w:val="003309EA"/>
    <w:rsid w:val="00330A61"/>
    <w:rsid w:val="00330E93"/>
    <w:rsid w:val="00331201"/>
    <w:rsid w:val="003312C2"/>
    <w:rsid w:val="00331979"/>
    <w:rsid w:val="00331C9A"/>
    <w:rsid w:val="00331D77"/>
    <w:rsid w:val="00331E0B"/>
    <w:rsid w:val="00332930"/>
    <w:rsid w:val="00332B8A"/>
    <w:rsid w:val="00332B96"/>
    <w:rsid w:val="00332C3B"/>
    <w:rsid w:val="00333808"/>
    <w:rsid w:val="00333C9A"/>
    <w:rsid w:val="003347E2"/>
    <w:rsid w:val="00334EB3"/>
    <w:rsid w:val="00335057"/>
    <w:rsid w:val="00335463"/>
    <w:rsid w:val="0033567E"/>
    <w:rsid w:val="00335A0F"/>
    <w:rsid w:val="00335FA7"/>
    <w:rsid w:val="003365D2"/>
    <w:rsid w:val="00336828"/>
    <w:rsid w:val="00336A51"/>
    <w:rsid w:val="00337C9F"/>
    <w:rsid w:val="00337D08"/>
    <w:rsid w:val="003401D9"/>
    <w:rsid w:val="003403B9"/>
    <w:rsid w:val="003405C5"/>
    <w:rsid w:val="00340698"/>
    <w:rsid w:val="00340B65"/>
    <w:rsid w:val="00340CC2"/>
    <w:rsid w:val="003412E2"/>
    <w:rsid w:val="0034156D"/>
    <w:rsid w:val="003418B9"/>
    <w:rsid w:val="00341937"/>
    <w:rsid w:val="00341BB5"/>
    <w:rsid w:val="003423C6"/>
    <w:rsid w:val="0034247B"/>
    <w:rsid w:val="00342562"/>
    <w:rsid w:val="00342A5D"/>
    <w:rsid w:val="00343072"/>
    <w:rsid w:val="003431F8"/>
    <w:rsid w:val="00343244"/>
    <w:rsid w:val="00343A4D"/>
    <w:rsid w:val="003443F9"/>
    <w:rsid w:val="003444C3"/>
    <w:rsid w:val="00344862"/>
    <w:rsid w:val="00344BB4"/>
    <w:rsid w:val="00344C50"/>
    <w:rsid w:val="003453D3"/>
    <w:rsid w:val="00345C54"/>
    <w:rsid w:val="00345C8B"/>
    <w:rsid w:val="00345DC1"/>
    <w:rsid w:val="00346422"/>
    <w:rsid w:val="00346D8E"/>
    <w:rsid w:val="0034704A"/>
    <w:rsid w:val="003476DE"/>
    <w:rsid w:val="00347CF2"/>
    <w:rsid w:val="00347E5F"/>
    <w:rsid w:val="0035085F"/>
    <w:rsid w:val="00351038"/>
    <w:rsid w:val="003511C5"/>
    <w:rsid w:val="003517B9"/>
    <w:rsid w:val="0035187B"/>
    <w:rsid w:val="00351BB2"/>
    <w:rsid w:val="003523A4"/>
    <w:rsid w:val="00352B1B"/>
    <w:rsid w:val="00352BD5"/>
    <w:rsid w:val="00352C8F"/>
    <w:rsid w:val="00353097"/>
    <w:rsid w:val="0035383A"/>
    <w:rsid w:val="00353DBF"/>
    <w:rsid w:val="00353EEB"/>
    <w:rsid w:val="00353FDD"/>
    <w:rsid w:val="003543ED"/>
    <w:rsid w:val="0035481D"/>
    <w:rsid w:val="00354D1F"/>
    <w:rsid w:val="00355A25"/>
    <w:rsid w:val="00355C0F"/>
    <w:rsid w:val="00355EC9"/>
    <w:rsid w:val="00355FF4"/>
    <w:rsid w:val="003568DE"/>
    <w:rsid w:val="00356EE8"/>
    <w:rsid w:val="003578FB"/>
    <w:rsid w:val="003579EE"/>
    <w:rsid w:val="00357A2A"/>
    <w:rsid w:val="00357A30"/>
    <w:rsid w:val="00357A73"/>
    <w:rsid w:val="00357E06"/>
    <w:rsid w:val="00357FCB"/>
    <w:rsid w:val="00360295"/>
    <w:rsid w:val="003613A5"/>
    <w:rsid w:val="003617C7"/>
    <w:rsid w:val="00361A55"/>
    <w:rsid w:val="003624EA"/>
    <w:rsid w:val="0036291E"/>
    <w:rsid w:val="00362A65"/>
    <w:rsid w:val="00362ADD"/>
    <w:rsid w:val="00363026"/>
    <w:rsid w:val="00363153"/>
    <w:rsid w:val="003632E1"/>
    <w:rsid w:val="00363347"/>
    <w:rsid w:val="003635F0"/>
    <w:rsid w:val="00363BAC"/>
    <w:rsid w:val="00364537"/>
    <w:rsid w:val="0036495F"/>
    <w:rsid w:val="00364B82"/>
    <w:rsid w:val="00364B9B"/>
    <w:rsid w:val="00364D25"/>
    <w:rsid w:val="00364F5D"/>
    <w:rsid w:val="00365059"/>
    <w:rsid w:val="0036509C"/>
    <w:rsid w:val="00365520"/>
    <w:rsid w:val="00365608"/>
    <w:rsid w:val="003657B5"/>
    <w:rsid w:val="00365F6B"/>
    <w:rsid w:val="00366018"/>
    <w:rsid w:val="0036628D"/>
    <w:rsid w:val="003664B6"/>
    <w:rsid w:val="0036685C"/>
    <w:rsid w:val="00366957"/>
    <w:rsid w:val="00366CAD"/>
    <w:rsid w:val="00366F19"/>
    <w:rsid w:val="00367031"/>
    <w:rsid w:val="003670F3"/>
    <w:rsid w:val="003679D1"/>
    <w:rsid w:val="00367FCA"/>
    <w:rsid w:val="0037028D"/>
    <w:rsid w:val="003706B0"/>
    <w:rsid w:val="00370DF3"/>
    <w:rsid w:val="00370EED"/>
    <w:rsid w:val="00370FE0"/>
    <w:rsid w:val="003718C2"/>
    <w:rsid w:val="00371B09"/>
    <w:rsid w:val="00371DAD"/>
    <w:rsid w:val="00372147"/>
    <w:rsid w:val="00372431"/>
    <w:rsid w:val="003724B7"/>
    <w:rsid w:val="00372CB0"/>
    <w:rsid w:val="00372D8B"/>
    <w:rsid w:val="00372E6D"/>
    <w:rsid w:val="0037321E"/>
    <w:rsid w:val="00373428"/>
    <w:rsid w:val="0037415F"/>
    <w:rsid w:val="00374A14"/>
    <w:rsid w:val="00374FF0"/>
    <w:rsid w:val="003757BE"/>
    <w:rsid w:val="00375956"/>
    <w:rsid w:val="00376B57"/>
    <w:rsid w:val="00376B90"/>
    <w:rsid w:val="00377057"/>
    <w:rsid w:val="003774C2"/>
    <w:rsid w:val="003778E7"/>
    <w:rsid w:val="0038061D"/>
    <w:rsid w:val="00380DAD"/>
    <w:rsid w:val="00380DBD"/>
    <w:rsid w:val="00380F70"/>
    <w:rsid w:val="003812A7"/>
    <w:rsid w:val="0038132C"/>
    <w:rsid w:val="00381C90"/>
    <w:rsid w:val="00381D84"/>
    <w:rsid w:val="00381D99"/>
    <w:rsid w:val="00382099"/>
    <w:rsid w:val="00382228"/>
    <w:rsid w:val="00382F38"/>
    <w:rsid w:val="00382FF7"/>
    <w:rsid w:val="0038309A"/>
    <w:rsid w:val="0038358E"/>
    <w:rsid w:val="003837F9"/>
    <w:rsid w:val="00383E54"/>
    <w:rsid w:val="00383E65"/>
    <w:rsid w:val="00383FBA"/>
    <w:rsid w:val="00384674"/>
    <w:rsid w:val="00384919"/>
    <w:rsid w:val="003849D8"/>
    <w:rsid w:val="0038581E"/>
    <w:rsid w:val="00385FE4"/>
    <w:rsid w:val="00386539"/>
    <w:rsid w:val="003866E9"/>
    <w:rsid w:val="00386F35"/>
    <w:rsid w:val="0038768B"/>
    <w:rsid w:val="00387915"/>
    <w:rsid w:val="00387F8C"/>
    <w:rsid w:val="003904D4"/>
    <w:rsid w:val="00390EF9"/>
    <w:rsid w:val="0039109B"/>
    <w:rsid w:val="00391834"/>
    <w:rsid w:val="003919C9"/>
    <w:rsid w:val="00392233"/>
    <w:rsid w:val="00392481"/>
    <w:rsid w:val="0039251B"/>
    <w:rsid w:val="003929FB"/>
    <w:rsid w:val="00392D0B"/>
    <w:rsid w:val="00392D35"/>
    <w:rsid w:val="003931D2"/>
    <w:rsid w:val="003938AB"/>
    <w:rsid w:val="00393A0C"/>
    <w:rsid w:val="00393C0A"/>
    <w:rsid w:val="00393CA1"/>
    <w:rsid w:val="00394135"/>
    <w:rsid w:val="003943BA"/>
    <w:rsid w:val="003956A3"/>
    <w:rsid w:val="0039593B"/>
    <w:rsid w:val="00395977"/>
    <w:rsid w:val="00395B35"/>
    <w:rsid w:val="00395BD7"/>
    <w:rsid w:val="00395C9F"/>
    <w:rsid w:val="003968BD"/>
    <w:rsid w:val="00396A1E"/>
    <w:rsid w:val="00396B4D"/>
    <w:rsid w:val="00396F01"/>
    <w:rsid w:val="00396FB2"/>
    <w:rsid w:val="00397144"/>
    <w:rsid w:val="003971FC"/>
    <w:rsid w:val="00397337"/>
    <w:rsid w:val="00397489"/>
    <w:rsid w:val="00397D23"/>
    <w:rsid w:val="00397DDE"/>
    <w:rsid w:val="003A003B"/>
    <w:rsid w:val="003A00ED"/>
    <w:rsid w:val="003A060B"/>
    <w:rsid w:val="003A0639"/>
    <w:rsid w:val="003A081B"/>
    <w:rsid w:val="003A0A92"/>
    <w:rsid w:val="003A0F5B"/>
    <w:rsid w:val="003A1C88"/>
    <w:rsid w:val="003A1E02"/>
    <w:rsid w:val="003A2B52"/>
    <w:rsid w:val="003A2E69"/>
    <w:rsid w:val="003A3A9B"/>
    <w:rsid w:val="003A3CC6"/>
    <w:rsid w:val="003A3F50"/>
    <w:rsid w:val="003A43BC"/>
    <w:rsid w:val="003A44B2"/>
    <w:rsid w:val="003A498E"/>
    <w:rsid w:val="003A4DA0"/>
    <w:rsid w:val="003A4E8D"/>
    <w:rsid w:val="003A5001"/>
    <w:rsid w:val="003A5089"/>
    <w:rsid w:val="003A5791"/>
    <w:rsid w:val="003A5E28"/>
    <w:rsid w:val="003A630C"/>
    <w:rsid w:val="003A668C"/>
    <w:rsid w:val="003A6DC9"/>
    <w:rsid w:val="003A7592"/>
    <w:rsid w:val="003A79D2"/>
    <w:rsid w:val="003A7A55"/>
    <w:rsid w:val="003A7A60"/>
    <w:rsid w:val="003B02D5"/>
    <w:rsid w:val="003B0458"/>
    <w:rsid w:val="003B055A"/>
    <w:rsid w:val="003B06B1"/>
    <w:rsid w:val="003B08DC"/>
    <w:rsid w:val="003B0DE2"/>
    <w:rsid w:val="003B10A7"/>
    <w:rsid w:val="003B10C2"/>
    <w:rsid w:val="003B17D4"/>
    <w:rsid w:val="003B19A8"/>
    <w:rsid w:val="003B1B36"/>
    <w:rsid w:val="003B22EC"/>
    <w:rsid w:val="003B24A6"/>
    <w:rsid w:val="003B33B1"/>
    <w:rsid w:val="003B3466"/>
    <w:rsid w:val="003B37D1"/>
    <w:rsid w:val="003B398C"/>
    <w:rsid w:val="003B4147"/>
    <w:rsid w:val="003B42F7"/>
    <w:rsid w:val="003B4382"/>
    <w:rsid w:val="003B4DBD"/>
    <w:rsid w:val="003B50B0"/>
    <w:rsid w:val="003B55DA"/>
    <w:rsid w:val="003B607C"/>
    <w:rsid w:val="003B6962"/>
    <w:rsid w:val="003B6C53"/>
    <w:rsid w:val="003B6D6C"/>
    <w:rsid w:val="003B6E89"/>
    <w:rsid w:val="003B7190"/>
    <w:rsid w:val="003B71DE"/>
    <w:rsid w:val="003B7627"/>
    <w:rsid w:val="003B7EA6"/>
    <w:rsid w:val="003C0094"/>
    <w:rsid w:val="003C022D"/>
    <w:rsid w:val="003C0721"/>
    <w:rsid w:val="003C0FC7"/>
    <w:rsid w:val="003C135E"/>
    <w:rsid w:val="003C17FF"/>
    <w:rsid w:val="003C2680"/>
    <w:rsid w:val="003C27A7"/>
    <w:rsid w:val="003C2C11"/>
    <w:rsid w:val="003C2DC9"/>
    <w:rsid w:val="003C2EB3"/>
    <w:rsid w:val="003C361F"/>
    <w:rsid w:val="003C3C02"/>
    <w:rsid w:val="003C4AFD"/>
    <w:rsid w:val="003C5193"/>
    <w:rsid w:val="003C5FA7"/>
    <w:rsid w:val="003C66AD"/>
    <w:rsid w:val="003C6A66"/>
    <w:rsid w:val="003C6BA7"/>
    <w:rsid w:val="003C71BB"/>
    <w:rsid w:val="003C7310"/>
    <w:rsid w:val="003D038B"/>
    <w:rsid w:val="003D05BA"/>
    <w:rsid w:val="003D1531"/>
    <w:rsid w:val="003D1868"/>
    <w:rsid w:val="003D1B6F"/>
    <w:rsid w:val="003D23EF"/>
    <w:rsid w:val="003D245C"/>
    <w:rsid w:val="003D250C"/>
    <w:rsid w:val="003D272C"/>
    <w:rsid w:val="003D3B62"/>
    <w:rsid w:val="003D3FC0"/>
    <w:rsid w:val="003D4FB7"/>
    <w:rsid w:val="003D59D3"/>
    <w:rsid w:val="003D6144"/>
    <w:rsid w:val="003D622C"/>
    <w:rsid w:val="003E00ED"/>
    <w:rsid w:val="003E0789"/>
    <w:rsid w:val="003E0B61"/>
    <w:rsid w:val="003E0C86"/>
    <w:rsid w:val="003E178E"/>
    <w:rsid w:val="003E19CE"/>
    <w:rsid w:val="003E25B7"/>
    <w:rsid w:val="003E25C9"/>
    <w:rsid w:val="003E3800"/>
    <w:rsid w:val="003E39EF"/>
    <w:rsid w:val="003E3BFD"/>
    <w:rsid w:val="003E3D38"/>
    <w:rsid w:val="003E3E08"/>
    <w:rsid w:val="003E40BF"/>
    <w:rsid w:val="003E41AD"/>
    <w:rsid w:val="003E47E3"/>
    <w:rsid w:val="003E4A66"/>
    <w:rsid w:val="003E4F10"/>
    <w:rsid w:val="003E50BE"/>
    <w:rsid w:val="003E517E"/>
    <w:rsid w:val="003E579E"/>
    <w:rsid w:val="003E599C"/>
    <w:rsid w:val="003E65CF"/>
    <w:rsid w:val="003E66F3"/>
    <w:rsid w:val="003E6B53"/>
    <w:rsid w:val="003E6DA4"/>
    <w:rsid w:val="003E706D"/>
    <w:rsid w:val="003E73D3"/>
    <w:rsid w:val="003E7548"/>
    <w:rsid w:val="003E7666"/>
    <w:rsid w:val="003E7C9F"/>
    <w:rsid w:val="003E7DF0"/>
    <w:rsid w:val="003E7E3E"/>
    <w:rsid w:val="003F0016"/>
    <w:rsid w:val="003F0337"/>
    <w:rsid w:val="003F06B1"/>
    <w:rsid w:val="003F0984"/>
    <w:rsid w:val="003F0A39"/>
    <w:rsid w:val="003F0DFA"/>
    <w:rsid w:val="003F0E88"/>
    <w:rsid w:val="003F14F0"/>
    <w:rsid w:val="003F1558"/>
    <w:rsid w:val="003F1669"/>
    <w:rsid w:val="003F195C"/>
    <w:rsid w:val="003F2055"/>
    <w:rsid w:val="003F2458"/>
    <w:rsid w:val="003F2FB6"/>
    <w:rsid w:val="003F31ED"/>
    <w:rsid w:val="003F383B"/>
    <w:rsid w:val="003F38DE"/>
    <w:rsid w:val="003F3D20"/>
    <w:rsid w:val="003F3FCE"/>
    <w:rsid w:val="003F4365"/>
    <w:rsid w:val="003F4928"/>
    <w:rsid w:val="003F4A5D"/>
    <w:rsid w:val="003F4F5D"/>
    <w:rsid w:val="003F51A1"/>
    <w:rsid w:val="003F54D0"/>
    <w:rsid w:val="003F5633"/>
    <w:rsid w:val="003F5C66"/>
    <w:rsid w:val="003F65BB"/>
    <w:rsid w:val="003F6612"/>
    <w:rsid w:val="003F6922"/>
    <w:rsid w:val="003F79E9"/>
    <w:rsid w:val="003F7C8A"/>
    <w:rsid w:val="00400A68"/>
    <w:rsid w:val="00400AFE"/>
    <w:rsid w:val="00400DC1"/>
    <w:rsid w:val="00401CD7"/>
    <w:rsid w:val="00401F69"/>
    <w:rsid w:val="0040218C"/>
    <w:rsid w:val="004023A8"/>
    <w:rsid w:val="00402682"/>
    <w:rsid w:val="0040299B"/>
    <w:rsid w:val="00402B47"/>
    <w:rsid w:val="00402D03"/>
    <w:rsid w:val="00402DCF"/>
    <w:rsid w:val="00403949"/>
    <w:rsid w:val="00404449"/>
    <w:rsid w:val="00404466"/>
    <w:rsid w:val="004045B5"/>
    <w:rsid w:val="0040460A"/>
    <w:rsid w:val="00404941"/>
    <w:rsid w:val="00404F8C"/>
    <w:rsid w:val="004051D5"/>
    <w:rsid w:val="00405327"/>
    <w:rsid w:val="00405598"/>
    <w:rsid w:val="0040648A"/>
    <w:rsid w:val="0040694D"/>
    <w:rsid w:val="00406C19"/>
    <w:rsid w:val="00407327"/>
    <w:rsid w:val="00407537"/>
    <w:rsid w:val="00407801"/>
    <w:rsid w:val="00407B94"/>
    <w:rsid w:val="004105EF"/>
    <w:rsid w:val="004109DB"/>
    <w:rsid w:val="00411564"/>
    <w:rsid w:val="00411951"/>
    <w:rsid w:val="00412765"/>
    <w:rsid w:val="00412980"/>
    <w:rsid w:val="00412993"/>
    <w:rsid w:val="00412B53"/>
    <w:rsid w:val="00412BFE"/>
    <w:rsid w:val="00413151"/>
    <w:rsid w:val="0041367E"/>
    <w:rsid w:val="00413D9C"/>
    <w:rsid w:val="0041487D"/>
    <w:rsid w:val="00414921"/>
    <w:rsid w:val="00414B89"/>
    <w:rsid w:val="00415414"/>
    <w:rsid w:val="004154C9"/>
    <w:rsid w:val="00415A3B"/>
    <w:rsid w:val="00415A4A"/>
    <w:rsid w:val="00416680"/>
    <w:rsid w:val="00416A5A"/>
    <w:rsid w:val="00416B28"/>
    <w:rsid w:val="00416E6D"/>
    <w:rsid w:val="00417B91"/>
    <w:rsid w:val="00417B9F"/>
    <w:rsid w:val="00420017"/>
    <w:rsid w:val="00420371"/>
    <w:rsid w:val="004208E1"/>
    <w:rsid w:val="0042091D"/>
    <w:rsid w:val="00420D8C"/>
    <w:rsid w:val="00420E64"/>
    <w:rsid w:val="00421573"/>
    <w:rsid w:val="00421926"/>
    <w:rsid w:val="00421B71"/>
    <w:rsid w:val="00421D7B"/>
    <w:rsid w:val="004223A3"/>
    <w:rsid w:val="004224F3"/>
    <w:rsid w:val="00422534"/>
    <w:rsid w:val="00422D3D"/>
    <w:rsid w:val="0042354C"/>
    <w:rsid w:val="004238D5"/>
    <w:rsid w:val="00423D14"/>
    <w:rsid w:val="004244B6"/>
    <w:rsid w:val="004246DD"/>
    <w:rsid w:val="004247DD"/>
    <w:rsid w:val="00424D50"/>
    <w:rsid w:val="00425877"/>
    <w:rsid w:val="00425FA5"/>
    <w:rsid w:val="00426CBA"/>
    <w:rsid w:val="00426F96"/>
    <w:rsid w:val="0042733E"/>
    <w:rsid w:val="00427967"/>
    <w:rsid w:val="00427D52"/>
    <w:rsid w:val="00430560"/>
    <w:rsid w:val="00430640"/>
    <w:rsid w:val="00430822"/>
    <w:rsid w:val="004308D7"/>
    <w:rsid w:val="00430921"/>
    <w:rsid w:val="0043160B"/>
    <w:rsid w:val="0043167C"/>
    <w:rsid w:val="00431792"/>
    <w:rsid w:val="00431969"/>
    <w:rsid w:val="00431A5F"/>
    <w:rsid w:val="00431C6C"/>
    <w:rsid w:val="00432448"/>
    <w:rsid w:val="00432EBB"/>
    <w:rsid w:val="004333A9"/>
    <w:rsid w:val="0043341A"/>
    <w:rsid w:val="00433D85"/>
    <w:rsid w:val="00433EB6"/>
    <w:rsid w:val="00433FB5"/>
    <w:rsid w:val="00434544"/>
    <w:rsid w:val="00434561"/>
    <w:rsid w:val="004345F2"/>
    <w:rsid w:val="00434D1A"/>
    <w:rsid w:val="00434DD2"/>
    <w:rsid w:val="00434EAE"/>
    <w:rsid w:val="00434EC5"/>
    <w:rsid w:val="004353D2"/>
    <w:rsid w:val="00435812"/>
    <w:rsid w:val="00436348"/>
    <w:rsid w:val="00436BD8"/>
    <w:rsid w:val="004373B3"/>
    <w:rsid w:val="00437EEF"/>
    <w:rsid w:val="00437EFC"/>
    <w:rsid w:val="00440295"/>
    <w:rsid w:val="00440340"/>
    <w:rsid w:val="00440627"/>
    <w:rsid w:val="004408E1"/>
    <w:rsid w:val="00440F82"/>
    <w:rsid w:val="004415E7"/>
    <w:rsid w:val="00441AF3"/>
    <w:rsid w:val="00441C6A"/>
    <w:rsid w:val="00441E0F"/>
    <w:rsid w:val="00442614"/>
    <w:rsid w:val="00442F6E"/>
    <w:rsid w:val="00443044"/>
    <w:rsid w:val="004431A7"/>
    <w:rsid w:val="00443FC0"/>
    <w:rsid w:val="00444228"/>
    <w:rsid w:val="0044494F"/>
    <w:rsid w:val="00444D7D"/>
    <w:rsid w:val="00445015"/>
    <w:rsid w:val="00446331"/>
    <w:rsid w:val="00446809"/>
    <w:rsid w:val="004472AC"/>
    <w:rsid w:val="00447585"/>
    <w:rsid w:val="004475B2"/>
    <w:rsid w:val="00447709"/>
    <w:rsid w:val="00447DB8"/>
    <w:rsid w:val="00447DBE"/>
    <w:rsid w:val="00447E6D"/>
    <w:rsid w:val="004500DD"/>
    <w:rsid w:val="004505C7"/>
    <w:rsid w:val="004508B7"/>
    <w:rsid w:val="00451153"/>
    <w:rsid w:val="004513C3"/>
    <w:rsid w:val="00451B6D"/>
    <w:rsid w:val="00452286"/>
    <w:rsid w:val="0045243E"/>
    <w:rsid w:val="00452E06"/>
    <w:rsid w:val="00452EC7"/>
    <w:rsid w:val="00453619"/>
    <w:rsid w:val="00453BE3"/>
    <w:rsid w:val="00454330"/>
    <w:rsid w:val="0045479F"/>
    <w:rsid w:val="0045515F"/>
    <w:rsid w:val="0045544E"/>
    <w:rsid w:val="004555E3"/>
    <w:rsid w:val="00455B8A"/>
    <w:rsid w:val="00455DC9"/>
    <w:rsid w:val="00455EC5"/>
    <w:rsid w:val="0045611A"/>
    <w:rsid w:val="0045619B"/>
    <w:rsid w:val="004562D9"/>
    <w:rsid w:val="00456DAF"/>
    <w:rsid w:val="004577AB"/>
    <w:rsid w:val="00457A67"/>
    <w:rsid w:val="00457A80"/>
    <w:rsid w:val="004600B5"/>
    <w:rsid w:val="00460A04"/>
    <w:rsid w:val="0046138A"/>
    <w:rsid w:val="00461834"/>
    <w:rsid w:val="004618D8"/>
    <w:rsid w:val="00461EBD"/>
    <w:rsid w:val="00462007"/>
    <w:rsid w:val="00462462"/>
    <w:rsid w:val="004624E3"/>
    <w:rsid w:val="00462515"/>
    <w:rsid w:val="00462AB6"/>
    <w:rsid w:val="0046319E"/>
    <w:rsid w:val="004635F5"/>
    <w:rsid w:val="00463F01"/>
    <w:rsid w:val="004641E4"/>
    <w:rsid w:val="004642A9"/>
    <w:rsid w:val="00464679"/>
    <w:rsid w:val="00464847"/>
    <w:rsid w:val="00464C03"/>
    <w:rsid w:val="00464E34"/>
    <w:rsid w:val="004653E7"/>
    <w:rsid w:val="00465539"/>
    <w:rsid w:val="0046555D"/>
    <w:rsid w:val="00465CF2"/>
    <w:rsid w:val="00465E56"/>
    <w:rsid w:val="00466166"/>
    <w:rsid w:val="0046742D"/>
    <w:rsid w:val="0046750C"/>
    <w:rsid w:val="004677A9"/>
    <w:rsid w:val="004678FD"/>
    <w:rsid w:val="00467F6F"/>
    <w:rsid w:val="00470632"/>
    <w:rsid w:val="0047086D"/>
    <w:rsid w:val="00470E05"/>
    <w:rsid w:val="00470FBD"/>
    <w:rsid w:val="00471016"/>
    <w:rsid w:val="00471183"/>
    <w:rsid w:val="00471846"/>
    <w:rsid w:val="00471F4A"/>
    <w:rsid w:val="004721E7"/>
    <w:rsid w:val="00472310"/>
    <w:rsid w:val="00472671"/>
    <w:rsid w:val="00473E48"/>
    <w:rsid w:val="00474294"/>
    <w:rsid w:val="00474DA9"/>
    <w:rsid w:val="0047527B"/>
    <w:rsid w:val="004752F1"/>
    <w:rsid w:val="00475AEC"/>
    <w:rsid w:val="00475BDD"/>
    <w:rsid w:val="00475C3E"/>
    <w:rsid w:val="00476D6E"/>
    <w:rsid w:val="00476FF3"/>
    <w:rsid w:val="004775FD"/>
    <w:rsid w:val="00477EE1"/>
    <w:rsid w:val="00480543"/>
    <w:rsid w:val="00480B12"/>
    <w:rsid w:val="0048120E"/>
    <w:rsid w:val="00481337"/>
    <w:rsid w:val="00481353"/>
    <w:rsid w:val="004819FA"/>
    <w:rsid w:val="00481A41"/>
    <w:rsid w:val="00481D97"/>
    <w:rsid w:val="0048209C"/>
    <w:rsid w:val="004834E0"/>
    <w:rsid w:val="004840E6"/>
    <w:rsid w:val="0048497A"/>
    <w:rsid w:val="0048510F"/>
    <w:rsid w:val="004852D4"/>
    <w:rsid w:val="00485696"/>
    <w:rsid w:val="00485A12"/>
    <w:rsid w:val="00485AC6"/>
    <w:rsid w:val="00485B51"/>
    <w:rsid w:val="00485EE3"/>
    <w:rsid w:val="00485FD5"/>
    <w:rsid w:val="0048618A"/>
    <w:rsid w:val="00486579"/>
    <w:rsid w:val="00486624"/>
    <w:rsid w:val="00486BDF"/>
    <w:rsid w:val="00486C14"/>
    <w:rsid w:val="00486F9A"/>
    <w:rsid w:val="0048728E"/>
    <w:rsid w:val="004875A7"/>
    <w:rsid w:val="004878EF"/>
    <w:rsid w:val="00487A2A"/>
    <w:rsid w:val="00487CA8"/>
    <w:rsid w:val="0049030F"/>
    <w:rsid w:val="004906D4"/>
    <w:rsid w:val="00490BFE"/>
    <w:rsid w:val="00490FBB"/>
    <w:rsid w:val="0049126C"/>
    <w:rsid w:val="004912E9"/>
    <w:rsid w:val="00491BB5"/>
    <w:rsid w:val="00491D4F"/>
    <w:rsid w:val="00491E3D"/>
    <w:rsid w:val="00491E90"/>
    <w:rsid w:val="00491EF5"/>
    <w:rsid w:val="00492434"/>
    <w:rsid w:val="00492FC6"/>
    <w:rsid w:val="00493E1B"/>
    <w:rsid w:val="00493E40"/>
    <w:rsid w:val="00493F73"/>
    <w:rsid w:val="00494310"/>
    <w:rsid w:val="0049451F"/>
    <w:rsid w:val="00494591"/>
    <w:rsid w:val="004946FF"/>
    <w:rsid w:val="004947FA"/>
    <w:rsid w:val="00494B88"/>
    <w:rsid w:val="00494BEB"/>
    <w:rsid w:val="00494D20"/>
    <w:rsid w:val="00495156"/>
    <w:rsid w:val="00495529"/>
    <w:rsid w:val="00495627"/>
    <w:rsid w:val="0049573E"/>
    <w:rsid w:val="004959C4"/>
    <w:rsid w:val="00495F21"/>
    <w:rsid w:val="00496450"/>
    <w:rsid w:val="004967D7"/>
    <w:rsid w:val="004969F3"/>
    <w:rsid w:val="00496B60"/>
    <w:rsid w:val="00497956"/>
    <w:rsid w:val="00497AA2"/>
    <w:rsid w:val="00497EF2"/>
    <w:rsid w:val="004A0521"/>
    <w:rsid w:val="004A05BC"/>
    <w:rsid w:val="004A0D83"/>
    <w:rsid w:val="004A10AF"/>
    <w:rsid w:val="004A133C"/>
    <w:rsid w:val="004A1CC3"/>
    <w:rsid w:val="004A1E7C"/>
    <w:rsid w:val="004A1FF8"/>
    <w:rsid w:val="004A2DD2"/>
    <w:rsid w:val="004A3378"/>
    <w:rsid w:val="004A34D4"/>
    <w:rsid w:val="004A36EB"/>
    <w:rsid w:val="004A381C"/>
    <w:rsid w:val="004A3B80"/>
    <w:rsid w:val="004A4542"/>
    <w:rsid w:val="004A45A4"/>
    <w:rsid w:val="004A4D58"/>
    <w:rsid w:val="004A58AA"/>
    <w:rsid w:val="004A5911"/>
    <w:rsid w:val="004A5D09"/>
    <w:rsid w:val="004A6BA2"/>
    <w:rsid w:val="004A6DC5"/>
    <w:rsid w:val="004A7433"/>
    <w:rsid w:val="004A7479"/>
    <w:rsid w:val="004A7544"/>
    <w:rsid w:val="004A7EDA"/>
    <w:rsid w:val="004B007B"/>
    <w:rsid w:val="004B04DF"/>
    <w:rsid w:val="004B0A36"/>
    <w:rsid w:val="004B0A82"/>
    <w:rsid w:val="004B0BDC"/>
    <w:rsid w:val="004B0C39"/>
    <w:rsid w:val="004B1699"/>
    <w:rsid w:val="004B1C8D"/>
    <w:rsid w:val="004B214C"/>
    <w:rsid w:val="004B2638"/>
    <w:rsid w:val="004B2989"/>
    <w:rsid w:val="004B2BD6"/>
    <w:rsid w:val="004B308E"/>
    <w:rsid w:val="004B3729"/>
    <w:rsid w:val="004B3EC4"/>
    <w:rsid w:val="004B419E"/>
    <w:rsid w:val="004B424C"/>
    <w:rsid w:val="004B4557"/>
    <w:rsid w:val="004B465F"/>
    <w:rsid w:val="004B4692"/>
    <w:rsid w:val="004B48B7"/>
    <w:rsid w:val="004B4ED5"/>
    <w:rsid w:val="004B54B5"/>
    <w:rsid w:val="004B55CD"/>
    <w:rsid w:val="004B5816"/>
    <w:rsid w:val="004B58D7"/>
    <w:rsid w:val="004B58EA"/>
    <w:rsid w:val="004B5BE3"/>
    <w:rsid w:val="004B60E8"/>
    <w:rsid w:val="004B651A"/>
    <w:rsid w:val="004B767D"/>
    <w:rsid w:val="004B79CB"/>
    <w:rsid w:val="004B7A87"/>
    <w:rsid w:val="004B7BF9"/>
    <w:rsid w:val="004C0076"/>
    <w:rsid w:val="004C0D25"/>
    <w:rsid w:val="004C1279"/>
    <w:rsid w:val="004C1360"/>
    <w:rsid w:val="004C13D9"/>
    <w:rsid w:val="004C160F"/>
    <w:rsid w:val="004C19C4"/>
    <w:rsid w:val="004C1D99"/>
    <w:rsid w:val="004C1E4E"/>
    <w:rsid w:val="004C22BA"/>
    <w:rsid w:val="004C2B1D"/>
    <w:rsid w:val="004C2C5E"/>
    <w:rsid w:val="004C3228"/>
    <w:rsid w:val="004C3229"/>
    <w:rsid w:val="004C35BF"/>
    <w:rsid w:val="004C4209"/>
    <w:rsid w:val="004C4736"/>
    <w:rsid w:val="004C4B67"/>
    <w:rsid w:val="004C4BC6"/>
    <w:rsid w:val="004C4EBA"/>
    <w:rsid w:val="004C56AE"/>
    <w:rsid w:val="004C58E5"/>
    <w:rsid w:val="004C5944"/>
    <w:rsid w:val="004C5B7F"/>
    <w:rsid w:val="004C5ED3"/>
    <w:rsid w:val="004C5EF6"/>
    <w:rsid w:val="004C610F"/>
    <w:rsid w:val="004C648C"/>
    <w:rsid w:val="004C67DE"/>
    <w:rsid w:val="004C7425"/>
    <w:rsid w:val="004C7458"/>
    <w:rsid w:val="004C748C"/>
    <w:rsid w:val="004C762D"/>
    <w:rsid w:val="004C7653"/>
    <w:rsid w:val="004C7D54"/>
    <w:rsid w:val="004D012E"/>
    <w:rsid w:val="004D036E"/>
    <w:rsid w:val="004D072A"/>
    <w:rsid w:val="004D0954"/>
    <w:rsid w:val="004D0A7F"/>
    <w:rsid w:val="004D0DDC"/>
    <w:rsid w:val="004D0FA8"/>
    <w:rsid w:val="004D1172"/>
    <w:rsid w:val="004D1360"/>
    <w:rsid w:val="004D1416"/>
    <w:rsid w:val="004D1487"/>
    <w:rsid w:val="004D16EE"/>
    <w:rsid w:val="004D1927"/>
    <w:rsid w:val="004D1A93"/>
    <w:rsid w:val="004D1D65"/>
    <w:rsid w:val="004D221E"/>
    <w:rsid w:val="004D23D0"/>
    <w:rsid w:val="004D2B90"/>
    <w:rsid w:val="004D2D23"/>
    <w:rsid w:val="004D2FDE"/>
    <w:rsid w:val="004D3099"/>
    <w:rsid w:val="004D3679"/>
    <w:rsid w:val="004D41BC"/>
    <w:rsid w:val="004D4D31"/>
    <w:rsid w:val="004D54EB"/>
    <w:rsid w:val="004D5721"/>
    <w:rsid w:val="004D5F45"/>
    <w:rsid w:val="004D616C"/>
    <w:rsid w:val="004D7470"/>
    <w:rsid w:val="004D77B6"/>
    <w:rsid w:val="004D78B5"/>
    <w:rsid w:val="004E0132"/>
    <w:rsid w:val="004E0312"/>
    <w:rsid w:val="004E04AE"/>
    <w:rsid w:val="004E0514"/>
    <w:rsid w:val="004E09D9"/>
    <w:rsid w:val="004E0ACC"/>
    <w:rsid w:val="004E20F7"/>
    <w:rsid w:val="004E2392"/>
    <w:rsid w:val="004E284C"/>
    <w:rsid w:val="004E28C6"/>
    <w:rsid w:val="004E3100"/>
    <w:rsid w:val="004E3478"/>
    <w:rsid w:val="004E3ABF"/>
    <w:rsid w:val="004E3B06"/>
    <w:rsid w:val="004E3F0C"/>
    <w:rsid w:val="004E4431"/>
    <w:rsid w:val="004E45EC"/>
    <w:rsid w:val="004E4CCA"/>
    <w:rsid w:val="004E4D60"/>
    <w:rsid w:val="004E4F4F"/>
    <w:rsid w:val="004E50E6"/>
    <w:rsid w:val="004E5316"/>
    <w:rsid w:val="004E5485"/>
    <w:rsid w:val="004E56EA"/>
    <w:rsid w:val="004E5806"/>
    <w:rsid w:val="004E5ED9"/>
    <w:rsid w:val="004E5EEF"/>
    <w:rsid w:val="004E70D1"/>
    <w:rsid w:val="004F0481"/>
    <w:rsid w:val="004F075C"/>
    <w:rsid w:val="004F084A"/>
    <w:rsid w:val="004F143D"/>
    <w:rsid w:val="004F193E"/>
    <w:rsid w:val="004F28A0"/>
    <w:rsid w:val="004F2F59"/>
    <w:rsid w:val="004F2FDC"/>
    <w:rsid w:val="004F31C2"/>
    <w:rsid w:val="004F3957"/>
    <w:rsid w:val="004F3E29"/>
    <w:rsid w:val="004F415E"/>
    <w:rsid w:val="004F42D0"/>
    <w:rsid w:val="004F4703"/>
    <w:rsid w:val="004F4794"/>
    <w:rsid w:val="004F4C51"/>
    <w:rsid w:val="004F504A"/>
    <w:rsid w:val="004F517B"/>
    <w:rsid w:val="004F567A"/>
    <w:rsid w:val="004F5C27"/>
    <w:rsid w:val="004F5E57"/>
    <w:rsid w:val="004F6546"/>
    <w:rsid w:val="004F674C"/>
    <w:rsid w:val="004F69D2"/>
    <w:rsid w:val="004F6A2C"/>
    <w:rsid w:val="004F7872"/>
    <w:rsid w:val="004F7BC2"/>
    <w:rsid w:val="004F7D7B"/>
    <w:rsid w:val="00500994"/>
    <w:rsid w:val="00500DAB"/>
    <w:rsid w:val="00501629"/>
    <w:rsid w:val="0050198A"/>
    <w:rsid w:val="00501D1C"/>
    <w:rsid w:val="00502293"/>
    <w:rsid w:val="0050273F"/>
    <w:rsid w:val="0050276B"/>
    <w:rsid w:val="005027BB"/>
    <w:rsid w:val="00502885"/>
    <w:rsid w:val="00502A7A"/>
    <w:rsid w:val="00502D0B"/>
    <w:rsid w:val="0050355E"/>
    <w:rsid w:val="00503D33"/>
    <w:rsid w:val="00503DAD"/>
    <w:rsid w:val="00503FCD"/>
    <w:rsid w:val="00504EF5"/>
    <w:rsid w:val="00506411"/>
    <w:rsid w:val="0050652C"/>
    <w:rsid w:val="00507B1C"/>
    <w:rsid w:val="00510B90"/>
    <w:rsid w:val="00511096"/>
    <w:rsid w:val="005110EB"/>
    <w:rsid w:val="00511632"/>
    <w:rsid w:val="005119D5"/>
    <w:rsid w:val="00511A0B"/>
    <w:rsid w:val="00511F80"/>
    <w:rsid w:val="00512220"/>
    <w:rsid w:val="005129CA"/>
    <w:rsid w:val="00512A97"/>
    <w:rsid w:val="00512FDE"/>
    <w:rsid w:val="005134E6"/>
    <w:rsid w:val="00514C5C"/>
    <w:rsid w:val="00515379"/>
    <w:rsid w:val="00515466"/>
    <w:rsid w:val="0051559D"/>
    <w:rsid w:val="005155D9"/>
    <w:rsid w:val="00516D6A"/>
    <w:rsid w:val="00516F26"/>
    <w:rsid w:val="00516FC0"/>
    <w:rsid w:val="005170B6"/>
    <w:rsid w:val="00517680"/>
    <w:rsid w:val="00517E12"/>
    <w:rsid w:val="005201C9"/>
    <w:rsid w:val="005203EE"/>
    <w:rsid w:val="00520451"/>
    <w:rsid w:val="0052048E"/>
    <w:rsid w:val="00520FF4"/>
    <w:rsid w:val="0052119A"/>
    <w:rsid w:val="00521728"/>
    <w:rsid w:val="005222EA"/>
    <w:rsid w:val="00522A0A"/>
    <w:rsid w:val="00522A1F"/>
    <w:rsid w:val="00523463"/>
    <w:rsid w:val="00523725"/>
    <w:rsid w:val="005239C3"/>
    <w:rsid w:val="00523BAC"/>
    <w:rsid w:val="00523D43"/>
    <w:rsid w:val="005240D5"/>
    <w:rsid w:val="00524618"/>
    <w:rsid w:val="00524E8F"/>
    <w:rsid w:val="005255EF"/>
    <w:rsid w:val="0052565B"/>
    <w:rsid w:val="00525797"/>
    <w:rsid w:val="00525D50"/>
    <w:rsid w:val="00525EAC"/>
    <w:rsid w:val="0052612F"/>
    <w:rsid w:val="00526A40"/>
    <w:rsid w:val="00526AF3"/>
    <w:rsid w:val="00526D8B"/>
    <w:rsid w:val="005270A8"/>
    <w:rsid w:val="005276BF"/>
    <w:rsid w:val="00527898"/>
    <w:rsid w:val="0053006D"/>
    <w:rsid w:val="005301B3"/>
    <w:rsid w:val="005313E5"/>
    <w:rsid w:val="005317EF"/>
    <w:rsid w:val="00531878"/>
    <w:rsid w:val="0053240D"/>
    <w:rsid w:val="00532484"/>
    <w:rsid w:val="0053270A"/>
    <w:rsid w:val="0053315E"/>
    <w:rsid w:val="005333CA"/>
    <w:rsid w:val="005334A0"/>
    <w:rsid w:val="005335AD"/>
    <w:rsid w:val="00533E17"/>
    <w:rsid w:val="0053422C"/>
    <w:rsid w:val="00534B49"/>
    <w:rsid w:val="00534F26"/>
    <w:rsid w:val="005359FF"/>
    <w:rsid w:val="00535A86"/>
    <w:rsid w:val="005366F8"/>
    <w:rsid w:val="00537679"/>
    <w:rsid w:val="00537813"/>
    <w:rsid w:val="00537AA3"/>
    <w:rsid w:val="00537C50"/>
    <w:rsid w:val="00540102"/>
    <w:rsid w:val="0054023F"/>
    <w:rsid w:val="0054040C"/>
    <w:rsid w:val="005405E6"/>
    <w:rsid w:val="00540DA1"/>
    <w:rsid w:val="00540FFD"/>
    <w:rsid w:val="0054166E"/>
    <w:rsid w:val="005417BE"/>
    <w:rsid w:val="0054190D"/>
    <w:rsid w:val="00541B24"/>
    <w:rsid w:val="0054217F"/>
    <w:rsid w:val="00542AB5"/>
    <w:rsid w:val="00543567"/>
    <w:rsid w:val="0054393B"/>
    <w:rsid w:val="0054399B"/>
    <w:rsid w:val="00544025"/>
    <w:rsid w:val="005447A9"/>
    <w:rsid w:val="00544814"/>
    <w:rsid w:val="0054481C"/>
    <w:rsid w:val="005448B5"/>
    <w:rsid w:val="00544961"/>
    <w:rsid w:val="005451C8"/>
    <w:rsid w:val="005453C7"/>
    <w:rsid w:val="0054560D"/>
    <w:rsid w:val="0054571F"/>
    <w:rsid w:val="00545BE1"/>
    <w:rsid w:val="005464CB"/>
    <w:rsid w:val="00546873"/>
    <w:rsid w:val="0054693A"/>
    <w:rsid w:val="005470A7"/>
    <w:rsid w:val="005479CE"/>
    <w:rsid w:val="00547ECE"/>
    <w:rsid w:val="00550BAD"/>
    <w:rsid w:val="00551BDE"/>
    <w:rsid w:val="00552AB9"/>
    <w:rsid w:val="00552DE3"/>
    <w:rsid w:val="00552E23"/>
    <w:rsid w:val="00553244"/>
    <w:rsid w:val="005537AB"/>
    <w:rsid w:val="00553E3A"/>
    <w:rsid w:val="00554074"/>
    <w:rsid w:val="00554411"/>
    <w:rsid w:val="00554C1F"/>
    <w:rsid w:val="005555FA"/>
    <w:rsid w:val="00555860"/>
    <w:rsid w:val="00555A57"/>
    <w:rsid w:val="00556BE6"/>
    <w:rsid w:val="00556C26"/>
    <w:rsid w:val="0055720B"/>
    <w:rsid w:val="0055754B"/>
    <w:rsid w:val="005575C6"/>
    <w:rsid w:val="00557CC2"/>
    <w:rsid w:val="00560219"/>
    <w:rsid w:val="00560377"/>
    <w:rsid w:val="00560739"/>
    <w:rsid w:val="00560A58"/>
    <w:rsid w:val="00561116"/>
    <w:rsid w:val="00561C83"/>
    <w:rsid w:val="00561D35"/>
    <w:rsid w:val="005622FE"/>
    <w:rsid w:val="00562A64"/>
    <w:rsid w:val="00562DD2"/>
    <w:rsid w:val="00563004"/>
    <w:rsid w:val="0056367E"/>
    <w:rsid w:val="005637C4"/>
    <w:rsid w:val="00563C30"/>
    <w:rsid w:val="00565289"/>
    <w:rsid w:val="0056529E"/>
    <w:rsid w:val="00565FBB"/>
    <w:rsid w:val="00566107"/>
    <w:rsid w:val="0056620B"/>
    <w:rsid w:val="005663F9"/>
    <w:rsid w:val="0056645A"/>
    <w:rsid w:val="00566657"/>
    <w:rsid w:val="00566721"/>
    <w:rsid w:val="005667A5"/>
    <w:rsid w:val="00566BDE"/>
    <w:rsid w:val="00566C77"/>
    <w:rsid w:val="00566E19"/>
    <w:rsid w:val="00566F5A"/>
    <w:rsid w:val="005672AE"/>
    <w:rsid w:val="00567333"/>
    <w:rsid w:val="00567710"/>
    <w:rsid w:val="00571327"/>
    <w:rsid w:val="005716BD"/>
    <w:rsid w:val="005716ED"/>
    <w:rsid w:val="005718FE"/>
    <w:rsid w:val="0057195A"/>
    <w:rsid w:val="00572586"/>
    <w:rsid w:val="00572B01"/>
    <w:rsid w:val="00572BAB"/>
    <w:rsid w:val="00572DA9"/>
    <w:rsid w:val="00573110"/>
    <w:rsid w:val="0057334A"/>
    <w:rsid w:val="005733B3"/>
    <w:rsid w:val="0057342A"/>
    <w:rsid w:val="0057399B"/>
    <w:rsid w:val="00573EE0"/>
    <w:rsid w:val="00574A25"/>
    <w:rsid w:val="00574C6C"/>
    <w:rsid w:val="005754F3"/>
    <w:rsid w:val="005758FE"/>
    <w:rsid w:val="00575E2C"/>
    <w:rsid w:val="00576146"/>
    <w:rsid w:val="005762AE"/>
    <w:rsid w:val="005766B0"/>
    <w:rsid w:val="005768F6"/>
    <w:rsid w:val="00576E44"/>
    <w:rsid w:val="00576F4F"/>
    <w:rsid w:val="005771DC"/>
    <w:rsid w:val="00577229"/>
    <w:rsid w:val="005773B5"/>
    <w:rsid w:val="00577783"/>
    <w:rsid w:val="00577DBC"/>
    <w:rsid w:val="00580047"/>
    <w:rsid w:val="00580412"/>
    <w:rsid w:val="00580537"/>
    <w:rsid w:val="00580C2D"/>
    <w:rsid w:val="00580D6D"/>
    <w:rsid w:val="00581095"/>
    <w:rsid w:val="00581127"/>
    <w:rsid w:val="00581582"/>
    <w:rsid w:val="00581600"/>
    <w:rsid w:val="005817D6"/>
    <w:rsid w:val="005818D0"/>
    <w:rsid w:val="005818FA"/>
    <w:rsid w:val="00581C88"/>
    <w:rsid w:val="00581C99"/>
    <w:rsid w:val="00581CFB"/>
    <w:rsid w:val="00581F14"/>
    <w:rsid w:val="0058229B"/>
    <w:rsid w:val="00582324"/>
    <w:rsid w:val="00582794"/>
    <w:rsid w:val="0058291D"/>
    <w:rsid w:val="00582CA5"/>
    <w:rsid w:val="00582F9E"/>
    <w:rsid w:val="005838CB"/>
    <w:rsid w:val="00583900"/>
    <w:rsid w:val="00583D20"/>
    <w:rsid w:val="00583F32"/>
    <w:rsid w:val="00583FB9"/>
    <w:rsid w:val="00584339"/>
    <w:rsid w:val="00584DDE"/>
    <w:rsid w:val="00585458"/>
    <w:rsid w:val="00585901"/>
    <w:rsid w:val="0058594D"/>
    <w:rsid w:val="00585B83"/>
    <w:rsid w:val="00585C08"/>
    <w:rsid w:val="00585CF7"/>
    <w:rsid w:val="00585DA9"/>
    <w:rsid w:val="00585DB4"/>
    <w:rsid w:val="00585E24"/>
    <w:rsid w:val="00586498"/>
    <w:rsid w:val="00587190"/>
    <w:rsid w:val="00587CC8"/>
    <w:rsid w:val="00590468"/>
    <w:rsid w:val="00590B41"/>
    <w:rsid w:val="00590D09"/>
    <w:rsid w:val="00591D02"/>
    <w:rsid w:val="00592719"/>
    <w:rsid w:val="0059271E"/>
    <w:rsid w:val="005928FB"/>
    <w:rsid w:val="00592A72"/>
    <w:rsid w:val="00592AB2"/>
    <w:rsid w:val="00593328"/>
    <w:rsid w:val="005938FD"/>
    <w:rsid w:val="00593AF2"/>
    <w:rsid w:val="00593F83"/>
    <w:rsid w:val="00594080"/>
    <w:rsid w:val="0059416C"/>
    <w:rsid w:val="005945A0"/>
    <w:rsid w:val="005947F6"/>
    <w:rsid w:val="005952BC"/>
    <w:rsid w:val="00596268"/>
    <w:rsid w:val="0059673E"/>
    <w:rsid w:val="00596ABB"/>
    <w:rsid w:val="00596FA6"/>
    <w:rsid w:val="0059714B"/>
    <w:rsid w:val="0059755C"/>
    <w:rsid w:val="005979A3"/>
    <w:rsid w:val="005A022D"/>
    <w:rsid w:val="005A0370"/>
    <w:rsid w:val="005A0396"/>
    <w:rsid w:val="005A05DC"/>
    <w:rsid w:val="005A0C40"/>
    <w:rsid w:val="005A0D50"/>
    <w:rsid w:val="005A189B"/>
    <w:rsid w:val="005A1BF2"/>
    <w:rsid w:val="005A2056"/>
    <w:rsid w:val="005A2081"/>
    <w:rsid w:val="005A20C2"/>
    <w:rsid w:val="005A218C"/>
    <w:rsid w:val="005A2730"/>
    <w:rsid w:val="005A29F4"/>
    <w:rsid w:val="005A2E3C"/>
    <w:rsid w:val="005A339D"/>
    <w:rsid w:val="005A39F2"/>
    <w:rsid w:val="005A3E5F"/>
    <w:rsid w:val="005A3EB2"/>
    <w:rsid w:val="005A4311"/>
    <w:rsid w:val="005A4A63"/>
    <w:rsid w:val="005A64C5"/>
    <w:rsid w:val="005A6AAB"/>
    <w:rsid w:val="005A76BE"/>
    <w:rsid w:val="005A7CBB"/>
    <w:rsid w:val="005A7D54"/>
    <w:rsid w:val="005A7D94"/>
    <w:rsid w:val="005B0BD2"/>
    <w:rsid w:val="005B0C6A"/>
    <w:rsid w:val="005B1198"/>
    <w:rsid w:val="005B1323"/>
    <w:rsid w:val="005B14A1"/>
    <w:rsid w:val="005B1561"/>
    <w:rsid w:val="005B177A"/>
    <w:rsid w:val="005B18E8"/>
    <w:rsid w:val="005B1B6A"/>
    <w:rsid w:val="005B1BF2"/>
    <w:rsid w:val="005B1E76"/>
    <w:rsid w:val="005B1EC8"/>
    <w:rsid w:val="005B1F28"/>
    <w:rsid w:val="005B227D"/>
    <w:rsid w:val="005B2ECA"/>
    <w:rsid w:val="005B3261"/>
    <w:rsid w:val="005B3368"/>
    <w:rsid w:val="005B35CF"/>
    <w:rsid w:val="005B38A4"/>
    <w:rsid w:val="005B38FD"/>
    <w:rsid w:val="005B3955"/>
    <w:rsid w:val="005B3B63"/>
    <w:rsid w:val="005B3C26"/>
    <w:rsid w:val="005B3DDC"/>
    <w:rsid w:val="005B4DBA"/>
    <w:rsid w:val="005B4FB9"/>
    <w:rsid w:val="005B549C"/>
    <w:rsid w:val="005B5651"/>
    <w:rsid w:val="005B5715"/>
    <w:rsid w:val="005B5A77"/>
    <w:rsid w:val="005B6357"/>
    <w:rsid w:val="005B6A27"/>
    <w:rsid w:val="005B70B4"/>
    <w:rsid w:val="005C0947"/>
    <w:rsid w:val="005C0CC7"/>
    <w:rsid w:val="005C0DA0"/>
    <w:rsid w:val="005C0ED3"/>
    <w:rsid w:val="005C1A6B"/>
    <w:rsid w:val="005C1A90"/>
    <w:rsid w:val="005C1D4E"/>
    <w:rsid w:val="005C1E1F"/>
    <w:rsid w:val="005C22C4"/>
    <w:rsid w:val="005C2354"/>
    <w:rsid w:val="005C23C9"/>
    <w:rsid w:val="005C24C6"/>
    <w:rsid w:val="005C27B1"/>
    <w:rsid w:val="005C2BC6"/>
    <w:rsid w:val="005C2D7A"/>
    <w:rsid w:val="005C2EBB"/>
    <w:rsid w:val="005C33A2"/>
    <w:rsid w:val="005C3D4F"/>
    <w:rsid w:val="005C42D6"/>
    <w:rsid w:val="005C48BD"/>
    <w:rsid w:val="005C4B38"/>
    <w:rsid w:val="005C50DB"/>
    <w:rsid w:val="005C53C6"/>
    <w:rsid w:val="005C53F3"/>
    <w:rsid w:val="005C543F"/>
    <w:rsid w:val="005C5799"/>
    <w:rsid w:val="005C5A61"/>
    <w:rsid w:val="005C5B80"/>
    <w:rsid w:val="005C61C9"/>
    <w:rsid w:val="005C6A95"/>
    <w:rsid w:val="005C6C64"/>
    <w:rsid w:val="005C72DD"/>
    <w:rsid w:val="005C7E6B"/>
    <w:rsid w:val="005D01D5"/>
    <w:rsid w:val="005D027D"/>
    <w:rsid w:val="005D05E1"/>
    <w:rsid w:val="005D0778"/>
    <w:rsid w:val="005D0A5F"/>
    <w:rsid w:val="005D0E38"/>
    <w:rsid w:val="005D0E3E"/>
    <w:rsid w:val="005D105D"/>
    <w:rsid w:val="005D1903"/>
    <w:rsid w:val="005D23AA"/>
    <w:rsid w:val="005D2AAF"/>
    <w:rsid w:val="005D2F7A"/>
    <w:rsid w:val="005D358D"/>
    <w:rsid w:val="005D3C53"/>
    <w:rsid w:val="005D47F0"/>
    <w:rsid w:val="005D4D4A"/>
    <w:rsid w:val="005D5373"/>
    <w:rsid w:val="005D57F8"/>
    <w:rsid w:val="005D5818"/>
    <w:rsid w:val="005D614C"/>
    <w:rsid w:val="005D6324"/>
    <w:rsid w:val="005D686F"/>
    <w:rsid w:val="005D6B4D"/>
    <w:rsid w:val="005D6DD0"/>
    <w:rsid w:val="005D70C4"/>
    <w:rsid w:val="005D71AB"/>
    <w:rsid w:val="005D71B1"/>
    <w:rsid w:val="005D7217"/>
    <w:rsid w:val="005D725E"/>
    <w:rsid w:val="005D7DE3"/>
    <w:rsid w:val="005D7DFF"/>
    <w:rsid w:val="005E0811"/>
    <w:rsid w:val="005E0870"/>
    <w:rsid w:val="005E0AE1"/>
    <w:rsid w:val="005E0B9F"/>
    <w:rsid w:val="005E1114"/>
    <w:rsid w:val="005E11A5"/>
    <w:rsid w:val="005E11DE"/>
    <w:rsid w:val="005E127D"/>
    <w:rsid w:val="005E140D"/>
    <w:rsid w:val="005E14BD"/>
    <w:rsid w:val="005E1777"/>
    <w:rsid w:val="005E1AC4"/>
    <w:rsid w:val="005E1C55"/>
    <w:rsid w:val="005E1C5B"/>
    <w:rsid w:val="005E26DA"/>
    <w:rsid w:val="005E2AB8"/>
    <w:rsid w:val="005E2CD9"/>
    <w:rsid w:val="005E2D42"/>
    <w:rsid w:val="005E2D4D"/>
    <w:rsid w:val="005E35DF"/>
    <w:rsid w:val="005E371C"/>
    <w:rsid w:val="005E3E53"/>
    <w:rsid w:val="005E4A4B"/>
    <w:rsid w:val="005E4F83"/>
    <w:rsid w:val="005E5182"/>
    <w:rsid w:val="005E54ED"/>
    <w:rsid w:val="005E563D"/>
    <w:rsid w:val="005E5919"/>
    <w:rsid w:val="005E5ABA"/>
    <w:rsid w:val="005E5BAC"/>
    <w:rsid w:val="005E6318"/>
    <w:rsid w:val="005E6477"/>
    <w:rsid w:val="005E6995"/>
    <w:rsid w:val="005E6B2F"/>
    <w:rsid w:val="005E6CED"/>
    <w:rsid w:val="005E7222"/>
    <w:rsid w:val="005E7338"/>
    <w:rsid w:val="005E7527"/>
    <w:rsid w:val="005F064C"/>
    <w:rsid w:val="005F095D"/>
    <w:rsid w:val="005F0971"/>
    <w:rsid w:val="005F0D87"/>
    <w:rsid w:val="005F0FC7"/>
    <w:rsid w:val="005F1276"/>
    <w:rsid w:val="005F1512"/>
    <w:rsid w:val="005F1CC3"/>
    <w:rsid w:val="005F1DB7"/>
    <w:rsid w:val="005F228D"/>
    <w:rsid w:val="005F236C"/>
    <w:rsid w:val="005F2C81"/>
    <w:rsid w:val="005F2D2D"/>
    <w:rsid w:val="005F2EEC"/>
    <w:rsid w:val="005F30FD"/>
    <w:rsid w:val="005F310E"/>
    <w:rsid w:val="005F39E3"/>
    <w:rsid w:val="005F4335"/>
    <w:rsid w:val="005F4945"/>
    <w:rsid w:val="005F4E38"/>
    <w:rsid w:val="005F4EE0"/>
    <w:rsid w:val="005F5727"/>
    <w:rsid w:val="005F5936"/>
    <w:rsid w:val="005F5CA3"/>
    <w:rsid w:val="005F5FA5"/>
    <w:rsid w:val="005F5FDE"/>
    <w:rsid w:val="005F68F8"/>
    <w:rsid w:val="005F7A63"/>
    <w:rsid w:val="005F7D3F"/>
    <w:rsid w:val="005F7D71"/>
    <w:rsid w:val="005F7E2B"/>
    <w:rsid w:val="006008C3"/>
    <w:rsid w:val="00600960"/>
    <w:rsid w:val="00600AE6"/>
    <w:rsid w:val="00600D6C"/>
    <w:rsid w:val="00600F47"/>
    <w:rsid w:val="006011DF"/>
    <w:rsid w:val="0060181F"/>
    <w:rsid w:val="00602102"/>
    <w:rsid w:val="006025B8"/>
    <w:rsid w:val="00603166"/>
    <w:rsid w:val="00603583"/>
    <w:rsid w:val="006036D5"/>
    <w:rsid w:val="00603EE2"/>
    <w:rsid w:val="006048FE"/>
    <w:rsid w:val="00604D92"/>
    <w:rsid w:val="006053FF"/>
    <w:rsid w:val="00605DAD"/>
    <w:rsid w:val="00606A6B"/>
    <w:rsid w:val="00606B41"/>
    <w:rsid w:val="00607039"/>
    <w:rsid w:val="00607E2B"/>
    <w:rsid w:val="00607F51"/>
    <w:rsid w:val="0061007E"/>
    <w:rsid w:val="00610466"/>
    <w:rsid w:val="0061094A"/>
    <w:rsid w:val="00610DA7"/>
    <w:rsid w:val="00610EDB"/>
    <w:rsid w:val="006110BD"/>
    <w:rsid w:val="00611386"/>
    <w:rsid w:val="006116F6"/>
    <w:rsid w:val="006117C0"/>
    <w:rsid w:val="00611908"/>
    <w:rsid w:val="00611938"/>
    <w:rsid w:val="00611DE0"/>
    <w:rsid w:val="00612766"/>
    <w:rsid w:val="00612857"/>
    <w:rsid w:val="006128AA"/>
    <w:rsid w:val="006128BB"/>
    <w:rsid w:val="00612965"/>
    <w:rsid w:val="00612BF5"/>
    <w:rsid w:val="00612DAA"/>
    <w:rsid w:val="006133AE"/>
    <w:rsid w:val="006138C2"/>
    <w:rsid w:val="00613A2A"/>
    <w:rsid w:val="0061491A"/>
    <w:rsid w:val="00614E44"/>
    <w:rsid w:val="006154B6"/>
    <w:rsid w:val="00615AC8"/>
    <w:rsid w:val="00615C97"/>
    <w:rsid w:val="00615DF1"/>
    <w:rsid w:val="00615E1F"/>
    <w:rsid w:val="006160A6"/>
    <w:rsid w:val="00616392"/>
    <w:rsid w:val="00616495"/>
    <w:rsid w:val="00616629"/>
    <w:rsid w:val="00616B0A"/>
    <w:rsid w:val="00616D5F"/>
    <w:rsid w:val="0061726F"/>
    <w:rsid w:val="006174EF"/>
    <w:rsid w:val="00617561"/>
    <w:rsid w:val="0061766B"/>
    <w:rsid w:val="00617C9C"/>
    <w:rsid w:val="00617D33"/>
    <w:rsid w:val="0062052F"/>
    <w:rsid w:val="00620737"/>
    <w:rsid w:val="00621000"/>
    <w:rsid w:val="006216A4"/>
    <w:rsid w:val="006225DF"/>
    <w:rsid w:val="006228F1"/>
    <w:rsid w:val="00623921"/>
    <w:rsid w:val="00623E08"/>
    <w:rsid w:val="006241EE"/>
    <w:rsid w:val="00624206"/>
    <w:rsid w:val="00624DE9"/>
    <w:rsid w:val="00624E74"/>
    <w:rsid w:val="00624F6E"/>
    <w:rsid w:val="006254FB"/>
    <w:rsid w:val="006256AD"/>
    <w:rsid w:val="0062582A"/>
    <w:rsid w:val="0062607D"/>
    <w:rsid w:val="00626087"/>
    <w:rsid w:val="00626160"/>
    <w:rsid w:val="006263EA"/>
    <w:rsid w:val="00626B4D"/>
    <w:rsid w:val="00626C19"/>
    <w:rsid w:val="00626C9B"/>
    <w:rsid w:val="00626ED2"/>
    <w:rsid w:val="006271DE"/>
    <w:rsid w:val="00627292"/>
    <w:rsid w:val="00627835"/>
    <w:rsid w:val="00627CDE"/>
    <w:rsid w:val="00630C24"/>
    <w:rsid w:val="00630EBA"/>
    <w:rsid w:val="006315AE"/>
    <w:rsid w:val="00631C2B"/>
    <w:rsid w:val="006325E2"/>
    <w:rsid w:val="00632B45"/>
    <w:rsid w:val="00632E1B"/>
    <w:rsid w:val="00632F09"/>
    <w:rsid w:val="006331BD"/>
    <w:rsid w:val="006336EE"/>
    <w:rsid w:val="00633A32"/>
    <w:rsid w:val="006341B6"/>
    <w:rsid w:val="006343D5"/>
    <w:rsid w:val="00634728"/>
    <w:rsid w:val="00634AE0"/>
    <w:rsid w:val="00634E14"/>
    <w:rsid w:val="00635380"/>
    <w:rsid w:val="0063588B"/>
    <w:rsid w:val="00635B60"/>
    <w:rsid w:val="00635BC7"/>
    <w:rsid w:val="00635C61"/>
    <w:rsid w:val="00635E18"/>
    <w:rsid w:val="00635E84"/>
    <w:rsid w:val="00635EC3"/>
    <w:rsid w:val="006365A3"/>
    <w:rsid w:val="00636867"/>
    <w:rsid w:val="006368F4"/>
    <w:rsid w:val="0063696E"/>
    <w:rsid w:val="00636A1A"/>
    <w:rsid w:val="00636D19"/>
    <w:rsid w:val="006372FC"/>
    <w:rsid w:val="0063736D"/>
    <w:rsid w:val="006373C5"/>
    <w:rsid w:val="006374F0"/>
    <w:rsid w:val="00637507"/>
    <w:rsid w:val="00637ED1"/>
    <w:rsid w:val="00637FF0"/>
    <w:rsid w:val="00640004"/>
    <w:rsid w:val="0064072E"/>
    <w:rsid w:val="00640B1B"/>
    <w:rsid w:val="00640F6E"/>
    <w:rsid w:val="00641448"/>
    <w:rsid w:val="00641807"/>
    <w:rsid w:val="006427F7"/>
    <w:rsid w:val="006428B8"/>
    <w:rsid w:val="00642AE4"/>
    <w:rsid w:val="00642E35"/>
    <w:rsid w:val="006433F1"/>
    <w:rsid w:val="006434D0"/>
    <w:rsid w:val="0064436C"/>
    <w:rsid w:val="006451B3"/>
    <w:rsid w:val="006454A8"/>
    <w:rsid w:val="0064557A"/>
    <w:rsid w:val="006456CC"/>
    <w:rsid w:val="00645B41"/>
    <w:rsid w:val="0064606A"/>
    <w:rsid w:val="00646479"/>
    <w:rsid w:val="00646BDD"/>
    <w:rsid w:val="006476A2"/>
    <w:rsid w:val="00647737"/>
    <w:rsid w:val="00647797"/>
    <w:rsid w:val="0064779D"/>
    <w:rsid w:val="006478E7"/>
    <w:rsid w:val="0064795E"/>
    <w:rsid w:val="00647A40"/>
    <w:rsid w:val="00647AC8"/>
    <w:rsid w:val="00647DA6"/>
    <w:rsid w:val="00650000"/>
    <w:rsid w:val="0065064C"/>
    <w:rsid w:val="006512B0"/>
    <w:rsid w:val="0065205D"/>
    <w:rsid w:val="00652B95"/>
    <w:rsid w:val="0065365E"/>
    <w:rsid w:val="00653696"/>
    <w:rsid w:val="00654160"/>
    <w:rsid w:val="00654240"/>
    <w:rsid w:val="0065450B"/>
    <w:rsid w:val="00654596"/>
    <w:rsid w:val="006546D0"/>
    <w:rsid w:val="00654BBA"/>
    <w:rsid w:val="00654D81"/>
    <w:rsid w:val="00654EA3"/>
    <w:rsid w:val="00654FEA"/>
    <w:rsid w:val="0065520A"/>
    <w:rsid w:val="006557A8"/>
    <w:rsid w:val="006557D4"/>
    <w:rsid w:val="00655A98"/>
    <w:rsid w:val="00655CE0"/>
    <w:rsid w:val="00655FD1"/>
    <w:rsid w:val="0065671F"/>
    <w:rsid w:val="00656ED9"/>
    <w:rsid w:val="006571E6"/>
    <w:rsid w:val="0065777B"/>
    <w:rsid w:val="0065784B"/>
    <w:rsid w:val="00660A8F"/>
    <w:rsid w:val="00660AE2"/>
    <w:rsid w:val="006623CF"/>
    <w:rsid w:val="00662525"/>
    <w:rsid w:val="0066321B"/>
    <w:rsid w:val="006633CE"/>
    <w:rsid w:val="00663565"/>
    <w:rsid w:val="006636C0"/>
    <w:rsid w:val="00663BAD"/>
    <w:rsid w:val="00663D43"/>
    <w:rsid w:val="00664017"/>
    <w:rsid w:val="00664290"/>
    <w:rsid w:val="00664762"/>
    <w:rsid w:val="00664BC6"/>
    <w:rsid w:val="00664DF9"/>
    <w:rsid w:val="006651E0"/>
    <w:rsid w:val="00665255"/>
    <w:rsid w:val="006655A4"/>
    <w:rsid w:val="00665798"/>
    <w:rsid w:val="006662BB"/>
    <w:rsid w:val="00666751"/>
    <w:rsid w:val="0066685B"/>
    <w:rsid w:val="00666AB3"/>
    <w:rsid w:val="00666F1B"/>
    <w:rsid w:val="0066751F"/>
    <w:rsid w:val="00667720"/>
    <w:rsid w:val="00667E14"/>
    <w:rsid w:val="0067016E"/>
    <w:rsid w:val="00670199"/>
    <w:rsid w:val="0067033E"/>
    <w:rsid w:val="00670516"/>
    <w:rsid w:val="0067065B"/>
    <w:rsid w:val="00670901"/>
    <w:rsid w:val="00670E83"/>
    <w:rsid w:val="00671329"/>
    <w:rsid w:val="006723D7"/>
    <w:rsid w:val="00672928"/>
    <w:rsid w:val="00672975"/>
    <w:rsid w:val="00672B4C"/>
    <w:rsid w:val="00672EA6"/>
    <w:rsid w:val="006732A3"/>
    <w:rsid w:val="006735E3"/>
    <w:rsid w:val="00673E01"/>
    <w:rsid w:val="0067436B"/>
    <w:rsid w:val="006747E4"/>
    <w:rsid w:val="00674A0D"/>
    <w:rsid w:val="00674C09"/>
    <w:rsid w:val="00674C42"/>
    <w:rsid w:val="00674FDE"/>
    <w:rsid w:val="006752A1"/>
    <w:rsid w:val="00675314"/>
    <w:rsid w:val="00675AB3"/>
    <w:rsid w:val="00675C94"/>
    <w:rsid w:val="00676A20"/>
    <w:rsid w:val="00676AC3"/>
    <w:rsid w:val="006773EB"/>
    <w:rsid w:val="006774F4"/>
    <w:rsid w:val="006778A8"/>
    <w:rsid w:val="00677AE3"/>
    <w:rsid w:val="006800B7"/>
    <w:rsid w:val="0068063C"/>
    <w:rsid w:val="00680AC5"/>
    <w:rsid w:val="00680D20"/>
    <w:rsid w:val="006812F6"/>
    <w:rsid w:val="00681330"/>
    <w:rsid w:val="00681C3F"/>
    <w:rsid w:val="00681CFC"/>
    <w:rsid w:val="00681D0E"/>
    <w:rsid w:val="006827C9"/>
    <w:rsid w:val="00682A9B"/>
    <w:rsid w:val="00682B44"/>
    <w:rsid w:val="00682F6E"/>
    <w:rsid w:val="00683324"/>
    <w:rsid w:val="006834CF"/>
    <w:rsid w:val="00683574"/>
    <w:rsid w:val="0068459D"/>
    <w:rsid w:val="006849B2"/>
    <w:rsid w:val="006849D0"/>
    <w:rsid w:val="00684D2B"/>
    <w:rsid w:val="00685118"/>
    <w:rsid w:val="00685137"/>
    <w:rsid w:val="00685355"/>
    <w:rsid w:val="00685A9C"/>
    <w:rsid w:val="00685ABA"/>
    <w:rsid w:val="00685B3C"/>
    <w:rsid w:val="00685B76"/>
    <w:rsid w:val="00685CE3"/>
    <w:rsid w:val="00685F35"/>
    <w:rsid w:val="00685F9B"/>
    <w:rsid w:val="006863D9"/>
    <w:rsid w:val="0068644B"/>
    <w:rsid w:val="00686680"/>
    <w:rsid w:val="00686906"/>
    <w:rsid w:val="00686E69"/>
    <w:rsid w:val="00686EED"/>
    <w:rsid w:val="00686FC7"/>
    <w:rsid w:val="0068732D"/>
    <w:rsid w:val="00687600"/>
    <w:rsid w:val="0068761F"/>
    <w:rsid w:val="00687A98"/>
    <w:rsid w:val="00687C99"/>
    <w:rsid w:val="00690B68"/>
    <w:rsid w:val="00690F65"/>
    <w:rsid w:val="006916BD"/>
    <w:rsid w:val="00691E61"/>
    <w:rsid w:val="00691F3C"/>
    <w:rsid w:val="0069206D"/>
    <w:rsid w:val="0069210B"/>
    <w:rsid w:val="006927E8"/>
    <w:rsid w:val="00692A0F"/>
    <w:rsid w:val="00692F91"/>
    <w:rsid w:val="00693228"/>
    <w:rsid w:val="00693233"/>
    <w:rsid w:val="006932BD"/>
    <w:rsid w:val="0069336E"/>
    <w:rsid w:val="00693650"/>
    <w:rsid w:val="006937B2"/>
    <w:rsid w:val="00693B79"/>
    <w:rsid w:val="00693BFD"/>
    <w:rsid w:val="00694324"/>
    <w:rsid w:val="0069462F"/>
    <w:rsid w:val="00694CF3"/>
    <w:rsid w:val="0069508C"/>
    <w:rsid w:val="006951C0"/>
    <w:rsid w:val="006952CF"/>
    <w:rsid w:val="00695322"/>
    <w:rsid w:val="00695E5A"/>
    <w:rsid w:val="0069692F"/>
    <w:rsid w:val="006969D4"/>
    <w:rsid w:val="00696BF0"/>
    <w:rsid w:val="00696E57"/>
    <w:rsid w:val="006972EB"/>
    <w:rsid w:val="00697F23"/>
    <w:rsid w:val="006A02A5"/>
    <w:rsid w:val="006A0687"/>
    <w:rsid w:val="006A09F1"/>
    <w:rsid w:val="006A1AFF"/>
    <w:rsid w:val="006A1EEC"/>
    <w:rsid w:val="006A1F2B"/>
    <w:rsid w:val="006A1F59"/>
    <w:rsid w:val="006A221A"/>
    <w:rsid w:val="006A283B"/>
    <w:rsid w:val="006A2985"/>
    <w:rsid w:val="006A2BA0"/>
    <w:rsid w:val="006A2E0E"/>
    <w:rsid w:val="006A2E88"/>
    <w:rsid w:val="006A2EDE"/>
    <w:rsid w:val="006A3683"/>
    <w:rsid w:val="006A3961"/>
    <w:rsid w:val="006A3BF0"/>
    <w:rsid w:val="006A3F6F"/>
    <w:rsid w:val="006A467F"/>
    <w:rsid w:val="006A48A5"/>
    <w:rsid w:val="006A4CC5"/>
    <w:rsid w:val="006A5748"/>
    <w:rsid w:val="006A5D24"/>
    <w:rsid w:val="006A6053"/>
    <w:rsid w:val="006A61E2"/>
    <w:rsid w:val="006A69BC"/>
    <w:rsid w:val="006A72FC"/>
    <w:rsid w:val="006A7742"/>
    <w:rsid w:val="006A77C1"/>
    <w:rsid w:val="006A7811"/>
    <w:rsid w:val="006A7B2B"/>
    <w:rsid w:val="006A7B35"/>
    <w:rsid w:val="006B00B7"/>
    <w:rsid w:val="006B00DA"/>
    <w:rsid w:val="006B050C"/>
    <w:rsid w:val="006B0557"/>
    <w:rsid w:val="006B05FD"/>
    <w:rsid w:val="006B06CF"/>
    <w:rsid w:val="006B073C"/>
    <w:rsid w:val="006B0DD3"/>
    <w:rsid w:val="006B0E9A"/>
    <w:rsid w:val="006B13B2"/>
    <w:rsid w:val="006B167A"/>
    <w:rsid w:val="006B1A8E"/>
    <w:rsid w:val="006B1BEF"/>
    <w:rsid w:val="006B1F65"/>
    <w:rsid w:val="006B221C"/>
    <w:rsid w:val="006B27DF"/>
    <w:rsid w:val="006B2A4B"/>
    <w:rsid w:val="006B3326"/>
    <w:rsid w:val="006B33BE"/>
    <w:rsid w:val="006B33D0"/>
    <w:rsid w:val="006B3631"/>
    <w:rsid w:val="006B394D"/>
    <w:rsid w:val="006B3B5B"/>
    <w:rsid w:val="006B3E3F"/>
    <w:rsid w:val="006B41DE"/>
    <w:rsid w:val="006B4B65"/>
    <w:rsid w:val="006B4C1E"/>
    <w:rsid w:val="006B4C36"/>
    <w:rsid w:val="006B6E02"/>
    <w:rsid w:val="006B6F8C"/>
    <w:rsid w:val="006B71D9"/>
    <w:rsid w:val="006B7433"/>
    <w:rsid w:val="006B76BF"/>
    <w:rsid w:val="006B77EC"/>
    <w:rsid w:val="006B7EE5"/>
    <w:rsid w:val="006B7F0E"/>
    <w:rsid w:val="006C0470"/>
    <w:rsid w:val="006C04A8"/>
    <w:rsid w:val="006C058A"/>
    <w:rsid w:val="006C1165"/>
    <w:rsid w:val="006C125B"/>
    <w:rsid w:val="006C12E0"/>
    <w:rsid w:val="006C1467"/>
    <w:rsid w:val="006C1977"/>
    <w:rsid w:val="006C19BF"/>
    <w:rsid w:val="006C1C05"/>
    <w:rsid w:val="006C1EAC"/>
    <w:rsid w:val="006C20C8"/>
    <w:rsid w:val="006C210B"/>
    <w:rsid w:val="006C21E8"/>
    <w:rsid w:val="006C2344"/>
    <w:rsid w:val="006C2A26"/>
    <w:rsid w:val="006C2DAE"/>
    <w:rsid w:val="006C2E19"/>
    <w:rsid w:val="006C2E1F"/>
    <w:rsid w:val="006C446B"/>
    <w:rsid w:val="006C45A7"/>
    <w:rsid w:val="006C4916"/>
    <w:rsid w:val="006C4B67"/>
    <w:rsid w:val="006C4E2A"/>
    <w:rsid w:val="006C5761"/>
    <w:rsid w:val="006C5F18"/>
    <w:rsid w:val="006C66F0"/>
    <w:rsid w:val="006C6B0D"/>
    <w:rsid w:val="006C6BA0"/>
    <w:rsid w:val="006C76CD"/>
    <w:rsid w:val="006C7991"/>
    <w:rsid w:val="006C7B6E"/>
    <w:rsid w:val="006D0179"/>
    <w:rsid w:val="006D06E8"/>
    <w:rsid w:val="006D13AB"/>
    <w:rsid w:val="006D1667"/>
    <w:rsid w:val="006D1DA5"/>
    <w:rsid w:val="006D295F"/>
    <w:rsid w:val="006D2C6B"/>
    <w:rsid w:val="006D3046"/>
    <w:rsid w:val="006D3363"/>
    <w:rsid w:val="006D390B"/>
    <w:rsid w:val="006D3BFC"/>
    <w:rsid w:val="006D3CFD"/>
    <w:rsid w:val="006D560C"/>
    <w:rsid w:val="006D584B"/>
    <w:rsid w:val="006D597E"/>
    <w:rsid w:val="006D5FD1"/>
    <w:rsid w:val="006D6392"/>
    <w:rsid w:val="006D662C"/>
    <w:rsid w:val="006D6702"/>
    <w:rsid w:val="006E067D"/>
    <w:rsid w:val="006E0CD7"/>
    <w:rsid w:val="006E0DD3"/>
    <w:rsid w:val="006E0E30"/>
    <w:rsid w:val="006E0EED"/>
    <w:rsid w:val="006E1A72"/>
    <w:rsid w:val="006E1D7A"/>
    <w:rsid w:val="006E1EBF"/>
    <w:rsid w:val="006E21DF"/>
    <w:rsid w:val="006E2408"/>
    <w:rsid w:val="006E2549"/>
    <w:rsid w:val="006E2663"/>
    <w:rsid w:val="006E26F6"/>
    <w:rsid w:val="006E2D1F"/>
    <w:rsid w:val="006E30CE"/>
    <w:rsid w:val="006E37F4"/>
    <w:rsid w:val="006E3C7F"/>
    <w:rsid w:val="006E4112"/>
    <w:rsid w:val="006E4821"/>
    <w:rsid w:val="006E4A51"/>
    <w:rsid w:val="006E4A83"/>
    <w:rsid w:val="006E5992"/>
    <w:rsid w:val="006E6963"/>
    <w:rsid w:val="006E7228"/>
    <w:rsid w:val="006E7539"/>
    <w:rsid w:val="006E76A6"/>
    <w:rsid w:val="006E77DF"/>
    <w:rsid w:val="006E7D62"/>
    <w:rsid w:val="006E7DD9"/>
    <w:rsid w:val="006E7E6D"/>
    <w:rsid w:val="006F012C"/>
    <w:rsid w:val="006F01C4"/>
    <w:rsid w:val="006F09DA"/>
    <w:rsid w:val="006F19B6"/>
    <w:rsid w:val="006F1B48"/>
    <w:rsid w:val="006F24BC"/>
    <w:rsid w:val="006F2618"/>
    <w:rsid w:val="006F2729"/>
    <w:rsid w:val="006F2E00"/>
    <w:rsid w:val="006F2E41"/>
    <w:rsid w:val="006F3029"/>
    <w:rsid w:val="006F31E5"/>
    <w:rsid w:val="006F4F8B"/>
    <w:rsid w:val="006F5510"/>
    <w:rsid w:val="006F590A"/>
    <w:rsid w:val="006F590C"/>
    <w:rsid w:val="006F5B78"/>
    <w:rsid w:val="006F6B7A"/>
    <w:rsid w:val="006F7514"/>
    <w:rsid w:val="006F7986"/>
    <w:rsid w:val="0070029E"/>
    <w:rsid w:val="007009EB"/>
    <w:rsid w:val="00700A03"/>
    <w:rsid w:val="00700E5D"/>
    <w:rsid w:val="00700E8F"/>
    <w:rsid w:val="00701363"/>
    <w:rsid w:val="0070193B"/>
    <w:rsid w:val="00701BCF"/>
    <w:rsid w:val="00701E44"/>
    <w:rsid w:val="00702B16"/>
    <w:rsid w:val="0070315E"/>
    <w:rsid w:val="00703F66"/>
    <w:rsid w:val="00704125"/>
    <w:rsid w:val="007041D9"/>
    <w:rsid w:val="00704460"/>
    <w:rsid w:val="007046DC"/>
    <w:rsid w:val="00704784"/>
    <w:rsid w:val="00704798"/>
    <w:rsid w:val="00704C84"/>
    <w:rsid w:val="007053DF"/>
    <w:rsid w:val="007058BE"/>
    <w:rsid w:val="00705A03"/>
    <w:rsid w:val="00705ACD"/>
    <w:rsid w:val="00705FF2"/>
    <w:rsid w:val="00706C80"/>
    <w:rsid w:val="007073CE"/>
    <w:rsid w:val="00707547"/>
    <w:rsid w:val="007075E9"/>
    <w:rsid w:val="00707A72"/>
    <w:rsid w:val="007100DC"/>
    <w:rsid w:val="007103DF"/>
    <w:rsid w:val="007105F4"/>
    <w:rsid w:val="007107E5"/>
    <w:rsid w:val="00710944"/>
    <w:rsid w:val="00710BE5"/>
    <w:rsid w:val="00710E8F"/>
    <w:rsid w:val="0071101F"/>
    <w:rsid w:val="0071115C"/>
    <w:rsid w:val="00711823"/>
    <w:rsid w:val="00711B04"/>
    <w:rsid w:val="00711EE2"/>
    <w:rsid w:val="00712067"/>
    <w:rsid w:val="0071229F"/>
    <w:rsid w:val="0071264D"/>
    <w:rsid w:val="007129AC"/>
    <w:rsid w:val="00712FAB"/>
    <w:rsid w:val="0071300E"/>
    <w:rsid w:val="007134E1"/>
    <w:rsid w:val="00713728"/>
    <w:rsid w:val="0071374B"/>
    <w:rsid w:val="007139D3"/>
    <w:rsid w:val="00713A9B"/>
    <w:rsid w:val="0071404F"/>
    <w:rsid w:val="00714220"/>
    <w:rsid w:val="0071473F"/>
    <w:rsid w:val="00714BAD"/>
    <w:rsid w:val="00714D40"/>
    <w:rsid w:val="00714E15"/>
    <w:rsid w:val="00715FA8"/>
    <w:rsid w:val="007162C7"/>
    <w:rsid w:val="0071724E"/>
    <w:rsid w:val="00717443"/>
    <w:rsid w:val="007175FF"/>
    <w:rsid w:val="00717B60"/>
    <w:rsid w:val="00717CD5"/>
    <w:rsid w:val="00720127"/>
    <w:rsid w:val="0072056D"/>
    <w:rsid w:val="0072077B"/>
    <w:rsid w:val="007211AA"/>
    <w:rsid w:val="007214A5"/>
    <w:rsid w:val="007217F9"/>
    <w:rsid w:val="00721AF0"/>
    <w:rsid w:val="00721E1A"/>
    <w:rsid w:val="007223CC"/>
    <w:rsid w:val="00722554"/>
    <w:rsid w:val="0072296C"/>
    <w:rsid w:val="00722D5F"/>
    <w:rsid w:val="00723B4B"/>
    <w:rsid w:val="00723D4F"/>
    <w:rsid w:val="00723EB1"/>
    <w:rsid w:val="00724289"/>
    <w:rsid w:val="00724AFC"/>
    <w:rsid w:val="007251C2"/>
    <w:rsid w:val="0072529F"/>
    <w:rsid w:val="0072533F"/>
    <w:rsid w:val="007254F8"/>
    <w:rsid w:val="00725AE2"/>
    <w:rsid w:val="00726350"/>
    <w:rsid w:val="00726C2A"/>
    <w:rsid w:val="00726D2E"/>
    <w:rsid w:val="00727B49"/>
    <w:rsid w:val="00727D09"/>
    <w:rsid w:val="00727D14"/>
    <w:rsid w:val="00727FDD"/>
    <w:rsid w:val="00730A7D"/>
    <w:rsid w:val="007312B9"/>
    <w:rsid w:val="007313B7"/>
    <w:rsid w:val="0073154A"/>
    <w:rsid w:val="007316A4"/>
    <w:rsid w:val="007317A6"/>
    <w:rsid w:val="00731F5E"/>
    <w:rsid w:val="007321E0"/>
    <w:rsid w:val="00732781"/>
    <w:rsid w:val="00732B57"/>
    <w:rsid w:val="00733080"/>
    <w:rsid w:val="00733845"/>
    <w:rsid w:val="007338AD"/>
    <w:rsid w:val="00733AD0"/>
    <w:rsid w:val="007340E9"/>
    <w:rsid w:val="007342ED"/>
    <w:rsid w:val="0073441C"/>
    <w:rsid w:val="007347AB"/>
    <w:rsid w:val="007348EA"/>
    <w:rsid w:val="0073519C"/>
    <w:rsid w:val="00735886"/>
    <w:rsid w:val="00735C93"/>
    <w:rsid w:val="00735D96"/>
    <w:rsid w:val="007360E9"/>
    <w:rsid w:val="007365B5"/>
    <w:rsid w:val="00736694"/>
    <w:rsid w:val="00736B3B"/>
    <w:rsid w:val="00736C3F"/>
    <w:rsid w:val="00736FB2"/>
    <w:rsid w:val="0073714C"/>
    <w:rsid w:val="00737A22"/>
    <w:rsid w:val="00737D27"/>
    <w:rsid w:val="00737EE0"/>
    <w:rsid w:val="00740069"/>
    <w:rsid w:val="00740D70"/>
    <w:rsid w:val="00740FA7"/>
    <w:rsid w:val="007416CD"/>
    <w:rsid w:val="00741731"/>
    <w:rsid w:val="007419F2"/>
    <w:rsid w:val="00741B77"/>
    <w:rsid w:val="00741FC2"/>
    <w:rsid w:val="007420C2"/>
    <w:rsid w:val="007422BB"/>
    <w:rsid w:val="00742954"/>
    <w:rsid w:val="00742F5B"/>
    <w:rsid w:val="0074354F"/>
    <w:rsid w:val="007436C8"/>
    <w:rsid w:val="00743973"/>
    <w:rsid w:val="00743DE9"/>
    <w:rsid w:val="00744291"/>
    <w:rsid w:val="007442D9"/>
    <w:rsid w:val="00744325"/>
    <w:rsid w:val="007444C3"/>
    <w:rsid w:val="0074488B"/>
    <w:rsid w:val="00744A14"/>
    <w:rsid w:val="00744B67"/>
    <w:rsid w:val="00744E3A"/>
    <w:rsid w:val="0074572C"/>
    <w:rsid w:val="00745906"/>
    <w:rsid w:val="00745A77"/>
    <w:rsid w:val="0074636A"/>
    <w:rsid w:val="007467C4"/>
    <w:rsid w:val="00747645"/>
    <w:rsid w:val="0074764D"/>
    <w:rsid w:val="0074789E"/>
    <w:rsid w:val="0074799E"/>
    <w:rsid w:val="00747E85"/>
    <w:rsid w:val="00747F62"/>
    <w:rsid w:val="00750C15"/>
    <w:rsid w:val="00750CBD"/>
    <w:rsid w:val="00750E56"/>
    <w:rsid w:val="00751207"/>
    <w:rsid w:val="007518BE"/>
    <w:rsid w:val="007518C3"/>
    <w:rsid w:val="00751A13"/>
    <w:rsid w:val="00752ACD"/>
    <w:rsid w:val="007531E4"/>
    <w:rsid w:val="0075323A"/>
    <w:rsid w:val="00753412"/>
    <w:rsid w:val="007534AD"/>
    <w:rsid w:val="0075368A"/>
    <w:rsid w:val="007537CA"/>
    <w:rsid w:val="00753A83"/>
    <w:rsid w:val="00753B7F"/>
    <w:rsid w:val="00753C44"/>
    <w:rsid w:val="00753D75"/>
    <w:rsid w:val="00754135"/>
    <w:rsid w:val="00754361"/>
    <w:rsid w:val="00754416"/>
    <w:rsid w:val="0075442C"/>
    <w:rsid w:val="00754634"/>
    <w:rsid w:val="0075483A"/>
    <w:rsid w:val="007549C2"/>
    <w:rsid w:val="00754EA6"/>
    <w:rsid w:val="00755045"/>
    <w:rsid w:val="0075554C"/>
    <w:rsid w:val="00755BC9"/>
    <w:rsid w:val="00755F21"/>
    <w:rsid w:val="007563AC"/>
    <w:rsid w:val="007563D5"/>
    <w:rsid w:val="0075762B"/>
    <w:rsid w:val="007576B7"/>
    <w:rsid w:val="0075782C"/>
    <w:rsid w:val="00757A59"/>
    <w:rsid w:val="00757CDC"/>
    <w:rsid w:val="00757E89"/>
    <w:rsid w:val="00760049"/>
    <w:rsid w:val="00760386"/>
    <w:rsid w:val="0076046D"/>
    <w:rsid w:val="00760F48"/>
    <w:rsid w:val="0076162E"/>
    <w:rsid w:val="00761CB9"/>
    <w:rsid w:val="00761D5D"/>
    <w:rsid w:val="00761EF0"/>
    <w:rsid w:val="00762019"/>
    <w:rsid w:val="00762928"/>
    <w:rsid w:val="00762973"/>
    <w:rsid w:val="00763655"/>
    <w:rsid w:val="007637B4"/>
    <w:rsid w:val="00763A5A"/>
    <w:rsid w:val="0076412D"/>
    <w:rsid w:val="007646FF"/>
    <w:rsid w:val="00764F6B"/>
    <w:rsid w:val="007659EA"/>
    <w:rsid w:val="00765A0B"/>
    <w:rsid w:val="00765B59"/>
    <w:rsid w:val="00766150"/>
    <w:rsid w:val="00766A11"/>
    <w:rsid w:val="00766C63"/>
    <w:rsid w:val="00767211"/>
    <w:rsid w:val="0076740E"/>
    <w:rsid w:val="007674AC"/>
    <w:rsid w:val="00767FDE"/>
    <w:rsid w:val="007708B2"/>
    <w:rsid w:val="00770AEF"/>
    <w:rsid w:val="00770E41"/>
    <w:rsid w:val="00771C6F"/>
    <w:rsid w:val="00771DE5"/>
    <w:rsid w:val="00772A20"/>
    <w:rsid w:val="00772B7D"/>
    <w:rsid w:val="00772C0A"/>
    <w:rsid w:val="007731D4"/>
    <w:rsid w:val="007732F8"/>
    <w:rsid w:val="007734AB"/>
    <w:rsid w:val="00773C4D"/>
    <w:rsid w:val="0077437C"/>
    <w:rsid w:val="00774673"/>
    <w:rsid w:val="00774D46"/>
    <w:rsid w:val="00775429"/>
    <w:rsid w:val="007754F1"/>
    <w:rsid w:val="00775758"/>
    <w:rsid w:val="007759C0"/>
    <w:rsid w:val="00775F95"/>
    <w:rsid w:val="0077641E"/>
    <w:rsid w:val="00776441"/>
    <w:rsid w:val="00776C91"/>
    <w:rsid w:val="00776DE1"/>
    <w:rsid w:val="00777A50"/>
    <w:rsid w:val="00777A64"/>
    <w:rsid w:val="00780215"/>
    <w:rsid w:val="007807A4"/>
    <w:rsid w:val="00780A55"/>
    <w:rsid w:val="00780FA7"/>
    <w:rsid w:val="007816EB"/>
    <w:rsid w:val="007818D5"/>
    <w:rsid w:val="00782101"/>
    <w:rsid w:val="0078212A"/>
    <w:rsid w:val="007821CC"/>
    <w:rsid w:val="007824EE"/>
    <w:rsid w:val="007825E9"/>
    <w:rsid w:val="00782725"/>
    <w:rsid w:val="00782925"/>
    <w:rsid w:val="00782EE6"/>
    <w:rsid w:val="00783395"/>
    <w:rsid w:val="00783818"/>
    <w:rsid w:val="00783AD7"/>
    <w:rsid w:val="00783AF6"/>
    <w:rsid w:val="00784980"/>
    <w:rsid w:val="00784A86"/>
    <w:rsid w:val="0078542B"/>
    <w:rsid w:val="00785BAB"/>
    <w:rsid w:val="007860C9"/>
    <w:rsid w:val="0078665D"/>
    <w:rsid w:val="00787155"/>
    <w:rsid w:val="0078776F"/>
    <w:rsid w:val="007879D8"/>
    <w:rsid w:val="00787A3F"/>
    <w:rsid w:val="00787D44"/>
    <w:rsid w:val="00787F59"/>
    <w:rsid w:val="0079007C"/>
    <w:rsid w:val="00790D07"/>
    <w:rsid w:val="0079110D"/>
    <w:rsid w:val="00791354"/>
    <w:rsid w:val="00791485"/>
    <w:rsid w:val="007914D6"/>
    <w:rsid w:val="007918B5"/>
    <w:rsid w:val="00791B2F"/>
    <w:rsid w:val="007926AB"/>
    <w:rsid w:val="00792874"/>
    <w:rsid w:val="007930DE"/>
    <w:rsid w:val="007930EA"/>
    <w:rsid w:val="00793223"/>
    <w:rsid w:val="00793683"/>
    <w:rsid w:val="0079453A"/>
    <w:rsid w:val="00794553"/>
    <w:rsid w:val="00794646"/>
    <w:rsid w:val="00794848"/>
    <w:rsid w:val="00794AAD"/>
    <w:rsid w:val="00794B7F"/>
    <w:rsid w:val="00794EE5"/>
    <w:rsid w:val="00795040"/>
    <w:rsid w:val="00795193"/>
    <w:rsid w:val="007963D5"/>
    <w:rsid w:val="00796549"/>
    <w:rsid w:val="0079670E"/>
    <w:rsid w:val="00796D56"/>
    <w:rsid w:val="00796F93"/>
    <w:rsid w:val="00797228"/>
    <w:rsid w:val="007975EB"/>
    <w:rsid w:val="0079769F"/>
    <w:rsid w:val="00797AE2"/>
    <w:rsid w:val="00797B06"/>
    <w:rsid w:val="00797B68"/>
    <w:rsid w:val="007A084D"/>
    <w:rsid w:val="007A1EBE"/>
    <w:rsid w:val="007A2376"/>
    <w:rsid w:val="007A28B5"/>
    <w:rsid w:val="007A295D"/>
    <w:rsid w:val="007A29D2"/>
    <w:rsid w:val="007A2B0C"/>
    <w:rsid w:val="007A2B77"/>
    <w:rsid w:val="007A2BE9"/>
    <w:rsid w:val="007A3064"/>
    <w:rsid w:val="007A32A7"/>
    <w:rsid w:val="007A369D"/>
    <w:rsid w:val="007A36BD"/>
    <w:rsid w:val="007A36EF"/>
    <w:rsid w:val="007A3D63"/>
    <w:rsid w:val="007A4127"/>
    <w:rsid w:val="007A46C1"/>
    <w:rsid w:val="007A471B"/>
    <w:rsid w:val="007A4925"/>
    <w:rsid w:val="007A521A"/>
    <w:rsid w:val="007A5308"/>
    <w:rsid w:val="007A58F0"/>
    <w:rsid w:val="007A5E5A"/>
    <w:rsid w:val="007A66C8"/>
    <w:rsid w:val="007A66FD"/>
    <w:rsid w:val="007A67F2"/>
    <w:rsid w:val="007A6BFE"/>
    <w:rsid w:val="007A700A"/>
    <w:rsid w:val="007A71AD"/>
    <w:rsid w:val="007A7498"/>
    <w:rsid w:val="007A7B4E"/>
    <w:rsid w:val="007A7C3C"/>
    <w:rsid w:val="007A7C7F"/>
    <w:rsid w:val="007A7ED7"/>
    <w:rsid w:val="007B0581"/>
    <w:rsid w:val="007B0907"/>
    <w:rsid w:val="007B0E1C"/>
    <w:rsid w:val="007B0ED0"/>
    <w:rsid w:val="007B0FF9"/>
    <w:rsid w:val="007B16B4"/>
    <w:rsid w:val="007B189E"/>
    <w:rsid w:val="007B2172"/>
    <w:rsid w:val="007B2594"/>
    <w:rsid w:val="007B2D20"/>
    <w:rsid w:val="007B34B6"/>
    <w:rsid w:val="007B3D9E"/>
    <w:rsid w:val="007B41D2"/>
    <w:rsid w:val="007B442D"/>
    <w:rsid w:val="007B46BA"/>
    <w:rsid w:val="007B4BBC"/>
    <w:rsid w:val="007B5025"/>
    <w:rsid w:val="007B50C7"/>
    <w:rsid w:val="007B582C"/>
    <w:rsid w:val="007B5932"/>
    <w:rsid w:val="007B59E4"/>
    <w:rsid w:val="007B5B16"/>
    <w:rsid w:val="007B5C4A"/>
    <w:rsid w:val="007B5F38"/>
    <w:rsid w:val="007B63A1"/>
    <w:rsid w:val="007B66B4"/>
    <w:rsid w:val="007B6969"/>
    <w:rsid w:val="007B7091"/>
    <w:rsid w:val="007B7127"/>
    <w:rsid w:val="007B7170"/>
    <w:rsid w:val="007B7502"/>
    <w:rsid w:val="007B7A27"/>
    <w:rsid w:val="007B7B72"/>
    <w:rsid w:val="007C006A"/>
    <w:rsid w:val="007C0237"/>
    <w:rsid w:val="007C0A53"/>
    <w:rsid w:val="007C0A97"/>
    <w:rsid w:val="007C0F70"/>
    <w:rsid w:val="007C134D"/>
    <w:rsid w:val="007C15EB"/>
    <w:rsid w:val="007C1636"/>
    <w:rsid w:val="007C1772"/>
    <w:rsid w:val="007C182F"/>
    <w:rsid w:val="007C1A5F"/>
    <w:rsid w:val="007C1B03"/>
    <w:rsid w:val="007C1F41"/>
    <w:rsid w:val="007C1FFA"/>
    <w:rsid w:val="007C23AE"/>
    <w:rsid w:val="007C2604"/>
    <w:rsid w:val="007C2807"/>
    <w:rsid w:val="007C2A57"/>
    <w:rsid w:val="007C2C1D"/>
    <w:rsid w:val="007C2CCD"/>
    <w:rsid w:val="007C2EBB"/>
    <w:rsid w:val="007C310C"/>
    <w:rsid w:val="007C35DF"/>
    <w:rsid w:val="007C3BC6"/>
    <w:rsid w:val="007C3CD5"/>
    <w:rsid w:val="007C403C"/>
    <w:rsid w:val="007C41FC"/>
    <w:rsid w:val="007C4257"/>
    <w:rsid w:val="007C42A2"/>
    <w:rsid w:val="007C5075"/>
    <w:rsid w:val="007C5909"/>
    <w:rsid w:val="007C5992"/>
    <w:rsid w:val="007C5CE7"/>
    <w:rsid w:val="007C5D0B"/>
    <w:rsid w:val="007C5F97"/>
    <w:rsid w:val="007C70A1"/>
    <w:rsid w:val="007C760E"/>
    <w:rsid w:val="007C76B3"/>
    <w:rsid w:val="007C7802"/>
    <w:rsid w:val="007C784D"/>
    <w:rsid w:val="007C7FDE"/>
    <w:rsid w:val="007D0009"/>
    <w:rsid w:val="007D0013"/>
    <w:rsid w:val="007D0302"/>
    <w:rsid w:val="007D05AC"/>
    <w:rsid w:val="007D1A0C"/>
    <w:rsid w:val="007D1D74"/>
    <w:rsid w:val="007D2711"/>
    <w:rsid w:val="007D2DDD"/>
    <w:rsid w:val="007D2FE6"/>
    <w:rsid w:val="007D3185"/>
    <w:rsid w:val="007D3F86"/>
    <w:rsid w:val="007D4221"/>
    <w:rsid w:val="007D426E"/>
    <w:rsid w:val="007D43C5"/>
    <w:rsid w:val="007D4963"/>
    <w:rsid w:val="007D4965"/>
    <w:rsid w:val="007D5089"/>
    <w:rsid w:val="007D5355"/>
    <w:rsid w:val="007D5540"/>
    <w:rsid w:val="007D6816"/>
    <w:rsid w:val="007D6B83"/>
    <w:rsid w:val="007D78C4"/>
    <w:rsid w:val="007D7E53"/>
    <w:rsid w:val="007E032C"/>
    <w:rsid w:val="007E0357"/>
    <w:rsid w:val="007E0A8A"/>
    <w:rsid w:val="007E0A90"/>
    <w:rsid w:val="007E151F"/>
    <w:rsid w:val="007E15B9"/>
    <w:rsid w:val="007E1C8E"/>
    <w:rsid w:val="007E21B1"/>
    <w:rsid w:val="007E21B8"/>
    <w:rsid w:val="007E2938"/>
    <w:rsid w:val="007E2CFA"/>
    <w:rsid w:val="007E3C2D"/>
    <w:rsid w:val="007E424B"/>
    <w:rsid w:val="007E433B"/>
    <w:rsid w:val="007E450A"/>
    <w:rsid w:val="007E49CB"/>
    <w:rsid w:val="007E4BD5"/>
    <w:rsid w:val="007E4CB5"/>
    <w:rsid w:val="007E59AB"/>
    <w:rsid w:val="007E5A3D"/>
    <w:rsid w:val="007E5C35"/>
    <w:rsid w:val="007E5DC3"/>
    <w:rsid w:val="007E5F3D"/>
    <w:rsid w:val="007E6144"/>
    <w:rsid w:val="007E61C3"/>
    <w:rsid w:val="007E6FAE"/>
    <w:rsid w:val="007E7158"/>
    <w:rsid w:val="007E7190"/>
    <w:rsid w:val="007E7AF6"/>
    <w:rsid w:val="007F03C1"/>
    <w:rsid w:val="007F0407"/>
    <w:rsid w:val="007F0576"/>
    <w:rsid w:val="007F0E48"/>
    <w:rsid w:val="007F0F3E"/>
    <w:rsid w:val="007F1191"/>
    <w:rsid w:val="007F1564"/>
    <w:rsid w:val="007F2D79"/>
    <w:rsid w:val="007F3249"/>
    <w:rsid w:val="007F33DE"/>
    <w:rsid w:val="007F388F"/>
    <w:rsid w:val="007F3A2E"/>
    <w:rsid w:val="007F3AC7"/>
    <w:rsid w:val="007F3D09"/>
    <w:rsid w:val="007F3D5D"/>
    <w:rsid w:val="007F4282"/>
    <w:rsid w:val="007F48C1"/>
    <w:rsid w:val="007F4B44"/>
    <w:rsid w:val="007F579F"/>
    <w:rsid w:val="007F5ED0"/>
    <w:rsid w:val="007F6371"/>
    <w:rsid w:val="007F6D31"/>
    <w:rsid w:val="007F6D3E"/>
    <w:rsid w:val="007F7876"/>
    <w:rsid w:val="007F7996"/>
    <w:rsid w:val="007F7DF1"/>
    <w:rsid w:val="00800293"/>
    <w:rsid w:val="00800690"/>
    <w:rsid w:val="00800FF1"/>
    <w:rsid w:val="00801195"/>
    <w:rsid w:val="0080127C"/>
    <w:rsid w:val="00801470"/>
    <w:rsid w:val="008016EA"/>
    <w:rsid w:val="00801FB2"/>
    <w:rsid w:val="0080226C"/>
    <w:rsid w:val="008027D1"/>
    <w:rsid w:val="00802D75"/>
    <w:rsid w:val="008035F4"/>
    <w:rsid w:val="00803A86"/>
    <w:rsid w:val="00803B5D"/>
    <w:rsid w:val="00803CB8"/>
    <w:rsid w:val="00803FDE"/>
    <w:rsid w:val="00804111"/>
    <w:rsid w:val="0080496E"/>
    <w:rsid w:val="00805095"/>
    <w:rsid w:val="00805122"/>
    <w:rsid w:val="00805488"/>
    <w:rsid w:val="00805A21"/>
    <w:rsid w:val="00805C1D"/>
    <w:rsid w:val="00805C30"/>
    <w:rsid w:val="00807221"/>
    <w:rsid w:val="00807627"/>
    <w:rsid w:val="00807730"/>
    <w:rsid w:val="00807EE2"/>
    <w:rsid w:val="008106DD"/>
    <w:rsid w:val="0081146D"/>
    <w:rsid w:val="00811A54"/>
    <w:rsid w:val="00811D62"/>
    <w:rsid w:val="008125C0"/>
    <w:rsid w:val="0081261F"/>
    <w:rsid w:val="00812825"/>
    <w:rsid w:val="00812D06"/>
    <w:rsid w:val="00812F1E"/>
    <w:rsid w:val="0081335F"/>
    <w:rsid w:val="008138B2"/>
    <w:rsid w:val="00813D27"/>
    <w:rsid w:val="00813E39"/>
    <w:rsid w:val="0081410C"/>
    <w:rsid w:val="008146A6"/>
    <w:rsid w:val="008146F6"/>
    <w:rsid w:val="008148CC"/>
    <w:rsid w:val="008149BE"/>
    <w:rsid w:val="008149D6"/>
    <w:rsid w:val="00814ACA"/>
    <w:rsid w:val="00815360"/>
    <w:rsid w:val="00815628"/>
    <w:rsid w:val="00815ABE"/>
    <w:rsid w:val="00815CDD"/>
    <w:rsid w:val="00815F1C"/>
    <w:rsid w:val="00816760"/>
    <w:rsid w:val="0081689E"/>
    <w:rsid w:val="00816A28"/>
    <w:rsid w:val="00816C58"/>
    <w:rsid w:val="00816F03"/>
    <w:rsid w:val="0081706F"/>
    <w:rsid w:val="00817CAE"/>
    <w:rsid w:val="008205EE"/>
    <w:rsid w:val="008206A5"/>
    <w:rsid w:val="0082093F"/>
    <w:rsid w:val="00820BB1"/>
    <w:rsid w:val="00820CF4"/>
    <w:rsid w:val="00820ECA"/>
    <w:rsid w:val="008215D4"/>
    <w:rsid w:val="008219B6"/>
    <w:rsid w:val="0082227A"/>
    <w:rsid w:val="00822C85"/>
    <w:rsid w:val="00822EC9"/>
    <w:rsid w:val="0082315F"/>
    <w:rsid w:val="0082316B"/>
    <w:rsid w:val="00823901"/>
    <w:rsid w:val="00823F12"/>
    <w:rsid w:val="008245C7"/>
    <w:rsid w:val="00824658"/>
    <w:rsid w:val="00824A8B"/>
    <w:rsid w:val="00824BCF"/>
    <w:rsid w:val="00826344"/>
    <w:rsid w:val="00826B1A"/>
    <w:rsid w:val="0082718F"/>
    <w:rsid w:val="008306E1"/>
    <w:rsid w:val="00830FCF"/>
    <w:rsid w:val="0083111F"/>
    <w:rsid w:val="00831664"/>
    <w:rsid w:val="0083228F"/>
    <w:rsid w:val="00832A58"/>
    <w:rsid w:val="00832CFE"/>
    <w:rsid w:val="00832D41"/>
    <w:rsid w:val="0083333C"/>
    <w:rsid w:val="00833692"/>
    <w:rsid w:val="00833FB1"/>
    <w:rsid w:val="008346F9"/>
    <w:rsid w:val="00834B39"/>
    <w:rsid w:val="00834C33"/>
    <w:rsid w:val="00834C54"/>
    <w:rsid w:val="008351F2"/>
    <w:rsid w:val="008356E9"/>
    <w:rsid w:val="00836134"/>
    <w:rsid w:val="00836572"/>
    <w:rsid w:val="00836ECC"/>
    <w:rsid w:val="00836F68"/>
    <w:rsid w:val="008372B5"/>
    <w:rsid w:val="0083746E"/>
    <w:rsid w:val="00837510"/>
    <w:rsid w:val="00837B57"/>
    <w:rsid w:val="00837C24"/>
    <w:rsid w:val="00840CDD"/>
    <w:rsid w:val="00840FC7"/>
    <w:rsid w:val="0084138F"/>
    <w:rsid w:val="00841861"/>
    <w:rsid w:val="008418E5"/>
    <w:rsid w:val="0084220E"/>
    <w:rsid w:val="008426A9"/>
    <w:rsid w:val="00842B8D"/>
    <w:rsid w:val="00843071"/>
    <w:rsid w:val="008430F1"/>
    <w:rsid w:val="0084314A"/>
    <w:rsid w:val="00843233"/>
    <w:rsid w:val="0084377A"/>
    <w:rsid w:val="0084462D"/>
    <w:rsid w:val="00845458"/>
    <w:rsid w:val="0084552F"/>
    <w:rsid w:val="00845CE6"/>
    <w:rsid w:val="00845D16"/>
    <w:rsid w:val="008464F0"/>
    <w:rsid w:val="0084660B"/>
    <w:rsid w:val="00846AAB"/>
    <w:rsid w:val="00846E25"/>
    <w:rsid w:val="00846F50"/>
    <w:rsid w:val="008471BB"/>
    <w:rsid w:val="00847CE3"/>
    <w:rsid w:val="00847F49"/>
    <w:rsid w:val="00850093"/>
    <w:rsid w:val="008503BE"/>
    <w:rsid w:val="008508AB"/>
    <w:rsid w:val="00850EB7"/>
    <w:rsid w:val="008510E0"/>
    <w:rsid w:val="0085133F"/>
    <w:rsid w:val="008516BF"/>
    <w:rsid w:val="00851B46"/>
    <w:rsid w:val="00852279"/>
    <w:rsid w:val="00852530"/>
    <w:rsid w:val="00852E9A"/>
    <w:rsid w:val="008533E2"/>
    <w:rsid w:val="008534CC"/>
    <w:rsid w:val="008546A3"/>
    <w:rsid w:val="008546A8"/>
    <w:rsid w:val="00855027"/>
    <w:rsid w:val="00855394"/>
    <w:rsid w:val="008554D8"/>
    <w:rsid w:val="008556A6"/>
    <w:rsid w:val="00856473"/>
    <w:rsid w:val="008565F7"/>
    <w:rsid w:val="008569C7"/>
    <w:rsid w:val="00856DFD"/>
    <w:rsid w:val="0085736D"/>
    <w:rsid w:val="00857398"/>
    <w:rsid w:val="0085772E"/>
    <w:rsid w:val="00857AEB"/>
    <w:rsid w:val="00857F9B"/>
    <w:rsid w:val="0086024B"/>
    <w:rsid w:val="00860A3E"/>
    <w:rsid w:val="00860E69"/>
    <w:rsid w:val="00861114"/>
    <w:rsid w:val="0086145F"/>
    <w:rsid w:val="008616B6"/>
    <w:rsid w:val="00861A46"/>
    <w:rsid w:val="00861D9C"/>
    <w:rsid w:val="00862205"/>
    <w:rsid w:val="008623DB"/>
    <w:rsid w:val="00862DD4"/>
    <w:rsid w:val="00862DF0"/>
    <w:rsid w:val="008633D4"/>
    <w:rsid w:val="008633F1"/>
    <w:rsid w:val="0086354B"/>
    <w:rsid w:val="00864332"/>
    <w:rsid w:val="00864498"/>
    <w:rsid w:val="008644E0"/>
    <w:rsid w:val="00864CDC"/>
    <w:rsid w:val="008652B4"/>
    <w:rsid w:val="00865BE6"/>
    <w:rsid w:val="00865F7A"/>
    <w:rsid w:val="008661EC"/>
    <w:rsid w:val="008662F1"/>
    <w:rsid w:val="00866379"/>
    <w:rsid w:val="00866D40"/>
    <w:rsid w:val="00867456"/>
    <w:rsid w:val="008676F9"/>
    <w:rsid w:val="008678C1"/>
    <w:rsid w:val="00867BFD"/>
    <w:rsid w:val="00870136"/>
    <w:rsid w:val="008704D2"/>
    <w:rsid w:val="00870741"/>
    <w:rsid w:val="008708D0"/>
    <w:rsid w:val="00870A86"/>
    <w:rsid w:val="00870DEC"/>
    <w:rsid w:val="0087276A"/>
    <w:rsid w:val="00872E76"/>
    <w:rsid w:val="00872EFD"/>
    <w:rsid w:val="00872F97"/>
    <w:rsid w:val="008736F1"/>
    <w:rsid w:val="0087387B"/>
    <w:rsid w:val="00873C27"/>
    <w:rsid w:val="00873FE2"/>
    <w:rsid w:val="0087406D"/>
    <w:rsid w:val="00875FF3"/>
    <w:rsid w:val="008768B5"/>
    <w:rsid w:val="008768F6"/>
    <w:rsid w:val="00876AB2"/>
    <w:rsid w:val="008771FE"/>
    <w:rsid w:val="00877B06"/>
    <w:rsid w:val="00877F2F"/>
    <w:rsid w:val="008804D0"/>
    <w:rsid w:val="00880AFF"/>
    <w:rsid w:val="0088158E"/>
    <w:rsid w:val="0088186D"/>
    <w:rsid w:val="008820E8"/>
    <w:rsid w:val="00882CF6"/>
    <w:rsid w:val="0088495B"/>
    <w:rsid w:val="00884BF9"/>
    <w:rsid w:val="00884D19"/>
    <w:rsid w:val="00885300"/>
    <w:rsid w:val="008855A6"/>
    <w:rsid w:val="00885917"/>
    <w:rsid w:val="00885B23"/>
    <w:rsid w:val="00885BD7"/>
    <w:rsid w:val="00886437"/>
    <w:rsid w:val="008864B8"/>
    <w:rsid w:val="008868E6"/>
    <w:rsid w:val="00886988"/>
    <w:rsid w:val="00886D35"/>
    <w:rsid w:val="008878C7"/>
    <w:rsid w:val="00887EDA"/>
    <w:rsid w:val="00890630"/>
    <w:rsid w:val="0089091B"/>
    <w:rsid w:val="00890D95"/>
    <w:rsid w:val="0089112B"/>
    <w:rsid w:val="00891305"/>
    <w:rsid w:val="00891488"/>
    <w:rsid w:val="0089155E"/>
    <w:rsid w:val="008915A3"/>
    <w:rsid w:val="0089161C"/>
    <w:rsid w:val="0089173C"/>
    <w:rsid w:val="00891A9C"/>
    <w:rsid w:val="008920BC"/>
    <w:rsid w:val="008929B5"/>
    <w:rsid w:val="00893166"/>
    <w:rsid w:val="00893371"/>
    <w:rsid w:val="008936AF"/>
    <w:rsid w:val="00893AB9"/>
    <w:rsid w:val="00894715"/>
    <w:rsid w:val="00894C36"/>
    <w:rsid w:val="00894EA0"/>
    <w:rsid w:val="0089552E"/>
    <w:rsid w:val="00895AF1"/>
    <w:rsid w:val="0089601C"/>
    <w:rsid w:val="00896288"/>
    <w:rsid w:val="00896D7C"/>
    <w:rsid w:val="00896D98"/>
    <w:rsid w:val="008970EA"/>
    <w:rsid w:val="008972B4"/>
    <w:rsid w:val="00897466"/>
    <w:rsid w:val="008974C5"/>
    <w:rsid w:val="008976D2"/>
    <w:rsid w:val="00897E59"/>
    <w:rsid w:val="00897EAA"/>
    <w:rsid w:val="008A044E"/>
    <w:rsid w:val="008A08AC"/>
    <w:rsid w:val="008A091E"/>
    <w:rsid w:val="008A0943"/>
    <w:rsid w:val="008A0A9D"/>
    <w:rsid w:val="008A0ACF"/>
    <w:rsid w:val="008A0BA5"/>
    <w:rsid w:val="008A0FD7"/>
    <w:rsid w:val="008A244F"/>
    <w:rsid w:val="008A2616"/>
    <w:rsid w:val="008A2733"/>
    <w:rsid w:val="008A2798"/>
    <w:rsid w:val="008A291F"/>
    <w:rsid w:val="008A2B29"/>
    <w:rsid w:val="008A2B6C"/>
    <w:rsid w:val="008A2C93"/>
    <w:rsid w:val="008A2E71"/>
    <w:rsid w:val="008A37FB"/>
    <w:rsid w:val="008A4199"/>
    <w:rsid w:val="008A431F"/>
    <w:rsid w:val="008A4608"/>
    <w:rsid w:val="008A47FD"/>
    <w:rsid w:val="008A4B59"/>
    <w:rsid w:val="008A4E4C"/>
    <w:rsid w:val="008A5426"/>
    <w:rsid w:val="008A54EA"/>
    <w:rsid w:val="008A5648"/>
    <w:rsid w:val="008A5A56"/>
    <w:rsid w:val="008A645C"/>
    <w:rsid w:val="008A6909"/>
    <w:rsid w:val="008A6F53"/>
    <w:rsid w:val="008B00B4"/>
    <w:rsid w:val="008B02B5"/>
    <w:rsid w:val="008B05CF"/>
    <w:rsid w:val="008B0806"/>
    <w:rsid w:val="008B08FA"/>
    <w:rsid w:val="008B0EC4"/>
    <w:rsid w:val="008B135A"/>
    <w:rsid w:val="008B15BC"/>
    <w:rsid w:val="008B17E0"/>
    <w:rsid w:val="008B1E2F"/>
    <w:rsid w:val="008B23F1"/>
    <w:rsid w:val="008B280E"/>
    <w:rsid w:val="008B2CBC"/>
    <w:rsid w:val="008B2EA8"/>
    <w:rsid w:val="008B3114"/>
    <w:rsid w:val="008B3160"/>
    <w:rsid w:val="008B3383"/>
    <w:rsid w:val="008B33F1"/>
    <w:rsid w:val="008B340D"/>
    <w:rsid w:val="008B34BF"/>
    <w:rsid w:val="008B359E"/>
    <w:rsid w:val="008B35BE"/>
    <w:rsid w:val="008B401B"/>
    <w:rsid w:val="008B4192"/>
    <w:rsid w:val="008B41CB"/>
    <w:rsid w:val="008B4883"/>
    <w:rsid w:val="008B4C01"/>
    <w:rsid w:val="008B4E2E"/>
    <w:rsid w:val="008B526B"/>
    <w:rsid w:val="008B533C"/>
    <w:rsid w:val="008B5828"/>
    <w:rsid w:val="008B5A21"/>
    <w:rsid w:val="008B601D"/>
    <w:rsid w:val="008B6EBE"/>
    <w:rsid w:val="008B7215"/>
    <w:rsid w:val="008B74B6"/>
    <w:rsid w:val="008B75E6"/>
    <w:rsid w:val="008B763D"/>
    <w:rsid w:val="008B7C22"/>
    <w:rsid w:val="008C0632"/>
    <w:rsid w:val="008C0A33"/>
    <w:rsid w:val="008C0FAD"/>
    <w:rsid w:val="008C18FA"/>
    <w:rsid w:val="008C1CD9"/>
    <w:rsid w:val="008C1D05"/>
    <w:rsid w:val="008C2251"/>
    <w:rsid w:val="008C2A06"/>
    <w:rsid w:val="008C3251"/>
    <w:rsid w:val="008C3268"/>
    <w:rsid w:val="008C3759"/>
    <w:rsid w:val="008C48E1"/>
    <w:rsid w:val="008C4988"/>
    <w:rsid w:val="008C4B3A"/>
    <w:rsid w:val="008C4B3C"/>
    <w:rsid w:val="008C52D5"/>
    <w:rsid w:val="008C5870"/>
    <w:rsid w:val="008C6152"/>
    <w:rsid w:val="008C68BF"/>
    <w:rsid w:val="008C6EA7"/>
    <w:rsid w:val="008C7801"/>
    <w:rsid w:val="008C7BB6"/>
    <w:rsid w:val="008C7FB1"/>
    <w:rsid w:val="008D00EA"/>
    <w:rsid w:val="008D0E8E"/>
    <w:rsid w:val="008D107D"/>
    <w:rsid w:val="008D16B2"/>
    <w:rsid w:val="008D1727"/>
    <w:rsid w:val="008D18A2"/>
    <w:rsid w:val="008D254E"/>
    <w:rsid w:val="008D2A4B"/>
    <w:rsid w:val="008D2B19"/>
    <w:rsid w:val="008D3692"/>
    <w:rsid w:val="008D3C9E"/>
    <w:rsid w:val="008D3E59"/>
    <w:rsid w:val="008D41FD"/>
    <w:rsid w:val="008D47CF"/>
    <w:rsid w:val="008D504C"/>
    <w:rsid w:val="008D57E1"/>
    <w:rsid w:val="008D5829"/>
    <w:rsid w:val="008D5C44"/>
    <w:rsid w:val="008D5D79"/>
    <w:rsid w:val="008D5E36"/>
    <w:rsid w:val="008D62A3"/>
    <w:rsid w:val="008D6357"/>
    <w:rsid w:val="008D6359"/>
    <w:rsid w:val="008D6A29"/>
    <w:rsid w:val="008D6D30"/>
    <w:rsid w:val="008D6E43"/>
    <w:rsid w:val="008E03B8"/>
    <w:rsid w:val="008E1171"/>
    <w:rsid w:val="008E11CE"/>
    <w:rsid w:val="008E14E5"/>
    <w:rsid w:val="008E1520"/>
    <w:rsid w:val="008E1A90"/>
    <w:rsid w:val="008E23AA"/>
    <w:rsid w:val="008E285D"/>
    <w:rsid w:val="008E3568"/>
    <w:rsid w:val="008E387C"/>
    <w:rsid w:val="008E392E"/>
    <w:rsid w:val="008E3B02"/>
    <w:rsid w:val="008E3CE3"/>
    <w:rsid w:val="008E47EE"/>
    <w:rsid w:val="008E49BC"/>
    <w:rsid w:val="008E4C76"/>
    <w:rsid w:val="008E5213"/>
    <w:rsid w:val="008E59A7"/>
    <w:rsid w:val="008E6162"/>
    <w:rsid w:val="008E654A"/>
    <w:rsid w:val="008E661F"/>
    <w:rsid w:val="008E693D"/>
    <w:rsid w:val="008E6FE7"/>
    <w:rsid w:val="008E722F"/>
    <w:rsid w:val="008E792F"/>
    <w:rsid w:val="008E7F7E"/>
    <w:rsid w:val="008F008B"/>
    <w:rsid w:val="008F0DBD"/>
    <w:rsid w:val="008F0E54"/>
    <w:rsid w:val="008F0F66"/>
    <w:rsid w:val="008F129D"/>
    <w:rsid w:val="008F147A"/>
    <w:rsid w:val="008F1532"/>
    <w:rsid w:val="008F172A"/>
    <w:rsid w:val="008F179F"/>
    <w:rsid w:val="008F18A4"/>
    <w:rsid w:val="008F1BDF"/>
    <w:rsid w:val="008F27E9"/>
    <w:rsid w:val="008F2AC9"/>
    <w:rsid w:val="008F2D0B"/>
    <w:rsid w:val="008F2F21"/>
    <w:rsid w:val="008F302C"/>
    <w:rsid w:val="008F395B"/>
    <w:rsid w:val="008F3FB9"/>
    <w:rsid w:val="008F48F5"/>
    <w:rsid w:val="008F4979"/>
    <w:rsid w:val="008F54BA"/>
    <w:rsid w:val="008F5B32"/>
    <w:rsid w:val="008F5D06"/>
    <w:rsid w:val="008F5D36"/>
    <w:rsid w:val="008F5F80"/>
    <w:rsid w:val="008F6502"/>
    <w:rsid w:val="008F6599"/>
    <w:rsid w:val="008F73FB"/>
    <w:rsid w:val="008F7DCD"/>
    <w:rsid w:val="008F7F48"/>
    <w:rsid w:val="009009D3"/>
    <w:rsid w:val="00900D12"/>
    <w:rsid w:val="009011AF"/>
    <w:rsid w:val="009014B8"/>
    <w:rsid w:val="00901874"/>
    <w:rsid w:val="00901AB6"/>
    <w:rsid w:val="00901BD5"/>
    <w:rsid w:val="009022D6"/>
    <w:rsid w:val="00902731"/>
    <w:rsid w:val="00902F8A"/>
    <w:rsid w:val="00903702"/>
    <w:rsid w:val="00903AF4"/>
    <w:rsid w:val="00903D64"/>
    <w:rsid w:val="009041AB"/>
    <w:rsid w:val="00904A3E"/>
    <w:rsid w:val="00904F00"/>
    <w:rsid w:val="0090568A"/>
    <w:rsid w:val="00905DC7"/>
    <w:rsid w:val="00905FB6"/>
    <w:rsid w:val="009060F3"/>
    <w:rsid w:val="00906452"/>
    <w:rsid w:val="00906C21"/>
    <w:rsid w:val="00906CD4"/>
    <w:rsid w:val="009072C1"/>
    <w:rsid w:val="00907AC4"/>
    <w:rsid w:val="00907F8B"/>
    <w:rsid w:val="00910475"/>
    <w:rsid w:val="00910755"/>
    <w:rsid w:val="009109C0"/>
    <w:rsid w:val="009114A8"/>
    <w:rsid w:val="0091187F"/>
    <w:rsid w:val="00911F3F"/>
    <w:rsid w:val="00912660"/>
    <w:rsid w:val="009127F5"/>
    <w:rsid w:val="009135D5"/>
    <w:rsid w:val="009137D2"/>
    <w:rsid w:val="00914093"/>
    <w:rsid w:val="00914767"/>
    <w:rsid w:val="00914832"/>
    <w:rsid w:val="00914A4D"/>
    <w:rsid w:val="009153A5"/>
    <w:rsid w:val="00915599"/>
    <w:rsid w:val="00915DF6"/>
    <w:rsid w:val="00916C87"/>
    <w:rsid w:val="00917833"/>
    <w:rsid w:val="00920059"/>
    <w:rsid w:val="009200F8"/>
    <w:rsid w:val="0092026B"/>
    <w:rsid w:val="00920337"/>
    <w:rsid w:val="00920409"/>
    <w:rsid w:val="009206B8"/>
    <w:rsid w:val="00920785"/>
    <w:rsid w:val="00920D42"/>
    <w:rsid w:val="009212CA"/>
    <w:rsid w:val="00921386"/>
    <w:rsid w:val="009213FA"/>
    <w:rsid w:val="00921461"/>
    <w:rsid w:val="0092168A"/>
    <w:rsid w:val="009216C0"/>
    <w:rsid w:val="00921FC8"/>
    <w:rsid w:val="0092212A"/>
    <w:rsid w:val="0092215A"/>
    <w:rsid w:val="00922629"/>
    <w:rsid w:val="0092303E"/>
    <w:rsid w:val="009230BB"/>
    <w:rsid w:val="0092327E"/>
    <w:rsid w:val="00923851"/>
    <w:rsid w:val="0092390B"/>
    <w:rsid w:val="00924313"/>
    <w:rsid w:val="00924C02"/>
    <w:rsid w:val="00924D6F"/>
    <w:rsid w:val="00925176"/>
    <w:rsid w:val="00925CB8"/>
    <w:rsid w:val="00926531"/>
    <w:rsid w:val="00926C3E"/>
    <w:rsid w:val="00926C8D"/>
    <w:rsid w:val="00926D4E"/>
    <w:rsid w:val="00926EC7"/>
    <w:rsid w:val="00927506"/>
    <w:rsid w:val="0092797D"/>
    <w:rsid w:val="00927BF6"/>
    <w:rsid w:val="00927D42"/>
    <w:rsid w:val="009309B2"/>
    <w:rsid w:val="00930A58"/>
    <w:rsid w:val="009315C8"/>
    <w:rsid w:val="00931C4E"/>
    <w:rsid w:val="00931F25"/>
    <w:rsid w:val="00931F2E"/>
    <w:rsid w:val="00932634"/>
    <w:rsid w:val="00932B0E"/>
    <w:rsid w:val="00932F4B"/>
    <w:rsid w:val="009330E0"/>
    <w:rsid w:val="00933860"/>
    <w:rsid w:val="00933887"/>
    <w:rsid w:val="00933919"/>
    <w:rsid w:val="00933967"/>
    <w:rsid w:val="009339D8"/>
    <w:rsid w:val="00933A04"/>
    <w:rsid w:val="00933C25"/>
    <w:rsid w:val="00933CCC"/>
    <w:rsid w:val="00933CCF"/>
    <w:rsid w:val="00933F8F"/>
    <w:rsid w:val="00934786"/>
    <w:rsid w:val="00934896"/>
    <w:rsid w:val="00934A54"/>
    <w:rsid w:val="0093568C"/>
    <w:rsid w:val="00935985"/>
    <w:rsid w:val="00936226"/>
    <w:rsid w:val="00936FFF"/>
    <w:rsid w:val="00937148"/>
    <w:rsid w:val="009375B1"/>
    <w:rsid w:val="0093768A"/>
    <w:rsid w:val="009377D6"/>
    <w:rsid w:val="0093793A"/>
    <w:rsid w:val="00937A50"/>
    <w:rsid w:val="00940365"/>
    <w:rsid w:val="00940A1D"/>
    <w:rsid w:val="00940A46"/>
    <w:rsid w:val="00940E33"/>
    <w:rsid w:val="00941036"/>
    <w:rsid w:val="00941FB4"/>
    <w:rsid w:val="009422BC"/>
    <w:rsid w:val="00942309"/>
    <w:rsid w:val="0094256B"/>
    <w:rsid w:val="009428D5"/>
    <w:rsid w:val="00942A53"/>
    <w:rsid w:val="00942ECC"/>
    <w:rsid w:val="0094322C"/>
    <w:rsid w:val="0094361B"/>
    <w:rsid w:val="00943AA0"/>
    <w:rsid w:val="00943CA6"/>
    <w:rsid w:val="009441BE"/>
    <w:rsid w:val="0094437F"/>
    <w:rsid w:val="00944640"/>
    <w:rsid w:val="00944BCF"/>
    <w:rsid w:val="00945328"/>
    <w:rsid w:val="0094560A"/>
    <w:rsid w:val="009459F4"/>
    <w:rsid w:val="00945B71"/>
    <w:rsid w:val="00945FA5"/>
    <w:rsid w:val="009460B9"/>
    <w:rsid w:val="00946B8D"/>
    <w:rsid w:val="00947859"/>
    <w:rsid w:val="0094795C"/>
    <w:rsid w:val="00947A21"/>
    <w:rsid w:val="00947CA7"/>
    <w:rsid w:val="00950901"/>
    <w:rsid w:val="0095121B"/>
    <w:rsid w:val="0095176F"/>
    <w:rsid w:val="009517E3"/>
    <w:rsid w:val="0095181A"/>
    <w:rsid w:val="00951CB4"/>
    <w:rsid w:val="00951FBD"/>
    <w:rsid w:val="00952102"/>
    <w:rsid w:val="009522EC"/>
    <w:rsid w:val="00952422"/>
    <w:rsid w:val="00952582"/>
    <w:rsid w:val="00952779"/>
    <w:rsid w:val="00952B97"/>
    <w:rsid w:val="00952C63"/>
    <w:rsid w:val="00953386"/>
    <w:rsid w:val="00953445"/>
    <w:rsid w:val="009535B5"/>
    <w:rsid w:val="00953674"/>
    <w:rsid w:val="00954267"/>
    <w:rsid w:val="009548F0"/>
    <w:rsid w:val="00954AB1"/>
    <w:rsid w:val="0095547D"/>
    <w:rsid w:val="0095554C"/>
    <w:rsid w:val="00955A30"/>
    <w:rsid w:val="009560C5"/>
    <w:rsid w:val="0095665F"/>
    <w:rsid w:val="00956EED"/>
    <w:rsid w:val="0095709B"/>
    <w:rsid w:val="009571E7"/>
    <w:rsid w:val="009579DB"/>
    <w:rsid w:val="00957DAB"/>
    <w:rsid w:val="009605CE"/>
    <w:rsid w:val="0096098D"/>
    <w:rsid w:val="00960D45"/>
    <w:rsid w:val="00961051"/>
    <w:rsid w:val="0096113F"/>
    <w:rsid w:val="0096114E"/>
    <w:rsid w:val="009616F4"/>
    <w:rsid w:val="00962148"/>
    <w:rsid w:val="00962410"/>
    <w:rsid w:val="009628E1"/>
    <w:rsid w:val="00962B91"/>
    <w:rsid w:val="0096369A"/>
    <w:rsid w:val="00963F12"/>
    <w:rsid w:val="0096424D"/>
    <w:rsid w:val="009642A5"/>
    <w:rsid w:val="009643C8"/>
    <w:rsid w:val="009645F4"/>
    <w:rsid w:val="009645FB"/>
    <w:rsid w:val="009645FD"/>
    <w:rsid w:val="00964A3C"/>
    <w:rsid w:val="00964C4D"/>
    <w:rsid w:val="00964D17"/>
    <w:rsid w:val="00965B4D"/>
    <w:rsid w:val="00965F8E"/>
    <w:rsid w:val="0096608D"/>
    <w:rsid w:val="0096624C"/>
    <w:rsid w:val="00966286"/>
    <w:rsid w:val="00966B9A"/>
    <w:rsid w:val="00966CA6"/>
    <w:rsid w:val="0096769A"/>
    <w:rsid w:val="009677A9"/>
    <w:rsid w:val="00967C42"/>
    <w:rsid w:val="00967C93"/>
    <w:rsid w:val="00967D79"/>
    <w:rsid w:val="0097049F"/>
    <w:rsid w:val="009704A4"/>
    <w:rsid w:val="00970509"/>
    <w:rsid w:val="009709A3"/>
    <w:rsid w:val="0097122C"/>
    <w:rsid w:val="00971EA1"/>
    <w:rsid w:val="00971FE2"/>
    <w:rsid w:val="009726FA"/>
    <w:rsid w:val="00972713"/>
    <w:rsid w:val="00972D29"/>
    <w:rsid w:val="009742CC"/>
    <w:rsid w:val="00974A9A"/>
    <w:rsid w:val="0097587B"/>
    <w:rsid w:val="00976453"/>
    <w:rsid w:val="00976456"/>
    <w:rsid w:val="0097699D"/>
    <w:rsid w:val="00976E6C"/>
    <w:rsid w:val="00976E6D"/>
    <w:rsid w:val="00976F2B"/>
    <w:rsid w:val="009774E8"/>
    <w:rsid w:val="009776E4"/>
    <w:rsid w:val="009777C4"/>
    <w:rsid w:val="00977E35"/>
    <w:rsid w:val="00980215"/>
    <w:rsid w:val="009805E5"/>
    <w:rsid w:val="009806A8"/>
    <w:rsid w:val="00980886"/>
    <w:rsid w:val="00981551"/>
    <w:rsid w:val="0098185B"/>
    <w:rsid w:val="00981A7F"/>
    <w:rsid w:val="00981B37"/>
    <w:rsid w:val="009827FC"/>
    <w:rsid w:val="009832BB"/>
    <w:rsid w:val="009838C5"/>
    <w:rsid w:val="009838CB"/>
    <w:rsid w:val="00983A78"/>
    <w:rsid w:val="00984334"/>
    <w:rsid w:val="00984368"/>
    <w:rsid w:val="00985367"/>
    <w:rsid w:val="009861B9"/>
    <w:rsid w:val="009865DE"/>
    <w:rsid w:val="00986751"/>
    <w:rsid w:val="00986C67"/>
    <w:rsid w:val="00986D65"/>
    <w:rsid w:val="00986EA8"/>
    <w:rsid w:val="00987494"/>
    <w:rsid w:val="00987834"/>
    <w:rsid w:val="00987E7D"/>
    <w:rsid w:val="00990309"/>
    <w:rsid w:val="0099064F"/>
    <w:rsid w:val="009909C4"/>
    <w:rsid w:val="00990AB8"/>
    <w:rsid w:val="00990B4F"/>
    <w:rsid w:val="00990E96"/>
    <w:rsid w:val="00992025"/>
    <w:rsid w:val="00992952"/>
    <w:rsid w:val="00992ADD"/>
    <w:rsid w:val="00993538"/>
    <w:rsid w:val="00993886"/>
    <w:rsid w:val="00993BE8"/>
    <w:rsid w:val="00993C39"/>
    <w:rsid w:val="009940F5"/>
    <w:rsid w:val="009949C7"/>
    <w:rsid w:val="00994AE2"/>
    <w:rsid w:val="00994F66"/>
    <w:rsid w:val="00995315"/>
    <w:rsid w:val="00995397"/>
    <w:rsid w:val="009957E1"/>
    <w:rsid w:val="00995A0D"/>
    <w:rsid w:val="00995CBE"/>
    <w:rsid w:val="009969E5"/>
    <w:rsid w:val="00996D5F"/>
    <w:rsid w:val="00997186"/>
    <w:rsid w:val="009974FE"/>
    <w:rsid w:val="0099785E"/>
    <w:rsid w:val="009978DB"/>
    <w:rsid w:val="009A0103"/>
    <w:rsid w:val="009A031B"/>
    <w:rsid w:val="009A077B"/>
    <w:rsid w:val="009A0F83"/>
    <w:rsid w:val="009A128D"/>
    <w:rsid w:val="009A12FD"/>
    <w:rsid w:val="009A155C"/>
    <w:rsid w:val="009A1AFD"/>
    <w:rsid w:val="009A1C16"/>
    <w:rsid w:val="009A2E33"/>
    <w:rsid w:val="009A3288"/>
    <w:rsid w:val="009A329F"/>
    <w:rsid w:val="009A3F11"/>
    <w:rsid w:val="009A44AB"/>
    <w:rsid w:val="009A47C8"/>
    <w:rsid w:val="009A4829"/>
    <w:rsid w:val="009A4B4C"/>
    <w:rsid w:val="009A4BA0"/>
    <w:rsid w:val="009A4BAE"/>
    <w:rsid w:val="009A4FFB"/>
    <w:rsid w:val="009A5709"/>
    <w:rsid w:val="009A6C0C"/>
    <w:rsid w:val="009A6FC5"/>
    <w:rsid w:val="009A77B1"/>
    <w:rsid w:val="009B01B1"/>
    <w:rsid w:val="009B01C0"/>
    <w:rsid w:val="009B0D1E"/>
    <w:rsid w:val="009B0EFC"/>
    <w:rsid w:val="009B186B"/>
    <w:rsid w:val="009B19A3"/>
    <w:rsid w:val="009B31CC"/>
    <w:rsid w:val="009B3400"/>
    <w:rsid w:val="009B3AA0"/>
    <w:rsid w:val="009B3D12"/>
    <w:rsid w:val="009B3E61"/>
    <w:rsid w:val="009B45C0"/>
    <w:rsid w:val="009B4A78"/>
    <w:rsid w:val="009B51EE"/>
    <w:rsid w:val="009B5449"/>
    <w:rsid w:val="009B5579"/>
    <w:rsid w:val="009B56DD"/>
    <w:rsid w:val="009B583A"/>
    <w:rsid w:val="009B611B"/>
    <w:rsid w:val="009B6452"/>
    <w:rsid w:val="009B6646"/>
    <w:rsid w:val="009B6EF2"/>
    <w:rsid w:val="009B70FD"/>
    <w:rsid w:val="009B74D4"/>
    <w:rsid w:val="009B76BA"/>
    <w:rsid w:val="009C0111"/>
    <w:rsid w:val="009C0839"/>
    <w:rsid w:val="009C0DC5"/>
    <w:rsid w:val="009C0E35"/>
    <w:rsid w:val="009C1133"/>
    <w:rsid w:val="009C122B"/>
    <w:rsid w:val="009C175C"/>
    <w:rsid w:val="009C183A"/>
    <w:rsid w:val="009C18C2"/>
    <w:rsid w:val="009C1BE8"/>
    <w:rsid w:val="009C2280"/>
    <w:rsid w:val="009C22DA"/>
    <w:rsid w:val="009C2358"/>
    <w:rsid w:val="009C238D"/>
    <w:rsid w:val="009C26F6"/>
    <w:rsid w:val="009C288E"/>
    <w:rsid w:val="009C29AC"/>
    <w:rsid w:val="009C2D3D"/>
    <w:rsid w:val="009C2EDF"/>
    <w:rsid w:val="009C301F"/>
    <w:rsid w:val="009C3710"/>
    <w:rsid w:val="009C3933"/>
    <w:rsid w:val="009C459C"/>
    <w:rsid w:val="009C4AF2"/>
    <w:rsid w:val="009C4EA6"/>
    <w:rsid w:val="009C5F02"/>
    <w:rsid w:val="009C69C3"/>
    <w:rsid w:val="009C6C37"/>
    <w:rsid w:val="009C73D9"/>
    <w:rsid w:val="009C767A"/>
    <w:rsid w:val="009C7707"/>
    <w:rsid w:val="009C7A9D"/>
    <w:rsid w:val="009C7E77"/>
    <w:rsid w:val="009D0321"/>
    <w:rsid w:val="009D063B"/>
    <w:rsid w:val="009D0E8C"/>
    <w:rsid w:val="009D1496"/>
    <w:rsid w:val="009D1686"/>
    <w:rsid w:val="009D1699"/>
    <w:rsid w:val="009D1CC3"/>
    <w:rsid w:val="009D1CC9"/>
    <w:rsid w:val="009D1EAA"/>
    <w:rsid w:val="009D2008"/>
    <w:rsid w:val="009D239E"/>
    <w:rsid w:val="009D3C34"/>
    <w:rsid w:val="009D3E4B"/>
    <w:rsid w:val="009D4427"/>
    <w:rsid w:val="009D4430"/>
    <w:rsid w:val="009D4601"/>
    <w:rsid w:val="009D46A4"/>
    <w:rsid w:val="009D4C02"/>
    <w:rsid w:val="009D4DD3"/>
    <w:rsid w:val="009D4F8D"/>
    <w:rsid w:val="009D536C"/>
    <w:rsid w:val="009D5A57"/>
    <w:rsid w:val="009D63DA"/>
    <w:rsid w:val="009D6999"/>
    <w:rsid w:val="009D6E4D"/>
    <w:rsid w:val="009D71B5"/>
    <w:rsid w:val="009D738C"/>
    <w:rsid w:val="009D7407"/>
    <w:rsid w:val="009D7431"/>
    <w:rsid w:val="009D776B"/>
    <w:rsid w:val="009D7C38"/>
    <w:rsid w:val="009D7C92"/>
    <w:rsid w:val="009D7FEB"/>
    <w:rsid w:val="009E0902"/>
    <w:rsid w:val="009E1F30"/>
    <w:rsid w:val="009E2174"/>
    <w:rsid w:val="009E222D"/>
    <w:rsid w:val="009E2387"/>
    <w:rsid w:val="009E2800"/>
    <w:rsid w:val="009E296C"/>
    <w:rsid w:val="009E3328"/>
    <w:rsid w:val="009E3514"/>
    <w:rsid w:val="009E3806"/>
    <w:rsid w:val="009E3E75"/>
    <w:rsid w:val="009E423C"/>
    <w:rsid w:val="009E43CE"/>
    <w:rsid w:val="009E4997"/>
    <w:rsid w:val="009E49F8"/>
    <w:rsid w:val="009E5571"/>
    <w:rsid w:val="009E59BE"/>
    <w:rsid w:val="009E62CA"/>
    <w:rsid w:val="009E6B1F"/>
    <w:rsid w:val="009E6BAC"/>
    <w:rsid w:val="009E6CBE"/>
    <w:rsid w:val="009E722D"/>
    <w:rsid w:val="009E73D9"/>
    <w:rsid w:val="009F0E62"/>
    <w:rsid w:val="009F158E"/>
    <w:rsid w:val="009F173E"/>
    <w:rsid w:val="009F1768"/>
    <w:rsid w:val="009F1872"/>
    <w:rsid w:val="009F18ED"/>
    <w:rsid w:val="009F1A81"/>
    <w:rsid w:val="009F1B11"/>
    <w:rsid w:val="009F1DA2"/>
    <w:rsid w:val="009F1FA5"/>
    <w:rsid w:val="009F247A"/>
    <w:rsid w:val="009F2618"/>
    <w:rsid w:val="009F4047"/>
    <w:rsid w:val="009F4245"/>
    <w:rsid w:val="009F4489"/>
    <w:rsid w:val="009F44FB"/>
    <w:rsid w:val="009F4CFF"/>
    <w:rsid w:val="009F5180"/>
    <w:rsid w:val="009F55AD"/>
    <w:rsid w:val="009F5839"/>
    <w:rsid w:val="009F5FBF"/>
    <w:rsid w:val="009F6333"/>
    <w:rsid w:val="009F662B"/>
    <w:rsid w:val="009F692A"/>
    <w:rsid w:val="009F6E50"/>
    <w:rsid w:val="009F72D1"/>
    <w:rsid w:val="009F7468"/>
    <w:rsid w:val="009F7744"/>
    <w:rsid w:val="009F79C4"/>
    <w:rsid w:val="009F7F11"/>
    <w:rsid w:val="00A0008F"/>
    <w:rsid w:val="00A000CB"/>
    <w:rsid w:val="00A0162B"/>
    <w:rsid w:val="00A01C95"/>
    <w:rsid w:val="00A01D77"/>
    <w:rsid w:val="00A01F23"/>
    <w:rsid w:val="00A02069"/>
    <w:rsid w:val="00A0240C"/>
    <w:rsid w:val="00A02914"/>
    <w:rsid w:val="00A03329"/>
    <w:rsid w:val="00A037D4"/>
    <w:rsid w:val="00A03834"/>
    <w:rsid w:val="00A03D49"/>
    <w:rsid w:val="00A03D63"/>
    <w:rsid w:val="00A03DF9"/>
    <w:rsid w:val="00A04097"/>
    <w:rsid w:val="00A044B5"/>
    <w:rsid w:val="00A046FF"/>
    <w:rsid w:val="00A04B36"/>
    <w:rsid w:val="00A05432"/>
    <w:rsid w:val="00A05944"/>
    <w:rsid w:val="00A05DF5"/>
    <w:rsid w:val="00A0675F"/>
    <w:rsid w:val="00A06F99"/>
    <w:rsid w:val="00A0744E"/>
    <w:rsid w:val="00A07DFA"/>
    <w:rsid w:val="00A1062D"/>
    <w:rsid w:val="00A1087F"/>
    <w:rsid w:val="00A11544"/>
    <w:rsid w:val="00A115CD"/>
    <w:rsid w:val="00A117B9"/>
    <w:rsid w:val="00A11F9F"/>
    <w:rsid w:val="00A122DA"/>
    <w:rsid w:val="00A12B69"/>
    <w:rsid w:val="00A13A75"/>
    <w:rsid w:val="00A13E28"/>
    <w:rsid w:val="00A13EF0"/>
    <w:rsid w:val="00A13F2E"/>
    <w:rsid w:val="00A145EE"/>
    <w:rsid w:val="00A14BD3"/>
    <w:rsid w:val="00A14C39"/>
    <w:rsid w:val="00A1502B"/>
    <w:rsid w:val="00A1505B"/>
    <w:rsid w:val="00A153B4"/>
    <w:rsid w:val="00A15673"/>
    <w:rsid w:val="00A15805"/>
    <w:rsid w:val="00A15D22"/>
    <w:rsid w:val="00A1621A"/>
    <w:rsid w:val="00A166E5"/>
    <w:rsid w:val="00A16716"/>
    <w:rsid w:val="00A16C4C"/>
    <w:rsid w:val="00A1714B"/>
    <w:rsid w:val="00A17161"/>
    <w:rsid w:val="00A1744F"/>
    <w:rsid w:val="00A17A35"/>
    <w:rsid w:val="00A17C88"/>
    <w:rsid w:val="00A17D4F"/>
    <w:rsid w:val="00A20275"/>
    <w:rsid w:val="00A209CE"/>
    <w:rsid w:val="00A20CF9"/>
    <w:rsid w:val="00A2157E"/>
    <w:rsid w:val="00A2163F"/>
    <w:rsid w:val="00A21757"/>
    <w:rsid w:val="00A21BC0"/>
    <w:rsid w:val="00A220FC"/>
    <w:rsid w:val="00A221FF"/>
    <w:rsid w:val="00A23148"/>
    <w:rsid w:val="00A231E3"/>
    <w:rsid w:val="00A23682"/>
    <w:rsid w:val="00A24056"/>
    <w:rsid w:val="00A241BB"/>
    <w:rsid w:val="00A2421A"/>
    <w:rsid w:val="00A242FB"/>
    <w:rsid w:val="00A2447B"/>
    <w:rsid w:val="00A24C1C"/>
    <w:rsid w:val="00A25AAC"/>
    <w:rsid w:val="00A25B35"/>
    <w:rsid w:val="00A25C9A"/>
    <w:rsid w:val="00A26233"/>
    <w:rsid w:val="00A2636D"/>
    <w:rsid w:val="00A26587"/>
    <w:rsid w:val="00A26757"/>
    <w:rsid w:val="00A269C8"/>
    <w:rsid w:val="00A26DE6"/>
    <w:rsid w:val="00A26E28"/>
    <w:rsid w:val="00A27598"/>
    <w:rsid w:val="00A30582"/>
    <w:rsid w:val="00A31215"/>
    <w:rsid w:val="00A3123A"/>
    <w:rsid w:val="00A31A33"/>
    <w:rsid w:val="00A31DFF"/>
    <w:rsid w:val="00A31FC8"/>
    <w:rsid w:val="00A3211A"/>
    <w:rsid w:val="00A323B0"/>
    <w:rsid w:val="00A323F8"/>
    <w:rsid w:val="00A32A70"/>
    <w:rsid w:val="00A32AD1"/>
    <w:rsid w:val="00A32E5B"/>
    <w:rsid w:val="00A3302B"/>
    <w:rsid w:val="00A33126"/>
    <w:rsid w:val="00A334B6"/>
    <w:rsid w:val="00A3353E"/>
    <w:rsid w:val="00A33785"/>
    <w:rsid w:val="00A33E4E"/>
    <w:rsid w:val="00A34076"/>
    <w:rsid w:val="00A34285"/>
    <w:rsid w:val="00A34972"/>
    <w:rsid w:val="00A357EA"/>
    <w:rsid w:val="00A359D7"/>
    <w:rsid w:val="00A35D15"/>
    <w:rsid w:val="00A35D73"/>
    <w:rsid w:val="00A35F44"/>
    <w:rsid w:val="00A36067"/>
    <w:rsid w:val="00A36626"/>
    <w:rsid w:val="00A36C83"/>
    <w:rsid w:val="00A36D1C"/>
    <w:rsid w:val="00A3728A"/>
    <w:rsid w:val="00A377A2"/>
    <w:rsid w:val="00A37BD3"/>
    <w:rsid w:val="00A403A6"/>
    <w:rsid w:val="00A412A1"/>
    <w:rsid w:val="00A41356"/>
    <w:rsid w:val="00A41560"/>
    <w:rsid w:val="00A41579"/>
    <w:rsid w:val="00A41DBF"/>
    <w:rsid w:val="00A41FC1"/>
    <w:rsid w:val="00A422DF"/>
    <w:rsid w:val="00A423E1"/>
    <w:rsid w:val="00A42764"/>
    <w:rsid w:val="00A42791"/>
    <w:rsid w:val="00A429B3"/>
    <w:rsid w:val="00A42D14"/>
    <w:rsid w:val="00A42D8D"/>
    <w:rsid w:val="00A42F92"/>
    <w:rsid w:val="00A4319A"/>
    <w:rsid w:val="00A43543"/>
    <w:rsid w:val="00A43748"/>
    <w:rsid w:val="00A43E0D"/>
    <w:rsid w:val="00A44004"/>
    <w:rsid w:val="00A44049"/>
    <w:rsid w:val="00A44279"/>
    <w:rsid w:val="00A443BE"/>
    <w:rsid w:val="00A44732"/>
    <w:rsid w:val="00A449A2"/>
    <w:rsid w:val="00A44B01"/>
    <w:rsid w:val="00A44D9C"/>
    <w:rsid w:val="00A44DDA"/>
    <w:rsid w:val="00A44E31"/>
    <w:rsid w:val="00A44E77"/>
    <w:rsid w:val="00A452FE"/>
    <w:rsid w:val="00A4585C"/>
    <w:rsid w:val="00A45A4B"/>
    <w:rsid w:val="00A45B58"/>
    <w:rsid w:val="00A45F7B"/>
    <w:rsid w:val="00A4651D"/>
    <w:rsid w:val="00A46838"/>
    <w:rsid w:val="00A46905"/>
    <w:rsid w:val="00A470A7"/>
    <w:rsid w:val="00A4756E"/>
    <w:rsid w:val="00A4782C"/>
    <w:rsid w:val="00A47895"/>
    <w:rsid w:val="00A47DB3"/>
    <w:rsid w:val="00A501C0"/>
    <w:rsid w:val="00A50494"/>
    <w:rsid w:val="00A50C82"/>
    <w:rsid w:val="00A51325"/>
    <w:rsid w:val="00A515D6"/>
    <w:rsid w:val="00A51B77"/>
    <w:rsid w:val="00A521A1"/>
    <w:rsid w:val="00A521DC"/>
    <w:rsid w:val="00A523ED"/>
    <w:rsid w:val="00A525CD"/>
    <w:rsid w:val="00A5306E"/>
    <w:rsid w:val="00A53654"/>
    <w:rsid w:val="00A53A8C"/>
    <w:rsid w:val="00A53EDE"/>
    <w:rsid w:val="00A541D1"/>
    <w:rsid w:val="00A542C5"/>
    <w:rsid w:val="00A543EA"/>
    <w:rsid w:val="00A54876"/>
    <w:rsid w:val="00A54B95"/>
    <w:rsid w:val="00A54CAE"/>
    <w:rsid w:val="00A54D92"/>
    <w:rsid w:val="00A54F48"/>
    <w:rsid w:val="00A551EF"/>
    <w:rsid w:val="00A55366"/>
    <w:rsid w:val="00A55664"/>
    <w:rsid w:val="00A561FD"/>
    <w:rsid w:val="00A56A88"/>
    <w:rsid w:val="00A56CB0"/>
    <w:rsid w:val="00A575F5"/>
    <w:rsid w:val="00A57B75"/>
    <w:rsid w:val="00A57BBD"/>
    <w:rsid w:val="00A601E8"/>
    <w:rsid w:val="00A603CA"/>
    <w:rsid w:val="00A606A5"/>
    <w:rsid w:val="00A61EC2"/>
    <w:rsid w:val="00A61EC8"/>
    <w:rsid w:val="00A61ED8"/>
    <w:rsid w:val="00A61EFD"/>
    <w:rsid w:val="00A62163"/>
    <w:rsid w:val="00A624AF"/>
    <w:rsid w:val="00A633FD"/>
    <w:rsid w:val="00A637EE"/>
    <w:rsid w:val="00A63AFE"/>
    <w:rsid w:val="00A64077"/>
    <w:rsid w:val="00A641B5"/>
    <w:rsid w:val="00A6447D"/>
    <w:rsid w:val="00A649F3"/>
    <w:rsid w:val="00A64A07"/>
    <w:rsid w:val="00A64AB9"/>
    <w:rsid w:val="00A653B9"/>
    <w:rsid w:val="00A6586B"/>
    <w:rsid w:val="00A65B04"/>
    <w:rsid w:val="00A66861"/>
    <w:rsid w:val="00A66BED"/>
    <w:rsid w:val="00A6725C"/>
    <w:rsid w:val="00A67359"/>
    <w:rsid w:val="00A67F1B"/>
    <w:rsid w:val="00A70523"/>
    <w:rsid w:val="00A70788"/>
    <w:rsid w:val="00A709E0"/>
    <w:rsid w:val="00A719BF"/>
    <w:rsid w:val="00A71C1A"/>
    <w:rsid w:val="00A724A1"/>
    <w:rsid w:val="00A7285A"/>
    <w:rsid w:val="00A736B9"/>
    <w:rsid w:val="00A739C3"/>
    <w:rsid w:val="00A73CEF"/>
    <w:rsid w:val="00A73FBD"/>
    <w:rsid w:val="00A7403F"/>
    <w:rsid w:val="00A746AB"/>
    <w:rsid w:val="00A74A7B"/>
    <w:rsid w:val="00A74C7E"/>
    <w:rsid w:val="00A75127"/>
    <w:rsid w:val="00A7549D"/>
    <w:rsid w:val="00A754C3"/>
    <w:rsid w:val="00A75B97"/>
    <w:rsid w:val="00A76002"/>
    <w:rsid w:val="00A7639B"/>
    <w:rsid w:val="00A764B6"/>
    <w:rsid w:val="00A76786"/>
    <w:rsid w:val="00A7685A"/>
    <w:rsid w:val="00A77376"/>
    <w:rsid w:val="00A77642"/>
    <w:rsid w:val="00A80056"/>
    <w:rsid w:val="00A8031F"/>
    <w:rsid w:val="00A80602"/>
    <w:rsid w:val="00A8089A"/>
    <w:rsid w:val="00A80A1D"/>
    <w:rsid w:val="00A80C46"/>
    <w:rsid w:val="00A816A0"/>
    <w:rsid w:val="00A8177D"/>
    <w:rsid w:val="00A8178B"/>
    <w:rsid w:val="00A826B4"/>
    <w:rsid w:val="00A82753"/>
    <w:rsid w:val="00A82852"/>
    <w:rsid w:val="00A828F9"/>
    <w:rsid w:val="00A82ACC"/>
    <w:rsid w:val="00A8315D"/>
    <w:rsid w:val="00A8320F"/>
    <w:rsid w:val="00A8346A"/>
    <w:rsid w:val="00A8399B"/>
    <w:rsid w:val="00A83CC2"/>
    <w:rsid w:val="00A8410A"/>
    <w:rsid w:val="00A8424C"/>
    <w:rsid w:val="00A84576"/>
    <w:rsid w:val="00A8471B"/>
    <w:rsid w:val="00A84852"/>
    <w:rsid w:val="00A85642"/>
    <w:rsid w:val="00A860AC"/>
    <w:rsid w:val="00A86AAC"/>
    <w:rsid w:val="00A86D5C"/>
    <w:rsid w:val="00A870DD"/>
    <w:rsid w:val="00A87448"/>
    <w:rsid w:val="00A87DB5"/>
    <w:rsid w:val="00A87DBB"/>
    <w:rsid w:val="00A90168"/>
    <w:rsid w:val="00A90210"/>
    <w:rsid w:val="00A902BA"/>
    <w:rsid w:val="00A90586"/>
    <w:rsid w:val="00A90CA2"/>
    <w:rsid w:val="00A91CA8"/>
    <w:rsid w:val="00A92016"/>
    <w:rsid w:val="00A920F7"/>
    <w:rsid w:val="00A92630"/>
    <w:rsid w:val="00A92E0A"/>
    <w:rsid w:val="00A93029"/>
    <w:rsid w:val="00A934FD"/>
    <w:rsid w:val="00A93889"/>
    <w:rsid w:val="00A93A76"/>
    <w:rsid w:val="00A942F3"/>
    <w:rsid w:val="00A9430B"/>
    <w:rsid w:val="00A95168"/>
    <w:rsid w:val="00A9532B"/>
    <w:rsid w:val="00A9535D"/>
    <w:rsid w:val="00A95698"/>
    <w:rsid w:val="00A96174"/>
    <w:rsid w:val="00A96953"/>
    <w:rsid w:val="00A96A82"/>
    <w:rsid w:val="00A97429"/>
    <w:rsid w:val="00A9757A"/>
    <w:rsid w:val="00A975CB"/>
    <w:rsid w:val="00A977CF"/>
    <w:rsid w:val="00A97AF5"/>
    <w:rsid w:val="00A97EEE"/>
    <w:rsid w:val="00AA07D1"/>
    <w:rsid w:val="00AA0ED3"/>
    <w:rsid w:val="00AA1677"/>
    <w:rsid w:val="00AA1804"/>
    <w:rsid w:val="00AA1CA5"/>
    <w:rsid w:val="00AA287E"/>
    <w:rsid w:val="00AA2EE6"/>
    <w:rsid w:val="00AA30FA"/>
    <w:rsid w:val="00AA32FF"/>
    <w:rsid w:val="00AA41D3"/>
    <w:rsid w:val="00AA5221"/>
    <w:rsid w:val="00AA5511"/>
    <w:rsid w:val="00AA5AF3"/>
    <w:rsid w:val="00AA6CFE"/>
    <w:rsid w:val="00AA6E4E"/>
    <w:rsid w:val="00AA74C5"/>
    <w:rsid w:val="00AA755B"/>
    <w:rsid w:val="00AA7694"/>
    <w:rsid w:val="00AA7AAD"/>
    <w:rsid w:val="00AB003F"/>
    <w:rsid w:val="00AB09A8"/>
    <w:rsid w:val="00AB1007"/>
    <w:rsid w:val="00AB132B"/>
    <w:rsid w:val="00AB16CD"/>
    <w:rsid w:val="00AB2993"/>
    <w:rsid w:val="00AB2BD3"/>
    <w:rsid w:val="00AB303D"/>
    <w:rsid w:val="00AB304A"/>
    <w:rsid w:val="00AB34BE"/>
    <w:rsid w:val="00AB376F"/>
    <w:rsid w:val="00AB3C50"/>
    <w:rsid w:val="00AB3F26"/>
    <w:rsid w:val="00AB3F28"/>
    <w:rsid w:val="00AB414A"/>
    <w:rsid w:val="00AB4331"/>
    <w:rsid w:val="00AB491B"/>
    <w:rsid w:val="00AB4D24"/>
    <w:rsid w:val="00AB4E17"/>
    <w:rsid w:val="00AB519B"/>
    <w:rsid w:val="00AB52C2"/>
    <w:rsid w:val="00AB5B21"/>
    <w:rsid w:val="00AB61A4"/>
    <w:rsid w:val="00AB623F"/>
    <w:rsid w:val="00AB6440"/>
    <w:rsid w:val="00AB645C"/>
    <w:rsid w:val="00AB6ABF"/>
    <w:rsid w:val="00AB6DAA"/>
    <w:rsid w:val="00AB716C"/>
    <w:rsid w:val="00AB76AB"/>
    <w:rsid w:val="00AC007C"/>
    <w:rsid w:val="00AC01AA"/>
    <w:rsid w:val="00AC0501"/>
    <w:rsid w:val="00AC0536"/>
    <w:rsid w:val="00AC0C45"/>
    <w:rsid w:val="00AC0DCC"/>
    <w:rsid w:val="00AC118F"/>
    <w:rsid w:val="00AC1300"/>
    <w:rsid w:val="00AC140A"/>
    <w:rsid w:val="00AC1A33"/>
    <w:rsid w:val="00AC1B77"/>
    <w:rsid w:val="00AC240A"/>
    <w:rsid w:val="00AC2C41"/>
    <w:rsid w:val="00AC311A"/>
    <w:rsid w:val="00AC378D"/>
    <w:rsid w:val="00AC3832"/>
    <w:rsid w:val="00AC3BE1"/>
    <w:rsid w:val="00AC4479"/>
    <w:rsid w:val="00AC4AC6"/>
    <w:rsid w:val="00AC4EE3"/>
    <w:rsid w:val="00AC5343"/>
    <w:rsid w:val="00AC53BB"/>
    <w:rsid w:val="00AC58DB"/>
    <w:rsid w:val="00AC5CA8"/>
    <w:rsid w:val="00AC61B2"/>
    <w:rsid w:val="00AC6823"/>
    <w:rsid w:val="00AC68A9"/>
    <w:rsid w:val="00AC6C64"/>
    <w:rsid w:val="00AC6D5F"/>
    <w:rsid w:val="00AC6DD9"/>
    <w:rsid w:val="00AC722D"/>
    <w:rsid w:val="00AC78D4"/>
    <w:rsid w:val="00AC79CB"/>
    <w:rsid w:val="00AD0A65"/>
    <w:rsid w:val="00AD0A7E"/>
    <w:rsid w:val="00AD0FC2"/>
    <w:rsid w:val="00AD1467"/>
    <w:rsid w:val="00AD1959"/>
    <w:rsid w:val="00AD19E6"/>
    <w:rsid w:val="00AD1AB9"/>
    <w:rsid w:val="00AD2163"/>
    <w:rsid w:val="00AD2C10"/>
    <w:rsid w:val="00AD2CD1"/>
    <w:rsid w:val="00AD2D24"/>
    <w:rsid w:val="00AD3186"/>
    <w:rsid w:val="00AD39FA"/>
    <w:rsid w:val="00AD3B06"/>
    <w:rsid w:val="00AD3C6B"/>
    <w:rsid w:val="00AD4305"/>
    <w:rsid w:val="00AD4598"/>
    <w:rsid w:val="00AD472E"/>
    <w:rsid w:val="00AD5043"/>
    <w:rsid w:val="00AD505A"/>
    <w:rsid w:val="00AD51F3"/>
    <w:rsid w:val="00AD5736"/>
    <w:rsid w:val="00AD5AB7"/>
    <w:rsid w:val="00AD6291"/>
    <w:rsid w:val="00AD6460"/>
    <w:rsid w:val="00AD6F3F"/>
    <w:rsid w:val="00AD7299"/>
    <w:rsid w:val="00AD7533"/>
    <w:rsid w:val="00AD7C4E"/>
    <w:rsid w:val="00AE006D"/>
    <w:rsid w:val="00AE072C"/>
    <w:rsid w:val="00AE0A20"/>
    <w:rsid w:val="00AE0EBC"/>
    <w:rsid w:val="00AE0F70"/>
    <w:rsid w:val="00AE156B"/>
    <w:rsid w:val="00AE1A67"/>
    <w:rsid w:val="00AE1B0B"/>
    <w:rsid w:val="00AE2363"/>
    <w:rsid w:val="00AE296A"/>
    <w:rsid w:val="00AE32BD"/>
    <w:rsid w:val="00AE3325"/>
    <w:rsid w:val="00AE387F"/>
    <w:rsid w:val="00AE3D52"/>
    <w:rsid w:val="00AE4961"/>
    <w:rsid w:val="00AE4A55"/>
    <w:rsid w:val="00AE4EE1"/>
    <w:rsid w:val="00AE5096"/>
    <w:rsid w:val="00AE5409"/>
    <w:rsid w:val="00AE54C6"/>
    <w:rsid w:val="00AE5566"/>
    <w:rsid w:val="00AE5AC2"/>
    <w:rsid w:val="00AE5CE0"/>
    <w:rsid w:val="00AE6279"/>
    <w:rsid w:val="00AE6473"/>
    <w:rsid w:val="00AE6FE0"/>
    <w:rsid w:val="00AE7157"/>
    <w:rsid w:val="00AF0C1B"/>
    <w:rsid w:val="00AF13A8"/>
    <w:rsid w:val="00AF1473"/>
    <w:rsid w:val="00AF1738"/>
    <w:rsid w:val="00AF1946"/>
    <w:rsid w:val="00AF199D"/>
    <w:rsid w:val="00AF1A41"/>
    <w:rsid w:val="00AF22AD"/>
    <w:rsid w:val="00AF26E6"/>
    <w:rsid w:val="00AF2AFA"/>
    <w:rsid w:val="00AF2C27"/>
    <w:rsid w:val="00AF2DDA"/>
    <w:rsid w:val="00AF347B"/>
    <w:rsid w:val="00AF34B5"/>
    <w:rsid w:val="00AF34D3"/>
    <w:rsid w:val="00AF3839"/>
    <w:rsid w:val="00AF38BD"/>
    <w:rsid w:val="00AF3A07"/>
    <w:rsid w:val="00AF425F"/>
    <w:rsid w:val="00AF4548"/>
    <w:rsid w:val="00AF4980"/>
    <w:rsid w:val="00AF4A93"/>
    <w:rsid w:val="00AF4EBE"/>
    <w:rsid w:val="00AF503D"/>
    <w:rsid w:val="00AF5A6F"/>
    <w:rsid w:val="00AF5B1C"/>
    <w:rsid w:val="00AF6211"/>
    <w:rsid w:val="00AF6A3F"/>
    <w:rsid w:val="00AF6D58"/>
    <w:rsid w:val="00AF70B8"/>
    <w:rsid w:val="00AF7546"/>
    <w:rsid w:val="00AF784B"/>
    <w:rsid w:val="00B00337"/>
    <w:rsid w:val="00B00880"/>
    <w:rsid w:val="00B010D3"/>
    <w:rsid w:val="00B0147E"/>
    <w:rsid w:val="00B015F5"/>
    <w:rsid w:val="00B02141"/>
    <w:rsid w:val="00B02172"/>
    <w:rsid w:val="00B02FBC"/>
    <w:rsid w:val="00B03156"/>
    <w:rsid w:val="00B03672"/>
    <w:rsid w:val="00B03A03"/>
    <w:rsid w:val="00B04722"/>
    <w:rsid w:val="00B04ADF"/>
    <w:rsid w:val="00B04BA7"/>
    <w:rsid w:val="00B05025"/>
    <w:rsid w:val="00B05584"/>
    <w:rsid w:val="00B0577D"/>
    <w:rsid w:val="00B05EF7"/>
    <w:rsid w:val="00B064E4"/>
    <w:rsid w:val="00B06666"/>
    <w:rsid w:val="00B068B6"/>
    <w:rsid w:val="00B0699B"/>
    <w:rsid w:val="00B06A17"/>
    <w:rsid w:val="00B06A4C"/>
    <w:rsid w:val="00B06C06"/>
    <w:rsid w:val="00B06EB2"/>
    <w:rsid w:val="00B07024"/>
    <w:rsid w:val="00B0766F"/>
    <w:rsid w:val="00B07811"/>
    <w:rsid w:val="00B07C7A"/>
    <w:rsid w:val="00B1077D"/>
    <w:rsid w:val="00B1084E"/>
    <w:rsid w:val="00B108C2"/>
    <w:rsid w:val="00B10D5C"/>
    <w:rsid w:val="00B10E3C"/>
    <w:rsid w:val="00B111C5"/>
    <w:rsid w:val="00B112A2"/>
    <w:rsid w:val="00B11580"/>
    <w:rsid w:val="00B11E94"/>
    <w:rsid w:val="00B11FB4"/>
    <w:rsid w:val="00B12028"/>
    <w:rsid w:val="00B136DE"/>
    <w:rsid w:val="00B13719"/>
    <w:rsid w:val="00B13A52"/>
    <w:rsid w:val="00B13F13"/>
    <w:rsid w:val="00B14153"/>
    <w:rsid w:val="00B143AF"/>
    <w:rsid w:val="00B1477F"/>
    <w:rsid w:val="00B14922"/>
    <w:rsid w:val="00B14ED4"/>
    <w:rsid w:val="00B150C5"/>
    <w:rsid w:val="00B1525A"/>
    <w:rsid w:val="00B15962"/>
    <w:rsid w:val="00B15971"/>
    <w:rsid w:val="00B15CA8"/>
    <w:rsid w:val="00B1646F"/>
    <w:rsid w:val="00B1730D"/>
    <w:rsid w:val="00B1737E"/>
    <w:rsid w:val="00B17767"/>
    <w:rsid w:val="00B17B75"/>
    <w:rsid w:val="00B17FC2"/>
    <w:rsid w:val="00B2027B"/>
    <w:rsid w:val="00B20A9F"/>
    <w:rsid w:val="00B21053"/>
    <w:rsid w:val="00B21534"/>
    <w:rsid w:val="00B219D0"/>
    <w:rsid w:val="00B21AF2"/>
    <w:rsid w:val="00B22000"/>
    <w:rsid w:val="00B220A7"/>
    <w:rsid w:val="00B2211A"/>
    <w:rsid w:val="00B2248C"/>
    <w:rsid w:val="00B22707"/>
    <w:rsid w:val="00B22B6D"/>
    <w:rsid w:val="00B22EAC"/>
    <w:rsid w:val="00B230C9"/>
    <w:rsid w:val="00B23CD0"/>
    <w:rsid w:val="00B23FC7"/>
    <w:rsid w:val="00B24040"/>
    <w:rsid w:val="00B24268"/>
    <w:rsid w:val="00B24278"/>
    <w:rsid w:val="00B257DE"/>
    <w:rsid w:val="00B258F1"/>
    <w:rsid w:val="00B25AEB"/>
    <w:rsid w:val="00B27002"/>
    <w:rsid w:val="00B273AA"/>
    <w:rsid w:val="00B2767B"/>
    <w:rsid w:val="00B27B65"/>
    <w:rsid w:val="00B30938"/>
    <w:rsid w:val="00B30B5E"/>
    <w:rsid w:val="00B30B7A"/>
    <w:rsid w:val="00B31256"/>
    <w:rsid w:val="00B316A2"/>
    <w:rsid w:val="00B31CCB"/>
    <w:rsid w:val="00B31F4E"/>
    <w:rsid w:val="00B32111"/>
    <w:rsid w:val="00B327A5"/>
    <w:rsid w:val="00B3288E"/>
    <w:rsid w:val="00B3331A"/>
    <w:rsid w:val="00B33A89"/>
    <w:rsid w:val="00B33C56"/>
    <w:rsid w:val="00B34045"/>
    <w:rsid w:val="00B344F7"/>
    <w:rsid w:val="00B3479D"/>
    <w:rsid w:val="00B347AB"/>
    <w:rsid w:val="00B34BFF"/>
    <w:rsid w:val="00B3562E"/>
    <w:rsid w:val="00B358B0"/>
    <w:rsid w:val="00B36211"/>
    <w:rsid w:val="00B365C4"/>
    <w:rsid w:val="00B36861"/>
    <w:rsid w:val="00B36B46"/>
    <w:rsid w:val="00B37318"/>
    <w:rsid w:val="00B375C1"/>
    <w:rsid w:val="00B37D5A"/>
    <w:rsid w:val="00B37E73"/>
    <w:rsid w:val="00B401AA"/>
    <w:rsid w:val="00B403B1"/>
    <w:rsid w:val="00B408D3"/>
    <w:rsid w:val="00B409F1"/>
    <w:rsid w:val="00B40A25"/>
    <w:rsid w:val="00B40D5D"/>
    <w:rsid w:val="00B4108A"/>
    <w:rsid w:val="00B41296"/>
    <w:rsid w:val="00B41CB5"/>
    <w:rsid w:val="00B425EB"/>
    <w:rsid w:val="00B42981"/>
    <w:rsid w:val="00B42BC7"/>
    <w:rsid w:val="00B4310B"/>
    <w:rsid w:val="00B4328C"/>
    <w:rsid w:val="00B433CB"/>
    <w:rsid w:val="00B43A4D"/>
    <w:rsid w:val="00B43EEF"/>
    <w:rsid w:val="00B44023"/>
    <w:rsid w:val="00B442B7"/>
    <w:rsid w:val="00B4454F"/>
    <w:rsid w:val="00B44E32"/>
    <w:rsid w:val="00B4538A"/>
    <w:rsid w:val="00B458BC"/>
    <w:rsid w:val="00B46905"/>
    <w:rsid w:val="00B46B5D"/>
    <w:rsid w:val="00B46DFA"/>
    <w:rsid w:val="00B47156"/>
    <w:rsid w:val="00B476FD"/>
    <w:rsid w:val="00B47E23"/>
    <w:rsid w:val="00B501D2"/>
    <w:rsid w:val="00B502E7"/>
    <w:rsid w:val="00B5040F"/>
    <w:rsid w:val="00B50C55"/>
    <w:rsid w:val="00B51088"/>
    <w:rsid w:val="00B51375"/>
    <w:rsid w:val="00B51F56"/>
    <w:rsid w:val="00B525AF"/>
    <w:rsid w:val="00B52887"/>
    <w:rsid w:val="00B532FE"/>
    <w:rsid w:val="00B53308"/>
    <w:rsid w:val="00B5372B"/>
    <w:rsid w:val="00B53E26"/>
    <w:rsid w:val="00B541D4"/>
    <w:rsid w:val="00B54277"/>
    <w:rsid w:val="00B546A8"/>
    <w:rsid w:val="00B54E61"/>
    <w:rsid w:val="00B55156"/>
    <w:rsid w:val="00B553C5"/>
    <w:rsid w:val="00B55422"/>
    <w:rsid w:val="00B559A0"/>
    <w:rsid w:val="00B55E7C"/>
    <w:rsid w:val="00B55F95"/>
    <w:rsid w:val="00B56AF9"/>
    <w:rsid w:val="00B56BE2"/>
    <w:rsid w:val="00B56D22"/>
    <w:rsid w:val="00B56DEF"/>
    <w:rsid w:val="00B5707B"/>
    <w:rsid w:val="00B5768B"/>
    <w:rsid w:val="00B5797E"/>
    <w:rsid w:val="00B57B04"/>
    <w:rsid w:val="00B57BA6"/>
    <w:rsid w:val="00B6023D"/>
    <w:rsid w:val="00B60A9C"/>
    <w:rsid w:val="00B60B56"/>
    <w:rsid w:val="00B61DE4"/>
    <w:rsid w:val="00B62050"/>
    <w:rsid w:val="00B624FD"/>
    <w:rsid w:val="00B6290B"/>
    <w:rsid w:val="00B62ADF"/>
    <w:rsid w:val="00B637D7"/>
    <w:rsid w:val="00B63DFA"/>
    <w:rsid w:val="00B6408B"/>
    <w:rsid w:val="00B645E8"/>
    <w:rsid w:val="00B64D3F"/>
    <w:rsid w:val="00B64D6B"/>
    <w:rsid w:val="00B65093"/>
    <w:rsid w:val="00B653F6"/>
    <w:rsid w:val="00B66771"/>
    <w:rsid w:val="00B67158"/>
    <w:rsid w:val="00B6771D"/>
    <w:rsid w:val="00B70977"/>
    <w:rsid w:val="00B70BDC"/>
    <w:rsid w:val="00B70F22"/>
    <w:rsid w:val="00B71059"/>
    <w:rsid w:val="00B71506"/>
    <w:rsid w:val="00B71D8A"/>
    <w:rsid w:val="00B71EF1"/>
    <w:rsid w:val="00B72243"/>
    <w:rsid w:val="00B72295"/>
    <w:rsid w:val="00B72BEC"/>
    <w:rsid w:val="00B735A4"/>
    <w:rsid w:val="00B73672"/>
    <w:rsid w:val="00B7372E"/>
    <w:rsid w:val="00B73772"/>
    <w:rsid w:val="00B7389F"/>
    <w:rsid w:val="00B738BE"/>
    <w:rsid w:val="00B73A92"/>
    <w:rsid w:val="00B74180"/>
    <w:rsid w:val="00B74C2C"/>
    <w:rsid w:val="00B74F11"/>
    <w:rsid w:val="00B74FA5"/>
    <w:rsid w:val="00B75A15"/>
    <w:rsid w:val="00B75C00"/>
    <w:rsid w:val="00B75D54"/>
    <w:rsid w:val="00B7601B"/>
    <w:rsid w:val="00B7601D"/>
    <w:rsid w:val="00B762BD"/>
    <w:rsid w:val="00B7654A"/>
    <w:rsid w:val="00B775D4"/>
    <w:rsid w:val="00B7776D"/>
    <w:rsid w:val="00B77A89"/>
    <w:rsid w:val="00B80958"/>
    <w:rsid w:val="00B809CF"/>
    <w:rsid w:val="00B80DE7"/>
    <w:rsid w:val="00B8106A"/>
    <w:rsid w:val="00B8122F"/>
    <w:rsid w:val="00B81290"/>
    <w:rsid w:val="00B812A7"/>
    <w:rsid w:val="00B812E0"/>
    <w:rsid w:val="00B81901"/>
    <w:rsid w:val="00B81AAF"/>
    <w:rsid w:val="00B81F5E"/>
    <w:rsid w:val="00B820E5"/>
    <w:rsid w:val="00B8251D"/>
    <w:rsid w:val="00B82A03"/>
    <w:rsid w:val="00B8344F"/>
    <w:rsid w:val="00B837A4"/>
    <w:rsid w:val="00B83818"/>
    <w:rsid w:val="00B84199"/>
    <w:rsid w:val="00B841D6"/>
    <w:rsid w:val="00B84AEB"/>
    <w:rsid w:val="00B84D8D"/>
    <w:rsid w:val="00B84EB6"/>
    <w:rsid w:val="00B8518E"/>
    <w:rsid w:val="00B851A4"/>
    <w:rsid w:val="00B8537D"/>
    <w:rsid w:val="00B858A5"/>
    <w:rsid w:val="00B85DB3"/>
    <w:rsid w:val="00B85E80"/>
    <w:rsid w:val="00B85ED1"/>
    <w:rsid w:val="00B8606E"/>
    <w:rsid w:val="00B863DA"/>
    <w:rsid w:val="00B86847"/>
    <w:rsid w:val="00B86A97"/>
    <w:rsid w:val="00B87052"/>
    <w:rsid w:val="00B873AA"/>
    <w:rsid w:val="00B87467"/>
    <w:rsid w:val="00B8752B"/>
    <w:rsid w:val="00B87F65"/>
    <w:rsid w:val="00B87F96"/>
    <w:rsid w:val="00B90099"/>
    <w:rsid w:val="00B90BB3"/>
    <w:rsid w:val="00B919F0"/>
    <w:rsid w:val="00B91C7D"/>
    <w:rsid w:val="00B91D48"/>
    <w:rsid w:val="00B92541"/>
    <w:rsid w:val="00B92FE7"/>
    <w:rsid w:val="00B932D2"/>
    <w:rsid w:val="00B93630"/>
    <w:rsid w:val="00B938E6"/>
    <w:rsid w:val="00B93BCA"/>
    <w:rsid w:val="00B94330"/>
    <w:rsid w:val="00B943D5"/>
    <w:rsid w:val="00B94576"/>
    <w:rsid w:val="00B94687"/>
    <w:rsid w:val="00B9468A"/>
    <w:rsid w:val="00B9488F"/>
    <w:rsid w:val="00B94911"/>
    <w:rsid w:val="00B94A1B"/>
    <w:rsid w:val="00B954C5"/>
    <w:rsid w:val="00B95B01"/>
    <w:rsid w:val="00B960C6"/>
    <w:rsid w:val="00B96492"/>
    <w:rsid w:val="00B96625"/>
    <w:rsid w:val="00B971DC"/>
    <w:rsid w:val="00B9785B"/>
    <w:rsid w:val="00B97A68"/>
    <w:rsid w:val="00B97B97"/>
    <w:rsid w:val="00BA0307"/>
    <w:rsid w:val="00BA0740"/>
    <w:rsid w:val="00BA0967"/>
    <w:rsid w:val="00BA0A31"/>
    <w:rsid w:val="00BA189A"/>
    <w:rsid w:val="00BA1E3A"/>
    <w:rsid w:val="00BA21E1"/>
    <w:rsid w:val="00BA2509"/>
    <w:rsid w:val="00BA2527"/>
    <w:rsid w:val="00BA338A"/>
    <w:rsid w:val="00BA3944"/>
    <w:rsid w:val="00BA3A0F"/>
    <w:rsid w:val="00BA3E7A"/>
    <w:rsid w:val="00BA3E84"/>
    <w:rsid w:val="00BA42D8"/>
    <w:rsid w:val="00BA4459"/>
    <w:rsid w:val="00BA4A2C"/>
    <w:rsid w:val="00BA4E93"/>
    <w:rsid w:val="00BA4EFD"/>
    <w:rsid w:val="00BA529B"/>
    <w:rsid w:val="00BA53D7"/>
    <w:rsid w:val="00BA60F5"/>
    <w:rsid w:val="00BA6252"/>
    <w:rsid w:val="00BA6E60"/>
    <w:rsid w:val="00BA6F85"/>
    <w:rsid w:val="00BA6FF5"/>
    <w:rsid w:val="00BA720C"/>
    <w:rsid w:val="00BA7F89"/>
    <w:rsid w:val="00BB064F"/>
    <w:rsid w:val="00BB070C"/>
    <w:rsid w:val="00BB0D6E"/>
    <w:rsid w:val="00BB0FAE"/>
    <w:rsid w:val="00BB0FFB"/>
    <w:rsid w:val="00BB148B"/>
    <w:rsid w:val="00BB1698"/>
    <w:rsid w:val="00BB1859"/>
    <w:rsid w:val="00BB2870"/>
    <w:rsid w:val="00BB3207"/>
    <w:rsid w:val="00BB36B9"/>
    <w:rsid w:val="00BB3A6C"/>
    <w:rsid w:val="00BB3CEA"/>
    <w:rsid w:val="00BB4007"/>
    <w:rsid w:val="00BB40AF"/>
    <w:rsid w:val="00BB42EE"/>
    <w:rsid w:val="00BB43A1"/>
    <w:rsid w:val="00BB475D"/>
    <w:rsid w:val="00BB4AEE"/>
    <w:rsid w:val="00BB57A2"/>
    <w:rsid w:val="00BB59D8"/>
    <w:rsid w:val="00BB69F2"/>
    <w:rsid w:val="00BB7389"/>
    <w:rsid w:val="00BB7539"/>
    <w:rsid w:val="00BB7EC0"/>
    <w:rsid w:val="00BC06A3"/>
    <w:rsid w:val="00BC0BD3"/>
    <w:rsid w:val="00BC13A5"/>
    <w:rsid w:val="00BC14C4"/>
    <w:rsid w:val="00BC1B4F"/>
    <w:rsid w:val="00BC1D30"/>
    <w:rsid w:val="00BC1EB4"/>
    <w:rsid w:val="00BC2E7C"/>
    <w:rsid w:val="00BC30FD"/>
    <w:rsid w:val="00BC3ACC"/>
    <w:rsid w:val="00BC4344"/>
    <w:rsid w:val="00BC44AA"/>
    <w:rsid w:val="00BC4796"/>
    <w:rsid w:val="00BC4ECA"/>
    <w:rsid w:val="00BC500D"/>
    <w:rsid w:val="00BC52BF"/>
    <w:rsid w:val="00BC542B"/>
    <w:rsid w:val="00BC547B"/>
    <w:rsid w:val="00BC65ED"/>
    <w:rsid w:val="00BC7175"/>
    <w:rsid w:val="00BC73A3"/>
    <w:rsid w:val="00BC7499"/>
    <w:rsid w:val="00BC76E4"/>
    <w:rsid w:val="00BC7A5A"/>
    <w:rsid w:val="00BC7DD4"/>
    <w:rsid w:val="00BD02E2"/>
    <w:rsid w:val="00BD0629"/>
    <w:rsid w:val="00BD0868"/>
    <w:rsid w:val="00BD08A0"/>
    <w:rsid w:val="00BD08C7"/>
    <w:rsid w:val="00BD08DC"/>
    <w:rsid w:val="00BD0D5B"/>
    <w:rsid w:val="00BD0D73"/>
    <w:rsid w:val="00BD10FD"/>
    <w:rsid w:val="00BD14D0"/>
    <w:rsid w:val="00BD1619"/>
    <w:rsid w:val="00BD1718"/>
    <w:rsid w:val="00BD1B0A"/>
    <w:rsid w:val="00BD1C89"/>
    <w:rsid w:val="00BD1CB9"/>
    <w:rsid w:val="00BD23F3"/>
    <w:rsid w:val="00BD2E17"/>
    <w:rsid w:val="00BD2EFF"/>
    <w:rsid w:val="00BD34CC"/>
    <w:rsid w:val="00BD36B9"/>
    <w:rsid w:val="00BD4172"/>
    <w:rsid w:val="00BD5D35"/>
    <w:rsid w:val="00BD6084"/>
    <w:rsid w:val="00BD611A"/>
    <w:rsid w:val="00BD63F3"/>
    <w:rsid w:val="00BD654A"/>
    <w:rsid w:val="00BD72F6"/>
    <w:rsid w:val="00BD744C"/>
    <w:rsid w:val="00BD749D"/>
    <w:rsid w:val="00BD74CB"/>
    <w:rsid w:val="00BD7762"/>
    <w:rsid w:val="00BE0181"/>
    <w:rsid w:val="00BE0630"/>
    <w:rsid w:val="00BE0BBD"/>
    <w:rsid w:val="00BE0C6D"/>
    <w:rsid w:val="00BE0C99"/>
    <w:rsid w:val="00BE168A"/>
    <w:rsid w:val="00BE1E95"/>
    <w:rsid w:val="00BE231B"/>
    <w:rsid w:val="00BE2411"/>
    <w:rsid w:val="00BE24AB"/>
    <w:rsid w:val="00BE2539"/>
    <w:rsid w:val="00BE2722"/>
    <w:rsid w:val="00BE28F6"/>
    <w:rsid w:val="00BE2B45"/>
    <w:rsid w:val="00BE34AD"/>
    <w:rsid w:val="00BE34F1"/>
    <w:rsid w:val="00BE3690"/>
    <w:rsid w:val="00BE3A3B"/>
    <w:rsid w:val="00BE3BFF"/>
    <w:rsid w:val="00BE46F2"/>
    <w:rsid w:val="00BE499C"/>
    <w:rsid w:val="00BE5222"/>
    <w:rsid w:val="00BE56CD"/>
    <w:rsid w:val="00BE57CA"/>
    <w:rsid w:val="00BE5F66"/>
    <w:rsid w:val="00BE6246"/>
    <w:rsid w:val="00BE76D4"/>
    <w:rsid w:val="00BF0301"/>
    <w:rsid w:val="00BF0474"/>
    <w:rsid w:val="00BF068F"/>
    <w:rsid w:val="00BF089C"/>
    <w:rsid w:val="00BF0ACF"/>
    <w:rsid w:val="00BF0C56"/>
    <w:rsid w:val="00BF1349"/>
    <w:rsid w:val="00BF14F3"/>
    <w:rsid w:val="00BF1761"/>
    <w:rsid w:val="00BF1D58"/>
    <w:rsid w:val="00BF1D7D"/>
    <w:rsid w:val="00BF206D"/>
    <w:rsid w:val="00BF21C6"/>
    <w:rsid w:val="00BF26AC"/>
    <w:rsid w:val="00BF2A9A"/>
    <w:rsid w:val="00BF2D57"/>
    <w:rsid w:val="00BF3C1A"/>
    <w:rsid w:val="00BF3CFF"/>
    <w:rsid w:val="00BF3EF5"/>
    <w:rsid w:val="00BF47C7"/>
    <w:rsid w:val="00BF4F5D"/>
    <w:rsid w:val="00BF537A"/>
    <w:rsid w:val="00BF5513"/>
    <w:rsid w:val="00BF5926"/>
    <w:rsid w:val="00BF5A7B"/>
    <w:rsid w:val="00BF6C37"/>
    <w:rsid w:val="00BF76C6"/>
    <w:rsid w:val="00BF7B68"/>
    <w:rsid w:val="00BF7EB1"/>
    <w:rsid w:val="00C00222"/>
    <w:rsid w:val="00C002C1"/>
    <w:rsid w:val="00C00D77"/>
    <w:rsid w:val="00C00EB0"/>
    <w:rsid w:val="00C00EB4"/>
    <w:rsid w:val="00C01783"/>
    <w:rsid w:val="00C01A7E"/>
    <w:rsid w:val="00C01D19"/>
    <w:rsid w:val="00C01FEE"/>
    <w:rsid w:val="00C02BE3"/>
    <w:rsid w:val="00C02DEC"/>
    <w:rsid w:val="00C02EB3"/>
    <w:rsid w:val="00C0337F"/>
    <w:rsid w:val="00C033B0"/>
    <w:rsid w:val="00C036CB"/>
    <w:rsid w:val="00C03CD3"/>
    <w:rsid w:val="00C03E27"/>
    <w:rsid w:val="00C03FA5"/>
    <w:rsid w:val="00C04379"/>
    <w:rsid w:val="00C045B3"/>
    <w:rsid w:val="00C050F6"/>
    <w:rsid w:val="00C053CF"/>
    <w:rsid w:val="00C0577E"/>
    <w:rsid w:val="00C05A2E"/>
    <w:rsid w:val="00C06779"/>
    <w:rsid w:val="00C06C2E"/>
    <w:rsid w:val="00C071A5"/>
    <w:rsid w:val="00C0753B"/>
    <w:rsid w:val="00C07550"/>
    <w:rsid w:val="00C07720"/>
    <w:rsid w:val="00C077FB"/>
    <w:rsid w:val="00C07C14"/>
    <w:rsid w:val="00C07E56"/>
    <w:rsid w:val="00C10414"/>
    <w:rsid w:val="00C10535"/>
    <w:rsid w:val="00C108DC"/>
    <w:rsid w:val="00C10983"/>
    <w:rsid w:val="00C10AD2"/>
    <w:rsid w:val="00C11AC9"/>
    <w:rsid w:val="00C1216C"/>
    <w:rsid w:val="00C1255A"/>
    <w:rsid w:val="00C1297B"/>
    <w:rsid w:val="00C139BA"/>
    <w:rsid w:val="00C13A27"/>
    <w:rsid w:val="00C13AA4"/>
    <w:rsid w:val="00C13CA3"/>
    <w:rsid w:val="00C13E0B"/>
    <w:rsid w:val="00C14B45"/>
    <w:rsid w:val="00C15112"/>
    <w:rsid w:val="00C15A51"/>
    <w:rsid w:val="00C15E5B"/>
    <w:rsid w:val="00C16214"/>
    <w:rsid w:val="00C16689"/>
    <w:rsid w:val="00C168B3"/>
    <w:rsid w:val="00C168D2"/>
    <w:rsid w:val="00C168FB"/>
    <w:rsid w:val="00C16CB3"/>
    <w:rsid w:val="00C16F35"/>
    <w:rsid w:val="00C17604"/>
    <w:rsid w:val="00C17793"/>
    <w:rsid w:val="00C17924"/>
    <w:rsid w:val="00C20451"/>
    <w:rsid w:val="00C20453"/>
    <w:rsid w:val="00C20826"/>
    <w:rsid w:val="00C20964"/>
    <w:rsid w:val="00C20DAA"/>
    <w:rsid w:val="00C21449"/>
    <w:rsid w:val="00C21871"/>
    <w:rsid w:val="00C218E8"/>
    <w:rsid w:val="00C21C6F"/>
    <w:rsid w:val="00C220C0"/>
    <w:rsid w:val="00C227BB"/>
    <w:rsid w:val="00C2292D"/>
    <w:rsid w:val="00C22A89"/>
    <w:rsid w:val="00C23963"/>
    <w:rsid w:val="00C23B6F"/>
    <w:rsid w:val="00C23C90"/>
    <w:rsid w:val="00C23E6D"/>
    <w:rsid w:val="00C24377"/>
    <w:rsid w:val="00C2457A"/>
    <w:rsid w:val="00C24A1D"/>
    <w:rsid w:val="00C24ABD"/>
    <w:rsid w:val="00C24C23"/>
    <w:rsid w:val="00C24EF2"/>
    <w:rsid w:val="00C25081"/>
    <w:rsid w:val="00C25764"/>
    <w:rsid w:val="00C25835"/>
    <w:rsid w:val="00C25DDA"/>
    <w:rsid w:val="00C260E5"/>
    <w:rsid w:val="00C26115"/>
    <w:rsid w:val="00C26164"/>
    <w:rsid w:val="00C2699A"/>
    <w:rsid w:val="00C26CDB"/>
    <w:rsid w:val="00C26DD2"/>
    <w:rsid w:val="00C26E0A"/>
    <w:rsid w:val="00C26FB8"/>
    <w:rsid w:val="00C2722D"/>
    <w:rsid w:val="00C27233"/>
    <w:rsid w:val="00C27611"/>
    <w:rsid w:val="00C2761E"/>
    <w:rsid w:val="00C277F7"/>
    <w:rsid w:val="00C27E32"/>
    <w:rsid w:val="00C30015"/>
    <w:rsid w:val="00C3001F"/>
    <w:rsid w:val="00C304BB"/>
    <w:rsid w:val="00C30978"/>
    <w:rsid w:val="00C30D17"/>
    <w:rsid w:val="00C315F7"/>
    <w:rsid w:val="00C31CB5"/>
    <w:rsid w:val="00C326F3"/>
    <w:rsid w:val="00C32864"/>
    <w:rsid w:val="00C336A4"/>
    <w:rsid w:val="00C33CC3"/>
    <w:rsid w:val="00C349AA"/>
    <w:rsid w:val="00C34E7F"/>
    <w:rsid w:val="00C3516B"/>
    <w:rsid w:val="00C35273"/>
    <w:rsid w:val="00C35597"/>
    <w:rsid w:val="00C35678"/>
    <w:rsid w:val="00C356E8"/>
    <w:rsid w:val="00C35823"/>
    <w:rsid w:val="00C35A1A"/>
    <w:rsid w:val="00C35C14"/>
    <w:rsid w:val="00C35E60"/>
    <w:rsid w:val="00C36122"/>
    <w:rsid w:val="00C36263"/>
    <w:rsid w:val="00C3677E"/>
    <w:rsid w:val="00C367B9"/>
    <w:rsid w:val="00C36D91"/>
    <w:rsid w:val="00C3771B"/>
    <w:rsid w:val="00C37F78"/>
    <w:rsid w:val="00C404D8"/>
    <w:rsid w:val="00C40CC4"/>
    <w:rsid w:val="00C40CFE"/>
    <w:rsid w:val="00C410D8"/>
    <w:rsid w:val="00C412E5"/>
    <w:rsid w:val="00C41622"/>
    <w:rsid w:val="00C41E89"/>
    <w:rsid w:val="00C424B5"/>
    <w:rsid w:val="00C428D2"/>
    <w:rsid w:val="00C43153"/>
    <w:rsid w:val="00C43187"/>
    <w:rsid w:val="00C435E1"/>
    <w:rsid w:val="00C436EA"/>
    <w:rsid w:val="00C437A2"/>
    <w:rsid w:val="00C44229"/>
    <w:rsid w:val="00C448AC"/>
    <w:rsid w:val="00C44C27"/>
    <w:rsid w:val="00C44E59"/>
    <w:rsid w:val="00C4516B"/>
    <w:rsid w:val="00C456EE"/>
    <w:rsid w:val="00C45C26"/>
    <w:rsid w:val="00C45DCD"/>
    <w:rsid w:val="00C45DE0"/>
    <w:rsid w:val="00C46815"/>
    <w:rsid w:val="00C468E8"/>
    <w:rsid w:val="00C46AEA"/>
    <w:rsid w:val="00C46D1F"/>
    <w:rsid w:val="00C46F1D"/>
    <w:rsid w:val="00C47746"/>
    <w:rsid w:val="00C47EB4"/>
    <w:rsid w:val="00C47F51"/>
    <w:rsid w:val="00C5019A"/>
    <w:rsid w:val="00C502AB"/>
    <w:rsid w:val="00C504FE"/>
    <w:rsid w:val="00C510F7"/>
    <w:rsid w:val="00C51CB3"/>
    <w:rsid w:val="00C520F2"/>
    <w:rsid w:val="00C522C4"/>
    <w:rsid w:val="00C52825"/>
    <w:rsid w:val="00C52995"/>
    <w:rsid w:val="00C52E92"/>
    <w:rsid w:val="00C53939"/>
    <w:rsid w:val="00C541D5"/>
    <w:rsid w:val="00C54349"/>
    <w:rsid w:val="00C54BA5"/>
    <w:rsid w:val="00C551AC"/>
    <w:rsid w:val="00C5523F"/>
    <w:rsid w:val="00C55260"/>
    <w:rsid w:val="00C55ECE"/>
    <w:rsid w:val="00C56FC8"/>
    <w:rsid w:val="00C5748E"/>
    <w:rsid w:val="00C57792"/>
    <w:rsid w:val="00C577F0"/>
    <w:rsid w:val="00C578C3"/>
    <w:rsid w:val="00C601B6"/>
    <w:rsid w:val="00C60A0A"/>
    <w:rsid w:val="00C60A38"/>
    <w:rsid w:val="00C61187"/>
    <w:rsid w:val="00C613D3"/>
    <w:rsid w:val="00C618E5"/>
    <w:rsid w:val="00C61973"/>
    <w:rsid w:val="00C61B60"/>
    <w:rsid w:val="00C620EB"/>
    <w:rsid w:val="00C633E5"/>
    <w:rsid w:val="00C63972"/>
    <w:rsid w:val="00C63FE9"/>
    <w:rsid w:val="00C641C1"/>
    <w:rsid w:val="00C64764"/>
    <w:rsid w:val="00C6480C"/>
    <w:rsid w:val="00C64B58"/>
    <w:rsid w:val="00C64B6B"/>
    <w:rsid w:val="00C65110"/>
    <w:rsid w:val="00C65220"/>
    <w:rsid w:val="00C6589B"/>
    <w:rsid w:val="00C658F9"/>
    <w:rsid w:val="00C65B5D"/>
    <w:rsid w:val="00C65BD5"/>
    <w:rsid w:val="00C6697C"/>
    <w:rsid w:val="00C66A69"/>
    <w:rsid w:val="00C66F4B"/>
    <w:rsid w:val="00C67ACB"/>
    <w:rsid w:val="00C70271"/>
    <w:rsid w:val="00C70676"/>
    <w:rsid w:val="00C709CF"/>
    <w:rsid w:val="00C70B9F"/>
    <w:rsid w:val="00C70CFC"/>
    <w:rsid w:val="00C70E26"/>
    <w:rsid w:val="00C7116E"/>
    <w:rsid w:val="00C711EA"/>
    <w:rsid w:val="00C716AA"/>
    <w:rsid w:val="00C716D5"/>
    <w:rsid w:val="00C729C6"/>
    <w:rsid w:val="00C72DDD"/>
    <w:rsid w:val="00C73493"/>
    <w:rsid w:val="00C736E8"/>
    <w:rsid w:val="00C73B54"/>
    <w:rsid w:val="00C73D87"/>
    <w:rsid w:val="00C74047"/>
    <w:rsid w:val="00C7414B"/>
    <w:rsid w:val="00C747EA"/>
    <w:rsid w:val="00C74DD2"/>
    <w:rsid w:val="00C7560C"/>
    <w:rsid w:val="00C759EF"/>
    <w:rsid w:val="00C75CF2"/>
    <w:rsid w:val="00C75D77"/>
    <w:rsid w:val="00C76185"/>
    <w:rsid w:val="00C76F14"/>
    <w:rsid w:val="00C77022"/>
    <w:rsid w:val="00C772C0"/>
    <w:rsid w:val="00C77E1B"/>
    <w:rsid w:val="00C77E21"/>
    <w:rsid w:val="00C8014B"/>
    <w:rsid w:val="00C8042E"/>
    <w:rsid w:val="00C80DA1"/>
    <w:rsid w:val="00C80E6F"/>
    <w:rsid w:val="00C816AF"/>
    <w:rsid w:val="00C818C9"/>
    <w:rsid w:val="00C81936"/>
    <w:rsid w:val="00C8258E"/>
    <w:rsid w:val="00C82AC4"/>
    <w:rsid w:val="00C82ED8"/>
    <w:rsid w:val="00C83281"/>
    <w:rsid w:val="00C8335B"/>
    <w:rsid w:val="00C834ED"/>
    <w:rsid w:val="00C83603"/>
    <w:rsid w:val="00C83696"/>
    <w:rsid w:val="00C83710"/>
    <w:rsid w:val="00C83B2E"/>
    <w:rsid w:val="00C83BD3"/>
    <w:rsid w:val="00C84609"/>
    <w:rsid w:val="00C84823"/>
    <w:rsid w:val="00C84C8E"/>
    <w:rsid w:val="00C84E1A"/>
    <w:rsid w:val="00C84E8C"/>
    <w:rsid w:val="00C84FE5"/>
    <w:rsid w:val="00C850C1"/>
    <w:rsid w:val="00C85279"/>
    <w:rsid w:val="00C854D9"/>
    <w:rsid w:val="00C85D59"/>
    <w:rsid w:val="00C85E98"/>
    <w:rsid w:val="00C85FEE"/>
    <w:rsid w:val="00C86002"/>
    <w:rsid w:val="00C860E8"/>
    <w:rsid w:val="00C86F20"/>
    <w:rsid w:val="00C875F7"/>
    <w:rsid w:val="00C87A02"/>
    <w:rsid w:val="00C90D6B"/>
    <w:rsid w:val="00C90FF7"/>
    <w:rsid w:val="00C91686"/>
    <w:rsid w:val="00C917B5"/>
    <w:rsid w:val="00C920BD"/>
    <w:rsid w:val="00C928D2"/>
    <w:rsid w:val="00C92D29"/>
    <w:rsid w:val="00C93126"/>
    <w:rsid w:val="00C93269"/>
    <w:rsid w:val="00C9352B"/>
    <w:rsid w:val="00C936C8"/>
    <w:rsid w:val="00C93BD1"/>
    <w:rsid w:val="00C93C42"/>
    <w:rsid w:val="00C93F14"/>
    <w:rsid w:val="00C94396"/>
    <w:rsid w:val="00C9442E"/>
    <w:rsid w:val="00C945C1"/>
    <w:rsid w:val="00C945DC"/>
    <w:rsid w:val="00C95738"/>
    <w:rsid w:val="00C95772"/>
    <w:rsid w:val="00C9582A"/>
    <w:rsid w:val="00C9590A"/>
    <w:rsid w:val="00C95D18"/>
    <w:rsid w:val="00C962F7"/>
    <w:rsid w:val="00C965BF"/>
    <w:rsid w:val="00C972A1"/>
    <w:rsid w:val="00C972EA"/>
    <w:rsid w:val="00C972FA"/>
    <w:rsid w:val="00C973BC"/>
    <w:rsid w:val="00C97495"/>
    <w:rsid w:val="00C974A8"/>
    <w:rsid w:val="00C97DD6"/>
    <w:rsid w:val="00CA00A2"/>
    <w:rsid w:val="00CA099C"/>
    <w:rsid w:val="00CA0D7A"/>
    <w:rsid w:val="00CA11C9"/>
    <w:rsid w:val="00CA18A3"/>
    <w:rsid w:val="00CA1FDA"/>
    <w:rsid w:val="00CA252C"/>
    <w:rsid w:val="00CA2562"/>
    <w:rsid w:val="00CA265B"/>
    <w:rsid w:val="00CA27D3"/>
    <w:rsid w:val="00CA29FC"/>
    <w:rsid w:val="00CA2F70"/>
    <w:rsid w:val="00CA379B"/>
    <w:rsid w:val="00CA3BE8"/>
    <w:rsid w:val="00CA3DB3"/>
    <w:rsid w:val="00CA40B0"/>
    <w:rsid w:val="00CA4799"/>
    <w:rsid w:val="00CA48D6"/>
    <w:rsid w:val="00CA4E0D"/>
    <w:rsid w:val="00CA4E8B"/>
    <w:rsid w:val="00CA5C0F"/>
    <w:rsid w:val="00CA659B"/>
    <w:rsid w:val="00CA6B8A"/>
    <w:rsid w:val="00CA6C15"/>
    <w:rsid w:val="00CA7133"/>
    <w:rsid w:val="00CA7453"/>
    <w:rsid w:val="00CA747F"/>
    <w:rsid w:val="00CA77C1"/>
    <w:rsid w:val="00CA7AE5"/>
    <w:rsid w:val="00CB02CF"/>
    <w:rsid w:val="00CB0756"/>
    <w:rsid w:val="00CB0AA6"/>
    <w:rsid w:val="00CB0CC7"/>
    <w:rsid w:val="00CB146C"/>
    <w:rsid w:val="00CB1651"/>
    <w:rsid w:val="00CB16FA"/>
    <w:rsid w:val="00CB17B3"/>
    <w:rsid w:val="00CB24AA"/>
    <w:rsid w:val="00CB287F"/>
    <w:rsid w:val="00CB2E66"/>
    <w:rsid w:val="00CB3272"/>
    <w:rsid w:val="00CB35CA"/>
    <w:rsid w:val="00CB3768"/>
    <w:rsid w:val="00CB3D5C"/>
    <w:rsid w:val="00CB40BB"/>
    <w:rsid w:val="00CB4399"/>
    <w:rsid w:val="00CB4A71"/>
    <w:rsid w:val="00CB4FBB"/>
    <w:rsid w:val="00CB5131"/>
    <w:rsid w:val="00CB5295"/>
    <w:rsid w:val="00CB53A0"/>
    <w:rsid w:val="00CB5839"/>
    <w:rsid w:val="00CB58EC"/>
    <w:rsid w:val="00CB59AC"/>
    <w:rsid w:val="00CB5EDE"/>
    <w:rsid w:val="00CB606B"/>
    <w:rsid w:val="00CB65BC"/>
    <w:rsid w:val="00CB68A0"/>
    <w:rsid w:val="00CB6A63"/>
    <w:rsid w:val="00CB7EA5"/>
    <w:rsid w:val="00CC011A"/>
    <w:rsid w:val="00CC0131"/>
    <w:rsid w:val="00CC058D"/>
    <w:rsid w:val="00CC08D0"/>
    <w:rsid w:val="00CC0B0C"/>
    <w:rsid w:val="00CC163A"/>
    <w:rsid w:val="00CC18DD"/>
    <w:rsid w:val="00CC1A91"/>
    <w:rsid w:val="00CC1AC7"/>
    <w:rsid w:val="00CC1B59"/>
    <w:rsid w:val="00CC285E"/>
    <w:rsid w:val="00CC2A82"/>
    <w:rsid w:val="00CC307D"/>
    <w:rsid w:val="00CC32C8"/>
    <w:rsid w:val="00CC4674"/>
    <w:rsid w:val="00CC494E"/>
    <w:rsid w:val="00CC4EAD"/>
    <w:rsid w:val="00CC5222"/>
    <w:rsid w:val="00CC7010"/>
    <w:rsid w:val="00CD01FE"/>
    <w:rsid w:val="00CD02B1"/>
    <w:rsid w:val="00CD08DB"/>
    <w:rsid w:val="00CD1233"/>
    <w:rsid w:val="00CD1ABD"/>
    <w:rsid w:val="00CD1D2F"/>
    <w:rsid w:val="00CD225A"/>
    <w:rsid w:val="00CD2F73"/>
    <w:rsid w:val="00CD30F0"/>
    <w:rsid w:val="00CD3181"/>
    <w:rsid w:val="00CD35B9"/>
    <w:rsid w:val="00CD378E"/>
    <w:rsid w:val="00CD3D2B"/>
    <w:rsid w:val="00CD45FE"/>
    <w:rsid w:val="00CD4C1A"/>
    <w:rsid w:val="00CD4D94"/>
    <w:rsid w:val="00CD554C"/>
    <w:rsid w:val="00CD6560"/>
    <w:rsid w:val="00CD70EF"/>
    <w:rsid w:val="00CD71F9"/>
    <w:rsid w:val="00CD7B9D"/>
    <w:rsid w:val="00CD7D7B"/>
    <w:rsid w:val="00CD7DD1"/>
    <w:rsid w:val="00CE0204"/>
    <w:rsid w:val="00CE0530"/>
    <w:rsid w:val="00CE1568"/>
    <w:rsid w:val="00CE1593"/>
    <w:rsid w:val="00CE1660"/>
    <w:rsid w:val="00CE16E9"/>
    <w:rsid w:val="00CE1B13"/>
    <w:rsid w:val="00CE1C3E"/>
    <w:rsid w:val="00CE1FA8"/>
    <w:rsid w:val="00CE23AD"/>
    <w:rsid w:val="00CE27AA"/>
    <w:rsid w:val="00CE2B60"/>
    <w:rsid w:val="00CE44ED"/>
    <w:rsid w:val="00CE45AD"/>
    <w:rsid w:val="00CE46A4"/>
    <w:rsid w:val="00CE47B7"/>
    <w:rsid w:val="00CE495E"/>
    <w:rsid w:val="00CE579A"/>
    <w:rsid w:val="00CE5F1B"/>
    <w:rsid w:val="00CE6308"/>
    <w:rsid w:val="00CE63F4"/>
    <w:rsid w:val="00CE6DAB"/>
    <w:rsid w:val="00CE6DC5"/>
    <w:rsid w:val="00CE7F9C"/>
    <w:rsid w:val="00CF0206"/>
    <w:rsid w:val="00CF0386"/>
    <w:rsid w:val="00CF04ED"/>
    <w:rsid w:val="00CF0BA8"/>
    <w:rsid w:val="00CF12EF"/>
    <w:rsid w:val="00CF1750"/>
    <w:rsid w:val="00CF20BC"/>
    <w:rsid w:val="00CF247D"/>
    <w:rsid w:val="00CF2694"/>
    <w:rsid w:val="00CF27C8"/>
    <w:rsid w:val="00CF2B9D"/>
    <w:rsid w:val="00CF30A1"/>
    <w:rsid w:val="00CF33E7"/>
    <w:rsid w:val="00CF342E"/>
    <w:rsid w:val="00CF354C"/>
    <w:rsid w:val="00CF40E3"/>
    <w:rsid w:val="00CF4C8D"/>
    <w:rsid w:val="00CF4DEB"/>
    <w:rsid w:val="00CF4FD7"/>
    <w:rsid w:val="00CF5028"/>
    <w:rsid w:val="00CF5855"/>
    <w:rsid w:val="00CF5DCB"/>
    <w:rsid w:val="00CF5EB6"/>
    <w:rsid w:val="00CF5EE8"/>
    <w:rsid w:val="00CF6CA9"/>
    <w:rsid w:val="00CF6D21"/>
    <w:rsid w:val="00CF6DE5"/>
    <w:rsid w:val="00D00230"/>
    <w:rsid w:val="00D006B6"/>
    <w:rsid w:val="00D0075B"/>
    <w:rsid w:val="00D00BF8"/>
    <w:rsid w:val="00D0110C"/>
    <w:rsid w:val="00D01859"/>
    <w:rsid w:val="00D01F9C"/>
    <w:rsid w:val="00D02180"/>
    <w:rsid w:val="00D02E50"/>
    <w:rsid w:val="00D034E6"/>
    <w:rsid w:val="00D0350A"/>
    <w:rsid w:val="00D0458F"/>
    <w:rsid w:val="00D048BE"/>
    <w:rsid w:val="00D04AFF"/>
    <w:rsid w:val="00D04B21"/>
    <w:rsid w:val="00D04B6A"/>
    <w:rsid w:val="00D04C87"/>
    <w:rsid w:val="00D057D9"/>
    <w:rsid w:val="00D058FB"/>
    <w:rsid w:val="00D06067"/>
    <w:rsid w:val="00D0608F"/>
    <w:rsid w:val="00D0657B"/>
    <w:rsid w:val="00D071DB"/>
    <w:rsid w:val="00D073D5"/>
    <w:rsid w:val="00D0764F"/>
    <w:rsid w:val="00D07BA4"/>
    <w:rsid w:val="00D10B11"/>
    <w:rsid w:val="00D10E31"/>
    <w:rsid w:val="00D111D3"/>
    <w:rsid w:val="00D11EA5"/>
    <w:rsid w:val="00D1202E"/>
    <w:rsid w:val="00D125A9"/>
    <w:rsid w:val="00D12650"/>
    <w:rsid w:val="00D129AF"/>
    <w:rsid w:val="00D12B85"/>
    <w:rsid w:val="00D12F23"/>
    <w:rsid w:val="00D134CB"/>
    <w:rsid w:val="00D13CF4"/>
    <w:rsid w:val="00D15275"/>
    <w:rsid w:val="00D1557F"/>
    <w:rsid w:val="00D15F61"/>
    <w:rsid w:val="00D16054"/>
    <w:rsid w:val="00D166DF"/>
    <w:rsid w:val="00D16AFE"/>
    <w:rsid w:val="00D173B0"/>
    <w:rsid w:val="00D1749E"/>
    <w:rsid w:val="00D17652"/>
    <w:rsid w:val="00D17882"/>
    <w:rsid w:val="00D17B16"/>
    <w:rsid w:val="00D17F06"/>
    <w:rsid w:val="00D20095"/>
    <w:rsid w:val="00D20522"/>
    <w:rsid w:val="00D207BD"/>
    <w:rsid w:val="00D208BC"/>
    <w:rsid w:val="00D208F6"/>
    <w:rsid w:val="00D21176"/>
    <w:rsid w:val="00D2120C"/>
    <w:rsid w:val="00D218F2"/>
    <w:rsid w:val="00D21948"/>
    <w:rsid w:val="00D219DB"/>
    <w:rsid w:val="00D21DB8"/>
    <w:rsid w:val="00D220AB"/>
    <w:rsid w:val="00D22707"/>
    <w:rsid w:val="00D229EB"/>
    <w:rsid w:val="00D22FFA"/>
    <w:rsid w:val="00D2303A"/>
    <w:rsid w:val="00D231A4"/>
    <w:rsid w:val="00D2326E"/>
    <w:rsid w:val="00D23595"/>
    <w:rsid w:val="00D23A75"/>
    <w:rsid w:val="00D23A91"/>
    <w:rsid w:val="00D23EA1"/>
    <w:rsid w:val="00D24920"/>
    <w:rsid w:val="00D24B18"/>
    <w:rsid w:val="00D24C97"/>
    <w:rsid w:val="00D25138"/>
    <w:rsid w:val="00D25FAD"/>
    <w:rsid w:val="00D2639D"/>
    <w:rsid w:val="00D2670B"/>
    <w:rsid w:val="00D2720B"/>
    <w:rsid w:val="00D27FCC"/>
    <w:rsid w:val="00D3009E"/>
    <w:rsid w:val="00D30155"/>
    <w:rsid w:val="00D3063C"/>
    <w:rsid w:val="00D309A4"/>
    <w:rsid w:val="00D3158E"/>
    <w:rsid w:val="00D3169F"/>
    <w:rsid w:val="00D3174D"/>
    <w:rsid w:val="00D317F0"/>
    <w:rsid w:val="00D31B9E"/>
    <w:rsid w:val="00D31D02"/>
    <w:rsid w:val="00D31DA0"/>
    <w:rsid w:val="00D32611"/>
    <w:rsid w:val="00D326DF"/>
    <w:rsid w:val="00D32B63"/>
    <w:rsid w:val="00D332DB"/>
    <w:rsid w:val="00D33443"/>
    <w:rsid w:val="00D33B3C"/>
    <w:rsid w:val="00D33BD8"/>
    <w:rsid w:val="00D33E06"/>
    <w:rsid w:val="00D340E0"/>
    <w:rsid w:val="00D3481A"/>
    <w:rsid w:val="00D3486C"/>
    <w:rsid w:val="00D34FE7"/>
    <w:rsid w:val="00D352B3"/>
    <w:rsid w:val="00D35E00"/>
    <w:rsid w:val="00D3620E"/>
    <w:rsid w:val="00D3634A"/>
    <w:rsid w:val="00D36414"/>
    <w:rsid w:val="00D364F7"/>
    <w:rsid w:val="00D3682F"/>
    <w:rsid w:val="00D36C67"/>
    <w:rsid w:val="00D37415"/>
    <w:rsid w:val="00D374A5"/>
    <w:rsid w:val="00D376D9"/>
    <w:rsid w:val="00D37A3F"/>
    <w:rsid w:val="00D37DCB"/>
    <w:rsid w:val="00D37DF0"/>
    <w:rsid w:val="00D400F8"/>
    <w:rsid w:val="00D401B5"/>
    <w:rsid w:val="00D402E3"/>
    <w:rsid w:val="00D40391"/>
    <w:rsid w:val="00D40636"/>
    <w:rsid w:val="00D407A4"/>
    <w:rsid w:val="00D4090D"/>
    <w:rsid w:val="00D409AF"/>
    <w:rsid w:val="00D41F86"/>
    <w:rsid w:val="00D4204B"/>
    <w:rsid w:val="00D42848"/>
    <w:rsid w:val="00D42977"/>
    <w:rsid w:val="00D429EE"/>
    <w:rsid w:val="00D42BAB"/>
    <w:rsid w:val="00D434D6"/>
    <w:rsid w:val="00D439A1"/>
    <w:rsid w:val="00D441CC"/>
    <w:rsid w:val="00D441DE"/>
    <w:rsid w:val="00D4442E"/>
    <w:rsid w:val="00D4443F"/>
    <w:rsid w:val="00D44753"/>
    <w:rsid w:val="00D44857"/>
    <w:rsid w:val="00D45DA8"/>
    <w:rsid w:val="00D45FA2"/>
    <w:rsid w:val="00D46111"/>
    <w:rsid w:val="00D462BE"/>
    <w:rsid w:val="00D468A7"/>
    <w:rsid w:val="00D472F6"/>
    <w:rsid w:val="00D47372"/>
    <w:rsid w:val="00D47374"/>
    <w:rsid w:val="00D47388"/>
    <w:rsid w:val="00D474A2"/>
    <w:rsid w:val="00D475A9"/>
    <w:rsid w:val="00D47A1C"/>
    <w:rsid w:val="00D47A41"/>
    <w:rsid w:val="00D47F16"/>
    <w:rsid w:val="00D50159"/>
    <w:rsid w:val="00D50227"/>
    <w:rsid w:val="00D505EB"/>
    <w:rsid w:val="00D50671"/>
    <w:rsid w:val="00D50740"/>
    <w:rsid w:val="00D509B3"/>
    <w:rsid w:val="00D50E79"/>
    <w:rsid w:val="00D50F13"/>
    <w:rsid w:val="00D515DC"/>
    <w:rsid w:val="00D51C77"/>
    <w:rsid w:val="00D51E64"/>
    <w:rsid w:val="00D52068"/>
    <w:rsid w:val="00D5287C"/>
    <w:rsid w:val="00D52910"/>
    <w:rsid w:val="00D52956"/>
    <w:rsid w:val="00D52C7E"/>
    <w:rsid w:val="00D53092"/>
    <w:rsid w:val="00D53B9F"/>
    <w:rsid w:val="00D5430C"/>
    <w:rsid w:val="00D5442A"/>
    <w:rsid w:val="00D5448C"/>
    <w:rsid w:val="00D5454A"/>
    <w:rsid w:val="00D54668"/>
    <w:rsid w:val="00D55353"/>
    <w:rsid w:val="00D55581"/>
    <w:rsid w:val="00D558D8"/>
    <w:rsid w:val="00D55B18"/>
    <w:rsid w:val="00D5695F"/>
    <w:rsid w:val="00D569C7"/>
    <w:rsid w:val="00D56F7D"/>
    <w:rsid w:val="00D57257"/>
    <w:rsid w:val="00D573EE"/>
    <w:rsid w:val="00D57A32"/>
    <w:rsid w:val="00D600A5"/>
    <w:rsid w:val="00D604F9"/>
    <w:rsid w:val="00D60924"/>
    <w:rsid w:val="00D60BC4"/>
    <w:rsid w:val="00D60C5F"/>
    <w:rsid w:val="00D62356"/>
    <w:rsid w:val="00D62D5B"/>
    <w:rsid w:val="00D63786"/>
    <w:rsid w:val="00D63BED"/>
    <w:rsid w:val="00D63C7F"/>
    <w:rsid w:val="00D63EC8"/>
    <w:rsid w:val="00D63F67"/>
    <w:rsid w:val="00D64606"/>
    <w:rsid w:val="00D64848"/>
    <w:rsid w:val="00D64DED"/>
    <w:rsid w:val="00D650F1"/>
    <w:rsid w:val="00D663A3"/>
    <w:rsid w:val="00D67420"/>
    <w:rsid w:val="00D67920"/>
    <w:rsid w:val="00D67DFB"/>
    <w:rsid w:val="00D70364"/>
    <w:rsid w:val="00D7085D"/>
    <w:rsid w:val="00D712DB"/>
    <w:rsid w:val="00D7142C"/>
    <w:rsid w:val="00D71989"/>
    <w:rsid w:val="00D71A52"/>
    <w:rsid w:val="00D722EE"/>
    <w:rsid w:val="00D72DD4"/>
    <w:rsid w:val="00D73028"/>
    <w:rsid w:val="00D73332"/>
    <w:rsid w:val="00D739B4"/>
    <w:rsid w:val="00D74813"/>
    <w:rsid w:val="00D74A10"/>
    <w:rsid w:val="00D75AEF"/>
    <w:rsid w:val="00D75D95"/>
    <w:rsid w:val="00D76584"/>
    <w:rsid w:val="00D7666F"/>
    <w:rsid w:val="00D769ED"/>
    <w:rsid w:val="00D76FA6"/>
    <w:rsid w:val="00D77173"/>
    <w:rsid w:val="00D77B64"/>
    <w:rsid w:val="00D80838"/>
    <w:rsid w:val="00D8109C"/>
    <w:rsid w:val="00D810D9"/>
    <w:rsid w:val="00D8150E"/>
    <w:rsid w:val="00D82090"/>
    <w:rsid w:val="00D82822"/>
    <w:rsid w:val="00D8291E"/>
    <w:rsid w:val="00D83062"/>
    <w:rsid w:val="00D8317F"/>
    <w:rsid w:val="00D83785"/>
    <w:rsid w:val="00D83902"/>
    <w:rsid w:val="00D84318"/>
    <w:rsid w:val="00D8436B"/>
    <w:rsid w:val="00D8453A"/>
    <w:rsid w:val="00D846AC"/>
    <w:rsid w:val="00D849F3"/>
    <w:rsid w:val="00D84E07"/>
    <w:rsid w:val="00D84E12"/>
    <w:rsid w:val="00D850A5"/>
    <w:rsid w:val="00D850A6"/>
    <w:rsid w:val="00D85150"/>
    <w:rsid w:val="00D8544C"/>
    <w:rsid w:val="00D854A4"/>
    <w:rsid w:val="00D85897"/>
    <w:rsid w:val="00D85C5D"/>
    <w:rsid w:val="00D867D5"/>
    <w:rsid w:val="00D868EE"/>
    <w:rsid w:val="00D86FE3"/>
    <w:rsid w:val="00D8735D"/>
    <w:rsid w:val="00D876DB"/>
    <w:rsid w:val="00D87D79"/>
    <w:rsid w:val="00D90001"/>
    <w:rsid w:val="00D908FB"/>
    <w:rsid w:val="00D90C87"/>
    <w:rsid w:val="00D9130D"/>
    <w:rsid w:val="00D91EC5"/>
    <w:rsid w:val="00D92206"/>
    <w:rsid w:val="00D925E7"/>
    <w:rsid w:val="00D92769"/>
    <w:rsid w:val="00D92857"/>
    <w:rsid w:val="00D929B4"/>
    <w:rsid w:val="00D94003"/>
    <w:rsid w:val="00D94323"/>
    <w:rsid w:val="00D94A16"/>
    <w:rsid w:val="00D94B7E"/>
    <w:rsid w:val="00D95856"/>
    <w:rsid w:val="00D95CE3"/>
    <w:rsid w:val="00D95D96"/>
    <w:rsid w:val="00D95E38"/>
    <w:rsid w:val="00D95E4C"/>
    <w:rsid w:val="00D95EFA"/>
    <w:rsid w:val="00D96776"/>
    <w:rsid w:val="00D9758A"/>
    <w:rsid w:val="00D97842"/>
    <w:rsid w:val="00D97ACB"/>
    <w:rsid w:val="00D97CF4"/>
    <w:rsid w:val="00D97E08"/>
    <w:rsid w:val="00DA071D"/>
    <w:rsid w:val="00DA0D37"/>
    <w:rsid w:val="00DA0E31"/>
    <w:rsid w:val="00DA10BB"/>
    <w:rsid w:val="00DA146A"/>
    <w:rsid w:val="00DA1472"/>
    <w:rsid w:val="00DA18C0"/>
    <w:rsid w:val="00DA1A99"/>
    <w:rsid w:val="00DA3423"/>
    <w:rsid w:val="00DA38B9"/>
    <w:rsid w:val="00DA3C6F"/>
    <w:rsid w:val="00DA3F3B"/>
    <w:rsid w:val="00DA4BB9"/>
    <w:rsid w:val="00DA50E4"/>
    <w:rsid w:val="00DA520C"/>
    <w:rsid w:val="00DA5224"/>
    <w:rsid w:val="00DA69EB"/>
    <w:rsid w:val="00DA6DDE"/>
    <w:rsid w:val="00DA7008"/>
    <w:rsid w:val="00DA7066"/>
    <w:rsid w:val="00DA7318"/>
    <w:rsid w:val="00DA79EE"/>
    <w:rsid w:val="00DA7FA1"/>
    <w:rsid w:val="00DB06F5"/>
    <w:rsid w:val="00DB08CE"/>
    <w:rsid w:val="00DB0D88"/>
    <w:rsid w:val="00DB13D1"/>
    <w:rsid w:val="00DB1A5A"/>
    <w:rsid w:val="00DB27B9"/>
    <w:rsid w:val="00DB32BE"/>
    <w:rsid w:val="00DB41F7"/>
    <w:rsid w:val="00DB46C7"/>
    <w:rsid w:val="00DB481C"/>
    <w:rsid w:val="00DB4A1C"/>
    <w:rsid w:val="00DB4AE2"/>
    <w:rsid w:val="00DB51BD"/>
    <w:rsid w:val="00DB552B"/>
    <w:rsid w:val="00DB55D3"/>
    <w:rsid w:val="00DB5BCD"/>
    <w:rsid w:val="00DB60B7"/>
    <w:rsid w:val="00DB6616"/>
    <w:rsid w:val="00DB6A96"/>
    <w:rsid w:val="00DB6C91"/>
    <w:rsid w:val="00DB71B2"/>
    <w:rsid w:val="00DB742E"/>
    <w:rsid w:val="00DB76D9"/>
    <w:rsid w:val="00DB7743"/>
    <w:rsid w:val="00DB786E"/>
    <w:rsid w:val="00DB7B8C"/>
    <w:rsid w:val="00DC11F6"/>
    <w:rsid w:val="00DC1723"/>
    <w:rsid w:val="00DC1839"/>
    <w:rsid w:val="00DC1BEC"/>
    <w:rsid w:val="00DC1DDF"/>
    <w:rsid w:val="00DC1E9D"/>
    <w:rsid w:val="00DC2C60"/>
    <w:rsid w:val="00DC30C3"/>
    <w:rsid w:val="00DC3180"/>
    <w:rsid w:val="00DC3582"/>
    <w:rsid w:val="00DC3E72"/>
    <w:rsid w:val="00DC4A59"/>
    <w:rsid w:val="00DC5D07"/>
    <w:rsid w:val="00DC616A"/>
    <w:rsid w:val="00DC63BC"/>
    <w:rsid w:val="00DC649E"/>
    <w:rsid w:val="00DC672C"/>
    <w:rsid w:val="00DC6806"/>
    <w:rsid w:val="00DC6B74"/>
    <w:rsid w:val="00DC7473"/>
    <w:rsid w:val="00DC7AA0"/>
    <w:rsid w:val="00DD0338"/>
    <w:rsid w:val="00DD07FB"/>
    <w:rsid w:val="00DD088E"/>
    <w:rsid w:val="00DD08E3"/>
    <w:rsid w:val="00DD1110"/>
    <w:rsid w:val="00DD1A4B"/>
    <w:rsid w:val="00DD1AE2"/>
    <w:rsid w:val="00DD1C7E"/>
    <w:rsid w:val="00DD1E78"/>
    <w:rsid w:val="00DD211C"/>
    <w:rsid w:val="00DD25A4"/>
    <w:rsid w:val="00DD358A"/>
    <w:rsid w:val="00DD35F3"/>
    <w:rsid w:val="00DD3CB8"/>
    <w:rsid w:val="00DD3ECC"/>
    <w:rsid w:val="00DD42F4"/>
    <w:rsid w:val="00DD4621"/>
    <w:rsid w:val="00DD47B5"/>
    <w:rsid w:val="00DD4942"/>
    <w:rsid w:val="00DD530F"/>
    <w:rsid w:val="00DD5CDE"/>
    <w:rsid w:val="00DD60E7"/>
    <w:rsid w:val="00DD6BA4"/>
    <w:rsid w:val="00DD6FE6"/>
    <w:rsid w:val="00DD718B"/>
    <w:rsid w:val="00DD72A3"/>
    <w:rsid w:val="00DD740E"/>
    <w:rsid w:val="00DD7661"/>
    <w:rsid w:val="00DD78B4"/>
    <w:rsid w:val="00DD79ED"/>
    <w:rsid w:val="00DE0A36"/>
    <w:rsid w:val="00DE0BCC"/>
    <w:rsid w:val="00DE22BA"/>
    <w:rsid w:val="00DE2DD4"/>
    <w:rsid w:val="00DE2F3E"/>
    <w:rsid w:val="00DE300B"/>
    <w:rsid w:val="00DE3075"/>
    <w:rsid w:val="00DE37D4"/>
    <w:rsid w:val="00DE3BDF"/>
    <w:rsid w:val="00DE3D1B"/>
    <w:rsid w:val="00DE46C1"/>
    <w:rsid w:val="00DE484C"/>
    <w:rsid w:val="00DE4A27"/>
    <w:rsid w:val="00DE5141"/>
    <w:rsid w:val="00DE5A13"/>
    <w:rsid w:val="00DE62A4"/>
    <w:rsid w:val="00DE6C47"/>
    <w:rsid w:val="00DE6CA0"/>
    <w:rsid w:val="00DE7421"/>
    <w:rsid w:val="00DE74DE"/>
    <w:rsid w:val="00DE75A8"/>
    <w:rsid w:val="00DE762F"/>
    <w:rsid w:val="00DF02AC"/>
    <w:rsid w:val="00DF068A"/>
    <w:rsid w:val="00DF07D7"/>
    <w:rsid w:val="00DF085D"/>
    <w:rsid w:val="00DF0AFB"/>
    <w:rsid w:val="00DF0C31"/>
    <w:rsid w:val="00DF0F20"/>
    <w:rsid w:val="00DF11CD"/>
    <w:rsid w:val="00DF12C4"/>
    <w:rsid w:val="00DF1423"/>
    <w:rsid w:val="00DF1A59"/>
    <w:rsid w:val="00DF1A82"/>
    <w:rsid w:val="00DF1D6F"/>
    <w:rsid w:val="00DF20CA"/>
    <w:rsid w:val="00DF2ABF"/>
    <w:rsid w:val="00DF35D0"/>
    <w:rsid w:val="00DF3634"/>
    <w:rsid w:val="00DF3DBD"/>
    <w:rsid w:val="00DF466B"/>
    <w:rsid w:val="00DF48BE"/>
    <w:rsid w:val="00DF4A3F"/>
    <w:rsid w:val="00DF4E0F"/>
    <w:rsid w:val="00DF53BF"/>
    <w:rsid w:val="00DF570C"/>
    <w:rsid w:val="00DF5743"/>
    <w:rsid w:val="00DF63E2"/>
    <w:rsid w:val="00DF643A"/>
    <w:rsid w:val="00DF652E"/>
    <w:rsid w:val="00DF67D8"/>
    <w:rsid w:val="00DF6831"/>
    <w:rsid w:val="00DF6878"/>
    <w:rsid w:val="00DF77BC"/>
    <w:rsid w:val="00DF79E2"/>
    <w:rsid w:val="00DF7BA5"/>
    <w:rsid w:val="00DF7CB4"/>
    <w:rsid w:val="00E00024"/>
    <w:rsid w:val="00E00065"/>
    <w:rsid w:val="00E00197"/>
    <w:rsid w:val="00E003C1"/>
    <w:rsid w:val="00E003F1"/>
    <w:rsid w:val="00E008D3"/>
    <w:rsid w:val="00E00AF3"/>
    <w:rsid w:val="00E00B57"/>
    <w:rsid w:val="00E0116F"/>
    <w:rsid w:val="00E01349"/>
    <w:rsid w:val="00E0134E"/>
    <w:rsid w:val="00E019D7"/>
    <w:rsid w:val="00E01A36"/>
    <w:rsid w:val="00E020F7"/>
    <w:rsid w:val="00E024CF"/>
    <w:rsid w:val="00E02734"/>
    <w:rsid w:val="00E02757"/>
    <w:rsid w:val="00E02898"/>
    <w:rsid w:val="00E02D21"/>
    <w:rsid w:val="00E02DB1"/>
    <w:rsid w:val="00E03083"/>
    <w:rsid w:val="00E03478"/>
    <w:rsid w:val="00E0375B"/>
    <w:rsid w:val="00E038B3"/>
    <w:rsid w:val="00E03982"/>
    <w:rsid w:val="00E03A4E"/>
    <w:rsid w:val="00E04469"/>
    <w:rsid w:val="00E0471B"/>
    <w:rsid w:val="00E0496B"/>
    <w:rsid w:val="00E04F80"/>
    <w:rsid w:val="00E05650"/>
    <w:rsid w:val="00E05820"/>
    <w:rsid w:val="00E05DE2"/>
    <w:rsid w:val="00E0604B"/>
    <w:rsid w:val="00E06080"/>
    <w:rsid w:val="00E06549"/>
    <w:rsid w:val="00E06620"/>
    <w:rsid w:val="00E0669E"/>
    <w:rsid w:val="00E0715A"/>
    <w:rsid w:val="00E07521"/>
    <w:rsid w:val="00E0768E"/>
    <w:rsid w:val="00E07B04"/>
    <w:rsid w:val="00E1025A"/>
    <w:rsid w:val="00E10B9E"/>
    <w:rsid w:val="00E10C70"/>
    <w:rsid w:val="00E10D47"/>
    <w:rsid w:val="00E10E29"/>
    <w:rsid w:val="00E10E69"/>
    <w:rsid w:val="00E11159"/>
    <w:rsid w:val="00E11589"/>
    <w:rsid w:val="00E117C0"/>
    <w:rsid w:val="00E11C01"/>
    <w:rsid w:val="00E11FA4"/>
    <w:rsid w:val="00E12B38"/>
    <w:rsid w:val="00E12CE4"/>
    <w:rsid w:val="00E13207"/>
    <w:rsid w:val="00E13737"/>
    <w:rsid w:val="00E138D6"/>
    <w:rsid w:val="00E14059"/>
    <w:rsid w:val="00E144FA"/>
    <w:rsid w:val="00E14585"/>
    <w:rsid w:val="00E146B4"/>
    <w:rsid w:val="00E1472D"/>
    <w:rsid w:val="00E14C80"/>
    <w:rsid w:val="00E14D78"/>
    <w:rsid w:val="00E14E9A"/>
    <w:rsid w:val="00E15E43"/>
    <w:rsid w:val="00E15FCC"/>
    <w:rsid w:val="00E16413"/>
    <w:rsid w:val="00E166E1"/>
    <w:rsid w:val="00E16F66"/>
    <w:rsid w:val="00E171E7"/>
    <w:rsid w:val="00E1789A"/>
    <w:rsid w:val="00E17BC9"/>
    <w:rsid w:val="00E17F8D"/>
    <w:rsid w:val="00E20554"/>
    <w:rsid w:val="00E208EF"/>
    <w:rsid w:val="00E20D4E"/>
    <w:rsid w:val="00E2100B"/>
    <w:rsid w:val="00E21383"/>
    <w:rsid w:val="00E21451"/>
    <w:rsid w:val="00E217EB"/>
    <w:rsid w:val="00E22503"/>
    <w:rsid w:val="00E2296E"/>
    <w:rsid w:val="00E22A7A"/>
    <w:rsid w:val="00E239B0"/>
    <w:rsid w:val="00E23C4C"/>
    <w:rsid w:val="00E24035"/>
    <w:rsid w:val="00E24160"/>
    <w:rsid w:val="00E2432E"/>
    <w:rsid w:val="00E25266"/>
    <w:rsid w:val="00E25485"/>
    <w:rsid w:val="00E2562A"/>
    <w:rsid w:val="00E256BB"/>
    <w:rsid w:val="00E25AEE"/>
    <w:rsid w:val="00E25E18"/>
    <w:rsid w:val="00E25E41"/>
    <w:rsid w:val="00E263F4"/>
    <w:rsid w:val="00E265D3"/>
    <w:rsid w:val="00E266CF"/>
    <w:rsid w:val="00E26F4C"/>
    <w:rsid w:val="00E270EC"/>
    <w:rsid w:val="00E30303"/>
    <w:rsid w:val="00E3049A"/>
    <w:rsid w:val="00E308BA"/>
    <w:rsid w:val="00E30D1B"/>
    <w:rsid w:val="00E31797"/>
    <w:rsid w:val="00E319E9"/>
    <w:rsid w:val="00E31A71"/>
    <w:rsid w:val="00E31EE5"/>
    <w:rsid w:val="00E323D1"/>
    <w:rsid w:val="00E32C8D"/>
    <w:rsid w:val="00E32D4F"/>
    <w:rsid w:val="00E32D93"/>
    <w:rsid w:val="00E32DAF"/>
    <w:rsid w:val="00E32EBE"/>
    <w:rsid w:val="00E32EF4"/>
    <w:rsid w:val="00E3302D"/>
    <w:rsid w:val="00E335B3"/>
    <w:rsid w:val="00E33CBC"/>
    <w:rsid w:val="00E34A79"/>
    <w:rsid w:val="00E34B5F"/>
    <w:rsid w:val="00E3568D"/>
    <w:rsid w:val="00E35718"/>
    <w:rsid w:val="00E357B3"/>
    <w:rsid w:val="00E35A52"/>
    <w:rsid w:val="00E36033"/>
    <w:rsid w:val="00E366F5"/>
    <w:rsid w:val="00E367CD"/>
    <w:rsid w:val="00E36DA7"/>
    <w:rsid w:val="00E36E7A"/>
    <w:rsid w:val="00E37AFA"/>
    <w:rsid w:val="00E40096"/>
    <w:rsid w:val="00E404E3"/>
    <w:rsid w:val="00E40DCC"/>
    <w:rsid w:val="00E40E69"/>
    <w:rsid w:val="00E41B43"/>
    <w:rsid w:val="00E41CB8"/>
    <w:rsid w:val="00E42277"/>
    <w:rsid w:val="00E42356"/>
    <w:rsid w:val="00E4277A"/>
    <w:rsid w:val="00E42977"/>
    <w:rsid w:val="00E42B0E"/>
    <w:rsid w:val="00E42DE8"/>
    <w:rsid w:val="00E42DFD"/>
    <w:rsid w:val="00E42E65"/>
    <w:rsid w:val="00E42F80"/>
    <w:rsid w:val="00E43173"/>
    <w:rsid w:val="00E43BAD"/>
    <w:rsid w:val="00E43E24"/>
    <w:rsid w:val="00E43ECB"/>
    <w:rsid w:val="00E44108"/>
    <w:rsid w:val="00E4414A"/>
    <w:rsid w:val="00E448BF"/>
    <w:rsid w:val="00E44A46"/>
    <w:rsid w:val="00E44A47"/>
    <w:rsid w:val="00E451BF"/>
    <w:rsid w:val="00E45741"/>
    <w:rsid w:val="00E45870"/>
    <w:rsid w:val="00E45BB2"/>
    <w:rsid w:val="00E45E9C"/>
    <w:rsid w:val="00E45ED8"/>
    <w:rsid w:val="00E46099"/>
    <w:rsid w:val="00E46847"/>
    <w:rsid w:val="00E46B75"/>
    <w:rsid w:val="00E46F62"/>
    <w:rsid w:val="00E470B0"/>
    <w:rsid w:val="00E47154"/>
    <w:rsid w:val="00E472B4"/>
    <w:rsid w:val="00E47F42"/>
    <w:rsid w:val="00E501B9"/>
    <w:rsid w:val="00E503F6"/>
    <w:rsid w:val="00E50430"/>
    <w:rsid w:val="00E504DB"/>
    <w:rsid w:val="00E5054B"/>
    <w:rsid w:val="00E50BBA"/>
    <w:rsid w:val="00E51301"/>
    <w:rsid w:val="00E521B2"/>
    <w:rsid w:val="00E521E4"/>
    <w:rsid w:val="00E52B7E"/>
    <w:rsid w:val="00E52C28"/>
    <w:rsid w:val="00E53E66"/>
    <w:rsid w:val="00E53FC4"/>
    <w:rsid w:val="00E54135"/>
    <w:rsid w:val="00E5413A"/>
    <w:rsid w:val="00E54373"/>
    <w:rsid w:val="00E5533E"/>
    <w:rsid w:val="00E5562A"/>
    <w:rsid w:val="00E55920"/>
    <w:rsid w:val="00E561DD"/>
    <w:rsid w:val="00E56801"/>
    <w:rsid w:val="00E57007"/>
    <w:rsid w:val="00E5783A"/>
    <w:rsid w:val="00E57A28"/>
    <w:rsid w:val="00E6014E"/>
    <w:rsid w:val="00E6022B"/>
    <w:rsid w:val="00E607F3"/>
    <w:rsid w:val="00E61A2B"/>
    <w:rsid w:val="00E61A74"/>
    <w:rsid w:val="00E61ABC"/>
    <w:rsid w:val="00E61C03"/>
    <w:rsid w:val="00E62478"/>
    <w:rsid w:val="00E62C99"/>
    <w:rsid w:val="00E62FD7"/>
    <w:rsid w:val="00E630B0"/>
    <w:rsid w:val="00E632AC"/>
    <w:rsid w:val="00E63466"/>
    <w:rsid w:val="00E643D9"/>
    <w:rsid w:val="00E64D9B"/>
    <w:rsid w:val="00E65236"/>
    <w:rsid w:val="00E6557D"/>
    <w:rsid w:val="00E659F7"/>
    <w:rsid w:val="00E65C25"/>
    <w:rsid w:val="00E65D9B"/>
    <w:rsid w:val="00E66A32"/>
    <w:rsid w:val="00E66B0C"/>
    <w:rsid w:val="00E66F76"/>
    <w:rsid w:val="00E67147"/>
    <w:rsid w:val="00E67465"/>
    <w:rsid w:val="00E67FB2"/>
    <w:rsid w:val="00E7018F"/>
    <w:rsid w:val="00E707F1"/>
    <w:rsid w:val="00E70A82"/>
    <w:rsid w:val="00E72592"/>
    <w:rsid w:val="00E72A0F"/>
    <w:rsid w:val="00E72B51"/>
    <w:rsid w:val="00E72DAD"/>
    <w:rsid w:val="00E731D7"/>
    <w:rsid w:val="00E73251"/>
    <w:rsid w:val="00E733D3"/>
    <w:rsid w:val="00E733D4"/>
    <w:rsid w:val="00E738F5"/>
    <w:rsid w:val="00E73B28"/>
    <w:rsid w:val="00E74604"/>
    <w:rsid w:val="00E74C88"/>
    <w:rsid w:val="00E74F7A"/>
    <w:rsid w:val="00E754C5"/>
    <w:rsid w:val="00E754DB"/>
    <w:rsid w:val="00E76527"/>
    <w:rsid w:val="00E76805"/>
    <w:rsid w:val="00E76B22"/>
    <w:rsid w:val="00E7722F"/>
    <w:rsid w:val="00E7786D"/>
    <w:rsid w:val="00E77881"/>
    <w:rsid w:val="00E77F04"/>
    <w:rsid w:val="00E80260"/>
    <w:rsid w:val="00E802EA"/>
    <w:rsid w:val="00E80404"/>
    <w:rsid w:val="00E80857"/>
    <w:rsid w:val="00E8085B"/>
    <w:rsid w:val="00E808A7"/>
    <w:rsid w:val="00E80DC0"/>
    <w:rsid w:val="00E81F3D"/>
    <w:rsid w:val="00E8277E"/>
    <w:rsid w:val="00E82CA6"/>
    <w:rsid w:val="00E836EB"/>
    <w:rsid w:val="00E839F9"/>
    <w:rsid w:val="00E83BA5"/>
    <w:rsid w:val="00E8449D"/>
    <w:rsid w:val="00E84576"/>
    <w:rsid w:val="00E84BDA"/>
    <w:rsid w:val="00E84EAC"/>
    <w:rsid w:val="00E8500A"/>
    <w:rsid w:val="00E857C0"/>
    <w:rsid w:val="00E85885"/>
    <w:rsid w:val="00E85BF8"/>
    <w:rsid w:val="00E8618A"/>
    <w:rsid w:val="00E863A9"/>
    <w:rsid w:val="00E8672D"/>
    <w:rsid w:val="00E86A64"/>
    <w:rsid w:val="00E86CEA"/>
    <w:rsid w:val="00E86E5C"/>
    <w:rsid w:val="00E87A34"/>
    <w:rsid w:val="00E87C68"/>
    <w:rsid w:val="00E90063"/>
    <w:rsid w:val="00E90774"/>
    <w:rsid w:val="00E90BA2"/>
    <w:rsid w:val="00E91131"/>
    <w:rsid w:val="00E929BB"/>
    <w:rsid w:val="00E931E7"/>
    <w:rsid w:val="00E933BF"/>
    <w:rsid w:val="00E934D2"/>
    <w:rsid w:val="00E937B1"/>
    <w:rsid w:val="00E9432D"/>
    <w:rsid w:val="00E949EE"/>
    <w:rsid w:val="00E94D09"/>
    <w:rsid w:val="00E951FD"/>
    <w:rsid w:val="00E9525E"/>
    <w:rsid w:val="00E9584F"/>
    <w:rsid w:val="00E95C90"/>
    <w:rsid w:val="00E95E19"/>
    <w:rsid w:val="00E95EF4"/>
    <w:rsid w:val="00E962AA"/>
    <w:rsid w:val="00E962C1"/>
    <w:rsid w:val="00E9677E"/>
    <w:rsid w:val="00E96920"/>
    <w:rsid w:val="00E9748C"/>
    <w:rsid w:val="00E97A1A"/>
    <w:rsid w:val="00E97C43"/>
    <w:rsid w:val="00EA0003"/>
    <w:rsid w:val="00EA02CD"/>
    <w:rsid w:val="00EA0301"/>
    <w:rsid w:val="00EA09A3"/>
    <w:rsid w:val="00EA0C04"/>
    <w:rsid w:val="00EA142B"/>
    <w:rsid w:val="00EA2414"/>
    <w:rsid w:val="00EA247D"/>
    <w:rsid w:val="00EA2666"/>
    <w:rsid w:val="00EA2B9F"/>
    <w:rsid w:val="00EA2BA9"/>
    <w:rsid w:val="00EA2FB0"/>
    <w:rsid w:val="00EA3061"/>
    <w:rsid w:val="00EA3203"/>
    <w:rsid w:val="00EA395B"/>
    <w:rsid w:val="00EA3BB0"/>
    <w:rsid w:val="00EA3BF4"/>
    <w:rsid w:val="00EA465E"/>
    <w:rsid w:val="00EA4F67"/>
    <w:rsid w:val="00EA523C"/>
    <w:rsid w:val="00EA5FFE"/>
    <w:rsid w:val="00EA60EF"/>
    <w:rsid w:val="00EA64A5"/>
    <w:rsid w:val="00EA674C"/>
    <w:rsid w:val="00EA677B"/>
    <w:rsid w:val="00EA6952"/>
    <w:rsid w:val="00EA697E"/>
    <w:rsid w:val="00EA6C4C"/>
    <w:rsid w:val="00EA6FC9"/>
    <w:rsid w:val="00EA78A7"/>
    <w:rsid w:val="00EA7A27"/>
    <w:rsid w:val="00EA7A3B"/>
    <w:rsid w:val="00EA7ED3"/>
    <w:rsid w:val="00EA7F0B"/>
    <w:rsid w:val="00EB02E1"/>
    <w:rsid w:val="00EB07E6"/>
    <w:rsid w:val="00EB0A02"/>
    <w:rsid w:val="00EB0B12"/>
    <w:rsid w:val="00EB1648"/>
    <w:rsid w:val="00EB1D83"/>
    <w:rsid w:val="00EB3013"/>
    <w:rsid w:val="00EB3062"/>
    <w:rsid w:val="00EB36A6"/>
    <w:rsid w:val="00EB40CA"/>
    <w:rsid w:val="00EB57C9"/>
    <w:rsid w:val="00EB5F72"/>
    <w:rsid w:val="00EB5FAA"/>
    <w:rsid w:val="00EB65F4"/>
    <w:rsid w:val="00EB6AEA"/>
    <w:rsid w:val="00EB7477"/>
    <w:rsid w:val="00EB7611"/>
    <w:rsid w:val="00EB770D"/>
    <w:rsid w:val="00EB7744"/>
    <w:rsid w:val="00EB775C"/>
    <w:rsid w:val="00EB79B0"/>
    <w:rsid w:val="00EB79BD"/>
    <w:rsid w:val="00EC05AA"/>
    <w:rsid w:val="00EC1180"/>
    <w:rsid w:val="00EC1370"/>
    <w:rsid w:val="00EC1505"/>
    <w:rsid w:val="00EC15AA"/>
    <w:rsid w:val="00EC1ACF"/>
    <w:rsid w:val="00EC1BC0"/>
    <w:rsid w:val="00EC264B"/>
    <w:rsid w:val="00EC266E"/>
    <w:rsid w:val="00EC283D"/>
    <w:rsid w:val="00EC2D06"/>
    <w:rsid w:val="00EC2FEF"/>
    <w:rsid w:val="00EC34EB"/>
    <w:rsid w:val="00EC35E9"/>
    <w:rsid w:val="00EC3710"/>
    <w:rsid w:val="00EC40BD"/>
    <w:rsid w:val="00EC4366"/>
    <w:rsid w:val="00EC4398"/>
    <w:rsid w:val="00EC4BD4"/>
    <w:rsid w:val="00EC4FD0"/>
    <w:rsid w:val="00EC541E"/>
    <w:rsid w:val="00EC5824"/>
    <w:rsid w:val="00EC59D0"/>
    <w:rsid w:val="00EC5D76"/>
    <w:rsid w:val="00EC6794"/>
    <w:rsid w:val="00EC6869"/>
    <w:rsid w:val="00EC691D"/>
    <w:rsid w:val="00EC6B43"/>
    <w:rsid w:val="00EC6BB0"/>
    <w:rsid w:val="00EC7A27"/>
    <w:rsid w:val="00EC7CC2"/>
    <w:rsid w:val="00EC7D4C"/>
    <w:rsid w:val="00ED00A8"/>
    <w:rsid w:val="00ED0115"/>
    <w:rsid w:val="00ED04F6"/>
    <w:rsid w:val="00ED09D5"/>
    <w:rsid w:val="00ED11BB"/>
    <w:rsid w:val="00ED1410"/>
    <w:rsid w:val="00ED14BD"/>
    <w:rsid w:val="00ED1B14"/>
    <w:rsid w:val="00ED1E49"/>
    <w:rsid w:val="00ED22DB"/>
    <w:rsid w:val="00ED2397"/>
    <w:rsid w:val="00ED256A"/>
    <w:rsid w:val="00ED26FF"/>
    <w:rsid w:val="00ED2A6B"/>
    <w:rsid w:val="00ED2C1C"/>
    <w:rsid w:val="00ED2D48"/>
    <w:rsid w:val="00ED3D5F"/>
    <w:rsid w:val="00ED46FF"/>
    <w:rsid w:val="00ED4C94"/>
    <w:rsid w:val="00ED4EC6"/>
    <w:rsid w:val="00ED540C"/>
    <w:rsid w:val="00ED55E1"/>
    <w:rsid w:val="00ED56AE"/>
    <w:rsid w:val="00ED5A08"/>
    <w:rsid w:val="00ED5AD0"/>
    <w:rsid w:val="00ED60C8"/>
    <w:rsid w:val="00ED6695"/>
    <w:rsid w:val="00ED6D9F"/>
    <w:rsid w:val="00ED6DD5"/>
    <w:rsid w:val="00ED74DB"/>
    <w:rsid w:val="00ED76B2"/>
    <w:rsid w:val="00ED7825"/>
    <w:rsid w:val="00EE0043"/>
    <w:rsid w:val="00EE050B"/>
    <w:rsid w:val="00EE0D7A"/>
    <w:rsid w:val="00EE12F6"/>
    <w:rsid w:val="00EE1737"/>
    <w:rsid w:val="00EE173B"/>
    <w:rsid w:val="00EE1945"/>
    <w:rsid w:val="00EE1986"/>
    <w:rsid w:val="00EE2106"/>
    <w:rsid w:val="00EE2ABD"/>
    <w:rsid w:val="00EE3428"/>
    <w:rsid w:val="00EE37AC"/>
    <w:rsid w:val="00EE392D"/>
    <w:rsid w:val="00EE3A71"/>
    <w:rsid w:val="00EE3F02"/>
    <w:rsid w:val="00EE40F8"/>
    <w:rsid w:val="00EE4C60"/>
    <w:rsid w:val="00EE4F25"/>
    <w:rsid w:val="00EE5067"/>
    <w:rsid w:val="00EE5129"/>
    <w:rsid w:val="00EE524F"/>
    <w:rsid w:val="00EE5291"/>
    <w:rsid w:val="00EE5603"/>
    <w:rsid w:val="00EE6026"/>
    <w:rsid w:val="00EE606B"/>
    <w:rsid w:val="00EE636E"/>
    <w:rsid w:val="00EE63B0"/>
    <w:rsid w:val="00EE6979"/>
    <w:rsid w:val="00EE6AAF"/>
    <w:rsid w:val="00EE6C71"/>
    <w:rsid w:val="00EE702D"/>
    <w:rsid w:val="00EE7A18"/>
    <w:rsid w:val="00EE7D00"/>
    <w:rsid w:val="00EE7EC0"/>
    <w:rsid w:val="00EF0EDA"/>
    <w:rsid w:val="00EF1202"/>
    <w:rsid w:val="00EF173D"/>
    <w:rsid w:val="00EF2B87"/>
    <w:rsid w:val="00EF2CBB"/>
    <w:rsid w:val="00EF3CE6"/>
    <w:rsid w:val="00EF439B"/>
    <w:rsid w:val="00EF4584"/>
    <w:rsid w:val="00EF4728"/>
    <w:rsid w:val="00EF4840"/>
    <w:rsid w:val="00EF6097"/>
    <w:rsid w:val="00EF6543"/>
    <w:rsid w:val="00EF6967"/>
    <w:rsid w:val="00EF6F92"/>
    <w:rsid w:val="00EF7307"/>
    <w:rsid w:val="00EF757F"/>
    <w:rsid w:val="00EF7817"/>
    <w:rsid w:val="00EF79E1"/>
    <w:rsid w:val="00F01024"/>
    <w:rsid w:val="00F01857"/>
    <w:rsid w:val="00F02397"/>
    <w:rsid w:val="00F02C81"/>
    <w:rsid w:val="00F0343F"/>
    <w:rsid w:val="00F036D9"/>
    <w:rsid w:val="00F038C4"/>
    <w:rsid w:val="00F03C1F"/>
    <w:rsid w:val="00F03C49"/>
    <w:rsid w:val="00F04341"/>
    <w:rsid w:val="00F04370"/>
    <w:rsid w:val="00F0480F"/>
    <w:rsid w:val="00F052A8"/>
    <w:rsid w:val="00F053FF"/>
    <w:rsid w:val="00F0564B"/>
    <w:rsid w:val="00F058A6"/>
    <w:rsid w:val="00F059CC"/>
    <w:rsid w:val="00F05DFA"/>
    <w:rsid w:val="00F06AFD"/>
    <w:rsid w:val="00F06FFE"/>
    <w:rsid w:val="00F0790D"/>
    <w:rsid w:val="00F10742"/>
    <w:rsid w:val="00F1089D"/>
    <w:rsid w:val="00F10ACC"/>
    <w:rsid w:val="00F10BEA"/>
    <w:rsid w:val="00F10EB4"/>
    <w:rsid w:val="00F111D8"/>
    <w:rsid w:val="00F11C3D"/>
    <w:rsid w:val="00F11EB5"/>
    <w:rsid w:val="00F1233B"/>
    <w:rsid w:val="00F130DD"/>
    <w:rsid w:val="00F1340C"/>
    <w:rsid w:val="00F13BFA"/>
    <w:rsid w:val="00F13D0F"/>
    <w:rsid w:val="00F13D46"/>
    <w:rsid w:val="00F14098"/>
    <w:rsid w:val="00F14174"/>
    <w:rsid w:val="00F14319"/>
    <w:rsid w:val="00F1442B"/>
    <w:rsid w:val="00F154B3"/>
    <w:rsid w:val="00F15760"/>
    <w:rsid w:val="00F16586"/>
    <w:rsid w:val="00F166E4"/>
    <w:rsid w:val="00F169B8"/>
    <w:rsid w:val="00F16A30"/>
    <w:rsid w:val="00F1756C"/>
    <w:rsid w:val="00F17EEF"/>
    <w:rsid w:val="00F20178"/>
    <w:rsid w:val="00F2073A"/>
    <w:rsid w:val="00F20BEE"/>
    <w:rsid w:val="00F20CB8"/>
    <w:rsid w:val="00F21086"/>
    <w:rsid w:val="00F21237"/>
    <w:rsid w:val="00F21238"/>
    <w:rsid w:val="00F21409"/>
    <w:rsid w:val="00F214FD"/>
    <w:rsid w:val="00F216D7"/>
    <w:rsid w:val="00F21877"/>
    <w:rsid w:val="00F21BCE"/>
    <w:rsid w:val="00F21FB4"/>
    <w:rsid w:val="00F2200C"/>
    <w:rsid w:val="00F22BA0"/>
    <w:rsid w:val="00F23060"/>
    <w:rsid w:val="00F231E2"/>
    <w:rsid w:val="00F2355E"/>
    <w:rsid w:val="00F236A0"/>
    <w:rsid w:val="00F23ADD"/>
    <w:rsid w:val="00F2402A"/>
    <w:rsid w:val="00F24CA2"/>
    <w:rsid w:val="00F252C9"/>
    <w:rsid w:val="00F25DF1"/>
    <w:rsid w:val="00F261FA"/>
    <w:rsid w:val="00F26355"/>
    <w:rsid w:val="00F26531"/>
    <w:rsid w:val="00F265A5"/>
    <w:rsid w:val="00F26609"/>
    <w:rsid w:val="00F266AB"/>
    <w:rsid w:val="00F26B62"/>
    <w:rsid w:val="00F26D1D"/>
    <w:rsid w:val="00F26E7B"/>
    <w:rsid w:val="00F279EF"/>
    <w:rsid w:val="00F27BBB"/>
    <w:rsid w:val="00F27C11"/>
    <w:rsid w:val="00F27CCD"/>
    <w:rsid w:val="00F27D9C"/>
    <w:rsid w:val="00F27DD3"/>
    <w:rsid w:val="00F303DB"/>
    <w:rsid w:val="00F30447"/>
    <w:rsid w:val="00F306C7"/>
    <w:rsid w:val="00F307E1"/>
    <w:rsid w:val="00F308D1"/>
    <w:rsid w:val="00F311AF"/>
    <w:rsid w:val="00F3165A"/>
    <w:rsid w:val="00F31E65"/>
    <w:rsid w:val="00F31EAA"/>
    <w:rsid w:val="00F323FB"/>
    <w:rsid w:val="00F32664"/>
    <w:rsid w:val="00F32705"/>
    <w:rsid w:val="00F32729"/>
    <w:rsid w:val="00F32E36"/>
    <w:rsid w:val="00F336A0"/>
    <w:rsid w:val="00F339EC"/>
    <w:rsid w:val="00F33BB3"/>
    <w:rsid w:val="00F33FDD"/>
    <w:rsid w:val="00F34711"/>
    <w:rsid w:val="00F34B0E"/>
    <w:rsid w:val="00F34CD7"/>
    <w:rsid w:val="00F34E55"/>
    <w:rsid w:val="00F34F38"/>
    <w:rsid w:val="00F35904"/>
    <w:rsid w:val="00F36819"/>
    <w:rsid w:val="00F369D9"/>
    <w:rsid w:val="00F36A89"/>
    <w:rsid w:val="00F36FC2"/>
    <w:rsid w:val="00F37019"/>
    <w:rsid w:val="00F3707F"/>
    <w:rsid w:val="00F375A4"/>
    <w:rsid w:val="00F3777F"/>
    <w:rsid w:val="00F37FE0"/>
    <w:rsid w:val="00F40221"/>
    <w:rsid w:val="00F403AB"/>
    <w:rsid w:val="00F40697"/>
    <w:rsid w:val="00F40A0C"/>
    <w:rsid w:val="00F40F47"/>
    <w:rsid w:val="00F41071"/>
    <w:rsid w:val="00F410B4"/>
    <w:rsid w:val="00F41250"/>
    <w:rsid w:val="00F413A7"/>
    <w:rsid w:val="00F416B2"/>
    <w:rsid w:val="00F41817"/>
    <w:rsid w:val="00F41919"/>
    <w:rsid w:val="00F41D38"/>
    <w:rsid w:val="00F4205D"/>
    <w:rsid w:val="00F42353"/>
    <w:rsid w:val="00F43775"/>
    <w:rsid w:val="00F43CCC"/>
    <w:rsid w:val="00F440EF"/>
    <w:rsid w:val="00F44239"/>
    <w:rsid w:val="00F444D2"/>
    <w:rsid w:val="00F44957"/>
    <w:rsid w:val="00F44B77"/>
    <w:rsid w:val="00F45434"/>
    <w:rsid w:val="00F454F3"/>
    <w:rsid w:val="00F45FB8"/>
    <w:rsid w:val="00F4632C"/>
    <w:rsid w:val="00F465F1"/>
    <w:rsid w:val="00F46708"/>
    <w:rsid w:val="00F47828"/>
    <w:rsid w:val="00F50664"/>
    <w:rsid w:val="00F50CA2"/>
    <w:rsid w:val="00F5165C"/>
    <w:rsid w:val="00F51717"/>
    <w:rsid w:val="00F51D39"/>
    <w:rsid w:val="00F52023"/>
    <w:rsid w:val="00F52489"/>
    <w:rsid w:val="00F52695"/>
    <w:rsid w:val="00F52A20"/>
    <w:rsid w:val="00F531EF"/>
    <w:rsid w:val="00F53701"/>
    <w:rsid w:val="00F53AB8"/>
    <w:rsid w:val="00F53BAA"/>
    <w:rsid w:val="00F53C9D"/>
    <w:rsid w:val="00F541F0"/>
    <w:rsid w:val="00F5458D"/>
    <w:rsid w:val="00F54B9C"/>
    <w:rsid w:val="00F550BF"/>
    <w:rsid w:val="00F553E9"/>
    <w:rsid w:val="00F5573A"/>
    <w:rsid w:val="00F55C01"/>
    <w:rsid w:val="00F562D7"/>
    <w:rsid w:val="00F56B1C"/>
    <w:rsid w:val="00F56B57"/>
    <w:rsid w:val="00F57821"/>
    <w:rsid w:val="00F600CE"/>
    <w:rsid w:val="00F607E8"/>
    <w:rsid w:val="00F62A9D"/>
    <w:rsid w:val="00F634B1"/>
    <w:rsid w:val="00F637B1"/>
    <w:rsid w:val="00F6405D"/>
    <w:rsid w:val="00F64A87"/>
    <w:rsid w:val="00F64D8F"/>
    <w:rsid w:val="00F64DAB"/>
    <w:rsid w:val="00F6547C"/>
    <w:rsid w:val="00F657C2"/>
    <w:rsid w:val="00F659AB"/>
    <w:rsid w:val="00F65ABA"/>
    <w:rsid w:val="00F65BC8"/>
    <w:rsid w:val="00F65DF8"/>
    <w:rsid w:val="00F660E8"/>
    <w:rsid w:val="00F6617E"/>
    <w:rsid w:val="00F664AD"/>
    <w:rsid w:val="00F6684D"/>
    <w:rsid w:val="00F668DA"/>
    <w:rsid w:val="00F66DB7"/>
    <w:rsid w:val="00F66DE1"/>
    <w:rsid w:val="00F673F6"/>
    <w:rsid w:val="00F677E6"/>
    <w:rsid w:val="00F67ACD"/>
    <w:rsid w:val="00F67BF3"/>
    <w:rsid w:val="00F67D3D"/>
    <w:rsid w:val="00F67F79"/>
    <w:rsid w:val="00F70108"/>
    <w:rsid w:val="00F701C2"/>
    <w:rsid w:val="00F7058F"/>
    <w:rsid w:val="00F70808"/>
    <w:rsid w:val="00F70922"/>
    <w:rsid w:val="00F70AC5"/>
    <w:rsid w:val="00F70AE6"/>
    <w:rsid w:val="00F71360"/>
    <w:rsid w:val="00F71AAC"/>
    <w:rsid w:val="00F71C75"/>
    <w:rsid w:val="00F71D7F"/>
    <w:rsid w:val="00F71DC1"/>
    <w:rsid w:val="00F7203B"/>
    <w:rsid w:val="00F72A10"/>
    <w:rsid w:val="00F73258"/>
    <w:rsid w:val="00F73333"/>
    <w:rsid w:val="00F734CF"/>
    <w:rsid w:val="00F7405C"/>
    <w:rsid w:val="00F74113"/>
    <w:rsid w:val="00F74346"/>
    <w:rsid w:val="00F7434A"/>
    <w:rsid w:val="00F7552C"/>
    <w:rsid w:val="00F75594"/>
    <w:rsid w:val="00F7581D"/>
    <w:rsid w:val="00F758F4"/>
    <w:rsid w:val="00F75A01"/>
    <w:rsid w:val="00F75B5B"/>
    <w:rsid w:val="00F760EA"/>
    <w:rsid w:val="00F7672A"/>
    <w:rsid w:val="00F767BD"/>
    <w:rsid w:val="00F76AF7"/>
    <w:rsid w:val="00F76DC6"/>
    <w:rsid w:val="00F771FF"/>
    <w:rsid w:val="00F77306"/>
    <w:rsid w:val="00F800F9"/>
    <w:rsid w:val="00F804A7"/>
    <w:rsid w:val="00F805D5"/>
    <w:rsid w:val="00F80BEB"/>
    <w:rsid w:val="00F80CBC"/>
    <w:rsid w:val="00F80DFF"/>
    <w:rsid w:val="00F81362"/>
    <w:rsid w:val="00F81581"/>
    <w:rsid w:val="00F819EE"/>
    <w:rsid w:val="00F81A31"/>
    <w:rsid w:val="00F82A6C"/>
    <w:rsid w:val="00F82D8C"/>
    <w:rsid w:val="00F833C2"/>
    <w:rsid w:val="00F833ED"/>
    <w:rsid w:val="00F83941"/>
    <w:rsid w:val="00F83B8C"/>
    <w:rsid w:val="00F84509"/>
    <w:rsid w:val="00F84703"/>
    <w:rsid w:val="00F84D56"/>
    <w:rsid w:val="00F84FC0"/>
    <w:rsid w:val="00F850B0"/>
    <w:rsid w:val="00F851AE"/>
    <w:rsid w:val="00F85B3B"/>
    <w:rsid w:val="00F85B93"/>
    <w:rsid w:val="00F85E0A"/>
    <w:rsid w:val="00F85EE2"/>
    <w:rsid w:val="00F86F09"/>
    <w:rsid w:val="00F8778A"/>
    <w:rsid w:val="00F87860"/>
    <w:rsid w:val="00F87B42"/>
    <w:rsid w:val="00F87C66"/>
    <w:rsid w:val="00F87FBC"/>
    <w:rsid w:val="00F90F19"/>
    <w:rsid w:val="00F91180"/>
    <w:rsid w:val="00F91307"/>
    <w:rsid w:val="00F9167C"/>
    <w:rsid w:val="00F91B4F"/>
    <w:rsid w:val="00F91EE9"/>
    <w:rsid w:val="00F923FF"/>
    <w:rsid w:val="00F92761"/>
    <w:rsid w:val="00F93567"/>
    <w:rsid w:val="00F93B7E"/>
    <w:rsid w:val="00F94072"/>
    <w:rsid w:val="00F941D9"/>
    <w:rsid w:val="00F941FF"/>
    <w:rsid w:val="00F94B0F"/>
    <w:rsid w:val="00F95371"/>
    <w:rsid w:val="00F95E2F"/>
    <w:rsid w:val="00F95E32"/>
    <w:rsid w:val="00F95EE1"/>
    <w:rsid w:val="00F962A5"/>
    <w:rsid w:val="00F9663B"/>
    <w:rsid w:val="00F968DC"/>
    <w:rsid w:val="00F96F59"/>
    <w:rsid w:val="00F97317"/>
    <w:rsid w:val="00F9734F"/>
    <w:rsid w:val="00F978F9"/>
    <w:rsid w:val="00FA00AB"/>
    <w:rsid w:val="00FA0197"/>
    <w:rsid w:val="00FA0944"/>
    <w:rsid w:val="00FA094A"/>
    <w:rsid w:val="00FA12B1"/>
    <w:rsid w:val="00FA1D03"/>
    <w:rsid w:val="00FA1FC3"/>
    <w:rsid w:val="00FA230E"/>
    <w:rsid w:val="00FA26C8"/>
    <w:rsid w:val="00FA2A82"/>
    <w:rsid w:val="00FA32A3"/>
    <w:rsid w:val="00FA372F"/>
    <w:rsid w:val="00FA47BC"/>
    <w:rsid w:val="00FA5124"/>
    <w:rsid w:val="00FA53FA"/>
    <w:rsid w:val="00FA54D8"/>
    <w:rsid w:val="00FA5656"/>
    <w:rsid w:val="00FA56D6"/>
    <w:rsid w:val="00FA5903"/>
    <w:rsid w:val="00FA605F"/>
    <w:rsid w:val="00FA639F"/>
    <w:rsid w:val="00FA63FB"/>
    <w:rsid w:val="00FA6417"/>
    <w:rsid w:val="00FA66D0"/>
    <w:rsid w:val="00FA6947"/>
    <w:rsid w:val="00FA69DC"/>
    <w:rsid w:val="00FA7244"/>
    <w:rsid w:val="00FA746A"/>
    <w:rsid w:val="00FA751D"/>
    <w:rsid w:val="00FA79A8"/>
    <w:rsid w:val="00FB090E"/>
    <w:rsid w:val="00FB0D27"/>
    <w:rsid w:val="00FB0D4F"/>
    <w:rsid w:val="00FB10AA"/>
    <w:rsid w:val="00FB12B6"/>
    <w:rsid w:val="00FB1AD8"/>
    <w:rsid w:val="00FB1DB6"/>
    <w:rsid w:val="00FB1E46"/>
    <w:rsid w:val="00FB1F16"/>
    <w:rsid w:val="00FB2072"/>
    <w:rsid w:val="00FB2443"/>
    <w:rsid w:val="00FB25EA"/>
    <w:rsid w:val="00FB2D21"/>
    <w:rsid w:val="00FB2DEE"/>
    <w:rsid w:val="00FB3A8B"/>
    <w:rsid w:val="00FB3B28"/>
    <w:rsid w:val="00FB4445"/>
    <w:rsid w:val="00FB44E8"/>
    <w:rsid w:val="00FB451A"/>
    <w:rsid w:val="00FB4A3E"/>
    <w:rsid w:val="00FB4EED"/>
    <w:rsid w:val="00FB4F45"/>
    <w:rsid w:val="00FB6098"/>
    <w:rsid w:val="00FB6D31"/>
    <w:rsid w:val="00FB7120"/>
    <w:rsid w:val="00FB7CC2"/>
    <w:rsid w:val="00FC02FE"/>
    <w:rsid w:val="00FC05F1"/>
    <w:rsid w:val="00FC099E"/>
    <w:rsid w:val="00FC11C1"/>
    <w:rsid w:val="00FC131B"/>
    <w:rsid w:val="00FC16C0"/>
    <w:rsid w:val="00FC2423"/>
    <w:rsid w:val="00FC2C2E"/>
    <w:rsid w:val="00FC2D7E"/>
    <w:rsid w:val="00FC33D9"/>
    <w:rsid w:val="00FC3527"/>
    <w:rsid w:val="00FC363F"/>
    <w:rsid w:val="00FC39CE"/>
    <w:rsid w:val="00FC3D2E"/>
    <w:rsid w:val="00FC416C"/>
    <w:rsid w:val="00FC44D4"/>
    <w:rsid w:val="00FC4E01"/>
    <w:rsid w:val="00FC565F"/>
    <w:rsid w:val="00FC5FBC"/>
    <w:rsid w:val="00FC62F2"/>
    <w:rsid w:val="00FC65E8"/>
    <w:rsid w:val="00FC6EAB"/>
    <w:rsid w:val="00FC798D"/>
    <w:rsid w:val="00FC7E1A"/>
    <w:rsid w:val="00FD0092"/>
    <w:rsid w:val="00FD05A2"/>
    <w:rsid w:val="00FD0C67"/>
    <w:rsid w:val="00FD0EBC"/>
    <w:rsid w:val="00FD104A"/>
    <w:rsid w:val="00FD1086"/>
    <w:rsid w:val="00FD11C0"/>
    <w:rsid w:val="00FD11E9"/>
    <w:rsid w:val="00FD1285"/>
    <w:rsid w:val="00FD1537"/>
    <w:rsid w:val="00FD169B"/>
    <w:rsid w:val="00FD1ADB"/>
    <w:rsid w:val="00FD1B72"/>
    <w:rsid w:val="00FD1CDD"/>
    <w:rsid w:val="00FD1D29"/>
    <w:rsid w:val="00FD1FA9"/>
    <w:rsid w:val="00FD214C"/>
    <w:rsid w:val="00FD2C30"/>
    <w:rsid w:val="00FD2DC5"/>
    <w:rsid w:val="00FD38F1"/>
    <w:rsid w:val="00FD3FE7"/>
    <w:rsid w:val="00FD4C65"/>
    <w:rsid w:val="00FD4E33"/>
    <w:rsid w:val="00FD580A"/>
    <w:rsid w:val="00FD6294"/>
    <w:rsid w:val="00FD67F9"/>
    <w:rsid w:val="00FD6E5A"/>
    <w:rsid w:val="00FD7479"/>
    <w:rsid w:val="00FD74A3"/>
    <w:rsid w:val="00FD75CE"/>
    <w:rsid w:val="00FD75D9"/>
    <w:rsid w:val="00FD7738"/>
    <w:rsid w:val="00FD786D"/>
    <w:rsid w:val="00FD794E"/>
    <w:rsid w:val="00FE0252"/>
    <w:rsid w:val="00FE0973"/>
    <w:rsid w:val="00FE1182"/>
    <w:rsid w:val="00FE1CCC"/>
    <w:rsid w:val="00FE200E"/>
    <w:rsid w:val="00FE2409"/>
    <w:rsid w:val="00FE37D5"/>
    <w:rsid w:val="00FE3C9C"/>
    <w:rsid w:val="00FE4073"/>
    <w:rsid w:val="00FE41B3"/>
    <w:rsid w:val="00FE41BA"/>
    <w:rsid w:val="00FE44E8"/>
    <w:rsid w:val="00FE47D9"/>
    <w:rsid w:val="00FE4C91"/>
    <w:rsid w:val="00FE50AB"/>
    <w:rsid w:val="00FE5294"/>
    <w:rsid w:val="00FE52C0"/>
    <w:rsid w:val="00FE539C"/>
    <w:rsid w:val="00FE5DC2"/>
    <w:rsid w:val="00FE5F4D"/>
    <w:rsid w:val="00FE6143"/>
    <w:rsid w:val="00FE68D8"/>
    <w:rsid w:val="00FE6EC8"/>
    <w:rsid w:val="00FE70CB"/>
    <w:rsid w:val="00FE70E8"/>
    <w:rsid w:val="00FE7A72"/>
    <w:rsid w:val="00FE7AFF"/>
    <w:rsid w:val="00FF0055"/>
    <w:rsid w:val="00FF0079"/>
    <w:rsid w:val="00FF01DD"/>
    <w:rsid w:val="00FF02C3"/>
    <w:rsid w:val="00FF04F0"/>
    <w:rsid w:val="00FF05D7"/>
    <w:rsid w:val="00FF08C7"/>
    <w:rsid w:val="00FF09B7"/>
    <w:rsid w:val="00FF0F43"/>
    <w:rsid w:val="00FF12BD"/>
    <w:rsid w:val="00FF1430"/>
    <w:rsid w:val="00FF153F"/>
    <w:rsid w:val="00FF1619"/>
    <w:rsid w:val="00FF16AD"/>
    <w:rsid w:val="00FF1868"/>
    <w:rsid w:val="00FF191C"/>
    <w:rsid w:val="00FF1D60"/>
    <w:rsid w:val="00FF2B04"/>
    <w:rsid w:val="00FF2B69"/>
    <w:rsid w:val="00FF2F57"/>
    <w:rsid w:val="00FF306B"/>
    <w:rsid w:val="00FF4840"/>
    <w:rsid w:val="00FF577F"/>
    <w:rsid w:val="00FF60F0"/>
    <w:rsid w:val="00FF6197"/>
    <w:rsid w:val="00FF62B3"/>
    <w:rsid w:val="00FF62D0"/>
    <w:rsid w:val="00FF65BD"/>
    <w:rsid w:val="00FF668F"/>
    <w:rsid w:val="00FF6972"/>
    <w:rsid w:val="00FF6B64"/>
    <w:rsid w:val="00FF794A"/>
    <w:rsid w:val="00FF7AFE"/>
    <w:rsid w:val="00FF7BC6"/>
    <w:rsid w:val="00FF7D4E"/>
    <w:rsid w:val="01503CB3"/>
    <w:rsid w:val="02021C0E"/>
    <w:rsid w:val="023B07DA"/>
    <w:rsid w:val="035AEB8C"/>
    <w:rsid w:val="03910908"/>
    <w:rsid w:val="03DA7F9C"/>
    <w:rsid w:val="04080196"/>
    <w:rsid w:val="04F8A72E"/>
    <w:rsid w:val="07556E75"/>
    <w:rsid w:val="079FC704"/>
    <w:rsid w:val="07FA80D5"/>
    <w:rsid w:val="08DC2DD9"/>
    <w:rsid w:val="09159CA5"/>
    <w:rsid w:val="096CB767"/>
    <w:rsid w:val="0970B293"/>
    <w:rsid w:val="0990A244"/>
    <w:rsid w:val="0A0D2DF3"/>
    <w:rsid w:val="0B264069"/>
    <w:rsid w:val="0CB29C22"/>
    <w:rsid w:val="0D2175A1"/>
    <w:rsid w:val="0D4CBC3B"/>
    <w:rsid w:val="0D782C4A"/>
    <w:rsid w:val="0E3891A8"/>
    <w:rsid w:val="0E5BE677"/>
    <w:rsid w:val="0EA52CB0"/>
    <w:rsid w:val="0EAA49FE"/>
    <w:rsid w:val="0EE09F16"/>
    <w:rsid w:val="0FA99396"/>
    <w:rsid w:val="1125D5CB"/>
    <w:rsid w:val="11A82C82"/>
    <w:rsid w:val="11C4BE21"/>
    <w:rsid w:val="1352FD70"/>
    <w:rsid w:val="142DCC2B"/>
    <w:rsid w:val="146AEDDC"/>
    <w:rsid w:val="14C6B26D"/>
    <w:rsid w:val="1527294C"/>
    <w:rsid w:val="16B0C045"/>
    <w:rsid w:val="1749658B"/>
    <w:rsid w:val="180E877C"/>
    <w:rsid w:val="1819B8EC"/>
    <w:rsid w:val="18B2C83F"/>
    <w:rsid w:val="1969D7FA"/>
    <w:rsid w:val="1A2B3F43"/>
    <w:rsid w:val="1AF108EC"/>
    <w:rsid w:val="1B5EA258"/>
    <w:rsid w:val="1BA745CA"/>
    <w:rsid w:val="1BE555E2"/>
    <w:rsid w:val="1C1C941E"/>
    <w:rsid w:val="1C23433E"/>
    <w:rsid w:val="1CB0B881"/>
    <w:rsid w:val="1D62E005"/>
    <w:rsid w:val="1D81556B"/>
    <w:rsid w:val="1D93ED9B"/>
    <w:rsid w:val="1DDB3AB1"/>
    <w:rsid w:val="1E0AB79B"/>
    <w:rsid w:val="1E590216"/>
    <w:rsid w:val="1E644351"/>
    <w:rsid w:val="1F24DCB6"/>
    <w:rsid w:val="1F39DD4C"/>
    <w:rsid w:val="1F5DD053"/>
    <w:rsid w:val="1F9A1F28"/>
    <w:rsid w:val="2041B72F"/>
    <w:rsid w:val="209A80C7"/>
    <w:rsid w:val="2166A239"/>
    <w:rsid w:val="2168CD64"/>
    <w:rsid w:val="21EA093E"/>
    <w:rsid w:val="225CAF45"/>
    <w:rsid w:val="22761326"/>
    <w:rsid w:val="2285AEA4"/>
    <w:rsid w:val="22A1DEA4"/>
    <w:rsid w:val="22B50828"/>
    <w:rsid w:val="2382933C"/>
    <w:rsid w:val="254CC05D"/>
    <w:rsid w:val="258E66E6"/>
    <w:rsid w:val="25BBE56D"/>
    <w:rsid w:val="25DB3EF1"/>
    <w:rsid w:val="25DEC16B"/>
    <w:rsid w:val="25EF7B57"/>
    <w:rsid w:val="265A0870"/>
    <w:rsid w:val="26EB0899"/>
    <w:rsid w:val="27B3C70D"/>
    <w:rsid w:val="27BA67D5"/>
    <w:rsid w:val="287E0CF7"/>
    <w:rsid w:val="28E95AAB"/>
    <w:rsid w:val="29800217"/>
    <w:rsid w:val="298E99A6"/>
    <w:rsid w:val="29A13E36"/>
    <w:rsid w:val="2AC99D58"/>
    <w:rsid w:val="2B1BFDA3"/>
    <w:rsid w:val="2B73E278"/>
    <w:rsid w:val="2BD7C2AE"/>
    <w:rsid w:val="2CF33F08"/>
    <w:rsid w:val="2D93F622"/>
    <w:rsid w:val="2F0DA970"/>
    <w:rsid w:val="2F8783E5"/>
    <w:rsid w:val="2F96C1B7"/>
    <w:rsid w:val="2FCA9B12"/>
    <w:rsid w:val="2FFE68F3"/>
    <w:rsid w:val="3031FD3A"/>
    <w:rsid w:val="3057CECA"/>
    <w:rsid w:val="318B3F27"/>
    <w:rsid w:val="31BAFE0D"/>
    <w:rsid w:val="32EE29EB"/>
    <w:rsid w:val="330DE72B"/>
    <w:rsid w:val="33BDA1EC"/>
    <w:rsid w:val="34755FD2"/>
    <w:rsid w:val="34C2DFE9"/>
    <w:rsid w:val="35E77742"/>
    <w:rsid w:val="3600F025"/>
    <w:rsid w:val="3657D277"/>
    <w:rsid w:val="36B56B85"/>
    <w:rsid w:val="381F81B1"/>
    <w:rsid w:val="38B15100"/>
    <w:rsid w:val="39E8E759"/>
    <w:rsid w:val="39FB6B6B"/>
    <w:rsid w:val="3A97E9F6"/>
    <w:rsid w:val="3AE6A849"/>
    <w:rsid w:val="3C70D213"/>
    <w:rsid w:val="3C89DD9D"/>
    <w:rsid w:val="3D1BB693"/>
    <w:rsid w:val="3D487A1B"/>
    <w:rsid w:val="3D848D9B"/>
    <w:rsid w:val="40C28F80"/>
    <w:rsid w:val="41DDBE9E"/>
    <w:rsid w:val="424E672D"/>
    <w:rsid w:val="426AD07D"/>
    <w:rsid w:val="42A10593"/>
    <w:rsid w:val="458AF0A3"/>
    <w:rsid w:val="46DB6E8A"/>
    <w:rsid w:val="47ACD7D5"/>
    <w:rsid w:val="47BA7EFA"/>
    <w:rsid w:val="48C35C53"/>
    <w:rsid w:val="4918E8CC"/>
    <w:rsid w:val="4AA4237B"/>
    <w:rsid w:val="4AC947BB"/>
    <w:rsid w:val="4AE8809C"/>
    <w:rsid w:val="4BA1C5F2"/>
    <w:rsid w:val="4C5A4EFC"/>
    <w:rsid w:val="4D5D4ACD"/>
    <w:rsid w:val="4E08DCEA"/>
    <w:rsid w:val="4E2DC7F3"/>
    <w:rsid w:val="4FE04801"/>
    <w:rsid w:val="5029CD76"/>
    <w:rsid w:val="50C06E39"/>
    <w:rsid w:val="50E1B4FD"/>
    <w:rsid w:val="50E6BEB6"/>
    <w:rsid w:val="5197EE95"/>
    <w:rsid w:val="52370E01"/>
    <w:rsid w:val="53601FEE"/>
    <w:rsid w:val="5487CB09"/>
    <w:rsid w:val="55295D78"/>
    <w:rsid w:val="571DEBF8"/>
    <w:rsid w:val="576C3BD5"/>
    <w:rsid w:val="597DB39C"/>
    <w:rsid w:val="59939F35"/>
    <w:rsid w:val="5A89965D"/>
    <w:rsid w:val="5AB31E67"/>
    <w:rsid w:val="5BC6D1A0"/>
    <w:rsid w:val="5C5E7E34"/>
    <w:rsid w:val="5C88639F"/>
    <w:rsid w:val="5D56895D"/>
    <w:rsid w:val="5E45A436"/>
    <w:rsid w:val="5EEA2808"/>
    <w:rsid w:val="5EF396F3"/>
    <w:rsid w:val="5F317C6F"/>
    <w:rsid w:val="5F9F033A"/>
    <w:rsid w:val="5FDEA4D1"/>
    <w:rsid w:val="60009B8A"/>
    <w:rsid w:val="61F6A1E9"/>
    <w:rsid w:val="62165510"/>
    <w:rsid w:val="627925F8"/>
    <w:rsid w:val="628F6C62"/>
    <w:rsid w:val="62970A44"/>
    <w:rsid w:val="62EEE455"/>
    <w:rsid w:val="638E500F"/>
    <w:rsid w:val="640AB289"/>
    <w:rsid w:val="6658FB1F"/>
    <w:rsid w:val="66F01E6A"/>
    <w:rsid w:val="6701AB61"/>
    <w:rsid w:val="67BB5809"/>
    <w:rsid w:val="67C2CA5B"/>
    <w:rsid w:val="68462367"/>
    <w:rsid w:val="68EAAEAE"/>
    <w:rsid w:val="69078F0F"/>
    <w:rsid w:val="691EA00B"/>
    <w:rsid w:val="6B096806"/>
    <w:rsid w:val="6B9B529B"/>
    <w:rsid w:val="6D4634A8"/>
    <w:rsid w:val="6DA69558"/>
    <w:rsid w:val="6DBFAA8C"/>
    <w:rsid w:val="6E937BD0"/>
    <w:rsid w:val="6EB09F98"/>
    <w:rsid w:val="6F108C2E"/>
    <w:rsid w:val="6FCD8D9A"/>
    <w:rsid w:val="707BCD79"/>
    <w:rsid w:val="70AD9272"/>
    <w:rsid w:val="7113317D"/>
    <w:rsid w:val="717982A3"/>
    <w:rsid w:val="717C0054"/>
    <w:rsid w:val="7182030D"/>
    <w:rsid w:val="71BCDDD3"/>
    <w:rsid w:val="71C99F25"/>
    <w:rsid w:val="7301ACE2"/>
    <w:rsid w:val="733908B6"/>
    <w:rsid w:val="738DF7A7"/>
    <w:rsid w:val="739806FC"/>
    <w:rsid w:val="73A0F101"/>
    <w:rsid w:val="74475B74"/>
    <w:rsid w:val="74EE488A"/>
    <w:rsid w:val="75284EFB"/>
    <w:rsid w:val="7630DE17"/>
    <w:rsid w:val="76E99C21"/>
    <w:rsid w:val="77235F4B"/>
    <w:rsid w:val="7768C381"/>
    <w:rsid w:val="778A52F0"/>
    <w:rsid w:val="77DDF8EE"/>
    <w:rsid w:val="78EC056B"/>
    <w:rsid w:val="79489966"/>
    <w:rsid w:val="79EA0475"/>
    <w:rsid w:val="7A3C111F"/>
    <w:rsid w:val="7AE78E30"/>
    <w:rsid w:val="7B52F13F"/>
    <w:rsid w:val="7B5F74BD"/>
    <w:rsid w:val="7B8B5BC0"/>
    <w:rsid w:val="7B94F3F2"/>
    <w:rsid w:val="7BACFBFE"/>
    <w:rsid w:val="7BC2A5FB"/>
    <w:rsid w:val="7BFA27EE"/>
    <w:rsid w:val="7D20FAB8"/>
    <w:rsid w:val="7D5A713E"/>
    <w:rsid w:val="7E11CE20"/>
    <w:rsid w:val="7FFC65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3C"/>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2C0E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8E7"/>
    <w:pPr>
      <w:ind w:left="720"/>
      <w:contextualSpacing/>
    </w:p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C326F3"/>
    <w:pPr>
      <w:widowControl w:val="0"/>
      <w:spacing w:before="40" w:after="36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C326F3"/>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3"/>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paragraph" w:styleId="NormalWeb">
    <w:name w:val="Normal (Web)"/>
    <w:basedOn w:val="Normal"/>
    <w:uiPriority w:val="99"/>
    <w:semiHidden/>
    <w:unhideWhenUsed/>
    <w:rsid w:val="0069692F"/>
    <w:rPr>
      <w:rFonts w:ascii="Times New Roman" w:hAnsi="Times New Roman"/>
      <w:sz w:val="24"/>
      <w:szCs w:val="24"/>
    </w:rPr>
  </w:style>
  <w:style w:type="character" w:customStyle="1" w:styleId="Heading4Char">
    <w:name w:val="Heading 4 Char"/>
    <w:basedOn w:val="DefaultParagraphFont"/>
    <w:link w:val="Heading4"/>
    <w:uiPriority w:val="9"/>
    <w:rsid w:val="002C0EAA"/>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3E4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A6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E4A66"/>
    <w:rPr>
      <w:vertAlign w:val="superscript"/>
    </w:rPr>
  </w:style>
  <w:style w:type="paragraph" w:customStyle="1" w:styleId="Default">
    <w:name w:val="Default"/>
    <w:rsid w:val="0037321E"/>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93522917">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128406611">
      <w:bodyDiv w:val="1"/>
      <w:marLeft w:val="0"/>
      <w:marRight w:val="0"/>
      <w:marTop w:val="0"/>
      <w:marBottom w:val="0"/>
      <w:divBdr>
        <w:top w:val="none" w:sz="0" w:space="0" w:color="auto"/>
        <w:left w:val="none" w:sz="0" w:space="0" w:color="auto"/>
        <w:bottom w:val="none" w:sz="0" w:space="0" w:color="auto"/>
        <w:right w:val="none" w:sz="0" w:space="0" w:color="auto"/>
      </w:divBdr>
    </w:div>
    <w:div w:id="194468953">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438716432">
      <w:bodyDiv w:val="1"/>
      <w:marLeft w:val="0"/>
      <w:marRight w:val="0"/>
      <w:marTop w:val="0"/>
      <w:marBottom w:val="0"/>
      <w:divBdr>
        <w:top w:val="none" w:sz="0" w:space="0" w:color="auto"/>
        <w:left w:val="none" w:sz="0" w:space="0" w:color="auto"/>
        <w:bottom w:val="none" w:sz="0" w:space="0" w:color="auto"/>
        <w:right w:val="none" w:sz="0" w:space="0" w:color="auto"/>
      </w:divBdr>
    </w:div>
    <w:div w:id="502163579">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38591953">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796685594">
      <w:bodyDiv w:val="1"/>
      <w:marLeft w:val="0"/>
      <w:marRight w:val="0"/>
      <w:marTop w:val="0"/>
      <w:marBottom w:val="0"/>
      <w:divBdr>
        <w:top w:val="none" w:sz="0" w:space="0" w:color="auto"/>
        <w:left w:val="none" w:sz="0" w:space="0" w:color="auto"/>
        <w:bottom w:val="none" w:sz="0" w:space="0" w:color="auto"/>
        <w:right w:val="none" w:sz="0" w:space="0" w:color="auto"/>
      </w:divBdr>
    </w:div>
    <w:div w:id="1013072193">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149979814">
      <w:bodyDiv w:val="1"/>
      <w:marLeft w:val="0"/>
      <w:marRight w:val="0"/>
      <w:marTop w:val="0"/>
      <w:marBottom w:val="0"/>
      <w:divBdr>
        <w:top w:val="none" w:sz="0" w:space="0" w:color="auto"/>
        <w:left w:val="none" w:sz="0" w:space="0" w:color="auto"/>
        <w:bottom w:val="none" w:sz="0" w:space="0" w:color="auto"/>
        <w:right w:val="none" w:sz="0" w:space="0" w:color="auto"/>
      </w:divBdr>
    </w:div>
    <w:div w:id="1191917040">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hearing-services-program-fully-subsidised-device-schedule" TargetMode="External"/><Relationship Id="rId18" Type="http://schemas.openxmlformats.org/officeDocument/2006/relationships/hyperlink" Target="https://www.medel.pro/indications"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s://www.tga.gov.au/resources/artg/353970" TargetMode="External"/><Relationship Id="rId34" Type="http://schemas.openxmlformats.org/officeDocument/2006/relationships/hyperlink" Target="https://www.msac.gov.au/applications/1364" TargetMode="External"/><Relationship Id="rId7" Type="http://schemas.openxmlformats.org/officeDocument/2006/relationships/endnotes" Target="endnotes.xml"/><Relationship Id="rId12" Type="http://schemas.openxmlformats.org/officeDocument/2006/relationships/hyperlink" Target="https://www.health.gov.au/our-work/hearing-services-program" TargetMode="External"/><Relationship Id="rId17" Type="http://schemas.openxmlformats.org/officeDocument/2006/relationships/image" Target="media/image1.png"/><Relationship Id="rId25" Type="http://schemas.openxmlformats.org/officeDocument/2006/relationships/header" Target="header1.xml"/><Relationship Id="rId33" Type="http://schemas.openxmlformats.org/officeDocument/2006/relationships/hyperlink" Target="https://www.msac.gov.au/applications/1365-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gov.au/our-work/hearing-services-program/accessing/cso-services" TargetMode="External"/><Relationship Id="rId20" Type="http://schemas.openxmlformats.org/officeDocument/2006/relationships/hyperlink" Target="https://www.tga.gov.au/resources/artg/18553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ac.gov.au/applications/1365-1" TargetMode="External"/><Relationship Id="rId24" Type="http://schemas.openxmlformats.org/officeDocument/2006/relationships/image" Target="media/image3.png"/><Relationship Id="rId32" Type="http://schemas.openxmlformats.org/officeDocument/2006/relationships/hyperlink" Target="https://www.msac.gov.au/applications/1365" TargetMode="External"/><Relationship Id="rId37"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legislation.gov.au/F2025N00495/latest/text" TargetMode="External"/><Relationship Id="rId23" Type="http://schemas.openxmlformats.org/officeDocument/2006/relationships/image" Target="media/image2.png"/><Relationship Id="rId28" Type="http://schemas.openxmlformats.org/officeDocument/2006/relationships/footer" Target="footer2.xml"/><Relationship Id="rId36" Type="http://schemas.openxmlformats.org/officeDocument/2006/relationships/image" Target="media/image4.png"/><Relationship Id="rId10" Type="http://schemas.openxmlformats.org/officeDocument/2006/relationships/hyperlink" Target="https://www.msac.gov.au/applications/1364" TargetMode="External"/><Relationship Id="rId19" Type="http://schemas.openxmlformats.org/officeDocument/2006/relationships/hyperlink" Target="https://www.tga.gov.au/resources/artg/389014" TargetMode="External"/><Relationship Id="rId31" Type="http://schemas.openxmlformats.org/officeDocument/2006/relationships/hyperlink" Target="https://www.msac.gov.au/applications/1137" TargetMode="External"/><Relationship Id="rId4" Type="http://schemas.openxmlformats.org/officeDocument/2006/relationships/settings" Target="settings.xml"/><Relationship Id="rId9" Type="http://schemas.openxmlformats.org/officeDocument/2006/relationships/hyperlink" Target="https://www.msac.gov.au/applications/1365" TargetMode="External"/><Relationship Id="rId14" Type="http://schemas.openxmlformats.org/officeDocument/2006/relationships/hyperlink" Target="https://www.health.gov.au/resources/publications/hearing-services-program-partially-subsidised-device-schedule" TargetMode="External"/><Relationship Id="rId22" Type="http://schemas.openxmlformats.org/officeDocument/2006/relationships/hyperlink" Target="https://www.health.gov.au/resources/publications/prescribed-list-of-medical-devices-and-human-tissue-products?language=en"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msac.gov.au/applications/1364" TargetMode="External"/><Relationship Id="rId8" Type="http://schemas.openxmlformats.org/officeDocument/2006/relationships/hyperlink" Target="https://www.msac.gov.au/applications/1137"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our-work/hearing-services-program/accessing/eligibility" TargetMode="External"/><Relationship Id="rId2" Type="http://schemas.openxmlformats.org/officeDocument/2006/relationships/hyperlink" Target="https://www.nextsense.org.au/services/hearing/about-hearing-loss" TargetMode="External"/><Relationship Id="rId1" Type="http://schemas.openxmlformats.org/officeDocument/2006/relationships/hyperlink" Target="https://www.aussiedeafkids.org.au/about-hearing-loss/hearing-loss/describing-the-severity-of-a-hearing-loss/" TargetMode="External"/><Relationship Id="rId6" Type="http://schemas.openxmlformats.org/officeDocument/2006/relationships/hyperlink" Target="https://www.mbsonline.gov.au/internet/mbsonline/publishing.nsf/Content/Factsheet-Telehealth-Updates-April%202023" TargetMode="External"/><Relationship Id="rId5" Type="http://schemas.openxmlformats.org/officeDocument/2006/relationships/hyperlink" Target="http://www.hearingservices.gov.au/wps/wcm/connect/hso/12e692a3-5c31-4afc-9aee-cd16ebd3ac9b/Services+for+clients+with+implantable+devices.pdf?MOD=AJPERES&amp;CONVERT_TO=url&amp;CACHEID=12e692a3-5c31-4afc-9aee-cd16ebd3ac9b" TargetMode="External"/><Relationship Id="rId4" Type="http://schemas.openxmlformats.org/officeDocument/2006/relationships/hyperlink" Target="https://www.medel.pro/in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0ADB-7CCF-4BC9-8F3A-D8E39C8F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16289</Words>
  <Characters>92851</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108923</CharactersWithSpaces>
  <SharedDoc>false</SharedDoc>
  <HLinks>
    <vt:vector size="150" baseType="variant">
      <vt:variant>
        <vt:i4>1507412</vt:i4>
      </vt:variant>
      <vt:variant>
        <vt:i4>216</vt:i4>
      </vt:variant>
      <vt:variant>
        <vt:i4>0</vt:i4>
      </vt:variant>
      <vt:variant>
        <vt:i4>5</vt:i4>
      </vt:variant>
      <vt:variant>
        <vt:lpwstr>https://www.msac.gov.au/applications/1364</vt:lpwstr>
      </vt:variant>
      <vt:variant>
        <vt:lpwstr/>
      </vt:variant>
      <vt:variant>
        <vt:i4>1507412</vt:i4>
      </vt:variant>
      <vt:variant>
        <vt:i4>204</vt:i4>
      </vt:variant>
      <vt:variant>
        <vt:i4>0</vt:i4>
      </vt:variant>
      <vt:variant>
        <vt:i4>5</vt:i4>
      </vt:variant>
      <vt:variant>
        <vt:lpwstr>https://www.msac.gov.au/applications/1364</vt:lpwstr>
      </vt:variant>
      <vt:variant>
        <vt:lpwstr/>
      </vt:variant>
      <vt:variant>
        <vt:i4>3801185</vt:i4>
      </vt:variant>
      <vt:variant>
        <vt:i4>201</vt:i4>
      </vt:variant>
      <vt:variant>
        <vt:i4>0</vt:i4>
      </vt:variant>
      <vt:variant>
        <vt:i4>5</vt:i4>
      </vt:variant>
      <vt:variant>
        <vt:lpwstr>https://www.msac.gov.au/applications/1365-1</vt:lpwstr>
      </vt:variant>
      <vt:variant>
        <vt:lpwstr/>
      </vt:variant>
      <vt:variant>
        <vt:i4>1507412</vt:i4>
      </vt:variant>
      <vt:variant>
        <vt:i4>198</vt:i4>
      </vt:variant>
      <vt:variant>
        <vt:i4>0</vt:i4>
      </vt:variant>
      <vt:variant>
        <vt:i4>5</vt:i4>
      </vt:variant>
      <vt:variant>
        <vt:lpwstr>https://www.msac.gov.au/applications/1365</vt:lpwstr>
      </vt:variant>
      <vt:variant>
        <vt:lpwstr/>
      </vt:variant>
      <vt:variant>
        <vt:i4>1179734</vt:i4>
      </vt:variant>
      <vt:variant>
        <vt:i4>195</vt:i4>
      </vt:variant>
      <vt:variant>
        <vt:i4>0</vt:i4>
      </vt:variant>
      <vt:variant>
        <vt:i4>5</vt:i4>
      </vt:variant>
      <vt:variant>
        <vt:lpwstr>https://www.msac.gov.au/applications/1137</vt:lpwstr>
      </vt:variant>
      <vt:variant>
        <vt:lpwstr/>
      </vt:variant>
      <vt:variant>
        <vt:i4>1638478</vt:i4>
      </vt:variant>
      <vt:variant>
        <vt:i4>96</vt:i4>
      </vt:variant>
      <vt:variant>
        <vt:i4>0</vt:i4>
      </vt:variant>
      <vt:variant>
        <vt:i4>5</vt:i4>
      </vt:variant>
      <vt:variant>
        <vt:lpwstr>https://www.health.gov.au/resources/publications/prescribed-list-of-medical-devices-and-human-tissue-products?language=en</vt:lpwstr>
      </vt:variant>
      <vt:variant>
        <vt:lpwstr/>
      </vt:variant>
      <vt:variant>
        <vt:i4>5701658</vt:i4>
      </vt:variant>
      <vt:variant>
        <vt:i4>81</vt:i4>
      </vt:variant>
      <vt:variant>
        <vt:i4>0</vt:i4>
      </vt:variant>
      <vt:variant>
        <vt:i4>5</vt:i4>
      </vt:variant>
      <vt:variant>
        <vt:lpwstr>https://www.tga.gov.au/resources/artg/353970</vt:lpwstr>
      </vt:variant>
      <vt:variant>
        <vt:lpwstr/>
      </vt:variant>
      <vt:variant>
        <vt:i4>5570586</vt:i4>
      </vt:variant>
      <vt:variant>
        <vt:i4>78</vt:i4>
      </vt:variant>
      <vt:variant>
        <vt:i4>0</vt:i4>
      </vt:variant>
      <vt:variant>
        <vt:i4>5</vt:i4>
      </vt:variant>
      <vt:variant>
        <vt:lpwstr>https://www.tga.gov.au/resources/artg/185533</vt:lpwstr>
      </vt:variant>
      <vt:variant>
        <vt:lpwstr/>
      </vt:variant>
      <vt:variant>
        <vt:i4>5701654</vt:i4>
      </vt:variant>
      <vt:variant>
        <vt:i4>75</vt:i4>
      </vt:variant>
      <vt:variant>
        <vt:i4>0</vt:i4>
      </vt:variant>
      <vt:variant>
        <vt:i4>5</vt:i4>
      </vt:variant>
      <vt:variant>
        <vt:lpwstr>https://www.tga.gov.au/resources/artg/389014</vt:lpwstr>
      </vt:variant>
      <vt:variant>
        <vt:lpwstr/>
      </vt:variant>
      <vt:variant>
        <vt:i4>5898319</vt:i4>
      </vt:variant>
      <vt:variant>
        <vt:i4>63</vt:i4>
      </vt:variant>
      <vt:variant>
        <vt:i4>0</vt:i4>
      </vt:variant>
      <vt:variant>
        <vt:i4>5</vt:i4>
      </vt:variant>
      <vt:variant>
        <vt:lpwstr>https://www.medel.pro/indications</vt:lpwstr>
      </vt:variant>
      <vt:variant>
        <vt:lpwstr/>
      </vt:variant>
      <vt:variant>
        <vt:i4>4128825</vt:i4>
      </vt:variant>
      <vt:variant>
        <vt:i4>39</vt:i4>
      </vt:variant>
      <vt:variant>
        <vt:i4>0</vt:i4>
      </vt:variant>
      <vt:variant>
        <vt:i4>5</vt:i4>
      </vt:variant>
      <vt:variant>
        <vt:lpwstr>https://www.health.gov.au/our-work/hearing-services-program/accessing/cso-services</vt:lpwstr>
      </vt:variant>
      <vt:variant>
        <vt:lpwstr/>
      </vt:variant>
      <vt:variant>
        <vt:i4>3014709</vt:i4>
      </vt:variant>
      <vt:variant>
        <vt:i4>36</vt:i4>
      </vt:variant>
      <vt:variant>
        <vt:i4>0</vt:i4>
      </vt:variant>
      <vt:variant>
        <vt:i4>5</vt:i4>
      </vt:variant>
      <vt:variant>
        <vt:lpwstr>https://www.legislation.gov.au/F2025N00495/latest/text</vt:lpwstr>
      </vt:variant>
      <vt:variant>
        <vt:lpwstr/>
      </vt:variant>
      <vt:variant>
        <vt:i4>2228347</vt:i4>
      </vt:variant>
      <vt:variant>
        <vt:i4>33</vt:i4>
      </vt:variant>
      <vt:variant>
        <vt:i4>0</vt:i4>
      </vt:variant>
      <vt:variant>
        <vt:i4>5</vt:i4>
      </vt:variant>
      <vt:variant>
        <vt:lpwstr>https://www.health.gov.au/resources/publications/hearing-services-program-partially-subsidised-device-schedule</vt:lpwstr>
      </vt:variant>
      <vt:variant>
        <vt:lpwstr/>
      </vt:variant>
      <vt:variant>
        <vt:i4>2293878</vt:i4>
      </vt:variant>
      <vt:variant>
        <vt:i4>30</vt:i4>
      </vt:variant>
      <vt:variant>
        <vt:i4>0</vt:i4>
      </vt:variant>
      <vt:variant>
        <vt:i4>5</vt:i4>
      </vt:variant>
      <vt:variant>
        <vt:lpwstr>https://www.health.gov.au/resources/publications/hearing-services-program-fully-subsidised-device-schedule</vt:lpwstr>
      </vt:variant>
      <vt:variant>
        <vt:lpwstr/>
      </vt:variant>
      <vt:variant>
        <vt:i4>7929898</vt:i4>
      </vt:variant>
      <vt:variant>
        <vt:i4>27</vt:i4>
      </vt:variant>
      <vt:variant>
        <vt:i4>0</vt:i4>
      </vt:variant>
      <vt:variant>
        <vt:i4>5</vt:i4>
      </vt:variant>
      <vt:variant>
        <vt:lpwstr>https://www.health.gov.au/our-work/hearing-services-program</vt:lpwstr>
      </vt:variant>
      <vt:variant>
        <vt:lpwstr/>
      </vt:variant>
      <vt:variant>
        <vt:i4>3801185</vt:i4>
      </vt:variant>
      <vt:variant>
        <vt:i4>21</vt:i4>
      </vt:variant>
      <vt:variant>
        <vt:i4>0</vt:i4>
      </vt:variant>
      <vt:variant>
        <vt:i4>5</vt:i4>
      </vt:variant>
      <vt:variant>
        <vt:lpwstr>https://www.msac.gov.au/applications/1365-1</vt:lpwstr>
      </vt:variant>
      <vt:variant>
        <vt:lpwstr/>
      </vt:variant>
      <vt:variant>
        <vt:i4>1507412</vt:i4>
      </vt:variant>
      <vt:variant>
        <vt:i4>18</vt:i4>
      </vt:variant>
      <vt:variant>
        <vt:i4>0</vt:i4>
      </vt:variant>
      <vt:variant>
        <vt:i4>5</vt:i4>
      </vt:variant>
      <vt:variant>
        <vt:lpwstr>https://www.msac.gov.au/applications/1364</vt:lpwstr>
      </vt:variant>
      <vt:variant>
        <vt:lpwstr/>
      </vt:variant>
      <vt:variant>
        <vt:i4>1507412</vt:i4>
      </vt:variant>
      <vt:variant>
        <vt:i4>15</vt:i4>
      </vt:variant>
      <vt:variant>
        <vt:i4>0</vt:i4>
      </vt:variant>
      <vt:variant>
        <vt:i4>5</vt:i4>
      </vt:variant>
      <vt:variant>
        <vt:lpwstr>https://www.msac.gov.au/applications/1365</vt:lpwstr>
      </vt:variant>
      <vt:variant>
        <vt:lpwstr/>
      </vt:variant>
      <vt:variant>
        <vt:i4>1179734</vt:i4>
      </vt:variant>
      <vt:variant>
        <vt:i4>12</vt:i4>
      </vt:variant>
      <vt:variant>
        <vt:i4>0</vt:i4>
      </vt:variant>
      <vt:variant>
        <vt:i4>5</vt:i4>
      </vt:variant>
      <vt:variant>
        <vt:lpwstr>https://www.msac.gov.au/applications/1137</vt:lpwstr>
      </vt:variant>
      <vt:variant>
        <vt:lpwstr/>
      </vt:variant>
      <vt:variant>
        <vt:i4>6553702</vt:i4>
      </vt:variant>
      <vt:variant>
        <vt:i4>15</vt:i4>
      </vt:variant>
      <vt:variant>
        <vt:i4>0</vt:i4>
      </vt:variant>
      <vt:variant>
        <vt:i4>5</vt:i4>
      </vt:variant>
      <vt:variant>
        <vt:lpwstr>https://www.mbsonline.gov.au/internet/mbsonline/publishing.nsf/Content/Factsheet-Telehealth-Updates-April 2023</vt:lpwstr>
      </vt:variant>
      <vt:variant>
        <vt:lpwstr/>
      </vt:variant>
      <vt:variant>
        <vt:i4>1900596</vt:i4>
      </vt:variant>
      <vt:variant>
        <vt:i4>12</vt:i4>
      </vt:variant>
      <vt:variant>
        <vt:i4>0</vt:i4>
      </vt:variant>
      <vt:variant>
        <vt:i4>5</vt:i4>
      </vt:variant>
      <vt:variant>
        <vt:lpwstr>http://www.hearingservices.gov.au/wps/wcm/connect/hso/12e692a3-5c31-4afc-9aee-cd16ebd3ac9b/Services+for+clients+with+implantable+devices.pdf?MOD=AJPERES&amp;CONVERT_TO=url&amp;CACHEID=12e692a3-5c31-4afc-9aee-cd16ebd3ac9b</vt:lpwstr>
      </vt:variant>
      <vt:variant>
        <vt:lpwstr/>
      </vt:variant>
      <vt:variant>
        <vt:i4>5898319</vt:i4>
      </vt:variant>
      <vt:variant>
        <vt:i4>9</vt:i4>
      </vt:variant>
      <vt:variant>
        <vt:i4>0</vt:i4>
      </vt:variant>
      <vt:variant>
        <vt:i4>5</vt:i4>
      </vt:variant>
      <vt:variant>
        <vt:lpwstr>https://www.medel.pro/indications</vt:lpwstr>
      </vt:variant>
      <vt:variant>
        <vt:lpwstr/>
      </vt:variant>
      <vt:variant>
        <vt:i4>1245277</vt:i4>
      </vt:variant>
      <vt:variant>
        <vt:i4>6</vt:i4>
      </vt:variant>
      <vt:variant>
        <vt:i4>0</vt:i4>
      </vt:variant>
      <vt:variant>
        <vt:i4>5</vt:i4>
      </vt:variant>
      <vt:variant>
        <vt:lpwstr>https://www.health.gov.au/our-work/hearing-services-program/accessing/eligibility</vt:lpwstr>
      </vt:variant>
      <vt:variant>
        <vt:lpwstr/>
      </vt:variant>
      <vt:variant>
        <vt:i4>5111822</vt:i4>
      </vt:variant>
      <vt:variant>
        <vt:i4>3</vt:i4>
      </vt:variant>
      <vt:variant>
        <vt:i4>0</vt:i4>
      </vt:variant>
      <vt:variant>
        <vt:i4>5</vt:i4>
      </vt:variant>
      <vt:variant>
        <vt:lpwstr>https://www.nextsense.org.au/services/hearing/about-hearing-loss</vt:lpwstr>
      </vt:variant>
      <vt:variant>
        <vt:lpwstr/>
      </vt:variant>
      <vt:variant>
        <vt:i4>6225925</vt:i4>
      </vt:variant>
      <vt:variant>
        <vt:i4>0</vt:i4>
      </vt:variant>
      <vt:variant>
        <vt:i4>0</vt:i4>
      </vt:variant>
      <vt:variant>
        <vt:i4>5</vt:i4>
      </vt:variant>
      <vt:variant>
        <vt:lpwstr>https://www.aussiedeafkids.org.au/about-hearing-loss/hearing-loss/describing-the-severity-of-a-hearing-loss/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2025-10-10T02:36:00Z</dcterms:created>
  <dcterms:modified xsi:type="dcterms:W3CDTF">2025-10-10T02:37:00Z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5dcaa1e0,eb1a4ca,32422404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1ef9e29d,100f00b,5de1d820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2025-10-09T03:54:12Z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6caabdcc-2cd0-4b49-8f1f-02436c6df0c7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