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E6B6C" w14:textId="38CC7182" w:rsidR="006478E7" w:rsidRPr="00490FBB" w:rsidRDefault="006478E7" w:rsidP="006478E7">
      <w:pPr>
        <w:spacing w:before="120" w:after="120" w:line="312" w:lineRule="auto"/>
        <w:jc w:val="center"/>
      </w:pPr>
    </w:p>
    <w:p w14:paraId="50B6D781" w14:textId="401AC7C1" w:rsidR="006478E7" w:rsidRPr="00490FBB" w:rsidRDefault="00BB0FFB" w:rsidP="00BB0FFB">
      <w:pPr>
        <w:pStyle w:val="Heading10"/>
        <w:spacing w:before="2880"/>
        <w:jc w:val="center"/>
        <w:rPr>
          <w:sz w:val="48"/>
          <w:szCs w:val="48"/>
        </w:rPr>
      </w:pPr>
      <w:r>
        <w:rPr>
          <w:sz w:val="48"/>
          <w:szCs w:val="48"/>
        </w:rPr>
        <w:t xml:space="preserve">MSAC </w:t>
      </w:r>
      <w:r w:rsidR="006478E7" w:rsidRPr="00490FBB">
        <w:rPr>
          <w:sz w:val="48"/>
          <w:szCs w:val="48"/>
        </w:rPr>
        <w:t xml:space="preserve">Application </w:t>
      </w:r>
      <w:r w:rsidR="009529F8">
        <w:rPr>
          <w:sz w:val="48"/>
          <w:szCs w:val="48"/>
        </w:rPr>
        <w:t>1805</w:t>
      </w:r>
    </w:p>
    <w:p w14:paraId="11765312" w14:textId="3621DE2F" w:rsidR="006478E7" w:rsidRDefault="009529F8" w:rsidP="002279C9">
      <w:pPr>
        <w:pStyle w:val="Heading10"/>
        <w:jc w:val="center"/>
        <w:rPr>
          <w:color w:val="548DD4"/>
          <w:sz w:val="48"/>
          <w:szCs w:val="48"/>
        </w:rPr>
      </w:pPr>
      <w:r w:rsidRPr="009529F8">
        <w:rPr>
          <w:color w:val="548DD4"/>
          <w:sz w:val="48"/>
          <w:szCs w:val="48"/>
        </w:rPr>
        <w:t xml:space="preserve">Concizumab for routine prophylaxis to prevent bleeding in patients with </w:t>
      </w:r>
      <w:r w:rsidR="00EB0197">
        <w:rPr>
          <w:color w:val="548DD4"/>
          <w:sz w:val="48"/>
          <w:szCs w:val="48"/>
        </w:rPr>
        <w:t>H</w:t>
      </w:r>
      <w:r w:rsidRPr="009529F8">
        <w:rPr>
          <w:color w:val="548DD4"/>
          <w:sz w:val="48"/>
          <w:szCs w:val="48"/>
        </w:rPr>
        <w:t>aemophilia B</w:t>
      </w:r>
    </w:p>
    <w:p w14:paraId="44FD303D" w14:textId="49D4DEDC" w:rsidR="00477EE1" w:rsidRPr="00732F32" w:rsidRDefault="00D47F16" w:rsidP="00477EE1">
      <w:pPr>
        <w:pStyle w:val="Heading10"/>
        <w:jc w:val="center"/>
        <w:rPr>
          <w:color w:val="548DD4"/>
          <w:sz w:val="40"/>
          <w:szCs w:val="40"/>
        </w:rPr>
      </w:pPr>
      <w:r w:rsidRPr="00732F32">
        <w:rPr>
          <w:color w:val="548DD4"/>
          <w:sz w:val="40"/>
          <w:szCs w:val="40"/>
        </w:rPr>
        <w:t xml:space="preserve">Applicant: </w:t>
      </w:r>
      <w:r w:rsidR="0048439C" w:rsidRPr="00732F32">
        <w:rPr>
          <w:color w:val="548DD4"/>
          <w:sz w:val="40"/>
          <w:szCs w:val="40"/>
        </w:rPr>
        <w:t>NOVO NORDISK PHARMACEUTICALS PTY LTD</w:t>
      </w:r>
    </w:p>
    <w:p w14:paraId="23900CA0" w14:textId="532E36D6" w:rsidR="006478E7" w:rsidRPr="00490FBB" w:rsidRDefault="006478E7" w:rsidP="00BB0FFB">
      <w:pPr>
        <w:pStyle w:val="Heading1"/>
      </w:pPr>
      <w:r w:rsidRPr="00490FBB">
        <w:t>PICO Confirmation</w:t>
      </w:r>
      <w:r w:rsidRPr="00490FBB">
        <w:br w:type="page"/>
      </w:r>
    </w:p>
    <w:p w14:paraId="219312C8" w14:textId="37916288" w:rsidR="006478E7" w:rsidRPr="00D52956" w:rsidRDefault="006478E7" w:rsidP="00BB0FFB">
      <w:pPr>
        <w:pStyle w:val="Heading2"/>
      </w:pPr>
      <w:r w:rsidRPr="00D52956">
        <w:lastRenderedPageBreak/>
        <w:t>Summary of PI</w:t>
      </w:r>
      <w:r w:rsidR="00235B21">
        <w:t xml:space="preserve">CO criteria to define </w:t>
      </w:r>
      <w:r w:rsidRPr="00D52956">
        <w:t>question to be addressed in an Assessment Report to the Medical Services Advisory Committee (MSAC)</w:t>
      </w:r>
    </w:p>
    <w:p w14:paraId="224459F3" w14:textId="7B3AD55D" w:rsidR="00D52956" w:rsidRDefault="00D52956" w:rsidP="00D52956">
      <w:pPr>
        <w:pStyle w:val="Caption"/>
      </w:pPr>
      <w:bookmarkStart w:id="0" w:name="_Ref69732160"/>
      <w:bookmarkStart w:id="1" w:name="_Ref69732155"/>
      <w:r>
        <w:t>Table</w:t>
      </w:r>
      <w:r w:rsidR="00FD4C65">
        <w:t> </w:t>
      </w:r>
      <w:r>
        <w:fldChar w:fldCharType="begin"/>
      </w:r>
      <w:r>
        <w:instrText xml:space="preserve"> SEQ Table \* ARABIC </w:instrText>
      </w:r>
      <w:r>
        <w:fldChar w:fldCharType="separate"/>
      </w:r>
      <w:r w:rsidR="00775C29">
        <w:rPr>
          <w:noProof/>
        </w:rPr>
        <w:t>1</w:t>
      </w:r>
      <w:r>
        <w:fldChar w:fldCharType="end"/>
      </w:r>
      <w:bookmarkEnd w:id="0"/>
      <w:r>
        <w:tab/>
        <w:t>PICO for</w:t>
      </w:r>
      <w:r w:rsidR="005E4329">
        <w:t xml:space="preserve"> prophylactic</w:t>
      </w:r>
      <w:r w:rsidR="002F1AA8">
        <w:t xml:space="preserve"> treatment with</w:t>
      </w:r>
      <w:r>
        <w:t xml:space="preserve"> </w:t>
      </w:r>
      <w:r w:rsidR="002F1480">
        <w:t>concizumab</w:t>
      </w:r>
      <w:r>
        <w:t xml:space="preserve"> in</w:t>
      </w:r>
      <w:r w:rsidR="005E4329">
        <w:t xml:space="preserve"> patients with </w:t>
      </w:r>
      <w:r w:rsidR="00D635C7">
        <w:t xml:space="preserve">congenital Haemophilia </w:t>
      </w:r>
      <w:r w:rsidR="005E4329">
        <w:t>B who have developed Factor IX inhibitors</w:t>
      </w:r>
      <w:bookmarkEnd w:id="1"/>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A0" w:firstRow="1" w:lastRow="0" w:firstColumn="1" w:lastColumn="0" w:noHBand="0" w:noVBand="0"/>
        <w:tblCaption w:val="PICO for prophylactic treatment with concizumab in patients with Haemophilia B who have developed Factor IX inhibitors: PICO Set 1"/>
        <w:tblDescription w:val="Table shows the population, intervention, comparator and outcomes to be considered in the assessment of concizumab."/>
      </w:tblPr>
      <w:tblGrid>
        <w:gridCol w:w="1923"/>
        <w:gridCol w:w="7643"/>
      </w:tblGrid>
      <w:tr w:rsidR="006478E7" w:rsidRPr="00583A0D" w14:paraId="2A509B30" w14:textId="77777777" w:rsidTr="00C54349">
        <w:trPr>
          <w:trHeight w:val="372"/>
          <w:tblHeader/>
        </w:trPr>
        <w:tc>
          <w:tcPr>
            <w:tcW w:w="1005" w:type="pct"/>
            <w:tcBorders>
              <w:top w:val="single" w:sz="8" w:space="0" w:color="auto"/>
              <w:left w:val="single" w:sz="8" w:space="0" w:color="auto"/>
              <w:bottom w:val="single" w:sz="8" w:space="0" w:color="auto"/>
              <w:right w:val="single" w:sz="4" w:space="0" w:color="auto"/>
            </w:tcBorders>
            <w:shd w:val="clear" w:color="auto" w:fill="D9D9D9"/>
            <w:vAlign w:val="center"/>
            <w:hideMark/>
          </w:tcPr>
          <w:p w14:paraId="333B8A35" w14:textId="77777777" w:rsidR="006478E7" w:rsidRPr="00215C86" w:rsidRDefault="006478E7" w:rsidP="006F71F1">
            <w:pPr>
              <w:pStyle w:val="TableHeading"/>
              <w:rPr>
                <w:rFonts w:asciiTheme="minorHAnsi" w:hAnsiTheme="minorHAnsi" w:cstheme="minorHAnsi"/>
                <w:sz w:val="22"/>
                <w:szCs w:val="22"/>
              </w:rPr>
            </w:pPr>
            <w:bookmarkStart w:id="2" w:name="Title_Table1" w:colFirst="0" w:colLast="0"/>
            <w:r w:rsidRPr="00215C86">
              <w:rPr>
                <w:rFonts w:asciiTheme="minorHAnsi" w:hAnsiTheme="minorHAnsi" w:cstheme="minorHAnsi"/>
                <w:sz w:val="22"/>
                <w:szCs w:val="22"/>
              </w:rPr>
              <w:t>Component</w:t>
            </w:r>
          </w:p>
        </w:tc>
        <w:tc>
          <w:tcPr>
            <w:tcW w:w="399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31DF4F" w14:textId="77777777" w:rsidR="006478E7" w:rsidRPr="00215C86" w:rsidRDefault="006478E7" w:rsidP="006F71F1">
            <w:pPr>
              <w:pStyle w:val="TableHeading"/>
              <w:rPr>
                <w:rFonts w:asciiTheme="minorHAnsi" w:hAnsiTheme="minorHAnsi" w:cstheme="minorHAnsi"/>
                <w:sz w:val="22"/>
                <w:szCs w:val="22"/>
              </w:rPr>
            </w:pPr>
            <w:r w:rsidRPr="00215C86">
              <w:rPr>
                <w:rFonts w:asciiTheme="minorHAnsi" w:hAnsiTheme="minorHAnsi" w:cstheme="minorHAnsi"/>
                <w:sz w:val="22"/>
                <w:szCs w:val="22"/>
              </w:rPr>
              <w:t>Description</w:t>
            </w:r>
          </w:p>
        </w:tc>
      </w:tr>
      <w:bookmarkEnd w:id="2"/>
      <w:tr w:rsidR="006478E7" w:rsidRPr="00583A0D" w14:paraId="78E0BB65" w14:textId="77777777" w:rsidTr="006478E7">
        <w:tc>
          <w:tcPr>
            <w:tcW w:w="1005" w:type="pct"/>
            <w:tcBorders>
              <w:top w:val="single" w:sz="8" w:space="0" w:color="auto"/>
              <w:left w:val="single" w:sz="8" w:space="0" w:color="auto"/>
              <w:bottom w:val="single" w:sz="4" w:space="0" w:color="auto"/>
              <w:right w:val="single" w:sz="4" w:space="0" w:color="auto"/>
            </w:tcBorders>
            <w:hideMark/>
          </w:tcPr>
          <w:p w14:paraId="715E50D5" w14:textId="74EB4863" w:rsidR="006478E7" w:rsidRPr="00AB6CE3" w:rsidRDefault="00F660E8" w:rsidP="00E54115">
            <w:pPr>
              <w:pStyle w:val="TableText0"/>
              <w:rPr>
                <w:rFonts w:asciiTheme="minorHAnsi" w:hAnsiTheme="minorHAnsi" w:cstheme="minorHAnsi"/>
                <w:sz w:val="22"/>
                <w:szCs w:val="24"/>
              </w:rPr>
            </w:pPr>
            <w:r w:rsidRPr="00AB6CE3">
              <w:rPr>
                <w:rFonts w:asciiTheme="minorHAnsi" w:hAnsiTheme="minorHAnsi" w:cstheme="minorHAnsi"/>
                <w:sz w:val="22"/>
                <w:szCs w:val="24"/>
              </w:rPr>
              <w:t>Population</w:t>
            </w:r>
          </w:p>
        </w:tc>
        <w:tc>
          <w:tcPr>
            <w:tcW w:w="3995" w:type="pct"/>
            <w:tcBorders>
              <w:top w:val="single" w:sz="4" w:space="0" w:color="auto"/>
              <w:left w:val="single" w:sz="4" w:space="0" w:color="auto"/>
              <w:bottom w:val="single" w:sz="4" w:space="0" w:color="auto"/>
              <w:right w:val="single" w:sz="4" w:space="0" w:color="auto"/>
            </w:tcBorders>
            <w:hideMark/>
          </w:tcPr>
          <w:p w14:paraId="4A4FF7C2" w14:textId="1845700E" w:rsidR="008477D5" w:rsidRPr="00AB6CE3" w:rsidRDefault="00787C64" w:rsidP="00E54115">
            <w:pPr>
              <w:pStyle w:val="TableText0"/>
              <w:rPr>
                <w:rFonts w:asciiTheme="minorHAnsi" w:hAnsiTheme="minorHAnsi" w:cstheme="minorHAnsi"/>
                <w:sz w:val="22"/>
                <w:szCs w:val="24"/>
              </w:rPr>
            </w:pPr>
            <w:r w:rsidRPr="00AB6CE3">
              <w:rPr>
                <w:rFonts w:asciiTheme="minorHAnsi" w:hAnsiTheme="minorHAnsi" w:cstheme="minorHAnsi"/>
                <w:sz w:val="22"/>
                <w:szCs w:val="24"/>
              </w:rPr>
              <w:t xml:space="preserve">Patients </w:t>
            </w:r>
            <w:r w:rsidR="00CE7289" w:rsidRPr="00AB6CE3">
              <w:rPr>
                <w:rFonts w:asciiTheme="minorHAnsi" w:hAnsiTheme="minorHAnsi" w:cstheme="minorHAnsi"/>
                <w:sz w:val="22"/>
                <w:szCs w:val="24"/>
              </w:rPr>
              <w:t>≥</w:t>
            </w:r>
            <w:r w:rsidR="00BD0BCB" w:rsidRPr="00AB6CE3">
              <w:rPr>
                <w:rFonts w:asciiTheme="minorHAnsi" w:hAnsiTheme="minorHAnsi" w:cstheme="minorHAnsi"/>
                <w:sz w:val="22"/>
                <w:szCs w:val="24"/>
              </w:rPr>
              <w:t xml:space="preserve"> 12 years of age </w:t>
            </w:r>
            <w:r w:rsidRPr="00AB6CE3">
              <w:rPr>
                <w:rFonts w:asciiTheme="minorHAnsi" w:hAnsiTheme="minorHAnsi" w:cstheme="minorHAnsi"/>
                <w:sz w:val="22"/>
                <w:szCs w:val="24"/>
              </w:rPr>
              <w:t xml:space="preserve">with congenital </w:t>
            </w:r>
            <w:r w:rsidR="0012344E" w:rsidRPr="00AB6CE3">
              <w:rPr>
                <w:rFonts w:asciiTheme="minorHAnsi" w:hAnsiTheme="minorHAnsi" w:cstheme="minorHAnsi"/>
                <w:sz w:val="22"/>
                <w:szCs w:val="24"/>
              </w:rPr>
              <w:t>Haemophilia</w:t>
            </w:r>
            <w:r w:rsidR="00BD0BCB" w:rsidRPr="00AB6CE3">
              <w:rPr>
                <w:rFonts w:asciiTheme="minorHAnsi" w:hAnsiTheme="minorHAnsi" w:cstheme="minorHAnsi"/>
                <w:sz w:val="22"/>
                <w:szCs w:val="24"/>
              </w:rPr>
              <w:t xml:space="preserve"> </w:t>
            </w:r>
            <w:r w:rsidRPr="00AB6CE3">
              <w:rPr>
                <w:rFonts w:asciiTheme="minorHAnsi" w:hAnsiTheme="minorHAnsi" w:cstheme="minorHAnsi"/>
                <w:sz w:val="22"/>
                <w:szCs w:val="24"/>
              </w:rPr>
              <w:t>B (</w:t>
            </w:r>
            <w:r w:rsidR="00E34342" w:rsidRPr="00AB6CE3">
              <w:rPr>
                <w:rFonts w:asciiTheme="minorHAnsi" w:hAnsiTheme="minorHAnsi" w:cstheme="minorHAnsi"/>
                <w:sz w:val="22"/>
                <w:szCs w:val="24"/>
              </w:rPr>
              <w:t>c</w:t>
            </w:r>
            <w:r w:rsidRPr="00AB6CE3">
              <w:rPr>
                <w:rFonts w:asciiTheme="minorHAnsi" w:hAnsiTheme="minorHAnsi" w:cstheme="minorHAnsi"/>
                <w:sz w:val="22"/>
                <w:szCs w:val="24"/>
              </w:rPr>
              <w:t xml:space="preserve">HMB) </w:t>
            </w:r>
            <w:r w:rsidR="005A6370" w:rsidRPr="00AB6CE3">
              <w:rPr>
                <w:rFonts w:asciiTheme="minorHAnsi" w:hAnsiTheme="minorHAnsi" w:cstheme="minorHAnsi"/>
                <w:sz w:val="22"/>
                <w:szCs w:val="24"/>
              </w:rPr>
              <w:t>who have developed</w:t>
            </w:r>
            <w:r w:rsidRPr="00AB6CE3">
              <w:rPr>
                <w:rFonts w:asciiTheme="minorHAnsi" w:hAnsiTheme="minorHAnsi" w:cstheme="minorHAnsi"/>
                <w:sz w:val="22"/>
                <w:szCs w:val="24"/>
              </w:rPr>
              <w:t xml:space="preserve"> </w:t>
            </w:r>
            <w:r w:rsidR="0037438A" w:rsidRPr="00AB6CE3">
              <w:rPr>
                <w:rFonts w:asciiTheme="minorHAnsi" w:hAnsiTheme="minorHAnsi" w:cstheme="minorHAnsi"/>
                <w:sz w:val="22"/>
                <w:szCs w:val="24"/>
              </w:rPr>
              <w:t>F</w:t>
            </w:r>
            <w:r w:rsidRPr="00AB6CE3">
              <w:rPr>
                <w:rFonts w:asciiTheme="minorHAnsi" w:hAnsiTheme="minorHAnsi" w:cstheme="minorHAnsi"/>
                <w:sz w:val="22"/>
                <w:szCs w:val="24"/>
              </w:rPr>
              <w:t xml:space="preserve">actor IX </w:t>
            </w:r>
            <w:r w:rsidR="00E34342" w:rsidRPr="00AB6CE3">
              <w:rPr>
                <w:rFonts w:asciiTheme="minorHAnsi" w:hAnsiTheme="minorHAnsi" w:cstheme="minorHAnsi"/>
                <w:sz w:val="22"/>
                <w:szCs w:val="24"/>
              </w:rPr>
              <w:t xml:space="preserve">(FIX) </w:t>
            </w:r>
            <w:r w:rsidRPr="00AB6CE3">
              <w:rPr>
                <w:rFonts w:asciiTheme="minorHAnsi" w:hAnsiTheme="minorHAnsi" w:cstheme="minorHAnsi"/>
                <w:sz w:val="22"/>
                <w:szCs w:val="24"/>
              </w:rPr>
              <w:t>inhibitors</w:t>
            </w:r>
            <w:r w:rsidR="00DC4344" w:rsidRPr="00AB6CE3">
              <w:rPr>
                <w:rFonts w:asciiTheme="minorHAnsi" w:hAnsiTheme="minorHAnsi" w:cstheme="minorHAnsi"/>
                <w:sz w:val="22"/>
                <w:szCs w:val="24"/>
              </w:rPr>
              <w:t xml:space="preserve"> and </w:t>
            </w:r>
            <w:r w:rsidR="00747906">
              <w:rPr>
                <w:rFonts w:asciiTheme="minorHAnsi" w:hAnsiTheme="minorHAnsi" w:cstheme="minorHAnsi"/>
                <w:sz w:val="22"/>
                <w:szCs w:val="24"/>
              </w:rPr>
              <w:t>where</w:t>
            </w:r>
            <w:r w:rsidR="00CC509F">
              <w:rPr>
                <w:rFonts w:asciiTheme="minorHAnsi" w:hAnsiTheme="minorHAnsi" w:cstheme="minorHAnsi"/>
                <w:sz w:val="22"/>
                <w:szCs w:val="24"/>
              </w:rPr>
              <w:t xml:space="preserve"> </w:t>
            </w:r>
            <w:r w:rsidR="00DC4344" w:rsidRPr="00AB6CE3">
              <w:rPr>
                <w:rFonts w:asciiTheme="minorHAnsi" w:hAnsiTheme="minorHAnsi" w:cstheme="minorHAnsi"/>
                <w:sz w:val="22"/>
                <w:szCs w:val="24"/>
              </w:rPr>
              <w:t xml:space="preserve">prophylaxis </w:t>
            </w:r>
            <w:r w:rsidR="00CC509F">
              <w:rPr>
                <w:rFonts w:asciiTheme="minorHAnsi" w:hAnsiTheme="minorHAnsi" w:cstheme="minorHAnsi"/>
                <w:sz w:val="22"/>
                <w:szCs w:val="24"/>
              </w:rPr>
              <w:t xml:space="preserve">is required </w:t>
            </w:r>
            <w:r w:rsidR="00DC4344" w:rsidRPr="00AB6CE3">
              <w:rPr>
                <w:rFonts w:asciiTheme="minorHAnsi" w:hAnsiTheme="minorHAnsi" w:cstheme="minorHAnsi"/>
                <w:sz w:val="22"/>
                <w:szCs w:val="24"/>
              </w:rPr>
              <w:t>to prevent or reduce the frequency of bleeding</w:t>
            </w:r>
            <w:r w:rsidR="005A6370" w:rsidRPr="00AB6CE3">
              <w:rPr>
                <w:rFonts w:asciiTheme="minorHAnsi" w:hAnsiTheme="minorHAnsi" w:cstheme="minorHAnsi"/>
                <w:sz w:val="22"/>
                <w:szCs w:val="24"/>
              </w:rPr>
              <w:t>.</w:t>
            </w:r>
          </w:p>
        </w:tc>
      </w:tr>
      <w:tr w:rsidR="006478E7" w:rsidRPr="00583A0D" w14:paraId="654E13A9" w14:textId="77777777" w:rsidTr="006478E7">
        <w:tc>
          <w:tcPr>
            <w:tcW w:w="1005" w:type="pct"/>
            <w:tcBorders>
              <w:top w:val="single" w:sz="4" w:space="0" w:color="auto"/>
              <w:left w:val="single" w:sz="8" w:space="0" w:color="auto"/>
              <w:bottom w:val="single" w:sz="4" w:space="0" w:color="auto"/>
              <w:right w:val="single" w:sz="4" w:space="0" w:color="auto"/>
            </w:tcBorders>
            <w:hideMark/>
          </w:tcPr>
          <w:p w14:paraId="5BF0C211" w14:textId="77777777" w:rsidR="006478E7" w:rsidRPr="00215C86" w:rsidRDefault="006478E7" w:rsidP="00E54115">
            <w:pPr>
              <w:pStyle w:val="TableText0"/>
              <w:rPr>
                <w:rFonts w:asciiTheme="minorHAnsi" w:hAnsiTheme="minorHAnsi" w:cstheme="minorHAnsi"/>
                <w:sz w:val="22"/>
                <w:szCs w:val="24"/>
              </w:rPr>
            </w:pPr>
            <w:r w:rsidRPr="00215C86">
              <w:rPr>
                <w:rFonts w:asciiTheme="minorHAnsi" w:hAnsiTheme="minorHAnsi" w:cstheme="minorHAnsi"/>
                <w:sz w:val="22"/>
                <w:szCs w:val="24"/>
              </w:rPr>
              <w:t>Intervention</w:t>
            </w:r>
          </w:p>
        </w:tc>
        <w:tc>
          <w:tcPr>
            <w:tcW w:w="3995" w:type="pct"/>
            <w:tcBorders>
              <w:top w:val="single" w:sz="4" w:space="0" w:color="auto"/>
              <w:left w:val="single" w:sz="4" w:space="0" w:color="auto"/>
              <w:bottom w:val="single" w:sz="4" w:space="0" w:color="auto"/>
              <w:right w:val="single" w:sz="4" w:space="0" w:color="auto"/>
            </w:tcBorders>
            <w:hideMark/>
          </w:tcPr>
          <w:p w14:paraId="3E51DB12" w14:textId="6808B440" w:rsidR="006478E7" w:rsidRPr="00215C86" w:rsidRDefault="00BA61E5" w:rsidP="00E54115">
            <w:pPr>
              <w:pStyle w:val="TableText0"/>
              <w:rPr>
                <w:rFonts w:asciiTheme="minorHAnsi" w:hAnsiTheme="minorHAnsi" w:cstheme="minorHAnsi"/>
                <w:sz w:val="22"/>
                <w:szCs w:val="24"/>
              </w:rPr>
            </w:pPr>
            <w:r>
              <w:rPr>
                <w:rFonts w:asciiTheme="minorHAnsi" w:hAnsiTheme="minorHAnsi" w:cstheme="minorHAnsi"/>
                <w:sz w:val="22"/>
                <w:szCs w:val="24"/>
              </w:rPr>
              <w:t>P</w:t>
            </w:r>
            <w:r w:rsidR="00332F72" w:rsidRPr="00AB6CE3">
              <w:rPr>
                <w:rFonts w:asciiTheme="minorHAnsi" w:hAnsiTheme="minorHAnsi" w:cstheme="minorHAnsi"/>
                <w:sz w:val="22"/>
                <w:szCs w:val="24"/>
              </w:rPr>
              <w:t>roph</w:t>
            </w:r>
            <w:r w:rsidR="002F55CC" w:rsidRPr="00AB6CE3">
              <w:rPr>
                <w:rFonts w:asciiTheme="minorHAnsi" w:hAnsiTheme="minorHAnsi" w:cstheme="minorHAnsi"/>
                <w:sz w:val="22"/>
                <w:szCs w:val="24"/>
              </w:rPr>
              <w:t>y</w:t>
            </w:r>
            <w:r w:rsidR="00332F72" w:rsidRPr="00AB6CE3">
              <w:rPr>
                <w:rFonts w:asciiTheme="minorHAnsi" w:hAnsiTheme="minorHAnsi" w:cstheme="minorHAnsi"/>
                <w:sz w:val="22"/>
                <w:szCs w:val="24"/>
              </w:rPr>
              <w:t>laxis with c</w:t>
            </w:r>
            <w:r w:rsidR="00F31FE2" w:rsidRPr="00AB6CE3">
              <w:rPr>
                <w:rFonts w:asciiTheme="minorHAnsi" w:hAnsiTheme="minorHAnsi" w:cstheme="minorHAnsi"/>
                <w:sz w:val="22"/>
                <w:szCs w:val="24"/>
              </w:rPr>
              <w:t>oncizumab (Alhemo®)</w:t>
            </w:r>
            <w:r w:rsidR="002F55CC" w:rsidRPr="00AB6CE3">
              <w:rPr>
                <w:rFonts w:asciiTheme="minorHAnsi" w:hAnsiTheme="minorHAnsi" w:cstheme="minorHAnsi"/>
                <w:sz w:val="22"/>
                <w:szCs w:val="24"/>
              </w:rPr>
              <w:t xml:space="preserve"> plus on</w:t>
            </w:r>
            <w:r w:rsidR="00130B09" w:rsidRPr="00AB6CE3">
              <w:rPr>
                <w:rFonts w:asciiTheme="minorHAnsi" w:hAnsiTheme="minorHAnsi" w:cstheme="minorHAnsi"/>
                <w:sz w:val="22"/>
                <w:szCs w:val="24"/>
              </w:rPr>
              <w:t xml:space="preserve"> </w:t>
            </w:r>
            <w:r w:rsidR="002F55CC" w:rsidRPr="00AB6CE3">
              <w:rPr>
                <w:rFonts w:asciiTheme="minorHAnsi" w:hAnsiTheme="minorHAnsi" w:cstheme="minorHAnsi"/>
                <w:sz w:val="22"/>
                <w:szCs w:val="24"/>
              </w:rPr>
              <w:t>demand</w:t>
            </w:r>
            <w:r w:rsidR="00552543" w:rsidRPr="00AB6CE3">
              <w:rPr>
                <w:rFonts w:asciiTheme="minorHAnsi" w:hAnsiTheme="minorHAnsi" w:cstheme="minorHAnsi"/>
                <w:sz w:val="22"/>
                <w:szCs w:val="24"/>
              </w:rPr>
              <w:t xml:space="preserve"> </w:t>
            </w:r>
            <w:r w:rsidR="007036FD" w:rsidRPr="00AB6CE3">
              <w:rPr>
                <w:rFonts w:asciiTheme="minorHAnsi" w:hAnsiTheme="minorHAnsi" w:cstheme="minorHAnsi"/>
                <w:sz w:val="22"/>
                <w:szCs w:val="24"/>
              </w:rPr>
              <w:t>bypassing agent</w:t>
            </w:r>
            <w:r w:rsidR="00903125" w:rsidRPr="00AB6CE3">
              <w:rPr>
                <w:rFonts w:asciiTheme="minorHAnsi" w:hAnsiTheme="minorHAnsi" w:cstheme="minorHAnsi"/>
                <w:sz w:val="22"/>
                <w:szCs w:val="24"/>
              </w:rPr>
              <w:t>s</w:t>
            </w:r>
            <w:r w:rsidR="007036FD" w:rsidRPr="00AB6CE3">
              <w:rPr>
                <w:rFonts w:asciiTheme="minorHAnsi" w:hAnsiTheme="minorHAnsi" w:cstheme="minorHAnsi"/>
                <w:sz w:val="22"/>
                <w:szCs w:val="24"/>
              </w:rPr>
              <w:t xml:space="preserve"> </w:t>
            </w:r>
            <w:r w:rsidR="00903125" w:rsidRPr="00AB6CE3">
              <w:rPr>
                <w:rFonts w:asciiTheme="minorHAnsi" w:hAnsiTheme="minorHAnsi" w:cstheme="minorHAnsi"/>
                <w:sz w:val="22"/>
                <w:szCs w:val="24"/>
              </w:rPr>
              <w:t>(</w:t>
            </w:r>
            <w:r w:rsidR="00552543" w:rsidRPr="00AB6CE3">
              <w:rPr>
                <w:rFonts w:asciiTheme="minorHAnsi" w:hAnsiTheme="minorHAnsi" w:cstheme="minorHAnsi"/>
                <w:sz w:val="22"/>
                <w:szCs w:val="24"/>
              </w:rPr>
              <w:t>BPAs</w:t>
            </w:r>
            <w:r w:rsidR="00903125" w:rsidRPr="00AB6CE3">
              <w:rPr>
                <w:rFonts w:asciiTheme="minorHAnsi" w:hAnsiTheme="minorHAnsi" w:cstheme="minorHAnsi"/>
                <w:sz w:val="22"/>
                <w:szCs w:val="24"/>
              </w:rPr>
              <w:t>)</w:t>
            </w:r>
            <w:r w:rsidR="00552543" w:rsidRPr="00AB6CE3">
              <w:rPr>
                <w:rFonts w:asciiTheme="minorHAnsi" w:hAnsiTheme="minorHAnsi" w:cstheme="minorHAnsi"/>
                <w:sz w:val="22"/>
                <w:szCs w:val="24"/>
              </w:rPr>
              <w:t xml:space="preserve"> to treat bleeds</w:t>
            </w:r>
            <w:r w:rsidR="00C1755F" w:rsidRPr="00AB6CE3">
              <w:rPr>
                <w:rFonts w:asciiTheme="minorHAnsi" w:hAnsiTheme="minorHAnsi" w:cstheme="minorHAnsi"/>
                <w:sz w:val="22"/>
                <w:szCs w:val="24"/>
              </w:rPr>
              <w:t>.</w:t>
            </w:r>
          </w:p>
        </w:tc>
      </w:tr>
      <w:tr w:rsidR="006478E7" w:rsidRPr="00583A0D" w14:paraId="1F5647C3" w14:textId="77777777" w:rsidTr="006478E7">
        <w:tc>
          <w:tcPr>
            <w:tcW w:w="1005" w:type="pct"/>
            <w:tcBorders>
              <w:top w:val="single" w:sz="4" w:space="0" w:color="auto"/>
              <w:left w:val="single" w:sz="8" w:space="0" w:color="auto"/>
              <w:bottom w:val="single" w:sz="4" w:space="0" w:color="auto"/>
              <w:right w:val="single" w:sz="4" w:space="0" w:color="auto"/>
            </w:tcBorders>
            <w:hideMark/>
          </w:tcPr>
          <w:p w14:paraId="7F55173A" w14:textId="77777777" w:rsidR="006478E7" w:rsidRPr="00215C86" w:rsidRDefault="006478E7" w:rsidP="00E54115">
            <w:pPr>
              <w:pStyle w:val="TableText0"/>
              <w:rPr>
                <w:rFonts w:asciiTheme="minorHAnsi" w:hAnsiTheme="minorHAnsi" w:cstheme="minorHAnsi"/>
                <w:sz w:val="22"/>
                <w:szCs w:val="24"/>
              </w:rPr>
            </w:pPr>
            <w:r w:rsidRPr="00215C86">
              <w:rPr>
                <w:rFonts w:asciiTheme="minorHAnsi" w:hAnsiTheme="minorHAnsi" w:cstheme="minorHAnsi"/>
                <w:sz w:val="22"/>
                <w:szCs w:val="24"/>
              </w:rPr>
              <w:t>Comparator</w:t>
            </w:r>
            <w:r w:rsidR="00D83062" w:rsidRPr="00215C86">
              <w:rPr>
                <w:rFonts w:asciiTheme="minorHAnsi" w:hAnsiTheme="minorHAnsi" w:cstheme="minorHAnsi"/>
                <w:sz w:val="22"/>
                <w:szCs w:val="24"/>
              </w:rPr>
              <w:t>/s</w:t>
            </w:r>
          </w:p>
        </w:tc>
        <w:tc>
          <w:tcPr>
            <w:tcW w:w="3995" w:type="pct"/>
            <w:tcBorders>
              <w:top w:val="single" w:sz="4" w:space="0" w:color="auto"/>
              <w:left w:val="single" w:sz="4" w:space="0" w:color="auto"/>
              <w:bottom w:val="single" w:sz="4" w:space="0" w:color="auto"/>
              <w:right w:val="single" w:sz="4" w:space="0" w:color="auto"/>
            </w:tcBorders>
            <w:hideMark/>
          </w:tcPr>
          <w:p w14:paraId="4E815663" w14:textId="797D1B2A" w:rsidR="00511189" w:rsidRPr="00215C86" w:rsidRDefault="00511189" w:rsidP="00E54115">
            <w:pPr>
              <w:pStyle w:val="TableText0"/>
              <w:rPr>
                <w:rFonts w:asciiTheme="minorHAnsi" w:hAnsiTheme="minorHAnsi" w:cstheme="minorHAnsi"/>
                <w:sz w:val="22"/>
                <w:szCs w:val="24"/>
              </w:rPr>
            </w:pPr>
            <w:r w:rsidRPr="00215C86">
              <w:rPr>
                <w:rFonts w:asciiTheme="minorHAnsi" w:hAnsiTheme="minorHAnsi" w:cstheme="minorHAnsi"/>
                <w:sz w:val="22"/>
                <w:szCs w:val="24"/>
              </w:rPr>
              <w:t xml:space="preserve">On demand treatment with the </w:t>
            </w:r>
            <w:r w:rsidR="007A6C99" w:rsidRPr="00215C86">
              <w:rPr>
                <w:rFonts w:asciiTheme="minorHAnsi" w:hAnsiTheme="minorHAnsi" w:cstheme="minorHAnsi"/>
                <w:sz w:val="22"/>
                <w:szCs w:val="24"/>
              </w:rPr>
              <w:t xml:space="preserve">BPA recombinant activated human </w:t>
            </w:r>
            <w:r w:rsidR="0037438A" w:rsidRPr="00215C86">
              <w:rPr>
                <w:rFonts w:asciiTheme="minorHAnsi" w:hAnsiTheme="minorHAnsi" w:cstheme="minorHAnsi"/>
                <w:sz w:val="22"/>
                <w:szCs w:val="24"/>
              </w:rPr>
              <w:t>F</w:t>
            </w:r>
            <w:r w:rsidR="007A6C99" w:rsidRPr="00215C86">
              <w:rPr>
                <w:rFonts w:asciiTheme="minorHAnsi" w:hAnsiTheme="minorHAnsi" w:cstheme="minorHAnsi"/>
                <w:sz w:val="22"/>
                <w:szCs w:val="24"/>
              </w:rPr>
              <w:t>actor VIIa (</w:t>
            </w:r>
            <w:r w:rsidRPr="00215C86">
              <w:rPr>
                <w:rFonts w:asciiTheme="minorHAnsi" w:hAnsiTheme="minorHAnsi" w:cstheme="minorHAnsi"/>
                <w:sz w:val="22"/>
                <w:szCs w:val="24"/>
              </w:rPr>
              <w:t>rFVIIa</w:t>
            </w:r>
            <w:r w:rsidR="007A6C99" w:rsidRPr="00215C86">
              <w:rPr>
                <w:rFonts w:asciiTheme="minorHAnsi" w:hAnsiTheme="minorHAnsi" w:cstheme="minorHAnsi"/>
                <w:sz w:val="22"/>
                <w:szCs w:val="24"/>
              </w:rPr>
              <w:t>)</w:t>
            </w:r>
            <w:r w:rsidR="00201374" w:rsidRPr="00215C86">
              <w:rPr>
                <w:rFonts w:asciiTheme="minorHAnsi" w:hAnsiTheme="minorHAnsi" w:cstheme="minorHAnsi"/>
                <w:sz w:val="22"/>
                <w:szCs w:val="24"/>
              </w:rPr>
              <w:t>.</w:t>
            </w:r>
          </w:p>
          <w:p w14:paraId="7E690E4B" w14:textId="371DDC1F" w:rsidR="00E02D4E" w:rsidRPr="00215C86" w:rsidRDefault="00E02D4E" w:rsidP="00E54115">
            <w:pPr>
              <w:pStyle w:val="TableText0"/>
              <w:rPr>
                <w:rFonts w:asciiTheme="minorHAnsi" w:hAnsiTheme="minorHAnsi" w:cstheme="minorHAnsi"/>
                <w:sz w:val="22"/>
                <w:szCs w:val="24"/>
              </w:rPr>
            </w:pPr>
            <w:r w:rsidRPr="00215C86">
              <w:rPr>
                <w:rFonts w:asciiTheme="minorHAnsi" w:hAnsiTheme="minorHAnsi" w:cstheme="minorHAnsi"/>
                <w:sz w:val="22"/>
                <w:szCs w:val="24"/>
              </w:rPr>
              <w:t xml:space="preserve">Short-term prophylaxis (up to 3 months) with the </w:t>
            </w:r>
            <w:r w:rsidR="007A6C99" w:rsidRPr="00215C86">
              <w:rPr>
                <w:rFonts w:asciiTheme="minorHAnsi" w:hAnsiTheme="minorHAnsi" w:cstheme="minorHAnsi"/>
                <w:sz w:val="22"/>
                <w:szCs w:val="24"/>
              </w:rPr>
              <w:t xml:space="preserve">BPA </w:t>
            </w:r>
            <w:r w:rsidRPr="00215C86">
              <w:rPr>
                <w:rFonts w:asciiTheme="minorHAnsi" w:hAnsiTheme="minorHAnsi" w:cstheme="minorHAnsi"/>
                <w:sz w:val="22"/>
                <w:szCs w:val="24"/>
              </w:rPr>
              <w:t>rFVIIa</w:t>
            </w:r>
            <w:r w:rsidR="00201374" w:rsidRPr="00215C86">
              <w:rPr>
                <w:rFonts w:asciiTheme="minorHAnsi" w:hAnsiTheme="minorHAnsi" w:cstheme="minorHAnsi"/>
                <w:sz w:val="22"/>
                <w:szCs w:val="24"/>
              </w:rPr>
              <w:t>.</w:t>
            </w:r>
          </w:p>
        </w:tc>
      </w:tr>
      <w:tr w:rsidR="006478E7" w:rsidRPr="00583A0D" w14:paraId="591B1D2D" w14:textId="77777777" w:rsidTr="00BB1698">
        <w:tc>
          <w:tcPr>
            <w:tcW w:w="1005" w:type="pct"/>
            <w:tcBorders>
              <w:top w:val="single" w:sz="4" w:space="0" w:color="auto"/>
              <w:left w:val="single" w:sz="8" w:space="0" w:color="auto"/>
              <w:bottom w:val="single" w:sz="4" w:space="0" w:color="auto"/>
              <w:right w:val="single" w:sz="4" w:space="0" w:color="auto"/>
            </w:tcBorders>
            <w:hideMark/>
          </w:tcPr>
          <w:p w14:paraId="635F9D15" w14:textId="77777777" w:rsidR="006478E7" w:rsidRPr="00215C86" w:rsidRDefault="006478E7" w:rsidP="00E54115">
            <w:pPr>
              <w:pStyle w:val="TableText0"/>
              <w:rPr>
                <w:rFonts w:asciiTheme="minorHAnsi" w:hAnsiTheme="minorHAnsi" w:cstheme="minorHAnsi"/>
                <w:sz w:val="22"/>
                <w:szCs w:val="24"/>
              </w:rPr>
            </w:pPr>
            <w:r w:rsidRPr="00215C86">
              <w:rPr>
                <w:rFonts w:asciiTheme="minorHAnsi" w:hAnsiTheme="minorHAnsi" w:cstheme="minorHAnsi"/>
                <w:sz w:val="22"/>
                <w:szCs w:val="24"/>
              </w:rPr>
              <w:t>Outcomes</w:t>
            </w:r>
          </w:p>
        </w:tc>
        <w:tc>
          <w:tcPr>
            <w:tcW w:w="3995" w:type="pct"/>
            <w:tcBorders>
              <w:top w:val="single" w:sz="4" w:space="0" w:color="auto"/>
              <w:left w:val="single" w:sz="4" w:space="0" w:color="auto"/>
              <w:bottom w:val="single" w:sz="4" w:space="0" w:color="auto"/>
              <w:right w:val="single" w:sz="4" w:space="0" w:color="auto"/>
            </w:tcBorders>
            <w:hideMark/>
          </w:tcPr>
          <w:p w14:paraId="39FA0013" w14:textId="77777777" w:rsidR="00F359A2" w:rsidRPr="00215C86" w:rsidRDefault="00F359A2" w:rsidP="00E54115">
            <w:pPr>
              <w:pStyle w:val="TableText0"/>
              <w:rPr>
                <w:rFonts w:asciiTheme="minorHAnsi" w:hAnsiTheme="minorHAnsi" w:cstheme="minorHAnsi"/>
                <w:sz w:val="22"/>
                <w:szCs w:val="24"/>
              </w:rPr>
            </w:pPr>
            <w:bookmarkStart w:id="3" w:name="_Hlk201736285"/>
            <w:r w:rsidRPr="00215C86">
              <w:rPr>
                <w:rFonts w:asciiTheme="minorHAnsi" w:hAnsiTheme="minorHAnsi" w:cstheme="minorHAnsi"/>
                <w:sz w:val="22"/>
                <w:szCs w:val="24"/>
              </w:rPr>
              <w:t>Safety</w:t>
            </w:r>
          </w:p>
          <w:p w14:paraId="46E1B464" w14:textId="35DE16FE" w:rsidR="00F359A2" w:rsidRDefault="00F359A2" w:rsidP="00E54115">
            <w:pPr>
              <w:pStyle w:val="TableText0"/>
              <w:numPr>
                <w:ilvl w:val="0"/>
                <w:numId w:val="32"/>
              </w:numPr>
              <w:rPr>
                <w:rFonts w:asciiTheme="minorHAnsi" w:hAnsiTheme="minorHAnsi" w:cstheme="minorHAnsi"/>
                <w:sz w:val="22"/>
                <w:szCs w:val="24"/>
              </w:rPr>
            </w:pPr>
            <w:r w:rsidRPr="00215C86">
              <w:rPr>
                <w:rFonts w:asciiTheme="minorHAnsi" w:hAnsiTheme="minorHAnsi" w:cstheme="minorHAnsi"/>
                <w:sz w:val="22"/>
                <w:szCs w:val="24"/>
              </w:rPr>
              <w:t>Incidence and severity of adverse events</w:t>
            </w:r>
          </w:p>
          <w:p w14:paraId="3446067E" w14:textId="3B946A31" w:rsidR="005E22C6" w:rsidRPr="00215C86" w:rsidRDefault="002B1AE8" w:rsidP="00775360">
            <w:pPr>
              <w:pStyle w:val="TableText0"/>
              <w:numPr>
                <w:ilvl w:val="1"/>
                <w:numId w:val="32"/>
              </w:numPr>
              <w:rPr>
                <w:rFonts w:asciiTheme="minorHAnsi" w:hAnsiTheme="minorHAnsi" w:cstheme="minorHAnsi"/>
                <w:sz w:val="22"/>
                <w:szCs w:val="24"/>
              </w:rPr>
            </w:pPr>
            <w:r>
              <w:rPr>
                <w:rFonts w:asciiTheme="minorHAnsi" w:hAnsiTheme="minorHAnsi" w:cstheme="minorHAnsi"/>
                <w:sz w:val="22"/>
                <w:szCs w:val="24"/>
              </w:rPr>
              <w:t>T</w:t>
            </w:r>
            <w:r w:rsidR="005E22C6">
              <w:rPr>
                <w:rFonts w:asciiTheme="minorHAnsi" w:hAnsiTheme="minorHAnsi" w:cstheme="minorHAnsi"/>
                <w:sz w:val="22"/>
                <w:szCs w:val="24"/>
              </w:rPr>
              <w:t>hrombosis</w:t>
            </w:r>
          </w:p>
          <w:p w14:paraId="5BD231D9" w14:textId="6B2D32CA" w:rsidR="00F359A2" w:rsidRPr="00215C86" w:rsidRDefault="00F359A2" w:rsidP="00E54115">
            <w:pPr>
              <w:pStyle w:val="TableText0"/>
              <w:numPr>
                <w:ilvl w:val="0"/>
                <w:numId w:val="32"/>
              </w:numPr>
              <w:rPr>
                <w:rFonts w:asciiTheme="minorHAnsi" w:hAnsiTheme="minorHAnsi" w:cstheme="minorHAnsi"/>
                <w:sz w:val="22"/>
                <w:szCs w:val="24"/>
              </w:rPr>
            </w:pPr>
            <w:r w:rsidRPr="00215C86">
              <w:rPr>
                <w:rFonts w:asciiTheme="minorHAnsi" w:hAnsiTheme="minorHAnsi" w:cstheme="minorHAnsi"/>
                <w:sz w:val="22"/>
                <w:szCs w:val="24"/>
              </w:rPr>
              <w:t>Mortality</w:t>
            </w:r>
          </w:p>
          <w:p w14:paraId="52BD95DB" w14:textId="667EAF18" w:rsidR="00E37B9E" w:rsidRPr="00215C86" w:rsidRDefault="005414E9" w:rsidP="00E54115">
            <w:pPr>
              <w:pStyle w:val="TableText0"/>
              <w:numPr>
                <w:ilvl w:val="0"/>
                <w:numId w:val="32"/>
              </w:numPr>
              <w:rPr>
                <w:rFonts w:asciiTheme="minorHAnsi" w:hAnsiTheme="minorHAnsi" w:cstheme="minorHAnsi"/>
                <w:sz w:val="22"/>
                <w:szCs w:val="24"/>
              </w:rPr>
            </w:pPr>
            <w:r w:rsidRPr="00215C86">
              <w:rPr>
                <w:rFonts w:asciiTheme="minorHAnsi" w:hAnsiTheme="minorHAnsi" w:cstheme="minorHAnsi"/>
                <w:sz w:val="22"/>
                <w:szCs w:val="24"/>
              </w:rPr>
              <w:t xml:space="preserve">Emergence </w:t>
            </w:r>
            <w:r w:rsidR="00E37B9E" w:rsidRPr="00215C86">
              <w:rPr>
                <w:rFonts w:asciiTheme="minorHAnsi" w:hAnsiTheme="minorHAnsi" w:cstheme="minorHAnsi"/>
                <w:sz w:val="22"/>
                <w:szCs w:val="24"/>
              </w:rPr>
              <w:t>of anti-concizumab antibodies</w:t>
            </w:r>
          </w:p>
          <w:p w14:paraId="29CF43A6" w14:textId="77777777" w:rsidR="00F359A2" w:rsidRPr="00215C86" w:rsidRDefault="00F359A2" w:rsidP="00E54115">
            <w:pPr>
              <w:pStyle w:val="TableText0"/>
              <w:rPr>
                <w:rFonts w:asciiTheme="minorHAnsi" w:hAnsiTheme="minorHAnsi" w:cstheme="minorHAnsi"/>
                <w:sz w:val="22"/>
                <w:szCs w:val="24"/>
              </w:rPr>
            </w:pPr>
            <w:r w:rsidRPr="00215C86">
              <w:rPr>
                <w:rFonts w:asciiTheme="minorHAnsi" w:hAnsiTheme="minorHAnsi" w:cstheme="minorHAnsi"/>
                <w:sz w:val="22"/>
                <w:szCs w:val="24"/>
              </w:rPr>
              <w:t>Effectiveness</w:t>
            </w:r>
          </w:p>
          <w:p w14:paraId="0F630DC6" w14:textId="3B6DA588" w:rsidR="00F359A2" w:rsidRPr="00215C86" w:rsidRDefault="00F359A2" w:rsidP="006F71F1">
            <w:pPr>
              <w:pStyle w:val="TableText0"/>
              <w:numPr>
                <w:ilvl w:val="0"/>
                <w:numId w:val="34"/>
              </w:numPr>
              <w:rPr>
                <w:rFonts w:asciiTheme="minorHAnsi" w:hAnsiTheme="minorHAnsi" w:cstheme="minorHAnsi"/>
                <w:sz w:val="22"/>
                <w:szCs w:val="24"/>
              </w:rPr>
            </w:pPr>
            <w:r w:rsidRPr="00215C86">
              <w:rPr>
                <w:rFonts w:asciiTheme="minorHAnsi" w:hAnsiTheme="minorHAnsi" w:cstheme="minorHAnsi"/>
                <w:sz w:val="22"/>
                <w:szCs w:val="24"/>
              </w:rPr>
              <w:t>Primary effectiveness</w:t>
            </w:r>
          </w:p>
          <w:p w14:paraId="66142FEE" w14:textId="200B71CD" w:rsidR="00F359A2" w:rsidRPr="00215C86" w:rsidRDefault="00F359A2" w:rsidP="006F71F1">
            <w:pPr>
              <w:pStyle w:val="TableText0"/>
              <w:numPr>
                <w:ilvl w:val="1"/>
                <w:numId w:val="34"/>
              </w:numPr>
              <w:rPr>
                <w:rFonts w:asciiTheme="minorHAnsi" w:hAnsiTheme="minorHAnsi" w:cstheme="minorHAnsi"/>
                <w:sz w:val="22"/>
                <w:szCs w:val="24"/>
              </w:rPr>
            </w:pPr>
            <w:r w:rsidRPr="00215C86">
              <w:rPr>
                <w:rFonts w:asciiTheme="minorHAnsi" w:hAnsiTheme="minorHAnsi" w:cstheme="minorHAnsi"/>
                <w:sz w:val="22"/>
                <w:szCs w:val="24"/>
              </w:rPr>
              <w:t>Reduction in number of bleeds over time (bleed rate)</w:t>
            </w:r>
          </w:p>
          <w:p w14:paraId="594FB0C5" w14:textId="0EE88C07" w:rsidR="005A318B" w:rsidRPr="00215C86" w:rsidRDefault="005A318B" w:rsidP="006F71F1">
            <w:pPr>
              <w:pStyle w:val="TableText0"/>
              <w:numPr>
                <w:ilvl w:val="1"/>
                <w:numId w:val="34"/>
              </w:numPr>
              <w:rPr>
                <w:rFonts w:asciiTheme="minorHAnsi" w:hAnsiTheme="minorHAnsi" w:cstheme="minorHAnsi"/>
                <w:sz w:val="22"/>
                <w:szCs w:val="24"/>
              </w:rPr>
            </w:pPr>
            <w:r w:rsidRPr="00215C86">
              <w:rPr>
                <w:rFonts w:asciiTheme="minorHAnsi" w:hAnsiTheme="minorHAnsi" w:cstheme="minorHAnsi"/>
                <w:sz w:val="22"/>
                <w:szCs w:val="24"/>
              </w:rPr>
              <w:t>Prevention of bleeds</w:t>
            </w:r>
          </w:p>
          <w:p w14:paraId="2F7FB6D9" w14:textId="18EEF85F" w:rsidR="00F359A2" w:rsidRPr="00215C86" w:rsidRDefault="00F359A2" w:rsidP="006F71F1">
            <w:pPr>
              <w:pStyle w:val="TableText0"/>
              <w:numPr>
                <w:ilvl w:val="0"/>
                <w:numId w:val="34"/>
              </w:numPr>
              <w:rPr>
                <w:rFonts w:asciiTheme="minorHAnsi" w:hAnsiTheme="minorHAnsi" w:cstheme="minorHAnsi"/>
                <w:sz w:val="22"/>
                <w:szCs w:val="24"/>
              </w:rPr>
            </w:pPr>
            <w:r w:rsidRPr="00215C86">
              <w:rPr>
                <w:rFonts w:asciiTheme="minorHAnsi" w:hAnsiTheme="minorHAnsi" w:cstheme="minorHAnsi"/>
                <w:sz w:val="22"/>
                <w:szCs w:val="24"/>
              </w:rPr>
              <w:t>Secondary effectiveness</w:t>
            </w:r>
          </w:p>
          <w:p w14:paraId="51966033" w14:textId="5355AF1D" w:rsidR="00F359A2" w:rsidRPr="00215C86" w:rsidRDefault="00F359A2" w:rsidP="006F71F1">
            <w:pPr>
              <w:pStyle w:val="TableText0"/>
              <w:numPr>
                <w:ilvl w:val="1"/>
                <w:numId w:val="34"/>
              </w:numPr>
              <w:rPr>
                <w:rFonts w:asciiTheme="minorHAnsi" w:hAnsiTheme="minorHAnsi" w:cstheme="minorHAnsi"/>
                <w:sz w:val="22"/>
                <w:szCs w:val="24"/>
              </w:rPr>
            </w:pPr>
            <w:r w:rsidRPr="00215C86">
              <w:rPr>
                <w:rFonts w:asciiTheme="minorHAnsi" w:hAnsiTheme="minorHAnsi" w:cstheme="minorHAnsi"/>
                <w:sz w:val="22"/>
                <w:szCs w:val="24"/>
              </w:rPr>
              <w:t>Responder status</w:t>
            </w:r>
          </w:p>
          <w:p w14:paraId="10F5554E" w14:textId="44B30735" w:rsidR="00F359A2" w:rsidRPr="00215C86" w:rsidRDefault="00F359A2" w:rsidP="006F71F1">
            <w:pPr>
              <w:pStyle w:val="TableText0"/>
              <w:numPr>
                <w:ilvl w:val="1"/>
                <w:numId w:val="34"/>
              </w:numPr>
              <w:rPr>
                <w:rFonts w:asciiTheme="minorHAnsi" w:hAnsiTheme="minorHAnsi" w:cstheme="minorHAnsi"/>
                <w:sz w:val="22"/>
                <w:szCs w:val="24"/>
              </w:rPr>
            </w:pPr>
            <w:r w:rsidRPr="00215C86">
              <w:rPr>
                <w:rFonts w:asciiTheme="minorHAnsi" w:hAnsiTheme="minorHAnsi" w:cstheme="minorHAnsi"/>
                <w:sz w:val="22"/>
                <w:szCs w:val="24"/>
              </w:rPr>
              <w:t>Other bleeding related outcomes such as: number of joint bleeds over time</w:t>
            </w:r>
            <w:r w:rsidR="004A1FE4">
              <w:rPr>
                <w:rFonts w:asciiTheme="minorHAnsi" w:hAnsiTheme="minorHAnsi" w:cstheme="minorHAnsi"/>
                <w:sz w:val="22"/>
                <w:szCs w:val="24"/>
              </w:rPr>
              <w:t>;</w:t>
            </w:r>
            <w:r w:rsidRPr="00215C86">
              <w:rPr>
                <w:rFonts w:asciiTheme="minorHAnsi" w:hAnsiTheme="minorHAnsi" w:cstheme="minorHAnsi"/>
                <w:sz w:val="22"/>
                <w:szCs w:val="24"/>
              </w:rPr>
              <w:t xml:space="preserve"> number of target joint bleeds over time</w:t>
            </w:r>
            <w:r w:rsidR="004A1FE4">
              <w:rPr>
                <w:rFonts w:asciiTheme="minorHAnsi" w:hAnsiTheme="minorHAnsi" w:cstheme="minorHAnsi"/>
                <w:sz w:val="22"/>
                <w:szCs w:val="24"/>
              </w:rPr>
              <w:t>;</w:t>
            </w:r>
            <w:r w:rsidRPr="00215C86">
              <w:rPr>
                <w:rFonts w:asciiTheme="minorHAnsi" w:hAnsiTheme="minorHAnsi" w:cstheme="minorHAnsi"/>
                <w:sz w:val="22"/>
                <w:szCs w:val="24"/>
              </w:rPr>
              <w:t xml:space="preserve"> individual bleed rate compared to historical bleed rate</w:t>
            </w:r>
            <w:r w:rsidR="004A1FE4">
              <w:rPr>
                <w:rFonts w:asciiTheme="minorHAnsi" w:hAnsiTheme="minorHAnsi" w:cstheme="minorHAnsi"/>
                <w:sz w:val="22"/>
                <w:szCs w:val="24"/>
              </w:rPr>
              <w:t>;</w:t>
            </w:r>
            <w:r w:rsidRPr="00215C86">
              <w:rPr>
                <w:rFonts w:asciiTheme="minorHAnsi" w:hAnsiTheme="minorHAnsi" w:cstheme="minorHAnsi"/>
                <w:sz w:val="22"/>
                <w:szCs w:val="24"/>
              </w:rPr>
              <w:t xml:space="preserve"> and number of treated bleeds per month or year.</w:t>
            </w:r>
          </w:p>
          <w:p w14:paraId="7EE65A40" w14:textId="45A3433F" w:rsidR="004D168C" w:rsidRPr="00215C86" w:rsidRDefault="004D168C" w:rsidP="006F71F1">
            <w:pPr>
              <w:pStyle w:val="TableText0"/>
              <w:numPr>
                <w:ilvl w:val="1"/>
                <w:numId w:val="34"/>
              </w:numPr>
              <w:rPr>
                <w:rFonts w:asciiTheme="minorHAnsi" w:hAnsiTheme="minorHAnsi" w:cstheme="minorHAnsi"/>
                <w:sz w:val="22"/>
                <w:szCs w:val="24"/>
              </w:rPr>
            </w:pPr>
            <w:r>
              <w:rPr>
                <w:rFonts w:asciiTheme="minorHAnsi" w:hAnsiTheme="minorHAnsi" w:cstheme="minorHAnsi"/>
                <w:sz w:val="22"/>
                <w:szCs w:val="24"/>
              </w:rPr>
              <w:t>Perioperative use of therapy and outcomes</w:t>
            </w:r>
          </w:p>
          <w:p w14:paraId="2ED63D78" w14:textId="4C36A3F8" w:rsidR="00F359A2" w:rsidRPr="00215C86" w:rsidRDefault="00F359A2" w:rsidP="006F71F1">
            <w:pPr>
              <w:pStyle w:val="TableText0"/>
              <w:numPr>
                <w:ilvl w:val="1"/>
                <w:numId w:val="34"/>
              </w:numPr>
              <w:rPr>
                <w:rFonts w:asciiTheme="minorHAnsi" w:hAnsiTheme="minorHAnsi" w:cstheme="minorHAnsi"/>
                <w:sz w:val="22"/>
                <w:szCs w:val="24"/>
              </w:rPr>
            </w:pPr>
            <w:r w:rsidRPr="00215C86">
              <w:rPr>
                <w:rFonts w:asciiTheme="minorHAnsi" w:hAnsiTheme="minorHAnsi" w:cstheme="minorHAnsi"/>
                <w:sz w:val="22"/>
                <w:szCs w:val="24"/>
              </w:rPr>
              <w:t>Health-related quality of life</w:t>
            </w:r>
            <w:r w:rsidR="004D1CDB" w:rsidRPr="00215C86">
              <w:rPr>
                <w:rFonts w:asciiTheme="minorHAnsi" w:hAnsiTheme="minorHAnsi" w:cstheme="minorHAnsi"/>
                <w:sz w:val="22"/>
                <w:szCs w:val="24"/>
              </w:rPr>
              <w:t xml:space="preserve"> </w:t>
            </w:r>
          </w:p>
          <w:p w14:paraId="6C00FDE8" w14:textId="50A9A1F6" w:rsidR="00F359A2" w:rsidRPr="00215C86" w:rsidRDefault="00F359A2" w:rsidP="00E0525E">
            <w:pPr>
              <w:pStyle w:val="TableText0"/>
              <w:numPr>
                <w:ilvl w:val="1"/>
                <w:numId w:val="34"/>
              </w:numPr>
              <w:ind w:left="1434" w:hanging="357"/>
              <w:rPr>
                <w:rFonts w:asciiTheme="minorHAnsi" w:hAnsiTheme="minorHAnsi" w:cstheme="minorHAnsi"/>
                <w:sz w:val="22"/>
                <w:szCs w:val="24"/>
              </w:rPr>
            </w:pPr>
            <w:r w:rsidRPr="00215C86">
              <w:rPr>
                <w:rFonts w:asciiTheme="minorHAnsi" w:hAnsiTheme="minorHAnsi" w:cstheme="minorHAnsi"/>
                <w:sz w:val="22"/>
                <w:szCs w:val="24"/>
              </w:rPr>
              <w:t>Joint health outcomes</w:t>
            </w:r>
          </w:p>
          <w:p w14:paraId="7D199AE6" w14:textId="1C663C3C" w:rsidR="00F359A2" w:rsidRPr="00215C86" w:rsidRDefault="00F359A2" w:rsidP="00E0525E">
            <w:pPr>
              <w:pStyle w:val="TableText0"/>
              <w:numPr>
                <w:ilvl w:val="1"/>
                <w:numId w:val="34"/>
              </w:numPr>
              <w:ind w:left="1434" w:hanging="357"/>
              <w:rPr>
                <w:rFonts w:asciiTheme="minorHAnsi" w:hAnsiTheme="minorHAnsi" w:cstheme="minorHAnsi"/>
                <w:sz w:val="22"/>
                <w:szCs w:val="24"/>
              </w:rPr>
            </w:pPr>
            <w:r w:rsidRPr="00215C86">
              <w:rPr>
                <w:rFonts w:asciiTheme="minorHAnsi" w:hAnsiTheme="minorHAnsi" w:cstheme="minorHAnsi"/>
                <w:sz w:val="22"/>
                <w:szCs w:val="24"/>
              </w:rPr>
              <w:t>Chronic pain associated with haemophilia</w:t>
            </w:r>
          </w:p>
          <w:p w14:paraId="5A585FDD" w14:textId="2FE832C4" w:rsidR="00F359A2" w:rsidRPr="00215C86" w:rsidRDefault="00F359A2" w:rsidP="00E0525E">
            <w:pPr>
              <w:pStyle w:val="TableText0"/>
              <w:numPr>
                <w:ilvl w:val="1"/>
                <w:numId w:val="34"/>
              </w:numPr>
              <w:ind w:left="1434" w:hanging="357"/>
              <w:rPr>
                <w:rFonts w:asciiTheme="minorHAnsi" w:hAnsiTheme="minorHAnsi" w:cstheme="minorHAnsi"/>
                <w:sz w:val="22"/>
                <w:szCs w:val="24"/>
              </w:rPr>
            </w:pPr>
            <w:r w:rsidRPr="00215C86">
              <w:rPr>
                <w:rFonts w:asciiTheme="minorHAnsi" w:hAnsiTheme="minorHAnsi" w:cstheme="minorHAnsi"/>
                <w:sz w:val="22"/>
                <w:szCs w:val="24"/>
              </w:rPr>
              <w:t>Number of missed days of work/activity/school</w:t>
            </w:r>
          </w:p>
          <w:p w14:paraId="0B629A4C" w14:textId="77777777" w:rsidR="00F359A2" w:rsidRPr="00215C86" w:rsidRDefault="00F359A2" w:rsidP="00E54115">
            <w:pPr>
              <w:pStyle w:val="TableText0"/>
              <w:rPr>
                <w:rFonts w:asciiTheme="minorHAnsi" w:hAnsiTheme="minorHAnsi" w:cstheme="minorHAnsi"/>
                <w:sz w:val="22"/>
                <w:szCs w:val="24"/>
              </w:rPr>
            </w:pPr>
            <w:r w:rsidRPr="00215C86">
              <w:rPr>
                <w:rFonts w:asciiTheme="minorHAnsi" w:hAnsiTheme="minorHAnsi" w:cstheme="minorHAnsi"/>
                <w:sz w:val="22"/>
                <w:szCs w:val="24"/>
              </w:rPr>
              <w:t>Healthcare resources</w:t>
            </w:r>
          </w:p>
          <w:p w14:paraId="2A59EB84" w14:textId="5F65BFB5" w:rsidR="00F359A2" w:rsidRPr="00215C86" w:rsidRDefault="00F359A2" w:rsidP="006F71F1">
            <w:pPr>
              <w:pStyle w:val="TableText0"/>
              <w:numPr>
                <w:ilvl w:val="0"/>
                <w:numId w:val="33"/>
              </w:numPr>
              <w:rPr>
                <w:rFonts w:asciiTheme="minorHAnsi" w:hAnsiTheme="minorHAnsi" w:cstheme="minorHAnsi"/>
                <w:sz w:val="22"/>
                <w:szCs w:val="24"/>
              </w:rPr>
            </w:pPr>
            <w:r w:rsidRPr="00215C86">
              <w:rPr>
                <w:rFonts w:asciiTheme="minorHAnsi" w:hAnsiTheme="minorHAnsi" w:cstheme="minorHAnsi"/>
                <w:sz w:val="22"/>
                <w:szCs w:val="24"/>
              </w:rPr>
              <w:t>Costs of delivering the intervention</w:t>
            </w:r>
          </w:p>
          <w:p w14:paraId="56ACF793" w14:textId="090C91FC" w:rsidR="00F359A2" w:rsidRPr="00215C86" w:rsidRDefault="00F359A2" w:rsidP="006F71F1">
            <w:pPr>
              <w:pStyle w:val="TableText0"/>
              <w:numPr>
                <w:ilvl w:val="0"/>
                <w:numId w:val="33"/>
              </w:numPr>
              <w:rPr>
                <w:rFonts w:asciiTheme="minorHAnsi" w:hAnsiTheme="minorHAnsi" w:cstheme="minorHAnsi"/>
                <w:sz w:val="22"/>
                <w:szCs w:val="24"/>
              </w:rPr>
            </w:pPr>
            <w:r w:rsidRPr="00215C86">
              <w:rPr>
                <w:rFonts w:asciiTheme="minorHAnsi" w:hAnsiTheme="minorHAnsi" w:cstheme="minorHAnsi"/>
                <w:sz w:val="22"/>
                <w:szCs w:val="24"/>
              </w:rPr>
              <w:t>Costs of managing adverse events or breakthrough bleeding</w:t>
            </w:r>
          </w:p>
          <w:p w14:paraId="144D2FD6" w14:textId="17BEE5AC" w:rsidR="003D64C3" w:rsidRPr="00215C86" w:rsidRDefault="003D64C3" w:rsidP="003D64C3">
            <w:pPr>
              <w:pStyle w:val="TableText0"/>
              <w:numPr>
                <w:ilvl w:val="0"/>
                <w:numId w:val="33"/>
              </w:numPr>
              <w:rPr>
                <w:rFonts w:asciiTheme="minorHAnsi" w:hAnsiTheme="minorHAnsi" w:cstheme="minorHAnsi"/>
                <w:sz w:val="22"/>
                <w:szCs w:val="24"/>
              </w:rPr>
            </w:pPr>
            <w:r w:rsidRPr="00215C86">
              <w:rPr>
                <w:rFonts w:asciiTheme="minorHAnsi" w:hAnsiTheme="minorHAnsi" w:cstheme="minorHAnsi"/>
                <w:sz w:val="22"/>
                <w:szCs w:val="24"/>
              </w:rPr>
              <w:t>Cost offsets</w:t>
            </w:r>
          </w:p>
          <w:p w14:paraId="2DA19C04" w14:textId="2C320ADB" w:rsidR="00E01349" w:rsidRPr="00215C86" w:rsidRDefault="00F359A2" w:rsidP="006F71F1">
            <w:pPr>
              <w:pStyle w:val="TableText0"/>
              <w:numPr>
                <w:ilvl w:val="0"/>
                <w:numId w:val="33"/>
              </w:numPr>
              <w:rPr>
                <w:rFonts w:asciiTheme="minorHAnsi" w:hAnsiTheme="minorHAnsi" w:cstheme="minorHAnsi"/>
                <w:sz w:val="22"/>
                <w:szCs w:val="24"/>
              </w:rPr>
            </w:pPr>
            <w:r w:rsidRPr="00215C86">
              <w:rPr>
                <w:rFonts w:asciiTheme="minorHAnsi" w:hAnsiTheme="minorHAnsi" w:cstheme="minorHAnsi"/>
                <w:sz w:val="22"/>
                <w:szCs w:val="24"/>
              </w:rPr>
              <w:t xml:space="preserve">Cost per </w:t>
            </w:r>
            <w:r w:rsidR="00C541E0">
              <w:rPr>
                <w:rFonts w:asciiTheme="minorHAnsi" w:hAnsiTheme="minorHAnsi" w:cstheme="minorHAnsi"/>
                <w:sz w:val="22"/>
                <w:szCs w:val="24"/>
              </w:rPr>
              <w:t>q</w:t>
            </w:r>
            <w:r w:rsidRPr="00215C86">
              <w:rPr>
                <w:rFonts w:asciiTheme="minorHAnsi" w:hAnsiTheme="minorHAnsi" w:cstheme="minorHAnsi"/>
                <w:sz w:val="22"/>
                <w:szCs w:val="24"/>
              </w:rPr>
              <w:t>uality</w:t>
            </w:r>
            <w:r w:rsidR="00AD34D4" w:rsidRPr="00215C86">
              <w:rPr>
                <w:rFonts w:asciiTheme="minorHAnsi" w:hAnsiTheme="minorHAnsi" w:cstheme="minorHAnsi"/>
                <w:sz w:val="22"/>
                <w:szCs w:val="24"/>
              </w:rPr>
              <w:t>-</w:t>
            </w:r>
            <w:r w:rsidR="00C541E0">
              <w:rPr>
                <w:rFonts w:asciiTheme="minorHAnsi" w:hAnsiTheme="minorHAnsi" w:cstheme="minorHAnsi"/>
                <w:sz w:val="22"/>
                <w:szCs w:val="24"/>
              </w:rPr>
              <w:t>a</w:t>
            </w:r>
            <w:r w:rsidRPr="00215C86">
              <w:rPr>
                <w:rFonts w:asciiTheme="minorHAnsi" w:hAnsiTheme="minorHAnsi" w:cstheme="minorHAnsi"/>
                <w:sz w:val="22"/>
                <w:szCs w:val="24"/>
              </w:rPr>
              <w:t xml:space="preserve">djusted </w:t>
            </w:r>
            <w:r w:rsidR="00C541E0">
              <w:rPr>
                <w:rFonts w:asciiTheme="minorHAnsi" w:hAnsiTheme="minorHAnsi" w:cstheme="minorHAnsi"/>
                <w:sz w:val="22"/>
                <w:szCs w:val="24"/>
              </w:rPr>
              <w:t>l</w:t>
            </w:r>
            <w:r w:rsidRPr="00215C86">
              <w:rPr>
                <w:rFonts w:asciiTheme="minorHAnsi" w:hAnsiTheme="minorHAnsi" w:cstheme="minorHAnsi"/>
                <w:sz w:val="22"/>
                <w:szCs w:val="24"/>
              </w:rPr>
              <w:t>ife</w:t>
            </w:r>
            <w:r w:rsidR="00AD34D4" w:rsidRPr="00215C86">
              <w:rPr>
                <w:rFonts w:asciiTheme="minorHAnsi" w:hAnsiTheme="minorHAnsi" w:cstheme="minorHAnsi"/>
                <w:sz w:val="22"/>
                <w:szCs w:val="24"/>
              </w:rPr>
              <w:t xml:space="preserve"> </w:t>
            </w:r>
            <w:r w:rsidR="00C541E0">
              <w:rPr>
                <w:rFonts w:asciiTheme="minorHAnsi" w:hAnsiTheme="minorHAnsi" w:cstheme="minorHAnsi"/>
                <w:sz w:val="22"/>
                <w:szCs w:val="24"/>
              </w:rPr>
              <w:t>y</w:t>
            </w:r>
            <w:r w:rsidRPr="00215C86">
              <w:rPr>
                <w:rFonts w:asciiTheme="minorHAnsi" w:hAnsiTheme="minorHAnsi" w:cstheme="minorHAnsi"/>
                <w:sz w:val="22"/>
                <w:szCs w:val="24"/>
              </w:rPr>
              <w:t>ear (QALY) gained</w:t>
            </w:r>
            <w:bookmarkEnd w:id="3"/>
          </w:p>
          <w:p w14:paraId="471FE89A" w14:textId="77777777" w:rsidR="008C40A5" w:rsidRPr="00215C86" w:rsidRDefault="008C40A5" w:rsidP="008C40A5">
            <w:pPr>
              <w:pStyle w:val="TableText0"/>
              <w:rPr>
                <w:rFonts w:asciiTheme="minorHAnsi" w:hAnsiTheme="minorHAnsi" w:cstheme="minorHAnsi"/>
                <w:sz w:val="22"/>
                <w:szCs w:val="24"/>
              </w:rPr>
            </w:pPr>
            <w:r w:rsidRPr="00215C86">
              <w:rPr>
                <w:rFonts w:asciiTheme="minorHAnsi" w:hAnsiTheme="minorHAnsi" w:cstheme="minorHAnsi"/>
                <w:sz w:val="22"/>
                <w:szCs w:val="24"/>
              </w:rPr>
              <w:t>Total Australian government healthcare costs</w:t>
            </w:r>
          </w:p>
          <w:p w14:paraId="710F0BD6" w14:textId="77777777" w:rsidR="008C40A5" w:rsidRPr="00215C86" w:rsidRDefault="008C40A5" w:rsidP="008C40A5">
            <w:pPr>
              <w:pStyle w:val="TableText0"/>
              <w:numPr>
                <w:ilvl w:val="0"/>
                <w:numId w:val="40"/>
              </w:numPr>
              <w:rPr>
                <w:rFonts w:asciiTheme="minorHAnsi" w:hAnsiTheme="minorHAnsi" w:cstheme="minorHAnsi"/>
                <w:sz w:val="22"/>
                <w:szCs w:val="24"/>
              </w:rPr>
            </w:pPr>
            <w:r w:rsidRPr="00215C86">
              <w:rPr>
                <w:rFonts w:asciiTheme="minorHAnsi" w:hAnsiTheme="minorHAnsi" w:cstheme="minorHAnsi"/>
                <w:sz w:val="22"/>
                <w:szCs w:val="24"/>
              </w:rPr>
              <w:t>Total cost to the National Blood Authority (NBA)</w:t>
            </w:r>
          </w:p>
          <w:p w14:paraId="6F9242D7" w14:textId="70D3AFBF" w:rsidR="008C40A5" w:rsidRPr="00215C86" w:rsidRDefault="008C40A5" w:rsidP="008C40A5">
            <w:pPr>
              <w:pStyle w:val="TableText0"/>
              <w:numPr>
                <w:ilvl w:val="0"/>
                <w:numId w:val="40"/>
              </w:numPr>
              <w:rPr>
                <w:rFonts w:asciiTheme="minorHAnsi" w:hAnsiTheme="minorHAnsi" w:cstheme="minorHAnsi"/>
                <w:sz w:val="22"/>
                <w:szCs w:val="24"/>
              </w:rPr>
            </w:pPr>
            <w:r w:rsidRPr="00215C86">
              <w:rPr>
                <w:rFonts w:asciiTheme="minorHAnsi" w:hAnsiTheme="minorHAnsi" w:cstheme="minorHAnsi"/>
                <w:sz w:val="22"/>
                <w:szCs w:val="24"/>
              </w:rPr>
              <w:t>Total cost to other government health budgets</w:t>
            </w:r>
          </w:p>
        </w:tc>
      </w:tr>
      <w:tr w:rsidR="00BB1698" w:rsidRPr="00583A0D" w14:paraId="4A55FFDB" w14:textId="77777777" w:rsidTr="006478E7">
        <w:tc>
          <w:tcPr>
            <w:tcW w:w="1005" w:type="pct"/>
            <w:tcBorders>
              <w:top w:val="single" w:sz="4" w:space="0" w:color="auto"/>
              <w:left w:val="single" w:sz="8" w:space="0" w:color="auto"/>
              <w:bottom w:val="single" w:sz="8" w:space="0" w:color="auto"/>
              <w:right w:val="single" w:sz="4" w:space="0" w:color="auto"/>
            </w:tcBorders>
          </w:tcPr>
          <w:p w14:paraId="003B36EC" w14:textId="77777777" w:rsidR="00BB1698" w:rsidRPr="00215C86" w:rsidRDefault="00BB1698" w:rsidP="00E54115">
            <w:pPr>
              <w:pStyle w:val="TableText0"/>
              <w:rPr>
                <w:rFonts w:asciiTheme="minorHAnsi" w:hAnsiTheme="minorHAnsi" w:cstheme="minorHAnsi"/>
                <w:sz w:val="22"/>
                <w:szCs w:val="24"/>
              </w:rPr>
            </w:pPr>
            <w:r w:rsidRPr="00215C86">
              <w:rPr>
                <w:rFonts w:asciiTheme="minorHAnsi" w:hAnsiTheme="minorHAnsi" w:cstheme="minorHAnsi"/>
                <w:sz w:val="22"/>
                <w:szCs w:val="24"/>
              </w:rPr>
              <w:lastRenderedPageBreak/>
              <w:t>Assessment questions</w:t>
            </w:r>
          </w:p>
        </w:tc>
        <w:tc>
          <w:tcPr>
            <w:tcW w:w="3995" w:type="pct"/>
            <w:tcBorders>
              <w:top w:val="single" w:sz="4" w:space="0" w:color="auto"/>
              <w:left w:val="single" w:sz="4" w:space="0" w:color="auto"/>
              <w:bottom w:val="single" w:sz="4" w:space="0" w:color="auto"/>
              <w:right w:val="single" w:sz="4" w:space="0" w:color="auto"/>
            </w:tcBorders>
          </w:tcPr>
          <w:p w14:paraId="7AB69A9A" w14:textId="151D7374" w:rsidR="00BB1698" w:rsidRPr="00215C86" w:rsidRDefault="00BB1698" w:rsidP="00E54115">
            <w:pPr>
              <w:pStyle w:val="TableText0"/>
              <w:rPr>
                <w:rFonts w:asciiTheme="minorHAnsi" w:hAnsiTheme="minorHAnsi" w:cstheme="minorHAnsi"/>
                <w:color w:val="000000" w:themeColor="text1"/>
                <w:sz w:val="22"/>
                <w:szCs w:val="24"/>
              </w:rPr>
            </w:pPr>
            <w:r w:rsidRPr="00215C86">
              <w:rPr>
                <w:rFonts w:asciiTheme="minorHAnsi" w:hAnsiTheme="minorHAnsi" w:cstheme="minorHAnsi"/>
                <w:color w:val="000000" w:themeColor="text1"/>
                <w:sz w:val="22"/>
                <w:szCs w:val="24"/>
              </w:rPr>
              <w:t>What is the safety, effectiveness and cost-effectiveness of</w:t>
            </w:r>
            <w:r w:rsidR="00B53BB7" w:rsidRPr="00215C86">
              <w:rPr>
                <w:rFonts w:asciiTheme="minorHAnsi" w:hAnsiTheme="minorHAnsi" w:cstheme="minorHAnsi"/>
                <w:color w:val="000000" w:themeColor="text1"/>
                <w:sz w:val="22"/>
                <w:szCs w:val="24"/>
              </w:rPr>
              <w:t xml:space="preserve"> prophylaxis with</w:t>
            </w:r>
            <w:r w:rsidRPr="00215C86">
              <w:rPr>
                <w:rFonts w:asciiTheme="minorHAnsi" w:hAnsiTheme="minorHAnsi" w:cstheme="minorHAnsi"/>
                <w:color w:val="000000" w:themeColor="text1"/>
                <w:sz w:val="22"/>
                <w:szCs w:val="24"/>
              </w:rPr>
              <w:t xml:space="preserve"> </w:t>
            </w:r>
            <w:r w:rsidR="00034AF8" w:rsidRPr="00215C86">
              <w:rPr>
                <w:rFonts w:asciiTheme="minorHAnsi" w:hAnsiTheme="minorHAnsi" w:cstheme="minorHAnsi"/>
                <w:color w:val="000000" w:themeColor="text1"/>
                <w:sz w:val="22"/>
                <w:szCs w:val="24"/>
              </w:rPr>
              <w:t>concizumab</w:t>
            </w:r>
            <w:r w:rsidR="00B53BB7" w:rsidRPr="00215C86">
              <w:rPr>
                <w:rFonts w:asciiTheme="minorHAnsi" w:hAnsiTheme="minorHAnsi" w:cstheme="minorHAnsi"/>
                <w:color w:val="000000" w:themeColor="text1"/>
                <w:sz w:val="22"/>
                <w:szCs w:val="24"/>
              </w:rPr>
              <w:t xml:space="preserve"> plus on</w:t>
            </w:r>
            <w:r w:rsidR="00F738A6" w:rsidRPr="00215C86">
              <w:rPr>
                <w:rFonts w:asciiTheme="minorHAnsi" w:hAnsiTheme="minorHAnsi" w:cstheme="minorHAnsi"/>
                <w:color w:val="000000" w:themeColor="text1"/>
                <w:sz w:val="22"/>
                <w:szCs w:val="24"/>
              </w:rPr>
              <w:t xml:space="preserve"> </w:t>
            </w:r>
            <w:r w:rsidR="00B53BB7" w:rsidRPr="00215C86">
              <w:rPr>
                <w:rFonts w:asciiTheme="minorHAnsi" w:hAnsiTheme="minorHAnsi" w:cstheme="minorHAnsi"/>
                <w:color w:val="000000" w:themeColor="text1"/>
                <w:sz w:val="22"/>
                <w:szCs w:val="24"/>
              </w:rPr>
              <w:t>demand BPAs</w:t>
            </w:r>
            <w:r w:rsidRPr="00215C86">
              <w:rPr>
                <w:rFonts w:asciiTheme="minorHAnsi" w:hAnsiTheme="minorHAnsi" w:cstheme="minorHAnsi"/>
                <w:color w:val="000000" w:themeColor="text1"/>
                <w:sz w:val="22"/>
                <w:szCs w:val="24"/>
              </w:rPr>
              <w:t xml:space="preserve"> versus </w:t>
            </w:r>
            <w:r w:rsidR="00A86B78" w:rsidRPr="00215C86">
              <w:rPr>
                <w:rFonts w:asciiTheme="minorHAnsi" w:hAnsiTheme="minorHAnsi" w:cstheme="minorHAnsi"/>
                <w:color w:val="000000" w:themeColor="text1"/>
                <w:sz w:val="22"/>
                <w:szCs w:val="24"/>
              </w:rPr>
              <w:t>on demand BPAs</w:t>
            </w:r>
            <w:r w:rsidRPr="00215C86">
              <w:rPr>
                <w:rFonts w:asciiTheme="minorHAnsi" w:hAnsiTheme="minorHAnsi" w:cstheme="minorHAnsi"/>
                <w:color w:val="000000" w:themeColor="text1"/>
                <w:sz w:val="22"/>
                <w:szCs w:val="24"/>
              </w:rPr>
              <w:t xml:space="preserve"> </w:t>
            </w:r>
            <w:r w:rsidR="0054146E" w:rsidRPr="00215C86">
              <w:rPr>
                <w:rFonts w:asciiTheme="minorHAnsi" w:hAnsiTheme="minorHAnsi" w:cstheme="minorHAnsi"/>
                <w:color w:val="000000" w:themeColor="text1"/>
                <w:sz w:val="22"/>
                <w:szCs w:val="24"/>
              </w:rPr>
              <w:t xml:space="preserve">+/- short-term prophylaxis with rFVIIa </w:t>
            </w:r>
            <w:r w:rsidRPr="00215C86">
              <w:rPr>
                <w:rFonts w:asciiTheme="minorHAnsi" w:hAnsiTheme="minorHAnsi" w:cstheme="minorHAnsi"/>
                <w:color w:val="000000" w:themeColor="text1"/>
                <w:sz w:val="22"/>
                <w:szCs w:val="24"/>
              </w:rPr>
              <w:t xml:space="preserve">in </w:t>
            </w:r>
            <w:r w:rsidR="00A86B78" w:rsidRPr="00215C86">
              <w:rPr>
                <w:rFonts w:asciiTheme="minorHAnsi" w:hAnsiTheme="minorHAnsi" w:cstheme="minorHAnsi"/>
                <w:color w:val="000000" w:themeColor="text1"/>
                <w:sz w:val="22"/>
                <w:szCs w:val="24"/>
              </w:rPr>
              <w:t xml:space="preserve">patients aged </w:t>
            </w:r>
            <w:r w:rsidR="00894FA1" w:rsidRPr="00215C86">
              <w:rPr>
                <w:rFonts w:asciiTheme="minorHAnsi" w:hAnsiTheme="minorHAnsi" w:cstheme="minorHAnsi"/>
                <w:color w:val="000000" w:themeColor="text1"/>
                <w:sz w:val="22"/>
                <w:szCs w:val="24"/>
              </w:rPr>
              <w:t>≥</w:t>
            </w:r>
            <w:r w:rsidR="00A86B78" w:rsidRPr="00215C86">
              <w:rPr>
                <w:rFonts w:asciiTheme="minorHAnsi" w:hAnsiTheme="minorHAnsi" w:cstheme="minorHAnsi"/>
                <w:color w:val="000000" w:themeColor="text1"/>
                <w:sz w:val="22"/>
                <w:szCs w:val="24"/>
              </w:rPr>
              <w:t xml:space="preserve">12 years with cHMB </w:t>
            </w:r>
            <w:r w:rsidR="004162E9" w:rsidRPr="00215C86">
              <w:rPr>
                <w:rFonts w:asciiTheme="minorHAnsi" w:hAnsiTheme="minorHAnsi" w:cstheme="minorHAnsi"/>
                <w:color w:val="000000" w:themeColor="text1"/>
                <w:sz w:val="22"/>
                <w:szCs w:val="24"/>
              </w:rPr>
              <w:t>and FIX inhibitors</w:t>
            </w:r>
            <w:r w:rsidRPr="00215C86">
              <w:rPr>
                <w:rFonts w:asciiTheme="minorHAnsi" w:hAnsiTheme="minorHAnsi" w:cstheme="minorHAnsi"/>
                <w:color w:val="000000" w:themeColor="text1"/>
                <w:sz w:val="22"/>
                <w:szCs w:val="24"/>
              </w:rPr>
              <w:t>?</w:t>
            </w:r>
          </w:p>
        </w:tc>
      </w:tr>
    </w:tbl>
    <w:p w14:paraId="5D5376EF" w14:textId="56FCCB3D" w:rsidR="006478E7" w:rsidRPr="00490FBB" w:rsidRDefault="006478E7" w:rsidP="00215C86">
      <w:pPr>
        <w:spacing w:after="0"/>
      </w:pPr>
    </w:p>
    <w:p w14:paraId="53297713" w14:textId="0DA7B658" w:rsidR="00912660" w:rsidRDefault="00912660" w:rsidP="00713728">
      <w:pPr>
        <w:pStyle w:val="Heading2"/>
      </w:pPr>
      <w:r>
        <w:t>Purpose of application</w:t>
      </w:r>
    </w:p>
    <w:p w14:paraId="0E65AD1B" w14:textId="1C40242D" w:rsidR="004C2C5E" w:rsidRDefault="004C2C5E" w:rsidP="004C2C5E">
      <w:pPr>
        <w:spacing w:after="240"/>
      </w:pPr>
      <w:r>
        <w:t>An application requesting</w:t>
      </w:r>
      <w:r w:rsidR="00AC4762">
        <w:t xml:space="preserve"> </w:t>
      </w:r>
      <w:r w:rsidR="0020024B">
        <w:t>pub</w:t>
      </w:r>
      <w:r w:rsidR="004F00E7">
        <w:t xml:space="preserve">lic </w:t>
      </w:r>
      <w:r w:rsidR="00AC4762">
        <w:t xml:space="preserve">funding </w:t>
      </w:r>
      <w:r w:rsidR="00456DF9">
        <w:t xml:space="preserve">through listing on the National Blood Authority’s (NBA’s) National Product </w:t>
      </w:r>
      <w:r w:rsidR="1CF00D66">
        <w:t xml:space="preserve">Price </w:t>
      </w:r>
      <w:r w:rsidR="00456DF9">
        <w:t>List (NP</w:t>
      </w:r>
      <w:r w:rsidR="5DE549C8">
        <w:t>P</w:t>
      </w:r>
      <w:r w:rsidR="00456DF9">
        <w:t xml:space="preserve">L) </w:t>
      </w:r>
      <w:r>
        <w:t xml:space="preserve">of </w:t>
      </w:r>
      <w:r w:rsidR="00DE09CA">
        <w:t>c</w:t>
      </w:r>
      <w:r w:rsidR="00CA4640">
        <w:t>oncizumab</w:t>
      </w:r>
      <w:r w:rsidR="00405768">
        <w:t xml:space="preserve"> </w:t>
      </w:r>
      <w:r w:rsidR="000C3C72">
        <w:t xml:space="preserve">(Alhemo®) </w:t>
      </w:r>
      <w:r w:rsidR="00405768">
        <w:t xml:space="preserve">for routine prophylaxis to prevent bleeding in patients with </w:t>
      </w:r>
      <w:r w:rsidR="00392663">
        <w:t xml:space="preserve">congenital </w:t>
      </w:r>
      <w:r w:rsidR="0042540D">
        <w:t>H</w:t>
      </w:r>
      <w:r w:rsidR="00405768">
        <w:t>aem</w:t>
      </w:r>
      <w:r w:rsidR="0052321D">
        <w:t>ophilia B (</w:t>
      </w:r>
      <w:r w:rsidR="00392663">
        <w:t>c</w:t>
      </w:r>
      <w:r w:rsidR="0052321D">
        <w:t>HMB) with inhibitors</w:t>
      </w:r>
      <w:r>
        <w:t xml:space="preserve"> was received from </w:t>
      </w:r>
      <w:r w:rsidR="00CA4640">
        <w:t>Novo Nordisk Pharmaceuticals Pty Ltd</w:t>
      </w:r>
      <w:r>
        <w:t xml:space="preserve"> by the Department of Health.</w:t>
      </w:r>
    </w:p>
    <w:p w14:paraId="2C776899" w14:textId="722427D1" w:rsidR="004413B5" w:rsidRPr="001407CF" w:rsidRDefault="004413B5" w:rsidP="004413B5">
      <w:pPr>
        <w:spacing w:after="240"/>
      </w:pPr>
      <w:r>
        <w:t xml:space="preserve">Public funding for blood and blood-related products is facilitated via the National Blood Agreement and managed by the NBA on behalf of all governments. Schedule 4 of the Agreement provides for evidence-based evaluation and advice to governments to support decisions regarding changes to products funded under the </w:t>
      </w:r>
      <w:r w:rsidR="0866361C">
        <w:t>N</w:t>
      </w:r>
      <w:r>
        <w:t xml:space="preserve">ational </w:t>
      </w:r>
      <w:r w:rsidR="3150B745">
        <w:t>B</w:t>
      </w:r>
      <w:r>
        <w:t xml:space="preserve">lood </w:t>
      </w:r>
      <w:r w:rsidR="750172A1">
        <w:t>Agreement</w:t>
      </w:r>
      <w:r>
        <w:t xml:space="preserve">, including assessment by the </w:t>
      </w:r>
      <w:r w:rsidR="008D2120">
        <w:t>Medical Services Advisory Committee (</w:t>
      </w:r>
      <w:r>
        <w:t>MSAC</w:t>
      </w:r>
      <w:r w:rsidR="008D2120">
        <w:t>)</w:t>
      </w:r>
      <w:r>
        <w:t xml:space="preserve"> where required. </w:t>
      </w:r>
    </w:p>
    <w:p w14:paraId="31B268A7" w14:textId="22FFF3E3" w:rsidR="00002872" w:rsidRDefault="00CF79D6" w:rsidP="004C2C5E">
      <w:pPr>
        <w:spacing w:after="240"/>
        <w:rPr>
          <w:iCs/>
        </w:rPr>
      </w:pPr>
      <w:r>
        <w:rPr>
          <w:iCs/>
        </w:rPr>
        <w:t xml:space="preserve">The use of </w:t>
      </w:r>
      <w:r w:rsidR="0064153A">
        <w:rPr>
          <w:iCs/>
        </w:rPr>
        <w:t>c</w:t>
      </w:r>
      <w:r>
        <w:rPr>
          <w:iCs/>
        </w:rPr>
        <w:t xml:space="preserve">oncizumab is proposed to result in superior health outcomes </w:t>
      </w:r>
      <w:r w:rsidR="00002872">
        <w:rPr>
          <w:iCs/>
        </w:rPr>
        <w:t>(prevention and reduction of bleeds, improved quality of life) compared to the comparator.</w:t>
      </w:r>
    </w:p>
    <w:p w14:paraId="09F5D524" w14:textId="503C0EE6" w:rsidR="00CF79D6" w:rsidRPr="009A3778" w:rsidRDefault="00002872" w:rsidP="004C2C5E">
      <w:pPr>
        <w:spacing w:after="240"/>
        <w:rPr>
          <w:iCs/>
        </w:rPr>
      </w:pPr>
      <w:r>
        <w:rPr>
          <w:iCs/>
        </w:rPr>
        <w:t xml:space="preserve">The use of </w:t>
      </w:r>
      <w:r w:rsidR="0064153A">
        <w:rPr>
          <w:iCs/>
        </w:rPr>
        <w:t>c</w:t>
      </w:r>
      <w:r>
        <w:rPr>
          <w:iCs/>
        </w:rPr>
        <w:t>oncizumab is proposed to result in</w:t>
      </w:r>
      <w:r w:rsidR="00ED34A2">
        <w:rPr>
          <w:iCs/>
        </w:rPr>
        <w:t xml:space="preserve"> at least non-inferior </w:t>
      </w:r>
      <w:r w:rsidR="00B50762">
        <w:rPr>
          <w:iCs/>
        </w:rPr>
        <w:t>safety</w:t>
      </w:r>
      <w:r w:rsidR="002409DB">
        <w:rPr>
          <w:iCs/>
        </w:rPr>
        <w:t xml:space="preserve"> </w:t>
      </w:r>
      <w:r w:rsidR="004413B5">
        <w:rPr>
          <w:iCs/>
        </w:rPr>
        <w:t>compared</w:t>
      </w:r>
      <w:r w:rsidR="002409DB">
        <w:rPr>
          <w:iCs/>
        </w:rPr>
        <w:t xml:space="preserve"> to the comparator</w:t>
      </w:r>
      <w:r w:rsidR="00B50762">
        <w:rPr>
          <w:iCs/>
        </w:rPr>
        <w:t>.</w:t>
      </w:r>
    </w:p>
    <w:p w14:paraId="18E66948" w14:textId="77777777" w:rsidR="00D73332" w:rsidRPr="00FD4C65" w:rsidRDefault="00D73332" w:rsidP="00FD4C65">
      <w:pPr>
        <w:pStyle w:val="Heading2"/>
      </w:pPr>
      <w:r w:rsidRPr="00FD4C65">
        <w:t xml:space="preserve">PICO </w:t>
      </w:r>
      <w:r w:rsidR="00FD4E33" w:rsidRPr="00FD4C65">
        <w:t xml:space="preserve">criteria </w:t>
      </w:r>
    </w:p>
    <w:p w14:paraId="06B30611" w14:textId="77777777" w:rsidR="007D6B83" w:rsidRDefault="007D6B83" w:rsidP="007D6B83">
      <w:pPr>
        <w:pStyle w:val="Heading3"/>
      </w:pPr>
      <w:r w:rsidRPr="00713728">
        <w:t>Population</w:t>
      </w:r>
    </w:p>
    <w:p w14:paraId="76CE9397" w14:textId="3C55C81D" w:rsidR="00D30AB4" w:rsidRDefault="00DA0C92" w:rsidP="00D30AB4">
      <w:r>
        <w:t>The proposed population is</w:t>
      </w:r>
      <w:r w:rsidR="000A2119">
        <w:t xml:space="preserve"> adolescent and adult</w:t>
      </w:r>
      <w:r>
        <w:t xml:space="preserve"> patients </w:t>
      </w:r>
      <w:r w:rsidR="000A2119">
        <w:t>(</w:t>
      </w:r>
      <w:r w:rsidR="00392BB7">
        <w:rPr>
          <w:rFonts w:cs="Calibri"/>
        </w:rPr>
        <w:t>≥</w:t>
      </w:r>
      <w:r w:rsidR="00F55E03">
        <w:t>12 years</w:t>
      </w:r>
      <w:r w:rsidR="00DF336E">
        <w:t>)</w:t>
      </w:r>
      <w:r w:rsidR="00F55E03">
        <w:t xml:space="preserve"> </w:t>
      </w:r>
      <w:r>
        <w:t xml:space="preserve">with </w:t>
      </w:r>
      <w:r w:rsidR="00CA11CD">
        <w:t>c</w:t>
      </w:r>
      <w:r>
        <w:t>HMB</w:t>
      </w:r>
      <w:r w:rsidR="00F55E03">
        <w:t xml:space="preserve"> who a</w:t>
      </w:r>
      <w:r w:rsidR="00C32627">
        <w:t>re positive for</w:t>
      </w:r>
      <w:r w:rsidR="00A85F60">
        <w:t xml:space="preserve"> </w:t>
      </w:r>
      <w:r w:rsidR="00C32627">
        <w:t>Factor IX (FIX) inhibitors</w:t>
      </w:r>
      <w:r w:rsidR="00D30AB4">
        <w:t xml:space="preserve"> and </w:t>
      </w:r>
      <w:r w:rsidR="00564881">
        <w:t>where</w:t>
      </w:r>
      <w:r w:rsidR="00076E55" w:rsidRPr="00076E55">
        <w:t xml:space="preserve"> prophylaxis </w:t>
      </w:r>
      <w:r w:rsidR="00564881">
        <w:t xml:space="preserve">is required </w:t>
      </w:r>
      <w:r w:rsidR="00076E55" w:rsidRPr="00076E55">
        <w:t>to prevent or reduce the frequency of bleeding</w:t>
      </w:r>
      <w:r w:rsidR="00076E55">
        <w:t>.</w:t>
      </w:r>
    </w:p>
    <w:p w14:paraId="307FDF08" w14:textId="7FC1F884" w:rsidR="004E17B8" w:rsidRDefault="004E17B8" w:rsidP="00D30AB4">
      <w:r>
        <w:rPr>
          <w:rFonts w:asciiTheme="minorHAnsi" w:hAnsiTheme="minorHAnsi" w:cstheme="minorHAnsi"/>
          <w:i/>
          <w:iCs/>
        </w:rPr>
        <w:t xml:space="preserve">PASC noted and accepted the applicant’s comments on the pre-PASC PICO that the population requiring </w:t>
      </w:r>
      <w:r w:rsidRPr="004069F3">
        <w:rPr>
          <w:rFonts w:asciiTheme="minorHAnsi" w:hAnsiTheme="minorHAnsi" w:cstheme="minorHAnsi"/>
          <w:i/>
          <w:iCs/>
        </w:rPr>
        <w:t>short-term peri-operative prophylaxis</w:t>
      </w:r>
      <w:r>
        <w:rPr>
          <w:rFonts w:asciiTheme="minorHAnsi" w:hAnsiTheme="minorHAnsi" w:cstheme="minorHAnsi"/>
          <w:i/>
          <w:iCs/>
        </w:rPr>
        <w:t xml:space="preserve"> should be removed from the proposed population.</w:t>
      </w:r>
    </w:p>
    <w:p w14:paraId="2FC5A2EA" w14:textId="56E62536" w:rsidR="003D0356" w:rsidRDefault="003D0356" w:rsidP="002C3BF6">
      <w:pPr>
        <w:pStyle w:val="Heading4"/>
      </w:pPr>
      <w:r>
        <w:t xml:space="preserve">Disease </w:t>
      </w:r>
      <w:r w:rsidRPr="002C3BF6">
        <w:t>characteristics</w:t>
      </w:r>
    </w:p>
    <w:p w14:paraId="4E8592EE" w14:textId="79C1B8F9" w:rsidR="00B54648" w:rsidRDefault="00BC30D9" w:rsidP="00BC30D9">
      <w:r w:rsidRPr="003543E0">
        <w:t xml:space="preserve">Congenital haemophilia is a rare bleeding disorder caused by deficiencies in coagulation factors </w:t>
      </w:r>
      <w:r w:rsidR="003D4609">
        <w:t>due to</w:t>
      </w:r>
      <w:r w:rsidRPr="003543E0">
        <w:t xml:space="preserve"> mutations in clotting factor genes. </w:t>
      </w:r>
      <w:r w:rsidR="001105F1">
        <w:t xml:space="preserve">The </w:t>
      </w:r>
      <w:r w:rsidR="00857A41">
        <w:t>incidence in Australia is reported as 11.</w:t>
      </w:r>
      <w:r w:rsidR="00AB3636">
        <w:t>6</w:t>
      </w:r>
      <w:r w:rsidR="00857A41">
        <w:t>0 per 100,000</w:t>
      </w:r>
      <w:r w:rsidR="00CA605B">
        <w:t xml:space="preserve"> (ABDR, 2023)</w:t>
      </w:r>
      <w:r w:rsidR="00857A41">
        <w:t xml:space="preserve">. </w:t>
      </w:r>
      <w:r w:rsidR="009D2BEC">
        <w:t xml:space="preserve">Prevalence varies </w:t>
      </w:r>
      <w:r w:rsidR="0052338E">
        <w:t>globally;</w:t>
      </w:r>
      <w:r w:rsidR="00334647">
        <w:t xml:space="preserve"> </w:t>
      </w:r>
      <w:r w:rsidR="0052338E">
        <w:t>however,</w:t>
      </w:r>
      <w:r w:rsidR="006F7915">
        <w:t xml:space="preserve"> it has increased over time and is higher in high income countries</w:t>
      </w:r>
      <w:r w:rsidR="006E4298">
        <w:t xml:space="preserve"> (</w:t>
      </w:r>
      <w:r w:rsidR="0052338E">
        <w:t>Stonebreaker et al. 2010)</w:t>
      </w:r>
      <w:r w:rsidR="006F7915">
        <w:t>.</w:t>
      </w:r>
      <w:r w:rsidR="00334647">
        <w:t xml:space="preserve"> </w:t>
      </w:r>
      <w:r w:rsidRPr="003543E0">
        <w:t>There are 2 main types of congenital haemophilia, with type A (</w:t>
      </w:r>
      <w:r w:rsidR="00944500">
        <w:t>c</w:t>
      </w:r>
      <w:r w:rsidRPr="003543E0">
        <w:t>HMA) accounting for 80–85% of the total prevalent population and type B (</w:t>
      </w:r>
      <w:r w:rsidR="00944500">
        <w:t>c</w:t>
      </w:r>
      <w:r w:rsidRPr="003543E0">
        <w:t xml:space="preserve">HMB) around 15% (Srivastava et al. 2020). </w:t>
      </w:r>
      <w:r w:rsidR="00615D4A">
        <w:t xml:space="preserve">The most recent </w:t>
      </w:r>
      <w:r w:rsidR="00AB3636">
        <w:t>Australia</w:t>
      </w:r>
      <w:r w:rsidR="00F315D0">
        <w:t>n</w:t>
      </w:r>
      <w:r w:rsidR="00615D4A">
        <w:t xml:space="preserve"> registry data reports</w:t>
      </w:r>
      <w:r w:rsidR="00AB3636">
        <w:t xml:space="preserve"> </w:t>
      </w:r>
      <w:r w:rsidR="00621ECF">
        <w:t>2,681 patients</w:t>
      </w:r>
      <w:r w:rsidR="00903C78">
        <w:t xml:space="preserve"> with cHMA</w:t>
      </w:r>
      <w:r w:rsidR="00621ECF">
        <w:t xml:space="preserve"> and </w:t>
      </w:r>
      <w:r w:rsidR="00A42BC4">
        <w:t>621 patients</w:t>
      </w:r>
      <w:r w:rsidR="00615D4A">
        <w:t xml:space="preserve"> </w:t>
      </w:r>
      <w:r w:rsidR="00967424">
        <w:t xml:space="preserve">with cHMB </w:t>
      </w:r>
      <w:r w:rsidR="00615D4A">
        <w:t>(</w:t>
      </w:r>
      <w:r w:rsidR="002269C4">
        <w:t>ABDR, 2023).</w:t>
      </w:r>
      <w:r w:rsidR="00AB3636">
        <w:t xml:space="preserve"> </w:t>
      </w:r>
    </w:p>
    <w:p w14:paraId="4DA23E98" w14:textId="6BF466E7" w:rsidR="00BC30D9" w:rsidRPr="003543E0" w:rsidRDefault="007D38B3" w:rsidP="00BC30D9">
      <w:r w:rsidRPr="003543E0">
        <w:t>Congenital</w:t>
      </w:r>
      <w:r w:rsidR="00BC30D9" w:rsidRPr="003543E0">
        <w:t xml:space="preserve"> HMB is characterised by partial or complete deficiency in the activity of </w:t>
      </w:r>
      <w:r w:rsidR="004E1D2E">
        <w:t xml:space="preserve">the </w:t>
      </w:r>
      <w:r w:rsidR="00BC30D9" w:rsidRPr="003543E0">
        <w:t>essential coagulation</w:t>
      </w:r>
      <w:r w:rsidR="004E1D2E">
        <w:t xml:space="preserve"> factor</w:t>
      </w:r>
      <w:r w:rsidR="001642E6">
        <w:t>,</w:t>
      </w:r>
      <w:r w:rsidR="00BC30D9" w:rsidRPr="003543E0">
        <w:t xml:space="preserve"> </w:t>
      </w:r>
      <w:r w:rsidR="005214B6">
        <w:t>F</w:t>
      </w:r>
      <w:r w:rsidR="00552B6D">
        <w:t>IX</w:t>
      </w:r>
      <w:r w:rsidR="001642E6">
        <w:t>,</w:t>
      </w:r>
      <w:r w:rsidR="00BC30D9" w:rsidRPr="003543E0">
        <w:t xml:space="preserve"> due to X-linked heritable variants of the </w:t>
      </w:r>
      <w:r w:rsidR="00943110">
        <w:t>F</w:t>
      </w:r>
      <w:r w:rsidR="00810DC5">
        <w:t>IX</w:t>
      </w:r>
      <w:r w:rsidR="00BC30D9" w:rsidRPr="003543E0">
        <w:t xml:space="preserve"> gene. It occurs primarily in males, with females typically being carriers with a mild or absent phenotype.</w:t>
      </w:r>
      <w:r w:rsidR="00960977" w:rsidRPr="003543E0">
        <w:t xml:space="preserve"> </w:t>
      </w:r>
      <w:r w:rsidR="00BC30D9" w:rsidRPr="003543E0">
        <w:t xml:space="preserve">Acquired HMB, due to the formation of anti-FIX antibodies occurring in an individual without cHMB, is out of scope </w:t>
      </w:r>
      <w:r w:rsidR="000C3B57">
        <w:t>for</w:t>
      </w:r>
      <w:r w:rsidR="00BC30D9" w:rsidRPr="003543E0">
        <w:t xml:space="preserve"> this application.</w:t>
      </w:r>
    </w:p>
    <w:p w14:paraId="3ABC3C84" w14:textId="0626D6FB" w:rsidR="00596397" w:rsidRPr="003543E0" w:rsidRDefault="00BC30D9" w:rsidP="00BC30D9">
      <w:r w:rsidRPr="003543E0">
        <w:lastRenderedPageBreak/>
        <w:t xml:space="preserve">For patients with cHMB, bleeding tendency </w:t>
      </w:r>
      <w:r w:rsidR="00866655">
        <w:t>generally</w:t>
      </w:r>
      <w:r w:rsidR="007D38B3">
        <w:t xml:space="preserve"> correlate</w:t>
      </w:r>
      <w:r w:rsidR="00866655">
        <w:t>s</w:t>
      </w:r>
      <w:r w:rsidR="007D38B3">
        <w:t xml:space="preserve"> </w:t>
      </w:r>
      <w:r w:rsidRPr="003543E0">
        <w:t xml:space="preserve">with FIX concentrations, </w:t>
      </w:r>
      <w:r w:rsidR="007517DB">
        <w:t>therefore,</w:t>
      </w:r>
      <w:r w:rsidRPr="003543E0">
        <w:t xml:space="preserve"> severity and risk of bleeding is classified according to endogenous plasma FIX concentrations. FIX concentrations &lt;1% </w:t>
      </w:r>
      <w:r w:rsidR="00AC45CE">
        <w:t>are</w:t>
      </w:r>
      <w:r w:rsidRPr="003543E0">
        <w:t xml:space="preserve"> classified as severe disease, 1–5% </w:t>
      </w:r>
      <w:r w:rsidR="00AC45CE">
        <w:t>a</w:t>
      </w:r>
      <w:r w:rsidRPr="003543E0">
        <w:t xml:space="preserve">s moderate disease and &gt;5–40% </w:t>
      </w:r>
      <w:r w:rsidR="00AC45CE">
        <w:t>a</w:t>
      </w:r>
      <w:r w:rsidRPr="003543E0">
        <w:t>s mild disease (Srivastava et al. 2020). However, individuals may exhibit severe bleeding irrespective of FIX concentrations.</w:t>
      </w:r>
      <w:r w:rsidR="00B11968" w:rsidRPr="003543E0">
        <w:t xml:space="preserve"> </w:t>
      </w:r>
    </w:p>
    <w:p w14:paraId="60146532" w14:textId="5C15E050" w:rsidR="009101C6" w:rsidRDefault="00B11968" w:rsidP="001700F0">
      <w:r w:rsidRPr="00167A74">
        <w:t>Repeated bleeding</w:t>
      </w:r>
      <w:r w:rsidR="001700F0">
        <w:t xml:space="preserve"> episodes</w:t>
      </w:r>
      <w:r w:rsidRPr="00167A74">
        <w:t xml:space="preserve">, especially joint bleeds (haemarthrosis), </w:t>
      </w:r>
      <w:r w:rsidR="00715A14">
        <w:t>are</w:t>
      </w:r>
      <w:r w:rsidRPr="00167A74">
        <w:t xml:space="preserve"> a major cause of significant morbidity and decreased quality of life in people living with </w:t>
      </w:r>
      <w:r w:rsidR="00715A14">
        <w:t>c</w:t>
      </w:r>
      <w:r w:rsidRPr="00167A74">
        <w:t>HMB. Although infrequent, intracranial and gastrointestinal bleeding, and bleeding into the neck and throat, can be life-threatening (</w:t>
      </w:r>
      <w:r w:rsidRPr="00565E1A">
        <w:t>AHCDO &amp; NBA</w:t>
      </w:r>
      <w:r w:rsidR="00565E1A">
        <w:t>,</w:t>
      </w:r>
      <w:r w:rsidRPr="00565E1A">
        <w:t xml:space="preserve"> 2016</w:t>
      </w:r>
      <w:r w:rsidRPr="00167A74">
        <w:t>).</w:t>
      </w:r>
    </w:p>
    <w:p w14:paraId="4168443C" w14:textId="6D8C0A53" w:rsidR="00C02458" w:rsidRDefault="000E7F94" w:rsidP="004916D6">
      <w:r>
        <w:t>T</w:t>
      </w:r>
      <w:r w:rsidR="00C02458" w:rsidRPr="00FB7776">
        <w:t xml:space="preserve">reatment for cHMB consists of intravenous (IV) FIX replacement therapy, using either plasma-derived or recombinant </w:t>
      </w:r>
      <w:r w:rsidR="000F6AC5">
        <w:t>FIX</w:t>
      </w:r>
      <w:r w:rsidR="00552EDD">
        <w:t>,</w:t>
      </w:r>
      <w:r w:rsidR="00C02458" w:rsidRPr="00FB7776">
        <w:t xml:space="preserve"> administered </w:t>
      </w:r>
      <w:r w:rsidR="000F6AC5">
        <w:t>p</w:t>
      </w:r>
      <w:r w:rsidR="000F6AC5" w:rsidRPr="00FB7776">
        <w:t>rophylactically</w:t>
      </w:r>
      <w:r w:rsidR="000F6AC5">
        <w:t xml:space="preserve"> or </w:t>
      </w:r>
      <w:r w:rsidR="00C02458" w:rsidRPr="00FB7776">
        <w:t xml:space="preserve">on demand </w:t>
      </w:r>
      <w:r w:rsidR="000F6AC5">
        <w:t>(i</w:t>
      </w:r>
      <w:r w:rsidR="001028AC">
        <w:t>.</w:t>
      </w:r>
      <w:r w:rsidR="000F6AC5">
        <w:t xml:space="preserve">e. </w:t>
      </w:r>
      <w:r w:rsidR="00C02458" w:rsidRPr="00FB7776">
        <w:t>wh</w:t>
      </w:r>
      <w:r w:rsidR="000F6AC5">
        <w:t>en</w:t>
      </w:r>
      <w:r w:rsidR="00C02458" w:rsidRPr="00FB7776">
        <w:t xml:space="preserve"> bleeds occur or p</w:t>
      </w:r>
      <w:r w:rsidR="000F6AC5">
        <w:t>rior to surgery)</w:t>
      </w:r>
      <w:r w:rsidR="004F0D92">
        <w:t xml:space="preserve"> </w:t>
      </w:r>
      <w:r w:rsidR="00AD7684">
        <w:t>(</w:t>
      </w:r>
      <w:r w:rsidR="004F0D92">
        <w:fldChar w:fldCharType="begin"/>
      </w:r>
      <w:r w:rsidR="004F0D92">
        <w:instrText xml:space="preserve"> REF _Ref201570080 \h </w:instrText>
      </w:r>
      <w:r w:rsidR="004F0D92">
        <w:fldChar w:fldCharType="separate"/>
      </w:r>
      <w:r w:rsidR="00775C29">
        <w:t xml:space="preserve">Table </w:t>
      </w:r>
      <w:r w:rsidR="00775C29">
        <w:rPr>
          <w:noProof/>
        </w:rPr>
        <w:t>2</w:t>
      </w:r>
      <w:r w:rsidR="004F0D92">
        <w:fldChar w:fldCharType="end"/>
      </w:r>
      <w:r w:rsidR="00AD7684">
        <w:t>)</w:t>
      </w:r>
      <w:r w:rsidR="00C02458" w:rsidRPr="004F1499">
        <w:t>.</w:t>
      </w:r>
      <w:r w:rsidR="005A089A">
        <w:t xml:space="preserve"> When used for prophylaxis, standard half-life FIX products require </w:t>
      </w:r>
      <w:r w:rsidR="00636821">
        <w:t xml:space="preserve">intravenous (IV) </w:t>
      </w:r>
      <w:r w:rsidR="005A089A">
        <w:t xml:space="preserve">administration </w:t>
      </w:r>
      <w:r w:rsidR="00256166">
        <w:t xml:space="preserve">2-3 times per week whereas extended half-life FIX </w:t>
      </w:r>
      <w:r w:rsidR="00E72188">
        <w:t xml:space="preserve">may enable </w:t>
      </w:r>
      <w:r w:rsidR="004F0D92">
        <w:t xml:space="preserve">patients to infuse every 7 to 14 days </w:t>
      </w:r>
      <w:r w:rsidR="004F0D92" w:rsidRPr="003543E0">
        <w:t>(Srivastava et al. 2020)</w:t>
      </w:r>
      <w:r w:rsidR="004F0D92">
        <w:t>.</w:t>
      </w:r>
    </w:p>
    <w:p w14:paraId="6A614546" w14:textId="5426B88D" w:rsidR="00151767" w:rsidRDefault="00151767" w:rsidP="00151767">
      <w:pPr>
        <w:pStyle w:val="Caption"/>
      </w:pPr>
      <w:bookmarkStart w:id="4" w:name="_Ref201570080"/>
      <w:r>
        <w:t xml:space="preserve">Table </w:t>
      </w:r>
      <w:r>
        <w:fldChar w:fldCharType="begin"/>
      </w:r>
      <w:r>
        <w:instrText xml:space="preserve"> SEQ Table \* ARABIC </w:instrText>
      </w:r>
      <w:r>
        <w:fldChar w:fldCharType="separate"/>
      </w:r>
      <w:r w:rsidR="00775C29">
        <w:rPr>
          <w:noProof/>
        </w:rPr>
        <w:t>2</w:t>
      </w:r>
      <w:r>
        <w:fldChar w:fldCharType="end"/>
      </w:r>
      <w:bookmarkEnd w:id="4"/>
      <w:r>
        <w:tab/>
      </w:r>
      <w:r w:rsidR="00F5585E">
        <w:t>FIX replacement products available on the National Product Price List</w:t>
      </w:r>
    </w:p>
    <w:tbl>
      <w:tblPr>
        <w:tblStyle w:val="TableGrid"/>
        <w:tblW w:w="5000" w:type="pct"/>
        <w:tblInd w:w="0" w:type="dxa"/>
        <w:tblLook w:val="04A0" w:firstRow="1" w:lastRow="0" w:firstColumn="1" w:lastColumn="0" w:noHBand="0" w:noVBand="1"/>
        <w:tblCaption w:val="FIX replacement products available on the National Product Price List"/>
        <w:tblDescription w:val="Table showing the FIX replacement products that are listed on the National Product Price List, their suppliers, doseages and prices where available."/>
      </w:tblPr>
      <w:tblGrid>
        <w:gridCol w:w="3539"/>
        <w:gridCol w:w="3968"/>
        <w:gridCol w:w="2064"/>
      </w:tblGrid>
      <w:tr w:rsidR="00F10DCE" w14:paraId="19749874" w14:textId="5826341F" w:rsidTr="00811407">
        <w:trPr>
          <w:cantSplit/>
        </w:trPr>
        <w:tc>
          <w:tcPr>
            <w:tcW w:w="1849" w:type="pct"/>
          </w:tcPr>
          <w:p w14:paraId="493AEA62" w14:textId="44A26A33" w:rsidR="00F10DCE" w:rsidRDefault="00F10DCE" w:rsidP="00E231C4">
            <w:pPr>
              <w:pStyle w:val="TableHeading"/>
            </w:pPr>
            <w:r>
              <w:t>Product</w:t>
            </w:r>
          </w:p>
        </w:tc>
        <w:tc>
          <w:tcPr>
            <w:tcW w:w="2073" w:type="pct"/>
          </w:tcPr>
          <w:p w14:paraId="1BDE7CE6" w14:textId="4757C0F5" w:rsidR="00F10DCE" w:rsidRDefault="00F10DCE" w:rsidP="00E231C4">
            <w:pPr>
              <w:pStyle w:val="TableHeading"/>
            </w:pPr>
            <w:r>
              <w:t>Supplier</w:t>
            </w:r>
          </w:p>
          <w:p w14:paraId="743E9CAC" w14:textId="27E9E22D" w:rsidR="00F10DCE" w:rsidRDefault="00F10DCE" w:rsidP="00E231C4">
            <w:pPr>
              <w:pStyle w:val="TableHeading"/>
            </w:pPr>
            <w:r>
              <w:t>Dosage</w:t>
            </w:r>
          </w:p>
        </w:tc>
        <w:tc>
          <w:tcPr>
            <w:tcW w:w="1078" w:type="pct"/>
          </w:tcPr>
          <w:p w14:paraId="4CAA75AF" w14:textId="68049B35" w:rsidR="00F10DCE" w:rsidRDefault="00A7467C" w:rsidP="00E231C4">
            <w:pPr>
              <w:pStyle w:val="TableHeading"/>
            </w:pPr>
            <w:r>
              <w:t>Cost</w:t>
            </w:r>
          </w:p>
        </w:tc>
      </w:tr>
      <w:tr w:rsidR="00F10DCE" w14:paraId="699419CE" w14:textId="0B492D66" w:rsidTr="00811407">
        <w:trPr>
          <w:cantSplit/>
        </w:trPr>
        <w:tc>
          <w:tcPr>
            <w:tcW w:w="1849" w:type="pct"/>
          </w:tcPr>
          <w:p w14:paraId="5A064D1C" w14:textId="797C92E2" w:rsidR="00F10DCE" w:rsidRDefault="00F10DCE" w:rsidP="00E231C4">
            <w:pPr>
              <w:pStyle w:val="Tabletext"/>
            </w:pPr>
            <w:r>
              <w:t>MonoFIX</w:t>
            </w:r>
          </w:p>
          <w:p w14:paraId="1E27A6B7" w14:textId="77777777" w:rsidR="00F10DCE" w:rsidRDefault="00F10DCE" w:rsidP="00E231C4">
            <w:pPr>
              <w:pStyle w:val="Tabletext"/>
            </w:pPr>
            <w:r>
              <w:t>Factor IX (Plasma derived – domestic)</w:t>
            </w:r>
          </w:p>
          <w:p w14:paraId="29094B72" w14:textId="18B1F447" w:rsidR="00F10DCE" w:rsidRDefault="00F10DCE" w:rsidP="00E231C4">
            <w:pPr>
              <w:pStyle w:val="Tabletext"/>
            </w:pPr>
            <w:r>
              <w:t>Standard half-life</w:t>
            </w:r>
          </w:p>
        </w:tc>
        <w:tc>
          <w:tcPr>
            <w:tcW w:w="2073" w:type="pct"/>
          </w:tcPr>
          <w:p w14:paraId="51C428BE" w14:textId="77777777" w:rsidR="00F10DCE" w:rsidRDefault="00F10DCE" w:rsidP="00E231C4">
            <w:pPr>
              <w:pStyle w:val="Tabletext"/>
            </w:pPr>
            <w:r>
              <w:t>CSL Behring</w:t>
            </w:r>
          </w:p>
          <w:p w14:paraId="64A01BD2" w14:textId="51F11E33" w:rsidR="00F10DCE" w:rsidRDefault="00F10DCE" w:rsidP="00E231C4">
            <w:pPr>
              <w:pStyle w:val="Tabletext"/>
            </w:pPr>
            <w:r>
              <w:t>1000 IU</w:t>
            </w:r>
          </w:p>
        </w:tc>
        <w:tc>
          <w:tcPr>
            <w:tcW w:w="1078" w:type="pct"/>
          </w:tcPr>
          <w:p w14:paraId="115F5070" w14:textId="0AB96335" w:rsidR="00F10DCE" w:rsidRDefault="00A7467C" w:rsidP="00E231C4">
            <w:pPr>
              <w:pStyle w:val="Tabletext"/>
            </w:pPr>
            <w:r>
              <w:t>$1,064.04</w:t>
            </w:r>
          </w:p>
        </w:tc>
      </w:tr>
      <w:tr w:rsidR="00F10DCE" w14:paraId="52F34220" w14:textId="26AED978" w:rsidTr="00811407">
        <w:trPr>
          <w:cantSplit/>
        </w:trPr>
        <w:tc>
          <w:tcPr>
            <w:tcW w:w="1849" w:type="pct"/>
          </w:tcPr>
          <w:p w14:paraId="6E25A936" w14:textId="77777777" w:rsidR="00F10DCE" w:rsidRDefault="00F10DCE" w:rsidP="00E231C4">
            <w:pPr>
              <w:pStyle w:val="Tabletext"/>
            </w:pPr>
            <w:r>
              <w:t>BeneFIX</w:t>
            </w:r>
          </w:p>
          <w:p w14:paraId="3B696B74" w14:textId="77777777" w:rsidR="00F10DCE" w:rsidRDefault="00F10DCE" w:rsidP="00E231C4">
            <w:pPr>
              <w:pStyle w:val="Tabletext"/>
            </w:pPr>
            <w:r>
              <w:t>Factor IX (recombinant – imported)</w:t>
            </w:r>
          </w:p>
          <w:p w14:paraId="54F787F4" w14:textId="4DC0AC5A" w:rsidR="00F10DCE" w:rsidRDefault="00F10DCE" w:rsidP="00E231C4">
            <w:pPr>
              <w:pStyle w:val="Tabletext"/>
            </w:pPr>
            <w:r>
              <w:t>Standard half-life</w:t>
            </w:r>
          </w:p>
        </w:tc>
        <w:tc>
          <w:tcPr>
            <w:tcW w:w="2073" w:type="pct"/>
          </w:tcPr>
          <w:p w14:paraId="4FFD4DCC" w14:textId="77777777" w:rsidR="00F10DCE" w:rsidRDefault="00F10DCE" w:rsidP="00E231C4">
            <w:pPr>
              <w:pStyle w:val="Tabletext"/>
            </w:pPr>
            <w:r>
              <w:t>Pfizer Australia</w:t>
            </w:r>
          </w:p>
          <w:p w14:paraId="37278417" w14:textId="3F01521C" w:rsidR="00F10DCE" w:rsidRDefault="00F10DCE" w:rsidP="00E231C4">
            <w:pPr>
              <w:pStyle w:val="Tabletext"/>
            </w:pPr>
            <w:r>
              <w:t>250 IU/ 500 IU/ 1000 IU/ 2000 IU/ 3000 IU</w:t>
            </w:r>
          </w:p>
        </w:tc>
        <w:tc>
          <w:tcPr>
            <w:tcW w:w="1078" w:type="pct"/>
          </w:tcPr>
          <w:p w14:paraId="1CD9A5A4" w14:textId="29303274" w:rsidR="00F10DCE" w:rsidRDefault="00A7467C" w:rsidP="00E231C4">
            <w:pPr>
              <w:pStyle w:val="Tabletext"/>
            </w:pPr>
            <w:r>
              <w:t>Not disclosed</w:t>
            </w:r>
          </w:p>
        </w:tc>
      </w:tr>
      <w:tr w:rsidR="00F10DCE" w14:paraId="3EC53466" w14:textId="4DFD3ACA" w:rsidTr="00811407">
        <w:trPr>
          <w:cantSplit/>
        </w:trPr>
        <w:tc>
          <w:tcPr>
            <w:tcW w:w="1849" w:type="pct"/>
          </w:tcPr>
          <w:p w14:paraId="108D9E7E" w14:textId="77777777" w:rsidR="00F10DCE" w:rsidRDefault="00F10DCE" w:rsidP="00E231C4">
            <w:pPr>
              <w:pStyle w:val="Tabletext"/>
            </w:pPr>
            <w:r>
              <w:t>ALPROLIX</w:t>
            </w:r>
          </w:p>
          <w:p w14:paraId="7AF90C1A" w14:textId="77777777" w:rsidR="00F10DCE" w:rsidRDefault="00F10DCE" w:rsidP="00E231C4">
            <w:pPr>
              <w:pStyle w:val="Tabletext"/>
            </w:pPr>
            <w:r>
              <w:t>Factor IX (recombinant – imported)</w:t>
            </w:r>
          </w:p>
          <w:p w14:paraId="24060E5C" w14:textId="398C664F" w:rsidR="00F10DCE" w:rsidRDefault="00F10DCE" w:rsidP="00E231C4">
            <w:pPr>
              <w:pStyle w:val="Tabletext"/>
            </w:pPr>
            <w:r>
              <w:t>Extended half-life</w:t>
            </w:r>
          </w:p>
        </w:tc>
        <w:tc>
          <w:tcPr>
            <w:tcW w:w="2073" w:type="pct"/>
          </w:tcPr>
          <w:p w14:paraId="176196F2" w14:textId="77777777" w:rsidR="00F10DCE" w:rsidRDefault="00F10DCE" w:rsidP="00E231C4">
            <w:pPr>
              <w:pStyle w:val="Tabletext"/>
            </w:pPr>
            <w:r>
              <w:t>Sanofi-Aventis</w:t>
            </w:r>
          </w:p>
          <w:p w14:paraId="1559078F" w14:textId="7102836B" w:rsidR="00F10DCE" w:rsidRDefault="00F10DCE" w:rsidP="00E231C4">
            <w:pPr>
              <w:pStyle w:val="Tabletext"/>
            </w:pPr>
            <w:r>
              <w:t>250 IU/ 500 IU/ 1000 IU/ 2000 IU/ 3000 IU/ 4000 IU</w:t>
            </w:r>
          </w:p>
        </w:tc>
        <w:tc>
          <w:tcPr>
            <w:tcW w:w="1078" w:type="pct"/>
          </w:tcPr>
          <w:p w14:paraId="06C544B5" w14:textId="01DFCBBD" w:rsidR="00F10DCE" w:rsidRDefault="00A7467C" w:rsidP="00E231C4">
            <w:pPr>
              <w:pStyle w:val="Tabletext"/>
            </w:pPr>
            <w:r>
              <w:t>Not disclosed</w:t>
            </w:r>
          </w:p>
        </w:tc>
      </w:tr>
    </w:tbl>
    <w:p w14:paraId="5CE428F6" w14:textId="449DC296" w:rsidR="003168F3" w:rsidRDefault="004D60A7" w:rsidP="00E77042">
      <w:pPr>
        <w:pStyle w:val="Tablenotes"/>
        <w:spacing w:after="0"/>
      </w:pPr>
      <w:r>
        <w:t xml:space="preserve">FIX = </w:t>
      </w:r>
      <w:r w:rsidR="0078733E">
        <w:t>F</w:t>
      </w:r>
      <w:r>
        <w:t xml:space="preserve">actor IX; </w:t>
      </w:r>
      <w:r w:rsidR="00E77042">
        <w:t>IU = international units</w:t>
      </w:r>
    </w:p>
    <w:p w14:paraId="1B6F9141" w14:textId="4BA2D3B2" w:rsidR="004F0D92" w:rsidRPr="004F0D92" w:rsidRDefault="00F5585E" w:rsidP="00EA5035">
      <w:pPr>
        <w:pStyle w:val="Tablenotes"/>
        <w:spacing w:after="240"/>
      </w:pPr>
      <w:r>
        <w:t>Source</w:t>
      </w:r>
      <w:r w:rsidRPr="00A07FB0">
        <w:t xml:space="preserve">: </w:t>
      </w:r>
      <w:hyperlink r:id="rId8" w:tooltip="Link to the website of the National Product Price List" w:history="1">
        <w:r w:rsidRPr="008827AE">
          <w:rPr>
            <w:rStyle w:val="Hyperlink"/>
            <w:rFonts w:ascii="Arial Narrow" w:hAnsi="Arial Narrow"/>
          </w:rPr>
          <w:t>National Product Price List</w:t>
        </w:r>
      </w:hyperlink>
      <w:r>
        <w:t xml:space="preserve"> </w:t>
      </w:r>
    </w:p>
    <w:p w14:paraId="07100766" w14:textId="0F080303" w:rsidR="0073153B" w:rsidRDefault="0073153B" w:rsidP="003D0356">
      <w:pPr>
        <w:pStyle w:val="Heading5"/>
      </w:pPr>
      <w:r>
        <w:t>Haemophilia B with inhibitors</w:t>
      </w:r>
    </w:p>
    <w:p w14:paraId="7FEC345A" w14:textId="11B430C6" w:rsidR="00691EE5" w:rsidRDefault="00AC54F2" w:rsidP="00E138AC">
      <w:r w:rsidRPr="00A81D2F">
        <w:t>Inhibitors are immunoglobulin G (IgG) antibodies</w:t>
      </w:r>
      <w:r w:rsidR="00631E92">
        <w:t xml:space="preserve"> that develop in re</w:t>
      </w:r>
      <w:r w:rsidR="002C5824">
        <w:t>s</w:t>
      </w:r>
      <w:r w:rsidR="00631E92">
        <w:t>ponse</w:t>
      </w:r>
      <w:r w:rsidRPr="00A81D2F">
        <w:t xml:space="preserve"> to exogenous </w:t>
      </w:r>
      <w:r w:rsidR="0066619D" w:rsidRPr="00A81D2F">
        <w:t>F</w:t>
      </w:r>
      <w:r w:rsidRPr="00A81D2F">
        <w:t xml:space="preserve">IX </w:t>
      </w:r>
      <w:r w:rsidR="002D165E">
        <w:t>and</w:t>
      </w:r>
      <w:r w:rsidR="002D165E" w:rsidRPr="00A81D2F">
        <w:t xml:space="preserve"> </w:t>
      </w:r>
      <w:r w:rsidRPr="00A81D2F">
        <w:t xml:space="preserve">neutralise </w:t>
      </w:r>
      <w:r w:rsidR="00AE7BF4">
        <w:t>FIX</w:t>
      </w:r>
      <w:r w:rsidRPr="00A81D2F">
        <w:t xml:space="preserve"> clotting function. </w:t>
      </w:r>
      <w:r w:rsidR="0066619D" w:rsidRPr="00A81D2F">
        <w:t>They occur</w:t>
      </w:r>
      <w:r w:rsidRPr="00A81D2F">
        <w:t xml:space="preserve"> in </w:t>
      </w:r>
      <w:r w:rsidR="0066619D" w:rsidRPr="00A81D2F">
        <w:t>up to</w:t>
      </w:r>
      <w:r w:rsidRPr="00A81D2F">
        <w:t xml:space="preserve"> 5% of </w:t>
      </w:r>
      <w:r w:rsidR="003D4609" w:rsidRPr="00A81D2F">
        <w:t xml:space="preserve">patients </w:t>
      </w:r>
      <w:r w:rsidR="00940334">
        <w:t>with c</w:t>
      </w:r>
      <w:r w:rsidR="00940334" w:rsidRPr="00A81D2F">
        <w:t xml:space="preserve">HMB </w:t>
      </w:r>
      <w:r w:rsidR="006557DA">
        <w:t xml:space="preserve">and </w:t>
      </w:r>
      <w:r w:rsidR="003D4609" w:rsidRPr="00A81D2F">
        <w:t xml:space="preserve">are </w:t>
      </w:r>
      <w:r w:rsidR="00AA1A7B" w:rsidRPr="00A81D2F">
        <w:t xml:space="preserve">almost exclusively seen in patients with severe </w:t>
      </w:r>
      <w:r w:rsidR="005D5397">
        <w:t>c</w:t>
      </w:r>
      <w:r w:rsidR="00AA1A7B" w:rsidRPr="00A81D2F">
        <w:t xml:space="preserve">HMB and very rarely in the milder forms </w:t>
      </w:r>
      <w:r w:rsidR="00720378" w:rsidRPr="00A81D2F">
        <w:t>(Srivastava et al. 2020)</w:t>
      </w:r>
      <w:r w:rsidR="00AA1A7B" w:rsidRPr="00A81D2F">
        <w:t>.</w:t>
      </w:r>
      <w:r w:rsidR="00CD51FB" w:rsidRPr="00A81D2F">
        <w:t xml:space="preserve"> </w:t>
      </w:r>
      <w:r w:rsidR="00E138AC" w:rsidRPr="00A81D2F">
        <w:t>The development of inhibitors</w:t>
      </w:r>
      <w:r w:rsidR="00720378" w:rsidRPr="00A81D2F">
        <w:t xml:space="preserve"> </w:t>
      </w:r>
      <w:r w:rsidR="00E138AC" w:rsidRPr="00A81D2F">
        <w:t xml:space="preserve">is one of the most serious and challenging complications of </w:t>
      </w:r>
      <w:r w:rsidR="005D5397">
        <w:t>c</w:t>
      </w:r>
      <w:r w:rsidR="00E138AC" w:rsidRPr="00A81D2F">
        <w:t>HM</w:t>
      </w:r>
      <w:r w:rsidR="00720378" w:rsidRPr="00A81D2F">
        <w:t>B</w:t>
      </w:r>
      <w:r w:rsidR="00CD51FB" w:rsidRPr="00A81D2F">
        <w:t xml:space="preserve"> </w:t>
      </w:r>
      <w:r w:rsidR="00A81D2F" w:rsidRPr="00A81D2F">
        <w:t xml:space="preserve">and the loss of treatment effect leads to </w:t>
      </w:r>
      <w:r w:rsidR="000C1335" w:rsidRPr="00A81D2F">
        <w:t>reduced quality of life</w:t>
      </w:r>
      <w:r w:rsidR="00456992" w:rsidRPr="00A81D2F">
        <w:t xml:space="preserve"> and higher treatment costs (D’Angiolella</w:t>
      </w:r>
      <w:r w:rsidR="001D5F15" w:rsidRPr="00A81D2F">
        <w:t xml:space="preserve"> et al.</w:t>
      </w:r>
      <w:r w:rsidR="00456992" w:rsidRPr="00A81D2F">
        <w:t xml:space="preserve"> 2018)</w:t>
      </w:r>
      <w:r w:rsidR="005434DF" w:rsidRPr="00A81D2F">
        <w:t xml:space="preserve">. </w:t>
      </w:r>
    </w:p>
    <w:p w14:paraId="40F65AE3" w14:textId="63296B1D" w:rsidR="00E138AC" w:rsidRDefault="005434DF" w:rsidP="00E138AC">
      <w:r w:rsidRPr="00A81D2F">
        <w:t xml:space="preserve">Inhibitor development in </w:t>
      </w:r>
      <w:r w:rsidR="0098188E">
        <w:t>c</w:t>
      </w:r>
      <w:r w:rsidRPr="00A81D2F">
        <w:t>H</w:t>
      </w:r>
      <w:r w:rsidR="00A81D2F" w:rsidRPr="00A81D2F">
        <w:t>M</w:t>
      </w:r>
      <w:r w:rsidRPr="00A81D2F">
        <w:t>B is</w:t>
      </w:r>
      <w:r w:rsidR="00A81D2F" w:rsidRPr="00A81D2F">
        <w:t xml:space="preserve"> also</w:t>
      </w:r>
      <w:r w:rsidRPr="00A81D2F">
        <w:t xml:space="preserve"> associated with anaphylaxis or severe allergic reactions to exogenous </w:t>
      </w:r>
      <w:r w:rsidR="00A81D2F" w:rsidRPr="00A81D2F">
        <w:t>F</w:t>
      </w:r>
      <w:r w:rsidRPr="00A81D2F">
        <w:t>IX in 50% of subjects</w:t>
      </w:r>
      <w:r w:rsidR="00A81D2F" w:rsidRPr="00A81D2F">
        <w:t xml:space="preserve"> and</w:t>
      </w:r>
      <w:r w:rsidRPr="00A81D2F">
        <w:t xml:space="preserve"> </w:t>
      </w:r>
      <w:r w:rsidR="00A73F2A">
        <w:t xml:space="preserve">this can be the first symptom of inhibitor development. </w:t>
      </w:r>
      <w:r w:rsidR="0098188E">
        <w:t xml:space="preserve">Patients with </w:t>
      </w:r>
      <w:r w:rsidR="00B81B37">
        <w:t>c</w:t>
      </w:r>
      <w:r w:rsidR="003B2E6A">
        <w:t xml:space="preserve">HMB </w:t>
      </w:r>
      <w:r w:rsidR="0098188E">
        <w:t>and</w:t>
      </w:r>
      <w:r w:rsidR="003B2E6A">
        <w:t xml:space="preserve"> inhibitors </w:t>
      </w:r>
      <w:r w:rsidR="00B314BC">
        <w:t xml:space="preserve">receiving high-dose FIX for immune tolerance induction </w:t>
      </w:r>
      <w:r w:rsidRPr="00A81D2F">
        <w:t xml:space="preserve">may also </w:t>
      </w:r>
      <w:r w:rsidR="003B2E6A">
        <w:t>develop</w:t>
      </w:r>
      <w:r w:rsidRPr="00A81D2F">
        <w:t xml:space="preserve"> nephrotic syndrome</w:t>
      </w:r>
      <w:r w:rsidR="00A81D2F" w:rsidRPr="00A81D2F">
        <w:t xml:space="preserve"> (Srivastava et al. 2020)</w:t>
      </w:r>
      <w:r w:rsidRPr="00A81D2F">
        <w:t>.</w:t>
      </w:r>
    </w:p>
    <w:p w14:paraId="7C04E33D" w14:textId="3D9C2369" w:rsidR="00C01CDF" w:rsidRPr="00F668EC" w:rsidRDefault="00C01CDF" w:rsidP="00F668EC">
      <w:pPr>
        <w:rPr>
          <w:rFonts w:cs="Arial"/>
          <w:lang w:eastAsia="en-AU"/>
        </w:rPr>
      </w:pPr>
      <w:r w:rsidRPr="00E26AC4">
        <w:rPr>
          <w:rFonts w:cs="Arial"/>
          <w:lang w:eastAsia="en-AU"/>
        </w:rPr>
        <w:t xml:space="preserve">For children, </w:t>
      </w:r>
      <w:r w:rsidR="00710002">
        <w:rPr>
          <w:rFonts w:cs="Arial"/>
          <w:lang w:eastAsia="en-AU"/>
        </w:rPr>
        <w:t xml:space="preserve">screening for </w:t>
      </w:r>
      <w:r w:rsidRPr="00E26AC4">
        <w:rPr>
          <w:rFonts w:cs="Arial"/>
          <w:lang w:eastAsia="en-AU"/>
        </w:rPr>
        <w:t xml:space="preserve">inhibitors should </w:t>
      </w:r>
      <w:r w:rsidR="00710002">
        <w:rPr>
          <w:rFonts w:cs="Arial"/>
          <w:lang w:eastAsia="en-AU"/>
        </w:rPr>
        <w:t>take place</w:t>
      </w:r>
      <w:r w:rsidRPr="00E26AC4">
        <w:rPr>
          <w:rFonts w:cs="Arial"/>
          <w:lang w:eastAsia="en-AU"/>
        </w:rPr>
        <w:t xml:space="preserve"> once every 5 exposure days until 20 exposure days, then every 10 exposure days between 21 and 50 exposure days, and at least two times a year until 150 exposure days. For adults with more than 150 exposure days, apart from a 6–12 monthly review, any failure to respond to adequate </w:t>
      </w:r>
      <w:r w:rsidR="00E660A8">
        <w:rPr>
          <w:rFonts w:cs="Arial"/>
          <w:lang w:eastAsia="en-AU"/>
        </w:rPr>
        <w:t>FIX</w:t>
      </w:r>
      <w:r w:rsidR="00E660A8" w:rsidRPr="00E26AC4">
        <w:rPr>
          <w:rFonts w:cs="Arial"/>
          <w:lang w:eastAsia="en-AU"/>
        </w:rPr>
        <w:t xml:space="preserve"> </w:t>
      </w:r>
      <w:r w:rsidRPr="00E26AC4">
        <w:rPr>
          <w:rFonts w:cs="Arial"/>
          <w:lang w:eastAsia="en-AU"/>
        </w:rPr>
        <w:t xml:space="preserve">concentrate replacement therapy in a previously responsive patient is </w:t>
      </w:r>
      <w:r w:rsidRPr="00E26AC4">
        <w:rPr>
          <w:rFonts w:cs="Arial"/>
          <w:lang w:eastAsia="en-AU"/>
        </w:rPr>
        <w:lastRenderedPageBreak/>
        <w:t>an indication to assess for an inhibitor</w:t>
      </w:r>
      <w:r w:rsidR="00F668EC">
        <w:rPr>
          <w:rFonts w:cs="Arial"/>
          <w:lang w:eastAsia="en-AU"/>
        </w:rPr>
        <w:t>. I</w:t>
      </w:r>
      <w:r w:rsidR="00F668EC" w:rsidRPr="00F668EC">
        <w:rPr>
          <w:rFonts w:cs="Arial"/>
          <w:lang w:eastAsia="en-AU"/>
        </w:rPr>
        <w:t>nhibitors should also be assessed in all patients who have been intensively treated for more than</w:t>
      </w:r>
      <w:r w:rsidR="00F668EC">
        <w:rPr>
          <w:rFonts w:cs="Arial"/>
          <w:lang w:eastAsia="en-AU"/>
        </w:rPr>
        <w:t xml:space="preserve"> </w:t>
      </w:r>
      <w:r w:rsidR="00F668EC" w:rsidRPr="00F668EC">
        <w:rPr>
          <w:rFonts w:cs="Arial"/>
          <w:lang w:eastAsia="en-AU"/>
        </w:rPr>
        <w:t>5 days, within 4 weeks of the last infusion</w:t>
      </w:r>
      <w:r w:rsidR="00D513A8">
        <w:rPr>
          <w:rFonts w:cs="Arial"/>
          <w:lang w:eastAsia="en-AU"/>
        </w:rPr>
        <w:t xml:space="preserve"> (</w:t>
      </w:r>
      <w:r w:rsidR="00565E1A" w:rsidRPr="00565E1A">
        <w:t>AHCDO &amp; NBA</w:t>
      </w:r>
      <w:r w:rsidR="00565E1A">
        <w:t>,</w:t>
      </w:r>
      <w:r w:rsidR="00565E1A" w:rsidRPr="00565E1A">
        <w:t xml:space="preserve"> 2016</w:t>
      </w:r>
      <w:r w:rsidR="00D513A8">
        <w:rPr>
          <w:rFonts w:cs="Arial"/>
          <w:lang w:eastAsia="en-AU"/>
        </w:rPr>
        <w:t>)</w:t>
      </w:r>
      <w:r w:rsidRPr="00E26AC4">
        <w:rPr>
          <w:rFonts w:cs="Arial"/>
          <w:lang w:eastAsia="en-AU"/>
        </w:rPr>
        <w:t>.</w:t>
      </w:r>
    </w:p>
    <w:p w14:paraId="26AA491E" w14:textId="2A0758E6" w:rsidR="0006615B" w:rsidRPr="007C770A" w:rsidRDefault="0006615B" w:rsidP="0006615B">
      <w:r w:rsidRPr="00737DE0">
        <w:t>Inhibitors are measured by the Nijmegen-modified Bethesda assay. The</w:t>
      </w:r>
      <w:r w:rsidR="00F56C91" w:rsidRPr="00737DE0">
        <w:t xml:space="preserve"> </w:t>
      </w:r>
      <w:r w:rsidRPr="00737DE0">
        <w:t>definition of a positive inhibitor is a Bethesda titre of greater than 0.</w:t>
      </w:r>
      <w:r w:rsidR="00131A0F" w:rsidRPr="00737DE0">
        <w:t>3</w:t>
      </w:r>
      <w:r w:rsidRPr="00737DE0">
        <w:t xml:space="preserve"> Bethesda units (BU) for</w:t>
      </w:r>
      <w:r w:rsidR="00F56C91" w:rsidRPr="00737DE0">
        <w:t xml:space="preserve"> </w:t>
      </w:r>
      <w:r w:rsidR="00131A0F" w:rsidRPr="00737DE0">
        <w:t>F</w:t>
      </w:r>
      <w:r w:rsidRPr="00737DE0">
        <w:t xml:space="preserve">IX. </w:t>
      </w:r>
      <w:r w:rsidR="00A20207">
        <w:t xml:space="preserve">Inhibitor titre can be </w:t>
      </w:r>
      <w:r w:rsidR="00C14282">
        <w:t>categorised</w:t>
      </w:r>
      <w:r w:rsidR="00A20207">
        <w:t xml:space="preserve"> as either high</w:t>
      </w:r>
      <w:r w:rsidR="007C770A">
        <w:t xml:space="preserve"> responding</w:t>
      </w:r>
      <w:r w:rsidR="004B7648">
        <w:t xml:space="preserve"> (</w:t>
      </w:r>
      <w:r w:rsidR="002C02DE">
        <w:rPr>
          <w:rFonts w:cs="Calibri"/>
        </w:rPr>
        <w:t>≥</w:t>
      </w:r>
      <w:r w:rsidR="002C02DE">
        <w:t>5.0 BU</w:t>
      </w:r>
      <w:r w:rsidR="00C50CCC">
        <w:t>/ml</w:t>
      </w:r>
      <w:r w:rsidR="002C02DE">
        <w:t>)</w:t>
      </w:r>
      <w:r w:rsidR="007C770A">
        <w:t>, which tend</w:t>
      </w:r>
      <w:r w:rsidR="00B93301">
        <w:t>s</w:t>
      </w:r>
      <w:r w:rsidR="007C770A">
        <w:t xml:space="preserve"> to be persistent,</w:t>
      </w:r>
      <w:r w:rsidR="00A20207">
        <w:t xml:space="preserve"> or low responding</w:t>
      </w:r>
      <w:r w:rsidR="002C02DE">
        <w:t xml:space="preserve"> (&lt;5.0 BU</w:t>
      </w:r>
      <w:r w:rsidR="00C50CCC">
        <w:t>/ml</w:t>
      </w:r>
      <w:r w:rsidR="002C02DE">
        <w:t>)</w:t>
      </w:r>
      <w:r w:rsidR="00A20207">
        <w:t xml:space="preserve">, </w:t>
      </w:r>
      <w:r w:rsidR="007C770A">
        <w:t>which</w:t>
      </w:r>
      <w:r w:rsidR="007C770A" w:rsidRPr="007C770A">
        <w:t xml:space="preserve"> tend</w:t>
      </w:r>
      <w:r w:rsidR="00B93301">
        <w:t>s</w:t>
      </w:r>
      <w:r w:rsidR="007C770A" w:rsidRPr="007C770A">
        <w:t xml:space="preserve"> to be transient.</w:t>
      </w:r>
      <w:r w:rsidR="007C770A">
        <w:t xml:space="preserve"> </w:t>
      </w:r>
      <w:r w:rsidRPr="00D74017">
        <w:t>A transient inhibitor is defined as a positive inhibitor that drops below the definition threshold</w:t>
      </w:r>
      <w:r w:rsidR="00F56C91" w:rsidRPr="00D74017">
        <w:t xml:space="preserve"> </w:t>
      </w:r>
      <w:r w:rsidRPr="00D74017">
        <w:t>within 6 months of initial documentation without any change in treatment regimen, and despite</w:t>
      </w:r>
      <w:r w:rsidR="00F56C91" w:rsidRPr="00D74017">
        <w:t xml:space="preserve"> </w:t>
      </w:r>
      <w:r w:rsidRPr="00D74017">
        <w:t xml:space="preserve">antigenic challenge with </w:t>
      </w:r>
      <w:r w:rsidR="00B37AA3">
        <w:t>FIX</w:t>
      </w:r>
      <w:r w:rsidRPr="00D74017">
        <w:t>. High responding inhibitors may become</w:t>
      </w:r>
      <w:r w:rsidR="00F56C91" w:rsidRPr="00D74017">
        <w:t xml:space="preserve"> </w:t>
      </w:r>
      <w:r w:rsidRPr="00D74017">
        <w:t xml:space="preserve">undetectable after a prolonged period without </w:t>
      </w:r>
      <w:r w:rsidR="00D74017" w:rsidRPr="00D74017">
        <w:t>FIX treatment</w:t>
      </w:r>
      <w:r w:rsidRPr="00D74017">
        <w:t xml:space="preserve"> but reoccur after a</w:t>
      </w:r>
      <w:r w:rsidR="00F56C91" w:rsidRPr="00D74017">
        <w:t xml:space="preserve"> </w:t>
      </w:r>
      <w:r w:rsidRPr="00D74017">
        <w:t>rechallenge (an anamnestic response)</w:t>
      </w:r>
      <w:r w:rsidR="00D74017">
        <w:t xml:space="preserve"> </w:t>
      </w:r>
      <w:r w:rsidR="00D74017" w:rsidRPr="00A81D2F">
        <w:t>(Srivastava et al. 2020)</w:t>
      </w:r>
      <w:r w:rsidRPr="00D74017">
        <w:t>.</w:t>
      </w:r>
    </w:p>
    <w:p w14:paraId="5C6F8CB4" w14:textId="2D564A55" w:rsidR="00AB5912" w:rsidRDefault="00AB5912" w:rsidP="00AB5912">
      <w:pPr>
        <w:pStyle w:val="Heading5"/>
      </w:pPr>
      <w:r>
        <w:t>Treatment and management</w:t>
      </w:r>
    </w:p>
    <w:p w14:paraId="30E3BD3A" w14:textId="4A0D01D0" w:rsidR="00FB7776" w:rsidRDefault="00FB7776" w:rsidP="00FB7776">
      <w:r w:rsidRPr="00286FF7">
        <w:t xml:space="preserve">Optimal management is </w:t>
      </w:r>
      <w:r w:rsidR="003766FC" w:rsidRPr="00286FF7">
        <w:t>individualised</w:t>
      </w:r>
      <w:r w:rsidR="00A25427" w:rsidRPr="00286FF7">
        <w:t xml:space="preserve"> </w:t>
      </w:r>
      <w:r w:rsidR="003766FC" w:rsidRPr="00286FF7">
        <w:t>based on inhibitor titre, clinical response</w:t>
      </w:r>
      <w:r w:rsidR="00892060" w:rsidRPr="00286FF7">
        <w:t>, infusion reactions and bleed</w:t>
      </w:r>
      <w:r w:rsidR="00E64C62">
        <w:t xml:space="preserve"> </w:t>
      </w:r>
      <w:r w:rsidR="00CE4B01">
        <w:t>frequency</w:t>
      </w:r>
      <w:r w:rsidRPr="00286FF7">
        <w:t>. In Australia, most people living with cHMB receive care via a dedicated haemophilia treatment centre (HTC), typically located within a hospital</w:t>
      </w:r>
      <w:r w:rsidR="003805B5" w:rsidRPr="00286FF7">
        <w:t xml:space="preserve">, and comprising a team of specialist health professionals (haematologists, nurses, psychosocial workers, physiotherapists, laboratory services etc.) with expertise in managing and treating cHMB </w:t>
      </w:r>
      <w:r w:rsidRPr="00286FF7">
        <w:t>(</w:t>
      </w:r>
      <w:r w:rsidR="00D053C9">
        <w:t>NBA, 2025</w:t>
      </w:r>
      <w:r w:rsidRPr="00286FF7">
        <w:t>).</w:t>
      </w:r>
    </w:p>
    <w:p w14:paraId="6E300441" w14:textId="72F17EF1" w:rsidR="00286FF7" w:rsidRDefault="00286FF7" w:rsidP="00286FF7">
      <w:r w:rsidRPr="00D020D6">
        <w:t>Inhibitor eradication through immune tolerance induction (ITI) can be attempted using administration of high doses of FIX</w:t>
      </w:r>
      <w:r w:rsidR="0053179F">
        <w:t>;</w:t>
      </w:r>
      <w:r w:rsidR="002F1348">
        <w:t xml:space="preserve"> h</w:t>
      </w:r>
      <w:r w:rsidRPr="00D020D6">
        <w:t xml:space="preserve">owever, </w:t>
      </w:r>
      <w:r w:rsidR="002F1348">
        <w:t>it</w:t>
      </w:r>
      <w:r w:rsidRPr="00D020D6">
        <w:t xml:space="preserve"> has a low success rate </w:t>
      </w:r>
      <w:r w:rsidR="002F1348">
        <w:t xml:space="preserve">in </w:t>
      </w:r>
      <w:r w:rsidR="00BA1A82">
        <w:t>c</w:t>
      </w:r>
      <w:r w:rsidR="002F1348">
        <w:t xml:space="preserve">HMB </w:t>
      </w:r>
      <w:r w:rsidRPr="00D020D6">
        <w:t>(30 to 35%) and is complicated by the risk of anaphylaxis and nephrotic syndrome. In its current guideline document</w:t>
      </w:r>
      <w:r w:rsidR="005A22E4">
        <w:t>,</w:t>
      </w:r>
      <w:r w:rsidRPr="00D020D6">
        <w:t xml:space="preserve"> the World Federation of Haemophilia (WFH</w:t>
      </w:r>
      <w:r w:rsidR="006C76FF">
        <w:rPr>
          <w:rStyle w:val="FootnoteReference"/>
        </w:rPr>
        <w:footnoteReference w:id="2"/>
      </w:r>
      <w:r w:rsidRPr="00D020D6">
        <w:t xml:space="preserve">) states that it is unable to make a recommendation on the use of ITI in </w:t>
      </w:r>
      <w:r w:rsidR="00BA39E2">
        <w:t>c</w:t>
      </w:r>
      <w:r w:rsidRPr="00D020D6">
        <w:t>H</w:t>
      </w:r>
      <w:r w:rsidR="002F1348">
        <w:t>M</w:t>
      </w:r>
      <w:r w:rsidRPr="00D020D6">
        <w:t>B as experience is limited</w:t>
      </w:r>
      <w:r w:rsidR="00A64C6A">
        <w:t xml:space="preserve"> (</w:t>
      </w:r>
      <w:r w:rsidR="00A64C6A" w:rsidRPr="00A81D2F">
        <w:t>Srivastava et al. 2020)</w:t>
      </w:r>
      <w:r w:rsidR="00F33A84">
        <w:t xml:space="preserve">. </w:t>
      </w:r>
      <w:r w:rsidR="00DB2613">
        <w:t>T</w:t>
      </w:r>
      <w:r w:rsidR="00F33A84">
        <w:t xml:space="preserve">he </w:t>
      </w:r>
      <w:r w:rsidR="00927549">
        <w:t>Australian Bleeding Disorders Registry (</w:t>
      </w:r>
      <w:r w:rsidR="00F33A84" w:rsidRPr="00126D7F">
        <w:t>ABDR</w:t>
      </w:r>
      <w:r w:rsidR="00927549">
        <w:t>)</w:t>
      </w:r>
      <w:r w:rsidR="00F33A84" w:rsidRPr="00126D7F">
        <w:t xml:space="preserve"> </w:t>
      </w:r>
      <w:r w:rsidR="00432265">
        <w:t xml:space="preserve">reported use of FIX for tolerisation in </w:t>
      </w:r>
      <w:r w:rsidR="004A69D3">
        <w:t>c</w:t>
      </w:r>
      <w:r w:rsidR="00432265">
        <w:t xml:space="preserve">HMB </w:t>
      </w:r>
      <w:r w:rsidR="00B32E4D">
        <w:t>from 2018</w:t>
      </w:r>
      <w:r w:rsidR="001D04C0">
        <w:t>-19 to</w:t>
      </w:r>
      <w:r w:rsidR="00432265">
        <w:t xml:space="preserve"> 202</w:t>
      </w:r>
      <w:r w:rsidR="00A4298F">
        <w:t>1-22 but not in 2022-23</w:t>
      </w:r>
      <w:r w:rsidR="001D04C0">
        <w:t xml:space="preserve"> (</w:t>
      </w:r>
      <w:r w:rsidR="001D04C0">
        <w:fldChar w:fldCharType="begin"/>
      </w:r>
      <w:r w:rsidR="001D04C0">
        <w:instrText xml:space="preserve"> REF _Ref201745147 \h </w:instrText>
      </w:r>
      <w:r w:rsidR="001D04C0">
        <w:fldChar w:fldCharType="separate"/>
      </w:r>
      <w:r w:rsidR="00775C29">
        <w:t xml:space="preserve">Table </w:t>
      </w:r>
      <w:r w:rsidR="00775C29">
        <w:rPr>
          <w:noProof/>
        </w:rPr>
        <w:t>4</w:t>
      </w:r>
      <w:r w:rsidR="001D04C0">
        <w:fldChar w:fldCharType="end"/>
      </w:r>
      <w:r w:rsidR="001D04C0">
        <w:t>). The application states that it</w:t>
      </w:r>
      <w:r w:rsidR="00DB2613">
        <w:t xml:space="preserve"> is not a mainstay of treatment in Australia</w:t>
      </w:r>
      <w:r w:rsidR="00A64C6A">
        <w:t>.</w:t>
      </w:r>
      <w:r w:rsidR="003748DA">
        <w:t xml:space="preserve"> </w:t>
      </w:r>
    </w:p>
    <w:p w14:paraId="7CBDF34D" w14:textId="1B61E602" w:rsidR="00A27915" w:rsidRDefault="00AA2425" w:rsidP="00286FF7">
      <w:r w:rsidRPr="00AA2425">
        <w:t xml:space="preserve">For </w:t>
      </w:r>
      <w:r>
        <w:t>patients</w:t>
      </w:r>
      <w:r w:rsidRPr="00AA2425">
        <w:t xml:space="preserve"> </w:t>
      </w:r>
      <w:r w:rsidR="00AD4C18">
        <w:t xml:space="preserve">with cHMB </w:t>
      </w:r>
      <w:r w:rsidR="00FD7B12">
        <w:t>and</w:t>
      </w:r>
      <w:r w:rsidRPr="00AA2425">
        <w:t xml:space="preserve"> low-responding inhibitor</w:t>
      </w:r>
      <w:r>
        <w:t>s</w:t>
      </w:r>
      <w:r w:rsidRPr="00AA2425">
        <w:t xml:space="preserve">, acute bleeds can be managed with continuing use of </w:t>
      </w:r>
      <w:r w:rsidR="00C65CD4">
        <w:t>F</w:t>
      </w:r>
      <w:r w:rsidRPr="00AA2425">
        <w:t xml:space="preserve">IX product, </w:t>
      </w:r>
      <w:r w:rsidR="002B14B8">
        <w:t xml:space="preserve">at a higher dose, </w:t>
      </w:r>
      <w:r w:rsidRPr="00AA2425">
        <w:t>provided there is no allergic response</w:t>
      </w:r>
      <w:r w:rsidR="0003134F">
        <w:t xml:space="preserve"> (</w:t>
      </w:r>
      <w:r w:rsidR="0003134F" w:rsidRPr="00A81D2F">
        <w:t>Srivastava et al. 2020)</w:t>
      </w:r>
      <w:r w:rsidRPr="00AA2425">
        <w:t>.</w:t>
      </w:r>
      <w:r w:rsidR="00182D38">
        <w:t xml:space="preserve"> </w:t>
      </w:r>
    </w:p>
    <w:p w14:paraId="50C160E2" w14:textId="44464C00" w:rsidR="00F33B41" w:rsidRDefault="0003134F" w:rsidP="00F34FA1">
      <w:r>
        <w:t>For</w:t>
      </w:r>
      <w:r w:rsidR="00182D38">
        <w:t xml:space="preserve"> acute bleeds in</w:t>
      </w:r>
      <w:r>
        <w:t xml:space="preserve"> patients with </w:t>
      </w:r>
      <w:r w:rsidR="00FD7B12">
        <w:t xml:space="preserve">cHMB and </w:t>
      </w:r>
      <w:r>
        <w:t xml:space="preserve">high-responding inhibitors and/or </w:t>
      </w:r>
      <w:r w:rsidR="00CE3359">
        <w:t xml:space="preserve">allergic reactions, </w:t>
      </w:r>
      <w:r w:rsidR="007C6536">
        <w:t>a bypassing agent (BPA) is used</w:t>
      </w:r>
      <w:r w:rsidR="00D30B36">
        <w:t xml:space="preserve">. </w:t>
      </w:r>
      <w:r w:rsidR="001974F6">
        <w:t xml:space="preserve">The two </w:t>
      </w:r>
      <w:r w:rsidR="00D845EC">
        <w:t>BPAs a</w:t>
      </w:r>
      <w:r w:rsidR="00D30B36">
        <w:t xml:space="preserve">vailable </w:t>
      </w:r>
      <w:r w:rsidR="00D845EC">
        <w:t>in Australia</w:t>
      </w:r>
      <w:r w:rsidR="00D30B36">
        <w:t xml:space="preserve"> are listed in </w:t>
      </w:r>
      <w:r w:rsidR="00A55D4D">
        <w:fldChar w:fldCharType="begin"/>
      </w:r>
      <w:r w:rsidR="00A55D4D">
        <w:instrText xml:space="preserve"> REF _Ref201580995 \h </w:instrText>
      </w:r>
      <w:r w:rsidR="00A55D4D">
        <w:fldChar w:fldCharType="separate"/>
      </w:r>
      <w:r w:rsidR="00775C29">
        <w:t xml:space="preserve">Table </w:t>
      </w:r>
      <w:r w:rsidR="00775C29">
        <w:rPr>
          <w:noProof/>
        </w:rPr>
        <w:t>3</w:t>
      </w:r>
      <w:r w:rsidR="00A55D4D">
        <w:fldChar w:fldCharType="end"/>
      </w:r>
      <w:r w:rsidR="007C6536">
        <w:t xml:space="preserve">. In </w:t>
      </w:r>
      <w:r w:rsidR="00C33B3F">
        <w:t>c</w:t>
      </w:r>
      <w:r w:rsidR="007C6536">
        <w:t xml:space="preserve">HMB, </w:t>
      </w:r>
      <w:r w:rsidR="00155943">
        <w:t>r</w:t>
      </w:r>
      <w:r w:rsidR="00633906" w:rsidRPr="00633906">
        <w:t xml:space="preserve">ecombinant activated </w:t>
      </w:r>
      <w:r w:rsidR="0078733E">
        <w:t>F</w:t>
      </w:r>
      <w:r w:rsidR="00633906" w:rsidRPr="00633906">
        <w:t>actor VIIa</w:t>
      </w:r>
      <w:r w:rsidR="00D63CEB" w:rsidRPr="00D63CEB">
        <w:t xml:space="preserve"> </w:t>
      </w:r>
      <w:r w:rsidR="00155943">
        <w:t>(rF</w:t>
      </w:r>
      <w:r w:rsidR="00D63CEB" w:rsidRPr="00D63CEB">
        <w:t>VIIa</w:t>
      </w:r>
      <w:r w:rsidR="00155943">
        <w:t>)</w:t>
      </w:r>
      <w:r w:rsidR="00D63CEB" w:rsidRPr="00D63CEB">
        <w:t xml:space="preserve"> is preferred </w:t>
      </w:r>
      <w:r w:rsidR="00184DD0">
        <w:t xml:space="preserve">over </w:t>
      </w:r>
      <w:r w:rsidR="00184DD0" w:rsidRPr="002D2250">
        <w:t>activated prothrombin complex concentrate</w:t>
      </w:r>
      <w:r w:rsidR="00184DD0">
        <w:t xml:space="preserve"> (</w:t>
      </w:r>
      <w:r w:rsidR="00184DD0" w:rsidRPr="00D63CEB">
        <w:t>aPCC</w:t>
      </w:r>
      <w:r w:rsidR="00184DD0">
        <w:t xml:space="preserve">) </w:t>
      </w:r>
      <w:r w:rsidR="00D63CEB" w:rsidRPr="00D63CEB">
        <w:t xml:space="preserve">due to the presence of </w:t>
      </w:r>
      <w:r w:rsidR="00D63CEB">
        <w:t>F</w:t>
      </w:r>
      <w:r w:rsidR="00D63CEB" w:rsidRPr="00D63CEB">
        <w:t xml:space="preserve">IX in </w:t>
      </w:r>
      <w:r w:rsidR="00283B9A">
        <w:t xml:space="preserve">the latter, </w:t>
      </w:r>
      <w:r w:rsidR="005F1CDE">
        <w:t xml:space="preserve">which may trigger </w:t>
      </w:r>
      <w:r w:rsidR="00460FD7">
        <w:t>anaphylaxis</w:t>
      </w:r>
      <w:r w:rsidR="00783968">
        <w:t xml:space="preserve"> </w:t>
      </w:r>
      <w:r w:rsidR="00786A57">
        <w:t>(</w:t>
      </w:r>
      <w:r w:rsidR="00783968">
        <w:t xml:space="preserve">this is reflected in the infrequent use of aPCC in patients </w:t>
      </w:r>
      <w:r w:rsidR="00C6252B">
        <w:t xml:space="preserve">with cHMB </w:t>
      </w:r>
      <w:r w:rsidR="00783968">
        <w:t xml:space="preserve">recorded in the </w:t>
      </w:r>
      <w:r w:rsidR="0017480E">
        <w:t>ABDR</w:t>
      </w:r>
      <w:r w:rsidR="00786A57">
        <w:t>;</w:t>
      </w:r>
      <w:r w:rsidR="0017480E">
        <w:t xml:space="preserve"> </w:t>
      </w:r>
      <w:r w:rsidR="0017480E">
        <w:fldChar w:fldCharType="begin"/>
      </w:r>
      <w:r w:rsidR="0017480E">
        <w:instrText xml:space="preserve"> REF _Ref201745147 \h </w:instrText>
      </w:r>
      <w:r w:rsidR="0017480E">
        <w:fldChar w:fldCharType="separate"/>
      </w:r>
      <w:r w:rsidR="00775C29">
        <w:t xml:space="preserve">Table </w:t>
      </w:r>
      <w:r w:rsidR="00775C29">
        <w:rPr>
          <w:noProof/>
        </w:rPr>
        <w:t>4</w:t>
      </w:r>
      <w:r w:rsidR="0017480E">
        <w:fldChar w:fldCharType="end"/>
      </w:r>
      <w:r w:rsidR="0017480E">
        <w:t>)</w:t>
      </w:r>
      <w:r w:rsidR="00F14C3C">
        <w:t>.</w:t>
      </w:r>
      <w:r w:rsidR="0017480E">
        <w:t xml:space="preserve"> </w:t>
      </w:r>
    </w:p>
    <w:p w14:paraId="18F5417F" w14:textId="1D70BD3F" w:rsidR="002F5C65" w:rsidRDefault="005141A7" w:rsidP="00286FF7">
      <w:r>
        <w:t xml:space="preserve">When used to control bleeding, rFVIIa </w:t>
      </w:r>
      <w:r w:rsidR="00AB14F4">
        <w:t xml:space="preserve">is administered every 2-3 hours </w:t>
      </w:r>
      <w:r w:rsidR="00BD734D">
        <w:t>and then every 3-12</w:t>
      </w:r>
      <w:r w:rsidR="009E14A2">
        <w:t xml:space="preserve"> hours if necessary.</w:t>
      </w:r>
      <w:r w:rsidR="00661A23">
        <w:t xml:space="preserve"> </w:t>
      </w:r>
      <w:r w:rsidR="00891B6E">
        <w:t xml:space="preserve">Recombinant </w:t>
      </w:r>
      <w:r w:rsidR="00F0328F">
        <w:t xml:space="preserve">FVIIa </w:t>
      </w:r>
      <w:r w:rsidR="00FB1160">
        <w:t>is also indicated</w:t>
      </w:r>
      <w:r w:rsidR="00891B6E">
        <w:t xml:space="preserve"> for surgical prophylaxis</w:t>
      </w:r>
      <w:r w:rsidR="0054284E">
        <w:t xml:space="preserve"> and</w:t>
      </w:r>
      <w:r w:rsidR="00891B6E">
        <w:t xml:space="preserve"> </w:t>
      </w:r>
      <w:r w:rsidR="00F0328F">
        <w:t>for s</w:t>
      </w:r>
      <w:r w:rsidR="00777165">
        <w:t xml:space="preserve">hort-term </w:t>
      </w:r>
      <w:r w:rsidR="00F0328F">
        <w:t>prophylaxis</w:t>
      </w:r>
      <w:r w:rsidR="00FB1160">
        <w:t xml:space="preserve"> for up to 3 months</w:t>
      </w:r>
      <w:r w:rsidR="00300DE2">
        <w:t xml:space="preserve"> in patients with a high bleeding frequency (</w:t>
      </w:r>
      <w:r w:rsidR="00300DE2">
        <w:rPr>
          <w:rFonts w:cs="Calibri"/>
        </w:rPr>
        <w:t>≥</w:t>
      </w:r>
      <w:r w:rsidR="00300DE2">
        <w:t>4 bleeding episodes per month)</w:t>
      </w:r>
      <w:r w:rsidR="0054284E">
        <w:t>.</w:t>
      </w:r>
      <w:r w:rsidR="00567D2B">
        <w:t xml:space="preserve"> </w:t>
      </w:r>
      <w:r w:rsidR="0054284E">
        <w:t>Short-term prophylactic t</w:t>
      </w:r>
      <w:r w:rsidR="00F0328F">
        <w:t xml:space="preserve">reatment is once daily </w:t>
      </w:r>
      <w:r w:rsidR="00950BF2">
        <w:t>via IV infusion.</w:t>
      </w:r>
      <w:r w:rsidR="00777165">
        <w:t xml:space="preserve"> </w:t>
      </w:r>
    </w:p>
    <w:p w14:paraId="40C80728" w14:textId="411D87B8" w:rsidR="0011286F" w:rsidRDefault="006464BC" w:rsidP="00286FF7">
      <w:r>
        <w:t>The ABDR notes, with respect to BPAs (</w:t>
      </w:r>
      <w:r w:rsidR="00440D9A">
        <w:t>in</w:t>
      </w:r>
      <w:r>
        <w:t xml:space="preserve"> </w:t>
      </w:r>
      <w:r w:rsidR="003D3E5A">
        <w:t>c</w:t>
      </w:r>
      <w:r>
        <w:t xml:space="preserve">HMA and </w:t>
      </w:r>
      <w:r w:rsidR="003D3E5A">
        <w:t>c</w:t>
      </w:r>
      <w:r>
        <w:t xml:space="preserve">HMB), that “predicting or interpreting changing demand trends is not possible with any accuracy, as the product is only used in a small number of patients each year. Use patterns will vary from year to year and will not only depend on the number of patients treated, but their severity of disease, the potency of inhibitors, whether secondary prophylaxis is </w:t>
      </w:r>
      <w:r>
        <w:lastRenderedPageBreak/>
        <w:t>practiced, the number and severity of spontaneous bleeds, and the amount of elective surgery undertaken in this patient group” (</w:t>
      </w:r>
      <w:r w:rsidRPr="00595451">
        <w:t>ABDR</w:t>
      </w:r>
      <w:r w:rsidR="00595451" w:rsidRPr="00595451">
        <w:t>, 20</w:t>
      </w:r>
      <w:r w:rsidRPr="00595451">
        <w:t>22</w:t>
      </w:r>
      <w:r>
        <w:t>)</w:t>
      </w:r>
      <w:r w:rsidR="002469F6">
        <w:t xml:space="preserve">. </w:t>
      </w:r>
    </w:p>
    <w:p w14:paraId="6C44B511" w14:textId="581AFA4A" w:rsidR="006464BC" w:rsidRDefault="002469F6" w:rsidP="00286FF7">
      <w:r>
        <w:t xml:space="preserve">The applicant </w:t>
      </w:r>
      <w:r w:rsidR="00EB01FA">
        <w:t>advised (pre-PASC meeting, 27 June 2025)</w:t>
      </w:r>
      <w:r w:rsidR="006F38CD">
        <w:t xml:space="preserve"> that not all rFVIIa use is recorded in the ABDR</w:t>
      </w:r>
      <w:r w:rsidR="00760043">
        <w:t xml:space="preserve">, </w:t>
      </w:r>
      <w:r w:rsidR="00293043">
        <w:t>and that uptake varies due to the small number of patients</w:t>
      </w:r>
      <w:r w:rsidR="005664BD">
        <w:t>,</w:t>
      </w:r>
      <w:r w:rsidR="00293043">
        <w:t xml:space="preserve"> some of whom are enrolled in trials for </w:t>
      </w:r>
      <w:r w:rsidR="00A97FA5">
        <w:t>investigational products</w:t>
      </w:r>
      <w:r w:rsidR="00480D1C">
        <w:t>.</w:t>
      </w:r>
      <w:r w:rsidR="00A97FA5">
        <w:t xml:space="preserve"> </w:t>
      </w:r>
      <w:r w:rsidR="00480D1C">
        <w:t>T</w:t>
      </w:r>
      <w:r w:rsidR="00760043">
        <w:t>herefore</w:t>
      </w:r>
      <w:r w:rsidR="00480D1C">
        <w:t>,</w:t>
      </w:r>
      <w:r w:rsidR="00760043">
        <w:t xml:space="preserve"> </w:t>
      </w:r>
      <w:r w:rsidR="00A97FA5">
        <w:t xml:space="preserve">no trend should be inferred from </w:t>
      </w:r>
      <w:r w:rsidR="00A97FA5">
        <w:fldChar w:fldCharType="begin"/>
      </w:r>
      <w:r w:rsidR="00A97FA5">
        <w:instrText xml:space="preserve"> REF _Ref201745147 \h </w:instrText>
      </w:r>
      <w:r w:rsidR="00A97FA5">
        <w:fldChar w:fldCharType="separate"/>
      </w:r>
      <w:r w:rsidR="00775C29">
        <w:t xml:space="preserve">Table </w:t>
      </w:r>
      <w:r w:rsidR="00775C29">
        <w:rPr>
          <w:noProof/>
        </w:rPr>
        <w:t>4</w:t>
      </w:r>
      <w:r w:rsidR="00A97FA5">
        <w:fldChar w:fldCharType="end"/>
      </w:r>
      <w:r w:rsidR="00A97FA5">
        <w:t>.</w:t>
      </w:r>
    </w:p>
    <w:p w14:paraId="2BFBA48E" w14:textId="0A7CA039" w:rsidR="00286885" w:rsidRDefault="00286885" w:rsidP="00286885">
      <w:pPr>
        <w:pStyle w:val="Caption"/>
      </w:pPr>
      <w:bookmarkStart w:id="5" w:name="_Ref201580995"/>
      <w:r>
        <w:t xml:space="preserve">Table </w:t>
      </w:r>
      <w:r>
        <w:fldChar w:fldCharType="begin"/>
      </w:r>
      <w:r>
        <w:instrText xml:space="preserve"> SEQ Table \* ARABIC </w:instrText>
      </w:r>
      <w:r>
        <w:fldChar w:fldCharType="separate"/>
      </w:r>
      <w:r w:rsidR="00775C29">
        <w:rPr>
          <w:noProof/>
        </w:rPr>
        <w:t>3</w:t>
      </w:r>
      <w:r>
        <w:fldChar w:fldCharType="end"/>
      </w:r>
      <w:bookmarkEnd w:id="5"/>
      <w:r>
        <w:tab/>
        <w:t>Bypassing agents on the National Product Price List</w:t>
      </w:r>
    </w:p>
    <w:tbl>
      <w:tblPr>
        <w:tblStyle w:val="TableGrid"/>
        <w:tblW w:w="0" w:type="auto"/>
        <w:tblInd w:w="0" w:type="dxa"/>
        <w:tblLook w:val="04A0" w:firstRow="1" w:lastRow="0" w:firstColumn="1" w:lastColumn="0" w:noHBand="0" w:noVBand="1"/>
        <w:tblCaption w:val="Bypassing agents on the National Product Price List"/>
        <w:tblDescription w:val="Table shows the two bypassing agents on the National Product Price List, their suppliers, dosage and price."/>
      </w:tblPr>
      <w:tblGrid>
        <w:gridCol w:w="3190"/>
        <w:gridCol w:w="3190"/>
        <w:gridCol w:w="3191"/>
      </w:tblGrid>
      <w:tr w:rsidR="00AB7AC1" w14:paraId="686CEECF" w14:textId="77777777" w:rsidTr="00AB7AC1">
        <w:tc>
          <w:tcPr>
            <w:tcW w:w="3190" w:type="dxa"/>
          </w:tcPr>
          <w:p w14:paraId="586ED88B" w14:textId="7EFDF1C9" w:rsidR="00AB7AC1" w:rsidRDefault="00694D83" w:rsidP="00AB7AC1">
            <w:pPr>
              <w:pStyle w:val="TableHeading"/>
            </w:pPr>
            <w:r>
              <w:t>Product</w:t>
            </w:r>
          </w:p>
        </w:tc>
        <w:tc>
          <w:tcPr>
            <w:tcW w:w="3190" w:type="dxa"/>
          </w:tcPr>
          <w:p w14:paraId="60E8E6E3" w14:textId="77777777" w:rsidR="00AB7AC1" w:rsidRDefault="00694D83" w:rsidP="00AB7AC1">
            <w:pPr>
              <w:pStyle w:val="TableHeading"/>
            </w:pPr>
            <w:r>
              <w:t>Supplier</w:t>
            </w:r>
          </w:p>
          <w:p w14:paraId="2F7637DF" w14:textId="6369530B" w:rsidR="00694D83" w:rsidRDefault="00694D83" w:rsidP="00AB7AC1">
            <w:pPr>
              <w:pStyle w:val="TableHeading"/>
            </w:pPr>
            <w:r>
              <w:t>Dosage</w:t>
            </w:r>
          </w:p>
        </w:tc>
        <w:tc>
          <w:tcPr>
            <w:tcW w:w="3191" w:type="dxa"/>
          </w:tcPr>
          <w:p w14:paraId="654A24A6" w14:textId="7A407902" w:rsidR="00AB7AC1" w:rsidRDefault="00694D83" w:rsidP="00AB7AC1">
            <w:pPr>
              <w:pStyle w:val="TableHeading"/>
            </w:pPr>
            <w:r>
              <w:t>Cost</w:t>
            </w:r>
          </w:p>
        </w:tc>
      </w:tr>
      <w:tr w:rsidR="0048680F" w14:paraId="06B469E5" w14:textId="77777777" w:rsidTr="00AB7AC1">
        <w:tc>
          <w:tcPr>
            <w:tcW w:w="3190" w:type="dxa"/>
          </w:tcPr>
          <w:p w14:paraId="5B36F8AA" w14:textId="77777777" w:rsidR="0048680F" w:rsidRDefault="0048680F" w:rsidP="00D9791D">
            <w:pPr>
              <w:pStyle w:val="TableText0"/>
              <w:rPr>
                <w:szCs w:val="20"/>
              </w:rPr>
            </w:pPr>
            <w:r w:rsidRPr="004A5756">
              <w:rPr>
                <w:szCs w:val="20"/>
              </w:rPr>
              <w:t>NovoSeven</w:t>
            </w:r>
            <w:r>
              <w:rPr>
                <w:szCs w:val="20"/>
              </w:rPr>
              <w:t xml:space="preserve"> </w:t>
            </w:r>
            <w:r w:rsidRPr="003F5215">
              <w:rPr>
                <w:szCs w:val="20"/>
              </w:rPr>
              <w:t>(eptacog alfa)</w:t>
            </w:r>
          </w:p>
          <w:p w14:paraId="66EE86A5" w14:textId="77777777" w:rsidR="0048680F" w:rsidRDefault="0048680F" w:rsidP="00D9791D">
            <w:pPr>
              <w:pStyle w:val="TableText0"/>
            </w:pPr>
            <w:r>
              <w:t xml:space="preserve">Factor VIIa (recombinant - imported) </w:t>
            </w:r>
          </w:p>
        </w:tc>
        <w:tc>
          <w:tcPr>
            <w:tcW w:w="3190" w:type="dxa"/>
          </w:tcPr>
          <w:p w14:paraId="67B04F91" w14:textId="77777777" w:rsidR="0048680F" w:rsidRDefault="0048680F" w:rsidP="00150C9D">
            <w:pPr>
              <w:pStyle w:val="TableText0"/>
            </w:pPr>
            <w:r>
              <w:t>Novo Nordisk Pharmaceuticals Pty Ltd</w:t>
            </w:r>
          </w:p>
          <w:p w14:paraId="71E94F88" w14:textId="77777777" w:rsidR="0048680F" w:rsidRDefault="0048680F" w:rsidP="00150C9D">
            <w:pPr>
              <w:pStyle w:val="TableText0"/>
            </w:pPr>
            <w:r>
              <w:t>1mg/2mg/5mg and 8mg</w:t>
            </w:r>
          </w:p>
        </w:tc>
        <w:tc>
          <w:tcPr>
            <w:tcW w:w="3191" w:type="dxa"/>
          </w:tcPr>
          <w:p w14:paraId="1E9CF6CA" w14:textId="77777777" w:rsidR="0048680F" w:rsidRDefault="0048680F" w:rsidP="00D9791D">
            <w:pPr>
              <w:pStyle w:val="TableText0"/>
            </w:pPr>
            <w:r>
              <w:t>$1,250.00 per mg</w:t>
            </w:r>
          </w:p>
        </w:tc>
      </w:tr>
      <w:tr w:rsidR="00D9791D" w14:paraId="41284ACA" w14:textId="77777777" w:rsidTr="00AB7AC1">
        <w:tc>
          <w:tcPr>
            <w:tcW w:w="3190" w:type="dxa"/>
          </w:tcPr>
          <w:p w14:paraId="125565C5" w14:textId="063BBD2C" w:rsidR="0072198E" w:rsidRDefault="00D9791D" w:rsidP="00D9791D">
            <w:pPr>
              <w:pStyle w:val="TableText0"/>
              <w:rPr>
                <w:szCs w:val="20"/>
              </w:rPr>
            </w:pPr>
            <w:r w:rsidRPr="004A5756">
              <w:rPr>
                <w:szCs w:val="20"/>
              </w:rPr>
              <w:t>FEIBA</w:t>
            </w:r>
          </w:p>
          <w:p w14:paraId="36127ABA" w14:textId="4CD636D7" w:rsidR="00D9791D" w:rsidRDefault="00F87891" w:rsidP="00D9791D">
            <w:pPr>
              <w:pStyle w:val="TableText0"/>
            </w:pPr>
            <w:r>
              <w:t>Factor VIII Activated Prothrombin Complex Concentrate APCC) (plasma derived - imported)</w:t>
            </w:r>
          </w:p>
        </w:tc>
        <w:tc>
          <w:tcPr>
            <w:tcW w:w="3190" w:type="dxa"/>
          </w:tcPr>
          <w:p w14:paraId="3B130071" w14:textId="77777777" w:rsidR="001C3C51" w:rsidRDefault="001C3C51" w:rsidP="00D300C0">
            <w:pPr>
              <w:pStyle w:val="TableText0"/>
            </w:pPr>
            <w:r>
              <w:t>Takeda Pharmaceuticals Australia</w:t>
            </w:r>
          </w:p>
          <w:p w14:paraId="7DFB1140" w14:textId="6304BD0D" w:rsidR="00D9791D" w:rsidRDefault="00D300C0" w:rsidP="00D300C0">
            <w:pPr>
              <w:pStyle w:val="TableText0"/>
            </w:pPr>
            <w:r>
              <w:t>500 IU/ 2500IU</w:t>
            </w:r>
          </w:p>
        </w:tc>
        <w:tc>
          <w:tcPr>
            <w:tcW w:w="3191" w:type="dxa"/>
          </w:tcPr>
          <w:p w14:paraId="23D1C2BB" w14:textId="0C466D25" w:rsidR="00D9791D" w:rsidRDefault="00F87891" w:rsidP="00D9791D">
            <w:pPr>
              <w:pStyle w:val="TableText0"/>
            </w:pPr>
            <w:r w:rsidRPr="00F87891">
              <w:t>$1,140.00</w:t>
            </w:r>
            <w:r>
              <w:t xml:space="preserve"> per 500 IU</w:t>
            </w:r>
          </w:p>
        </w:tc>
      </w:tr>
    </w:tbl>
    <w:p w14:paraId="3D7A5653" w14:textId="61AEDA8A" w:rsidR="007C04EC" w:rsidRDefault="007C04EC" w:rsidP="007C04EC">
      <w:pPr>
        <w:pStyle w:val="Tablenotes"/>
        <w:spacing w:after="0"/>
      </w:pPr>
      <w:r>
        <w:t>IU = international units; mg = milligram</w:t>
      </w:r>
    </w:p>
    <w:p w14:paraId="6FB03315" w14:textId="6CD0240F" w:rsidR="00304D7C" w:rsidRDefault="00286885" w:rsidP="000C0980">
      <w:pPr>
        <w:pStyle w:val="Tablenotes"/>
      </w:pPr>
      <w:r>
        <w:t xml:space="preserve">Source: </w:t>
      </w:r>
      <w:hyperlink r:id="rId9" w:tooltip="Link to the website of the National Product Price List" w:history="1">
        <w:r w:rsidRPr="00531BD7">
          <w:rPr>
            <w:rStyle w:val="Hyperlink"/>
            <w:rFonts w:ascii="Calibri" w:hAnsi="Calibri"/>
          </w:rPr>
          <w:t>National Product Price List</w:t>
        </w:r>
      </w:hyperlink>
      <w:r>
        <w:t xml:space="preserve"> </w:t>
      </w:r>
    </w:p>
    <w:p w14:paraId="7F25952A" w14:textId="0A5EC1AC" w:rsidR="009C2C77" w:rsidRDefault="009C2C77" w:rsidP="009C2C77">
      <w:pPr>
        <w:pStyle w:val="Caption"/>
      </w:pPr>
      <w:bookmarkStart w:id="6" w:name="_Ref201745147"/>
      <w:r>
        <w:t xml:space="preserve">Table </w:t>
      </w:r>
      <w:r>
        <w:fldChar w:fldCharType="begin"/>
      </w:r>
      <w:r>
        <w:instrText xml:space="preserve"> SEQ Table \* ARABIC </w:instrText>
      </w:r>
      <w:r>
        <w:fldChar w:fldCharType="separate"/>
      </w:r>
      <w:r w:rsidR="00775C29">
        <w:rPr>
          <w:noProof/>
        </w:rPr>
        <w:t>4</w:t>
      </w:r>
      <w:r>
        <w:fldChar w:fldCharType="end"/>
      </w:r>
      <w:bookmarkEnd w:id="6"/>
      <w:r>
        <w:tab/>
        <w:t>Volume of</w:t>
      </w:r>
      <w:r w:rsidR="00F111D7">
        <w:t xml:space="preserve"> BPA</w:t>
      </w:r>
      <w:r>
        <w:t xml:space="preserve"> product</w:t>
      </w:r>
      <w:r w:rsidR="00F111D7">
        <w:t xml:space="preserve"> and FIX for tolerisation</w:t>
      </w:r>
      <w:r>
        <w:t xml:space="preserve"> </w:t>
      </w:r>
      <w:r w:rsidR="00F111D7">
        <w:t xml:space="preserve">used by </w:t>
      </w:r>
      <w:r w:rsidR="000D1460">
        <w:t xml:space="preserve">adult </w:t>
      </w:r>
      <w:r w:rsidR="00F111D7">
        <w:t>patients</w:t>
      </w:r>
      <w:r w:rsidR="00F168A5">
        <w:t xml:space="preserve"> with cHMB</w:t>
      </w:r>
      <w:r w:rsidR="00F111D7">
        <w:t xml:space="preserve"> </w:t>
      </w:r>
      <w:r w:rsidR="00980468">
        <w:t>from 2018-19 to 2022-23</w:t>
      </w:r>
    </w:p>
    <w:tbl>
      <w:tblPr>
        <w:tblStyle w:val="TableGrid"/>
        <w:tblW w:w="0" w:type="auto"/>
        <w:tblInd w:w="0" w:type="dxa"/>
        <w:tblLook w:val="04A0" w:firstRow="1" w:lastRow="0" w:firstColumn="1" w:lastColumn="0" w:noHBand="0" w:noVBand="1"/>
        <w:tblCaption w:val="Volume of BPA product and FIX for tolerisation used by adult HMB patients from 2018-19 to 2022-23"/>
        <w:tblDescription w:val="Table shows the volume of BPA product and FIX for tolerisation over the financial years 2018-19 to 2022-23 as reported by the ABDR Annual Reports."/>
      </w:tblPr>
      <w:tblGrid>
        <w:gridCol w:w="1595"/>
        <w:gridCol w:w="1595"/>
        <w:gridCol w:w="1595"/>
        <w:gridCol w:w="1595"/>
        <w:gridCol w:w="1595"/>
        <w:gridCol w:w="1596"/>
      </w:tblGrid>
      <w:tr w:rsidR="00B94D9A" w14:paraId="5513A054" w14:textId="77777777" w:rsidTr="00B94D9A">
        <w:tc>
          <w:tcPr>
            <w:tcW w:w="1595" w:type="dxa"/>
          </w:tcPr>
          <w:p w14:paraId="13CA113E" w14:textId="28C72AAF" w:rsidR="00B94D9A" w:rsidRDefault="00D3365A" w:rsidP="00D3365A">
            <w:pPr>
              <w:pStyle w:val="TableHeading"/>
            </w:pPr>
            <w:r>
              <w:t>Product</w:t>
            </w:r>
          </w:p>
        </w:tc>
        <w:tc>
          <w:tcPr>
            <w:tcW w:w="1595" w:type="dxa"/>
          </w:tcPr>
          <w:p w14:paraId="4A043D0E" w14:textId="5769C3E4" w:rsidR="00B94D9A" w:rsidRDefault="00A84BDC" w:rsidP="00D3365A">
            <w:pPr>
              <w:pStyle w:val="TableHeading"/>
            </w:pPr>
            <w:r>
              <w:t>2018-19</w:t>
            </w:r>
          </w:p>
        </w:tc>
        <w:tc>
          <w:tcPr>
            <w:tcW w:w="1595" w:type="dxa"/>
          </w:tcPr>
          <w:p w14:paraId="1FA73182" w14:textId="28550BFB" w:rsidR="00B94D9A" w:rsidRDefault="00A84BDC" w:rsidP="00D3365A">
            <w:pPr>
              <w:pStyle w:val="TableHeading"/>
            </w:pPr>
            <w:r>
              <w:t>2019-20</w:t>
            </w:r>
          </w:p>
        </w:tc>
        <w:tc>
          <w:tcPr>
            <w:tcW w:w="1595" w:type="dxa"/>
          </w:tcPr>
          <w:p w14:paraId="6C22FF85" w14:textId="0DE52713" w:rsidR="00B94D9A" w:rsidRDefault="00A84BDC" w:rsidP="00D3365A">
            <w:pPr>
              <w:pStyle w:val="TableHeading"/>
            </w:pPr>
            <w:r>
              <w:t>2020-21</w:t>
            </w:r>
          </w:p>
        </w:tc>
        <w:tc>
          <w:tcPr>
            <w:tcW w:w="1595" w:type="dxa"/>
          </w:tcPr>
          <w:p w14:paraId="15B19378" w14:textId="311F7EDC" w:rsidR="00B94D9A" w:rsidRDefault="00A84BDC" w:rsidP="00D3365A">
            <w:pPr>
              <w:pStyle w:val="TableHeading"/>
            </w:pPr>
            <w:r>
              <w:t>2021-22</w:t>
            </w:r>
          </w:p>
        </w:tc>
        <w:tc>
          <w:tcPr>
            <w:tcW w:w="1596" w:type="dxa"/>
          </w:tcPr>
          <w:p w14:paraId="587329B3" w14:textId="036C31CD" w:rsidR="00B94D9A" w:rsidRDefault="00D3365A" w:rsidP="00D3365A">
            <w:pPr>
              <w:pStyle w:val="TableHeading"/>
            </w:pPr>
            <w:r>
              <w:t>202</w:t>
            </w:r>
            <w:r w:rsidR="001F1266">
              <w:t>2</w:t>
            </w:r>
            <w:r w:rsidR="00A84BDC">
              <w:t>-2</w:t>
            </w:r>
            <w:r w:rsidR="001F1266">
              <w:t>3</w:t>
            </w:r>
          </w:p>
        </w:tc>
      </w:tr>
      <w:tr w:rsidR="001F1266" w14:paraId="7FA49375" w14:textId="77777777" w:rsidTr="00B94D9A">
        <w:tc>
          <w:tcPr>
            <w:tcW w:w="1595" w:type="dxa"/>
          </w:tcPr>
          <w:p w14:paraId="6CFA8A5C" w14:textId="03CD47FD" w:rsidR="001F1266" w:rsidRDefault="001F1266" w:rsidP="001F1266">
            <w:pPr>
              <w:pStyle w:val="TableText0"/>
            </w:pPr>
            <w:r>
              <w:t>Factor VIIa (NovoSeven)</w:t>
            </w:r>
            <w:r w:rsidR="00A7096F">
              <w:t xml:space="preserve"> (mg)</w:t>
            </w:r>
          </w:p>
        </w:tc>
        <w:tc>
          <w:tcPr>
            <w:tcW w:w="1595" w:type="dxa"/>
          </w:tcPr>
          <w:p w14:paraId="629ACF13" w14:textId="1398958C" w:rsidR="001F1266" w:rsidRDefault="004257D9" w:rsidP="001F1266">
            <w:pPr>
              <w:pStyle w:val="TableText0"/>
            </w:pPr>
            <w:r>
              <w:t>1,902</w:t>
            </w:r>
          </w:p>
        </w:tc>
        <w:tc>
          <w:tcPr>
            <w:tcW w:w="1595" w:type="dxa"/>
          </w:tcPr>
          <w:p w14:paraId="6806FC38" w14:textId="3C2F8289" w:rsidR="001F1266" w:rsidRDefault="001F1266" w:rsidP="001F1266">
            <w:pPr>
              <w:pStyle w:val="TableText0"/>
            </w:pPr>
            <w:r w:rsidRPr="00CC6522">
              <w:t>5,444</w:t>
            </w:r>
          </w:p>
        </w:tc>
        <w:tc>
          <w:tcPr>
            <w:tcW w:w="1595" w:type="dxa"/>
          </w:tcPr>
          <w:p w14:paraId="6F06D4E5" w14:textId="2EC65129" w:rsidR="001F1266" w:rsidRDefault="001F1266" w:rsidP="001F1266">
            <w:pPr>
              <w:pStyle w:val="TableText0"/>
            </w:pPr>
            <w:r w:rsidRPr="00CC6522">
              <w:t>2,3</w:t>
            </w:r>
            <w:r w:rsidR="001C4167">
              <w:t>96</w:t>
            </w:r>
          </w:p>
        </w:tc>
        <w:tc>
          <w:tcPr>
            <w:tcW w:w="1595" w:type="dxa"/>
          </w:tcPr>
          <w:p w14:paraId="74224C40" w14:textId="4C2E3C50" w:rsidR="001F1266" w:rsidRDefault="00FA5706" w:rsidP="001F1266">
            <w:pPr>
              <w:pStyle w:val="TableText0"/>
            </w:pPr>
            <w:r>
              <w:t>1,000</w:t>
            </w:r>
          </w:p>
        </w:tc>
        <w:tc>
          <w:tcPr>
            <w:tcW w:w="1596" w:type="dxa"/>
          </w:tcPr>
          <w:p w14:paraId="62D42537" w14:textId="7918F996" w:rsidR="001F1266" w:rsidRPr="00A7096F" w:rsidRDefault="00A7096F" w:rsidP="00A7096F">
            <w:pPr>
              <w:pStyle w:val="TableText0"/>
            </w:pPr>
            <w:r w:rsidRPr="00A7096F">
              <w:t>120</w:t>
            </w:r>
          </w:p>
        </w:tc>
      </w:tr>
      <w:tr w:rsidR="001F1266" w14:paraId="465A1FB7" w14:textId="77777777" w:rsidTr="00B94D9A">
        <w:tc>
          <w:tcPr>
            <w:tcW w:w="1595" w:type="dxa"/>
          </w:tcPr>
          <w:p w14:paraId="67B9DF98" w14:textId="6AC3BEAE" w:rsidR="001F1266" w:rsidRDefault="001F1266" w:rsidP="001F1266">
            <w:pPr>
              <w:pStyle w:val="TableText0"/>
            </w:pPr>
            <w:r>
              <w:t>aPCC (FEIBA)</w:t>
            </w:r>
            <w:r w:rsidR="00A7096F">
              <w:t xml:space="preserve"> (IU)</w:t>
            </w:r>
          </w:p>
        </w:tc>
        <w:tc>
          <w:tcPr>
            <w:tcW w:w="1595" w:type="dxa"/>
          </w:tcPr>
          <w:p w14:paraId="60C3C03B" w14:textId="0D9E1962" w:rsidR="001F1266" w:rsidRDefault="00E35CCA" w:rsidP="001F1266">
            <w:pPr>
              <w:pStyle w:val="TableText0"/>
            </w:pPr>
            <w:r>
              <w:t>-</w:t>
            </w:r>
          </w:p>
        </w:tc>
        <w:tc>
          <w:tcPr>
            <w:tcW w:w="1595" w:type="dxa"/>
          </w:tcPr>
          <w:p w14:paraId="50B2747E" w14:textId="05AF9B17" w:rsidR="001F1266" w:rsidRDefault="001F1266" w:rsidP="001F1266">
            <w:pPr>
              <w:pStyle w:val="TableText0"/>
            </w:pPr>
            <w:r w:rsidRPr="00CC6522">
              <w:t>130,000</w:t>
            </w:r>
          </w:p>
        </w:tc>
        <w:tc>
          <w:tcPr>
            <w:tcW w:w="1595" w:type="dxa"/>
          </w:tcPr>
          <w:p w14:paraId="692BF68A" w14:textId="7C795DCA" w:rsidR="001F1266" w:rsidRDefault="001F1266" w:rsidP="001F1266">
            <w:pPr>
              <w:pStyle w:val="TableText0"/>
            </w:pPr>
            <w:r>
              <w:t>-</w:t>
            </w:r>
          </w:p>
        </w:tc>
        <w:tc>
          <w:tcPr>
            <w:tcW w:w="1595" w:type="dxa"/>
          </w:tcPr>
          <w:p w14:paraId="569DF422" w14:textId="5710067E" w:rsidR="001F1266" w:rsidRDefault="001F1266" w:rsidP="001F1266">
            <w:pPr>
              <w:pStyle w:val="TableText0"/>
            </w:pPr>
            <w:r>
              <w:t>-</w:t>
            </w:r>
          </w:p>
        </w:tc>
        <w:tc>
          <w:tcPr>
            <w:tcW w:w="1596" w:type="dxa"/>
          </w:tcPr>
          <w:p w14:paraId="04AB9AB1" w14:textId="76B9791C" w:rsidR="001F1266" w:rsidRDefault="00BB2B57" w:rsidP="001F1266">
            <w:pPr>
              <w:pStyle w:val="TableText0"/>
            </w:pPr>
            <w:r>
              <w:t>-</w:t>
            </w:r>
          </w:p>
        </w:tc>
      </w:tr>
      <w:tr w:rsidR="007B6489" w14:paraId="11607F23" w14:textId="77777777" w:rsidTr="00B94D9A">
        <w:tc>
          <w:tcPr>
            <w:tcW w:w="1595" w:type="dxa"/>
          </w:tcPr>
          <w:p w14:paraId="1F0FA509" w14:textId="67665E0F" w:rsidR="007B6489" w:rsidRDefault="007B6489" w:rsidP="001F1266">
            <w:pPr>
              <w:pStyle w:val="TableText0"/>
            </w:pPr>
            <w:r>
              <w:t>FIX (for tolerisation) (IU)</w:t>
            </w:r>
          </w:p>
        </w:tc>
        <w:tc>
          <w:tcPr>
            <w:tcW w:w="1595" w:type="dxa"/>
          </w:tcPr>
          <w:p w14:paraId="363B13ED" w14:textId="0315DB35" w:rsidR="007B6489" w:rsidRDefault="00B71DE3" w:rsidP="001F1266">
            <w:pPr>
              <w:pStyle w:val="TableText0"/>
            </w:pPr>
            <w:r>
              <w:t>488,000</w:t>
            </w:r>
          </w:p>
        </w:tc>
        <w:tc>
          <w:tcPr>
            <w:tcW w:w="1595" w:type="dxa"/>
          </w:tcPr>
          <w:p w14:paraId="137833C8" w14:textId="1D1BFD28" w:rsidR="007B6489" w:rsidRPr="00CC6522" w:rsidRDefault="00015D0C" w:rsidP="001F1266">
            <w:pPr>
              <w:pStyle w:val="TableText0"/>
            </w:pPr>
            <w:r>
              <w:t>465,000</w:t>
            </w:r>
          </w:p>
        </w:tc>
        <w:tc>
          <w:tcPr>
            <w:tcW w:w="1595" w:type="dxa"/>
          </w:tcPr>
          <w:p w14:paraId="05673A7B" w14:textId="4632FBBF" w:rsidR="007B6489" w:rsidRDefault="00831C36" w:rsidP="001F1266">
            <w:pPr>
              <w:pStyle w:val="TableText0"/>
            </w:pPr>
            <w:r>
              <w:t>259,000</w:t>
            </w:r>
          </w:p>
        </w:tc>
        <w:tc>
          <w:tcPr>
            <w:tcW w:w="1595" w:type="dxa"/>
          </w:tcPr>
          <w:p w14:paraId="643B2459" w14:textId="34A0F14A" w:rsidR="007B6489" w:rsidRDefault="00C76703" w:rsidP="001F1266">
            <w:pPr>
              <w:pStyle w:val="TableText0"/>
            </w:pPr>
            <w:r>
              <w:t>26,500</w:t>
            </w:r>
          </w:p>
        </w:tc>
        <w:tc>
          <w:tcPr>
            <w:tcW w:w="1596" w:type="dxa"/>
          </w:tcPr>
          <w:p w14:paraId="4BEE55DB" w14:textId="1914F65D" w:rsidR="007B6489" w:rsidRDefault="009C2C77" w:rsidP="001F1266">
            <w:pPr>
              <w:pStyle w:val="TableText0"/>
            </w:pPr>
            <w:r>
              <w:t>-</w:t>
            </w:r>
          </w:p>
        </w:tc>
      </w:tr>
    </w:tbl>
    <w:p w14:paraId="512CFF60" w14:textId="2E33D711" w:rsidR="00A655DA" w:rsidRDefault="0024792E" w:rsidP="00A655DA">
      <w:pPr>
        <w:pStyle w:val="Tablenotes"/>
        <w:spacing w:after="0"/>
      </w:pPr>
      <w:r>
        <w:t xml:space="preserve">aPCC = activated prothrombin complex concentrate; </w:t>
      </w:r>
      <w:r w:rsidR="009416F0">
        <w:t xml:space="preserve">BPA = bypassing agent; </w:t>
      </w:r>
      <w:r w:rsidR="001D1693">
        <w:t xml:space="preserve">cHMB = congenital Haemophilia B; </w:t>
      </w:r>
      <w:r w:rsidR="009416F0">
        <w:t xml:space="preserve">FIX = </w:t>
      </w:r>
      <w:r w:rsidR="00215BBD">
        <w:t>F</w:t>
      </w:r>
      <w:r w:rsidR="009416F0">
        <w:t xml:space="preserve">actor IX; </w:t>
      </w:r>
      <w:r w:rsidR="00A655DA">
        <w:t>IU = international units; mg = milligram</w:t>
      </w:r>
    </w:p>
    <w:p w14:paraId="27EC2B8C" w14:textId="40E1A2D5" w:rsidR="00304D7C" w:rsidRDefault="00A655DA" w:rsidP="00EA5035">
      <w:pPr>
        <w:pStyle w:val="Tablenotes"/>
        <w:spacing w:after="240"/>
      </w:pPr>
      <w:r w:rsidRPr="00CA2BDF">
        <w:t xml:space="preserve">Source: </w:t>
      </w:r>
      <w:hyperlink r:id="rId10" w:tooltip="Link to the webpage where the ABDR annual reports can be downloaded" w:history="1">
        <w:r w:rsidR="00126D7F" w:rsidRPr="00CA2BDF">
          <w:rPr>
            <w:rStyle w:val="Hyperlink"/>
            <w:rFonts w:ascii="Arial Narrow" w:hAnsi="Arial Narrow" w:cs="Arial"/>
          </w:rPr>
          <w:t>ABDR Annual Reports</w:t>
        </w:r>
      </w:hyperlink>
    </w:p>
    <w:p w14:paraId="7ACFED69" w14:textId="35498E7B" w:rsidR="00182D38" w:rsidRDefault="00B9508A" w:rsidP="00286FF7">
      <w:r>
        <w:t>Emicizumab</w:t>
      </w:r>
      <w:r w:rsidR="00960F2A">
        <w:t xml:space="preserve"> (Hemlibra)</w:t>
      </w:r>
      <w:r w:rsidR="004D2F57">
        <w:t>, a monoclonal antibody that mimics the function of FVIII</w:t>
      </w:r>
      <w:r w:rsidR="00861B4C">
        <w:t>,</w:t>
      </w:r>
      <w:r w:rsidR="003F6E7F">
        <w:t xml:space="preserve"> was </w:t>
      </w:r>
      <w:r w:rsidR="00A36366">
        <w:t xml:space="preserve">listed </w:t>
      </w:r>
      <w:r w:rsidR="003F6E7F">
        <w:t>on the NP</w:t>
      </w:r>
      <w:r w:rsidR="3AD9A509">
        <w:t>P</w:t>
      </w:r>
      <w:r w:rsidR="003F6E7F">
        <w:t>L</w:t>
      </w:r>
      <w:r w:rsidR="00960F2A">
        <w:t xml:space="preserve"> in November 2020</w:t>
      </w:r>
      <w:r w:rsidR="00A77990">
        <w:t>.</w:t>
      </w:r>
      <w:r w:rsidR="00B74F52">
        <w:t xml:space="preserve"> </w:t>
      </w:r>
      <w:r w:rsidR="00EC57B1">
        <w:t xml:space="preserve">Its introduction </w:t>
      </w:r>
      <w:r w:rsidR="00B74F52">
        <w:t xml:space="preserve">has </w:t>
      </w:r>
      <w:r w:rsidR="00AC3756">
        <w:t xml:space="preserve">led to </w:t>
      </w:r>
      <w:r w:rsidR="00B74F52">
        <w:t xml:space="preserve">a </w:t>
      </w:r>
      <w:r w:rsidR="00AC3756">
        <w:t>marked reduction in the use of</w:t>
      </w:r>
      <w:r w:rsidR="004E06AD">
        <w:t xml:space="preserve"> </w:t>
      </w:r>
      <w:r w:rsidR="00861B4C">
        <w:t>F</w:t>
      </w:r>
      <w:r w:rsidR="00B74F52">
        <w:t>VIII</w:t>
      </w:r>
      <w:r w:rsidR="001519A9">
        <w:t xml:space="preserve">, </w:t>
      </w:r>
      <w:r w:rsidR="00F677D1">
        <w:t>rFVIIa and aPCC</w:t>
      </w:r>
      <w:r w:rsidR="00000294">
        <w:t>,</w:t>
      </w:r>
      <w:r w:rsidR="00F677D1">
        <w:t xml:space="preserve"> with </w:t>
      </w:r>
      <w:r w:rsidR="004E06AD">
        <w:t>all declining</w:t>
      </w:r>
      <w:r w:rsidR="00094963">
        <w:t xml:space="preserve"> (</w:t>
      </w:r>
      <w:r w:rsidR="00F25765">
        <w:t>ABDR, 2022</w:t>
      </w:r>
      <w:r w:rsidR="00094963">
        <w:t>)</w:t>
      </w:r>
      <w:r w:rsidR="00077067">
        <w:t xml:space="preserve">. However, </w:t>
      </w:r>
      <w:r w:rsidR="004B018A">
        <w:t xml:space="preserve">due to the mechanism of action being </w:t>
      </w:r>
      <w:r w:rsidR="006E3F34" w:rsidRPr="00DC6AEB">
        <w:t xml:space="preserve">specific to </w:t>
      </w:r>
      <w:r w:rsidR="006F1D8A">
        <w:t>c</w:t>
      </w:r>
      <w:r w:rsidR="006E3F34" w:rsidRPr="00DC6AEB">
        <w:t>H</w:t>
      </w:r>
      <w:r w:rsidR="006E3F34">
        <w:t>M</w:t>
      </w:r>
      <w:r w:rsidR="006E3F34" w:rsidRPr="00DC6AEB">
        <w:t>A</w:t>
      </w:r>
      <w:r w:rsidR="006E3F34">
        <w:t xml:space="preserve">, emicizumab is not suitable for use in </w:t>
      </w:r>
      <w:r w:rsidR="00CA00D1">
        <w:t>c</w:t>
      </w:r>
      <w:r>
        <w:t>HMB.</w:t>
      </w:r>
      <w:r w:rsidR="00950BF2">
        <w:t xml:space="preserve"> Therefore, </w:t>
      </w:r>
      <w:r w:rsidR="00043A77">
        <w:t xml:space="preserve">therapeutic </w:t>
      </w:r>
      <w:r w:rsidR="00950BF2">
        <w:t>options available for patients with</w:t>
      </w:r>
      <w:r w:rsidR="00B23CB9">
        <w:t xml:space="preserve"> cHMB and</w:t>
      </w:r>
      <w:r w:rsidR="00950BF2">
        <w:t xml:space="preserve"> inhibitors </w:t>
      </w:r>
      <w:r w:rsidR="001C7E74">
        <w:t xml:space="preserve">remain more limited </w:t>
      </w:r>
      <w:r w:rsidR="00950BF2">
        <w:t xml:space="preserve">compared to </w:t>
      </w:r>
      <w:r w:rsidR="001C7E74">
        <w:t>those available for</w:t>
      </w:r>
      <w:r w:rsidR="00950BF2">
        <w:t xml:space="preserve"> patients with</w:t>
      </w:r>
      <w:r w:rsidR="00B23CB9">
        <w:t xml:space="preserve"> cHMA and</w:t>
      </w:r>
      <w:r w:rsidR="00950BF2">
        <w:t xml:space="preserve"> inhibitors.</w:t>
      </w:r>
    </w:p>
    <w:p w14:paraId="00E29C5B" w14:textId="77777777" w:rsidR="0013122B" w:rsidRPr="00775360" w:rsidRDefault="0013122B" w:rsidP="00775360">
      <w:pPr>
        <w:rPr>
          <w:i/>
          <w:iCs/>
        </w:rPr>
      </w:pPr>
      <w:r w:rsidRPr="00775360">
        <w:rPr>
          <w:i/>
          <w:iCs/>
        </w:rPr>
        <w:t>PASC raised two key issues regarding the proposed population.</w:t>
      </w:r>
    </w:p>
    <w:p w14:paraId="1094F7F9" w14:textId="70D4A864" w:rsidR="0013122B" w:rsidRPr="00775360" w:rsidRDefault="0013122B" w:rsidP="00775360">
      <w:pPr>
        <w:rPr>
          <w:i/>
          <w:iCs/>
        </w:rPr>
      </w:pPr>
      <w:r w:rsidRPr="00775360">
        <w:rPr>
          <w:i/>
          <w:iCs/>
        </w:rPr>
        <w:t xml:space="preserve">First, PASC noted that while the </w:t>
      </w:r>
      <w:r w:rsidR="00AE0CB1">
        <w:rPr>
          <w:i/>
          <w:iCs/>
        </w:rPr>
        <w:t>Therapeutic Goods Administration (</w:t>
      </w:r>
      <w:r w:rsidRPr="00775360">
        <w:rPr>
          <w:i/>
          <w:iCs/>
        </w:rPr>
        <w:t>TGA</w:t>
      </w:r>
      <w:r w:rsidR="00AE0CB1">
        <w:rPr>
          <w:i/>
          <w:iCs/>
        </w:rPr>
        <w:t>)</w:t>
      </w:r>
      <w:r w:rsidRPr="00775360">
        <w:rPr>
          <w:i/>
          <w:iCs/>
        </w:rPr>
        <w:t xml:space="preserve"> has approved concizumab for all patients with cHMB with and without FIX inhibitors, the current application is limited to patients with cHMB and FIX inhibitors only. This represents a very small population - fewer than 15 patients - some of whom are already accessing therapy through compassionate use or clinical trials. </w:t>
      </w:r>
    </w:p>
    <w:p w14:paraId="3DF9C5AE" w14:textId="77777777" w:rsidR="0013122B" w:rsidRPr="00775360" w:rsidRDefault="0013122B" w:rsidP="00775360">
      <w:pPr>
        <w:rPr>
          <w:i/>
          <w:iCs/>
        </w:rPr>
      </w:pPr>
      <w:r w:rsidRPr="00775360">
        <w:rPr>
          <w:i/>
          <w:iCs/>
        </w:rPr>
        <w:t xml:space="preserve">The applicant explained that they have focused on the population with the highest clinical need and emphasised the importance of not delaying access to therapy for these patients. The applicant’s clinical expert also highlighted that currently no subcutaneous treatments are available for patients with cHMB without FIX inhibitors, in contrast to HMA, where emicizumab is available and extensively utilised. Given </w:t>
      </w:r>
      <w:r w:rsidRPr="00775360">
        <w:rPr>
          <w:i/>
          <w:iCs/>
        </w:rPr>
        <w:lastRenderedPageBreak/>
        <w:t xml:space="preserve">the challenges of venous access for some patients, there is a clear clinical need for a subcutaneous prophylactic option for patients with cHMB without FIX inhibitors. </w:t>
      </w:r>
    </w:p>
    <w:p w14:paraId="3221685C" w14:textId="789440AB" w:rsidR="0013122B" w:rsidRPr="00775360" w:rsidRDefault="0013122B" w:rsidP="00775360">
      <w:pPr>
        <w:rPr>
          <w:i/>
          <w:iCs/>
        </w:rPr>
      </w:pPr>
      <w:r w:rsidRPr="00775360">
        <w:rPr>
          <w:i/>
          <w:iCs/>
        </w:rPr>
        <w:t>Given that concizumab is approved for a broader population with a demonstrated clinical need, PASC expressed concern that restricting the application to a narrow subgroup is inefficient. PASC recalled that the initial application for emicizumab (</w:t>
      </w:r>
      <w:hyperlink r:id="rId11" w:tooltip="Hyperlink to application page on MSAC website" w:history="1">
        <w:r w:rsidRPr="00470EDD">
          <w:rPr>
            <w:rStyle w:val="Hyperlink"/>
            <w:rFonts w:asciiTheme="minorHAnsi" w:hAnsiTheme="minorHAnsi" w:cstheme="minorHAnsi"/>
            <w:i/>
            <w:iCs/>
          </w:rPr>
          <w:t>MSAC Application 1510</w:t>
        </w:r>
      </w:hyperlink>
      <w:r w:rsidRPr="00775360">
        <w:rPr>
          <w:i/>
          <w:iCs/>
        </w:rPr>
        <w:t>) that proposed treatment for patients with HMA and FVIII inhibitors was not supported by MSAC until evidence was provided for both patient groups (HMA with and without FVIII inhibitors) (</w:t>
      </w:r>
      <w:hyperlink r:id="rId12" w:tooltip="Hyperlink to application page on MSAC website" w:history="1">
        <w:r w:rsidRPr="00470EDD">
          <w:rPr>
            <w:rStyle w:val="Hyperlink"/>
            <w:rFonts w:asciiTheme="minorHAnsi" w:hAnsiTheme="minorHAnsi" w:cstheme="minorHAnsi"/>
            <w:i/>
            <w:iCs/>
          </w:rPr>
          <w:t>MSAC Application 1510.1</w:t>
        </w:r>
      </w:hyperlink>
      <w:r w:rsidRPr="00775360">
        <w:rPr>
          <w:i/>
          <w:iCs/>
        </w:rPr>
        <w:t>). PASC cautioned that the Evaluation Subcommittee (ESC) and MSAC may consider the fragmented approach as contributing to uncertainty, whereas a combined approach would be more compelling.</w:t>
      </w:r>
    </w:p>
    <w:p w14:paraId="46AD5FCC" w14:textId="77777777" w:rsidR="0013122B" w:rsidRPr="00775360" w:rsidRDefault="0013122B" w:rsidP="00775360">
      <w:pPr>
        <w:rPr>
          <w:i/>
          <w:iCs/>
        </w:rPr>
      </w:pPr>
      <w:r w:rsidRPr="00775360">
        <w:rPr>
          <w:i/>
          <w:iCs/>
        </w:rPr>
        <w:t>Furthermore, PASC noted that the NBA has historically not supported differential pricing across patient subgroups.</w:t>
      </w:r>
    </w:p>
    <w:p w14:paraId="0440EECD" w14:textId="20C05BEF" w:rsidR="0013122B" w:rsidRPr="00775360" w:rsidRDefault="0013122B" w:rsidP="00775360">
      <w:pPr>
        <w:rPr>
          <w:i/>
          <w:iCs/>
        </w:rPr>
      </w:pPr>
      <w:r w:rsidRPr="00775360">
        <w:rPr>
          <w:i/>
          <w:iCs/>
        </w:rPr>
        <w:t xml:space="preserve">PASC strongly recommended a combined population approach, advising that an application that includes all </w:t>
      </w:r>
      <w:r w:rsidR="00F168A5" w:rsidRPr="00563A49">
        <w:rPr>
          <w:i/>
          <w:iCs/>
        </w:rPr>
        <w:t>patients</w:t>
      </w:r>
      <w:r w:rsidR="00F168A5" w:rsidRPr="00F168A5">
        <w:rPr>
          <w:i/>
          <w:iCs/>
        </w:rPr>
        <w:t xml:space="preserve"> </w:t>
      </w:r>
      <w:r w:rsidR="00F168A5">
        <w:rPr>
          <w:i/>
          <w:iCs/>
        </w:rPr>
        <w:t xml:space="preserve">with </w:t>
      </w:r>
      <w:r w:rsidRPr="00775360">
        <w:rPr>
          <w:i/>
          <w:iCs/>
        </w:rPr>
        <w:t>cHMB would not require a second PASC assessment or delay the overall process. The department and the committees indicated their willingness to provide support to achieve this outcome. PASC noted that expanding the proposed population to all people with severe cHMB would increase the eligible population from under 15 to 114 patients</w:t>
      </w:r>
      <w:r w:rsidR="002A26A0">
        <w:rPr>
          <w:i/>
          <w:iCs/>
        </w:rPr>
        <w:t xml:space="preserve"> approximately</w:t>
      </w:r>
      <w:r w:rsidRPr="00775360">
        <w:rPr>
          <w:i/>
          <w:iCs/>
        </w:rPr>
        <w:t>.</w:t>
      </w:r>
    </w:p>
    <w:p w14:paraId="13BE4BAF" w14:textId="3B314719" w:rsidR="0013122B" w:rsidRPr="00775360" w:rsidRDefault="0013122B" w:rsidP="00470EDD">
      <w:pPr>
        <w:rPr>
          <w:i/>
          <w:iCs/>
        </w:rPr>
      </w:pPr>
      <w:r w:rsidRPr="00775360">
        <w:rPr>
          <w:i/>
          <w:iCs/>
        </w:rPr>
        <w:t xml:space="preserve">The second issue raised by PASC concerned the potential impact of gene therapy on the proposed population </w:t>
      </w:r>
      <w:r w:rsidR="00FF6575">
        <w:rPr>
          <w:i/>
          <w:iCs/>
        </w:rPr>
        <w:t>–</w:t>
      </w:r>
      <w:r w:rsidRPr="00775360">
        <w:rPr>
          <w:i/>
          <w:iCs/>
        </w:rPr>
        <w:t xml:space="preserve"> specifically, whether it would alter the population developing FIX inhibitors. PASC noted that MSAC</w:t>
      </w:r>
      <w:r w:rsidR="00023391">
        <w:rPr>
          <w:i/>
          <w:iCs/>
        </w:rPr>
        <w:t xml:space="preserve"> had recently evaluated an application for </w:t>
      </w:r>
      <w:r w:rsidRPr="00775360">
        <w:rPr>
          <w:i/>
          <w:iCs/>
        </w:rPr>
        <w:t xml:space="preserve">public funding of the gene therapy etranacogene dezaparvovec (Hemgenix®) for adult patients with moderately severe or severe cHMB without FIX inhibitors </w:t>
      </w:r>
      <w:r w:rsidRPr="009B38FD">
        <w:rPr>
          <w:i/>
          <w:iCs/>
        </w:rPr>
        <w:t>(</w:t>
      </w:r>
      <w:hyperlink r:id="rId13" w:tooltip="Hyperlink to application page on the MSAC website" w:history="1">
        <w:r w:rsidRPr="009B38FD">
          <w:rPr>
            <w:rStyle w:val="Hyperlink"/>
            <w:rFonts w:asciiTheme="minorHAnsi" w:hAnsiTheme="minorHAnsi" w:cstheme="minorHAnsi"/>
            <w:i/>
            <w:iCs/>
          </w:rPr>
          <w:t>MSAC Application 1728.1</w:t>
        </w:r>
      </w:hyperlink>
      <w:r w:rsidRPr="00775360">
        <w:rPr>
          <w:i/>
          <w:iCs/>
        </w:rPr>
        <w:t>)</w:t>
      </w:r>
      <w:r w:rsidR="00633D47">
        <w:rPr>
          <w:i/>
          <w:iCs/>
        </w:rPr>
        <w:t xml:space="preserve"> and that </w:t>
      </w:r>
      <w:r w:rsidR="00633D47" w:rsidRPr="00633D47">
        <w:rPr>
          <w:i/>
          <w:iCs/>
        </w:rPr>
        <w:t>if this were funded, this may impact the population with inhibitors</w:t>
      </w:r>
      <w:r w:rsidR="00633D47">
        <w:rPr>
          <w:i/>
          <w:iCs/>
        </w:rPr>
        <w:t xml:space="preserve"> </w:t>
      </w:r>
      <w:r w:rsidRPr="00775360">
        <w:rPr>
          <w:i/>
          <w:iCs/>
        </w:rPr>
        <w:t>. The applicant’s clinical expert noted that, to date, no patients who have received etranacogene dezaparvovec have developed FIX inhibitors. Furthermore, the development of FIX inhibitors tends to occur during the paediatric period (first 150 days of exposure). Therefore, the population with cHMB with FIX inhibitors is likely to remain stable.</w:t>
      </w:r>
    </w:p>
    <w:p w14:paraId="0992D8A7" w14:textId="6DBF1478" w:rsidR="007F2E39" w:rsidRDefault="007F2E39" w:rsidP="002C3BF6">
      <w:pPr>
        <w:pStyle w:val="Heading4"/>
      </w:pPr>
      <w:r>
        <w:t>Estimate of patient numbers</w:t>
      </w:r>
    </w:p>
    <w:p w14:paraId="276AB611" w14:textId="2D82F1DC" w:rsidR="007F2E39" w:rsidRDefault="007F2E39" w:rsidP="007F2E39">
      <w:r w:rsidRPr="00A74DE0">
        <w:t>According to the ABDR 20</w:t>
      </w:r>
      <w:r w:rsidR="00A74DE0" w:rsidRPr="00A74DE0">
        <w:t>19-</w:t>
      </w:r>
      <w:r w:rsidRPr="00A74DE0">
        <w:t>2</w:t>
      </w:r>
      <w:r w:rsidR="00A74DE0" w:rsidRPr="00A74DE0">
        <w:t>0</w:t>
      </w:r>
      <w:r w:rsidRPr="00A74DE0">
        <w:t xml:space="preserve"> report, there are &lt;5 patients with</w:t>
      </w:r>
      <w:r w:rsidR="00B23CB9">
        <w:t xml:space="preserve"> cHMB and</w:t>
      </w:r>
      <w:r w:rsidRPr="00A74DE0">
        <w:t xml:space="preserve"> </w:t>
      </w:r>
      <w:r w:rsidR="00B239A3">
        <w:t xml:space="preserve">inhibitors </w:t>
      </w:r>
      <w:r w:rsidRPr="00A74DE0">
        <w:t>in Australia (</w:t>
      </w:r>
      <w:r w:rsidR="00F25765" w:rsidRPr="00F25765">
        <w:t xml:space="preserve">ABDR, </w:t>
      </w:r>
      <w:r w:rsidRPr="00F25765">
        <w:t>202</w:t>
      </w:r>
      <w:r w:rsidR="008137EF">
        <w:t>0</w:t>
      </w:r>
      <w:r w:rsidRPr="00A74DE0">
        <w:t>)</w:t>
      </w:r>
      <w:r w:rsidR="00A74DE0">
        <w:t xml:space="preserve">. </w:t>
      </w:r>
      <w:r w:rsidR="00B239A3">
        <w:t xml:space="preserve">The application </w:t>
      </w:r>
      <w:r w:rsidR="00DA0676">
        <w:t>states there is a total estimated patient population of 4</w:t>
      </w:r>
      <w:r w:rsidR="00DA0676" w:rsidRPr="00DA0676">
        <w:t xml:space="preserve"> </w:t>
      </w:r>
      <w:r w:rsidR="00DA0676">
        <w:t>based on feedback from HTCs;</w:t>
      </w:r>
      <w:r w:rsidR="0058720E">
        <w:t xml:space="preserve"> </w:t>
      </w:r>
      <w:r w:rsidR="00DA0676" w:rsidRPr="00B239A3">
        <w:t xml:space="preserve">3 adult patients and one adolescent patient </w:t>
      </w:r>
      <w:r w:rsidR="00DA0676">
        <w:t>(</w:t>
      </w:r>
      <w:r w:rsidR="00DA0676">
        <w:rPr>
          <w:rFonts w:cs="Calibri"/>
        </w:rPr>
        <w:t>≥</w:t>
      </w:r>
      <w:r w:rsidR="00DA0676" w:rsidRPr="00B239A3">
        <w:t>12 years of age</w:t>
      </w:r>
      <w:r w:rsidR="00DA0676">
        <w:t>).</w:t>
      </w:r>
      <w:r w:rsidR="00CF77AE">
        <w:t xml:space="preserve"> </w:t>
      </w:r>
    </w:p>
    <w:p w14:paraId="755C0A0B" w14:textId="462ABB17" w:rsidR="00061477" w:rsidRPr="006210F9" w:rsidRDefault="00DF702A" w:rsidP="007F2E39">
      <w:r w:rsidRPr="00DF702A">
        <w:rPr>
          <w:rFonts w:asciiTheme="minorHAnsi" w:hAnsiTheme="minorHAnsi" w:cstheme="minorHAnsi"/>
          <w:i/>
          <w:iCs/>
        </w:rPr>
        <w:t>At the PASC meeting, the applicant’s clinical expert stated that the population of patients with cHMB and FIX inhibitors was less than 15 in Australia, differing from the &lt;5 patients estimate provided in the application. PASC requested this discrepancy be clarified in the assessment</w:t>
      </w:r>
      <w:r w:rsidR="0013122B">
        <w:rPr>
          <w:rFonts w:asciiTheme="minorHAnsi" w:hAnsiTheme="minorHAnsi" w:cstheme="minorHAnsi"/>
          <w:i/>
          <w:iCs/>
        </w:rPr>
        <w:t>.</w:t>
      </w:r>
    </w:p>
    <w:p w14:paraId="0E38780D" w14:textId="77777777" w:rsidR="007A66C8" w:rsidRDefault="007A66C8" w:rsidP="00713728">
      <w:pPr>
        <w:pStyle w:val="Heading3"/>
      </w:pPr>
      <w:r w:rsidRPr="008F1532">
        <w:t>Intervention</w:t>
      </w:r>
    </w:p>
    <w:p w14:paraId="0EC4882C" w14:textId="7A773F94" w:rsidR="00EB5FCD" w:rsidRDefault="00EB5FCD" w:rsidP="00EB5FCD">
      <w:r w:rsidRPr="00504C90">
        <w:t>Concizumab is a</w:t>
      </w:r>
      <w:r w:rsidR="00E0338F" w:rsidRPr="00504C90">
        <w:t xml:space="preserve"> monoclonal antibody against</w:t>
      </w:r>
      <w:r w:rsidRPr="00504C90">
        <w:t xml:space="preserve"> tissue factor pathway inhibitor (TFPI)</w:t>
      </w:r>
      <w:r w:rsidR="00504C90" w:rsidRPr="00504C90">
        <w:t xml:space="preserve">. </w:t>
      </w:r>
      <w:r w:rsidR="00504C90">
        <w:t xml:space="preserve">TFPI </w:t>
      </w:r>
      <w:r w:rsidR="009B773C">
        <w:t>is</w:t>
      </w:r>
      <w:r w:rsidR="0053389F">
        <w:t xml:space="preserve"> a</w:t>
      </w:r>
      <w:r w:rsidR="00125C7E">
        <w:t xml:space="preserve"> </w:t>
      </w:r>
      <w:r w:rsidR="00A8188C">
        <w:t xml:space="preserve">regulator of the </w:t>
      </w:r>
      <w:r w:rsidR="0053389F">
        <w:t>coagula</w:t>
      </w:r>
      <w:r w:rsidR="00523CE4">
        <w:t xml:space="preserve">tion </w:t>
      </w:r>
      <w:r w:rsidR="00A8188C">
        <w:t xml:space="preserve">system </w:t>
      </w:r>
      <w:r w:rsidR="009B773C">
        <w:t>that inhibit</w:t>
      </w:r>
      <w:r w:rsidR="00A8188C">
        <w:t>s</w:t>
      </w:r>
      <w:r w:rsidR="009B773C">
        <w:t xml:space="preserve"> </w:t>
      </w:r>
      <w:r w:rsidR="00C96A08">
        <w:t xml:space="preserve">tissue-factor induced coagulation, </w:t>
      </w:r>
      <w:r w:rsidR="001B140F">
        <w:t xml:space="preserve">particularly </w:t>
      </w:r>
      <w:r w:rsidR="005F0392">
        <w:t>F</w:t>
      </w:r>
      <w:r w:rsidR="001B140F">
        <w:t>actor Xa</w:t>
      </w:r>
      <w:r w:rsidR="00C50121">
        <w:t xml:space="preserve"> (FXa</w:t>
      </w:r>
      <w:r w:rsidR="005D2C8C">
        <w:t>)</w:t>
      </w:r>
      <w:r w:rsidR="001B140F">
        <w:t xml:space="preserve"> and </w:t>
      </w:r>
      <w:r w:rsidR="005F0392">
        <w:t>F</w:t>
      </w:r>
      <w:r w:rsidR="001B140F">
        <w:t>actor VIIa</w:t>
      </w:r>
      <w:r w:rsidR="005D2C8C">
        <w:t xml:space="preserve"> (FVIIa)</w:t>
      </w:r>
      <w:r w:rsidR="001B140F">
        <w:t>.</w:t>
      </w:r>
      <w:r w:rsidR="00C96A08">
        <w:t xml:space="preserve"> </w:t>
      </w:r>
      <w:r w:rsidR="002503E4">
        <w:t>Concizumab binds to TFPI and</w:t>
      </w:r>
      <w:r w:rsidR="00C50121">
        <w:t xml:space="preserve"> enhanc</w:t>
      </w:r>
      <w:r w:rsidR="002503E4">
        <w:t>es</w:t>
      </w:r>
      <w:r w:rsidR="00C50121">
        <w:t xml:space="preserve"> coagulation through</w:t>
      </w:r>
      <w:r w:rsidR="005D2C8C">
        <w:t xml:space="preserve"> </w:t>
      </w:r>
      <w:r w:rsidR="00F76CD8">
        <w:t xml:space="preserve">directly preventing </w:t>
      </w:r>
      <w:r w:rsidR="005D2C8C">
        <w:t>FXa</w:t>
      </w:r>
      <w:r w:rsidR="00F76CD8">
        <w:t xml:space="preserve"> inhibition</w:t>
      </w:r>
      <w:r w:rsidR="005D2C8C">
        <w:t xml:space="preserve"> and</w:t>
      </w:r>
      <w:r w:rsidR="00B54D47">
        <w:t xml:space="preserve"> indirectly preventi</w:t>
      </w:r>
      <w:r w:rsidR="00881CAA">
        <w:t>ng</w:t>
      </w:r>
      <w:r w:rsidR="005D2C8C">
        <w:t xml:space="preserve"> FVIIa</w:t>
      </w:r>
      <w:r w:rsidR="00B54D47">
        <w:t xml:space="preserve"> inhibition. This </w:t>
      </w:r>
      <w:r w:rsidR="00DB25AD">
        <w:t xml:space="preserve">permits greater thrombin formation </w:t>
      </w:r>
      <w:r w:rsidR="001266B7">
        <w:t>to promote clot formation</w:t>
      </w:r>
      <w:r w:rsidR="00DB25AD" w:rsidRPr="00DB25AD">
        <w:t xml:space="preserve"> </w:t>
      </w:r>
      <w:r w:rsidR="00DB25AD" w:rsidRPr="00504C90">
        <w:t xml:space="preserve">independently </w:t>
      </w:r>
      <w:r w:rsidR="00DF1EBF">
        <w:t xml:space="preserve">of </w:t>
      </w:r>
      <w:r w:rsidR="00DB25AD">
        <w:t>FIX (and FVIII)</w:t>
      </w:r>
      <w:r w:rsidR="00240E16">
        <w:t>;</w:t>
      </w:r>
      <w:r w:rsidR="002A7FD2">
        <w:t xml:space="preserve"> its action is therefore not influenced by the presence of </w:t>
      </w:r>
      <w:r w:rsidR="00666667">
        <w:t>inhibitors</w:t>
      </w:r>
      <w:r w:rsidR="002A7FD2">
        <w:t xml:space="preserve"> to these </w:t>
      </w:r>
      <w:r w:rsidR="00666667">
        <w:t>factors</w:t>
      </w:r>
      <w:r w:rsidRPr="00504C90">
        <w:t>.</w:t>
      </w:r>
    </w:p>
    <w:p w14:paraId="621F54ED" w14:textId="5607645B" w:rsidR="003772DB" w:rsidRDefault="003772DB" w:rsidP="00533451">
      <w:pPr>
        <w:pStyle w:val="Heading5"/>
      </w:pPr>
      <w:r>
        <w:lastRenderedPageBreak/>
        <w:t xml:space="preserve">Dosage and </w:t>
      </w:r>
      <w:r w:rsidR="00D45C2F">
        <w:t xml:space="preserve">frequency of </w:t>
      </w:r>
      <w:r w:rsidR="00D45C2F" w:rsidRPr="00533451">
        <w:t>treatment</w:t>
      </w:r>
    </w:p>
    <w:p w14:paraId="5FBA0108" w14:textId="44114200" w:rsidR="003772DB" w:rsidRDefault="00ED76C3" w:rsidP="00613ABC">
      <w:pPr>
        <w:spacing w:after="120"/>
      </w:pPr>
      <w:r w:rsidRPr="000E48D7">
        <w:t xml:space="preserve">Concizumab </w:t>
      </w:r>
      <w:r>
        <w:t>is</w:t>
      </w:r>
      <w:r w:rsidRPr="000E48D7">
        <w:t xml:space="preserve"> administered</w:t>
      </w:r>
      <w:r>
        <w:t xml:space="preserve"> </w:t>
      </w:r>
      <w:r w:rsidR="0042588E">
        <w:t xml:space="preserve">as a </w:t>
      </w:r>
      <w:r w:rsidR="00C538CA">
        <w:t>daily</w:t>
      </w:r>
      <w:r w:rsidR="0042588E">
        <w:t xml:space="preserve"> subcutaneous injection</w:t>
      </w:r>
      <w:r w:rsidRPr="000E48D7">
        <w:t xml:space="preserve"> </w:t>
      </w:r>
      <w:r>
        <w:t>using</w:t>
      </w:r>
      <w:r w:rsidRPr="000E48D7">
        <w:t xml:space="preserve"> a multi</w:t>
      </w:r>
      <w:r>
        <w:t>dose</w:t>
      </w:r>
      <w:r w:rsidRPr="000E48D7">
        <w:t xml:space="preserve"> disposable pre</w:t>
      </w:r>
      <w:r>
        <w:t>filled</w:t>
      </w:r>
      <w:r w:rsidRPr="000E48D7">
        <w:t xml:space="preserve"> pen, which consists of a 1.5 mL or 3 mL glass cartridge sealed in a pen-injector</w:t>
      </w:r>
      <w:r>
        <w:t xml:space="preserve"> </w:t>
      </w:r>
      <w:r w:rsidRPr="00336FC8">
        <w:rPr>
          <w:rFonts w:cs="Arial"/>
          <w:lang w:eastAsia="en-AU"/>
        </w:rPr>
        <w:t>(similar to commonly used insulin pen injectors)</w:t>
      </w:r>
      <w:r w:rsidR="00E93749">
        <w:rPr>
          <w:rFonts w:cs="Arial"/>
          <w:lang w:eastAsia="en-AU"/>
        </w:rPr>
        <w:t xml:space="preserve"> (</w:t>
      </w:r>
      <w:r w:rsidR="00E93749">
        <w:rPr>
          <w:rFonts w:cs="Arial"/>
          <w:lang w:eastAsia="en-AU"/>
        </w:rPr>
        <w:fldChar w:fldCharType="begin"/>
      </w:r>
      <w:r w:rsidR="00E93749">
        <w:rPr>
          <w:rFonts w:cs="Arial"/>
          <w:lang w:eastAsia="en-AU"/>
        </w:rPr>
        <w:instrText xml:space="preserve"> REF _Ref202187770 \h </w:instrText>
      </w:r>
      <w:r w:rsidR="00E93749">
        <w:rPr>
          <w:rFonts w:cs="Arial"/>
          <w:lang w:eastAsia="en-AU"/>
        </w:rPr>
      </w:r>
      <w:r w:rsidR="00E93749">
        <w:rPr>
          <w:rFonts w:cs="Arial"/>
          <w:lang w:eastAsia="en-AU"/>
        </w:rPr>
        <w:fldChar w:fldCharType="separate"/>
      </w:r>
      <w:r w:rsidR="00775C29">
        <w:t xml:space="preserve">Figure </w:t>
      </w:r>
      <w:r w:rsidR="00775C29">
        <w:rPr>
          <w:noProof/>
        </w:rPr>
        <w:t>1</w:t>
      </w:r>
      <w:r w:rsidR="00E93749">
        <w:rPr>
          <w:rFonts w:cs="Arial"/>
          <w:lang w:eastAsia="en-AU"/>
        </w:rPr>
        <w:fldChar w:fldCharType="end"/>
      </w:r>
      <w:r w:rsidR="00E93749">
        <w:rPr>
          <w:rFonts w:cs="Arial"/>
          <w:lang w:eastAsia="en-AU"/>
        </w:rPr>
        <w:t>)</w:t>
      </w:r>
      <w:r w:rsidR="00D74327">
        <w:t>.</w:t>
      </w:r>
      <w:r w:rsidRPr="000E48D7">
        <w:t xml:space="preserve"> </w:t>
      </w:r>
      <w:r w:rsidR="00B9041C">
        <w:t xml:space="preserve">A </w:t>
      </w:r>
      <w:r w:rsidR="004F4A68">
        <w:t>doctor or nurse is required to assist the patient to identify the appropriate dose on the pen</w:t>
      </w:r>
      <w:r w:rsidR="0064691C">
        <w:t xml:space="preserve"> and i</w:t>
      </w:r>
      <w:r w:rsidR="000E112C">
        <w:t>t</w:t>
      </w:r>
      <w:r w:rsidR="0064691C">
        <w:t xml:space="preserve"> can then be</w:t>
      </w:r>
      <w:r w:rsidR="00345B63">
        <w:t xml:space="preserve"> self-administered</w:t>
      </w:r>
      <w:r w:rsidR="0064691C">
        <w:t xml:space="preserve"> by the patient or by a carer following training. Concizumab is </w:t>
      </w:r>
      <w:r w:rsidR="00F63E25">
        <w:t>administered</w:t>
      </w:r>
      <w:r w:rsidR="00345B63">
        <w:t xml:space="preserve"> daily </w:t>
      </w:r>
      <w:r w:rsidR="000721A7">
        <w:t>and is intended for ongoing</w:t>
      </w:r>
      <w:r w:rsidR="008A47D7">
        <w:t xml:space="preserve"> long-term</w:t>
      </w:r>
      <w:r w:rsidR="000721A7">
        <w:t xml:space="preserve"> prophylaxis</w:t>
      </w:r>
      <w:r w:rsidR="00345B63">
        <w:t xml:space="preserve">. </w:t>
      </w:r>
      <w:r w:rsidR="000274DC">
        <w:t>Where bleeding is well controlled on concizumab, this could be lifelong, or until the development of drug autoantibodies or unacceptable toxicity.</w:t>
      </w:r>
    </w:p>
    <w:p w14:paraId="5C9BDF93" w14:textId="77777777" w:rsidR="00106DF7" w:rsidRDefault="00106DF7" w:rsidP="00106DF7">
      <w:pPr>
        <w:keepNext/>
        <w:jc w:val="center"/>
      </w:pPr>
      <w:r w:rsidRPr="00336FC8">
        <w:rPr>
          <w:rFonts w:cs="Arial"/>
          <w:noProof/>
          <w:lang w:eastAsia="en-AU"/>
        </w:rPr>
        <w:drawing>
          <wp:inline distT="0" distB="0" distL="0" distR="0" wp14:anchorId="173993AF" wp14:editId="6EB5B0D6">
            <wp:extent cx="2753995" cy="2158365"/>
            <wp:effectExtent l="0" t="0" r="8255" b="0"/>
            <wp:docPr id="10" name="Picture 10" descr="Image of concizumab multidose disposable prefilled pe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mage of concizumab multidose disposable prefilled pens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53995" cy="2158365"/>
                    </a:xfrm>
                    <a:prstGeom prst="rect">
                      <a:avLst/>
                    </a:prstGeom>
                    <a:noFill/>
                    <a:ln>
                      <a:noFill/>
                    </a:ln>
                  </pic:spPr>
                </pic:pic>
              </a:graphicData>
            </a:graphic>
          </wp:inline>
        </w:drawing>
      </w:r>
    </w:p>
    <w:p w14:paraId="307F1A6D" w14:textId="25E87B71" w:rsidR="00106DF7" w:rsidRDefault="00106DF7" w:rsidP="0076210D">
      <w:pPr>
        <w:pStyle w:val="Caption"/>
        <w:spacing w:before="240"/>
        <w:jc w:val="center"/>
      </w:pPr>
      <w:bookmarkStart w:id="7" w:name="_Ref202187770"/>
      <w:r>
        <w:t xml:space="preserve">Figure </w:t>
      </w:r>
      <w:r>
        <w:fldChar w:fldCharType="begin"/>
      </w:r>
      <w:r>
        <w:instrText xml:space="preserve"> SEQ Figure \* ARABIC </w:instrText>
      </w:r>
      <w:r>
        <w:fldChar w:fldCharType="separate"/>
      </w:r>
      <w:r w:rsidR="00775C29">
        <w:rPr>
          <w:noProof/>
        </w:rPr>
        <w:t>1</w:t>
      </w:r>
      <w:r>
        <w:fldChar w:fldCharType="end"/>
      </w:r>
      <w:bookmarkEnd w:id="7"/>
      <w:r>
        <w:tab/>
      </w:r>
      <w:r w:rsidR="00066862">
        <w:t>Concizumab portable multidose disposable prefilled pens</w:t>
      </w:r>
      <w:r w:rsidR="00C027CC">
        <w:t xml:space="preserve"> (</w:t>
      </w:r>
      <w:r w:rsidR="00561C5D">
        <w:t xml:space="preserve">Source: </w:t>
      </w:r>
      <w:r w:rsidR="00C33C4C">
        <w:t>Application 1805)</w:t>
      </w:r>
    </w:p>
    <w:p w14:paraId="77E4EC11" w14:textId="0B4A0A37" w:rsidR="00345B63" w:rsidRDefault="00376758" w:rsidP="003772DB">
      <w:r>
        <w:t xml:space="preserve">According to the </w:t>
      </w:r>
      <w:hyperlink r:id="rId15" w:tooltip="Link to the PDF of the Australian Product Information - ALHEMO" w:history="1">
        <w:r w:rsidRPr="00C74C96">
          <w:rPr>
            <w:rStyle w:val="Hyperlink"/>
            <w:rFonts w:ascii="Calibri" w:hAnsi="Calibri"/>
          </w:rPr>
          <w:t>Australian Product Information</w:t>
        </w:r>
      </w:hyperlink>
      <w:r>
        <w:t>, treatment should be initiated under the supervision o</w:t>
      </w:r>
      <w:r w:rsidR="004F314E">
        <w:t>f a physician experienced in the treatment of haemophilia. Treatment is to be initiated in the non-bleeding state</w:t>
      </w:r>
      <w:r w:rsidR="00F7542F">
        <w:t xml:space="preserve"> and after discontinuing treatment with </w:t>
      </w:r>
      <w:r w:rsidR="00CB1909">
        <w:t>BPAs</w:t>
      </w:r>
      <w:r w:rsidR="00F7542F">
        <w:t xml:space="preserve">. </w:t>
      </w:r>
    </w:p>
    <w:p w14:paraId="7223FF32" w14:textId="1E19472F" w:rsidR="003B2558" w:rsidRDefault="00A22C31" w:rsidP="003B2558">
      <w:r>
        <w:t>The recommended dosing regimen</w:t>
      </w:r>
      <w:r w:rsidR="005D53FF">
        <w:t xml:space="preserve"> consists of an initial loading dose, followed by a standard maintenance dose</w:t>
      </w:r>
      <w:r w:rsidR="0022425A">
        <w:t xml:space="preserve"> (</w:t>
      </w:r>
      <w:r w:rsidR="00912D40">
        <w:fldChar w:fldCharType="begin"/>
      </w:r>
      <w:r w:rsidR="00912D40">
        <w:instrText xml:space="preserve"> REF _Ref200714553 \h </w:instrText>
      </w:r>
      <w:r w:rsidR="00912D40">
        <w:fldChar w:fldCharType="separate"/>
      </w:r>
      <w:r w:rsidR="00775C29">
        <w:t xml:space="preserve">Table </w:t>
      </w:r>
      <w:r w:rsidR="00775C29">
        <w:rPr>
          <w:noProof/>
        </w:rPr>
        <w:t>5</w:t>
      </w:r>
      <w:r w:rsidR="00912D40">
        <w:fldChar w:fldCharType="end"/>
      </w:r>
      <w:r w:rsidR="00912D40">
        <w:t>)</w:t>
      </w:r>
      <w:r w:rsidR="005D53FF">
        <w:t>.</w:t>
      </w:r>
      <w:r w:rsidR="003B2558" w:rsidRPr="003B2558">
        <w:t xml:space="preserve"> </w:t>
      </w:r>
      <w:r w:rsidR="003B2558">
        <w:t>Four weeks after initiation of treatment</w:t>
      </w:r>
      <w:r w:rsidR="003373BB">
        <w:t>, trough</w:t>
      </w:r>
      <w:r w:rsidR="0085577F">
        <w:t xml:space="preserve"> (i.e. pre</w:t>
      </w:r>
      <w:r w:rsidR="00BB17D7">
        <w:t>-</w:t>
      </w:r>
      <w:r w:rsidR="0085577F">
        <w:t xml:space="preserve">dose) </w:t>
      </w:r>
      <w:r w:rsidR="003B2558">
        <w:t xml:space="preserve">concizumab plasma concentration </w:t>
      </w:r>
      <w:r w:rsidR="0085577F">
        <w:t xml:space="preserve">is measured </w:t>
      </w:r>
      <w:r w:rsidR="003B2558">
        <w:t>(once) by a concizumab</w:t>
      </w:r>
      <w:r w:rsidR="00D93FD1">
        <w:t>-</w:t>
      </w:r>
      <w:r w:rsidR="003B2558">
        <w:t>specific enzyme-linked immunoassay (ELISA)</w:t>
      </w:r>
      <w:r w:rsidR="0022425A">
        <w:t xml:space="preserve">. The results of this test are used to determine an individual's maintenance dose according to </w:t>
      </w:r>
      <w:r w:rsidR="00CB1840">
        <w:fldChar w:fldCharType="begin"/>
      </w:r>
      <w:r w:rsidR="00CB1840">
        <w:instrText xml:space="preserve"> REF _Ref200714705 \h </w:instrText>
      </w:r>
      <w:r w:rsidR="00CB1840">
        <w:fldChar w:fldCharType="separate"/>
      </w:r>
      <w:r w:rsidR="00775C29">
        <w:t xml:space="preserve">Table </w:t>
      </w:r>
      <w:r w:rsidR="00775C29">
        <w:rPr>
          <w:noProof/>
        </w:rPr>
        <w:t>6</w:t>
      </w:r>
      <w:r w:rsidR="00CB1840">
        <w:fldChar w:fldCharType="end"/>
      </w:r>
      <w:r w:rsidR="002759F9">
        <w:t>.</w:t>
      </w:r>
      <w:r w:rsidR="005E03DA" w:rsidRPr="005E03DA">
        <w:t xml:space="preserve"> If concizumab treatment is discontinued the patient can restart concizumab treatment on the same maintenance dose.</w:t>
      </w:r>
    </w:p>
    <w:p w14:paraId="61BFCE38" w14:textId="1E621E53" w:rsidR="0022425A" w:rsidRDefault="0022425A" w:rsidP="009959F6">
      <w:pPr>
        <w:pStyle w:val="Caption"/>
      </w:pPr>
      <w:bookmarkStart w:id="8" w:name="_Ref200714553"/>
      <w:r>
        <w:t xml:space="preserve">Table </w:t>
      </w:r>
      <w:r>
        <w:fldChar w:fldCharType="begin"/>
      </w:r>
      <w:r>
        <w:instrText xml:space="preserve"> SEQ Table \* ARABIC </w:instrText>
      </w:r>
      <w:r>
        <w:fldChar w:fldCharType="separate"/>
      </w:r>
      <w:r w:rsidR="00775C29">
        <w:rPr>
          <w:noProof/>
        </w:rPr>
        <w:t>5</w:t>
      </w:r>
      <w:r>
        <w:fldChar w:fldCharType="end"/>
      </w:r>
      <w:bookmarkEnd w:id="8"/>
      <w:r>
        <w:tab/>
      </w:r>
      <w:r w:rsidR="00912D40">
        <w:t>Concizumab dosing regime</w:t>
      </w:r>
    </w:p>
    <w:tbl>
      <w:tblPr>
        <w:tblStyle w:val="TableGrid"/>
        <w:tblW w:w="0" w:type="auto"/>
        <w:tblInd w:w="0" w:type="dxa"/>
        <w:tblLook w:val="04A0" w:firstRow="1" w:lastRow="0" w:firstColumn="1" w:lastColumn="0" w:noHBand="0" w:noVBand="1"/>
        <w:tblCaption w:val="Concizumab dosing regime"/>
        <w:tblDescription w:val="Table outlining the concizumab dosing regime including the loading dose (day 1), initial maintenance dose (day 2 to &gt;4 weeks) and final maintenance dose."/>
      </w:tblPr>
      <w:tblGrid>
        <w:gridCol w:w="3190"/>
        <w:gridCol w:w="3190"/>
        <w:gridCol w:w="3191"/>
      </w:tblGrid>
      <w:tr w:rsidR="00C74C96" w14:paraId="79B65307" w14:textId="77777777" w:rsidTr="00DD3A43">
        <w:tc>
          <w:tcPr>
            <w:tcW w:w="3190" w:type="dxa"/>
          </w:tcPr>
          <w:p w14:paraId="4EE164D0" w14:textId="0062E445" w:rsidR="00C74C96" w:rsidRDefault="002C6E24" w:rsidP="00C74C96">
            <w:pPr>
              <w:pStyle w:val="TableHeading"/>
            </w:pPr>
            <w:r>
              <w:t>Treatment day</w:t>
            </w:r>
          </w:p>
        </w:tc>
        <w:tc>
          <w:tcPr>
            <w:tcW w:w="3190" w:type="dxa"/>
          </w:tcPr>
          <w:p w14:paraId="37E560BF" w14:textId="61817F39" w:rsidR="00C74C96" w:rsidRDefault="002C6E24" w:rsidP="00C74C96">
            <w:pPr>
              <w:pStyle w:val="TableHeading"/>
            </w:pPr>
            <w:r>
              <w:t>Dose phase</w:t>
            </w:r>
          </w:p>
        </w:tc>
        <w:tc>
          <w:tcPr>
            <w:tcW w:w="3191" w:type="dxa"/>
          </w:tcPr>
          <w:p w14:paraId="75BD496A" w14:textId="6C0FEDD5" w:rsidR="00C74C96" w:rsidRDefault="002C6E24" w:rsidP="00C74C96">
            <w:pPr>
              <w:pStyle w:val="TableHeading"/>
            </w:pPr>
            <w:r>
              <w:t>Concizumab dose</w:t>
            </w:r>
          </w:p>
        </w:tc>
      </w:tr>
      <w:tr w:rsidR="00C74C96" w14:paraId="0FE3BC8A" w14:textId="77777777" w:rsidTr="00DD3A43">
        <w:tc>
          <w:tcPr>
            <w:tcW w:w="3190" w:type="dxa"/>
          </w:tcPr>
          <w:p w14:paraId="629C268E" w14:textId="49EA7FFB" w:rsidR="00C74C96" w:rsidRDefault="002C6E24" w:rsidP="00C74C96">
            <w:pPr>
              <w:pStyle w:val="TableText0"/>
            </w:pPr>
            <w:r>
              <w:t>Day 1</w:t>
            </w:r>
          </w:p>
        </w:tc>
        <w:tc>
          <w:tcPr>
            <w:tcW w:w="3190" w:type="dxa"/>
          </w:tcPr>
          <w:p w14:paraId="1B800EE6" w14:textId="52B5040D" w:rsidR="00C74C96" w:rsidRDefault="002C6E24" w:rsidP="00C74C96">
            <w:pPr>
              <w:pStyle w:val="TableText0"/>
            </w:pPr>
            <w:r>
              <w:t>Loading dose</w:t>
            </w:r>
          </w:p>
        </w:tc>
        <w:tc>
          <w:tcPr>
            <w:tcW w:w="3191" w:type="dxa"/>
          </w:tcPr>
          <w:p w14:paraId="1AC843F5" w14:textId="0BDD3C81" w:rsidR="00C74C96" w:rsidRDefault="002C6E24" w:rsidP="00C74C96">
            <w:pPr>
              <w:pStyle w:val="TableText0"/>
            </w:pPr>
            <w:r>
              <w:t xml:space="preserve">1mg/kg </w:t>
            </w:r>
            <w:r w:rsidR="002D6064">
              <w:t>once</w:t>
            </w:r>
          </w:p>
        </w:tc>
      </w:tr>
      <w:tr w:rsidR="00C74C96" w14:paraId="7B863AC2" w14:textId="77777777" w:rsidTr="00DD3A43">
        <w:tc>
          <w:tcPr>
            <w:tcW w:w="3190" w:type="dxa"/>
          </w:tcPr>
          <w:p w14:paraId="2EC4A5E4" w14:textId="60C92AF9" w:rsidR="00C74C96" w:rsidRDefault="00FD2BC0" w:rsidP="00C74C96">
            <w:pPr>
              <w:pStyle w:val="TableText0"/>
            </w:pPr>
            <w:r>
              <w:t>Day 2 to &gt;4 weeks</w:t>
            </w:r>
            <w:r w:rsidR="00BE77DA">
              <w:t xml:space="preserve"> and &lt;8 weeks</w:t>
            </w:r>
          </w:p>
        </w:tc>
        <w:tc>
          <w:tcPr>
            <w:tcW w:w="3190" w:type="dxa"/>
          </w:tcPr>
          <w:p w14:paraId="491CF8AA" w14:textId="4B86E2DC" w:rsidR="00C74C96" w:rsidRDefault="00FD2BC0" w:rsidP="00C74C96">
            <w:pPr>
              <w:pStyle w:val="TableText0"/>
            </w:pPr>
            <w:r>
              <w:t>Initial maintenance dose</w:t>
            </w:r>
          </w:p>
        </w:tc>
        <w:tc>
          <w:tcPr>
            <w:tcW w:w="3191" w:type="dxa"/>
          </w:tcPr>
          <w:p w14:paraId="777C6D9E" w14:textId="36F08542" w:rsidR="00C74C96" w:rsidRDefault="00FD2BC0" w:rsidP="00C74C96">
            <w:pPr>
              <w:pStyle w:val="TableText0"/>
            </w:pPr>
            <w:r>
              <w:t>0.20 mg/kg per day</w:t>
            </w:r>
          </w:p>
        </w:tc>
      </w:tr>
      <w:tr w:rsidR="00C74C96" w14:paraId="69E9B637" w14:textId="77777777" w:rsidTr="00DD3A43">
        <w:tc>
          <w:tcPr>
            <w:tcW w:w="3190" w:type="dxa"/>
          </w:tcPr>
          <w:p w14:paraId="67892820" w14:textId="6C2A9472" w:rsidR="00C74C96" w:rsidRDefault="0042331D" w:rsidP="00C74C96">
            <w:pPr>
              <w:pStyle w:val="TableText0"/>
            </w:pPr>
            <w:r>
              <w:t>From determination onwards</w:t>
            </w:r>
          </w:p>
        </w:tc>
        <w:tc>
          <w:tcPr>
            <w:tcW w:w="3190" w:type="dxa"/>
          </w:tcPr>
          <w:p w14:paraId="13D53303" w14:textId="3E265C18" w:rsidR="00C74C96" w:rsidRDefault="003C7740" w:rsidP="00C74C96">
            <w:pPr>
              <w:pStyle w:val="TableText0"/>
            </w:pPr>
            <w:r>
              <w:t>Maintenance dose</w:t>
            </w:r>
          </w:p>
        </w:tc>
        <w:tc>
          <w:tcPr>
            <w:tcW w:w="3191" w:type="dxa"/>
          </w:tcPr>
          <w:p w14:paraId="7512B654" w14:textId="43A5D225" w:rsidR="00C74C96" w:rsidRDefault="00D917F3" w:rsidP="00C74C96">
            <w:pPr>
              <w:pStyle w:val="TableText0"/>
            </w:pPr>
            <w:r>
              <w:t xml:space="preserve">Set individually based on </w:t>
            </w:r>
            <w:r w:rsidR="00CB1840">
              <w:rPr>
                <w:highlight w:val="yellow"/>
              </w:rPr>
              <w:fldChar w:fldCharType="begin"/>
            </w:r>
            <w:r w:rsidR="00CB1840">
              <w:instrText xml:space="preserve"> REF _Ref200714705 \h </w:instrText>
            </w:r>
            <w:r w:rsidR="00CB1840">
              <w:rPr>
                <w:highlight w:val="yellow"/>
              </w:rPr>
            </w:r>
            <w:r w:rsidR="00CB1840">
              <w:rPr>
                <w:highlight w:val="yellow"/>
              </w:rPr>
              <w:fldChar w:fldCharType="separate"/>
            </w:r>
            <w:r w:rsidR="00775C29">
              <w:t xml:space="preserve">Table </w:t>
            </w:r>
            <w:r w:rsidR="00775C29">
              <w:rPr>
                <w:noProof/>
              </w:rPr>
              <w:t>6</w:t>
            </w:r>
            <w:r w:rsidR="00CB1840">
              <w:rPr>
                <w:highlight w:val="yellow"/>
              </w:rPr>
              <w:fldChar w:fldCharType="end"/>
            </w:r>
          </w:p>
        </w:tc>
      </w:tr>
    </w:tbl>
    <w:p w14:paraId="3918D5BB" w14:textId="5768CB60" w:rsidR="004F5BAE" w:rsidRDefault="00A064C6" w:rsidP="00A064C6">
      <w:pPr>
        <w:pStyle w:val="Tablenotes"/>
      </w:pPr>
      <w:r>
        <w:t xml:space="preserve">Source: </w:t>
      </w:r>
      <w:r w:rsidR="001918CE">
        <w:t xml:space="preserve">MSAC </w:t>
      </w:r>
      <w:r w:rsidR="00F108E7">
        <w:t>Application 1805</w:t>
      </w:r>
    </w:p>
    <w:p w14:paraId="1E9DF37C" w14:textId="19381879" w:rsidR="00FF444F" w:rsidRDefault="00FF444F" w:rsidP="009959F6">
      <w:pPr>
        <w:pStyle w:val="Caption"/>
      </w:pPr>
      <w:bookmarkStart w:id="9" w:name="_Ref200714705"/>
      <w:r>
        <w:t xml:space="preserve">Table </w:t>
      </w:r>
      <w:r>
        <w:fldChar w:fldCharType="begin"/>
      </w:r>
      <w:r>
        <w:instrText xml:space="preserve"> SEQ Table \* ARABIC </w:instrText>
      </w:r>
      <w:r>
        <w:fldChar w:fldCharType="separate"/>
      </w:r>
      <w:r w:rsidR="00775C29">
        <w:rPr>
          <w:noProof/>
        </w:rPr>
        <w:t>6</w:t>
      </w:r>
      <w:r>
        <w:fldChar w:fldCharType="end"/>
      </w:r>
      <w:bookmarkEnd w:id="9"/>
      <w:r>
        <w:tab/>
        <w:t xml:space="preserve">Determination of </w:t>
      </w:r>
      <w:r w:rsidRPr="009959F6">
        <w:t>individual</w:t>
      </w:r>
      <w:r>
        <w:t xml:space="preserve"> maintenance dose</w:t>
      </w:r>
    </w:p>
    <w:tbl>
      <w:tblPr>
        <w:tblStyle w:val="TableGrid"/>
        <w:tblW w:w="5000" w:type="pct"/>
        <w:tblInd w:w="0" w:type="dxa"/>
        <w:tblLook w:val="04A0" w:firstRow="1" w:lastRow="0" w:firstColumn="1" w:lastColumn="0" w:noHBand="0" w:noVBand="1"/>
        <w:tblCaption w:val="Determination of individual maintenance dose"/>
        <w:tblDescription w:val="Table showing the individual maintenance dose of concizumab based on the concizumab plasma concentration deterined using ELISA test."/>
      </w:tblPr>
      <w:tblGrid>
        <w:gridCol w:w="4785"/>
        <w:gridCol w:w="4786"/>
      </w:tblGrid>
      <w:tr w:rsidR="009C466B" w:rsidRPr="00D362B7" w14:paraId="1511DD80" w14:textId="77777777" w:rsidTr="00CB1840">
        <w:tc>
          <w:tcPr>
            <w:tcW w:w="2500" w:type="pct"/>
          </w:tcPr>
          <w:p w14:paraId="3B2BF6D5" w14:textId="77777777" w:rsidR="009C466B" w:rsidRPr="00496E13" w:rsidRDefault="009C466B" w:rsidP="009C466B">
            <w:pPr>
              <w:pStyle w:val="TableHeading"/>
            </w:pPr>
            <w:r w:rsidRPr="00496E13">
              <w:t xml:space="preserve">Concizumab plasma concentration </w:t>
            </w:r>
          </w:p>
        </w:tc>
        <w:tc>
          <w:tcPr>
            <w:tcW w:w="2500" w:type="pct"/>
          </w:tcPr>
          <w:p w14:paraId="20A92C36" w14:textId="3680E5B4" w:rsidR="009C466B" w:rsidRPr="00496E13" w:rsidRDefault="00FF444F" w:rsidP="009C466B">
            <w:pPr>
              <w:pStyle w:val="TableHeading"/>
            </w:pPr>
            <w:r>
              <w:t>Individual maintenance dose (one daily, subcutaneous)</w:t>
            </w:r>
          </w:p>
        </w:tc>
      </w:tr>
      <w:tr w:rsidR="009C466B" w:rsidRPr="00D362B7" w14:paraId="35FA8BB2" w14:textId="77777777" w:rsidTr="00CB1840">
        <w:tc>
          <w:tcPr>
            <w:tcW w:w="2500" w:type="pct"/>
          </w:tcPr>
          <w:p w14:paraId="696B2EB8" w14:textId="77777777" w:rsidR="009C466B" w:rsidRPr="00D362B7" w:rsidRDefault="009C466B" w:rsidP="009C466B">
            <w:pPr>
              <w:pStyle w:val="TableText0"/>
            </w:pPr>
            <w:r w:rsidRPr="00D362B7">
              <w:t>&lt;200 ng/mL</w:t>
            </w:r>
          </w:p>
        </w:tc>
        <w:tc>
          <w:tcPr>
            <w:tcW w:w="2500" w:type="pct"/>
          </w:tcPr>
          <w:p w14:paraId="4FEC4406" w14:textId="77777777" w:rsidR="009C466B" w:rsidRPr="00D362B7" w:rsidRDefault="009C466B" w:rsidP="009C466B">
            <w:pPr>
              <w:pStyle w:val="TableText0"/>
            </w:pPr>
            <w:r w:rsidRPr="00D362B7">
              <w:t xml:space="preserve">0.25 mg/kg </w:t>
            </w:r>
          </w:p>
        </w:tc>
      </w:tr>
      <w:tr w:rsidR="009C466B" w:rsidRPr="00D362B7" w14:paraId="7D0767C5" w14:textId="77777777" w:rsidTr="00CB1840">
        <w:tc>
          <w:tcPr>
            <w:tcW w:w="2500" w:type="pct"/>
          </w:tcPr>
          <w:p w14:paraId="67CE0C9F" w14:textId="77777777" w:rsidR="009C466B" w:rsidRPr="00D362B7" w:rsidRDefault="009C466B" w:rsidP="009C466B">
            <w:pPr>
              <w:pStyle w:val="TableText0"/>
            </w:pPr>
            <w:r w:rsidRPr="00D362B7">
              <w:t>200−4000 ng/mL</w:t>
            </w:r>
          </w:p>
        </w:tc>
        <w:tc>
          <w:tcPr>
            <w:tcW w:w="2500" w:type="pct"/>
          </w:tcPr>
          <w:p w14:paraId="66C70B3F" w14:textId="77777777" w:rsidR="009C466B" w:rsidRPr="00D362B7" w:rsidRDefault="009C466B" w:rsidP="009C466B">
            <w:pPr>
              <w:pStyle w:val="TableText0"/>
            </w:pPr>
            <w:r w:rsidRPr="00D362B7">
              <w:t xml:space="preserve">0.20 mg/kg </w:t>
            </w:r>
          </w:p>
        </w:tc>
      </w:tr>
      <w:tr w:rsidR="009C466B" w:rsidRPr="00D362B7" w14:paraId="1FC57D6A" w14:textId="77777777" w:rsidTr="00CB1840">
        <w:tc>
          <w:tcPr>
            <w:tcW w:w="2500" w:type="pct"/>
          </w:tcPr>
          <w:p w14:paraId="2024E262" w14:textId="77777777" w:rsidR="009C466B" w:rsidRPr="00D362B7" w:rsidRDefault="009C466B" w:rsidP="009C466B">
            <w:pPr>
              <w:pStyle w:val="TableText0"/>
            </w:pPr>
            <w:r w:rsidRPr="00D362B7">
              <w:t>&gt;4000 ng/mL</w:t>
            </w:r>
          </w:p>
        </w:tc>
        <w:tc>
          <w:tcPr>
            <w:tcW w:w="2500" w:type="pct"/>
          </w:tcPr>
          <w:p w14:paraId="420DA025" w14:textId="77777777" w:rsidR="009C466B" w:rsidRPr="00D362B7" w:rsidRDefault="009C466B" w:rsidP="009C466B">
            <w:pPr>
              <w:pStyle w:val="TableText0"/>
            </w:pPr>
            <w:r w:rsidRPr="00D362B7">
              <w:t xml:space="preserve">0.15 mg/kg </w:t>
            </w:r>
          </w:p>
        </w:tc>
      </w:tr>
    </w:tbl>
    <w:p w14:paraId="11199602" w14:textId="397AA33A" w:rsidR="008D17A8" w:rsidRDefault="00F108E7" w:rsidP="0051498C">
      <w:pPr>
        <w:pStyle w:val="Tablenotes"/>
        <w:spacing w:after="240"/>
      </w:pPr>
      <w:r>
        <w:t xml:space="preserve">Source: </w:t>
      </w:r>
      <w:r w:rsidR="001918CE">
        <w:t xml:space="preserve">MSAC </w:t>
      </w:r>
      <w:r>
        <w:t>Application 1805</w:t>
      </w:r>
    </w:p>
    <w:p w14:paraId="2C76C9AD" w14:textId="22CB33A8" w:rsidR="000A72D4" w:rsidRDefault="00A16229" w:rsidP="00963029">
      <w:pPr>
        <w:keepNext/>
        <w:spacing w:after="0"/>
      </w:pPr>
      <w:r>
        <w:lastRenderedPageBreak/>
        <w:t>The</w:t>
      </w:r>
      <w:r w:rsidR="009C23FF">
        <w:t xml:space="preserve"> applicant reported that the test used in the pivotal trial is the same as the test that is proposed </w:t>
      </w:r>
      <w:r w:rsidR="005C388C">
        <w:t>in the applica</w:t>
      </w:r>
      <w:r w:rsidR="00DD6501">
        <w:t>tion</w:t>
      </w:r>
      <w:r w:rsidR="00EC0798">
        <w:t xml:space="preserve"> and that the turn</w:t>
      </w:r>
      <w:r w:rsidR="006C4E1D">
        <w:t>-</w:t>
      </w:r>
      <w:r w:rsidR="00EC0798">
        <w:t>around time is around a week, with a 10-day turn-around guaranteed (</w:t>
      </w:r>
      <w:r w:rsidR="00195C23">
        <w:t xml:space="preserve">pre-PASC </w:t>
      </w:r>
      <w:r w:rsidR="00EC0798" w:rsidRPr="00195C23">
        <w:t>meeting</w:t>
      </w:r>
      <w:r w:rsidR="00195C23">
        <w:t>, 27 June 2025</w:t>
      </w:r>
      <w:r w:rsidR="00EC0798">
        <w:t>)</w:t>
      </w:r>
      <w:r w:rsidR="005C388C">
        <w:t>. In the trial,</w:t>
      </w:r>
      <w:r>
        <w:t xml:space="preserve"> </w:t>
      </w:r>
      <w:r w:rsidR="005C388C">
        <w:t>o</w:t>
      </w:r>
      <w:r w:rsidR="00830711">
        <w:t>f</w:t>
      </w:r>
      <w:r w:rsidR="00F7019B">
        <w:t xml:space="preserve"> the</w:t>
      </w:r>
      <w:r w:rsidR="00830711">
        <w:t xml:space="preserve"> 97 patients</w:t>
      </w:r>
      <w:r w:rsidR="00E31618">
        <w:t xml:space="preserve"> </w:t>
      </w:r>
      <w:r w:rsidR="00F7019B">
        <w:t xml:space="preserve">who </w:t>
      </w:r>
      <w:r w:rsidR="00E31618">
        <w:t>had their conci</w:t>
      </w:r>
      <w:r w:rsidR="00BB66B9">
        <w:t>z</w:t>
      </w:r>
      <w:r w:rsidR="00E31618">
        <w:t>umab plasma concentration measured:</w:t>
      </w:r>
      <w:r w:rsidR="00830711">
        <w:t xml:space="preserve"> </w:t>
      </w:r>
    </w:p>
    <w:p w14:paraId="15AB9F06" w14:textId="68898879" w:rsidR="00E31618" w:rsidRDefault="00830711" w:rsidP="00E31618">
      <w:pPr>
        <w:pStyle w:val="ListParagraph"/>
        <w:numPr>
          <w:ilvl w:val="0"/>
          <w:numId w:val="31"/>
        </w:numPr>
      </w:pPr>
      <w:r>
        <w:t>72 (74%)</w:t>
      </w:r>
      <w:r w:rsidR="005C388C">
        <w:t xml:space="preserve"> </w:t>
      </w:r>
      <w:r>
        <w:t>continued with a maintenance dose of 0.2 mg</w:t>
      </w:r>
      <w:r w:rsidR="005C388C">
        <w:t>/kg</w:t>
      </w:r>
      <w:r w:rsidR="001D30B8">
        <w:t>;</w:t>
      </w:r>
      <w:r w:rsidR="00EC0798">
        <w:t xml:space="preserve"> </w:t>
      </w:r>
    </w:p>
    <w:p w14:paraId="25C922D7" w14:textId="7F457EFE" w:rsidR="00E31618" w:rsidRDefault="00830711" w:rsidP="00963029">
      <w:pPr>
        <w:pStyle w:val="ListParagraph"/>
        <w:keepNext/>
        <w:numPr>
          <w:ilvl w:val="0"/>
          <w:numId w:val="31"/>
        </w:numPr>
      </w:pPr>
      <w:r>
        <w:t>24</w:t>
      </w:r>
      <w:r w:rsidR="005C388C">
        <w:t xml:space="preserve"> </w:t>
      </w:r>
      <w:r w:rsidR="000C3EE1">
        <w:t>(25%) had their dose increased</w:t>
      </w:r>
      <w:r>
        <w:t xml:space="preserve"> </w:t>
      </w:r>
      <w:r w:rsidR="000C3EE1">
        <w:t>to</w:t>
      </w:r>
      <w:r>
        <w:t xml:space="preserve"> 0.25 m</w:t>
      </w:r>
      <w:r w:rsidR="000C3EE1">
        <w:t>g/kg</w:t>
      </w:r>
      <w:r w:rsidR="001D30B8">
        <w:t>;</w:t>
      </w:r>
      <w:r>
        <w:t xml:space="preserve"> and </w:t>
      </w:r>
    </w:p>
    <w:p w14:paraId="6C806B86" w14:textId="7531B921" w:rsidR="00C92749" w:rsidRDefault="00830711" w:rsidP="00E31618">
      <w:pPr>
        <w:pStyle w:val="ListParagraph"/>
        <w:numPr>
          <w:ilvl w:val="0"/>
          <w:numId w:val="31"/>
        </w:numPr>
      </w:pPr>
      <w:r>
        <w:t xml:space="preserve">1 (1%) </w:t>
      </w:r>
      <w:r w:rsidR="00E31618">
        <w:t xml:space="preserve">had their </w:t>
      </w:r>
      <w:r w:rsidR="00BB66B9">
        <w:t xml:space="preserve">dose </w:t>
      </w:r>
      <w:r>
        <w:t>re</w:t>
      </w:r>
      <w:r w:rsidR="000C3EE1">
        <w:t>duced to</w:t>
      </w:r>
      <w:r>
        <w:t xml:space="preserve"> 0.15 mg</w:t>
      </w:r>
      <w:r w:rsidR="000C3EE1">
        <w:t>/kg (</w:t>
      </w:r>
      <w:r w:rsidR="00E66731">
        <w:t>Matsushita et al. 2023).</w:t>
      </w:r>
      <w:r>
        <w:t xml:space="preserve"> </w:t>
      </w:r>
    </w:p>
    <w:p w14:paraId="13B45A8A" w14:textId="2C72C82F" w:rsidR="00BB66B9" w:rsidRDefault="00036307" w:rsidP="00BB66B9">
      <w:r>
        <w:t xml:space="preserve">The dose of concizumab is not adjusted if a breakthrough bleed occurs and </w:t>
      </w:r>
      <w:r w:rsidR="001C2D32">
        <w:t>BPAs are used</w:t>
      </w:r>
      <w:r w:rsidR="00055E2F">
        <w:t>,</w:t>
      </w:r>
      <w:r w:rsidR="001C2D32">
        <w:t xml:space="preserve"> with their dose and duration based on the location and severity of the bleed. </w:t>
      </w:r>
      <w:r w:rsidR="00BC16BB">
        <w:t xml:space="preserve">Therefore, the intervention includes the use of BPAs, </w:t>
      </w:r>
      <w:r w:rsidR="001B46E3">
        <w:t xml:space="preserve">usually rFVIIa for </w:t>
      </w:r>
      <w:r w:rsidR="00736856">
        <w:t>c</w:t>
      </w:r>
      <w:r w:rsidR="001B46E3">
        <w:t xml:space="preserve">HMB, </w:t>
      </w:r>
      <w:r w:rsidR="0065035D">
        <w:t>for on demand treatment. The BPA would be used concomitantly with concizumab.</w:t>
      </w:r>
    </w:p>
    <w:p w14:paraId="2509DCA2" w14:textId="4B44E557" w:rsidR="00AD3BA6" w:rsidRDefault="00B52918" w:rsidP="00533451">
      <w:pPr>
        <w:pStyle w:val="Heading5"/>
      </w:pPr>
      <w:r w:rsidRPr="00B52918">
        <w:t>Registration status of the drug</w:t>
      </w:r>
    </w:p>
    <w:p w14:paraId="31B4DD8F" w14:textId="090DC05C" w:rsidR="005024BB" w:rsidRPr="005024BB" w:rsidRDefault="00B52918" w:rsidP="009959F6">
      <w:pPr>
        <w:spacing w:after="0"/>
      </w:pPr>
      <w:r>
        <w:t xml:space="preserve">Concizumab was approved by the </w:t>
      </w:r>
      <w:r w:rsidRPr="00B52918">
        <w:t>TGA</w:t>
      </w:r>
      <w:r w:rsidR="00B03E92">
        <w:t xml:space="preserve"> in July 2023 </w:t>
      </w:r>
      <w:r w:rsidR="00916CB1">
        <w:t xml:space="preserve">and </w:t>
      </w:r>
      <w:r w:rsidR="005024BB" w:rsidRPr="005024BB">
        <w:t>is indicated where prophylaxis is required to prevent or reduce the frequency of bleeding in patients at least 12 years of age who have:</w:t>
      </w:r>
    </w:p>
    <w:p w14:paraId="02A48ED8" w14:textId="0142FDAD" w:rsidR="005024BB" w:rsidRPr="005024BB" w:rsidRDefault="00DD0398" w:rsidP="005D0FFB">
      <w:pPr>
        <w:pStyle w:val="ListParagraph"/>
        <w:numPr>
          <w:ilvl w:val="0"/>
          <w:numId w:val="12"/>
        </w:numPr>
        <w:ind w:left="714" w:hanging="357"/>
      </w:pPr>
      <w:r>
        <w:t>HMB</w:t>
      </w:r>
      <w:r w:rsidR="005024BB" w:rsidRPr="005024BB">
        <w:t xml:space="preserve"> (congenital FIX</w:t>
      </w:r>
      <w:r w:rsidR="008B5F23" w:rsidRPr="008B5F23">
        <w:t xml:space="preserve"> </w:t>
      </w:r>
      <w:r w:rsidR="008B5F23">
        <w:t>deficiency</w:t>
      </w:r>
      <w:r w:rsidR="005024BB" w:rsidRPr="005024BB">
        <w:t>) with FIX inhibitors</w:t>
      </w:r>
    </w:p>
    <w:p w14:paraId="7E08AA6A" w14:textId="6C01247B" w:rsidR="005024BB" w:rsidRPr="005024BB" w:rsidRDefault="00DD0398" w:rsidP="005D0FFB">
      <w:pPr>
        <w:pStyle w:val="ListParagraph"/>
        <w:numPr>
          <w:ilvl w:val="0"/>
          <w:numId w:val="12"/>
        </w:numPr>
        <w:ind w:left="714" w:hanging="357"/>
      </w:pPr>
      <w:r>
        <w:t>HM</w:t>
      </w:r>
      <w:r w:rsidR="001519AF">
        <w:t>A</w:t>
      </w:r>
      <w:r w:rsidR="005024BB" w:rsidRPr="005024BB">
        <w:t xml:space="preserve"> (congenital FVIII</w:t>
      </w:r>
      <w:r w:rsidR="008B5F23" w:rsidRPr="008B5F23">
        <w:t xml:space="preserve"> </w:t>
      </w:r>
      <w:r w:rsidR="008B5F23">
        <w:t>deficiency</w:t>
      </w:r>
      <w:r w:rsidR="005024BB" w:rsidRPr="005024BB">
        <w:t>) with FVIII inhibitors</w:t>
      </w:r>
    </w:p>
    <w:p w14:paraId="2D7E9C52" w14:textId="70235A05" w:rsidR="005024BB" w:rsidRPr="005024BB" w:rsidRDefault="00074CDA" w:rsidP="009959F6">
      <w:pPr>
        <w:spacing w:after="0"/>
      </w:pPr>
      <w:r>
        <w:t>In January 2025, c</w:t>
      </w:r>
      <w:r w:rsidR="005024BB" w:rsidRPr="005024BB">
        <w:t>oncizumab was further approved by the TGA for:</w:t>
      </w:r>
    </w:p>
    <w:p w14:paraId="6D3FD146" w14:textId="020A8056" w:rsidR="005024BB" w:rsidRPr="005024BB" w:rsidRDefault="005024BB" w:rsidP="005D0FFB">
      <w:pPr>
        <w:pStyle w:val="ListParagraph"/>
        <w:numPr>
          <w:ilvl w:val="0"/>
          <w:numId w:val="12"/>
        </w:numPr>
        <w:ind w:left="714" w:hanging="357"/>
      </w:pPr>
      <w:r w:rsidRPr="005024BB">
        <w:t>H</w:t>
      </w:r>
      <w:r w:rsidR="00DD0398">
        <w:t>MB</w:t>
      </w:r>
      <w:r w:rsidRPr="005024BB">
        <w:t xml:space="preserve"> (congenital FIX</w:t>
      </w:r>
      <w:r w:rsidR="008B5F23" w:rsidRPr="008B5F23">
        <w:t xml:space="preserve"> </w:t>
      </w:r>
      <w:r w:rsidR="008B5F23">
        <w:t>deficiency</w:t>
      </w:r>
      <w:r w:rsidRPr="005024BB">
        <w:t>) without FIX inhibitors</w:t>
      </w:r>
    </w:p>
    <w:p w14:paraId="444C6251" w14:textId="098E4258" w:rsidR="005024BB" w:rsidRDefault="005024BB" w:rsidP="005D0FFB">
      <w:pPr>
        <w:pStyle w:val="ListParagraph"/>
        <w:numPr>
          <w:ilvl w:val="0"/>
          <w:numId w:val="12"/>
        </w:numPr>
        <w:ind w:left="714" w:hanging="357"/>
      </w:pPr>
      <w:r w:rsidRPr="005024BB">
        <w:t>H</w:t>
      </w:r>
      <w:r w:rsidR="00DD0398">
        <w:t>M</w:t>
      </w:r>
      <w:r w:rsidRPr="005024BB">
        <w:t>A (congenital FVIII</w:t>
      </w:r>
      <w:r w:rsidR="008B5F23" w:rsidRPr="008B5F23">
        <w:t xml:space="preserve"> </w:t>
      </w:r>
      <w:r w:rsidR="008B5F23">
        <w:t>deficiency</w:t>
      </w:r>
      <w:r w:rsidRPr="005024BB">
        <w:t>) without FVIII inhibitors</w:t>
      </w:r>
      <w:r w:rsidR="00074CDA">
        <w:t>.</w:t>
      </w:r>
    </w:p>
    <w:p w14:paraId="45CA3F16" w14:textId="06D96769" w:rsidR="002D30D7" w:rsidRDefault="002D30D7" w:rsidP="002D30D7">
      <w:r>
        <w:t>Th</w:t>
      </w:r>
      <w:r w:rsidR="00826472">
        <w:t>e</w:t>
      </w:r>
      <w:r>
        <w:t xml:space="preserve"> population considered in this PICO Confirmation is </w:t>
      </w:r>
      <w:r w:rsidR="00B05490">
        <w:t>c</w:t>
      </w:r>
      <w:r>
        <w:t>HMB with inhibitors only and therefore is narrower than the TGA</w:t>
      </w:r>
      <w:r w:rsidR="00F575FB">
        <w:t>-</w:t>
      </w:r>
      <w:r w:rsidR="00DD0398">
        <w:t>indicated population</w:t>
      </w:r>
      <w:r>
        <w:t>.</w:t>
      </w:r>
    </w:p>
    <w:p w14:paraId="0D528494" w14:textId="156D6547" w:rsidR="005024BB" w:rsidRDefault="00C44C6B" w:rsidP="00B52918">
      <w:r>
        <w:t>Concizumab is subject to additional monitoring by the TGA (</w:t>
      </w:r>
      <w:r w:rsidR="00EA3902">
        <w:t>black triangle)</w:t>
      </w:r>
      <w:r w:rsidR="00B87307">
        <w:t xml:space="preserve"> including the provision of periodic safety update reports (PSURs)</w:t>
      </w:r>
      <w:r w:rsidR="00EA3902">
        <w:t xml:space="preserve">. </w:t>
      </w:r>
      <w:r w:rsidR="002F41E8">
        <w:t xml:space="preserve">It has received approval </w:t>
      </w:r>
      <w:r w:rsidR="00E8753E">
        <w:t xml:space="preserve">in a number of other jurisdictions including </w:t>
      </w:r>
      <w:hyperlink r:id="rId16" w:tooltip="Link to Canadian 'Summary basis of decision for Alhemo'" w:history="1">
        <w:r w:rsidR="00E8753E" w:rsidRPr="00C95C48">
          <w:rPr>
            <w:rStyle w:val="Hyperlink"/>
            <w:rFonts w:ascii="Calibri" w:hAnsi="Calibri"/>
          </w:rPr>
          <w:t>Canada</w:t>
        </w:r>
      </w:hyperlink>
      <w:r w:rsidR="000110B7">
        <w:t xml:space="preserve">, </w:t>
      </w:r>
      <w:r w:rsidR="00E8753E">
        <w:t xml:space="preserve">the </w:t>
      </w:r>
      <w:hyperlink r:id="rId17" w:tooltip="Link to Eurpean Medicines Agency approval of concizumab" w:history="1">
        <w:r w:rsidR="00E8753E" w:rsidRPr="0075436E">
          <w:rPr>
            <w:rStyle w:val="Hyperlink"/>
            <w:rFonts w:ascii="Calibri" w:hAnsi="Calibri"/>
          </w:rPr>
          <w:t>EU</w:t>
        </w:r>
      </w:hyperlink>
      <w:r w:rsidR="000110B7">
        <w:t xml:space="preserve"> and the </w:t>
      </w:r>
      <w:hyperlink r:id="rId18" w:tooltip="Link to the FDA news of approval" w:history="1">
        <w:r w:rsidR="000110B7" w:rsidRPr="00E55CF4">
          <w:rPr>
            <w:rStyle w:val="Hyperlink"/>
            <w:rFonts w:ascii="Calibri" w:hAnsi="Calibri"/>
          </w:rPr>
          <w:t>USA</w:t>
        </w:r>
      </w:hyperlink>
      <w:r w:rsidR="00E8753E">
        <w:t>.</w:t>
      </w:r>
    </w:p>
    <w:p w14:paraId="0CDA1989" w14:textId="77777777" w:rsidR="00631C00" w:rsidRPr="00775360" w:rsidRDefault="00631C00" w:rsidP="00775360">
      <w:pPr>
        <w:rPr>
          <w:i/>
          <w:iCs/>
        </w:rPr>
      </w:pPr>
      <w:r w:rsidRPr="00775360">
        <w:rPr>
          <w:i/>
          <w:iCs/>
        </w:rPr>
        <w:t>PASC accepted the intervention of prophylaxis with concizumab and on demand treatment with BPAs.</w:t>
      </w:r>
    </w:p>
    <w:p w14:paraId="37480BC3" w14:textId="34563881" w:rsidR="00631C00" w:rsidRPr="00775360" w:rsidRDefault="00631C00" w:rsidP="009F5E11">
      <w:pPr>
        <w:rPr>
          <w:i/>
          <w:iCs/>
        </w:rPr>
      </w:pPr>
      <w:r w:rsidRPr="00775360">
        <w:rPr>
          <w:i/>
          <w:iCs/>
        </w:rPr>
        <w:t>PASC considered that given the applicant’s proposed removal of the population requiring short-term peri-operative prophylaxis from the proposed population</w:t>
      </w:r>
      <w:r w:rsidR="00B25FC8">
        <w:rPr>
          <w:i/>
          <w:iCs/>
        </w:rPr>
        <w:t>,</w:t>
      </w:r>
      <w:r w:rsidRPr="00775360">
        <w:rPr>
          <w:i/>
          <w:iCs/>
        </w:rPr>
        <w:t xml:space="preserve"> the wording of the proposed intervention ‘Ongoing prophylaxis with concizumab (Alhemo®) plus/minus on demand bypassing agents (BPAs) to treat bleeds, or short-term perioperative prophylaxis with concizumab +/- on demand BPA’ should be amended to remove the reference to short-term perioperative prophylaxis</w:t>
      </w:r>
      <w:r w:rsidR="009F5E11" w:rsidRPr="00775360">
        <w:rPr>
          <w:i/>
          <w:iCs/>
        </w:rPr>
        <w:t>.</w:t>
      </w:r>
    </w:p>
    <w:p w14:paraId="3C23891F" w14:textId="32041CD6" w:rsidR="00BA6C30" w:rsidRDefault="00BA6C30" w:rsidP="00533451">
      <w:pPr>
        <w:pStyle w:val="Heading5"/>
        <w:rPr>
          <w:lang w:val="en-US" w:eastAsia="en-AU"/>
        </w:rPr>
      </w:pPr>
      <w:r>
        <w:rPr>
          <w:lang w:val="en-US" w:eastAsia="en-AU"/>
        </w:rPr>
        <w:t xml:space="preserve">Registration status of the </w:t>
      </w:r>
      <w:r w:rsidR="00B46B9D">
        <w:rPr>
          <w:lang w:val="en-US" w:eastAsia="en-AU"/>
        </w:rPr>
        <w:t xml:space="preserve">concizumab dose-setting </w:t>
      </w:r>
      <w:r>
        <w:rPr>
          <w:lang w:val="en-US" w:eastAsia="en-AU"/>
        </w:rPr>
        <w:t>test</w:t>
      </w:r>
    </w:p>
    <w:p w14:paraId="2B86E030" w14:textId="20F2790A" w:rsidR="007F79B9" w:rsidRDefault="00BA6C30" w:rsidP="00B52918">
      <w:pPr>
        <w:rPr>
          <w:lang w:val="en-US" w:eastAsia="en-AU"/>
        </w:rPr>
      </w:pPr>
      <w:r>
        <w:rPr>
          <w:lang w:val="en-US" w:eastAsia="en-AU"/>
        </w:rPr>
        <w:t>The</w:t>
      </w:r>
      <w:r w:rsidR="00414517">
        <w:rPr>
          <w:lang w:val="en-US" w:eastAsia="en-AU"/>
        </w:rPr>
        <w:t xml:space="preserve"> </w:t>
      </w:r>
      <w:r w:rsidR="005E574E" w:rsidRPr="005E574E">
        <w:rPr>
          <w:lang w:val="en-US" w:eastAsia="en-AU"/>
        </w:rPr>
        <w:t xml:space="preserve">ConcizuTrace™ ELISA </w:t>
      </w:r>
      <w:r w:rsidR="005E574E">
        <w:rPr>
          <w:lang w:val="en-US" w:eastAsia="en-AU"/>
        </w:rPr>
        <w:t xml:space="preserve">was approved by the TGA </w:t>
      </w:r>
      <w:r w:rsidR="00E0446A">
        <w:rPr>
          <w:lang w:val="en-US" w:eastAsia="en-AU"/>
        </w:rPr>
        <w:t>in October 2024</w:t>
      </w:r>
      <w:r w:rsidR="00E30CD7">
        <w:rPr>
          <w:lang w:val="en-US" w:eastAsia="en-AU"/>
        </w:rPr>
        <w:t xml:space="preserve"> (</w:t>
      </w:r>
      <w:hyperlink r:id="rId19" w:tooltip="Link to ARTG entry for ConcizuTrace" w:history="1">
        <w:r w:rsidR="00E30CD7" w:rsidRPr="00966FEB">
          <w:rPr>
            <w:rStyle w:val="Hyperlink"/>
            <w:rFonts w:ascii="Calibri" w:hAnsi="Calibri"/>
            <w:lang w:val="en-US" w:eastAsia="en-AU"/>
          </w:rPr>
          <w:t>ARTG 466665</w:t>
        </w:r>
      </w:hyperlink>
      <w:r w:rsidR="00E30CD7">
        <w:rPr>
          <w:lang w:val="en-US" w:eastAsia="en-AU"/>
        </w:rPr>
        <w:t xml:space="preserve">) for determining the concentration of the drug, concizumab, </w:t>
      </w:r>
      <w:r w:rsidR="00504ABA">
        <w:rPr>
          <w:lang w:val="en-US" w:eastAsia="en-AU"/>
        </w:rPr>
        <w:t xml:space="preserve">in plasma from patients with </w:t>
      </w:r>
      <w:r w:rsidR="00A070CE">
        <w:rPr>
          <w:lang w:val="en-US" w:eastAsia="en-AU"/>
        </w:rPr>
        <w:t>c</w:t>
      </w:r>
      <w:r w:rsidR="00504ABA">
        <w:rPr>
          <w:lang w:val="en-US" w:eastAsia="en-AU"/>
        </w:rPr>
        <w:t xml:space="preserve">HMA and </w:t>
      </w:r>
      <w:r w:rsidR="00A070CE">
        <w:rPr>
          <w:lang w:val="en-US" w:eastAsia="en-AU"/>
        </w:rPr>
        <w:t>c</w:t>
      </w:r>
      <w:r w:rsidR="00504ABA">
        <w:rPr>
          <w:lang w:val="en-US" w:eastAsia="en-AU"/>
        </w:rPr>
        <w:t>HMB.</w:t>
      </w:r>
      <w:r w:rsidR="00E0446A">
        <w:rPr>
          <w:lang w:val="en-US" w:eastAsia="en-AU"/>
        </w:rPr>
        <w:t xml:space="preserve"> </w:t>
      </w:r>
      <w:r w:rsidR="00504ABA">
        <w:rPr>
          <w:lang w:val="en-US" w:eastAsia="en-AU"/>
        </w:rPr>
        <w:t>H</w:t>
      </w:r>
      <w:r w:rsidR="00E0446A">
        <w:rPr>
          <w:lang w:val="en-US" w:eastAsia="en-AU"/>
        </w:rPr>
        <w:t xml:space="preserve">owever, due to the small </w:t>
      </w:r>
      <w:r w:rsidR="004505AC">
        <w:rPr>
          <w:lang w:val="en-US" w:eastAsia="en-AU"/>
        </w:rPr>
        <w:t>Australian</w:t>
      </w:r>
      <w:r w:rsidR="00E0446A">
        <w:rPr>
          <w:lang w:val="en-US" w:eastAsia="en-AU"/>
        </w:rPr>
        <w:t xml:space="preserve"> </w:t>
      </w:r>
      <w:r w:rsidR="00256C3C">
        <w:rPr>
          <w:lang w:val="en-US" w:eastAsia="en-AU"/>
        </w:rPr>
        <w:t>patient population</w:t>
      </w:r>
      <w:r w:rsidR="00E0446A">
        <w:rPr>
          <w:lang w:val="en-US" w:eastAsia="en-AU"/>
        </w:rPr>
        <w:t>,</w:t>
      </w:r>
      <w:r>
        <w:rPr>
          <w:lang w:val="en-US" w:eastAsia="en-AU"/>
        </w:rPr>
        <w:t xml:space="preserve"> </w:t>
      </w:r>
      <w:r w:rsidR="00E0446A">
        <w:rPr>
          <w:lang w:val="en-US" w:eastAsia="en-AU"/>
        </w:rPr>
        <w:t>the</w:t>
      </w:r>
      <w:r>
        <w:rPr>
          <w:lang w:val="en-US" w:eastAsia="en-AU"/>
        </w:rPr>
        <w:t xml:space="preserve"> test will be conducted overseas</w:t>
      </w:r>
      <w:r w:rsidR="00504ABA">
        <w:rPr>
          <w:lang w:val="en-US" w:eastAsia="en-AU"/>
        </w:rPr>
        <w:t>.</w:t>
      </w:r>
      <w:r w:rsidR="00904879">
        <w:rPr>
          <w:lang w:val="en-US" w:eastAsia="en-AU"/>
        </w:rPr>
        <w:t xml:space="preserve"> </w:t>
      </w:r>
    </w:p>
    <w:p w14:paraId="546C31E5" w14:textId="2169ED5B" w:rsidR="00803D87" w:rsidRDefault="00AA093F" w:rsidP="003177A3">
      <w:pPr>
        <w:rPr>
          <w:lang w:val="en-US" w:eastAsia="en-AU"/>
        </w:rPr>
      </w:pPr>
      <w:r>
        <w:rPr>
          <w:lang w:val="en-US" w:eastAsia="en-AU"/>
        </w:rPr>
        <w:t xml:space="preserve">The TGA noted </w:t>
      </w:r>
      <w:r w:rsidRPr="00AA093F">
        <w:rPr>
          <w:lang w:val="en-US" w:eastAsia="en-AU"/>
        </w:rPr>
        <w:t>that in vitro diagnostics that are</w:t>
      </w:r>
      <w:r>
        <w:rPr>
          <w:lang w:val="en-US" w:eastAsia="en-AU"/>
        </w:rPr>
        <w:t xml:space="preserve"> </w:t>
      </w:r>
      <w:r w:rsidRPr="00AA093F">
        <w:rPr>
          <w:lang w:val="en-US" w:eastAsia="en-AU"/>
        </w:rPr>
        <w:t>intended to be used to monitor treatment with a therapeutic drug are generally not considered</w:t>
      </w:r>
      <w:r>
        <w:rPr>
          <w:lang w:val="en-US" w:eastAsia="en-AU"/>
        </w:rPr>
        <w:t xml:space="preserve"> </w:t>
      </w:r>
      <w:r w:rsidRPr="00AA093F">
        <w:rPr>
          <w:lang w:val="en-US" w:eastAsia="en-AU"/>
        </w:rPr>
        <w:t>companion diagnostics</w:t>
      </w:r>
      <w:r w:rsidR="003370ED">
        <w:rPr>
          <w:lang w:val="en-US" w:eastAsia="en-AU"/>
        </w:rPr>
        <w:t>,</w:t>
      </w:r>
      <w:r w:rsidR="003C04AD">
        <w:rPr>
          <w:lang w:val="en-US" w:eastAsia="en-AU"/>
        </w:rPr>
        <w:t xml:space="preserve"> but that</w:t>
      </w:r>
      <w:r w:rsidR="003177A3" w:rsidRPr="003177A3">
        <w:rPr>
          <w:lang w:val="en-US" w:eastAsia="en-AU"/>
        </w:rPr>
        <w:t xml:space="preserve"> the </w:t>
      </w:r>
      <w:r w:rsidR="003177A3">
        <w:rPr>
          <w:lang w:val="en-US" w:eastAsia="en-AU"/>
        </w:rPr>
        <w:t>test proposed for concizumab</w:t>
      </w:r>
      <w:r w:rsidR="003E1E25">
        <w:rPr>
          <w:lang w:val="en-US" w:eastAsia="en-AU"/>
        </w:rPr>
        <w:t xml:space="preserve"> dose setting </w:t>
      </w:r>
      <w:r w:rsidR="003177A3" w:rsidRPr="003177A3">
        <w:rPr>
          <w:lang w:val="en-US" w:eastAsia="en-AU"/>
        </w:rPr>
        <w:t>is novel and not established</w:t>
      </w:r>
      <w:r w:rsidR="003E1E25">
        <w:rPr>
          <w:lang w:val="en-US" w:eastAsia="en-AU"/>
        </w:rPr>
        <w:t xml:space="preserve"> and</w:t>
      </w:r>
      <w:r w:rsidR="003177A3" w:rsidRPr="003177A3">
        <w:rPr>
          <w:lang w:val="en-US" w:eastAsia="en-AU"/>
        </w:rPr>
        <w:t xml:space="preserve"> therefore</w:t>
      </w:r>
      <w:r w:rsidR="003E1E25">
        <w:rPr>
          <w:lang w:val="en-US" w:eastAsia="en-AU"/>
        </w:rPr>
        <w:t xml:space="preserve"> </w:t>
      </w:r>
      <w:r w:rsidR="003177A3" w:rsidRPr="003177A3">
        <w:rPr>
          <w:lang w:val="en-US" w:eastAsia="en-AU"/>
        </w:rPr>
        <w:t>of adequate risk level</w:t>
      </w:r>
      <w:r w:rsidR="003E1E25">
        <w:rPr>
          <w:lang w:val="en-US" w:eastAsia="en-AU"/>
        </w:rPr>
        <w:t xml:space="preserve"> </w:t>
      </w:r>
      <w:r w:rsidR="003177A3" w:rsidRPr="003177A3">
        <w:rPr>
          <w:lang w:val="en-US" w:eastAsia="en-AU"/>
        </w:rPr>
        <w:t>to be considered within the TGA’s companion diagnostic framework</w:t>
      </w:r>
      <w:r w:rsidR="003E1E25">
        <w:rPr>
          <w:lang w:val="en-US" w:eastAsia="en-AU"/>
        </w:rPr>
        <w:t xml:space="preserve">. </w:t>
      </w:r>
      <w:r w:rsidR="00B95D98">
        <w:rPr>
          <w:lang w:val="en-US" w:eastAsia="en-AU"/>
        </w:rPr>
        <w:t xml:space="preserve">The Advisory Committee on </w:t>
      </w:r>
      <w:r w:rsidR="00E26A0F">
        <w:rPr>
          <w:lang w:val="en-US" w:eastAsia="en-AU"/>
        </w:rPr>
        <w:t>Medicines</w:t>
      </w:r>
      <w:r w:rsidR="00B95D98">
        <w:rPr>
          <w:lang w:val="en-US" w:eastAsia="en-AU"/>
        </w:rPr>
        <w:t xml:space="preserve"> (ACM) was asked to </w:t>
      </w:r>
      <w:r w:rsidR="00284636">
        <w:rPr>
          <w:lang w:val="en-US" w:eastAsia="en-AU"/>
        </w:rPr>
        <w:t xml:space="preserve">consider whether a second </w:t>
      </w:r>
      <w:r w:rsidR="00CA4476">
        <w:rPr>
          <w:lang w:val="en-US" w:eastAsia="en-AU"/>
        </w:rPr>
        <w:t xml:space="preserve">dose adjustment step based on a repeat serum trough level should be </w:t>
      </w:r>
      <w:r w:rsidR="00CA4476">
        <w:rPr>
          <w:lang w:val="en-US" w:eastAsia="en-AU"/>
        </w:rPr>
        <w:lastRenderedPageBreak/>
        <w:t>recommended</w:t>
      </w:r>
      <w:r w:rsidR="00E26A0F">
        <w:rPr>
          <w:lang w:val="en-US" w:eastAsia="en-AU"/>
        </w:rPr>
        <w:t>. The ACM did not recommend this but did not</w:t>
      </w:r>
      <w:r w:rsidR="00DB1E17">
        <w:rPr>
          <w:lang w:val="en-US" w:eastAsia="en-AU"/>
        </w:rPr>
        <w:t>e</w:t>
      </w:r>
      <w:r w:rsidR="00E26A0F">
        <w:rPr>
          <w:lang w:val="en-US" w:eastAsia="en-AU"/>
        </w:rPr>
        <w:t xml:space="preserve"> that free availability of post-market testing of concizumab levels would be valuable</w:t>
      </w:r>
      <w:r w:rsidR="00480BC7">
        <w:rPr>
          <w:lang w:val="en-US" w:eastAsia="en-AU"/>
        </w:rPr>
        <w:t xml:space="preserve"> to allow data collection (</w:t>
      </w:r>
      <w:r w:rsidR="00480BC7" w:rsidRPr="00015F68">
        <w:rPr>
          <w:lang w:val="en-US" w:eastAsia="en-AU"/>
        </w:rPr>
        <w:t>TGA, 2024</w:t>
      </w:r>
      <w:r w:rsidR="00480BC7">
        <w:rPr>
          <w:lang w:val="en-US" w:eastAsia="en-AU"/>
        </w:rPr>
        <w:t xml:space="preserve">). </w:t>
      </w:r>
    </w:p>
    <w:p w14:paraId="4B417755" w14:textId="620C1994" w:rsidR="00E54CBD" w:rsidRDefault="00226AB0" w:rsidP="003177A3">
      <w:r>
        <w:rPr>
          <w:lang w:val="en-US" w:eastAsia="en-AU"/>
        </w:rPr>
        <w:t xml:space="preserve">According to Technical Guidance 15.6 of the </w:t>
      </w:r>
      <w:hyperlink r:id="rId20" w:tooltip="Hyperlink to MSAC Guidelines" w:history="1">
        <w:r w:rsidRPr="00C90FAB">
          <w:rPr>
            <w:rStyle w:val="Hyperlink"/>
            <w:rFonts w:ascii="Calibri" w:hAnsi="Calibri"/>
            <w:lang w:val="en-US" w:eastAsia="en-AU"/>
          </w:rPr>
          <w:t xml:space="preserve">MSAC </w:t>
        </w:r>
        <w:r w:rsidR="00FE2FA9" w:rsidRPr="00C90FAB">
          <w:rPr>
            <w:rStyle w:val="Hyperlink"/>
            <w:rFonts w:ascii="Calibri" w:hAnsi="Calibri"/>
            <w:lang w:val="en-US" w:eastAsia="en-AU"/>
          </w:rPr>
          <w:t>G</w:t>
        </w:r>
        <w:r w:rsidRPr="00C90FAB">
          <w:rPr>
            <w:rStyle w:val="Hyperlink"/>
            <w:rFonts w:ascii="Calibri" w:hAnsi="Calibri"/>
            <w:lang w:val="en-US" w:eastAsia="en-AU"/>
          </w:rPr>
          <w:t>uidelines</w:t>
        </w:r>
      </w:hyperlink>
      <w:r>
        <w:rPr>
          <w:lang w:val="en-US" w:eastAsia="en-AU"/>
        </w:rPr>
        <w:t xml:space="preserve">, </w:t>
      </w:r>
      <w:r w:rsidR="00B46FB3">
        <w:rPr>
          <w:lang w:val="en-US" w:eastAsia="en-AU"/>
        </w:rPr>
        <w:t>“</w:t>
      </w:r>
      <w:r w:rsidR="00A44DEE">
        <w:rPr>
          <w:lang w:val="en-US" w:eastAsia="en-AU"/>
        </w:rPr>
        <w:t>h</w:t>
      </w:r>
      <w:r w:rsidR="000973C6" w:rsidRPr="000973C6">
        <w:rPr>
          <w:lang w:val="en-US" w:eastAsia="en-AU"/>
        </w:rPr>
        <w:t>ealth technologies are codependent when the patient health outcomes related to the use of a therapeutic health technology (e.g. a medicine) are improved by the use of another health technology (e.g. an investigative technology</w:t>
      </w:r>
      <w:r w:rsidR="00A44DEE">
        <w:rPr>
          <w:lang w:val="en-US" w:eastAsia="en-AU"/>
        </w:rPr>
        <w:t>).</w:t>
      </w:r>
      <w:r w:rsidR="00B46FB3">
        <w:rPr>
          <w:lang w:val="en-US" w:eastAsia="en-AU"/>
        </w:rPr>
        <w:t xml:space="preserve">” </w:t>
      </w:r>
      <w:r w:rsidR="00C93FEA">
        <w:rPr>
          <w:lang w:val="en-US" w:eastAsia="en-AU"/>
        </w:rPr>
        <w:t>Based on this definition</w:t>
      </w:r>
      <w:r w:rsidR="00BD48D8">
        <w:rPr>
          <w:lang w:val="en-US" w:eastAsia="en-AU"/>
        </w:rPr>
        <w:t>,</w:t>
      </w:r>
      <w:r w:rsidR="00C93FEA">
        <w:rPr>
          <w:lang w:val="en-US" w:eastAsia="en-AU"/>
        </w:rPr>
        <w:t xml:space="preserve"> the </w:t>
      </w:r>
      <w:r w:rsidR="007E042F">
        <w:rPr>
          <w:lang w:val="en-US" w:eastAsia="en-AU"/>
        </w:rPr>
        <w:t xml:space="preserve">ConcizuTrace ELISA </w:t>
      </w:r>
      <w:r w:rsidR="00EB158A">
        <w:rPr>
          <w:lang w:val="en-US" w:eastAsia="en-AU"/>
        </w:rPr>
        <w:t>dose optimisation</w:t>
      </w:r>
      <w:r w:rsidR="007E042F">
        <w:rPr>
          <w:lang w:val="en-US" w:eastAsia="en-AU"/>
        </w:rPr>
        <w:t xml:space="preserve"> test</w:t>
      </w:r>
      <w:r w:rsidR="00FC0BB7">
        <w:rPr>
          <w:lang w:val="en-US" w:eastAsia="en-AU"/>
        </w:rPr>
        <w:t xml:space="preserve"> and c</w:t>
      </w:r>
      <w:r w:rsidR="00FC0BB7" w:rsidRPr="00FC0BB7">
        <w:rPr>
          <w:lang w:val="en-US" w:eastAsia="en-AU"/>
        </w:rPr>
        <w:t>oncizumab</w:t>
      </w:r>
      <w:r w:rsidR="007E042F">
        <w:rPr>
          <w:lang w:val="en-US" w:eastAsia="en-AU"/>
        </w:rPr>
        <w:t xml:space="preserve"> </w:t>
      </w:r>
      <w:r w:rsidR="00EB158A">
        <w:rPr>
          <w:lang w:val="en-US" w:eastAsia="en-AU"/>
        </w:rPr>
        <w:t xml:space="preserve">may </w:t>
      </w:r>
      <w:r w:rsidR="002803E9">
        <w:rPr>
          <w:lang w:val="en-US" w:eastAsia="en-AU"/>
        </w:rPr>
        <w:t>be considered code</w:t>
      </w:r>
      <w:r w:rsidR="00172416">
        <w:rPr>
          <w:lang w:val="en-US" w:eastAsia="en-AU"/>
        </w:rPr>
        <w:t>pendent</w:t>
      </w:r>
      <w:r w:rsidR="00EC54A5">
        <w:rPr>
          <w:lang w:val="en-US" w:eastAsia="en-AU"/>
        </w:rPr>
        <w:t xml:space="preserve"> as </w:t>
      </w:r>
      <w:r w:rsidR="00FE2FA9">
        <w:rPr>
          <w:lang w:val="en-US" w:eastAsia="en-AU"/>
        </w:rPr>
        <w:t xml:space="preserve">the Guidelines </w:t>
      </w:r>
      <w:r w:rsidR="001162B7">
        <w:rPr>
          <w:lang w:val="en-US" w:eastAsia="en-AU"/>
        </w:rPr>
        <w:t>recognize a</w:t>
      </w:r>
      <w:r w:rsidR="00FE2FA9">
        <w:rPr>
          <w:lang w:val="en-US" w:eastAsia="en-AU"/>
        </w:rPr>
        <w:t xml:space="preserve"> </w:t>
      </w:r>
      <w:r w:rsidR="00E64387">
        <w:t>“monitoring test to determine specific therapeutic management or medicine dose”</w:t>
      </w:r>
      <w:r w:rsidR="0081078E">
        <w:t xml:space="preserve"> as a type of codependent technology</w:t>
      </w:r>
      <w:r w:rsidR="0058447F">
        <w:t xml:space="preserve">. </w:t>
      </w:r>
      <w:r w:rsidR="004E53BF">
        <w:t xml:space="preserve">However, </w:t>
      </w:r>
      <w:r w:rsidR="005F1785">
        <w:t xml:space="preserve">the </w:t>
      </w:r>
      <w:r w:rsidR="005C3A87">
        <w:rPr>
          <w:lang w:val="en-US" w:eastAsia="en-AU"/>
        </w:rPr>
        <w:t>ConcizuTrace ELISA</w:t>
      </w:r>
      <w:r w:rsidR="005C3A87" w:rsidDel="005C3A87">
        <w:t xml:space="preserve"> </w:t>
      </w:r>
      <w:r w:rsidR="005F1785">
        <w:t>is the same a</w:t>
      </w:r>
      <w:r w:rsidR="00783C01">
        <w:t>s</w:t>
      </w:r>
      <w:r w:rsidR="005F1785">
        <w:t xml:space="preserve"> that used in the pivotal explorer7 trial</w:t>
      </w:r>
      <w:r w:rsidR="00B0699F">
        <w:t>,</w:t>
      </w:r>
      <w:r w:rsidR="00567E9C">
        <w:t xml:space="preserve"> which established the clinical utility of the test-treatment combination</w:t>
      </w:r>
      <w:r w:rsidR="00BA3F10">
        <w:t xml:space="preserve"> (the clinical utility standard)</w:t>
      </w:r>
      <w:r w:rsidR="00567E9C">
        <w:t>.</w:t>
      </w:r>
      <w:r w:rsidR="00302B1D">
        <w:t xml:space="preserve"> </w:t>
      </w:r>
      <w:r w:rsidR="00BA3F10">
        <w:t>M</w:t>
      </w:r>
      <w:r w:rsidR="00296F01">
        <w:t>ost</w:t>
      </w:r>
      <w:r w:rsidR="00FD3D49">
        <w:t xml:space="preserve"> patients did not undergo a dose adjustment (change in management) following testing</w:t>
      </w:r>
      <w:r w:rsidR="00310951" w:rsidRPr="00310951">
        <w:t xml:space="preserve"> </w:t>
      </w:r>
      <w:r w:rsidR="00310951">
        <w:t>(Matsushita et al. 2023)</w:t>
      </w:r>
      <w:r w:rsidR="00F370B5">
        <w:t xml:space="preserve">. Given the </w:t>
      </w:r>
      <w:r w:rsidR="00A858B5">
        <w:t>very small patient population</w:t>
      </w:r>
      <w:r w:rsidR="00FD3D49">
        <w:t xml:space="preserve">, </w:t>
      </w:r>
      <w:r w:rsidR="0041203B">
        <w:t>the current PICO criteria developed did not explicitly identify the ELISA dose optimisation test as a codependent test</w:t>
      </w:r>
      <w:r w:rsidR="003D5D25">
        <w:t xml:space="preserve"> for assessment</w:t>
      </w:r>
      <w:r w:rsidR="003E143B">
        <w:t>,</w:t>
      </w:r>
      <w:r w:rsidR="00204AD6">
        <w:t xml:space="preserve"> nor </w:t>
      </w:r>
      <w:r w:rsidR="00BC0596">
        <w:t xml:space="preserve">include </w:t>
      </w:r>
      <w:r w:rsidR="00204AD6">
        <w:t xml:space="preserve">test performance outcomes in the proposed PICO </w:t>
      </w:r>
      <w:r w:rsidR="000A355A">
        <w:t>s</w:t>
      </w:r>
      <w:r w:rsidR="00204AD6">
        <w:t>et.</w:t>
      </w:r>
      <w:r w:rsidR="0041203B">
        <w:t xml:space="preserve"> </w:t>
      </w:r>
    </w:p>
    <w:p w14:paraId="3F802E32" w14:textId="17E77137" w:rsidR="00DA49DE" w:rsidRPr="00775360" w:rsidRDefault="00DA49DE" w:rsidP="009F5E11">
      <w:pPr>
        <w:rPr>
          <w:i/>
          <w:iCs/>
        </w:rPr>
      </w:pPr>
      <w:r w:rsidRPr="00775360">
        <w:rPr>
          <w:i/>
          <w:iCs/>
        </w:rPr>
        <w:t xml:space="preserve">The applicant confirmed that the concizumab dose-setting test will be conducted overseas at a laboratory in Japan, and that this arrangement is unlikely to change if the population is expanded to include all patients with cHMB. The clinical expert stated that the drug levels are very stable, with only 1 patient requiring a dose adjustment, which may require a second test. PASC noted that the concizumab dose-setting test does not need to be assessed as a co-dependent technology but has requested information on the ELISA assay to be included in the assessment. </w:t>
      </w:r>
    </w:p>
    <w:p w14:paraId="5CF432AC" w14:textId="1E4D3D33" w:rsidR="00B46B9D" w:rsidRDefault="00B46B9D" w:rsidP="00297597">
      <w:pPr>
        <w:pStyle w:val="Heading5"/>
      </w:pPr>
      <w:r>
        <w:t xml:space="preserve">Registration status of the anti-concizumab </w:t>
      </w:r>
      <w:r w:rsidR="00933093">
        <w:t>antibody</w:t>
      </w:r>
      <w:r>
        <w:t xml:space="preserve"> test</w:t>
      </w:r>
    </w:p>
    <w:p w14:paraId="46E839CE" w14:textId="178943FF" w:rsidR="00C67388" w:rsidRDefault="00E61E8A" w:rsidP="00E61E8A">
      <w:r w:rsidRPr="00E61E8A">
        <w:rPr>
          <w:lang w:val="en-US" w:eastAsia="en-AU"/>
        </w:rPr>
        <w:t>Formation of anti</w:t>
      </w:r>
      <w:r w:rsidR="000A1F7D">
        <w:rPr>
          <w:lang w:val="en-US" w:eastAsia="en-AU"/>
        </w:rPr>
        <w:t>-</w:t>
      </w:r>
      <w:r w:rsidRPr="00E61E8A">
        <w:rPr>
          <w:lang w:val="en-US" w:eastAsia="en-AU"/>
        </w:rPr>
        <w:t xml:space="preserve">drug antibodies </w:t>
      </w:r>
      <w:r w:rsidR="000E2F7A">
        <w:rPr>
          <w:lang w:val="en-US" w:eastAsia="en-AU"/>
        </w:rPr>
        <w:t>(ADAs)</w:t>
      </w:r>
      <w:r w:rsidRPr="00E61E8A">
        <w:rPr>
          <w:lang w:val="en-US" w:eastAsia="en-AU"/>
        </w:rPr>
        <w:t xml:space="preserve"> is a known</w:t>
      </w:r>
      <w:r>
        <w:rPr>
          <w:lang w:val="en-US" w:eastAsia="en-AU"/>
        </w:rPr>
        <w:t xml:space="preserve"> </w:t>
      </w:r>
      <w:r w:rsidRPr="00E61E8A">
        <w:rPr>
          <w:lang w:val="en-US" w:eastAsia="en-AU"/>
        </w:rPr>
        <w:t>consequence of monoclonal antibody treatment</w:t>
      </w:r>
      <w:r w:rsidR="00310F39">
        <w:rPr>
          <w:lang w:val="en-US" w:eastAsia="en-AU"/>
        </w:rPr>
        <w:t xml:space="preserve">, although they </w:t>
      </w:r>
      <w:r w:rsidRPr="00E61E8A">
        <w:rPr>
          <w:lang w:val="en-US" w:eastAsia="en-AU"/>
        </w:rPr>
        <w:t>do not necessarily prevent therapeutic monoclonal antibody activity</w:t>
      </w:r>
      <w:r w:rsidR="00310F39">
        <w:rPr>
          <w:lang w:val="en-US" w:eastAsia="en-AU"/>
        </w:rPr>
        <w:t>. Anti-concizumab antibody testing was undertaken during the explorer</w:t>
      </w:r>
      <w:r w:rsidR="00C10B2A">
        <w:rPr>
          <w:lang w:val="en-US" w:eastAsia="en-AU"/>
        </w:rPr>
        <w:t>7 trial</w:t>
      </w:r>
      <w:r w:rsidR="00E94D62">
        <w:rPr>
          <w:lang w:val="en-US" w:eastAsia="en-AU"/>
        </w:rPr>
        <w:t xml:space="preserve">. </w:t>
      </w:r>
      <w:r w:rsidR="00E94D62">
        <w:t>Antibodies to concizumab were detected in 33/127 patients (26%); all but 1 had low antibody titres and no effect on efficacy was observed (Matsushita et al. 2023).</w:t>
      </w:r>
    </w:p>
    <w:p w14:paraId="47F06655" w14:textId="5E54EE39" w:rsidR="009E7946" w:rsidRDefault="000706CB" w:rsidP="00E61E8A">
      <w:r>
        <w:t xml:space="preserve">Anti-concizumab </w:t>
      </w:r>
      <w:r w:rsidR="00D5372E">
        <w:t>antibody</w:t>
      </w:r>
      <w:r>
        <w:t xml:space="preserve"> testing during the trial was undertaken by the sponsor </w:t>
      </w:r>
      <w:r w:rsidR="00C308EC">
        <w:t xml:space="preserve">using a bridging </w:t>
      </w:r>
      <w:r w:rsidR="003501BC">
        <w:t>electrochemiluminescense</w:t>
      </w:r>
      <w:r w:rsidR="00C308EC">
        <w:t xml:space="preserve"> assay</w:t>
      </w:r>
      <w:r w:rsidR="0045530F">
        <w:t xml:space="preserve"> with positive samples further test</w:t>
      </w:r>
      <w:r w:rsidR="00954ED2">
        <w:t>ed for neutralising activity</w:t>
      </w:r>
      <w:r w:rsidR="0023784D">
        <w:t xml:space="preserve">. The trial protocol notes that </w:t>
      </w:r>
      <w:r w:rsidR="00014A3B">
        <w:t>patients positive for binding antibodies may be followed up outside of the trial protocol</w:t>
      </w:r>
      <w:r w:rsidR="005B21EE">
        <w:t xml:space="preserve"> (Matsushita et al. 2023)</w:t>
      </w:r>
      <w:r w:rsidR="00457198">
        <w:t>. The</w:t>
      </w:r>
      <w:r w:rsidR="00014A3B">
        <w:t xml:space="preserve"> anti-concizumab</w:t>
      </w:r>
      <w:r w:rsidR="00457198">
        <w:t xml:space="preserve"> </w:t>
      </w:r>
      <w:r w:rsidR="00D5372E">
        <w:t>antibody</w:t>
      </w:r>
      <w:r w:rsidR="00457198">
        <w:t xml:space="preserve"> tests are not commercially available and therefore not TGA registered. The applicant advised that </w:t>
      </w:r>
      <w:r w:rsidR="005B21EE">
        <w:t>testing is not proposed to be undertaken routinely</w:t>
      </w:r>
      <w:r w:rsidR="0023784D">
        <w:t xml:space="preserve"> but could be considered where a patient experiences lack of efficacy.</w:t>
      </w:r>
    </w:p>
    <w:p w14:paraId="14498EAF" w14:textId="33644F60" w:rsidR="002E0B11" w:rsidRDefault="000E2F7A" w:rsidP="00E61E8A">
      <w:r>
        <w:t>ADA</w:t>
      </w:r>
      <w:r w:rsidR="00BD36D6">
        <w:t xml:space="preserve"> testing </w:t>
      </w:r>
      <w:r w:rsidR="000B685F">
        <w:t>is not considered a codependent test for this assessment</w:t>
      </w:r>
      <w:r w:rsidR="00F417E8">
        <w:t>,</w:t>
      </w:r>
      <w:r w:rsidR="000B685F">
        <w:t xml:space="preserve"> no</w:t>
      </w:r>
      <w:r w:rsidR="00DB549F">
        <w:t xml:space="preserve">r was it </w:t>
      </w:r>
      <w:r w:rsidR="000B685F">
        <w:t xml:space="preserve">considered in </w:t>
      </w:r>
      <w:hyperlink r:id="rId21" w:tooltip="Link to the webpage for Application 1510.1" w:history="1">
        <w:r w:rsidR="008F4BE4" w:rsidRPr="008F4BE4">
          <w:rPr>
            <w:rStyle w:val="Hyperlink"/>
            <w:rFonts w:ascii="Calibri" w:hAnsi="Calibri"/>
          </w:rPr>
          <w:t>Application 1510.1</w:t>
        </w:r>
      </w:hyperlink>
      <w:r w:rsidR="008F4BE4" w:rsidRPr="008F4BE4">
        <w:t xml:space="preserve"> (emicizumab)</w:t>
      </w:r>
      <w:r w:rsidR="00876F97">
        <w:t>.</w:t>
      </w:r>
      <w:r w:rsidR="00DB549F">
        <w:t xml:space="preserve"> It differs from the </w:t>
      </w:r>
      <w:r w:rsidR="009445F9">
        <w:t xml:space="preserve">anti-AAV5 neutralising antibody </w:t>
      </w:r>
      <w:r w:rsidR="008F717E">
        <w:t xml:space="preserve">that was codependent for </w:t>
      </w:r>
      <w:hyperlink r:id="rId22" w:tooltip="Link to the webpage for application 1728.1" w:history="1">
        <w:r w:rsidR="00F11600" w:rsidRPr="00F11600">
          <w:rPr>
            <w:rStyle w:val="Hyperlink"/>
            <w:rFonts w:ascii="Calibri" w:hAnsi="Calibri"/>
          </w:rPr>
          <w:t>Application 1728.1</w:t>
        </w:r>
      </w:hyperlink>
      <w:r w:rsidR="008F717E">
        <w:t xml:space="preserve"> (</w:t>
      </w:r>
      <w:r w:rsidR="00945449">
        <w:t>H</w:t>
      </w:r>
      <w:r w:rsidR="008F717E">
        <w:t>emgenix)</w:t>
      </w:r>
      <w:r w:rsidR="00ED2F2D">
        <w:t>,</w:t>
      </w:r>
      <w:r w:rsidR="00F33CBE">
        <w:t xml:space="preserve"> </w:t>
      </w:r>
      <w:r w:rsidR="00ED2F2D">
        <w:t>where</w:t>
      </w:r>
      <w:r w:rsidR="00F33CBE">
        <w:t xml:space="preserve"> </w:t>
      </w:r>
      <w:r w:rsidR="00967678">
        <w:t>testing was required to determine eligibility for the treatment</w:t>
      </w:r>
      <w:r w:rsidR="00164E2A">
        <w:t xml:space="preserve"> due to prior exposure to the viral vector for the drug</w:t>
      </w:r>
      <w:r w:rsidR="000B24EA">
        <w:t>.</w:t>
      </w:r>
    </w:p>
    <w:p w14:paraId="7430AA13" w14:textId="50D4C21F" w:rsidR="004F4DA7" w:rsidRPr="006210F9" w:rsidRDefault="00DA49DE" w:rsidP="00E61E8A">
      <w:pPr>
        <w:rPr>
          <w:i/>
          <w:iCs/>
        </w:rPr>
      </w:pPr>
      <w:r w:rsidRPr="00775360">
        <w:rPr>
          <w:i/>
          <w:iCs/>
        </w:rPr>
        <w:t xml:space="preserve">The applicant confirmed that there is no commercial assay for the ADA test and that this is also the case for emicizumab. The clinical expert noted that approximately 700 patients are currently treated with emicizumab, and no issues related to neutralising antibodies have been observed. Therefore, routine testing is not necessary and </w:t>
      </w:r>
      <w:r w:rsidR="002A26A0">
        <w:rPr>
          <w:i/>
          <w:iCs/>
        </w:rPr>
        <w:t xml:space="preserve">need </w:t>
      </w:r>
      <w:r w:rsidRPr="00775360">
        <w:rPr>
          <w:i/>
          <w:iCs/>
        </w:rPr>
        <w:t>not be included as part of the intervention.</w:t>
      </w:r>
    </w:p>
    <w:p w14:paraId="665B0675" w14:textId="5FDFCB88" w:rsidR="007A66C8" w:rsidRPr="008F1532" w:rsidRDefault="007A66C8" w:rsidP="00713728">
      <w:pPr>
        <w:pStyle w:val="Heading3"/>
      </w:pPr>
      <w:r w:rsidRPr="008F1532">
        <w:lastRenderedPageBreak/>
        <w:t>Comparator</w:t>
      </w:r>
      <w:r w:rsidR="007D6B83">
        <w:t>(</w:t>
      </w:r>
      <w:r w:rsidR="008F1532">
        <w:t>s</w:t>
      </w:r>
      <w:r w:rsidR="007D6B83">
        <w:t>)</w:t>
      </w:r>
    </w:p>
    <w:p w14:paraId="7F933849" w14:textId="61C8EFF9" w:rsidR="00732505" w:rsidRDefault="00AB3A76" w:rsidP="007B5F3A">
      <w:pPr>
        <w:spacing w:after="0"/>
        <w:rPr>
          <w:lang w:eastAsia="en-AU"/>
        </w:rPr>
      </w:pPr>
      <w:r>
        <w:rPr>
          <w:lang w:eastAsia="en-AU"/>
        </w:rPr>
        <w:t xml:space="preserve">There are no long-term prophylactic treatments available for patients with </w:t>
      </w:r>
      <w:r w:rsidR="00935894">
        <w:rPr>
          <w:lang w:eastAsia="en-AU"/>
        </w:rPr>
        <w:t>c</w:t>
      </w:r>
      <w:r>
        <w:rPr>
          <w:lang w:eastAsia="en-AU"/>
        </w:rPr>
        <w:t>HMB with inhibitors. T</w:t>
      </w:r>
      <w:r w:rsidRPr="00336FC8">
        <w:rPr>
          <w:lang w:eastAsia="en-AU"/>
        </w:rPr>
        <w:t>he proposed comparator</w:t>
      </w:r>
      <w:r>
        <w:rPr>
          <w:lang w:eastAsia="en-AU"/>
        </w:rPr>
        <w:t xml:space="preserve"> is standard of care, which consists of</w:t>
      </w:r>
      <w:r w:rsidR="00C67FA7">
        <w:rPr>
          <w:lang w:eastAsia="en-AU"/>
        </w:rPr>
        <w:t xml:space="preserve"> </w:t>
      </w:r>
    </w:p>
    <w:p w14:paraId="7A4C41B9" w14:textId="7BBD9B58" w:rsidR="007452DF" w:rsidRPr="007452DF" w:rsidRDefault="007316B4" w:rsidP="00732505">
      <w:pPr>
        <w:pStyle w:val="ListParagraph"/>
        <w:numPr>
          <w:ilvl w:val="0"/>
          <w:numId w:val="35"/>
        </w:numPr>
        <w:spacing w:after="160"/>
        <w:rPr>
          <w:rFonts w:cs="Arial"/>
          <w:lang w:eastAsia="en-AU"/>
        </w:rPr>
      </w:pPr>
      <w:r>
        <w:rPr>
          <w:lang w:eastAsia="en-AU"/>
        </w:rPr>
        <w:t>on demand treatment with BPA</w:t>
      </w:r>
      <w:r w:rsidR="00E12FB9">
        <w:rPr>
          <w:lang w:eastAsia="en-AU"/>
        </w:rPr>
        <w:t>s</w:t>
      </w:r>
      <w:r w:rsidR="00356918">
        <w:rPr>
          <w:lang w:eastAsia="en-AU"/>
        </w:rPr>
        <w:t>, most commonly rFVIIa</w:t>
      </w:r>
    </w:p>
    <w:p w14:paraId="15AEEAE3" w14:textId="7EDC2476" w:rsidR="00AB3A76" w:rsidRPr="00732505" w:rsidRDefault="007452DF" w:rsidP="00732505">
      <w:pPr>
        <w:pStyle w:val="ListParagraph"/>
        <w:numPr>
          <w:ilvl w:val="0"/>
          <w:numId w:val="35"/>
        </w:numPr>
        <w:spacing w:after="160"/>
        <w:rPr>
          <w:rFonts w:cs="Arial"/>
          <w:lang w:eastAsia="en-AU"/>
        </w:rPr>
      </w:pPr>
      <w:r>
        <w:rPr>
          <w:lang w:eastAsia="en-AU"/>
        </w:rPr>
        <w:t>s</w:t>
      </w:r>
      <w:r w:rsidRPr="00732505">
        <w:rPr>
          <w:rFonts w:cs="Arial"/>
          <w:lang w:eastAsia="en-AU"/>
        </w:rPr>
        <w:t>hort-term prophylaxis for up to 3 months</w:t>
      </w:r>
      <w:r>
        <w:rPr>
          <w:lang w:eastAsia="en-AU"/>
        </w:rPr>
        <w:t xml:space="preserve"> with </w:t>
      </w:r>
      <w:r w:rsidR="00497A4E">
        <w:rPr>
          <w:lang w:eastAsia="en-AU"/>
        </w:rPr>
        <w:t>rFVII</w:t>
      </w:r>
      <w:r>
        <w:rPr>
          <w:lang w:eastAsia="en-AU"/>
        </w:rPr>
        <w:t>a</w:t>
      </w:r>
      <w:r w:rsidR="00497A4E" w:rsidRPr="00732505">
        <w:rPr>
          <w:rFonts w:cs="Arial"/>
          <w:lang w:eastAsia="en-AU"/>
        </w:rPr>
        <w:t>.</w:t>
      </w:r>
    </w:p>
    <w:p w14:paraId="373D4E5E" w14:textId="2141396F" w:rsidR="00015F68" w:rsidRDefault="00015F68" w:rsidP="00497A4E">
      <w:pPr>
        <w:spacing w:after="160"/>
        <w:rPr>
          <w:rFonts w:cs="Arial"/>
          <w:lang w:eastAsia="en-AU"/>
        </w:rPr>
      </w:pPr>
      <w:r>
        <w:rPr>
          <w:rFonts w:cs="Arial"/>
          <w:lang w:eastAsia="en-AU"/>
        </w:rPr>
        <w:t xml:space="preserve">The comparator in the </w:t>
      </w:r>
      <w:r w:rsidR="000F0932">
        <w:rPr>
          <w:rFonts w:cs="Arial"/>
          <w:lang w:eastAsia="en-AU"/>
        </w:rPr>
        <w:t xml:space="preserve">explorer7 </w:t>
      </w:r>
      <w:r>
        <w:rPr>
          <w:rFonts w:cs="Arial"/>
          <w:lang w:eastAsia="en-AU"/>
        </w:rPr>
        <w:t xml:space="preserve">pivotal trial was </w:t>
      </w:r>
      <w:r w:rsidR="00167AC7">
        <w:rPr>
          <w:rFonts w:cs="Arial"/>
          <w:lang w:eastAsia="en-AU"/>
        </w:rPr>
        <w:t>on</w:t>
      </w:r>
      <w:r w:rsidR="00607E3D">
        <w:rPr>
          <w:rFonts w:cs="Arial"/>
          <w:lang w:eastAsia="en-AU"/>
        </w:rPr>
        <w:t xml:space="preserve"> </w:t>
      </w:r>
      <w:r w:rsidR="00167AC7">
        <w:rPr>
          <w:rFonts w:cs="Arial"/>
          <w:lang w:eastAsia="en-AU"/>
        </w:rPr>
        <w:t>demand treatment with BPAs</w:t>
      </w:r>
      <w:r w:rsidR="00A228C7">
        <w:rPr>
          <w:rFonts w:cs="Arial"/>
          <w:lang w:eastAsia="en-AU"/>
        </w:rPr>
        <w:t xml:space="preserve"> (</w:t>
      </w:r>
      <w:r w:rsidR="000F0932">
        <w:rPr>
          <w:rFonts w:cs="Arial"/>
          <w:lang w:eastAsia="en-AU"/>
        </w:rPr>
        <w:t>Matsushita et al. 2023)</w:t>
      </w:r>
      <w:r w:rsidR="00E4114B">
        <w:rPr>
          <w:rFonts w:cs="Arial"/>
          <w:lang w:eastAsia="en-AU"/>
        </w:rPr>
        <w:t>;</w:t>
      </w:r>
      <w:r w:rsidR="00BB7B5E">
        <w:rPr>
          <w:rFonts w:cs="Arial"/>
          <w:lang w:eastAsia="en-AU"/>
        </w:rPr>
        <w:t xml:space="preserve"> however</w:t>
      </w:r>
      <w:r w:rsidR="000D7355">
        <w:rPr>
          <w:rFonts w:cs="Arial"/>
          <w:lang w:eastAsia="en-AU"/>
        </w:rPr>
        <w:t>,</w:t>
      </w:r>
      <w:r w:rsidR="00BB7B5E">
        <w:rPr>
          <w:rFonts w:cs="Arial"/>
          <w:lang w:eastAsia="en-AU"/>
        </w:rPr>
        <w:t xml:space="preserve"> rFVIIa is also indicated for surgical prophylaxis and short-term prophylaxis in patients with </w:t>
      </w:r>
      <w:r w:rsidR="00071827">
        <w:rPr>
          <w:rFonts w:cs="Arial"/>
          <w:lang w:eastAsia="en-AU"/>
        </w:rPr>
        <w:t>high bleeding frequency</w:t>
      </w:r>
      <w:r w:rsidR="000F0932">
        <w:rPr>
          <w:rFonts w:cs="Arial"/>
          <w:lang w:eastAsia="en-AU"/>
        </w:rPr>
        <w:t>.</w:t>
      </w:r>
    </w:p>
    <w:p w14:paraId="170DD82B" w14:textId="032BC71E" w:rsidR="0091106B" w:rsidRDefault="00105331" w:rsidP="00497A4E">
      <w:pPr>
        <w:spacing w:after="160"/>
        <w:rPr>
          <w:rFonts w:cs="Arial"/>
          <w:lang w:eastAsia="en-AU"/>
        </w:rPr>
      </w:pPr>
      <w:r>
        <w:rPr>
          <w:rFonts w:asciiTheme="minorHAnsi" w:hAnsiTheme="minorHAnsi" w:cstheme="minorHAnsi"/>
          <w:i/>
          <w:iCs/>
        </w:rPr>
        <w:t>PASC confirmed the comparator.</w:t>
      </w:r>
    </w:p>
    <w:p w14:paraId="29C1EA87" w14:textId="4F57637B" w:rsidR="007A66C8" w:rsidRDefault="007A66C8" w:rsidP="00713728">
      <w:pPr>
        <w:pStyle w:val="Heading3"/>
      </w:pPr>
      <w:r w:rsidRPr="008F1532">
        <w:t xml:space="preserve">Outcomes </w:t>
      </w:r>
    </w:p>
    <w:p w14:paraId="44BDA9BB" w14:textId="5F45B0C2" w:rsidR="005266A1" w:rsidRPr="005266A1" w:rsidRDefault="005266A1" w:rsidP="005266A1">
      <w:r>
        <w:t>The outcomes relevant to the assessment are listed</w:t>
      </w:r>
      <w:r w:rsidR="004F6174">
        <w:t xml:space="preserve"> below.</w:t>
      </w:r>
    </w:p>
    <w:p w14:paraId="031BEB84" w14:textId="77777777" w:rsidR="0031427A" w:rsidRPr="004F6174" w:rsidRDefault="0031427A" w:rsidP="007B5F3A">
      <w:pPr>
        <w:spacing w:after="0"/>
        <w:rPr>
          <w:u w:val="single"/>
        </w:rPr>
      </w:pPr>
      <w:r w:rsidRPr="004F6174">
        <w:rPr>
          <w:u w:val="single"/>
        </w:rPr>
        <w:t>Safety</w:t>
      </w:r>
    </w:p>
    <w:p w14:paraId="6126EB36" w14:textId="19996DD0" w:rsidR="0031427A" w:rsidRDefault="0031427A" w:rsidP="00727053">
      <w:pPr>
        <w:pStyle w:val="ListParagraph"/>
        <w:numPr>
          <w:ilvl w:val="0"/>
          <w:numId w:val="12"/>
        </w:numPr>
        <w:ind w:left="714" w:hanging="357"/>
      </w:pPr>
      <w:r>
        <w:t>Incidence and severity of adverse events</w:t>
      </w:r>
    </w:p>
    <w:p w14:paraId="4B72A15D" w14:textId="68D176FF" w:rsidR="005E22C6" w:rsidRDefault="00E942C7" w:rsidP="00775360">
      <w:pPr>
        <w:pStyle w:val="ListParagraph"/>
        <w:numPr>
          <w:ilvl w:val="1"/>
          <w:numId w:val="12"/>
        </w:numPr>
      </w:pPr>
      <w:r>
        <w:t>T</w:t>
      </w:r>
      <w:r w:rsidR="005E22C6">
        <w:t>hrombosis</w:t>
      </w:r>
    </w:p>
    <w:p w14:paraId="2D1A62AB" w14:textId="4CA15F52" w:rsidR="0031427A" w:rsidRDefault="0031427A" w:rsidP="00727053">
      <w:pPr>
        <w:pStyle w:val="ListParagraph"/>
        <w:numPr>
          <w:ilvl w:val="0"/>
          <w:numId w:val="12"/>
        </w:numPr>
        <w:ind w:left="714" w:hanging="357"/>
      </w:pPr>
      <w:r>
        <w:t>Mortality</w:t>
      </w:r>
    </w:p>
    <w:p w14:paraId="6D5363BD" w14:textId="77777777" w:rsidR="003504F3" w:rsidRDefault="00F369D8" w:rsidP="00727053">
      <w:pPr>
        <w:pStyle w:val="ListParagraph"/>
        <w:numPr>
          <w:ilvl w:val="0"/>
          <w:numId w:val="12"/>
        </w:numPr>
        <w:ind w:left="714" w:hanging="357"/>
      </w:pPr>
      <w:r>
        <w:t xml:space="preserve">Emergence </w:t>
      </w:r>
      <w:r w:rsidR="003504F3">
        <w:t>of anti-concizumab antibodies</w:t>
      </w:r>
    </w:p>
    <w:p w14:paraId="684801C0" w14:textId="77777777" w:rsidR="0031427A" w:rsidRPr="004F6174" w:rsidRDefault="0031427A" w:rsidP="007B5F3A">
      <w:pPr>
        <w:spacing w:after="0"/>
        <w:rPr>
          <w:u w:val="single"/>
        </w:rPr>
      </w:pPr>
      <w:r w:rsidRPr="004F6174">
        <w:rPr>
          <w:u w:val="single"/>
        </w:rPr>
        <w:t>Effectiveness</w:t>
      </w:r>
    </w:p>
    <w:p w14:paraId="2D781577" w14:textId="7443C623" w:rsidR="0031427A" w:rsidRDefault="0031427A" w:rsidP="00727053">
      <w:pPr>
        <w:pStyle w:val="ListParagraph"/>
        <w:numPr>
          <w:ilvl w:val="0"/>
          <w:numId w:val="6"/>
        </w:numPr>
        <w:ind w:left="714" w:hanging="357"/>
      </w:pPr>
      <w:r>
        <w:t>Primary effectiveness</w:t>
      </w:r>
    </w:p>
    <w:p w14:paraId="72DC5397" w14:textId="797BFE60" w:rsidR="0031427A" w:rsidRDefault="0031427A" w:rsidP="0031427A">
      <w:pPr>
        <w:pStyle w:val="ListParagraph"/>
        <w:numPr>
          <w:ilvl w:val="1"/>
          <w:numId w:val="6"/>
        </w:numPr>
      </w:pPr>
      <w:r>
        <w:t>Reduction in number of bleeds over time (bleed rate)</w:t>
      </w:r>
    </w:p>
    <w:p w14:paraId="097FAE23" w14:textId="72E735C2" w:rsidR="0031427A" w:rsidRDefault="0031427A" w:rsidP="0031427A">
      <w:pPr>
        <w:pStyle w:val="ListParagraph"/>
        <w:numPr>
          <w:ilvl w:val="1"/>
          <w:numId w:val="6"/>
        </w:numPr>
      </w:pPr>
      <w:r>
        <w:t>Prevention of bleeds</w:t>
      </w:r>
    </w:p>
    <w:p w14:paraId="024825F2" w14:textId="732098E6" w:rsidR="0031427A" w:rsidRDefault="0031427A" w:rsidP="0031427A">
      <w:pPr>
        <w:pStyle w:val="ListParagraph"/>
        <w:numPr>
          <w:ilvl w:val="0"/>
          <w:numId w:val="6"/>
        </w:numPr>
      </w:pPr>
      <w:r>
        <w:t>Secondary effectiveness</w:t>
      </w:r>
    </w:p>
    <w:p w14:paraId="24E4755B" w14:textId="3AB46CCB" w:rsidR="0031427A" w:rsidRDefault="0031427A" w:rsidP="0031427A">
      <w:pPr>
        <w:pStyle w:val="ListParagraph"/>
        <w:numPr>
          <w:ilvl w:val="1"/>
          <w:numId w:val="6"/>
        </w:numPr>
      </w:pPr>
      <w:r>
        <w:t>Responder status</w:t>
      </w:r>
    </w:p>
    <w:p w14:paraId="6B76DFA0" w14:textId="09BA633F" w:rsidR="0031427A" w:rsidRDefault="0031427A" w:rsidP="0031427A">
      <w:pPr>
        <w:pStyle w:val="ListParagraph"/>
        <w:numPr>
          <w:ilvl w:val="1"/>
          <w:numId w:val="6"/>
        </w:numPr>
      </w:pPr>
      <w:r>
        <w:t>Other bleeding related outcomes such as: number of joint bleeds over time</w:t>
      </w:r>
      <w:r w:rsidR="000A2221">
        <w:t>;</w:t>
      </w:r>
      <w:r>
        <w:t xml:space="preserve"> number of target joint bleeds over time</w:t>
      </w:r>
      <w:r w:rsidR="000A2221">
        <w:t>;</w:t>
      </w:r>
      <w:r>
        <w:t xml:space="preserve"> individual bleed rate compared to historical bleed rate</w:t>
      </w:r>
      <w:r w:rsidR="000A2221">
        <w:t>;</w:t>
      </w:r>
      <w:r>
        <w:t xml:space="preserve"> and number of treated bleeds per month or year.</w:t>
      </w:r>
    </w:p>
    <w:p w14:paraId="63B9C83B" w14:textId="66B06D23" w:rsidR="00F30639" w:rsidRDefault="00F30639" w:rsidP="00F30639">
      <w:pPr>
        <w:pStyle w:val="ListParagraph"/>
        <w:numPr>
          <w:ilvl w:val="1"/>
          <w:numId w:val="6"/>
        </w:numPr>
      </w:pPr>
      <w:r w:rsidRPr="00F30639">
        <w:t>Perioperative use of therapy and outcomes</w:t>
      </w:r>
    </w:p>
    <w:p w14:paraId="4A6DFD7A" w14:textId="0599D7DA" w:rsidR="0031427A" w:rsidRDefault="0031427A" w:rsidP="0031427A">
      <w:pPr>
        <w:pStyle w:val="ListParagraph"/>
        <w:numPr>
          <w:ilvl w:val="1"/>
          <w:numId w:val="6"/>
        </w:numPr>
      </w:pPr>
      <w:r>
        <w:t>Health-related quality of life</w:t>
      </w:r>
    </w:p>
    <w:p w14:paraId="78A21100" w14:textId="37D213B8" w:rsidR="0031427A" w:rsidRDefault="0031427A" w:rsidP="0031427A">
      <w:pPr>
        <w:pStyle w:val="ListParagraph"/>
        <w:numPr>
          <w:ilvl w:val="1"/>
          <w:numId w:val="6"/>
        </w:numPr>
      </w:pPr>
      <w:r>
        <w:t>Joint health outcomes</w:t>
      </w:r>
    </w:p>
    <w:p w14:paraId="7C732B7A" w14:textId="23445B95" w:rsidR="0031427A" w:rsidRDefault="0031427A" w:rsidP="0031427A">
      <w:pPr>
        <w:pStyle w:val="ListParagraph"/>
        <w:numPr>
          <w:ilvl w:val="1"/>
          <w:numId w:val="6"/>
        </w:numPr>
      </w:pPr>
      <w:r>
        <w:t>Chronic pain associated with haemophilia</w:t>
      </w:r>
    </w:p>
    <w:p w14:paraId="6957D889" w14:textId="29879863" w:rsidR="0031427A" w:rsidRDefault="0031427A" w:rsidP="0031427A">
      <w:pPr>
        <w:pStyle w:val="ListParagraph"/>
        <w:numPr>
          <w:ilvl w:val="1"/>
          <w:numId w:val="6"/>
        </w:numPr>
      </w:pPr>
      <w:r>
        <w:t>Number of missed days of work/activity/school</w:t>
      </w:r>
    </w:p>
    <w:p w14:paraId="6A1AEB4A" w14:textId="77777777" w:rsidR="0031427A" w:rsidRPr="004F6174" w:rsidRDefault="0031427A" w:rsidP="00727053">
      <w:pPr>
        <w:spacing w:after="0"/>
        <w:rPr>
          <w:u w:val="single"/>
        </w:rPr>
      </w:pPr>
      <w:r w:rsidRPr="004F6174">
        <w:rPr>
          <w:u w:val="single"/>
        </w:rPr>
        <w:t>Healthcare resources</w:t>
      </w:r>
    </w:p>
    <w:p w14:paraId="25C168D3" w14:textId="5CC8B54D" w:rsidR="0031427A" w:rsidRDefault="0031427A" w:rsidP="00727053">
      <w:pPr>
        <w:pStyle w:val="ListParagraph"/>
        <w:numPr>
          <w:ilvl w:val="0"/>
          <w:numId w:val="12"/>
        </w:numPr>
        <w:ind w:left="714" w:hanging="357"/>
      </w:pPr>
      <w:r>
        <w:t>Cost offsets (including costs of immune tolerance therapy)</w:t>
      </w:r>
    </w:p>
    <w:p w14:paraId="07DF328F" w14:textId="17E9B764" w:rsidR="0031427A" w:rsidRDefault="0031427A" w:rsidP="00727053">
      <w:pPr>
        <w:pStyle w:val="ListParagraph"/>
        <w:numPr>
          <w:ilvl w:val="0"/>
          <w:numId w:val="12"/>
        </w:numPr>
        <w:ind w:left="714" w:hanging="357"/>
      </w:pPr>
      <w:r>
        <w:t>Costs of delivering the intervention</w:t>
      </w:r>
    </w:p>
    <w:p w14:paraId="18A34B81" w14:textId="74F77D79" w:rsidR="0031427A" w:rsidRDefault="0031427A" w:rsidP="00727053">
      <w:pPr>
        <w:pStyle w:val="ListParagraph"/>
        <w:numPr>
          <w:ilvl w:val="0"/>
          <w:numId w:val="12"/>
        </w:numPr>
        <w:ind w:left="714" w:hanging="357"/>
      </w:pPr>
      <w:r>
        <w:t>Costs of managing adverse events or breakthrough bleeding</w:t>
      </w:r>
    </w:p>
    <w:p w14:paraId="16B526D6" w14:textId="562DB983" w:rsidR="0031427A" w:rsidRDefault="0031427A" w:rsidP="00727053">
      <w:pPr>
        <w:pStyle w:val="ListParagraph"/>
        <w:numPr>
          <w:ilvl w:val="0"/>
          <w:numId w:val="12"/>
        </w:numPr>
        <w:ind w:left="714" w:hanging="357"/>
      </w:pPr>
      <w:r>
        <w:t xml:space="preserve">Cost per </w:t>
      </w:r>
      <w:r w:rsidR="006E74C4">
        <w:t>q</w:t>
      </w:r>
      <w:r>
        <w:t>uality</w:t>
      </w:r>
      <w:r w:rsidR="00111EC8">
        <w:t>-</w:t>
      </w:r>
      <w:r w:rsidR="006E74C4">
        <w:t>a</w:t>
      </w:r>
      <w:r>
        <w:t xml:space="preserve">djusted </w:t>
      </w:r>
      <w:r w:rsidR="006E74C4">
        <w:t>l</w:t>
      </w:r>
      <w:r>
        <w:t>ife</w:t>
      </w:r>
      <w:r w:rsidR="00111EC8">
        <w:t xml:space="preserve"> </w:t>
      </w:r>
      <w:r w:rsidR="006E74C4">
        <w:t>y</w:t>
      </w:r>
      <w:r>
        <w:t>ear (QALY) gained</w:t>
      </w:r>
      <w:r w:rsidR="00F02F3B">
        <w:t>.</w:t>
      </w:r>
    </w:p>
    <w:p w14:paraId="19BC2EC4" w14:textId="7AFA20B2" w:rsidR="00EF3B88" w:rsidRDefault="00674432" w:rsidP="0026481A">
      <w:r>
        <w:t xml:space="preserve">The outcomes </w:t>
      </w:r>
      <w:r w:rsidR="002B1D06">
        <w:t xml:space="preserve">are consistent with those proposed in the application and </w:t>
      </w:r>
      <w:hyperlink r:id="rId23" w:tooltip="Link to the webpage for Application 1510.1" w:history="1">
        <w:r w:rsidR="006F35E5" w:rsidRPr="00E1756A">
          <w:rPr>
            <w:rStyle w:val="Hyperlink"/>
            <w:rFonts w:ascii="Calibri" w:hAnsi="Calibri"/>
          </w:rPr>
          <w:t>Application 1510.1</w:t>
        </w:r>
      </w:hyperlink>
      <w:r w:rsidR="006F35E5">
        <w:t xml:space="preserve"> (emicizumab)</w:t>
      </w:r>
      <w:r w:rsidR="002F2C4A">
        <w:t>.</w:t>
      </w:r>
      <w:r w:rsidR="00EF3B88">
        <w:t xml:space="preserve"> Furthermore, the</w:t>
      </w:r>
      <w:r w:rsidR="00F02F3B">
        <w:t xml:space="preserve"> </w:t>
      </w:r>
      <w:r w:rsidR="00F54812">
        <w:t xml:space="preserve">primary outcome of the </w:t>
      </w:r>
      <w:r w:rsidR="006E38E4">
        <w:t>e</w:t>
      </w:r>
      <w:r w:rsidR="00F02F3B">
        <w:t xml:space="preserve">xplorer7 </w:t>
      </w:r>
      <w:r w:rsidR="00F60499">
        <w:t>pivotal trial</w:t>
      </w:r>
      <w:r w:rsidR="00F54812">
        <w:t xml:space="preserve"> is the same as the proposed primary effectiveness outcome. </w:t>
      </w:r>
      <w:r w:rsidR="00F94E25">
        <w:t>The trial also reported adverse events and health</w:t>
      </w:r>
      <w:r w:rsidR="00C861C6">
        <w:t>-</w:t>
      </w:r>
      <w:r w:rsidR="00F94E25">
        <w:t>related quality of life</w:t>
      </w:r>
      <w:r w:rsidR="005D68E4">
        <w:t xml:space="preserve"> (Matsushita et al. 2023).</w:t>
      </w:r>
    </w:p>
    <w:p w14:paraId="40C55E31" w14:textId="2FE1DBB1" w:rsidR="00F02F3B" w:rsidRDefault="00715809" w:rsidP="0026481A">
      <w:r>
        <w:lastRenderedPageBreak/>
        <w:t>The development of anti-concizumab antibodies</w:t>
      </w:r>
      <w:r w:rsidR="00E36840">
        <w:t xml:space="preserve"> was not an outcome proposed in the application but</w:t>
      </w:r>
      <w:r>
        <w:t xml:space="preserve"> has been proposed as an additional outcome</w:t>
      </w:r>
      <w:r w:rsidR="00D533D0">
        <w:t xml:space="preserve"> by the assessment group</w:t>
      </w:r>
      <w:r>
        <w:t xml:space="preserve">. </w:t>
      </w:r>
    </w:p>
    <w:p w14:paraId="0B973BCE" w14:textId="77777777" w:rsidR="00BE1653" w:rsidRDefault="00BE1653" w:rsidP="00BE1653">
      <w:pPr>
        <w:autoSpaceDE w:val="0"/>
        <w:autoSpaceDN w:val="0"/>
        <w:adjustRightInd w:val="0"/>
        <w:spacing w:line="23" w:lineRule="atLeast"/>
        <w:rPr>
          <w:rFonts w:asciiTheme="minorHAnsi" w:hAnsiTheme="minorHAnsi" w:cstheme="minorHAnsi"/>
          <w:i/>
          <w:iCs/>
        </w:rPr>
      </w:pPr>
      <w:r>
        <w:rPr>
          <w:rFonts w:asciiTheme="minorHAnsi" w:hAnsiTheme="minorHAnsi" w:cstheme="minorHAnsi"/>
          <w:i/>
          <w:iCs/>
        </w:rPr>
        <w:t>PASC requested that thrombosis be specified as a separate safety outcome rather than grouped under adverse events. The clinical expert noted that thrombosis occurs in patients with mild cHMB.</w:t>
      </w:r>
    </w:p>
    <w:p w14:paraId="43DE0090" w14:textId="77777777" w:rsidR="00BE1653" w:rsidRDefault="00BE1653" w:rsidP="00BE1653">
      <w:pPr>
        <w:autoSpaceDE w:val="0"/>
        <w:autoSpaceDN w:val="0"/>
        <w:adjustRightInd w:val="0"/>
        <w:spacing w:line="23" w:lineRule="atLeast"/>
        <w:rPr>
          <w:rFonts w:asciiTheme="minorHAnsi" w:hAnsiTheme="minorHAnsi" w:cstheme="minorHAnsi"/>
          <w:i/>
          <w:iCs/>
        </w:rPr>
      </w:pPr>
      <w:r>
        <w:rPr>
          <w:rFonts w:asciiTheme="minorHAnsi" w:hAnsiTheme="minorHAnsi" w:cstheme="minorHAnsi"/>
          <w:i/>
          <w:iCs/>
        </w:rPr>
        <w:t>PASC also agreed to retain the emergence of anti-drug antibodies (ADAs) as a safety outcome.</w:t>
      </w:r>
    </w:p>
    <w:p w14:paraId="1DD4B3E0" w14:textId="2AAA00AB" w:rsidR="00881450" w:rsidRPr="0031427A" w:rsidRDefault="00DF702A" w:rsidP="0026481A">
      <w:r w:rsidRPr="00DF702A">
        <w:rPr>
          <w:rFonts w:asciiTheme="minorHAnsi" w:hAnsiTheme="minorHAnsi" w:cstheme="minorHAnsi"/>
          <w:i/>
          <w:iCs/>
        </w:rPr>
        <w:t>PASC noted that ‘perioperative use of therapy and outcomes’ should still be included as an outcome, even though the population requiring short-term peri-operative prophylaxis was removed from the proposed population</w:t>
      </w:r>
      <w:r w:rsidR="00BE1653">
        <w:rPr>
          <w:rFonts w:asciiTheme="minorHAnsi" w:hAnsiTheme="minorHAnsi" w:cstheme="minorHAnsi"/>
          <w:i/>
          <w:iCs/>
        </w:rPr>
        <w:t>.</w:t>
      </w:r>
      <w:r w:rsidR="00466D5F">
        <w:rPr>
          <w:rFonts w:asciiTheme="minorHAnsi" w:hAnsiTheme="minorHAnsi" w:cstheme="minorHAnsi"/>
          <w:i/>
          <w:iCs/>
        </w:rPr>
        <w:t xml:space="preserve"> </w:t>
      </w:r>
      <w:r w:rsidR="00466D5F" w:rsidRPr="00466D5F">
        <w:rPr>
          <w:rFonts w:asciiTheme="minorHAnsi" w:hAnsiTheme="minorHAnsi" w:cstheme="minorHAnsi"/>
          <w:i/>
          <w:iCs/>
        </w:rPr>
        <w:t>Collecting data on short-term perioperative</w:t>
      </w:r>
      <w:r w:rsidR="00B35D2B">
        <w:rPr>
          <w:rFonts w:asciiTheme="minorHAnsi" w:hAnsiTheme="minorHAnsi" w:cstheme="minorHAnsi"/>
          <w:i/>
          <w:iCs/>
        </w:rPr>
        <w:t xml:space="preserve"> outcomes</w:t>
      </w:r>
      <w:r w:rsidR="00466D5F" w:rsidRPr="00466D5F">
        <w:rPr>
          <w:rFonts w:asciiTheme="minorHAnsi" w:hAnsiTheme="minorHAnsi" w:cstheme="minorHAnsi"/>
          <w:i/>
          <w:iCs/>
        </w:rPr>
        <w:t xml:space="preserve"> is important to ensure a comprehensive evaluation and to support the safe clinical use of </w:t>
      </w:r>
      <w:proofErr w:type="spellStart"/>
      <w:r w:rsidR="00466D5F" w:rsidRPr="00466D5F">
        <w:rPr>
          <w:rFonts w:asciiTheme="minorHAnsi" w:hAnsiTheme="minorHAnsi" w:cstheme="minorHAnsi"/>
          <w:i/>
          <w:iCs/>
        </w:rPr>
        <w:t>concizumab</w:t>
      </w:r>
      <w:proofErr w:type="spellEnd"/>
      <w:r w:rsidR="00466D5F">
        <w:rPr>
          <w:rFonts w:asciiTheme="minorHAnsi" w:hAnsiTheme="minorHAnsi" w:cstheme="minorHAnsi"/>
          <w:i/>
          <w:iCs/>
        </w:rPr>
        <w:t>.</w:t>
      </w:r>
    </w:p>
    <w:p w14:paraId="6069F0B5" w14:textId="77777777" w:rsidR="00D73332" w:rsidRDefault="00D73332" w:rsidP="00713728">
      <w:pPr>
        <w:pStyle w:val="Heading2"/>
      </w:pPr>
      <w:r w:rsidRPr="00490FBB">
        <w:t>Clinical management algorithms</w:t>
      </w:r>
    </w:p>
    <w:p w14:paraId="552D9CF1" w14:textId="77F167E2" w:rsidR="00A95A5F" w:rsidRDefault="00EC3A03" w:rsidP="001560CC">
      <w:r>
        <w:t xml:space="preserve">Current and proposed clinical management algorithms </w:t>
      </w:r>
      <w:r w:rsidR="00A95A5F">
        <w:t xml:space="preserve">for cHMB with inhibitors are provided in </w:t>
      </w:r>
      <w:r w:rsidR="00A95A5F">
        <w:fldChar w:fldCharType="begin"/>
      </w:r>
      <w:r w:rsidR="00A95A5F">
        <w:instrText xml:space="preserve"> REF _Ref203374772 \h </w:instrText>
      </w:r>
      <w:r w:rsidR="00A95A5F">
        <w:fldChar w:fldCharType="separate"/>
      </w:r>
      <w:r w:rsidR="00A95A5F">
        <w:t xml:space="preserve">Figure </w:t>
      </w:r>
      <w:r w:rsidR="00A95A5F">
        <w:rPr>
          <w:noProof/>
        </w:rPr>
        <w:t>2</w:t>
      </w:r>
      <w:r w:rsidR="00A95A5F">
        <w:fldChar w:fldCharType="end"/>
      </w:r>
      <w:r w:rsidR="00A95A5F">
        <w:t xml:space="preserve"> and </w:t>
      </w:r>
      <w:r w:rsidR="00A95A5F">
        <w:fldChar w:fldCharType="begin"/>
      </w:r>
      <w:r w:rsidR="00A95A5F">
        <w:instrText xml:space="preserve"> REF _Ref203374776 \h </w:instrText>
      </w:r>
      <w:r w:rsidR="00A95A5F">
        <w:fldChar w:fldCharType="separate"/>
      </w:r>
      <w:r w:rsidR="00A95A5F">
        <w:t xml:space="preserve">Figure </w:t>
      </w:r>
      <w:r w:rsidR="00A95A5F">
        <w:rPr>
          <w:noProof/>
        </w:rPr>
        <w:t>3</w:t>
      </w:r>
      <w:r w:rsidR="00A95A5F">
        <w:fldChar w:fldCharType="end"/>
      </w:r>
      <w:r w:rsidR="00A95A5F">
        <w:t>.</w:t>
      </w:r>
      <w:r w:rsidR="00935812">
        <w:t xml:space="preserve"> </w:t>
      </w:r>
      <w:r w:rsidR="00A95A5F">
        <w:t xml:space="preserve">Current treatment </w:t>
      </w:r>
      <w:r w:rsidR="00E733A4">
        <w:t>i</w:t>
      </w:r>
      <w:r w:rsidR="00D90D2B">
        <w:t>s</w:t>
      </w:r>
      <w:r w:rsidR="00E733A4">
        <w:t xml:space="preserve"> guided by disease severity. This is measured by FIX activity but </w:t>
      </w:r>
      <w:r w:rsidR="00323F70">
        <w:t>there is also individual variation in bleeding phenotype</w:t>
      </w:r>
      <w:r w:rsidR="00D90D2B">
        <w:t>,</w:t>
      </w:r>
      <w:r w:rsidR="00323F70">
        <w:t xml:space="preserve"> patient preferences and </w:t>
      </w:r>
      <w:r w:rsidR="00D90D2B">
        <w:t xml:space="preserve">patient </w:t>
      </w:r>
      <w:r w:rsidR="00782173">
        <w:t xml:space="preserve">circumstances. </w:t>
      </w:r>
      <w:r w:rsidR="001C3B19">
        <w:t xml:space="preserve">The development of FIX inhibitors is almost exclusively seen in patients with severe </w:t>
      </w:r>
      <w:r w:rsidR="00752628">
        <w:t>c</w:t>
      </w:r>
      <w:r w:rsidR="001C3B19">
        <w:t>HMB</w:t>
      </w:r>
      <w:r w:rsidR="00A57E08">
        <w:t xml:space="preserve">, but rare patients with milder disease are not explicitly excluded from the proposed treatment. </w:t>
      </w:r>
      <w:r w:rsidR="00202BBA">
        <w:t xml:space="preserve">Patients are screened for inhibitors </w:t>
      </w:r>
      <w:r w:rsidR="00EC1594">
        <w:t>during their initial exposure to endogenous FIX</w:t>
      </w:r>
      <w:r w:rsidR="00085CE3">
        <w:t>, following intensive treatment</w:t>
      </w:r>
      <w:r w:rsidR="00157A07">
        <w:t>, at routine intervals</w:t>
      </w:r>
      <w:r w:rsidR="00210D2A">
        <w:t>,</w:t>
      </w:r>
      <w:r w:rsidR="00157A07">
        <w:t xml:space="preserve"> and whenever there is a reduced effectiveness of FIX. </w:t>
      </w:r>
    </w:p>
    <w:p w14:paraId="43F94C17" w14:textId="633F377D" w:rsidR="00157A07" w:rsidRDefault="00A2481F" w:rsidP="001560CC">
      <w:r>
        <w:t xml:space="preserve">For patients with </w:t>
      </w:r>
      <w:r w:rsidR="00F168A5">
        <w:t xml:space="preserve">cHMB and </w:t>
      </w:r>
      <w:r w:rsidR="0025278F">
        <w:t>low tire inhibitors and no</w:t>
      </w:r>
      <w:r w:rsidR="008678AE">
        <w:t xml:space="preserve"> anaphylaxis, higher doses of FIX may be used to </w:t>
      </w:r>
      <w:r w:rsidR="006E7522">
        <w:t>manage</w:t>
      </w:r>
      <w:r w:rsidR="008678AE">
        <w:t xml:space="preserve"> bleeds. </w:t>
      </w:r>
      <w:r w:rsidR="0030759D">
        <w:t>F</w:t>
      </w:r>
      <w:r w:rsidR="008678AE">
        <w:t>or high titre inhibitors and patients with anaphylaxis</w:t>
      </w:r>
      <w:r w:rsidR="00481B30">
        <w:t>,</w:t>
      </w:r>
      <w:r w:rsidR="00824D3A">
        <w:t xml:space="preserve"> ITI may be attempted</w:t>
      </w:r>
      <w:r w:rsidR="00481B30">
        <w:t>;</w:t>
      </w:r>
      <w:r w:rsidR="00824D3A">
        <w:t xml:space="preserve"> however</w:t>
      </w:r>
      <w:r w:rsidR="002B1A46">
        <w:t>,</w:t>
      </w:r>
      <w:r w:rsidR="00D90D2B">
        <w:t xml:space="preserve"> </w:t>
      </w:r>
      <w:r w:rsidR="00824D3A">
        <w:t xml:space="preserve">it has a low success rate and is not a mainstay of treatment. </w:t>
      </w:r>
      <w:r w:rsidR="00B85A1F">
        <w:t xml:space="preserve">The </w:t>
      </w:r>
      <w:r w:rsidR="00824D3A">
        <w:t>BPA</w:t>
      </w:r>
      <w:r w:rsidR="00B85A1F">
        <w:t xml:space="preserve"> rFIIVa</w:t>
      </w:r>
      <w:r w:rsidR="00824D3A">
        <w:t xml:space="preserve"> </w:t>
      </w:r>
      <w:r w:rsidR="00B85A1F">
        <w:t>is</w:t>
      </w:r>
      <w:r w:rsidR="00824D3A">
        <w:t xml:space="preserve"> used to man</w:t>
      </w:r>
      <w:r w:rsidR="006229FC">
        <w:t>a</w:t>
      </w:r>
      <w:r w:rsidR="00824D3A">
        <w:t xml:space="preserve">ge bleeds and </w:t>
      </w:r>
      <w:r w:rsidR="00B85A1F">
        <w:t>is</w:t>
      </w:r>
      <w:r w:rsidR="00824D3A">
        <w:t xml:space="preserve"> approved for short</w:t>
      </w:r>
      <w:r w:rsidR="002621C3">
        <w:t>-</w:t>
      </w:r>
      <w:r w:rsidR="00824D3A">
        <w:t>term prophylaxis (up to 3 months)</w:t>
      </w:r>
      <w:r w:rsidR="002621C3">
        <w:t>;</w:t>
      </w:r>
      <w:r w:rsidR="00824D3A">
        <w:t xml:space="preserve"> however</w:t>
      </w:r>
      <w:r w:rsidR="002B1A46">
        <w:t>,</w:t>
      </w:r>
      <w:r w:rsidR="00824D3A">
        <w:t xml:space="preserve"> there is no </w:t>
      </w:r>
      <w:r w:rsidR="00C00CDC">
        <w:t>long-term</w:t>
      </w:r>
      <w:r w:rsidR="00824D3A">
        <w:t xml:space="preserve"> prophylactic treatment available. </w:t>
      </w:r>
      <w:r w:rsidR="00E40B70">
        <w:t>These patients are therefore at risk of poor disease outcomes</w:t>
      </w:r>
      <w:r w:rsidR="007E1076">
        <w:t xml:space="preserve"> and have high unmet needs.</w:t>
      </w:r>
    </w:p>
    <w:p w14:paraId="210C0C70" w14:textId="2D6EE30B" w:rsidR="001560CC" w:rsidRPr="001560CC" w:rsidRDefault="001560CC" w:rsidP="002F4FA4">
      <w:pPr>
        <w:spacing w:after="120"/>
      </w:pPr>
      <w:r>
        <w:t xml:space="preserve">Concizumab is proposed to provide an option for long-term prophylaxis for people with </w:t>
      </w:r>
      <w:r w:rsidR="002A0498">
        <w:t>c</w:t>
      </w:r>
      <w:r>
        <w:t>HMB with inhibitors</w:t>
      </w:r>
      <w:r w:rsidR="00A97AEA">
        <w:t xml:space="preserve"> leading to reduced bleed frequency and improved disease outcomes and quality of life</w:t>
      </w:r>
      <w:r>
        <w:t xml:space="preserve">. It will replace the use of short-term </w:t>
      </w:r>
      <w:r w:rsidR="0008611F">
        <w:t>prophylaxis with rFVIIa but will not replace on demand use for bleeding episodes.</w:t>
      </w:r>
    </w:p>
    <w:p w14:paraId="2A77B397" w14:textId="7AD3E306" w:rsidR="00406C8E" w:rsidRDefault="00406C8E" w:rsidP="002F4FA4">
      <w:pPr>
        <w:pStyle w:val="Caption"/>
        <w:spacing w:before="240"/>
      </w:pPr>
      <w:bookmarkStart w:id="10" w:name="_Ref203374772"/>
      <w:r>
        <w:lastRenderedPageBreak/>
        <w:t xml:space="preserve">Figure </w:t>
      </w:r>
      <w:r>
        <w:fldChar w:fldCharType="begin"/>
      </w:r>
      <w:r>
        <w:instrText xml:space="preserve"> SEQ Figure \* ARABIC </w:instrText>
      </w:r>
      <w:r>
        <w:fldChar w:fldCharType="separate"/>
      </w:r>
      <w:r w:rsidR="00775C29">
        <w:rPr>
          <w:noProof/>
        </w:rPr>
        <w:t>2</w:t>
      </w:r>
      <w:r>
        <w:fldChar w:fldCharType="end"/>
      </w:r>
      <w:bookmarkEnd w:id="10"/>
      <w:r>
        <w:tab/>
      </w:r>
      <w:r w:rsidR="00C411FF">
        <w:t>Current</w:t>
      </w:r>
      <w:r>
        <w:t xml:space="preserve"> clinical management </w:t>
      </w:r>
      <w:r w:rsidR="004D66E1">
        <w:t xml:space="preserve">pathway for patients with </w:t>
      </w:r>
      <w:r w:rsidR="00C411FF">
        <w:t xml:space="preserve">congenital </w:t>
      </w:r>
      <w:r w:rsidR="00F82C6D">
        <w:t>H</w:t>
      </w:r>
      <w:r w:rsidR="00C411FF">
        <w:t>aemophilia B</w:t>
      </w:r>
      <w:r w:rsidR="004D66E1">
        <w:t xml:space="preserve"> and inhibitors</w:t>
      </w:r>
    </w:p>
    <w:p w14:paraId="5D9C53D2" w14:textId="167257D9" w:rsidR="00BB67CE" w:rsidRDefault="00A10EEC" w:rsidP="004D66E1">
      <w:pPr>
        <w:pStyle w:val="Tablenotes"/>
      </w:pPr>
      <w:r w:rsidRPr="00876F49">
        <w:rPr>
          <w:noProof/>
        </w:rPr>
        <mc:AlternateContent>
          <mc:Choice Requires="wpc">
            <w:drawing>
              <wp:inline distT="0" distB="0" distL="0" distR="0" wp14:anchorId="7EF8FB39" wp14:editId="2D56B63F">
                <wp:extent cx="5743575" cy="7620000"/>
                <wp:effectExtent l="0" t="0" r="9525" b="0"/>
                <wp:docPr id="2" name="Canvas 2" descr="Clinical management algorithm showing current practice for cHMB patients with inhibitors. These patients can be treated on demand with BPAs, or with short term prophylaxis, but do not have long-term prophylaxis as an option. "/>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1" name="Group 1" descr="Image of the clinical algorithm for patients with cHMB showing screening and treatment for FIX inhibitors with absence of concizumab."/>
                        <wpg:cNvGrpSpPr/>
                        <wpg:grpSpPr>
                          <a:xfrm>
                            <a:off x="150595" y="35999"/>
                            <a:ext cx="5402481" cy="7486703"/>
                            <a:chOff x="150595" y="35999"/>
                            <a:chExt cx="5402481" cy="7486703"/>
                          </a:xfrm>
                        </wpg:grpSpPr>
                        <wps:wsp>
                          <wps:cNvPr id="3" name="Rectangle 3"/>
                          <wps:cNvSpPr/>
                          <wps:spPr>
                            <a:xfrm>
                              <a:off x="1763585" y="35999"/>
                              <a:ext cx="1800888" cy="83820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4E02022B" w14:textId="622E209E" w:rsidR="00F916A2" w:rsidRDefault="00F916A2" w:rsidP="005F39FF">
                                <w:pPr>
                                  <w:pStyle w:val="TableText0"/>
                                  <w:spacing w:line="276" w:lineRule="auto"/>
                                  <w:jc w:val="center"/>
                                </w:pPr>
                                <w:r>
                                  <w:t xml:space="preserve">Diagnosis of </w:t>
                                </w:r>
                                <w:r w:rsidR="00617DCC">
                                  <w:t xml:space="preserve">cHMB </w:t>
                                </w:r>
                                <w:r w:rsidR="00DC6319">
                                  <w:br/>
                                </w:r>
                                <w:r w:rsidR="00617DCC">
                                  <w:t xml:space="preserve">(mild, moderate, severe) </w:t>
                                </w:r>
                                <w:r w:rsidR="00DC6319">
                                  <w:br/>
                                </w:r>
                                <w:r w:rsidR="00617DCC">
                                  <w:t>and referral to HTC for management of treatment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338467" y="1312403"/>
                              <a:ext cx="1260000" cy="33337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196205E9" w14:textId="2B18275F" w:rsidR="00D95EFA" w:rsidRPr="00215C86" w:rsidRDefault="00D95EFA" w:rsidP="00062CC4">
                                <w:pPr>
                                  <w:pStyle w:val="TableText0"/>
                                  <w:jc w:val="center"/>
                                  <w:rPr>
                                    <w:b/>
                                    <w:color w:val="2E74B5" w:themeColor="accent1" w:themeShade="BF"/>
                                  </w:rPr>
                                </w:pPr>
                                <w:r w:rsidRPr="00215C86">
                                  <w:rPr>
                                    <w:b/>
                                    <w:color w:val="2E74B5" w:themeColor="accent1" w:themeShade="BF"/>
                                  </w:rPr>
                                  <w:t xml:space="preserve">Mild </w:t>
                                </w:r>
                                <w:r w:rsidR="000C4B21" w:rsidRPr="00215C86">
                                  <w:rPr>
                                    <w:b/>
                                    <w:color w:val="2E74B5" w:themeColor="accent1" w:themeShade="BF"/>
                                  </w:rPr>
                                  <w:t>c</w:t>
                                </w:r>
                                <w:r w:rsidRPr="00215C86">
                                  <w:rPr>
                                    <w:b/>
                                    <w:color w:val="2E74B5" w:themeColor="accent1" w:themeShade="BF"/>
                                  </w:rPr>
                                  <w:t>HMB</w:t>
                                </w:r>
                                <w:r w:rsidR="00450D88" w:rsidRPr="00215C86">
                                  <w:rPr>
                                    <w:b/>
                                    <w:color w:val="2E74B5" w:themeColor="accent1" w:themeShade="BF"/>
                                  </w:rPr>
                                  <w:t xml:space="preserve"> (</w:t>
                                </w:r>
                                <w:r w:rsidR="00A305C7" w:rsidRPr="00215C86">
                                  <w:rPr>
                                    <w:b/>
                                    <w:color w:val="2E74B5" w:themeColor="accent1" w:themeShade="BF"/>
                                  </w:rPr>
                                  <w:t>58%)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2028114" y="1312403"/>
                              <a:ext cx="1296000" cy="33337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0A8A9B87" w14:textId="37CFE727" w:rsidR="00D95EFA" w:rsidRPr="00215C86" w:rsidRDefault="00D95EFA" w:rsidP="00062CC4">
                                <w:pPr>
                                  <w:pStyle w:val="TableText0"/>
                                  <w:jc w:val="center"/>
                                  <w:rPr>
                                    <w:b/>
                                    <w:color w:val="538135" w:themeColor="accent6" w:themeShade="BF"/>
                                  </w:rPr>
                                </w:pPr>
                                <w:r w:rsidRPr="00215C86">
                                  <w:rPr>
                                    <w:b/>
                                    <w:color w:val="538135" w:themeColor="accent6" w:themeShade="BF"/>
                                  </w:rPr>
                                  <w:t xml:space="preserve">Moderate </w:t>
                                </w:r>
                                <w:r w:rsidR="000C4B21" w:rsidRPr="00215C86">
                                  <w:rPr>
                                    <w:b/>
                                    <w:color w:val="538135" w:themeColor="accent6" w:themeShade="BF"/>
                                  </w:rPr>
                                  <w:t>c</w:t>
                                </w:r>
                                <w:r w:rsidRPr="00215C86">
                                  <w:rPr>
                                    <w:b/>
                                    <w:color w:val="538135" w:themeColor="accent6" w:themeShade="BF"/>
                                  </w:rPr>
                                  <w:t>HMB</w:t>
                                </w:r>
                                <w:r w:rsidR="00A305C7" w:rsidRPr="00215C86">
                                  <w:rPr>
                                    <w:b/>
                                    <w:color w:val="538135" w:themeColor="accent6" w:themeShade="BF"/>
                                  </w:rPr>
                                  <w:t xml:space="preserve"> (25%)</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3752824" y="1301903"/>
                              <a:ext cx="1267460" cy="33337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172F4C93" w14:textId="3DE39EF5" w:rsidR="00D95EFA" w:rsidRPr="00AB72C4" w:rsidRDefault="00D95EFA" w:rsidP="00062CC4">
                                <w:pPr>
                                  <w:pStyle w:val="TableText0"/>
                                  <w:jc w:val="center"/>
                                  <w:rPr>
                                    <w:b/>
                                    <w:bCs/>
                                    <w:color w:val="C00000"/>
                                  </w:rPr>
                                </w:pPr>
                                <w:r w:rsidRPr="00AB72C4">
                                  <w:rPr>
                                    <w:b/>
                                    <w:bCs/>
                                    <w:color w:val="C00000"/>
                                  </w:rPr>
                                  <w:t xml:space="preserve">Severe </w:t>
                                </w:r>
                                <w:r w:rsidR="000C4B21" w:rsidRPr="00AB72C4">
                                  <w:rPr>
                                    <w:b/>
                                    <w:bCs/>
                                    <w:color w:val="C00000"/>
                                  </w:rPr>
                                  <w:t>c</w:t>
                                </w:r>
                                <w:r w:rsidRPr="00AB72C4">
                                  <w:rPr>
                                    <w:b/>
                                    <w:bCs/>
                                    <w:color w:val="C00000"/>
                                  </w:rPr>
                                  <w:t>HMB</w:t>
                                </w:r>
                                <w:r w:rsidR="00A305C7" w:rsidRPr="00AB72C4">
                                  <w:rPr>
                                    <w:b/>
                                    <w:bCs/>
                                    <w:color w:val="C00000"/>
                                  </w:rPr>
                                  <w:t xml:space="preserve"> (17%)</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1981658" y="1950579"/>
                              <a:ext cx="1390650" cy="62010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271403CE" w14:textId="3FDC1F56" w:rsidR="00D95EFA" w:rsidRDefault="00681EA8" w:rsidP="00D507B7">
                                <w:pPr>
                                  <w:pStyle w:val="TableText0"/>
                                  <w:spacing w:before="0"/>
                                  <w:jc w:val="center"/>
                                </w:pPr>
                                <w:r>
                                  <w:t>Treat with FIX</w:t>
                                </w:r>
                                <w:r w:rsidR="001A6A77">
                                  <w:t xml:space="preserve"> (54%)</w:t>
                                </w:r>
                              </w:p>
                              <w:p w14:paraId="0F8990A7" w14:textId="1F80BCA6" w:rsidR="00246986" w:rsidRDefault="00246986" w:rsidP="00D507B7">
                                <w:pPr>
                                  <w:pStyle w:val="TableText0"/>
                                  <w:numPr>
                                    <w:ilvl w:val="0"/>
                                    <w:numId w:val="23"/>
                                  </w:numPr>
                                  <w:spacing w:before="0" w:after="0"/>
                                </w:pPr>
                                <w:r>
                                  <w:t>On demand</w:t>
                                </w:r>
                              </w:p>
                              <w:p w14:paraId="19B3289A" w14:textId="66FF0249" w:rsidR="00246986" w:rsidRDefault="00246986" w:rsidP="00D507B7">
                                <w:pPr>
                                  <w:pStyle w:val="TableText0"/>
                                  <w:numPr>
                                    <w:ilvl w:val="0"/>
                                    <w:numId w:val="23"/>
                                  </w:numPr>
                                  <w:spacing w:before="0" w:after="0"/>
                                </w:pPr>
                                <w:r>
                                  <w:t>Prophylaxis</w:t>
                                </w:r>
                                <w:r w:rsidR="00653C73">
                                  <w:t xml:space="preserve"> (29%</w:t>
                                </w:r>
                                <w:r w:rsidR="004A49EB">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3694837" y="1940079"/>
                              <a:ext cx="1390650" cy="62010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12C6D8CA" w14:textId="3A3175A5" w:rsidR="00062CC4" w:rsidRDefault="00062CC4" w:rsidP="00D507B7">
                                <w:pPr>
                                  <w:spacing w:after="40" w:line="240" w:lineRule="auto"/>
                                  <w:jc w:val="center"/>
                                  <w:rPr>
                                    <w:rFonts w:ascii="Arial Narrow" w:hAnsi="Arial Narrow" w:cs="Arial"/>
                                    <w:sz w:val="20"/>
                                    <w:szCs w:val="20"/>
                                  </w:rPr>
                                </w:pPr>
                                <w:r>
                                  <w:rPr>
                                    <w:rFonts w:ascii="Arial Narrow" w:hAnsi="Arial Narrow" w:cs="Arial"/>
                                    <w:sz w:val="20"/>
                                    <w:szCs w:val="20"/>
                                  </w:rPr>
                                  <w:t>Treat with FIX</w:t>
                                </w:r>
                                <w:r w:rsidR="004A49EB">
                                  <w:rPr>
                                    <w:rFonts w:ascii="Arial Narrow" w:hAnsi="Arial Narrow" w:cs="Arial"/>
                                    <w:sz w:val="20"/>
                                    <w:szCs w:val="20"/>
                                  </w:rPr>
                                  <w:t xml:space="preserve"> (92%)</w:t>
                                </w:r>
                              </w:p>
                              <w:p w14:paraId="71777A5F" w14:textId="77777777" w:rsidR="00062CC4" w:rsidRPr="009853A9" w:rsidRDefault="00062CC4" w:rsidP="00D507B7">
                                <w:pPr>
                                  <w:pStyle w:val="ListParagraph"/>
                                  <w:numPr>
                                    <w:ilvl w:val="0"/>
                                    <w:numId w:val="25"/>
                                  </w:numPr>
                                  <w:spacing w:after="40" w:line="240" w:lineRule="auto"/>
                                  <w:rPr>
                                    <w:rFonts w:ascii="Arial Narrow" w:hAnsi="Arial Narrow" w:cs="Arial"/>
                                    <w:sz w:val="20"/>
                                    <w:szCs w:val="20"/>
                                  </w:rPr>
                                </w:pPr>
                                <w:r w:rsidRPr="009853A9">
                                  <w:rPr>
                                    <w:rFonts w:ascii="Arial Narrow" w:hAnsi="Arial Narrow" w:cs="Arial"/>
                                    <w:sz w:val="20"/>
                                    <w:szCs w:val="20"/>
                                  </w:rPr>
                                  <w:t>On demand</w:t>
                                </w:r>
                              </w:p>
                              <w:p w14:paraId="0F9E892C" w14:textId="4D4B0C0D" w:rsidR="00062CC4" w:rsidRPr="009853A9" w:rsidRDefault="00062CC4" w:rsidP="00D507B7">
                                <w:pPr>
                                  <w:pStyle w:val="ListParagraph"/>
                                  <w:numPr>
                                    <w:ilvl w:val="0"/>
                                    <w:numId w:val="25"/>
                                  </w:numPr>
                                  <w:spacing w:after="40" w:line="240" w:lineRule="auto"/>
                                  <w:rPr>
                                    <w:rFonts w:ascii="Arial Narrow" w:hAnsi="Arial Narrow" w:cs="Arial"/>
                                    <w:sz w:val="20"/>
                                    <w:szCs w:val="20"/>
                                  </w:rPr>
                                </w:pPr>
                                <w:r w:rsidRPr="009853A9">
                                  <w:rPr>
                                    <w:rFonts w:ascii="Arial Narrow" w:hAnsi="Arial Narrow" w:cs="Arial"/>
                                    <w:sz w:val="20"/>
                                    <w:szCs w:val="20"/>
                                  </w:rPr>
                                  <w:t>Prophylax</w:t>
                                </w:r>
                                <w:r w:rsidR="009853A9">
                                  <w:rPr>
                                    <w:rFonts w:ascii="Arial Narrow" w:hAnsi="Arial Narrow" w:cs="Arial"/>
                                    <w:sz w:val="20"/>
                                    <w:szCs w:val="20"/>
                                  </w:rPr>
                                  <w:t>i</w:t>
                                </w:r>
                                <w:r w:rsidRPr="009853A9">
                                  <w:rPr>
                                    <w:rFonts w:ascii="Arial Narrow" w:hAnsi="Arial Narrow" w:cs="Arial"/>
                                    <w:sz w:val="20"/>
                                    <w:szCs w:val="20"/>
                                  </w:rPr>
                                  <w:t>s</w:t>
                                </w:r>
                                <w:r w:rsidR="00106AEC">
                                  <w:rPr>
                                    <w:rFonts w:ascii="Arial Narrow" w:hAnsi="Arial Narrow" w:cs="Arial"/>
                                    <w:sz w:val="20"/>
                                    <w:szCs w:val="20"/>
                                  </w:rPr>
                                  <w:t xml:space="preserve"> (75%)</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266531" y="1940079"/>
                              <a:ext cx="1390650" cy="62010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476E6E31" w14:textId="07EA0763" w:rsidR="00062CC4" w:rsidRDefault="00062CC4" w:rsidP="004E537B">
                                <w:pPr>
                                  <w:spacing w:before="40" w:after="40"/>
                                  <w:jc w:val="center"/>
                                  <w:rPr>
                                    <w:rFonts w:ascii="Arial Narrow" w:hAnsi="Arial Narrow" w:cs="Arial"/>
                                    <w:sz w:val="20"/>
                                    <w:szCs w:val="20"/>
                                  </w:rPr>
                                </w:pPr>
                                <w:r>
                                  <w:rPr>
                                    <w:rFonts w:ascii="Arial Narrow" w:hAnsi="Arial Narrow" w:cs="Arial"/>
                                    <w:sz w:val="20"/>
                                    <w:szCs w:val="20"/>
                                  </w:rPr>
                                  <w:t>Treat with FIX</w:t>
                                </w:r>
                                <w:r w:rsidR="004E537B">
                                  <w:rPr>
                                    <w:rFonts w:ascii="Arial Narrow" w:hAnsi="Arial Narrow" w:cs="Arial"/>
                                    <w:sz w:val="20"/>
                                    <w:szCs w:val="20"/>
                                  </w:rPr>
                                  <w:t xml:space="preserve"> on demand (20%)</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1734126" y="3274553"/>
                              <a:ext cx="1876424" cy="1447801"/>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3AA8CD25" w14:textId="5C14CBD8" w:rsidR="00AC1FF4" w:rsidRPr="00365692" w:rsidRDefault="00AC1FF4" w:rsidP="00AC1FF4">
                                <w:pPr>
                                  <w:pStyle w:val="TableText0"/>
                                  <w:jc w:val="center"/>
                                  <w:rPr>
                                    <w:b/>
                                    <w:bCs/>
                                  </w:rPr>
                                </w:pPr>
                                <w:r w:rsidRPr="00365692">
                                  <w:rPr>
                                    <w:b/>
                                    <w:bCs/>
                                  </w:rPr>
                                  <w:t>Screen for inhibitors</w:t>
                                </w:r>
                                <w:r w:rsidR="009923A3" w:rsidRPr="00365692">
                                  <w:rPr>
                                    <w:b/>
                                    <w:bCs/>
                                  </w:rPr>
                                  <w:t>:</w:t>
                                </w:r>
                              </w:p>
                              <w:p w14:paraId="5770F287" w14:textId="13F719D0" w:rsidR="009923A3" w:rsidRDefault="009923A3" w:rsidP="009923A3">
                                <w:pPr>
                                  <w:pStyle w:val="TableText0"/>
                                  <w:numPr>
                                    <w:ilvl w:val="0"/>
                                    <w:numId w:val="24"/>
                                  </w:numPr>
                                </w:pPr>
                                <w:r>
                                  <w:t>Screen paediatric patients in first 150 days of exposure</w:t>
                                </w:r>
                              </w:p>
                              <w:p w14:paraId="0EEEB0B7" w14:textId="27B386B0" w:rsidR="009923A3" w:rsidRDefault="00C33E50" w:rsidP="009923A3">
                                <w:pPr>
                                  <w:pStyle w:val="TableText0"/>
                                  <w:numPr>
                                    <w:ilvl w:val="0"/>
                                    <w:numId w:val="24"/>
                                  </w:numPr>
                                </w:pPr>
                                <w:r>
                                  <w:t xml:space="preserve">Routine </w:t>
                                </w:r>
                                <w:r w:rsidR="004A177A">
                                  <w:t>6–12-month</w:t>
                                </w:r>
                                <w:r>
                                  <w:t xml:space="preserve"> testing</w:t>
                                </w:r>
                              </w:p>
                              <w:p w14:paraId="42BB75E4" w14:textId="4B60C2D6" w:rsidR="00D71DDC" w:rsidRDefault="00E72658" w:rsidP="00D71DDC">
                                <w:pPr>
                                  <w:pStyle w:val="TableText0"/>
                                  <w:numPr>
                                    <w:ilvl w:val="0"/>
                                    <w:numId w:val="24"/>
                                  </w:numPr>
                                </w:pPr>
                                <w:r>
                                  <w:t>Screen a</w:t>
                                </w:r>
                                <w:r w:rsidR="00D71DDC">
                                  <w:t>fter intensive treatment</w:t>
                                </w:r>
                              </w:p>
                              <w:p w14:paraId="6BCA6318" w14:textId="120C604B" w:rsidR="00716915" w:rsidRDefault="00716915" w:rsidP="00716915">
                                <w:pPr>
                                  <w:pStyle w:val="TableText0"/>
                                  <w:numPr>
                                    <w:ilvl w:val="0"/>
                                    <w:numId w:val="24"/>
                                  </w:numPr>
                                </w:pPr>
                                <w:r>
                                  <w:t>Failure to respond to FIX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392344" y="3712703"/>
                              <a:ext cx="952500" cy="56197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3F128259" w14:textId="122BE27B" w:rsidR="00877EB9" w:rsidRDefault="00B128E1" w:rsidP="00877EB9">
                                <w:pPr>
                                  <w:pStyle w:val="TableText0"/>
                                  <w:jc w:val="center"/>
                                </w:pPr>
                                <w:r>
                                  <w:t>No inhibitors present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4308578" y="5172842"/>
                              <a:ext cx="1183110" cy="561975"/>
                            </a:xfrm>
                            <a:prstGeom prst="rect">
                              <a:avLst/>
                            </a:prstGeom>
                            <a:solidFill>
                              <a:schemeClr val="accent2">
                                <a:lumMod val="20000"/>
                                <a:lumOff val="80000"/>
                              </a:schemeClr>
                            </a:solidFill>
                            <a:ln w="19050"/>
                          </wps:spPr>
                          <wps:style>
                            <a:lnRef idx="2">
                              <a:schemeClr val="dk1"/>
                            </a:lnRef>
                            <a:fillRef idx="1">
                              <a:schemeClr val="lt1"/>
                            </a:fillRef>
                            <a:effectRef idx="0">
                              <a:schemeClr val="dk1"/>
                            </a:effectRef>
                            <a:fontRef idx="minor">
                              <a:schemeClr val="dk1"/>
                            </a:fontRef>
                          </wps:style>
                          <wps:txbx>
                            <w:txbxContent>
                              <w:p w14:paraId="50755AA9" w14:textId="629FAFE8" w:rsidR="00B128E1" w:rsidRDefault="00B128E1" w:rsidP="00A72F5A">
                                <w:pPr>
                                  <w:spacing w:before="40" w:after="40" w:line="240" w:lineRule="auto"/>
                                  <w:jc w:val="center"/>
                                  <w:rPr>
                                    <w:rFonts w:ascii="Arial Narrow" w:hAnsi="Arial Narrow" w:cs="Arial"/>
                                    <w:sz w:val="20"/>
                                    <w:szCs w:val="20"/>
                                  </w:rPr>
                                </w:pPr>
                                <w:r>
                                  <w:rPr>
                                    <w:rFonts w:ascii="Arial Narrow" w:hAnsi="Arial Narrow" w:cs="Arial"/>
                                    <w:sz w:val="20"/>
                                    <w:szCs w:val="20"/>
                                  </w:rPr>
                                  <w:t>Low-titre</w:t>
                                </w:r>
                                <w:r w:rsidR="00F05935" w:rsidRPr="00F05935">
                                  <w:rPr>
                                    <w:rFonts w:ascii="Arial Narrow" w:hAnsi="Arial Narrow" w:cs="Arial"/>
                                    <w:sz w:val="20"/>
                                    <w:szCs w:val="20"/>
                                  </w:rPr>
                                  <w:t xml:space="preserve"> </w:t>
                                </w:r>
                                <w:r w:rsidR="00F05935">
                                  <w:rPr>
                                    <w:rFonts w:ascii="Arial Narrow" w:hAnsi="Arial Narrow" w:cs="Arial"/>
                                    <w:sz w:val="20"/>
                                    <w:szCs w:val="20"/>
                                  </w:rPr>
                                  <w:t>inhibitors and no anaphylaxis</w:t>
                                </w:r>
                                <w:r>
                                  <w:rPr>
                                    <w:rFonts w:ascii="Arial Narrow" w:hAnsi="Arial Narrow" w:cs="Arial"/>
                                    <w:sz w:val="20"/>
                                    <w:szCs w:val="20"/>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1837083" y="5197628"/>
                              <a:ext cx="1677620" cy="561975"/>
                            </a:xfrm>
                            <a:prstGeom prst="rect">
                              <a:avLst/>
                            </a:prstGeom>
                            <a:solidFill>
                              <a:schemeClr val="accent2">
                                <a:lumMod val="40000"/>
                                <a:lumOff val="60000"/>
                              </a:schemeClr>
                            </a:solidFill>
                            <a:ln w="19050"/>
                          </wps:spPr>
                          <wps:style>
                            <a:lnRef idx="2">
                              <a:schemeClr val="dk1"/>
                            </a:lnRef>
                            <a:fillRef idx="1">
                              <a:schemeClr val="lt1"/>
                            </a:fillRef>
                            <a:effectRef idx="0">
                              <a:schemeClr val="dk1"/>
                            </a:effectRef>
                            <a:fontRef idx="minor">
                              <a:schemeClr val="dk1"/>
                            </a:fontRef>
                          </wps:style>
                          <wps:txbx>
                            <w:txbxContent>
                              <w:p w14:paraId="37DFCC64" w14:textId="2AFE3662" w:rsidR="00B128E1" w:rsidRDefault="00B128E1" w:rsidP="00B128E1">
                                <w:pPr>
                                  <w:spacing w:before="40" w:after="40"/>
                                  <w:jc w:val="center"/>
                                  <w:rPr>
                                    <w:rFonts w:ascii="Arial Narrow" w:hAnsi="Arial Narrow" w:cs="Arial"/>
                                    <w:sz w:val="20"/>
                                    <w:szCs w:val="20"/>
                                  </w:rPr>
                                </w:pPr>
                                <w:r>
                                  <w:rPr>
                                    <w:rFonts w:ascii="Arial Narrow" w:hAnsi="Arial Narrow" w:cs="Arial"/>
                                    <w:sz w:val="20"/>
                                    <w:szCs w:val="20"/>
                                  </w:rPr>
                                  <w:t>High-titre inhibitors</w:t>
                                </w:r>
                                <w:r w:rsidR="00CC3FAE">
                                  <w:rPr>
                                    <w:rFonts w:ascii="Arial Narrow" w:hAnsi="Arial Narrow" w:cs="Arial"/>
                                    <w:sz w:val="20"/>
                                    <w:szCs w:val="20"/>
                                  </w:rPr>
                                  <w:t xml:space="preserve"> or low-titre inhibitors and anaphylaxis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4424649" y="4254653"/>
                              <a:ext cx="952500" cy="56197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64BDD1AF" w14:textId="05C54F45" w:rsidR="001C2399" w:rsidRDefault="001C2399" w:rsidP="00A72F5A">
                                <w:pPr>
                                  <w:spacing w:before="40" w:after="40" w:line="240" w:lineRule="auto"/>
                                  <w:jc w:val="center"/>
                                  <w:rPr>
                                    <w:rFonts w:ascii="Arial Narrow" w:hAnsi="Arial Narrow" w:cs="Arial"/>
                                    <w:sz w:val="20"/>
                                    <w:szCs w:val="20"/>
                                  </w:rPr>
                                </w:pPr>
                                <w:r>
                                  <w:rPr>
                                    <w:rFonts w:ascii="Arial Narrow" w:hAnsi="Arial Narrow" w:cs="Arial"/>
                                    <w:sz w:val="20"/>
                                    <w:szCs w:val="20"/>
                                  </w:rPr>
                                  <w:t>Increase FIX dose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Straight Arrow Connector 17"/>
                          <wps:cNvCnPr>
                            <a:stCxn id="3" idx="2"/>
                            <a:endCxn id="6" idx="0"/>
                          </wps:cNvCnPr>
                          <wps:spPr>
                            <a:xfrm>
                              <a:off x="2664029" y="874199"/>
                              <a:ext cx="12085" cy="43820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 name="Connector: Elbow 18"/>
                          <wps:cNvCnPr>
                            <a:stCxn id="3" idx="2"/>
                            <a:endCxn id="4" idx="0"/>
                          </wps:cNvCnPr>
                          <wps:spPr>
                            <a:xfrm rot="5400000">
                              <a:off x="1597146" y="245520"/>
                              <a:ext cx="438204" cy="1695562"/>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19" name="Connector: Elbow 19"/>
                          <wps:cNvCnPr>
                            <a:stCxn id="3" idx="2"/>
                            <a:endCxn id="8" idx="0"/>
                          </wps:cNvCnPr>
                          <wps:spPr>
                            <a:xfrm rot="16200000" flipH="1">
                              <a:off x="3311439" y="226789"/>
                              <a:ext cx="427704" cy="1722524"/>
                            </a:xfrm>
                            <a:prstGeom prst="bentConnector3">
                              <a:avLst>
                                <a:gd name="adj1" fmla="val 51235"/>
                              </a:avLst>
                            </a:prstGeom>
                            <a:ln>
                              <a:tailEnd type="triangle"/>
                            </a:ln>
                          </wps:spPr>
                          <wps:style>
                            <a:lnRef idx="1">
                              <a:schemeClr val="dk1"/>
                            </a:lnRef>
                            <a:fillRef idx="0">
                              <a:schemeClr val="dk1"/>
                            </a:fillRef>
                            <a:effectRef idx="0">
                              <a:schemeClr val="dk1"/>
                            </a:effectRef>
                            <a:fontRef idx="minor">
                              <a:schemeClr val="tx1"/>
                            </a:fontRef>
                          </wps:style>
                          <wps:bodyPr/>
                        </wps:wsp>
                        <wps:wsp>
                          <wps:cNvPr id="21" name="Straight Arrow Connector 21"/>
                          <wps:cNvCnPr>
                            <a:stCxn id="6" idx="2"/>
                            <a:endCxn id="7" idx="0"/>
                          </wps:cNvCnPr>
                          <wps:spPr>
                            <a:xfrm>
                              <a:off x="2676114" y="1645778"/>
                              <a:ext cx="869" cy="30480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 name="Straight Arrow Connector 22"/>
                          <wps:cNvCnPr>
                            <a:stCxn id="4" idx="2"/>
                            <a:endCxn id="12" idx="0"/>
                          </wps:cNvCnPr>
                          <wps:spPr>
                            <a:xfrm flipH="1">
                              <a:off x="961856" y="1645778"/>
                              <a:ext cx="6611" cy="29430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 name="Straight Arrow Connector 23"/>
                          <wps:cNvCnPr>
                            <a:stCxn id="8" idx="2"/>
                            <a:endCxn id="11" idx="0"/>
                          </wps:cNvCnPr>
                          <wps:spPr>
                            <a:xfrm>
                              <a:off x="4386554" y="1635278"/>
                              <a:ext cx="3608" cy="30480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5" name="Connector: Elbow 25"/>
                          <wps:cNvCnPr>
                            <a:stCxn id="12" idx="2"/>
                            <a:endCxn id="9" idx="0"/>
                          </wps:cNvCnPr>
                          <wps:spPr>
                            <a:xfrm rot="16200000" flipH="1">
                              <a:off x="1459910" y="2062125"/>
                              <a:ext cx="714374" cy="1710482"/>
                            </a:xfrm>
                            <a:prstGeom prst="bentConnector3">
                              <a:avLst>
                                <a:gd name="adj1" fmla="val 50000"/>
                              </a:avLst>
                            </a:prstGeom>
                            <a:ln>
                              <a:tailEnd type="triangle"/>
                            </a:ln>
                          </wps:spPr>
                          <wps:style>
                            <a:lnRef idx="1">
                              <a:schemeClr val="dk1"/>
                            </a:lnRef>
                            <a:fillRef idx="0">
                              <a:schemeClr val="dk1"/>
                            </a:fillRef>
                            <a:effectRef idx="0">
                              <a:schemeClr val="dk1"/>
                            </a:effectRef>
                            <a:fontRef idx="minor">
                              <a:schemeClr val="tx1"/>
                            </a:fontRef>
                          </wps:style>
                          <wps:bodyPr/>
                        </wps:wsp>
                        <wps:wsp>
                          <wps:cNvPr id="26" name="Connector: Elbow 26"/>
                          <wps:cNvCnPr>
                            <a:stCxn id="11" idx="2"/>
                            <a:endCxn id="9" idx="0"/>
                          </wps:cNvCnPr>
                          <wps:spPr>
                            <a:xfrm rot="5400000">
                              <a:off x="3174063" y="2058454"/>
                              <a:ext cx="714374" cy="1717824"/>
                            </a:xfrm>
                            <a:prstGeom prst="bentConnector3">
                              <a:avLst>
                                <a:gd name="adj1" fmla="val 50000"/>
                              </a:avLst>
                            </a:prstGeom>
                            <a:ln>
                              <a:tailEnd type="triangle"/>
                            </a:ln>
                          </wps:spPr>
                          <wps:style>
                            <a:lnRef idx="1">
                              <a:schemeClr val="dk1"/>
                            </a:lnRef>
                            <a:fillRef idx="0">
                              <a:schemeClr val="dk1"/>
                            </a:fillRef>
                            <a:effectRef idx="0">
                              <a:schemeClr val="dk1"/>
                            </a:effectRef>
                            <a:fontRef idx="minor">
                              <a:schemeClr val="tx1"/>
                            </a:fontRef>
                          </wps:style>
                          <wps:bodyPr/>
                        </wps:wsp>
                        <wps:wsp>
                          <wps:cNvPr id="27" name="Straight Arrow Connector 27"/>
                          <wps:cNvCnPr>
                            <a:stCxn id="9" idx="2"/>
                            <a:endCxn id="15" idx="0"/>
                          </wps:cNvCnPr>
                          <wps:spPr>
                            <a:xfrm>
                              <a:off x="2672338" y="4722354"/>
                              <a:ext cx="3555" cy="47527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8" name="Connector: Elbow 28"/>
                          <wps:cNvCnPr>
                            <a:endCxn id="14" idx="1"/>
                          </wps:cNvCnPr>
                          <wps:spPr>
                            <a:xfrm>
                              <a:off x="2677099" y="4865229"/>
                              <a:ext cx="1631479" cy="588601"/>
                            </a:xfrm>
                            <a:prstGeom prst="bentConnector3">
                              <a:avLst>
                                <a:gd name="adj1" fmla="val 73937"/>
                              </a:avLst>
                            </a:prstGeom>
                            <a:ln>
                              <a:tailEnd type="triangle"/>
                            </a:ln>
                          </wps:spPr>
                          <wps:style>
                            <a:lnRef idx="1">
                              <a:schemeClr val="dk1"/>
                            </a:lnRef>
                            <a:fillRef idx="0">
                              <a:schemeClr val="dk1"/>
                            </a:fillRef>
                            <a:effectRef idx="0">
                              <a:schemeClr val="dk1"/>
                            </a:effectRef>
                            <a:fontRef idx="minor">
                              <a:schemeClr val="tx1"/>
                            </a:fontRef>
                          </wps:style>
                          <wps:bodyPr/>
                        </wps:wsp>
                        <wps:wsp>
                          <wps:cNvPr id="29" name="Straight Arrow Connector 29"/>
                          <wps:cNvCnPr>
                            <a:stCxn id="14" idx="0"/>
                            <a:endCxn id="16" idx="2"/>
                          </wps:cNvCnPr>
                          <wps:spPr>
                            <a:xfrm flipV="1">
                              <a:off x="4900133" y="4816628"/>
                              <a:ext cx="766" cy="35621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0" name="Connector: Elbow 30"/>
                          <wps:cNvCnPr>
                            <a:stCxn id="16" idx="1"/>
                          </wps:cNvCnPr>
                          <wps:spPr>
                            <a:xfrm rot="10800000" flipV="1">
                              <a:off x="3625851" y="4535640"/>
                              <a:ext cx="798799" cy="1"/>
                            </a:xfrm>
                            <a:prstGeom prst="bentConnector3">
                              <a:avLst>
                                <a:gd name="adj1" fmla="val 50000"/>
                              </a:avLst>
                            </a:prstGeom>
                            <a:ln>
                              <a:tailEnd type="triangle"/>
                            </a:ln>
                          </wps:spPr>
                          <wps:style>
                            <a:lnRef idx="1">
                              <a:schemeClr val="dk1"/>
                            </a:lnRef>
                            <a:fillRef idx="0">
                              <a:schemeClr val="dk1"/>
                            </a:fillRef>
                            <a:effectRef idx="0">
                              <a:schemeClr val="dk1"/>
                            </a:effectRef>
                            <a:fontRef idx="minor">
                              <a:schemeClr val="tx1"/>
                            </a:fontRef>
                          </wps:style>
                          <wps:bodyPr/>
                        </wps:wsp>
                        <wps:wsp>
                          <wps:cNvPr id="31" name="Straight Arrow Connector 31"/>
                          <wps:cNvCnPr>
                            <a:stCxn id="9" idx="1"/>
                            <a:endCxn id="13" idx="3"/>
                          </wps:cNvCnPr>
                          <wps:spPr>
                            <a:xfrm flipH="1" flipV="1">
                              <a:off x="1344844" y="3993691"/>
                              <a:ext cx="389282" cy="476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2" name="Connector: Elbow 32"/>
                          <wps:cNvCnPr>
                            <a:stCxn id="13" idx="1"/>
                          </wps:cNvCnPr>
                          <wps:spPr>
                            <a:xfrm rot="10800000" flipH="1">
                              <a:off x="392343" y="1080335"/>
                              <a:ext cx="570631" cy="2913356"/>
                            </a:xfrm>
                            <a:prstGeom prst="bentConnector4">
                              <a:avLst>
                                <a:gd name="adj1" fmla="val -40061"/>
                                <a:gd name="adj2" fmla="val 99815"/>
                              </a:avLst>
                            </a:prstGeom>
                            <a:ln>
                              <a:tailEnd type="triangle"/>
                            </a:ln>
                          </wps:spPr>
                          <wps:style>
                            <a:lnRef idx="1">
                              <a:schemeClr val="dk1"/>
                            </a:lnRef>
                            <a:fillRef idx="0">
                              <a:schemeClr val="dk1"/>
                            </a:fillRef>
                            <a:effectRef idx="0">
                              <a:schemeClr val="dk1"/>
                            </a:effectRef>
                            <a:fontRef idx="minor">
                              <a:schemeClr val="tx1"/>
                            </a:fontRef>
                          </wps:style>
                          <wps:bodyPr/>
                        </wps:wsp>
                        <wps:wsp>
                          <wps:cNvPr id="5" name="Connector: Elbow 5"/>
                          <wps:cNvCnPr>
                            <a:stCxn id="7" idx="2"/>
                            <a:endCxn id="9" idx="0"/>
                          </wps:cNvCnPr>
                          <wps:spPr>
                            <a:xfrm rot="5400000">
                              <a:off x="2322724" y="2920294"/>
                              <a:ext cx="703874" cy="4645"/>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20" name="Rectangle 20"/>
                          <wps:cNvSpPr/>
                          <wps:spPr>
                            <a:xfrm>
                              <a:off x="4153474" y="3569776"/>
                              <a:ext cx="1399602" cy="54292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3F6CF4FA" w14:textId="780D6A15" w:rsidR="00ED2F13" w:rsidRDefault="00183A7C" w:rsidP="00183A7C">
                                <w:pPr>
                                  <w:pStyle w:val="TableText0"/>
                                  <w:jc w:val="center"/>
                                </w:pPr>
                                <w:r>
                                  <w:t>FIX allergy/anaphylaxis identified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Connector: Elbow 33"/>
                          <wps:cNvCnPr>
                            <a:endCxn id="20" idx="0"/>
                          </wps:cNvCnPr>
                          <wps:spPr>
                            <a:xfrm>
                              <a:off x="2687102" y="2911495"/>
                              <a:ext cx="2166173" cy="658281"/>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34" name="Connector: Elbow 34"/>
                          <wps:cNvCnPr>
                            <a:stCxn id="20" idx="1"/>
                          </wps:cNvCnPr>
                          <wps:spPr>
                            <a:xfrm rot="10800000" flipV="1">
                              <a:off x="3610550" y="3841238"/>
                              <a:ext cx="542924" cy="1"/>
                            </a:xfrm>
                            <a:prstGeom prst="bentConnector3">
                              <a:avLst>
                                <a:gd name="adj1" fmla="val 50000"/>
                              </a:avLst>
                            </a:prstGeom>
                            <a:ln>
                              <a:tailEnd type="triangle"/>
                            </a:ln>
                          </wps:spPr>
                          <wps:style>
                            <a:lnRef idx="1">
                              <a:schemeClr val="dk1"/>
                            </a:lnRef>
                            <a:fillRef idx="0">
                              <a:schemeClr val="dk1"/>
                            </a:fillRef>
                            <a:effectRef idx="0">
                              <a:schemeClr val="dk1"/>
                            </a:effectRef>
                            <a:fontRef idx="minor">
                              <a:schemeClr val="tx1"/>
                            </a:fontRef>
                          </wps:style>
                          <wps:bodyPr/>
                        </wps:wsp>
                        <wps:wsp>
                          <wps:cNvPr id="35" name="Rectangle 35"/>
                          <wps:cNvSpPr/>
                          <wps:spPr>
                            <a:xfrm>
                              <a:off x="1598467" y="6008228"/>
                              <a:ext cx="2154360" cy="65722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73FF2474" w14:textId="4DC753F8" w:rsidR="00F8190D" w:rsidRPr="0035166B" w:rsidRDefault="00603BC5" w:rsidP="00603BC5">
                                <w:pPr>
                                  <w:pStyle w:val="TableText0"/>
                                  <w:jc w:val="center"/>
                                  <w:rPr>
                                    <w:b/>
                                    <w:bCs/>
                                  </w:rPr>
                                </w:pPr>
                                <w:r w:rsidRPr="0035166B">
                                  <w:rPr>
                                    <w:b/>
                                    <w:bCs/>
                                  </w:rPr>
                                  <w:t xml:space="preserve">Treat with </w:t>
                                </w:r>
                                <w:r w:rsidR="004C4650" w:rsidRPr="0035166B">
                                  <w:rPr>
                                    <w:b/>
                                    <w:bCs/>
                                  </w:rPr>
                                  <w:t>BPAs</w:t>
                                </w:r>
                              </w:p>
                              <w:p w14:paraId="03A6D16F" w14:textId="480EE951" w:rsidR="00603BC5" w:rsidRDefault="00603BC5" w:rsidP="00C8298A">
                                <w:pPr>
                                  <w:pStyle w:val="TableText0"/>
                                  <w:numPr>
                                    <w:ilvl w:val="0"/>
                                    <w:numId w:val="27"/>
                                  </w:numPr>
                                  <w:spacing w:before="0"/>
                                </w:pPr>
                                <w:r>
                                  <w:t>On demand</w:t>
                                </w:r>
                                <w:r w:rsidR="0035166B">
                                  <w:t xml:space="preserve"> (rFVIIa)</w:t>
                                </w:r>
                              </w:p>
                              <w:p w14:paraId="6EE8D972" w14:textId="4C86EF79" w:rsidR="00603BC5" w:rsidRDefault="00603BC5" w:rsidP="00C8298A">
                                <w:pPr>
                                  <w:pStyle w:val="TableText0"/>
                                  <w:numPr>
                                    <w:ilvl w:val="0"/>
                                    <w:numId w:val="27"/>
                                  </w:numPr>
                                  <w:spacing w:before="0"/>
                                </w:pPr>
                                <w:r>
                                  <w:t>Short</w:t>
                                </w:r>
                                <w:r w:rsidR="00C451DC">
                                  <w:t>-</w:t>
                                </w:r>
                                <w:r>
                                  <w:t>term prophylaxis</w:t>
                                </w:r>
                                <w:r w:rsidR="0035166B">
                                  <w:t xml:space="preserve"> (rFVIIa)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Straight Arrow Connector 36"/>
                          <wps:cNvCnPr>
                            <a:stCxn id="15" idx="2"/>
                            <a:endCxn id="35" idx="0"/>
                          </wps:cNvCnPr>
                          <wps:spPr>
                            <a:xfrm flipH="1">
                              <a:off x="2675647" y="5759603"/>
                              <a:ext cx="246" cy="2486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7" name="Rectangle 37"/>
                          <wps:cNvSpPr/>
                          <wps:spPr>
                            <a:xfrm>
                              <a:off x="800674" y="6960727"/>
                              <a:ext cx="3752850" cy="56197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3CDEFB4D" w14:textId="6F9DC9A0" w:rsidR="002F386A" w:rsidRDefault="002F386A" w:rsidP="00D0474C">
                                <w:pPr>
                                  <w:pStyle w:val="TableText0"/>
                                  <w:jc w:val="center"/>
                                </w:pPr>
                                <w:r w:rsidRPr="00D0474C">
                                  <w:rPr>
                                    <w:b/>
                                    <w:bCs/>
                                  </w:rPr>
                                  <w:t>Health outcomes:</w:t>
                                </w:r>
                                <w:r>
                                  <w:t xml:space="preserve"> number and severity of bleeds, </w:t>
                                </w:r>
                                <w:r w:rsidR="00151073">
                                  <w:t>health</w:t>
                                </w:r>
                                <w:r w:rsidR="00634D51">
                                  <w:t>-</w:t>
                                </w:r>
                                <w:r w:rsidR="00151073">
                                  <w:t xml:space="preserve">related </w:t>
                                </w:r>
                                <w:r w:rsidR="0070189F">
                                  <w:t xml:space="preserve">quality of life, </w:t>
                                </w:r>
                                <w:r w:rsidR="00151073">
                                  <w:t xml:space="preserve">joint </w:t>
                                </w:r>
                                <w:r w:rsidR="004975EE">
                                  <w:t>health outcomes.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Straight Arrow Connector 38"/>
                          <wps:cNvCnPr>
                            <a:stCxn id="35" idx="2"/>
                            <a:endCxn id="37" idx="0"/>
                          </wps:cNvCnPr>
                          <wps:spPr>
                            <a:xfrm>
                              <a:off x="2675647" y="6665453"/>
                              <a:ext cx="1452" cy="29527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0" name="Isosceles Triangle 40"/>
                          <wps:cNvSpPr/>
                          <wps:spPr>
                            <a:xfrm rot="16200000">
                              <a:off x="2308893" y="259831"/>
                              <a:ext cx="695310" cy="4819781"/>
                            </a:xfrm>
                            <a:prstGeom prst="triangle">
                              <a:avLst/>
                            </a:prstGeom>
                            <a:solidFill>
                              <a:schemeClr val="accent2">
                                <a:alpha val="35000"/>
                              </a:schemeClr>
                            </a:solidFill>
                            <a:ln>
                              <a:noFill/>
                            </a:ln>
                          </wps:spPr>
                          <wps:style>
                            <a:lnRef idx="0">
                              <a:scrgbClr r="0" g="0" b="0"/>
                            </a:lnRef>
                            <a:fillRef idx="0">
                              <a:scrgbClr r="0" g="0" b="0"/>
                            </a:fillRef>
                            <a:effectRef idx="0">
                              <a:scrgbClr r="0" g="0" b="0"/>
                            </a:effectRef>
                            <a:fontRef idx="minor">
                              <a:schemeClr val="lt1"/>
                            </a:fontRef>
                          </wps:style>
                          <wps:txbx>
                            <w:txbxContent>
                              <w:p w14:paraId="73F0B3B2" w14:textId="3E0F222E" w:rsidR="008F1154" w:rsidRPr="00BF63BA" w:rsidRDefault="008F1154" w:rsidP="00F1690F">
                                <w:pPr>
                                  <w:pStyle w:val="TableText0"/>
                                  <w:rPr>
                                    <w:rFonts w:cs="Arial"/>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F63BA">
                                  <w:rPr>
                                    <w:rStyle w:val="TableTextChar0"/>
                                    <w:rFonts w:cs="Arial"/>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Risk of inhibitor</w:t>
                                </w:r>
                                <w:r w:rsidRPr="00BF63BA">
                                  <w:rPr>
                                    <w:rFonts w:cs="Arial"/>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development</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wps:wsp>
                          <wps:cNvPr id="41" name="Rectangle 41"/>
                          <wps:cNvSpPr/>
                          <wps:spPr>
                            <a:xfrm>
                              <a:off x="150595" y="5265279"/>
                              <a:ext cx="1428750" cy="43815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2ECF927B" w14:textId="71CD3D18" w:rsidR="00876F49" w:rsidRDefault="00EB120D" w:rsidP="00876F49">
                                <w:pPr>
                                  <w:pStyle w:val="TableText0"/>
                                  <w:jc w:val="center"/>
                                </w:pPr>
                                <w:r>
                                  <w:t>IT</w:t>
                                </w:r>
                                <w:r w:rsidR="00BE558F">
                                  <w:t>I</w:t>
                                </w:r>
                                <w:r>
                                  <w:t xml:space="preserve"> using FIX</w:t>
                                </w:r>
                                <w:r w:rsidR="00DA0336">
                                  <w:t xml:space="preserve"> </w:t>
                                </w:r>
                                <w:r w:rsidR="006969F6">
                                  <w:br/>
                                </w:r>
                                <w:r w:rsidR="00DA0336">
                                  <w:t xml:space="preserve">(where no </w:t>
                                </w:r>
                                <w:r w:rsidR="005252A2">
                                  <w:t>anaphylaxis)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Straight Arrow Connector 42"/>
                          <wps:cNvCnPr>
                            <a:stCxn id="15" idx="1"/>
                            <a:endCxn id="41" idx="3"/>
                          </wps:cNvCnPr>
                          <wps:spPr>
                            <a:xfrm flipH="1">
                              <a:off x="1579345" y="5478616"/>
                              <a:ext cx="257738" cy="573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3" name="Straight Arrow Connector 43"/>
                          <wps:cNvCnPr>
                            <a:stCxn id="41" idx="0"/>
                            <a:endCxn id="13" idx="2"/>
                          </wps:cNvCnPr>
                          <wps:spPr>
                            <a:xfrm flipV="1">
                              <a:off x="864970" y="4274678"/>
                              <a:ext cx="3624" cy="99060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4" name="Connector: Elbow 44"/>
                          <wps:cNvCnPr>
                            <a:stCxn id="41" idx="2"/>
                            <a:endCxn id="35" idx="1"/>
                          </wps:cNvCnPr>
                          <wps:spPr>
                            <a:xfrm rot="16200000" flipH="1">
                              <a:off x="915012" y="5653386"/>
                              <a:ext cx="633412" cy="733497"/>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45" name="Text Box 45"/>
                          <wps:cNvSpPr txBox="1"/>
                          <wps:spPr>
                            <a:xfrm>
                              <a:off x="350619" y="4589004"/>
                              <a:ext cx="1028700" cy="4095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2FF10CD" w14:textId="134CE2B5" w:rsidR="001E561B" w:rsidRPr="001E561B" w:rsidRDefault="001E561B" w:rsidP="001E561B">
                                <w:pPr>
                                  <w:pStyle w:val="TableText0"/>
                                  <w:jc w:val="center"/>
                                  <w:rPr>
                                    <w:i/>
                                    <w:iCs/>
                                  </w:rPr>
                                </w:pPr>
                                <w:r>
                                  <w:rPr>
                                    <w:i/>
                                    <w:iCs/>
                                  </w:rPr>
                                  <w:t>S</w:t>
                                </w:r>
                                <w:r w:rsidRPr="001E561B">
                                  <w:rPr>
                                    <w:i/>
                                    <w:iCs/>
                                  </w:rPr>
                                  <w:t>uccessful IT</w:t>
                                </w:r>
                                <w:r w:rsidR="0051642B">
                                  <w:rPr>
                                    <w:i/>
                                    <w:iCs/>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 name="Text Box 45"/>
                          <wps:cNvSpPr txBox="1"/>
                          <wps:spPr>
                            <a:xfrm>
                              <a:off x="368694" y="5892954"/>
                              <a:ext cx="1028700" cy="4095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8419824" w14:textId="07A1FCAB" w:rsidR="001E561B" w:rsidRDefault="001E561B" w:rsidP="001E561B">
                                <w:pPr>
                                  <w:spacing w:before="40" w:after="40"/>
                                  <w:jc w:val="center"/>
                                  <w:rPr>
                                    <w:rFonts w:ascii="Arial Narrow" w:hAnsi="Arial Narrow" w:cs="Arial"/>
                                    <w:i/>
                                    <w:iCs/>
                                    <w:sz w:val="20"/>
                                    <w:szCs w:val="20"/>
                                  </w:rPr>
                                </w:pPr>
                                <w:r>
                                  <w:rPr>
                                    <w:rFonts w:ascii="Arial Narrow" w:hAnsi="Arial Narrow" w:cs="Arial"/>
                                    <w:i/>
                                    <w:iCs/>
                                    <w:sz w:val="20"/>
                                    <w:szCs w:val="20"/>
                                  </w:rPr>
                                  <w:t>Unsuccessful IT</w:t>
                                </w:r>
                                <w:r w:rsidR="0051642B">
                                  <w:rPr>
                                    <w:rFonts w:ascii="Arial Narrow" w:hAnsi="Arial Narrow" w:cs="Arial"/>
                                    <w:i/>
                                    <w:iCs/>
                                    <w:sz w:val="20"/>
                                    <w:szCs w:val="20"/>
                                  </w:rPr>
                                  <w:t>I</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0" name="Connector: Elbow 100"/>
                          <wps:cNvCnPr>
                            <a:stCxn id="14" idx="2"/>
                            <a:endCxn id="35" idx="3"/>
                          </wps:cNvCnPr>
                          <wps:spPr>
                            <a:xfrm rot="5400000">
                              <a:off x="4025468" y="5462176"/>
                              <a:ext cx="602024" cy="1147306"/>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g:wgp>
                    </wpc:wpc>
                  </a:graphicData>
                </a:graphic>
              </wp:inline>
            </w:drawing>
          </mc:Choice>
          <mc:Fallback>
            <w:pict>
              <v:group w14:anchorId="7EF8FB39" id="Canvas 2" o:spid="_x0000_s1026" editas="canvas" alt="Clinical management algorithm showing current practice for cHMB patients with inhibitors. These patients can be treated on demand with BPAs, or with short term prophylaxis, but do not have long-term prophylaxis as an option. " style="width:452.25pt;height:600pt;mso-position-horizontal-relative:char;mso-position-vertical-relative:line" coordsize="57435,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Clinical management algorithm showing current practice for cHMB patients with inhibitors. These patients can be treated on demand with BPAs, or with short term prophylaxis, but do not have long-term prophylaxis as an option. " style="position:absolute;width:57435;height:76200;visibility:visible;mso-wrap-style:square" filled="t">
                  <v:fill o:detectmouseclick="t"/>
                  <v:path o:connecttype="none"/>
                </v:shape>
                <v:group id="Group 1" o:spid="_x0000_s1028" alt="Image of the clinical algorithm for patients with cHMB showing screening and treatment for FIX inhibitors with absence of concizumab." style="position:absolute;left:1505;top:359;width:54025;height:74868" coordorigin="1505,359" coordsize="54024,74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3" o:spid="_x0000_s1029" style="position:absolute;left:17635;top:359;width:18009;height:8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" fillcolor="white [3201]" strokecolor="black [3200]" strokeweight="1.5pt">
                    <v:textbox>
                      <w:txbxContent>
                        <w:p w14:paraId="4E02022B" w14:textId="622E209E" w:rsidR="00F916A2" w:rsidRDefault="00F916A2" w:rsidP="005F39FF">
                          <w:pPr>
                            <w:pStyle w:val="TableText0"/>
                            <w:spacing w:line="276" w:lineRule="auto"/>
                            <w:jc w:val="center"/>
                          </w:pPr>
                          <w:r>
                            <w:t xml:space="preserve">Diagnosis of </w:t>
                          </w:r>
                          <w:r w:rsidR="00617DCC">
                            <w:t xml:space="preserve">cHMB </w:t>
                          </w:r>
                          <w:r w:rsidR="00DC6319">
                            <w:br/>
                          </w:r>
                          <w:r w:rsidR="00617DCC">
                            <w:t xml:space="preserve">(mild, moderate, severe) </w:t>
                          </w:r>
                          <w:r w:rsidR="00DC6319">
                            <w:br/>
                          </w:r>
                          <w:r w:rsidR="00617DCC">
                            <w:t>and referral to HTC for management of treatment</w:t>
                          </w:r>
                        </w:p>
                      </w:txbxContent>
                    </v:textbox>
                  </v:rect>
                  <v:rect id="Rectangle 4" o:spid="_x0000_s1030" style="position:absolute;left:3384;top:13124;width:12600;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" fillcolor="white [3201]" strokecolor="black [3200]" strokeweight="1.5pt">
                    <v:textbox>
                      <w:txbxContent>
                        <w:p w14:paraId="196205E9" w14:textId="2B18275F" w:rsidR="00D95EFA" w:rsidRPr="00215C86" w:rsidRDefault="00D95EFA" w:rsidP="00062CC4">
                          <w:pPr>
                            <w:pStyle w:val="TableText0"/>
                            <w:jc w:val="center"/>
                            <w:rPr>
                              <w:b/>
                              <w:color w:val="2E74B5" w:themeColor="accent1" w:themeShade="BF"/>
                            </w:rPr>
                          </w:pPr>
                          <w:r w:rsidRPr="00215C86">
                            <w:rPr>
                              <w:b/>
                              <w:color w:val="2E74B5" w:themeColor="accent1" w:themeShade="BF"/>
                            </w:rPr>
                            <w:t xml:space="preserve">Mild </w:t>
                          </w:r>
                          <w:r w:rsidR="000C4B21" w:rsidRPr="00215C86">
                            <w:rPr>
                              <w:b/>
                              <w:color w:val="2E74B5" w:themeColor="accent1" w:themeShade="BF"/>
                            </w:rPr>
                            <w:t>c</w:t>
                          </w:r>
                          <w:r w:rsidRPr="00215C86">
                            <w:rPr>
                              <w:b/>
                              <w:color w:val="2E74B5" w:themeColor="accent1" w:themeShade="BF"/>
                            </w:rPr>
                            <w:t>HMB</w:t>
                          </w:r>
                          <w:r w:rsidR="00450D88" w:rsidRPr="00215C86">
                            <w:rPr>
                              <w:b/>
                              <w:color w:val="2E74B5" w:themeColor="accent1" w:themeShade="BF"/>
                            </w:rPr>
                            <w:t xml:space="preserve"> (</w:t>
                          </w:r>
                          <w:r w:rsidR="00A305C7" w:rsidRPr="00215C86">
                            <w:rPr>
                              <w:b/>
                              <w:color w:val="2E74B5" w:themeColor="accent1" w:themeShade="BF"/>
                            </w:rPr>
                            <w:t>58%)</w:t>
                          </w:r>
                        </w:p>
                      </w:txbxContent>
                    </v:textbox>
                  </v:rect>
                  <v:rect id="Rectangle 6" o:spid="_x0000_s1031" style="position:absolute;left:20281;top:13124;width:12960;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" fillcolor="white [3201]" strokecolor="black [3200]" strokeweight="1.5pt">
                    <v:textbox>
                      <w:txbxContent>
                        <w:p w14:paraId="0A8A9B87" w14:textId="37CFE727" w:rsidR="00D95EFA" w:rsidRPr="00215C86" w:rsidRDefault="00D95EFA" w:rsidP="00062CC4">
                          <w:pPr>
                            <w:pStyle w:val="TableText0"/>
                            <w:jc w:val="center"/>
                            <w:rPr>
                              <w:b/>
                              <w:color w:val="538135" w:themeColor="accent6" w:themeShade="BF"/>
                            </w:rPr>
                          </w:pPr>
                          <w:r w:rsidRPr="00215C86">
                            <w:rPr>
                              <w:b/>
                              <w:color w:val="538135" w:themeColor="accent6" w:themeShade="BF"/>
                            </w:rPr>
                            <w:t xml:space="preserve">Moderate </w:t>
                          </w:r>
                          <w:r w:rsidR="000C4B21" w:rsidRPr="00215C86">
                            <w:rPr>
                              <w:b/>
                              <w:color w:val="538135" w:themeColor="accent6" w:themeShade="BF"/>
                            </w:rPr>
                            <w:t>c</w:t>
                          </w:r>
                          <w:r w:rsidRPr="00215C86">
                            <w:rPr>
                              <w:b/>
                              <w:color w:val="538135" w:themeColor="accent6" w:themeShade="BF"/>
                            </w:rPr>
                            <w:t>HMB</w:t>
                          </w:r>
                          <w:r w:rsidR="00A305C7" w:rsidRPr="00215C86">
                            <w:rPr>
                              <w:b/>
                              <w:color w:val="538135" w:themeColor="accent6" w:themeShade="BF"/>
                            </w:rPr>
                            <w:t xml:space="preserve"> (25%)</w:t>
                          </w:r>
                        </w:p>
                      </w:txbxContent>
                    </v:textbox>
                  </v:rect>
                  <v:rect id="Rectangle 8" o:spid="_x0000_s1032" style="position:absolute;left:37528;top:13019;width:12674;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" fillcolor="white [3201]" strokecolor="black [3200]" strokeweight="1.5pt">
                    <v:textbox>
                      <w:txbxContent>
                        <w:p w14:paraId="172F4C93" w14:textId="3DE39EF5" w:rsidR="00D95EFA" w:rsidRPr="00AB72C4" w:rsidRDefault="00D95EFA" w:rsidP="00062CC4">
                          <w:pPr>
                            <w:pStyle w:val="TableText0"/>
                            <w:jc w:val="center"/>
                            <w:rPr>
                              <w:b/>
                              <w:bCs/>
                              <w:color w:val="C00000"/>
                            </w:rPr>
                          </w:pPr>
                          <w:r w:rsidRPr="00AB72C4">
                            <w:rPr>
                              <w:b/>
                              <w:bCs/>
                              <w:color w:val="C00000"/>
                            </w:rPr>
                            <w:t xml:space="preserve">Severe </w:t>
                          </w:r>
                          <w:r w:rsidR="000C4B21" w:rsidRPr="00AB72C4">
                            <w:rPr>
                              <w:b/>
                              <w:bCs/>
                              <w:color w:val="C00000"/>
                            </w:rPr>
                            <w:t>c</w:t>
                          </w:r>
                          <w:r w:rsidRPr="00AB72C4">
                            <w:rPr>
                              <w:b/>
                              <w:bCs/>
                              <w:color w:val="C00000"/>
                            </w:rPr>
                            <w:t>HMB</w:t>
                          </w:r>
                          <w:r w:rsidR="00A305C7" w:rsidRPr="00AB72C4">
                            <w:rPr>
                              <w:b/>
                              <w:bCs/>
                              <w:color w:val="C00000"/>
                            </w:rPr>
                            <w:t xml:space="preserve"> (17%)</w:t>
                          </w:r>
                        </w:p>
                      </w:txbxContent>
                    </v:textbox>
                  </v:rect>
                  <v:rect id="Rectangle 7" o:spid="_x0000_s1033" style="position:absolute;left:19816;top:19505;width:13907;height:62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" fillcolor="white [3201]" strokecolor="black [3200]" strokeweight="1.5pt">
                    <v:textbox>
                      <w:txbxContent>
                        <w:p w14:paraId="271403CE" w14:textId="3FDC1F56" w:rsidR="00D95EFA" w:rsidRDefault="00681EA8" w:rsidP="00D507B7">
                          <w:pPr>
                            <w:pStyle w:val="TableText0"/>
                            <w:spacing w:before="0"/>
                            <w:jc w:val="center"/>
                          </w:pPr>
                          <w:r>
                            <w:t>Treat with FIX</w:t>
                          </w:r>
                          <w:r w:rsidR="001A6A77">
                            <w:t xml:space="preserve"> (54%)</w:t>
                          </w:r>
                        </w:p>
                        <w:p w14:paraId="0F8990A7" w14:textId="1F80BCA6" w:rsidR="00246986" w:rsidRDefault="00246986" w:rsidP="00D507B7">
                          <w:pPr>
                            <w:pStyle w:val="TableText0"/>
                            <w:numPr>
                              <w:ilvl w:val="0"/>
                              <w:numId w:val="23"/>
                            </w:numPr>
                            <w:spacing w:before="0" w:after="0"/>
                          </w:pPr>
                          <w:r>
                            <w:t>On demand</w:t>
                          </w:r>
                        </w:p>
                        <w:p w14:paraId="19B3289A" w14:textId="66FF0249" w:rsidR="00246986" w:rsidRDefault="00246986" w:rsidP="00D507B7">
                          <w:pPr>
                            <w:pStyle w:val="TableText0"/>
                            <w:numPr>
                              <w:ilvl w:val="0"/>
                              <w:numId w:val="23"/>
                            </w:numPr>
                            <w:spacing w:before="0" w:after="0"/>
                          </w:pPr>
                          <w:r>
                            <w:t>Prophylaxis</w:t>
                          </w:r>
                          <w:r w:rsidR="00653C73">
                            <w:t xml:space="preserve"> (29%</w:t>
                          </w:r>
                          <w:r w:rsidR="004A49EB">
                            <w:t>)</w:t>
                          </w:r>
                        </w:p>
                      </w:txbxContent>
                    </v:textbox>
                  </v:rect>
                  <v:rect id="Rectangle 11" o:spid="_x0000_s1034" style="position:absolute;left:36948;top:19400;width:13906;height:62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" fillcolor="white [3201]" strokecolor="black [3200]" strokeweight="1.5pt">
                    <v:textbox>
                      <w:txbxContent>
                        <w:p w14:paraId="12C6D8CA" w14:textId="3A3175A5" w:rsidR="00062CC4" w:rsidRDefault="00062CC4" w:rsidP="00D507B7">
                          <w:pPr>
                            <w:spacing w:after="40" w:line="240" w:lineRule="auto"/>
                            <w:jc w:val="center"/>
                            <w:rPr>
                              <w:rFonts w:ascii="Arial Narrow" w:hAnsi="Arial Narrow" w:cs="Arial"/>
                              <w:sz w:val="20"/>
                              <w:szCs w:val="20"/>
                            </w:rPr>
                          </w:pPr>
                          <w:r>
                            <w:rPr>
                              <w:rFonts w:ascii="Arial Narrow" w:hAnsi="Arial Narrow" w:cs="Arial"/>
                              <w:sz w:val="20"/>
                              <w:szCs w:val="20"/>
                            </w:rPr>
                            <w:t>Treat with FIX</w:t>
                          </w:r>
                          <w:r w:rsidR="004A49EB">
                            <w:rPr>
                              <w:rFonts w:ascii="Arial Narrow" w:hAnsi="Arial Narrow" w:cs="Arial"/>
                              <w:sz w:val="20"/>
                              <w:szCs w:val="20"/>
                            </w:rPr>
                            <w:t xml:space="preserve"> (92%)</w:t>
                          </w:r>
                        </w:p>
                        <w:p w14:paraId="71777A5F" w14:textId="77777777" w:rsidR="00062CC4" w:rsidRPr="009853A9" w:rsidRDefault="00062CC4" w:rsidP="00D507B7">
                          <w:pPr>
                            <w:pStyle w:val="ListParagraph"/>
                            <w:numPr>
                              <w:ilvl w:val="0"/>
                              <w:numId w:val="25"/>
                            </w:numPr>
                            <w:spacing w:after="40" w:line="240" w:lineRule="auto"/>
                            <w:rPr>
                              <w:rFonts w:ascii="Arial Narrow" w:hAnsi="Arial Narrow" w:cs="Arial"/>
                              <w:sz w:val="20"/>
                              <w:szCs w:val="20"/>
                            </w:rPr>
                          </w:pPr>
                          <w:r w:rsidRPr="009853A9">
                            <w:rPr>
                              <w:rFonts w:ascii="Arial Narrow" w:hAnsi="Arial Narrow" w:cs="Arial"/>
                              <w:sz w:val="20"/>
                              <w:szCs w:val="20"/>
                            </w:rPr>
                            <w:t>On demand</w:t>
                          </w:r>
                        </w:p>
                        <w:p w14:paraId="0F9E892C" w14:textId="4D4B0C0D" w:rsidR="00062CC4" w:rsidRPr="009853A9" w:rsidRDefault="00062CC4" w:rsidP="00D507B7">
                          <w:pPr>
                            <w:pStyle w:val="ListParagraph"/>
                            <w:numPr>
                              <w:ilvl w:val="0"/>
                              <w:numId w:val="25"/>
                            </w:numPr>
                            <w:spacing w:after="40" w:line="240" w:lineRule="auto"/>
                            <w:rPr>
                              <w:rFonts w:ascii="Arial Narrow" w:hAnsi="Arial Narrow" w:cs="Arial"/>
                              <w:sz w:val="20"/>
                              <w:szCs w:val="20"/>
                            </w:rPr>
                          </w:pPr>
                          <w:r w:rsidRPr="009853A9">
                            <w:rPr>
                              <w:rFonts w:ascii="Arial Narrow" w:hAnsi="Arial Narrow" w:cs="Arial"/>
                              <w:sz w:val="20"/>
                              <w:szCs w:val="20"/>
                            </w:rPr>
                            <w:t>Prophylax</w:t>
                          </w:r>
                          <w:r w:rsidR="009853A9">
                            <w:rPr>
                              <w:rFonts w:ascii="Arial Narrow" w:hAnsi="Arial Narrow" w:cs="Arial"/>
                              <w:sz w:val="20"/>
                              <w:szCs w:val="20"/>
                            </w:rPr>
                            <w:t>i</w:t>
                          </w:r>
                          <w:r w:rsidRPr="009853A9">
                            <w:rPr>
                              <w:rFonts w:ascii="Arial Narrow" w:hAnsi="Arial Narrow" w:cs="Arial"/>
                              <w:sz w:val="20"/>
                              <w:szCs w:val="20"/>
                            </w:rPr>
                            <w:t>s</w:t>
                          </w:r>
                          <w:r w:rsidR="00106AEC">
                            <w:rPr>
                              <w:rFonts w:ascii="Arial Narrow" w:hAnsi="Arial Narrow" w:cs="Arial"/>
                              <w:sz w:val="20"/>
                              <w:szCs w:val="20"/>
                            </w:rPr>
                            <w:t xml:space="preserve"> (75%)</w:t>
                          </w:r>
                        </w:p>
                      </w:txbxContent>
                    </v:textbox>
                  </v:rect>
                  <v:rect id="Rectangle 12" o:spid="_x0000_s1035" style="position:absolute;left:2665;top:19400;width:13906;height:62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" fillcolor="white [3201]" strokecolor="black [3200]" strokeweight="1.5pt">
                    <v:textbox>
                      <w:txbxContent>
                        <w:p w14:paraId="476E6E31" w14:textId="07EA0763" w:rsidR="00062CC4" w:rsidRDefault="00062CC4" w:rsidP="004E537B">
                          <w:pPr>
                            <w:spacing w:before="40" w:after="40"/>
                            <w:jc w:val="center"/>
                            <w:rPr>
                              <w:rFonts w:ascii="Arial Narrow" w:hAnsi="Arial Narrow" w:cs="Arial"/>
                              <w:sz w:val="20"/>
                              <w:szCs w:val="20"/>
                            </w:rPr>
                          </w:pPr>
                          <w:r>
                            <w:rPr>
                              <w:rFonts w:ascii="Arial Narrow" w:hAnsi="Arial Narrow" w:cs="Arial"/>
                              <w:sz w:val="20"/>
                              <w:szCs w:val="20"/>
                            </w:rPr>
                            <w:t>Treat with FIX</w:t>
                          </w:r>
                          <w:r w:rsidR="004E537B">
                            <w:rPr>
                              <w:rFonts w:ascii="Arial Narrow" w:hAnsi="Arial Narrow" w:cs="Arial"/>
                              <w:sz w:val="20"/>
                              <w:szCs w:val="20"/>
                            </w:rPr>
                            <w:t xml:space="preserve"> on demand (20%)</w:t>
                          </w:r>
                        </w:p>
                      </w:txbxContent>
                    </v:textbox>
                  </v:rect>
                  <v:rect id="Rectangle 9" o:spid="_x0000_s1036" style="position:absolute;left:17341;top:32745;width:18764;height:14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" fillcolor="white [3201]" strokecolor="black [3200]" strokeweight="1.5pt">
                    <v:textbox>
                      <w:txbxContent>
                        <w:p w14:paraId="3AA8CD25" w14:textId="5C14CBD8" w:rsidR="00AC1FF4" w:rsidRPr="00365692" w:rsidRDefault="00AC1FF4" w:rsidP="00AC1FF4">
                          <w:pPr>
                            <w:pStyle w:val="TableText0"/>
                            <w:jc w:val="center"/>
                            <w:rPr>
                              <w:b/>
                              <w:bCs/>
                            </w:rPr>
                          </w:pPr>
                          <w:r w:rsidRPr="00365692">
                            <w:rPr>
                              <w:b/>
                              <w:bCs/>
                            </w:rPr>
                            <w:t>Screen for inhibitors</w:t>
                          </w:r>
                          <w:r w:rsidR="009923A3" w:rsidRPr="00365692">
                            <w:rPr>
                              <w:b/>
                              <w:bCs/>
                            </w:rPr>
                            <w:t>:</w:t>
                          </w:r>
                        </w:p>
                        <w:p w14:paraId="5770F287" w14:textId="13F719D0" w:rsidR="009923A3" w:rsidRDefault="009923A3" w:rsidP="009923A3">
                          <w:pPr>
                            <w:pStyle w:val="TableText0"/>
                            <w:numPr>
                              <w:ilvl w:val="0"/>
                              <w:numId w:val="24"/>
                            </w:numPr>
                          </w:pPr>
                          <w:r>
                            <w:t>Screen paediatric patients in first 150 days of exposure</w:t>
                          </w:r>
                        </w:p>
                        <w:p w14:paraId="0EEEB0B7" w14:textId="27B386B0" w:rsidR="009923A3" w:rsidRDefault="00C33E50" w:rsidP="009923A3">
                          <w:pPr>
                            <w:pStyle w:val="TableText0"/>
                            <w:numPr>
                              <w:ilvl w:val="0"/>
                              <w:numId w:val="24"/>
                            </w:numPr>
                          </w:pPr>
                          <w:r>
                            <w:t xml:space="preserve">Routine </w:t>
                          </w:r>
                          <w:r w:rsidR="004A177A">
                            <w:t>6–12-month</w:t>
                          </w:r>
                          <w:r>
                            <w:t xml:space="preserve"> testing</w:t>
                          </w:r>
                        </w:p>
                        <w:p w14:paraId="42BB75E4" w14:textId="4B60C2D6" w:rsidR="00D71DDC" w:rsidRDefault="00E72658" w:rsidP="00D71DDC">
                          <w:pPr>
                            <w:pStyle w:val="TableText0"/>
                            <w:numPr>
                              <w:ilvl w:val="0"/>
                              <w:numId w:val="24"/>
                            </w:numPr>
                          </w:pPr>
                          <w:r>
                            <w:t>Screen a</w:t>
                          </w:r>
                          <w:r w:rsidR="00D71DDC">
                            <w:t>fter intensive treatment</w:t>
                          </w:r>
                        </w:p>
                        <w:p w14:paraId="6BCA6318" w14:textId="120C604B" w:rsidR="00716915" w:rsidRDefault="00716915" w:rsidP="00716915">
                          <w:pPr>
                            <w:pStyle w:val="TableText0"/>
                            <w:numPr>
                              <w:ilvl w:val="0"/>
                              <w:numId w:val="24"/>
                            </w:numPr>
                          </w:pPr>
                          <w:r>
                            <w:t>Failure to respond to FIX</w:t>
                          </w:r>
                        </w:p>
                      </w:txbxContent>
                    </v:textbox>
                  </v:rect>
                  <v:rect id="Rectangle 13" o:spid="_x0000_s1037" style="position:absolute;left:3923;top:37127;width:9525;height:5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" fillcolor="white [3201]" strokecolor="black [3200]" strokeweight="1.5pt">
                    <v:textbox>
                      <w:txbxContent>
                        <w:p w14:paraId="3F128259" w14:textId="122BE27B" w:rsidR="00877EB9" w:rsidRDefault="00B128E1" w:rsidP="00877EB9">
                          <w:pPr>
                            <w:pStyle w:val="TableText0"/>
                            <w:jc w:val="center"/>
                          </w:pPr>
                          <w:r>
                            <w:t>No inhibitors present</w:t>
                          </w:r>
                        </w:p>
                      </w:txbxContent>
                    </v:textbox>
                  </v:rect>
                  <v:rect id="Rectangle 14" o:spid="_x0000_s1038" style="position:absolute;left:43085;top:51728;width:11831;height:5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" fillcolor="#fbe4d5 [661]" strokecolor="black [3200]" strokeweight="1.5pt">
                    <v:textbox>
                      <w:txbxContent>
                        <w:p w14:paraId="50755AA9" w14:textId="629FAFE8" w:rsidR="00B128E1" w:rsidRDefault="00B128E1" w:rsidP="00A72F5A">
                          <w:pPr>
                            <w:spacing w:before="40" w:after="40" w:line="240" w:lineRule="auto"/>
                            <w:jc w:val="center"/>
                            <w:rPr>
                              <w:rFonts w:ascii="Arial Narrow" w:hAnsi="Arial Narrow" w:cs="Arial"/>
                              <w:sz w:val="20"/>
                              <w:szCs w:val="20"/>
                            </w:rPr>
                          </w:pPr>
                          <w:r>
                            <w:rPr>
                              <w:rFonts w:ascii="Arial Narrow" w:hAnsi="Arial Narrow" w:cs="Arial"/>
                              <w:sz w:val="20"/>
                              <w:szCs w:val="20"/>
                            </w:rPr>
                            <w:t>Low-titre</w:t>
                          </w:r>
                          <w:r w:rsidR="00F05935" w:rsidRPr="00F05935">
                            <w:rPr>
                              <w:rFonts w:ascii="Arial Narrow" w:hAnsi="Arial Narrow" w:cs="Arial"/>
                              <w:sz w:val="20"/>
                              <w:szCs w:val="20"/>
                            </w:rPr>
                            <w:t xml:space="preserve"> </w:t>
                          </w:r>
                          <w:r w:rsidR="00F05935">
                            <w:rPr>
                              <w:rFonts w:ascii="Arial Narrow" w:hAnsi="Arial Narrow" w:cs="Arial"/>
                              <w:sz w:val="20"/>
                              <w:szCs w:val="20"/>
                            </w:rPr>
                            <w:t>inhibitors and no anaphylaxis</w:t>
                          </w:r>
                          <w:r>
                            <w:rPr>
                              <w:rFonts w:ascii="Arial Narrow" w:hAnsi="Arial Narrow" w:cs="Arial"/>
                              <w:sz w:val="20"/>
                              <w:szCs w:val="20"/>
                            </w:rPr>
                            <w:t xml:space="preserve"> </w:t>
                          </w:r>
                        </w:p>
                      </w:txbxContent>
                    </v:textbox>
                  </v:rect>
                  <v:rect id="Rectangle 15" o:spid="_x0000_s1039" style="position:absolute;left:18370;top:51976;width:16777;height:5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" fillcolor="#f7caac [1301]" strokecolor="black [3200]" strokeweight="1.5pt">
                    <v:textbox>
                      <w:txbxContent>
                        <w:p w14:paraId="37DFCC64" w14:textId="2AFE3662" w:rsidR="00B128E1" w:rsidRDefault="00B128E1" w:rsidP="00B128E1">
                          <w:pPr>
                            <w:spacing w:before="40" w:after="40"/>
                            <w:jc w:val="center"/>
                            <w:rPr>
                              <w:rFonts w:ascii="Arial Narrow" w:hAnsi="Arial Narrow" w:cs="Arial"/>
                              <w:sz w:val="20"/>
                              <w:szCs w:val="20"/>
                            </w:rPr>
                          </w:pPr>
                          <w:r>
                            <w:rPr>
                              <w:rFonts w:ascii="Arial Narrow" w:hAnsi="Arial Narrow" w:cs="Arial"/>
                              <w:sz w:val="20"/>
                              <w:szCs w:val="20"/>
                            </w:rPr>
                            <w:t>High-titre inhibitors</w:t>
                          </w:r>
                          <w:r w:rsidR="00CC3FAE">
                            <w:rPr>
                              <w:rFonts w:ascii="Arial Narrow" w:hAnsi="Arial Narrow" w:cs="Arial"/>
                              <w:sz w:val="20"/>
                              <w:szCs w:val="20"/>
                            </w:rPr>
                            <w:t xml:space="preserve"> or low-titre inhibitors and anaphylaxis</w:t>
                          </w:r>
                        </w:p>
                      </w:txbxContent>
                    </v:textbox>
                  </v:rect>
                  <v:rect id="Rectangle 16" o:spid="_x0000_s1040" style="position:absolute;left:44246;top:42546;width:9525;height:5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" fillcolor="white [3201]" strokecolor="black [3200]" strokeweight="1.5pt">
                    <v:textbox>
                      <w:txbxContent>
                        <w:p w14:paraId="64BDD1AF" w14:textId="05C54F45" w:rsidR="001C2399" w:rsidRDefault="001C2399" w:rsidP="00A72F5A">
                          <w:pPr>
                            <w:spacing w:before="40" w:after="40" w:line="240" w:lineRule="auto"/>
                            <w:jc w:val="center"/>
                            <w:rPr>
                              <w:rFonts w:ascii="Arial Narrow" w:hAnsi="Arial Narrow" w:cs="Arial"/>
                              <w:sz w:val="20"/>
                              <w:szCs w:val="20"/>
                            </w:rPr>
                          </w:pPr>
                          <w:r>
                            <w:rPr>
                              <w:rFonts w:ascii="Arial Narrow" w:hAnsi="Arial Narrow" w:cs="Arial"/>
                              <w:sz w:val="20"/>
                              <w:szCs w:val="20"/>
                            </w:rPr>
                            <w:t>Increase FIX dose</w:t>
                          </w:r>
                        </w:p>
                      </w:txbxContent>
                    </v:textbox>
                  </v:rect>
                  <v:shapetype id="_x0000_t32" coordsize="21600,21600" o:spt="32" o:oned="t" path="m,l21600,21600e" filled="f">
                    <v:path arrowok="t" fillok="f" o:connecttype="none"/>
                    <o:lock v:ext="edit" shapetype="t"/>
                  </v:shapetype>
                  <v:shape id="Straight Arrow Connector 17" o:spid="_x0000_s1041" type="#_x0000_t32" style="position:absolute;left:26640;top:8741;width:121;height:43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" strokecolor="black [3200]" strokeweight=".5pt">
                    <v:stroke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8" o:spid="_x0000_s1042" type="#_x0000_t34" style="position:absolute;left:15970;top:2455;width:4383;height:1695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" strokecolor="black [3200]" strokeweight=".5pt">
                    <v:stroke endarrow="block"/>
                  </v:shape>
                  <v:shape id="Connector: Elbow 19" o:spid="_x0000_s1043" type="#_x0000_t34" style="position:absolute;left:33114;top:2267;width:4278;height:1722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" adj="11067" strokecolor="black [3200]" strokeweight=".5pt">
                    <v:stroke endarrow="block"/>
                  </v:shape>
                  <v:shape id="Straight Arrow Connector 21" o:spid="_x0000_s1044" type="#_x0000_t32" style="position:absolute;left:26761;top:16457;width:8;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" strokecolor="black [3200]" strokeweight=".5pt">
                    <v:stroke endarrow="block" joinstyle="miter"/>
                  </v:shape>
                  <v:shape id="Straight Arrow Connector 22" o:spid="_x0000_s1045" type="#_x0000_t32" style="position:absolute;left:9618;top:16457;width:66;height:294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" strokecolor="black [3200]" strokeweight=".5pt">
                    <v:stroke endarrow="block" joinstyle="miter"/>
                  </v:shape>
                  <v:shape id="Straight Arrow Connector 23" o:spid="_x0000_s1046" type="#_x0000_t32" style="position:absolute;left:43865;top:16352;width:36;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" strokecolor="black [3200]" strokeweight=".5pt">
                    <v:stroke endarrow="block" joinstyle="miter"/>
                  </v:shape>
                  <v:shape id="Connector: Elbow 25" o:spid="_x0000_s1047" type="#_x0000_t34" style="position:absolute;left:14599;top:20620;width:7144;height:1710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" strokecolor="black [3200]" strokeweight=".5pt">
                    <v:stroke endarrow="block"/>
                  </v:shape>
                  <v:shape id="Connector: Elbow 26" o:spid="_x0000_s1048" type="#_x0000_t34" style="position:absolute;left:31740;top:20584;width:7144;height:1717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" strokecolor="black [3200]" strokeweight=".5pt">
                    <v:stroke endarrow="block"/>
                  </v:shape>
                  <v:shape id="Straight Arrow Connector 27" o:spid="_x0000_s1049" type="#_x0000_t32" style="position:absolute;left:26723;top:47223;width:35;height:47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" strokecolor="black [3200]" strokeweight=".5pt">
                    <v:stroke endarrow="block" joinstyle="miter"/>
                  </v:shape>
                  <v:shape id="Connector: Elbow 28" o:spid="_x0000_s1050" type="#_x0000_t34" style="position:absolute;left:26770;top:48652;width:16315;height:588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" adj="15970" strokecolor="black [3200]" strokeweight=".5pt">
                    <v:stroke endarrow="block"/>
                  </v:shape>
                  <v:shape id="Straight Arrow Connector 29" o:spid="_x0000_s1051" type="#_x0000_t32" style="position:absolute;left:49001;top:48166;width:7;height:356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" strokecolor="black [3200]" strokeweight=".5pt">
                    <v:stroke endarrow="block" joinstyle="miter"/>
                  </v:shape>
                  <v:shape id="Connector: Elbow 30" o:spid="_x0000_s1052" type="#_x0000_t34" style="position:absolute;left:36258;top:45356;width:7988;height:0;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" strokecolor="black [3200]" strokeweight=".5pt">
                    <v:stroke endarrow="block"/>
                  </v:shape>
                  <v:shape id="Straight Arrow Connector 31" o:spid="_x0000_s1053" type="#_x0000_t32" style="position:absolute;left:13448;top:39936;width:3893;height:4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" strokecolor="black [3200]" strokeweight=".5pt">
                    <v:stroke endarrow="block" joinstyle="miter"/>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Connector: Elbow 32" o:spid="_x0000_s1054" type="#_x0000_t35" style="position:absolute;left:3923;top:10803;width:5706;height:29133;rotation:18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" adj="-8653,21560" strokecolor="black [3200]" strokeweight=".5pt">
                    <v:stroke endarrow="block"/>
                  </v:shape>
                  <v:shape id="Connector: Elbow 5" o:spid="_x0000_s1055" type="#_x0000_t34" style="position:absolute;left:23226;top:29203;width:7039;height:4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" strokecolor="black [3200]" strokeweight=".5pt">
                    <v:stroke endarrow="block"/>
                  </v:shape>
                  <v:rect id="Rectangle 20" o:spid="_x0000_s1056" style="position:absolute;left:41534;top:35697;width:13996;height:5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" fillcolor="white [3201]" strokecolor="black [3200]" strokeweight="1.5pt">
                    <v:textbox>
                      <w:txbxContent>
                        <w:p w14:paraId="3F6CF4FA" w14:textId="780D6A15" w:rsidR="00ED2F13" w:rsidRDefault="00183A7C" w:rsidP="00183A7C">
                          <w:pPr>
                            <w:pStyle w:val="TableText0"/>
                            <w:jc w:val="center"/>
                          </w:pPr>
                          <w:r>
                            <w:t>FIX allergy/anaphylaxis identified</w:t>
                          </w:r>
                        </w:p>
                      </w:txbxContent>
                    </v:textbox>
                  </v:rect>
                  <v:shapetype id="_x0000_t33" coordsize="21600,21600" o:spt="33" o:oned="t" path="m,l21600,r,21600e" filled="f">
                    <v:stroke joinstyle="miter"/>
                    <v:path arrowok="t" fillok="f" o:connecttype="none"/>
                    <o:lock v:ext="edit" shapetype="t"/>
                  </v:shapetype>
                  <v:shape id="Connector: Elbow 33" o:spid="_x0000_s1057" type="#_x0000_t33" style="position:absolute;left:26871;top:29114;width:21661;height:658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" strokecolor="black [3200]" strokeweight=".5pt">
                    <v:stroke endarrow="block"/>
                  </v:shape>
                  <v:shape id="Connector: Elbow 34" o:spid="_x0000_s1058" type="#_x0000_t34" style="position:absolute;left:36105;top:38412;width:5429;height:0;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" strokecolor="black [3200]" strokeweight=".5pt">
                    <v:stroke endarrow="block"/>
                  </v:shape>
                  <v:rect id="Rectangle 35" o:spid="_x0000_s1059" style="position:absolute;left:15984;top:60082;width:21544;height:6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" fillcolor="white [3201]" strokecolor="black [3200]" strokeweight="1.5pt">
                    <v:textbox>
                      <w:txbxContent>
                        <w:p w14:paraId="73FF2474" w14:textId="4DC753F8" w:rsidR="00F8190D" w:rsidRPr="0035166B" w:rsidRDefault="00603BC5" w:rsidP="00603BC5">
                          <w:pPr>
                            <w:pStyle w:val="TableText0"/>
                            <w:jc w:val="center"/>
                            <w:rPr>
                              <w:b/>
                              <w:bCs/>
                            </w:rPr>
                          </w:pPr>
                          <w:r w:rsidRPr="0035166B">
                            <w:rPr>
                              <w:b/>
                              <w:bCs/>
                            </w:rPr>
                            <w:t xml:space="preserve">Treat with </w:t>
                          </w:r>
                          <w:r w:rsidR="004C4650" w:rsidRPr="0035166B">
                            <w:rPr>
                              <w:b/>
                              <w:bCs/>
                            </w:rPr>
                            <w:t>BPAs</w:t>
                          </w:r>
                        </w:p>
                        <w:p w14:paraId="03A6D16F" w14:textId="480EE951" w:rsidR="00603BC5" w:rsidRDefault="00603BC5" w:rsidP="00C8298A">
                          <w:pPr>
                            <w:pStyle w:val="TableText0"/>
                            <w:numPr>
                              <w:ilvl w:val="0"/>
                              <w:numId w:val="27"/>
                            </w:numPr>
                            <w:spacing w:before="0"/>
                          </w:pPr>
                          <w:r>
                            <w:t>On demand</w:t>
                          </w:r>
                          <w:r w:rsidR="0035166B">
                            <w:t xml:space="preserve"> (rFVIIa)</w:t>
                          </w:r>
                        </w:p>
                        <w:p w14:paraId="6EE8D972" w14:textId="4C86EF79" w:rsidR="00603BC5" w:rsidRDefault="00603BC5" w:rsidP="00C8298A">
                          <w:pPr>
                            <w:pStyle w:val="TableText0"/>
                            <w:numPr>
                              <w:ilvl w:val="0"/>
                              <w:numId w:val="27"/>
                            </w:numPr>
                            <w:spacing w:before="0"/>
                          </w:pPr>
                          <w:r>
                            <w:t>Short</w:t>
                          </w:r>
                          <w:r w:rsidR="00C451DC">
                            <w:t>-</w:t>
                          </w:r>
                          <w:r>
                            <w:t>term prophylaxis</w:t>
                          </w:r>
                          <w:r w:rsidR="0035166B">
                            <w:t xml:space="preserve"> (rFVIIa)</w:t>
                          </w:r>
                        </w:p>
                      </w:txbxContent>
                    </v:textbox>
                  </v:rect>
                  <v:shape id="Straight Arrow Connector 36" o:spid="_x0000_s1060" type="#_x0000_t32" style="position:absolute;left:26756;top:57596;width:2;height:24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" strokecolor="black [3200]" strokeweight=".5pt">
                    <v:stroke endarrow="block" joinstyle="miter"/>
                  </v:shape>
                  <v:rect id="Rectangle 37" o:spid="_x0000_s1061" style="position:absolute;left:8006;top:69607;width:37529;height:5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" fillcolor="white [3201]" strokecolor="black [3200]" strokeweight="1.5pt">
                    <v:textbox>
                      <w:txbxContent>
                        <w:p w14:paraId="3CDEFB4D" w14:textId="6F9DC9A0" w:rsidR="002F386A" w:rsidRDefault="002F386A" w:rsidP="00D0474C">
                          <w:pPr>
                            <w:pStyle w:val="TableText0"/>
                            <w:jc w:val="center"/>
                          </w:pPr>
                          <w:r w:rsidRPr="00D0474C">
                            <w:rPr>
                              <w:b/>
                              <w:bCs/>
                            </w:rPr>
                            <w:t>Health outcomes:</w:t>
                          </w:r>
                          <w:r>
                            <w:t xml:space="preserve"> number and severity of bleeds, </w:t>
                          </w:r>
                          <w:r w:rsidR="00151073">
                            <w:t>health</w:t>
                          </w:r>
                          <w:r w:rsidR="00634D51">
                            <w:t>-</w:t>
                          </w:r>
                          <w:r w:rsidR="00151073">
                            <w:t xml:space="preserve">related </w:t>
                          </w:r>
                          <w:r w:rsidR="0070189F">
                            <w:t xml:space="preserve">quality of life, </w:t>
                          </w:r>
                          <w:r w:rsidR="00151073">
                            <w:t xml:space="preserve">joint </w:t>
                          </w:r>
                          <w:r w:rsidR="004975EE">
                            <w:t>health outcomes.</w:t>
                          </w:r>
                        </w:p>
                      </w:txbxContent>
                    </v:textbox>
                  </v:rect>
                  <v:shape id="Straight Arrow Connector 38" o:spid="_x0000_s1062" type="#_x0000_t32" style="position:absolute;left:26756;top:66654;width:14;height:29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" strokecolor="black [3200]" strokeweight=".5pt">
                    <v:stroke endarrow="block" joinstyle="miter"/>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0" o:spid="_x0000_s1063" type="#_x0000_t5" style="position:absolute;left:23088;top:2598;width:6953;height:4819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" fillcolor="#ed7d31 [3205]" stroked="f">
                    <v:fill opacity="22873f"/>
                    <v:textbox style="layout-flow:vertical">
                      <w:txbxContent>
                        <w:p w14:paraId="73F0B3B2" w14:textId="3E0F222E" w:rsidR="008F1154" w:rsidRPr="00BF63BA" w:rsidRDefault="008F1154" w:rsidP="00F1690F">
                          <w:pPr>
                            <w:pStyle w:val="TableText0"/>
                            <w:rPr>
                              <w:rFonts w:cs="Arial"/>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F63BA">
                            <w:rPr>
                              <w:rStyle w:val="TableTextChar0"/>
                              <w:rFonts w:cs="Arial"/>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Risk of inhibitor</w:t>
                          </w:r>
                          <w:r w:rsidRPr="00BF63BA">
                            <w:rPr>
                              <w:rFonts w:cs="Arial"/>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development</w:t>
                          </w:r>
                        </w:p>
                      </w:txbxContent>
                    </v:textbox>
                  </v:shape>
                  <v:rect id="Rectangle 41" o:spid="_x0000_s1064" style="position:absolute;left:1505;top:52652;width:14288;height:4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" fillcolor="white [3201]" strokecolor="black [3200]" strokeweight="1.5pt">
                    <v:textbox>
                      <w:txbxContent>
                        <w:p w14:paraId="2ECF927B" w14:textId="71CD3D18" w:rsidR="00876F49" w:rsidRDefault="00EB120D" w:rsidP="00876F49">
                          <w:pPr>
                            <w:pStyle w:val="TableText0"/>
                            <w:jc w:val="center"/>
                          </w:pPr>
                          <w:r>
                            <w:t>IT</w:t>
                          </w:r>
                          <w:r w:rsidR="00BE558F">
                            <w:t>I</w:t>
                          </w:r>
                          <w:r>
                            <w:t xml:space="preserve"> using FIX</w:t>
                          </w:r>
                          <w:r w:rsidR="00DA0336">
                            <w:t xml:space="preserve"> </w:t>
                          </w:r>
                          <w:r w:rsidR="006969F6">
                            <w:br/>
                          </w:r>
                          <w:r w:rsidR="00DA0336">
                            <w:t xml:space="preserve">(where no </w:t>
                          </w:r>
                          <w:r w:rsidR="005252A2">
                            <w:t>anaphylaxis)</w:t>
                          </w:r>
                        </w:p>
                      </w:txbxContent>
                    </v:textbox>
                  </v:rect>
                  <v:shape id="Straight Arrow Connector 42" o:spid="_x0000_s1065" type="#_x0000_t32" style="position:absolute;left:15793;top:54786;width:2577;height: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" strokecolor="black [3200]" strokeweight=".5pt">
                    <v:stroke endarrow="block" joinstyle="miter"/>
                  </v:shape>
                  <v:shape id="Straight Arrow Connector 43" o:spid="_x0000_s1066" type="#_x0000_t32" style="position:absolute;left:8649;top:42746;width:36;height:990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" strokecolor="black [3200]" strokeweight=".5pt">
                    <v:stroke endarrow="block" joinstyle="miter"/>
                  </v:shape>
                  <v:shape id="Connector: Elbow 44" o:spid="_x0000_s1067" type="#_x0000_t33" style="position:absolute;left:9150;top:56533;width:6334;height:733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" strokecolor="black [3200]" strokeweight=".5pt">
                    <v:stroke endarrow="block"/>
                  </v:shape>
                  <v:shapetype id="_x0000_t202" coordsize="21600,21600" o:spt="202" path="m,l,21600r21600,l21600,xe">
                    <v:stroke joinstyle="miter"/>
                    <v:path gradientshapeok="t" o:connecttype="rect"/>
                  </v:shapetype>
                  <v:shape id="Text Box 45" o:spid="_x0000_s1068" type="#_x0000_t202" style="position:absolute;left:3506;top:45890;width:10287;height:4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14:paraId="62FF10CD" w14:textId="134CE2B5" w:rsidR="001E561B" w:rsidRPr="001E561B" w:rsidRDefault="001E561B" w:rsidP="001E561B">
                          <w:pPr>
                            <w:pStyle w:val="TableText0"/>
                            <w:jc w:val="center"/>
                            <w:rPr>
                              <w:i/>
                              <w:iCs/>
                            </w:rPr>
                          </w:pPr>
                          <w:r>
                            <w:rPr>
                              <w:i/>
                              <w:iCs/>
                            </w:rPr>
                            <w:t>S</w:t>
                          </w:r>
                          <w:r w:rsidRPr="001E561B">
                            <w:rPr>
                              <w:i/>
                              <w:iCs/>
                            </w:rPr>
                            <w:t>uccessful IT</w:t>
                          </w:r>
                          <w:r w:rsidR="0051642B">
                            <w:rPr>
                              <w:i/>
                              <w:iCs/>
                            </w:rPr>
                            <w:t>I</w:t>
                          </w:r>
                        </w:p>
                      </w:txbxContent>
                    </v:textbox>
                  </v:shape>
                  <v:shape id="Text Box 45" o:spid="_x0000_s1069" type="#_x0000_t202" style="position:absolute;left:3686;top:58929;width:10287;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14:paraId="08419824" w14:textId="07A1FCAB" w:rsidR="001E561B" w:rsidRDefault="001E561B" w:rsidP="001E561B">
                          <w:pPr>
                            <w:spacing w:before="40" w:after="40"/>
                            <w:jc w:val="center"/>
                            <w:rPr>
                              <w:rFonts w:ascii="Arial Narrow" w:hAnsi="Arial Narrow" w:cs="Arial"/>
                              <w:i/>
                              <w:iCs/>
                              <w:sz w:val="20"/>
                              <w:szCs w:val="20"/>
                            </w:rPr>
                          </w:pPr>
                          <w:r>
                            <w:rPr>
                              <w:rFonts w:ascii="Arial Narrow" w:hAnsi="Arial Narrow" w:cs="Arial"/>
                              <w:i/>
                              <w:iCs/>
                              <w:sz w:val="20"/>
                              <w:szCs w:val="20"/>
                            </w:rPr>
                            <w:t>Unsuccessful IT</w:t>
                          </w:r>
                          <w:r w:rsidR="0051642B">
                            <w:rPr>
                              <w:rFonts w:ascii="Arial Narrow" w:hAnsi="Arial Narrow" w:cs="Arial"/>
                              <w:i/>
                              <w:iCs/>
                              <w:sz w:val="20"/>
                              <w:szCs w:val="20"/>
                            </w:rPr>
                            <w:t>I</w:t>
                          </w:r>
                        </w:p>
                      </w:txbxContent>
                    </v:textbox>
                  </v:shape>
                  <v:shape id="Connector: Elbow 100" o:spid="_x0000_s1070" type="#_x0000_t33" style="position:absolute;left:40255;top:54621;width:6020;height:1147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" strokecolor="black [3200]" strokeweight=".5pt">
                    <v:stroke endarrow="block"/>
                  </v:shape>
                </v:group>
                <w10:anchorlock/>
              </v:group>
            </w:pict>
          </mc:Fallback>
        </mc:AlternateContent>
      </w:r>
    </w:p>
    <w:p w14:paraId="1EBAE2E0" w14:textId="453E5841" w:rsidR="00D16954" w:rsidRDefault="00914758" w:rsidP="00D16954">
      <w:pPr>
        <w:pStyle w:val="Tablenotes"/>
        <w:spacing w:after="0"/>
      </w:pPr>
      <w:r>
        <w:t xml:space="preserve">Source: prepared by assessment group based on </w:t>
      </w:r>
      <w:r w:rsidR="004E0D2F">
        <w:t xml:space="preserve">MSAC </w:t>
      </w:r>
      <w:r>
        <w:t>Application 180</w:t>
      </w:r>
      <w:r w:rsidR="00007EEB">
        <w:t xml:space="preserve">5, </w:t>
      </w:r>
      <w:r w:rsidR="007E6B83">
        <w:t xml:space="preserve">ratified PICO </w:t>
      </w:r>
      <w:r w:rsidR="00024BE8">
        <w:t>Confirmation</w:t>
      </w:r>
      <w:r w:rsidR="00D26326">
        <w:t xml:space="preserve"> </w:t>
      </w:r>
      <w:r w:rsidR="007E6B83">
        <w:t>1510, and data from the ABDR</w:t>
      </w:r>
      <w:r w:rsidR="00D16954">
        <w:t xml:space="preserve"> annual reports.</w:t>
      </w:r>
      <w:r w:rsidR="00007EEB">
        <w:t xml:space="preserve"> </w:t>
      </w:r>
    </w:p>
    <w:p w14:paraId="4E1B6252" w14:textId="32B19541" w:rsidR="00AB4867" w:rsidRPr="00BB67CE" w:rsidRDefault="00343D83" w:rsidP="004D66E1">
      <w:pPr>
        <w:pStyle w:val="Tablenotes"/>
      </w:pPr>
      <w:r>
        <w:t xml:space="preserve">aPCC = </w:t>
      </w:r>
      <w:r w:rsidRPr="002D2250">
        <w:t>activated prothrombin complex concentrate</w:t>
      </w:r>
      <w:r>
        <w:t xml:space="preserve">, </w:t>
      </w:r>
      <w:r w:rsidR="000C4B21">
        <w:t>BPA = bypass</w:t>
      </w:r>
      <w:r w:rsidR="00315178">
        <w:t>ing</w:t>
      </w:r>
      <w:r w:rsidR="000C4B21">
        <w:t xml:space="preserve"> agent, cHMB = congenital </w:t>
      </w:r>
      <w:r w:rsidR="00F820D2">
        <w:t>H</w:t>
      </w:r>
      <w:r w:rsidR="000C4B21">
        <w:t xml:space="preserve">aemophilia B, </w:t>
      </w:r>
      <w:r w:rsidR="00902460">
        <w:t xml:space="preserve">FIX = </w:t>
      </w:r>
      <w:r w:rsidR="005C0AAE">
        <w:t>F</w:t>
      </w:r>
      <w:r w:rsidR="00902460">
        <w:t>actor IX,</w:t>
      </w:r>
      <w:r w:rsidR="00AB4867">
        <w:t xml:space="preserve"> </w:t>
      </w:r>
      <w:r w:rsidR="00905BA9">
        <w:t xml:space="preserve">HTC = haemophilia treatment centre, </w:t>
      </w:r>
      <w:r w:rsidR="00AB4867">
        <w:t>IT</w:t>
      </w:r>
      <w:r w:rsidR="00BE558F">
        <w:t>I</w:t>
      </w:r>
      <w:r w:rsidR="00AB4867">
        <w:t xml:space="preserve"> = immune tolera</w:t>
      </w:r>
      <w:r w:rsidR="00902460">
        <w:t xml:space="preserve">nce induction, </w:t>
      </w:r>
      <w:r w:rsidR="00905BA9">
        <w:t xml:space="preserve">rFVIIa = recombinant </w:t>
      </w:r>
      <w:r w:rsidR="005C0AAE">
        <w:t>F</w:t>
      </w:r>
      <w:r w:rsidR="00905BA9">
        <w:t xml:space="preserve">actor </w:t>
      </w:r>
      <w:r w:rsidR="005C0AAE">
        <w:t>V</w:t>
      </w:r>
      <w:r w:rsidR="00905BA9">
        <w:t>IIa</w:t>
      </w:r>
      <w:r w:rsidR="000C4B21">
        <w:t>.</w:t>
      </w:r>
    </w:p>
    <w:p w14:paraId="013CFEFC" w14:textId="5AD7FA0F" w:rsidR="00876898" w:rsidRDefault="00876898" w:rsidP="00876898">
      <w:pPr>
        <w:pStyle w:val="Caption"/>
      </w:pPr>
      <w:bookmarkStart w:id="11" w:name="_Ref203374776"/>
      <w:r>
        <w:lastRenderedPageBreak/>
        <w:t xml:space="preserve">Figure </w:t>
      </w:r>
      <w:r>
        <w:fldChar w:fldCharType="begin"/>
      </w:r>
      <w:r>
        <w:instrText xml:space="preserve"> SEQ Figure \* ARABIC </w:instrText>
      </w:r>
      <w:r>
        <w:fldChar w:fldCharType="separate"/>
      </w:r>
      <w:r w:rsidR="00775C29">
        <w:rPr>
          <w:noProof/>
        </w:rPr>
        <w:t>3</w:t>
      </w:r>
      <w:r>
        <w:fldChar w:fldCharType="end"/>
      </w:r>
      <w:bookmarkEnd w:id="11"/>
      <w:r w:rsidR="00067BAF">
        <w:tab/>
        <w:t xml:space="preserve">Proposed clinical management pathway for patients with </w:t>
      </w:r>
      <w:r w:rsidR="00C411FF">
        <w:t xml:space="preserve">congenital </w:t>
      </w:r>
      <w:r w:rsidR="00F82C6D">
        <w:t>H</w:t>
      </w:r>
      <w:r w:rsidR="00C411FF">
        <w:t>aemophilia B and inhibitors</w:t>
      </w:r>
    </w:p>
    <w:p w14:paraId="56BB8D7C" w14:textId="4874D5E4" w:rsidR="000520B1" w:rsidRDefault="00890181" w:rsidP="009F500E">
      <w:pPr>
        <w:pStyle w:val="Tablenotes"/>
        <w:spacing w:after="0"/>
      </w:pPr>
      <w:r w:rsidRPr="00876F49">
        <w:rPr>
          <w:noProof/>
        </w:rPr>
        <mc:AlternateContent>
          <mc:Choice Requires="wpc">
            <w:drawing>
              <wp:inline distT="0" distB="0" distL="0" distR="0" wp14:anchorId="69819DCE" wp14:editId="179D324B">
                <wp:extent cx="5924550" cy="8243265"/>
                <wp:effectExtent l="0" t="0" r="0" b="5715"/>
                <wp:docPr id="88" name="Canvas 88" descr="Clinical management algorithm with the addition of concizumab which enables long-term prophylaxis in patients with cHMB and inhibitors."/>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24" name="Group 24"/>
                        <wpg:cNvGrpSpPr/>
                        <wpg:grpSpPr>
                          <a:xfrm>
                            <a:off x="150595" y="35999"/>
                            <a:ext cx="5612030" cy="8086778"/>
                            <a:chOff x="150595" y="35999"/>
                            <a:chExt cx="5612030" cy="8086778"/>
                          </a:xfrm>
                        </wpg:grpSpPr>
                        <wps:wsp>
                          <wps:cNvPr id="47" name="Rectangle 47"/>
                          <wps:cNvSpPr/>
                          <wps:spPr>
                            <a:xfrm>
                              <a:off x="1763585" y="35999"/>
                              <a:ext cx="1800888" cy="83820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241EADF6" w14:textId="0E474C2D" w:rsidR="00890181" w:rsidRDefault="00890181" w:rsidP="00CB4C0E">
                                <w:pPr>
                                  <w:pStyle w:val="TableText0"/>
                                  <w:spacing w:line="276" w:lineRule="auto"/>
                                  <w:jc w:val="center"/>
                                </w:pPr>
                                <w:r>
                                  <w:t xml:space="preserve">Diagnosis of cHMB </w:t>
                                </w:r>
                                <w:r w:rsidR="00DC6319">
                                  <w:br/>
                                </w:r>
                                <w:r>
                                  <w:t xml:space="preserve">(mild, moderate, severe) </w:t>
                                </w:r>
                                <w:r w:rsidR="00DC6319">
                                  <w:br/>
                                </w:r>
                                <w:r>
                                  <w:t>and referral to HTC for management of treatment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Rectangle 48"/>
                          <wps:cNvSpPr/>
                          <wps:spPr>
                            <a:xfrm>
                              <a:off x="338897" y="1312403"/>
                              <a:ext cx="1260000" cy="33337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7000AB3D" w14:textId="77777777" w:rsidR="00890181" w:rsidRPr="00215C86" w:rsidRDefault="00890181" w:rsidP="00890181">
                                <w:pPr>
                                  <w:pStyle w:val="TableText0"/>
                                  <w:jc w:val="center"/>
                                  <w:rPr>
                                    <w:b/>
                                    <w:color w:val="2E74B5" w:themeColor="accent1" w:themeShade="BF"/>
                                  </w:rPr>
                                </w:pPr>
                                <w:r w:rsidRPr="00215C86">
                                  <w:rPr>
                                    <w:b/>
                                    <w:color w:val="2E74B5" w:themeColor="accent1" w:themeShade="BF"/>
                                  </w:rPr>
                                  <w:t>Mild cHMB (58%)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Rectangle 49"/>
                          <wps:cNvSpPr/>
                          <wps:spPr>
                            <a:xfrm>
                              <a:off x="2016379" y="1312403"/>
                              <a:ext cx="1296000" cy="33337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3A918E97" w14:textId="77777777" w:rsidR="00890181" w:rsidRPr="00215C86" w:rsidRDefault="00890181" w:rsidP="00890181">
                                <w:pPr>
                                  <w:pStyle w:val="TableText0"/>
                                  <w:jc w:val="center"/>
                                  <w:rPr>
                                    <w:b/>
                                    <w:color w:val="538135" w:themeColor="accent6" w:themeShade="BF"/>
                                  </w:rPr>
                                </w:pPr>
                                <w:r w:rsidRPr="00215C86">
                                  <w:rPr>
                                    <w:b/>
                                    <w:color w:val="538135" w:themeColor="accent6" w:themeShade="BF"/>
                                  </w:rPr>
                                  <w:t>Moderate cHMB (25%)</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0" name="Rectangle 50"/>
                          <wps:cNvSpPr/>
                          <wps:spPr>
                            <a:xfrm>
                              <a:off x="3752824" y="1301903"/>
                              <a:ext cx="1267460" cy="33337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1FAFA98E" w14:textId="77777777" w:rsidR="00890181" w:rsidRPr="00CB4C0E" w:rsidRDefault="00890181" w:rsidP="00890181">
                                <w:pPr>
                                  <w:pStyle w:val="TableText0"/>
                                  <w:jc w:val="center"/>
                                  <w:rPr>
                                    <w:b/>
                                    <w:bCs/>
                                    <w:color w:val="C00000"/>
                                  </w:rPr>
                                </w:pPr>
                                <w:r w:rsidRPr="00CB4C0E">
                                  <w:rPr>
                                    <w:b/>
                                    <w:bCs/>
                                    <w:color w:val="C00000"/>
                                  </w:rPr>
                                  <w:t>Severe cHMB (17%)</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1" name="Rectangle 51"/>
                          <wps:cNvSpPr/>
                          <wps:spPr>
                            <a:xfrm>
                              <a:off x="1981658" y="1950579"/>
                              <a:ext cx="1390650" cy="62010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29711674" w14:textId="77777777" w:rsidR="00890181" w:rsidRDefault="00890181" w:rsidP="00890181">
                                <w:pPr>
                                  <w:pStyle w:val="TableText0"/>
                                  <w:spacing w:before="0"/>
                                  <w:jc w:val="center"/>
                                </w:pPr>
                                <w:r>
                                  <w:t>Treat with FIX (54%)</w:t>
                                </w:r>
                              </w:p>
                              <w:p w14:paraId="7277188F" w14:textId="77777777" w:rsidR="00890181" w:rsidRDefault="00890181" w:rsidP="00890181">
                                <w:pPr>
                                  <w:pStyle w:val="TableText0"/>
                                  <w:numPr>
                                    <w:ilvl w:val="0"/>
                                    <w:numId w:val="23"/>
                                  </w:numPr>
                                  <w:spacing w:before="0" w:after="0"/>
                                </w:pPr>
                                <w:r>
                                  <w:t>On demand</w:t>
                                </w:r>
                              </w:p>
                              <w:p w14:paraId="5DF61D89" w14:textId="77777777" w:rsidR="00890181" w:rsidRDefault="00890181" w:rsidP="00890181">
                                <w:pPr>
                                  <w:pStyle w:val="TableText0"/>
                                  <w:numPr>
                                    <w:ilvl w:val="0"/>
                                    <w:numId w:val="23"/>
                                  </w:numPr>
                                  <w:spacing w:before="0" w:after="0"/>
                                </w:pPr>
                                <w:r>
                                  <w:t>Prophylaxis (29%)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Rectangle 52"/>
                          <wps:cNvSpPr/>
                          <wps:spPr>
                            <a:xfrm>
                              <a:off x="3694837" y="1940079"/>
                              <a:ext cx="1390650" cy="62010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06BABB13" w14:textId="77777777" w:rsidR="00890181" w:rsidRDefault="00890181" w:rsidP="00890181">
                                <w:pPr>
                                  <w:spacing w:after="40" w:line="240" w:lineRule="auto"/>
                                  <w:jc w:val="center"/>
                                  <w:rPr>
                                    <w:rFonts w:ascii="Arial Narrow" w:hAnsi="Arial Narrow" w:cs="Arial"/>
                                    <w:sz w:val="20"/>
                                    <w:szCs w:val="20"/>
                                  </w:rPr>
                                </w:pPr>
                                <w:r>
                                  <w:rPr>
                                    <w:rFonts w:ascii="Arial Narrow" w:hAnsi="Arial Narrow" w:cs="Arial"/>
                                    <w:sz w:val="20"/>
                                    <w:szCs w:val="20"/>
                                  </w:rPr>
                                  <w:t>Treat with FIX (92%)</w:t>
                                </w:r>
                              </w:p>
                              <w:p w14:paraId="44A76B0B" w14:textId="77777777" w:rsidR="00890181" w:rsidRPr="009853A9" w:rsidRDefault="00890181" w:rsidP="00890181">
                                <w:pPr>
                                  <w:pStyle w:val="ListParagraph"/>
                                  <w:numPr>
                                    <w:ilvl w:val="0"/>
                                    <w:numId w:val="25"/>
                                  </w:numPr>
                                  <w:spacing w:after="40" w:line="240" w:lineRule="auto"/>
                                  <w:rPr>
                                    <w:rFonts w:ascii="Arial Narrow" w:hAnsi="Arial Narrow" w:cs="Arial"/>
                                    <w:sz w:val="20"/>
                                    <w:szCs w:val="20"/>
                                  </w:rPr>
                                </w:pPr>
                                <w:r w:rsidRPr="009853A9">
                                  <w:rPr>
                                    <w:rFonts w:ascii="Arial Narrow" w:hAnsi="Arial Narrow" w:cs="Arial"/>
                                    <w:sz w:val="20"/>
                                    <w:szCs w:val="20"/>
                                  </w:rPr>
                                  <w:t>On demand</w:t>
                                </w:r>
                              </w:p>
                              <w:p w14:paraId="65C2661A" w14:textId="77777777" w:rsidR="00890181" w:rsidRPr="009853A9" w:rsidRDefault="00890181" w:rsidP="00890181">
                                <w:pPr>
                                  <w:pStyle w:val="ListParagraph"/>
                                  <w:numPr>
                                    <w:ilvl w:val="0"/>
                                    <w:numId w:val="25"/>
                                  </w:numPr>
                                  <w:spacing w:after="40" w:line="240" w:lineRule="auto"/>
                                  <w:rPr>
                                    <w:rFonts w:ascii="Arial Narrow" w:hAnsi="Arial Narrow" w:cs="Arial"/>
                                    <w:sz w:val="20"/>
                                    <w:szCs w:val="20"/>
                                  </w:rPr>
                                </w:pPr>
                                <w:r w:rsidRPr="009853A9">
                                  <w:rPr>
                                    <w:rFonts w:ascii="Arial Narrow" w:hAnsi="Arial Narrow" w:cs="Arial"/>
                                    <w:sz w:val="20"/>
                                    <w:szCs w:val="20"/>
                                  </w:rPr>
                                  <w:t>Prophylax</w:t>
                                </w:r>
                                <w:r>
                                  <w:rPr>
                                    <w:rFonts w:ascii="Arial Narrow" w:hAnsi="Arial Narrow" w:cs="Arial"/>
                                    <w:sz w:val="20"/>
                                    <w:szCs w:val="20"/>
                                  </w:rPr>
                                  <w:t>i</w:t>
                                </w:r>
                                <w:r w:rsidRPr="009853A9">
                                  <w:rPr>
                                    <w:rFonts w:ascii="Arial Narrow" w:hAnsi="Arial Narrow" w:cs="Arial"/>
                                    <w:sz w:val="20"/>
                                    <w:szCs w:val="20"/>
                                  </w:rPr>
                                  <w:t>s</w:t>
                                </w:r>
                                <w:r>
                                  <w:rPr>
                                    <w:rFonts w:ascii="Arial Narrow" w:hAnsi="Arial Narrow" w:cs="Arial"/>
                                    <w:sz w:val="20"/>
                                    <w:szCs w:val="20"/>
                                  </w:rPr>
                                  <w:t xml:space="preserve"> (75%)</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3" name="Rectangle 53"/>
                          <wps:cNvSpPr/>
                          <wps:spPr>
                            <a:xfrm>
                              <a:off x="266531" y="1940079"/>
                              <a:ext cx="1390650" cy="62010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1F5CA99A" w14:textId="3B25B203" w:rsidR="00890181" w:rsidRDefault="00890181" w:rsidP="00C411FF">
                                <w:pPr>
                                  <w:spacing w:before="40" w:after="40"/>
                                  <w:jc w:val="center"/>
                                  <w:rPr>
                                    <w:rFonts w:ascii="Arial Narrow" w:hAnsi="Arial Narrow" w:cs="Arial"/>
                                    <w:sz w:val="20"/>
                                    <w:szCs w:val="20"/>
                                  </w:rPr>
                                </w:pPr>
                                <w:r>
                                  <w:rPr>
                                    <w:rFonts w:ascii="Arial Narrow" w:hAnsi="Arial Narrow" w:cs="Arial"/>
                                    <w:sz w:val="20"/>
                                    <w:szCs w:val="20"/>
                                  </w:rPr>
                                  <w:t>Treat with FIX on demand (20%)</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4" name="Rectangle 54"/>
                          <wps:cNvSpPr/>
                          <wps:spPr>
                            <a:xfrm>
                              <a:off x="1734126" y="3274553"/>
                              <a:ext cx="1876424" cy="1447801"/>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66B5F6B2" w14:textId="77777777" w:rsidR="00890181" w:rsidRPr="00365692" w:rsidRDefault="00890181" w:rsidP="00890181">
                                <w:pPr>
                                  <w:pStyle w:val="TableText0"/>
                                  <w:jc w:val="center"/>
                                  <w:rPr>
                                    <w:b/>
                                    <w:bCs/>
                                  </w:rPr>
                                </w:pPr>
                                <w:r w:rsidRPr="00365692">
                                  <w:rPr>
                                    <w:b/>
                                    <w:bCs/>
                                  </w:rPr>
                                  <w:t>Screen for inhibitors:</w:t>
                                </w:r>
                              </w:p>
                              <w:p w14:paraId="6DC6046C" w14:textId="77777777" w:rsidR="00890181" w:rsidRDefault="00890181" w:rsidP="00890181">
                                <w:pPr>
                                  <w:pStyle w:val="TableText0"/>
                                  <w:numPr>
                                    <w:ilvl w:val="0"/>
                                    <w:numId w:val="24"/>
                                  </w:numPr>
                                </w:pPr>
                                <w:r>
                                  <w:t>Screen paediatric patients in first 150 days of exposure</w:t>
                                </w:r>
                              </w:p>
                              <w:p w14:paraId="60A48371" w14:textId="77777777" w:rsidR="00890181" w:rsidRDefault="00890181" w:rsidP="00890181">
                                <w:pPr>
                                  <w:pStyle w:val="TableText0"/>
                                  <w:numPr>
                                    <w:ilvl w:val="0"/>
                                    <w:numId w:val="24"/>
                                  </w:numPr>
                                </w:pPr>
                                <w:r>
                                  <w:t>Routine 6–12-month testing</w:t>
                                </w:r>
                              </w:p>
                              <w:p w14:paraId="22536895" w14:textId="77777777" w:rsidR="00890181" w:rsidRDefault="00890181" w:rsidP="00890181">
                                <w:pPr>
                                  <w:pStyle w:val="TableText0"/>
                                  <w:numPr>
                                    <w:ilvl w:val="0"/>
                                    <w:numId w:val="24"/>
                                  </w:numPr>
                                </w:pPr>
                                <w:r>
                                  <w:t>Screen after intensive treatment</w:t>
                                </w:r>
                              </w:p>
                              <w:p w14:paraId="74DFF07F" w14:textId="77777777" w:rsidR="00890181" w:rsidRDefault="00890181" w:rsidP="00890181">
                                <w:pPr>
                                  <w:pStyle w:val="TableText0"/>
                                  <w:numPr>
                                    <w:ilvl w:val="0"/>
                                    <w:numId w:val="24"/>
                                  </w:numPr>
                                </w:pPr>
                                <w:r>
                                  <w:t>Failure to respond to FIX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Rectangle 55"/>
                          <wps:cNvSpPr/>
                          <wps:spPr>
                            <a:xfrm>
                              <a:off x="392344" y="3712703"/>
                              <a:ext cx="952500" cy="56197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5C3892A6" w14:textId="77777777" w:rsidR="00890181" w:rsidRDefault="00890181" w:rsidP="00890181">
                                <w:pPr>
                                  <w:pStyle w:val="TableText0"/>
                                  <w:jc w:val="center"/>
                                </w:pPr>
                                <w:r>
                                  <w:t>No inhibitors present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Rectangle 56"/>
                          <wps:cNvSpPr/>
                          <wps:spPr>
                            <a:xfrm>
                              <a:off x="4308578" y="5172842"/>
                              <a:ext cx="1183110" cy="561975"/>
                            </a:xfrm>
                            <a:prstGeom prst="rect">
                              <a:avLst/>
                            </a:prstGeom>
                            <a:solidFill>
                              <a:schemeClr val="accent2">
                                <a:lumMod val="20000"/>
                                <a:lumOff val="80000"/>
                              </a:schemeClr>
                            </a:solidFill>
                            <a:ln w="19050"/>
                          </wps:spPr>
                          <wps:style>
                            <a:lnRef idx="2">
                              <a:schemeClr val="dk1"/>
                            </a:lnRef>
                            <a:fillRef idx="1">
                              <a:schemeClr val="lt1"/>
                            </a:fillRef>
                            <a:effectRef idx="0">
                              <a:schemeClr val="dk1"/>
                            </a:effectRef>
                            <a:fontRef idx="minor">
                              <a:schemeClr val="dk1"/>
                            </a:fontRef>
                          </wps:style>
                          <wps:txbx>
                            <w:txbxContent>
                              <w:p w14:paraId="2C8BE61F" w14:textId="77777777" w:rsidR="00890181" w:rsidRDefault="00890181" w:rsidP="000D0549">
                                <w:pPr>
                                  <w:spacing w:before="40" w:after="40" w:line="240" w:lineRule="auto"/>
                                  <w:jc w:val="center"/>
                                  <w:rPr>
                                    <w:rFonts w:ascii="Arial Narrow" w:hAnsi="Arial Narrow" w:cs="Arial"/>
                                    <w:sz w:val="20"/>
                                    <w:szCs w:val="20"/>
                                  </w:rPr>
                                </w:pPr>
                                <w:r>
                                  <w:rPr>
                                    <w:rFonts w:ascii="Arial Narrow" w:hAnsi="Arial Narrow" w:cs="Arial"/>
                                    <w:sz w:val="20"/>
                                    <w:szCs w:val="20"/>
                                  </w:rPr>
                                  <w:t>Low-titre</w:t>
                                </w:r>
                                <w:r w:rsidRPr="00F05935">
                                  <w:rPr>
                                    <w:rFonts w:ascii="Arial Narrow" w:hAnsi="Arial Narrow" w:cs="Arial"/>
                                    <w:sz w:val="20"/>
                                    <w:szCs w:val="20"/>
                                  </w:rPr>
                                  <w:t xml:space="preserve"> </w:t>
                                </w:r>
                                <w:r>
                                  <w:rPr>
                                    <w:rFonts w:ascii="Arial Narrow" w:hAnsi="Arial Narrow" w:cs="Arial"/>
                                    <w:sz w:val="20"/>
                                    <w:szCs w:val="20"/>
                                  </w:rPr>
                                  <w:t xml:space="preserve">inhibitors and no anaphylaxis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 name="Rectangle 57"/>
                          <wps:cNvSpPr/>
                          <wps:spPr>
                            <a:xfrm>
                              <a:off x="1837083" y="5197628"/>
                              <a:ext cx="1677620" cy="561975"/>
                            </a:xfrm>
                            <a:prstGeom prst="rect">
                              <a:avLst/>
                            </a:prstGeom>
                            <a:solidFill>
                              <a:srgbClr val="F8CBAD"/>
                            </a:solidFill>
                            <a:ln w="19050"/>
                          </wps:spPr>
                          <wps:style>
                            <a:lnRef idx="2">
                              <a:schemeClr val="dk1"/>
                            </a:lnRef>
                            <a:fillRef idx="1">
                              <a:schemeClr val="lt1"/>
                            </a:fillRef>
                            <a:effectRef idx="0">
                              <a:schemeClr val="dk1"/>
                            </a:effectRef>
                            <a:fontRef idx="minor">
                              <a:schemeClr val="dk1"/>
                            </a:fontRef>
                          </wps:style>
                          <wps:txbx>
                            <w:txbxContent>
                              <w:p w14:paraId="6519A50F" w14:textId="77777777" w:rsidR="00890181" w:rsidRDefault="00890181" w:rsidP="00890181">
                                <w:pPr>
                                  <w:spacing w:before="40" w:after="40"/>
                                  <w:jc w:val="center"/>
                                  <w:rPr>
                                    <w:rFonts w:ascii="Arial Narrow" w:hAnsi="Arial Narrow" w:cs="Arial"/>
                                    <w:sz w:val="20"/>
                                    <w:szCs w:val="20"/>
                                  </w:rPr>
                                </w:pPr>
                                <w:r>
                                  <w:rPr>
                                    <w:rFonts w:ascii="Arial Narrow" w:hAnsi="Arial Narrow" w:cs="Arial"/>
                                    <w:sz w:val="20"/>
                                    <w:szCs w:val="20"/>
                                  </w:rPr>
                                  <w:t>High-titre inhibitors or low-titre inhibitors and anaphylaxis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8" name="Rectangle 58"/>
                          <wps:cNvSpPr/>
                          <wps:spPr>
                            <a:xfrm>
                              <a:off x="4424649" y="4254653"/>
                              <a:ext cx="952500" cy="56197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19756C7D" w14:textId="77777777" w:rsidR="00890181" w:rsidRDefault="00890181" w:rsidP="000D0549">
                                <w:pPr>
                                  <w:spacing w:before="40" w:after="40" w:line="240" w:lineRule="auto"/>
                                  <w:jc w:val="center"/>
                                  <w:rPr>
                                    <w:rFonts w:ascii="Arial Narrow" w:hAnsi="Arial Narrow" w:cs="Arial"/>
                                    <w:sz w:val="20"/>
                                    <w:szCs w:val="20"/>
                                  </w:rPr>
                                </w:pPr>
                                <w:r>
                                  <w:rPr>
                                    <w:rFonts w:ascii="Arial Narrow" w:hAnsi="Arial Narrow" w:cs="Arial"/>
                                    <w:sz w:val="20"/>
                                    <w:szCs w:val="20"/>
                                  </w:rPr>
                                  <w:t>Increase FIX dose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9" name="Straight Arrow Connector 59"/>
                          <wps:cNvCnPr/>
                          <wps:spPr>
                            <a:xfrm>
                              <a:off x="2664029" y="874199"/>
                              <a:ext cx="8195" cy="43820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0" name="Connector: Elbow 60"/>
                          <wps:cNvCnPr/>
                          <wps:spPr>
                            <a:xfrm rot="5400000">
                              <a:off x="1594400" y="242774"/>
                              <a:ext cx="438204" cy="1701054"/>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61" name="Connector: Elbow 61"/>
                          <wps:cNvCnPr/>
                          <wps:spPr>
                            <a:xfrm rot="16200000" flipH="1">
                              <a:off x="3311439" y="226789"/>
                              <a:ext cx="427704" cy="1722524"/>
                            </a:xfrm>
                            <a:prstGeom prst="bentConnector3">
                              <a:avLst>
                                <a:gd name="adj1" fmla="val 51235"/>
                              </a:avLst>
                            </a:prstGeom>
                            <a:ln>
                              <a:tailEnd type="triangle"/>
                            </a:ln>
                          </wps:spPr>
                          <wps:style>
                            <a:lnRef idx="1">
                              <a:schemeClr val="dk1"/>
                            </a:lnRef>
                            <a:fillRef idx="0">
                              <a:schemeClr val="dk1"/>
                            </a:fillRef>
                            <a:effectRef idx="0">
                              <a:schemeClr val="dk1"/>
                            </a:effectRef>
                            <a:fontRef idx="minor">
                              <a:schemeClr val="tx1"/>
                            </a:fontRef>
                          </wps:style>
                          <wps:bodyPr/>
                        </wps:wsp>
                        <wps:wsp>
                          <wps:cNvPr id="62" name="Straight Arrow Connector 62"/>
                          <wps:cNvCnPr/>
                          <wps:spPr>
                            <a:xfrm>
                              <a:off x="2672224" y="1645778"/>
                              <a:ext cx="4759" cy="30480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3" name="Straight Arrow Connector 63"/>
                          <wps:cNvCnPr/>
                          <wps:spPr>
                            <a:xfrm flipH="1">
                              <a:off x="961856" y="1645778"/>
                              <a:ext cx="1119" cy="29430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4" name="Straight Arrow Connector 64"/>
                          <wps:cNvCnPr/>
                          <wps:spPr>
                            <a:xfrm>
                              <a:off x="4386554" y="1635278"/>
                              <a:ext cx="3608" cy="30480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5" name="Connector: Elbow 65"/>
                          <wps:cNvCnPr/>
                          <wps:spPr>
                            <a:xfrm rot="16200000" flipH="1">
                              <a:off x="1459910" y="2062125"/>
                              <a:ext cx="714374" cy="1710482"/>
                            </a:xfrm>
                            <a:prstGeom prst="bentConnector3">
                              <a:avLst>
                                <a:gd name="adj1" fmla="val 50000"/>
                              </a:avLst>
                            </a:prstGeom>
                            <a:ln>
                              <a:tailEnd type="triangle"/>
                            </a:ln>
                          </wps:spPr>
                          <wps:style>
                            <a:lnRef idx="1">
                              <a:schemeClr val="dk1"/>
                            </a:lnRef>
                            <a:fillRef idx="0">
                              <a:schemeClr val="dk1"/>
                            </a:fillRef>
                            <a:effectRef idx="0">
                              <a:schemeClr val="dk1"/>
                            </a:effectRef>
                            <a:fontRef idx="minor">
                              <a:schemeClr val="tx1"/>
                            </a:fontRef>
                          </wps:style>
                          <wps:bodyPr/>
                        </wps:wsp>
                        <wps:wsp>
                          <wps:cNvPr id="66" name="Connector: Elbow 66"/>
                          <wps:cNvCnPr/>
                          <wps:spPr>
                            <a:xfrm rot="5400000">
                              <a:off x="3174063" y="2058454"/>
                              <a:ext cx="714374" cy="1717824"/>
                            </a:xfrm>
                            <a:prstGeom prst="bentConnector3">
                              <a:avLst>
                                <a:gd name="adj1" fmla="val 50000"/>
                              </a:avLst>
                            </a:prstGeom>
                            <a:ln>
                              <a:tailEnd type="triangle"/>
                            </a:ln>
                          </wps:spPr>
                          <wps:style>
                            <a:lnRef idx="1">
                              <a:schemeClr val="dk1"/>
                            </a:lnRef>
                            <a:fillRef idx="0">
                              <a:schemeClr val="dk1"/>
                            </a:fillRef>
                            <a:effectRef idx="0">
                              <a:schemeClr val="dk1"/>
                            </a:effectRef>
                            <a:fontRef idx="minor">
                              <a:schemeClr val="tx1"/>
                            </a:fontRef>
                          </wps:style>
                          <wps:bodyPr/>
                        </wps:wsp>
                        <wps:wsp>
                          <wps:cNvPr id="67" name="Straight Arrow Connector 67"/>
                          <wps:cNvCnPr/>
                          <wps:spPr>
                            <a:xfrm>
                              <a:off x="2672338" y="4722354"/>
                              <a:ext cx="3555" cy="47527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8" name="Connector: Elbow 68"/>
                          <wps:cNvCnPr/>
                          <wps:spPr>
                            <a:xfrm>
                              <a:off x="2677099" y="4865229"/>
                              <a:ext cx="1631479" cy="588601"/>
                            </a:xfrm>
                            <a:prstGeom prst="bentConnector3">
                              <a:avLst>
                                <a:gd name="adj1" fmla="val 73937"/>
                              </a:avLst>
                            </a:prstGeom>
                            <a:ln>
                              <a:tailEnd type="triangle"/>
                            </a:ln>
                          </wps:spPr>
                          <wps:style>
                            <a:lnRef idx="1">
                              <a:schemeClr val="dk1"/>
                            </a:lnRef>
                            <a:fillRef idx="0">
                              <a:schemeClr val="dk1"/>
                            </a:fillRef>
                            <a:effectRef idx="0">
                              <a:schemeClr val="dk1"/>
                            </a:effectRef>
                            <a:fontRef idx="minor">
                              <a:schemeClr val="tx1"/>
                            </a:fontRef>
                          </wps:style>
                          <wps:bodyPr/>
                        </wps:wsp>
                        <wps:wsp>
                          <wps:cNvPr id="69" name="Straight Arrow Connector 69"/>
                          <wps:cNvCnPr/>
                          <wps:spPr>
                            <a:xfrm flipV="1">
                              <a:off x="4900133" y="4816628"/>
                              <a:ext cx="766" cy="35621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0" name="Connector: Elbow 70"/>
                          <wps:cNvCnPr/>
                          <wps:spPr>
                            <a:xfrm rot="10800000">
                              <a:off x="3628339" y="4535461"/>
                              <a:ext cx="796312" cy="1"/>
                            </a:xfrm>
                            <a:prstGeom prst="bentConnector3">
                              <a:avLst>
                                <a:gd name="adj1" fmla="val 50000"/>
                              </a:avLst>
                            </a:prstGeom>
                            <a:ln>
                              <a:tailEnd type="triangle"/>
                            </a:ln>
                          </wps:spPr>
                          <wps:style>
                            <a:lnRef idx="1">
                              <a:schemeClr val="dk1"/>
                            </a:lnRef>
                            <a:fillRef idx="0">
                              <a:schemeClr val="dk1"/>
                            </a:fillRef>
                            <a:effectRef idx="0">
                              <a:schemeClr val="dk1"/>
                            </a:effectRef>
                            <a:fontRef idx="minor">
                              <a:schemeClr val="tx1"/>
                            </a:fontRef>
                          </wps:style>
                          <wps:bodyPr/>
                        </wps:wsp>
                        <wps:wsp>
                          <wps:cNvPr id="71" name="Straight Arrow Connector 71"/>
                          <wps:cNvCnPr/>
                          <wps:spPr>
                            <a:xfrm flipH="1" flipV="1">
                              <a:off x="1344844" y="3993691"/>
                              <a:ext cx="389282" cy="476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2" name="Connector: Elbow 72"/>
                          <wps:cNvCnPr>
                            <a:stCxn id="55" idx="1"/>
                          </wps:cNvCnPr>
                          <wps:spPr>
                            <a:xfrm rot="10800000" flipH="1">
                              <a:off x="392343" y="1104901"/>
                              <a:ext cx="570631" cy="2888791"/>
                            </a:xfrm>
                            <a:prstGeom prst="bentConnector4">
                              <a:avLst>
                                <a:gd name="adj1" fmla="val -40061"/>
                                <a:gd name="adj2" fmla="val 100365"/>
                              </a:avLst>
                            </a:prstGeom>
                            <a:ln>
                              <a:tailEnd type="triangle"/>
                            </a:ln>
                          </wps:spPr>
                          <wps:style>
                            <a:lnRef idx="1">
                              <a:schemeClr val="dk1"/>
                            </a:lnRef>
                            <a:fillRef idx="0">
                              <a:schemeClr val="dk1"/>
                            </a:fillRef>
                            <a:effectRef idx="0">
                              <a:schemeClr val="dk1"/>
                            </a:effectRef>
                            <a:fontRef idx="minor">
                              <a:schemeClr val="tx1"/>
                            </a:fontRef>
                          </wps:style>
                          <wps:bodyPr/>
                        </wps:wsp>
                        <wps:wsp>
                          <wps:cNvPr id="73" name="Connector: Elbow 73"/>
                          <wps:cNvCnPr/>
                          <wps:spPr>
                            <a:xfrm rot="5400000">
                              <a:off x="2322724" y="2920294"/>
                              <a:ext cx="703874" cy="4645"/>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74" name="Rectangle 74"/>
                          <wps:cNvSpPr/>
                          <wps:spPr>
                            <a:xfrm>
                              <a:off x="4153474" y="3569776"/>
                              <a:ext cx="1399602" cy="54292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63400819" w14:textId="77777777" w:rsidR="00890181" w:rsidRDefault="00890181" w:rsidP="00890181">
                                <w:pPr>
                                  <w:pStyle w:val="TableText0"/>
                                  <w:jc w:val="center"/>
                                </w:pPr>
                                <w:r>
                                  <w:t>FIX allergy/anaphylaxis identified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Connector: Elbow 75"/>
                          <wps:cNvCnPr/>
                          <wps:spPr>
                            <a:xfrm>
                              <a:off x="2838605" y="2922129"/>
                              <a:ext cx="2014670" cy="647647"/>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76" name="Connector: Elbow 76"/>
                          <wps:cNvCnPr/>
                          <wps:spPr>
                            <a:xfrm rot="10800000" flipV="1">
                              <a:off x="3610550" y="3840616"/>
                              <a:ext cx="542926" cy="1"/>
                            </a:xfrm>
                            <a:prstGeom prst="bentConnector3">
                              <a:avLst>
                                <a:gd name="adj1" fmla="val 50000"/>
                              </a:avLst>
                            </a:prstGeom>
                            <a:ln>
                              <a:tailEnd type="triangle"/>
                            </a:ln>
                          </wps:spPr>
                          <wps:style>
                            <a:lnRef idx="1">
                              <a:schemeClr val="dk1"/>
                            </a:lnRef>
                            <a:fillRef idx="0">
                              <a:schemeClr val="dk1"/>
                            </a:fillRef>
                            <a:effectRef idx="0">
                              <a:schemeClr val="dk1"/>
                            </a:effectRef>
                            <a:fontRef idx="minor">
                              <a:schemeClr val="tx1"/>
                            </a:fontRef>
                          </wps:style>
                          <wps:bodyPr/>
                        </wps:wsp>
                        <wps:wsp>
                          <wps:cNvPr id="77" name="Rectangle 77"/>
                          <wps:cNvSpPr/>
                          <wps:spPr>
                            <a:xfrm>
                              <a:off x="761298" y="6491084"/>
                              <a:ext cx="1543752" cy="65722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2E84E7B4" w14:textId="77777777" w:rsidR="001E3100" w:rsidRDefault="005D43BE" w:rsidP="005D43BE">
                                <w:pPr>
                                  <w:pStyle w:val="TableText0"/>
                                  <w:jc w:val="center"/>
                                  <w:rPr>
                                    <w:b/>
                                    <w:bCs/>
                                  </w:rPr>
                                </w:pPr>
                                <w:r>
                                  <w:rPr>
                                    <w:b/>
                                    <w:bCs/>
                                  </w:rPr>
                                  <w:t>On demand treatment</w:t>
                                </w:r>
                                <w:r w:rsidR="00890181" w:rsidRPr="0035166B">
                                  <w:rPr>
                                    <w:b/>
                                    <w:bCs/>
                                  </w:rPr>
                                  <w:t xml:space="preserve"> with BPA</w:t>
                                </w:r>
                              </w:p>
                              <w:p w14:paraId="21EE458F" w14:textId="131FD726" w:rsidR="00890181" w:rsidRPr="005D43BE" w:rsidRDefault="00890181" w:rsidP="005D43BE">
                                <w:pPr>
                                  <w:pStyle w:val="TableText0"/>
                                  <w:jc w:val="center"/>
                                  <w:rPr>
                                    <w:b/>
                                    <w:bCs/>
                                  </w:rPr>
                                </w:pPr>
                                <w:r>
                                  <w:t>rFVIIa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Rectangle 79"/>
                          <wps:cNvSpPr/>
                          <wps:spPr>
                            <a:xfrm>
                              <a:off x="401198" y="7560802"/>
                              <a:ext cx="3752850" cy="56197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10D2C13C" w14:textId="3DEE31A8" w:rsidR="00890181" w:rsidRDefault="00890181" w:rsidP="00890181">
                                <w:pPr>
                                  <w:pStyle w:val="TableText0"/>
                                  <w:jc w:val="center"/>
                                </w:pPr>
                                <w:r w:rsidRPr="00D0474C">
                                  <w:rPr>
                                    <w:b/>
                                    <w:bCs/>
                                  </w:rPr>
                                  <w:t>Health outcomes:</w:t>
                                </w:r>
                                <w:r>
                                  <w:t xml:space="preserve"> number and severity of bleeds, health</w:t>
                                </w:r>
                                <w:r w:rsidR="00634D51">
                                  <w:t>-</w:t>
                                </w:r>
                                <w:r>
                                  <w:t>related quality of life, joint health outcomes.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Isosceles Triangle 81"/>
                          <wps:cNvSpPr/>
                          <wps:spPr>
                            <a:xfrm rot="16200000">
                              <a:off x="2308893" y="259831"/>
                              <a:ext cx="695310" cy="4819781"/>
                            </a:xfrm>
                            <a:prstGeom prst="triangle">
                              <a:avLst/>
                            </a:prstGeom>
                            <a:solidFill>
                              <a:schemeClr val="accent2">
                                <a:alpha val="35000"/>
                              </a:schemeClr>
                            </a:solidFill>
                            <a:ln>
                              <a:noFill/>
                            </a:ln>
                          </wps:spPr>
                          <wps:style>
                            <a:lnRef idx="0">
                              <a:scrgbClr r="0" g="0" b="0"/>
                            </a:lnRef>
                            <a:fillRef idx="0">
                              <a:scrgbClr r="0" g="0" b="0"/>
                            </a:fillRef>
                            <a:effectRef idx="0">
                              <a:scrgbClr r="0" g="0" b="0"/>
                            </a:effectRef>
                            <a:fontRef idx="minor">
                              <a:schemeClr val="lt1"/>
                            </a:fontRef>
                          </wps:style>
                          <wps:txbx>
                            <w:txbxContent>
                              <w:p w14:paraId="7B0C38DE" w14:textId="77777777" w:rsidR="00890181" w:rsidRPr="007A3BB8" w:rsidRDefault="00890181" w:rsidP="00890181">
                                <w:pPr>
                                  <w:pStyle w:val="TableText0"/>
                                  <w:rPr>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A3BB8">
                                  <w:rPr>
                                    <w:rStyle w:val="TableTextChar0"/>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Risk of inhibitor</w:t>
                                </w:r>
                                <w:r w:rsidRPr="007A3BB8">
                                  <w:rPr>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development</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wps:wsp>
                          <wps:cNvPr id="82" name="Rectangle 82"/>
                          <wps:cNvSpPr/>
                          <wps:spPr>
                            <a:xfrm>
                              <a:off x="150595" y="5265279"/>
                              <a:ext cx="1428750" cy="43815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447426C6" w14:textId="492E9662" w:rsidR="00890181" w:rsidRDefault="00890181" w:rsidP="00890181">
                                <w:pPr>
                                  <w:pStyle w:val="TableText0"/>
                                  <w:jc w:val="center"/>
                                </w:pPr>
                                <w:r>
                                  <w:t>IT</w:t>
                                </w:r>
                                <w:r w:rsidR="00BE558F">
                                  <w:t>I</w:t>
                                </w:r>
                                <w:r>
                                  <w:t xml:space="preserve"> using FIX </w:t>
                                </w:r>
                                <w:r w:rsidR="006969F6">
                                  <w:br/>
                                </w:r>
                                <w:r>
                                  <w:t>(where no anaphylaxis)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Straight Arrow Connector 83"/>
                          <wps:cNvCnPr/>
                          <wps:spPr>
                            <a:xfrm flipH="1">
                              <a:off x="1579345" y="5478616"/>
                              <a:ext cx="257738" cy="573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4" name="Straight Arrow Connector 84"/>
                          <wps:cNvCnPr/>
                          <wps:spPr>
                            <a:xfrm flipV="1">
                              <a:off x="864970" y="4274678"/>
                              <a:ext cx="3624" cy="99060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5" name="Connector: Elbow 85"/>
                          <wps:cNvCnPr>
                            <a:stCxn id="82" idx="2"/>
                          </wps:cNvCnPr>
                          <wps:spPr>
                            <a:xfrm rot="16200000" flipH="1">
                              <a:off x="969279" y="5598741"/>
                              <a:ext cx="459627" cy="668245"/>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86" name="Text Box 86"/>
                          <wps:cNvSpPr txBox="1"/>
                          <wps:spPr>
                            <a:xfrm>
                              <a:off x="350619" y="4589004"/>
                              <a:ext cx="1028700" cy="4095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44C8AB6" w14:textId="75F3DC56" w:rsidR="00890181" w:rsidRPr="001E561B" w:rsidRDefault="00890181" w:rsidP="00890181">
                                <w:pPr>
                                  <w:pStyle w:val="TableText0"/>
                                  <w:jc w:val="center"/>
                                  <w:rPr>
                                    <w:i/>
                                    <w:iCs/>
                                  </w:rPr>
                                </w:pPr>
                                <w:r>
                                  <w:rPr>
                                    <w:i/>
                                    <w:iCs/>
                                  </w:rPr>
                                  <w:t>S</w:t>
                                </w:r>
                                <w:r w:rsidRPr="001E561B">
                                  <w:rPr>
                                    <w:i/>
                                    <w:iCs/>
                                  </w:rPr>
                                  <w:t>uccessful IT</w:t>
                                </w:r>
                                <w:r w:rsidR="008A37A5">
                                  <w:rPr>
                                    <w:i/>
                                    <w:iCs/>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7" name="Text Box 45"/>
                          <wps:cNvSpPr txBox="1"/>
                          <wps:spPr>
                            <a:xfrm>
                              <a:off x="392343" y="5797704"/>
                              <a:ext cx="1028700" cy="4095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4031510" w14:textId="2758B512" w:rsidR="00890181" w:rsidRDefault="00890181" w:rsidP="00890181">
                                <w:pPr>
                                  <w:spacing w:before="40" w:after="40"/>
                                  <w:jc w:val="center"/>
                                  <w:rPr>
                                    <w:rFonts w:ascii="Arial Narrow" w:hAnsi="Arial Narrow" w:cs="Arial"/>
                                    <w:i/>
                                    <w:iCs/>
                                    <w:sz w:val="20"/>
                                    <w:szCs w:val="20"/>
                                  </w:rPr>
                                </w:pPr>
                                <w:r>
                                  <w:rPr>
                                    <w:rFonts w:ascii="Arial Narrow" w:hAnsi="Arial Narrow" w:cs="Arial"/>
                                    <w:i/>
                                    <w:iCs/>
                                    <w:sz w:val="20"/>
                                    <w:szCs w:val="20"/>
                                  </w:rPr>
                                  <w:t>Unsuccessful IT</w:t>
                                </w:r>
                                <w:r w:rsidR="008A37A5">
                                  <w:rPr>
                                    <w:rFonts w:ascii="Arial Narrow" w:hAnsi="Arial Narrow" w:cs="Arial"/>
                                    <w:i/>
                                    <w:iCs/>
                                    <w:sz w:val="20"/>
                                    <w:szCs w:val="20"/>
                                  </w:rPr>
                                  <w:t>I</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9" name="Rectangle 89"/>
                          <wps:cNvSpPr/>
                          <wps:spPr>
                            <a:xfrm>
                              <a:off x="2904445" y="6491712"/>
                              <a:ext cx="1600880" cy="656590"/>
                            </a:xfrm>
                            <a:prstGeom prst="rect">
                              <a:avLst/>
                            </a:prstGeom>
                            <a:solidFill>
                              <a:schemeClr val="accent6">
                                <a:lumMod val="40000"/>
                                <a:lumOff val="60000"/>
                              </a:schemeClr>
                            </a:solidFill>
                            <a:ln w="19050"/>
                          </wps:spPr>
                          <wps:style>
                            <a:lnRef idx="2">
                              <a:schemeClr val="dk1"/>
                            </a:lnRef>
                            <a:fillRef idx="1">
                              <a:schemeClr val="lt1"/>
                            </a:fillRef>
                            <a:effectRef idx="0">
                              <a:schemeClr val="dk1"/>
                            </a:effectRef>
                            <a:fontRef idx="minor">
                              <a:schemeClr val="dk1"/>
                            </a:fontRef>
                          </wps:style>
                          <wps:txbx>
                            <w:txbxContent>
                              <w:p w14:paraId="56E812A1" w14:textId="4DD4ED1D" w:rsidR="005D43BE" w:rsidRPr="00F82E99" w:rsidRDefault="001E3100" w:rsidP="00F82E99">
                                <w:pPr>
                                  <w:spacing w:before="40" w:after="40"/>
                                  <w:jc w:val="center"/>
                                  <w:rPr>
                                    <w:rFonts w:ascii="Arial Narrow" w:hAnsi="Arial Narrow" w:cs="Arial"/>
                                    <w:b/>
                                    <w:bCs/>
                                    <w:sz w:val="20"/>
                                    <w:szCs w:val="20"/>
                                  </w:rPr>
                                </w:pPr>
                                <w:r>
                                  <w:rPr>
                                    <w:rFonts w:ascii="Arial Narrow" w:hAnsi="Arial Narrow" w:cs="Arial"/>
                                    <w:b/>
                                    <w:bCs/>
                                    <w:sz w:val="20"/>
                                    <w:szCs w:val="20"/>
                                  </w:rPr>
                                  <w:t>Prophylactic t</w:t>
                                </w:r>
                                <w:r w:rsidR="005D43BE">
                                  <w:rPr>
                                    <w:rFonts w:ascii="Arial Narrow" w:hAnsi="Arial Narrow" w:cs="Arial"/>
                                    <w:b/>
                                    <w:bCs/>
                                    <w:sz w:val="20"/>
                                    <w:szCs w:val="20"/>
                                  </w:rPr>
                                  <w:t>reat</w:t>
                                </w:r>
                                <w:r>
                                  <w:rPr>
                                    <w:rFonts w:ascii="Arial Narrow" w:hAnsi="Arial Narrow" w:cs="Arial"/>
                                    <w:b/>
                                    <w:bCs/>
                                    <w:sz w:val="20"/>
                                    <w:szCs w:val="20"/>
                                  </w:rPr>
                                  <w:t>ment</w:t>
                                </w:r>
                                <w:r w:rsidR="005D43BE">
                                  <w:rPr>
                                    <w:rFonts w:ascii="Arial Narrow" w:hAnsi="Arial Narrow" w:cs="Arial"/>
                                    <w:b/>
                                    <w:bCs/>
                                    <w:sz w:val="20"/>
                                    <w:szCs w:val="20"/>
                                  </w:rPr>
                                  <w:t xml:space="preserve"> with </w:t>
                                </w:r>
                                <w:r>
                                  <w:rPr>
                                    <w:rFonts w:ascii="Arial Narrow" w:hAnsi="Arial Narrow" w:cs="Arial"/>
                                    <w:b/>
                                    <w:bCs/>
                                    <w:sz w:val="20"/>
                                    <w:szCs w:val="20"/>
                                  </w:rPr>
                                  <w:t>concizumab</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0" name="Connector: Elbow 90"/>
                          <wps:cNvCnPr>
                            <a:stCxn id="57" idx="2"/>
                            <a:endCxn id="77" idx="0"/>
                          </wps:cNvCnPr>
                          <wps:spPr>
                            <a:xfrm rot="5400000">
                              <a:off x="1738794" y="5553984"/>
                              <a:ext cx="731481" cy="1142719"/>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92" name="Connector: Elbow 92"/>
                          <wps:cNvCnPr>
                            <a:stCxn id="57" idx="2"/>
                            <a:endCxn id="89" idx="0"/>
                          </wps:cNvCnPr>
                          <wps:spPr>
                            <a:xfrm rot="16200000" flipH="1">
                              <a:off x="2824335" y="5611161"/>
                              <a:ext cx="732109" cy="1028992"/>
                            </a:xfrm>
                            <a:prstGeom prst="bentConnector3">
                              <a:avLst>
                                <a:gd name="adj1" fmla="val 50000"/>
                              </a:avLst>
                            </a:prstGeom>
                            <a:ln>
                              <a:tailEnd type="triangle"/>
                            </a:ln>
                          </wps:spPr>
                          <wps:style>
                            <a:lnRef idx="1">
                              <a:schemeClr val="dk1"/>
                            </a:lnRef>
                            <a:fillRef idx="0">
                              <a:schemeClr val="dk1"/>
                            </a:fillRef>
                            <a:effectRef idx="0">
                              <a:schemeClr val="dk1"/>
                            </a:effectRef>
                            <a:fontRef idx="minor">
                              <a:schemeClr val="tx1"/>
                            </a:fontRef>
                          </wps:style>
                          <wps:bodyPr/>
                        </wps:wsp>
                        <wps:wsp>
                          <wps:cNvPr id="93" name="Oval 93"/>
                          <wps:cNvSpPr/>
                          <wps:spPr>
                            <a:xfrm>
                              <a:off x="4371975" y="7265798"/>
                              <a:ext cx="1390650" cy="557401"/>
                            </a:xfrm>
                            <a:prstGeom prst="ellipse">
                              <a:avLst/>
                            </a:prstGeom>
                            <a:solidFill>
                              <a:schemeClr val="accent6">
                                <a:lumMod val="20000"/>
                                <a:lumOff val="80000"/>
                              </a:schemeClr>
                            </a:solidFill>
                            <a:ln w="19050"/>
                          </wps:spPr>
                          <wps:style>
                            <a:lnRef idx="2">
                              <a:schemeClr val="dk1"/>
                            </a:lnRef>
                            <a:fillRef idx="1">
                              <a:schemeClr val="lt1"/>
                            </a:fillRef>
                            <a:effectRef idx="0">
                              <a:schemeClr val="dk1"/>
                            </a:effectRef>
                            <a:fontRef idx="minor">
                              <a:schemeClr val="dk1"/>
                            </a:fontRef>
                          </wps:style>
                          <wps:txbx>
                            <w:txbxContent>
                              <w:p w14:paraId="659C9479" w14:textId="624BA71E" w:rsidR="00267E32" w:rsidRDefault="00267E32" w:rsidP="00267E32">
                                <w:pPr>
                                  <w:pStyle w:val="TableText0"/>
                                  <w:spacing w:before="0"/>
                                  <w:jc w:val="center"/>
                                </w:pPr>
                                <w:r>
                                  <w:t>Concizumab ELISA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 name="Connector: Curved 94"/>
                          <wps:cNvCnPr>
                            <a:stCxn id="89" idx="3"/>
                            <a:endCxn id="93" idx="0"/>
                          </wps:cNvCnPr>
                          <wps:spPr>
                            <a:xfrm>
                              <a:off x="4505325" y="6820007"/>
                              <a:ext cx="561975" cy="445791"/>
                            </a:xfrm>
                            <a:prstGeom prst="curved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95" name="Connector: Curved 95"/>
                          <wps:cNvCnPr>
                            <a:stCxn id="93" idx="4"/>
                          </wps:cNvCnPr>
                          <wps:spPr>
                            <a:xfrm rot="5400000" flipH="1">
                              <a:off x="4279761" y="7035661"/>
                              <a:ext cx="689271" cy="885806"/>
                            </a:xfrm>
                            <a:prstGeom prst="curvedConnector4">
                              <a:avLst>
                                <a:gd name="adj1" fmla="val -33165"/>
                                <a:gd name="adj2" fmla="val 89248"/>
                              </a:avLst>
                            </a:prstGeom>
                            <a:ln>
                              <a:tailEnd type="triangle"/>
                            </a:ln>
                          </wps:spPr>
                          <wps:style>
                            <a:lnRef idx="1">
                              <a:schemeClr val="dk1"/>
                            </a:lnRef>
                            <a:fillRef idx="0">
                              <a:schemeClr val="dk1"/>
                            </a:fillRef>
                            <a:effectRef idx="0">
                              <a:schemeClr val="dk1"/>
                            </a:effectRef>
                            <a:fontRef idx="minor">
                              <a:schemeClr val="tx1"/>
                            </a:fontRef>
                          </wps:style>
                          <wps:bodyPr/>
                        </wps:wsp>
                        <wps:wsp>
                          <wps:cNvPr id="96" name="Straight Arrow Connector 96"/>
                          <wps:cNvCnPr>
                            <a:stCxn id="77" idx="3"/>
                            <a:endCxn id="89" idx="1"/>
                          </wps:cNvCnPr>
                          <wps:spPr>
                            <a:xfrm>
                              <a:off x="2305050" y="6819697"/>
                              <a:ext cx="599395" cy="31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97" name="Connector: Elbow 97"/>
                          <wps:cNvCnPr>
                            <a:stCxn id="77" idx="2"/>
                            <a:endCxn id="79" idx="0"/>
                          </wps:cNvCnPr>
                          <wps:spPr>
                            <a:xfrm rot="16200000" flipH="1">
                              <a:off x="1699152" y="6982330"/>
                              <a:ext cx="412493" cy="744449"/>
                            </a:xfrm>
                            <a:prstGeom prst="bentConnector3">
                              <a:avLst>
                                <a:gd name="adj1" fmla="val 50000"/>
                              </a:avLst>
                            </a:prstGeom>
                            <a:ln>
                              <a:tailEnd type="triangle"/>
                            </a:ln>
                          </wps:spPr>
                          <wps:style>
                            <a:lnRef idx="1">
                              <a:schemeClr val="dk1"/>
                            </a:lnRef>
                            <a:fillRef idx="0">
                              <a:schemeClr val="dk1"/>
                            </a:fillRef>
                            <a:effectRef idx="0">
                              <a:schemeClr val="dk1"/>
                            </a:effectRef>
                            <a:fontRef idx="minor">
                              <a:schemeClr val="tx1"/>
                            </a:fontRef>
                          </wps:style>
                          <wps:bodyPr/>
                        </wps:wsp>
                        <wps:wsp>
                          <wps:cNvPr id="98" name="Connector: Elbow 98"/>
                          <wps:cNvCnPr>
                            <a:stCxn id="89" idx="2"/>
                            <a:endCxn id="79" idx="0"/>
                          </wps:cNvCnPr>
                          <wps:spPr>
                            <a:xfrm rot="5400000">
                              <a:off x="2785004" y="6640921"/>
                              <a:ext cx="412500" cy="1427262"/>
                            </a:xfrm>
                            <a:prstGeom prst="bentConnector3">
                              <a:avLst>
                                <a:gd name="adj1" fmla="val 50000"/>
                              </a:avLst>
                            </a:prstGeom>
                            <a:ln>
                              <a:tailEnd type="triangle"/>
                            </a:ln>
                          </wps:spPr>
                          <wps:style>
                            <a:lnRef idx="1">
                              <a:schemeClr val="dk1"/>
                            </a:lnRef>
                            <a:fillRef idx="0">
                              <a:schemeClr val="dk1"/>
                            </a:fillRef>
                            <a:effectRef idx="0">
                              <a:schemeClr val="dk1"/>
                            </a:effectRef>
                            <a:fontRef idx="minor">
                              <a:schemeClr val="tx1"/>
                            </a:fontRef>
                          </wps:style>
                          <wps:bodyPr/>
                        </wps:wsp>
                        <wps:wsp>
                          <wps:cNvPr id="101" name="Connector: Elbow 101"/>
                          <wps:cNvCnPr>
                            <a:stCxn id="56" idx="2"/>
                          </wps:cNvCnPr>
                          <wps:spPr>
                            <a:xfrm rot="5400000">
                              <a:off x="4083989" y="5365579"/>
                              <a:ext cx="446906" cy="1185382"/>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g:wgp>
                    </wpc:wpc>
                  </a:graphicData>
                </a:graphic>
              </wp:inline>
            </w:drawing>
          </mc:Choice>
          <mc:Fallback>
            <w:pict>
              <v:group w14:anchorId="69819DCE" id="Canvas 88" o:spid="_x0000_s1071" editas="canvas" alt="Clinical management algorithm with the addition of concizumab which enables long-term prophylaxis in patients with cHMB and inhibitors." style="width:466.5pt;height:649.1pt;mso-position-horizontal-relative:char;mso-position-vertical-relative:line" coordsize="59245,82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">
                <v:shape id="_x0000_s1072" type="#_x0000_t75" alt="Clinical management algorithm with the addition of concizumab which enables long-term prophylaxis in patients with cHMB and inhibitors." style="position:absolute;width:59245;height:82429;visibility:visible;mso-wrap-style:square" filled="t">
                  <v:fill o:detectmouseclick="t"/>
                  <v:path o:connecttype="none"/>
                </v:shape>
                <v:group id="Group 24" o:spid="_x0000_s1073" style="position:absolute;left:1505;top:359;width:56121;height:80868" coordorigin="1505,359" coordsize="56120,80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rect id="Rectangle 47" o:spid="_x0000_s1074" style="position:absolute;left:17635;top:359;width:18009;height:8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" fillcolor="white [3201]" strokecolor="black [3200]" strokeweight="1.5pt">
                    <v:textbox>
                      <w:txbxContent>
                        <w:p w14:paraId="241EADF6" w14:textId="0E474C2D" w:rsidR="00890181" w:rsidRDefault="00890181" w:rsidP="00CB4C0E">
                          <w:pPr>
                            <w:pStyle w:val="TableText0"/>
                            <w:spacing w:line="276" w:lineRule="auto"/>
                            <w:jc w:val="center"/>
                          </w:pPr>
                          <w:r>
                            <w:t xml:space="preserve">Diagnosis of cHMB </w:t>
                          </w:r>
                          <w:r w:rsidR="00DC6319">
                            <w:br/>
                          </w:r>
                          <w:r>
                            <w:t xml:space="preserve">(mild, moderate, severe) </w:t>
                          </w:r>
                          <w:r w:rsidR="00DC6319">
                            <w:br/>
                          </w:r>
                          <w:r>
                            <w:t>and referral to HTC for management of treatment</w:t>
                          </w:r>
                        </w:p>
                      </w:txbxContent>
                    </v:textbox>
                  </v:rect>
                  <v:rect id="Rectangle 48" o:spid="_x0000_s1075" style="position:absolute;left:3388;top:13124;width:12600;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" fillcolor="white [3201]" strokecolor="black [3200]" strokeweight="1.5pt">
                    <v:textbox>
                      <w:txbxContent>
                        <w:p w14:paraId="7000AB3D" w14:textId="77777777" w:rsidR="00890181" w:rsidRPr="00215C86" w:rsidRDefault="00890181" w:rsidP="00890181">
                          <w:pPr>
                            <w:pStyle w:val="TableText0"/>
                            <w:jc w:val="center"/>
                            <w:rPr>
                              <w:b/>
                              <w:color w:val="2E74B5" w:themeColor="accent1" w:themeShade="BF"/>
                            </w:rPr>
                          </w:pPr>
                          <w:r w:rsidRPr="00215C86">
                            <w:rPr>
                              <w:b/>
                              <w:color w:val="2E74B5" w:themeColor="accent1" w:themeShade="BF"/>
                            </w:rPr>
                            <w:t>Mild cHMB (58%)</w:t>
                          </w:r>
                        </w:p>
                      </w:txbxContent>
                    </v:textbox>
                  </v:rect>
                  <v:rect id="Rectangle 49" o:spid="_x0000_s1076" style="position:absolute;left:20163;top:13124;width:12960;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" fillcolor="white [3201]" strokecolor="black [3200]" strokeweight="1.5pt">
                    <v:textbox>
                      <w:txbxContent>
                        <w:p w14:paraId="3A918E97" w14:textId="77777777" w:rsidR="00890181" w:rsidRPr="00215C86" w:rsidRDefault="00890181" w:rsidP="00890181">
                          <w:pPr>
                            <w:pStyle w:val="TableText0"/>
                            <w:jc w:val="center"/>
                            <w:rPr>
                              <w:b/>
                              <w:color w:val="538135" w:themeColor="accent6" w:themeShade="BF"/>
                            </w:rPr>
                          </w:pPr>
                          <w:r w:rsidRPr="00215C86">
                            <w:rPr>
                              <w:b/>
                              <w:color w:val="538135" w:themeColor="accent6" w:themeShade="BF"/>
                            </w:rPr>
                            <w:t>Moderate cHMB (25%)</w:t>
                          </w:r>
                        </w:p>
                      </w:txbxContent>
                    </v:textbox>
                  </v:rect>
                  <v:rect id="Rectangle 50" o:spid="_x0000_s1077" style="position:absolute;left:37528;top:13019;width:12674;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" fillcolor="white [3201]" strokecolor="black [3200]" strokeweight="1.5pt">
                    <v:textbox>
                      <w:txbxContent>
                        <w:p w14:paraId="1FAFA98E" w14:textId="77777777" w:rsidR="00890181" w:rsidRPr="00CB4C0E" w:rsidRDefault="00890181" w:rsidP="00890181">
                          <w:pPr>
                            <w:pStyle w:val="TableText0"/>
                            <w:jc w:val="center"/>
                            <w:rPr>
                              <w:b/>
                              <w:bCs/>
                              <w:color w:val="C00000"/>
                            </w:rPr>
                          </w:pPr>
                          <w:r w:rsidRPr="00CB4C0E">
                            <w:rPr>
                              <w:b/>
                              <w:bCs/>
                              <w:color w:val="C00000"/>
                            </w:rPr>
                            <w:t>Severe cHMB (17%)</w:t>
                          </w:r>
                        </w:p>
                      </w:txbxContent>
                    </v:textbox>
                  </v:rect>
                  <v:rect id="Rectangle 51" o:spid="_x0000_s1078" style="position:absolute;left:19816;top:19505;width:13907;height:62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" fillcolor="white [3201]" strokecolor="black [3200]" strokeweight="1.5pt">
                    <v:textbox>
                      <w:txbxContent>
                        <w:p w14:paraId="29711674" w14:textId="77777777" w:rsidR="00890181" w:rsidRDefault="00890181" w:rsidP="00890181">
                          <w:pPr>
                            <w:pStyle w:val="TableText0"/>
                            <w:spacing w:before="0"/>
                            <w:jc w:val="center"/>
                          </w:pPr>
                          <w:r>
                            <w:t>Treat with FIX (54%)</w:t>
                          </w:r>
                        </w:p>
                        <w:p w14:paraId="7277188F" w14:textId="77777777" w:rsidR="00890181" w:rsidRDefault="00890181" w:rsidP="00890181">
                          <w:pPr>
                            <w:pStyle w:val="TableText0"/>
                            <w:numPr>
                              <w:ilvl w:val="0"/>
                              <w:numId w:val="23"/>
                            </w:numPr>
                            <w:spacing w:before="0" w:after="0"/>
                          </w:pPr>
                          <w:r>
                            <w:t>On demand</w:t>
                          </w:r>
                        </w:p>
                        <w:p w14:paraId="5DF61D89" w14:textId="77777777" w:rsidR="00890181" w:rsidRDefault="00890181" w:rsidP="00890181">
                          <w:pPr>
                            <w:pStyle w:val="TableText0"/>
                            <w:numPr>
                              <w:ilvl w:val="0"/>
                              <w:numId w:val="23"/>
                            </w:numPr>
                            <w:spacing w:before="0" w:after="0"/>
                          </w:pPr>
                          <w:r>
                            <w:t>Prophylaxis (29%)</w:t>
                          </w:r>
                        </w:p>
                      </w:txbxContent>
                    </v:textbox>
                  </v:rect>
                  <v:rect id="Rectangle 52" o:spid="_x0000_s1079" style="position:absolute;left:36948;top:19400;width:13906;height:62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" fillcolor="white [3201]" strokecolor="black [3200]" strokeweight="1.5pt">
                    <v:textbox>
                      <w:txbxContent>
                        <w:p w14:paraId="06BABB13" w14:textId="77777777" w:rsidR="00890181" w:rsidRDefault="00890181" w:rsidP="00890181">
                          <w:pPr>
                            <w:spacing w:after="40" w:line="240" w:lineRule="auto"/>
                            <w:jc w:val="center"/>
                            <w:rPr>
                              <w:rFonts w:ascii="Arial Narrow" w:hAnsi="Arial Narrow" w:cs="Arial"/>
                              <w:sz w:val="20"/>
                              <w:szCs w:val="20"/>
                            </w:rPr>
                          </w:pPr>
                          <w:r>
                            <w:rPr>
                              <w:rFonts w:ascii="Arial Narrow" w:hAnsi="Arial Narrow" w:cs="Arial"/>
                              <w:sz w:val="20"/>
                              <w:szCs w:val="20"/>
                            </w:rPr>
                            <w:t>Treat with FIX (92%)</w:t>
                          </w:r>
                        </w:p>
                        <w:p w14:paraId="44A76B0B" w14:textId="77777777" w:rsidR="00890181" w:rsidRPr="009853A9" w:rsidRDefault="00890181" w:rsidP="00890181">
                          <w:pPr>
                            <w:pStyle w:val="ListParagraph"/>
                            <w:numPr>
                              <w:ilvl w:val="0"/>
                              <w:numId w:val="25"/>
                            </w:numPr>
                            <w:spacing w:after="40" w:line="240" w:lineRule="auto"/>
                            <w:rPr>
                              <w:rFonts w:ascii="Arial Narrow" w:hAnsi="Arial Narrow" w:cs="Arial"/>
                              <w:sz w:val="20"/>
                              <w:szCs w:val="20"/>
                            </w:rPr>
                          </w:pPr>
                          <w:r w:rsidRPr="009853A9">
                            <w:rPr>
                              <w:rFonts w:ascii="Arial Narrow" w:hAnsi="Arial Narrow" w:cs="Arial"/>
                              <w:sz w:val="20"/>
                              <w:szCs w:val="20"/>
                            </w:rPr>
                            <w:t>On demand</w:t>
                          </w:r>
                        </w:p>
                        <w:p w14:paraId="65C2661A" w14:textId="77777777" w:rsidR="00890181" w:rsidRPr="009853A9" w:rsidRDefault="00890181" w:rsidP="00890181">
                          <w:pPr>
                            <w:pStyle w:val="ListParagraph"/>
                            <w:numPr>
                              <w:ilvl w:val="0"/>
                              <w:numId w:val="25"/>
                            </w:numPr>
                            <w:spacing w:after="40" w:line="240" w:lineRule="auto"/>
                            <w:rPr>
                              <w:rFonts w:ascii="Arial Narrow" w:hAnsi="Arial Narrow" w:cs="Arial"/>
                              <w:sz w:val="20"/>
                              <w:szCs w:val="20"/>
                            </w:rPr>
                          </w:pPr>
                          <w:r w:rsidRPr="009853A9">
                            <w:rPr>
                              <w:rFonts w:ascii="Arial Narrow" w:hAnsi="Arial Narrow" w:cs="Arial"/>
                              <w:sz w:val="20"/>
                              <w:szCs w:val="20"/>
                            </w:rPr>
                            <w:t>Prophylax</w:t>
                          </w:r>
                          <w:r>
                            <w:rPr>
                              <w:rFonts w:ascii="Arial Narrow" w:hAnsi="Arial Narrow" w:cs="Arial"/>
                              <w:sz w:val="20"/>
                              <w:szCs w:val="20"/>
                            </w:rPr>
                            <w:t>i</w:t>
                          </w:r>
                          <w:r w:rsidRPr="009853A9">
                            <w:rPr>
                              <w:rFonts w:ascii="Arial Narrow" w:hAnsi="Arial Narrow" w:cs="Arial"/>
                              <w:sz w:val="20"/>
                              <w:szCs w:val="20"/>
                            </w:rPr>
                            <w:t>s</w:t>
                          </w:r>
                          <w:r>
                            <w:rPr>
                              <w:rFonts w:ascii="Arial Narrow" w:hAnsi="Arial Narrow" w:cs="Arial"/>
                              <w:sz w:val="20"/>
                              <w:szCs w:val="20"/>
                            </w:rPr>
                            <w:t xml:space="preserve"> (75%)</w:t>
                          </w:r>
                        </w:p>
                      </w:txbxContent>
                    </v:textbox>
                  </v:rect>
                  <v:rect id="Rectangle 53" o:spid="_x0000_s1080" style="position:absolute;left:2665;top:19400;width:13906;height:62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" fillcolor="white [3201]" strokecolor="black [3200]" strokeweight="1.5pt">
                    <v:textbox>
                      <w:txbxContent>
                        <w:p w14:paraId="1F5CA99A" w14:textId="3B25B203" w:rsidR="00890181" w:rsidRDefault="00890181" w:rsidP="00C411FF">
                          <w:pPr>
                            <w:spacing w:before="40" w:after="40"/>
                            <w:jc w:val="center"/>
                            <w:rPr>
                              <w:rFonts w:ascii="Arial Narrow" w:hAnsi="Arial Narrow" w:cs="Arial"/>
                              <w:sz w:val="20"/>
                              <w:szCs w:val="20"/>
                            </w:rPr>
                          </w:pPr>
                          <w:r>
                            <w:rPr>
                              <w:rFonts w:ascii="Arial Narrow" w:hAnsi="Arial Narrow" w:cs="Arial"/>
                              <w:sz w:val="20"/>
                              <w:szCs w:val="20"/>
                            </w:rPr>
                            <w:t>Treat with FIX on demand (20%)</w:t>
                          </w:r>
                        </w:p>
                      </w:txbxContent>
                    </v:textbox>
                  </v:rect>
                  <v:rect id="Rectangle 54" o:spid="_x0000_s1081" style="position:absolute;left:17341;top:32745;width:18764;height:14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" fillcolor="white [3201]" strokecolor="black [3200]" strokeweight="1.5pt">
                    <v:textbox>
                      <w:txbxContent>
                        <w:p w14:paraId="66B5F6B2" w14:textId="77777777" w:rsidR="00890181" w:rsidRPr="00365692" w:rsidRDefault="00890181" w:rsidP="00890181">
                          <w:pPr>
                            <w:pStyle w:val="TableText0"/>
                            <w:jc w:val="center"/>
                            <w:rPr>
                              <w:b/>
                              <w:bCs/>
                            </w:rPr>
                          </w:pPr>
                          <w:r w:rsidRPr="00365692">
                            <w:rPr>
                              <w:b/>
                              <w:bCs/>
                            </w:rPr>
                            <w:t>Screen for inhibitors:</w:t>
                          </w:r>
                        </w:p>
                        <w:p w14:paraId="6DC6046C" w14:textId="77777777" w:rsidR="00890181" w:rsidRDefault="00890181" w:rsidP="00890181">
                          <w:pPr>
                            <w:pStyle w:val="TableText0"/>
                            <w:numPr>
                              <w:ilvl w:val="0"/>
                              <w:numId w:val="24"/>
                            </w:numPr>
                          </w:pPr>
                          <w:r>
                            <w:t>Screen paediatric patients in first 150 days of exposure</w:t>
                          </w:r>
                        </w:p>
                        <w:p w14:paraId="60A48371" w14:textId="77777777" w:rsidR="00890181" w:rsidRDefault="00890181" w:rsidP="00890181">
                          <w:pPr>
                            <w:pStyle w:val="TableText0"/>
                            <w:numPr>
                              <w:ilvl w:val="0"/>
                              <w:numId w:val="24"/>
                            </w:numPr>
                          </w:pPr>
                          <w:r>
                            <w:t>Routine 6–12-month testing</w:t>
                          </w:r>
                        </w:p>
                        <w:p w14:paraId="22536895" w14:textId="77777777" w:rsidR="00890181" w:rsidRDefault="00890181" w:rsidP="00890181">
                          <w:pPr>
                            <w:pStyle w:val="TableText0"/>
                            <w:numPr>
                              <w:ilvl w:val="0"/>
                              <w:numId w:val="24"/>
                            </w:numPr>
                          </w:pPr>
                          <w:r>
                            <w:t>Screen after intensive treatment</w:t>
                          </w:r>
                        </w:p>
                        <w:p w14:paraId="74DFF07F" w14:textId="77777777" w:rsidR="00890181" w:rsidRDefault="00890181" w:rsidP="00890181">
                          <w:pPr>
                            <w:pStyle w:val="TableText0"/>
                            <w:numPr>
                              <w:ilvl w:val="0"/>
                              <w:numId w:val="24"/>
                            </w:numPr>
                          </w:pPr>
                          <w:r>
                            <w:t>Failure to respond to FIX</w:t>
                          </w:r>
                        </w:p>
                      </w:txbxContent>
                    </v:textbox>
                  </v:rect>
                  <v:rect id="Rectangle 55" o:spid="_x0000_s1082" style="position:absolute;left:3923;top:37127;width:9525;height:5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" fillcolor="white [3201]" strokecolor="black [3200]" strokeweight="1.5pt">
                    <v:textbox>
                      <w:txbxContent>
                        <w:p w14:paraId="5C3892A6" w14:textId="77777777" w:rsidR="00890181" w:rsidRDefault="00890181" w:rsidP="00890181">
                          <w:pPr>
                            <w:pStyle w:val="TableText0"/>
                            <w:jc w:val="center"/>
                          </w:pPr>
                          <w:r>
                            <w:t>No inhibitors present</w:t>
                          </w:r>
                        </w:p>
                      </w:txbxContent>
                    </v:textbox>
                  </v:rect>
                  <v:rect id="Rectangle 56" o:spid="_x0000_s1083" style="position:absolute;left:43085;top:51728;width:11831;height:5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" fillcolor="#fbe4d5 [661]" strokecolor="black [3200]" strokeweight="1.5pt">
                    <v:textbox>
                      <w:txbxContent>
                        <w:p w14:paraId="2C8BE61F" w14:textId="77777777" w:rsidR="00890181" w:rsidRDefault="00890181" w:rsidP="000D0549">
                          <w:pPr>
                            <w:spacing w:before="40" w:after="40" w:line="240" w:lineRule="auto"/>
                            <w:jc w:val="center"/>
                            <w:rPr>
                              <w:rFonts w:ascii="Arial Narrow" w:hAnsi="Arial Narrow" w:cs="Arial"/>
                              <w:sz w:val="20"/>
                              <w:szCs w:val="20"/>
                            </w:rPr>
                          </w:pPr>
                          <w:r>
                            <w:rPr>
                              <w:rFonts w:ascii="Arial Narrow" w:hAnsi="Arial Narrow" w:cs="Arial"/>
                              <w:sz w:val="20"/>
                              <w:szCs w:val="20"/>
                            </w:rPr>
                            <w:t>Low-titre</w:t>
                          </w:r>
                          <w:r w:rsidRPr="00F05935">
                            <w:rPr>
                              <w:rFonts w:ascii="Arial Narrow" w:hAnsi="Arial Narrow" w:cs="Arial"/>
                              <w:sz w:val="20"/>
                              <w:szCs w:val="20"/>
                            </w:rPr>
                            <w:t xml:space="preserve"> </w:t>
                          </w:r>
                          <w:r>
                            <w:rPr>
                              <w:rFonts w:ascii="Arial Narrow" w:hAnsi="Arial Narrow" w:cs="Arial"/>
                              <w:sz w:val="20"/>
                              <w:szCs w:val="20"/>
                            </w:rPr>
                            <w:t xml:space="preserve">inhibitors and no anaphylaxis </w:t>
                          </w:r>
                        </w:p>
                      </w:txbxContent>
                    </v:textbox>
                  </v:rect>
                  <v:rect id="Rectangle 57" o:spid="_x0000_s1084" style="position:absolute;left:18370;top:51976;width:16777;height:5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" fillcolor="#f8cbad" strokecolor="black [3200]" strokeweight="1.5pt">
                    <v:textbox>
                      <w:txbxContent>
                        <w:p w14:paraId="6519A50F" w14:textId="77777777" w:rsidR="00890181" w:rsidRDefault="00890181" w:rsidP="00890181">
                          <w:pPr>
                            <w:spacing w:before="40" w:after="40"/>
                            <w:jc w:val="center"/>
                            <w:rPr>
                              <w:rFonts w:ascii="Arial Narrow" w:hAnsi="Arial Narrow" w:cs="Arial"/>
                              <w:sz w:val="20"/>
                              <w:szCs w:val="20"/>
                            </w:rPr>
                          </w:pPr>
                          <w:r>
                            <w:rPr>
                              <w:rFonts w:ascii="Arial Narrow" w:hAnsi="Arial Narrow" w:cs="Arial"/>
                              <w:sz w:val="20"/>
                              <w:szCs w:val="20"/>
                            </w:rPr>
                            <w:t>High-titre inhibitors or low-titre inhibitors and anaphylaxis</w:t>
                          </w:r>
                        </w:p>
                      </w:txbxContent>
                    </v:textbox>
                  </v:rect>
                  <v:rect id="Rectangle 58" o:spid="_x0000_s1085" style="position:absolute;left:44246;top:42546;width:9525;height:5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" fillcolor="white [3201]" strokecolor="black [3200]" strokeweight="1.5pt">
                    <v:textbox>
                      <w:txbxContent>
                        <w:p w14:paraId="19756C7D" w14:textId="77777777" w:rsidR="00890181" w:rsidRDefault="00890181" w:rsidP="000D0549">
                          <w:pPr>
                            <w:spacing w:before="40" w:after="40" w:line="240" w:lineRule="auto"/>
                            <w:jc w:val="center"/>
                            <w:rPr>
                              <w:rFonts w:ascii="Arial Narrow" w:hAnsi="Arial Narrow" w:cs="Arial"/>
                              <w:sz w:val="20"/>
                              <w:szCs w:val="20"/>
                            </w:rPr>
                          </w:pPr>
                          <w:r>
                            <w:rPr>
                              <w:rFonts w:ascii="Arial Narrow" w:hAnsi="Arial Narrow" w:cs="Arial"/>
                              <w:sz w:val="20"/>
                              <w:szCs w:val="20"/>
                            </w:rPr>
                            <w:t>Increase FIX dose</w:t>
                          </w:r>
                        </w:p>
                      </w:txbxContent>
                    </v:textbox>
                  </v:rect>
                  <v:shape id="Straight Arrow Connector 59" o:spid="_x0000_s1086" type="#_x0000_t32" style="position:absolute;left:26640;top:8741;width:82;height:43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" strokecolor="black [3200]" strokeweight=".5pt">
                    <v:stroke endarrow="block" joinstyle="miter"/>
                  </v:shape>
                  <v:shape id="Connector: Elbow 60" o:spid="_x0000_s1087" type="#_x0000_t34" style="position:absolute;left:15943;top:2427;width:4383;height:1701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" strokecolor="black [3200]" strokeweight=".5pt">
                    <v:stroke endarrow="block"/>
                  </v:shape>
                  <v:shape id="Connector: Elbow 61" o:spid="_x0000_s1088" type="#_x0000_t34" style="position:absolute;left:33114;top:2267;width:4278;height:1722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" adj="11067" strokecolor="black [3200]" strokeweight=".5pt">
                    <v:stroke endarrow="block"/>
                  </v:shape>
                  <v:shape id="Straight Arrow Connector 62" o:spid="_x0000_s1089" type="#_x0000_t32" style="position:absolute;left:26722;top:16457;width:47;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" strokecolor="black [3200]" strokeweight=".5pt">
                    <v:stroke endarrow="block" joinstyle="miter"/>
                  </v:shape>
                  <v:shape id="Straight Arrow Connector 63" o:spid="_x0000_s1090" type="#_x0000_t32" style="position:absolute;left:9618;top:16457;width:11;height:294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" strokecolor="black [3200]" strokeweight=".5pt">
                    <v:stroke endarrow="block" joinstyle="miter"/>
                  </v:shape>
                  <v:shape id="Straight Arrow Connector 64" o:spid="_x0000_s1091" type="#_x0000_t32" style="position:absolute;left:43865;top:16352;width:36;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" strokecolor="black [3200]" strokeweight=".5pt">
                    <v:stroke endarrow="block" joinstyle="miter"/>
                  </v:shape>
                  <v:shape id="Connector: Elbow 65" o:spid="_x0000_s1092" type="#_x0000_t34" style="position:absolute;left:14599;top:20620;width:7144;height:1710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" strokecolor="black [3200]" strokeweight=".5pt">
                    <v:stroke endarrow="block"/>
                  </v:shape>
                  <v:shape id="Connector: Elbow 66" o:spid="_x0000_s1093" type="#_x0000_t34" style="position:absolute;left:31740;top:20584;width:7144;height:1717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" strokecolor="black [3200]" strokeweight=".5pt">
                    <v:stroke endarrow="block"/>
                  </v:shape>
                  <v:shape id="Straight Arrow Connector 67" o:spid="_x0000_s1094" type="#_x0000_t32" style="position:absolute;left:26723;top:47223;width:35;height:47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" strokecolor="black [3200]" strokeweight=".5pt">
                    <v:stroke endarrow="block" joinstyle="miter"/>
                  </v:shape>
                  <v:shape id="Connector: Elbow 68" o:spid="_x0000_s1095" type="#_x0000_t34" style="position:absolute;left:26770;top:48652;width:16315;height:588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" adj="15970" strokecolor="black [3200]" strokeweight=".5pt">
                    <v:stroke endarrow="block"/>
                  </v:shape>
                  <v:shape id="Straight Arrow Connector 69" o:spid="_x0000_s1096" type="#_x0000_t32" style="position:absolute;left:49001;top:48166;width:7;height:356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" strokecolor="black [3200]" strokeweight=".5pt">
                    <v:stroke endarrow="block" joinstyle="miter"/>
                  </v:shape>
                  <v:shape id="Connector: Elbow 70" o:spid="_x0000_s1097" type="#_x0000_t34" style="position:absolute;left:36283;top:45354;width:7963;height: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" strokecolor="black [3200]" strokeweight=".5pt">
                    <v:stroke endarrow="block"/>
                  </v:shape>
                  <v:shape id="Straight Arrow Connector 71" o:spid="_x0000_s1098" type="#_x0000_t32" style="position:absolute;left:13448;top:39936;width:3893;height:4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" strokecolor="black [3200]" strokeweight=".5pt">
                    <v:stroke endarrow="block" joinstyle="miter"/>
                  </v:shape>
                  <v:shape id="Connector: Elbow 72" o:spid="_x0000_s1099" type="#_x0000_t35" style="position:absolute;left:3923;top:11049;width:5706;height:28887;rotation:18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" adj="-8653,21679" strokecolor="black [3200]" strokeweight=".5pt">
                    <v:stroke endarrow="block"/>
                  </v:shape>
                  <v:shape id="Connector: Elbow 73" o:spid="_x0000_s1100" type="#_x0000_t34" style="position:absolute;left:23226;top:29203;width:7039;height:4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" strokecolor="black [3200]" strokeweight=".5pt">
                    <v:stroke endarrow="block"/>
                  </v:shape>
                  <v:rect id="Rectangle 74" o:spid="_x0000_s1101" style="position:absolute;left:41534;top:35697;width:13996;height:5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" fillcolor="white [3201]" strokecolor="black [3200]" strokeweight="1.5pt">
                    <v:textbox>
                      <w:txbxContent>
                        <w:p w14:paraId="63400819" w14:textId="77777777" w:rsidR="00890181" w:rsidRDefault="00890181" w:rsidP="00890181">
                          <w:pPr>
                            <w:pStyle w:val="TableText0"/>
                            <w:jc w:val="center"/>
                          </w:pPr>
                          <w:r>
                            <w:t>FIX allergy/anaphylaxis identified</w:t>
                          </w:r>
                        </w:p>
                      </w:txbxContent>
                    </v:textbox>
                  </v:rect>
                  <v:shape id="Connector: Elbow 75" o:spid="_x0000_s1102" type="#_x0000_t33" style="position:absolute;left:28386;top:29221;width:20146;height:647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" strokecolor="black [3200]" strokeweight=".5pt">
                    <v:stroke endarrow="block"/>
                  </v:shape>
                  <v:shape id="Connector: Elbow 76" o:spid="_x0000_s1103" type="#_x0000_t34" style="position:absolute;left:36105;top:38406;width:5429;height:0;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" strokecolor="black [3200]" strokeweight=".5pt">
                    <v:stroke endarrow="block"/>
                  </v:shape>
                  <v:rect id="Rectangle 77" o:spid="_x0000_s1104" style="position:absolute;left:7612;top:64910;width:15438;height:6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" fillcolor="white [3201]" strokecolor="black [3200]" strokeweight="1.5pt">
                    <v:textbox>
                      <w:txbxContent>
                        <w:p w14:paraId="2E84E7B4" w14:textId="77777777" w:rsidR="001E3100" w:rsidRDefault="005D43BE" w:rsidP="005D43BE">
                          <w:pPr>
                            <w:pStyle w:val="TableText0"/>
                            <w:jc w:val="center"/>
                            <w:rPr>
                              <w:b/>
                              <w:bCs/>
                            </w:rPr>
                          </w:pPr>
                          <w:r>
                            <w:rPr>
                              <w:b/>
                              <w:bCs/>
                            </w:rPr>
                            <w:t>On demand treatment</w:t>
                          </w:r>
                          <w:r w:rsidR="00890181" w:rsidRPr="0035166B">
                            <w:rPr>
                              <w:b/>
                              <w:bCs/>
                            </w:rPr>
                            <w:t xml:space="preserve"> with BPA</w:t>
                          </w:r>
                        </w:p>
                        <w:p w14:paraId="21EE458F" w14:textId="131FD726" w:rsidR="00890181" w:rsidRPr="005D43BE" w:rsidRDefault="00890181" w:rsidP="005D43BE">
                          <w:pPr>
                            <w:pStyle w:val="TableText0"/>
                            <w:jc w:val="center"/>
                            <w:rPr>
                              <w:b/>
                              <w:bCs/>
                            </w:rPr>
                          </w:pPr>
                          <w:r>
                            <w:t>rFVIIa</w:t>
                          </w:r>
                        </w:p>
                      </w:txbxContent>
                    </v:textbox>
                  </v:rect>
                  <v:rect id="Rectangle 79" o:spid="_x0000_s1105" style="position:absolute;left:4011;top:75608;width:37529;height:5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" fillcolor="white [3201]" strokecolor="black [3200]" strokeweight="1.5pt">
                    <v:textbox>
                      <w:txbxContent>
                        <w:p w14:paraId="10D2C13C" w14:textId="3DEE31A8" w:rsidR="00890181" w:rsidRDefault="00890181" w:rsidP="00890181">
                          <w:pPr>
                            <w:pStyle w:val="TableText0"/>
                            <w:jc w:val="center"/>
                          </w:pPr>
                          <w:r w:rsidRPr="00D0474C">
                            <w:rPr>
                              <w:b/>
                              <w:bCs/>
                            </w:rPr>
                            <w:t>Health outcomes:</w:t>
                          </w:r>
                          <w:r>
                            <w:t xml:space="preserve"> number and severity of bleeds, health</w:t>
                          </w:r>
                          <w:r w:rsidR="00634D51">
                            <w:t>-</w:t>
                          </w:r>
                          <w:r>
                            <w:t>related quality of life, joint health outcomes.</w:t>
                          </w:r>
                        </w:p>
                      </w:txbxContent>
                    </v:textbox>
                  </v:rect>
                  <v:shape id="Isosceles Triangle 81" o:spid="_x0000_s1106" type="#_x0000_t5" style="position:absolute;left:23088;top:2598;width:6953;height:4819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" fillcolor="#ed7d31 [3205]" stroked="f">
                    <v:fill opacity="22873f"/>
                    <v:textbox style="layout-flow:vertical">
                      <w:txbxContent>
                        <w:p w14:paraId="7B0C38DE" w14:textId="77777777" w:rsidR="00890181" w:rsidRPr="007A3BB8" w:rsidRDefault="00890181" w:rsidP="00890181">
                          <w:pPr>
                            <w:pStyle w:val="TableText0"/>
                            <w:rPr>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A3BB8">
                            <w:rPr>
                              <w:rStyle w:val="TableTextChar0"/>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Risk of inhibitor</w:t>
                          </w:r>
                          <w:r w:rsidRPr="007A3BB8">
                            <w:rPr>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development</w:t>
                          </w:r>
                        </w:p>
                      </w:txbxContent>
                    </v:textbox>
                  </v:shape>
                  <v:rect id="Rectangle 82" o:spid="_x0000_s1107" style="position:absolute;left:1505;top:52652;width:14288;height:4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" fillcolor="white [3201]" strokecolor="black [3200]" strokeweight="1.5pt">
                    <v:textbox>
                      <w:txbxContent>
                        <w:p w14:paraId="447426C6" w14:textId="492E9662" w:rsidR="00890181" w:rsidRDefault="00890181" w:rsidP="00890181">
                          <w:pPr>
                            <w:pStyle w:val="TableText0"/>
                            <w:jc w:val="center"/>
                          </w:pPr>
                          <w:r>
                            <w:t>IT</w:t>
                          </w:r>
                          <w:r w:rsidR="00BE558F">
                            <w:t>I</w:t>
                          </w:r>
                          <w:r>
                            <w:t xml:space="preserve"> using FIX </w:t>
                          </w:r>
                          <w:r w:rsidR="006969F6">
                            <w:br/>
                          </w:r>
                          <w:r>
                            <w:t>(where no anaphylaxis)</w:t>
                          </w:r>
                        </w:p>
                      </w:txbxContent>
                    </v:textbox>
                  </v:rect>
                  <v:shape id="Straight Arrow Connector 83" o:spid="_x0000_s1108" type="#_x0000_t32" style="position:absolute;left:15793;top:54786;width:2577;height: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" strokecolor="black [3200]" strokeweight=".5pt">
                    <v:stroke endarrow="block" joinstyle="miter"/>
                  </v:shape>
                  <v:shape id="Straight Arrow Connector 84" o:spid="_x0000_s1109" type="#_x0000_t32" style="position:absolute;left:8649;top:42746;width:36;height:990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" strokecolor="black [3200]" strokeweight=".5pt">
                    <v:stroke endarrow="block" joinstyle="miter"/>
                  </v:shape>
                  <v:shape id="Connector: Elbow 85" o:spid="_x0000_s1110" type="#_x0000_t33" style="position:absolute;left:9693;top:55986;width:4596;height:668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" strokecolor="black [3200]" strokeweight=".5pt">
                    <v:stroke endarrow="block"/>
                  </v:shape>
                  <v:shape id="Text Box 86" o:spid="_x0000_s1111" type="#_x0000_t202" style="position:absolute;left:3506;top:45890;width:10287;height:4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" filled="f" stroked="f">
                    <v:textbox>
                      <w:txbxContent>
                        <w:p w14:paraId="244C8AB6" w14:textId="75F3DC56" w:rsidR="00890181" w:rsidRPr="001E561B" w:rsidRDefault="00890181" w:rsidP="00890181">
                          <w:pPr>
                            <w:pStyle w:val="TableText0"/>
                            <w:jc w:val="center"/>
                            <w:rPr>
                              <w:i/>
                              <w:iCs/>
                            </w:rPr>
                          </w:pPr>
                          <w:r>
                            <w:rPr>
                              <w:i/>
                              <w:iCs/>
                            </w:rPr>
                            <w:t>S</w:t>
                          </w:r>
                          <w:r w:rsidRPr="001E561B">
                            <w:rPr>
                              <w:i/>
                              <w:iCs/>
                            </w:rPr>
                            <w:t>uccessful IT</w:t>
                          </w:r>
                          <w:r w:rsidR="008A37A5">
                            <w:rPr>
                              <w:i/>
                              <w:iCs/>
                            </w:rPr>
                            <w:t>I</w:t>
                          </w:r>
                        </w:p>
                      </w:txbxContent>
                    </v:textbox>
                  </v:shape>
                  <v:shape id="Text Box 45" o:spid="_x0000_s1112" type="#_x0000_t202" style="position:absolute;left:3923;top:57977;width:10287;height:4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" filled="f" stroked="f">
                    <v:textbox>
                      <w:txbxContent>
                        <w:p w14:paraId="64031510" w14:textId="2758B512" w:rsidR="00890181" w:rsidRDefault="00890181" w:rsidP="00890181">
                          <w:pPr>
                            <w:spacing w:before="40" w:after="40"/>
                            <w:jc w:val="center"/>
                            <w:rPr>
                              <w:rFonts w:ascii="Arial Narrow" w:hAnsi="Arial Narrow" w:cs="Arial"/>
                              <w:i/>
                              <w:iCs/>
                              <w:sz w:val="20"/>
                              <w:szCs w:val="20"/>
                            </w:rPr>
                          </w:pPr>
                          <w:r>
                            <w:rPr>
                              <w:rFonts w:ascii="Arial Narrow" w:hAnsi="Arial Narrow" w:cs="Arial"/>
                              <w:i/>
                              <w:iCs/>
                              <w:sz w:val="20"/>
                              <w:szCs w:val="20"/>
                            </w:rPr>
                            <w:t>Unsuccessful IT</w:t>
                          </w:r>
                          <w:r w:rsidR="008A37A5">
                            <w:rPr>
                              <w:rFonts w:ascii="Arial Narrow" w:hAnsi="Arial Narrow" w:cs="Arial"/>
                              <w:i/>
                              <w:iCs/>
                              <w:sz w:val="20"/>
                              <w:szCs w:val="20"/>
                            </w:rPr>
                            <w:t>I</w:t>
                          </w:r>
                        </w:p>
                      </w:txbxContent>
                    </v:textbox>
                  </v:shape>
                  <v:rect id="Rectangle 89" o:spid="_x0000_s1113" style="position:absolute;left:29044;top:64917;width:16009;height:65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" fillcolor="#c5e0b3 [1305]" strokecolor="black [3200]" strokeweight="1.5pt">
                    <v:textbox>
                      <w:txbxContent>
                        <w:p w14:paraId="56E812A1" w14:textId="4DD4ED1D" w:rsidR="005D43BE" w:rsidRPr="00F82E99" w:rsidRDefault="001E3100" w:rsidP="00F82E99">
                          <w:pPr>
                            <w:spacing w:before="40" w:after="40"/>
                            <w:jc w:val="center"/>
                            <w:rPr>
                              <w:rFonts w:ascii="Arial Narrow" w:hAnsi="Arial Narrow" w:cs="Arial"/>
                              <w:b/>
                              <w:bCs/>
                              <w:sz w:val="20"/>
                              <w:szCs w:val="20"/>
                            </w:rPr>
                          </w:pPr>
                          <w:r>
                            <w:rPr>
                              <w:rFonts w:ascii="Arial Narrow" w:hAnsi="Arial Narrow" w:cs="Arial"/>
                              <w:b/>
                              <w:bCs/>
                              <w:sz w:val="20"/>
                              <w:szCs w:val="20"/>
                            </w:rPr>
                            <w:t>Prophylactic t</w:t>
                          </w:r>
                          <w:r w:rsidR="005D43BE">
                            <w:rPr>
                              <w:rFonts w:ascii="Arial Narrow" w:hAnsi="Arial Narrow" w:cs="Arial"/>
                              <w:b/>
                              <w:bCs/>
                              <w:sz w:val="20"/>
                              <w:szCs w:val="20"/>
                            </w:rPr>
                            <w:t>reat</w:t>
                          </w:r>
                          <w:r>
                            <w:rPr>
                              <w:rFonts w:ascii="Arial Narrow" w:hAnsi="Arial Narrow" w:cs="Arial"/>
                              <w:b/>
                              <w:bCs/>
                              <w:sz w:val="20"/>
                              <w:szCs w:val="20"/>
                            </w:rPr>
                            <w:t>ment</w:t>
                          </w:r>
                          <w:r w:rsidR="005D43BE">
                            <w:rPr>
                              <w:rFonts w:ascii="Arial Narrow" w:hAnsi="Arial Narrow" w:cs="Arial"/>
                              <w:b/>
                              <w:bCs/>
                              <w:sz w:val="20"/>
                              <w:szCs w:val="20"/>
                            </w:rPr>
                            <w:t xml:space="preserve"> with </w:t>
                          </w:r>
                          <w:r>
                            <w:rPr>
                              <w:rFonts w:ascii="Arial Narrow" w:hAnsi="Arial Narrow" w:cs="Arial"/>
                              <w:b/>
                              <w:bCs/>
                              <w:sz w:val="20"/>
                              <w:szCs w:val="20"/>
                            </w:rPr>
                            <w:t>concizumab</w:t>
                          </w:r>
                        </w:p>
                      </w:txbxContent>
                    </v:textbox>
                  </v:rect>
                  <v:shape id="Connector: Elbow 90" o:spid="_x0000_s1114" type="#_x0000_t34" style="position:absolute;left:17388;top:55539;width:7314;height:11427;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" strokecolor="black [3200]" strokeweight=".5pt">
                    <v:stroke endarrow="block"/>
                  </v:shape>
                  <v:shape id="Connector: Elbow 92" o:spid="_x0000_s1115" type="#_x0000_t34" style="position:absolute;left:28242;top:56112;width:7321;height:1029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" strokecolor="black [3200]" strokeweight=".5pt">
                    <v:stroke endarrow="block"/>
                  </v:shape>
                  <v:oval id="Oval 93" o:spid="_x0000_s1116" style="position:absolute;left:43719;top:72657;width:13907;height:5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" fillcolor="#e2efd9 [665]" strokecolor="black [3200]" strokeweight="1.5pt">
                    <v:stroke joinstyle="miter"/>
                    <v:textbox>
                      <w:txbxContent>
                        <w:p w14:paraId="659C9479" w14:textId="624BA71E" w:rsidR="00267E32" w:rsidRDefault="00267E32" w:rsidP="00267E32">
                          <w:pPr>
                            <w:pStyle w:val="TableText0"/>
                            <w:spacing w:before="0"/>
                            <w:jc w:val="center"/>
                          </w:pPr>
                          <w:r>
                            <w:t>Concizumab ELISA</w:t>
                          </w:r>
                        </w:p>
                      </w:txbxContent>
                    </v:textbox>
                  </v:oval>
                  <v:shapetype id="_x0000_t37" coordsize="21600,21600" o:spt="37" o:oned="t" path="m,c10800,,21600,10800,21600,21600e" filled="f">
                    <v:path arrowok="t" fillok="f" o:connecttype="none"/>
                    <o:lock v:ext="edit" shapetype="t"/>
                  </v:shapetype>
                  <v:shape id="Connector: Curved 94" o:spid="_x0000_s1117" type="#_x0000_t37" style="position:absolute;left:45053;top:68200;width:5620;height:4457;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" strokecolor="black [3200]" strokeweight=".5pt">
                    <v:stroke endarrow="block" joinstyle="miter"/>
                  </v:shape>
                  <v:shapetype id="_x0000_t39" coordsize="21600,21600" o:spt="39" o:oned="t" path="m,c@0,0@1@6@1@5@1@7@3@8@2@8@4@8,21600@9,21600,21600e" filled="f">
                    <v:formulas>
                      <v:f eqn="mid #0 0"/>
                      <v:f eqn="val #0"/>
                      <v:f eqn="mid #0 21600"/>
                      <v:f eqn="mid #0 @2"/>
                      <v:f eqn="mid @2 21600"/>
                      <v:f eqn="mid #1 0"/>
                      <v:f eqn="mid @5 0"/>
                      <v:f eqn="mid #1 @5"/>
                      <v:f eqn="val #1"/>
                      <v:f eqn="mid #1 21600"/>
                    </v:formulas>
                    <v:path arrowok="t" fillok="f" o:connecttype="none"/>
                    <v:handles>
                      <v:h position="#0,@5"/>
                      <v:h position="@2,#1"/>
                    </v:handles>
                    <o:lock v:ext="edit" shapetype="t"/>
                  </v:shapetype>
                  <v:shape id="Connector: Curved 95" o:spid="_x0000_s1118" type="#_x0000_t39" style="position:absolute;left:42798;top:70355;width:6892;height:8859;rotation:-90;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" adj="-7164,19278" strokecolor="black [3200]" strokeweight=".5pt">
                    <v:stroke endarrow="block" joinstyle="miter"/>
                  </v:shape>
                  <v:shape id="Straight Arrow Connector 96" o:spid="_x0000_s1119" type="#_x0000_t32" style="position:absolute;left:23050;top:68196;width:5994;height: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" strokecolor="black [3200]" strokeweight=".5pt">
                    <v:stroke startarrow="block" endarrow="block" joinstyle="miter"/>
                  </v:shape>
                  <v:shape id="Connector: Elbow 97" o:spid="_x0000_s1120" type="#_x0000_t34" style="position:absolute;left:16991;top:69823;width:4125;height:744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" strokecolor="black [3200]" strokeweight=".5pt">
                    <v:stroke endarrow="block"/>
                  </v:shape>
                  <v:shape id="Connector: Elbow 98" o:spid="_x0000_s1121" type="#_x0000_t34" style="position:absolute;left:27849;top:66410;width:4125;height:1427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" strokecolor="black [3200]" strokeweight=".5pt">
                    <v:stroke endarrow="block"/>
                  </v:shape>
                  <v:shape id="Connector: Elbow 101" o:spid="_x0000_s1122" type="#_x0000_t33" style="position:absolute;left:40839;top:53656;width:4469;height:1185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" strokecolor="black [3200]" strokeweight=".5pt">
                    <v:stroke endarrow="block"/>
                  </v:shape>
                </v:group>
                <w10:anchorlock/>
              </v:group>
            </w:pict>
          </mc:Fallback>
        </mc:AlternateContent>
      </w:r>
      <w:r w:rsidR="005067DD" w:rsidRPr="005067DD">
        <w:t xml:space="preserve"> </w:t>
      </w:r>
      <w:r w:rsidR="000520B1">
        <w:t xml:space="preserve">Source: prepared by assessment group based on </w:t>
      </w:r>
      <w:r w:rsidR="004E0D2F">
        <w:t xml:space="preserve">MSAC </w:t>
      </w:r>
      <w:r w:rsidR="000520B1">
        <w:t>Application 1805, ratified PICO Confirmation</w:t>
      </w:r>
      <w:r w:rsidR="004E0D2F">
        <w:t xml:space="preserve"> </w:t>
      </w:r>
      <w:r w:rsidR="000520B1">
        <w:t xml:space="preserve">1510, and data from the ABDR annual reports. </w:t>
      </w:r>
    </w:p>
    <w:p w14:paraId="39091B65" w14:textId="170CB1D9" w:rsidR="005067DD" w:rsidRDefault="005067DD" w:rsidP="005067DD">
      <w:pPr>
        <w:pStyle w:val="Tablenotes"/>
      </w:pPr>
      <w:r>
        <w:t xml:space="preserve">aPCC = </w:t>
      </w:r>
      <w:r w:rsidRPr="002D2250">
        <w:t>activated prothrombin complex concentrate</w:t>
      </w:r>
      <w:r>
        <w:t>, BPA = bypass</w:t>
      </w:r>
      <w:r w:rsidR="00315178">
        <w:t>ing</w:t>
      </w:r>
      <w:r>
        <w:t xml:space="preserve"> agent, cHMB = congenital </w:t>
      </w:r>
      <w:r w:rsidR="00A06A3B">
        <w:t>H</w:t>
      </w:r>
      <w:r>
        <w:t xml:space="preserve">aemophilia B, ELISA = enzyme linked immunoassay, FIX = </w:t>
      </w:r>
      <w:r w:rsidR="00247526">
        <w:t>F</w:t>
      </w:r>
      <w:r>
        <w:t>actor IX, HTC = haemophilia treatment centre, IT</w:t>
      </w:r>
      <w:r w:rsidR="00BE558F">
        <w:t>I</w:t>
      </w:r>
      <w:r>
        <w:t xml:space="preserve"> = immune tolerance induction, rFVIIa = recombinant </w:t>
      </w:r>
      <w:r w:rsidR="00247526">
        <w:t>F</w:t>
      </w:r>
      <w:r>
        <w:t xml:space="preserve">actor </w:t>
      </w:r>
      <w:r w:rsidR="00247526">
        <w:t>V</w:t>
      </w:r>
      <w:r>
        <w:t>IIa.</w:t>
      </w:r>
    </w:p>
    <w:p w14:paraId="08074908" w14:textId="454D2658" w:rsidR="007F0CAF" w:rsidRDefault="008A0523" w:rsidP="006210F9">
      <w:pPr>
        <w:pStyle w:val="Tablenotes"/>
      </w:pPr>
      <w:r>
        <w:rPr>
          <w:rFonts w:asciiTheme="minorHAnsi" w:hAnsiTheme="minorHAnsi" w:cstheme="minorHAnsi"/>
          <w:i/>
          <w:iCs/>
          <w:sz w:val="22"/>
        </w:rPr>
        <w:lastRenderedPageBreak/>
        <w:t>PASC agreed with the clinical management algorithm.</w:t>
      </w:r>
    </w:p>
    <w:p w14:paraId="2BDE22B9" w14:textId="04C4AC01" w:rsidR="00D73332" w:rsidRDefault="00D73332" w:rsidP="00713728">
      <w:pPr>
        <w:pStyle w:val="Heading2"/>
        <w:rPr>
          <w:b/>
          <w:bCs/>
          <w:i/>
        </w:rPr>
      </w:pPr>
      <w:r w:rsidRPr="00490FBB">
        <w:t>Proposed economic evaluation</w:t>
      </w:r>
    </w:p>
    <w:p w14:paraId="7432EE0B" w14:textId="30B2FDA8" w:rsidR="002B4C41" w:rsidRDefault="0039129A" w:rsidP="0039129A">
      <w:r>
        <w:t xml:space="preserve">Based on the application’s claim of </w:t>
      </w:r>
      <w:r w:rsidRPr="002B24CD">
        <w:rPr>
          <w:b/>
          <w:bCs/>
        </w:rPr>
        <w:t>superior eff</w:t>
      </w:r>
      <w:r w:rsidR="002B24CD" w:rsidRPr="002B24CD">
        <w:rPr>
          <w:b/>
          <w:bCs/>
        </w:rPr>
        <w:t>ectiveness</w:t>
      </w:r>
      <w:r w:rsidR="002B24CD">
        <w:t xml:space="preserve"> (in terms of reduced bleeds</w:t>
      </w:r>
      <w:r w:rsidR="00490BAC">
        <w:t xml:space="preserve">) </w:t>
      </w:r>
      <w:r w:rsidR="002B24CD">
        <w:t xml:space="preserve">and </w:t>
      </w:r>
      <w:r w:rsidR="002B24CD" w:rsidRPr="002B24CD">
        <w:rPr>
          <w:b/>
          <w:bCs/>
        </w:rPr>
        <w:t>non-inferior safety</w:t>
      </w:r>
      <w:r w:rsidR="00490BAC">
        <w:rPr>
          <w:b/>
          <w:bCs/>
        </w:rPr>
        <w:t xml:space="preserve"> </w:t>
      </w:r>
      <w:r w:rsidR="00490BAC">
        <w:t>(in terms of adverse events)</w:t>
      </w:r>
      <w:r w:rsidR="002B24CD">
        <w:t>, a cost-utility analysis (CUA) is appropriate (</w:t>
      </w:r>
      <w:r w:rsidR="002B24CD">
        <w:fldChar w:fldCharType="begin"/>
      </w:r>
      <w:r w:rsidR="002B24CD">
        <w:instrText xml:space="preserve"> REF _Ref54260209 \h </w:instrText>
      </w:r>
      <w:r w:rsidR="002B24CD">
        <w:fldChar w:fldCharType="separate"/>
      </w:r>
      <w:r w:rsidR="00775C29" w:rsidRPr="00490FBB">
        <w:t>Table</w:t>
      </w:r>
      <w:r w:rsidR="00775C29">
        <w:t> </w:t>
      </w:r>
      <w:r w:rsidR="00775C29">
        <w:rPr>
          <w:noProof/>
        </w:rPr>
        <w:t>7</w:t>
      </w:r>
      <w:r w:rsidR="002B24CD">
        <w:fldChar w:fldCharType="end"/>
      </w:r>
      <w:r w:rsidR="002B24CD">
        <w:t>)</w:t>
      </w:r>
      <w:r w:rsidR="002B4C41">
        <w:t>.</w:t>
      </w:r>
    </w:p>
    <w:p w14:paraId="1D45A944" w14:textId="38A9B239" w:rsidR="00F7745A" w:rsidRDefault="00F41AF2" w:rsidP="00F7745A">
      <w:r>
        <w:t xml:space="preserve">However, the analysis may be hampered </w:t>
      </w:r>
      <w:r w:rsidR="00EC393D">
        <w:t>by</w:t>
      </w:r>
      <w:r>
        <w:t xml:space="preserve"> the </w:t>
      </w:r>
      <w:r w:rsidR="00CD3D22">
        <w:t xml:space="preserve">fact that the cost-effectiveness of the comparator (BPAs) </w:t>
      </w:r>
      <w:r w:rsidR="00C24541">
        <w:t xml:space="preserve">has not been established and MSAC previously considered that they had a high price per patient. </w:t>
      </w:r>
      <w:r w:rsidR="00F7745A">
        <w:t xml:space="preserve">In the Public Summary Document for </w:t>
      </w:r>
      <w:hyperlink r:id="rId24" w:tooltip="Link to the webpage for Application 1510.1" w:history="1">
        <w:r w:rsidR="00F7745A" w:rsidRPr="00E1756A">
          <w:rPr>
            <w:rStyle w:val="Hyperlink"/>
            <w:rFonts w:ascii="Calibri" w:hAnsi="Calibri"/>
          </w:rPr>
          <w:t>Application 1510.1</w:t>
        </w:r>
      </w:hyperlink>
      <w:r w:rsidR="00F7745A">
        <w:t xml:space="preserve"> (emicizumab) MSAC noted that: </w:t>
      </w:r>
    </w:p>
    <w:p w14:paraId="7E54E9E7" w14:textId="77777777" w:rsidR="00C830BE" w:rsidRDefault="00F7745A" w:rsidP="00C776A2">
      <w:pPr>
        <w:ind w:left="720"/>
      </w:pPr>
      <w:r>
        <w:t>“cost-effectiveness studies have never been used to inform the existing prices for BPAs, making economic evaluations difficult for applications such as this which rely on accepting that BPAs are acceptably cost-effective. MSAC wondered if it would be informative to commission a study to identify the reduction in prices at which BPAs would be acceptably cost-effective, especially since there are products on the horizon that are similar to emicizumab, and that would likely be put forward for public funding in the future.”</w:t>
      </w:r>
    </w:p>
    <w:p w14:paraId="76FE3705" w14:textId="19BA98D3" w:rsidR="00F7745A" w:rsidRDefault="00F7745A" w:rsidP="0039129A">
      <w:r>
        <w:t>Given the</w:t>
      </w:r>
      <w:r w:rsidR="00C830BE">
        <w:t>se</w:t>
      </w:r>
      <w:r>
        <w:t xml:space="preserve"> concerns</w:t>
      </w:r>
      <w:r w:rsidR="008237C1">
        <w:t xml:space="preserve">, PASC advice is sought on whether an alternative approach </w:t>
      </w:r>
      <w:r w:rsidR="00E72BEE">
        <w:t>to the economic evaluation might be appropriate</w:t>
      </w:r>
      <w:r w:rsidR="00A84922">
        <w:t xml:space="preserve">. </w:t>
      </w:r>
      <w:r w:rsidR="001D4E24">
        <w:t>In the assessment of</w:t>
      </w:r>
      <w:r w:rsidR="00A849FF">
        <w:t xml:space="preserve"> emicizumab</w:t>
      </w:r>
      <w:r w:rsidR="00E6301D">
        <w:t>,</w:t>
      </w:r>
      <w:r w:rsidR="001D4E24">
        <w:t xml:space="preserve"> the department </w:t>
      </w:r>
      <w:r w:rsidR="002A6D61">
        <w:t>outlined two options</w:t>
      </w:r>
      <w:r w:rsidR="008F0520">
        <w:t>:</w:t>
      </w:r>
      <w:r w:rsidR="002A6D61">
        <w:t xml:space="preserve"> the first was a review of BPAs</w:t>
      </w:r>
      <w:r w:rsidR="008F0520">
        <w:t>,</w:t>
      </w:r>
      <w:r w:rsidR="002A6D61">
        <w:t xml:space="preserve"> but this was considered </w:t>
      </w:r>
      <w:r w:rsidR="00A12C8E">
        <w:t>resource intensive</w:t>
      </w:r>
      <w:r w:rsidR="008F0520">
        <w:t>;</w:t>
      </w:r>
      <w:r w:rsidR="00A12C8E">
        <w:t xml:space="preserve"> and uncertain, and the second was a pricing reduction</w:t>
      </w:r>
      <w:r w:rsidR="00A849FF">
        <w:t>.</w:t>
      </w:r>
    </w:p>
    <w:p w14:paraId="4B072F37" w14:textId="7FD69E55" w:rsidR="002F3E40" w:rsidRDefault="002B4C41" w:rsidP="006B7230">
      <w:r>
        <w:t xml:space="preserve">The key evidence cited in the application to support the clinical claims is the explorer7 pivotal trial. </w:t>
      </w:r>
      <w:r w:rsidR="006B7230">
        <w:t xml:space="preserve">The explorer7 trial was a </w:t>
      </w:r>
      <w:r w:rsidR="005F01D8">
        <w:t xml:space="preserve">sponsor-designed, </w:t>
      </w:r>
      <w:r w:rsidR="006B7230">
        <w:t xml:space="preserve">prospective, multicenter, open-label, phase 3a </w:t>
      </w:r>
      <w:r w:rsidR="00DB1433">
        <w:t xml:space="preserve">randomised controlled </w:t>
      </w:r>
      <w:r w:rsidR="006B7230">
        <w:t xml:space="preserve">trial that compared concizumab prophylaxis with no prophylaxis in patients with </w:t>
      </w:r>
      <w:r w:rsidR="009B12A2">
        <w:t>c</w:t>
      </w:r>
      <w:r w:rsidR="006B7230">
        <w:t>HMA</w:t>
      </w:r>
      <w:r w:rsidR="00CB7450">
        <w:t xml:space="preserve"> (n=80)</w:t>
      </w:r>
      <w:r w:rsidR="006B7230">
        <w:t xml:space="preserve"> and </w:t>
      </w:r>
      <w:r w:rsidR="00610839">
        <w:t>c</w:t>
      </w:r>
      <w:r w:rsidR="006B7230">
        <w:t>HMB</w:t>
      </w:r>
      <w:r w:rsidR="00CB7450">
        <w:t xml:space="preserve"> (n=53)</w:t>
      </w:r>
      <w:r w:rsidR="00B62CD5">
        <w:t xml:space="preserve"> with inhibitors. Patients had to have </w:t>
      </w:r>
      <w:r w:rsidR="009D483F">
        <w:t xml:space="preserve">been treated with, or received a prescription of, BPAs in the 24 weeks before screening. </w:t>
      </w:r>
      <w:r w:rsidR="001C77F6">
        <w:t xml:space="preserve">The trial included 2 randomised groups </w:t>
      </w:r>
      <w:r w:rsidR="00452D57">
        <w:t xml:space="preserve">allocated 2:1 </w:t>
      </w:r>
      <w:r w:rsidR="001C0AD3">
        <w:t xml:space="preserve">to </w:t>
      </w:r>
      <w:r w:rsidR="00D5746F">
        <w:t xml:space="preserve">concizumab prophylaxis </w:t>
      </w:r>
      <w:r w:rsidR="007D706C">
        <w:t>versus on</w:t>
      </w:r>
      <w:r w:rsidR="00607E3D">
        <w:t xml:space="preserve"> </w:t>
      </w:r>
      <w:r w:rsidR="007D706C">
        <w:t>demand treatment with BPAs. An additional 2 non-randomised groups were also included in the trial, all</w:t>
      </w:r>
      <w:r w:rsidR="00F4446A">
        <w:t xml:space="preserve"> of whom</w:t>
      </w:r>
      <w:r w:rsidR="007D706C">
        <w:t xml:space="preserve"> received concizumab prophylaxis. </w:t>
      </w:r>
      <w:r w:rsidR="00D1184E">
        <w:t>In total</w:t>
      </w:r>
      <w:r w:rsidR="00B56844">
        <w:t>,</w:t>
      </w:r>
      <w:r w:rsidR="00D1184E">
        <w:t xml:space="preserve"> 1</w:t>
      </w:r>
      <w:r w:rsidR="0052253F">
        <w:t>33</w:t>
      </w:r>
      <w:r w:rsidR="00D1184E">
        <w:t xml:space="preserve"> patients were enrolled</w:t>
      </w:r>
      <w:r w:rsidR="00C0623A">
        <w:t>. Of the randomised patients, 33 received concizumab</w:t>
      </w:r>
      <w:r w:rsidR="00200BB2">
        <w:t xml:space="preserve"> (for at least 32 weeks)</w:t>
      </w:r>
      <w:r w:rsidR="00C0623A">
        <w:t xml:space="preserve"> and 19 </w:t>
      </w:r>
      <w:r w:rsidR="00B95D80">
        <w:t xml:space="preserve">received </w:t>
      </w:r>
      <w:r w:rsidR="00275E80">
        <w:t>no prophylaxis</w:t>
      </w:r>
      <w:r w:rsidR="00200BB2">
        <w:t xml:space="preserve"> (for at least 24 weeks)</w:t>
      </w:r>
      <w:r w:rsidR="00275E80">
        <w:t>.</w:t>
      </w:r>
      <w:r w:rsidR="00BF5704">
        <w:t xml:space="preserve"> </w:t>
      </w:r>
      <w:r w:rsidR="00200BB2">
        <w:t>The primary outcome was treated spontaneous and traumatic bleeding episodes</w:t>
      </w:r>
      <w:r w:rsidR="00797122">
        <w:t>. Safety, patient reported outcomes</w:t>
      </w:r>
      <w:r w:rsidR="00E34393">
        <w:t>,</w:t>
      </w:r>
      <w:r w:rsidR="00797122">
        <w:t xml:space="preserve"> pharmacokinetics and pharmacodynamics were also assessed </w:t>
      </w:r>
      <w:r w:rsidR="00B606EE">
        <w:t>(Matsushita et al. 2023)</w:t>
      </w:r>
      <w:r w:rsidR="00797122">
        <w:t>.</w:t>
      </w:r>
      <w:r w:rsidR="004A65D0">
        <w:t xml:space="preserve"> No long-term data </w:t>
      </w:r>
      <w:r w:rsidR="00E34393">
        <w:t>are</w:t>
      </w:r>
      <w:r w:rsidR="004A65D0">
        <w:t xml:space="preserve"> ava</w:t>
      </w:r>
      <w:r w:rsidR="00AA27CA">
        <w:t>ilable and the</w:t>
      </w:r>
      <w:r w:rsidR="00953FE7">
        <w:t xml:space="preserve"> number of patients </w:t>
      </w:r>
      <w:r w:rsidR="00F168A5">
        <w:t xml:space="preserve">with cHMB </w:t>
      </w:r>
      <w:r w:rsidR="00953FE7">
        <w:t xml:space="preserve">in the study is small. </w:t>
      </w:r>
    </w:p>
    <w:p w14:paraId="0D4A6A0D" w14:textId="20F52071" w:rsidR="00F201AF" w:rsidRPr="006428B8" w:rsidRDefault="00F201AF" w:rsidP="006B7230">
      <w:r>
        <w:t>The trial included a</w:t>
      </w:r>
      <w:r w:rsidR="001643BF">
        <w:t xml:space="preserve"> treatment pause due to three patients experiencing nonfatal thromboembolic events</w:t>
      </w:r>
      <w:r w:rsidR="004E7AC7">
        <w:t>. Following the treatment pause, the tr</w:t>
      </w:r>
      <w:r w:rsidR="00AB6DDC">
        <w:t xml:space="preserve">ial was restarted and included updated guidance for the management of breakthrough bleeding and </w:t>
      </w:r>
      <w:r w:rsidR="0077302F">
        <w:t>the establishment of the dosing regimen</w:t>
      </w:r>
      <w:r w:rsidR="00EF786F">
        <w:t xml:space="preserve"> that includes dose adjustment following testing of plasma concizumab levels </w:t>
      </w:r>
      <w:r w:rsidR="00324E04">
        <w:t>(Matsushita et al. 2023)</w:t>
      </w:r>
      <w:r w:rsidR="00EF786F">
        <w:t>.</w:t>
      </w:r>
    </w:p>
    <w:p w14:paraId="6DAB2DBD" w14:textId="62EF0495" w:rsidR="000939E0" w:rsidRPr="00490FBB" w:rsidRDefault="000939E0" w:rsidP="00C40CC4">
      <w:pPr>
        <w:pStyle w:val="Caption"/>
      </w:pPr>
      <w:bookmarkStart w:id="12" w:name="_Ref54260209"/>
      <w:bookmarkStart w:id="13" w:name="_Toc423450289"/>
      <w:r w:rsidRPr="00490FBB">
        <w:lastRenderedPageBreak/>
        <w:t>Table</w:t>
      </w:r>
      <w:r w:rsidR="00DE762F">
        <w:t> </w:t>
      </w:r>
      <w:r w:rsidRPr="00490FBB">
        <w:fldChar w:fldCharType="begin"/>
      </w:r>
      <w:r w:rsidRPr="00490FBB">
        <w:instrText xml:space="preserve"> SEQ Table \* ARABIC </w:instrText>
      </w:r>
      <w:r w:rsidRPr="00490FBB">
        <w:fldChar w:fldCharType="separate"/>
      </w:r>
      <w:r w:rsidR="00775C29">
        <w:rPr>
          <w:noProof/>
        </w:rPr>
        <w:t>7</w:t>
      </w:r>
      <w:r w:rsidRPr="00490FBB">
        <w:fldChar w:fldCharType="end"/>
      </w:r>
      <w:bookmarkEnd w:id="12"/>
      <w:r w:rsidR="001A5D2F">
        <w:tab/>
        <w:t>Classification of</w:t>
      </w:r>
      <w:r w:rsidRPr="00490FBB">
        <w:t xml:space="preserve"> comparative effectiveness and safety of the proposed intervention</w:t>
      </w:r>
      <w:r w:rsidR="001A5D2F">
        <w:t>,</w:t>
      </w:r>
      <w:r w:rsidRPr="00490FBB">
        <w:t xml:space="preserve"> compared with its main comparator</w:t>
      </w:r>
      <w:r w:rsidR="001A5D2F">
        <w:t>,</w:t>
      </w:r>
      <w:r w:rsidRPr="00490FBB">
        <w:t xml:space="preserve"> and guide to the suitable type of economic evaluation</w:t>
      </w:r>
      <w:bookmarkEnd w:id="13"/>
    </w:p>
    <w:tbl>
      <w:tblPr>
        <w:tblW w:w="4872" w:type="pct"/>
        <w:tblInd w:w="115" w:type="dxa"/>
        <w:tblLayout w:type="fixed"/>
        <w:tblCellMar>
          <w:left w:w="115" w:type="dxa"/>
          <w:right w:w="115" w:type="dxa"/>
        </w:tblCellMar>
        <w:tblLook w:val="01E0" w:firstRow="1" w:lastRow="1" w:firstColumn="1" w:lastColumn="1" w:noHBand="0" w:noVBand="0"/>
        <w:tblCaption w:val="Classification of the comparative effectiveness and safety of the proposed therapeutic medical service compared with its main comparator and guide to the suitable type of economic evaluation"/>
        <w:tblDescription w:val="The table presents a matrix of comparative safety (inferior, unccertain, non-inferior, superior) against comparative effectiveness (inferior, uncertain, non-inmferior, superior). The intervention is proposed to have superior effectiveness and non-inferior safety and therefore will require a CEA or CUA."/>
      </w:tblPr>
      <w:tblGrid>
        <w:gridCol w:w="2012"/>
        <w:gridCol w:w="1905"/>
        <w:gridCol w:w="2227"/>
        <w:gridCol w:w="1748"/>
        <w:gridCol w:w="1434"/>
      </w:tblGrid>
      <w:tr w:rsidR="00686EED" w:rsidRPr="00490FBB" w14:paraId="5238F44C" w14:textId="77777777" w:rsidTr="00A14CE3">
        <w:trPr>
          <w:tblHeader/>
        </w:trPr>
        <w:tc>
          <w:tcPr>
            <w:tcW w:w="2012" w:type="dxa"/>
            <w:vMerge w:val="restart"/>
            <w:tcBorders>
              <w:top w:val="single" w:sz="4" w:space="0" w:color="auto"/>
              <w:left w:val="single" w:sz="4" w:space="0" w:color="auto"/>
              <w:right w:val="single" w:sz="4" w:space="0" w:color="auto"/>
            </w:tcBorders>
          </w:tcPr>
          <w:p w14:paraId="5B06A6EA" w14:textId="1EB7E39D" w:rsidR="00686EED" w:rsidRPr="00490FBB" w:rsidRDefault="00686EED" w:rsidP="00C40CC4">
            <w:pPr>
              <w:pStyle w:val="TableHeading"/>
            </w:pPr>
            <w:bookmarkStart w:id="14" w:name="Title_Table2" w:colFirst="0" w:colLast="0"/>
            <w:r w:rsidRPr="00490FBB">
              <w:t>Comparative safety</w:t>
            </w:r>
          </w:p>
        </w:tc>
        <w:tc>
          <w:tcPr>
            <w:tcW w:w="1905" w:type="dxa"/>
            <w:tcBorders>
              <w:top w:val="single" w:sz="4" w:space="0" w:color="auto"/>
              <w:left w:val="single" w:sz="4" w:space="0" w:color="auto"/>
              <w:bottom w:val="single" w:sz="4" w:space="0" w:color="auto"/>
              <w:right w:val="nil"/>
            </w:tcBorders>
          </w:tcPr>
          <w:p w14:paraId="293E5792" w14:textId="77777777" w:rsidR="00686EED" w:rsidRPr="00490FBB" w:rsidRDefault="00686EED" w:rsidP="00C40CC4">
            <w:pPr>
              <w:pStyle w:val="TableHeading"/>
              <w:jc w:val="center"/>
            </w:pPr>
          </w:p>
        </w:tc>
        <w:tc>
          <w:tcPr>
            <w:tcW w:w="2227" w:type="dxa"/>
            <w:tcBorders>
              <w:top w:val="single" w:sz="4" w:space="0" w:color="auto"/>
              <w:left w:val="nil"/>
              <w:bottom w:val="single" w:sz="4" w:space="0" w:color="auto"/>
            </w:tcBorders>
          </w:tcPr>
          <w:p w14:paraId="57B2397B" w14:textId="77777777" w:rsidR="00686EED" w:rsidRPr="00490FBB" w:rsidRDefault="00686EED" w:rsidP="00C40CC4">
            <w:pPr>
              <w:pStyle w:val="TableHeading"/>
              <w:ind w:left="-75" w:right="-127"/>
              <w:jc w:val="center"/>
            </w:pPr>
            <w:r w:rsidRPr="00490FBB">
              <w:t>Comparative effectiveness</w:t>
            </w:r>
          </w:p>
        </w:tc>
        <w:tc>
          <w:tcPr>
            <w:tcW w:w="1748" w:type="dxa"/>
            <w:tcBorders>
              <w:top w:val="single" w:sz="4" w:space="0" w:color="auto"/>
              <w:left w:val="nil"/>
              <w:bottom w:val="single" w:sz="4" w:space="0" w:color="auto"/>
            </w:tcBorders>
          </w:tcPr>
          <w:p w14:paraId="6B53FB6C" w14:textId="77777777" w:rsidR="00686EED" w:rsidRPr="00490FBB" w:rsidRDefault="00686EED" w:rsidP="00C40CC4">
            <w:pPr>
              <w:pStyle w:val="TableHeading"/>
              <w:jc w:val="center"/>
            </w:pPr>
          </w:p>
        </w:tc>
        <w:tc>
          <w:tcPr>
            <w:tcW w:w="1434" w:type="dxa"/>
            <w:tcBorders>
              <w:top w:val="single" w:sz="4" w:space="0" w:color="auto"/>
              <w:left w:val="nil"/>
              <w:bottom w:val="single" w:sz="4" w:space="0" w:color="auto"/>
              <w:right w:val="single" w:sz="4" w:space="0" w:color="auto"/>
            </w:tcBorders>
          </w:tcPr>
          <w:p w14:paraId="0FE152FA" w14:textId="77777777" w:rsidR="00686EED" w:rsidRPr="00490FBB" w:rsidRDefault="00686EED" w:rsidP="00C40CC4">
            <w:pPr>
              <w:pStyle w:val="TableHeading"/>
              <w:jc w:val="center"/>
            </w:pPr>
          </w:p>
        </w:tc>
      </w:tr>
      <w:bookmarkEnd w:id="14"/>
      <w:tr w:rsidR="00686EED" w:rsidRPr="00490FBB" w14:paraId="78A8F3F1" w14:textId="77777777" w:rsidTr="00A14CE3">
        <w:trPr>
          <w:tblHeader/>
        </w:trPr>
        <w:tc>
          <w:tcPr>
            <w:tcW w:w="2012" w:type="dxa"/>
            <w:vMerge/>
            <w:tcBorders>
              <w:left w:val="single" w:sz="4" w:space="0" w:color="auto"/>
              <w:bottom w:val="single" w:sz="4" w:space="0" w:color="auto"/>
              <w:right w:val="single" w:sz="4" w:space="0" w:color="auto"/>
            </w:tcBorders>
          </w:tcPr>
          <w:p w14:paraId="6E00D947" w14:textId="57BEC7DE" w:rsidR="00686EED" w:rsidRPr="00490FBB" w:rsidRDefault="00686EED" w:rsidP="00C40CC4">
            <w:pPr>
              <w:pStyle w:val="TableHeading"/>
            </w:pPr>
          </w:p>
        </w:tc>
        <w:tc>
          <w:tcPr>
            <w:tcW w:w="1905" w:type="dxa"/>
            <w:tcBorders>
              <w:left w:val="single" w:sz="4" w:space="0" w:color="auto"/>
              <w:bottom w:val="single" w:sz="4" w:space="0" w:color="auto"/>
              <w:right w:val="single" w:sz="4" w:space="0" w:color="auto"/>
            </w:tcBorders>
          </w:tcPr>
          <w:p w14:paraId="319C788C" w14:textId="77777777" w:rsidR="00686EED" w:rsidRPr="00490FBB" w:rsidRDefault="00686EED" w:rsidP="00C40CC4">
            <w:pPr>
              <w:pStyle w:val="TableHeading"/>
              <w:jc w:val="center"/>
            </w:pPr>
            <w:r w:rsidRPr="00490FBB">
              <w:t>Inferior</w:t>
            </w:r>
          </w:p>
        </w:tc>
        <w:tc>
          <w:tcPr>
            <w:tcW w:w="2227" w:type="dxa"/>
            <w:tcBorders>
              <w:top w:val="single" w:sz="4" w:space="0" w:color="auto"/>
              <w:left w:val="single" w:sz="4" w:space="0" w:color="auto"/>
              <w:bottom w:val="single" w:sz="4" w:space="0" w:color="auto"/>
              <w:right w:val="single" w:sz="4" w:space="0" w:color="auto"/>
            </w:tcBorders>
          </w:tcPr>
          <w:p w14:paraId="5AC96128" w14:textId="77777777" w:rsidR="00686EED" w:rsidRPr="00490FBB" w:rsidRDefault="00686EED" w:rsidP="00C40CC4">
            <w:pPr>
              <w:pStyle w:val="TableHeading"/>
              <w:jc w:val="center"/>
            </w:pPr>
            <w:r w:rsidRPr="00490FBB">
              <w:t>Uncertain</w:t>
            </w:r>
            <w:r w:rsidRPr="00490FBB">
              <w:rPr>
                <w:vertAlign w:val="superscript"/>
              </w:rPr>
              <w:t>a</w:t>
            </w:r>
          </w:p>
        </w:tc>
        <w:tc>
          <w:tcPr>
            <w:tcW w:w="1748" w:type="dxa"/>
            <w:tcBorders>
              <w:top w:val="single" w:sz="4" w:space="0" w:color="auto"/>
              <w:left w:val="single" w:sz="4" w:space="0" w:color="auto"/>
              <w:bottom w:val="single" w:sz="4" w:space="0" w:color="auto"/>
              <w:right w:val="single" w:sz="4" w:space="0" w:color="auto"/>
            </w:tcBorders>
          </w:tcPr>
          <w:p w14:paraId="7AA1349D" w14:textId="4BA1ADFE" w:rsidR="00686EED" w:rsidRPr="00490FBB" w:rsidRDefault="00686EED" w:rsidP="00C40CC4">
            <w:pPr>
              <w:pStyle w:val="TableHeading"/>
              <w:jc w:val="center"/>
            </w:pPr>
            <w:r w:rsidRPr="00490FBB">
              <w:t>Noninferior</w:t>
            </w:r>
            <w:r w:rsidRPr="00490FBB">
              <w:rPr>
                <w:vertAlign w:val="superscript"/>
              </w:rPr>
              <w:t>b</w:t>
            </w:r>
          </w:p>
        </w:tc>
        <w:tc>
          <w:tcPr>
            <w:tcW w:w="1434" w:type="dxa"/>
            <w:tcBorders>
              <w:top w:val="single" w:sz="4" w:space="0" w:color="auto"/>
              <w:left w:val="single" w:sz="4" w:space="0" w:color="auto"/>
              <w:bottom w:val="single" w:sz="4" w:space="0" w:color="auto"/>
              <w:right w:val="single" w:sz="4" w:space="0" w:color="auto"/>
            </w:tcBorders>
          </w:tcPr>
          <w:p w14:paraId="156C5942" w14:textId="77777777" w:rsidR="00686EED" w:rsidRPr="00490FBB" w:rsidRDefault="00686EED" w:rsidP="00C40CC4">
            <w:pPr>
              <w:pStyle w:val="TableHeading"/>
              <w:jc w:val="center"/>
            </w:pPr>
            <w:r w:rsidRPr="00490FBB">
              <w:t>Superior</w:t>
            </w:r>
          </w:p>
        </w:tc>
      </w:tr>
      <w:tr w:rsidR="000939E0" w:rsidRPr="00490FBB" w14:paraId="1E111DC3" w14:textId="77777777" w:rsidTr="00A14CE3">
        <w:tc>
          <w:tcPr>
            <w:tcW w:w="2012" w:type="dxa"/>
            <w:tcBorders>
              <w:top w:val="single" w:sz="4" w:space="0" w:color="auto"/>
              <w:left w:val="single" w:sz="4" w:space="0" w:color="auto"/>
              <w:bottom w:val="single" w:sz="4" w:space="0" w:color="auto"/>
              <w:right w:val="single" w:sz="4" w:space="0" w:color="auto"/>
            </w:tcBorders>
            <w:vAlign w:val="center"/>
          </w:tcPr>
          <w:p w14:paraId="04A362E2" w14:textId="77777777" w:rsidR="000939E0" w:rsidRPr="00490FBB" w:rsidRDefault="000939E0" w:rsidP="00C40CC4">
            <w:pPr>
              <w:pStyle w:val="Tabletext"/>
              <w:keepNext/>
            </w:pPr>
            <w:r w:rsidRPr="00490FBB">
              <w:t>Inferior</w:t>
            </w:r>
          </w:p>
        </w:tc>
        <w:tc>
          <w:tcPr>
            <w:tcW w:w="1905" w:type="dxa"/>
            <w:tcBorders>
              <w:top w:val="single" w:sz="4" w:space="0" w:color="auto"/>
              <w:left w:val="single" w:sz="4" w:space="0" w:color="auto"/>
              <w:bottom w:val="single" w:sz="4" w:space="0" w:color="auto"/>
              <w:right w:val="single" w:sz="4" w:space="0" w:color="auto"/>
            </w:tcBorders>
            <w:vAlign w:val="center"/>
          </w:tcPr>
          <w:p w14:paraId="0B15352C" w14:textId="77777777" w:rsidR="000939E0" w:rsidRPr="00490FBB" w:rsidRDefault="000939E0" w:rsidP="00C40CC4">
            <w:pPr>
              <w:pStyle w:val="Tabletext"/>
              <w:keepNext/>
            </w:pPr>
            <w:r w:rsidRPr="00490FBB">
              <w:t>Health forgone: need other supportive factors</w:t>
            </w:r>
          </w:p>
        </w:tc>
        <w:tc>
          <w:tcPr>
            <w:tcW w:w="2227" w:type="dxa"/>
            <w:tcBorders>
              <w:top w:val="single" w:sz="4" w:space="0" w:color="auto"/>
              <w:left w:val="single" w:sz="4" w:space="0" w:color="auto"/>
              <w:bottom w:val="single" w:sz="4" w:space="0" w:color="auto"/>
              <w:right w:val="single" w:sz="4" w:space="0" w:color="auto"/>
            </w:tcBorders>
            <w:vAlign w:val="center"/>
          </w:tcPr>
          <w:p w14:paraId="47A58DE2" w14:textId="77777777" w:rsidR="000939E0" w:rsidRPr="00490FBB" w:rsidRDefault="000939E0" w:rsidP="00C40CC4">
            <w:pPr>
              <w:pStyle w:val="Tabletext"/>
              <w:keepNext/>
            </w:pPr>
            <w:r w:rsidRPr="00490FBB">
              <w:t>Health forgone possible: need other supportive factors</w:t>
            </w:r>
          </w:p>
        </w:tc>
        <w:tc>
          <w:tcPr>
            <w:tcW w:w="1748" w:type="dxa"/>
            <w:tcBorders>
              <w:top w:val="single" w:sz="4" w:space="0" w:color="auto"/>
              <w:left w:val="single" w:sz="4" w:space="0" w:color="auto"/>
              <w:bottom w:val="single" w:sz="4" w:space="0" w:color="auto"/>
              <w:right w:val="single" w:sz="4" w:space="0" w:color="auto"/>
            </w:tcBorders>
            <w:vAlign w:val="center"/>
          </w:tcPr>
          <w:p w14:paraId="3540FA15" w14:textId="77777777" w:rsidR="000939E0" w:rsidRPr="00490FBB" w:rsidRDefault="000939E0" w:rsidP="00C40CC4">
            <w:pPr>
              <w:pStyle w:val="Tabletext"/>
              <w:keepNext/>
            </w:pPr>
            <w:r w:rsidRPr="00490FBB">
              <w:t>Health forgone: need other supportive factors</w:t>
            </w:r>
          </w:p>
        </w:tc>
        <w:tc>
          <w:tcPr>
            <w:tcW w:w="1434" w:type="dxa"/>
            <w:tcBorders>
              <w:top w:val="single" w:sz="4" w:space="0" w:color="auto"/>
              <w:left w:val="single" w:sz="4" w:space="0" w:color="auto"/>
              <w:bottom w:val="single" w:sz="4" w:space="0" w:color="auto"/>
              <w:right w:val="single" w:sz="4" w:space="0" w:color="auto"/>
            </w:tcBorders>
            <w:vAlign w:val="center"/>
          </w:tcPr>
          <w:p w14:paraId="18C6CF73" w14:textId="77777777" w:rsidR="000939E0" w:rsidRPr="00490FBB" w:rsidRDefault="000939E0" w:rsidP="00C40CC4">
            <w:pPr>
              <w:pStyle w:val="Tabletext"/>
              <w:keepNext/>
            </w:pPr>
            <w:r w:rsidRPr="00490FBB">
              <w:t>? Likely CUA</w:t>
            </w:r>
          </w:p>
        </w:tc>
      </w:tr>
      <w:tr w:rsidR="000939E0" w:rsidRPr="00490FBB" w14:paraId="463C2753" w14:textId="77777777" w:rsidTr="00A14CE3">
        <w:tc>
          <w:tcPr>
            <w:tcW w:w="2012" w:type="dxa"/>
            <w:tcBorders>
              <w:top w:val="single" w:sz="4" w:space="0" w:color="auto"/>
              <w:left w:val="single" w:sz="4" w:space="0" w:color="auto"/>
              <w:bottom w:val="single" w:sz="4" w:space="0" w:color="auto"/>
              <w:right w:val="single" w:sz="4" w:space="0" w:color="auto"/>
            </w:tcBorders>
            <w:vAlign w:val="center"/>
          </w:tcPr>
          <w:p w14:paraId="11AF710C" w14:textId="77777777" w:rsidR="000939E0" w:rsidRPr="00490FBB" w:rsidRDefault="000939E0" w:rsidP="00C40CC4">
            <w:pPr>
              <w:pStyle w:val="Tabletext"/>
              <w:keepNext/>
            </w:pPr>
            <w:r w:rsidRPr="00490FBB">
              <w:t>Uncertain</w:t>
            </w:r>
            <w:r w:rsidRPr="00490FBB">
              <w:rPr>
                <w:vertAlign w:val="superscript"/>
              </w:rPr>
              <w:t>a</w:t>
            </w:r>
          </w:p>
        </w:tc>
        <w:tc>
          <w:tcPr>
            <w:tcW w:w="1905" w:type="dxa"/>
            <w:tcBorders>
              <w:top w:val="single" w:sz="4" w:space="0" w:color="auto"/>
              <w:left w:val="single" w:sz="4" w:space="0" w:color="auto"/>
              <w:bottom w:val="single" w:sz="4" w:space="0" w:color="auto"/>
              <w:right w:val="single" w:sz="4" w:space="0" w:color="auto"/>
            </w:tcBorders>
            <w:vAlign w:val="center"/>
          </w:tcPr>
          <w:p w14:paraId="12909D79" w14:textId="77777777" w:rsidR="000939E0" w:rsidRPr="00490FBB" w:rsidRDefault="000939E0" w:rsidP="00C40CC4">
            <w:pPr>
              <w:pStyle w:val="Tabletext"/>
              <w:keepNext/>
            </w:pPr>
            <w:r w:rsidRPr="00490FBB">
              <w:t>Health forgone possible: need other supportive factors</w:t>
            </w:r>
          </w:p>
        </w:tc>
        <w:tc>
          <w:tcPr>
            <w:tcW w:w="2227" w:type="dxa"/>
            <w:tcBorders>
              <w:top w:val="single" w:sz="4" w:space="0" w:color="auto"/>
              <w:left w:val="single" w:sz="4" w:space="0" w:color="auto"/>
              <w:bottom w:val="single" w:sz="4" w:space="0" w:color="auto"/>
              <w:right w:val="single" w:sz="4" w:space="0" w:color="auto"/>
            </w:tcBorders>
            <w:vAlign w:val="center"/>
          </w:tcPr>
          <w:p w14:paraId="50F5E2B4" w14:textId="77777777" w:rsidR="000939E0" w:rsidRPr="00490FBB" w:rsidRDefault="000939E0" w:rsidP="00C40CC4">
            <w:pPr>
              <w:pStyle w:val="Tabletext"/>
              <w:keepNext/>
            </w:pPr>
            <w:r w:rsidRPr="00490FBB">
              <w:t>?</w:t>
            </w:r>
          </w:p>
        </w:tc>
        <w:tc>
          <w:tcPr>
            <w:tcW w:w="1748" w:type="dxa"/>
            <w:tcBorders>
              <w:top w:val="single" w:sz="4" w:space="0" w:color="auto"/>
              <w:left w:val="single" w:sz="4" w:space="0" w:color="auto"/>
              <w:bottom w:val="single" w:sz="4" w:space="0" w:color="auto"/>
              <w:right w:val="single" w:sz="4" w:space="0" w:color="auto"/>
            </w:tcBorders>
            <w:vAlign w:val="center"/>
          </w:tcPr>
          <w:p w14:paraId="0406F2A1" w14:textId="77777777" w:rsidR="000939E0" w:rsidRPr="00490FBB" w:rsidRDefault="000939E0" w:rsidP="00C40CC4">
            <w:pPr>
              <w:pStyle w:val="Tabletext"/>
              <w:keepNext/>
            </w:pPr>
            <w:r w:rsidRPr="00490FBB">
              <w:t>?</w:t>
            </w:r>
          </w:p>
        </w:tc>
        <w:tc>
          <w:tcPr>
            <w:tcW w:w="1434" w:type="dxa"/>
            <w:tcBorders>
              <w:top w:val="single" w:sz="4" w:space="0" w:color="auto"/>
              <w:left w:val="single" w:sz="4" w:space="0" w:color="auto"/>
              <w:bottom w:val="single" w:sz="4" w:space="0" w:color="auto"/>
              <w:right w:val="single" w:sz="4" w:space="0" w:color="auto"/>
            </w:tcBorders>
            <w:vAlign w:val="center"/>
          </w:tcPr>
          <w:p w14:paraId="1996B8CC" w14:textId="77777777" w:rsidR="000939E0" w:rsidRPr="00490FBB" w:rsidRDefault="000939E0" w:rsidP="00C40CC4">
            <w:pPr>
              <w:pStyle w:val="Tabletext"/>
              <w:keepNext/>
            </w:pPr>
            <w:r w:rsidRPr="00490FBB">
              <w:t>? Likely CEA/CUA</w:t>
            </w:r>
          </w:p>
        </w:tc>
      </w:tr>
      <w:tr w:rsidR="000939E0" w:rsidRPr="00490FBB" w14:paraId="47335FF9" w14:textId="77777777" w:rsidTr="00A14CE3">
        <w:tc>
          <w:tcPr>
            <w:tcW w:w="2012" w:type="dxa"/>
            <w:tcBorders>
              <w:top w:val="single" w:sz="4" w:space="0" w:color="auto"/>
              <w:left w:val="single" w:sz="4" w:space="0" w:color="auto"/>
              <w:bottom w:val="single" w:sz="4" w:space="0" w:color="auto"/>
              <w:right w:val="single" w:sz="4" w:space="0" w:color="auto"/>
            </w:tcBorders>
            <w:vAlign w:val="center"/>
          </w:tcPr>
          <w:p w14:paraId="0CBD845B" w14:textId="149CC18B" w:rsidR="000939E0" w:rsidRPr="00490FBB" w:rsidRDefault="000939E0" w:rsidP="00C40CC4">
            <w:pPr>
              <w:pStyle w:val="Tabletext"/>
              <w:keepNext/>
            </w:pPr>
            <w:r w:rsidRPr="00490FBB">
              <w:t>Noninferior</w:t>
            </w:r>
            <w:r w:rsidRPr="00490FBB">
              <w:rPr>
                <w:vertAlign w:val="superscript"/>
              </w:rPr>
              <w:t>b</w:t>
            </w:r>
          </w:p>
        </w:tc>
        <w:tc>
          <w:tcPr>
            <w:tcW w:w="1905" w:type="dxa"/>
            <w:tcBorders>
              <w:top w:val="single" w:sz="4" w:space="0" w:color="auto"/>
              <w:left w:val="single" w:sz="4" w:space="0" w:color="auto"/>
              <w:bottom w:val="single" w:sz="4" w:space="0" w:color="auto"/>
              <w:right w:val="single" w:sz="4" w:space="0" w:color="auto"/>
            </w:tcBorders>
            <w:vAlign w:val="center"/>
          </w:tcPr>
          <w:p w14:paraId="5D8B4B6F" w14:textId="77777777" w:rsidR="000939E0" w:rsidRPr="00490FBB" w:rsidRDefault="000939E0" w:rsidP="00C40CC4">
            <w:pPr>
              <w:pStyle w:val="Tabletext"/>
              <w:keepNext/>
            </w:pPr>
            <w:r w:rsidRPr="00490FBB">
              <w:t>Health forgone: need other supportive factors</w:t>
            </w:r>
          </w:p>
        </w:tc>
        <w:tc>
          <w:tcPr>
            <w:tcW w:w="2227" w:type="dxa"/>
            <w:tcBorders>
              <w:top w:val="single" w:sz="4" w:space="0" w:color="auto"/>
              <w:left w:val="single" w:sz="4" w:space="0" w:color="auto"/>
              <w:bottom w:val="single" w:sz="4" w:space="0" w:color="auto"/>
              <w:right w:val="single" w:sz="4" w:space="0" w:color="auto"/>
            </w:tcBorders>
            <w:vAlign w:val="center"/>
          </w:tcPr>
          <w:p w14:paraId="43D9B9E4" w14:textId="77777777" w:rsidR="000939E0" w:rsidRPr="00490FBB" w:rsidRDefault="000939E0" w:rsidP="00C40CC4">
            <w:pPr>
              <w:pStyle w:val="Tabletext"/>
              <w:keepNext/>
            </w:pPr>
            <w:r w:rsidRPr="00490FBB">
              <w:t>?</w:t>
            </w:r>
          </w:p>
        </w:tc>
        <w:tc>
          <w:tcPr>
            <w:tcW w:w="1748" w:type="dxa"/>
            <w:tcBorders>
              <w:top w:val="single" w:sz="4" w:space="0" w:color="auto"/>
              <w:left w:val="single" w:sz="4" w:space="0" w:color="auto"/>
              <w:bottom w:val="single" w:sz="4" w:space="0" w:color="auto"/>
              <w:right w:val="single" w:sz="4" w:space="0" w:color="auto"/>
            </w:tcBorders>
            <w:vAlign w:val="center"/>
          </w:tcPr>
          <w:p w14:paraId="12BD2E22" w14:textId="77777777" w:rsidR="000939E0" w:rsidRPr="00490FBB" w:rsidRDefault="000939E0" w:rsidP="00C40CC4">
            <w:pPr>
              <w:pStyle w:val="Tabletext"/>
              <w:keepNext/>
            </w:pPr>
            <w:r w:rsidRPr="00490FBB">
              <w:t>CMA</w:t>
            </w:r>
          </w:p>
        </w:tc>
        <w:tc>
          <w:tcPr>
            <w:tcW w:w="14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9F7AB5" w14:textId="77777777" w:rsidR="000939E0" w:rsidRPr="00490FBB" w:rsidRDefault="000939E0" w:rsidP="00C40CC4">
            <w:pPr>
              <w:pStyle w:val="Tabletext"/>
              <w:keepNext/>
            </w:pPr>
            <w:r w:rsidRPr="00490FBB">
              <w:t>CEA/CUA</w:t>
            </w:r>
          </w:p>
        </w:tc>
      </w:tr>
      <w:tr w:rsidR="000939E0" w:rsidRPr="00490FBB" w14:paraId="41AB5715" w14:textId="77777777" w:rsidTr="00A14CE3">
        <w:tc>
          <w:tcPr>
            <w:tcW w:w="2012" w:type="dxa"/>
            <w:tcBorders>
              <w:top w:val="single" w:sz="4" w:space="0" w:color="auto"/>
              <w:left w:val="single" w:sz="4" w:space="0" w:color="auto"/>
              <w:bottom w:val="single" w:sz="4" w:space="0" w:color="auto"/>
              <w:right w:val="single" w:sz="4" w:space="0" w:color="auto"/>
            </w:tcBorders>
            <w:vAlign w:val="center"/>
          </w:tcPr>
          <w:p w14:paraId="18F5B4CB" w14:textId="77777777" w:rsidR="000939E0" w:rsidRPr="00490FBB" w:rsidRDefault="000939E0" w:rsidP="00C40CC4">
            <w:pPr>
              <w:pStyle w:val="Tabletext"/>
              <w:keepNext/>
            </w:pPr>
            <w:r w:rsidRPr="00490FBB">
              <w:t>Superior</w:t>
            </w:r>
          </w:p>
        </w:tc>
        <w:tc>
          <w:tcPr>
            <w:tcW w:w="1905" w:type="dxa"/>
            <w:tcBorders>
              <w:top w:val="single" w:sz="4" w:space="0" w:color="auto"/>
              <w:left w:val="single" w:sz="4" w:space="0" w:color="auto"/>
              <w:bottom w:val="single" w:sz="4" w:space="0" w:color="auto"/>
              <w:right w:val="single" w:sz="4" w:space="0" w:color="auto"/>
            </w:tcBorders>
            <w:vAlign w:val="center"/>
          </w:tcPr>
          <w:p w14:paraId="2525815A" w14:textId="77777777" w:rsidR="000939E0" w:rsidRPr="00490FBB" w:rsidRDefault="000939E0" w:rsidP="00C40CC4">
            <w:pPr>
              <w:pStyle w:val="Tabletext"/>
              <w:keepNext/>
            </w:pPr>
            <w:r w:rsidRPr="00490FBB">
              <w:t>? Likely CUA</w:t>
            </w:r>
          </w:p>
        </w:tc>
        <w:tc>
          <w:tcPr>
            <w:tcW w:w="2227" w:type="dxa"/>
            <w:tcBorders>
              <w:top w:val="single" w:sz="4" w:space="0" w:color="auto"/>
              <w:left w:val="single" w:sz="4" w:space="0" w:color="auto"/>
              <w:bottom w:val="single" w:sz="4" w:space="0" w:color="auto"/>
              <w:right w:val="single" w:sz="4" w:space="0" w:color="auto"/>
            </w:tcBorders>
            <w:vAlign w:val="center"/>
          </w:tcPr>
          <w:p w14:paraId="2AE0169D" w14:textId="77777777" w:rsidR="000939E0" w:rsidRPr="00490FBB" w:rsidRDefault="000939E0" w:rsidP="00C40CC4">
            <w:pPr>
              <w:pStyle w:val="Tabletext"/>
              <w:keepNext/>
            </w:pPr>
            <w:r w:rsidRPr="00490FBB">
              <w:t>? Likely CEA/CUA</w:t>
            </w:r>
          </w:p>
        </w:tc>
        <w:tc>
          <w:tcPr>
            <w:tcW w:w="1748" w:type="dxa"/>
            <w:tcBorders>
              <w:top w:val="single" w:sz="4" w:space="0" w:color="auto"/>
              <w:left w:val="single" w:sz="4" w:space="0" w:color="auto"/>
              <w:bottom w:val="single" w:sz="4" w:space="0" w:color="auto"/>
              <w:right w:val="single" w:sz="4" w:space="0" w:color="auto"/>
            </w:tcBorders>
            <w:vAlign w:val="center"/>
          </w:tcPr>
          <w:p w14:paraId="71D0525C" w14:textId="77777777" w:rsidR="000939E0" w:rsidRPr="00490FBB" w:rsidRDefault="000939E0" w:rsidP="00C40CC4">
            <w:pPr>
              <w:pStyle w:val="Tabletext"/>
              <w:keepNext/>
            </w:pPr>
            <w:r w:rsidRPr="00490FBB">
              <w:t>CEA/CUA</w:t>
            </w:r>
          </w:p>
        </w:tc>
        <w:tc>
          <w:tcPr>
            <w:tcW w:w="1434" w:type="dxa"/>
            <w:tcBorders>
              <w:top w:val="single" w:sz="4" w:space="0" w:color="auto"/>
              <w:left w:val="single" w:sz="4" w:space="0" w:color="auto"/>
              <w:bottom w:val="single" w:sz="4" w:space="0" w:color="auto"/>
              <w:right w:val="single" w:sz="4" w:space="0" w:color="auto"/>
            </w:tcBorders>
            <w:vAlign w:val="center"/>
          </w:tcPr>
          <w:p w14:paraId="5FF47EA5" w14:textId="77777777" w:rsidR="000939E0" w:rsidRPr="00490FBB" w:rsidRDefault="000939E0" w:rsidP="00C40CC4">
            <w:pPr>
              <w:pStyle w:val="Tabletext"/>
              <w:keepNext/>
            </w:pPr>
            <w:r w:rsidRPr="00490FBB">
              <w:t>CEA/CUA</w:t>
            </w:r>
          </w:p>
        </w:tc>
      </w:tr>
    </w:tbl>
    <w:p w14:paraId="6538A3FB" w14:textId="2D9D7F11" w:rsidR="000939E0" w:rsidRPr="00490FBB" w:rsidRDefault="000939E0" w:rsidP="00C93508">
      <w:pPr>
        <w:pStyle w:val="Tablenotes"/>
        <w:keepNext/>
        <w:spacing w:before="120" w:after="0"/>
        <w:rPr>
          <w:szCs w:val="18"/>
        </w:rPr>
      </w:pPr>
      <w:r w:rsidRPr="00490FBB">
        <w:rPr>
          <w:szCs w:val="18"/>
        </w:rPr>
        <w:t>CEA=cost-effectiveness analysis; CMA=cost-minimisation analysis; CUA=cost-utility analysis</w:t>
      </w:r>
      <w:r w:rsidR="007628BD">
        <w:rPr>
          <w:szCs w:val="18"/>
        </w:rPr>
        <w:t>.</w:t>
      </w:r>
    </w:p>
    <w:p w14:paraId="48F7CED7" w14:textId="56194DF3" w:rsidR="000939E0" w:rsidRPr="00490FBB" w:rsidRDefault="000939E0" w:rsidP="00C93508">
      <w:pPr>
        <w:pStyle w:val="Tablenotes"/>
        <w:keepNext/>
        <w:spacing w:after="0"/>
        <w:rPr>
          <w:b/>
          <w:szCs w:val="18"/>
        </w:rPr>
      </w:pPr>
      <w:r w:rsidRPr="00490FBB">
        <w:rPr>
          <w:szCs w:val="18"/>
        </w:rPr>
        <w:t>? = reflect uncertainties and any identified health trade-offs in the economic evaluation, as a minimum in a cost-consequences analysis</w:t>
      </w:r>
      <w:r w:rsidR="007628BD">
        <w:rPr>
          <w:szCs w:val="18"/>
        </w:rPr>
        <w:t>.</w:t>
      </w:r>
      <w:r w:rsidRPr="00490FBB">
        <w:rPr>
          <w:szCs w:val="18"/>
        </w:rPr>
        <w:t xml:space="preserve"> </w:t>
      </w:r>
    </w:p>
    <w:p w14:paraId="65C6F534" w14:textId="74123DF5" w:rsidR="000939E0" w:rsidRPr="00490FBB" w:rsidRDefault="000939E0" w:rsidP="00C93508">
      <w:pPr>
        <w:pStyle w:val="Tablenotes"/>
        <w:keepNext/>
        <w:spacing w:after="0"/>
        <w:rPr>
          <w:b/>
          <w:szCs w:val="18"/>
        </w:rPr>
      </w:pPr>
      <w:r w:rsidRPr="00490FBB">
        <w:rPr>
          <w:szCs w:val="18"/>
          <w:vertAlign w:val="superscript"/>
        </w:rPr>
        <w:t>a</w:t>
      </w:r>
      <w:r w:rsidRPr="00490FBB">
        <w:rPr>
          <w:szCs w:val="18"/>
        </w:rPr>
        <w:t> ‘Uncertainty’ covers concepts such as inadequate minimisation of important sources of bias, lack of statistical significance in an underpowered trial, detecting clinically unimportant therapeutic differences, inconsistent results across trials, and trade-offs within the comparative effectiveness and/or the comparative safety considerations</w:t>
      </w:r>
      <w:r w:rsidR="007628BD">
        <w:rPr>
          <w:szCs w:val="18"/>
        </w:rPr>
        <w:t>.</w:t>
      </w:r>
    </w:p>
    <w:p w14:paraId="1CB9C9B3" w14:textId="0760B327" w:rsidR="000939E0" w:rsidRPr="00490FBB" w:rsidRDefault="000939E0" w:rsidP="00C93508">
      <w:pPr>
        <w:pStyle w:val="Tablenotes"/>
        <w:spacing w:after="0"/>
        <w:rPr>
          <w:szCs w:val="18"/>
        </w:rPr>
      </w:pPr>
      <w:r w:rsidRPr="00490FBB">
        <w:rPr>
          <w:szCs w:val="18"/>
          <w:vertAlign w:val="superscript"/>
        </w:rPr>
        <w:t>b</w:t>
      </w:r>
      <w:r w:rsidRPr="00490FBB">
        <w:rPr>
          <w:szCs w:val="18"/>
        </w:rPr>
        <w:t> An adequate assessment of ‘noninferiority’ is the preferred basis for demonstrating equivalence</w:t>
      </w:r>
      <w:r w:rsidR="007628BD">
        <w:rPr>
          <w:szCs w:val="18"/>
        </w:rPr>
        <w:t>.</w:t>
      </w:r>
    </w:p>
    <w:p w14:paraId="331D992F" w14:textId="77777777" w:rsidR="00DC173F" w:rsidRDefault="00DC173F" w:rsidP="00DC173F"/>
    <w:p w14:paraId="3A165731" w14:textId="77777777" w:rsidR="001E6E1A" w:rsidRPr="00775360" w:rsidRDefault="001E6E1A" w:rsidP="00775360">
      <w:pPr>
        <w:rPr>
          <w:i/>
          <w:iCs/>
        </w:rPr>
      </w:pPr>
      <w:r w:rsidRPr="00775360">
        <w:rPr>
          <w:i/>
          <w:iCs/>
        </w:rPr>
        <w:t xml:space="preserve">PASC noted that the economic evaluation is complicated by the lack of an established cost-effectiveness for the comparator. PASC requested clarification on the proposed economic evaluation based on the applicant’s pre-PASC response. The applicant proposed to undertake an approach similar to that used in Application 1510 (emicizumab), described as a cost-consequence analysis, but essentially a cost minimisation analysis that takes into account the reduced bleeding rates associated with concizumab. The main cost driver will be on-demand treatment with rFVIIa. PASC noted that this approach assumes no cost difference in any other aspects of treatment. PASC advised that this assumption must be explicitly stated in the ADAR and supported with appropriate justification. </w:t>
      </w:r>
    </w:p>
    <w:p w14:paraId="59A9B7A8" w14:textId="3BC4D3B0" w:rsidR="00DC173F" w:rsidRPr="006210F9" w:rsidRDefault="001E6E1A" w:rsidP="00DC173F">
      <w:pPr>
        <w:rPr>
          <w:i/>
          <w:iCs/>
        </w:rPr>
      </w:pPr>
      <w:r w:rsidRPr="00775360">
        <w:rPr>
          <w:i/>
          <w:iCs/>
        </w:rPr>
        <w:t xml:space="preserve">PASC also advised the </w:t>
      </w:r>
      <w:r w:rsidR="00A37559">
        <w:rPr>
          <w:i/>
          <w:iCs/>
        </w:rPr>
        <w:t>d</w:t>
      </w:r>
      <w:r w:rsidRPr="00775360">
        <w:rPr>
          <w:i/>
          <w:iCs/>
        </w:rPr>
        <w:t>epartment to consider establishing the cost effectiveness of BPAs. The current approach involves cost-minimising concizumab against BPAs and other newer agents, all of which have been cost-minimised against each other without a clear, established cost-effectiveness benchmark. PASC raised concerns that BPAs such as rFVIIa are very expensive, which challenges the validity of the cost-minimisation approach.</w:t>
      </w:r>
    </w:p>
    <w:p w14:paraId="047E4738" w14:textId="561307C3" w:rsidR="00D73332" w:rsidRDefault="00D73332" w:rsidP="00DE762F">
      <w:pPr>
        <w:pStyle w:val="Heading2"/>
      </w:pPr>
      <w:r w:rsidRPr="00DE762F">
        <w:t>Propos</w:t>
      </w:r>
      <w:r w:rsidR="000D1FCF" w:rsidRPr="00DE762F">
        <w:t>al for public funding</w:t>
      </w:r>
    </w:p>
    <w:p w14:paraId="744BC6BA" w14:textId="3AC372EE" w:rsidR="001606A6" w:rsidRPr="001606A6" w:rsidRDefault="00670696" w:rsidP="001606A6">
      <w:pPr>
        <w:pStyle w:val="Heading3"/>
      </w:pPr>
      <w:r>
        <w:t>Concizumab</w:t>
      </w:r>
    </w:p>
    <w:p w14:paraId="06F74756" w14:textId="7738D191" w:rsidR="00DB545B" w:rsidRDefault="00DB545B" w:rsidP="00DB545B">
      <w:r>
        <w:t xml:space="preserve">Funding is proposed via the National Blood </w:t>
      </w:r>
      <w:r w:rsidR="074BF1A0">
        <w:t>Agreement</w:t>
      </w:r>
      <w:r w:rsidR="00381766">
        <w:t xml:space="preserve">. </w:t>
      </w:r>
      <w:r w:rsidR="000E5ED5">
        <w:t>No MBS item descriptor is required for the application.</w:t>
      </w:r>
    </w:p>
    <w:p w14:paraId="6257302E" w14:textId="4D817883" w:rsidR="00A906DE" w:rsidRDefault="00A906DE" w:rsidP="00A906DE">
      <w:r>
        <w:t xml:space="preserve">The application states that concizumab will be cost-minimised on an annualised basis to the comparator, rFVIIa, and therefore will be cost-neutral. A chart review is proposed to record actual usage of rFVIIa over time in the Australian patients with </w:t>
      </w:r>
      <w:r w:rsidR="005A61BE">
        <w:t>c</w:t>
      </w:r>
      <w:r>
        <w:t xml:space="preserve">HMB with inhibitors. </w:t>
      </w:r>
      <w:r w:rsidR="00E0589E">
        <w:t>In addition, the applicant proposes to provide rFVIIa at no cost for treatment of breakthrough bleeds</w:t>
      </w:r>
      <w:r w:rsidR="00E274A3">
        <w:t xml:space="preserve"> for patients on concizumab prophylaxis. </w:t>
      </w:r>
    </w:p>
    <w:p w14:paraId="6E9067E4" w14:textId="70AE0403" w:rsidR="00FB18DC" w:rsidRDefault="00670696" w:rsidP="00FB18DC">
      <w:pPr>
        <w:pStyle w:val="Heading3"/>
      </w:pPr>
      <w:r>
        <w:lastRenderedPageBreak/>
        <w:t>Concizumab ELISA test</w:t>
      </w:r>
    </w:p>
    <w:p w14:paraId="3C90D60A" w14:textId="07F31AED" w:rsidR="00FA11EA" w:rsidRDefault="00A53447" w:rsidP="00A53447">
      <w:r>
        <w:t xml:space="preserve">The application proposed that blood collection for the concizumab-ELISA test will be covered under MBS item </w:t>
      </w:r>
      <w:hyperlink r:id="rId25" w:tooltip="Link the MBS Online page for item 66812" w:history="1">
        <w:r w:rsidRPr="005E16DE">
          <w:rPr>
            <w:rStyle w:val="Hyperlink"/>
            <w:rFonts w:ascii="Calibri" w:hAnsi="Calibri"/>
          </w:rPr>
          <w:t>66812</w:t>
        </w:r>
      </w:hyperlink>
      <w:r>
        <w:t xml:space="preserve"> which currently exists for quantitation, by any method or methods, in blood, urine or other body fluid, of a drug being used therapeutically by the patient from whom the specimen was taken. </w:t>
      </w:r>
      <w:r w:rsidR="00725B7B">
        <w:t>However, a</w:t>
      </w:r>
      <w:r>
        <w:t xml:space="preserve">s the test is to be undertaken </w:t>
      </w:r>
      <w:r w:rsidR="00214B6C">
        <w:t xml:space="preserve">outside of Australia, the department advised that there is no MBS item </w:t>
      </w:r>
      <w:r w:rsidR="002502E5">
        <w:t>that can be used to cover only a part of the pathology service rendered (e.g. blood collection component). Therefore, no Medicare rebate will apply</w:t>
      </w:r>
      <w:r w:rsidR="00FA11EA">
        <w:t>.</w:t>
      </w:r>
      <w:r w:rsidR="002502E5">
        <w:t xml:space="preserve"> </w:t>
      </w:r>
    </w:p>
    <w:p w14:paraId="06485878" w14:textId="4B21E283" w:rsidR="00A53447" w:rsidRDefault="00FA11EA" w:rsidP="00A53447">
      <w:r>
        <w:t xml:space="preserve">The application states that </w:t>
      </w:r>
      <w:r w:rsidR="00A53447">
        <w:t>Novo Nordis</w:t>
      </w:r>
      <w:r>
        <w:t>k intends to</w:t>
      </w:r>
      <w:r w:rsidR="00A53447">
        <w:t xml:space="preserve"> cover all costs associated with the concizumab-ELISA assay</w:t>
      </w:r>
      <w:r>
        <w:t>.</w:t>
      </w:r>
      <w:r w:rsidR="00144FBE">
        <w:t xml:space="preserve"> The pathology service will also need to be covered by the sponsor, or the HTC, given </w:t>
      </w:r>
      <w:r w:rsidR="00DB0D66">
        <w:t>it is not eligible for a Medicare rebate</w:t>
      </w:r>
      <w:r w:rsidR="00C5427F">
        <w:t>,</w:t>
      </w:r>
      <w:r w:rsidR="00DB0D66">
        <w:t xml:space="preserve"> o</w:t>
      </w:r>
      <w:r w:rsidR="00537D5C">
        <w:t>therwise</w:t>
      </w:r>
      <w:r w:rsidR="00DB0D66">
        <w:t xml:space="preserve"> </w:t>
      </w:r>
      <w:r w:rsidR="00A53447">
        <w:t xml:space="preserve">patients </w:t>
      </w:r>
      <w:r w:rsidR="00DB0D66">
        <w:t>could be</w:t>
      </w:r>
      <w:r w:rsidR="00A53447">
        <w:t xml:space="preserve"> left with </w:t>
      </w:r>
      <w:r w:rsidR="00DB0D66">
        <w:t>out-of-pocket</w:t>
      </w:r>
      <w:r w:rsidR="00A53447">
        <w:t xml:space="preserve"> expenses.</w:t>
      </w:r>
    </w:p>
    <w:p w14:paraId="5DB53EB4" w14:textId="08F9D8FD" w:rsidR="006918B4" w:rsidRPr="00A53447" w:rsidRDefault="0045362A" w:rsidP="00A53447">
      <w:r>
        <w:rPr>
          <w:rFonts w:asciiTheme="minorHAnsi" w:hAnsiTheme="minorHAnsi" w:cstheme="minorHAnsi"/>
          <w:i/>
          <w:iCs/>
        </w:rPr>
        <w:t xml:space="preserve">Regarding the concizumab ELISA test, the applicant stated that </w:t>
      </w:r>
      <w:r w:rsidRPr="00BD6C63">
        <w:rPr>
          <w:rFonts w:asciiTheme="minorHAnsi" w:hAnsiTheme="minorHAnsi" w:cstheme="minorHAnsi"/>
          <w:i/>
          <w:iCs/>
        </w:rPr>
        <w:t xml:space="preserve">the </w:t>
      </w:r>
      <w:r>
        <w:rPr>
          <w:rFonts w:asciiTheme="minorHAnsi" w:hAnsiTheme="minorHAnsi" w:cstheme="minorHAnsi"/>
          <w:i/>
          <w:iCs/>
        </w:rPr>
        <w:t>HTC</w:t>
      </w:r>
      <w:r w:rsidRPr="00BD6C63">
        <w:rPr>
          <w:rFonts w:asciiTheme="minorHAnsi" w:hAnsiTheme="minorHAnsi" w:cstheme="minorHAnsi"/>
          <w:i/>
          <w:iCs/>
        </w:rPr>
        <w:t xml:space="preserve"> will pay for the blood draw and the onsite processing</w:t>
      </w:r>
      <w:r>
        <w:rPr>
          <w:rFonts w:asciiTheme="minorHAnsi" w:hAnsiTheme="minorHAnsi" w:cstheme="minorHAnsi"/>
          <w:i/>
          <w:iCs/>
        </w:rPr>
        <w:t xml:space="preserve"> of the sample</w:t>
      </w:r>
      <w:r w:rsidRPr="00BD6C63">
        <w:rPr>
          <w:rFonts w:asciiTheme="minorHAnsi" w:hAnsiTheme="minorHAnsi" w:cstheme="minorHAnsi"/>
          <w:i/>
          <w:iCs/>
        </w:rPr>
        <w:t xml:space="preserve"> </w:t>
      </w:r>
      <w:r>
        <w:rPr>
          <w:rFonts w:asciiTheme="minorHAnsi" w:hAnsiTheme="minorHAnsi" w:cstheme="minorHAnsi"/>
          <w:i/>
          <w:iCs/>
        </w:rPr>
        <w:t>(</w:t>
      </w:r>
      <w:r w:rsidRPr="00BD6C63">
        <w:rPr>
          <w:rFonts w:asciiTheme="minorHAnsi" w:hAnsiTheme="minorHAnsi" w:cstheme="minorHAnsi"/>
          <w:i/>
          <w:iCs/>
        </w:rPr>
        <w:t>centrifugation</w:t>
      </w:r>
      <w:r>
        <w:rPr>
          <w:rFonts w:asciiTheme="minorHAnsi" w:hAnsiTheme="minorHAnsi" w:cstheme="minorHAnsi"/>
          <w:i/>
          <w:iCs/>
        </w:rPr>
        <w:t>,</w:t>
      </w:r>
      <w:r w:rsidRPr="00BD6C63">
        <w:rPr>
          <w:rFonts w:asciiTheme="minorHAnsi" w:hAnsiTheme="minorHAnsi" w:cstheme="minorHAnsi"/>
          <w:i/>
          <w:iCs/>
        </w:rPr>
        <w:t xml:space="preserve"> freezing </w:t>
      </w:r>
      <w:r>
        <w:rPr>
          <w:rFonts w:asciiTheme="minorHAnsi" w:hAnsiTheme="minorHAnsi" w:cstheme="minorHAnsi"/>
          <w:i/>
          <w:iCs/>
        </w:rPr>
        <w:t>etc). The applicant</w:t>
      </w:r>
      <w:r w:rsidRPr="00BD6C63">
        <w:rPr>
          <w:rFonts w:asciiTheme="minorHAnsi" w:hAnsiTheme="minorHAnsi" w:cstheme="minorHAnsi"/>
          <w:i/>
          <w:iCs/>
        </w:rPr>
        <w:t xml:space="preserve"> will cover the costs </w:t>
      </w:r>
      <w:r>
        <w:rPr>
          <w:rFonts w:asciiTheme="minorHAnsi" w:hAnsiTheme="minorHAnsi" w:cstheme="minorHAnsi"/>
          <w:i/>
          <w:iCs/>
        </w:rPr>
        <w:t>of collecting the</w:t>
      </w:r>
      <w:r w:rsidRPr="00BD6C63">
        <w:rPr>
          <w:rFonts w:asciiTheme="minorHAnsi" w:hAnsiTheme="minorHAnsi" w:cstheme="minorHAnsi"/>
          <w:i/>
          <w:iCs/>
        </w:rPr>
        <w:t xml:space="preserve"> sample </w:t>
      </w:r>
      <w:r>
        <w:rPr>
          <w:rFonts w:asciiTheme="minorHAnsi" w:hAnsiTheme="minorHAnsi" w:cstheme="minorHAnsi"/>
          <w:i/>
          <w:iCs/>
        </w:rPr>
        <w:t xml:space="preserve">and </w:t>
      </w:r>
      <w:r w:rsidRPr="00BD6C63">
        <w:rPr>
          <w:rFonts w:asciiTheme="minorHAnsi" w:hAnsiTheme="minorHAnsi" w:cstheme="minorHAnsi"/>
          <w:i/>
          <w:iCs/>
        </w:rPr>
        <w:t xml:space="preserve">sending </w:t>
      </w:r>
      <w:r>
        <w:rPr>
          <w:rFonts w:asciiTheme="minorHAnsi" w:hAnsiTheme="minorHAnsi" w:cstheme="minorHAnsi"/>
          <w:i/>
          <w:iCs/>
        </w:rPr>
        <w:t>it</w:t>
      </w:r>
      <w:r w:rsidRPr="00BD6C63">
        <w:rPr>
          <w:rFonts w:asciiTheme="minorHAnsi" w:hAnsiTheme="minorHAnsi" w:cstheme="minorHAnsi"/>
          <w:i/>
          <w:iCs/>
        </w:rPr>
        <w:t xml:space="preserve"> to the centralised lab</w:t>
      </w:r>
      <w:r>
        <w:rPr>
          <w:rFonts w:asciiTheme="minorHAnsi" w:hAnsiTheme="minorHAnsi" w:cstheme="minorHAnsi"/>
          <w:i/>
          <w:iCs/>
        </w:rPr>
        <w:t xml:space="preserve"> for testing.</w:t>
      </w:r>
    </w:p>
    <w:p w14:paraId="62338695" w14:textId="775A0FF4" w:rsidR="00D37A3F" w:rsidRPr="00D37A3F" w:rsidRDefault="003F0A39" w:rsidP="00713728">
      <w:pPr>
        <w:pStyle w:val="Heading2"/>
      </w:pPr>
      <w:r>
        <w:t>Summary of public consultation</w:t>
      </w:r>
      <w:r w:rsidRPr="00D37A3F">
        <w:t xml:space="preserve"> </w:t>
      </w:r>
      <w:r w:rsidR="00E470B0">
        <w:t>input</w:t>
      </w:r>
    </w:p>
    <w:p w14:paraId="1D19C1C4" w14:textId="77777777" w:rsidR="009B1CBC" w:rsidRDefault="009B1CBC" w:rsidP="00942B84">
      <w:pPr>
        <w:spacing w:after="120"/>
      </w:pPr>
      <w:r w:rsidRPr="00E95336">
        <w:rPr>
          <w:i/>
          <w:iCs/>
        </w:rPr>
        <w:t>PASC noted and welcomed consultation input from</w:t>
      </w:r>
      <w:r w:rsidRPr="00D7667B">
        <w:t xml:space="preserve"> </w:t>
      </w:r>
      <w:r>
        <w:rPr>
          <w:i/>
          <w:iCs/>
        </w:rPr>
        <w:t>4</w:t>
      </w:r>
      <w:r w:rsidRPr="00647D9E">
        <w:rPr>
          <w:i/>
          <w:iCs/>
        </w:rPr>
        <w:t xml:space="preserve"> organisations</w:t>
      </w:r>
      <w:r>
        <w:rPr>
          <w:i/>
          <w:iCs/>
        </w:rPr>
        <w:t>, t</w:t>
      </w:r>
      <w:r w:rsidRPr="00647D9E">
        <w:rPr>
          <w:i/>
          <w:iCs/>
        </w:rPr>
        <w:t>he organisations that submitted input were:</w:t>
      </w:r>
      <w:r w:rsidRPr="00D7667B">
        <w:t xml:space="preserve"> </w:t>
      </w:r>
    </w:p>
    <w:p w14:paraId="002B4A95" w14:textId="77777777" w:rsidR="009B1CBC" w:rsidRPr="0050729F" w:rsidRDefault="009B1CBC" w:rsidP="009B1CBC">
      <w:pPr>
        <w:pStyle w:val="ListParagraph"/>
        <w:numPr>
          <w:ilvl w:val="0"/>
          <w:numId w:val="45"/>
        </w:numPr>
        <w:spacing w:after="120" w:line="259" w:lineRule="auto"/>
      </w:pPr>
      <w:r w:rsidRPr="0050729F">
        <w:t>Australian Haemophilia Centre Directors’ Organisation (AHCDO)</w:t>
      </w:r>
    </w:p>
    <w:p w14:paraId="17D8E975" w14:textId="77777777" w:rsidR="009B1CBC" w:rsidRPr="00D7667B" w:rsidRDefault="009B1CBC" w:rsidP="009B1CBC">
      <w:pPr>
        <w:pStyle w:val="ListParagraph"/>
        <w:numPr>
          <w:ilvl w:val="0"/>
          <w:numId w:val="45"/>
        </w:numPr>
        <w:spacing w:after="120" w:line="259" w:lineRule="auto"/>
      </w:pPr>
      <w:r w:rsidRPr="0050729F">
        <w:t>Haemophilia Foundation Australia (HFA)</w:t>
      </w:r>
    </w:p>
    <w:p w14:paraId="7780F13D" w14:textId="77777777" w:rsidR="009B1CBC" w:rsidRPr="0050729F" w:rsidRDefault="009B1CBC" w:rsidP="009B1CBC">
      <w:pPr>
        <w:pStyle w:val="ListParagraph"/>
        <w:numPr>
          <w:ilvl w:val="0"/>
          <w:numId w:val="45"/>
        </w:numPr>
        <w:spacing w:after="120" w:line="259" w:lineRule="auto"/>
      </w:pPr>
      <w:r w:rsidRPr="0050729F">
        <w:t>Public Pathology Australia</w:t>
      </w:r>
      <w:r>
        <w:t xml:space="preserve"> (PPA)</w:t>
      </w:r>
    </w:p>
    <w:p w14:paraId="28B3A129" w14:textId="77777777" w:rsidR="009B1CBC" w:rsidRPr="0050729F" w:rsidRDefault="009B1CBC" w:rsidP="009B1CBC">
      <w:pPr>
        <w:pStyle w:val="ListParagraph"/>
        <w:numPr>
          <w:ilvl w:val="0"/>
          <w:numId w:val="45"/>
        </w:numPr>
        <w:spacing w:after="120" w:line="259" w:lineRule="auto"/>
      </w:pPr>
      <w:r w:rsidRPr="0050729F">
        <w:t>Thrombosis and Haemostasis Society of Australia and New Zealand (THANZ)</w:t>
      </w:r>
      <w:r>
        <w:t>.</w:t>
      </w:r>
    </w:p>
    <w:p w14:paraId="0E3A7272" w14:textId="77777777" w:rsidR="009B1CBC" w:rsidRDefault="009B1CBC" w:rsidP="00942B84">
      <w:pPr>
        <w:rPr>
          <w:color w:val="5B9BD5" w:themeColor="accent1"/>
        </w:rPr>
      </w:pPr>
      <w:r>
        <w:t>Consultation input was supportive of public funding for</w:t>
      </w:r>
      <w:r w:rsidRPr="00D00158">
        <w:rPr>
          <w:rFonts w:cs="Calibri"/>
          <w:color w:val="000000"/>
          <w:shd w:val="clear" w:color="auto" w:fill="FFFFFF"/>
        </w:rPr>
        <w:t xml:space="preserve"> </w:t>
      </w:r>
      <w:r>
        <w:t>c</w:t>
      </w:r>
      <w:r w:rsidRPr="00D00158">
        <w:t xml:space="preserve">oncizumab for routine prophylaxis to prevent bleeding in patients with </w:t>
      </w:r>
      <w:r>
        <w:t xml:space="preserve">cHMB. </w:t>
      </w:r>
    </w:p>
    <w:p w14:paraId="73453D01" w14:textId="257564AD" w:rsidR="009B1CBC" w:rsidRDefault="009B1CBC" w:rsidP="00FF4B9E">
      <w:pPr>
        <w:keepNext/>
        <w:rPr>
          <w:b/>
          <w:bCs/>
        </w:rPr>
      </w:pPr>
      <w:r w:rsidRPr="00D811C1">
        <w:rPr>
          <w:b/>
          <w:bCs/>
        </w:rPr>
        <w:t xml:space="preserve">Consumer </w:t>
      </w:r>
      <w:r w:rsidR="005C5EDC">
        <w:rPr>
          <w:b/>
          <w:bCs/>
        </w:rPr>
        <w:t>i</w:t>
      </w:r>
      <w:r>
        <w:rPr>
          <w:b/>
          <w:bCs/>
        </w:rPr>
        <w:t>nput</w:t>
      </w:r>
    </w:p>
    <w:p w14:paraId="4242350B" w14:textId="77777777" w:rsidR="009B1CBC" w:rsidRPr="00195775" w:rsidRDefault="009B1CBC" w:rsidP="00942B84">
      <w:r w:rsidRPr="00195775">
        <w:t>HFA</w:t>
      </w:r>
      <w:r>
        <w:t xml:space="preserve"> input included consumer experiences, and stated that living with cHMB and FIX inhibitors was usually debilitating and sometimes caused death, due to uncontrolled bleeding. Input stated that people with cHMB and FIX inhibitors </w:t>
      </w:r>
      <w:r w:rsidRPr="00195775">
        <w:t>live with significant pain,</w:t>
      </w:r>
      <w:r>
        <w:t xml:space="preserve"> have</w:t>
      </w:r>
      <w:r w:rsidRPr="00195775">
        <w:t xml:space="preserve"> poor mobility, are often wheelchair bound, depend on pain relief</w:t>
      </w:r>
      <w:r>
        <w:t xml:space="preserve"> and miss out on daily activities. M</w:t>
      </w:r>
      <w:r w:rsidRPr="003871F8">
        <w:t xml:space="preserve">issing out on social functions, team sports and travel with family and friends </w:t>
      </w:r>
      <w:r>
        <w:t xml:space="preserve">due to the effects of uncontrolled bleeding </w:t>
      </w:r>
      <w:r w:rsidRPr="003871F8">
        <w:t>ha</w:t>
      </w:r>
      <w:r>
        <w:t>d</w:t>
      </w:r>
      <w:r w:rsidRPr="003871F8">
        <w:t xml:space="preserve"> an ongoing negative impact on relationships, social</w:t>
      </w:r>
      <w:r>
        <w:t xml:space="preserve"> </w:t>
      </w:r>
      <w:r w:rsidRPr="003871F8">
        <w:t>connection and mental health</w:t>
      </w:r>
      <w:r>
        <w:t>.</w:t>
      </w:r>
    </w:p>
    <w:p w14:paraId="00F9AD35" w14:textId="23A40A48" w:rsidR="009B1CBC" w:rsidRDefault="009B1CBC" w:rsidP="00FF4B9E">
      <w:pPr>
        <w:keepNext/>
        <w:rPr>
          <w:b/>
          <w:bCs/>
        </w:rPr>
      </w:pPr>
      <w:r>
        <w:rPr>
          <w:b/>
          <w:bCs/>
        </w:rPr>
        <w:t xml:space="preserve">Benefits and </w:t>
      </w:r>
      <w:r w:rsidR="005C5EDC">
        <w:rPr>
          <w:b/>
          <w:bCs/>
        </w:rPr>
        <w:t>d</w:t>
      </w:r>
      <w:r>
        <w:rPr>
          <w:b/>
          <w:bCs/>
        </w:rPr>
        <w:t>isadvantages</w:t>
      </w:r>
    </w:p>
    <w:p w14:paraId="0576854D" w14:textId="77777777" w:rsidR="009B1CBC" w:rsidRDefault="009B1CBC" w:rsidP="00942B84">
      <w:r>
        <w:t>The main benefits of public funding reported in the consultation input included a prophylactic option for treatment, subcutaneous delivery rather than venous infusions, reduction in bleeding, and improved quality of life. HFA input from health professionals and people who had accessed concizumab through clinical trials stated that the pen device is easy to use, the liquid can be stored at room temperature, treatment is less painful, and bleeding episodes were greatly reduced.</w:t>
      </w:r>
    </w:p>
    <w:p w14:paraId="2EE4938C" w14:textId="77777777" w:rsidR="009B1CBC" w:rsidRDefault="009B1CBC" w:rsidP="00942B84">
      <w:r>
        <w:t>There were no disadvantages of public funding identified in the consultation input.</w:t>
      </w:r>
    </w:p>
    <w:p w14:paraId="11FD2628" w14:textId="7FE7534D" w:rsidR="009B1CBC" w:rsidRDefault="009B1CBC" w:rsidP="00FF4B9E">
      <w:pPr>
        <w:keepNext/>
        <w:rPr>
          <w:b/>
          <w:bCs/>
        </w:rPr>
      </w:pPr>
      <w:r>
        <w:rPr>
          <w:b/>
          <w:bCs/>
        </w:rPr>
        <w:lastRenderedPageBreak/>
        <w:t xml:space="preserve">Population, </w:t>
      </w:r>
      <w:r w:rsidR="005C5EDC">
        <w:rPr>
          <w:b/>
          <w:bCs/>
        </w:rPr>
        <w:t>c</w:t>
      </w:r>
      <w:r>
        <w:rPr>
          <w:b/>
          <w:bCs/>
        </w:rPr>
        <w:t xml:space="preserve">omparator (current management) and </w:t>
      </w:r>
      <w:r w:rsidR="005C5EDC">
        <w:rPr>
          <w:b/>
          <w:bCs/>
        </w:rPr>
        <w:t>d</w:t>
      </w:r>
      <w:r>
        <w:rPr>
          <w:b/>
          <w:bCs/>
        </w:rPr>
        <w:t>elivery</w:t>
      </w:r>
    </w:p>
    <w:p w14:paraId="37AD7AE0" w14:textId="77777777" w:rsidR="009B1CBC" w:rsidRDefault="009B1CBC" w:rsidP="00942B84">
      <w:r>
        <w:t xml:space="preserve">The consultation input agreed with the proposed population, with all organisations stating that </w:t>
      </w:r>
      <w:r w:rsidRPr="00FB25BD">
        <w:t xml:space="preserve">people with </w:t>
      </w:r>
      <w:r>
        <w:t>cHM</w:t>
      </w:r>
      <w:r w:rsidRPr="00FB25BD">
        <w:t xml:space="preserve">B </w:t>
      </w:r>
      <w:r>
        <w:t>and</w:t>
      </w:r>
      <w:r w:rsidRPr="00FB25BD">
        <w:t xml:space="preserve"> </w:t>
      </w:r>
      <w:r>
        <w:t xml:space="preserve">FIX </w:t>
      </w:r>
      <w:r w:rsidRPr="00FB25BD">
        <w:t xml:space="preserve">inhibitors </w:t>
      </w:r>
      <w:r>
        <w:t>are</w:t>
      </w:r>
      <w:r w:rsidRPr="00FB25BD">
        <w:t xml:space="preserve"> a very rare group</w:t>
      </w:r>
      <w:r>
        <w:t>, with no prophylactic therapy currently available and have the greatest unmet need within the population of patients with haemophilia. AHCDO noted that clinical trials included people with cHM</w:t>
      </w:r>
      <w:r w:rsidRPr="00C74582">
        <w:t>A (with and</w:t>
      </w:r>
      <w:r>
        <w:t xml:space="preserve"> </w:t>
      </w:r>
      <w:r w:rsidRPr="00C74582">
        <w:t xml:space="preserve">without </w:t>
      </w:r>
      <w:r w:rsidRPr="00B81980">
        <w:t xml:space="preserve">FVIII </w:t>
      </w:r>
      <w:r w:rsidRPr="00C74582">
        <w:t xml:space="preserve">inhibitors) and </w:t>
      </w:r>
      <w:r>
        <w:t>people with cHM</w:t>
      </w:r>
      <w:r w:rsidRPr="00C74582">
        <w:t xml:space="preserve">B (with and without </w:t>
      </w:r>
      <w:r>
        <w:t xml:space="preserve">FIX </w:t>
      </w:r>
      <w:r w:rsidRPr="00C74582">
        <w:t>inhibitors)</w:t>
      </w:r>
      <w:r>
        <w:t xml:space="preserve"> and that all people with haemophilia could benefit from concizumab. However, AHCDO acknowledged the subpopulation proposed has the greatest unmet need and was appropriate. </w:t>
      </w:r>
    </w:p>
    <w:p w14:paraId="154FB743" w14:textId="6873A110" w:rsidR="009B1CBC" w:rsidRPr="00730792" w:rsidRDefault="009B1CBC" w:rsidP="00942B84">
      <w:pPr>
        <w:rPr>
          <w:color w:val="ED0000"/>
        </w:rPr>
      </w:pPr>
      <w:r>
        <w:t xml:space="preserve">The consultation input agreed with the proposed comparators, noting that standard of care is </w:t>
      </w:r>
      <w:r w:rsidR="00B55371">
        <w:t>BPAs</w:t>
      </w:r>
      <w:r>
        <w:t xml:space="preserve"> as there are no approved and funded prophylactic treatment options for </w:t>
      </w:r>
      <w:r w:rsidRPr="00FB25BD">
        <w:t xml:space="preserve">people with </w:t>
      </w:r>
      <w:r>
        <w:t>cHM</w:t>
      </w:r>
      <w:r w:rsidRPr="00FB25BD">
        <w:t xml:space="preserve">B </w:t>
      </w:r>
      <w:r>
        <w:t>and</w:t>
      </w:r>
      <w:r w:rsidRPr="00FB25BD">
        <w:t xml:space="preserve"> </w:t>
      </w:r>
      <w:r>
        <w:t xml:space="preserve">FIX </w:t>
      </w:r>
      <w:r w:rsidRPr="00FB25BD">
        <w:t>inhibitors</w:t>
      </w:r>
      <w:r>
        <w:t>.</w:t>
      </w:r>
    </w:p>
    <w:p w14:paraId="2E3632E6" w14:textId="77777777" w:rsidR="009B1CBC" w:rsidRDefault="009B1CBC" w:rsidP="00942B84">
      <w:r>
        <w:t xml:space="preserve">The consultation input stated that people with haemophilia can access </w:t>
      </w:r>
      <w:r w:rsidRPr="004B7977">
        <w:t>expert medical</w:t>
      </w:r>
      <w:r>
        <w:t xml:space="preserve"> care</w:t>
      </w:r>
      <w:r w:rsidRPr="004B7977">
        <w:t>, nursing, counselling, physiotherapy, data manage</w:t>
      </w:r>
      <w:r>
        <w:t>ment</w:t>
      </w:r>
      <w:r w:rsidRPr="004B7977">
        <w:t xml:space="preserve"> and laboratory services </w:t>
      </w:r>
      <w:r>
        <w:t>through t</w:t>
      </w:r>
      <w:r w:rsidRPr="006C5ED9">
        <w:t>he HTC comprehensive care team</w:t>
      </w:r>
      <w:r>
        <w:t>.</w:t>
      </w:r>
    </w:p>
    <w:p w14:paraId="704B65D0" w14:textId="77777777" w:rsidR="009B1CBC" w:rsidRPr="00E76884" w:rsidRDefault="009B1CBC" w:rsidP="00FF4B9E">
      <w:pPr>
        <w:keepNext/>
        <w:rPr>
          <w:color w:val="5B9BD5" w:themeColor="accent1"/>
        </w:rPr>
      </w:pPr>
      <w:r w:rsidRPr="00C50417">
        <w:rPr>
          <w:b/>
          <w:bCs/>
        </w:rPr>
        <w:t xml:space="preserve">Additional </w:t>
      </w:r>
      <w:r>
        <w:rPr>
          <w:b/>
          <w:bCs/>
        </w:rPr>
        <w:t>C</w:t>
      </w:r>
      <w:r w:rsidRPr="00C50417">
        <w:rPr>
          <w:b/>
          <w:bCs/>
        </w:rPr>
        <w:t xml:space="preserve">omments </w:t>
      </w:r>
    </w:p>
    <w:p w14:paraId="178DC89D" w14:textId="745B6621" w:rsidR="009B1CBC" w:rsidRDefault="009B1CBC" w:rsidP="00942B84">
      <w:r>
        <w:t xml:space="preserve">Consultation input noted that there would be no </w:t>
      </w:r>
      <w:r w:rsidR="00500F87">
        <w:t>o</w:t>
      </w:r>
      <w:r>
        <w:t>ut</w:t>
      </w:r>
      <w:r w:rsidR="00CF1088">
        <w:t>-</w:t>
      </w:r>
      <w:r>
        <w:t>of</w:t>
      </w:r>
      <w:r w:rsidR="00CF1088">
        <w:t>-</w:t>
      </w:r>
      <w:r>
        <w:t xml:space="preserve">pocket costs for patients, as approved products are funded through the </w:t>
      </w:r>
      <w:r w:rsidR="00221ECF">
        <w:t>NBA</w:t>
      </w:r>
      <w:r w:rsidRPr="00600A06">
        <w:t xml:space="preserve"> </w:t>
      </w:r>
      <w:r>
        <w:t>and the applicant would cover the costs for pathology testing.</w:t>
      </w:r>
    </w:p>
    <w:p w14:paraId="3555DFD1" w14:textId="77777777" w:rsidR="009B1CBC" w:rsidRDefault="009B1CBC" w:rsidP="009B1CBC">
      <w:r>
        <w:t xml:space="preserve">PPA noted that there are no laboratories in Australia able to provide the </w:t>
      </w:r>
      <w:r w:rsidRPr="009E2272">
        <w:t xml:space="preserve">trough plasma </w:t>
      </w:r>
      <w:r>
        <w:t>c</w:t>
      </w:r>
      <w:r w:rsidRPr="009E2272">
        <w:t>oncizumab concentration</w:t>
      </w:r>
      <w:r>
        <w:t xml:space="preserve"> assay, and that concizumab targets the tissue factor pathway in ways that cannot currently be monitored. Should monitoring of TFPI inhibitors become required, new assays may need to be set up.</w:t>
      </w:r>
    </w:p>
    <w:p w14:paraId="3509ED4A" w14:textId="74061169" w:rsidR="00C92E3C" w:rsidRPr="006210F9" w:rsidRDefault="00D17CA1" w:rsidP="00BC149B">
      <w:r>
        <w:rPr>
          <w:rFonts w:asciiTheme="minorHAnsi" w:hAnsiTheme="minorHAnsi" w:cstheme="minorHAnsi"/>
          <w:i/>
          <w:iCs/>
        </w:rPr>
        <w:t xml:space="preserve">PASC noted the feedback was generally supportive, highlighting the need for treatment in patients with </w:t>
      </w:r>
      <w:r w:rsidRPr="00D32A58">
        <w:rPr>
          <w:rFonts w:asciiTheme="minorHAnsi" w:hAnsiTheme="minorHAnsi" w:cstheme="minorHAnsi"/>
          <w:i/>
          <w:iCs/>
        </w:rPr>
        <w:t>cHMB and FIX inhibitors</w:t>
      </w:r>
      <w:r>
        <w:rPr>
          <w:rFonts w:asciiTheme="minorHAnsi" w:hAnsiTheme="minorHAnsi" w:cstheme="minorHAnsi"/>
          <w:i/>
          <w:iCs/>
        </w:rPr>
        <w:t xml:space="preserve">, who often experience </w:t>
      </w:r>
      <w:r w:rsidRPr="00D32A58">
        <w:rPr>
          <w:rFonts w:asciiTheme="minorHAnsi" w:hAnsiTheme="minorHAnsi" w:cstheme="minorHAnsi"/>
          <w:i/>
          <w:iCs/>
        </w:rPr>
        <w:t xml:space="preserve">debilitating </w:t>
      </w:r>
      <w:r>
        <w:rPr>
          <w:rFonts w:asciiTheme="minorHAnsi" w:hAnsiTheme="minorHAnsi" w:cstheme="minorHAnsi"/>
          <w:i/>
          <w:iCs/>
        </w:rPr>
        <w:t xml:space="preserve">symptoms. PASC also noted feedback indicating that </w:t>
      </w:r>
      <w:r w:rsidRPr="008C6E64">
        <w:rPr>
          <w:rFonts w:asciiTheme="minorHAnsi" w:hAnsiTheme="minorHAnsi" w:cstheme="minorHAnsi"/>
          <w:i/>
          <w:iCs/>
        </w:rPr>
        <w:t>subcutaneous delivery</w:t>
      </w:r>
      <w:r>
        <w:rPr>
          <w:rFonts w:asciiTheme="minorHAnsi" w:hAnsiTheme="minorHAnsi" w:cstheme="minorHAnsi"/>
          <w:i/>
          <w:iCs/>
        </w:rPr>
        <w:t>,</w:t>
      </w:r>
      <w:r w:rsidRPr="008C6E64">
        <w:rPr>
          <w:rFonts w:asciiTheme="minorHAnsi" w:hAnsiTheme="minorHAnsi" w:cstheme="minorHAnsi"/>
          <w:i/>
          <w:iCs/>
        </w:rPr>
        <w:t xml:space="preserve"> rather than </w:t>
      </w:r>
      <w:r>
        <w:rPr>
          <w:rFonts w:asciiTheme="minorHAnsi" w:hAnsiTheme="minorHAnsi" w:cstheme="minorHAnsi"/>
          <w:i/>
          <w:iCs/>
        </w:rPr>
        <w:t>intra</w:t>
      </w:r>
      <w:r w:rsidRPr="008C6E64">
        <w:rPr>
          <w:rFonts w:asciiTheme="minorHAnsi" w:hAnsiTheme="minorHAnsi" w:cstheme="minorHAnsi"/>
          <w:i/>
          <w:iCs/>
        </w:rPr>
        <w:t>venous infusions</w:t>
      </w:r>
      <w:r>
        <w:rPr>
          <w:rFonts w:asciiTheme="minorHAnsi" w:hAnsiTheme="minorHAnsi" w:cstheme="minorHAnsi"/>
          <w:i/>
          <w:iCs/>
        </w:rPr>
        <w:t xml:space="preserve"> of prophylactics</w:t>
      </w:r>
      <w:r w:rsidR="00B3659E">
        <w:rPr>
          <w:rFonts w:asciiTheme="minorHAnsi" w:hAnsiTheme="minorHAnsi" w:cstheme="minorHAnsi"/>
          <w:i/>
          <w:iCs/>
        </w:rPr>
        <w:t>,</w:t>
      </w:r>
      <w:r>
        <w:rPr>
          <w:rFonts w:asciiTheme="minorHAnsi" w:hAnsiTheme="minorHAnsi" w:cstheme="minorHAnsi"/>
          <w:i/>
          <w:iCs/>
        </w:rPr>
        <w:t xml:space="preserve"> would improve both equity and quality of care for patients with </w:t>
      </w:r>
      <w:r w:rsidR="00F168A5">
        <w:rPr>
          <w:rFonts w:asciiTheme="minorHAnsi" w:hAnsiTheme="minorHAnsi" w:cstheme="minorHAnsi"/>
          <w:i/>
          <w:iCs/>
        </w:rPr>
        <w:t xml:space="preserve">cHMB and </w:t>
      </w:r>
      <w:r>
        <w:rPr>
          <w:rFonts w:asciiTheme="minorHAnsi" w:hAnsiTheme="minorHAnsi" w:cstheme="minorHAnsi"/>
          <w:i/>
          <w:iCs/>
        </w:rPr>
        <w:t>FIX inhibitors.</w:t>
      </w:r>
    </w:p>
    <w:p w14:paraId="4E68667F" w14:textId="77777777" w:rsidR="00D37A3F" w:rsidRDefault="00D37A3F" w:rsidP="00713728">
      <w:pPr>
        <w:pStyle w:val="Heading2"/>
      </w:pPr>
      <w:r w:rsidRPr="00D37A3F">
        <w:t>Next steps</w:t>
      </w:r>
    </w:p>
    <w:p w14:paraId="07372C2E" w14:textId="5D25A256" w:rsidR="00D17CA1" w:rsidRDefault="00D17CA1" w:rsidP="00D17CA1">
      <w:pPr>
        <w:autoSpaceDE w:val="0"/>
        <w:autoSpaceDN w:val="0"/>
        <w:adjustRightInd w:val="0"/>
        <w:spacing w:line="23" w:lineRule="atLeast"/>
        <w:rPr>
          <w:rFonts w:asciiTheme="minorHAnsi" w:hAnsiTheme="minorHAnsi" w:cstheme="minorHAnsi"/>
          <w:i/>
          <w:iCs/>
        </w:rPr>
      </w:pPr>
      <w:r>
        <w:rPr>
          <w:rFonts w:asciiTheme="minorHAnsi" w:hAnsiTheme="minorHAnsi" w:cstheme="minorHAnsi"/>
          <w:i/>
          <w:iCs/>
        </w:rPr>
        <w:t xml:space="preserve">The applicant confirmed that the assessment will proceed as an applicant-developed assessment report (ADAR). The applicant will consider PASC’s advice to broaden the population to align with the TGA-approved </w:t>
      </w:r>
      <w:r w:rsidR="00F47855">
        <w:rPr>
          <w:rFonts w:asciiTheme="minorHAnsi" w:hAnsiTheme="minorHAnsi" w:cstheme="minorHAnsi"/>
          <w:i/>
          <w:iCs/>
        </w:rPr>
        <w:t>indications for the</w:t>
      </w:r>
      <w:r>
        <w:rPr>
          <w:rFonts w:asciiTheme="minorHAnsi" w:hAnsiTheme="minorHAnsi" w:cstheme="minorHAnsi"/>
          <w:i/>
          <w:iCs/>
        </w:rPr>
        <w:t xml:space="preserve"> </w:t>
      </w:r>
      <w:r w:rsidR="0060299D">
        <w:rPr>
          <w:rFonts w:asciiTheme="minorHAnsi" w:hAnsiTheme="minorHAnsi" w:cstheme="minorHAnsi"/>
          <w:i/>
          <w:iCs/>
        </w:rPr>
        <w:t>c</w:t>
      </w:r>
      <w:r>
        <w:rPr>
          <w:rFonts w:asciiTheme="minorHAnsi" w:hAnsiTheme="minorHAnsi" w:cstheme="minorHAnsi"/>
          <w:i/>
          <w:iCs/>
        </w:rPr>
        <w:t xml:space="preserve">HMB population. </w:t>
      </w:r>
    </w:p>
    <w:p w14:paraId="571EC50A" w14:textId="71A22ECA" w:rsidR="003D34CA" w:rsidRDefault="00D6372B" w:rsidP="00D6372B">
      <w:pPr>
        <w:pStyle w:val="Heading2"/>
      </w:pPr>
      <w:r>
        <w:t>Applicant Comments on Ratified PICO</w:t>
      </w:r>
    </w:p>
    <w:p w14:paraId="6B0D6692" w14:textId="77777777" w:rsidR="00D6372B" w:rsidRPr="00D6372B" w:rsidRDefault="00D6372B" w:rsidP="00D6372B">
      <w:r w:rsidRPr="00D6372B">
        <w:t>The applicant will submit an ADAR to align with the TGA-approved indications for the cHMB population.</w:t>
      </w:r>
    </w:p>
    <w:p w14:paraId="1396A1CA" w14:textId="77777777" w:rsidR="00D6372B" w:rsidRPr="00D6372B" w:rsidRDefault="00D6372B" w:rsidP="00A14CE3"/>
    <w:p w14:paraId="0CE41F4E" w14:textId="77777777" w:rsidR="008D697A" w:rsidRDefault="008D697A" w:rsidP="00713728">
      <w:pPr>
        <w:pStyle w:val="Heading2"/>
      </w:pPr>
      <w:r>
        <w:br w:type="page"/>
      </w:r>
    </w:p>
    <w:p w14:paraId="73A2A9C9" w14:textId="0C0A9433" w:rsidR="006478E7" w:rsidRDefault="00A33126" w:rsidP="00713728">
      <w:pPr>
        <w:pStyle w:val="Heading2"/>
      </w:pPr>
      <w:r w:rsidRPr="00A33126">
        <w:lastRenderedPageBreak/>
        <w:t>References</w:t>
      </w:r>
    </w:p>
    <w:p w14:paraId="1A82D83D" w14:textId="66344F38" w:rsidR="008137EF" w:rsidRDefault="008137EF" w:rsidP="008137EF">
      <w:r>
        <w:t xml:space="preserve">ABDR (Australian Bleeding Disorders Registry) (2020) </w:t>
      </w:r>
      <w:hyperlink r:id="rId26" w:history="1">
        <w:r>
          <w:rPr>
            <w:rStyle w:val="Hyperlink"/>
            <w:rFonts w:ascii="Calibri" w:hAnsi="Calibri"/>
          </w:rPr>
          <w:t>Annual Report 2019-20</w:t>
        </w:r>
      </w:hyperlink>
      <w:r>
        <w:t>, NBA, accessed 1 July 2025.</w:t>
      </w:r>
    </w:p>
    <w:p w14:paraId="0F378F5F" w14:textId="6921F5B3" w:rsidR="008137EF" w:rsidRDefault="008137EF" w:rsidP="008137EF">
      <w:r>
        <w:t xml:space="preserve">ABDR (Australian Bleeding Disorders Registry) (2022) </w:t>
      </w:r>
      <w:hyperlink r:id="rId27" w:history="1">
        <w:r>
          <w:rPr>
            <w:rStyle w:val="Hyperlink"/>
            <w:rFonts w:ascii="Calibri" w:hAnsi="Calibri"/>
          </w:rPr>
          <w:t>Annual Report 2021-22</w:t>
        </w:r>
      </w:hyperlink>
      <w:r>
        <w:t>, NBA, accessed 1 July 2025.</w:t>
      </w:r>
    </w:p>
    <w:p w14:paraId="72FFB757" w14:textId="469E18D1" w:rsidR="00855A26" w:rsidRDefault="00855A26" w:rsidP="00A45A10">
      <w:r>
        <w:t xml:space="preserve">ABDR (Australian Bleeding Disorders Registry) </w:t>
      </w:r>
      <w:r w:rsidR="00F00564">
        <w:t xml:space="preserve">(2023) </w:t>
      </w:r>
      <w:hyperlink r:id="rId28" w:history="1">
        <w:r w:rsidRPr="00275AFA">
          <w:rPr>
            <w:rStyle w:val="Hyperlink"/>
            <w:rFonts w:ascii="Calibri" w:hAnsi="Calibri"/>
          </w:rPr>
          <w:t>Annual Report 2022-23</w:t>
        </w:r>
      </w:hyperlink>
      <w:r w:rsidR="00F00564">
        <w:t>, NBA</w:t>
      </w:r>
      <w:r w:rsidR="00B40592">
        <w:t>, accessed 1 July 2025.</w:t>
      </w:r>
    </w:p>
    <w:p w14:paraId="08711221" w14:textId="1C259438" w:rsidR="00855A26" w:rsidRDefault="00D62013" w:rsidP="00A45A10">
      <w:r w:rsidRPr="00D62013">
        <w:t>AHCDO</w:t>
      </w:r>
      <w:r w:rsidR="00A74766">
        <w:t xml:space="preserve"> </w:t>
      </w:r>
      <w:r w:rsidR="00723ADC">
        <w:t xml:space="preserve">&amp; NBA </w:t>
      </w:r>
      <w:r w:rsidR="00A74766">
        <w:t>(</w:t>
      </w:r>
      <w:r w:rsidR="00A74766" w:rsidRPr="00D62013">
        <w:t>Australian Haemophilia Centre Directors’ Organisation</w:t>
      </w:r>
      <w:r w:rsidR="00723ADC">
        <w:t xml:space="preserve"> and </w:t>
      </w:r>
      <w:r w:rsidR="00D41094">
        <w:t>the National Blood Authority, Australia</w:t>
      </w:r>
      <w:r w:rsidR="00A74766">
        <w:t>)</w:t>
      </w:r>
      <w:r w:rsidRPr="00D62013">
        <w:t xml:space="preserve"> (2016) </w:t>
      </w:r>
      <w:hyperlink r:id="rId29" w:history="1">
        <w:r w:rsidRPr="00ED76EF">
          <w:rPr>
            <w:rStyle w:val="Hyperlink"/>
            <w:rFonts w:ascii="Calibri" w:hAnsi="Calibri"/>
          </w:rPr>
          <w:t>Guidelines for the management of haemophilia in Australia</w:t>
        </w:r>
      </w:hyperlink>
      <w:r w:rsidR="00ED76EF">
        <w:t>, AHCDO, accessed 1 July 2025</w:t>
      </w:r>
      <w:r w:rsidR="008A21FF">
        <w:t>.</w:t>
      </w:r>
    </w:p>
    <w:p w14:paraId="00410BED" w14:textId="1DCAE867" w:rsidR="00A45A10" w:rsidRDefault="00203BC1" w:rsidP="00A45A10">
      <w:r>
        <w:t>D'Angiolella LS</w:t>
      </w:r>
      <w:r w:rsidR="00FE04F2">
        <w:t>,</w:t>
      </w:r>
      <w:r>
        <w:t xml:space="preserve"> Cortesi PA</w:t>
      </w:r>
      <w:r w:rsidR="00FE04F2">
        <w:t>,</w:t>
      </w:r>
      <w:r>
        <w:t xml:space="preserve"> Rocino A, Coppola A, Hassan HJ, Giampaolo A, Solimeno LP, Lafranconi A, Micale M, Mangano S, Crotti G, Pagliarin F, Cesana G, </w:t>
      </w:r>
      <w:r w:rsidR="00DF5291">
        <w:t>and</w:t>
      </w:r>
      <w:r>
        <w:t xml:space="preserve"> Mantovani LG</w:t>
      </w:r>
      <w:r w:rsidR="00A45A10" w:rsidRPr="00A45A10">
        <w:t xml:space="preserve"> (2018) </w:t>
      </w:r>
      <w:r w:rsidR="009E14F5">
        <w:t>‘</w:t>
      </w:r>
      <w:r w:rsidR="00A45A10" w:rsidRPr="00A45A10">
        <w:t>The socioeconomic burden of patients affected by hemophilia with inhibitors</w:t>
      </w:r>
      <w:r w:rsidR="009E14F5">
        <w:t>’,</w:t>
      </w:r>
      <w:r w:rsidR="00A45A10" w:rsidRPr="00A45A10">
        <w:t xml:space="preserve"> </w:t>
      </w:r>
      <w:r w:rsidR="00A45A10" w:rsidRPr="00A45A10">
        <w:rPr>
          <w:i/>
          <w:iCs/>
        </w:rPr>
        <w:t>European journal of haematology</w:t>
      </w:r>
      <w:r w:rsidR="00A45A10" w:rsidRPr="00A45A10">
        <w:t>, 101(4)</w:t>
      </w:r>
      <w:r w:rsidR="009E14F5">
        <w:t>:</w:t>
      </w:r>
      <w:r w:rsidR="00A45A10" w:rsidRPr="00A45A10">
        <w:t xml:space="preserve">435–456. </w:t>
      </w:r>
      <w:hyperlink r:id="rId30" w:history="1">
        <w:r w:rsidR="00005803" w:rsidRPr="00C068F7">
          <w:rPr>
            <w:rStyle w:val="Hyperlink"/>
            <w:rFonts w:ascii="Calibri" w:hAnsi="Calibri"/>
          </w:rPr>
          <w:t>doi</w:t>
        </w:r>
        <w:r w:rsidR="009E14F5">
          <w:rPr>
            <w:rStyle w:val="Hyperlink"/>
            <w:rFonts w:ascii="Calibri" w:hAnsi="Calibri"/>
          </w:rPr>
          <w:t>:</w:t>
        </w:r>
        <w:r w:rsidR="00005803" w:rsidRPr="00C068F7">
          <w:rPr>
            <w:rStyle w:val="Hyperlink"/>
            <w:rFonts w:ascii="Calibri" w:hAnsi="Calibri"/>
          </w:rPr>
          <w:t>org/10.1111/ejh.13108</w:t>
        </w:r>
      </w:hyperlink>
    </w:p>
    <w:p w14:paraId="3F95C463" w14:textId="14378842" w:rsidR="00005803" w:rsidRDefault="00B53C28" w:rsidP="00A45A10">
      <w:r>
        <w:t>Matsushita T, Shapiro A, Abraham A, Angchaisuksiri P, Castaman G, Cepo K, d'Oiron R, Frei-Jones M, Goh AS, Haaning J, Hald Jacobsen S, Mahlangu J, Mathias M, Nogami K, Skovgaard Rasmussen J, Stasyshyn O, Tran H, Vilchevska K, Villarreal Martinez L, Windyga J, You CW, Zozulya N, Zulfikar B, Jiménez-Yuste V; explorer7 Investigators</w:t>
      </w:r>
      <w:r w:rsidR="00740321">
        <w:t xml:space="preserve"> </w:t>
      </w:r>
      <w:r w:rsidR="00005803" w:rsidRPr="00005803">
        <w:t>(2023)</w:t>
      </w:r>
      <w:r w:rsidR="00740321">
        <w:t xml:space="preserve"> ‘</w:t>
      </w:r>
      <w:r w:rsidR="00005803" w:rsidRPr="00005803">
        <w:t>Phase 3 Trial of Concizumab in Hemophilia with Inhibitors</w:t>
      </w:r>
      <w:r w:rsidR="00740321">
        <w:t>’,</w:t>
      </w:r>
      <w:r w:rsidR="00005803" w:rsidRPr="00005803">
        <w:t xml:space="preserve"> </w:t>
      </w:r>
      <w:r w:rsidR="00005803" w:rsidRPr="00005803">
        <w:rPr>
          <w:i/>
          <w:iCs/>
        </w:rPr>
        <w:t>The New England journal of medicine</w:t>
      </w:r>
      <w:r w:rsidR="00005803" w:rsidRPr="00005803">
        <w:t>, 389(9)</w:t>
      </w:r>
      <w:r w:rsidR="00740321">
        <w:t>:</w:t>
      </w:r>
      <w:r w:rsidR="00005803" w:rsidRPr="00005803">
        <w:t xml:space="preserve">783–794. </w:t>
      </w:r>
      <w:hyperlink r:id="rId31" w:history="1">
        <w:r w:rsidR="007D3623" w:rsidRPr="00C068F7">
          <w:rPr>
            <w:rStyle w:val="Hyperlink"/>
            <w:rFonts w:ascii="Calibri" w:hAnsi="Calibri"/>
          </w:rPr>
          <w:t>doi</w:t>
        </w:r>
        <w:r w:rsidR="00740321">
          <w:rPr>
            <w:rStyle w:val="Hyperlink"/>
            <w:rFonts w:ascii="Calibri" w:hAnsi="Calibri"/>
          </w:rPr>
          <w:t>:</w:t>
        </w:r>
        <w:r w:rsidR="007D3623" w:rsidRPr="00C068F7">
          <w:rPr>
            <w:rStyle w:val="Hyperlink"/>
            <w:rFonts w:ascii="Calibri" w:hAnsi="Calibri"/>
          </w:rPr>
          <w:t>org/10.1056/NEJMoa2216455</w:t>
        </w:r>
      </w:hyperlink>
      <w:r w:rsidR="007D3623">
        <w:t xml:space="preserve"> </w:t>
      </w:r>
    </w:p>
    <w:p w14:paraId="026E5CB4" w14:textId="330D04CC" w:rsidR="00D053C9" w:rsidRDefault="00D053C9" w:rsidP="00A45A10">
      <w:r>
        <w:t>NBA (National Blood Authority, Australia)</w:t>
      </w:r>
      <w:r w:rsidR="00D54010">
        <w:t xml:space="preserve"> (2025) </w:t>
      </w:r>
      <w:hyperlink r:id="rId32" w:history="1">
        <w:r w:rsidR="00D54010" w:rsidRPr="008A21FF">
          <w:rPr>
            <w:rStyle w:val="Hyperlink"/>
            <w:rFonts w:ascii="Calibri" w:hAnsi="Calibri"/>
          </w:rPr>
          <w:t>The framework for the management of bleeding disorders in Australia</w:t>
        </w:r>
      </w:hyperlink>
      <w:r w:rsidR="00D54010">
        <w:t>, NBA, accessed 1 July 2025.</w:t>
      </w:r>
    </w:p>
    <w:p w14:paraId="7A6B059D" w14:textId="09FFADB7" w:rsidR="00106000" w:rsidRDefault="00715668" w:rsidP="00A45A10">
      <w:r>
        <w:t>Stonebraker JS, Bolton-Maggs PH, Soucie JM, Walker I, Brooker M</w:t>
      </w:r>
      <w:r w:rsidR="00106000" w:rsidRPr="00106000">
        <w:t xml:space="preserve"> (2010) </w:t>
      </w:r>
      <w:r w:rsidR="00FD021F">
        <w:t>‘</w:t>
      </w:r>
      <w:r w:rsidR="00106000" w:rsidRPr="00106000">
        <w:t>A study of variations in the reported haemophilia A prevalence around the world</w:t>
      </w:r>
      <w:r w:rsidR="00FD021F">
        <w:t>’,</w:t>
      </w:r>
      <w:r w:rsidR="00106000" w:rsidRPr="00106000">
        <w:t xml:space="preserve"> </w:t>
      </w:r>
      <w:r w:rsidR="00106000" w:rsidRPr="0010386C">
        <w:rPr>
          <w:i/>
          <w:iCs/>
        </w:rPr>
        <w:t>Haemophilia : the official journal of the World Federation of Hemophilia</w:t>
      </w:r>
      <w:r w:rsidR="00106000" w:rsidRPr="00106000">
        <w:t>, 16(1)</w:t>
      </w:r>
      <w:r w:rsidR="00FD021F">
        <w:t>:</w:t>
      </w:r>
      <w:r w:rsidR="00106000" w:rsidRPr="00106000">
        <w:t xml:space="preserve">20–32. </w:t>
      </w:r>
      <w:hyperlink r:id="rId33" w:history="1">
        <w:r w:rsidR="0052338E" w:rsidRPr="00D17C17">
          <w:rPr>
            <w:rStyle w:val="Hyperlink"/>
            <w:rFonts w:ascii="Calibri" w:hAnsi="Calibri"/>
          </w:rPr>
          <w:t>doi</w:t>
        </w:r>
        <w:r w:rsidR="00FD021F">
          <w:rPr>
            <w:rStyle w:val="Hyperlink"/>
            <w:rFonts w:ascii="Calibri" w:hAnsi="Calibri"/>
          </w:rPr>
          <w:t>:</w:t>
        </w:r>
        <w:r w:rsidR="0052338E" w:rsidRPr="00D17C17">
          <w:rPr>
            <w:rStyle w:val="Hyperlink"/>
            <w:rFonts w:ascii="Calibri" w:hAnsi="Calibri"/>
          </w:rPr>
          <w:t>org/10.1111/j.1365-2516.2009.02127.x</w:t>
        </w:r>
      </w:hyperlink>
      <w:r w:rsidR="0052338E">
        <w:t xml:space="preserve"> </w:t>
      </w:r>
    </w:p>
    <w:p w14:paraId="3923ED2A" w14:textId="1AB2B013" w:rsidR="005A0C40" w:rsidRDefault="000348FD" w:rsidP="00463589">
      <w:r>
        <w:t xml:space="preserve">Srivastava A, Santagostino E, Dougall A, Kitchen S, Sutherland M, Pipe SW, Carcao M, Mahlangu J, Ragni MV, Windyga J, Llinás A, Goddard NJ, Mohan R, Poonnoose PM, Feldman BM, Lewis SZ, van den Berg HM, Pierce GF; WFH Guidelines for the Management of Hemophilia panelists and co-authors </w:t>
      </w:r>
      <w:r w:rsidR="00463589" w:rsidRPr="00463589">
        <w:t xml:space="preserve">(2020) </w:t>
      </w:r>
      <w:r>
        <w:t>‘</w:t>
      </w:r>
      <w:r w:rsidR="00463589" w:rsidRPr="00463589">
        <w:t>WFH Guidelines for the Management of Hemophilia, 3rd edition</w:t>
      </w:r>
      <w:r w:rsidR="006624D6">
        <w:t>’,</w:t>
      </w:r>
      <w:r w:rsidR="00463589" w:rsidRPr="00463589">
        <w:t xml:space="preserve"> </w:t>
      </w:r>
      <w:r w:rsidR="00463589" w:rsidRPr="00751D78">
        <w:rPr>
          <w:i/>
          <w:iCs/>
        </w:rPr>
        <w:t>Haemophilia : the official journal of the World Federation of Hemophilia</w:t>
      </w:r>
      <w:r w:rsidR="00463589" w:rsidRPr="00463589">
        <w:t xml:space="preserve">, 26 Suppl 6, 1–158. </w:t>
      </w:r>
      <w:hyperlink r:id="rId34" w:history="1">
        <w:r w:rsidR="000B4722" w:rsidRPr="00C068F7">
          <w:rPr>
            <w:rStyle w:val="Hyperlink"/>
            <w:rFonts w:ascii="Calibri" w:hAnsi="Calibri"/>
          </w:rPr>
          <w:t>doi</w:t>
        </w:r>
        <w:r w:rsidR="006624D6">
          <w:rPr>
            <w:rStyle w:val="Hyperlink"/>
            <w:rFonts w:ascii="Calibri" w:hAnsi="Calibri"/>
          </w:rPr>
          <w:t>:</w:t>
        </w:r>
        <w:r w:rsidR="000B4722" w:rsidRPr="00C068F7">
          <w:rPr>
            <w:rStyle w:val="Hyperlink"/>
            <w:rFonts w:ascii="Calibri" w:hAnsi="Calibri"/>
          </w:rPr>
          <w:t>org/10.1111/hae.14046</w:t>
        </w:r>
      </w:hyperlink>
      <w:r w:rsidR="000B4722">
        <w:t xml:space="preserve"> </w:t>
      </w:r>
    </w:p>
    <w:p w14:paraId="7F9E6715" w14:textId="1DE858BA" w:rsidR="0052338E" w:rsidRPr="00E01349" w:rsidRDefault="0052338E" w:rsidP="00463589">
      <w:r>
        <w:t xml:space="preserve">TGA (Therapeutic Goods Administration) (2024) </w:t>
      </w:r>
      <w:hyperlink r:id="rId35" w:history="1">
        <w:r w:rsidRPr="00294D2C">
          <w:rPr>
            <w:rStyle w:val="Hyperlink"/>
            <w:rFonts w:ascii="Calibri" w:hAnsi="Calibri"/>
          </w:rPr>
          <w:t>Australian Public Assessment Report for Alhemo</w:t>
        </w:r>
      </w:hyperlink>
      <w:r>
        <w:t>, Department of Health and Aged Care, Australian Government, accessed 1 July 2025.</w:t>
      </w:r>
    </w:p>
    <w:sectPr w:rsidR="0052338E" w:rsidRPr="00E01349" w:rsidSect="00AE6FE0">
      <w:headerReference w:type="even" r:id="rId36"/>
      <w:headerReference w:type="default" r:id="rId37"/>
      <w:footerReference w:type="even" r:id="rId38"/>
      <w:footerReference w:type="default" r:id="rId39"/>
      <w:headerReference w:type="first" r:id="rId40"/>
      <w:footerReference w:type="first" r:id="rId41"/>
      <w:pgSz w:w="11906" w:h="16838"/>
      <w:pgMar w:top="682" w:right="1134" w:bottom="1021"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77108" w14:textId="77777777" w:rsidR="00D91574" w:rsidRDefault="00D91574" w:rsidP="0016315C">
      <w:pPr>
        <w:spacing w:after="0" w:line="240" w:lineRule="auto"/>
      </w:pPr>
      <w:r>
        <w:separator/>
      </w:r>
    </w:p>
  </w:endnote>
  <w:endnote w:type="continuationSeparator" w:id="0">
    <w:p w14:paraId="001C5C91" w14:textId="77777777" w:rsidR="00D91574" w:rsidRDefault="00D91574" w:rsidP="0016315C">
      <w:pPr>
        <w:spacing w:after="0" w:line="240" w:lineRule="auto"/>
      </w:pPr>
      <w:r>
        <w:continuationSeparator/>
      </w:r>
    </w:p>
  </w:endnote>
  <w:endnote w:type="continuationNotice" w:id="1">
    <w:p w14:paraId="3B41710D" w14:textId="77777777" w:rsidR="00D91574" w:rsidRDefault="00D915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1D3D2" w14:textId="5EDF2B72" w:rsidR="00685355" w:rsidRDefault="004B661D">
    <w:pPr>
      <w:pStyle w:val="Footer"/>
      <w:framePr w:wrap="none" w:vAnchor="text" w:hAnchor="margin" w:xAlign="right" w:y="1"/>
      <w:rPr>
        <w:rStyle w:val="PageNumber"/>
      </w:rPr>
    </w:pPr>
    <w:r>
      <w:rPr>
        <w:noProof/>
      </w:rPr>
      <mc:AlternateContent>
        <mc:Choice Requires="wps">
          <w:drawing>
            <wp:anchor distT="0" distB="0" distL="0" distR="0" simplePos="0" relativeHeight="251662336" behindDoc="0" locked="0" layoutInCell="1" allowOverlap="1" wp14:anchorId="32929D64" wp14:editId="17560A1D">
              <wp:simplePos x="635" y="635"/>
              <wp:positionH relativeFrom="page">
                <wp:align>center</wp:align>
              </wp:positionH>
              <wp:positionV relativeFrom="page">
                <wp:align>bottom</wp:align>
              </wp:positionV>
              <wp:extent cx="551815" cy="404495"/>
              <wp:effectExtent l="0" t="0" r="635" b="0"/>
              <wp:wrapNone/>
              <wp:docPr id="142361603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7F713D4" w14:textId="1CC0894E" w:rsidR="004B661D" w:rsidRPr="004B661D" w:rsidRDefault="004B661D" w:rsidP="004B661D">
                          <w:pPr>
                            <w:spacing w:after="0"/>
                            <w:rPr>
                              <w:rFonts w:cs="Calibri"/>
                              <w:noProof/>
                              <w:color w:val="FF0000"/>
                              <w:sz w:val="24"/>
                              <w:szCs w:val="24"/>
                            </w:rPr>
                          </w:pPr>
                          <w:r w:rsidRPr="004B661D">
                            <w:rPr>
                              <w:rFonts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929D64" id="_x0000_t202" coordsize="21600,21600" o:spt="202" path="m,l,21600r21600,l21600,xe">
              <v:stroke joinstyle="miter"/>
              <v:path gradientshapeok="t" o:connecttype="rect"/>
            </v:shapetype>
            <v:shape id="Text Box 5" o:spid="_x0000_s1124" type="#_x0000_t202" alt="OFFICIAL" style="position:absolute;margin-left:0;margin-top:0;width:43.45pt;height:31.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m9DQ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" filled="f" stroked="f">
              <v:fill o:detectmouseclick="t"/>
              <v:textbox style="mso-fit-shape-to-text:t" inset="0,0,0,15pt">
                <w:txbxContent>
                  <w:p w14:paraId="37F713D4" w14:textId="1CC0894E" w:rsidR="004B661D" w:rsidRPr="004B661D" w:rsidRDefault="004B661D" w:rsidP="004B661D">
                    <w:pPr>
                      <w:spacing w:after="0"/>
                      <w:rPr>
                        <w:rFonts w:cs="Calibri"/>
                        <w:noProof/>
                        <w:color w:val="FF0000"/>
                        <w:sz w:val="24"/>
                        <w:szCs w:val="24"/>
                      </w:rPr>
                    </w:pPr>
                    <w:r w:rsidRPr="004B661D">
                      <w:rPr>
                        <w:rFonts w:cs="Calibri"/>
                        <w:noProof/>
                        <w:color w:val="FF0000"/>
                        <w:sz w:val="24"/>
                        <w:szCs w:val="24"/>
                      </w:rPr>
                      <w:t>OFFICIAL</w:t>
                    </w:r>
                  </w:p>
                </w:txbxContent>
              </v:textbox>
              <w10:wrap anchorx="page" anchory="page"/>
            </v:shape>
          </w:pict>
        </mc:Fallback>
      </mc:AlternateContent>
    </w:r>
    <w:r w:rsidR="00685355">
      <w:rPr>
        <w:rStyle w:val="PageNumber"/>
      </w:rPr>
      <w:fldChar w:fldCharType="begin"/>
    </w:r>
    <w:r w:rsidR="00685355">
      <w:rPr>
        <w:rStyle w:val="PageNumber"/>
      </w:rPr>
      <w:instrText xml:space="preserve"> PAGE </w:instrText>
    </w:r>
    <w:r w:rsidR="00685355">
      <w:rPr>
        <w:rStyle w:val="PageNumber"/>
      </w:rPr>
      <w:fldChar w:fldCharType="separate"/>
    </w:r>
    <w:r w:rsidR="003A1E02">
      <w:rPr>
        <w:rStyle w:val="PageNumber"/>
        <w:noProof/>
      </w:rPr>
      <w:t>1</w:t>
    </w:r>
    <w:r w:rsidR="00685355">
      <w:rPr>
        <w:rStyle w:val="PageNumber"/>
      </w:rPr>
      <w:fldChar w:fldCharType="end"/>
    </w:r>
  </w:p>
  <w:p w14:paraId="74E72C2D" w14:textId="77777777" w:rsidR="00685355" w:rsidRDefault="00685355" w:rsidP="006853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593B1" w14:textId="45B17DDE" w:rsidR="00685355" w:rsidRDefault="004B661D">
    <w:pPr>
      <w:pStyle w:val="Footer"/>
      <w:framePr w:wrap="none" w:vAnchor="text" w:hAnchor="margin" w:xAlign="right" w:y="1"/>
      <w:rPr>
        <w:rStyle w:val="PageNumber"/>
      </w:rPr>
    </w:pPr>
    <w:r>
      <w:rPr>
        <w:noProof/>
      </w:rPr>
      <mc:AlternateContent>
        <mc:Choice Requires="wps">
          <w:drawing>
            <wp:anchor distT="0" distB="0" distL="0" distR="0" simplePos="0" relativeHeight="251663360" behindDoc="0" locked="0" layoutInCell="1" allowOverlap="1" wp14:anchorId="453676DA" wp14:editId="1BDB7ED2">
              <wp:simplePos x="6772275" y="9725025"/>
              <wp:positionH relativeFrom="page">
                <wp:align>center</wp:align>
              </wp:positionH>
              <wp:positionV relativeFrom="page">
                <wp:align>bottom</wp:align>
              </wp:positionV>
              <wp:extent cx="551815" cy="404495"/>
              <wp:effectExtent l="0" t="0" r="635" b="0"/>
              <wp:wrapNone/>
              <wp:docPr id="19787838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5F0FC06" w14:textId="390172D5" w:rsidR="004B661D" w:rsidRPr="004B661D" w:rsidRDefault="004B661D" w:rsidP="004B661D">
                          <w:pPr>
                            <w:spacing w:after="0"/>
                            <w:rPr>
                              <w:rFonts w:cs="Calibri"/>
                              <w:noProof/>
                              <w:color w:val="FF0000"/>
                              <w:sz w:val="24"/>
                              <w:szCs w:val="24"/>
                            </w:rPr>
                          </w:pPr>
                          <w:r w:rsidRPr="004B661D">
                            <w:rPr>
                              <w:rFonts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3676DA" id="_x0000_t202" coordsize="21600,21600" o:spt="202" path="m,l,21600r21600,l21600,xe">
              <v:stroke joinstyle="miter"/>
              <v:path gradientshapeok="t" o:connecttype="rect"/>
            </v:shapetype>
            <v:shape id="Text Box 6" o:spid="_x0000_s1125" type="#_x0000_t202" alt="OFFICIAL" style="position:absolute;margin-left:0;margin-top:0;width:43.45pt;height:31.8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fill o:detectmouseclick="t"/>
              <v:textbox style="mso-fit-shape-to-text:t" inset="0,0,0,15pt">
                <w:txbxContent>
                  <w:p w14:paraId="75F0FC06" w14:textId="390172D5" w:rsidR="004B661D" w:rsidRPr="004B661D" w:rsidRDefault="004B661D" w:rsidP="004B661D">
                    <w:pPr>
                      <w:spacing w:after="0"/>
                      <w:rPr>
                        <w:rFonts w:cs="Calibri"/>
                        <w:noProof/>
                        <w:color w:val="FF0000"/>
                        <w:sz w:val="24"/>
                        <w:szCs w:val="24"/>
                      </w:rPr>
                    </w:pPr>
                    <w:r w:rsidRPr="004B661D">
                      <w:rPr>
                        <w:rFonts w:cs="Calibri"/>
                        <w:noProof/>
                        <w:color w:val="FF0000"/>
                        <w:sz w:val="24"/>
                        <w:szCs w:val="24"/>
                      </w:rPr>
                      <w:t>OFFICIAL</w:t>
                    </w:r>
                  </w:p>
                </w:txbxContent>
              </v:textbox>
              <w10:wrap anchorx="page" anchory="page"/>
            </v:shape>
          </w:pict>
        </mc:Fallback>
      </mc:AlternateContent>
    </w:r>
    <w:sdt>
      <w:sdtPr>
        <w:rPr>
          <w:rStyle w:val="PageNumber"/>
        </w:rPr>
        <w:id w:val="-2093382827"/>
        <w:docPartObj>
          <w:docPartGallery w:val="Page Numbers (Bottom of Page)"/>
          <w:docPartUnique/>
        </w:docPartObj>
      </w:sdtPr>
      <w:sdtEndPr>
        <w:rPr>
          <w:rStyle w:val="PageNumber"/>
        </w:rPr>
      </w:sdtEndPr>
      <w:sdtContent>
        <w:r w:rsidR="00685355">
          <w:rPr>
            <w:rStyle w:val="PageNumber"/>
          </w:rPr>
          <w:fldChar w:fldCharType="begin"/>
        </w:r>
        <w:r w:rsidR="00685355">
          <w:rPr>
            <w:rStyle w:val="PageNumber"/>
          </w:rPr>
          <w:instrText xml:space="preserve"> PAGE </w:instrText>
        </w:r>
        <w:r w:rsidR="00685355">
          <w:rPr>
            <w:rStyle w:val="PageNumber"/>
          </w:rPr>
          <w:fldChar w:fldCharType="separate"/>
        </w:r>
        <w:r w:rsidR="00685355">
          <w:rPr>
            <w:rStyle w:val="PageNumber"/>
            <w:noProof/>
          </w:rPr>
          <w:t>1</w:t>
        </w:r>
        <w:r w:rsidR="00685355">
          <w:rPr>
            <w:rStyle w:val="PageNumber"/>
          </w:rPr>
          <w:fldChar w:fldCharType="end"/>
        </w:r>
      </w:sdtContent>
    </w:sdt>
  </w:p>
  <w:p w14:paraId="33649654" w14:textId="50FB65FC" w:rsidR="0016315C" w:rsidRPr="00685355" w:rsidRDefault="0036782E" w:rsidP="00BB0FFB">
    <w:pPr>
      <w:jc w:val="center"/>
    </w:pPr>
    <w:r>
      <w:t xml:space="preserve">Ratified </w:t>
    </w:r>
    <w:r w:rsidR="60009B8A">
      <w:t xml:space="preserve">PICO Confirmation – </w:t>
    </w:r>
    <w:r w:rsidR="00BF6519">
      <w:t>August PASC 2025</w:t>
    </w:r>
    <w:r w:rsidR="00BB0FFB">
      <w:br/>
    </w:r>
    <w:r w:rsidR="60009B8A">
      <w:t xml:space="preserve">Application </w:t>
    </w:r>
    <w:r w:rsidR="00DD0F1B">
      <w:t>180</w:t>
    </w:r>
    <w:r w:rsidR="00B20FF1">
      <w:t xml:space="preserve">5 – </w:t>
    </w:r>
    <w:proofErr w:type="spellStart"/>
    <w:r w:rsidR="00B20FF1" w:rsidRPr="00B20FF1">
      <w:t>Concizumab</w:t>
    </w:r>
    <w:proofErr w:type="spellEnd"/>
    <w:r w:rsidR="00B20FF1" w:rsidRPr="00B20FF1">
      <w:t xml:space="preserve"> for routine prophylaxis to prevent bleeding in patients with </w:t>
    </w:r>
    <w:r w:rsidR="00DE37C7">
      <w:t>H</w:t>
    </w:r>
    <w:r w:rsidR="00B20FF1" w:rsidRPr="00B20FF1">
      <w:t>aemophilia 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01F80" w14:textId="327C5014" w:rsidR="004B661D" w:rsidRDefault="004B661D">
    <w:pPr>
      <w:pStyle w:val="Footer"/>
    </w:pPr>
    <w:r>
      <w:rPr>
        <w:noProof/>
      </w:rPr>
      <mc:AlternateContent>
        <mc:Choice Requires="wps">
          <w:drawing>
            <wp:anchor distT="0" distB="0" distL="0" distR="0" simplePos="0" relativeHeight="251661312" behindDoc="0" locked="0" layoutInCell="1" allowOverlap="1" wp14:anchorId="6618DCAA" wp14:editId="2BDBD0E5">
              <wp:simplePos x="635" y="635"/>
              <wp:positionH relativeFrom="page">
                <wp:align>center</wp:align>
              </wp:positionH>
              <wp:positionV relativeFrom="page">
                <wp:align>bottom</wp:align>
              </wp:positionV>
              <wp:extent cx="551815" cy="404495"/>
              <wp:effectExtent l="0" t="0" r="635" b="0"/>
              <wp:wrapNone/>
              <wp:docPr id="12128809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C8BDF79" w14:textId="6D08D37C" w:rsidR="004B661D" w:rsidRPr="004B661D" w:rsidRDefault="004B661D" w:rsidP="004B661D">
                          <w:pPr>
                            <w:spacing w:after="0"/>
                            <w:rPr>
                              <w:rFonts w:cs="Calibri"/>
                              <w:noProof/>
                              <w:color w:val="FF0000"/>
                              <w:sz w:val="24"/>
                              <w:szCs w:val="24"/>
                            </w:rPr>
                          </w:pPr>
                          <w:r w:rsidRPr="004B661D">
                            <w:rPr>
                              <w:rFonts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18DCAA" id="_x0000_t202" coordsize="21600,21600" o:spt="202" path="m,l,21600r21600,l21600,xe">
              <v:stroke joinstyle="miter"/>
              <v:path gradientshapeok="t" o:connecttype="rect"/>
            </v:shapetype>
            <v:shape id="Text Box 4" o:spid="_x0000_s1127" type="#_x0000_t202" alt="OFFICIAL" style="position:absolute;margin-left:0;margin-top:0;width:43.45pt;height:31.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fill o:detectmouseclick="t"/>
              <v:textbox style="mso-fit-shape-to-text:t" inset="0,0,0,15pt">
                <w:txbxContent>
                  <w:p w14:paraId="0C8BDF79" w14:textId="6D08D37C" w:rsidR="004B661D" w:rsidRPr="004B661D" w:rsidRDefault="004B661D" w:rsidP="004B661D">
                    <w:pPr>
                      <w:spacing w:after="0"/>
                      <w:rPr>
                        <w:rFonts w:cs="Calibri"/>
                        <w:noProof/>
                        <w:color w:val="FF0000"/>
                        <w:sz w:val="24"/>
                        <w:szCs w:val="24"/>
                      </w:rPr>
                    </w:pPr>
                    <w:r w:rsidRPr="004B661D">
                      <w:rPr>
                        <w:rFonts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87C3C" w14:textId="77777777" w:rsidR="00D91574" w:rsidRDefault="00D91574" w:rsidP="0016315C">
      <w:pPr>
        <w:spacing w:after="0" w:line="240" w:lineRule="auto"/>
      </w:pPr>
      <w:r>
        <w:separator/>
      </w:r>
    </w:p>
  </w:footnote>
  <w:footnote w:type="continuationSeparator" w:id="0">
    <w:p w14:paraId="00EB7DDA" w14:textId="77777777" w:rsidR="00D91574" w:rsidRDefault="00D91574" w:rsidP="0016315C">
      <w:pPr>
        <w:spacing w:after="0" w:line="240" w:lineRule="auto"/>
      </w:pPr>
      <w:r>
        <w:continuationSeparator/>
      </w:r>
    </w:p>
  </w:footnote>
  <w:footnote w:type="continuationNotice" w:id="1">
    <w:p w14:paraId="0ECF3722" w14:textId="77777777" w:rsidR="00D91574" w:rsidRDefault="00D91574">
      <w:pPr>
        <w:spacing w:after="0" w:line="240" w:lineRule="auto"/>
      </w:pPr>
    </w:p>
  </w:footnote>
  <w:footnote w:id="2">
    <w:p w14:paraId="5F00EC74" w14:textId="0B470B0C" w:rsidR="006C76FF" w:rsidRDefault="006C76FF">
      <w:pPr>
        <w:pStyle w:val="FootnoteText"/>
      </w:pPr>
      <w:r>
        <w:rPr>
          <w:rStyle w:val="FootnoteReference"/>
        </w:rPr>
        <w:footnoteRef/>
      </w:r>
      <w:r>
        <w:t xml:space="preserve"> </w:t>
      </w:r>
      <w:r w:rsidR="00A32647">
        <w:t>The W</w:t>
      </w:r>
      <w:r w:rsidR="009231A7">
        <w:t>FH Guidelines have been adopted in Australia by the Australian Haemophilia Centre Directors’ Organisation (AHCDO)</w:t>
      </w:r>
      <w:r w:rsidR="000520AC">
        <w:t xml:space="preserve"> with </w:t>
      </w:r>
      <w:r w:rsidR="007C6435">
        <w:t xml:space="preserve">some </w:t>
      </w:r>
      <w:hyperlink r:id="rId1" w:tooltip="Link to the AHCDO positions statement on the WFH Guidelines" w:history="1">
        <w:r w:rsidR="007C6435" w:rsidRPr="007C6435">
          <w:rPr>
            <w:rStyle w:val="Hyperlink"/>
            <w:rFonts w:ascii="Calibri" w:hAnsi="Calibri"/>
          </w:rPr>
          <w:t>amendments/additions</w:t>
        </w:r>
      </w:hyperlink>
      <w:r w:rsidR="007C6435">
        <w:t xml:space="preserve"> for the Australian context.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34160" w14:textId="06F36D10" w:rsidR="004B661D" w:rsidRDefault="004B661D">
    <w:pPr>
      <w:pStyle w:val="Header"/>
    </w:pPr>
    <w:r>
      <w:rPr>
        <w:noProof/>
      </w:rPr>
      <mc:AlternateContent>
        <mc:Choice Requires="wps">
          <w:drawing>
            <wp:anchor distT="0" distB="0" distL="0" distR="0" simplePos="0" relativeHeight="251659264" behindDoc="0" locked="0" layoutInCell="1" allowOverlap="1" wp14:anchorId="43ABA181" wp14:editId="0D4DC7F7">
              <wp:simplePos x="635" y="635"/>
              <wp:positionH relativeFrom="page">
                <wp:align>center</wp:align>
              </wp:positionH>
              <wp:positionV relativeFrom="page">
                <wp:align>top</wp:align>
              </wp:positionV>
              <wp:extent cx="551815" cy="404495"/>
              <wp:effectExtent l="0" t="0" r="635" b="14605"/>
              <wp:wrapNone/>
              <wp:docPr id="62409896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40959A0" w14:textId="05C03076" w:rsidR="004B661D" w:rsidRPr="004B661D" w:rsidRDefault="004B661D" w:rsidP="004B661D">
                          <w:pPr>
                            <w:spacing w:after="0"/>
                            <w:rPr>
                              <w:rFonts w:cs="Calibri"/>
                              <w:noProof/>
                              <w:color w:val="FF0000"/>
                              <w:sz w:val="24"/>
                              <w:szCs w:val="24"/>
                            </w:rPr>
                          </w:pPr>
                          <w:r w:rsidRPr="004B661D">
                            <w:rPr>
                              <w:rFonts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ABA181" id="_x0000_t202" coordsize="21600,21600" o:spt="202" path="m,l,21600r21600,l21600,xe">
              <v:stroke joinstyle="miter"/>
              <v:path gradientshapeok="t" o:connecttype="rect"/>
            </v:shapetype>
            <v:shape id="Text Box 2" o:spid="_x0000_s1123" type="#_x0000_t202" alt="OFFICIAL" style="position:absolute;margin-left:0;margin-top:0;width:43.45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fill o:detectmouseclick="t"/>
              <v:textbox style="mso-fit-shape-to-text:t" inset="0,15pt,0,0">
                <w:txbxContent>
                  <w:p w14:paraId="540959A0" w14:textId="05C03076" w:rsidR="004B661D" w:rsidRPr="004B661D" w:rsidRDefault="004B661D" w:rsidP="004B661D">
                    <w:pPr>
                      <w:spacing w:after="0"/>
                      <w:rPr>
                        <w:rFonts w:cs="Calibri"/>
                        <w:noProof/>
                        <w:color w:val="FF0000"/>
                        <w:sz w:val="24"/>
                        <w:szCs w:val="24"/>
                      </w:rPr>
                    </w:pPr>
                    <w:r w:rsidRPr="004B661D">
                      <w:rPr>
                        <w:rFonts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628F6C62" w14:paraId="30E3AEF3" w14:textId="77777777" w:rsidTr="009A4FFB">
      <w:trPr>
        <w:trHeight w:val="300"/>
      </w:trPr>
      <w:tc>
        <w:tcPr>
          <w:tcW w:w="3190" w:type="dxa"/>
        </w:tcPr>
        <w:p w14:paraId="49F52A5F" w14:textId="79019AB2" w:rsidR="628F6C62" w:rsidRDefault="628F6C62" w:rsidP="009A4FFB">
          <w:pPr>
            <w:pStyle w:val="Header"/>
            <w:ind w:left="-115"/>
          </w:pPr>
        </w:p>
      </w:tc>
      <w:tc>
        <w:tcPr>
          <w:tcW w:w="3190" w:type="dxa"/>
        </w:tcPr>
        <w:p w14:paraId="36E67869" w14:textId="784854AB" w:rsidR="628F6C62" w:rsidRDefault="628F6C62" w:rsidP="009A4FFB">
          <w:pPr>
            <w:pStyle w:val="Header"/>
            <w:jc w:val="center"/>
          </w:pPr>
        </w:p>
      </w:tc>
      <w:tc>
        <w:tcPr>
          <w:tcW w:w="3190" w:type="dxa"/>
        </w:tcPr>
        <w:p w14:paraId="7D0E02FB" w14:textId="1ED15B37" w:rsidR="628F6C62" w:rsidRDefault="628F6C62" w:rsidP="009A4FFB">
          <w:pPr>
            <w:pStyle w:val="Header"/>
            <w:ind w:right="-115"/>
            <w:jc w:val="right"/>
          </w:pPr>
        </w:p>
      </w:tc>
    </w:tr>
  </w:tbl>
  <w:p w14:paraId="1C2EB0F3" w14:textId="656C0405" w:rsidR="628F6C62" w:rsidRDefault="628F6C62" w:rsidP="009A4F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9C4D7" w14:textId="47F4323C" w:rsidR="004B661D" w:rsidRDefault="004B661D">
    <w:pPr>
      <w:pStyle w:val="Header"/>
    </w:pPr>
    <w:r>
      <w:rPr>
        <w:noProof/>
      </w:rPr>
      <mc:AlternateContent>
        <mc:Choice Requires="wps">
          <w:drawing>
            <wp:anchor distT="0" distB="0" distL="0" distR="0" simplePos="0" relativeHeight="251658240" behindDoc="0" locked="0" layoutInCell="1" allowOverlap="1" wp14:anchorId="7E37F5B8" wp14:editId="50D09BE2">
              <wp:simplePos x="635" y="635"/>
              <wp:positionH relativeFrom="page">
                <wp:align>center</wp:align>
              </wp:positionH>
              <wp:positionV relativeFrom="page">
                <wp:align>top</wp:align>
              </wp:positionV>
              <wp:extent cx="551815" cy="404495"/>
              <wp:effectExtent l="0" t="0" r="635" b="14605"/>
              <wp:wrapNone/>
              <wp:docPr id="11371087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F82AB69" w14:textId="52F6DFFE" w:rsidR="004B661D" w:rsidRPr="004B661D" w:rsidRDefault="004B661D" w:rsidP="004B661D">
                          <w:pPr>
                            <w:spacing w:after="0"/>
                            <w:rPr>
                              <w:rFonts w:cs="Calibri"/>
                              <w:noProof/>
                              <w:color w:val="FF0000"/>
                              <w:sz w:val="24"/>
                              <w:szCs w:val="24"/>
                            </w:rPr>
                          </w:pPr>
                          <w:r w:rsidRPr="004B661D">
                            <w:rPr>
                              <w:rFonts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37F5B8" id="_x0000_t202" coordsize="21600,21600" o:spt="202" path="m,l,21600r21600,l21600,xe">
              <v:stroke joinstyle="miter"/>
              <v:path gradientshapeok="t" o:connecttype="rect"/>
            </v:shapetype>
            <v:shape id="Text Box 1" o:spid="_x0000_s1126" type="#_x0000_t202" alt="OFFICIAL" style="position:absolute;margin-left:0;margin-top:0;width:43.45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fill o:detectmouseclick="t"/>
              <v:textbox style="mso-fit-shape-to-text:t" inset="0,15pt,0,0">
                <w:txbxContent>
                  <w:p w14:paraId="7F82AB69" w14:textId="52F6DFFE" w:rsidR="004B661D" w:rsidRPr="004B661D" w:rsidRDefault="004B661D" w:rsidP="004B661D">
                    <w:pPr>
                      <w:spacing w:after="0"/>
                      <w:rPr>
                        <w:rFonts w:cs="Calibri"/>
                        <w:noProof/>
                        <w:color w:val="FF0000"/>
                        <w:sz w:val="24"/>
                        <w:szCs w:val="24"/>
                      </w:rPr>
                    </w:pPr>
                    <w:r w:rsidRPr="004B661D">
                      <w:rPr>
                        <w:rFonts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239F"/>
    <w:multiLevelType w:val="hybridMultilevel"/>
    <w:tmpl w:val="87B6EE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7D65FAA"/>
    <w:multiLevelType w:val="hybridMultilevel"/>
    <w:tmpl w:val="85767EA8"/>
    <w:lvl w:ilvl="0" w:tplc="95961F2E">
      <w:numFmt w:val="bullet"/>
      <w:lvlText w:val="•"/>
      <w:lvlJc w:val="left"/>
      <w:pPr>
        <w:ind w:left="1080" w:hanging="72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1F1615"/>
    <w:multiLevelType w:val="hybridMultilevel"/>
    <w:tmpl w:val="B5F4C290"/>
    <w:lvl w:ilvl="0" w:tplc="95961F2E">
      <w:numFmt w:val="bullet"/>
      <w:lvlText w:val="•"/>
      <w:lvlJc w:val="left"/>
      <w:pPr>
        <w:ind w:left="1080" w:hanging="72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B5203D"/>
    <w:multiLevelType w:val="hybridMultilevel"/>
    <w:tmpl w:val="DEC0FDA2"/>
    <w:lvl w:ilvl="0" w:tplc="95961F2E">
      <w:numFmt w:val="bullet"/>
      <w:lvlText w:val="•"/>
      <w:lvlJc w:val="left"/>
      <w:pPr>
        <w:ind w:left="1080" w:hanging="72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5C0A32"/>
    <w:multiLevelType w:val="hybridMultilevel"/>
    <w:tmpl w:val="9544E1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41420E"/>
    <w:multiLevelType w:val="hybridMultilevel"/>
    <w:tmpl w:val="B2EC73A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0DC85E16"/>
    <w:multiLevelType w:val="hybridMultilevel"/>
    <w:tmpl w:val="E12A8DF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65C695C"/>
    <w:multiLevelType w:val="hybridMultilevel"/>
    <w:tmpl w:val="872E77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023445"/>
    <w:multiLevelType w:val="hybridMultilevel"/>
    <w:tmpl w:val="0CE4E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D4212F"/>
    <w:multiLevelType w:val="hybridMultilevel"/>
    <w:tmpl w:val="AD3A0A58"/>
    <w:lvl w:ilvl="0" w:tplc="95961F2E">
      <w:numFmt w:val="bullet"/>
      <w:lvlText w:val="•"/>
      <w:lvlJc w:val="left"/>
      <w:pPr>
        <w:ind w:left="1080" w:hanging="72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A3C2DA1"/>
    <w:multiLevelType w:val="hybridMultilevel"/>
    <w:tmpl w:val="7F507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A8E5D11"/>
    <w:multiLevelType w:val="hybridMultilevel"/>
    <w:tmpl w:val="3C1ECC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AC22B90"/>
    <w:multiLevelType w:val="hybridMultilevel"/>
    <w:tmpl w:val="C69A7B7E"/>
    <w:lvl w:ilvl="0" w:tplc="95961F2E">
      <w:numFmt w:val="bullet"/>
      <w:lvlText w:val="•"/>
      <w:lvlJc w:val="left"/>
      <w:pPr>
        <w:ind w:left="1440" w:hanging="720"/>
      </w:pPr>
      <w:rPr>
        <w:rFonts w:ascii="Calibri" w:eastAsia="Calibr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BD148BE"/>
    <w:multiLevelType w:val="hybridMultilevel"/>
    <w:tmpl w:val="BA0CD3F4"/>
    <w:lvl w:ilvl="0" w:tplc="95961F2E">
      <w:numFmt w:val="bullet"/>
      <w:lvlText w:val="•"/>
      <w:lvlJc w:val="left"/>
      <w:pPr>
        <w:ind w:left="1080" w:hanging="72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E8040F5"/>
    <w:multiLevelType w:val="hybridMultilevel"/>
    <w:tmpl w:val="51745660"/>
    <w:lvl w:ilvl="0" w:tplc="35CAD116">
      <w:start w:val="1"/>
      <w:numFmt w:val="bullet"/>
      <w:lvlText w:val=""/>
      <w:lvlJc w:val="left"/>
      <w:pPr>
        <w:ind w:left="1080" w:hanging="360"/>
      </w:pPr>
      <w:rPr>
        <w:rFonts w:ascii="Symbol" w:hAnsi="Symbol"/>
      </w:rPr>
    </w:lvl>
    <w:lvl w:ilvl="1" w:tplc="D64A4B8E">
      <w:start w:val="1"/>
      <w:numFmt w:val="bullet"/>
      <w:lvlText w:val=""/>
      <w:lvlJc w:val="left"/>
      <w:pPr>
        <w:ind w:left="1080" w:hanging="360"/>
      </w:pPr>
      <w:rPr>
        <w:rFonts w:ascii="Symbol" w:hAnsi="Symbol"/>
      </w:rPr>
    </w:lvl>
    <w:lvl w:ilvl="2" w:tplc="1216130E">
      <w:start w:val="1"/>
      <w:numFmt w:val="bullet"/>
      <w:lvlText w:val=""/>
      <w:lvlJc w:val="left"/>
      <w:pPr>
        <w:ind w:left="1080" w:hanging="360"/>
      </w:pPr>
      <w:rPr>
        <w:rFonts w:ascii="Symbol" w:hAnsi="Symbol"/>
      </w:rPr>
    </w:lvl>
    <w:lvl w:ilvl="3" w:tplc="7780F856">
      <w:start w:val="1"/>
      <w:numFmt w:val="bullet"/>
      <w:lvlText w:val=""/>
      <w:lvlJc w:val="left"/>
      <w:pPr>
        <w:ind w:left="1080" w:hanging="360"/>
      </w:pPr>
      <w:rPr>
        <w:rFonts w:ascii="Symbol" w:hAnsi="Symbol"/>
      </w:rPr>
    </w:lvl>
    <w:lvl w:ilvl="4" w:tplc="94C017D4">
      <w:start w:val="1"/>
      <w:numFmt w:val="bullet"/>
      <w:lvlText w:val=""/>
      <w:lvlJc w:val="left"/>
      <w:pPr>
        <w:ind w:left="1080" w:hanging="360"/>
      </w:pPr>
      <w:rPr>
        <w:rFonts w:ascii="Symbol" w:hAnsi="Symbol"/>
      </w:rPr>
    </w:lvl>
    <w:lvl w:ilvl="5" w:tplc="94FE5840">
      <w:start w:val="1"/>
      <w:numFmt w:val="bullet"/>
      <w:lvlText w:val=""/>
      <w:lvlJc w:val="left"/>
      <w:pPr>
        <w:ind w:left="1080" w:hanging="360"/>
      </w:pPr>
      <w:rPr>
        <w:rFonts w:ascii="Symbol" w:hAnsi="Symbol"/>
      </w:rPr>
    </w:lvl>
    <w:lvl w:ilvl="6" w:tplc="0C5EBECC">
      <w:start w:val="1"/>
      <w:numFmt w:val="bullet"/>
      <w:lvlText w:val=""/>
      <w:lvlJc w:val="left"/>
      <w:pPr>
        <w:ind w:left="1080" w:hanging="360"/>
      </w:pPr>
      <w:rPr>
        <w:rFonts w:ascii="Symbol" w:hAnsi="Symbol"/>
      </w:rPr>
    </w:lvl>
    <w:lvl w:ilvl="7" w:tplc="3C2833CE">
      <w:start w:val="1"/>
      <w:numFmt w:val="bullet"/>
      <w:lvlText w:val=""/>
      <w:lvlJc w:val="left"/>
      <w:pPr>
        <w:ind w:left="1080" w:hanging="360"/>
      </w:pPr>
      <w:rPr>
        <w:rFonts w:ascii="Symbol" w:hAnsi="Symbol"/>
      </w:rPr>
    </w:lvl>
    <w:lvl w:ilvl="8" w:tplc="E154EC00">
      <w:start w:val="1"/>
      <w:numFmt w:val="bullet"/>
      <w:lvlText w:val=""/>
      <w:lvlJc w:val="left"/>
      <w:pPr>
        <w:ind w:left="1080" w:hanging="360"/>
      </w:pPr>
      <w:rPr>
        <w:rFonts w:ascii="Symbol" w:hAnsi="Symbol"/>
      </w:rPr>
    </w:lvl>
  </w:abstractNum>
  <w:abstractNum w:abstractNumId="15" w15:restartNumberingAfterBreak="0">
    <w:nsid w:val="1EC4707D"/>
    <w:multiLevelType w:val="hybridMultilevel"/>
    <w:tmpl w:val="8E7C9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FB235C6"/>
    <w:multiLevelType w:val="hybridMultilevel"/>
    <w:tmpl w:val="3A042FD6"/>
    <w:lvl w:ilvl="0" w:tplc="A26EFB64">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22E6C1F"/>
    <w:multiLevelType w:val="hybridMultilevel"/>
    <w:tmpl w:val="797AB952"/>
    <w:lvl w:ilvl="0" w:tplc="374CF0B2">
      <w:start w:val="1"/>
      <w:numFmt w:val="bullet"/>
      <w:lvlText w:val=""/>
      <w:lvlJc w:val="left"/>
      <w:pPr>
        <w:ind w:left="1080" w:hanging="360"/>
      </w:pPr>
      <w:rPr>
        <w:rFonts w:ascii="Symbol" w:hAnsi="Symbol"/>
      </w:rPr>
    </w:lvl>
    <w:lvl w:ilvl="1" w:tplc="A10CE2AC">
      <w:start w:val="1"/>
      <w:numFmt w:val="bullet"/>
      <w:lvlText w:val=""/>
      <w:lvlJc w:val="left"/>
      <w:pPr>
        <w:ind w:left="1080" w:hanging="360"/>
      </w:pPr>
      <w:rPr>
        <w:rFonts w:ascii="Symbol" w:hAnsi="Symbol"/>
      </w:rPr>
    </w:lvl>
    <w:lvl w:ilvl="2" w:tplc="5DE0E472">
      <w:start w:val="1"/>
      <w:numFmt w:val="bullet"/>
      <w:lvlText w:val=""/>
      <w:lvlJc w:val="left"/>
      <w:pPr>
        <w:ind w:left="1080" w:hanging="360"/>
      </w:pPr>
      <w:rPr>
        <w:rFonts w:ascii="Symbol" w:hAnsi="Symbol"/>
      </w:rPr>
    </w:lvl>
    <w:lvl w:ilvl="3" w:tplc="77240796">
      <w:start w:val="1"/>
      <w:numFmt w:val="bullet"/>
      <w:lvlText w:val=""/>
      <w:lvlJc w:val="left"/>
      <w:pPr>
        <w:ind w:left="1080" w:hanging="360"/>
      </w:pPr>
      <w:rPr>
        <w:rFonts w:ascii="Symbol" w:hAnsi="Symbol"/>
      </w:rPr>
    </w:lvl>
    <w:lvl w:ilvl="4" w:tplc="577A7C78">
      <w:start w:val="1"/>
      <w:numFmt w:val="bullet"/>
      <w:lvlText w:val=""/>
      <w:lvlJc w:val="left"/>
      <w:pPr>
        <w:ind w:left="1080" w:hanging="360"/>
      </w:pPr>
      <w:rPr>
        <w:rFonts w:ascii="Symbol" w:hAnsi="Symbol"/>
      </w:rPr>
    </w:lvl>
    <w:lvl w:ilvl="5" w:tplc="AB94E0A2">
      <w:start w:val="1"/>
      <w:numFmt w:val="bullet"/>
      <w:lvlText w:val=""/>
      <w:lvlJc w:val="left"/>
      <w:pPr>
        <w:ind w:left="1080" w:hanging="360"/>
      </w:pPr>
      <w:rPr>
        <w:rFonts w:ascii="Symbol" w:hAnsi="Symbol"/>
      </w:rPr>
    </w:lvl>
    <w:lvl w:ilvl="6" w:tplc="3D2E948A">
      <w:start w:val="1"/>
      <w:numFmt w:val="bullet"/>
      <w:lvlText w:val=""/>
      <w:lvlJc w:val="left"/>
      <w:pPr>
        <w:ind w:left="1080" w:hanging="360"/>
      </w:pPr>
      <w:rPr>
        <w:rFonts w:ascii="Symbol" w:hAnsi="Symbol"/>
      </w:rPr>
    </w:lvl>
    <w:lvl w:ilvl="7" w:tplc="0EE47E22">
      <w:start w:val="1"/>
      <w:numFmt w:val="bullet"/>
      <w:lvlText w:val=""/>
      <w:lvlJc w:val="left"/>
      <w:pPr>
        <w:ind w:left="1080" w:hanging="360"/>
      </w:pPr>
      <w:rPr>
        <w:rFonts w:ascii="Symbol" w:hAnsi="Symbol"/>
      </w:rPr>
    </w:lvl>
    <w:lvl w:ilvl="8" w:tplc="60F62EDA">
      <w:start w:val="1"/>
      <w:numFmt w:val="bullet"/>
      <w:lvlText w:val=""/>
      <w:lvlJc w:val="left"/>
      <w:pPr>
        <w:ind w:left="1080" w:hanging="360"/>
      </w:pPr>
      <w:rPr>
        <w:rFonts w:ascii="Symbol" w:hAnsi="Symbol"/>
      </w:rPr>
    </w:lvl>
  </w:abstractNum>
  <w:abstractNum w:abstractNumId="18" w15:restartNumberingAfterBreak="0">
    <w:nsid w:val="2CE7573B"/>
    <w:multiLevelType w:val="hybridMultilevel"/>
    <w:tmpl w:val="756053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D3A4EC9"/>
    <w:multiLevelType w:val="hybridMultilevel"/>
    <w:tmpl w:val="7946EC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D6A7EB2"/>
    <w:multiLevelType w:val="hybridMultilevel"/>
    <w:tmpl w:val="69FA3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66E5D64"/>
    <w:multiLevelType w:val="hybridMultilevel"/>
    <w:tmpl w:val="26642D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971768F"/>
    <w:multiLevelType w:val="hybridMultilevel"/>
    <w:tmpl w:val="F044EC0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05F4939"/>
    <w:multiLevelType w:val="hybridMultilevel"/>
    <w:tmpl w:val="EB6AE8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7095746"/>
    <w:multiLevelType w:val="hybridMultilevel"/>
    <w:tmpl w:val="08482FF8"/>
    <w:lvl w:ilvl="0" w:tplc="A26EFB64">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8CD2960"/>
    <w:multiLevelType w:val="hybridMultilevel"/>
    <w:tmpl w:val="1F36AE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F675D04"/>
    <w:multiLevelType w:val="hybridMultilevel"/>
    <w:tmpl w:val="53DEF630"/>
    <w:lvl w:ilvl="0" w:tplc="11B0FA12">
      <w:start w:val="1"/>
      <w:numFmt w:val="bullet"/>
      <w:lvlText w:val=""/>
      <w:lvlJc w:val="left"/>
      <w:pPr>
        <w:ind w:left="1080" w:hanging="360"/>
      </w:pPr>
      <w:rPr>
        <w:rFonts w:ascii="Symbol" w:hAnsi="Symbol"/>
      </w:rPr>
    </w:lvl>
    <w:lvl w:ilvl="1" w:tplc="354AD64E">
      <w:start w:val="1"/>
      <w:numFmt w:val="bullet"/>
      <w:lvlText w:val=""/>
      <w:lvlJc w:val="left"/>
      <w:pPr>
        <w:ind w:left="1080" w:hanging="360"/>
      </w:pPr>
      <w:rPr>
        <w:rFonts w:ascii="Symbol" w:hAnsi="Symbol"/>
      </w:rPr>
    </w:lvl>
    <w:lvl w:ilvl="2" w:tplc="0158E836">
      <w:start w:val="1"/>
      <w:numFmt w:val="bullet"/>
      <w:lvlText w:val=""/>
      <w:lvlJc w:val="left"/>
      <w:pPr>
        <w:ind w:left="1080" w:hanging="360"/>
      </w:pPr>
      <w:rPr>
        <w:rFonts w:ascii="Symbol" w:hAnsi="Symbol"/>
      </w:rPr>
    </w:lvl>
    <w:lvl w:ilvl="3" w:tplc="FE8C06A4">
      <w:start w:val="1"/>
      <w:numFmt w:val="bullet"/>
      <w:lvlText w:val=""/>
      <w:lvlJc w:val="left"/>
      <w:pPr>
        <w:ind w:left="1080" w:hanging="360"/>
      </w:pPr>
      <w:rPr>
        <w:rFonts w:ascii="Symbol" w:hAnsi="Symbol"/>
      </w:rPr>
    </w:lvl>
    <w:lvl w:ilvl="4" w:tplc="29364386">
      <w:start w:val="1"/>
      <w:numFmt w:val="bullet"/>
      <w:lvlText w:val=""/>
      <w:lvlJc w:val="left"/>
      <w:pPr>
        <w:ind w:left="1080" w:hanging="360"/>
      </w:pPr>
      <w:rPr>
        <w:rFonts w:ascii="Symbol" w:hAnsi="Symbol"/>
      </w:rPr>
    </w:lvl>
    <w:lvl w:ilvl="5" w:tplc="C2582B32">
      <w:start w:val="1"/>
      <w:numFmt w:val="bullet"/>
      <w:lvlText w:val=""/>
      <w:lvlJc w:val="left"/>
      <w:pPr>
        <w:ind w:left="1080" w:hanging="360"/>
      </w:pPr>
      <w:rPr>
        <w:rFonts w:ascii="Symbol" w:hAnsi="Symbol"/>
      </w:rPr>
    </w:lvl>
    <w:lvl w:ilvl="6" w:tplc="6E10F8A2">
      <w:start w:val="1"/>
      <w:numFmt w:val="bullet"/>
      <w:lvlText w:val=""/>
      <w:lvlJc w:val="left"/>
      <w:pPr>
        <w:ind w:left="1080" w:hanging="360"/>
      </w:pPr>
      <w:rPr>
        <w:rFonts w:ascii="Symbol" w:hAnsi="Symbol"/>
      </w:rPr>
    </w:lvl>
    <w:lvl w:ilvl="7" w:tplc="F5DA45C4">
      <w:start w:val="1"/>
      <w:numFmt w:val="bullet"/>
      <w:lvlText w:val=""/>
      <w:lvlJc w:val="left"/>
      <w:pPr>
        <w:ind w:left="1080" w:hanging="360"/>
      </w:pPr>
      <w:rPr>
        <w:rFonts w:ascii="Symbol" w:hAnsi="Symbol"/>
      </w:rPr>
    </w:lvl>
    <w:lvl w:ilvl="8" w:tplc="DE54BDD4">
      <w:start w:val="1"/>
      <w:numFmt w:val="bullet"/>
      <w:lvlText w:val=""/>
      <w:lvlJc w:val="left"/>
      <w:pPr>
        <w:ind w:left="1080" w:hanging="360"/>
      </w:pPr>
      <w:rPr>
        <w:rFonts w:ascii="Symbol" w:hAnsi="Symbol"/>
      </w:rPr>
    </w:lvl>
  </w:abstractNum>
  <w:abstractNum w:abstractNumId="27" w15:restartNumberingAfterBreak="0">
    <w:nsid w:val="4FF82CD9"/>
    <w:multiLevelType w:val="hybridMultilevel"/>
    <w:tmpl w:val="96E2C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3D8442F"/>
    <w:multiLevelType w:val="hybridMultilevel"/>
    <w:tmpl w:val="FE247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4FF0110"/>
    <w:multiLevelType w:val="hybridMultilevel"/>
    <w:tmpl w:val="DBA873F8"/>
    <w:lvl w:ilvl="0" w:tplc="03DA1D4E">
      <w:start w:val="1"/>
      <w:numFmt w:val="bullet"/>
      <w:pStyle w:val="Instructionaltext-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cs="Wingdings" w:hint="default"/>
      </w:rPr>
    </w:lvl>
    <w:lvl w:ilvl="3" w:tplc="0C090001" w:tentative="1">
      <w:start w:val="1"/>
      <w:numFmt w:val="bullet"/>
      <w:lvlText w:val=""/>
      <w:lvlJc w:val="left"/>
      <w:pPr>
        <w:ind w:left="3237" w:hanging="360"/>
      </w:pPr>
      <w:rPr>
        <w:rFonts w:ascii="Symbol" w:hAnsi="Symbol" w:cs="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cs="Wingdings" w:hint="default"/>
      </w:rPr>
    </w:lvl>
    <w:lvl w:ilvl="6" w:tplc="0C090001" w:tentative="1">
      <w:start w:val="1"/>
      <w:numFmt w:val="bullet"/>
      <w:lvlText w:val=""/>
      <w:lvlJc w:val="left"/>
      <w:pPr>
        <w:ind w:left="5397" w:hanging="360"/>
      </w:pPr>
      <w:rPr>
        <w:rFonts w:ascii="Symbol" w:hAnsi="Symbol" w:cs="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cs="Wingdings" w:hint="default"/>
      </w:rPr>
    </w:lvl>
  </w:abstractNum>
  <w:abstractNum w:abstractNumId="30" w15:restartNumberingAfterBreak="0">
    <w:nsid w:val="567A55DE"/>
    <w:multiLevelType w:val="hybridMultilevel"/>
    <w:tmpl w:val="F50EB884"/>
    <w:lvl w:ilvl="0" w:tplc="95961F2E">
      <w:numFmt w:val="bullet"/>
      <w:lvlText w:val="•"/>
      <w:lvlJc w:val="left"/>
      <w:pPr>
        <w:ind w:left="1080" w:hanging="72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80D2CE2"/>
    <w:multiLevelType w:val="hybridMultilevel"/>
    <w:tmpl w:val="3C366B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F016183"/>
    <w:multiLevelType w:val="hybridMultilevel"/>
    <w:tmpl w:val="48ECD8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F702825"/>
    <w:multiLevelType w:val="hybridMultilevel"/>
    <w:tmpl w:val="807221C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0143835"/>
    <w:multiLevelType w:val="hybridMultilevel"/>
    <w:tmpl w:val="A4BC45AE"/>
    <w:lvl w:ilvl="0" w:tplc="95961F2E">
      <w:numFmt w:val="bullet"/>
      <w:lvlText w:val="•"/>
      <w:lvlJc w:val="left"/>
      <w:pPr>
        <w:ind w:left="720" w:hanging="360"/>
      </w:pPr>
      <w:rPr>
        <w:rFonts w:ascii="Calibri" w:eastAsia="Calibr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0C95369"/>
    <w:multiLevelType w:val="hybridMultilevel"/>
    <w:tmpl w:val="5540EFD4"/>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3C71BD0"/>
    <w:multiLevelType w:val="hybridMultilevel"/>
    <w:tmpl w:val="4E56B7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5F94005"/>
    <w:multiLevelType w:val="hybridMultilevel"/>
    <w:tmpl w:val="6E3449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B463B67"/>
    <w:multiLevelType w:val="hybridMultilevel"/>
    <w:tmpl w:val="56A21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49245C5"/>
    <w:multiLevelType w:val="hybridMultilevel"/>
    <w:tmpl w:val="AA120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BF41EF4"/>
    <w:multiLevelType w:val="hybridMultilevel"/>
    <w:tmpl w:val="4F12C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C0A70C0"/>
    <w:multiLevelType w:val="hybridMultilevel"/>
    <w:tmpl w:val="91D2B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C20206A"/>
    <w:multiLevelType w:val="hybridMultilevel"/>
    <w:tmpl w:val="846A5272"/>
    <w:lvl w:ilvl="0" w:tplc="75B2A8F6">
      <w:start w:val="1"/>
      <w:numFmt w:val="bullet"/>
      <w:lvlText w:val=""/>
      <w:lvlJc w:val="left"/>
      <w:pPr>
        <w:ind w:left="1080" w:hanging="360"/>
      </w:pPr>
      <w:rPr>
        <w:rFonts w:ascii="Symbol" w:hAnsi="Symbol"/>
      </w:rPr>
    </w:lvl>
    <w:lvl w:ilvl="1" w:tplc="9484F1F2">
      <w:start w:val="1"/>
      <w:numFmt w:val="bullet"/>
      <w:lvlText w:val=""/>
      <w:lvlJc w:val="left"/>
      <w:pPr>
        <w:ind w:left="1080" w:hanging="360"/>
      </w:pPr>
      <w:rPr>
        <w:rFonts w:ascii="Symbol" w:hAnsi="Symbol"/>
      </w:rPr>
    </w:lvl>
    <w:lvl w:ilvl="2" w:tplc="50F8CE02">
      <w:start w:val="1"/>
      <w:numFmt w:val="bullet"/>
      <w:lvlText w:val=""/>
      <w:lvlJc w:val="left"/>
      <w:pPr>
        <w:ind w:left="1080" w:hanging="360"/>
      </w:pPr>
      <w:rPr>
        <w:rFonts w:ascii="Symbol" w:hAnsi="Symbol"/>
      </w:rPr>
    </w:lvl>
    <w:lvl w:ilvl="3" w:tplc="A41682E2">
      <w:start w:val="1"/>
      <w:numFmt w:val="bullet"/>
      <w:lvlText w:val=""/>
      <w:lvlJc w:val="left"/>
      <w:pPr>
        <w:ind w:left="1080" w:hanging="360"/>
      </w:pPr>
      <w:rPr>
        <w:rFonts w:ascii="Symbol" w:hAnsi="Symbol"/>
      </w:rPr>
    </w:lvl>
    <w:lvl w:ilvl="4" w:tplc="76AE84B6">
      <w:start w:val="1"/>
      <w:numFmt w:val="bullet"/>
      <w:lvlText w:val=""/>
      <w:lvlJc w:val="left"/>
      <w:pPr>
        <w:ind w:left="1080" w:hanging="360"/>
      </w:pPr>
      <w:rPr>
        <w:rFonts w:ascii="Symbol" w:hAnsi="Symbol"/>
      </w:rPr>
    </w:lvl>
    <w:lvl w:ilvl="5" w:tplc="AA249976">
      <w:start w:val="1"/>
      <w:numFmt w:val="bullet"/>
      <w:lvlText w:val=""/>
      <w:lvlJc w:val="left"/>
      <w:pPr>
        <w:ind w:left="1080" w:hanging="360"/>
      </w:pPr>
      <w:rPr>
        <w:rFonts w:ascii="Symbol" w:hAnsi="Symbol"/>
      </w:rPr>
    </w:lvl>
    <w:lvl w:ilvl="6" w:tplc="CE8A27FA">
      <w:start w:val="1"/>
      <w:numFmt w:val="bullet"/>
      <w:lvlText w:val=""/>
      <w:lvlJc w:val="left"/>
      <w:pPr>
        <w:ind w:left="1080" w:hanging="360"/>
      </w:pPr>
      <w:rPr>
        <w:rFonts w:ascii="Symbol" w:hAnsi="Symbol"/>
      </w:rPr>
    </w:lvl>
    <w:lvl w:ilvl="7" w:tplc="F44A4AA0">
      <w:start w:val="1"/>
      <w:numFmt w:val="bullet"/>
      <w:lvlText w:val=""/>
      <w:lvlJc w:val="left"/>
      <w:pPr>
        <w:ind w:left="1080" w:hanging="360"/>
      </w:pPr>
      <w:rPr>
        <w:rFonts w:ascii="Symbol" w:hAnsi="Symbol"/>
      </w:rPr>
    </w:lvl>
    <w:lvl w:ilvl="8" w:tplc="2F8ED46E">
      <w:start w:val="1"/>
      <w:numFmt w:val="bullet"/>
      <w:lvlText w:val=""/>
      <w:lvlJc w:val="left"/>
      <w:pPr>
        <w:ind w:left="1080" w:hanging="360"/>
      </w:pPr>
      <w:rPr>
        <w:rFonts w:ascii="Symbol" w:hAnsi="Symbol"/>
      </w:rPr>
    </w:lvl>
  </w:abstractNum>
  <w:abstractNum w:abstractNumId="43" w15:restartNumberingAfterBreak="0">
    <w:nsid w:val="7D7B3160"/>
    <w:multiLevelType w:val="hybridMultilevel"/>
    <w:tmpl w:val="9F2275DA"/>
    <w:lvl w:ilvl="0" w:tplc="95961F2E">
      <w:numFmt w:val="bullet"/>
      <w:lvlText w:val="•"/>
      <w:lvlJc w:val="left"/>
      <w:pPr>
        <w:ind w:left="1080" w:hanging="72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E637AB0"/>
    <w:multiLevelType w:val="hybridMultilevel"/>
    <w:tmpl w:val="E6C00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72583400">
    <w:abstractNumId w:val="5"/>
  </w:num>
  <w:num w:numId="2" w16cid:durableId="1024792184">
    <w:abstractNumId w:val="31"/>
  </w:num>
  <w:num w:numId="3" w16cid:durableId="2098093375">
    <w:abstractNumId w:val="29"/>
  </w:num>
  <w:num w:numId="4" w16cid:durableId="1911186006">
    <w:abstractNumId w:val="15"/>
  </w:num>
  <w:num w:numId="5" w16cid:durableId="929508997">
    <w:abstractNumId w:val="35"/>
  </w:num>
  <w:num w:numId="6" w16cid:durableId="823394897">
    <w:abstractNumId w:val="24"/>
  </w:num>
  <w:num w:numId="7" w16cid:durableId="1985043683">
    <w:abstractNumId w:val="22"/>
  </w:num>
  <w:num w:numId="8" w16cid:durableId="1138887236">
    <w:abstractNumId w:val="23"/>
  </w:num>
  <w:num w:numId="9" w16cid:durableId="2089647999">
    <w:abstractNumId w:val="6"/>
  </w:num>
  <w:num w:numId="10" w16cid:durableId="685251371">
    <w:abstractNumId w:val="39"/>
  </w:num>
  <w:num w:numId="11" w16cid:durableId="393050331">
    <w:abstractNumId w:val="9"/>
  </w:num>
  <w:num w:numId="12" w16cid:durableId="952591773">
    <w:abstractNumId w:val="43"/>
  </w:num>
  <w:num w:numId="13" w16cid:durableId="1545748120">
    <w:abstractNumId w:val="2"/>
  </w:num>
  <w:num w:numId="14" w16cid:durableId="1978102473">
    <w:abstractNumId w:val="30"/>
  </w:num>
  <w:num w:numId="15" w16cid:durableId="355229065">
    <w:abstractNumId w:val="13"/>
  </w:num>
  <w:num w:numId="16" w16cid:durableId="1369834704">
    <w:abstractNumId w:val="33"/>
  </w:num>
  <w:num w:numId="17" w16cid:durableId="2027098693">
    <w:abstractNumId w:val="10"/>
  </w:num>
  <w:num w:numId="18" w16cid:durableId="1428191600">
    <w:abstractNumId w:val="1"/>
  </w:num>
  <w:num w:numId="19" w16cid:durableId="1633560196">
    <w:abstractNumId w:val="25"/>
  </w:num>
  <w:num w:numId="20" w16cid:durableId="3438268">
    <w:abstractNumId w:val="34"/>
  </w:num>
  <w:num w:numId="21" w16cid:durableId="163210387">
    <w:abstractNumId w:val="12"/>
  </w:num>
  <w:num w:numId="22" w16cid:durableId="1545216361">
    <w:abstractNumId w:val="0"/>
  </w:num>
  <w:num w:numId="23" w16cid:durableId="672536825">
    <w:abstractNumId w:val="21"/>
  </w:num>
  <w:num w:numId="24" w16cid:durableId="1400520800">
    <w:abstractNumId w:val="37"/>
  </w:num>
  <w:num w:numId="25" w16cid:durableId="1095173745">
    <w:abstractNumId w:val="32"/>
  </w:num>
  <w:num w:numId="26" w16cid:durableId="783227931">
    <w:abstractNumId w:val="41"/>
  </w:num>
  <w:num w:numId="27" w16cid:durableId="216287782">
    <w:abstractNumId w:val="36"/>
  </w:num>
  <w:num w:numId="28" w16cid:durableId="708187471">
    <w:abstractNumId w:val="11"/>
  </w:num>
  <w:num w:numId="29" w16cid:durableId="241061829">
    <w:abstractNumId w:val="3"/>
  </w:num>
  <w:num w:numId="30" w16cid:durableId="1333025354">
    <w:abstractNumId w:val="16"/>
  </w:num>
  <w:num w:numId="31" w16cid:durableId="99762234">
    <w:abstractNumId w:val="20"/>
  </w:num>
  <w:num w:numId="32" w16cid:durableId="129136842">
    <w:abstractNumId w:val="19"/>
  </w:num>
  <w:num w:numId="33" w16cid:durableId="761875419">
    <w:abstractNumId w:val="27"/>
  </w:num>
  <w:num w:numId="34" w16cid:durableId="455834092">
    <w:abstractNumId w:val="7"/>
  </w:num>
  <w:num w:numId="35" w16cid:durableId="1546062928">
    <w:abstractNumId w:val="4"/>
  </w:num>
  <w:num w:numId="36" w16cid:durableId="1767650444">
    <w:abstractNumId w:val="18"/>
  </w:num>
  <w:num w:numId="37" w16cid:durableId="338234137">
    <w:abstractNumId w:val="44"/>
  </w:num>
  <w:num w:numId="38" w16cid:durableId="885683307">
    <w:abstractNumId w:val="38"/>
  </w:num>
  <w:num w:numId="39" w16cid:durableId="14884881">
    <w:abstractNumId w:val="28"/>
  </w:num>
  <w:num w:numId="40" w16cid:durableId="620838852">
    <w:abstractNumId w:val="40"/>
  </w:num>
  <w:num w:numId="41" w16cid:durableId="1577938200">
    <w:abstractNumId w:val="17"/>
  </w:num>
  <w:num w:numId="42" w16cid:durableId="71316148">
    <w:abstractNumId w:val="26"/>
  </w:num>
  <w:num w:numId="43" w16cid:durableId="677662785">
    <w:abstractNumId w:val="14"/>
  </w:num>
  <w:num w:numId="44" w16cid:durableId="153646068">
    <w:abstractNumId w:val="42"/>
  </w:num>
  <w:num w:numId="45" w16cid:durableId="13443549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F9C"/>
    <w:rsid w:val="00000294"/>
    <w:rsid w:val="00000D1B"/>
    <w:rsid w:val="0000115E"/>
    <w:rsid w:val="00001376"/>
    <w:rsid w:val="00001D59"/>
    <w:rsid w:val="00001DB6"/>
    <w:rsid w:val="00002872"/>
    <w:rsid w:val="000033A7"/>
    <w:rsid w:val="00003F00"/>
    <w:rsid w:val="00004373"/>
    <w:rsid w:val="00005803"/>
    <w:rsid w:val="00007291"/>
    <w:rsid w:val="000073AA"/>
    <w:rsid w:val="00007EEB"/>
    <w:rsid w:val="00010FCB"/>
    <w:rsid w:val="000110B7"/>
    <w:rsid w:val="00011E11"/>
    <w:rsid w:val="00014189"/>
    <w:rsid w:val="000142D2"/>
    <w:rsid w:val="00014A3B"/>
    <w:rsid w:val="00015785"/>
    <w:rsid w:val="00015D0C"/>
    <w:rsid w:val="00015F68"/>
    <w:rsid w:val="00015F76"/>
    <w:rsid w:val="00021FB7"/>
    <w:rsid w:val="00022954"/>
    <w:rsid w:val="00023391"/>
    <w:rsid w:val="00024978"/>
    <w:rsid w:val="00024BE8"/>
    <w:rsid w:val="000251D4"/>
    <w:rsid w:val="00026DC8"/>
    <w:rsid w:val="000274DC"/>
    <w:rsid w:val="00027982"/>
    <w:rsid w:val="0003134F"/>
    <w:rsid w:val="00033BBD"/>
    <w:rsid w:val="000346FD"/>
    <w:rsid w:val="000348FD"/>
    <w:rsid w:val="00034AF8"/>
    <w:rsid w:val="000355B9"/>
    <w:rsid w:val="00036307"/>
    <w:rsid w:val="000366CC"/>
    <w:rsid w:val="00036E23"/>
    <w:rsid w:val="000402CC"/>
    <w:rsid w:val="000416B9"/>
    <w:rsid w:val="000426EE"/>
    <w:rsid w:val="00043A77"/>
    <w:rsid w:val="00046B25"/>
    <w:rsid w:val="000520AC"/>
    <w:rsid w:val="000520B1"/>
    <w:rsid w:val="0005253E"/>
    <w:rsid w:val="000529C3"/>
    <w:rsid w:val="0005329C"/>
    <w:rsid w:val="00054A13"/>
    <w:rsid w:val="00054AC5"/>
    <w:rsid w:val="00055272"/>
    <w:rsid w:val="00055BEA"/>
    <w:rsid w:val="00055E2F"/>
    <w:rsid w:val="00056F09"/>
    <w:rsid w:val="00057D5E"/>
    <w:rsid w:val="00060810"/>
    <w:rsid w:val="00061477"/>
    <w:rsid w:val="000614FA"/>
    <w:rsid w:val="000617AD"/>
    <w:rsid w:val="00061899"/>
    <w:rsid w:val="00062151"/>
    <w:rsid w:val="00062CC4"/>
    <w:rsid w:val="0006322F"/>
    <w:rsid w:val="000637FD"/>
    <w:rsid w:val="0006417A"/>
    <w:rsid w:val="000656B7"/>
    <w:rsid w:val="0006615B"/>
    <w:rsid w:val="00066862"/>
    <w:rsid w:val="00067BAF"/>
    <w:rsid w:val="00070010"/>
    <w:rsid w:val="000706CB"/>
    <w:rsid w:val="00071827"/>
    <w:rsid w:val="000721A7"/>
    <w:rsid w:val="000729F2"/>
    <w:rsid w:val="00074CDA"/>
    <w:rsid w:val="00076E55"/>
    <w:rsid w:val="00077067"/>
    <w:rsid w:val="00081156"/>
    <w:rsid w:val="000818BB"/>
    <w:rsid w:val="00081E48"/>
    <w:rsid w:val="00083F40"/>
    <w:rsid w:val="000846D3"/>
    <w:rsid w:val="00085CE3"/>
    <w:rsid w:val="0008611F"/>
    <w:rsid w:val="00086E9C"/>
    <w:rsid w:val="00087940"/>
    <w:rsid w:val="000925AB"/>
    <w:rsid w:val="000939E0"/>
    <w:rsid w:val="00094963"/>
    <w:rsid w:val="00094BCA"/>
    <w:rsid w:val="00094D53"/>
    <w:rsid w:val="000973C6"/>
    <w:rsid w:val="00097641"/>
    <w:rsid w:val="000A0DE5"/>
    <w:rsid w:val="000A0E22"/>
    <w:rsid w:val="000A10CC"/>
    <w:rsid w:val="000A1F7D"/>
    <w:rsid w:val="000A2119"/>
    <w:rsid w:val="000A2221"/>
    <w:rsid w:val="000A2382"/>
    <w:rsid w:val="000A3242"/>
    <w:rsid w:val="000A355A"/>
    <w:rsid w:val="000A3BB5"/>
    <w:rsid w:val="000A72D4"/>
    <w:rsid w:val="000A7D7E"/>
    <w:rsid w:val="000B04F9"/>
    <w:rsid w:val="000B24EA"/>
    <w:rsid w:val="000B41F9"/>
    <w:rsid w:val="000B4722"/>
    <w:rsid w:val="000B51BA"/>
    <w:rsid w:val="000B5C14"/>
    <w:rsid w:val="000B5DAB"/>
    <w:rsid w:val="000B685F"/>
    <w:rsid w:val="000B7019"/>
    <w:rsid w:val="000B7952"/>
    <w:rsid w:val="000C0980"/>
    <w:rsid w:val="000C1335"/>
    <w:rsid w:val="000C1861"/>
    <w:rsid w:val="000C3B57"/>
    <w:rsid w:val="000C3C72"/>
    <w:rsid w:val="000C3EE1"/>
    <w:rsid w:val="000C46B6"/>
    <w:rsid w:val="000C4B21"/>
    <w:rsid w:val="000C51F6"/>
    <w:rsid w:val="000C5F58"/>
    <w:rsid w:val="000C64B2"/>
    <w:rsid w:val="000C7FE9"/>
    <w:rsid w:val="000D0549"/>
    <w:rsid w:val="000D11D0"/>
    <w:rsid w:val="000D1460"/>
    <w:rsid w:val="000D1706"/>
    <w:rsid w:val="000D1FCF"/>
    <w:rsid w:val="000D39F3"/>
    <w:rsid w:val="000D3E7A"/>
    <w:rsid w:val="000D5452"/>
    <w:rsid w:val="000D5CAB"/>
    <w:rsid w:val="000D7355"/>
    <w:rsid w:val="000E112C"/>
    <w:rsid w:val="000E180B"/>
    <w:rsid w:val="000E27D9"/>
    <w:rsid w:val="000E2F7A"/>
    <w:rsid w:val="000E5ED5"/>
    <w:rsid w:val="000E5F37"/>
    <w:rsid w:val="000E623D"/>
    <w:rsid w:val="000E72D8"/>
    <w:rsid w:val="000E7F94"/>
    <w:rsid w:val="000F0218"/>
    <w:rsid w:val="000F0932"/>
    <w:rsid w:val="000F0E7A"/>
    <w:rsid w:val="000F0FD4"/>
    <w:rsid w:val="000F1F6E"/>
    <w:rsid w:val="000F5E89"/>
    <w:rsid w:val="000F65E5"/>
    <w:rsid w:val="000F6AC5"/>
    <w:rsid w:val="000F72E7"/>
    <w:rsid w:val="000F7C35"/>
    <w:rsid w:val="001005BB"/>
    <w:rsid w:val="00100DBB"/>
    <w:rsid w:val="001017B2"/>
    <w:rsid w:val="00101A4D"/>
    <w:rsid w:val="001028AC"/>
    <w:rsid w:val="0010386C"/>
    <w:rsid w:val="00105331"/>
    <w:rsid w:val="00106000"/>
    <w:rsid w:val="00106AEC"/>
    <w:rsid w:val="00106CCA"/>
    <w:rsid w:val="00106DF7"/>
    <w:rsid w:val="001075B0"/>
    <w:rsid w:val="00107D91"/>
    <w:rsid w:val="001105F1"/>
    <w:rsid w:val="00110EF0"/>
    <w:rsid w:val="001119C8"/>
    <w:rsid w:val="00111EC8"/>
    <w:rsid w:val="0011286F"/>
    <w:rsid w:val="00113142"/>
    <w:rsid w:val="001136BA"/>
    <w:rsid w:val="001138AB"/>
    <w:rsid w:val="00114898"/>
    <w:rsid w:val="00114AFC"/>
    <w:rsid w:val="00115AA6"/>
    <w:rsid w:val="00116210"/>
    <w:rsid w:val="001162B7"/>
    <w:rsid w:val="001203AB"/>
    <w:rsid w:val="00120F8A"/>
    <w:rsid w:val="00120FEE"/>
    <w:rsid w:val="00121B8C"/>
    <w:rsid w:val="0012227B"/>
    <w:rsid w:val="0012344E"/>
    <w:rsid w:val="001249D6"/>
    <w:rsid w:val="00125C7E"/>
    <w:rsid w:val="001266B7"/>
    <w:rsid w:val="00126944"/>
    <w:rsid w:val="00126D7F"/>
    <w:rsid w:val="00127470"/>
    <w:rsid w:val="00130657"/>
    <w:rsid w:val="00130B09"/>
    <w:rsid w:val="00130DC3"/>
    <w:rsid w:val="0013122B"/>
    <w:rsid w:val="00131A0F"/>
    <w:rsid w:val="00133FFD"/>
    <w:rsid w:val="00134AA7"/>
    <w:rsid w:val="00135CC3"/>
    <w:rsid w:val="001372A2"/>
    <w:rsid w:val="001373E0"/>
    <w:rsid w:val="0013792D"/>
    <w:rsid w:val="0014014B"/>
    <w:rsid w:val="001405EC"/>
    <w:rsid w:val="001407CF"/>
    <w:rsid w:val="001413B1"/>
    <w:rsid w:val="00143104"/>
    <w:rsid w:val="00143391"/>
    <w:rsid w:val="00144FBE"/>
    <w:rsid w:val="00145583"/>
    <w:rsid w:val="00146195"/>
    <w:rsid w:val="00147333"/>
    <w:rsid w:val="00150497"/>
    <w:rsid w:val="00150955"/>
    <w:rsid w:val="00150A86"/>
    <w:rsid w:val="00150C9D"/>
    <w:rsid w:val="00151073"/>
    <w:rsid w:val="00151767"/>
    <w:rsid w:val="001519A9"/>
    <w:rsid w:val="001519AF"/>
    <w:rsid w:val="00153462"/>
    <w:rsid w:val="001536A0"/>
    <w:rsid w:val="00155943"/>
    <w:rsid w:val="001560CC"/>
    <w:rsid w:val="00156172"/>
    <w:rsid w:val="001579A7"/>
    <w:rsid w:val="00157A07"/>
    <w:rsid w:val="00160613"/>
    <w:rsid w:val="001606A6"/>
    <w:rsid w:val="00161727"/>
    <w:rsid w:val="001617C8"/>
    <w:rsid w:val="00161EE9"/>
    <w:rsid w:val="001625D2"/>
    <w:rsid w:val="00162DF7"/>
    <w:rsid w:val="00162F69"/>
    <w:rsid w:val="0016315C"/>
    <w:rsid w:val="00163463"/>
    <w:rsid w:val="0016357A"/>
    <w:rsid w:val="001642E6"/>
    <w:rsid w:val="001643BF"/>
    <w:rsid w:val="00164E2A"/>
    <w:rsid w:val="0016555A"/>
    <w:rsid w:val="00167A74"/>
    <w:rsid w:val="00167AC7"/>
    <w:rsid w:val="001700F0"/>
    <w:rsid w:val="00170969"/>
    <w:rsid w:val="00172416"/>
    <w:rsid w:val="00172887"/>
    <w:rsid w:val="00173763"/>
    <w:rsid w:val="00173850"/>
    <w:rsid w:val="001742E0"/>
    <w:rsid w:val="0017480E"/>
    <w:rsid w:val="00174CC8"/>
    <w:rsid w:val="00176851"/>
    <w:rsid w:val="00176949"/>
    <w:rsid w:val="001814C6"/>
    <w:rsid w:val="00182D38"/>
    <w:rsid w:val="00183A7C"/>
    <w:rsid w:val="00184DD0"/>
    <w:rsid w:val="00186629"/>
    <w:rsid w:val="00186FA3"/>
    <w:rsid w:val="001873CB"/>
    <w:rsid w:val="00187E84"/>
    <w:rsid w:val="001902A8"/>
    <w:rsid w:val="0019057A"/>
    <w:rsid w:val="001907CD"/>
    <w:rsid w:val="0019156D"/>
    <w:rsid w:val="001918CE"/>
    <w:rsid w:val="00192A4A"/>
    <w:rsid w:val="001953D6"/>
    <w:rsid w:val="00195C23"/>
    <w:rsid w:val="001966FC"/>
    <w:rsid w:val="00196AA4"/>
    <w:rsid w:val="00196E8A"/>
    <w:rsid w:val="001974F6"/>
    <w:rsid w:val="001A219A"/>
    <w:rsid w:val="001A421A"/>
    <w:rsid w:val="001A5959"/>
    <w:rsid w:val="001A5D2F"/>
    <w:rsid w:val="001A5FBA"/>
    <w:rsid w:val="001A6A77"/>
    <w:rsid w:val="001A6C1D"/>
    <w:rsid w:val="001A7AE5"/>
    <w:rsid w:val="001B0F6B"/>
    <w:rsid w:val="001B12C7"/>
    <w:rsid w:val="001B140F"/>
    <w:rsid w:val="001B3B11"/>
    <w:rsid w:val="001B3B69"/>
    <w:rsid w:val="001B3C5E"/>
    <w:rsid w:val="001B46E3"/>
    <w:rsid w:val="001B490C"/>
    <w:rsid w:val="001B62FC"/>
    <w:rsid w:val="001B6935"/>
    <w:rsid w:val="001B7AE9"/>
    <w:rsid w:val="001C0AD3"/>
    <w:rsid w:val="001C2399"/>
    <w:rsid w:val="001C2D32"/>
    <w:rsid w:val="001C2E31"/>
    <w:rsid w:val="001C3B19"/>
    <w:rsid w:val="001C3C51"/>
    <w:rsid w:val="001C4167"/>
    <w:rsid w:val="001C45AC"/>
    <w:rsid w:val="001C540D"/>
    <w:rsid w:val="001C5EFE"/>
    <w:rsid w:val="001C66AA"/>
    <w:rsid w:val="001C77F6"/>
    <w:rsid w:val="001C798B"/>
    <w:rsid w:val="001C7E74"/>
    <w:rsid w:val="001D04C0"/>
    <w:rsid w:val="001D08AD"/>
    <w:rsid w:val="001D1693"/>
    <w:rsid w:val="001D1887"/>
    <w:rsid w:val="001D18C0"/>
    <w:rsid w:val="001D1C20"/>
    <w:rsid w:val="001D247E"/>
    <w:rsid w:val="001D30B8"/>
    <w:rsid w:val="001D4B8B"/>
    <w:rsid w:val="001D4D20"/>
    <w:rsid w:val="001D4E24"/>
    <w:rsid w:val="001D5F15"/>
    <w:rsid w:val="001E097C"/>
    <w:rsid w:val="001E0CEE"/>
    <w:rsid w:val="001E13C3"/>
    <w:rsid w:val="001E1525"/>
    <w:rsid w:val="001E2E55"/>
    <w:rsid w:val="001E3100"/>
    <w:rsid w:val="001E34C3"/>
    <w:rsid w:val="001E3DDA"/>
    <w:rsid w:val="001E557B"/>
    <w:rsid w:val="001E561B"/>
    <w:rsid w:val="001E5BDD"/>
    <w:rsid w:val="001E5F9C"/>
    <w:rsid w:val="001E6E1A"/>
    <w:rsid w:val="001E7927"/>
    <w:rsid w:val="001F1266"/>
    <w:rsid w:val="001F1282"/>
    <w:rsid w:val="001F134A"/>
    <w:rsid w:val="001F18B6"/>
    <w:rsid w:val="001F1BEF"/>
    <w:rsid w:val="001F2E97"/>
    <w:rsid w:val="001F4A56"/>
    <w:rsid w:val="001F4E96"/>
    <w:rsid w:val="001F6018"/>
    <w:rsid w:val="001F79CC"/>
    <w:rsid w:val="0020024B"/>
    <w:rsid w:val="00200A3A"/>
    <w:rsid w:val="00200BB2"/>
    <w:rsid w:val="00201374"/>
    <w:rsid w:val="002023F2"/>
    <w:rsid w:val="00202BBA"/>
    <w:rsid w:val="00203833"/>
    <w:rsid w:val="002039B0"/>
    <w:rsid w:val="00203BC1"/>
    <w:rsid w:val="002044AC"/>
    <w:rsid w:val="00204AD6"/>
    <w:rsid w:val="00205B86"/>
    <w:rsid w:val="0020662F"/>
    <w:rsid w:val="00206790"/>
    <w:rsid w:val="00206DAF"/>
    <w:rsid w:val="00207261"/>
    <w:rsid w:val="0020761D"/>
    <w:rsid w:val="002076DD"/>
    <w:rsid w:val="00207E3B"/>
    <w:rsid w:val="00210D2A"/>
    <w:rsid w:val="002114DE"/>
    <w:rsid w:val="002117EA"/>
    <w:rsid w:val="00211921"/>
    <w:rsid w:val="00211B19"/>
    <w:rsid w:val="00211B8E"/>
    <w:rsid w:val="00211C12"/>
    <w:rsid w:val="00211C8A"/>
    <w:rsid w:val="00211E84"/>
    <w:rsid w:val="00212497"/>
    <w:rsid w:val="002125F1"/>
    <w:rsid w:val="00213A8E"/>
    <w:rsid w:val="00214B6C"/>
    <w:rsid w:val="0021521B"/>
    <w:rsid w:val="00215BA9"/>
    <w:rsid w:val="00215BBD"/>
    <w:rsid w:val="00215C86"/>
    <w:rsid w:val="00215E96"/>
    <w:rsid w:val="00217052"/>
    <w:rsid w:val="002170DD"/>
    <w:rsid w:val="002170FA"/>
    <w:rsid w:val="0021776D"/>
    <w:rsid w:val="00221ECF"/>
    <w:rsid w:val="00223CDE"/>
    <w:rsid w:val="0022425A"/>
    <w:rsid w:val="0022532E"/>
    <w:rsid w:val="0022561D"/>
    <w:rsid w:val="00225D39"/>
    <w:rsid w:val="002269C4"/>
    <w:rsid w:val="00226AB0"/>
    <w:rsid w:val="00226B44"/>
    <w:rsid w:val="002279C9"/>
    <w:rsid w:val="00230898"/>
    <w:rsid w:val="0023177E"/>
    <w:rsid w:val="00231A39"/>
    <w:rsid w:val="00231B93"/>
    <w:rsid w:val="002323B9"/>
    <w:rsid w:val="00233EFC"/>
    <w:rsid w:val="002346EF"/>
    <w:rsid w:val="002357D9"/>
    <w:rsid w:val="00235B21"/>
    <w:rsid w:val="00236518"/>
    <w:rsid w:val="00236EBB"/>
    <w:rsid w:val="002370A3"/>
    <w:rsid w:val="002371FB"/>
    <w:rsid w:val="0023784D"/>
    <w:rsid w:val="00237A36"/>
    <w:rsid w:val="00237D36"/>
    <w:rsid w:val="002409DB"/>
    <w:rsid w:val="00240E16"/>
    <w:rsid w:val="00243555"/>
    <w:rsid w:val="00243762"/>
    <w:rsid w:val="00245A0F"/>
    <w:rsid w:val="00245CA2"/>
    <w:rsid w:val="00245EE3"/>
    <w:rsid w:val="00246986"/>
    <w:rsid w:val="002469F6"/>
    <w:rsid w:val="0024717F"/>
    <w:rsid w:val="00247526"/>
    <w:rsid w:val="00247913"/>
    <w:rsid w:val="0024792E"/>
    <w:rsid w:val="00247CF7"/>
    <w:rsid w:val="002502E5"/>
    <w:rsid w:val="002503E4"/>
    <w:rsid w:val="0025045A"/>
    <w:rsid w:val="002511BC"/>
    <w:rsid w:val="0025278F"/>
    <w:rsid w:val="002531C8"/>
    <w:rsid w:val="002534D5"/>
    <w:rsid w:val="002552C2"/>
    <w:rsid w:val="00255E82"/>
    <w:rsid w:val="00256166"/>
    <w:rsid w:val="00256C3C"/>
    <w:rsid w:val="00257873"/>
    <w:rsid w:val="00260638"/>
    <w:rsid w:val="002621C3"/>
    <w:rsid w:val="00263FE1"/>
    <w:rsid w:val="0026461E"/>
    <w:rsid w:val="0026481A"/>
    <w:rsid w:val="00267490"/>
    <w:rsid w:val="00267E32"/>
    <w:rsid w:val="00270E6E"/>
    <w:rsid w:val="0027170F"/>
    <w:rsid w:val="002735C9"/>
    <w:rsid w:val="00273D7D"/>
    <w:rsid w:val="00274FD8"/>
    <w:rsid w:val="0027532D"/>
    <w:rsid w:val="002759F9"/>
    <w:rsid w:val="00275AFA"/>
    <w:rsid w:val="00275C45"/>
    <w:rsid w:val="00275E80"/>
    <w:rsid w:val="00276751"/>
    <w:rsid w:val="002772BB"/>
    <w:rsid w:val="002774FF"/>
    <w:rsid w:val="002803E9"/>
    <w:rsid w:val="00282C36"/>
    <w:rsid w:val="00283B9A"/>
    <w:rsid w:val="00284636"/>
    <w:rsid w:val="00286438"/>
    <w:rsid w:val="00286885"/>
    <w:rsid w:val="00286FF6"/>
    <w:rsid w:val="00286FF7"/>
    <w:rsid w:val="00287B93"/>
    <w:rsid w:val="00290D9A"/>
    <w:rsid w:val="00291CC6"/>
    <w:rsid w:val="00293043"/>
    <w:rsid w:val="002931C2"/>
    <w:rsid w:val="00293BA8"/>
    <w:rsid w:val="00294D2C"/>
    <w:rsid w:val="00295755"/>
    <w:rsid w:val="002959D7"/>
    <w:rsid w:val="00295C2F"/>
    <w:rsid w:val="00296A37"/>
    <w:rsid w:val="00296F01"/>
    <w:rsid w:val="00297597"/>
    <w:rsid w:val="002977C4"/>
    <w:rsid w:val="002A0498"/>
    <w:rsid w:val="002A26A0"/>
    <w:rsid w:val="002A2ABB"/>
    <w:rsid w:val="002A52B1"/>
    <w:rsid w:val="002A6D61"/>
    <w:rsid w:val="002A7E4D"/>
    <w:rsid w:val="002A7FD2"/>
    <w:rsid w:val="002B103E"/>
    <w:rsid w:val="002B14B8"/>
    <w:rsid w:val="002B14F4"/>
    <w:rsid w:val="002B1A46"/>
    <w:rsid w:val="002B1AE8"/>
    <w:rsid w:val="002B1D06"/>
    <w:rsid w:val="002B209E"/>
    <w:rsid w:val="002B24CD"/>
    <w:rsid w:val="002B4A65"/>
    <w:rsid w:val="002B4C41"/>
    <w:rsid w:val="002B59B6"/>
    <w:rsid w:val="002B694B"/>
    <w:rsid w:val="002B6B05"/>
    <w:rsid w:val="002C02DE"/>
    <w:rsid w:val="002C10BE"/>
    <w:rsid w:val="002C24E5"/>
    <w:rsid w:val="002C2E58"/>
    <w:rsid w:val="002C39F3"/>
    <w:rsid w:val="002C3BF6"/>
    <w:rsid w:val="002C3DE5"/>
    <w:rsid w:val="002C5017"/>
    <w:rsid w:val="002C5478"/>
    <w:rsid w:val="002C57AD"/>
    <w:rsid w:val="002C5824"/>
    <w:rsid w:val="002C6E24"/>
    <w:rsid w:val="002C70DC"/>
    <w:rsid w:val="002C78F7"/>
    <w:rsid w:val="002D02F8"/>
    <w:rsid w:val="002D06F5"/>
    <w:rsid w:val="002D1622"/>
    <w:rsid w:val="002D165E"/>
    <w:rsid w:val="002D2250"/>
    <w:rsid w:val="002D2D55"/>
    <w:rsid w:val="002D2FD6"/>
    <w:rsid w:val="002D30D7"/>
    <w:rsid w:val="002D5D59"/>
    <w:rsid w:val="002D5EA7"/>
    <w:rsid w:val="002D6064"/>
    <w:rsid w:val="002E0B11"/>
    <w:rsid w:val="002E1061"/>
    <w:rsid w:val="002E3226"/>
    <w:rsid w:val="002E55ED"/>
    <w:rsid w:val="002E602A"/>
    <w:rsid w:val="002E6802"/>
    <w:rsid w:val="002E7EDC"/>
    <w:rsid w:val="002F1348"/>
    <w:rsid w:val="002F1480"/>
    <w:rsid w:val="002F166E"/>
    <w:rsid w:val="002F1AA8"/>
    <w:rsid w:val="002F1F2A"/>
    <w:rsid w:val="002F2C4A"/>
    <w:rsid w:val="002F2D00"/>
    <w:rsid w:val="002F386A"/>
    <w:rsid w:val="002F3E40"/>
    <w:rsid w:val="002F41E8"/>
    <w:rsid w:val="002F4898"/>
    <w:rsid w:val="002F4FA4"/>
    <w:rsid w:val="002F55CC"/>
    <w:rsid w:val="002F5C65"/>
    <w:rsid w:val="002F5DA9"/>
    <w:rsid w:val="002F73E8"/>
    <w:rsid w:val="002F7D4D"/>
    <w:rsid w:val="00300213"/>
    <w:rsid w:val="00300DE2"/>
    <w:rsid w:val="003013F6"/>
    <w:rsid w:val="003029AC"/>
    <w:rsid w:val="00302B1D"/>
    <w:rsid w:val="00304672"/>
    <w:rsid w:val="0030477C"/>
    <w:rsid w:val="0030497A"/>
    <w:rsid w:val="00304D7C"/>
    <w:rsid w:val="0030759D"/>
    <w:rsid w:val="0031035B"/>
    <w:rsid w:val="00310951"/>
    <w:rsid w:val="00310F39"/>
    <w:rsid w:val="003111D6"/>
    <w:rsid w:val="00311816"/>
    <w:rsid w:val="00311C79"/>
    <w:rsid w:val="00312026"/>
    <w:rsid w:val="00313CED"/>
    <w:rsid w:val="003141F6"/>
    <w:rsid w:val="0031427A"/>
    <w:rsid w:val="00315178"/>
    <w:rsid w:val="0031520F"/>
    <w:rsid w:val="003159B5"/>
    <w:rsid w:val="003168F3"/>
    <w:rsid w:val="003177A3"/>
    <w:rsid w:val="00317CCA"/>
    <w:rsid w:val="00320722"/>
    <w:rsid w:val="003224BE"/>
    <w:rsid w:val="0032290D"/>
    <w:rsid w:val="00322CDE"/>
    <w:rsid w:val="003234B7"/>
    <w:rsid w:val="00323F70"/>
    <w:rsid w:val="00324362"/>
    <w:rsid w:val="003248B2"/>
    <w:rsid w:val="00324E04"/>
    <w:rsid w:val="00324EF8"/>
    <w:rsid w:val="00325DB3"/>
    <w:rsid w:val="0032625E"/>
    <w:rsid w:val="00326DC5"/>
    <w:rsid w:val="00330CE8"/>
    <w:rsid w:val="003311E7"/>
    <w:rsid w:val="00332B32"/>
    <w:rsid w:val="00332F72"/>
    <w:rsid w:val="003331E7"/>
    <w:rsid w:val="00333F9C"/>
    <w:rsid w:val="003343B9"/>
    <w:rsid w:val="00334647"/>
    <w:rsid w:val="003346C6"/>
    <w:rsid w:val="003355B5"/>
    <w:rsid w:val="00335BBF"/>
    <w:rsid w:val="00336554"/>
    <w:rsid w:val="003367FC"/>
    <w:rsid w:val="003370ED"/>
    <w:rsid w:val="003373BB"/>
    <w:rsid w:val="003416BA"/>
    <w:rsid w:val="00343D83"/>
    <w:rsid w:val="00344AFF"/>
    <w:rsid w:val="00344BBD"/>
    <w:rsid w:val="003457C7"/>
    <w:rsid w:val="003458B7"/>
    <w:rsid w:val="00345B63"/>
    <w:rsid w:val="00345CAA"/>
    <w:rsid w:val="00345DEF"/>
    <w:rsid w:val="0034704A"/>
    <w:rsid w:val="0034792A"/>
    <w:rsid w:val="00347F46"/>
    <w:rsid w:val="003501BC"/>
    <w:rsid w:val="003504E3"/>
    <w:rsid w:val="003504F3"/>
    <w:rsid w:val="0035083C"/>
    <w:rsid w:val="0035136A"/>
    <w:rsid w:val="0035166B"/>
    <w:rsid w:val="003543E0"/>
    <w:rsid w:val="00356918"/>
    <w:rsid w:val="003626DA"/>
    <w:rsid w:val="00362A20"/>
    <w:rsid w:val="00364907"/>
    <w:rsid w:val="00365692"/>
    <w:rsid w:val="003657B5"/>
    <w:rsid w:val="0036745C"/>
    <w:rsid w:val="0036782E"/>
    <w:rsid w:val="003706B0"/>
    <w:rsid w:val="003709F1"/>
    <w:rsid w:val="00370EAD"/>
    <w:rsid w:val="00371484"/>
    <w:rsid w:val="003730CB"/>
    <w:rsid w:val="0037438A"/>
    <w:rsid w:val="003748DA"/>
    <w:rsid w:val="00374E01"/>
    <w:rsid w:val="0037528C"/>
    <w:rsid w:val="00375BCC"/>
    <w:rsid w:val="00375CD4"/>
    <w:rsid w:val="0037659E"/>
    <w:rsid w:val="003766FC"/>
    <w:rsid w:val="00376758"/>
    <w:rsid w:val="003772DB"/>
    <w:rsid w:val="003805B5"/>
    <w:rsid w:val="00380D42"/>
    <w:rsid w:val="00380DAD"/>
    <w:rsid w:val="00381766"/>
    <w:rsid w:val="0038180E"/>
    <w:rsid w:val="00382948"/>
    <w:rsid w:val="00382F40"/>
    <w:rsid w:val="00384173"/>
    <w:rsid w:val="00384460"/>
    <w:rsid w:val="00384571"/>
    <w:rsid w:val="00385743"/>
    <w:rsid w:val="0038598F"/>
    <w:rsid w:val="0039129A"/>
    <w:rsid w:val="00391A1B"/>
    <w:rsid w:val="00392663"/>
    <w:rsid w:val="003928E4"/>
    <w:rsid w:val="00392BB7"/>
    <w:rsid w:val="003941F4"/>
    <w:rsid w:val="003954EC"/>
    <w:rsid w:val="0039779D"/>
    <w:rsid w:val="003A060B"/>
    <w:rsid w:val="003A1B5B"/>
    <w:rsid w:val="003A1E02"/>
    <w:rsid w:val="003A35E5"/>
    <w:rsid w:val="003A393A"/>
    <w:rsid w:val="003A498E"/>
    <w:rsid w:val="003A4A06"/>
    <w:rsid w:val="003A668C"/>
    <w:rsid w:val="003A6DB4"/>
    <w:rsid w:val="003B073D"/>
    <w:rsid w:val="003B2558"/>
    <w:rsid w:val="003B28DE"/>
    <w:rsid w:val="003B2954"/>
    <w:rsid w:val="003B2E6A"/>
    <w:rsid w:val="003B369D"/>
    <w:rsid w:val="003B398C"/>
    <w:rsid w:val="003B62F7"/>
    <w:rsid w:val="003B695F"/>
    <w:rsid w:val="003B6C53"/>
    <w:rsid w:val="003B7EA6"/>
    <w:rsid w:val="003C04AD"/>
    <w:rsid w:val="003C2542"/>
    <w:rsid w:val="003C38DD"/>
    <w:rsid w:val="003C7740"/>
    <w:rsid w:val="003C7962"/>
    <w:rsid w:val="003D0356"/>
    <w:rsid w:val="003D0626"/>
    <w:rsid w:val="003D0A0B"/>
    <w:rsid w:val="003D1A73"/>
    <w:rsid w:val="003D20CA"/>
    <w:rsid w:val="003D2BD8"/>
    <w:rsid w:val="003D34CA"/>
    <w:rsid w:val="003D392D"/>
    <w:rsid w:val="003D3E5A"/>
    <w:rsid w:val="003D4609"/>
    <w:rsid w:val="003D46B6"/>
    <w:rsid w:val="003D5D16"/>
    <w:rsid w:val="003D5D25"/>
    <w:rsid w:val="003D64C3"/>
    <w:rsid w:val="003D77F4"/>
    <w:rsid w:val="003E00E1"/>
    <w:rsid w:val="003E0AE0"/>
    <w:rsid w:val="003E0E47"/>
    <w:rsid w:val="003E143B"/>
    <w:rsid w:val="003E1D80"/>
    <w:rsid w:val="003E1E25"/>
    <w:rsid w:val="003E2C56"/>
    <w:rsid w:val="003E3800"/>
    <w:rsid w:val="003E4709"/>
    <w:rsid w:val="003E54BD"/>
    <w:rsid w:val="003E5664"/>
    <w:rsid w:val="003E5A12"/>
    <w:rsid w:val="003E66C8"/>
    <w:rsid w:val="003E722B"/>
    <w:rsid w:val="003E73D3"/>
    <w:rsid w:val="003E7928"/>
    <w:rsid w:val="003F0A2D"/>
    <w:rsid w:val="003F0A39"/>
    <w:rsid w:val="003F173F"/>
    <w:rsid w:val="003F18DB"/>
    <w:rsid w:val="003F19B2"/>
    <w:rsid w:val="003F1A2A"/>
    <w:rsid w:val="003F303A"/>
    <w:rsid w:val="003F4A5D"/>
    <w:rsid w:val="003F5215"/>
    <w:rsid w:val="003F52A3"/>
    <w:rsid w:val="003F5774"/>
    <w:rsid w:val="003F6E7F"/>
    <w:rsid w:val="00400B2B"/>
    <w:rsid w:val="00402142"/>
    <w:rsid w:val="00402FDF"/>
    <w:rsid w:val="0040491A"/>
    <w:rsid w:val="00404F49"/>
    <w:rsid w:val="00405768"/>
    <w:rsid w:val="00406442"/>
    <w:rsid w:val="004069F3"/>
    <w:rsid w:val="00406C8E"/>
    <w:rsid w:val="00406CCE"/>
    <w:rsid w:val="0041203B"/>
    <w:rsid w:val="00414517"/>
    <w:rsid w:val="004162E9"/>
    <w:rsid w:val="004162F3"/>
    <w:rsid w:val="0042331D"/>
    <w:rsid w:val="00424329"/>
    <w:rsid w:val="004249D1"/>
    <w:rsid w:val="004250AB"/>
    <w:rsid w:val="0042540D"/>
    <w:rsid w:val="004257D9"/>
    <w:rsid w:val="0042588E"/>
    <w:rsid w:val="00426CA1"/>
    <w:rsid w:val="00431549"/>
    <w:rsid w:val="00432265"/>
    <w:rsid w:val="00433C1E"/>
    <w:rsid w:val="00433CC8"/>
    <w:rsid w:val="00434DD2"/>
    <w:rsid w:val="00440D9A"/>
    <w:rsid w:val="004413B5"/>
    <w:rsid w:val="00443768"/>
    <w:rsid w:val="00443E6F"/>
    <w:rsid w:val="00446149"/>
    <w:rsid w:val="00447AE8"/>
    <w:rsid w:val="004505AC"/>
    <w:rsid w:val="00450D88"/>
    <w:rsid w:val="00450F51"/>
    <w:rsid w:val="00452D57"/>
    <w:rsid w:val="00452E06"/>
    <w:rsid w:val="0045362A"/>
    <w:rsid w:val="00454715"/>
    <w:rsid w:val="0045530F"/>
    <w:rsid w:val="00455F06"/>
    <w:rsid w:val="00456992"/>
    <w:rsid w:val="00456DF9"/>
    <w:rsid w:val="00457198"/>
    <w:rsid w:val="00460F7A"/>
    <w:rsid w:val="00460FD7"/>
    <w:rsid w:val="00461620"/>
    <w:rsid w:val="00463589"/>
    <w:rsid w:val="004642A9"/>
    <w:rsid w:val="00466D5F"/>
    <w:rsid w:val="0046737B"/>
    <w:rsid w:val="00470649"/>
    <w:rsid w:val="00470953"/>
    <w:rsid w:val="00470EDD"/>
    <w:rsid w:val="004718FA"/>
    <w:rsid w:val="0047192B"/>
    <w:rsid w:val="004728EC"/>
    <w:rsid w:val="004758C6"/>
    <w:rsid w:val="0047701D"/>
    <w:rsid w:val="004774E4"/>
    <w:rsid w:val="00477EE1"/>
    <w:rsid w:val="00480BC7"/>
    <w:rsid w:val="00480D1C"/>
    <w:rsid w:val="00480E40"/>
    <w:rsid w:val="00481B30"/>
    <w:rsid w:val="0048238D"/>
    <w:rsid w:val="00483EB7"/>
    <w:rsid w:val="0048439C"/>
    <w:rsid w:val="004852EF"/>
    <w:rsid w:val="00485F63"/>
    <w:rsid w:val="004862B5"/>
    <w:rsid w:val="0048680F"/>
    <w:rsid w:val="00486E85"/>
    <w:rsid w:val="00490A1D"/>
    <w:rsid w:val="00490BAC"/>
    <w:rsid w:val="00490FBB"/>
    <w:rsid w:val="004916D6"/>
    <w:rsid w:val="00491E90"/>
    <w:rsid w:val="004925D9"/>
    <w:rsid w:val="00492C07"/>
    <w:rsid w:val="0049406D"/>
    <w:rsid w:val="00496CDC"/>
    <w:rsid w:val="004975EE"/>
    <w:rsid w:val="00497A4E"/>
    <w:rsid w:val="00497D4F"/>
    <w:rsid w:val="004A05BC"/>
    <w:rsid w:val="004A0850"/>
    <w:rsid w:val="004A177A"/>
    <w:rsid w:val="004A1FE4"/>
    <w:rsid w:val="004A489E"/>
    <w:rsid w:val="004A49EB"/>
    <w:rsid w:val="004A540A"/>
    <w:rsid w:val="004A65D0"/>
    <w:rsid w:val="004A69D3"/>
    <w:rsid w:val="004A6DCB"/>
    <w:rsid w:val="004B018A"/>
    <w:rsid w:val="004B1027"/>
    <w:rsid w:val="004B214C"/>
    <w:rsid w:val="004B3458"/>
    <w:rsid w:val="004B4334"/>
    <w:rsid w:val="004B5520"/>
    <w:rsid w:val="004B5E31"/>
    <w:rsid w:val="004B661D"/>
    <w:rsid w:val="004B66EF"/>
    <w:rsid w:val="004B7648"/>
    <w:rsid w:val="004B7BF9"/>
    <w:rsid w:val="004C079A"/>
    <w:rsid w:val="004C241F"/>
    <w:rsid w:val="004C2920"/>
    <w:rsid w:val="004C2C5E"/>
    <w:rsid w:val="004C4650"/>
    <w:rsid w:val="004C4736"/>
    <w:rsid w:val="004C477F"/>
    <w:rsid w:val="004C48D8"/>
    <w:rsid w:val="004C7458"/>
    <w:rsid w:val="004C79A6"/>
    <w:rsid w:val="004D168C"/>
    <w:rsid w:val="004D1AE5"/>
    <w:rsid w:val="004D1CDB"/>
    <w:rsid w:val="004D1FFC"/>
    <w:rsid w:val="004D20CD"/>
    <w:rsid w:val="004D26A1"/>
    <w:rsid w:val="004D2F57"/>
    <w:rsid w:val="004D2FDE"/>
    <w:rsid w:val="004D60A7"/>
    <w:rsid w:val="004D6394"/>
    <w:rsid w:val="004D66E1"/>
    <w:rsid w:val="004E04AE"/>
    <w:rsid w:val="004E06AD"/>
    <w:rsid w:val="004E0ACC"/>
    <w:rsid w:val="004E0D2F"/>
    <w:rsid w:val="004E17B8"/>
    <w:rsid w:val="004E1D2E"/>
    <w:rsid w:val="004E21AA"/>
    <w:rsid w:val="004E21FB"/>
    <w:rsid w:val="004E2EB0"/>
    <w:rsid w:val="004E3478"/>
    <w:rsid w:val="004E381B"/>
    <w:rsid w:val="004E3ABF"/>
    <w:rsid w:val="004E44BB"/>
    <w:rsid w:val="004E45EC"/>
    <w:rsid w:val="004E4D6E"/>
    <w:rsid w:val="004E4E54"/>
    <w:rsid w:val="004E537B"/>
    <w:rsid w:val="004E53BF"/>
    <w:rsid w:val="004E56EA"/>
    <w:rsid w:val="004E7AC7"/>
    <w:rsid w:val="004F00E7"/>
    <w:rsid w:val="004F081F"/>
    <w:rsid w:val="004F0CE3"/>
    <w:rsid w:val="004F0D92"/>
    <w:rsid w:val="004F1499"/>
    <w:rsid w:val="004F1726"/>
    <w:rsid w:val="004F18BB"/>
    <w:rsid w:val="004F314E"/>
    <w:rsid w:val="004F4A68"/>
    <w:rsid w:val="004F4DA7"/>
    <w:rsid w:val="004F5BAE"/>
    <w:rsid w:val="004F6174"/>
    <w:rsid w:val="004F7552"/>
    <w:rsid w:val="00500178"/>
    <w:rsid w:val="00500F87"/>
    <w:rsid w:val="00501A8E"/>
    <w:rsid w:val="005024BB"/>
    <w:rsid w:val="00503DBF"/>
    <w:rsid w:val="00504309"/>
    <w:rsid w:val="005049A5"/>
    <w:rsid w:val="00504ABA"/>
    <w:rsid w:val="00504C90"/>
    <w:rsid w:val="005064AE"/>
    <w:rsid w:val="005067DD"/>
    <w:rsid w:val="00510263"/>
    <w:rsid w:val="00510AA9"/>
    <w:rsid w:val="00510E2F"/>
    <w:rsid w:val="00511189"/>
    <w:rsid w:val="00511A0B"/>
    <w:rsid w:val="0051211F"/>
    <w:rsid w:val="00512220"/>
    <w:rsid w:val="005129C1"/>
    <w:rsid w:val="00512EE5"/>
    <w:rsid w:val="00512F33"/>
    <w:rsid w:val="0051334F"/>
    <w:rsid w:val="00513E74"/>
    <w:rsid w:val="005141A7"/>
    <w:rsid w:val="005145D6"/>
    <w:rsid w:val="0051498C"/>
    <w:rsid w:val="0051511F"/>
    <w:rsid w:val="005155E9"/>
    <w:rsid w:val="0051642B"/>
    <w:rsid w:val="00516FD4"/>
    <w:rsid w:val="00517B2D"/>
    <w:rsid w:val="00517C13"/>
    <w:rsid w:val="00520065"/>
    <w:rsid w:val="005201B9"/>
    <w:rsid w:val="005214B6"/>
    <w:rsid w:val="0052253F"/>
    <w:rsid w:val="005227B7"/>
    <w:rsid w:val="0052321D"/>
    <w:rsid w:val="0052338E"/>
    <w:rsid w:val="005234BF"/>
    <w:rsid w:val="005236CE"/>
    <w:rsid w:val="00523CE4"/>
    <w:rsid w:val="0052421B"/>
    <w:rsid w:val="005252A2"/>
    <w:rsid w:val="005266A1"/>
    <w:rsid w:val="00526D02"/>
    <w:rsid w:val="005277AB"/>
    <w:rsid w:val="0053179F"/>
    <w:rsid w:val="0053195F"/>
    <w:rsid w:val="00531BD7"/>
    <w:rsid w:val="00532378"/>
    <w:rsid w:val="00533451"/>
    <w:rsid w:val="0053389F"/>
    <w:rsid w:val="00534845"/>
    <w:rsid w:val="005349F6"/>
    <w:rsid w:val="005364E3"/>
    <w:rsid w:val="0053680E"/>
    <w:rsid w:val="00536E76"/>
    <w:rsid w:val="00537D5C"/>
    <w:rsid w:val="00540B08"/>
    <w:rsid w:val="0054146E"/>
    <w:rsid w:val="005414E9"/>
    <w:rsid w:val="005414F3"/>
    <w:rsid w:val="00541BFF"/>
    <w:rsid w:val="00541D79"/>
    <w:rsid w:val="0054284E"/>
    <w:rsid w:val="005434DF"/>
    <w:rsid w:val="00544337"/>
    <w:rsid w:val="00544961"/>
    <w:rsid w:val="005473AC"/>
    <w:rsid w:val="005475C9"/>
    <w:rsid w:val="005505AB"/>
    <w:rsid w:val="00552543"/>
    <w:rsid w:val="00552B6D"/>
    <w:rsid w:val="00552CF8"/>
    <w:rsid w:val="00552EDD"/>
    <w:rsid w:val="00553FF0"/>
    <w:rsid w:val="00554699"/>
    <w:rsid w:val="00555146"/>
    <w:rsid w:val="005565A9"/>
    <w:rsid w:val="00560B1B"/>
    <w:rsid w:val="00561C5D"/>
    <w:rsid w:val="00563826"/>
    <w:rsid w:val="00563B78"/>
    <w:rsid w:val="00564881"/>
    <w:rsid w:val="005655E6"/>
    <w:rsid w:val="00565DA4"/>
    <w:rsid w:val="00565E1A"/>
    <w:rsid w:val="00566107"/>
    <w:rsid w:val="005664BD"/>
    <w:rsid w:val="005672AE"/>
    <w:rsid w:val="00567763"/>
    <w:rsid w:val="00567D2B"/>
    <w:rsid w:val="00567E9C"/>
    <w:rsid w:val="005716BD"/>
    <w:rsid w:val="00573D28"/>
    <w:rsid w:val="005754F3"/>
    <w:rsid w:val="00575814"/>
    <w:rsid w:val="00575B15"/>
    <w:rsid w:val="005761BD"/>
    <w:rsid w:val="005771DC"/>
    <w:rsid w:val="005774B5"/>
    <w:rsid w:val="00577934"/>
    <w:rsid w:val="00577B3C"/>
    <w:rsid w:val="00580D74"/>
    <w:rsid w:val="00581797"/>
    <w:rsid w:val="005817D6"/>
    <w:rsid w:val="00582F9E"/>
    <w:rsid w:val="00583533"/>
    <w:rsid w:val="00583A0D"/>
    <w:rsid w:val="00584346"/>
    <w:rsid w:val="0058447F"/>
    <w:rsid w:val="005862E1"/>
    <w:rsid w:val="00586AC9"/>
    <w:rsid w:val="0058720E"/>
    <w:rsid w:val="00591458"/>
    <w:rsid w:val="00592719"/>
    <w:rsid w:val="00593801"/>
    <w:rsid w:val="00595451"/>
    <w:rsid w:val="00595733"/>
    <w:rsid w:val="00596397"/>
    <w:rsid w:val="005A089A"/>
    <w:rsid w:val="005A0C40"/>
    <w:rsid w:val="005A22E4"/>
    <w:rsid w:val="005A318B"/>
    <w:rsid w:val="005A61BE"/>
    <w:rsid w:val="005A6370"/>
    <w:rsid w:val="005B1BF2"/>
    <w:rsid w:val="005B1C88"/>
    <w:rsid w:val="005B1F28"/>
    <w:rsid w:val="005B21EE"/>
    <w:rsid w:val="005B2228"/>
    <w:rsid w:val="005B36DA"/>
    <w:rsid w:val="005B4349"/>
    <w:rsid w:val="005B653C"/>
    <w:rsid w:val="005B76D2"/>
    <w:rsid w:val="005C0AAE"/>
    <w:rsid w:val="005C0B3D"/>
    <w:rsid w:val="005C1499"/>
    <w:rsid w:val="005C1E1F"/>
    <w:rsid w:val="005C21BA"/>
    <w:rsid w:val="005C388C"/>
    <w:rsid w:val="005C3A87"/>
    <w:rsid w:val="005C3FAA"/>
    <w:rsid w:val="005C57D1"/>
    <w:rsid w:val="005C5EDC"/>
    <w:rsid w:val="005C7932"/>
    <w:rsid w:val="005D0FFB"/>
    <w:rsid w:val="005D1948"/>
    <w:rsid w:val="005D1DEF"/>
    <w:rsid w:val="005D27DB"/>
    <w:rsid w:val="005D2C8C"/>
    <w:rsid w:val="005D358D"/>
    <w:rsid w:val="005D43BE"/>
    <w:rsid w:val="005D4E15"/>
    <w:rsid w:val="005D5397"/>
    <w:rsid w:val="005D53FF"/>
    <w:rsid w:val="005D68E4"/>
    <w:rsid w:val="005D6C3D"/>
    <w:rsid w:val="005D6E24"/>
    <w:rsid w:val="005D71AB"/>
    <w:rsid w:val="005E03DA"/>
    <w:rsid w:val="005E0AE1"/>
    <w:rsid w:val="005E0B3D"/>
    <w:rsid w:val="005E11DE"/>
    <w:rsid w:val="005E140D"/>
    <w:rsid w:val="005E16DE"/>
    <w:rsid w:val="005E1AC4"/>
    <w:rsid w:val="005E1F69"/>
    <w:rsid w:val="005E22C6"/>
    <w:rsid w:val="005E2AED"/>
    <w:rsid w:val="005E2EFF"/>
    <w:rsid w:val="005E3D2F"/>
    <w:rsid w:val="005E4058"/>
    <w:rsid w:val="005E42C2"/>
    <w:rsid w:val="005E4329"/>
    <w:rsid w:val="005E4EBB"/>
    <w:rsid w:val="005E552C"/>
    <w:rsid w:val="005E574E"/>
    <w:rsid w:val="005E7642"/>
    <w:rsid w:val="005F01D8"/>
    <w:rsid w:val="005F0392"/>
    <w:rsid w:val="005F1785"/>
    <w:rsid w:val="005F1CDE"/>
    <w:rsid w:val="005F21BC"/>
    <w:rsid w:val="005F23FA"/>
    <w:rsid w:val="005F291E"/>
    <w:rsid w:val="005F39FF"/>
    <w:rsid w:val="005F3B2D"/>
    <w:rsid w:val="005F3D4F"/>
    <w:rsid w:val="005F5234"/>
    <w:rsid w:val="005F5EF2"/>
    <w:rsid w:val="005F6B9E"/>
    <w:rsid w:val="005F6BD9"/>
    <w:rsid w:val="005F6C4E"/>
    <w:rsid w:val="006003A9"/>
    <w:rsid w:val="0060075A"/>
    <w:rsid w:val="00601267"/>
    <w:rsid w:val="0060127D"/>
    <w:rsid w:val="006014C0"/>
    <w:rsid w:val="0060299D"/>
    <w:rsid w:val="00602F53"/>
    <w:rsid w:val="00603BC5"/>
    <w:rsid w:val="00605185"/>
    <w:rsid w:val="006069F1"/>
    <w:rsid w:val="00607058"/>
    <w:rsid w:val="00607E3D"/>
    <w:rsid w:val="00610839"/>
    <w:rsid w:val="0061094A"/>
    <w:rsid w:val="0061096A"/>
    <w:rsid w:val="0061123E"/>
    <w:rsid w:val="00611938"/>
    <w:rsid w:val="00611BE1"/>
    <w:rsid w:val="00612431"/>
    <w:rsid w:val="00612815"/>
    <w:rsid w:val="00612935"/>
    <w:rsid w:val="00613ABC"/>
    <w:rsid w:val="00615B87"/>
    <w:rsid w:val="00615C65"/>
    <w:rsid w:val="00615D4A"/>
    <w:rsid w:val="00617DCC"/>
    <w:rsid w:val="00620AA6"/>
    <w:rsid w:val="006210F9"/>
    <w:rsid w:val="00621DE7"/>
    <w:rsid w:val="00621ECF"/>
    <w:rsid w:val="00621F7B"/>
    <w:rsid w:val="006229FC"/>
    <w:rsid w:val="00622F28"/>
    <w:rsid w:val="00624C40"/>
    <w:rsid w:val="00624E3A"/>
    <w:rsid w:val="00624F23"/>
    <w:rsid w:val="00625A3D"/>
    <w:rsid w:val="00631C00"/>
    <w:rsid w:val="00631E92"/>
    <w:rsid w:val="00632B45"/>
    <w:rsid w:val="00632D7F"/>
    <w:rsid w:val="00633673"/>
    <w:rsid w:val="00633906"/>
    <w:rsid w:val="00633D47"/>
    <w:rsid w:val="00634D51"/>
    <w:rsid w:val="006358A7"/>
    <w:rsid w:val="00635C76"/>
    <w:rsid w:val="006365A3"/>
    <w:rsid w:val="00636821"/>
    <w:rsid w:val="00637D95"/>
    <w:rsid w:val="0064153A"/>
    <w:rsid w:val="006428B8"/>
    <w:rsid w:val="006431A4"/>
    <w:rsid w:val="00644268"/>
    <w:rsid w:val="00644B6B"/>
    <w:rsid w:val="00644D15"/>
    <w:rsid w:val="006464BC"/>
    <w:rsid w:val="0064691C"/>
    <w:rsid w:val="00647214"/>
    <w:rsid w:val="006478E7"/>
    <w:rsid w:val="0065035D"/>
    <w:rsid w:val="00651D43"/>
    <w:rsid w:val="0065205D"/>
    <w:rsid w:val="00653C73"/>
    <w:rsid w:val="00654628"/>
    <w:rsid w:val="006557DA"/>
    <w:rsid w:val="00661A23"/>
    <w:rsid w:val="00661C1F"/>
    <w:rsid w:val="00661D35"/>
    <w:rsid w:val="006624D6"/>
    <w:rsid w:val="006635F8"/>
    <w:rsid w:val="0066449F"/>
    <w:rsid w:val="00664FE4"/>
    <w:rsid w:val="0066619D"/>
    <w:rsid w:val="00666667"/>
    <w:rsid w:val="006674BC"/>
    <w:rsid w:val="006677DA"/>
    <w:rsid w:val="00670696"/>
    <w:rsid w:val="0067149F"/>
    <w:rsid w:val="006715F3"/>
    <w:rsid w:val="00671A7D"/>
    <w:rsid w:val="00673931"/>
    <w:rsid w:val="006740FF"/>
    <w:rsid w:val="00674432"/>
    <w:rsid w:val="00676288"/>
    <w:rsid w:val="0067772C"/>
    <w:rsid w:val="0067775E"/>
    <w:rsid w:val="00677AE3"/>
    <w:rsid w:val="00677C87"/>
    <w:rsid w:val="0068080F"/>
    <w:rsid w:val="00681A65"/>
    <w:rsid w:val="00681EA8"/>
    <w:rsid w:val="00682145"/>
    <w:rsid w:val="006829EC"/>
    <w:rsid w:val="00682A07"/>
    <w:rsid w:val="00683E33"/>
    <w:rsid w:val="00683EEC"/>
    <w:rsid w:val="00684ADC"/>
    <w:rsid w:val="006851BC"/>
    <w:rsid w:val="00685355"/>
    <w:rsid w:val="00685E4D"/>
    <w:rsid w:val="00686EED"/>
    <w:rsid w:val="00687272"/>
    <w:rsid w:val="006874DB"/>
    <w:rsid w:val="006918B4"/>
    <w:rsid w:val="00691EE5"/>
    <w:rsid w:val="00692A0F"/>
    <w:rsid w:val="006938BB"/>
    <w:rsid w:val="00693A86"/>
    <w:rsid w:val="0069487E"/>
    <w:rsid w:val="00694D83"/>
    <w:rsid w:val="00695BDA"/>
    <w:rsid w:val="006969F6"/>
    <w:rsid w:val="00697B2D"/>
    <w:rsid w:val="006A15B0"/>
    <w:rsid w:val="006A1A79"/>
    <w:rsid w:val="006A2EAB"/>
    <w:rsid w:val="006A427A"/>
    <w:rsid w:val="006A44FB"/>
    <w:rsid w:val="006A467F"/>
    <w:rsid w:val="006A4C82"/>
    <w:rsid w:val="006A566C"/>
    <w:rsid w:val="006A5C3E"/>
    <w:rsid w:val="006A652A"/>
    <w:rsid w:val="006A6EEF"/>
    <w:rsid w:val="006A785F"/>
    <w:rsid w:val="006A7AEE"/>
    <w:rsid w:val="006B09E6"/>
    <w:rsid w:val="006B1C55"/>
    <w:rsid w:val="006B3631"/>
    <w:rsid w:val="006B4386"/>
    <w:rsid w:val="006B51AF"/>
    <w:rsid w:val="006B5B61"/>
    <w:rsid w:val="006B6454"/>
    <w:rsid w:val="006B7230"/>
    <w:rsid w:val="006B7433"/>
    <w:rsid w:val="006C44D4"/>
    <w:rsid w:val="006C49F1"/>
    <w:rsid w:val="006C4E1D"/>
    <w:rsid w:val="006C6700"/>
    <w:rsid w:val="006C71DB"/>
    <w:rsid w:val="006C723B"/>
    <w:rsid w:val="006C76CD"/>
    <w:rsid w:val="006C76FF"/>
    <w:rsid w:val="006D1813"/>
    <w:rsid w:val="006D1BDE"/>
    <w:rsid w:val="006D2E8B"/>
    <w:rsid w:val="006D36FD"/>
    <w:rsid w:val="006D451D"/>
    <w:rsid w:val="006D4693"/>
    <w:rsid w:val="006D5741"/>
    <w:rsid w:val="006D5CB9"/>
    <w:rsid w:val="006E0DFD"/>
    <w:rsid w:val="006E0E30"/>
    <w:rsid w:val="006E2A4B"/>
    <w:rsid w:val="006E38E4"/>
    <w:rsid w:val="006E3F34"/>
    <w:rsid w:val="006E4298"/>
    <w:rsid w:val="006E73B0"/>
    <w:rsid w:val="006E74C4"/>
    <w:rsid w:val="006E7522"/>
    <w:rsid w:val="006F01C4"/>
    <w:rsid w:val="006F1104"/>
    <w:rsid w:val="006F1D8A"/>
    <w:rsid w:val="006F34B9"/>
    <w:rsid w:val="006F3515"/>
    <w:rsid w:val="006F35E5"/>
    <w:rsid w:val="006F38CD"/>
    <w:rsid w:val="006F49AB"/>
    <w:rsid w:val="006F71F1"/>
    <w:rsid w:val="006F73CF"/>
    <w:rsid w:val="006F7915"/>
    <w:rsid w:val="00700F2E"/>
    <w:rsid w:val="0070189F"/>
    <w:rsid w:val="007036FD"/>
    <w:rsid w:val="00704B38"/>
    <w:rsid w:val="007053DF"/>
    <w:rsid w:val="00705C5B"/>
    <w:rsid w:val="00706CBA"/>
    <w:rsid w:val="0070749E"/>
    <w:rsid w:val="00710002"/>
    <w:rsid w:val="00711ED0"/>
    <w:rsid w:val="00712440"/>
    <w:rsid w:val="00713513"/>
    <w:rsid w:val="00713728"/>
    <w:rsid w:val="00715668"/>
    <w:rsid w:val="00715809"/>
    <w:rsid w:val="00715A14"/>
    <w:rsid w:val="00716915"/>
    <w:rsid w:val="00716EE1"/>
    <w:rsid w:val="00717443"/>
    <w:rsid w:val="00717D72"/>
    <w:rsid w:val="00720378"/>
    <w:rsid w:val="00720FE1"/>
    <w:rsid w:val="00721633"/>
    <w:rsid w:val="0072198E"/>
    <w:rsid w:val="00723ADC"/>
    <w:rsid w:val="00725B7B"/>
    <w:rsid w:val="00727053"/>
    <w:rsid w:val="0073153B"/>
    <w:rsid w:val="007316B4"/>
    <w:rsid w:val="00732505"/>
    <w:rsid w:val="00732B57"/>
    <w:rsid w:val="00732F32"/>
    <w:rsid w:val="00733D87"/>
    <w:rsid w:val="00735451"/>
    <w:rsid w:val="00736856"/>
    <w:rsid w:val="00736C3F"/>
    <w:rsid w:val="00737731"/>
    <w:rsid w:val="00737DE0"/>
    <w:rsid w:val="00740321"/>
    <w:rsid w:val="00740BAD"/>
    <w:rsid w:val="00740FA7"/>
    <w:rsid w:val="00742025"/>
    <w:rsid w:val="007430C7"/>
    <w:rsid w:val="007435AB"/>
    <w:rsid w:val="0074385D"/>
    <w:rsid w:val="007442A7"/>
    <w:rsid w:val="007452DF"/>
    <w:rsid w:val="0074536E"/>
    <w:rsid w:val="007460C7"/>
    <w:rsid w:val="00747906"/>
    <w:rsid w:val="0074799E"/>
    <w:rsid w:val="007501D5"/>
    <w:rsid w:val="0075033A"/>
    <w:rsid w:val="00751269"/>
    <w:rsid w:val="007516E7"/>
    <w:rsid w:val="007517DB"/>
    <w:rsid w:val="00751D78"/>
    <w:rsid w:val="00751F93"/>
    <w:rsid w:val="00752628"/>
    <w:rsid w:val="00752AF2"/>
    <w:rsid w:val="007537CA"/>
    <w:rsid w:val="0075436E"/>
    <w:rsid w:val="00760043"/>
    <w:rsid w:val="007608B8"/>
    <w:rsid w:val="00760BA8"/>
    <w:rsid w:val="00761FD3"/>
    <w:rsid w:val="0076210D"/>
    <w:rsid w:val="007628BD"/>
    <w:rsid w:val="00765FE5"/>
    <w:rsid w:val="00766ECD"/>
    <w:rsid w:val="00766FEA"/>
    <w:rsid w:val="0076740E"/>
    <w:rsid w:val="0077036D"/>
    <w:rsid w:val="0077302F"/>
    <w:rsid w:val="00773C4D"/>
    <w:rsid w:val="00775360"/>
    <w:rsid w:val="0077549E"/>
    <w:rsid w:val="007754E5"/>
    <w:rsid w:val="00775C29"/>
    <w:rsid w:val="00777165"/>
    <w:rsid w:val="007775B8"/>
    <w:rsid w:val="00780E3F"/>
    <w:rsid w:val="0078143E"/>
    <w:rsid w:val="00782173"/>
    <w:rsid w:val="00782B90"/>
    <w:rsid w:val="00783968"/>
    <w:rsid w:val="00783C01"/>
    <w:rsid w:val="007842A5"/>
    <w:rsid w:val="00785B7C"/>
    <w:rsid w:val="00786A57"/>
    <w:rsid w:val="0078733E"/>
    <w:rsid w:val="00787C64"/>
    <w:rsid w:val="00790B5B"/>
    <w:rsid w:val="00793A27"/>
    <w:rsid w:val="007942BE"/>
    <w:rsid w:val="00797122"/>
    <w:rsid w:val="00797865"/>
    <w:rsid w:val="007979B6"/>
    <w:rsid w:val="007A0ED6"/>
    <w:rsid w:val="007A19A5"/>
    <w:rsid w:val="007A22E0"/>
    <w:rsid w:val="007A3437"/>
    <w:rsid w:val="007A366F"/>
    <w:rsid w:val="007A3BB8"/>
    <w:rsid w:val="007A40F4"/>
    <w:rsid w:val="007A423E"/>
    <w:rsid w:val="007A66C8"/>
    <w:rsid w:val="007A6C99"/>
    <w:rsid w:val="007A6DF9"/>
    <w:rsid w:val="007A7996"/>
    <w:rsid w:val="007B033A"/>
    <w:rsid w:val="007B0CB5"/>
    <w:rsid w:val="007B0DE4"/>
    <w:rsid w:val="007B2025"/>
    <w:rsid w:val="007B2D20"/>
    <w:rsid w:val="007B35C1"/>
    <w:rsid w:val="007B3741"/>
    <w:rsid w:val="007B37CE"/>
    <w:rsid w:val="007B4BA7"/>
    <w:rsid w:val="007B5F3A"/>
    <w:rsid w:val="007B6235"/>
    <w:rsid w:val="007B6489"/>
    <w:rsid w:val="007B7509"/>
    <w:rsid w:val="007B7FA3"/>
    <w:rsid w:val="007C02F0"/>
    <w:rsid w:val="007C04EC"/>
    <w:rsid w:val="007C2EBB"/>
    <w:rsid w:val="007C618A"/>
    <w:rsid w:val="007C6435"/>
    <w:rsid w:val="007C6536"/>
    <w:rsid w:val="007C7405"/>
    <w:rsid w:val="007C770A"/>
    <w:rsid w:val="007C7BC0"/>
    <w:rsid w:val="007D23C6"/>
    <w:rsid w:val="007D270F"/>
    <w:rsid w:val="007D2C89"/>
    <w:rsid w:val="007D3623"/>
    <w:rsid w:val="007D38B3"/>
    <w:rsid w:val="007D426E"/>
    <w:rsid w:val="007D6097"/>
    <w:rsid w:val="007D6B83"/>
    <w:rsid w:val="007D706C"/>
    <w:rsid w:val="007E0414"/>
    <w:rsid w:val="007E042F"/>
    <w:rsid w:val="007E06E6"/>
    <w:rsid w:val="007E1076"/>
    <w:rsid w:val="007E2F41"/>
    <w:rsid w:val="007E3029"/>
    <w:rsid w:val="007E433B"/>
    <w:rsid w:val="007E5496"/>
    <w:rsid w:val="007E5DC3"/>
    <w:rsid w:val="007E5FB2"/>
    <w:rsid w:val="007E6167"/>
    <w:rsid w:val="007E6848"/>
    <w:rsid w:val="007E6B83"/>
    <w:rsid w:val="007E7633"/>
    <w:rsid w:val="007F0CAF"/>
    <w:rsid w:val="007F0E5E"/>
    <w:rsid w:val="007F1B88"/>
    <w:rsid w:val="007F2E39"/>
    <w:rsid w:val="007F344C"/>
    <w:rsid w:val="007F43A2"/>
    <w:rsid w:val="007F4506"/>
    <w:rsid w:val="007F4B44"/>
    <w:rsid w:val="007F5731"/>
    <w:rsid w:val="007F5F69"/>
    <w:rsid w:val="007F649B"/>
    <w:rsid w:val="007F73CB"/>
    <w:rsid w:val="007F79B9"/>
    <w:rsid w:val="00800115"/>
    <w:rsid w:val="00801B4A"/>
    <w:rsid w:val="00801E09"/>
    <w:rsid w:val="00801F4D"/>
    <w:rsid w:val="008029B4"/>
    <w:rsid w:val="00803D87"/>
    <w:rsid w:val="00804938"/>
    <w:rsid w:val="00804E6B"/>
    <w:rsid w:val="008066D2"/>
    <w:rsid w:val="008076D6"/>
    <w:rsid w:val="00807730"/>
    <w:rsid w:val="0081078E"/>
    <w:rsid w:val="008108CE"/>
    <w:rsid w:val="00810DC5"/>
    <w:rsid w:val="00811407"/>
    <w:rsid w:val="00811C55"/>
    <w:rsid w:val="008120DB"/>
    <w:rsid w:val="008137EF"/>
    <w:rsid w:val="00813D65"/>
    <w:rsid w:val="00813F2D"/>
    <w:rsid w:val="00816F52"/>
    <w:rsid w:val="00816FCE"/>
    <w:rsid w:val="00822E68"/>
    <w:rsid w:val="008237C1"/>
    <w:rsid w:val="00823B30"/>
    <w:rsid w:val="00823CB3"/>
    <w:rsid w:val="00824D3A"/>
    <w:rsid w:val="00826086"/>
    <w:rsid w:val="00826472"/>
    <w:rsid w:val="00826535"/>
    <w:rsid w:val="008269ED"/>
    <w:rsid w:val="00826CBD"/>
    <w:rsid w:val="008270ED"/>
    <w:rsid w:val="0082759D"/>
    <w:rsid w:val="00830711"/>
    <w:rsid w:val="008307BC"/>
    <w:rsid w:val="00830DF5"/>
    <w:rsid w:val="00830FCF"/>
    <w:rsid w:val="00831C36"/>
    <w:rsid w:val="0083236B"/>
    <w:rsid w:val="00832E8E"/>
    <w:rsid w:val="00833B5C"/>
    <w:rsid w:val="00834D3A"/>
    <w:rsid w:val="008377A4"/>
    <w:rsid w:val="00840CCF"/>
    <w:rsid w:val="008419AD"/>
    <w:rsid w:val="00841A7E"/>
    <w:rsid w:val="00842787"/>
    <w:rsid w:val="00845AD3"/>
    <w:rsid w:val="00845CE6"/>
    <w:rsid w:val="008462DD"/>
    <w:rsid w:val="00847709"/>
    <w:rsid w:val="008477D5"/>
    <w:rsid w:val="0085133F"/>
    <w:rsid w:val="00852018"/>
    <w:rsid w:val="008523EB"/>
    <w:rsid w:val="008529F3"/>
    <w:rsid w:val="00853E39"/>
    <w:rsid w:val="0085577F"/>
    <w:rsid w:val="00855A26"/>
    <w:rsid w:val="0085651C"/>
    <w:rsid w:val="008569E2"/>
    <w:rsid w:val="00857A41"/>
    <w:rsid w:val="008602A2"/>
    <w:rsid w:val="008606BC"/>
    <w:rsid w:val="0086075A"/>
    <w:rsid w:val="00861B4C"/>
    <w:rsid w:val="00864C20"/>
    <w:rsid w:val="008652B4"/>
    <w:rsid w:val="00865EEC"/>
    <w:rsid w:val="00866655"/>
    <w:rsid w:val="00866F57"/>
    <w:rsid w:val="008678AE"/>
    <w:rsid w:val="00870A86"/>
    <w:rsid w:val="00870C88"/>
    <w:rsid w:val="00870F56"/>
    <w:rsid w:val="00871C35"/>
    <w:rsid w:val="00871F07"/>
    <w:rsid w:val="00872062"/>
    <w:rsid w:val="00873768"/>
    <w:rsid w:val="008765AE"/>
    <w:rsid w:val="00876898"/>
    <w:rsid w:val="00876F49"/>
    <w:rsid w:val="00876F97"/>
    <w:rsid w:val="0087748E"/>
    <w:rsid w:val="00877EB9"/>
    <w:rsid w:val="00881365"/>
    <w:rsid w:val="0088139B"/>
    <w:rsid w:val="00881450"/>
    <w:rsid w:val="0088158E"/>
    <w:rsid w:val="00881CAA"/>
    <w:rsid w:val="00881E56"/>
    <w:rsid w:val="008825B7"/>
    <w:rsid w:val="008827AE"/>
    <w:rsid w:val="00883854"/>
    <w:rsid w:val="008851A7"/>
    <w:rsid w:val="00887013"/>
    <w:rsid w:val="00887251"/>
    <w:rsid w:val="0088790F"/>
    <w:rsid w:val="00887A9B"/>
    <w:rsid w:val="00890181"/>
    <w:rsid w:val="00891008"/>
    <w:rsid w:val="0089128A"/>
    <w:rsid w:val="00891488"/>
    <w:rsid w:val="0089161C"/>
    <w:rsid w:val="00891B6E"/>
    <w:rsid w:val="00891C41"/>
    <w:rsid w:val="00891C43"/>
    <w:rsid w:val="00892060"/>
    <w:rsid w:val="0089289F"/>
    <w:rsid w:val="008948E6"/>
    <w:rsid w:val="00894FA1"/>
    <w:rsid w:val="00895735"/>
    <w:rsid w:val="008959E3"/>
    <w:rsid w:val="00897102"/>
    <w:rsid w:val="00897D5F"/>
    <w:rsid w:val="008A0523"/>
    <w:rsid w:val="008A21FF"/>
    <w:rsid w:val="008A244F"/>
    <w:rsid w:val="008A2DE8"/>
    <w:rsid w:val="008A37A5"/>
    <w:rsid w:val="008A393D"/>
    <w:rsid w:val="008A3C39"/>
    <w:rsid w:val="008A4408"/>
    <w:rsid w:val="008A47D7"/>
    <w:rsid w:val="008A62B7"/>
    <w:rsid w:val="008B07FE"/>
    <w:rsid w:val="008B10D7"/>
    <w:rsid w:val="008B1E2F"/>
    <w:rsid w:val="008B21DC"/>
    <w:rsid w:val="008B3FA8"/>
    <w:rsid w:val="008B3FE4"/>
    <w:rsid w:val="008B4AD7"/>
    <w:rsid w:val="008B5F23"/>
    <w:rsid w:val="008B653D"/>
    <w:rsid w:val="008B739F"/>
    <w:rsid w:val="008B7527"/>
    <w:rsid w:val="008B7ADA"/>
    <w:rsid w:val="008C3759"/>
    <w:rsid w:val="008C3AD6"/>
    <w:rsid w:val="008C40A5"/>
    <w:rsid w:val="008C4B3C"/>
    <w:rsid w:val="008C6420"/>
    <w:rsid w:val="008C6E64"/>
    <w:rsid w:val="008D0D66"/>
    <w:rsid w:val="008D16ED"/>
    <w:rsid w:val="008D17A8"/>
    <w:rsid w:val="008D1CC6"/>
    <w:rsid w:val="008D2120"/>
    <w:rsid w:val="008D21FC"/>
    <w:rsid w:val="008D2321"/>
    <w:rsid w:val="008D359C"/>
    <w:rsid w:val="008D35DE"/>
    <w:rsid w:val="008D3C9E"/>
    <w:rsid w:val="008D46F9"/>
    <w:rsid w:val="008D5DC4"/>
    <w:rsid w:val="008D612A"/>
    <w:rsid w:val="008D623C"/>
    <w:rsid w:val="008D697A"/>
    <w:rsid w:val="008D760C"/>
    <w:rsid w:val="008E1B70"/>
    <w:rsid w:val="008E319F"/>
    <w:rsid w:val="008E3C4E"/>
    <w:rsid w:val="008E55A8"/>
    <w:rsid w:val="008E5949"/>
    <w:rsid w:val="008F0262"/>
    <w:rsid w:val="008F0520"/>
    <w:rsid w:val="008F1154"/>
    <w:rsid w:val="008F14B3"/>
    <w:rsid w:val="008F1532"/>
    <w:rsid w:val="008F3702"/>
    <w:rsid w:val="008F4134"/>
    <w:rsid w:val="008F46D6"/>
    <w:rsid w:val="008F4BE4"/>
    <w:rsid w:val="008F53BB"/>
    <w:rsid w:val="008F5BA6"/>
    <w:rsid w:val="008F5D36"/>
    <w:rsid w:val="008F680D"/>
    <w:rsid w:val="008F6A6F"/>
    <w:rsid w:val="008F7102"/>
    <w:rsid w:val="008F717E"/>
    <w:rsid w:val="00901FE5"/>
    <w:rsid w:val="00902460"/>
    <w:rsid w:val="00903125"/>
    <w:rsid w:val="00903C78"/>
    <w:rsid w:val="00904879"/>
    <w:rsid w:val="00904F00"/>
    <w:rsid w:val="00905052"/>
    <w:rsid w:val="00905BA9"/>
    <w:rsid w:val="0090677F"/>
    <w:rsid w:val="00906FB2"/>
    <w:rsid w:val="00907FBF"/>
    <w:rsid w:val="009101C6"/>
    <w:rsid w:val="00910442"/>
    <w:rsid w:val="0091106B"/>
    <w:rsid w:val="00911372"/>
    <w:rsid w:val="00911DE2"/>
    <w:rsid w:val="00912364"/>
    <w:rsid w:val="00912660"/>
    <w:rsid w:val="00912D40"/>
    <w:rsid w:val="0091359D"/>
    <w:rsid w:val="0091403A"/>
    <w:rsid w:val="00914093"/>
    <w:rsid w:val="00914758"/>
    <w:rsid w:val="009159C9"/>
    <w:rsid w:val="00916CB1"/>
    <w:rsid w:val="00917D3C"/>
    <w:rsid w:val="00920BAF"/>
    <w:rsid w:val="00920DDD"/>
    <w:rsid w:val="00920ED7"/>
    <w:rsid w:val="009212DC"/>
    <w:rsid w:val="0092253E"/>
    <w:rsid w:val="009231A7"/>
    <w:rsid w:val="009247E4"/>
    <w:rsid w:val="0092582B"/>
    <w:rsid w:val="00927549"/>
    <w:rsid w:val="00930D10"/>
    <w:rsid w:val="00930D50"/>
    <w:rsid w:val="00931755"/>
    <w:rsid w:val="0093291B"/>
    <w:rsid w:val="00933093"/>
    <w:rsid w:val="0093318A"/>
    <w:rsid w:val="009331D2"/>
    <w:rsid w:val="00933860"/>
    <w:rsid w:val="009338C6"/>
    <w:rsid w:val="00935812"/>
    <w:rsid w:val="00935894"/>
    <w:rsid w:val="00937A39"/>
    <w:rsid w:val="00937A50"/>
    <w:rsid w:val="00940334"/>
    <w:rsid w:val="0094063F"/>
    <w:rsid w:val="009416F0"/>
    <w:rsid w:val="00941773"/>
    <w:rsid w:val="00942B84"/>
    <w:rsid w:val="00943110"/>
    <w:rsid w:val="00944500"/>
    <w:rsid w:val="009445F9"/>
    <w:rsid w:val="00945449"/>
    <w:rsid w:val="009466CD"/>
    <w:rsid w:val="009473F0"/>
    <w:rsid w:val="009478AC"/>
    <w:rsid w:val="00950BF2"/>
    <w:rsid w:val="0095176F"/>
    <w:rsid w:val="009518A0"/>
    <w:rsid w:val="009529F8"/>
    <w:rsid w:val="00953FE7"/>
    <w:rsid w:val="0095415E"/>
    <w:rsid w:val="0095452F"/>
    <w:rsid w:val="00954ED2"/>
    <w:rsid w:val="0095556D"/>
    <w:rsid w:val="00956AF7"/>
    <w:rsid w:val="00957B42"/>
    <w:rsid w:val="00960977"/>
    <w:rsid w:val="00960F2A"/>
    <w:rsid w:val="0096283F"/>
    <w:rsid w:val="00963029"/>
    <w:rsid w:val="00963EAF"/>
    <w:rsid w:val="00964371"/>
    <w:rsid w:val="009643F7"/>
    <w:rsid w:val="00965FF9"/>
    <w:rsid w:val="00966199"/>
    <w:rsid w:val="00966FEB"/>
    <w:rsid w:val="00967020"/>
    <w:rsid w:val="00967424"/>
    <w:rsid w:val="00967678"/>
    <w:rsid w:val="0097049F"/>
    <w:rsid w:val="0097059C"/>
    <w:rsid w:val="00972A35"/>
    <w:rsid w:val="00975915"/>
    <w:rsid w:val="00976453"/>
    <w:rsid w:val="00976F6A"/>
    <w:rsid w:val="009774E8"/>
    <w:rsid w:val="00977856"/>
    <w:rsid w:val="00980468"/>
    <w:rsid w:val="00980A46"/>
    <w:rsid w:val="00981163"/>
    <w:rsid w:val="0098188E"/>
    <w:rsid w:val="0098408A"/>
    <w:rsid w:val="009840C2"/>
    <w:rsid w:val="009853A9"/>
    <w:rsid w:val="009879D8"/>
    <w:rsid w:val="009923A3"/>
    <w:rsid w:val="00992ACA"/>
    <w:rsid w:val="00993538"/>
    <w:rsid w:val="009959F6"/>
    <w:rsid w:val="00996FE7"/>
    <w:rsid w:val="00997128"/>
    <w:rsid w:val="009A0184"/>
    <w:rsid w:val="009A02B4"/>
    <w:rsid w:val="009A0D4C"/>
    <w:rsid w:val="009A228D"/>
    <w:rsid w:val="009A3479"/>
    <w:rsid w:val="009A4FFB"/>
    <w:rsid w:val="009A6A54"/>
    <w:rsid w:val="009A6D70"/>
    <w:rsid w:val="009A71AD"/>
    <w:rsid w:val="009A73B4"/>
    <w:rsid w:val="009A761F"/>
    <w:rsid w:val="009B0888"/>
    <w:rsid w:val="009B10CE"/>
    <w:rsid w:val="009B12A2"/>
    <w:rsid w:val="009B1CBC"/>
    <w:rsid w:val="009B1F5A"/>
    <w:rsid w:val="009B31CC"/>
    <w:rsid w:val="009B38FD"/>
    <w:rsid w:val="009B4818"/>
    <w:rsid w:val="009B6B85"/>
    <w:rsid w:val="009B773C"/>
    <w:rsid w:val="009C23C8"/>
    <w:rsid w:val="009C23FF"/>
    <w:rsid w:val="009C2C77"/>
    <w:rsid w:val="009C3C29"/>
    <w:rsid w:val="009C466B"/>
    <w:rsid w:val="009C4AF2"/>
    <w:rsid w:val="009C4B33"/>
    <w:rsid w:val="009C68D7"/>
    <w:rsid w:val="009C6E76"/>
    <w:rsid w:val="009C70F0"/>
    <w:rsid w:val="009C7311"/>
    <w:rsid w:val="009C73D3"/>
    <w:rsid w:val="009D04FA"/>
    <w:rsid w:val="009D0C4C"/>
    <w:rsid w:val="009D268A"/>
    <w:rsid w:val="009D2BEC"/>
    <w:rsid w:val="009D483F"/>
    <w:rsid w:val="009D5690"/>
    <w:rsid w:val="009D57D5"/>
    <w:rsid w:val="009D663E"/>
    <w:rsid w:val="009D7C38"/>
    <w:rsid w:val="009D7C9F"/>
    <w:rsid w:val="009D7F57"/>
    <w:rsid w:val="009E14A2"/>
    <w:rsid w:val="009E14F5"/>
    <w:rsid w:val="009E19D6"/>
    <w:rsid w:val="009E4CBE"/>
    <w:rsid w:val="009E53F3"/>
    <w:rsid w:val="009E5BBE"/>
    <w:rsid w:val="009E611B"/>
    <w:rsid w:val="009E6C33"/>
    <w:rsid w:val="009E7946"/>
    <w:rsid w:val="009F01CF"/>
    <w:rsid w:val="009F0571"/>
    <w:rsid w:val="009F0577"/>
    <w:rsid w:val="009F0E87"/>
    <w:rsid w:val="009F11AE"/>
    <w:rsid w:val="009F39E0"/>
    <w:rsid w:val="009F500E"/>
    <w:rsid w:val="009F57FA"/>
    <w:rsid w:val="009F5E11"/>
    <w:rsid w:val="009F6E6F"/>
    <w:rsid w:val="00A03D49"/>
    <w:rsid w:val="00A05CB4"/>
    <w:rsid w:val="00A064C6"/>
    <w:rsid w:val="00A0658F"/>
    <w:rsid w:val="00A06A3B"/>
    <w:rsid w:val="00A070CE"/>
    <w:rsid w:val="00A071E2"/>
    <w:rsid w:val="00A07FB0"/>
    <w:rsid w:val="00A07FB6"/>
    <w:rsid w:val="00A101D6"/>
    <w:rsid w:val="00A10E36"/>
    <w:rsid w:val="00A10EEC"/>
    <w:rsid w:val="00A111CC"/>
    <w:rsid w:val="00A128B9"/>
    <w:rsid w:val="00A12B69"/>
    <w:rsid w:val="00A12C8E"/>
    <w:rsid w:val="00A138E4"/>
    <w:rsid w:val="00A14054"/>
    <w:rsid w:val="00A145E3"/>
    <w:rsid w:val="00A14CE3"/>
    <w:rsid w:val="00A14EF7"/>
    <w:rsid w:val="00A1505B"/>
    <w:rsid w:val="00A15D0D"/>
    <w:rsid w:val="00A15E0E"/>
    <w:rsid w:val="00A16229"/>
    <w:rsid w:val="00A16595"/>
    <w:rsid w:val="00A16A56"/>
    <w:rsid w:val="00A17FB6"/>
    <w:rsid w:val="00A20207"/>
    <w:rsid w:val="00A20CF9"/>
    <w:rsid w:val="00A21A08"/>
    <w:rsid w:val="00A21BC0"/>
    <w:rsid w:val="00A221C3"/>
    <w:rsid w:val="00A228C7"/>
    <w:rsid w:val="00A229F6"/>
    <w:rsid w:val="00A22C31"/>
    <w:rsid w:val="00A23A85"/>
    <w:rsid w:val="00A23D7E"/>
    <w:rsid w:val="00A2431A"/>
    <w:rsid w:val="00A24591"/>
    <w:rsid w:val="00A2481F"/>
    <w:rsid w:val="00A25093"/>
    <w:rsid w:val="00A25427"/>
    <w:rsid w:val="00A272A2"/>
    <w:rsid w:val="00A27915"/>
    <w:rsid w:val="00A305C7"/>
    <w:rsid w:val="00A32647"/>
    <w:rsid w:val="00A32C1A"/>
    <w:rsid w:val="00A33126"/>
    <w:rsid w:val="00A340E1"/>
    <w:rsid w:val="00A34360"/>
    <w:rsid w:val="00A36366"/>
    <w:rsid w:val="00A37048"/>
    <w:rsid w:val="00A37559"/>
    <w:rsid w:val="00A37639"/>
    <w:rsid w:val="00A40758"/>
    <w:rsid w:val="00A40F10"/>
    <w:rsid w:val="00A412CC"/>
    <w:rsid w:val="00A423E1"/>
    <w:rsid w:val="00A4298F"/>
    <w:rsid w:val="00A42BC4"/>
    <w:rsid w:val="00A42D87"/>
    <w:rsid w:val="00A44049"/>
    <w:rsid w:val="00A443BE"/>
    <w:rsid w:val="00A445FD"/>
    <w:rsid w:val="00A44DEE"/>
    <w:rsid w:val="00A454A8"/>
    <w:rsid w:val="00A45A10"/>
    <w:rsid w:val="00A510FD"/>
    <w:rsid w:val="00A513CD"/>
    <w:rsid w:val="00A5164D"/>
    <w:rsid w:val="00A53447"/>
    <w:rsid w:val="00A54E8A"/>
    <w:rsid w:val="00A55D4D"/>
    <w:rsid w:val="00A56200"/>
    <w:rsid w:val="00A57285"/>
    <w:rsid w:val="00A57E08"/>
    <w:rsid w:val="00A601CF"/>
    <w:rsid w:val="00A60705"/>
    <w:rsid w:val="00A61237"/>
    <w:rsid w:val="00A613F7"/>
    <w:rsid w:val="00A61D3F"/>
    <w:rsid w:val="00A62163"/>
    <w:rsid w:val="00A627AB"/>
    <w:rsid w:val="00A640EF"/>
    <w:rsid w:val="00A647E4"/>
    <w:rsid w:val="00A64C6A"/>
    <w:rsid w:val="00A655DA"/>
    <w:rsid w:val="00A65B04"/>
    <w:rsid w:val="00A66943"/>
    <w:rsid w:val="00A704DB"/>
    <w:rsid w:val="00A7096F"/>
    <w:rsid w:val="00A71C1A"/>
    <w:rsid w:val="00A72728"/>
    <w:rsid w:val="00A72C3E"/>
    <w:rsid w:val="00A72F5A"/>
    <w:rsid w:val="00A72F90"/>
    <w:rsid w:val="00A73F2A"/>
    <w:rsid w:val="00A7403F"/>
    <w:rsid w:val="00A7467C"/>
    <w:rsid w:val="00A74766"/>
    <w:rsid w:val="00A74DE0"/>
    <w:rsid w:val="00A74E80"/>
    <w:rsid w:val="00A77990"/>
    <w:rsid w:val="00A77FD1"/>
    <w:rsid w:val="00A8089A"/>
    <w:rsid w:val="00A81664"/>
    <w:rsid w:val="00A8188C"/>
    <w:rsid w:val="00A81AE8"/>
    <w:rsid w:val="00A81D2F"/>
    <w:rsid w:val="00A82DA0"/>
    <w:rsid w:val="00A82E52"/>
    <w:rsid w:val="00A84922"/>
    <w:rsid w:val="00A849FF"/>
    <w:rsid w:val="00A84BDC"/>
    <w:rsid w:val="00A858B5"/>
    <w:rsid w:val="00A85F60"/>
    <w:rsid w:val="00A86036"/>
    <w:rsid w:val="00A86B78"/>
    <w:rsid w:val="00A871D4"/>
    <w:rsid w:val="00A87C65"/>
    <w:rsid w:val="00A906DE"/>
    <w:rsid w:val="00A9231D"/>
    <w:rsid w:val="00A92347"/>
    <w:rsid w:val="00A92E72"/>
    <w:rsid w:val="00A9475A"/>
    <w:rsid w:val="00A95A5F"/>
    <w:rsid w:val="00A9698C"/>
    <w:rsid w:val="00A97A4E"/>
    <w:rsid w:val="00A97AEA"/>
    <w:rsid w:val="00A97FA5"/>
    <w:rsid w:val="00A97FBA"/>
    <w:rsid w:val="00AA093F"/>
    <w:rsid w:val="00AA1A7B"/>
    <w:rsid w:val="00AA2425"/>
    <w:rsid w:val="00AA27CA"/>
    <w:rsid w:val="00AA2FCE"/>
    <w:rsid w:val="00AA4DBF"/>
    <w:rsid w:val="00AA4DE8"/>
    <w:rsid w:val="00AA58A4"/>
    <w:rsid w:val="00AA6368"/>
    <w:rsid w:val="00AA7848"/>
    <w:rsid w:val="00AB0171"/>
    <w:rsid w:val="00AB02E3"/>
    <w:rsid w:val="00AB14F4"/>
    <w:rsid w:val="00AB20E9"/>
    <w:rsid w:val="00AB3636"/>
    <w:rsid w:val="00AB3A76"/>
    <w:rsid w:val="00AB4867"/>
    <w:rsid w:val="00AB5912"/>
    <w:rsid w:val="00AB6B58"/>
    <w:rsid w:val="00AB6CE3"/>
    <w:rsid w:val="00AB6DDC"/>
    <w:rsid w:val="00AB72C4"/>
    <w:rsid w:val="00AB7AC1"/>
    <w:rsid w:val="00AC0A41"/>
    <w:rsid w:val="00AC198F"/>
    <w:rsid w:val="00AC1FF4"/>
    <w:rsid w:val="00AC2118"/>
    <w:rsid w:val="00AC2C2C"/>
    <w:rsid w:val="00AC3756"/>
    <w:rsid w:val="00AC3E66"/>
    <w:rsid w:val="00AC45CE"/>
    <w:rsid w:val="00AC4762"/>
    <w:rsid w:val="00AC4AC6"/>
    <w:rsid w:val="00AC5052"/>
    <w:rsid w:val="00AC54F2"/>
    <w:rsid w:val="00AC76EC"/>
    <w:rsid w:val="00AC7C3D"/>
    <w:rsid w:val="00AD0629"/>
    <w:rsid w:val="00AD0A65"/>
    <w:rsid w:val="00AD23F1"/>
    <w:rsid w:val="00AD3086"/>
    <w:rsid w:val="00AD34D4"/>
    <w:rsid w:val="00AD375B"/>
    <w:rsid w:val="00AD3BA6"/>
    <w:rsid w:val="00AD4C18"/>
    <w:rsid w:val="00AD4CC4"/>
    <w:rsid w:val="00AD7684"/>
    <w:rsid w:val="00AE0539"/>
    <w:rsid w:val="00AE0CB1"/>
    <w:rsid w:val="00AE1EA1"/>
    <w:rsid w:val="00AE2216"/>
    <w:rsid w:val="00AE2363"/>
    <w:rsid w:val="00AE2BEB"/>
    <w:rsid w:val="00AE3984"/>
    <w:rsid w:val="00AE54C6"/>
    <w:rsid w:val="00AE5A80"/>
    <w:rsid w:val="00AE6FE0"/>
    <w:rsid w:val="00AE7BF4"/>
    <w:rsid w:val="00AF11C7"/>
    <w:rsid w:val="00AF187D"/>
    <w:rsid w:val="00AF3088"/>
    <w:rsid w:val="00AF47AA"/>
    <w:rsid w:val="00AF6157"/>
    <w:rsid w:val="00AF6211"/>
    <w:rsid w:val="00AF673D"/>
    <w:rsid w:val="00AF6CC1"/>
    <w:rsid w:val="00B00848"/>
    <w:rsid w:val="00B011E5"/>
    <w:rsid w:val="00B03366"/>
    <w:rsid w:val="00B03E92"/>
    <w:rsid w:val="00B04F8B"/>
    <w:rsid w:val="00B05015"/>
    <w:rsid w:val="00B05490"/>
    <w:rsid w:val="00B067B3"/>
    <w:rsid w:val="00B0699F"/>
    <w:rsid w:val="00B06E36"/>
    <w:rsid w:val="00B0709A"/>
    <w:rsid w:val="00B1150E"/>
    <w:rsid w:val="00B1155C"/>
    <w:rsid w:val="00B11968"/>
    <w:rsid w:val="00B11EB6"/>
    <w:rsid w:val="00B11FB4"/>
    <w:rsid w:val="00B12445"/>
    <w:rsid w:val="00B128E1"/>
    <w:rsid w:val="00B13475"/>
    <w:rsid w:val="00B14A76"/>
    <w:rsid w:val="00B17B75"/>
    <w:rsid w:val="00B2096A"/>
    <w:rsid w:val="00B20CE1"/>
    <w:rsid w:val="00B20FF1"/>
    <w:rsid w:val="00B21049"/>
    <w:rsid w:val="00B22B6D"/>
    <w:rsid w:val="00B239A3"/>
    <w:rsid w:val="00B23CB9"/>
    <w:rsid w:val="00B241DC"/>
    <w:rsid w:val="00B25350"/>
    <w:rsid w:val="00B25A5F"/>
    <w:rsid w:val="00B25FC8"/>
    <w:rsid w:val="00B26D08"/>
    <w:rsid w:val="00B27446"/>
    <w:rsid w:val="00B27F63"/>
    <w:rsid w:val="00B314BC"/>
    <w:rsid w:val="00B32BF8"/>
    <w:rsid w:val="00B32E4D"/>
    <w:rsid w:val="00B34CDE"/>
    <w:rsid w:val="00B35D2B"/>
    <w:rsid w:val="00B3659E"/>
    <w:rsid w:val="00B370F2"/>
    <w:rsid w:val="00B3772F"/>
    <w:rsid w:val="00B37AA3"/>
    <w:rsid w:val="00B40592"/>
    <w:rsid w:val="00B433CB"/>
    <w:rsid w:val="00B43509"/>
    <w:rsid w:val="00B44F85"/>
    <w:rsid w:val="00B457F4"/>
    <w:rsid w:val="00B46B9D"/>
    <w:rsid w:val="00B46DFA"/>
    <w:rsid w:val="00B46E40"/>
    <w:rsid w:val="00B46FB3"/>
    <w:rsid w:val="00B5018E"/>
    <w:rsid w:val="00B50762"/>
    <w:rsid w:val="00B50AD5"/>
    <w:rsid w:val="00B51088"/>
    <w:rsid w:val="00B52918"/>
    <w:rsid w:val="00B53BB7"/>
    <w:rsid w:val="00B53C28"/>
    <w:rsid w:val="00B5429E"/>
    <w:rsid w:val="00B54648"/>
    <w:rsid w:val="00B547A0"/>
    <w:rsid w:val="00B54D47"/>
    <w:rsid w:val="00B55354"/>
    <w:rsid w:val="00B55371"/>
    <w:rsid w:val="00B56844"/>
    <w:rsid w:val="00B57B04"/>
    <w:rsid w:val="00B606EE"/>
    <w:rsid w:val="00B60CE6"/>
    <w:rsid w:val="00B60E77"/>
    <w:rsid w:val="00B62CD5"/>
    <w:rsid w:val="00B63DFA"/>
    <w:rsid w:val="00B6543D"/>
    <w:rsid w:val="00B65905"/>
    <w:rsid w:val="00B670E9"/>
    <w:rsid w:val="00B67E2F"/>
    <w:rsid w:val="00B714E1"/>
    <w:rsid w:val="00B71DE3"/>
    <w:rsid w:val="00B73F12"/>
    <w:rsid w:val="00B73F56"/>
    <w:rsid w:val="00B74F52"/>
    <w:rsid w:val="00B7695E"/>
    <w:rsid w:val="00B77793"/>
    <w:rsid w:val="00B817A5"/>
    <w:rsid w:val="00B81A17"/>
    <w:rsid w:val="00B81B37"/>
    <w:rsid w:val="00B81E98"/>
    <w:rsid w:val="00B82116"/>
    <w:rsid w:val="00B8251D"/>
    <w:rsid w:val="00B82A03"/>
    <w:rsid w:val="00B831E6"/>
    <w:rsid w:val="00B85A1F"/>
    <w:rsid w:val="00B85A58"/>
    <w:rsid w:val="00B87307"/>
    <w:rsid w:val="00B87CAF"/>
    <w:rsid w:val="00B9041C"/>
    <w:rsid w:val="00B91ACE"/>
    <w:rsid w:val="00B93301"/>
    <w:rsid w:val="00B9393E"/>
    <w:rsid w:val="00B94321"/>
    <w:rsid w:val="00B94890"/>
    <w:rsid w:val="00B9495A"/>
    <w:rsid w:val="00B94D9A"/>
    <w:rsid w:val="00B9508A"/>
    <w:rsid w:val="00B95254"/>
    <w:rsid w:val="00B95705"/>
    <w:rsid w:val="00B95D80"/>
    <w:rsid w:val="00B95D98"/>
    <w:rsid w:val="00B9683A"/>
    <w:rsid w:val="00B970C1"/>
    <w:rsid w:val="00BA0967"/>
    <w:rsid w:val="00BA1A82"/>
    <w:rsid w:val="00BA3066"/>
    <w:rsid w:val="00BA39E2"/>
    <w:rsid w:val="00BA3F10"/>
    <w:rsid w:val="00BA4D99"/>
    <w:rsid w:val="00BA5556"/>
    <w:rsid w:val="00BA6013"/>
    <w:rsid w:val="00BA61E5"/>
    <w:rsid w:val="00BA6757"/>
    <w:rsid w:val="00BA6C30"/>
    <w:rsid w:val="00BB0FFB"/>
    <w:rsid w:val="00BB12DA"/>
    <w:rsid w:val="00BB1698"/>
    <w:rsid w:val="00BB17D7"/>
    <w:rsid w:val="00BB1850"/>
    <w:rsid w:val="00BB2B57"/>
    <w:rsid w:val="00BB3207"/>
    <w:rsid w:val="00BB43A1"/>
    <w:rsid w:val="00BB64D0"/>
    <w:rsid w:val="00BB66B9"/>
    <w:rsid w:val="00BB67CE"/>
    <w:rsid w:val="00BB6AB6"/>
    <w:rsid w:val="00BB7B5E"/>
    <w:rsid w:val="00BC01BC"/>
    <w:rsid w:val="00BC03DE"/>
    <w:rsid w:val="00BC0596"/>
    <w:rsid w:val="00BC060A"/>
    <w:rsid w:val="00BC0752"/>
    <w:rsid w:val="00BC149B"/>
    <w:rsid w:val="00BC16BB"/>
    <w:rsid w:val="00BC17BA"/>
    <w:rsid w:val="00BC2D7C"/>
    <w:rsid w:val="00BC30D9"/>
    <w:rsid w:val="00BC4062"/>
    <w:rsid w:val="00BC54C5"/>
    <w:rsid w:val="00BC7560"/>
    <w:rsid w:val="00BC7DD4"/>
    <w:rsid w:val="00BD0BCB"/>
    <w:rsid w:val="00BD22E8"/>
    <w:rsid w:val="00BD2BFB"/>
    <w:rsid w:val="00BD36D6"/>
    <w:rsid w:val="00BD4687"/>
    <w:rsid w:val="00BD48D8"/>
    <w:rsid w:val="00BD4B5A"/>
    <w:rsid w:val="00BD6292"/>
    <w:rsid w:val="00BD6C63"/>
    <w:rsid w:val="00BD7054"/>
    <w:rsid w:val="00BD734D"/>
    <w:rsid w:val="00BD7C67"/>
    <w:rsid w:val="00BE07C2"/>
    <w:rsid w:val="00BE08BE"/>
    <w:rsid w:val="00BE11DE"/>
    <w:rsid w:val="00BE11F6"/>
    <w:rsid w:val="00BE1653"/>
    <w:rsid w:val="00BE18B6"/>
    <w:rsid w:val="00BE34F1"/>
    <w:rsid w:val="00BE3E31"/>
    <w:rsid w:val="00BE558F"/>
    <w:rsid w:val="00BE6A25"/>
    <w:rsid w:val="00BE72F0"/>
    <w:rsid w:val="00BE77DA"/>
    <w:rsid w:val="00BF1D4A"/>
    <w:rsid w:val="00BF2436"/>
    <w:rsid w:val="00BF2E89"/>
    <w:rsid w:val="00BF316A"/>
    <w:rsid w:val="00BF3443"/>
    <w:rsid w:val="00BF3E09"/>
    <w:rsid w:val="00BF434F"/>
    <w:rsid w:val="00BF4CD9"/>
    <w:rsid w:val="00BF4E7B"/>
    <w:rsid w:val="00BF5704"/>
    <w:rsid w:val="00BF63BA"/>
    <w:rsid w:val="00BF6519"/>
    <w:rsid w:val="00BF6A66"/>
    <w:rsid w:val="00BF7059"/>
    <w:rsid w:val="00C005D6"/>
    <w:rsid w:val="00C00CDC"/>
    <w:rsid w:val="00C019F1"/>
    <w:rsid w:val="00C01CDF"/>
    <w:rsid w:val="00C01F96"/>
    <w:rsid w:val="00C02458"/>
    <w:rsid w:val="00C027CC"/>
    <w:rsid w:val="00C02B4F"/>
    <w:rsid w:val="00C0373E"/>
    <w:rsid w:val="00C045B3"/>
    <w:rsid w:val="00C04A5E"/>
    <w:rsid w:val="00C04CA0"/>
    <w:rsid w:val="00C0512E"/>
    <w:rsid w:val="00C061CA"/>
    <w:rsid w:val="00C0623A"/>
    <w:rsid w:val="00C10239"/>
    <w:rsid w:val="00C10B2A"/>
    <w:rsid w:val="00C11F4A"/>
    <w:rsid w:val="00C12E1D"/>
    <w:rsid w:val="00C13D30"/>
    <w:rsid w:val="00C14282"/>
    <w:rsid w:val="00C1755F"/>
    <w:rsid w:val="00C176EE"/>
    <w:rsid w:val="00C1798B"/>
    <w:rsid w:val="00C2052A"/>
    <w:rsid w:val="00C22E7F"/>
    <w:rsid w:val="00C23768"/>
    <w:rsid w:val="00C23C90"/>
    <w:rsid w:val="00C23DC1"/>
    <w:rsid w:val="00C24541"/>
    <w:rsid w:val="00C24DFD"/>
    <w:rsid w:val="00C26452"/>
    <w:rsid w:val="00C277F7"/>
    <w:rsid w:val="00C308EC"/>
    <w:rsid w:val="00C30F46"/>
    <w:rsid w:val="00C316F0"/>
    <w:rsid w:val="00C32627"/>
    <w:rsid w:val="00C32838"/>
    <w:rsid w:val="00C32FFA"/>
    <w:rsid w:val="00C330DD"/>
    <w:rsid w:val="00C33B3F"/>
    <w:rsid w:val="00C33C4C"/>
    <w:rsid w:val="00C33E50"/>
    <w:rsid w:val="00C35216"/>
    <w:rsid w:val="00C35861"/>
    <w:rsid w:val="00C40CC4"/>
    <w:rsid w:val="00C411FF"/>
    <w:rsid w:val="00C4439E"/>
    <w:rsid w:val="00C4446E"/>
    <w:rsid w:val="00C44C6B"/>
    <w:rsid w:val="00C451DC"/>
    <w:rsid w:val="00C46658"/>
    <w:rsid w:val="00C46952"/>
    <w:rsid w:val="00C47FEC"/>
    <w:rsid w:val="00C50121"/>
    <w:rsid w:val="00C50316"/>
    <w:rsid w:val="00C50CCC"/>
    <w:rsid w:val="00C51EB2"/>
    <w:rsid w:val="00C522EC"/>
    <w:rsid w:val="00C53449"/>
    <w:rsid w:val="00C536A1"/>
    <w:rsid w:val="00C538CA"/>
    <w:rsid w:val="00C541E0"/>
    <w:rsid w:val="00C5427F"/>
    <w:rsid w:val="00C54349"/>
    <w:rsid w:val="00C55362"/>
    <w:rsid w:val="00C578C3"/>
    <w:rsid w:val="00C60DFE"/>
    <w:rsid w:val="00C6252B"/>
    <w:rsid w:val="00C62EF4"/>
    <w:rsid w:val="00C63760"/>
    <w:rsid w:val="00C6444F"/>
    <w:rsid w:val="00C64755"/>
    <w:rsid w:val="00C64764"/>
    <w:rsid w:val="00C65CD4"/>
    <w:rsid w:val="00C666DC"/>
    <w:rsid w:val="00C67388"/>
    <w:rsid w:val="00C67FA7"/>
    <w:rsid w:val="00C70284"/>
    <w:rsid w:val="00C705E0"/>
    <w:rsid w:val="00C70C2F"/>
    <w:rsid w:val="00C70DF4"/>
    <w:rsid w:val="00C711EA"/>
    <w:rsid w:val="00C71B70"/>
    <w:rsid w:val="00C74C96"/>
    <w:rsid w:val="00C75678"/>
    <w:rsid w:val="00C75DA3"/>
    <w:rsid w:val="00C7607D"/>
    <w:rsid w:val="00C765C3"/>
    <w:rsid w:val="00C76703"/>
    <w:rsid w:val="00C76A80"/>
    <w:rsid w:val="00C76E81"/>
    <w:rsid w:val="00C770F3"/>
    <w:rsid w:val="00C776A2"/>
    <w:rsid w:val="00C77742"/>
    <w:rsid w:val="00C777C8"/>
    <w:rsid w:val="00C812C8"/>
    <w:rsid w:val="00C8298A"/>
    <w:rsid w:val="00C830BE"/>
    <w:rsid w:val="00C83AA3"/>
    <w:rsid w:val="00C83E4D"/>
    <w:rsid w:val="00C8496E"/>
    <w:rsid w:val="00C84E1A"/>
    <w:rsid w:val="00C85E2A"/>
    <w:rsid w:val="00C861C6"/>
    <w:rsid w:val="00C9010F"/>
    <w:rsid w:val="00C90FAB"/>
    <w:rsid w:val="00C92749"/>
    <w:rsid w:val="00C92E3C"/>
    <w:rsid w:val="00C93508"/>
    <w:rsid w:val="00C93FEA"/>
    <w:rsid w:val="00C955B4"/>
    <w:rsid w:val="00C95C48"/>
    <w:rsid w:val="00C96A08"/>
    <w:rsid w:val="00C96B54"/>
    <w:rsid w:val="00CA00D1"/>
    <w:rsid w:val="00CA0594"/>
    <w:rsid w:val="00CA09AF"/>
    <w:rsid w:val="00CA10FC"/>
    <w:rsid w:val="00CA11CD"/>
    <w:rsid w:val="00CA18A3"/>
    <w:rsid w:val="00CA2B24"/>
    <w:rsid w:val="00CA2BDF"/>
    <w:rsid w:val="00CA4476"/>
    <w:rsid w:val="00CA4640"/>
    <w:rsid w:val="00CA51ED"/>
    <w:rsid w:val="00CA605B"/>
    <w:rsid w:val="00CA7BA9"/>
    <w:rsid w:val="00CB01FE"/>
    <w:rsid w:val="00CB067D"/>
    <w:rsid w:val="00CB07E9"/>
    <w:rsid w:val="00CB136B"/>
    <w:rsid w:val="00CB179E"/>
    <w:rsid w:val="00CB1840"/>
    <w:rsid w:val="00CB1909"/>
    <w:rsid w:val="00CB287F"/>
    <w:rsid w:val="00CB37D1"/>
    <w:rsid w:val="00CB3859"/>
    <w:rsid w:val="00CB4C0E"/>
    <w:rsid w:val="00CB4CF7"/>
    <w:rsid w:val="00CB51C5"/>
    <w:rsid w:val="00CB5B70"/>
    <w:rsid w:val="00CB7450"/>
    <w:rsid w:val="00CB7584"/>
    <w:rsid w:val="00CC0566"/>
    <w:rsid w:val="00CC26C8"/>
    <w:rsid w:val="00CC2D4C"/>
    <w:rsid w:val="00CC3FAE"/>
    <w:rsid w:val="00CC44CD"/>
    <w:rsid w:val="00CC509F"/>
    <w:rsid w:val="00CD1971"/>
    <w:rsid w:val="00CD2D15"/>
    <w:rsid w:val="00CD32C4"/>
    <w:rsid w:val="00CD32D7"/>
    <w:rsid w:val="00CD331F"/>
    <w:rsid w:val="00CD362C"/>
    <w:rsid w:val="00CD37DD"/>
    <w:rsid w:val="00CD3D22"/>
    <w:rsid w:val="00CD51FB"/>
    <w:rsid w:val="00CD57D3"/>
    <w:rsid w:val="00CE0AB9"/>
    <w:rsid w:val="00CE0EC7"/>
    <w:rsid w:val="00CE1B13"/>
    <w:rsid w:val="00CE3359"/>
    <w:rsid w:val="00CE440F"/>
    <w:rsid w:val="00CE4B01"/>
    <w:rsid w:val="00CE53C2"/>
    <w:rsid w:val="00CE69B1"/>
    <w:rsid w:val="00CE7289"/>
    <w:rsid w:val="00CF04C1"/>
    <w:rsid w:val="00CF09D0"/>
    <w:rsid w:val="00CF0B34"/>
    <w:rsid w:val="00CF1088"/>
    <w:rsid w:val="00CF1E76"/>
    <w:rsid w:val="00CF28FC"/>
    <w:rsid w:val="00CF55F6"/>
    <w:rsid w:val="00CF77AE"/>
    <w:rsid w:val="00CF79D6"/>
    <w:rsid w:val="00D00443"/>
    <w:rsid w:val="00D006B6"/>
    <w:rsid w:val="00D0081C"/>
    <w:rsid w:val="00D020D6"/>
    <w:rsid w:val="00D02D18"/>
    <w:rsid w:val="00D0474C"/>
    <w:rsid w:val="00D04E80"/>
    <w:rsid w:val="00D053C9"/>
    <w:rsid w:val="00D054AA"/>
    <w:rsid w:val="00D05B30"/>
    <w:rsid w:val="00D071DB"/>
    <w:rsid w:val="00D10059"/>
    <w:rsid w:val="00D10D7F"/>
    <w:rsid w:val="00D10E7A"/>
    <w:rsid w:val="00D1184E"/>
    <w:rsid w:val="00D136AE"/>
    <w:rsid w:val="00D14050"/>
    <w:rsid w:val="00D14154"/>
    <w:rsid w:val="00D151A4"/>
    <w:rsid w:val="00D162FB"/>
    <w:rsid w:val="00D16954"/>
    <w:rsid w:val="00D17CA1"/>
    <w:rsid w:val="00D209F9"/>
    <w:rsid w:val="00D20F47"/>
    <w:rsid w:val="00D220AB"/>
    <w:rsid w:val="00D22617"/>
    <w:rsid w:val="00D22A75"/>
    <w:rsid w:val="00D23624"/>
    <w:rsid w:val="00D24877"/>
    <w:rsid w:val="00D26326"/>
    <w:rsid w:val="00D263AC"/>
    <w:rsid w:val="00D2670B"/>
    <w:rsid w:val="00D3006F"/>
    <w:rsid w:val="00D300C0"/>
    <w:rsid w:val="00D308DF"/>
    <w:rsid w:val="00D30AB4"/>
    <w:rsid w:val="00D30B36"/>
    <w:rsid w:val="00D3119E"/>
    <w:rsid w:val="00D327C6"/>
    <w:rsid w:val="00D32A58"/>
    <w:rsid w:val="00D32DA5"/>
    <w:rsid w:val="00D3365A"/>
    <w:rsid w:val="00D349C7"/>
    <w:rsid w:val="00D3725C"/>
    <w:rsid w:val="00D37A3F"/>
    <w:rsid w:val="00D37A91"/>
    <w:rsid w:val="00D37EC8"/>
    <w:rsid w:val="00D40EF8"/>
    <w:rsid w:val="00D41094"/>
    <w:rsid w:val="00D423A8"/>
    <w:rsid w:val="00D42ADA"/>
    <w:rsid w:val="00D43053"/>
    <w:rsid w:val="00D43835"/>
    <w:rsid w:val="00D44033"/>
    <w:rsid w:val="00D441CC"/>
    <w:rsid w:val="00D443F9"/>
    <w:rsid w:val="00D44487"/>
    <w:rsid w:val="00D44F67"/>
    <w:rsid w:val="00D451DF"/>
    <w:rsid w:val="00D45694"/>
    <w:rsid w:val="00D45C2F"/>
    <w:rsid w:val="00D45FA2"/>
    <w:rsid w:val="00D460B2"/>
    <w:rsid w:val="00D47388"/>
    <w:rsid w:val="00D47F16"/>
    <w:rsid w:val="00D47F59"/>
    <w:rsid w:val="00D507B7"/>
    <w:rsid w:val="00D50AF5"/>
    <w:rsid w:val="00D513A8"/>
    <w:rsid w:val="00D513FE"/>
    <w:rsid w:val="00D51C77"/>
    <w:rsid w:val="00D52380"/>
    <w:rsid w:val="00D52956"/>
    <w:rsid w:val="00D533D0"/>
    <w:rsid w:val="00D5372E"/>
    <w:rsid w:val="00D53B62"/>
    <w:rsid w:val="00D53EC0"/>
    <w:rsid w:val="00D54010"/>
    <w:rsid w:val="00D54C6F"/>
    <w:rsid w:val="00D552F9"/>
    <w:rsid w:val="00D55954"/>
    <w:rsid w:val="00D55FBC"/>
    <w:rsid w:val="00D5730D"/>
    <w:rsid w:val="00D5746F"/>
    <w:rsid w:val="00D574B4"/>
    <w:rsid w:val="00D576A5"/>
    <w:rsid w:val="00D603A5"/>
    <w:rsid w:val="00D60E35"/>
    <w:rsid w:val="00D62013"/>
    <w:rsid w:val="00D62229"/>
    <w:rsid w:val="00D6329A"/>
    <w:rsid w:val="00D635C7"/>
    <w:rsid w:val="00D6372B"/>
    <w:rsid w:val="00D6394D"/>
    <w:rsid w:val="00D63CEB"/>
    <w:rsid w:val="00D6478A"/>
    <w:rsid w:val="00D64967"/>
    <w:rsid w:val="00D64ABA"/>
    <w:rsid w:val="00D64DED"/>
    <w:rsid w:val="00D662B8"/>
    <w:rsid w:val="00D672A8"/>
    <w:rsid w:val="00D673CC"/>
    <w:rsid w:val="00D701EF"/>
    <w:rsid w:val="00D71DDC"/>
    <w:rsid w:val="00D71EA9"/>
    <w:rsid w:val="00D72967"/>
    <w:rsid w:val="00D72FC3"/>
    <w:rsid w:val="00D73332"/>
    <w:rsid w:val="00D74017"/>
    <w:rsid w:val="00D74327"/>
    <w:rsid w:val="00D74BFE"/>
    <w:rsid w:val="00D74E7B"/>
    <w:rsid w:val="00D765A7"/>
    <w:rsid w:val="00D77015"/>
    <w:rsid w:val="00D7777B"/>
    <w:rsid w:val="00D77B2C"/>
    <w:rsid w:val="00D829A0"/>
    <w:rsid w:val="00D83062"/>
    <w:rsid w:val="00D830F9"/>
    <w:rsid w:val="00D837AD"/>
    <w:rsid w:val="00D845EC"/>
    <w:rsid w:val="00D84E12"/>
    <w:rsid w:val="00D85150"/>
    <w:rsid w:val="00D856CF"/>
    <w:rsid w:val="00D85CE6"/>
    <w:rsid w:val="00D867D5"/>
    <w:rsid w:val="00D8783D"/>
    <w:rsid w:val="00D90D2B"/>
    <w:rsid w:val="00D91574"/>
    <w:rsid w:val="00D917F3"/>
    <w:rsid w:val="00D92D8C"/>
    <w:rsid w:val="00D9341C"/>
    <w:rsid w:val="00D93FD1"/>
    <w:rsid w:val="00D9493D"/>
    <w:rsid w:val="00D95CF1"/>
    <w:rsid w:val="00D95DC6"/>
    <w:rsid w:val="00D95EFA"/>
    <w:rsid w:val="00D971BA"/>
    <w:rsid w:val="00D974B4"/>
    <w:rsid w:val="00D97784"/>
    <w:rsid w:val="00D9791D"/>
    <w:rsid w:val="00DA0336"/>
    <w:rsid w:val="00DA0676"/>
    <w:rsid w:val="00DA0C92"/>
    <w:rsid w:val="00DA10BB"/>
    <w:rsid w:val="00DA15BC"/>
    <w:rsid w:val="00DA23E8"/>
    <w:rsid w:val="00DA3F0F"/>
    <w:rsid w:val="00DA4010"/>
    <w:rsid w:val="00DA49DE"/>
    <w:rsid w:val="00DB0D66"/>
    <w:rsid w:val="00DB0EC9"/>
    <w:rsid w:val="00DB12BD"/>
    <w:rsid w:val="00DB1433"/>
    <w:rsid w:val="00DB199F"/>
    <w:rsid w:val="00DB1E17"/>
    <w:rsid w:val="00DB25AD"/>
    <w:rsid w:val="00DB2613"/>
    <w:rsid w:val="00DB3392"/>
    <w:rsid w:val="00DB359E"/>
    <w:rsid w:val="00DB4627"/>
    <w:rsid w:val="00DB4908"/>
    <w:rsid w:val="00DB5409"/>
    <w:rsid w:val="00DB545B"/>
    <w:rsid w:val="00DB549F"/>
    <w:rsid w:val="00DB742E"/>
    <w:rsid w:val="00DC042D"/>
    <w:rsid w:val="00DC173F"/>
    <w:rsid w:val="00DC1782"/>
    <w:rsid w:val="00DC1BEC"/>
    <w:rsid w:val="00DC1BFB"/>
    <w:rsid w:val="00DC226C"/>
    <w:rsid w:val="00DC2973"/>
    <w:rsid w:val="00DC2FFB"/>
    <w:rsid w:val="00DC3582"/>
    <w:rsid w:val="00DC4188"/>
    <w:rsid w:val="00DC41AE"/>
    <w:rsid w:val="00DC4344"/>
    <w:rsid w:val="00DC616A"/>
    <w:rsid w:val="00DC62DF"/>
    <w:rsid w:val="00DC6319"/>
    <w:rsid w:val="00DC6AEB"/>
    <w:rsid w:val="00DD0398"/>
    <w:rsid w:val="00DD0F1B"/>
    <w:rsid w:val="00DD245E"/>
    <w:rsid w:val="00DD2983"/>
    <w:rsid w:val="00DD3A43"/>
    <w:rsid w:val="00DD3B6D"/>
    <w:rsid w:val="00DD6501"/>
    <w:rsid w:val="00DE0301"/>
    <w:rsid w:val="00DE09CA"/>
    <w:rsid w:val="00DE37C7"/>
    <w:rsid w:val="00DE7524"/>
    <w:rsid w:val="00DE762F"/>
    <w:rsid w:val="00DF04A3"/>
    <w:rsid w:val="00DF1BA3"/>
    <w:rsid w:val="00DF1EBF"/>
    <w:rsid w:val="00DF2A9B"/>
    <w:rsid w:val="00DF336E"/>
    <w:rsid w:val="00DF47F2"/>
    <w:rsid w:val="00DF4E0F"/>
    <w:rsid w:val="00DF5291"/>
    <w:rsid w:val="00DF5F86"/>
    <w:rsid w:val="00DF63DC"/>
    <w:rsid w:val="00DF679B"/>
    <w:rsid w:val="00DF702A"/>
    <w:rsid w:val="00DF724E"/>
    <w:rsid w:val="00DF7EFD"/>
    <w:rsid w:val="00E00C48"/>
    <w:rsid w:val="00E01349"/>
    <w:rsid w:val="00E019D7"/>
    <w:rsid w:val="00E02178"/>
    <w:rsid w:val="00E02292"/>
    <w:rsid w:val="00E02D4E"/>
    <w:rsid w:val="00E03083"/>
    <w:rsid w:val="00E0338F"/>
    <w:rsid w:val="00E0389D"/>
    <w:rsid w:val="00E03982"/>
    <w:rsid w:val="00E03DD9"/>
    <w:rsid w:val="00E04298"/>
    <w:rsid w:val="00E0446A"/>
    <w:rsid w:val="00E04D6E"/>
    <w:rsid w:val="00E0507D"/>
    <w:rsid w:val="00E0525E"/>
    <w:rsid w:val="00E05379"/>
    <w:rsid w:val="00E0589E"/>
    <w:rsid w:val="00E0642E"/>
    <w:rsid w:val="00E06894"/>
    <w:rsid w:val="00E06DC8"/>
    <w:rsid w:val="00E10B42"/>
    <w:rsid w:val="00E1206F"/>
    <w:rsid w:val="00E12E53"/>
    <w:rsid w:val="00E12FB9"/>
    <w:rsid w:val="00E1349C"/>
    <w:rsid w:val="00E138AC"/>
    <w:rsid w:val="00E14584"/>
    <w:rsid w:val="00E150EC"/>
    <w:rsid w:val="00E15319"/>
    <w:rsid w:val="00E1756A"/>
    <w:rsid w:val="00E1784B"/>
    <w:rsid w:val="00E20C9F"/>
    <w:rsid w:val="00E20D46"/>
    <w:rsid w:val="00E2296E"/>
    <w:rsid w:val="00E22E0D"/>
    <w:rsid w:val="00E231C4"/>
    <w:rsid w:val="00E23738"/>
    <w:rsid w:val="00E23AA6"/>
    <w:rsid w:val="00E23B8A"/>
    <w:rsid w:val="00E24401"/>
    <w:rsid w:val="00E25E41"/>
    <w:rsid w:val="00E26A0F"/>
    <w:rsid w:val="00E2703D"/>
    <w:rsid w:val="00E274A3"/>
    <w:rsid w:val="00E30CD7"/>
    <w:rsid w:val="00E30D6E"/>
    <w:rsid w:val="00E31618"/>
    <w:rsid w:val="00E33EA4"/>
    <w:rsid w:val="00E34342"/>
    <w:rsid w:val="00E34393"/>
    <w:rsid w:val="00E35CCA"/>
    <w:rsid w:val="00E36840"/>
    <w:rsid w:val="00E37B9E"/>
    <w:rsid w:val="00E37C19"/>
    <w:rsid w:val="00E40096"/>
    <w:rsid w:val="00E40B70"/>
    <w:rsid w:val="00E40C80"/>
    <w:rsid w:val="00E4114B"/>
    <w:rsid w:val="00E41A14"/>
    <w:rsid w:val="00E41D83"/>
    <w:rsid w:val="00E43D2D"/>
    <w:rsid w:val="00E45B5C"/>
    <w:rsid w:val="00E45CDD"/>
    <w:rsid w:val="00E45D51"/>
    <w:rsid w:val="00E4601E"/>
    <w:rsid w:val="00E4633F"/>
    <w:rsid w:val="00E470B0"/>
    <w:rsid w:val="00E51301"/>
    <w:rsid w:val="00E5139A"/>
    <w:rsid w:val="00E536A9"/>
    <w:rsid w:val="00E54115"/>
    <w:rsid w:val="00E54A38"/>
    <w:rsid w:val="00E54CBD"/>
    <w:rsid w:val="00E55A7A"/>
    <w:rsid w:val="00E55CF4"/>
    <w:rsid w:val="00E56314"/>
    <w:rsid w:val="00E5636D"/>
    <w:rsid w:val="00E564AE"/>
    <w:rsid w:val="00E5783A"/>
    <w:rsid w:val="00E607F3"/>
    <w:rsid w:val="00E60929"/>
    <w:rsid w:val="00E6099A"/>
    <w:rsid w:val="00E61E8A"/>
    <w:rsid w:val="00E6301D"/>
    <w:rsid w:val="00E630DE"/>
    <w:rsid w:val="00E635DC"/>
    <w:rsid w:val="00E63DFF"/>
    <w:rsid w:val="00E641CA"/>
    <w:rsid w:val="00E64387"/>
    <w:rsid w:val="00E64C62"/>
    <w:rsid w:val="00E65236"/>
    <w:rsid w:val="00E660A8"/>
    <w:rsid w:val="00E66163"/>
    <w:rsid w:val="00E665D2"/>
    <w:rsid w:val="00E66731"/>
    <w:rsid w:val="00E66766"/>
    <w:rsid w:val="00E67841"/>
    <w:rsid w:val="00E71668"/>
    <w:rsid w:val="00E72188"/>
    <w:rsid w:val="00E72658"/>
    <w:rsid w:val="00E72BEE"/>
    <w:rsid w:val="00E733A4"/>
    <w:rsid w:val="00E74FC8"/>
    <w:rsid w:val="00E77042"/>
    <w:rsid w:val="00E77FCB"/>
    <w:rsid w:val="00E80069"/>
    <w:rsid w:val="00E80078"/>
    <w:rsid w:val="00E83243"/>
    <w:rsid w:val="00E833FD"/>
    <w:rsid w:val="00E85846"/>
    <w:rsid w:val="00E86CEE"/>
    <w:rsid w:val="00E8753E"/>
    <w:rsid w:val="00E87DD1"/>
    <w:rsid w:val="00E87ED8"/>
    <w:rsid w:val="00E906F4"/>
    <w:rsid w:val="00E922AF"/>
    <w:rsid w:val="00E92439"/>
    <w:rsid w:val="00E92845"/>
    <w:rsid w:val="00E92D7D"/>
    <w:rsid w:val="00E93532"/>
    <w:rsid w:val="00E935AB"/>
    <w:rsid w:val="00E936D0"/>
    <w:rsid w:val="00E93749"/>
    <w:rsid w:val="00E9393F"/>
    <w:rsid w:val="00E942C7"/>
    <w:rsid w:val="00E94D62"/>
    <w:rsid w:val="00E956FB"/>
    <w:rsid w:val="00EA01DA"/>
    <w:rsid w:val="00EA062F"/>
    <w:rsid w:val="00EA0857"/>
    <w:rsid w:val="00EA3902"/>
    <w:rsid w:val="00EA4373"/>
    <w:rsid w:val="00EA472D"/>
    <w:rsid w:val="00EA5035"/>
    <w:rsid w:val="00EA51AB"/>
    <w:rsid w:val="00EA5B73"/>
    <w:rsid w:val="00EA6383"/>
    <w:rsid w:val="00EA6C4C"/>
    <w:rsid w:val="00EA7419"/>
    <w:rsid w:val="00EA7A27"/>
    <w:rsid w:val="00EB0197"/>
    <w:rsid w:val="00EB01FA"/>
    <w:rsid w:val="00EB0322"/>
    <w:rsid w:val="00EB0A02"/>
    <w:rsid w:val="00EB120D"/>
    <w:rsid w:val="00EB13B1"/>
    <w:rsid w:val="00EB158A"/>
    <w:rsid w:val="00EB3BAD"/>
    <w:rsid w:val="00EB3CB7"/>
    <w:rsid w:val="00EB43AD"/>
    <w:rsid w:val="00EB5E07"/>
    <w:rsid w:val="00EB5FCD"/>
    <w:rsid w:val="00EC0065"/>
    <w:rsid w:val="00EC0798"/>
    <w:rsid w:val="00EC1594"/>
    <w:rsid w:val="00EC393D"/>
    <w:rsid w:val="00EC3A03"/>
    <w:rsid w:val="00EC3EA2"/>
    <w:rsid w:val="00EC4CE8"/>
    <w:rsid w:val="00EC54A5"/>
    <w:rsid w:val="00EC57B1"/>
    <w:rsid w:val="00EC5993"/>
    <w:rsid w:val="00ED0C83"/>
    <w:rsid w:val="00ED0F49"/>
    <w:rsid w:val="00ED2420"/>
    <w:rsid w:val="00ED2F13"/>
    <w:rsid w:val="00ED2F2D"/>
    <w:rsid w:val="00ED3144"/>
    <w:rsid w:val="00ED34A2"/>
    <w:rsid w:val="00ED76C3"/>
    <w:rsid w:val="00ED76EF"/>
    <w:rsid w:val="00EE0D7A"/>
    <w:rsid w:val="00EE0EC0"/>
    <w:rsid w:val="00EE24E4"/>
    <w:rsid w:val="00EE2637"/>
    <w:rsid w:val="00EE266C"/>
    <w:rsid w:val="00EE45AE"/>
    <w:rsid w:val="00EE7149"/>
    <w:rsid w:val="00EF1191"/>
    <w:rsid w:val="00EF2733"/>
    <w:rsid w:val="00EF289B"/>
    <w:rsid w:val="00EF3334"/>
    <w:rsid w:val="00EF3B88"/>
    <w:rsid w:val="00EF52FA"/>
    <w:rsid w:val="00EF6F92"/>
    <w:rsid w:val="00EF7377"/>
    <w:rsid w:val="00EF786F"/>
    <w:rsid w:val="00EF792E"/>
    <w:rsid w:val="00F00564"/>
    <w:rsid w:val="00F02A40"/>
    <w:rsid w:val="00F02B54"/>
    <w:rsid w:val="00F02F3B"/>
    <w:rsid w:val="00F0328F"/>
    <w:rsid w:val="00F043CF"/>
    <w:rsid w:val="00F044C6"/>
    <w:rsid w:val="00F05935"/>
    <w:rsid w:val="00F062A4"/>
    <w:rsid w:val="00F0722C"/>
    <w:rsid w:val="00F07E0C"/>
    <w:rsid w:val="00F108E7"/>
    <w:rsid w:val="00F10D2E"/>
    <w:rsid w:val="00F10DCE"/>
    <w:rsid w:val="00F111D7"/>
    <w:rsid w:val="00F11600"/>
    <w:rsid w:val="00F12CB0"/>
    <w:rsid w:val="00F139DE"/>
    <w:rsid w:val="00F14C3C"/>
    <w:rsid w:val="00F16851"/>
    <w:rsid w:val="00F168A5"/>
    <w:rsid w:val="00F1690F"/>
    <w:rsid w:val="00F169CB"/>
    <w:rsid w:val="00F201AF"/>
    <w:rsid w:val="00F2061A"/>
    <w:rsid w:val="00F2073A"/>
    <w:rsid w:val="00F214FD"/>
    <w:rsid w:val="00F24EBC"/>
    <w:rsid w:val="00F24F6A"/>
    <w:rsid w:val="00F25765"/>
    <w:rsid w:val="00F2591B"/>
    <w:rsid w:val="00F26D46"/>
    <w:rsid w:val="00F26F66"/>
    <w:rsid w:val="00F30639"/>
    <w:rsid w:val="00F31045"/>
    <w:rsid w:val="00F315D0"/>
    <w:rsid w:val="00F31FE2"/>
    <w:rsid w:val="00F32425"/>
    <w:rsid w:val="00F33A84"/>
    <w:rsid w:val="00F33B41"/>
    <w:rsid w:val="00F33CBE"/>
    <w:rsid w:val="00F34D34"/>
    <w:rsid w:val="00F34FA1"/>
    <w:rsid w:val="00F35689"/>
    <w:rsid w:val="00F359A2"/>
    <w:rsid w:val="00F369D8"/>
    <w:rsid w:val="00F370B5"/>
    <w:rsid w:val="00F417E8"/>
    <w:rsid w:val="00F41AF2"/>
    <w:rsid w:val="00F4446A"/>
    <w:rsid w:val="00F4694D"/>
    <w:rsid w:val="00F47855"/>
    <w:rsid w:val="00F50E4A"/>
    <w:rsid w:val="00F51AB8"/>
    <w:rsid w:val="00F5294A"/>
    <w:rsid w:val="00F539F8"/>
    <w:rsid w:val="00F54812"/>
    <w:rsid w:val="00F5585E"/>
    <w:rsid w:val="00F55C1B"/>
    <w:rsid w:val="00F55E03"/>
    <w:rsid w:val="00F569BE"/>
    <w:rsid w:val="00F56C91"/>
    <w:rsid w:val="00F56E36"/>
    <w:rsid w:val="00F575FB"/>
    <w:rsid w:val="00F60499"/>
    <w:rsid w:val="00F6146F"/>
    <w:rsid w:val="00F61D29"/>
    <w:rsid w:val="00F63656"/>
    <w:rsid w:val="00F63E25"/>
    <w:rsid w:val="00F65516"/>
    <w:rsid w:val="00F65D5D"/>
    <w:rsid w:val="00F660E8"/>
    <w:rsid w:val="00F668EC"/>
    <w:rsid w:val="00F677D1"/>
    <w:rsid w:val="00F7019B"/>
    <w:rsid w:val="00F70808"/>
    <w:rsid w:val="00F712A5"/>
    <w:rsid w:val="00F71805"/>
    <w:rsid w:val="00F71C75"/>
    <w:rsid w:val="00F71CC5"/>
    <w:rsid w:val="00F72654"/>
    <w:rsid w:val="00F738A6"/>
    <w:rsid w:val="00F73F59"/>
    <w:rsid w:val="00F74688"/>
    <w:rsid w:val="00F7542F"/>
    <w:rsid w:val="00F7607D"/>
    <w:rsid w:val="00F764B7"/>
    <w:rsid w:val="00F76CD8"/>
    <w:rsid w:val="00F7745A"/>
    <w:rsid w:val="00F7749F"/>
    <w:rsid w:val="00F80CBC"/>
    <w:rsid w:val="00F8190D"/>
    <w:rsid w:val="00F820D2"/>
    <w:rsid w:val="00F827E4"/>
    <w:rsid w:val="00F82B82"/>
    <w:rsid w:val="00F82C6D"/>
    <w:rsid w:val="00F82E99"/>
    <w:rsid w:val="00F834A0"/>
    <w:rsid w:val="00F85148"/>
    <w:rsid w:val="00F85E7A"/>
    <w:rsid w:val="00F87891"/>
    <w:rsid w:val="00F916A2"/>
    <w:rsid w:val="00F934A5"/>
    <w:rsid w:val="00F940C8"/>
    <w:rsid w:val="00F94E25"/>
    <w:rsid w:val="00F95D9F"/>
    <w:rsid w:val="00F97D3A"/>
    <w:rsid w:val="00FA04E7"/>
    <w:rsid w:val="00FA0AE9"/>
    <w:rsid w:val="00FA0CC7"/>
    <w:rsid w:val="00FA11EA"/>
    <w:rsid w:val="00FA19C2"/>
    <w:rsid w:val="00FA309F"/>
    <w:rsid w:val="00FA35DF"/>
    <w:rsid w:val="00FA5706"/>
    <w:rsid w:val="00FA58E5"/>
    <w:rsid w:val="00FA66D0"/>
    <w:rsid w:val="00FA79A8"/>
    <w:rsid w:val="00FB1160"/>
    <w:rsid w:val="00FB18DC"/>
    <w:rsid w:val="00FB2724"/>
    <w:rsid w:val="00FB2DEE"/>
    <w:rsid w:val="00FB3D9A"/>
    <w:rsid w:val="00FB4293"/>
    <w:rsid w:val="00FB48C8"/>
    <w:rsid w:val="00FB48D0"/>
    <w:rsid w:val="00FB4DD0"/>
    <w:rsid w:val="00FB4DDD"/>
    <w:rsid w:val="00FB6A28"/>
    <w:rsid w:val="00FB7776"/>
    <w:rsid w:val="00FC01E3"/>
    <w:rsid w:val="00FC0BB7"/>
    <w:rsid w:val="00FC0F48"/>
    <w:rsid w:val="00FC1D25"/>
    <w:rsid w:val="00FD021F"/>
    <w:rsid w:val="00FD0AC9"/>
    <w:rsid w:val="00FD128D"/>
    <w:rsid w:val="00FD28DF"/>
    <w:rsid w:val="00FD2BC0"/>
    <w:rsid w:val="00FD3A02"/>
    <w:rsid w:val="00FD3AC5"/>
    <w:rsid w:val="00FD3D49"/>
    <w:rsid w:val="00FD4B14"/>
    <w:rsid w:val="00FD4C65"/>
    <w:rsid w:val="00FD4E33"/>
    <w:rsid w:val="00FD5414"/>
    <w:rsid w:val="00FD562E"/>
    <w:rsid w:val="00FD7B12"/>
    <w:rsid w:val="00FE013A"/>
    <w:rsid w:val="00FE04F2"/>
    <w:rsid w:val="00FE0C93"/>
    <w:rsid w:val="00FE103A"/>
    <w:rsid w:val="00FE2409"/>
    <w:rsid w:val="00FE28F4"/>
    <w:rsid w:val="00FE2FA9"/>
    <w:rsid w:val="00FE399C"/>
    <w:rsid w:val="00FE46FE"/>
    <w:rsid w:val="00FE4714"/>
    <w:rsid w:val="00FE5BDF"/>
    <w:rsid w:val="00FF0509"/>
    <w:rsid w:val="00FF1D60"/>
    <w:rsid w:val="00FF241A"/>
    <w:rsid w:val="00FF444F"/>
    <w:rsid w:val="00FF4B9E"/>
    <w:rsid w:val="00FF5DEE"/>
    <w:rsid w:val="00FF6575"/>
    <w:rsid w:val="02021C0E"/>
    <w:rsid w:val="03910908"/>
    <w:rsid w:val="074BF1A0"/>
    <w:rsid w:val="0866361C"/>
    <w:rsid w:val="0970B293"/>
    <w:rsid w:val="0A0D2DF3"/>
    <w:rsid w:val="0D4CBC3B"/>
    <w:rsid w:val="0D98821E"/>
    <w:rsid w:val="0E3891A8"/>
    <w:rsid w:val="0EE09F16"/>
    <w:rsid w:val="0FD86437"/>
    <w:rsid w:val="142DCC2B"/>
    <w:rsid w:val="14C6B26D"/>
    <w:rsid w:val="180E877C"/>
    <w:rsid w:val="1A2B3F43"/>
    <w:rsid w:val="1AF108EC"/>
    <w:rsid w:val="1CF00D66"/>
    <w:rsid w:val="1D62E005"/>
    <w:rsid w:val="1D6C3D94"/>
    <w:rsid w:val="1F1BB1FF"/>
    <w:rsid w:val="209A80C7"/>
    <w:rsid w:val="26EB0899"/>
    <w:rsid w:val="28E95AAB"/>
    <w:rsid w:val="298E99A6"/>
    <w:rsid w:val="29A13E36"/>
    <w:rsid w:val="2B1BFDA3"/>
    <w:rsid w:val="2F0DA970"/>
    <w:rsid w:val="3150B745"/>
    <w:rsid w:val="318B3F27"/>
    <w:rsid w:val="325223BA"/>
    <w:rsid w:val="330DE72B"/>
    <w:rsid w:val="34C2DFE9"/>
    <w:rsid w:val="364D3A21"/>
    <w:rsid w:val="36D7799C"/>
    <w:rsid w:val="381F81B1"/>
    <w:rsid w:val="3AD9A509"/>
    <w:rsid w:val="3E9B328A"/>
    <w:rsid w:val="3E9CAD4C"/>
    <w:rsid w:val="4BA1C5F2"/>
    <w:rsid w:val="4CEBDFAB"/>
    <w:rsid w:val="4DB95375"/>
    <w:rsid w:val="50E6BEB6"/>
    <w:rsid w:val="5197EE95"/>
    <w:rsid w:val="576C3BD5"/>
    <w:rsid w:val="5AB31E67"/>
    <w:rsid w:val="5C741E28"/>
    <w:rsid w:val="5C88639F"/>
    <w:rsid w:val="5DE549C8"/>
    <w:rsid w:val="60009B8A"/>
    <w:rsid w:val="62165510"/>
    <w:rsid w:val="628F6C62"/>
    <w:rsid w:val="62970A44"/>
    <w:rsid w:val="66D343CF"/>
    <w:rsid w:val="6757AB2D"/>
    <w:rsid w:val="68462367"/>
    <w:rsid w:val="6E937BD0"/>
    <w:rsid w:val="71689653"/>
    <w:rsid w:val="73A0F101"/>
    <w:rsid w:val="750172A1"/>
    <w:rsid w:val="776C8A9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435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68C"/>
    <w:pPr>
      <w:spacing w:after="200" w:line="276" w:lineRule="auto"/>
    </w:pPr>
    <w:rPr>
      <w:rFonts w:ascii="Calibri" w:eastAsia="Calibri" w:hAnsi="Calibri" w:cs="Times New Roman"/>
    </w:rPr>
  </w:style>
  <w:style w:type="paragraph" w:styleId="Heading1">
    <w:name w:val="heading 1"/>
    <w:basedOn w:val="Heading10"/>
    <w:next w:val="Normal"/>
    <w:link w:val="Heading1Char"/>
    <w:uiPriority w:val="9"/>
    <w:qFormat/>
    <w:rsid w:val="008C4B3C"/>
    <w:pPr>
      <w:spacing w:before="1000"/>
      <w:jc w:val="center"/>
      <w:outlineLvl w:val="0"/>
    </w:pPr>
    <w:rPr>
      <w:sz w:val="72"/>
      <w:szCs w:val="72"/>
    </w:rPr>
  </w:style>
  <w:style w:type="paragraph" w:styleId="Heading2">
    <w:name w:val="heading 2"/>
    <w:basedOn w:val="Normal"/>
    <w:next w:val="Normal"/>
    <w:link w:val="Heading2Char"/>
    <w:uiPriority w:val="9"/>
    <w:unhideWhenUsed/>
    <w:qFormat/>
    <w:rsid w:val="004C7458"/>
    <w:pPr>
      <w:keepNext/>
      <w:keepLines/>
      <w:tabs>
        <w:tab w:val="left" w:pos="1701"/>
      </w:tabs>
      <w:spacing w:before="360" w:after="120" w:line="240" w:lineRule="auto"/>
      <w:outlineLvl w:val="1"/>
    </w:pPr>
    <w:rPr>
      <w:rFonts w:ascii="Franklin Gothic Medium" w:eastAsiaTheme="majorEastAsia" w:hAnsi="Franklin Gothic Medium" w:cstheme="majorBidi"/>
      <w:color w:val="000000" w:themeColor="text1"/>
      <w:sz w:val="32"/>
      <w:szCs w:val="26"/>
    </w:rPr>
  </w:style>
  <w:style w:type="paragraph" w:styleId="Heading3">
    <w:name w:val="heading 3"/>
    <w:basedOn w:val="Heading2"/>
    <w:next w:val="Normal"/>
    <w:link w:val="Heading3Char"/>
    <w:uiPriority w:val="9"/>
    <w:unhideWhenUsed/>
    <w:qFormat/>
    <w:rsid w:val="00713728"/>
    <w:pPr>
      <w:tabs>
        <w:tab w:val="clear" w:pos="1701"/>
      </w:tabs>
      <w:spacing w:line="276" w:lineRule="auto"/>
      <w:outlineLvl w:val="2"/>
    </w:pPr>
    <w:rPr>
      <w:rFonts w:ascii="Calibri" w:eastAsia="MS Gothic" w:hAnsi="Calibri" w:cs="Times New Roman"/>
      <w:b/>
      <w:bCs/>
      <w:i/>
      <w:color w:val="auto"/>
      <w:sz w:val="24"/>
      <w:szCs w:val="24"/>
    </w:rPr>
  </w:style>
  <w:style w:type="paragraph" w:styleId="Heading4">
    <w:name w:val="heading 4"/>
    <w:basedOn w:val="Normal"/>
    <w:next w:val="Normal"/>
    <w:link w:val="Heading4Char"/>
    <w:uiPriority w:val="9"/>
    <w:unhideWhenUsed/>
    <w:qFormat/>
    <w:rsid w:val="009101C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73153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78E7"/>
    <w:rPr>
      <w:rFonts w:ascii="Times New Roman" w:hAnsi="Times New Roman" w:cs="Times New Roman" w:hint="default"/>
      <w:color w:val="0000FF"/>
      <w:u w:val="single"/>
    </w:rPr>
  </w:style>
  <w:style w:type="paragraph" w:customStyle="1" w:styleId="Heading10">
    <w:name w:val="Heading1"/>
    <w:rsid w:val="006478E7"/>
    <w:pPr>
      <w:spacing w:after="200" w:line="240" w:lineRule="auto"/>
    </w:pPr>
    <w:rPr>
      <w:rFonts w:ascii="Calibri" w:eastAsia="Calibri" w:hAnsi="Calibri" w:cs="Calibri"/>
      <w:b/>
      <w:bCs/>
      <w:color w:val="000000"/>
      <w:sz w:val="36"/>
      <w:szCs w:val="36"/>
      <w:u w:color="000000"/>
      <w:lang w:val="en-US" w:eastAsia="en-AU"/>
    </w:rPr>
  </w:style>
  <w:style w:type="character" w:customStyle="1" w:styleId="Heading2Char">
    <w:name w:val="Heading 2 Char"/>
    <w:basedOn w:val="DefaultParagraphFont"/>
    <w:link w:val="Heading2"/>
    <w:uiPriority w:val="9"/>
    <w:rsid w:val="004C7458"/>
    <w:rPr>
      <w:rFonts w:ascii="Franklin Gothic Medium" w:eastAsiaTheme="majorEastAsia" w:hAnsi="Franklin Gothic Medium" w:cstheme="majorBidi"/>
      <w:color w:val="000000" w:themeColor="text1"/>
      <w:sz w:val="32"/>
      <w:szCs w:val="26"/>
    </w:rPr>
  </w:style>
  <w:style w:type="table" w:customStyle="1" w:styleId="TableGrid1">
    <w:name w:val="Table Grid1"/>
    <w:basedOn w:val="TableNormal"/>
    <w:uiPriority w:val="59"/>
    <w:rsid w:val="006478E7"/>
    <w:pPr>
      <w:spacing w:after="240" w:line="240" w:lineRule="auto"/>
      <w:ind w:left="72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Points,Bullet point,List Paragraph1,List Paragraph11,Recommendation,L,Bullet Point,Bulletr List Paragraph,Content descriptions,FooterText,List Bullet 1,List Paragraph2,List Paragraph21,Listeafsnit1,NFP GP Bulleted List,リスト段落,lp1"/>
    <w:basedOn w:val="Normal"/>
    <w:link w:val="ListParagraphChar"/>
    <w:uiPriority w:val="34"/>
    <w:qFormat/>
    <w:rsid w:val="006478E7"/>
    <w:pPr>
      <w:ind w:left="720"/>
      <w:contextualSpacing/>
    </w:pPr>
  </w:style>
  <w:style w:type="table" w:styleId="TableGrid">
    <w:name w:val="Table Grid"/>
    <w:aliases w:val="Summary box,Table Gridbeth,RTI AMCP Table,new style,ASD Table,Centered text,HealthConsult"/>
    <w:basedOn w:val="TableNormal"/>
    <w:uiPriority w:val="59"/>
    <w:rsid w:val="002F3E40"/>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E01349"/>
    <w:pPr>
      <w:keepNext/>
      <w:spacing w:before="360" w:after="120" w:line="240" w:lineRule="auto"/>
      <w:ind w:left="709" w:hanging="709"/>
    </w:pPr>
    <w:rPr>
      <w:rFonts w:ascii="Arial Narrow" w:eastAsia="Times New Roman" w:hAnsi="Arial Narrow" w:cs="Tahoma"/>
      <w:b/>
      <w:sz w:val="20"/>
      <w:szCs w:val="20"/>
      <w:lang w:val="en-GB" w:eastAsia="ja-JP"/>
    </w:rPr>
  </w:style>
  <w:style w:type="paragraph" w:customStyle="1" w:styleId="TableHeading">
    <w:name w:val="TableHeading"/>
    <w:basedOn w:val="Normal"/>
    <w:link w:val="TableHeadingChar"/>
    <w:qFormat/>
    <w:rsid w:val="000939E0"/>
    <w:pPr>
      <w:keepNext/>
      <w:spacing w:before="40" w:after="40" w:line="240" w:lineRule="auto"/>
    </w:pPr>
    <w:rPr>
      <w:rFonts w:ascii="Arial Narrow" w:eastAsia="Times New Roman" w:hAnsi="Arial Narrow" w:cs="Tahoma"/>
      <w:b/>
      <w:sz w:val="20"/>
      <w:szCs w:val="20"/>
      <w:lang w:eastAsia="en-AU"/>
    </w:rPr>
  </w:style>
  <w:style w:type="character" w:customStyle="1" w:styleId="TableHeadingChar">
    <w:name w:val="TableHeading Char"/>
    <w:link w:val="TableHeading"/>
    <w:rsid w:val="000939E0"/>
    <w:rPr>
      <w:rFonts w:ascii="Arial Narrow" w:eastAsia="Times New Roman" w:hAnsi="Arial Narrow" w:cs="Tahoma"/>
      <w:b/>
      <w:sz w:val="20"/>
      <w:szCs w:val="20"/>
      <w:lang w:eastAsia="en-AU"/>
    </w:rPr>
  </w:style>
  <w:style w:type="paragraph" w:customStyle="1" w:styleId="Tabletext">
    <w:name w:val="Table text"/>
    <w:basedOn w:val="Normal"/>
    <w:link w:val="TabletextChar"/>
    <w:qFormat/>
    <w:rsid w:val="000939E0"/>
    <w:pPr>
      <w:spacing w:before="40" w:after="40" w:line="240" w:lineRule="auto"/>
    </w:pPr>
    <w:rPr>
      <w:rFonts w:ascii="Arial Narrow" w:eastAsia="Times New Roman" w:hAnsi="Arial Narrow" w:cs="Tahoma"/>
      <w:sz w:val="20"/>
      <w:szCs w:val="20"/>
      <w:lang w:eastAsia="en-AU"/>
    </w:rPr>
  </w:style>
  <w:style w:type="character" w:customStyle="1" w:styleId="TabletextChar">
    <w:name w:val="Table text Char"/>
    <w:link w:val="Tabletext"/>
    <w:rsid w:val="000939E0"/>
    <w:rPr>
      <w:rFonts w:ascii="Arial Narrow" w:eastAsia="Times New Roman" w:hAnsi="Arial Narrow" w:cs="Tahoma"/>
      <w:sz w:val="20"/>
      <w:szCs w:val="20"/>
      <w:lang w:eastAsia="en-AU"/>
    </w:rPr>
  </w:style>
  <w:style w:type="paragraph" w:customStyle="1" w:styleId="Tablenotes">
    <w:name w:val="Tablenotes"/>
    <w:basedOn w:val="Normal"/>
    <w:link w:val="TablenotesChar"/>
    <w:qFormat/>
    <w:rsid w:val="000939E0"/>
    <w:pPr>
      <w:widowControl w:val="0"/>
      <w:spacing w:after="120" w:line="240" w:lineRule="auto"/>
      <w:jc w:val="both"/>
    </w:pPr>
    <w:rPr>
      <w:rFonts w:ascii="Arial Narrow" w:eastAsia="Times New Roman" w:hAnsi="Arial Narrow" w:cs="Arial"/>
      <w:snapToGrid w:val="0"/>
      <w:sz w:val="18"/>
      <w:szCs w:val="20"/>
    </w:rPr>
  </w:style>
  <w:style w:type="character" w:customStyle="1" w:styleId="TablenotesChar">
    <w:name w:val="Tablenotes Char"/>
    <w:basedOn w:val="DefaultParagraphFont"/>
    <w:link w:val="Tablenotes"/>
    <w:rsid w:val="000939E0"/>
    <w:rPr>
      <w:rFonts w:ascii="Arial Narrow" w:eastAsia="Times New Roman" w:hAnsi="Arial Narrow" w:cs="Arial"/>
      <w:snapToGrid w:val="0"/>
      <w:sz w:val="18"/>
      <w:szCs w:val="20"/>
    </w:rPr>
  </w:style>
  <w:style w:type="paragraph" w:customStyle="1" w:styleId="TableName">
    <w:name w:val="TableName"/>
    <w:basedOn w:val="Normal"/>
    <w:qFormat/>
    <w:rsid w:val="00891488"/>
    <w:pPr>
      <w:keepNext/>
      <w:spacing w:after="240" w:line="240" w:lineRule="auto"/>
      <w:ind w:left="1134" w:hanging="1134"/>
    </w:pPr>
    <w:rPr>
      <w:rFonts w:ascii="Franklin Gothic Medium" w:eastAsiaTheme="minorHAnsi" w:hAnsi="Franklin Gothic Medium" w:cstheme="minorBidi"/>
    </w:rPr>
  </w:style>
  <w:style w:type="character" w:customStyle="1" w:styleId="ListParagraphChar">
    <w:name w:val="List Paragraph Char"/>
    <w:aliases w:val="BulletPoints Char,Bullet point Char,List Paragraph1 Char,List Paragraph11 Char,Recommendation Char,L Char,Bullet Point Char,Bulletr List Paragraph Char,Content descriptions Char,FooterText Char,List Bullet 1 Char,List Paragraph2 Char"/>
    <w:basedOn w:val="DefaultParagraphFont"/>
    <w:link w:val="ListParagraph"/>
    <w:uiPriority w:val="34"/>
    <w:qFormat/>
    <w:rsid w:val="00D867D5"/>
    <w:rPr>
      <w:rFonts w:ascii="Calibri" w:eastAsia="Calibri" w:hAnsi="Calibri" w:cs="Times New Roman"/>
    </w:rPr>
  </w:style>
  <w:style w:type="paragraph" w:styleId="Header">
    <w:name w:val="header"/>
    <w:basedOn w:val="Normal"/>
    <w:link w:val="HeaderChar"/>
    <w:uiPriority w:val="99"/>
    <w:unhideWhenUsed/>
    <w:rsid w:val="001631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315C"/>
    <w:rPr>
      <w:rFonts w:ascii="Calibri" w:eastAsia="Calibri" w:hAnsi="Calibri" w:cs="Times New Roman"/>
    </w:rPr>
  </w:style>
  <w:style w:type="paragraph" w:styleId="Footer">
    <w:name w:val="footer"/>
    <w:basedOn w:val="Normal"/>
    <w:link w:val="FooterChar"/>
    <w:uiPriority w:val="99"/>
    <w:unhideWhenUsed/>
    <w:rsid w:val="001631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315C"/>
    <w:rPr>
      <w:rFonts w:ascii="Calibri" w:eastAsia="Calibri" w:hAnsi="Calibri" w:cs="Times New Roman"/>
    </w:rPr>
  </w:style>
  <w:style w:type="paragraph" w:styleId="Subtitle">
    <w:name w:val="Subtitle"/>
    <w:basedOn w:val="Normal"/>
    <w:next w:val="Normal"/>
    <w:link w:val="SubtitleChar"/>
    <w:uiPriority w:val="11"/>
    <w:qFormat/>
    <w:rsid w:val="006F01C4"/>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6F01C4"/>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A331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126"/>
    <w:rPr>
      <w:rFonts w:ascii="Segoe UI" w:eastAsia="Calibri" w:hAnsi="Segoe UI" w:cs="Segoe UI"/>
      <w:sz w:val="18"/>
      <w:szCs w:val="18"/>
    </w:rPr>
  </w:style>
  <w:style w:type="character" w:styleId="CommentReference">
    <w:name w:val="annotation reference"/>
    <w:aliases w:val="Table Title"/>
    <w:basedOn w:val="DefaultParagraphFont"/>
    <w:uiPriority w:val="99"/>
    <w:unhideWhenUsed/>
    <w:qFormat/>
    <w:rsid w:val="00D84E12"/>
    <w:rPr>
      <w:sz w:val="16"/>
      <w:szCs w:val="16"/>
    </w:rPr>
  </w:style>
  <w:style w:type="paragraph" w:styleId="CommentText">
    <w:name w:val="annotation text"/>
    <w:basedOn w:val="Normal"/>
    <w:link w:val="CommentTextChar"/>
    <w:uiPriority w:val="99"/>
    <w:unhideWhenUsed/>
    <w:rsid w:val="00D84E12"/>
    <w:pPr>
      <w:spacing w:line="240" w:lineRule="auto"/>
    </w:pPr>
    <w:rPr>
      <w:sz w:val="20"/>
      <w:szCs w:val="20"/>
    </w:rPr>
  </w:style>
  <w:style w:type="character" w:customStyle="1" w:styleId="CommentTextChar">
    <w:name w:val="Comment Text Char"/>
    <w:basedOn w:val="DefaultParagraphFont"/>
    <w:link w:val="CommentText"/>
    <w:uiPriority w:val="99"/>
    <w:rsid w:val="00D84E1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84E12"/>
    <w:rPr>
      <w:b/>
      <w:bCs/>
    </w:rPr>
  </w:style>
  <w:style w:type="character" w:customStyle="1" w:styleId="CommentSubjectChar">
    <w:name w:val="Comment Subject Char"/>
    <w:basedOn w:val="CommentTextChar"/>
    <w:link w:val="CommentSubject"/>
    <w:uiPriority w:val="99"/>
    <w:semiHidden/>
    <w:rsid w:val="00D84E12"/>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8C4B3C"/>
    <w:rPr>
      <w:color w:val="954F72" w:themeColor="followedHyperlink"/>
      <w:u w:val="single"/>
    </w:rPr>
  </w:style>
  <w:style w:type="character" w:customStyle="1" w:styleId="Heading1Char">
    <w:name w:val="Heading 1 Char"/>
    <w:basedOn w:val="DefaultParagraphFont"/>
    <w:link w:val="Heading1"/>
    <w:uiPriority w:val="9"/>
    <w:rsid w:val="008C4B3C"/>
    <w:rPr>
      <w:rFonts w:ascii="Calibri" w:eastAsia="Calibri" w:hAnsi="Calibri" w:cs="Calibri"/>
      <w:b/>
      <w:bCs/>
      <w:color w:val="000000"/>
      <w:sz w:val="72"/>
      <w:szCs w:val="72"/>
      <w:u w:color="000000"/>
      <w:lang w:val="en-US" w:eastAsia="en-AU"/>
    </w:rPr>
  </w:style>
  <w:style w:type="paragraph" w:customStyle="1" w:styleId="Instructionaltext">
    <w:name w:val="Instructional text"/>
    <w:basedOn w:val="Normal"/>
    <w:link w:val="InstructionaltextChar"/>
    <w:qFormat/>
    <w:rsid w:val="006A467F"/>
    <w:pPr>
      <w:spacing w:before="120" w:after="160" w:line="259" w:lineRule="auto"/>
    </w:pPr>
    <w:rPr>
      <w:rFonts w:eastAsiaTheme="minorHAnsi" w:cstheme="minorBidi"/>
      <w:color w:val="258221"/>
    </w:rPr>
  </w:style>
  <w:style w:type="character" w:customStyle="1" w:styleId="InstructionaltextChar">
    <w:name w:val="Instructional text Char"/>
    <w:basedOn w:val="DefaultParagraphFont"/>
    <w:link w:val="Instructionaltext"/>
    <w:rsid w:val="006A467F"/>
    <w:rPr>
      <w:rFonts w:ascii="Calibri" w:hAnsi="Calibri"/>
      <w:color w:val="258221"/>
    </w:rPr>
  </w:style>
  <w:style w:type="character" w:customStyle="1" w:styleId="Heading3Char">
    <w:name w:val="Heading 3 Char"/>
    <w:basedOn w:val="DefaultParagraphFont"/>
    <w:link w:val="Heading3"/>
    <w:uiPriority w:val="9"/>
    <w:rsid w:val="00713728"/>
    <w:rPr>
      <w:rFonts w:ascii="Calibri" w:eastAsia="MS Gothic" w:hAnsi="Calibri" w:cs="Times New Roman"/>
      <w:b/>
      <w:bCs/>
      <w:i/>
      <w:sz w:val="24"/>
      <w:szCs w:val="24"/>
    </w:rPr>
  </w:style>
  <w:style w:type="paragraph" w:customStyle="1" w:styleId="Instructionaltext-bullet">
    <w:name w:val="Instructional text - bullet"/>
    <w:basedOn w:val="Instructionaltext"/>
    <w:qFormat/>
    <w:rsid w:val="006A467F"/>
    <w:pPr>
      <w:numPr>
        <w:numId w:val="3"/>
      </w:numPr>
      <w:spacing w:before="0" w:after="0"/>
    </w:pPr>
  </w:style>
  <w:style w:type="paragraph" w:customStyle="1" w:styleId="Guidelinescross-ref">
    <w:name w:val="Guidelines cross-ref"/>
    <w:basedOn w:val="Normal"/>
    <w:qFormat/>
    <w:rsid w:val="00E01349"/>
    <w:pPr>
      <w:keepNext/>
      <w:spacing w:before="240" w:after="240" w:line="259" w:lineRule="auto"/>
    </w:pPr>
    <w:rPr>
      <w:rFonts w:eastAsiaTheme="minorHAnsi" w:cstheme="minorBidi"/>
      <w:b/>
      <w:color w:val="0070C0"/>
      <w:sz w:val="24"/>
    </w:rPr>
  </w:style>
  <w:style w:type="paragraph" w:customStyle="1" w:styleId="Instructionaltext-afterfiguretable">
    <w:name w:val="Instructional text - after figure/table"/>
    <w:basedOn w:val="Instructionaltext"/>
    <w:qFormat/>
    <w:rsid w:val="00E01349"/>
    <w:pPr>
      <w:spacing w:before="360"/>
    </w:pPr>
  </w:style>
  <w:style w:type="paragraph" w:styleId="Revision">
    <w:name w:val="Revision"/>
    <w:hidden/>
    <w:uiPriority w:val="99"/>
    <w:semiHidden/>
    <w:rsid w:val="004E3ABF"/>
    <w:pPr>
      <w:spacing w:after="0" w:line="240" w:lineRule="auto"/>
    </w:pPr>
    <w:rPr>
      <w:rFonts w:ascii="Calibri" w:eastAsia="Calibri" w:hAnsi="Calibri" w:cs="Times New Roman"/>
    </w:rPr>
  </w:style>
  <w:style w:type="paragraph" w:customStyle="1" w:styleId="TableText0">
    <w:name w:val="Table Text"/>
    <w:basedOn w:val="Normal"/>
    <w:link w:val="TableTextChar0"/>
    <w:qFormat/>
    <w:rsid w:val="000D1FCF"/>
    <w:pPr>
      <w:spacing w:before="40" w:after="40" w:line="240" w:lineRule="auto"/>
    </w:pPr>
    <w:rPr>
      <w:rFonts w:ascii="Arial Narrow" w:eastAsiaTheme="minorHAnsi" w:hAnsi="Arial Narrow" w:cstheme="minorBidi"/>
      <w:sz w:val="20"/>
    </w:rPr>
  </w:style>
  <w:style w:type="character" w:customStyle="1" w:styleId="TableTextChar0">
    <w:name w:val="Table Text Char"/>
    <w:basedOn w:val="DefaultParagraphFont"/>
    <w:link w:val="TableText0"/>
    <w:rsid w:val="000D1FCF"/>
    <w:rPr>
      <w:rFonts w:ascii="Arial Narrow" w:hAnsi="Arial Narrow"/>
      <w:sz w:val="20"/>
    </w:rPr>
  </w:style>
  <w:style w:type="character" w:styleId="PageNumber">
    <w:name w:val="page number"/>
    <w:basedOn w:val="DefaultParagraphFont"/>
    <w:uiPriority w:val="99"/>
    <w:semiHidden/>
    <w:unhideWhenUsed/>
    <w:rsid w:val="00685355"/>
  </w:style>
  <w:style w:type="character" w:styleId="UnresolvedMention">
    <w:name w:val="Unresolved Mention"/>
    <w:basedOn w:val="DefaultParagraphFont"/>
    <w:uiPriority w:val="99"/>
    <w:unhideWhenUsed/>
    <w:rsid w:val="00BB0FFB"/>
    <w:rPr>
      <w:color w:val="605E5C"/>
      <w:shd w:val="clear" w:color="auto" w:fill="E1DFDD"/>
    </w:rPr>
  </w:style>
  <w:style w:type="table" w:customStyle="1" w:styleId="TableGrid11">
    <w:name w:val="Table Grid11"/>
    <w:basedOn w:val="TableNormal"/>
    <w:uiPriority w:val="59"/>
    <w:rsid w:val="00E03083"/>
    <w:pPr>
      <w:spacing w:after="240" w:line="240" w:lineRule="auto"/>
      <w:ind w:left="720" w:hanging="36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807730"/>
    <w:rPr>
      <w:color w:val="2B579A"/>
      <w:shd w:val="clear" w:color="auto" w:fill="E1DFDD"/>
    </w:rPr>
  </w:style>
  <w:style w:type="character" w:customStyle="1" w:styleId="Heading4Char">
    <w:name w:val="Heading 4 Char"/>
    <w:basedOn w:val="DefaultParagraphFont"/>
    <w:link w:val="Heading4"/>
    <w:uiPriority w:val="9"/>
    <w:rsid w:val="009101C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73153B"/>
    <w:rPr>
      <w:rFonts w:asciiTheme="majorHAnsi" w:eastAsiaTheme="majorEastAsia" w:hAnsiTheme="majorHAnsi" w:cstheme="majorBidi"/>
      <w:color w:val="2E74B5" w:themeColor="accent1" w:themeShade="BF"/>
    </w:rPr>
  </w:style>
  <w:style w:type="paragraph" w:customStyle="1" w:styleId="Table">
    <w:name w:val="Table"/>
    <w:basedOn w:val="Normal"/>
    <w:link w:val="TableChar"/>
    <w:qFormat/>
    <w:rsid w:val="009C466B"/>
    <w:pPr>
      <w:keepNext/>
      <w:spacing w:after="0" w:line="360" w:lineRule="auto"/>
      <w:jc w:val="both"/>
    </w:pPr>
    <w:rPr>
      <w:rFonts w:ascii="Roboto" w:eastAsia="Times New Roman" w:hAnsi="Roboto" w:cs="Calibri"/>
      <w:sz w:val="20"/>
      <w:lang w:bidi="en-US"/>
    </w:rPr>
  </w:style>
  <w:style w:type="character" w:customStyle="1" w:styleId="TableChar">
    <w:name w:val="Table Char"/>
    <w:link w:val="Table"/>
    <w:rsid w:val="009C466B"/>
    <w:rPr>
      <w:rFonts w:ascii="Roboto" w:eastAsia="Times New Roman" w:hAnsi="Roboto" w:cs="Calibri"/>
      <w:sz w:val="20"/>
      <w:lang w:bidi="en-US"/>
    </w:rPr>
  </w:style>
  <w:style w:type="paragraph" w:styleId="FootnoteText">
    <w:name w:val="footnote text"/>
    <w:basedOn w:val="Normal"/>
    <w:link w:val="FootnoteTextChar"/>
    <w:uiPriority w:val="99"/>
    <w:semiHidden/>
    <w:unhideWhenUsed/>
    <w:rsid w:val="006C76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76FF"/>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6C76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0520">
      <w:bodyDiv w:val="1"/>
      <w:marLeft w:val="0"/>
      <w:marRight w:val="0"/>
      <w:marTop w:val="0"/>
      <w:marBottom w:val="0"/>
      <w:divBdr>
        <w:top w:val="none" w:sz="0" w:space="0" w:color="auto"/>
        <w:left w:val="none" w:sz="0" w:space="0" w:color="auto"/>
        <w:bottom w:val="none" w:sz="0" w:space="0" w:color="auto"/>
        <w:right w:val="none" w:sz="0" w:space="0" w:color="auto"/>
      </w:divBdr>
    </w:div>
    <w:div w:id="116920213">
      <w:bodyDiv w:val="1"/>
      <w:marLeft w:val="0"/>
      <w:marRight w:val="0"/>
      <w:marTop w:val="0"/>
      <w:marBottom w:val="0"/>
      <w:divBdr>
        <w:top w:val="none" w:sz="0" w:space="0" w:color="auto"/>
        <w:left w:val="none" w:sz="0" w:space="0" w:color="auto"/>
        <w:bottom w:val="none" w:sz="0" w:space="0" w:color="auto"/>
        <w:right w:val="none" w:sz="0" w:space="0" w:color="auto"/>
      </w:divBdr>
    </w:div>
    <w:div w:id="378169523">
      <w:bodyDiv w:val="1"/>
      <w:marLeft w:val="0"/>
      <w:marRight w:val="0"/>
      <w:marTop w:val="0"/>
      <w:marBottom w:val="0"/>
      <w:divBdr>
        <w:top w:val="none" w:sz="0" w:space="0" w:color="auto"/>
        <w:left w:val="none" w:sz="0" w:space="0" w:color="auto"/>
        <w:bottom w:val="none" w:sz="0" w:space="0" w:color="auto"/>
        <w:right w:val="none" w:sz="0" w:space="0" w:color="auto"/>
      </w:divBdr>
    </w:div>
    <w:div w:id="394935027">
      <w:bodyDiv w:val="1"/>
      <w:marLeft w:val="0"/>
      <w:marRight w:val="0"/>
      <w:marTop w:val="0"/>
      <w:marBottom w:val="0"/>
      <w:divBdr>
        <w:top w:val="none" w:sz="0" w:space="0" w:color="auto"/>
        <w:left w:val="none" w:sz="0" w:space="0" w:color="auto"/>
        <w:bottom w:val="none" w:sz="0" w:space="0" w:color="auto"/>
        <w:right w:val="none" w:sz="0" w:space="0" w:color="auto"/>
      </w:divBdr>
      <w:divsChild>
        <w:div w:id="1245922293">
          <w:marLeft w:val="0"/>
          <w:marRight w:val="0"/>
          <w:marTop w:val="0"/>
          <w:marBottom w:val="0"/>
          <w:divBdr>
            <w:top w:val="none" w:sz="0" w:space="0" w:color="auto"/>
            <w:left w:val="none" w:sz="0" w:space="0" w:color="auto"/>
            <w:bottom w:val="none" w:sz="0" w:space="0" w:color="auto"/>
            <w:right w:val="none" w:sz="0" w:space="0" w:color="auto"/>
          </w:divBdr>
        </w:div>
      </w:divsChild>
    </w:div>
    <w:div w:id="402030214">
      <w:bodyDiv w:val="1"/>
      <w:marLeft w:val="0"/>
      <w:marRight w:val="0"/>
      <w:marTop w:val="0"/>
      <w:marBottom w:val="0"/>
      <w:divBdr>
        <w:top w:val="none" w:sz="0" w:space="0" w:color="auto"/>
        <w:left w:val="none" w:sz="0" w:space="0" w:color="auto"/>
        <w:bottom w:val="none" w:sz="0" w:space="0" w:color="auto"/>
        <w:right w:val="none" w:sz="0" w:space="0" w:color="auto"/>
      </w:divBdr>
    </w:div>
    <w:div w:id="510267069">
      <w:bodyDiv w:val="1"/>
      <w:marLeft w:val="0"/>
      <w:marRight w:val="0"/>
      <w:marTop w:val="0"/>
      <w:marBottom w:val="0"/>
      <w:divBdr>
        <w:top w:val="none" w:sz="0" w:space="0" w:color="auto"/>
        <w:left w:val="none" w:sz="0" w:space="0" w:color="auto"/>
        <w:bottom w:val="none" w:sz="0" w:space="0" w:color="auto"/>
        <w:right w:val="none" w:sz="0" w:space="0" w:color="auto"/>
      </w:divBdr>
    </w:div>
    <w:div w:id="557087695">
      <w:bodyDiv w:val="1"/>
      <w:marLeft w:val="0"/>
      <w:marRight w:val="0"/>
      <w:marTop w:val="0"/>
      <w:marBottom w:val="0"/>
      <w:divBdr>
        <w:top w:val="none" w:sz="0" w:space="0" w:color="auto"/>
        <w:left w:val="none" w:sz="0" w:space="0" w:color="auto"/>
        <w:bottom w:val="none" w:sz="0" w:space="0" w:color="auto"/>
        <w:right w:val="none" w:sz="0" w:space="0" w:color="auto"/>
      </w:divBdr>
    </w:div>
    <w:div w:id="688532201">
      <w:bodyDiv w:val="1"/>
      <w:marLeft w:val="0"/>
      <w:marRight w:val="0"/>
      <w:marTop w:val="0"/>
      <w:marBottom w:val="0"/>
      <w:divBdr>
        <w:top w:val="none" w:sz="0" w:space="0" w:color="auto"/>
        <w:left w:val="none" w:sz="0" w:space="0" w:color="auto"/>
        <w:bottom w:val="none" w:sz="0" w:space="0" w:color="auto"/>
        <w:right w:val="none" w:sz="0" w:space="0" w:color="auto"/>
      </w:divBdr>
    </w:div>
    <w:div w:id="915551940">
      <w:bodyDiv w:val="1"/>
      <w:marLeft w:val="0"/>
      <w:marRight w:val="0"/>
      <w:marTop w:val="0"/>
      <w:marBottom w:val="0"/>
      <w:divBdr>
        <w:top w:val="none" w:sz="0" w:space="0" w:color="auto"/>
        <w:left w:val="none" w:sz="0" w:space="0" w:color="auto"/>
        <w:bottom w:val="none" w:sz="0" w:space="0" w:color="auto"/>
        <w:right w:val="none" w:sz="0" w:space="0" w:color="auto"/>
      </w:divBdr>
      <w:divsChild>
        <w:div w:id="720717310">
          <w:marLeft w:val="0"/>
          <w:marRight w:val="0"/>
          <w:marTop w:val="0"/>
          <w:marBottom w:val="0"/>
          <w:divBdr>
            <w:top w:val="none" w:sz="0" w:space="0" w:color="auto"/>
            <w:left w:val="none" w:sz="0" w:space="0" w:color="auto"/>
            <w:bottom w:val="none" w:sz="0" w:space="0" w:color="auto"/>
            <w:right w:val="none" w:sz="0" w:space="0" w:color="auto"/>
          </w:divBdr>
        </w:div>
      </w:divsChild>
    </w:div>
    <w:div w:id="1019236637">
      <w:bodyDiv w:val="1"/>
      <w:marLeft w:val="0"/>
      <w:marRight w:val="0"/>
      <w:marTop w:val="0"/>
      <w:marBottom w:val="0"/>
      <w:divBdr>
        <w:top w:val="none" w:sz="0" w:space="0" w:color="auto"/>
        <w:left w:val="none" w:sz="0" w:space="0" w:color="auto"/>
        <w:bottom w:val="none" w:sz="0" w:space="0" w:color="auto"/>
        <w:right w:val="none" w:sz="0" w:space="0" w:color="auto"/>
      </w:divBdr>
      <w:divsChild>
        <w:div w:id="74279094">
          <w:marLeft w:val="0"/>
          <w:marRight w:val="0"/>
          <w:marTop w:val="0"/>
          <w:marBottom w:val="0"/>
          <w:divBdr>
            <w:top w:val="none" w:sz="0" w:space="0" w:color="auto"/>
            <w:left w:val="none" w:sz="0" w:space="0" w:color="auto"/>
            <w:bottom w:val="none" w:sz="0" w:space="0" w:color="auto"/>
            <w:right w:val="none" w:sz="0" w:space="0" w:color="auto"/>
          </w:divBdr>
        </w:div>
      </w:divsChild>
    </w:div>
    <w:div w:id="1023242140">
      <w:bodyDiv w:val="1"/>
      <w:marLeft w:val="0"/>
      <w:marRight w:val="0"/>
      <w:marTop w:val="0"/>
      <w:marBottom w:val="0"/>
      <w:divBdr>
        <w:top w:val="none" w:sz="0" w:space="0" w:color="auto"/>
        <w:left w:val="none" w:sz="0" w:space="0" w:color="auto"/>
        <w:bottom w:val="none" w:sz="0" w:space="0" w:color="auto"/>
        <w:right w:val="none" w:sz="0" w:space="0" w:color="auto"/>
      </w:divBdr>
    </w:div>
    <w:div w:id="1258444929">
      <w:bodyDiv w:val="1"/>
      <w:marLeft w:val="0"/>
      <w:marRight w:val="0"/>
      <w:marTop w:val="0"/>
      <w:marBottom w:val="0"/>
      <w:divBdr>
        <w:top w:val="none" w:sz="0" w:space="0" w:color="auto"/>
        <w:left w:val="none" w:sz="0" w:space="0" w:color="auto"/>
        <w:bottom w:val="none" w:sz="0" w:space="0" w:color="auto"/>
        <w:right w:val="none" w:sz="0" w:space="0" w:color="auto"/>
      </w:divBdr>
    </w:div>
    <w:div w:id="1511290604">
      <w:bodyDiv w:val="1"/>
      <w:marLeft w:val="0"/>
      <w:marRight w:val="0"/>
      <w:marTop w:val="0"/>
      <w:marBottom w:val="0"/>
      <w:divBdr>
        <w:top w:val="none" w:sz="0" w:space="0" w:color="auto"/>
        <w:left w:val="none" w:sz="0" w:space="0" w:color="auto"/>
        <w:bottom w:val="none" w:sz="0" w:space="0" w:color="auto"/>
        <w:right w:val="none" w:sz="0" w:space="0" w:color="auto"/>
      </w:divBdr>
      <w:divsChild>
        <w:div w:id="254017732">
          <w:marLeft w:val="0"/>
          <w:marRight w:val="0"/>
          <w:marTop w:val="0"/>
          <w:marBottom w:val="0"/>
          <w:divBdr>
            <w:top w:val="none" w:sz="0" w:space="0" w:color="auto"/>
            <w:left w:val="none" w:sz="0" w:space="0" w:color="auto"/>
            <w:bottom w:val="none" w:sz="0" w:space="0" w:color="auto"/>
            <w:right w:val="none" w:sz="0" w:space="0" w:color="auto"/>
          </w:divBdr>
        </w:div>
      </w:divsChild>
    </w:div>
    <w:div w:id="1511987132">
      <w:bodyDiv w:val="1"/>
      <w:marLeft w:val="0"/>
      <w:marRight w:val="0"/>
      <w:marTop w:val="0"/>
      <w:marBottom w:val="0"/>
      <w:divBdr>
        <w:top w:val="none" w:sz="0" w:space="0" w:color="auto"/>
        <w:left w:val="none" w:sz="0" w:space="0" w:color="auto"/>
        <w:bottom w:val="none" w:sz="0" w:space="0" w:color="auto"/>
        <w:right w:val="none" w:sz="0" w:space="0" w:color="auto"/>
      </w:divBdr>
    </w:div>
    <w:div w:id="1559246317">
      <w:bodyDiv w:val="1"/>
      <w:marLeft w:val="0"/>
      <w:marRight w:val="0"/>
      <w:marTop w:val="0"/>
      <w:marBottom w:val="0"/>
      <w:divBdr>
        <w:top w:val="none" w:sz="0" w:space="0" w:color="auto"/>
        <w:left w:val="none" w:sz="0" w:space="0" w:color="auto"/>
        <w:bottom w:val="none" w:sz="0" w:space="0" w:color="auto"/>
        <w:right w:val="none" w:sz="0" w:space="0" w:color="auto"/>
      </w:divBdr>
    </w:div>
    <w:div w:id="1689982625">
      <w:bodyDiv w:val="1"/>
      <w:marLeft w:val="0"/>
      <w:marRight w:val="0"/>
      <w:marTop w:val="0"/>
      <w:marBottom w:val="0"/>
      <w:divBdr>
        <w:top w:val="none" w:sz="0" w:space="0" w:color="auto"/>
        <w:left w:val="none" w:sz="0" w:space="0" w:color="auto"/>
        <w:bottom w:val="none" w:sz="0" w:space="0" w:color="auto"/>
        <w:right w:val="none" w:sz="0" w:space="0" w:color="auto"/>
      </w:divBdr>
    </w:div>
    <w:div w:id="1776095209">
      <w:bodyDiv w:val="1"/>
      <w:marLeft w:val="0"/>
      <w:marRight w:val="0"/>
      <w:marTop w:val="0"/>
      <w:marBottom w:val="0"/>
      <w:divBdr>
        <w:top w:val="none" w:sz="0" w:space="0" w:color="auto"/>
        <w:left w:val="none" w:sz="0" w:space="0" w:color="auto"/>
        <w:bottom w:val="none" w:sz="0" w:space="0" w:color="auto"/>
        <w:right w:val="none" w:sz="0" w:space="0" w:color="auto"/>
      </w:divBdr>
    </w:div>
    <w:div w:id="2032880099">
      <w:bodyDiv w:val="1"/>
      <w:marLeft w:val="0"/>
      <w:marRight w:val="0"/>
      <w:marTop w:val="0"/>
      <w:marBottom w:val="0"/>
      <w:divBdr>
        <w:top w:val="none" w:sz="0" w:space="0" w:color="auto"/>
        <w:left w:val="none" w:sz="0" w:space="0" w:color="auto"/>
        <w:bottom w:val="none" w:sz="0" w:space="0" w:color="auto"/>
        <w:right w:val="none" w:sz="0" w:space="0" w:color="auto"/>
      </w:divBdr>
    </w:div>
    <w:div w:id="204991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sac.gov.au/applications/1728-1" TargetMode="External"/><Relationship Id="rId18" Type="http://schemas.openxmlformats.org/officeDocument/2006/relationships/hyperlink" Target="https://www.fda.gov/drugs/news-events-human-drugs/fda-approves-drug-prevent-or-reduce-frequency-bleeding-episodes-patients-hemophilia-inhibitors-or" TargetMode="External"/><Relationship Id="rId26" Type="http://schemas.openxmlformats.org/officeDocument/2006/relationships/hyperlink" Target="https://www.blood.gov.au/australian-bleeding-disorders-registry-annual-report" TargetMode="External"/><Relationship Id="rId39" Type="http://schemas.openxmlformats.org/officeDocument/2006/relationships/footer" Target="footer2.xml"/><Relationship Id="rId21" Type="http://schemas.openxmlformats.org/officeDocument/2006/relationships/hyperlink" Target="https://www.msac.gov.au/applications/1510-1" TargetMode="External"/><Relationship Id="rId34" Type="http://schemas.openxmlformats.org/officeDocument/2006/relationships/hyperlink" Target="https://doi.org/10.1111/hae.14046"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hpp.hpfb-dgpsa.ca/review-documents/resource/SBD1685635290781" TargetMode="External"/><Relationship Id="rId20" Type="http://schemas.openxmlformats.org/officeDocument/2006/relationships/hyperlink" Target="https://www.msac.gov.au/sites/default/files/2024-10/guidelines-for-preparing-assessments-for-msac.pdf" TargetMode="External"/><Relationship Id="rId29" Type="http://schemas.openxmlformats.org/officeDocument/2006/relationships/hyperlink" Target="https://www.blood.gov.au/framework-management-bleeding-disorders-australia"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sac.gov.au/applications/1510" TargetMode="External"/><Relationship Id="rId24" Type="http://schemas.openxmlformats.org/officeDocument/2006/relationships/hyperlink" Target="https://www.msac.gov.au/applications/1510-1" TargetMode="External"/><Relationship Id="rId32" Type="http://schemas.openxmlformats.org/officeDocument/2006/relationships/hyperlink" Target="https://www.blood.gov.au/framework-management-bleeding-disorders-australia"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tga.gov.au/sites/default/files/2024-03/auspar-alhemo-240308-pi.pdf" TargetMode="External"/><Relationship Id="rId23" Type="http://schemas.openxmlformats.org/officeDocument/2006/relationships/hyperlink" Target="https://www.msac.gov.au/applications/1510-1" TargetMode="External"/><Relationship Id="rId28" Type="http://schemas.openxmlformats.org/officeDocument/2006/relationships/hyperlink" Target="https://www.blood.gov.au/australian-bleeding-disorders-registry-annual-report" TargetMode="External"/><Relationship Id="rId36" Type="http://schemas.openxmlformats.org/officeDocument/2006/relationships/header" Target="header1.xml"/><Relationship Id="rId10" Type="http://schemas.openxmlformats.org/officeDocument/2006/relationships/hyperlink" Target="https://www.blood.gov.au/australian-bleeding-disorders-registry-annual-report" TargetMode="External"/><Relationship Id="rId19" Type="http://schemas.openxmlformats.org/officeDocument/2006/relationships/hyperlink" Target="https://www.tga.gov.au/resources/artg/466665" TargetMode="External"/><Relationship Id="rId31" Type="http://schemas.openxmlformats.org/officeDocument/2006/relationships/hyperlink" Target="https://doi.org/10.1056/NEJMoa2216455" TargetMode="External"/><Relationship Id="rId4" Type="http://schemas.openxmlformats.org/officeDocument/2006/relationships/settings" Target="settings.xml"/><Relationship Id="rId9" Type="http://schemas.openxmlformats.org/officeDocument/2006/relationships/hyperlink" Target="https://www.blood.gov.au/blood-products/national-product-price-list" TargetMode="External"/><Relationship Id="rId14" Type="http://schemas.openxmlformats.org/officeDocument/2006/relationships/image" Target="media/image1.png"/><Relationship Id="rId22" Type="http://schemas.openxmlformats.org/officeDocument/2006/relationships/hyperlink" Target="https://www.msac.gov.au/applications/1728-1" TargetMode="External"/><Relationship Id="rId27" Type="http://schemas.openxmlformats.org/officeDocument/2006/relationships/hyperlink" Target="https://www.blood.gov.au/australian-bleeding-disorders-registry-annual-report" TargetMode="External"/><Relationship Id="rId30" Type="http://schemas.openxmlformats.org/officeDocument/2006/relationships/hyperlink" Target="https://doi.org/10.1111/ejh.13108" TargetMode="External"/><Relationship Id="rId35" Type="http://schemas.openxmlformats.org/officeDocument/2006/relationships/hyperlink" Target="https://www.tga.gov.au/resources/auspar/auspar-alhemo" TargetMode="External"/><Relationship Id="rId43" Type="http://schemas.openxmlformats.org/officeDocument/2006/relationships/theme" Target="theme/theme1.xml"/><Relationship Id="rId8" Type="http://schemas.openxmlformats.org/officeDocument/2006/relationships/hyperlink" Target="https://www.blood.gov.au/blood-products/national-product-price-list" TargetMode="External"/><Relationship Id="rId3" Type="http://schemas.openxmlformats.org/officeDocument/2006/relationships/styles" Target="styles.xml"/><Relationship Id="rId12" Type="http://schemas.openxmlformats.org/officeDocument/2006/relationships/hyperlink" Target="https://www.msac.gov.au/applications/1510-1" TargetMode="External"/><Relationship Id="rId17" Type="http://schemas.openxmlformats.org/officeDocument/2006/relationships/hyperlink" Target="https://www.ema.europa.eu/en/medicines/human/EPAR/alhemo" TargetMode="External"/><Relationship Id="rId25" Type="http://schemas.openxmlformats.org/officeDocument/2006/relationships/hyperlink" Target="https://www9.health.gov.au/mbs/fullDisplay.cfm?type=item&amp;q=66812&amp;qt=item&amp;criteria=66812" TargetMode="External"/><Relationship Id="rId33" Type="http://schemas.openxmlformats.org/officeDocument/2006/relationships/hyperlink" Target="https://doi.org/10.1111/j.1365-2516.2009.02127.x" TargetMode="External"/><Relationship Id="rId38"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tatic1.squarespace.com/static/65e57496e7267569196f1baf/t/671adb113de5020764965986/1729813266222/AHCDO+Position+Statement+GMHA+FINAL+OCT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C0ADB-7CCF-4BC9-8F3A-D8E39C8F0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7301</Words>
  <Characters>41619</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2025-10-01T07:07:00Z</dcterms:created>
  <dcterms:modified xsi:type="dcterms:W3CDTF">2025-10-14T03:40:00Z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6c7171c,2532fe98,69e934ea</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73ab59f,54daa826,bcb626f</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2025-10-14T03:39:48Z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1e3bdc09-614a-4231-97e0-bdc7c4c877d5</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